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640F5" w14:textId="2BA00D27" w:rsidR="5E23DD3F" w:rsidRDefault="5E23DD3F">
      <w:bookmarkStart w:id="0" w:name="_GoBack"/>
      <w:bookmarkEnd w:id="0"/>
    </w:p>
    <w:tbl>
      <w:tblPr>
        <w:tblStyle w:val="TableGrid"/>
        <w:tblpPr w:leftFromText="180" w:rightFromText="180" w:vertAnchor="page" w:horzAnchor="margin" w:tblpXSpec="right" w:tblpY="17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902613" w:rsidRPr="00215D48" w14:paraId="4849437C" w14:textId="77777777" w:rsidTr="10EF0548">
        <w:tc>
          <w:tcPr>
            <w:tcW w:w="8720" w:type="dxa"/>
          </w:tcPr>
          <w:p w14:paraId="4DA83014" w14:textId="600E4202" w:rsidR="00902613" w:rsidRPr="006C0AB6" w:rsidRDefault="3AE673AF" w:rsidP="00E4333F">
            <w:pPr>
              <w:pStyle w:val="Title"/>
              <w:spacing w:before="1200"/>
              <w:rPr>
                <w:sz w:val="40"/>
                <w:szCs w:val="40"/>
              </w:rPr>
            </w:pPr>
            <w:r w:rsidRPr="10EF0548">
              <w:rPr>
                <w:sz w:val="40"/>
                <w:szCs w:val="40"/>
              </w:rPr>
              <w:t>Propos</w:t>
            </w:r>
            <w:r w:rsidR="5A52D2BA" w:rsidRPr="10EF0548">
              <w:rPr>
                <w:sz w:val="40"/>
                <w:szCs w:val="40"/>
              </w:rPr>
              <w:t>ed reforms to the regulation of vapes</w:t>
            </w:r>
          </w:p>
        </w:tc>
      </w:tr>
      <w:tr w:rsidR="00902613" w:rsidRPr="00215D48" w14:paraId="75DBDC45" w14:textId="77777777" w:rsidTr="10EF0548">
        <w:trPr>
          <w:trHeight w:val="1916"/>
        </w:trPr>
        <w:tc>
          <w:tcPr>
            <w:tcW w:w="8720" w:type="dxa"/>
          </w:tcPr>
          <w:p w14:paraId="77DCE678" w14:textId="27DF4D24" w:rsidR="00902613" w:rsidRDefault="00902613" w:rsidP="00902613">
            <w:pPr>
              <w:pStyle w:val="Subtitle"/>
              <w:ind w:left="0"/>
              <w:rPr>
                <w:i/>
                <w:iCs w:val="0"/>
                <w:sz w:val="36"/>
                <w:szCs w:val="36"/>
              </w:rPr>
            </w:pPr>
            <w:r>
              <w:rPr>
                <w:sz w:val="36"/>
                <w:szCs w:val="36"/>
              </w:rPr>
              <w:t xml:space="preserve">Impact Analysis </w:t>
            </w:r>
          </w:p>
          <w:p w14:paraId="66BB9C0C" w14:textId="67DF0B32" w:rsidR="00902613" w:rsidRDefault="00902613" w:rsidP="00902613">
            <w:pPr>
              <w:pStyle w:val="Subtitle"/>
              <w:ind w:left="0"/>
              <w:rPr>
                <w:i/>
                <w:iCs w:val="0"/>
                <w:sz w:val="36"/>
                <w:szCs w:val="36"/>
              </w:rPr>
            </w:pPr>
          </w:p>
          <w:p w14:paraId="3DAECC2E" w14:textId="5082C4EC" w:rsidR="00902613" w:rsidRPr="007E7A68" w:rsidRDefault="00902613" w:rsidP="00E4333F">
            <w:pPr>
              <w:pStyle w:val="Date"/>
            </w:pPr>
            <w:r w:rsidRPr="00525CB6">
              <w:t>Office of Impact A</w:t>
            </w:r>
            <w:r>
              <w:t>nalysis</w:t>
            </w:r>
            <w:r w:rsidRPr="00525CB6">
              <w:t xml:space="preserve"> (OIA) ID number:</w:t>
            </w:r>
            <w:r w:rsidR="00F249D3">
              <w:t xml:space="preserve"> </w:t>
            </w:r>
            <w:r w:rsidR="00F249D3" w:rsidRPr="00F249D3">
              <w:t>OBPR23-03933</w:t>
            </w:r>
          </w:p>
        </w:tc>
      </w:tr>
      <w:tr w:rsidR="00902613" w:rsidRPr="00215D48" w14:paraId="6853C224" w14:textId="77777777" w:rsidTr="10EF0548">
        <w:tc>
          <w:tcPr>
            <w:tcW w:w="8720" w:type="dxa"/>
          </w:tcPr>
          <w:p w14:paraId="0E9E41EC" w14:textId="77E96744" w:rsidR="00902613" w:rsidRPr="00215D48" w:rsidRDefault="00F712C0" w:rsidP="009E0245">
            <w:r>
              <w:t>October</w:t>
            </w:r>
            <w:r w:rsidR="1B324D92">
              <w:t xml:space="preserve"> </w:t>
            </w:r>
            <w:r w:rsidR="3AE673AF">
              <w:t>2023</w:t>
            </w:r>
          </w:p>
        </w:tc>
      </w:tr>
    </w:tbl>
    <w:p w14:paraId="704BBCE3" w14:textId="77777777" w:rsidR="00F02AEC" w:rsidRPr="00215D48" w:rsidRDefault="00F02AEC" w:rsidP="009D24F0">
      <w:pPr>
        <w:pStyle w:val="ListBullet"/>
        <w:ind w:left="0" w:firstLine="0"/>
        <w:sectPr w:rsidR="00F02AEC" w:rsidRPr="00215D48" w:rsidSect="001F344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14:paraId="249A3A31" w14:textId="77777777" w:rsidR="00F02AEC" w:rsidRPr="00E1198B" w:rsidRDefault="00F02AEC" w:rsidP="00192C22">
      <w:pPr>
        <w:pStyle w:val="LegalSubheading"/>
      </w:pPr>
      <w:r w:rsidRPr="00BA0DFC">
        <w:lastRenderedPageBreak/>
        <w:t>Copyright</w:t>
      </w:r>
    </w:p>
    <w:p w14:paraId="4BB728AA" w14:textId="541EC93E" w:rsidR="00930D58" w:rsidRDefault="00F02AEC" w:rsidP="00FA49C3">
      <w:pPr>
        <w:pStyle w:val="LegalCopy"/>
        <w:rPr>
          <w:rFonts w:cs="Arial"/>
        </w:rPr>
      </w:pPr>
      <w:r w:rsidRPr="00215D48">
        <w:rPr>
          <w:rFonts w:cs="Arial"/>
        </w:rPr>
        <w:t>© Commonwealth of Australia 20</w:t>
      </w:r>
      <w:r>
        <w:rPr>
          <w:rFonts w:cs="Arial"/>
        </w:rPr>
        <w:t>2</w:t>
      </w:r>
      <w:r w:rsidR="005B2600">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215D48">
          <w:rPr>
            <w:rStyle w:val="Hyperlink"/>
            <w:rFonts w:cs="Arial"/>
          </w:rPr>
          <w:t>tga.copyright@tga.gov.au</w:t>
        </w:r>
      </w:hyperlink>
      <w:r w:rsidRPr="00215D48">
        <w:rPr>
          <w:rFonts w:cs="Arial"/>
        </w:rPr>
        <w:t>&gt;.</w:t>
      </w:r>
    </w:p>
    <w:p w14:paraId="4C9FEACF" w14:textId="77777777" w:rsidR="00175CD8" w:rsidRPr="00FA49C3" w:rsidRDefault="00175CD8" w:rsidP="00175CD8"/>
    <w:p w14:paraId="24EA3C55" w14:textId="77777777" w:rsidR="008605F9" w:rsidRPr="008605F9" w:rsidRDefault="008605F9" w:rsidP="008605F9"/>
    <w:p w14:paraId="6DB660F8" w14:textId="77777777" w:rsidR="008605F9" w:rsidRPr="008605F9" w:rsidRDefault="008605F9" w:rsidP="008605F9"/>
    <w:p w14:paraId="57C9F57D" w14:textId="77777777" w:rsidR="008605F9" w:rsidRPr="008605F9" w:rsidRDefault="008605F9" w:rsidP="008605F9"/>
    <w:p w14:paraId="7C6155E7" w14:textId="77777777" w:rsidR="008605F9" w:rsidRPr="008605F9" w:rsidRDefault="008605F9" w:rsidP="008605F9"/>
    <w:p w14:paraId="7D96C7A4" w14:textId="77777777" w:rsidR="008605F9" w:rsidRPr="008605F9" w:rsidRDefault="008605F9" w:rsidP="008605F9"/>
    <w:p w14:paraId="7074D5E3" w14:textId="77777777" w:rsidR="008605F9" w:rsidRPr="008605F9" w:rsidRDefault="008605F9" w:rsidP="008605F9"/>
    <w:p w14:paraId="6B8D5CEF" w14:textId="77777777" w:rsidR="008605F9" w:rsidRPr="008605F9" w:rsidRDefault="008605F9" w:rsidP="008605F9"/>
    <w:p w14:paraId="2D65AB1E" w14:textId="77777777" w:rsidR="008605F9" w:rsidRPr="008605F9" w:rsidRDefault="008605F9" w:rsidP="008605F9"/>
    <w:p w14:paraId="4987A2A3" w14:textId="77777777" w:rsidR="008605F9" w:rsidRPr="008605F9" w:rsidRDefault="008605F9" w:rsidP="008605F9"/>
    <w:p w14:paraId="3E0AB2F0" w14:textId="77777777" w:rsidR="008605F9" w:rsidRPr="008605F9" w:rsidRDefault="008605F9" w:rsidP="008605F9"/>
    <w:p w14:paraId="22DF2164" w14:textId="77777777" w:rsidR="008605F9" w:rsidRPr="008605F9" w:rsidRDefault="008605F9" w:rsidP="008605F9"/>
    <w:p w14:paraId="500C3B1B" w14:textId="77777777" w:rsidR="008605F9" w:rsidRPr="008605F9" w:rsidRDefault="008605F9" w:rsidP="008605F9"/>
    <w:p w14:paraId="582B3914" w14:textId="77777777" w:rsidR="008605F9" w:rsidRDefault="008605F9" w:rsidP="008605F9"/>
    <w:p w14:paraId="774F1C5C" w14:textId="77777777" w:rsidR="008605F9" w:rsidRDefault="008605F9" w:rsidP="008605F9"/>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eastAsia="Cambria" w:hAnsi="Arial" w:cs="Times New Roman"/>
          <w:b/>
          <w:color w:val="333F48"/>
          <w:sz w:val="32"/>
          <w:szCs w:val="20"/>
        </w:rPr>
      </w:sdtEndPr>
      <w:sdtContent>
        <w:p w14:paraId="2DFFD401" w14:textId="6679B37D" w:rsidR="00F02AEC" w:rsidRPr="00215D48" w:rsidRDefault="00F02AEC" w:rsidP="00192C22">
          <w:pPr>
            <w:pStyle w:val="NonTOCheading2"/>
          </w:pPr>
          <w:r w:rsidRPr="00215D48">
            <w:t>Contents</w:t>
          </w:r>
        </w:p>
        <w:p w14:paraId="44E48C77" w14:textId="350B667B" w:rsidR="002B7ED9"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51040306" w:history="1">
            <w:r w:rsidR="002B7ED9" w:rsidRPr="00207DC0">
              <w:rPr>
                <w:rStyle w:val="Hyperlink"/>
                <w:noProof/>
              </w:rPr>
              <w:t>Glossary</w:t>
            </w:r>
            <w:r w:rsidR="002B7ED9">
              <w:rPr>
                <w:noProof/>
                <w:webHidden/>
              </w:rPr>
              <w:tab/>
            </w:r>
            <w:r w:rsidR="002B7ED9">
              <w:rPr>
                <w:noProof/>
                <w:webHidden/>
              </w:rPr>
              <w:fldChar w:fldCharType="begin"/>
            </w:r>
            <w:r w:rsidR="002B7ED9">
              <w:rPr>
                <w:noProof/>
                <w:webHidden/>
              </w:rPr>
              <w:instrText xml:space="preserve"> PAGEREF _Toc151040306 \h </w:instrText>
            </w:r>
            <w:r w:rsidR="002B7ED9">
              <w:rPr>
                <w:noProof/>
                <w:webHidden/>
              </w:rPr>
            </w:r>
            <w:r w:rsidR="002B7ED9">
              <w:rPr>
                <w:noProof/>
                <w:webHidden/>
              </w:rPr>
              <w:fldChar w:fldCharType="separate"/>
            </w:r>
            <w:r w:rsidR="002B7ED9">
              <w:rPr>
                <w:noProof/>
                <w:webHidden/>
              </w:rPr>
              <w:t>8</w:t>
            </w:r>
            <w:r w:rsidR="002B7ED9">
              <w:rPr>
                <w:noProof/>
                <w:webHidden/>
              </w:rPr>
              <w:fldChar w:fldCharType="end"/>
            </w:r>
          </w:hyperlink>
        </w:p>
        <w:p w14:paraId="0EED95DD" w14:textId="7304A1F4"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07" w:history="1">
            <w:r w:rsidR="002B7ED9" w:rsidRPr="00207DC0">
              <w:rPr>
                <w:rStyle w:val="Hyperlink"/>
                <w:noProof/>
              </w:rPr>
              <w:t>Tables</w:t>
            </w:r>
            <w:r w:rsidR="002B7ED9">
              <w:rPr>
                <w:noProof/>
                <w:webHidden/>
              </w:rPr>
              <w:tab/>
            </w:r>
            <w:r w:rsidR="002B7ED9">
              <w:rPr>
                <w:noProof/>
                <w:webHidden/>
              </w:rPr>
              <w:fldChar w:fldCharType="begin"/>
            </w:r>
            <w:r w:rsidR="002B7ED9">
              <w:rPr>
                <w:noProof/>
                <w:webHidden/>
              </w:rPr>
              <w:instrText xml:space="preserve"> PAGEREF _Toc151040307 \h </w:instrText>
            </w:r>
            <w:r w:rsidR="002B7ED9">
              <w:rPr>
                <w:noProof/>
                <w:webHidden/>
              </w:rPr>
            </w:r>
            <w:r w:rsidR="002B7ED9">
              <w:rPr>
                <w:noProof/>
                <w:webHidden/>
              </w:rPr>
              <w:fldChar w:fldCharType="separate"/>
            </w:r>
            <w:r w:rsidR="002B7ED9">
              <w:rPr>
                <w:noProof/>
                <w:webHidden/>
              </w:rPr>
              <w:t>10</w:t>
            </w:r>
            <w:r w:rsidR="002B7ED9">
              <w:rPr>
                <w:noProof/>
                <w:webHidden/>
              </w:rPr>
              <w:fldChar w:fldCharType="end"/>
            </w:r>
          </w:hyperlink>
        </w:p>
        <w:p w14:paraId="4B9AF096" w14:textId="55E2A5CB"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08" w:history="1">
            <w:r w:rsidR="002B7ED9" w:rsidRPr="00207DC0">
              <w:rPr>
                <w:rStyle w:val="Hyperlink"/>
                <w:noProof/>
              </w:rPr>
              <w:t>Figures</w:t>
            </w:r>
            <w:r w:rsidR="002B7ED9">
              <w:rPr>
                <w:noProof/>
                <w:webHidden/>
              </w:rPr>
              <w:tab/>
            </w:r>
            <w:r w:rsidR="002B7ED9">
              <w:rPr>
                <w:noProof/>
                <w:webHidden/>
              </w:rPr>
              <w:fldChar w:fldCharType="begin"/>
            </w:r>
            <w:r w:rsidR="002B7ED9">
              <w:rPr>
                <w:noProof/>
                <w:webHidden/>
              </w:rPr>
              <w:instrText xml:space="preserve"> PAGEREF _Toc151040308 \h </w:instrText>
            </w:r>
            <w:r w:rsidR="002B7ED9">
              <w:rPr>
                <w:noProof/>
                <w:webHidden/>
              </w:rPr>
            </w:r>
            <w:r w:rsidR="002B7ED9">
              <w:rPr>
                <w:noProof/>
                <w:webHidden/>
              </w:rPr>
              <w:fldChar w:fldCharType="separate"/>
            </w:r>
            <w:r w:rsidR="002B7ED9">
              <w:rPr>
                <w:noProof/>
                <w:webHidden/>
              </w:rPr>
              <w:t>10</w:t>
            </w:r>
            <w:r w:rsidR="002B7ED9">
              <w:rPr>
                <w:noProof/>
                <w:webHidden/>
              </w:rPr>
              <w:fldChar w:fldCharType="end"/>
            </w:r>
          </w:hyperlink>
        </w:p>
        <w:p w14:paraId="120C9844" w14:textId="057E9D42"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09" w:history="1">
            <w:r w:rsidR="002B7ED9" w:rsidRPr="00207DC0">
              <w:rPr>
                <w:rStyle w:val="Hyperlink"/>
                <w:noProof/>
              </w:rPr>
              <w:t>Executive Summary</w:t>
            </w:r>
            <w:r w:rsidR="002B7ED9">
              <w:rPr>
                <w:noProof/>
                <w:webHidden/>
              </w:rPr>
              <w:tab/>
            </w:r>
            <w:r w:rsidR="002B7ED9">
              <w:rPr>
                <w:noProof/>
                <w:webHidden/>
              </w:rPr>
              <w:fldChar w:fldCharType="begin"/>
            </w:r>
            <w:r w:rsidR="002B7ED9">
              <w:rPr>
                <w:noProof/>
                <w:webHidden/>
              </w:rPr>
              <w:instrText xml:space="preserve"> PAGEREF _Toc151040309 \h </w:instrText>
            </w:r>
            <w:r w:rsidR="002B7ED9">
              <w:rPr>
                <w:noProof/>
                <w:webHidden/>
              </w:rPr>
            </w:r>
            <w:r w:rsidR="002B7ED9">
              <w:rPr>
                <w:noProof/>
                <w:webHidden/>
              </w:rPr>
              <w:fldChar w:fldCharType="separate"/>
            </w:r>
            <w:r w:rsidR="002B7ED9">
              <w:rPr>
                <w:noProof/>
                <w:webHidden/>
              </w:rPr>
              <w:t>11</w:t>
            </w:r>
            <w:r w:rsidR="002B7ED9">
              <w:rPr>
                <w:noProof/>
                <w:webHidden/>
              </w:rPr>
              <w:fldChar w:fldCharType="end"/>
            </w:r>
          </w:hyperlink>
        </w:p>
        <w:p w14:paraId="083A2027" w14:textId="284907E0"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10" w:history="1">
            <w:r w:rsidR="002B7ED9" w:rsidRPr="00207DC0">
              <w:rPr>
                <w:rStyle w:val="Hyperlink"/>
                <w:noProof/>
              </w:rPr>
              <w:t>The public health problem</w:t>
            </w:r>
            <w:r w:rsidR="002B7ED9">
              <w:rPr>
                <w:noProof/>
                <w:webHidden/>
              </w:rPr>
              <w:tab/>
            </w:r>
            <w:r w:rsidR="002B7ED9">
              <w:rPr>
                <w:noProof/>
                <w:webHidden/>
              </w:rPr>
              <w:fldChar w:fldCharType="begin"/>
            </w:r>
            <w:r w:rsidR="002B7ED9">
              <w:rPr>
                <w:noProof/>
                <w:webHidden/>
              </w:rPr>
              <w:instrText xml:space="preserve"> PAGEREF _Toc151040310 \h </w:instrText>
            </w:r>
            <w:r w:rsidR="002B7ED9">
              <w:rPr>
                <w:noProof/>
                <w:webHidden/>
              </w:rPr>
            </w:r>
            <w:r w:rsidR="002B7ED9">
              <w:rPr>
                <w:noProof/>
                <w:webHidden/>
              </w:rPr>
              <w:fldChar w:fldCharType="separate"/>
            </w:r>
            <w:r w:rsidR="002B7ED9">
              <w:rPr>
                <w:noProof/>
                <w:webHidden/>
              </w:rPr>
              <w:t>11</w:t>
            </w:r>
            <w:r w:rsidR="002B7ED9">
              <w:rPr>
                <w:noProof/>
                <w:webHidden/>
              </w:rPr>
              <w:fldChar w:fldCharType="end"/>
            </w:r>
          </w:hyperlink>
        </w:p>
        <w:p w14:paraId="38F03B87" w14:textId="46DBA79E"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11" w:history="1">
            <w:r w:rsidR="002B7ED9" w:rsidRPr="00207DC0">
              <w:rPr>
                <w:rStyle w:val="Hyperlink"/>
                <w:noProof/>
              </w:rPr>
              <w:t>Introduction</w:t>
            </w:r>
            <w:r w:rsidR="002B7ED9">
              <w:rPr>
                <w:noProof/>
                <w:webHidden/>
              </w:rPr>
              <w:tab/>
            </w:r>
            <w:r w:rsidR="002B7ED9">
              <w:rPr>
                <w:noProof/>
                <w:webHidden/>
              </w:rPr>
              <w:fldChar w:fldCharType="begin"/>
            </w:r>
            <w:r w:rsidR="002B7ED9">
              <w:rPr>
                <w:noProof/>
                <w:webHidden/>
              </w:rPr>
              <w:instrText xml:space="preserve"> PAGEREF _Toc151040311 \h </w:instrText>
            </w:r>
            <w:r w:rsidR="002B7ED9">
              <w:rPr>
                <w:noProof/>
                <w:webHidden/>
              </w:rPr>
            </w:r>
            <w:r w:rsidR="002B7ED9">
              <w:rPr>
                <w:noProof/>
                <w:webHidden/>
              </w:rPr>
              <w:fldChar w:fldCharType="separate"/>
            </w:r>
            <w:r w:rsidR="002B7ED9">
              <w:rPr>
                <w:noProof/>
                <w:webHidden/>
              </w:rPr>
              <w:t>15</w:t>
            </w:r>
            <w:r w:rsidR="002B7ED9">
              <w:rPr>
                <w:noProof/>
                <w:webHidden/>
              </w:rPr>
              <w:fldChar w:fldCharType="end"/>
            </w:r>
          </w:hyperlink>
        </w:p>
        <w:p w14:paraId="73288F32" w14:textId="644D9B9C"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12" w:history="1">
            <w:r w:rsidR="002B7ED9" w:rsidRPr="00207DC0">
              <w:rPr>
                <w:rStyle w:val="Hyperlink"/>
                <w:noProof/>
              </w:rPr>
              <w:t>What is a vape?</w:t>
            </w:r>
            <w:r w:rsidR="002B7ED9">
              <w:rPr>
                <w:noProof/>
                <w:webHidden/>
              </w:rPr>
              <w:tab/>
            </w:r>
            <w:r w:rsidR="002B7ED9">
              <w:rPr>
                <w:noProof/>
                <w:webHidden/>
              </w:rPr>
              <w:fldChar w:fldCharType="begin"/>
            </w:r>
            <w:r w:rsidR="002B7ED9">
              <w:rPr>
                <w:noProof/>
                <w:webHidden/>
              </w:rPr>
              <w:instrText xml:space="preserve"> PAGEREF _Toc151040312 \h </w:instrText>
            </w:r>
            <w:r w:rsidR="002B7ED9">
              <w:rPr>
                <w:noProof/>
                <w:webHidden/>
              </w:rPr>
            </w:r>
            <w:r w:rsidR="002B7ED9">
              <w:rPr>
                <w:noProof/>
                <w:webHidden/>
              </w:rPr>
              <w:fldChar w:fldCharType="separate"/>
            </w:r>
            <w:r w:rsidR="002B7ED9">
              <w:rPr>
                <w:noProof/>
                <w:webHidden/>
              </w:rPr>
              <w:t>15</w:t>
            </w:r>
            <w:r w:rsidR="002B7ED9">
              <w:rPr>
                <w:noProof/>
                <w:webHidden/>
              </w:rPr>
              <w:fldChar w:fldCharType="end"/>
            </w:r>
          </w:hyperlink>
        </w:p>
        <w:p w14:paraId="760A533E" w14:textId="0228795A"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13" w:history="1">
            <w:r w:rsidR="002B7ED9" w:rsidRPr="00207DC0">
              <w:rPr>
                <w:rStyle w:val="Hyperlink"/>
                <w:noProof/>
              </w:rPr>
              <w:t>Accessing vapes in Australia</w:t>
            </w:r>
            <w:r w:rsidR="002B7ED9">
              <w:rPr>
                <w:noProof/>
                <w:webHidden/>
              </w:rPr>
              <w:tab/>
            </w:r>
            <w:r w:rsidR="002B7ED9">
              <w:rPr>
                <w:noProof/>
                <w:webHidden/>
              </w:rPr>
              <w:fldChar w:fldCharType="begin"/>
            </w:r>
            <w:r w:rsidR="002B7ED9">
              <w:rPr>
                <w:noProof/>
                <w:webHidden/>
              </w:rPr>
              <w:instrText xml:space="preserve"> PAGEREF _Toc151040313 \h </w:instrText>
            </w:r>
            <w:r w:rsidR="002B7ED9">
              <w:rPr>
                <w:noProof/>
                <w:webHidden/>
              </w:rPr>
            </w:r>
            <w:r w:rsidR="002B7ED9">
              <w:rPr>
                <w:noProof/>
                <w:webHidden/>
              </w:rPr>
              <w:fldChar w:fldCharType="separate"/>
            </w:r>
            <w:r w:rsidR="002B7ED9">
              <w:rPr>
                <w:noProof/>
                <w:webHidden/>
              </w:rPr>
              <w:t>15</w:t>
            </w:r>
            <w:r w:rsidR="002B7ED9">
              <w:rPr>
                <w:noProof/>
                <w:webHidden/>
              </w:rPr>
              <w:fldChar w:fldCharType="end"/>
            </w:r>
          </w:hyperlink>
        </w:p>
        <w:p w14:paraId="052868E3" w14:textId="1280D66D"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14" w:history="1">
            <w:r w:rsidR="002B7ED9" w:rsidRPr="00207DC0">
              <w:rPr>
                <w:rStyle w:val="Hyperlink"/>
                <w:noProof/>
              </w:rPr>
              <w:t>Commonwealth legislation</w:t>
            </w:r>
            <w:r w:rsidR="002B7ED9">
              <w:rPr>
                <w:noProof/>
                <w:webHidden/>
              </w:rPr>
              <w:tab/>
            </w:r>
            <w:r w:rsidR="002B7ED9">
              <w:rPr>
                <w:noProof/>
                <w:webHidden/>
              </w:rPr>
              <w:fldChar w:fldCharType="begin"/>
            </w:r>
            <w:r w:rsidR="002B7ED9">
              <w:rPr>
                <w:noProof/>
                <w:webHidden/>
              </w:rPr>
              <w:instrText xml:space="preserve"> PAGEREF _Toc151040314 \h </w:instrText>
            </w:r>
            <w:r w:rsidR="002B7ED9">
              <w:rPr>
                <w:noProof/>
                <w:webHidden/>
              </w:rPr>
            </w:r>
            <w:r w:rsidR="002B7ED9">
              <w:rPr>
                <w:noProof/>
                <w:webHidden/>
              </w:rPr>
              <w:fldChar w:fldCharType="separate"/>
            </w:r>
            <w:r w:rsidR="002B7ED9">
              <w:rPr>
                <w:noProof/>
                <w:webHidden/>
              </w:rPr>
              <w:t>16</w:t>
            </w:r>
            <w:r w:rsidR="002B7ED9">
              <w:rPr>
                <w:noProof/>
                <w:webHidden/>
              </w:rPr>
              <w:fldChar w:fldCharType="end"/>
            </w:r>
          </w:hyperlink>
        </w:p>
        <w:p w14:paraId="7A4C8D93" w14:textId="6A1A2320"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15" w:history="1">
            <w:r w:rsidR="002B7ED9" w:rsidRPr="00207DC0">
              <w:rPr>
                <w:rStyle w:val="Hyperlink"/>
                <w:noProof/>
              </w:rPr>
              <w:t>State and territory legislation</w:t>
            </w:r>
            <w:r w:rsidR="002B7ED9">
              <w:rPr>
                <w:noProof/>
                <w:webHidden/>
              </w:rPr>
              <w:tab/>
            </w:r>
            <w:r w:rsidR="002B7ED9">
              <w:rPr>
                <w:noProof/>
                <w:webHidden/>
              </w:rPr>
              <w:fldChar w:fldCharType="begin"/>
            </w:r>
            <w:r w:rsidR="002B7ED9">
              <w:rPr>
                <w:noProof/>
                <w:webHidden/>
              </w:rPr>
              <w:instrText xml:space="preserve"> PAGEREF _Toc151040315 \h </w:instrText>
            </w:r>
            <w:r w:rsidR="002B7ED9">
              <w:rPr>
                <w:noProof/>
                <w:webHidden/>
              </w:rPr>
            </w:r>
            <w:r w:rsidR="002B7ED9">
              <w:rPr>
                <w:noProof/>
                <w:webHidden/>
              </w:rPr>
              <w:fldChar w:fldCharType="separate"/>
            </w:r>
            <w:r w:rsidR="002B7ED9">
              <w:rPr>
                <w:noProof/>
                <w:webHidden/>
              </w:rPr>
              <w:t>16</w:t>
            </w:r>
            <w:r w:rsidR="002B7ED9">
              <w:rPr>
                <w:noProof/>
                <w:webHidden/>
              </w:rPr>
              <w:fldChar w:fldCharType="end"/>
            </w:r>
          </w:hyperlink>
        </w:p>
        <w:p w14:paraId="65E03AAF" w14:textId="3750E1DC"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16" w:history="1">
            <w:r w:rsidR="002B7ED9" w:rsidRPr="00207DC0">
              <w:rPr>
                <w:rStyle w:val="Hyperlink"/>
                <w:noProof/>
              </w:rPr>
              <w:t>Overview of the market for vapes</w:t>
            </w:r>
            <w:r w:rsidR="002B7ED9">
              <w:rPr>
                <w:noProof/>
                <w:webHidden/>
              </w:rPr>
              <w:tab/>
            </w:r>
            <w:r w:rsidR="002B7ED9">
              <w:rPr>
                <w:noProof/>
                <w:webHidden/>
              </w:rPr>
              <w:fldChar w:fldCharType="begin"/>
            </w:r>
            <w:r w:rsidR="002B7ED9">
              <w:rPr>
                <w:noProof/>
                <w:webHidden/>
              </w:rPr>
              <w:instrText xml:space="preserve"> PAGEREF _Toc151040316 \h </w:instrText>
            </w:r>
            <w:r w:rsidR="002B7ED9">
              <w:rPr>
                <w:noProof/>
                <w:webHidden/>
              </w:rPr>
            </w:r>
            <w:r w:rsidR="002B7ED9">
              <w:rPr>
                <w:noProof/>
                <w:webHidden/>
              </w:rPr>
              <w:fldChar w:fldCharType="separate"/>
            </w:r>
            <w:r w:rsidR="002B7ED9">
              <w:rPr>
                <w:noProof/>
                <w:webHidden/>
              </w:rPr>
              <w:t>17</w:t>
            </w:r>
            <w:r w:rsidR="002B7ED9">
              <w:rPr>
                <w:noProof/>
                <w:webHidden/>
              </w:rPr>
              <w:fldChar w:fldCharType="end"/>
            </w:r>
          </w:hyperlink>
        </w:p>
        <w:p w14:paraId="66383632" w14:textId="213718AB"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17" w:history="1">
            <w:r w:rsidR="002B7ED9" w:rsidRPr="00207DC0">
              <w:rPr>
                <w:rStyle w:val="Hyperlink"/>
                <w:noProof/>
              </w:rPr>
              <w:t>Levels of legal nicotine vape supply</w:t>
            </w:r>
            <w:r w:rsidR="002B7ED9">
              <w:rPr>
                <w:noProof/>
                <w:webHidden/>
              </w:rPr>
              <w:tab/>
            </w:r>
            <w:r w:rsidR="002B7ED9">
              <w:rPr>
                <w:noProof/>
                <w:webHidden/>
              </w:rPr>
              <w:fldChar w:fldCharType="begin"/>
            </w:r>
            <w:r w:rsidR="002B7ED9">
              <w:rPr>
                <w:noProof/>
                <w:webHidden/>
              </w:rPr>
              <w:instrText xml:space="preserve"> PAGEREF _Toc151040317 \h </w:instrText>
            </w:r>
            <w:r w:rsidR="002B7ED9">
              <w:rPr>
                <w:noProof/>
                <w:webHidden/>
              </w:rPr>
            </w:r>
            <w:r w:rsidR="002B7ED9">
              <w:rPr>
                <w:noProof/>
                <w:webHidden/>
              </w:rPr>
              <w:fldChar w:fldCharType="separate"/>
            </w:r>
            <w:r w:rsidR="002B7ED9">
              <w:rPr>
                <w:noProof/>
                <w:webHidden/>
              </w:rPr>
              <w:t>18</w:t>
            </w:r>
            <w:r w:rsidR="002B7ED9">
              <w:rPr>
                <w:noProof/>
                <w:webHidden/>
              </w:rPr>
              <w:fldChar w:fldCharType="end"/>
            </w:r>
          </w:hyperlink>
        </w:p>
        <w:p w14:paraId="15840837" w14:textId="104CBC66"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18" w:history="1">
            <w:r w:rsidR="002B7ED9" w:rsidRPr="00207DC0">
              <w:rPr>
                <w:rStyle w:val="Hyperlink"/>
                <w:noProof/>
              </w:rPr>
              <w:t>Levels of illegal nicotine vape supply</w:t>
            </w:r>
            <w:r w:rsidR="002B7ED9">
              <w:rPr>
                <w:noProof/>
                <w:webHidden/>
              </w:rPr>
              <w:tab/>
            </w:r>
            <w:r w:rsidR="002B7ED9">
              <w:rPr>
                <w:noProof/>
                <w:webHidden/>
              </w:rPr>
              <w:fldChar w:fldCharType="begin"/>
            </w:r>
            <w:r w:rsidR="002B7ED9">
              <w:rPr>
                <w:noProof/>
                <w:webHidden/>
              </w:rPr>
              <w:instrText xml:space="preserve"> PAGEREF _Toc151040318 \h </w:instrText>
            </w:r>
            <w:r w:rsidR="002B7ED9">
              <w:rPr>
                <w:noProof/>
                <w:webHidden/>
              </w:rPr>
            </w:r>
            <w:r w:rsidR="002B7ED9">
              <w:rPr>
                <w:noProof/>
                <w:webHidden/>
              </w:rPr>
              <w:fldChar w:fldCharType="separate"/>
            </w:r>
            <w:r w:rsidR="002B7ED9">
              <w:rPr>
                <w:noProof/>
                <w:webHidden/>
              </w:rPr>
              <w:t>19</w:t>
            </w:r>
            <w:r w:rsidR="002B7ED9">
              <w:rPr>
                <w:noProof/>
                <w:webHidden/>
              </w:rPr>
              <w:fldChar w:fldCharType="end"/>
            </w:r>
          </w:hyperlink>
        </w:p>
        <w:p w14:paraId="053BD69D" w14:textId="38DA6793"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19" w:history="1">
            <w:r w:rsidR="002B7ED9" w:rsidRPr="00207DC0">
              <w:rPr>
                <w:rStyle w:val="Hyperlink"/>
                <w:noProof/>
              </w:rPr>
              <w:t>Levels of supply of zero-nicotine vapes</w:t>
            </w:r>
            <w:r w:rsidR="002B7ED9">
              <w:rPr>
                <w:noProof/>
                <w:webHidden/>
              </w:rPr>
              <w:tab/>
            </w:r>
            <w:r w:rsidR="002B7ED9">
              <w:rPr>
                <w:noProof/>
                <w:webHidden/>
              </w:rPr>
              <w:fldChar w:fldCharType="begin"/>
            </w:r>
            <w:r w:rsidR="002B7ED9">
              <w:rPr>
                <w:noProof/>
                <w:webHidden/>
              </w:rPr>
              <w:instrText xml:space="preserve"> PAGEREF _Toc151040319 \h </w:instrText>
            </w:r>
            <w:r w:rsidR="002B7ED9">
              <w:rPr>
                <w:noProof/>
                <w:webHidden/>
              </w:rPr>
            </w:r>
            <w:r w:rsidR="002B7ED9">
              <w:rPr>
                <w:noProof/>
                <w:webHidden/>
              </w:rPr>
              <w:fldChar w:fldCharType="separate"/>
            </w:r>
            <w:r w:rsidR="002B7ED9">
              <w:rPr>
                <w:noProof/>
                <w:webHidden/>
              </w:rPr>
              <w:t>19</w:t>
            </w:r>
            <w:r w:rsidR="002B7ED9">
              <w:rPr>
                <w:noProof/>
                <w:webHidden/>
              </w:rPr>
              <w:fldChar w:fldCharType="end"/>
            </w:r>
          </w:hyperlink>
        </w:p>
        <w:p w14:paraId="63A4F417" w14:textId="20393A0A"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20" w:history="1">
            <w:r w:rsidR="002B7ED9" w:rsidRPr="00207DC0">
              <w:rPr>
                <w:rStyle w:val="Hyperlink"/>
                <w:noProof/>
              </w:rPr>
              <w:t>Retail landscape for illegal nicotine vapes and legal/illegal zero-nicotine vapes in Australia</w:t>
            </w:r>
            <w:r w:rsidR="002B7ED9">
              <w:rPr>
                <w:noProof/>
                <w:webHidden/>
              </w:rPr>
              <w:tab/>
            </w:r>
            <w:r w:rsidR="002B7ED9">
              <w:rPr>
                <w:noProof/>
                <w:webHidden/>
              </w:rPr>
              <w:fldChar w:fldCharType="begin"/>
            </w:r>
            <w:r w:rsidR="002B7ED9">
              <w:rPr>
                <w:noProof/>
                <w:webHidden/>
              </w:rPr>
              <w:instrText xml:space="preserve"> PAGEREF _Toc151040320 \h </w:instrText>
            </w:r>
            <w:r w:rsidR="002B7ED9">
              <w:rPr>
                <w:noProof/>
                <w:webHidden/>
              </w:rPr>
            </w:r>
            <w:r w:rsidR="002B7ED9">
              <w:rPr>
                <w:noProof/>
                <w:webHidden/>
              </w:rPr>
              <w:fldChar w:fldCharType="separate"/>
            </w:r>
            <w:r w:rsidR="002B7ED9">
              <w:rPr>
                <w:noProof/>
                <w:webHidden/>
              </w:rPr>
              <w:t>21</w:t>
            </w:r>
            <w:r w:rsidR="002B7ED9">
              <w:rPr>
                <w:noProof/>
                <w:webHidden/>
              </w:rPr>
              <w:fldChar w:fldCharType="end"/>
            </w:r>
          </w:hyperlink>
        </w:p>
        <w:p w14:paraId="4A34F2E4" w14:textId="5BD75B3D"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21" w:history="1">
            <w:r w:rsidR="002B7ED9" w:rsidRPr="00207DC0">
              <w:rPr>
                <w:rStyle w:val="Hyperlink"/>
                <w:noProof/>
              </w:rPr>
              <w:t>Question One: What is the problem you are trying to solve and what data is available?</w:t>
            </w:r>
            <w:r w:rsidR="002B7ED9">
              <w:rPr>
                <w:noProof/>
                <w:webHidden/>
              </w:rPr>
              <w:tab/>
            </w:r>
            <w:r w:rsidR="002B7ED9">
              <w:rPr>
                <w:noProof/>
                <w:webHidden/>
              </w:rPr>
              <w:fldChar w:fldCharType="begin"/>
            </w:r>
            <w:r w:rsidR="002B7ED9">
              <w:rPr>
                <w:noProof/>
                <w:webHidden/>
              </w:rPr>
              <w:instrText xml:space="preserve"> PAGEREF _Toc151040321 \h </w:instrText>
            </w:r>
            <w:r w:rsidR="002B7ED9">
              <w:rPr>
                <w:noProof/>
                <w:webHidden/>
              </w:rPr>
            </w:r>
            <w:r w:rsidR="002B7ED9">
              <w:rPr>
                <w:noProof/>
                <w:webHidden/>
              </w:rPr>
              <w:fldChar w:fldCharType="separate"/>
            </w:r>
            <w:r w:rsidR="002B7ED9">
              <w:rPr>
                <w:noProof/>
                <w:webHidden/>
              </w:rPr>
              <w:t>24</w:t>
            </w:r>
            <w:r w:rsidR="002B7ED9">
              <w:rPr>
                <w:noProof/>
                <w:webHidden/>
              </w:rPr>
              <w:fldChar w:fldCharType="end"/>
            </w:r>
          </w:hyperlink>
        </w:p>
        <w:p w14:paraId="6C56FB2E" w14:textId="738039C7"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22" w:history="1">
            <w:r w:rsidR="002B7ED9" w:rsidRPr="00207DC0">
              <w:rPr>
                <w:rStyle w:val="Hyperlink"/>
                <w:noProof/>
              </w:rPr>
              <w:t>The 2021 reforms need refinement</w:t>
            </w:r>
            <w:r w:rsidR="002B7ED9">
              <w:rPr>
                <w:noProof/>
                <w:webHidden/>
              </w:rPr>
              <w:tab/>
            </w:r>
            <w:r w:rsidR="002B7ED9">
              <w:rPr>
                <w:noProof/>
                <w:webHidden/>
              </w:rPr>
              <w:fldChar w:fldCharType="begin"/>
            </w:r>
            <w:r w:rsidR="002B7ED9">
              <w:rPr>
                <w:noProof/>
                <w:webHidden/>
              </w:rPr>
              <w:instrText xml:space="preserve"> PAGEREF _Toc151040322 \h </w:instrText>
            </w:r>
            <w:r w:rsidR="002B7ED9">
              <w:rPr>
                <w:noProof/>
                <w:webHidden/>
              </w:rPr>
            </w:r>
            <w:r w:rsidR="002B7ED9">
              <w:rPr>
                <w:noProof/>
                <w:webHidden/>
              </w:rPr>
              <w:fldChar w:fldCharType="separate"/>
            </w:r>
            <w:r w:rsidR="002B7ED9">
              <w:rPr>
                <w:noProof/>
                <w:webHidden/>
              </w:rPr>
              <w:t>24</w:t>
            </w:r>
            <w:r w:rsidR="002B7ED9">
              <w:rPr>
                <w:noProof/>
                <w:webHidden/>
              </w:rPr>
              <w:fldChar w:fldCharType="end"/>
            </w:r>
          </w:hyperlink>
        </w:p>
        <w:p w14:paraId="5FEEF232" w14:textId="44B05C3F"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23" w:history="1">
            <w:r w:rsidR="002B7ED9" w:rsidRPr="00207DC0">
              <w:rPr>
                <w:rStyle w:val="Hyperlink"/>
                <w:noProof/>
              </w:rPr>
              <w:t>Increasing prevalence and attractiveness of vaping in Australia, particularly among youth and young adults</w:t>
            </w:r>
            <w:r w:rsidR="002B7ED9">
              <w:rPr>
                <w:noProof/>
                <w:webHidden/>
              </w:rPr>
              <w:tab/>
            </w:r>
            <w:r w:rsidR="002B7ED9">
              <w:rPr>
                <w:noProof/>
                <w:webHidden/>
              </w:rPr>
              <w:fldChar w:fldCharType="begin"/>
            </w:r>
            <w:r w:rsidR="002B7ED9">
              <w:rPr>
                <w:noProof/>
                <w:webHidden/>
              </w:rPr>
              <w:instrText xml:space="preserve"> PAGEREF _Toc151040323 \h </w:instrText>
            </w:r>
            <w:r w:rsidR="002B7ED9">
              <w:rPr>
                <w:noProof/>
                <w:webHidden/>
              </w:rPr>
            </w:r>
            <w:r w:rsidR="002B7ED9">
              <w:rPr>
                <w:noProof/>
                <w:webHidden/>
              </w:rPr>
              <w:fldChar w:fldCharType="separate"/>
            </w:r>
            <w:r w:rsidR="002B7ED9">
              <w:rPr>
                <w:noProof/>
                <w:webHidden/>
              </w:rPr>
              <w:t>24</w:t>
            </w:r>
            <w:r w:rsidR="002B7ED9">
              <w:rPr>
                <w:noProof/>
                <w:webHidden/>
              </w:rPr>
              <w:fldChar w:fldCharType="end"/>
            </w:r>
          </w:hyperlink>
        </w:p>
        <w:p w14:paraId="6CCE43F3" w14:textId="1474DB85"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24" w:history="1">
            <w:r w:rsidR="002B7ED9" w:rsidRPr="00207DC0">
              <w:rPr>
                <w:rStyle w:val="Hyperlink"/>
                <w:noProof/>
              </w:rPr>
              <w:t>Vaping is not healthy and many of the health effects are unknown</w:t>
            </w:r>
            <w:r w:rsidR="002B7ED9">
              <w:rPr>
                <w:noProof/>
                <w:webHidden/>
              </w:rPr>
              <w:tab/>
            </w:r>
            <w:r w:rsidR="002B7ED9">
              <w:rPr>
                <w:noProof/>
                <w:webHidden/>
              </w:rPr>
              <w:fldChar w:fldCharType="begin"/>
            </w:r>
            <w:r w:rsidR="002B7ED9">
              <w:rPr>
                <w:noProof/>
                <w:webHidden/>
              </w:rPr>
              <w:instrText xml:space="preserve"> PAGEREF _Toc151040324 \h </w:instrText>
            </w:r>
            <w:r w:rsidR="002B7ED9">
              <w:rPr>
                <w:noProof/>
                <w:webHidden/>
              </w:rPr>
            </w:r>
            <w:r w:rsidR="002B7ED9">
              <w:rPr>
                <w:noProof/>
                <w:webHidden/>
              </w:rPr>
              <w:fldChar w:fldCharType="separate"/>
            </w:r>
            <w:r w:rsidR="002B7ED9">
              <w:rPr>
                <w:noProof/>
                <w:webHidden/>
              </w:rPr>
              <w:t>28</w:t>
            </w:r>
            <w:r w:rsidR="002B7ED9">
              <w:rPr>
                <w:noProof/>
                <w:webHidden/>
              </w:rPr>
              <w:fldChar w:fldCharType="end"/>
            </w:r>
          </w:hyperlink>
        </w:p>
        <w:p w14:paraId="4011AEAC" w14:textId="25C0A52E"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25" w:history="1">
            <w:r w:rsidR="002B7ED9" w:rsidRPr="00207DC0">
              <w:rPr>
                <w:rStyle w:val="Hyperlink"/>
                <w:noProof/>
              </w:rPr>
              <w:t>Significant short-term health risks caused by vaping</w:t>
            </w:r>
            <w:r w:rsidR="002B7ED9">
              <w:rPr>
                <w:noProof/>
                <w:webHidden/>
              </w:rPr>
              <w:tab/>
            </w:r>
            <w:r w:rsidR="002B7ED9">
              <w:rPr>
                <w:noProof/>
                <w:webHidden/>
              </w:rPr>
              <w:fldChar w:fldCharType="begin"/>
            </w:r>
            <w:r w:rsidR="002B7ED9">
              <w:rPr>
                <w:noProof/>
                <w:webHidden/>
              </w:rPr>
              <w:instrText xml:space="preserve"> PAGEREF _Toc151040325 \h </w:instrText>
            </w:r>
            <w:r w:rsidR="002B7ED9">
              <w:rPr>
                <w:noProof/>
                <w:webHidden/>
              </w:rPr>
            </w:r>
            <w:r w:rsidR="002B7ED9">
              <w:rPr>
                <w:noProof/>
                <w:webHidden/>
              </w:rPr>
              <w:fldChar w:fldCharType="separate"/>
            </w:r>
            <w:r w:rsidR="002B7ED9">
              <w:rPr>
                <w:noProof/>
                <w:webHidden/>
              </w:rPr>
              <w:t>28</w:t>
            </w:r>
            <w:r w:rsidR="002B7ED9">
              <w:rPr>
                <w:noProof/>
                <w:webHidden/>
              </w:rPr>
              <w:fldChar w:fldCharType="end"/>
            </w:r>
          </w:hyperlink>
        </w:p>
        <w:p w14:paraId="0166DDD2" w14:textId="592BB823"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26" w:history="1">
            <w:r w:rsidR="002B7ED9" w:rsidRPr="00207DC0">
              <w:rPr>
                <w:rStyle w:val="Hyperlink"/>
                <w:noProof/>
              </w:rPr>
              <w:t>Risks from nicotine</w:t>
            </w:r>
            <w:r w:rsidR="002B7ED9">
              <w:rPr>
                <w:noProof/>
                <w:webHidden/>
              </w:rPr>
              <w:tab/>
            </w:r>
            <w:r w:rsidR="002B7ED9">
              <w:rPr>
                <w:noProof/>
                <w:webHidden/>
              </w:rPr>
              <w:fldChar w:fldCharType="begin"/>
            </w:r>
            <w:r w:rsidR="002B7ED9">
              <w:rPr>
                <w:noProof/>
                <w:webHidden/>
              </w:rPr>
              <w:instrText xml:space="preserve"> PAGEREF _Toc151040326 \h </w:instrText>
            </w:r>
            <w:r w:rsidR="002B7ED9">
              <w:rPr>
                <w:noProof/>
                <w:webHidden/>
              </w:rPr>
            </w:r>
            <w:r w:rsidR="002B7ED9">
              <w:rPr>
                <w:noProof/>
                <w:webHidden/>
              </w:rPr>
              <w:fldChar w:fldCharType="separate"/>
            </w:r>
            <w:r w:rsidR="002B7ED9">
              <w:rPr>
                <w:noProof/>
                <w:webHidden/>
              </w:rPr>
              <w:t>30</w:t>
            </w:r>
            <w:r w:rsidR="002B7ED9">
              <w:rPr>
                <w:noProof/>
                <w:webHidden/>
              </w:rPr>
              <w:fldChar w:fldCharType="end"/>
            </w:r>
          </w:hyperlink>
        </w:p>
        <w:p w14:paraId="625872E4" w14:textId="032FE435"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27" w:history="1">
            <w:r w:rsidR="002B7ED9" w:rsidRPr="00207DC0">
              <w:rPr>
                <w:rStyle w:val="Hyperlink"/>
                <w:noProof/>
              </w:rPr>
              <w:t>Risks from known harmful chemicals (other than nicotine)</w:t>
            </w:r>
            <w:r w:rsidR="002B7ED9">
              <w:rPr>
                <w:noProof/>
                <w:webHidden/>
              </w:rPr>
              <w:tab/>
            </w:r>
            <w:r w:rsidR="002B7ED9">
              <w:rPr>
                <w:noProof/>
                <w:webHidden/>
              </w:rPr>
              <w:fldChar w:fldCharType="begin"/>
            </w:r>
            <w:r w:rsidR="002B7ED9">
              <w:rPr>
                <w:noProof/>
                <w:webHidden/>
              </w:rPr>
              <w:instrText xml:space="preserve"> PAGEREF _Toc151040327 \h </w:instrText>
            </w:r>
            <w:r w:rsidR="002B7ED9">
              <w:rPr>
                <w:noProof/>
                <w:webHidden/>
              </w:rPr>
            </w:r>
            <w:r w:rsidR="002B7ED9">
              <w:rPr>
                <w:noProof/>
                <w:webHidden/>
              </w:rPr>
              <w:fldChar w:fldCharType="separate"/>
            </w:r>
            <w:r w:rsidR="002B7ED9">
              <w:rPr>
                <w:noProof/>
                <w:webHidden/>
              </w:rPr>
              <w:t>31</w:t>
            </w:r>
            <w:r w:rsidR="002B7ED9">
              <w:rPr>
                <w:noProof/>
                <w:webHidden/>
              </w:rPr>
              <w:fldChar w:fldCharType="end"/>
            </w:r>
          </w:hyperlink>
        </w:p>
        <w:p w14:paraId="763C781B" w14:textId="375DC951"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28" w:history="1">
            <w:r w:rsidR="002B7ED9" w:rsidRPr="00207DC0">
              <w:rPr>
                <w:rStyle w:val="Hyperlink"/>
                <w:noProof/>
              </w:rPr>
              <w:t>Quality of vapes</w:t>
            </w:r>
            <w:r w:rsidR="002B7ED9">
              <w:rPr>
                <w:noProof/>
                <w:webHidden/>
              </w:rPr>
              <w:tab/>
            </w:r>
            <w:r w:rsidR="002B7ED9">
              <w:rPr>
                <w:noProof/>
                <w:webHidden/>
              </w:rPr>
              <w:fldChar w:fldCharType="begin"/>
            </w:r>
            <w:r w:rsidR="002B7ED9">
              <w:rPr>
                <w:noProof/>
                <w:webHidden/>
              </w:rPr>
              <w:instrText xml:space="preserve"> PAGEREF _Toc151040328 \h </w:instrText>
            </w:r>
            <w:r w:rsidR="002B7ED9">
              <w:rPr>
                <w:noProof/>
                <w:webHidden/>
              </w:rPr>
            </w:r>
            <w:r w:rsidR="002B7ED9">
              <w:rPr>
                <w:noProof/>
                <w:webHidden/>
              </w:rPr>
              <w:fldChar w:fldCharType="separate"/>
            </w:r>
            <w:r w:rsidR="002B7ED9">
              <w:rPr>
                <w:noProof/>
                <w:webHidden/>
              </w:rPr>
              <w:t>31</w:t>
            </w:r>
            <w:r w:rsidR="002B7ED9">
              <w:rPr>
                <w:noProof/>
                <w:webHidden/>
              </w:rPr>
              <w:fldChar w:fldCharType="end"/>
            </w:r>
          </w:hyperlink>
        </w:p>
        <w:p w14:paraId="08D8A2F7" w14:textId="78367A60"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29" w:history="1">
            <w:r w:rsidR="002B7ED9" w:rsidRPr="00207DC0">
              <w:rPr>
                <w:rStyle w:val="Hyperlink"/>
                <w:noProof/>
              </w:rPr>
              <w:t>Largely unknown long-term impacts of vaping</w:t>
            </w:r>
            <w:r w:rsidR="002B7ED9">
              <w:rPr>
                <w:noProof/>
                <w:webHidden/>
              </w:rPr>
              <w:tab/>
            </w:r>
            <w:r w:rsidR="002B7ED9">
              <w:rPr>
                <w:noProof/>
                <w:webHidden/>
              </w:rPr>
              <w:fldChar w:fldCharType="begin"/>
            </w:r>
            <w:r w:rsidR="002B7ED9">
              <w:rPr>
                <w:noProof/>
                <w:webHidden/>
              </w:rPr>
              <w:instrText xml:space="preserve"> PAGEREF _Toc151040329 \h </w:instrText>
            </w:r>
            <w:r w:rsidR="002B7ED9">
              <w:rPr>
                <w:noProof/>
                <w:webHidden/>
              </w:rPr>
            </w:r>
            <w:r w:rsidR="002B7ED9">
              <w:rPr>
                <w:noProof/>
                <w:webHidden/>
              </w:rPr>
              <w:fldChar w:fldCharType="separate"/>
            </w:r>
            <w:r w:rsidR="002B7ED9">
              <w:rPr>
                <w:noProof/>
                <w:webHidden/>
              </w:rPr>
              <w:t>32</w:t>
            </w:r>
            <w:r w:rsidR="002B7ED9">
              <w:rPr>
                <w:noProof/>
                <w:webHidden/>
              </w:rPr>
              <w:fldChar w:fldCharType="end"/>
            </w:r>
          </w:hyperlink>
        </w:p>
        <w:p w14:paraId="79F09AA5" w14:textId="018B7327"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30" w:history="1">
            <w:r w:rsidR="002B7ED9" w:rsidRPr="00207DC0">
              <w:rPr>
                <w:rStyle w:val="Hyperlink"/>
                <w:noProof/>
              </w:rPr>
              <w:t>Vaping is a strong predictor of tobacco smoking initiation</w:t>
            </w:r>
            <w:r w:rsidR="002B7ED9">
              <w:rPr>
                <w:noProof/>
                <w:webHidden/>
              </w:rPr>
              <w:tab/>
            </w:r>
            <w:r w:rsidR="002B7ED9">
              <w:rPr>
                <w:noProof/>
                <w:webHidden/>
              </w:rPr>
              <w:fldChar w:fldCharType="begin"/>
            </w:r>
            <w:r w:rsidR="002B7ED9">
              <w:rPr>
                <w:noProof/>
                <w:webHidden/>
              </w:rPr>
              <w:instrText xml:space="preserve"> PAGEREF _Toc151040330 \h </w:instrText>
            </w:r>
            <w:r w:rsidR="002B7ED9">
              <w:rPr>
                <w:noProof/>
                <w:webHidden/>
              </w:rPr>
            </w:r>
            <w:r w:rsidR="002B7ED9">
              <w:rPr>
                <w:noProof/>
                <w:webHidden/>
              </w:rPr>
              <w:fldChar w:fldCharType="separate"/>
            </w:r>
            <w:r w:rsidR="002B7ED9">
              <w:rPr>
                <w:noProof/>
                <w:webHidden/>
              </w:rPr>
              <w:t>33</w:t>
            </w:r>
            <w:r w:rsidR="002B7ED9">
              <w:rPr>
                <w:noProof/>
                <w:webHidden/>
              </w:rPr>
              <w:fldChar w:fldCharType="end"/>
            </w:r>
          </w:hyperlink>
        </w:p>
        <w:p w14:paraId="1E699FA2" w14:textId="41028BBB"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31" w:history="1">
            <w:r w:rsidR="002B7ED9" w:rsidRPr="00207DC0">
              <w:rPr>
                <w:rStyle w:val="Hyperlink"/>
                <w:noProof/>
              </w:rPr>
              <w:t>Access to vapes is appropriate in specific circumstances</w:t>
            </w:r>
            <w:r w:rsidR="002B7ED9">
              <w:rPr>
                <w:noProof/>
                <w:webHidden/>
              </w:rPr>
              <w:tab/>
            </w:r>
            <w:r w:rsidR="002B7ED9">
              <w:rPr>
                <w:noProof/>
                <w:webHidden/>
              </w:rPr>
              <w:fldChar w:fldCharType="begin"/>
            </w:r>
            <w:r w:rsidR="002B7ED9">
              <w:rPr>
                <w:noProof/>
                <w:webHidden/>
              </w:rPr>
              <w:instrText xml:space="preserve"> PAGEREF _Toc151040331 \h </w:instrText>
            </w:r>
            <w:r w:rsidR="002B7ED9">
              <w:rPr>
                <w:noProof/>
                <w:webHidden/>
              </w:rPr>
            </w:r>
            <w:r w:rsidR="002B7ED9">
              <w:rPr>
                <w:noProof/>
                <w:webHidden/>
              </w:rPr>
              <w:fldChar w:fldCharType="separate"/>
            </w:r>
            <w:r w:rsidR="002B7ED9">
              <w:rPr>
                <w:noProof/>
                <w:webHidden/>
              </w:rPr>
              <w:t>34</w:t>
            </w:r>
            <w:r w:rsidR="002B7ED9">
              <w:rPr>
                <w:noProof/>
                <w:webHidden/>
              </w:rPr>
              <w:fldChar w:fldCharType="end"/>
            </w:r>
          </w:hyperlink>
        </w:p>
        <w:p w14:paraId="551DCEB6" w14:textId="2C81C737"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32" w:history="1">
            <w:r w:rsidR="002B7ED9" w:rsidRPr="00207DC0">
              <w:rPr>
                <w:rStyle w:val="Hyperlink"/>
                <w:noProof/>
              </w:rPr>
              <w:t>Individual experiences of using vapes to quit smoking</w:t>
            </w:r>
            <w:r w:rsidR="002B7ED9">
              <w:rPr>
                <w:noProof/>
                <w:webHidden/>
              </w:rPr>
              <w:tab/>
            </w:r>
            <w:r w:rsidR="002B7ED9">
              <w:rPr>
                <w:noProof/>
                <w:webHidden/>
              </w:rPr>
              <w:fldChar w:fldCharType="begin"/>
            </w:r>
            <w:r w:rsidR="002B7ED9">
              <w:rPr>
                <w:noProof/>
                <w:webHidden/>
              </w:rPr>
              <w:instrText xml:space="preserve"> PAGEREF _Toc151040332 \h </w:instrText>
            </w:r>
            <w:r w:rsidR="002B7ED9">
              <w:rPr>
                <w:noProof/>
                <w:webHidden/>
              </w:rPr>
            </w:r>
            <w:r w:rsidR="002B7ED9">
              <w:rPr>
                <w:noProof/>
                <w:webHidden/>
              </w:rPr>
              <w:fldChar w:fldCharType="separate"/>
            </w:r>
            <w:r w:rsidR="002B7ED9">
              <w:rPr>
                <w:noProof/>
                <w:webHidden/>
              </w:rPr>
              <w:t>36</w:t>
            </w:r>
            <w:r w:rsidR="002B7ED9">
              <w:rPr>
                <w:noProof/>
                <w:webHidden/>
              </w:rPr>
              <w:fldChar w:fldCharType="end"/>
            </w:r>
          </w:hyperlink>
        </w:p>
        <w:p w14:paraId="738FF32E" w14:textId="763B7714"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33" w:history="1">
            <w:r w:rsidR="002B7ED9" w:rsidRPr="00207DC0">
              <w:rPr>
                <w:rStyle w:val="Hyperlink"/>
                <w:noProof/>
              </w:rPr>
              <w:t>Use of vapes versus approved Nicotine Replacement Therapies</w:t>
            </w:r>
            <w:r w:rsidR="002B7ED9">
              <w:rPr>
                <w:noProof/>
                <w:webHidden/>
              </w:rPr>
              <w:tab/>
            </w:r>
            <w:r w:rsidR="002B7ED9">
              <w:rPr>
                <w:noProof/>
                <w:webHidden/>
              </w:rPr>
              <w:fldChar w:fldCharType="begin"/>
            </w:r>
            <w:r w:rsidR="002B7ED9">
              <w:rPr>
                <w:noProof/>
                <w:webHidden/>
              </w:rPr>
              <w:instrText xml:space="preserve"> PAGEREF _Toc151040333 \h </w:instrText>
            </w:r>
            <w:r w:rsidR="002B7ED9">
              <w:rPr>
                <w:noProof/>
                <w:webHidden/>
              </w:rPr>
            </w:r>
            <w:r w:rsidR="002B7ED9">
              <w:rPr>
                <w:noProof/>
                <w:webHidden/>
              </w:rPr>
              <w:fldChar w:fldCharType="separate"/>
            </w:r>
            <w:r w:rsidR="002B7ED9">
              <w:rPr>
                <w:noProof/>
                <w:webHidden/>
              </w:rPr>
              <w:t>37</w:t>
            </w:r>
            <w:r w:rsidR="002B7ED9">
              <w:rPr>
                <w:noProof/>
                <w:webHidden/>
              </w:rPr>
              <w:fldChar w:fldCharType="end"/>
            </w:r>
          </w:hyperlink>
        </w:p>
        <w:p w14:paraId="74712E75" w14:textId="2AB9068F"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34" w:history="1">
            <w:r w:rsidR="002B7ED9" w:rsidRPr="00207DC0">
              <w:rPr>
                <w:rStyle w:val="Hyperlink"/>
                <w:noProof/>
              </w:rPr>
              <w:t>Marketing of vapes targets youth and young adults</w:t>
            </w:r>
            <w:r w:rsidR="002B7ED9">
              <w:rPr>
                <w:noProof/>
                <w:webHidden/>
              </w:rPr>
              <w:tab/>
            </w:r>
            <w:r w:rsidR="002B7ED9">
              <w:rPr>
                <w:noProof/>
                <w:webHidden/>
              </w:rPr>
              <w:fldChar w:fldCharType="begin"/>
            </w:r>
            <w:r w:rsidR="002B7ED9">
              <w:rPr>
                <w:noProof/>
                <w:webHidden/>
              </w:rPr>
              <w:instrText xml:space="preserve"> PAGEREF _Toc151040334 \h </w:instrText>
            </w:r>
            <w:r w:rsidR="002B7ED9">
              <w:rPr>
                <w:noProof/>
                <w:webHidden/>
              </w:rPr>
            </w:r>
            <w:r w:rsidR="002B7ED9">
              <w:rPr>
                <w:noProof/>
                <w:webHidden/>
              </w:rPr>
              <w:fldChar w:fldCharType="separate"/>
            </w:r>
            <w:r w:rsidR="002B7ED9">
              <w:rPr>
                <w:noProof/>
                <w:webHidden/>
              </w:rPr>
              <w:t>38</w:t>
            </w:r>
            <w:r w:rsidR="002B7ED9">
              <w:rPr>
                <w:noProof/>
                <w:webHidden/>
              </w:rPr>
              <w:fldChar w:fldCharType="end"/>
            </w:r>
          </w:hyperlink>
        </w:p>
        <w:p w14:paraId="35103D5C" w14:textId="3540CD69"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35" w:history="1">
            <w:r w:rsidR="002B7ED9" w:rsidRPr="00207DC0">
              <w:rPr>
                <w:rStyle w:val="Hyperlink"/>
                <w:noProof/>
              </w:rPr>
              <w:t>Vaping results in a significant amount of waste and disposal is complex</w:t>
            </w:r>
            <w:r w:rsidR="002B7ED9">
              <w:rPr>
                <w:noProof/>
                <w:webHidden/>
              </w:rPr>
              <w:tab/>
            </w:r>
            <w:r w:rsidR="002B7ED9">
              <w:rPr>
                <w:noProof/>
                <w:webHidden/>
              </w:rPr>
              <w:fldChar w:fldCharType="begin"/>
            </w:r>
            <w:r w:rsidR="002B7ED9">
              <w:rPr>
                <w:noProof/>
                <w:webHidden/>
              </w:rPr>
              <w:instrText xml:space="preserve"> PAGEREF _Toc151040335 \h </w:instrText>
            </w:r>
            <w:r w:rsidR="002B7ED9">
              <w:rPr>
                <w:noProof/>
                <w:webHidden/>
              </w:rPr>
            </w:r>
            <w:r w:rsidR="002B7ED9">
              <w:rPr>
                <w:noProof/>
                <w:webHidden/>
              </w:rPr>
              <w:fldChar w:fldCharType="separate"/>
            </w:r>
            <w:r w:rsidR="002B7ED9">
              <w:rPr>
                <w:noProof/>
                <w:webHidden/>
              </w:rPr>
              <w:t>39</w:t>
            </w:r>
            <w:r w:rsidR="002B7ED9">
              <w:rPr>
                <w:noProof/>
                <w:webHidden/>
              </w:rPr>
              <w:fldChar w:fldCharType="end"/>
            </w:r>
          </w:hyperlink>
        </w:p>
        <w:p w14:paraId="4B0EB9D4" w14:textId="151C365F"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36" w:history="1">
            <w:r w:rsidR="002B7ED9" w:rsidRPr="00207DC0">
              <w:rPr>
                <w:rStyle w:val="Hyperlink"/>
                <w:noProof/>
              </w:rPr>
              <w:t>Question Two: What are the objectives, why is government intervention needed to achieve them, and how will success be measured?</w:t>
            </w:r>
            <w:r w:rsidR="002B7ED9">
              <w:rPr>
                <w:noProof/>
                <w:webHidden/>
              </w:rPr>
              <w:tab/>
            </w:r>
            <w:r w:rsidR="002B7ED9">
              <w:rPr>
                <w:noProof/>
                <w:webHidden/>
              </w:rPr>
              <w:fldChar w:fldCharType="begin"/>
            </w:r>
            <w:r w:rsidR="002B7ED9">
              <w:rPr>
                <w:noProof/>
                <w:webHidden/>
              </w:rPr>
              <w:instrText xml:space="preserve"> PAGEREF _Toc151040336 \h </w:instrText>
            </w:r>
            <w:r w:rsidR="002B7ED9">
              <w:rPr>
                <w:noProof/>
                <w:webHidden/>
              </w:rPr>
            </w:r>
            <w:r w:rsidR="002B7ED9">
              <w:rPr>
                <w:noProof/>
                <w:webHidden/>
              </w:rPr>
              <w:fldChar w:fldCharType="separate"/>
            </w:r>
            <w:r w:rsidR="002B7ED9">
              <w:rPr>
                <w:noProof/>
                <w:webHidden/>
              </w:rPr>
              <w:t>40</w:t>
            </w:r>
            <w:r w:rsidR="002B7ED9">
              <w:rPr>
                <w:noProof/>
                <w:webHidden/>
              </w:rPr>
              <w:fldChar w:fldCharType="end"/>
            </w:r>
          </w:hyperlink>
        </w:p>
        <w:p w14:paraId="0EFBD7D4" w14:textId="4C0484AE"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37" w:history="1">
            <w:r w:rsidR="002B7ED9" w:rsidRPr="00207DC0">
              <w:rPr>
                <w:rStyle w:val="Hyperlink"/>
                <w:noProof/>
              </w:rPr>
              <w:t>Objectives of Government Action</w:t>
            </w:r>
            <w:r w:rsidR="002B7ED9">
              <w:rPr>
                <w:noProof/>
                <w:webHidden/>
              </w:rPr>
              <w:tab/>
            </w:r>
            <w:r w:rsidR="002B7ED9">
              <w:rPr>
                <w:noProof/>
                <w:webHidden/>
              </w:rPr>
              <w:fldChar w:fldCharType="begin"/>
            </w:r>
            <w:r w:rsidR="002B7ED9">
              <w:rPr>
                <w:noProof/>
                <w:webHidden/>
              </w:rPr>
              <w:instrText xml:space="preserve"> PAGEREF _Toc151040337 \h </w:instrText>
            </w:r>
            <w:r w:rsidR="002B7ED9">
              <w:rPr>
                <w:noProof/>
                <w:webHidden/>
              </w:rPr>
            </w:r>
            <w:r w:rsidR="002B7ED9">
              <w:rPr>
                <w:noProof/>
                <w:webHidden/>
              </w:rPr>
              <w:fldChar w:fldCharType="separate"/>
            </w:r>
            <w:r w:rsidR="002B7ED9">
              <w:rPr>
                <w:noProof/>
                <w:webHidden/>
              </w:rPr>
              <w:t>40</w:t>
            </w:r>
            <w:r w:rsidR="002B7ED9">
              <w:rPr>
                <w:noProof/>
                <w:webHidden/>
              </w:rPr>
              <w:fldChar w:fldCharType="end"/>
            </w:r>
          </w:hyperlink>
        </w:p>
        <w:p w14:paraId="6E93A360" w14:textId="2FA573D2"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38" w:history="1">
            <w:r w:rsidR="002B7ED9" w:rsidRPr="00207DC0">
              <w:rPr>
                <w:rStyle w:val="Hyperlink"/>
                <w:noProof/>
              </w:rPr>
              <w:t>Need for Government intervention</w:t>
            </w:r>
            <w:r w:rsidR="002B7ED9">
              <w:rPr>
                <w:noProof/>
                <w:webHidden/>
              </w:rPr>
              <w:tab/>
            </w:r>
            <w:r w:rsidR="002B7ED9">
              <w:rPr>
                <w:noProof/>
                <w:webHidden/>
              </w:rPr>
              <w:fldChar w:fldCharType="begin"/>
            </w:r>
            <w:r w:rsidR="002B7ED9">
              <w:rPr>
                <w:noProof/>
                <w:webHidden/>
              </w:rPr>
              <w:instrText xml:space="preserve"> PAGEREF _Toc151040338 \h </w:instrText>
            </w:r>
            <w:r w:rsidR="002B7ED9">
              <w:rPr>
                <w:noProof/>
                <w:webHidden/>
              </w:rPr>
            </w:r>
            <w:r w:rsidR="002B7ED9">
              <w:rPr>
                <w:noProof/>
                <w:webHidden/>
              </w:rPr>
              <w:fldChar w:fldCharType="separate"/>
            </w:r>
            <w:r w:rsidR="002B7ED9">
              <w:rPr>
                <w:noProof/>
                <w:webHidden/>
              </w:rPr>
              <w:t>40</w:t>
            </w:r>
            <w:r w:rsidR="002B7ED9">
              <w:rPr>
                <w:noProof/>
                <w:webHidden/>
              </w:rPr>
              <w:fldChar w:fldCharType="end"/>
            </w:r>
          </w:hyperlink>
        </w:p>
        <w:p w14:paraId="30EF7F08" w14:textId="4F26C58D"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39" w:history="1">
            <w:r w:rsidR="002B7ED9" w:rsidRPr="00207DC0">
              <w:rPr>
                <w:rStyle w:val="Hyperlink"/>
                <w:noProof/>
              </w:rPr>
              <w:t>Reforms would support the National Tobacco Strategy 2023–2030</w:t>
            </w:r>
            <w:r w:rsidR="002B7ED9">
              <w:rPr>
                <w:noProof/>
                <w:webHidden/>
              </w:rPr>
              <w:tab/>
            </w:r>
            <w:r w:rsidR="002B7ED9">
              <w:rPr>
                <w:noProof/>
                <w:webHidden/>
              </w:rPr>
              <w:fldChar w:fldCharType="begin"/>
            </w:r>
            <w:r w:rsidR="002B7ED9">
              <w:rPr>
                <w:noProof/>
                <w:webHidden/>
              </w:rPr>
              <w:instrText xml:space="preserve"> PAGEREF _Toc151040339 \h </w:instrText>
            </w:r>
            <w:r w:rsidR="002B7ED9">
              <w:rPr>
                <w:noProof/>
                <w:webHidden/>
              </w:rPr>
            </w:r>
            <w:r w:rsidR="002B7ED9">
              <w:rPr>
                <w:noProof/>
                <w:webHidden/>
              </w:rPr>
              <w:fldChar w:fldCharType="separate"/>
            </w:r>
            <w:r w:rsidR="002B7ED9">
              <w:rPr>
                <w:noProof/>
                <w:webHidden/>
              </w:rPr>
              <w:t>41</w:t>
            </w:r>
            <w:r w:rsidR="002B7ED9">
              <w:rPr>
                <w:noProof/>
                <w:webHidden/>
              </w:rPr>
              <w:fldChar w:fldCharType="end"/>
            </w:r>
          </w:hyperlink>
        </w:p>
        <w:p w14:paraId="6EE911C5" w14:textId="229B5B2F"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40" w:history="1">
            <w:r w:rsidR="002B7ED9" w:rsidRPr="00207DC0">
              <w:rPr>
                <w:rStyle w:val="Hyperlink"/>
                <w:noProof/>
              </w:rPr>
              <w:t>Barriers to successful Government intervention</w:t>
            </w:r>
            <w:r w:rsidR="002B7ED9">
              <w:rPr>
                <w:noProof/>
                <w:webHidden/>
              </w:rPr>
              <w:tab/>
            </w:r>
            <w:r w:rsidR="002B7ED9">
              <w:rPr>
                <w:noProof/>
                <w:webHidden/>
              </w:rPr>
              <w:fldChar w:fldCharType="begin"/>
            </w:r>
            <w:r w:rsidR="002B7ED9">
              <w:rPr>
                <w:noProof/>
                <w:webHidden/>
              </w:rPr>
              <w:instrText xml:space="preserve"> PAGEREF _Toc151040340 \h </w:instrText>
            </w:r>
            <w:r w:rsidR="002B7ED9">
              <w:rPr>
                <w:noProof/>
                <w:webHidden/>
              </w:rPr>
            </w:r>
            <w:r w:rsidR="002B7ED9">
              <w:rPr>
                <w:noProof/>
                <w:webHidden/>
              </w:rPr>
              <w:fldChar w:fldCharType="separate"/>
            </w:r>
            <w:r w:rsidR="002B7ED9">
              <w:rPr>
                <w:noProof/>
                <w:webHidden/>
              </w:rPr>
              <w:t>42</w:t>
            </w:r>
            <w:r w:rsidR="002B7ED9">
              <w:rPr>
                <w:noProof/>
                <w:webHidden/>
              </w:rPr>
              <w:fldChar w:fldCharType="end"/>
            </w:r>
          </w:hyperlink>
        </w:p>
        <w:p w14:paraId="7E5BB7C9" w14:textId="26C17938"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41" w:history="1">
            <w:r w:rsidR="002B7ED9" w:rsidRPr="00207DC0">
              <w:rPr>
                <w:rStyle w:val="Hyperlink"/>
                <w:noProof/>
              </w:rPr>
              <w:t>Question Three: What policy options are you considering?</w:t>
            </w:r>
            <w:r w:rsidR="002B7ED9">
              <w:rPr>
                <w:noProof/>
                <w:webHidden/>
              </w:rPr>
              <w:tab/>
            </w:r>
            <w:r w:rsidR="002B7ED9">
              <w:rPr>
                <w:noProof/>
                <w:webHidden/>
              </w:rPr>
              <w:fldChar w:fldCharType="begin"/>
            </w:r>
            <w:r w:rsidR="002B7ED9">
              <w:rPr>
                <w:noProof/>
                <w:webHidden/>
              </w:rPr>
              <w:instrText xml:space="preserve"> PAGEREF _Toc151040341 \h </w:instrText>
            </w:r>
            <w:r w:rsidR="002B7ED9">
              <w:rPr>
                <w:noProof/>
                <w:webHidden/>
              </w:rPr>
            </w:r>
            <w:r w:rsidR="002B7ED9">
              <w:rPr>
                <w:noProof/>
                <w:webHidden/>
              </w:rPr>
              <w:fldChar w:fldCharType="separate"/>
            </w:r>
            <w:r w:rsidR="002B7ED9">
              <w:rPr>
                <w:noProof/>
                <w:webHidden/>
              </w:rPr>
              <w:t>44</w:t>
            </w:r>
            <w:r w:rsidR="002B7ED9">
              <w:rPr>
                <w:noProof/>
                <w:webHidden/>
              </w:rPr>
              <w:fldChar w:fldCharType="end"/>
            </w:r>
          </w:hyperlink>
        </w:p>
        <w:p w14:paraId="1FA698BA" w14:textId="57C228D8"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42" w:history="1">
            <w:r w:rsidR="002B7ED9" w:rsidRPr="00207DC0">
              <w:rPr>
                <w:rStyle w:val="Hyperlink"/>
                <w:noProof/>
              </w:rPr>
              <w:t>Option 1. Maintain the status quo (no change)</w:t>
            </w:r>
            <w:r w:rsidR="002B7ED9">
              <w:rPr>
                <w:noProof/>
                <w:webHidden/>
              </w:rPr>
              <w:tab/>
            </w:r>
            <w:r w:rsidR="002B7ED9">
              <w:rPr>
                <w:noProof/>
                <w:webHidden/>
              </w:rPr>
              <w:fldChar w:fldCharType="begin"/>
            </w:r>
            <w:r w:rsidR="002B7ED9">
              <w:rPr>
                <w:noProof/>
                <w:webHidden/>
              </w:rPr>
              <w:instrText xml:space="preserve"> PAGEREF _Toc151040342 \h </w:instrText>
            </w:r>
            <w:r w:rsidR="002B7ED9">
              <w:rPr>
                <w:noProof/>
                <w:webHidden/>
              </w:rPr>
            </w:r>
            <w:r w:rsidR="002B7ED9">
              <w:rPr>
                <w:noProof/>
                <w:webHidden/>
              </w:rPr>
              <w:fldChar w:fldCharType="separate"/>
            </w:r>
            <w:r w:rsidR="002B7ED9">
              <w:rPr>
                <w:noProof/>
                <w:webHidden/>
              </w:rPr>
              <w:t>44</w:t>
            </w:r>
            <w:r w:rsidR="002B7ED9">
              <w:rPr>
                <w:noProof/>
                <w:webHidden/>
              </w:rPr>
              <w:fldChar w:fldCharType="end"/>
            </w:r>
          </w:hyperlink>
        </w:p>
        <w:p w14:paraId="553DD10A" w14:textId="688EB641"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43" w:history="1">
            <w:r w:rsidR="002B7ED9" w:rsidRPr="00207DC0">
              <w:rPr>
                <w:rStyle w:val="Hyperlink"/>
                <w:noProof/>
              </w:rPr>
              <w:t>How does the status quo meet the Government’s objectives?</w:t>
            </w:r>
            <w:r w:rsidR="002B7ED9">
              <w:rPr>
                <w:noProof/>
                <w:webHidden/>
              </w:rPr>
              <w:tab/>
            </w:r>
            <w:r w:rsidR="002B7ED9">
              <w:rPr>
                <w:noProof/>
                <w:webHidden/>
              </w:rPr>
              <w:fldChar w:fldCharType="begin"/>
            </w:r>
            <w:r w:rsidR="002B7ED9">
              <w:rPr>
                <w:noProof/>
                <w:webHidden/>
              </w:rPr>
              <w:instrText xml:space="preserve"> PAGEREF _Toc151040343 \h </w:instrText>
            </w:r>
            <w:r w:rsidR="002B7ED9">
              <w:rPr>
                <w:noProof/>
                <w:webHidden/>
              </w:rPr>
            </w:r>
            <w:r w:rsidR="002B7ED9">
              <w:rPr>
                <w:noProof/>
                <w:webHidden/>
              </w:rPr>
              <w:fldChar w:fldCharType="separate"/>
            </w:r>
            <w:r w:rsidR="002B7ED9">
              <w:rPr>
                <w:noProof/>
                <w:webHidden/>
              </w:rPr>
              <w:t>45</w:t>
            </w:r>
            <w:r w:rsidR="002B7ED9">
              <w:rPr>
                <w:noProof/>
                <w:webHidden/>
              </w:rPr>
              <w:fldChar w:fldCharType="end"/>
            </w:r>
          </w:hyperlink>
        </w:p>
        <w:p w14:paraId="3F8952AF" w14:textId="5CF435A4"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44" w:history="1">
            <w:r w:rsidR="002B7ED9" w:rsidRPr="00207DC0">
              <w:rPr>
                <w:rStyle w:val="Hyperlink"/>
                <w:noProof/>
              </w:rPr>
              <w:t>Option 2: Regulate vapes under a consumer model</w:t>
            </w:r>
            <w:r w:rsidR="002B7ED9">
              <w:rPr>
                <w:noProof/>
                <w:webHidden/>
              </w:rPr>
              <w:tab/>
            </w:r>
            <w:r w:rsidR="002B7ED9">
              <w:rPr>
                <w:noProof/>
                <w:webHidden/>
              </w:rPr>
              <w:fldChar w:fldCharType="begin"/>
            </w:r>
            <w:r w:rsidR="002B7ED9">
              <w:rPr>
                <w:noProof/>
                <w:webHidden/>
              </w:rPr>
              <w:instrText xml:space="preserve"> PAGEREF _Toc151040344 \h </w:instrText>
            </w:r>
            <w:r w:rsidR="002B7ED9">
              <w:rPr>
                <w:noProof/>
                <w:webHidden/>
              </w:rPr>
            </w:r>
            <w:r w:rsidR="002B7ED9">
              <w:rPr>
                <w:noProof/>
                <w:webHidden/>
              </w:rPr>
              <w:fldChar w:fldCharType="separate"/>
            </w:r>
            <w:r w:rsidR="002B7ED9">
              <w:rPr>
                <w:noProof/>
                <w:webHidden/>
              </w:rPr>
              <w:t>46</w:t>
            </w:r>
            <w:r w:rsidR="002B7ED9">
              <w:rPr>
                <w:noProof/>
                <w:webHidden/>
              </w:rPr>
              <w:fldChar w:fldCharType="end"/>
            </w:r>
          </w:hyperlink>
        </w:p>
        <w:p w14:paraId="1235EC8D" w14:textId="314F0034"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45" w:history="1">
            <w:r w:rsidR="002B7ED9" w:rsidRPr="00207DC0">
              <w:rPr>
                <w:rStyle w:val="Hyperlink"/>
                <w:noProof/>
              </w:rPr>
              <w:t>Description of option</w:t>
            </w:r>
            <w:r w:rsidR="002B7ED9">
              <w:rPr>
                <w:noProof/>
                <w:webHidden/>
              </w:rPr>
              <w:tab/>
            </w:r>
            <w:r w:rsidR="002B7ED9">
              <w:rPr>
                <w:noProof/>
                <w:webHidden/>
              </w:rPr>
              <w:fldChar w:fldCharType="begin"/>
            </w:r>
            <w:r w:rsidR="002B7ED9">
              <w:rPr>
                <w:noProof/>
                <w:webHidden/>
              </w:rPr>
              <w:instrText xml:space="preserve"> PAGEREF _Toc151040345 \h </w:instrText>
            </w:r>
            <w:r w:rsidR="002B7ED9">
              <w:rPr>
                <w:noProof/>
                <w:webHidden/>
              </w:rPr>
            </w:r>
            <w:r w:rsidR="002B7ED9">
              <w:rPr>
                <w:noProof/>
                <w:webHidden/>
              </w:rPr>
              <w:fldChar w:fldCharType="separate"/>
            </w:r>
            <w:r w:rsidR="002B7ED9">
              <w:rPr>
                <w:noProof/>
                <w:webHidden/>
              </w:rPr>
              <w:t>47</w:t>
            </w:r>
            <w:r w:rsidR="002B7ED9">
              <w:rPr>
                <w:noProof/>
                <w:webHidden/>
              </w:rPr>
              <w:fldChar w:fldCharType="end"/>
            </w:r>
          </w:hyperlink>
        </w:p>
        <w:p w14:paraId="39C0A30E" w14:textId="41C59933"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46" w:history="1">
            <w:r w:rsidR="002B7ED9" w:rsidRPr="00207DC0">
              <w:rPr>
                <w:rStyle w:val="Hyperlink"/>
                <w:noProof/>
              </w:rPr>
              <w:t>Change from the status quo</w:t>
            </w:r>
            <w:r w:rsidR="002B7ED9">
              <w:rPr>
                <w:noProof/>
                <w:webHidden/>
              </w:rPr>
              <w:tab/>
            </w:r>
            <w:r w:rsidR="002B7ED9">
              <w:rPr>
                <w:noProof/>
                <w:webHidden/>
              </w:rPr>
              <w:fldChar w:fldCharType="begin"/>
            </w:r>
            <w:r w:rsidR="002B7ED9">
              <w:rPr>
                <w:noProof/>
                <w:webHidden/>
              </w:rPr>
              <w:instrText xml:space="preserve"> PAGEREF _Toc151040346 \h </w:instrText>
            </w:r>
            <w:r w:rsidR="002B7ED9">
              <w:rPr>
                <w:noProof/>
                <w:webHidden/>
              </w:rPr>
            </w:r>
            <w:r w:rsidR="002B7ED9">
              <w:rPr>
                <w:noProof/>
                <w:webHidden/>
              </w:rPr>
              <w:fldChar w:fldCharType="separate"/>
            </w:r>
            <w:r w:rsidR="002B7ED9">
              <w:rPr>
                <w:noProof/>
                <w:webHidden/>
              </w:rPr>
              <w:t>48</w:t>
            </w:r>
            <w:r w:rsidR="002B7ED9">
              <w:rPr>
                <w:noProof/>
                <w:webHidden/>
              </w:rPr>
              <w:fldChar w:fldCharType="end"/>
            </w:r>
          </w:hyperlink>
        </w:p>
        <w:p w14:paraId="2E3C3504" w14:textId="70AE6B34"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47" w:history="1">
            <w:r w:rsidR="002B7ED9" w:rsidRPr="00207DC0">
              <w:rPr>
                <w:rStyle w:val="Hyperlink"/>
                <w:noProof/>
              </w:rPr>
              <w:t>How does Option 2 meet the Government’s objectives?</w:t>
            </w:r>
            <w:r w:rsidR="002B7ED9">
              <w:rPr>
                <w:noProof/>
                <w:webHidden/>
              </w:rPr>
              <w:tab/>
            </w:r>
            <w:r w:rsidR="002B7ED9">
              <w:rPr>
                <w:noProof/>
                <w:webHidden/>
              </w:rPr>
              <w:fldChar w:fldCharType="begin"/>
            </w:r>
            <w:r w:rsidR="002B7ED9">
              <w:rPr>
                <w:noProof/>
                <w:webHidden/>
              </w:rPr>
              <w:instrText xml:space="preserve"> PAGEREF _Toc151040347 \h </w:instrText>
            </w:r>
            <w:r w:rsidR="002B7ED9">
              <w:rPr>
                <w:noProof/>
                <w:webHidden/>
              </w:rPr>
            </w:r>
            <w:r w:rsidR="002B7ED9">
              <w:rPr>
                <w:noProof/>
                <w:webHidden/>
              </w:rPr>
              <w:fldChar w:fldCharType="separate"/>
            </w:r>
            <w:r w:rsidR="002B7ED9">
              <w:rPr>
                <w:noProof/>
                <w:webHidden/>
              </w:rPr>
              <w:t>48</w:t>
            </w:r>
            <w:r w:rsidR="002B7ED9">
              <w:rPr>
                <w:noProof/>
                <w:webHidden/>
              </w:rPr>
              <w:fldChar w:fldCharType="end"/>
            </w:r>
          </w:hyperlink>
        </w:p>
        <w:p w14:paraId="56CAA7A1" w14:textId="0AEE8E22"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48" w:history="1">
            <w:r w:rsidR="002B7ED9" w:rsidRPr="00207DC0">
              <w:rPr>
                <w:rStyle w:val="Hyperlink"/>
                <w:noProof/>
              </w:rPr>
              <w:t>Option 3: Increase regulation of vapes through the Therapeutic Goods Act</w:t>
            </w:r>
            <w:r w:rsidR="002B7ED9">
              <w:rPr>
                <w:noProof/>
                <w:webHidden/>
              </w:rPr>
              <w:tab/>
            </w:r>
            <w:r w:rsidR="002B7ED9">
              <w:rPr>
                <w:noProof/>
                <w:webHidden/>
              </w:rPr>
              <w:fldChar w:fldCharType="begin"/>
            </w:r>
            <w:r w:rsidR="002B7ED9">
              <w:rPr>
                <w:noProof/>
                <w:webHidden/>
              </w:rPr>
              <w:instrText xml:space="preserve"> PAGEREF _Toc151040348 \h </w:instrText>
            </w:r>
            <w:r w:rsidR="002B7ED9">
              <w:rPr>
                <w:noProof/>
                <w:webHidden/>
              </w:rPr>
            </w:r>
            <w:r w:rsidR="002B7ED9">
              <w:rPr>
                <w:noProof/>
                <w:webHidden/>
              </w:rPr>
              <w:fldChar w:fldCharType="separate"/>
            </w:r>
            <w:r w:rsidR="002B7ED9">
              <w:rPr>
                <w:noProof/>
                <w:webHidden/>
              </w:rPr>
              <w:t>49</w:t>
            </w:r>
            <w:r w:rsidR="002B7ED9">
              <w:rPr>
                <w:noProof/>
                <w:webHidden/>
              </w:rPr>
              <w:fldChar w:fldCharType="end"/>
            </w:r>
          </w:hyperlink>
        </w:p>
        <w:p w14:paraId="378DA8C6" w14:textId="6195CA44"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49" w:history="1">
            <w:r w:rsidR="002B7ED9" w:rsidRPr="00207DC0">
              <w:rPr>
                <w:rStyle w:val="Hyperlink"/>
                <w:noProof/>
              </w:rPr>
              <w:t>Measure 1. Restrictions on importation, manufacture and supply of all vapes</w:t>
            </w:r>
            <w:r w:rsidR="002B7ED9">
              <w:rPr>
                <w:noProof/>
                <w:webHidden/>
              </w:rPr>
              <w:tab/>
            </w:r>
            <w:r w:rsidR="002B7ED9">
              <w:rPr>
                <w:noProof/>
                <w:webHidden/>
              </w:rPr>
              <w:fldChar w:fldCharType="begin"/>
            </w:r>
            <w:r w:rsidR="002B7ED9">
              <w:rPr>
                <w:noProof/>
                <w:webHidden/>
              </w:rPr>
              <w:instrText xml:space="preserve"> PAGEREF _Toc151040349 \h </w:instrText>
            </w:r>
            <w:r w:rsidR="002B7ED9">
              <w:rPr>
                <w:noProof/>
                <w:webHidden/>
              </w:rPr>
            </w:r>
            <w:r w:rsidR="002B7ED9">
              <w:rPr>
                <w:noProof/>
                <w:webHidden/>
              </w:rPr>
              <w:fldChar w:fldCharType="separate"/>
            </w:r>
            <w:r w:rsidR="002B7ED9">
              <w:rPr>
                <w:noProof/>
                <w:webHidden/>
              </w:rPr>
              <w:t>50</w:t>
            </w:r>
            <w:r w:rsidR="002B7ED9">
              <w:rPr>
                <w:noProof/>
                <w:webHidden/>
              </w:rPr>
              <w:fldChar w:fldCharType="end"/>
            </w:r>
          </w:hyperlink>
        </w:p>
        <w:p w14:paraId="5090933D" w14:textId="6EEC8916"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50" w:history="1">
            <w:r w:rsidR="002B7ED9" w:rsidRPr="00207DC0">
              <w:rPr>
                <w:rStyle w:val="Hyperlink"/>
                <w:noProof/>
              </w:rPr>
              <w:t>Measure 2. Changes to market accessibility requirements for therapeutic vapes</w:t>
            </w:r>
            <w:r w:rsidR="002B7ED9">
              <w:rPr>
                <w:noProof/>
                <w:webHidden/>
              </w:rPr>
              <w:tab/>
            </w:r>
            <w:r w:rsidR="002B7ED9">
              <w:rPr>
                <w:noProof/>
                <w:webHidden/>
              </w:rPr>
              <w:fldChar w:fldCharType="begin"/>
            </w:r>
            <w:r w:rsidR="002B7ED9">
              <w:rPr>
                <w:noProof/>
                <w:webHidden/>
              </w:rPr>
              <w:instrText xml:space="preserve"> PAGEREF _Toc151040350 \h </w:instrText>
            </w:r>
            <w:r w:rsidR="002B7ED9">
              <w:rPr>
                <w:noProof/>
                <w:webHidden/>
              </w:rPr>
            </w:r>
            <w:r w:rsidR="002B7ED9">
              <w:rPr>
                <w:noProof/>
                <w:webHidden/>
              </w:rPr>
              <w:fldChar w:fldCharType="separate"/>
            </w:r>
            <w:r w:rsidR="002B7ED9">
              <w:rPr>
                <w:noProof/>
                <w:webHidden/>
              </w:rPr>
              <w:t>52</w:t>
            </w:r>
            <w:r w:rsidR="002B7ED9">
              <w:rPr>
                <w:noProof/>
                <w:webHidden/>
              </w:rPr>
              <w:fldChar w:fldCharType="end"/>
            </w:r>
          </w:hyperlink>
        </w:p>
        <w:p w14:paraId="556D66CC" w14:textId="21156E57"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51" w:history="1">
            <w:r w:rsidR="002B7ED9" w:rsidRPr="00207DC0">
              <w:rPr>
                <w:rStyle w:val="Hyperlink"/>
                <w:noProof/>
              </w:rPr>
              <w:t>Measure 3. Heightened quality and safety standards for therapeutic vapes, including better regulation of device components</w:t>
            </w:r>
            <w:r w:rsidR="002B7ED9">
              <w:rPr>
                <w:noProof/>
                <w:webHidden/>
              </w:rPr>
              <w:tab/>
            </w:r>
            <w:r w:rsidR="002B7ED9">
              <w:rPr>
                <w:noProof/>
                <w:webHidden/>
              </w:rPr>
              <w:fldChar w:fldCharType="begin"/>
            </w:r>
            <w:r w:rsidR="002B7ED9">
              <w:rPr>
                <w:noProof/>
                <w:webHidden/>
              </w:rPr>
              <w:instrText xml:space="preserve"> PAGEREF _Toc151040351 \h </w:instrText>
            </w:r>
            <w:r w:rsidR="002B7ED9">
              <w:rPr>
                <w:noProof/>
                <w:webHidden/>
              </w:rPr>
            </w:r>
            <w:r w:rsidR="002B7ED9">
              <w:rPr>
                <w:noProof/>
                <w:webHidden/>
              </w:rPr>
              <w:fldChar w:fldCharType="separate"/>
            </w:r>
            <w:r w:rsidR="002B7ED9">
              <w:rPr>
                <w:noProof/>
                <w:webHidden/>
              </w:rPr>
              <w:t>53</w:t>
            </w:r>
            <w:r w:rsidR="002B7ED9">
              <w:rPr>
                <w:noProof/>
                <w:webHidden/>
              </w:rPr>
              <w:fldChar w:fldCharType="end"/>
            </w:r>
          </w:hyperlink>
        </w:p>
        <w:p w14:paraId="610D7F91" w14:textId="2201157D"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52" w:history="1">
            <w:r w:rsidR="002B7ED9" w:rsidRPr="00207DC0">
              <w:rPr>
                <w:rStyle w:val="Hyperlink"/>
                <w:noProof/>
              </w:rPr>
              <w:t>Measure 4. Strengthening import and domestic compliance and enforcement mechanisms</w:t>
            </w:r>
            <w:r w:rsidR="002B7ED9">
              <w:rPr>
                <w:noProof/>
                <w:webHidden/>
              </w:rPr>
              <w:tab/>
            </w:r>
            <w:r w:rsidR="002B7ED9">
              <w:rPr>
                <w:noProof/>
                <w:webHidden/>
              </w:rPr>
              <w:fldChar w:fldCharType="begin"/>
            </w:r>
            <w:r w:rsidR="002B7ED9">
              <w:rPr>
                <w:noProof/>
                <w:webHidden/>
              </w:rPr>
              <w:instrText xml:space="preserve"> PAGEREF _Toc151040352 \h </w:instrText>
            </w:r>
            <w:r w:rsidR="002B7ED9">
              <w:rPr>
                <w:noProof/>
                <w:webHidden/>
              </w:rPr>
            </w:r>
            <w:r w:rsidR="002B7ED9">
              <w:rPr>
                <w:noProof/>
                <w:webHidden/>
              </w:rPr>
              <w:fldChar w:fldCharType="separate"/>
            </w:r>
            <w:r w:rsidR="002B7ED9">
              <w:rPr>
                <w:noProof/>
                <w:webHidden/>
              </w:rPr>
              <w:t>56</w:t>
            </w:r>
            <w:r w:rsidR="002B7ED9">
              <w:rPr>
                <w:noProof/>
                <w:webHidden/>
              </w:rPr>
              <w:fldChar w:fldCharType="end"/>
            </w:r>
          </w:hyperlink>
        </w:p>
        <w:p w14:paraId="5DE3C740" w14:textId="4FC7449D"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53" w:history="1">
            <w:r w:rsidR="002B7ED9" w:rsidRPr="00207DC0">
              <w:rPr>
                <w:rStyle w:val="Hyperlink"/>
                <w:noProof/>
              </w:rPr>
              <w:t>Changes to the status quo</w:t>
            </w:r>
            <w:r w:rsidR="002B7ED9">
              <w:rPr>
                <w:noProof/>
                <w:webHidden/>
              </w:rPr>
              <w:tab/>
            </w:r>
            <w:r w:rsidR="002B7ED9">
              <w:rPr>
                <w:noProof/>
                <w:webHidden/>
              </w:rPr>
              <w:fldChar w:fldCharType="begin"/>
            </w:r>
            <w:r w:rsidR="002B7ED9">
              <w:rPr>
                <w:noProof/>
                <w:webHidden/>
              </w:rPr>
              <w:instrText xml:space="preserve"> PAGEREF _Toc151040353 \h </w:instrText>
            </w:r>
            <w:r w:rsidR="002B7ED9">
              <w:rPr>
                <w:noProof/>
                <w:webHidden/>
              </w:rPr>
            </w:r>
            <w:r w:rsidR="002B7ED9">
              <w:rPr>
                <w:noProof/>
                <w:webHidden/>
              </w:rPr>
              <w:fldChar w:fldCharType="separate"/>
            </w:r>
            <w:r w:rsidR="002B7ED9">
              <w:rPr>
                <w:noProof/>
                <w:webHidden/>
              </w:rPr>
              <w:t>57</w:t>
            </w:r>
            <w:r w:rsidR="002B7ED9">
              <w:rPr>
                <w:noProof/>
                <w:webHidden/>
              </w:rPr>
              <w:fldChar w:fldCharType="end"/>
            </w:r>
          </w:hyperlink>
        </w:p>
        <w:p w14:paraId="065FB978" w14:textId="05D3E934"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54" w:history="1">
            <w:r w:rsidR="002B7ED9" w:rsidRPr="00207DC0">
              <w:rPr>
                <w:rStyle w:val="Hyperlink"/>
                <w:noProof/>
              </w:rPr>
              <w:t>How does Option 3 meet the Government’s objectives?</w:t>
            </w:r>
            <w:r w:rsidR="002B7ED9">
              <w:rPr>
                <w:noProof/>
                <w:webHidden/>
              </w:rPr>
              <w:tab/>
            </w:r>
            <w:r w:rsidR="002B7ED9">
              <w:rPr>
                <w:noProof/>
                <w:webHidden/>
              </w:rPr>
              <w:fldChar w:fldCharType="begin"/>
            </w:r>
            <w:r w:rsidR="002B7ED9">
              <w:rPr>
                <w:noProof/>
                <w:webHidden/>
              </w:rPr>
              <w:instrText xml:space="preserve"> PAGEREF _Toc151040354 \h </w:instrText>
            </w:r>
            <w:r w:rsidR="002B7ED9">
              <w:rPr>
                <w:noProof/>
                <w:webHidden/>
              </w:rPr>
            </w:r>
            <w:r w:rsidR="002B7ED9">
              <w:rPr>
                <w:noProof/>
                <w:webHidden/>
              </w:rPr>
              <w:fldChar w:fldCharType="separate"/>
            </w:r>
            <w:r w:rsidR="002B7ED9">
              <w:rPr>
                <w:noProof/>
                <w:webHidden/>
              </w:rPr>
              <w:t>57</w:t>
            </w:r>
            <w:r w:rsidR="002B7ED9">
              <w:rPr>
                <w:noProof/>
                <w:webHidden/>
              </w:rPr>
              <w:fldChar w:fldCharType="end"/>
            </w:r>
          </w:hyperlink>
        </w:p>
        <w:p w14:paraId="215AF48E" w14:textId="43925CE6"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55" w:history="1">
            <w:r w:rsidR="002B7ED9" w:rsidRPr="00207DC0">
              <w:rPr>
                <w:rStyle w:val="Hyperlink"/>
                <w:noProof/>
              </w:rPr>
              <w:t>Option 4: Ban non-therapeutic vapes and require therapeutic vapes to be registered on the Australian Register of Therapeutic Goods, and not available as ‘unapproved’ therapeutic goods</w:t>
            </w:r>
            <w:r w:rsidR="002B7ED9">
              <w:rPr>
                <w:noProof/>
                <w:webHidden/>
              </w:rPr>
              <w:tab/>
            </w:r>
            <w:r w:rsidR="002B7ED9">
              <w:rPr>
                <w:noProof/>
                <w:webHidden/>
              </w:rPr>
              <w:fldChar w:fldCharType="begin"/>
            </w:r>
            <w:r w:rsidR="002B7ED9">
              <w:rPr>
                <w:noProof/>
                <w:webHidden/>
              </w:rPr>
              <w:instrText xml:space="preserve"> PAGEREF _Toc151040355 \h </w:instrText>
            </w:r>
            <w:r w:rsidR="002B7ED9">
              <w:rPr>
                <w:noProof/>
                <w:webHidden/>
              </w:rPr>
            </w:r>
            <w:r w:rsidR="002B7ED9">
              <w:rPr>
                <w:noProof/>
                <w:webHidden/>
              </w:rPr>
              <w:fldChar w:fldCharType="separate"/>
            </w:r>
            <w:r w:rsidR="002B7ED9">
              <w:rPr>
                <w:noProof/>
                <w:webHidden/>
              </w:rPr>
              <w:t>58</w:t>
            </w:r>
            <w:r w:rsidR="002B7ED9">
              <w:rPr>
                <w:noProof/>
                <w:webHidden/>
              </w:rPr>
              <w:fldChar w:fldCharType="end"/>
            </w:r>
          </w:hyperlink>
        </w:p>
        <w:p w14:paraId="3964BBC3" w14:textId="12CBEF3B"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56" w:history="1">
            <w:r w:rsidR="002B7ED9" w:rsidRPr="00207DC0">
              <w:rPr>
                <w:rStyle w:val="Hyperlink"/>
                <w:noProof/>
              </w:rPr>
              <w:t>Changes to the status quo</w:t>
            </w:r>
            <w:r w:rsidR="002B7ED9">
              <w:rPr>
                <w:noProof/>
                <w:webHidden/>
              </w:rPr>
              <w:tab/>
            </w:r>
            <w:r w:rsidR="002B7ED9">
              <w:rPr>
                <w:noProof/>
                <w:webHidden/>
              </w:rPr>
              <w:fldChar w:fldCharType="begin"/>
            </w:r>
            <w:r w:rsidR="002B7ED9">
              <w:rPr>
                <w:noProof/>
                <w:webHidden/>
              </w:rPr>
              <w:instrText xml:space="preserve"> PAGEREF _Toc151040356 \h </w:instrText>
            </w:r>
            <w:r w:rsidR="002B7ED9">
              <w:rPr>
                <w:noProof/>
                <w:webHidden/>
              </w:rPr>
            </w:r>
            <w:r w:rsidR="002B7ED9">
              <w:rPr>
                <w:noProof/>
                <w:webHidden/>
              </w:rPr>
              <w:fldChar w:fldCharType="separate"/>
            </w:r>
            <w:r w:rsidR="002B7ED9">
              <w:rPr>
                <w:noProof/>
                <w:webHidden/>
              </w:rPr>
              <w:t>59</w:t>
            </w:r>
            <w:r w:rsidR="002B7ED9">
              <w:rPr>
                <w:noProof/>
                <w:webHidden/>
              </w:rPr>
              <w:fldChar w:fldCharType="end"/>
            </w:r>
          </w:hyperlink>
        </w:p>
        <w:p w14:paraId="6883E8F3" w14:textId="658BFA01"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57" w:history="1">
            <w:r w:rsidR="002B7ED9" w:rsidRPr="00207DC0">
              <w:rPr>
                <w:rStyle w:val="Hyperlink"/>
                <w:noProof/>
              </w:rPr>
              <w:t>How does Option 4 meet the Government’s objectives?</w:t>
            </w:r>
            <w:r w:rsidR="002B7ED9">
              <w:rPr>
                <w:noProof/>
                <w:webHidden/>
              </w:rPr>
              <w:tab/>
            </w:r>
            <w:r w:rsidR="002B7ED9">
              <w:rPr>
                <w:noProof/>
                <w:webHidden/>
              </w:rPr>
              <w:fldChar w:fldCharType="begin"/>
            </w:r>
            <w:r w:rsidR="002B7ED9">
              <w:rPr>
                <w:noProof/>
                <w:webHidden/>
              </w:rPr>
              <w:instrText xml:space="preserve"> PAGEREF _Toc151040357 \h </w:instrText>
            </w:r>
            <w:r w:rsidR="002B7ED9">
              <w:rPr>
                <w:noProof/>
                <w:webHidden/>
              </w:rPr>
            </w:r>
            <w:r w:rsidR="002B7ED9">
              <w:rPr>
                <w:noProof/>
                <w:webHidden/>
              </w:rPr>
              <w:fldChar w:fldCharType="separate"/>
            </w:r>
            <w:r w:rsidR="002B7ED9">
              <w:rPr>
                <w:noProof/>
                <w:webHidden/>
              </w:rPr>
              <w:t>60</w:t>
            </w:r>
            <w:r w:rsidR="002B7ED9">
              <w:rPr>
                <w:noProof/>
                <w:webHidden/>
              </w:rPr>
              <w:fldChar w:fldCharType="end"/>
            </w:r>
          </w:hyperlink>
        </w:p>
        <w:p w14:paraId="278CAC90" w14:textId="13ED3B9C"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58" w:history="1">
            <w:r w:rsidR="002B7ED9" w:rsidRPr="00207DC0">
              <w:rPr>
                <w:rStyle w:val="Hyperlink"/>
                <w:noProof/>
              </w:rPr>
              <w:t>Question Four: What is the likely net benefit of each option?</w:t>
            </w:r>
            <w:r w:rsidR="002B7ED9">
              <w:rPr>
                <w:noProof/>
                <w:webHidden/>
              </w:rPr>
              <w:tab/>
            </w:r>
            <w:r w:rsidR="002B7ED9">
              <w:rPr>
                <w:noProof/>
                <w:webHidden/>
              </w:rPr>
              <w:fldChar w:fldCharType="begin"/>
            </w:r>
            <w:r w:rsidR="002B7ED9">
              <w:rPr>
                <w:noProof/>
                <w:webHidden/>
              </w:rPr>
              <w:instrText xml:space="preserve"> PAGEREF _Toc151040358 \h </w:instrText>
            </w:r>
            <w:r w:rsidR="002B7ED9">
              <w:rPr>
                <w:noProof/>
                <w:webHidden/>
              </w:rPr>
            </w:r>
            <w:r w:rsidR="002B7ED9">
              <w:rPr>
                <w:noProof/>
                <w:webHidden/>
              </w:rPr>
              <w:fldChar w:fldCharType="separate"/>
            </w:r>
            <w:r w:rsidR="002B7ED9">
              <w:rPr>
                <w:noProof/>
                <w:webHidden/>
              </w:rPr>
              <w:t>61</w:t>
            </w:r>
            <w:r w:rsidR="002B7ED9">
              <w:rPr>
                <w:noProof/>
                <w:webHidden/>
              </w:rPr>
              <w:fldChar w:fldCharType="end"/>
            </w:r>
          </w:hyperlink>
        </w:p>
        <w:p w14:paraId="5AC4D492" w14:textId="120631E9"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59" w:history="1">
            <w:r w:rsidR="002B7ED9" w:rsidRPr="00207DC0">
              <w:rPr>
                <w:rStyle w:val="Hyperlink"/>
                <w:noProof/>
              </w:rPr>
              <w:t>Option 1. Maintain the status quo (no change)</w:t>
            </w:r>
            <w:r w:rsidR="002B7ED9">
              <w:rPr>
                <w:noProof/>
                <w:webHidden/>
              </w:rPr>
              <w:tab/>
            </w:r>
            <w:r w:rsidR="002B7ED9">
              <w:rPr>
                <w:noProof/>
                <w:webHidden/>
              </w:rPr>
              <w:fldChar w:fldCharType="begin"/>
            </w:r>
            <w:r w:rsidR="002B7ED9">
              <w:rPr>
                <w:noProof/>
                <w:webHidden/>
              </w:rPr>
              <w:instrText xml:space="preserve"> PAGEREF _Toc151040359 \h </w:instrText>
            </w:r>
            <w:r w:rsidR="002B7ED9">
              <w:rPr>
                <w:noProof/>
                <w:webHidden/>
              </w:rPr>
            </w:r>
            <w:r w:rsidR="002B7ED9">
              <w:rPr>
                <w:noProof/>
                <w:webHidden/>
              </w:rPr>
              <w:fldChar w:fldCharType="separate"/>
            </w:r>
            <w:r w:rsidR="002B7ED9">
              <w:rPr>
                <w:noProof/>
                <w:webHidden/>
              </w:rPr>
              <w:t>61</w:t>
            </w:r>
            <w:r w:rsidR="002B7ED9">
              <w:rPr>
                <w:noProof/>
                <w:webHidden/>
              </w:rPr>
              <w:fldChar w:fldCharType="end"/>
            </w:r>
          </w:hyperlink>
        </w:p>
        <w:p w14:paraId="4C1BD116" w14:textId="6BC2F51A"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60" w:history="1">
            <w:r w:rsidR="002B7ED9" w:rsidRPr="00207DC0">
              <w:rPr>
                <w:rStyle w:val="Hyperlink"/>
                <w:noProof/>
              </w:rPr>
              <w:t>Overview</w:t>
            </w:r>
            <w:r w:rsidR="002B7ED9">
              <w:rPr>
                <w:noProof/>
                <w:webHidden/>
              </w:rPr>
              <w:tab/>
            </w:r>
            <w:r w:rsidR="002B7ED9">
              <w:rPr>
                <w:noProof/>
                <w:webHidden/>
              </w:rPr>
              <w:fldChar w:fldCharType="begin"/>
            </w:r>
            <w:r w:rsidR="002B7ED9">
              <w:rPr>
                <w:noProof/>
                <w:webHidden/>
              </w:rPr>
              <w:instrText xml:space="preserve"> PAGEREF _Toc151040360 \h </w:instrText>
            </w:r>
            <w:r w:rsidR="002B7ED9">
              <w:rPr>
                <w:noProof/>
                <w:webHidden/>
              </w:rPr>
            </w:r>
            <w:r w:rsidR="002B7ED9">
              <w:rPr>
                <w:noProof/>
                <w:webHidden/>
              </w:rPr>
              <w:fldChar w:fldCharType="separate"/>
            </w:r>
            <w:r w:rsidR="002B7ED9">
              <w:rPr>
                <w:noProof/>
                <w:webHidden/>
              </w:rPr>
              <w:t>61</w:t>
            </w:r>
            <w:r w:rsidR="002B7ED9">
              <w:rPr>
                <w:noProof/>
                <w:webHidden/>
              </w:rPr>
              <w:fldChar w:fldCharType="end"/>
            </w:r>
          </w:hyperlink>
        </w:p>
        <w:p w14:paraId="62310FFB" w14:textId="6076077B"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61" w:history="1">
            <w:r w:rsidR="002B7ED9" w:rsidRPr="00207DC0">
              <w:rPr>
                <w:rStyle w:val="Hyperlink"/>
                <w:noProof/>
              </w:rPr>
              <w:t>Who is affected and what are the economic, social and environmental costs and benefits?</w:t>
            </w:r>
            <w:r w:rsidR="002B7ED9">
              <w:rPr>
                <w:noProof/>
                <w:webHidden/>
              </w:rPr>
              <w:tab/>
            </w:r>
            <w:r w:rsidR="002B7ED9">
              <w:rPr>
                <w:noProof/>
                <w:webHidden/>
              </w:rPr>
              <w:fldChar w:fldCharType="begin"/>
            </w:r>
            <w:r w:rsidR="002B7ED9">
              <w:rPr>
                <w:noProof/>
                <w:webHidden/>
              </w:rPr>
              <w:instrText xml:space="preserve"> PAGEREF _Toc151040361 \h </w:instrText>
            </w:r>
            <w:r w:rsidR="002B7ED9">
              <w:rPr>
                <w:noProof/>
                <w:webHidden/>
              </w:rPr>
            </w:r>
            <w:r w:rsidR="002B7ED9">
              <w:rPr>
                <w:noProof/>
                <w:webHidden/>
              </w:rPr>
              <w:fldChar w:fldCharType="separate"/>
            </w:r>
            <w:r w:rsidR="002B7ED9">
              <w:rPr>
                <w:noProof/>
                <w:webHidden/>
              </w:rPr>
              <w:t>61</w:t>
            </w:r>
            <w:r w:rsidR="002B7ED9">
              <w:rPr>
                <w:noProof/>
                <w:webHidden/>
              </w:rPr>
              <w:fldChar w:fldCharType="end"/>
            </w:r>
          </w:hyperlink>
        </w:p>
        <w:p w14:paraId="0F3F0BF8" w14:textId="624A0816"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62" w:history="1">
            <w:r w:rsidR="002B7ED9" w:rsidRPr="00207DC0">
              <w:rPr>
                <w:rStyle w:val="Hyperlink"/>
                <w:noProof/>
              </w:rPr>
              <w:t>Analysis of the net benefit of Option 1:</w:t>
            </w:r>
            <w:r w:rsidR="002B7ED9">
              <w:rPr>
                <w:noProof/>
                <w:webHidden/>
              </w:rPr>
              <w:tab/>
            </w:r>
            <w:r w:rsidR="002B7ED9">
              <w:rPr>
                <w:noProof/>
                <w:webHidden/>
              </w:rPr>
              <w:fldChar w:fldCharType="begin"/>
            </w:r>
            <w:r w:rsidR="002B7ED9">
              <w:rPr>
                <w:noProof/>
                <w:webHidden/>
              </w:rPr>
              <w:instrText xml:space="preserve"> PAGEREF _Toc151040362 \h </w:instrText>
            </w:r>
            <w:r w:rsidR="002B7ED9">
              <w:rPr>
                <w:noProof/>
                <w:webHidden/>
              </w:rPr>
            </w:r>
            <w:r w:rsidR="002B7ED9">
              <w:rPr>
                <w:noProof/>
                <w:webHidden/>
              </w:rPr>
              <w:fldChar w:fldCharType="separate"/>
            </w:r>
            <w:r w:rsidR="002B7ED9">
              <w:rPr>
                <w:noProof/>
                <w:webHidden/>
              </w:rPr>
              <w:t>63</w:t>
            </w:r>
            <w:r w:rsidR="002B7ED9">
              <w:rPr>
                <w:noProof/>
                <w:webHidden/>
              </w:rPr>
              <w:fldChar w:fldCharType="end"/>
            </w:r>
          </w:hyperlink>
        </w:p>
        <w:p w14:paraId="00BADF45" w14:textId="516FEA12"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63" w:history="1">
            <w:r w:rsidR="002B7ED9" w:rsidRPr="00207DC0">
              <w:rPr>
                <w:rStyle w:val="Hyperlink"/>
                <w:noProof/>
              </w:rPr>
              <w:t>Option 2: Regulating vapes under a consumer model</w:t>
            </w:r>
            <w:r w:rsidR="002B7ED9">
              <w:rPr>
                <w:noProof/>
                <w:webHidden/>
              </w:rPr>
              <w:tab/>
            </w:r>
            <w:r w:rsidR="002B7ED9">
              <w:rPr>
                <w:noProof/>
                <w:webHidden/>
              </w:rPr>
              <w:fldChar w:fldCharType="begin"/>
            </w:r>
            <w:r w:rsidR="002B7ED9">
              <w:rPr>
                <w:noProof/>
                <w:webHidden/>
              </w:rPr>
              <w:instrText xml:space="preserve"> PAGEREF _Toc151040363 \h </w:instrText>
            </w:r>
            <w:r w:rsidR="002B7ED9">
              <w:rPr>
                <w:noProof/>
                <w:webHidden/>
              </w:rPr>
            </w:r>
            <w:r w:rsidR="002B7ED9">
              <w:rPr>
                <w:noProof/>
                <w:webHidden/>
              </w:rPr>
              <w:fldChar w:fldCharType="separate"/>
            </w:r>
            <w:r w:rsidR="002B7ED9">
              <w:rPr>
                <w:noProof/>
                <w:webHidden/>
              </w:rPr>
              <w:t>64</w:t>
            </w:r>
            <w:r w:rsidR="002B7ED9">
              <w:rPr>
                <w:noProof/>
                <w:webHidden/>
              </w:rPr>
              <w:fldChar w:fldCharType="end"/>
            </w:r>
          </w:hyperlink>
        </w:p>
        <w:p w14:paraId="1C141A0F" w14:textId="24814EC3"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64" w:history="1">
            <w:r w:rsidR="002B7ED9" w:rsidRPr="00207DC0">
              <w:rPr>
                <w:rStyle w:val="Hyperlink"/>
                <w:noProof/>
              </w:rPr>
              <w:t>Overview</w:t>
            </w:r>
            <w:r w:rsidR="002B7ED9">
              <w:rPr>
                <w:noProof/>
                <w:webHidden/>
              </w:rPr>
              <w:tab/>
            </w:r>
            <w:r w:rsidR="002B7ED9">
              <w:rPr>
                <w:noProof/>
                <w:webHidden/>
              </w:rPr>
              <w:fldChar w:fldCharType="begin"/>
            </w:r>
            <w:r w:rsidR="002B7ED9">
              <w:rPr>
                <w:noProof/>
                <w:webHidden/>
              </w:rPr>
              <w:instrText xml:space="preserve"> PAGEREF _Toc151040364 \h </w:instrText>
            </w:r>
            <w:r w:rsidR="002B7ED9">
              <w:rPr>
                <w:noProof/>
                <w:webHidden/>
              </w:rPr>
            </w:r>
            <w:r w:rsidR="002B7ED9">
              <w:rPr>
                <w:noProof/>
                <w:webHidden/>
              </w:rPr>
              <w:fldChar w:fldCharType="separate"/>
            </w:r>
            <w:r w:rsidR="002B7ED9">
              <w:rPr>
                <w:noProof/>
                <w:webHidden/>
              </w:rPr>
              <w:t>64</w:t>
            </w:r>
            <w:r w:rsidR="002B7ED9">
              <w:rPr>
                <w:noProof/>
                <w:webHidden/>
              </w:rPr>
              <w:fldChar w:fldCharType="end"/>
            </w:r>
          </w:hyperlink>
        </w:p>
        <w:p w14:paraId="4A386992" w14:textId="03F14C07"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65" w:history="1">
            <w:r w:rsidR="002B7ED9" w:rsidRPr="00207DC0">
              <w:rPr>
                <w:rStyle w:val="Hyperlink"/>
                <w:noProof/>
              </w:rPr>
              <w:t>Who is affected and what are the economic, social and environmental costs and benefits?</w:t>
            </w:r>
            <w:r w:rsidR="002B7ED9">
              <w:rPr>
                <w:noProof/>
                <w:webHidden/>
              </w:rPr>
              <w:tab/>
            </w:r>
            <w:r w:rsidR="002B7ED9">
              <w:rPr>
                <w:noProof/>
                <w:webHidden/>
              </w:rPr>
              <w:fldChar w:fldCharType="begin"/>
            </w:r>
            <w:r w:rsidR="002B7ED9">
              <w:rPr>
                <w:noProof/>
                <w:webHidden/>
              </w:rPr>
              <w:instrText xml:space="preserve"> PAGEREF _Toc151040365 \h </w:instrText>
            </w:r>
            <w:r w:rsidR="002B7ED9">
              <w:rPr>
                <w:noProof/>
                <w:webHidden/>
              </w:rPr>
            </w:r>
            <w:r w:rsidR="002B7ED9">
              <w:rPr>
                <w:noProof/>
                <w:webHidden/>
              </w:rPr>
              <w:fldChar w:fldCharType="separate"/>
            </w:r>
            <w:r w:rsidR="002B7ED9">
              <w:rPr>
                <w:noProof/>
                <w:webHidden/>
              </w:rPr>
              <w:t>64</w:t>
            </w:r>
            <w:r w:rsidR="002B7ED9">
              <w:rPr>
                <w:noProof/>
                <w:webHidden/>
              </w:rPr>
              <w:fldChar w:fldCharType="end"/>
            </w:r>
          </w:hyperlink>
        </w:p>
        <w:p w14:paraId="7136ED40" w14:textId="6BE7FB7C"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66" w:history="1">
            <w:r w:rsidR="002B7ED9" w:rsidRPr="00207DC0">
              <w:rPr>
                <w:rStyle w:val="Hyperlink"/>
                <w:noProof/>
              </w:rPr>
              <w:t>Analysis of the net benefit of Option 2:</w:t>
            </w:r>
            <w:r w:rsidR="002B7ED9">
              <w:rPr>
                <w:noProof/>
                <w:webHidden/>
              </w:rPr>
              <w:tab/>
            </w:r>
            <w:r w:rsidR="002B7ED9">
              <w:rPr>
                <w:noProof/>
                <w:webHidden/>
              </w:rPr>
              <w:fldChar w:fldCharType="begin"/>
            </w:r>
            <w:r w:rsidR="002B7ED9">
              <w:rPr>
                <w:noProof/>
                <w:webHidden/>
              </w:rPr>
              <w:instrText xml:space="preserve"> PAGEREF _Toc151040366 \h </w:instrText>
            </w:r>
            <w:r w:rsidR="002B7ED9">
              <w:rPr>
                <w:noProof/>
                <w:webHidden/>
              </w:rPr>
            </w:r>
            <w:r w:rsidR="002B7ED9">
              <w:rPr>
                <w:noProof/>
                <w:webHidden/>
              </w:rPr>
              <w:fldChar w:fldCharType="separate"/>
            </w:r>
            <w:r w:rsidR="002B7ED9">
              <w:rPr>
                <w:noProof/>
                <w:webHidden/>
              </w:rPr>
              <w:t>66</w:t>
            </w:r>
            <w:r w:rsidR="002B7ED9">
              <w:rPr>
                <w:noProof/>
                <w:webHidden/>
              </w:rPr>
              <w:fldChar w:fldCharType="end"/>
            </w:r>
          </w:hyperlink>
        </w:p>
        <w:p w14:paraId="6338A549" w14:textId="020B3A81"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67" w:history="1">
            <w:r w:rsidR="002B7ED9" w:rsidRPr="00207DC0">
              <w:rPr>
                <w:rStyle w:val="Hyperlink"/>
                <w:noProof/>
              </w:rPr>
              <w:t>Option 3: Increased regulation of vapes through the Therapeutic Goods Act and Customs Regulations</w:t>
            </w:r>
            <w:r w:rsidR="002B7ED9">
              <w:rPr>
                <w:noProof/>
                <w:webHidden/>
              </w:rPr>
              <w:tab/>
            </w:r>
            <w:r w:rsidR="002B7ED9">
              <w:rPr>
                <w:noProof/>
                <w:webHidden/>
              </w:rPr>
              <w:fldChar w:fldCharType="begin"/>
            </w:r>
            <w:r w:rsidR="002B7ED9">
              <w:rPr>
                <w:noProof/>
                <w:webHidden/>
              </w:rPr>
              <w:instrText xml:space="preserve"> PAGEREF _Toc151040367 \h </w:instrText>
            </w:r>
            <w:r w:rsidR="002B7ED9">
              <w:rPr>
                <w:noProof/>
                <w:webHidden/>
              </w:rPr>
            </w:r>
            <w:r w:rsidR="002B7ED9">
              <w:rPr>
                <w:noProof/>
                <w:webHidden/>
              </w:rPr>
              <w:fldChar w:fldCharType="separate"/>
            </w:r>
            <w:r w:rsidR="002B7ED9">
              <w:rPr>
                <w:noProof/>
                <w:webHidden/>
              </w:rPr>
              <w:t>67</w:t>
            </w:r>
            <w:r w:rsidR="002B7ED9">
              <w:rPr>
                <w:noProof/>
                <w:webHidden/>
              </w:rPr>
              <w:fldChar w:fldCharType="end"/>
            </w:r>
          </w:hyperlink>
        </w:p>
        <w:p w14:paraId="0F29D73C" w14:textId="6B854513"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68" w:history="1">
            <w:r w:rsidR="002B7ED9" w:rsidRPr="00207DC0">
              <w:rPr>
                <w:rStyle w:val="Hyperlink"/>
                <w:noProof/>
              </w:rPr>
              <w:t>Who is affected and what are the economic, social and environmental costs and benefits?</w:t>
            </w:r>
            <w:r w:rsidR="002B7ED9">
              <w:rPr>
                <w:noProof/>
                <w:webHidden/>
              </w:rPr>
              <w:tab/>
            </w:r>
            <w:r w:rsidR="002B7ED9">
              <w:rPr>
                <w:noProof/>
                <w:webHidden/>
              </w:rPr>
              <w:fldChar w:fldCharType="begin"/>
            </w:r>
            <w:r w:rsidR="002B7ED9">
              <w:rPr>
                <w:noProof/>
                <w:webHidden/>
              </w:rPr>
              <w:instrText xml:space="preserve"> PAGEREF _Toc151040368 \h </w:instrText>
            </w:r>
            <w:r w:rsidR="002B7ED9">
              <w:rPr>
                <w:noProof/>
                <w:webHidden/>
              </w:rPr>
            </w:r>
            <w:r w:rsidR="002B7ED9">
              <w:rPr>
                <w:noProof/>
                <w:webHidden/>
              </w:rPr>
              <w:fldChar w:fldCharType="separate"/>
            </w:r>
            <w:r w:rsidR="002B7ED9">
              <w:rPr>
                <w:noProof/>
                <w:webHidden/>
              </w:rPr>
              <w:t>68</w:t>
            </w:r>
            <w:r w:rsidR="002B7ED9">
              <w:rPr>
                <w:noProof/>
                <w:webHidden/>
              </w:rPr>
              <w:fldChar w:fldCharType="end"/>
            </w:r>
          </w:hyperlink>
        </w:p>
        <w:p w14:paraId="5332D9FC" w14:textId="388DC709"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69" w:history="1">
            <w:r w:rsidR="002B7ED9" w:rsidRPr="00207DC0">
              <w:rPr>
                <w:rStyle w:val="Hyperlink"/>
                <w:noProof/>
              </w:rPr>
              <w:t>Analysis of the net benefit of Option 3:</w:t>
            </w:r>
            <w:r w:rsidR="002B7ED9">
              <w:rPr>
                <w:noProof/>
                <w:webHidden/>
              </w:rPr>
              <w:tab/>
            </w:r>
            <w:r w:rsidR="002B7ED9">
              <w:rPr>
                <w:noProof/>
                <w:webHidden/>
              </w:rPr>
              <w:fldChar w:fldCharType="begin"/>
            </w:r>
            <w:r w:rsidR="002B7ED9">
              <w:rPr>
                <w:noProof/>
                <w:webHidden/>
              </w:rPr>
              <w:instrText xml:space="preserve"> PAGEREF _Toc151040369 \h </w:instrText>
            </w:r>
            <w:r w:rsidR="002B7ED9">
              <w:rPr>
                <w:noProof/>
                <w:webHidden/>
              </w:rPr>
            </w:r>
            <w:r w:rsidR="002B7ED9">
              <w:rPr>
                <w:noProof/>
                <w:webHidden/>
              </w:rPr>
              <w:fldChar w:fldCharType="separate"/>
            </w:r>
            <w:r w:rsidR="002B7ED9">
              <w:rPr>
                <w:noProof/>
                <w:webHidden/>
              </w:rPr>
              <w:t>72</w:t>
            </w:r>
            <w:r w:rsidR="002B7ED9">
              <w:rPr>
                <w:noProof/>
                <w:webHidden/>
              </w:rPr>
              <w:fldChar w:fldCharType="end"/>
            </w:r>
          </w:hyperlink>
        </w:p>
        <w:p w14:paraId="60E1736F" w14:textId="229F03D1"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70" w:history="1">
            <w:r w:rsidR="002B7ED9" w:rsidRPr="00207DC0">
              <w:rPr>
                <w:rStyle w:val="Hyperlink"/>
                <w:noProof/>
              </w:rPr>
              <w:t>Option 4: Ban non-therapeutic vapes and require therapeutic vapes to be registered on the Australian Register of Therapeutic Goods, and not available as ‘unapproved’ therapeutic goods</w:t>
            </w:r>
            <w:r w:rsidR="002B7ED9">
              <w:rPr>
                <w:noProof/>
                <w:webHidden/>
              </w:rPr>
              <w:tab/>
            </w:r>
            <w:r w:rsidR="002B7ED9">
              <w:rPr>
                <w:noProof/>
                <w:webHidden/>
              </w:rPr>
              <w:fldChar w:fldCharType="begin"/>
            </w:r>
            <w:r w:rsidR="002B7ED9">
              <w:rPr>
                <w:noProof/>
                <w:webHidden/>
              </w:rPr>
              <w:instrText xml:space="preserve"> PAGEREF _Toc151040370 \h </w:instrText>
            </w:r>
            <w:r w:rsidR="002B7ED9">
              <w:rPr>
                <w:noProof/>
                <w:webHidden/>
              </w:rPr>
            </w:r>
            <w:r w:rsidR="002B7ED9">
              <w:rPr>
                <w:noProof/>
                <w:webHidden/>
              </w:rPr>
              <w:fldChar w:fldCharType="separate"/>
            </w:r>
            <w:r w:rsidR="002B7ED9">
              <w:rPr>
                <w:noProof/>
                <w:webHidden/>
              </w:rPr>
              <w:t>75</w:t>
            </w:r>
            <w:r w:rsidR="002B7ED9">
              <w:rPr>
                <w:noProof/>
                <w:webHidden/>
              </w:rPr>
              <w:fldChar w:fldCharType="end"/>
            </w:r>
          </w:hyperlink>
        </w:p>
        <w:p w14:paraId="44164FD4" w14:textId="5AF2AA7A"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71" w:history="1">
            <w:r w:rsidR="002B7ED9" w:rsidRPr="00207DC0">
              <w:rPr>
                <w:rStyle w:val="Hyperlink"/>
                <w:noProof/>
              </w:rPr>
              <w:t>Overview</w:t>
            </w:r>
            <w:r w:rsidR="002B7ED9">
              <w:rPr>
                <w:noProof/>
                <w:webHidden/>
              </w:rPr>
              <w:tab/>
            </w:r>
            <w:r w:rsidR="002B7ED9">
              <w:rPr>
                <w:noProof/>
                <w:webHidden/>
              </w:rPr>
              <w:fldChar w:fldCharType="begin"/>
            </w:r>
            <w:r w:rsidR="002B7ED9">
              <w:rPr>
                <w:noProof/>
                <w:webHidden/>
              </w:rPr>
              <w:instrText xml:space="preserve"> PAGEREF _Toc151040371 \h </w:instrText>
            </w:r>
            <w:r w:rsidR="002B7ED9">
              <w:rPr>
                <w:noProof/>
                <w:webHidden/>
              </w:rPr>
            </w:r>
            <w:r w:rsidR="002B7ED9">
              <w:rPr>
                <w:noProof/>
                <w:webHidden/>
              </w:rPr>
              <w:fldChar w:fldCharType="separate"/>
            </w:r>
            <w:r w:rsidR="002B7ED9">
              <w:rPr>
                <w:noProof/>
                <w:webHidden/>
              </w:rPr>
              <w:t>75</w:t>
            </w:r>
            <w:r w:rsidR="002B7ED9">
              <w:rPr>
                <w:noProof/>
                <w:webHidden/>
              </w:rPr>
              <w:fldChar w:fldCharType="end"/>
            </w:r>
          </w:hyperlink>
        </w:p>
        <w:p w14:paraId="27013E13" w14:textId="4ADD5D9D"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72" w:history="1">
            <w:r w:rsidR="002B7ED9" w:rsidRPr="00207DC0">
              <w:rPr>
                <w:rStyle w:val="Hyperlink"/>
                <w:noProof/>
              </w:rPr>
              <w:t>Who is affected and what are the economic, social and environmental costs and benefits?</w:t>
            </w:r>
            <w:r w:rsidR="002B7ED9">
              <w:rPr>
                <w:noProof/>
                <w:webHidden/>
              </w:rPr>
              <w:tab/>
            </w:r>
            <w:r w:rsidR="002B7ED9">
              <w:rPr>
                <w:noProof/>
                <w:webHidden/>
              </w:rPr>
              <w:fldChar w:fldCharType="begin"/>
            </w:r>
            <w:r w:rsidR="002B7ED9">
              <w:rPr>
                <w:noProof/>
                <w:webHidden/>
              </w:rPr>
              <w:instrText xml:space="preserve"> PAGEREF _Toc151040372 \h </w:instrText>
            </w:r>
            <w:r w:rsidR="002B7ED9">
              <w:rPr>
                <w:noProof/>
                <w:webHidden/>
              </w:rPr>
            </w:r>
            <w:r w:rsidR="002B7ED9">
              <w:rPr>
                <w:noProof/>
                <w:webHidden/>
              </w:rPr>
              <w:fldChar w:fldCharType="separate"/>
            </w:r>
            <w:r w:rsidR="002B7ED9">
              <w:rPr>
                <w:noProof/>
                <w:webHidden/>
              </w:rPr>
              <w:t>75</w:t>
            </w:r>
            <w:r w:rsidR="002B7ED9">
              <w:rPr>
                <w:noProof/>
                <w:webHidden/>
              </w:rPr>
              <w:fldChar w:fldCharType="end"/>
            </w:r>
          </w:hyperlink>
        </w:p>
        <w:p w14:paraId="75B7325F" w14:textId="0486B672"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73" w:history="1">
            <w:r w:rsidR="002B7ED9" w:rsidRPr="00207DC0">
              <w:rPr>
                <w:rStyle w:val="Hyperlink"/>
                <w:noProof/>
              </w:rPr>
              <w:t>Analysis of the net benefit of Option 4:</w:t>
            </w:r>
            <w:r w:rsidR="002B7ED9">
              <w:rPr>
                <w:noProof/>
                <w:webHidden/>
              </w:rPr>
              <w:tab/>
            </w:r>
            <w:r w:rsidR="002B7ED9">
              <w:rPr>
                <w:noProof/>
                <w:webHidden/>
              </w:rPr>
              <w:fldChar w:fldCharType="begin"/>
            </w:r>
            <w:r w:rsidR="002B7ED9">
              <w:rPr>
                <w:noProof/>
                <w:webHidden/>
              </w:rPr>
              <w:instrText xml:space="preserve"> PAGEREF _Toc151040373 \h </w:instrText>
            </w:r>
            <w:r w:rsidR="002B7ED9">
              <w:rPr>
                <w:noProof/>
                <w:webHidden/>
              </w:rPr>
            </w:r>
            <w:r w:rsidR="002B7ED9">
              <w:rPr>
                <w:noProof/>
                <w:webHidden/>
              </w:rPr>
              <w:fldChar w:fldCharType="separate"/>
            </w:r>
            <w:r w:rsidR="002B7ED9">
              <w:rPr>
                <w:noProof/>
                <w:webHidden/>
              </w:rPr>
              <w:t>76</w:t>
            </w:r>
            <w:r w:rsidR="002B7ED9">
              <w:rPr>
                <w:noProof/>
                <w:webHidden/>
              </w:rPr>
              <w:fldChar w:fldCharType="end"/>
            </w:r>
          </w:hyperlink>
        </w:p>
        <w:p w14:paraId="10144DB1" w14:textId="6FCF3A2B"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74" w:history="1">
            <w:r w:rsidR="002B7ED9" w:rsidRPr="00207DC0">
              <w:rPr>
                <w:rStyle w:val="Hyperlink"/>
                <w:noProof/>
              </w:rPr>
              <w:t>Question Five: Who did you consult with and how did you incorporate their feedback?</w:t>
            </w:r>
            <w:r w:rsidR="002B7ED9">
              <w:rPr>
                <w:noProof/>
                <w:webHidden/>
              </w:rPr>
              <w:tab/>
            </w:r>
            <w:r w:rsidR="002B7ED9">
              <w:rPr>
                <w:noProof/>
                <w:webHidden/>
              </w:rPr>
              <w:fldChar w:fldCharType="begin"/>
            </w:r>
            <w:r w:rsidR="002B7ED9">
              <w:rPr>
                <w:noProof/>
                <w:webHidden/>
              </w:rPr>
              <w:instrText xml:space="preserve"> PAGEREF _Toc151040374 \h </w:instrText>
            </w:r>
            <w:r w:rsidR="002B7ED9">
              <w:rPr>
                <w:noProof/>
                <w:webHidden/>
              </w:rPr>
            </w:r>
            <w:r w:rsidR="002B7ED9">
              <w:rPr>
                <w:noProof/>
                <w:webHidden/>
              </w:rPr>
              <w:fldChar w:fldCharType="separate"/>
            </w:r>
            <w:r w:rsidR="002B7ED9">
              <w:rPr>
                <w:noProof/>
                <w:webHidden/>
              </w:rPr>
              <w:t>78</w:t>
            </w:r>
            <w:r w:rsidR="002B7ED9">
              <w:rPr>
                <w:noProof/>
                <w:webHidden/>
              </w:rPr>
              <w:fldChar w:fldCharType="end"/>
            </w:r>
          </w:hyperlink>
        </w:p>
        <w:p w14:paraId="75F5376B" w14:textId="5710C8B8"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75" w:history="1">
            <w:r w:rsidR="002B7ED9" w:rsidRPr="00207DC0">
              <w:rPr>
                <w:rStyle w:val="Hyperlink"/>
                <w:noProof/>
              </w:rPr>
              <w:t>Consultations</w:t>
            </w:r>
            <w:r w:rsidR="002B7ED9">
              <w:rPr>
                <w:noProof/>
                <w:webHidden/>
              </w:rPr>
              <w:tab/>
            </w:r>
            <w:r w:rsidR="002B7ED9">
              <w:rPr>
                <w:noProof/>
                <w:webHidden/>
              </w:rPr>
              <w:fldChar w:fldCharType="begin"/>
            </w:r>
            <w:r w:rsidR="002B7ED9">
              <w:rPr>
                <w:noProof/>
                <w:webHidden/>
              </w:rPr>
              <w:instrText xml:space="preserve"> PAGEREF _Toc151040375 \h </w:instrText>
            </w:r>
            <w:r w:rsidR="002B7ED9">
              <w:rPr>
                <w:noProof/>
                <w:webHidden/>
              </w:rPr>
            </w:r>
            <w:r w:rsidR="002B7ED9">
              <w:rPr>
                <w:noProof/>
                <w:webHidden/>
              </w:rPr>
              <w:fldChar w:fldCharType="separate"/>
            </w:r>
            <w:r w:rsidR="002B7ED9">
              <w:rPr>
                <w:noProof/>
                <w:webHidden/>
              </w:rPr>
              <w:t>78</w:t>
            </w:r>
            <w:r w:rsidR="002B7ED9">
              <w:rPr>
                <w:noProof/>
                <w:webHidden/>
              </w:rPr>
              <w:fldChar w:fldCharType="end"/>
            </w:r>
          </w:hyperlink>
        </w:p>
        <w:p w14:paraId="5B5C05F2" w14:textId="6145DDE1"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76" w:history="1">
            <w:r w:rsidR="002B7ED9" w:rsidRPr="00207DC0">
              <w:rPr>
                <w:rStyle w:val="Hyperlink"/>
                <w:noProof/>
              </w:rPr>
              <w:t>2022 Consultation</w:t>
            </w:r>
            <w:r w:rsidR="002B7ED9">
              <w:rPr>
                <w:noProof/>
                <w:webHidden/>
              </w:rPr>
              <w:tab/>
            </w:r>
            <w:r w:rsidR="002B7ED9">
              <w:rPr>
                <w:noProof/>
                <w:webHidden/>
              </w:rPr>
              <w:fldChar w:fldCharType="begin"/>
            </w:r>
            <w:r w:rsidR="002B7ED9">
              <w:rPr>
                <w:noProof/>
                <w:webHidden/>
              </w:rPr>
              <w:instrText xml:space="preserve"> PAGEREF _Toc151040376 \h </w:instrText>
            </w:r>
            <w:r w:rsidR="002B7ED9">
              <w:rPr>
                <w:noProof/>
                <w:webHidden/>
              </w:rPr>
            </w:r>
            <w:r w:rsidR="002B7ED9">
              <w:rPr>
                <w:noProof/>
                <w:webHidden/>
              </w:rPr>
              <w:fldChar w:fldCharType="separate"/>
            </w:r>
            <w:r w:rsidR="002B7ED9">
              <w:rPr>
                <w:noProof/>
                <w:webHidden/>
              </w:rPr>
              <w:t>78</w:t>
            </w:r>
            <w:r w:rsidR="002B7ED9">
              <w:rPr>
                <w:noProof/>
                <w:webHidden/>
              </w:rPr>
              <w:fldChar w:fldCharType="end"/>
            </w:r>
          </w:hyperlink>
        </w:p>
        <w:p w14:paraId="745CFB57" w14:textId="1BEF4518" w:rsidR="002B7ED9" w:rsidRDefault="007364C4">
          <w:pPr>
            <w:pStyle w:val="TOC3"/>
            <w:tabs>
              <w:tab w:val="left" w:pos="1587"/>
            </w:tabs>
            <w:rPr>
              <w:rFonts w:asciiTheme="minorHAnsi" w:eastAsiaTheme="minorEastAsia" w:hAnsiTheme="minorHAnsi" w:cstheme="minorBidi"/>
              <w:b w:val="0"/>
              <w:noProof/>
              <w:color w:val="auto"/>
              <w:sz w:val="22"/>
              <w:szCs w:val="22"/>
              <w:lang w:eastAsia="en-AU"/>
            </w:rPr>
          </w:pPr>
          <w:hyperlink w:anchor="_Toc151040377" w:history="1">
            <w:r w:rsidR="002B7ED9" w:rsidRPr="00207DC0">
              <w:rPr>
                <w:rStyle w:val="Hyperlink"/>
                <w:noProof/>
              </w:rPr>
              <w:t>1.</w:t>
            </w:r>
            <w:r w:rsidR="002B7ED9">
              <w:rPr>
                <w:rFonts w:asciiTheme="minorHAnsi" w:eastAsiaTheme="minorEastAsia" w:hAnsiTheme="minorHAnsi" w:cstheme="minorBidi"/>
                <w:b w:val="0"/>
                <w:noProof/>
                <w:color w:val="auto"/>
                <w:sz w:val="22"/>
                <w:szCs w:val="22"/>
                <w:lang w:eastAsia="en-AU"/>
              </w:rPr>
              <w:tab/>
            </w:r>
            <w:r w:rsidR="002B7ED9" w:rsidRPr="00207DC0">
              <w:rPr>
                <w:rStyle w:val="Hyperlink"/>
                <w:noProof/>
              </w:rPr>
              <w:t>Changes to border controls</w:t>
            </w:r>
            <w:r w:rsidR="002B7ED9">
              <w:rPr>
                <w:noProof/>
                <w:webHidden/>
              </w:rPr>
              <w:tab/>
            </w:r>
            <w:r w:rsidR="002B7ED9">
              <w:rPr>
                <w:noProof/>
                <w:webHidden/>
              </w:rPr>
              <w:fldChar w:fldCharType="begin"/>
            </w:r>
            <w:r w:rsidR="002B7ED9">
              <w:rPr>
                <w:noProof/>
                <w:webHidden/>
              </w:rPr>
              <w:instrText xml:space="preserve"> PAGEREF _Toc151040377 \h </w:instrText>
            </w:r>
            <w:r w:rsidR="002B7ED9">
              <w:rPr>
                <w:noProof/>
                <w:webHidden/>
              </w:rPr>
            </w:r>
            <w:r w:rsidR="002B7ED9">
              <w:rPr>
                <w:noProof/>
                <w:webHidden/>
              </w:rPr>
              <w:fldChar w:fldCharType="separate"/>
            </w:r>
            <w:r w:rsidR="002B7ED9">
              <w:rPr>
                <w:noProof/>
                <w:webHidden/>
              </w:rPr>
              <w:t>79</w:t>
            </w:r>
            <w:r w:rsidR="002B7ED9">
              <w:rPr>
                <w:noProof/>
                <w:webHidden/>
              </w:rPr>
              <w:fldChar w:fldCharType="end"/>
            </w:r>
          </w:hyperlink>
        </w:p>
        <w:p w14:paraId="2E231E0F" w14:textId="6EC05C17" w:rsidR="002B7ED9" w:rsidRDefault="007364C4">
          <w:pPr>
            <w:pStyle w:val="TOC3"/>
            <w:tabs>
              <w:tab w:val="left" w:pos="1587"/>
            </w:tabs>
            <w:rPr>
              <w:rFonts w:asciiTheme="minorHAnsi" w:eastAsiaTheme="minorEastAsia" w:hAnsiTheme="minorHAnsi" w:cstheme="minorBidi"/>
              <w:b w:val="0"/>
              <w:noProof/>
              <w:color w:val="auto"/>
              <w:sz w:val="22"/>
              <w:szCs w:val="22"/>
              <w:lang w:eastAsia="en-AU"/>
            </w:rPr>
          </w:pPr>
          <w:hyperlink w:anchor="_Toc151040378" w:history="1">
            <w:r w:rsidR="002B7ED9" w:rsidRPr="00207DC0">
              <w:rPr>
                <w:rStyle w:val="Hyperlink"/>
                <w:noProof/>
              </w:rPr>
              <w:t>2.</w:t>
            </w:r>
            <w:r w:rsidR="002B7ED9">
              <w:rPr>
                <w:rFonts w:asciiTheme="minorHAnsi" w:eastAsiaTheme="minorEastAsia" w:hAnsiTheme="minorHAnsi" w:cstheme="minorBidi"/>
                <w:b w:val="0"/>
                <w:noProof/>
                <w:color w:val="auto"/>
                <w:sz w:val="22"/>
                <w:szCs w:val="22"/>
                <w:lang w:eastAsia="en-AU"/>
              </w:rPr>
              <w:tab/>
            </w:r>
            <w:r w:rsidR="002B7ED9" w:rsidRPr="00207DC0">
              <w:rPr>
                <w:rStyle w:val="Hyperlink"/>
                <w:noProof/>
              </w:rPr>
              <w:t>Pre-market Therapeutic Goods Administration assessment of nicotine e-liquids against a product standard</w:t>
            </w:r>
            <w:r w:rsidR="002B7ED9">
              <w:rPr>
                <w:noProof/>
                <w:webHidden/>
              </w:rPr>
              <w:tab/>
            </w:r>
            <w:r w:rsidR="002B7ED9">
              <w:rPr>
                <w:noProof/>
                <w:webHidden/>
              </w:rPr>
              <w:fldChar w:fldCharType="begin"/>
            </w:r>
            <w:r w:rsidR="002B7ED9">
              <w:rPr>
                <w:noProof/>
                <w:webHidden/>
              </w:rPr>
              <w:instrText xml:space="preserve"> PAGEREF _Toc151040378 \h </w:instrText>
            </w:r>
            <w:r w:rsidR="002B7ED9">
              <w:rPr>
                <w:noProof/>
                <w:webHidden/>
              </w:rPr>
            </w:r>
            <w:r w:rsidR="002B7ED9">
              <w:rPr>
                <w:noProof/>
                <w:webHidden/>
              </w:rPr>
              <w:fldChar w:fldCharType="separate"/>
            </w:r>
            <w:r w:rsidR="002B7ED9">
              <w:rPr>
                <w:noProof/>
                <w:webHidden/>
              </w:rPr>
              <w:t>79</w:t>
            </w:r>
            <w:r w:rsidR="002B7ED9">
              <w:rPr>
                <w:noProof/>
                <w:webHidden/>
              </w:rPr>
              <w:fldChar w:fldCharType="end"/>
            </w:r>
          </w:hyperlink>
        </w:p>
        <w:p w14:paraId="1444FD31" w14:textId="7ADA8184" w:rsidR="002B7ED9" w:rsidRDefault="007364C4">
          <w:pPr>
            <w:pStyle w:val="TOC3"/>
            <w:tabs>
              <w:tab w:val="left" w:pos="1587"/>
            </w:tabs>
            <w:rPr>
              <w:rFonts w:asciiTheme="minorHAnsi" w:eastAsiaTheme="minorEastAsia" w:hAnsiTheme="minorHAnsi" w:cstheme="minorBidi"/>
              <w:b w:val="0"/>
              <w:noProof/>
              <w:color w:val="auto"/>
              <w:sz w:val="22"/>
              <w:szCs w:val="22"/>
              <w:lang w:eastAsia="en-AU"/>
            </w:rPr>
          </w:pPr>
          <w:hyperlink w:anchor="_Toc151040379" w:history="1">
            <w:r w:rsidR="002B7ED9" w:rsidRPr="00207DC0">
              <w:rPr>
                <w:rStyle w:val="Hyperlink"/>
                <w:noProof/>
              </w:rPr>
              <w:t>3.</w:t>
            </w:r>
            <w:r w:rsidR="002B7ED9">
              <w:rPr>
                <w:rFonts w:asciiTheme="minorHAnsi" w:eastAsiaTheme="minorEastAsia" w:hAnsiTheme="minorHAnsi" w:cstheme="minorBidi"/>
                <w:b w:val="0"/>
                <w:noProof/>
                <w:color w:val="auto"/>
                <w:sz w:val="22"/>
                <w:szCs w:val="22"/>
                <w:lang w:eastAsia="en-AU"/>
              </w:rPr>
              <w:tab/>
            </w:r>
            <w:r w:rsidR="002B7ED9" w:rsidRPr="00207DC0">
              <w:rPr>
                <w:rStyle w:val="Hyperlink"/>
                <w:noProof/>
              </w:rPr>
              <w:t>Strengthening quality standards for nicotine e-liquids</w:t>
            </w:r>
            <w:r w:rsidR="002B7ED9">
              <w:rPr>
                <w:noProof/>
                <w:webHidden/>
              </w:rPr>
              <w:tab/>
            </w:r>
            <w:r w:rsidR="002B7ED9">
              <w:rPr>
                <w:noProof/>
                <w:webHidden/>
              </w:rPr>
              <w:fldChar w:fldCharType="begin"/>
            </w:r>
            <w:r w:rsidR="002B7ED9">
              <w:rPr>
                <w:noProof/>
                <w:webHidden/>
              </w:rPr>
              <w:instrText xml:space="preserve"> PAGEREF _Toc151040379 \h </w:instrText>
            </w:r>
            <w:r w:rsidR="002B7ED9">
              <w:rPr>
                <w:noProof/>
                <w:webHidden/>
              </w:rPr>
            </w:r>
            <w:r w:rsidR="002B7ED9">
              <w:rPr>
                <w:noProof/>
                <w:webHidden/>
              </w:rPr>
              <w:fldChar w:fldCharType="separate"/>
            </w:r>
            <w:r w:rsidR="002B7ED9">
              <w:rPr>
                <w:noProof/>
                <w:webHidden/>
              </w:rPr>
              <w:t>80</w:t>
            </w:r>
            <w:r w:rsidR="002B7ED9">
              <w:rPr>
                <w:noProof/>
                <w:webHidden/>
              </w:rPr>
              <w:fldChar w:fldCharType="end"/>
            </w:r>
          </w:hyperlink>
        </w:p>
        <w:p w14:paraId="35B20F2D" w14:textId="69DA3167" w:rsidR="002B7ED9" w:rsidRDefault="007364C4">
          <w:pPr>
            <w:pStyle w:val="TOC3"/>
            <w:tabs>
              <w:tab w:val="left" w:pos="1587"/>
            </w:tabs>
            <w:rPr>
              <w:rFonts w:asciiTheme="minorHAnsi" w:eastAsiaTheme="minorEastAsia" w:hAnsiTheme="minorHAnsi" w:cstheme="minorBidi"/>
              <w:b w:val="0"/>
              <w:noProof/>
              <w:color w:val="auto"/>
              <w:sz w:val="22"/>
              <w:szCs w:val="22"/>
              <w:lang w:eastAsia="en-AU"/>
            </w:rPr>
          </w:pPr>
          <w:hyperlink w:anchor="_Toc151040380" w:history="1">
            <w:r w:rsidR="002B7ED9" w:rsidRPr="00207DC0">
              <w:rPr>
                <w:rStyle w:val="Hyperlink"/>
                <w:noProof/>
              </w:rPr>
              <w:t>4.</w:t>
            </w:r>
            <w:r w:rsidR="002B7ED9">
              <w:rPr>
                <w:rFonts w:asciiTheme="minorHAnsi" w:eastAsiaTheme="minorEastAsia" w:hAnsiTheme="minorHAnsi" w:cstheme="minorBidi"/>
                <w:b w:val="0"/>
                <w:noProof/>
                <w:color w:val="auto"/>
                <w:sz w:val="22"/>
                <w:szCs w:val="22"/>
                <w:lang w:eastAsia="en-AU"/>
              </w:rPr>
              <w:tab/>
            </w:r>
            <w:r w:rsidR="002B7ED9" w:rsidRPr="00207DC0">
              <w:rPr>
                <w:rStyle w:val="Hyperlink"/>
                <w:noProof/>
              </w:rPr>
              <w:t>Clarifying the status of nicotine vaping products as ‘therapeutic goods’</w:t>
            </w:r>
            <w:r w:rsidR="002B7ED9">
              <w:rPr>
                <w:noProof/>
                <w:webHidden/>
              </w:rPr>
              <w:tab/>
            </w:r>
            <w:r w:rsidR="002B7ED9">
              <w:rPr>
                <w:noProof/>
                <w:webHidden/>
              </w:rPr>
              <w:fldChar w:fldCharType="begin"/>
            </w:r>
            <w:r w:rsidR="002B7ED9">
              <w:rPr>
                <w:noProof/>
                <w:webHidden/>
              </w:rPr>
              <w:instrText xml:space="preserve"> PAGEREF _Toc151040380 \h </w:instrText>
            </w:r>
            <w:r w:rsidR="002B7ED9">
              <w:rPr>
                <w:noProof/>
                <w:webHidden/>
              </w:rPr>
            </w:r>
            <w:r w:rsidR="002B7ED9">
              <w:rPr>
                <w:noProof/>
                <w:webHidden/>
              </w:rPr>
              <w:fldChar w:fldCharType="separate"/>
            </w:r>
            <w:r w:rsidR="002B7ED9">
              <w:rPr>
                <w:noProof/>
                <w:webHidden/>
              </w:rPr>
              <w:t>80</w:t>
            </w:r>
            <w:r w:rsidR="002B7ED9">
              <w:rPr>
                <w:noProof/>
                <w:webHidden/>
              </w:rPr>
              <w:fldChar w:fldCharType="end"/>
            </w:r>
          </w:hyperlink>
        </w:p>
        <w:p w14:paraId="0AFD0B0A" w14:textId="0E2FB4F0"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81" w:history="1">
            <w:r w:rsidR="002B7ED9" w:rsidRPr="00207DC0">
              <w:rPr>
                <w:rStyle w:val="Hyperlink"/>
                <w:noProof/>
              </w:rPr>
              <w:t>2023 Consultation</w:t>
            </w:r>
            <w:r w:rsidR="002B7ED9">
              <w:rPr>
                <w:noProof/>
                <w:webHidden/>
              </w:rPr>
              <w:tab/>
            </w:r>
            <w:r w:rsidR="002B7ED9">
              <w:rPr>
                <w:noProof/>
                <w:webHidden/>
              </w:rPr>
              <w:fldChar w:fldCharType="begin"/>
            </w:r>
            <w:r w:rsidR="002B7ED9">
              <w:rPr>
                <w:noProof/>
                <w:webHidden/>
              </w:rPr>
              <w:instrText xml:space="preserve"> PAGEREF _Toc151040381 \h </w:instrText>
            </w:r>
            <w:r w:rsidR="002B7ED9">
              <w:rPr>
                <w:noProof/>
                <w:webHidden/>
              </w:rPr>
            </w:r>
            <w:r w:rsidR="002B7ED9">
              <w:rPr>
                <w:noProof/>
                <w:webHidden/>
              </w:rPr>
              <w:fldChar w:fldCharType="separate"/>
            </w:r>
            <w:r w:rsidR="002B7ED9">
              <w:rPr>
                <w:noProof/>
                <w:webHidden/>
              </w:rPr>
              <w:t>80</w:t>
            </w:r>
            <w:r w:rsidR="002B7ED9">
              <w:rPr>
                <w:noProof/>
                <w:webHidden/>
              </w:rPr>
              <w:fldChar w:fldCharType="end"/>
            </w:r>
          </w:hyperlink>
        </w:p>
        <w:p w14:paraId="289D425F" w14:textId="0652BC49"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82" w:history="1">
            <w:r w:rsidR="002B7ED9" w:rsidRPr="00207DC0">
              <w:rPr>
                <w:rStyle w:val="Hyperlink"/>
                <w:noProof/>
              </w:rPr>
              <w:t>Stakeholder feedback during the 2023 Consultation</w:t>
            </w:r>
            <w:r w:rsidR="002B7ED9">
              <w:rPr>
                <w:noProof/>
                <w:webHidden/>
              </w:rPr>
              <w:tab/>
            </w:r>
            <w:r w:rsidR="002B7ED9">
              <w:rPr>
                <w:noProof/>
                <w:webHidden/>
              </w:rPr>
              <w:fldChar w:fldCharType="begin"/>
            </w:r>
            <w:r w:rsidR="002B7ED9">
              <w:rPr>
                <w:noProof/>
                <w:webHidden/>
              </w:rPr>
              <w:instrText xml:space="preserve"> PAGEREF _Toc151040382 \h </w:instrText>
            </w:r>
            <w:r w:rsidR="002B7ED9">
              <w:rPr>
                <w:noProof/>
                <w:webHidden/>
              </w:rPr>
            </w:r>
            <w:r w:rsidR="002B7ED9">
              <w:rPr>
                <w:noProof/>
                <w:webHidden/>
              </w:rPr>
              <w:fldChar w:fldCharType="separate"/>
            </w:r>
            <w:r w:rsidR="002B7ED9">
              <w:rPr>
                <w:noProof/>
                <w:webHidden/>
              </w:rPr>
              <w:t>81</w:t>
            </w:r>
            <w:r w:rsidR="002B7ED9">
              <w:rPr>
                <w:noProof/>
                <w:webHidden/>
              </w:rPr>
              <w:fldChar w:fldCharType="end"/>
            </w:r>
          </w:hyperlink>
        </w:p>
        <w:p w14:paraId="3407F1C8" w14:textId="37B083BB"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83" w:history="1">
            <w:r w:rsidR="002B7ED9" w:rsidRPr="00207DC0">
              <w:rPr>
                <w:rStyle w:val="Hyperlink"/>
                <w:noProof/>
              </w:rPr>
              <w:t>Proposal 1 – Restrictions on importation, manufacture and supply of all vapes, other than therapeutic vapes</w:t>
            </w:r>
            <w:r w:rsidR="002B7ED9">
              <w:rPr>
                <w:noProof/>
                <w:webHidden/>
              </w:rPr>
              <w:tab/>
            </w:r>
            <w:r w:rsidR="002B7ED9">
              <w:rPr>
                <w:noProof/>
                <w:webHidden/>
              </w:rPr>
              <w:fldChar w:fldCharType="begin"/>
            </w:r>
            <w:r w:rsidR="002B7ED9">
              <w:rPr>
                <w:noProof/>
                <w:webHidden/>
              </w:rPr>
              <w:instrText xml:space="preserve"> PAGEREF _Toc151040383 \h </w:instrText>
            </w:r>
            <w:r w:rsidR="002B7ED9">
              <w:rPr>
                <w:noProof/>
                <w:webHidden/>
              </w:rPr>
            </w:r>
            <w:r w:rsidR="002B7ED9">
              <w:rPr>
                <w:noProof/>
                <w:webHidden/>
              </w:rPr>
              <w:fldChar w:fldCharType="separate"/>
            </w:r>
            <w:r w:rsidR="002B7ED9">
              <w:rPr>
                <w:noProof/>
                <w:webHidden/>
              </w:rPr>
              <w:t>82</w:t>
            </w:r>
            <w:r w:rsidR="002B7ED9">
              <w:rPr>
                <w:noProof/>
                <w:webHidden/>
              </w:rPr>
              <w:fldChar w:fldCharType="end"/>
            </w:r>
          </w:hyperlink>
        </w:p>
        <w:p w14:paraId="2FD35322" w14:textId="6367367E"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84" w:history="1">
            <w:r w:rsidR="002B7ED9" w:rsidRPr="00207DC0">
              <w:rPr>
                <w:rStyle w:val="Hyperlink"/>
                <w:noProof/>
              </w:rPr>
              <w:t>Proposal 2 - Changes to market accessibility requirements for therapeutic vapes</w:t>
            </w:r>
            <w:r w:rsidR="002B7ED9">
              <w:rPr>
                <w:noProof/>
                <w:webHidden/>
              </w:rPr>
              <w:tab/>
            </w:r>
            <w:r w:rsidR="002B7ED9">
              <w:rPr>
                <w:noProof/>
                <w:webHidden/>
              </w:rPr>
              <w:fldChar w:fldCharType="begin"/>
            </w:r>
            <w:r w:rsidR="002B7ED9">
              <w:rPr>
                <w:noProof/>
                <w:webHidden/>
              </w:rPr>
              <w:instrText xml:space="preserve"> PAGEREF _Toc151040384 \h </w:instrText>
            </w:r>
            <w:r w:rsidR="002B7ED9">
              <w:rPr>
                <w:noProof/>
                <w:webHidden/>
              </w:rPr>
            </w:r>
            <w:r w:rsidR="002B7ED9">
              <w:rPr>
                <w:noProof/>
                <w:webHidden/>
              </w:rPr>
              <w:fldChar w:fldCharType="separate"/>
            </w:r>
            <w:r w:rsidR="002B7ED9">
              <w:rPr>
                <w:noProof/>
                <w:webHidden/>
              </w:rPr>
              <w:t>83</w:t>
            </w:r>
            <w:r w:rsidR="002B7ED9">
              <w:rPr>
                <w:noProof/>
                <w:webHidden/>
              </w:rPr>
              <w:fldChar w:fldCharType="end"/>
            </w:r>
          </w:hyperlink>
        </w:p>
        <w:p w14:paraId="59291225" w14:textId="42BCD7E4"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85" w:history="1">
            <w:r w:rsidR="002B7ED9" w:rsidRPr="00207DC0">
              <w:rPr>
                <w:rStyle w:val="Hyperlink"/>
                <w:noProof/>
              </w:rPr>
              <w:t>Proposal 3 - Heightened quality and safety standards for therapeutic vapes</w:t>
            </w:r>
            <w:r w:rsidR="002B7ED9">
              <w:rPr>
                <w:noProof/>
                <w:webHidden/>
              </w:rPr>
              <w:tab/>
            </w:r>
            <w:r w:rsidR="002B7ED9">
              <w:rPr>
                <w:noProof/>
                <w:webHidden/>
              </w:rPr>
              <w:fldChar w:fldCharType="begin"/>
            </w:r>
            <w:r w:rsidR="002B7ED9">
              <w:rPr>
                <w:noProof/>
                <w:webHidden/>
              </w:rPr>
              <w:instrText xml:space="preserve"> PAGEREF _Toc151040385 \h </w:instrText>
            </w:r>
            <w:r w:rsidR="002B7ED9">
              <w:rPr>
                <w:noProof/>
                <w:webHidden/>
              </w:rPr>
            </w:r>
            <w:r w:rsidR="002B7ED9">
              <w:rPr>
                <w:noProof/>
                <w:webHidden/>
              </w:rPr>
              <w:fldChar w:fldCharType="separate"/>
            </w:r>
            <w:r w:rsidR="002B7ED9">
              <w:rPr>
                <w:noProof/>
                <w:webHidden/>
              </w:rPr>
              <w:t>84</w:t>
            </w:r>
            <w:r w:rsidR="002B7ED9">
              <w:rPr>
                <w:noProof/>
                <w:webHidden/>
              </w:rPr>
              <w:fldChar w:fldCharType="end"/>
            </w:r>
          </w:hyperlink>
        </w:p>
        <w:p w14:paraId="17AA0AA2" w14:textId="360550C1"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86" w:history="1">
            <w:r w:rsidR="002B7ED9" w:rsidRPr="00207DC0">
              <w:rPr>
                <w:rStyle w:val="Hyperlink"/>
                <w:noProof/>
              </w:rPr>
              <w:t>Proposal 4 – Strengthening domestic compliance and enforcement mechanisms.</w:t>
            </w:r>
            <w:r w:rsidR="002B7ED9">
              <w:rPr>
                <w:noProof/>
                <w:webHidden/>
              </w:rPr>
              <w:tab/>
            </w:r>
            <w:r w:rsidR="002B7ED9">
              <w:rPr>
                <w:noProof/>
                <w:webHidden/>
              </w:rPr>
              <w:fldChar w:fldCharType="begin"/>
            </w:r>
            <w:r w:rsidR="002B7ED9">
              <w:rPr>
                <w:noProof/>
                <w:webHidden/>
              </w:rPr>
              <w:instrText xml:space="preserve"> PAGEREF _Toc151040386 \h </w:instrText>
            </w:r>
            <w:r w:rsidR="002B7ED9">
              <w:rPr>
                <w:noProof/>
                <w:webHidden/>
              </w:rPr>
            </w:r>
            <w:r w:rsidR="002B7ED9">
              <w:rPr>
                <w:noProof/>
                <w:webHidden/>
              </w:rPr>
              <w:fldChar w:fldCharType="separate"/>
            </w:r>
            <w:r w:rsidR="002B7ED9">
              <w:rPr>
                <w:noProof/>
                <w:webHidden/>
              </w:rPr>
              <w:t>86</w:t>
            </w:r>
            <w:r w:rsidR="002B7ED9">
              <w:rPr>
                <w:noProof/>
                <w:webHidden/>
              </w:rPr>
              <w:fldChar w:fldCharType="end"/>
            </w:r>
          </w:hyperlink>
        </w:p>
        <w:p w14:paraId="71669F9F" w14:textId="36636686"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87" w:history="1">
            <w:r w:rsidR="002B7ED9" w:rsidRPr="00207DC0">
              <w:rPr>
                <w:rStyle w:val="Hyperlink"/>
                <w:noProof/>
              </w:rPr>
              <w:t>General questions</w:t>
            </w:r>
            <w:r w:rsidR="002B7ED9">
              <w:rPr>
                <w:noProof/>
                <w:webHidden/>
              </w:rPr>
              <w:tab/>
            </w:r>
            <w:r w:rsidR="002B7ED9">
              <w:rPr>
                <w:noProof/>
                <w:webHidden/>
              </w:rPr>
              <w:fldChar w:fldCharType="begin"/>
            </w:r>
            <w:r w:rsidR="002B7ED9">
              <w:rPr>
                <w:noProof/>
                <w:webHidden/>
              </w:rPr>
              <w:instrText xml:space="preserve"> PAGEREF _Toc151040387 \h </w:instrText>
            </w:r>
            <w:r w:rsidR="002B7ED9">
              <w:rPr>
                <w:noProof/>
                <w:webHidden/>
              </w:rPr>
            </w:r>
            <w:r w:rsidR="002B7ED9">
              <w:rPr>
                <w:noProof/>
                <w:webHidden/>
              </w:rPr>
              <w:fldChar w:fldCharType="separate"/>
            </w:r>
            <w:r w:rsidR="002B7ED9">
              <w:rPr>
                <w:noProof/>
                <w:webHidden/>
              </w:rPr>
              <w:t>87</w:t>
            </w:r>
            <w:r w:rsidR="002B7ED9">
              <w:rPr>
                <w:noProof/>
                <w:webHidden/>
              </w:rPr>
              <w:fldChar w:fldCharType="end"/>
            </w:r>
          </w:hyperlink>
        </w:p>
        <w:p w14:paraId="09068E80" w14:textId="2B7B12A3"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88" w:history="1">
            <w:r w:rsidR="002B7ED9" w:rsidRPr="00207DC0">
              <w:rPr>
                <w:rStyle w:val="Hyperlink"/>
                <w:noProof/>
              </w:rPr>
              <w:t>How this feedback informed policy development</w:t>
            </w:r>
            <w:r w:rsidR="002B7ED9">
              <w:rPr>
                <w:noProof/>
                <w:webHidden/>
              </w:rPr>
              <w:tab/>
            </w:r>
            <w:r w:rsidR="002B7ED9">
              <w:rPr>
                <w:noProof/>
                <w:webHidden/>
              </w:rPr>
              <w:fldChar w:fldCharType="begin"/>
            </w:r>
            <w:r w:rsidR="002B7ED9">
              <w:rPr>
                <w:noProof/>
                <w:webHidden/>
              </w:rPr>
              <w:instrText xml:space="preserve"> PAGEREF _Toc151040388 \h </w:instrText>
            </w:r>
            <w:r w:rsidR="002B7ED9">
              <w:rPr>
                <w:noProof/>
                <w:webHidden/>
              </w:rPr>
            </w:r>
            <w:r w:rsidR="002B7ED9">
              <w:rPr>
                <w:noProof/>
                <w:webHidden/>
              </w:rPr>
              <w:fldChar w:fldCharType="separate"/>
            </w:r>
            <w:r w:rsidR="002B7ED9">
              <w:rPr>
                <w:noProof/>
                <w:webHidden/>
              </w:rPr>
              <w:t>87</w:t>
            </w:r>
            <w:r w:rsidR="002B7ED9">
              <w:rPr>
                <w:noProof/>
                <w:webHidden/>
              </w:rPr>
              <w:fldChar w:fldCharType="end"/>
            </w:r>
          </w:hyperlink>
        </w:p>
        <w:p w14:paraId="5B95822A" w14:textId="03B0CB8A" w:rsidR="002B7ED9" w:rsidRDefault="007364C4">
          <w:pPr>
            <w:pStyle w:val="TOC1"/>
            <w:rPr>
              <w:rFonts w:asciiTheme="minorHAnsi" w:eastAsiaTheme="minorEastAsia" w:hAnsiTheme="minorHAnsi" w:cstheme="minorBidi"/>
              <w:b w:val="0"/>
              <w:noProof/>
              <w:color w:val="auto"/>
              <w:sz w:val="22"/>
              <w:szCs w:val="22"/>
              <w:lang w:eastAsia="en-AU"/>
            </w:rPr>
          </w:pPr>
          <w:hyperlink w:anchor="_Toc151040389" w:history="1">
            <w:r w:rsidR="002B7ED9" w:rsidRPr="00207DC0">
              <w:rPr>
                <w:rStyle w:val="Hyperlink"/>
                <w:noProof/>
              </w:rPr>
              <w:t>Question Six: What is the best option from those you have considered and how will it be implemented?</w:t>
            </w:r>
            <w:r w:rsidR="002B7ED9">
              <w:rPr>
                <w:noProof/>
                <w:webHidden/>
              </w:rPr>
              <w:tab/>
            </w:r>
            <w:r w:rsidR="002B7ED9">
              <w:rPr>
                <w:noProof/>
                <w:webHidden/>
              </w:rPr>
              <w:fldChar w:fldCharType="begin"/>
            </w:r>
            <w:r w:rsidR="002B7ED9">
              <w:rPr>
                <w:noProof/>
                <w:webHidden/>
              </w:rPr>
              <w:instrText xml:space="preserve"> PAGEREF _Toc151040389 \h </w:instrText>
            </w:r>
            <w:r w:rsidR="002B7ED9">
              <w:rPr>
                <w:noProof/>
                <w:webHidden/>
              </w:rPr>
            </w:r>
            <w:r w:rsidR="002B7ED9">
              <w:rPr>
                <w:noProof/>
                <w:webHidden/>
              </w:rPr>
              <w:fldChar w:fldCharType="separate"/>
            </w:r>
            <w:r w:rsidR="002B7ED9">
              <w:rPr>
                <w:noProof/>
                <w:webHidden/>
              </w:rPr>
              <w:t>89</w:t>
            </w:r>
            <w:r w:rsidR="002B7ED9">
              <w:rPr>
                <w:noProof/>
                <w:webHidden/>
              </w:rPr>
              <w:fldChar w:fldCharType="end"/>
            </w:r>
          </w:hyperlink>
        </w:p>
        <w:p w14:paraId="11AF71E8" w14:textId="0FD7D5AD" w:rsidR="002B7ED9" w:rsidRDefault="007364C4">
          <w:pPr>
            <w:pStyle w:val="TOC2"/>
            <w:rPr>
              <w:rFonts w:asciiTheme="minorHAnsi" w:eastAsiaTheme="minorEastAsia" w:hAnsiTheme="minorHAnsi" w:cstheme="minorBidi"/>
              <w:b w:val="0"/>
              <w:noProof/>
              <w:color w:val="auto"/>
              <w:sz w:val="22"/>
              <w:szCs w:val="22"/>
              <w:lang w:eastAsia="en-AU"/>
            </w:rPr>
          </w:pPr>
          <w:hyperlink w:anchor="_Toc151040390" w:history="1">
            <w:r w:rsidR="002B7ED9" w:rsidRPr="00207DC0">
              <w:rPr>
                <w:rStyle w:val="Hyperlink"/>
                <w:noProof/>
              </w:rPr>
              <w:t>What is the best option?</w:t>
            </w:r>
            <w:r w:rsidR="002B7ED9">
              <w:rPr>
                <w:noProof/>
                <w:webHidden/>
              </w:rPr>
              <w:tab/>
            </w:r>
            <w:r w:rsidR="002B7ED9">
              <w:rPr>
                <w:noProof/>
                <w:webHidden/>
              </w:rPr>
              <w:fldChar w:fldCharType="begin"/>
            </w:r>
            <w:r w:rsidR="002B7ED9">
              <w:rPr>
                <w:noProof/>
                <w:webHidden/>
              </w:rPr>
              <w:instrText xml:space="preserve"> PAGEREF _Toc151040390 \h </w:instrText>
            </w:r>
            <w:r w:rsidR="002B7ED9">
              <w:rPr>
                <w:noProof/>
                <w:webHidden/>
              </w:rPr>
            </w:r>
            <w:r w:rsidR="002B7ED9">
              <w:rPr>
                <w:noProof/>
                <w:webHidden/>
              </w:rPr>
              <w:fldChar w:fldCharType="separate"/>
            </w:r>
            <w:r w:rsidR="002B7ED9">
              <w:rPr>
                <w:noProof/>
                <w:webHidden/>
              </w:rPr>
              <w:t>89</w:t>
            </w:r>
            <w:r w:rsidR="002B7ED9">
              <w:rPr>
                <w:noProof/>
                <w:webHidden/>
              </w:rPr>
              <w:fldChar w:fldCharType="end"/>
            </w:r>
          </w:hyperlink>
        </w:p>
        <w:p w14:paraId="12B1934C" w14:textId="1FF34C90"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91" w:history="1">
            <w:r w:rsidR="002B7ED9" w:rsidRPr="00207DC0">
              <w:rPr>
                <w:rStyle w:val="Hyperlink"/>
                <w:noProof/>
              </w:rPr>
              <w:t>Option 1 – Maintain the status quo (no change)</w:t>
            </w:r>
            <w:r w:rsidR="002B7ED9">
              <w:rPr>
                <w:noProof/>
                <w:webHidden/>
              </w:rPr>
              <w:tab/>
            </w:r>
            <w:r w:rsidR="002B7ED9">
              <w:rPr>
                <w:noProof/>
                <w:webHidden/>
              </w:rPr>
              <w:fldChar w:fldCharType="begin"/>
            </w:r>
            <w:r w:rsidR="002B7ED9">
              <w:rPr>
                <w:noProof/>
                <w:webHidden/>
              </w:rPr>
              <w:instrText xml:space="preserve"> PAGEREF _Toc151040391 \h </w:instrText>
            </w:r>
            <w:r w:rsidR="002B7ED9">
              <w:rPr>
                <w:noProof/>
                <w:webHidden/>
              </w:rPr>
            </w:r>
            <w:r w:rsidR="002B7ED9">
              <w:rPr>
                <w:noProof/>
                <w:webHidden/>
              </w:rPr>
              <w:fldChar w:fldCharType="separate"/>
            </w:r>
            <w:r w:rsidR="002B7ED9">
              <w:rPr>
                <w:noProof/>
                <w:webHidden/>
              </w:rPr>
              <w:t>89</w:t>
            </w:r>
            <w:r w:rsidR="002B7ED9">
              <w:rPr>
                <w:noProof/>
                <w:webHidden/>
              </w:rPr>
              <w:fldChar w:fldCharType="end"/>
            </w:r>
          </w:hyperlink>
        </w:p>
        <w:p w14:paraId="416C7F0F" w14:textId="2D5A9406"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92" w:history="1">
            <w:r w:rsidR="002B7ED9" w:rsidRPr="00207DC0">
              <w:rPr>
                <w:rStyle w:val="Hyperlink"/>
                <w:noProof/>
              </w:rPr>
              <w:t>Option 2 – Regulating vapes under a consumer model</w:t>
            </w:r>
            <w:r w:rsidR="002B7ED9">
              <w:rPr>
                <w:noProof/>
                <w:webHidden/>
              </w:rPr>
              <w:tab/>
            </w:r>
            <w:r w:rsidR="002B7ED9">
              <w:rPr>
                <w:noProof/>
                <w:webHidden/>
              </w:rPr>
              <w:fldChar w:fldCharType="begin"/>
            </w:r>
            <w:r w:rsidR="002B7ED9">
              <w:rPr>
                <w:noProof/>
                <w:webHidden/>
              </w:rPr>
              <w:instrText xml:space="preserve"> PAGEREF _Toc151040392 \h </w:instrText>
            </w:r>
            <w:r w:rsidR="002B7ED9">
              <w:rPr>
                <w:noProof/>
                <w:webHidden/>
              </w:rPr>
            </w:r>
            <w:r w:rsidR="002B7ED9">
              <w:rPr>
                <w:noProof/>
                <w:webHidden/>
              </w:rPr>
              <w:fldChar w:fldCharType="separate"/>
            </w:r>
            <w:r w:rsidR="002B7ED9">
              <w:rPr>
                <w:noProof/>
                <w:webHidden/>
              </w:rPr>
              <w:t>89</w:t>
            </w:r>
            <w:r w:rsidR="002B7ED9">
              <w:rPr>
                <w:noProof/>
                <w:webHidden/>
              </w:rPr>
              <w:fldChar w:fldCharType="end"/>
            </w:r>
          </w:hyperlink>
        </w:p>
        <w:p w14:paraId="7A5341FB" w14:textId="18B24C4A"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93" w:history="1">
            <w:r w:rsidR="002B7ED9" w:rsidRPr="00207DC0">
              <w:rPr>
                <w:rStyle w:val="Hyperlink"/>
                <w:noProof/>
              </w:rPr>
              <w:t>Option 3 – Increased regulation of vapes through the Therapeutic Goods Act and Customs Regulations</w:t>
            </w:r>
            <w:r w:rsidR="002B7ED9">
              <w:rPr>
                <w:noProof/>
                <w:webHidden/>
              </w:rPr>
              <w:tab/>
            </w:r>
            <w:r w:rsidR="002B7ED9">
              <w:rPr>
                <w:noProof/>
                <w:webHidden/>
              </w:rPr>
              <w:fldChar w:fldCharType="begin"/>
            </w:r>
            <w:r w:rsidR="002B7ED9">
              <w:rPr>
                <w:noProof/>
                <w:webHidden/>
              </w:rPr>
              <w:instrText xml:space="preserve"> PAGEREF _Toc151040393 \h </w:instrText>
            </w:r>
            <w:r w:rsidR="002B7ED9">
              <w:rPr>
                <w:noProof/>
                <w:webHidden/>
              </w:rPr>
            </w:r>
            <w:r w:rsidR="002B7ED9">
              <w:rPr>
                <w:noProof/>
                <w:webHidden/>
              </w:rPr>
              <w:fldChar w:fldCharType="separate"/>
            </w:r>
            <w:r w:rsidR="002B7ED9">
              <w:rPr>
                <w:noProof/>
                <w:webHidden/>
              </w:rPr>
              <w:t>90</w:t>
            </w:r>
            <w:r w:rsidR="002B7ED9">
              <w:rPr>
                <w:noProof/>
                <w:webHidden/>
              </w:rPr>
              <w:fldChar w:fldCharType="end"/>
            </w:r>
          </w:hyperlink>
        </w:p>
        <w:p w14:paraId="67172AB9" w14:textId="27FCDA91"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94" w:history="1">
            <w:r w:rsidR="002B7ED9" w:rsidRPr="00207DC0">
              <w:rPr>
                <w:rStyle w:val="Hyperlink"/>
                <w:noProof/>
              </w:rPr>
              <w:t>Option 4 – Ban on non-therapeutic vapes and require therapeutic vapes to be registered on the Australian Register of Therapeuti</w:t>
            </w:r>
            <w:r w:rsidR="002B7ED9" w:rsidRPr="00207DC0">
              <w:rPr>
                <w:rStyle w:val="Hyperlink"/>
                <w:rFonts w:eastAsia="Times New Roman"/>
                <w:i/>
                <w:noProof/>
              </w:rPr>
              <w:t>c Goods and not available as ‘unapproved’ therapeutic goods</w:t>
            </w:r>
            <w:r w:rsidR="002B7ED9">
              <w:rPr>
                <w:noProof/>
                <w:webHidden/>
              </w:rPr>
              <w:tab/>
            </w:r>
            <w:r w:rsidR="002B7ED9">
              <w:rPr>
                <w:noProof/>
                <w:webHidden/>
              </w:rPr>
              <w:fldChar w:fldCharType="begin"/>
            </w:r>
            <w:r w:rsidR="002B7ED9">
              <w:rPr>
                <w:noProof/>
                <w:webHidden/>
              </w:rPr>
              <w:instrText xml:space="preserve"> PAGEREF _Toc151040394 \h </w:instrText>
            </w:r>
            <w:r w:rsidR="002B7ED9">
              <w:rPr>
                <w:noProof/>
                <w:webHidden/>
              </w:rPr>
            </w:r>
            <w:r w:rsidR="002B7ED9">
              <w:rPr>
                <w:noProof/>
                <w:webHidden/>
              </w:rPr>
              <w:fldChar w:fldCharType="separate"/>
            </w:r>
            <w:r w:rsidR="002B7ED9">
              <w:rPr>
                <w:noProof/>
                <w:webHidden/>
              </w:rPr>
              <w:t>91</w:t>
            </w:r>
            <w:r w:rsidR="002B7ED9">
              <w:rPr>
                <w:noProof/>
                <w:webHidden/>
              </w:rPr>
              <w:fldChar w:fldCharType="end"/>
            </w:r>
          </w:hyperlink>
        </w:p>
        <w:p w14:paraId="7ECEF4D0" w14:textId="31D00ABC"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95" w:history="1">
            <w:r w:rsidR="002B7ED9" w:rsidRPr="00207DC0">
              <w:rPr>
                <w:rStyle w:val="Hyperlink"/>
                <w:noProof/>
              </w:rPr>
              <w:t>Implementation approach</w:t>
            </w:r>
            <w:r w:rsidR="002B7ED9">
              <w:rPr>
                <w:noProof/>
                <w:webHidden/>
              </w:rPr>
              <w:tab/>
            </w:r>
            <w:r w:rsidR="002B7ED9">
              <w:rPr>
                <w:noProof/>
                <w:webHidden/>
              </w:rPr>
              <w:fldChar w:fldCharType="begin"/>
            </w:r>
            <w:r w:rsidR="002B7ED9">
              <w:rPr>
                <w:noProof/>
                <w:webHidden/>
              </w:rPr>
              <w:instrText xml:space="preserve"> PAGEREF _Toc151040395 \h </w:instrText>
            </w:r>
            <w:r w:rsidR="002B7ED9">
              <w:rPr>
                <w:noProof/>
                <w:webHidden/>
              </w:rPr>
            </w:r>
            <w:r w:rsidR="002B7ED9">
              <w:rPr>
                <w:noProof/>
                <w:webHidden/>
              </w:rPr>
              <w:fldChar w:fldCharType="separate"/>
            </w:r>
            <w:r w:rsidR="002B7ED9">
              <w:rPr>
                <w:noProof/>
                <w:webHidden/>
              </w:rPr>
              <w:t>92</w:t>
            </w:r>
            <w:r w:rsidR="002B7ED9">
              <w:rPr>
                <w:noProof/>
                <w:webHidden/>
              </w:rPr>
              <w:fldChar w:fldCharType="end"/>
            </w:r>
          </w:hyperlink>
        </w:p>
        <w:p w14:paraId="6492C832" w14:textId="612D2765"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96" w:history="1">
            <w:r w:rsidR="002B7ED9" w:rsidRPr="00207DC0">
              <w:rPr>
                <w:rStyle w:val="Hyperlink"/>
                <w:noProof/>
              </w:rPr>
              <w:t>Who will be involved in the implementation of Option 3?</w:t>
            </w:r>
            <w:r w:rsidR="002B7ED9">
              <w:rPr>
                <w:noProof/>
                <w:webHidden/>
              </w:rPr>
              <w:tab/>
            </w:r>
            <w:r w:rsidR="002B7ED9">
              <w:rPr>
                <w:noProof/>
                <w:webHidden/>
              </w:rPr>
              <w:fldChar w:fldCharType="begin"/>
            </w:r>
            <w:r w:rsidR="002B7ED9">
              <w:rPr>
                <w:noProof/>
                <w:webHidden/>
              </w:rPr>
              <w:instrText xml:space="preserve"> PAGEREF _Toc151040396 \h </w:instrText>
            </w:r>
            <w:r w:rsidR="002B7ED9">
              <w:rPr>
                <w:noProof/>
                <w:webHidden/>
              </w:rPr>
            </w:r>
            <w:r w:rsidR="002B7ED9">
              <w:rPr>
                <w:noProof/>
                <w:webHidden/>
              </w:rPr>
              <w:fldChar w:fldCharType="separate"/>
            </w:r>
            <w:r w:rsidR="002B7ED9">
              <w:rPr>
                <w:noProof/>
                <w:webHidden/>
              </w:rPr>
              <w:t>93</w:t>
            </w:r>
            <w:r w:rsidR="002B7ED9">
              <w:rPr>
                <w:noProof/>
                <w:webHidden/>
              </w:rPr>
              <w:fldChar w:fldCharType="end"/>
            </w:r>
          </w:hyperlink>
        </w:p>
        <w:p w14:paraId="6E171116" w14:textId="1F2A31D9"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97" w:history="1">
            <w:r w:rsidR="002B7ED9" w:rsidRPr="00207DC0">
              <w:rPr>
                <w:rStyle w:val="Hyperlink"/>
                <w:noProof/>
              </w:rPr>
              <w:t>What legislative amendments will be required for the implementation of Option 3?</w:t>
            </w:r>
            <w:r w:rsidR="002B7ED9">
              <w:rPr>
                <w:noProof/>
                <w:webHidden/>
              </w:rPr>
              <w:tab/>
            </w:r>
            <w:r w:rsidR="002B7ED9">
              <w:rPr>
                <w:noProof/>
                <w:webHidden/>
              </w:rPr>
              <w:fldChar w:fldCharType="begin"/>
            </w:r>
            <w:r w:rsidR="002B7ED9">
              <w:rPr>
                <w:noProof/>
                <w:webHidden/>
              </w:rPr>
              <w:instrText xml:space="preserve"> PAGEREF _Toc151040397 \h </w:instrText>
            </w:r>
            <w:r w:rsidR="002B7ED9">
              <w:rPr>
                <w:noProof/>
                <w:webHidden/>
              </w:rPr>
            </w:r>
            <w:r w:rsidR="002B7ED9">
              <w:rPr>
                <w:noProof/>
                <w:webHidden/>
              </w:rPr>
              <w:fldChar w:fldCharType="separate"/>
            </w:r>
            <w:r w:rsidR="002B7ED9">
              <w:rPr>
                <w:noProof/>
                <w:webHidden/>
              </w:rPr>
              <w:t>93</w:t>
            </w:r>
            <w:r w:rsidR="002B7ED9">
              <w:rPr>
                <w:noProof/>
                <w:webHidden/>
              </w:rPr>
              <w:fldChar w:fldCharType="end"/>
            </w:r>
          </w:hyperlink>
        </w:p>
        <w:p w14:paraId="05F75A8D" w14:textId="11D4EDCC"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98" w:history="1">
            <w:r w:rsidR="002B7ED9" w:rsidRPr="00207DC0">
              <w:rPr>
                <w:rStyle w:val="Hyperlink"/>
                <w:noProof/>
              </w:rPr>
              <w:t>What is the timing for implementation of Option 3?</w:t>
            </w:r>
            <w:r w:rsidR="002B7ED9">
              <w:rPr>
                <w:noProof/>
                <w:webHidden/>
              </w:rPr>
              <w:tab/>
            </w:r>
            <w:r w:rsidR="002B7ED9">
              <w:rPr>
                <w:noProof/>
                <w:webHidden/>
              </w:rPr>
              <w:fldChar w:fldCharType="begin"/>
            </w:r>
            <w:r w:rsidR="002B7ED9">
              <w:rPr>
                <w:noProof/>
                <w:webHidden/>
              </w:rPr>
              <w:instrText xml:space="preserve"> PAGEREF _Toc151040398 \h </w:instrText>
            </w:r>
            <w:r w:rsidR="002B7ED9">
              <w:rPr>
                <w:noProof/>
                <w:webHidden/>
              </w:rPr>
            </w:r>
            <w:r w:rsidR="002B7ED9">
              <w:rPr>
                <w:noProof/>
                <w:webHidden/>
              </w:rPr>
              <w:fldChar w:fldCharType="separate"/>
            </w:r>
            <w:r w:rsidR="002B7ED9">
              <w:rPr>
                <w:noProof/>
                <w:webHidden/>
              </w:rPr>
              <w:t>94</w:t>
            </w:r>
            <w:r w:rsidR="002B7ED9">
              <w:rPr>
                <w:noProof/>
                <w:webHidden/>
              </w:rPr>
              <w:fldChar w:fldCharType="end"/>
            </w:r>
          </w:hyperlink>
        </w:p>
        <w:p w14:paraId="7D5999E0" w14:textId="3A2AE010" w:rsidR="002B7ED9" w:rsidRDefault="007364C4">
          <w:pPr>
            <w:pStyle w:val="TOC3"/>
            <w:rPr>
              <w:rFonts w:asciiTheme="minorHAnsi" w:eastAsiaTheme="minorEastAsia" w:hAnsiTheme="minorHAnsi" w:cstheme="minorBidi"/>
              <w:b w:val="0"/>
              <w:noProof/>
              <w:color w:val="auto"/>
              <w:sz w:val="22"/>
              <w:szCs w:val="22"/>
              <w:lang w:eastAsia="en-AU"/>
            </w:rPr>
          </w:pPr>
          <w:hyperlink w:anchor="_Toc151040399" w:history="1">
            <w:r w:rsidR="002B7ED9" w:rsidRPr="00207DC0">
              <w:rPr>
                <w:rStyle w:val="Hyperlink"/>
                <w:noProof/>
              </w:rPr>
              <w:t>Implementation issues and risks</w:t>
            </w:r>
            <w:r w:rsidR="002B7ED9">
              <w:rPr>
                <w:noProof/>
                <w:webHidden/>
              </w:rPr>
              <w:tab/>
            </w:r>
            <w:r w:rsidR="002B7ED9">
              <w:rPr>
                <w:noProof/>
                <w:webHidden/>
              </w:rPr>
              <w:fldChar w:fldCharType="begin"/>
            </w:r>
            <w:r w:rsidR="002B7ED9">
              <w:rPr>
                <w:noProof/>
                <w:webHidden/>
              </w:rPr>
              <w:instrText xml:space="preserve"> PAGEREF _Toc151040399 \h </w:instrText>
            </w:r>
            <w:r w:rsidR="002B7ED9">
              <w:rPr>
                <w:noProof/>
                <w:webHidden/>
              </w:rPr>
            </w:r>
            <w:r w:rsidR="002B7ED9">
              <w:rPr>
                <w:noProof/>
                <w:webHidden/>
              </w:rPr>
              <w:fldChar w:fldCharType="separate"/>
            </w:r>
            <w:r w:rsidR="002B7ED9">
              <w:rPr>
                <w:noProof/>
                <w:webHidden/>
              </w:rPr>
              <w:t>94</w:t>
            </w:r>
            <w:r w:rsidR="002B7ED9">
              <w:rPr>
                <w:noProof/>
                <w:webHidden/>
              </w:rPr>
              <w:fldChar w:fldCharType="end"/>
            </w:r>
          </w:hyperlink>
        </w:p>
        <w:p w14:paraId="71713197" w14:textId="0F0385DC" w:rsidR="002B7ED9" w:rsidRDefault="007364C4">
          <w:pPr>
            <w:pStyle w:val="TOC1"/>
            <w:rPr>
              <w:rFonts w:asciiTheme="minorHAnsi" w:eastAsiaTheme="minorEastAsia" w:hAnsiTheme="minorHAnsi" w:cstheme="minorBidi"/>
              <w:b w:val="0"/>
              <w:noProof/>
              <w:color w:val="auto"/>
              <w:sz w:val="22"/>
              <w:szCs w:val="22"/>
              <w:lang w:eastAsia="en-AU"/>
            </w:rPr>
          </w:pPr>
          <w:hyperlink w:anchor="_Toc151040400" w:history="1">
            <w:r w:rsidR="002B7ED9" w:rsidRPr="00207DC0">
              <w:rPr>
                <w:rStyle w:val="Hyperlink"/>
                <w:noProof/>
              </w:rPr>
              <w:t>Question Seven: How will you evaluate your chosen option against the success metrics?</w:t>
            </w:r>
            <w:r w:rsidR="002B7ED9">
              <w:rPr>
                <w:noProof/>
                <w:webHidden/>
              </w:rPr>
              <w:tab/>
            </w:r>
            <w:r w:rsidR="002B7ED9">
              <w:rPr>
                <w:noProof/>
                <w:webHidden/>
              </w:rPr>
              <w:fldChar w:fldCharType="begin"/>
            </w:r>
            <w:r w:rsidR="002B7ED9">
              <w:rPr>
                <w:noProof/>
                <w:webHidden/>
              </w:rPr>
              <w:instrText xml:space="preserve"> PAGEREF _Toc151040400 \h </w:instrText>
            </w:r>
            <w:r w:rsidR="002B7ED9">
              <w:rPr>
                <w:noProof/>
                <w:webHidden/>
              </w:rPr>
            </w:r>
            <w:r w:rsidR="002B7ED9">
              <w:rPr>
                <w:noProof/>
                <w:webHidden/>
              </w:rPr>
              <w:fldChar w:fldCharType="separate"/>
            </w:r>
            <w:r w:rsidR="002B7ED9">
              <w:rPr>
                <w:noProof/>
                <w:webHidden/>
              </w:rPr>
              <w:t>98</w:t>
            </w:r>
            <w:r w:rsidR="002B7ED9">
              <w:rPr>
                <w:noProof/>
                <w:webHidden/>
              </w:rPr>
              <w:fldChar w:fldCharType="end"/>
            </w:r>
          </w:hyperlink>
        </w:p>
        <w:p w14:paraId="1E885A94" w14:textId="68E4AD4C"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01" w:history="1">
            <w:r w:rsidR="002B7ED9" w:rsidRPr="00207DC0">
              <w:rPr>
                <w:rStyle w:val="Hyperlink"/>
                <w:noProof/>
              </w:rPr>
              <w:t>Measurement of success</w:t>
            </w:r>
            <w:r w:rsidR="002B7ED9">
              <w:rPr>
                <w:noProof/>
                <w:webHidden/>
              </w:rPr>
              <w:tab/>
            </w:r>
            <w:r w:rsidR="002B7ED9">
              <w:rPr>
                <w:noProof/>
                <w:webHidden/>
              </w:rPr>
              <w:fldChar w:fldCharType="begin"/>
            </w:r>
            <w:r w:rsidR="002B7ED9">
              <w:rPr>
                <w:noProof/>
                <w:webHidden/>
              </w:rPr>
              <w:instrText xml:space="preserve"> PAGEREF _Toc151040401 \h </w:instrText>
            </w:r>
            <w:r w:rsidR="002B7ED9">
              <w:rPr>
                <w:noProof/>
                <w:webHidden/>
              </w:rPr>
            </w:r>
            <w:r w:rsidR="002B7ED9">
              <w:rPr>
                <w:noProof/>
                <w:webHidden/>
              </w:rPr>
              <w:fldChar w:fldCharType="separate"/>
            </w:r>
            <w:r w:rsidR="002B7ED9">
              <w:rPr>
                <w:noProof/>
                <w:webHidden/>
              </w:rPr>
              <w:t>98</w:t>
            </w:r>
            <w:r w:rsidR="002B7ED9">
              <w:rPr>
                <w:noProof/>
                <w:webHidden/>
              </w:rPr>
              <w:fldChar w:fldCharType="end"/>
            </w:r>
          </w:hyperlink>
        </w:p>
        <w:p w14:paraId="7007A8D1" w14:textId="6F4EA6C3"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02" w:history="1">
            <w:r w:rsidR="002B7ED9" w:rsidRPr="00207DC0">
              <w:rPr>
                <w:rStyle w:val="Hyperlink"/>
                <w:noProof/>
              </w:rPr>
              <w:t>Monitoring and evaluation</w:t>
            </w:r>
            <w:r w:rsidR="002B7ED9">
              <w:rPr>
                <w:noProof/>
                <w:webHidden/>
              </w:rPr>
              <w:tab/>
            </w:r>
            <w:r w:rsidR="002B7ED9">
              <w:rPr>
                <w:noProof/>
                <w:webHidden/>
              </w:rPr>
              <w:fldChar w:fldCharType="begin"/>
            </w:r>
            <w:r w:rsidR="002B7ED9">
              <w:rPr>
                <w:noProof/>
                <w:webHidden/>
              </w:rPr>
              <w:instrText xml:space="preserve"> PAGEREF _Toc151040402 \h </w:instrText>
            </w:r>
            <w:r w:rsidR="002B7ED9">
              <w:rPr>
                <w:noProof/>
                <w:webHidden/>
              </w:rPr>
            </w:r>
            <w:r w:rsidR="002B7ED9">
              <w:rPr>
                <w:noProof/>
                <w:webHidden/>
              </w:rPr>
              <w:fldChar w:fldCharType="separate"/>
            </w:r>
            <w:r w:rsidR="002B7ED9">
              <w:rPr>
                <w:noProof/>
                <w:webHidden/>
              </w:rPr>
              <w:t>98</w:t>
            </w:r>
            <w:r w:rsidR="002B7ED9">
              <w:rPr>
                <w:noProof/>
                <w:webHidden/>
              </w:rPr>
              <w:fldChar w:fldCharType="end"/>
            </w:r>
          </w:hyperlink>
        </w:p>
        <w:p w14:paraId="70E45DF2" w14:textId="755C6B29"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03" w:history="1">
            <w:r w:rsidR="002B7ED9" w:rsidRPr="00207DC0">
              <w:rPr>
                <w:rStyle w:val="Hyperlink"/>
                <w:noProof/>
              </w:rPr>
              <w:t>Measuring Success</w:t>
            </w:r>
            <w:r w:rsidR="002B7ED9">
              <w:rPr>
                <w:noProof/>
                <w:webHidden/>
              </w:rPr>
              <w:tab/>
            </w:r>
            <w:r w:rsidR="002B7ED9">
              <w:rPr>
                <w:noProof/>
                <w:webHidden/>
              </w:rPr>
              <w:fldChar w:fldCharType="begin"/>
            </w:r>
            <w:r w:rsidR="002B7ED9">
              <w:rPr>
                <w:noProof/>
                <w:webHidden/>
              </w:rPr>
              <w:instrText xml:space="preserve"> PAGEREF _Toc151040403 \h </w:instrText>
            </w:r>
            <w:r w:rsidR="002B7ED9">
              <w:rPr>
                <w:noProof/>
                <w:webHidden/>
              </w:rPr>
            </w:r>
            <w:r w:rsidR="002B7ED9">
              <w:rPr>
                <w:noProof/>
                <w:webHidden/>
              </w:rPr>
              <w:fldChar w:fldCharType="separate"/>
            </w:r>
            <w:r w:rsidR="002B7ED9">
              <w:rPr>
                <w:noProof/>
                <w:webHidden/>
              </w:rPr>
              <w:t>99</w:t>
            </w:r>
            <w:r w:rsidR="002B7ED9">
              <w:rPr>
                <w:noProof/>
                <w:webHidden/>
              </w:rPr>
              <w:fldChar w:fldCharType="end"/>
            </w:r>
          </w:hyperlink>
        </w:p>
        <w:p w14:paraId="03F50F38" w14:textId="1FF7AC0C"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04" w:history="1">
            <w:r w:rsidR="002B7ED9" w:rsidRPr="00207DC0">
              <w:rPr>
                <w:rStyle w:val="Hyperlink"/>
                <w:noProof/>
              </w:rPr>
              <w:t>2026 Review</w:t>
            </w:r>
            <w:r w:rsidR="002B7ED9">
              <w:rPr>
                <w:noProof/>
                <w:webHidden/>
              </w:rPr>
              <w:tab/>
            </w:r>
            <w:r w:rsidR="002B7ED9">
              <w:rPr>
                <w:noProof/>
                <w:webHidden/>
              </w:rPr>
              <w:fldChar w:fldCharType="begin"/>
            </w:r>
            <w:r w:rsidR="002B7ED9">
              <w:rPr>
                <w:noProof/>
                <w:webHidden/>
              </w:rPr>
              <w:instrText xml:space="preserve"> PAGEREF _Toc151040404 \h </w:instrText>
            </w:r>
            <w:r w:rsidR="002B7ED9">
              <w:rPr>
                <w:noProof/>
                <w:webHidden/>
              </w:rPr>
            </w:r>
            <w:r w:rsidR="002B7ED9">
              <w:rPr>
                <w:noProof/>
                <w:webHidden/>
              </w:rPr>
              <w:fldChar w:fldCharType="separate"/>
            </w:r>
            <w:r w:rsidR="002B7ED9">
              <w:rPr>
                <w:noProof/>
                <w:webHidden/>
              </w:rPr>
              <w:t>100</w:t>
            </w:r>
            <w:r w:rsidR="002B7ED9">
              <w:rPr>
                <w:noProof/>
                <w:webHidden/>
              </w:rPr>
              <w:fldChar w:fldCharType="end"/>
            </w:r>
          </w:hyperlink>
        </w:p>
        <w:p w14:paraId="6B558606" w14:textId="7BD62790" w:rsidR="002B7ED9" w:rsidRDefault="007364C4">
          <w:pPr>
            <w:pStyle w:val="TOC1"/>
            <w:rPr>
              <w:rFonts w:asciiTheme="minorHAnsi" w:eastAsiaTheme="minorEastAsia" w:hAnsiTheme="minorHAnsi" w:cstheme="minorBidi"/>
              <w:b w:val="0"/>
              <w:noProof/>
              <w:color w:val="auto"/>
              <w:sz w:val="22"/>
              <w:szCs w:val="22"/>
              <w:lang w:eastAsia="en-AU"/>
            </w:rPr>
          </w:pPr>
          <w:hyperlink w:anchor="_Toc151040405" w:history="1">
            <w:r w:rsidR="002B7ED9" w:rsidRPr="00207DC0">
              <w:rPr>
                <w:rStyle w:val="Hyperlink"/>
                <w:noProof/>
              </w:rPr>
              <w:t>Annexure A – Vaping Policy Implementation Plan</w:t>
            </w:r>
            <w:r w:rsidR="002B7ED9">
              <w:rPr>
                <w:noProof/>
                <w:webHidden/>
              </w:rPr>
              <w:tab/>
            </w:r>
            <w:r w:rsidR="002B7ED9">
              <w:rPr>
                <w:noProof/>
                <w:webHidden/>
              </w:rPr>
              <w:fldChar w:fldCharType="begin"/>
            </w:r>
            <w:r w:rsidR="002B7ED9">
              <w:rPr>
                <w:noProof/>
                <w:webHidden/>
              </w:rPr>
              <w:instrText xml:space="preserve"> PAGEREF _Toc151040405 \h </w:instrText>
            </w:r>
            <w:r w:rsidR="002B7ED9">
              <w:rPr>
                <w:noProof/>
                <w:webHidden/>
              </w:rPr>
            </w:r>
            <w:r w:rsidR="002B7ED9">
              <w:rPr>
                <w:noProof/>
                <w:webHidden/>
              </w:rPr>
              <w:fldChar w:fldCharType="separate"/>
            </w:r>
            <w:r w:rsidR="002B7ED9">
              <w:rPr>
                <w:noProof/>
                <w:webHidden/>
              </w:rPr>
              <w:t>101</w:t>
            </w:r>
            <w:r w:rsidR="002B7ED9">
              <w:rPr>
                <w:noProof/>
                <w:webHidden/>
              </w:rPr>
              <w:fldChar w:fldCharType="end"/>
            </w:r>
          </w:hyperlink>
        </w:p>
        <w:p w14:paraId="4B03743D" w14:textId="4D81127C" w:rsidR="002B7ED9" w:rsidRDefault="007364C4">
          <w:pPr>
            <w:pStyle w:val="TOC1"/>
            <w:rPr>
              <w:rFonts w:asciiTheme="minorHAnsi" w:eastAsiaTheme="minorEastAsia" w:hAnsiTheme="minorHAnsi" w:cstheme="minorBidi"/>
              <w:b w:val="0"/>
              <w:noProof/>
              <w:color w:val="auto"/>
              <w:sz w:val="22"/>
              <w:szCs w:val="22"/>
              <w:lang w:eastAsia="en-AU"/>
            </w:rPr>
          </w:pPr>
          <w:hyperlink w:anchor="_Toc151040406" w:history="1">
            <w:r w:rsidR="002B7ED9" w:rsidRPr="00207DC0">
              <w:rPr>
                <w:rStyle w:val="Hyperlink"/>
                <w:noProof/>
              </w:rPr>
              <w:t>Annexure B – Regulatory Burden Estimate</w:t>
            </w:r>
            <w:r w:rsidR="002B7ED9">
              <w:rPr>
                <w:noProof/>
                <w:webHidden/>
              </w:rPr>
              <w:tab/>
            </w:r>
            <w:r w:rsidR="002B7ED9">
              <w:rPr>
                <w:noProof/>
                <w:webHidden/>
              </w:rPr>
              <w:fldChar w:fldCharType="begin"/>
            </w:r>
            <w:r w:rsidR="002B7ED9">
              <w:rPr>
                <w:noProof/>
                <w:webHidden/>
              </w:rPr>
              <w:instrText xml:space="preserve"> PAGEREF _Toc151040406 \h </w:instrText>
            </w:r>
            <w:r w:rsidR="002B7ED9">
              <w:rPr>
                <w:noProof/>
                <w:webHidden/>
              </w:rPr>
            </w:r>
            <w:r w:rsidR="002B7ED9">
              <w:rPr>
                <w:noProof/>
                <w:webHidden/>
              </w:rPr>
              <w:fldChar w:fldCharType="separate"/>
            </w:r>
            <w:r w:rsidR="002B7ED9">
              <w:rPr>
                <w:noProof/>
                <w:webHidden/>
              </w:rPr>
              <w:t>107</w:t>
            </w:r>
            <w:r w:rsidR="002B7ED9">
              <w:rPr>
                <w:noProof/>
                <w:webHidden/>
              </w:rPr>
              <w:fldChar w:fldCharType="end"/>
            </w:r>
          </w:hyperlink>
        </w:p>
        <w:p w14:paraId="5E8F1CE7" w14:textId="06AE4145"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07" w:history="1">
            <w:r w:rsidR="002B7ED9" w:rsidRPr="00207DC0">
              <w:rPr>
                <w:rStyle w:val="Hyperlink"/>
                <w:noProof/>
              </w:rPr>
              <w:t>Purpose of this annexure</w:t>
            </w:r>
            <w:r w:rsidR="002B7ED9">
              <w:rPr>
                <w:noProof/>
                <w:webHidden/>
              </w:rPr>
              <w:tab/>
            </w:r>
            <w:r w:rsidR="002B7ED9">
              <w:rPr>
                <w:noProof/>
                <w:webHidden/>
              </w:rPr>
              <w:fldChar w:fldCharType="begin"/>
            </w:r>
            <w:r w:rsidR="002B7ED9">
              <w:rPr>
                <w:noProof/>
                <w:webHidden/>
              </w:rPr>
              <w:instrText xml:space="preserve"> PAGEREF _Toc151040407 \h </w:instrText>
            </w:r>
            <w:r w:rsidR="002B7ED9">
              <w:rPr>
                <w:noProof/>
                <w:webHidden/>
              </w:rPr>
            </w:r>
            <w:r w:rsidR="002B7ED9">
              <w:rPr>
                <w:noProof/>
                <w:webHidden/>
              </w:rPr>
              <w:fldChar w:fldCharType="separate"/>
            </w:r>
            <w:r w:rsidR="002B7ED9">
              <w:rPr>
                <w:noProof/>
                <w:webHidden/>
              </w:rPr>
              <w:t>107</w:t>
            </w:r>
            <w:r w:rsidR="002B7ED9">
              <w:rPr>
                <w:noProof/>
                <w:webHidden/>
              </w:rPr>
              <w:fldChar w:fldCharType="end"/>
            </w:r>
          </w:hyperlink>
        </w:p>
        <w:p w14:paraId="3354B478" w14:textId="67ED52BF"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08" w:history="1">
            <w:r w:rsidR="002B7ED9" w:rsidRPr="00207DC0">
              <w:rPr>
                <w:rStyle w:val="Hyperlink"/>
                <w:noProof/>
              </w:rPr>
              <w:t>Approach</w:t>
            </w:r>
            <w:r w:rsidR="002B7ED9">
              <w:rPr>
                <w:noProof/>
                <w:webHidden/>
              </w:rPr>
              <w:tab/>
            </w:r>
            <w:r w:rsidR="002B7ED9">
              <w:rPr>
                <w:noProof/>
                <w:webHidden/>
              </w:rPr>
              <w:fldChar w:fldCharType="begin"/>
            </w:r>
            <w:r w:rsidR="002B7ED9">
              <w:rPr>
                <w:noProof/>
                <w:webHidden/>
              </w:rPr>
              <w:instrText xml:space="preserve"> PAGEREF _Toc151040408 \h </w:instrText>
            </w:r>
            <w:r w:rsidR="002B7ED9">
              <w:rPr>
                <w:noProof/>
                <w:webHidden/>
              </w:rPr>
            </w:r>
            <w:r w:rsidR="002B7ED9">
              <w:rPr>
                <w:noProof/>
                <w:webHidden/>
              </w:rPr>
              <w:fldChar w:fldCharType="separate"/>
            </w:r>
            <w:r w:rsidR="002B7ED9">
              <w:rPr>
                <w:noProof/>
                <w:webHidden/>
              </w:rPr>
              <w:t>107</w:t>
            </w:r>
            <w:r w:rsidR="002B7ED9">
              <w:rPr>
                <w:noProof/>
                <w:webHidden/>
              </w:rPr>
              <w:fldChar w:fldCharType="end"/>
            </w:r>
          </w:hyperlink>
        </w:p>
        <w:p w14:paraId="539C1E4F" w14:textId="74E2100C"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09" w:history="1">
            <w:r w:rsidR="002B7ED9" w:rsidRPr="00207DC0">
              <w:rPr>
                <w:rStyle w:val="Hyperlink"/>
                <w:noProof/>
              </w:rPr>
              <w:t>Costing model</w:t>
            </w:r>
            <w:r w:rsidR="002B7ED9">
              <w:rPr>
                <w:noProof/>
                <w:webHidden/>
              </w:rPr>
              <w:tab/>
            </w:r>
            <w:r w:rsidR="002B7ED9">
              <w:rPr>
                <w:noProof/>
                <w:webHidden/>
              </w:rPr>
              <w:fldChar w:fldCharType="begin"/>
            </w:r>
            <w:r w:rsidR="002B7ED9">
              <w:rPr>
                <w:noProof/>
                <w:webHidden/>
              </w:rPr>
              <w:instrText xml:space="preserve"> PAGEREF _Toc151040409 \h </w:instrText>
            </w:r>
            <w:r w:rsidR="002B7ED9">
              <w:rPr>
                <w:noProof/>
                <w:webHidden/>
              </w:rPr>
            </w:r>
            <w:r w:rsidR="002B7ED9">
              <w:rPr>
                <w:noProof/>
                <w:webHidden/>
              </w:rPr>
              <w:fldChar w:fldCharType="separate"/>
            </w:r>
            <w:r w:rsidR="002B7ED9">
              <w:rPr>
                <w:noProof/>
                <w:webHidden/>
              </w:rPr>
              <w:t>108</w:t>
            </w:r>
            <w:r w:rsidR="002B7ED9">
              <w:rPr>
                <w:noProof/>
                <w:webHidden/>
              </w:rPr>
              <w:fldChar w:fldCharType="end"/>
            </w:r>
          </w:hyperlink>
        </w:p>
        <w:p w14:paraId="274397D0" w14:textId="79CEE004"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10" w:history="1">
            <w:r w:rsidR="002B7ED9" w:rsidRPr="00207DC0">
              <w:rPr>
                <w:rStyle w:val="Hyperlink"/>
                <w:noProof/>
              </w:rPr>
              <w:t>Overview</w:t>
            </w:r>
            <w:r w:rsidR="002B7ED9">
              <w:rPr>
                <w:noProof/>
                <w:webHidden/>
              </w:rPr>
              <w:tab/>
            </w:r>
            <w:r w:rsidR="002B7ED9">
              <w:rPr>
                <w:noProof/>
                <w:webHidden/>
              </w:rPr>
              <w:fldChar w:fldCharType="begin"/>
            </w:r>
            <w:r w:rsidR="002B7ED9">
              <w:rPr>
                <w:noProof/>
                <w:webHidden/>
              </w:rPr>
              <w:instrText xml:space="preserve"> PAGEREF _Toc151040410 \h </w:instrText>
            </w:r>
            <w:r w:rsidR="002B7ED9">
              <w:rPr>
                <w:noProof/>
                <w:webHidden/>
              </w:rPr>
            </w:r>
            <w:r w:rsidR="002B7ED9">
              <w:rPr>
                <w:noProof/>
                <w:webHidden/>
              </w:rPr>
              <w:fldChar w:fldCharType="separate"/>
            </w:r>
            <w:r w:rsidR="002B7ED9">
              <w:rPr>
                <w:noProof/>
                <w:webHidden/>
              </w:rPr>
              <w:t>108</w:t>
            </w:r>
            <w:r w:rsidR="002B7ED9">
              <w:rPr>
                <w:noProof/>
                <w:webHidden/>
              </w:rPr>
              <w:fldChar w:fldCharType="end"/>
            </w:r>
          </w:hyperlink>
        </w:p>
        <w:p w14:paraId="6723DB9B" w14:textId="1CCA02FE"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11" w:history="1">
            <w:r w:rsidR="002B7ED9" w:rsidRPr="00207DC0">
              <w:rPr>
                <w:rStyle w:val="Hyperlink"/>
                <w:noProof/>
              </w:rPr>
              <w:t>Labour cost</w:t>
            </w:r>
            <w:r w:rsidR="002B7ED9">
              <w:rPr>
                <w:noProof/>
                <w:webHidden/>
              </w:rPr>
              <w:tab/>
            </w:r>
            <w:r w:rsidR="002B7ED9">
              <w:rPr>
                <w:noProof/>
                <w:webHidden/>
              </w:rPr>
              <w:fldChar w:fldCharType="begin"/>
            </w:r>
            <w:r w:rsidR="002B7ED9">
              <w:rPr>
                <w:noProof/>
                <w:webHidden/>
              </w:rPr>
              <w:instrText xml:space="preserve"> PAGEREF _Toc151040411 \h </w:instrText>
            </w:r>
            <w:r w:rsidR="002B7ED9">
              <w:rPr>
                <w:noProof/>
                <w:webHidden/>
              </w:rPr>
            </w:r>
            <w:r w:rsidR="002B7ED9">
              <w:rPr>
                <w:noProof/>
                <w:webHidden/>
              </w:rPr>
              <w:fldChar w:fldCharType="separate"/>
            </w:r>
            <w:r w:rsidR="002B7ED9">
              <w:rPr>
                <w:noProof/>
                <w:webHidden/>
              </w:rPr>
              <w:t>109</w:t>
            </w:r>
            <w:r w:rsidR="002B7ED9">
              <w:rPr>
                <w:noProof/>
                <w:webHidden/>
              </w:rPr>
              <w:fldChar w:fldCharType="end"/>
            </w:r>
          </w:hyperlink>
        </w:p>
        <w:p w14:paraId="65ACA95D" w14:textId="5F136A51"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12" w:history="1">
            <w:r w:rsidR="002B7ED9" w:rsidRPr="00207DC0">
              <w:rPr>
                <w:rStyle w:val="Hyperlink"/>
                <w:noProof/>
              </w:rPr>
              <w:t>Impact on consumers</w:t>
            </w:r>
            <w:r w:rsidR="002B7ED9">
              <w:rPr>
                <w:noProof/>
                <w:webHidden/>
              </w:rPr>
              <w:tab/>
            </w:r>
            <w:r w:rsidR="002B7ED9">
              <w:rPr>
                <w:noProof/>
                <w:webHidden/>
              </w:rPr>
              <w:fldChar w:fldCharType="begin"/>
            </w:r>
            <w:r w:rsidR="002B7ED9">
              <w:rPr>
                <w:noProof/>
                <w:webHidden/>
              </w:rPr>
              <w:instrText xml:space="preserve"> PAGEREF _Toc151040412 \h </w:instrText>
            </w:r>
            <w:r w:rsidR="002B7ED9">
              <w:rPr>
                <w:noProof/>
                <w:webHidden/>
              </w:rPr>
            </w:r>
            <w:r w:rsidR="002B7ED9">
              <w:rPr>
                <w:noProof/>
                <w:webHidden/>
              </w:rPr>
              <w:fldChar w:fldCharType="separate"/>
            </w:r>
            <w:r w:rsidR="002B7ED9">
              <w:rPr>
                <w:noProof/>
                <w:webHidden/>
              </w:rPr>
              <w:t>110</w:t>
            </w:r>
            <w:r w:rsidR="002B7ED9">
              <w:rPr>
                <w:noProof/>
                <w:webHidden/>
              </w:rPr>
              <w:fldChar w:fldCharType="end"/>
            </w:r>
          </w:hyperlink>
        </w:p>
        <w:p w14:paraId="2BEA4FBE" w14:textId="4C73B0AB"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13" w:history="1">
            <w:r w:rsidR="002B7ED9" w:rsidRPr="00207DC0">
              <w:rPr>
                <w:rStyle w:val="Hyperlink"/>
                <w:noProof/>
              </w:rPr>
              <w:t>Overview</w:t>
            </w:r>
            <w:r w:rsidR="002B7ED9">
              <w:rPr>
                <w:noProof/>
                <w:webHidden/>
              </w:rPr>
              <w:tab/>
            </w:r>
            <w:r w:rsidR="002B7ED9">
              <w:rPr>
                <w:noProof/>
                <w:webHidden/>
              </w:rPr>
              <w:fldChar w:fldCharType="begin"/>
            </w:r>
            <w:r w:rsidR="002B7ED9">
              <w:rPr>
                <w:noProof/>
                <w:webHidden/>
              </w:rPr>
              <w:instrText xml:space="preserve"> PAGEREF _Toc151040413 \h </w:instrText>
            </w:r>
            <w:r w:rsidR="002B7ED9">
              <w:rPr>
                <w:noProof/>
                <w:webHidden/>
              </w:rPr>
            </w:r>
            <w:r w:rsidR="002B7ED9">
              <w:rPr>
                <w:noProof/>
                <w:webHidden/>
              </w:rPr>
              <w:fldChar w:fldCharType="separate"/>
            </w:r>
            <w:r w:rsidR="002B7ED9">
              <w:rPr>
                <w:noProof/>
                <w:webHidden/>
              </w:rPr>
              <w:t>110</w:t>
            </w:r>
            <w:r w:rsidR="002B7ED9">
              <w:rPr>
                <w:noProof/>
                <w:webHidden/>
              </w:rPr>
              <w:fldChar w:fldCharType="end"/>
            </w:r>
          </w:hyperlink>
        </w:p>
        <w:p w14:paraId="570208A2" w14:textId="2BBBF8EF"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14" w:history="1">
            <w:r w:rsidR="002B7ED9" w:rsidRPr="00207DC0">
              <w:rPr>
                <w:rStyle w:val="Hyperlink"/>
                <w:noProof/>
              </w:rPr>
              <w:t>Prescribing behaviour by medical practitioners</w:t>
            </w:r>
            <w:r w:rsidR="002B7ED9">
              <w:rPr>
                <w:noProof/>
                <w:webHidden/>
              </w:rPr>
              <w:tab/>
            </w:r>
            <w:r w:rsidR="002B7ED9">
              <w:rPr>
                <w:noProof/>
                <w:webHidden/>
              </w:rPr>
              <w:fldChar w:fldCharType="begin"/>
            </w:r>
            <w:r w:rsidR="002B7ED9">
              <w:rPr>
                <w:noProof/>
                <w:webHidden/>
              </w:rPr>
              <w:instrText xml:space="preserve"> PAGEREF _Toc151040414 \h </w:instrText>
            </w:r>
            <w:r w:rsidR="002B7ED9">
              <w:rPr>
                <w:noProof/>
                <w:webHidden/>
              </w:rPr>
            </w:r>
            <w:r w:rsidR="002B7ED9">
              <w:rPr>
                <w:noProof/>
                <w:webHidden/>
              </w:rPr>
              <w:fldChar w:fldCharType="separate"/>
            </w:r>
            <w:r w:rsidR="002B7ED9">
              <w:rPr>
                <w:noProof/>
                <w:webHidden/>
              </w:rPr>
              <w:t>112</w:t>
            </w:r>
            <w:r w:rsidR="002B7ED9">
              <w:rPr>
                <w:noProof/>
                <w:webHidden/>
              </w:rPr>
              <w:fldChar w:fldCharType="end"/>
            </w:r>
          </w:hyperlink>
        </w:p>
        <w:p w14:paraId="04121C2D" w14:textId="5EE176B6"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15" w:history="1">
            <w:r w:rsidR="002B7ED9" w:rsidRPr="00207DC0">
              <w:rPr>
                <w:rStyle w:val="Hyperlink"/>
                <w:noProof/>
              </w:rPr>
              <w:t>Future population considerations (medical practitioners visits)</w:t>
            </w:r>
            <w:r w:rsidR="002B7ED9">
              <w:rPr>
                <w:noProof/>
                <w:webHidden/>
              </w:rPr>
              <w:tab/>
            </w:r>
            <w:r w:rsidR="002B7ED9">
              <w:rPr>
                <w:noProof/>
                <w:webHidden/>
              </w:rPr>
              <w:fldChar w:fldCharType="begin"/>
            </w:r>
            <w:r w:rsidR="002B7ED9">
              <w:rPr>
                <w:noProof/>
                <w:webHidden/>
              </w:rPr>
              <w:instrText xml:space="preserve"> PAGEREF _Toc151040415 \h </w:instrText>
            </w:r>
            <w:r w:rsidR="002B7ED9">
              <w:rPr>
                <w:noProof/>
                <w:webHidden/>
              </w:rPr>
            </w:r>
            <w:r w:rsidR="002B7ED9">
              <w:rPr>
                <w:noProof/>
                <w:webHidden/>
              </w:rPr>
              <w:fldChar w:fldCharType="separate"/>
            </w:r>
            <w:r w:rsidR="002B7ED9">
              <w:rPr>
                <w:noProof/>
                <w:webHidden/>
              </w:rPr>
              <w:t>112</w:t>
            </w:r>
            <w:r w:rsidR="002B7ED9">
              <w:rPr>
                <w:noProof/>
                <w:webHidden/>
              </w:rPr>
              <w:fldChar w:fldCharType="end"/>
            </w:r>
          </w:hyperlink>
        </w:p>
        <w:p w14:paraId="45CF9E59" w14:textId="10E8A816"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16" w:history="1">
            <w:r w:rsidR="002B7ED9" w:rsidRPr="00207DC0">
              <w:rPr>
                <w:rStyle w:val="Hyperlink"/>
                <w:noProof/>
              </w:rPr>
              <w:t>Other considerations</w:t>
            </w:r>
            <w:r w:rsidR="002B7ED9">
              <w:rPr>
                <w:noProof/>
                <w:webHidden/>
              </w:rPr>
              <w:tab/>
            </w:r>
            <w:r w:rsidR="002B7ED9">
              <w:rPr>
                <w:noProof/>
                <w:webHidden/>
              </w:rPr>
              <w:fldChar w:fldCharType="begin"/>
            </w:r>
            <w:r w:rsidR="002B7ED9">
              <w:rPr>
                <w:noProof/>
                <w:webHidden/>
              </w:rPr>
              <w:instrText xml:space="preserve"> PAGEREF _Toc151040416 \h </w:instrText>
            </w:r>
            <w:r w:rsidR="002B7ED9">
              <w:rPr>
                <w:noProof/>
                <w:webHidden/>
              </w:rPr>
            </w:r>
            <w:r w:rsidR="002B7ED9">
              <w:rPr>
                <w:noProof/>
                <w:webHidden/>
              </w:rPr>
              <w:fldChar w:fldCharType="separate"/>
            </w:r>
            <w:r w:rsidR="002B7ED9">
              <w:rPr>
                <w:noProof/>
                <w:webHidden/>
              </w:rPr>
              <w:t>114</w:t>
            </w:r>
            <w:r w:rsidR="002B7ED9">
              <w:rPr>
                <w:noProof/>
                <w:webHidden/>
              </w:rPr>
              <w:fldChar w:fldCharType="end"/>
            </w:r>
          </w:hyperlink>
        </w:p>
        <w:p w14:paraId="48FA986B" w14:textId="51EAC0F6"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17" w:history="1">
            <w:r w:rsidR="002B7ED9" w:rsidRPr="00207DC0">
              <w:rPr>
                <w:rStyle w:val="Hyperlink"/>
                <w:noProof/>
              </w:rPr>
              <w:t>Changes to the regulatory burden</w:t>
            </w:r>
            <w:r w:rsidR="002B7ED9">
              <w:rPr>
                <w:noProof/>
                <w:webHidden/>
              </w:rPr>
              <w:tab/>
            </w:r>
            <w:r w:rsidR="002B7ED9">
              <w:rPr>
                <w:noProof/>
                <w:webHidden/>
              </w:rPr>
              <w:fldChar w:fldCharType="begin"/>
            </w:r>
            <w:r w:rsidR="002B7ED9">
              <w:rPr>
                <w:noProof/>
                <w:webHidden/>
              </w:rPr>
              <w:instrText xml:space="preserve"> PAGEREF _Toc151040417 \h </w:instrText>
            </w:r>
            <w:r w:rsidR="002B7ED9">
              <w:rPr>
                <w:noProof/>
                <w:webHidden/>
              </w:rPr>
            </w:r>
            <w:r w:rsidR="002B7ED9">
              <w:rPr>
                <w:noProof/>
                <w:webHidden/>
              </w:rPr>
              <w:fldChar w:fldCharType="separate"/>
            </w:r>
            <w:r w:rsidR="002B7ED9">
              <w:rPr>
                <w:noProof/>
                <w:webHidden/>
              </w:rPr>
              <w:t>115</w:t>
            </w:r>
            <w:r w:rsidR="002B7ED9">
              <w:rPr>
                <w:noProof/>
                <w:webHidden/>
              </w:rPr>
              <w:fldChar w:fldCharType="end"/>
            </w:r>
          </w:hyperlink>
        </w:p>
        <w:p w14:paraId="50B623C7" w14:textId="473C73D3"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18" w:history="1">
            <w:r w:rsidR="002B7ED9" w:rsidRPr="00207DC0">
              <w:rPr>
                <w:rStyle w:val="Hyperlink"/>
                <w:noProof/>
              </w:rPr>
              <w:t>Impact on medical practitioners</w:t>
            </w:r>
            <w:r w:rsidR="002B7ED9">
              <w:rPr>
                <w:noProof/>
                <w:webHidden/>
              </w:rPr>
              <w:tab/>
            </w:r>
            <w:r w:rsidR="002B7ED9">
              <w:rPr>
                <w:noProof/>
                <w:webHidden/>
              </w:rPr>
              <w:fldChar w:fldCharType="begin"/>
            </w:r>
            <w:r w:rsidR="002B7ED9">
              <w:rPr>
                <w:noProof/>
                <w:webHidden/>
              </w:rPr>
              <w:instrText xml:space="preserve"> PAGEREF _Toc151040418 \h </w:instrText>
            </w:r>
            <w:r w:rsidR="002B7ED9">
              <w:rPr>
                <w:noProof/>
                <w:webHidden/>
              </w:rPr>
            </w:r>
            <w:r w:rsidR="002B7ED9">
              <w:rPr>
                <w:noProof/>
                <w:webHidden/>
              </w:rPr>
              <w:fldChar w:fldCharType="separate"/>
            </w:r>
            <w:r w:rsidR="002B7ED9">
              <w:rPr>
                <w:noProof/>
                <w:webHidden/>
              </w:rPr>
              <w:t>116</w:t>
            </w:r>
            <w:r w:rsidR="002B7ED9">
              <w:rPr>
                <w:noProof/>
                <w:webHidden/>
              </w:rPr>
              <w:fldChar w:fldCharType="end"/>
            </w:r>
          </w:hyperlink>
        </w:p>
        <w:p w14:paraId="76875A23" w14:textId="775FA263"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19" w:history="1">
            <w:r w:rsidR="002B7ED9" w:rsidRPr="00207DC0">
              <w:rPr>
                <w:rStyle w:val="Hyperlink"/>
                <w:noProof/>
              </w:rPr>
              <w:t>Overview</w:t>
            </w:r>
            <w:r w:rsidR="002B7ED9">
              <w:rPr>
                <w:noProof/>
                <w:webHidden/>
              </w:rPr>
              <w:tab/>
            </w:r>
            <w:r w:rsidR="002B7ED9">
              <w:rPr>
                <w:noProof/>
                <w:webHidden/>
              </w:rPr>
              <w:fldChar w:fldCharType="begin"/>
            </w:r>
            <w:r w:rsidR="002B7ED9">
              <w:rPr>
                <w:noProof/>
                <w:webHidden/>
              </w:rPr>
              <w:instrText xml:space="preserve"> PAGEREF _Toc151040419 \h </w:instrText>
            </w:r>
            <w:r w:rsidR="002B7ED9">
              <w:rPr>
                <w:noProof/>
                <w:webHidden/>
              </w:rPr>
            </w:r>
            <w:r w:rsidR="002B7ED9">
              <w:rPr>
                <w:noProof/>
                <w:webHidden/>
              </w:rPr>
              <w:fldChar w:fldCharType="separate"/>
            </w:r>
            <w:r w:rsidR="002B7ED9">
              <w:rPr>
                <w:noProof/>
                <w:webHidden/>
              </w:rPr>
              <w:t>116</w:t>
            </w:r>
            <w:r w:rsidR="002B7ED9">
              <w:rPr>
                <w:noProof/>
                <w:webHidden/>
              </w:rPr>
              <w:fldChar w:fldCharType="end"/>
            </w:r>
          </w:hyperlink>
        </w:p>
        <w:p w14:paraId="4199F08B" w14:textId="23CF664F"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20" w:history="1">
            <w:r w:rsidR="002B7ED9" w:rsidRPr="00207DC0">
              <w:rPr>
                <w:rStyle w:val="Hyperlink"/>
                <w:noProof/>
              </w:rPr>
              <w:t>Access through AP and SAS Schemes</w:t>
            </w:r>
            <w:r w:rsidR="002B7ED9">
              <w:rPr>
                <w:noProof/>
                <w:webHidden/>
              </w:rPr>
              <w:tab/>
            </w:r>
            <w:r w:rsidR="002B7ED9">
              <w:rPr>
                <w:noProof/>
                <w:webHidden/>
              </w:rPr>
              <w:fldChar w:fldCharType="begin"/>
            </w:r>
            <w:r w:rsidR="002B7ED9">
              <w:rPr>
                <w:noProof/>
                <w:webHidden/>
              </w:rPr>
              <w:instrText xml:space="preserve"> PAGEREF _Toc151040420 \h </w:instrText>
            </w:r>
            <w:r w:rsidR="002B7ED9">
              <w:rPr>
                <w:noProof/>
                <w:webHidden/>
              </w:rPr>
            </w:r>
            <w:r w:rsidR="002B7ED9">
              <w:rPr>
                <w:noProof/>
                <w:webHidden/>
              </w:rPr>
              <w:fldChar w:fldCharType="separate"/>
            </w:r>
            <w:r w:rsidR="002B7ED9">
              <w:rPr>
                <w:noProof/>
                <w:webHidden/>
              </w:rPr>
              <w:t>117</w:t>
            </w:r>
            <w:r w:rsidR="002B7ED9">
              <w:rPr>
                <w:noProof/>
                <w:webHidden/>
              </w:rPr>
              <w:fldChar w:fldCharType="end"/>
            </w:r>
          </w:hyperlink>
        </w:p>
        <w:p w14:paraId="49ADD9D7" w14:textId="18641041"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21" w:history="1">
            <w:r w:rsidR="002B7ED9" w:rsidRPr="00207DC0">
              <w:rPr>
                <w:rStyle w:val="Hyperlink"/>
                <w:noProof/>
              </w:rPr>
              <w:t>Overview</w:t>
            </w:r>
            <w:r w:rsidR="002B7ED9">
              <w:rPr>
                <w:noProof/>
                <w:webHidden/>
              </w:rPr>
              <w:tab/>
            </w:r>
            <w:r w:rsidR="002B7ED9">
              <w:rPr>
                <w:noProof/>
                <w:webHidden/>
              </w:rPr>
              <w:fldChar w:fldCharType="begin"/>
            </w:r>
            <w:r w:rsidR="002B7ED9">
              <w:rPr>
                <w:noProof/>
                <w:webHidden/>
              </w:rPr>
              <w:instrText xml:space="preserve"> PAGEREF _Toc151040421 \h </w:instrText>
            </w:r>
            <w:r w:rsidR="002B7ED9">
              <w:rPr>
                <w:noProof/>
                <w:webHidden/>
              </w:rPr>
            </w:r>
            <w:r w:rsidR="002B7ED9">
              <w:rPr>
                <w:noProof/>
                <w:webHidden/>
              </w:rPr>
              <w:fldChar w:fldCharType="separate"/>
            </w:r>
            <w:r w:rsidR="002B7ED9">
              <w:rPr>
                <w:noProof/>
                <w:webHidden/>
              </w:rPr>
              <w:t>117</w:t>
            </w:r>
            <w:r w:rsidR="002B7ED9">
              <w:rPr>
                <w:noProof/>
                <w:webHidden/>
              </w:rPr>
              <w:fldChar w:fldCharType="end"/>
            </w:r>
          </w:hyperlink>
        </w:p>
        <w:p w14:paraId="2D8AE2AD" w14:textId="558EA2EE"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22" w:history="1">
            <w:r w:rsidR="002B7ED9" w:rsidRPr="00207DC0">
              <w:rPr>
                <w:rStyle w:val="Hyperlink"/>
                <w:noProof/>
              </w:rPr>
              <w:t>Doctors complete AP application</w:t>
            </w:r>
            <w:r w:rsidR="002B7ED9">
              <w:rPr>
                <w:noProof/>
                <w:webHidden/>
              </w:rPr>
              <w:tab/>
            </w:r>
            <w:r w:rsidR="002B7ED9">
              <w:rPr>
                <w:noProof/>
                <w:webHidden/>
              </w:rPr>
              <w:fldChar w:fldCharType="begin"/>
            </w:r>
            <w:r w:rsidR="002B7ED9">
              <w:rPr>
                <w:noProof/>
                <w:webHidden/>
              </w:rPr>
              <w:instrText xml:space="preserve"> PAGEREF _Toc151040422 \h </w:instrText>
            </w:r>
            <w:r w:rsidR="002B7ED9">
              <w:rPr>
                <w:noProof/>
                <w:webHidden/>
              </w:rPr>
            </w:r>
            <w:r w:rsidR="002B7ED9">
              <w:rPr>
                <w:noProof/>
                <w:webHidden/>
              </w:rPr>
              <w:fldChar w:fldCharType="separate"/>
            </w:r>
            <w:r w:rsidR="002B7ED9">
              <w:rPr>
                <w:noProof/>
                <w:webHidden/>
              </w:rPr>
              <w:t>117</w:t>
            </w:r>
            <w:r w:rsidR="002B7ED9">
              <w:rPr>
                <w:noProof/>
                <w:webHidden/>
              </w:rPr>
              <w:fldChar w:fldCharType="end"/>
            </w:r>
          </w:hyperlink>
        </w:p>
        <w:p w14:paraId="4426CAF5" w14:textId="1F971B4D"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23" w:history="1">
            <w:r w:rsidR="002B7ED9" w:rsidRPr="00207DC0">
              <w:rPr>
                <w:rStyle w:val="Hyperlink"/>
                <w:noProof/>
              </w:rPr>
              <w:t>Doctors complete AP 6 monthly reports</w:t>
            </w:r>
            <w:r w:rsidR="002B7ED9">
              <w:rPr>
                <w:noProof/>
                <w:webHidden/>
              </w:rPr>
              <w:tab/>
            </w:r>
            <w:r w:rsidR="002B7ED9">
              <w:rPr>
                <w:noProof/>
                <w:webHidden/>
              </w:rPr>
              <w:fldChar w:fldCharType="begin"/>
            </w:r>
            <w:r w:rsidR="002B7ED9">
              <w:rPr>
                <w:noProof/>
                <w:webHidden/>
              </w:rPr>
              <w:instrText xml:space="preserve"> PAGEREF _Toc151040423 \h </w:instrText>
            </w:r>
            <w:r w:rsidR="002B7ED9">
              <w:rPr>
                <w:noProof/>
                <w:webHidden/>
              </w:rPr>
            </w:r>
            <w:r w:rsidR="002B7ED9">
              <w:rPr>
                <w:noProof/>
                <w:webHidden/>
              </w:rPr>
              <w:fldChar w:fldCharType="separate"/>
            </w:r>
            <w:r w:rsidR="002B7ED9">
              <w:rPr>
                <w:noProof/>
                <w:webHidden/>
              </w:rPr>
              <w:t>118</w:t>
            </w:r>
            <w:r w:rsidR="002B7ED9">
              <w:rPr>
                <w:noProof/>
                <w:webHidden/>
              </w:rPr>
              <w:fldChar w:fldCharType="end"/>
            </w:r>
          </w:hyperlink>
        </w:p>
        <w:p w14:paraId="1F44F71E" w14:textId="02EE1BE5"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24" w:history="1">
            <w:r w:rsidR="002B7ED9" w:rsidRPr="00207DC0">
              <w:rPr>
                <w:rStyle w:val="Hyperlink"/>
                <w:noProof/>
              </w:rPr>
              <w:t>Doctors complete SAS B applications</w:t>
            </w:r>
            <w:r w:rsidR="002B7ED9">
              <w:rPr>
                <w:noProof/>
                <w:webHidden/>
              </w:rPr>
              <w:tab/>
            </w:r>
            <w:r w:rsidR="002B7ED9">
              <w:rPr>
                <w:noProof/>
                <w:webHidden/>
              </w:rPr>
              <w:fldChar w:fldCharType="begin"/>
            </w:r>
            <w:r w:rsidR="002B7ED9">
              <w:rPr>
                <w:noProof/>
                <w:webHidden/>
              </w:rPr>
              <w:instrText xml:space="preserve"> PAGEREF _Toc151040424 \h </w:instrText>
            </w:r>
            <w:r w:rsidR="002B7ED9">
              <w:rPr>
                <w:noProof/>
                <w:webHidden/>
              </w:rPr>
            </w:r>
            <w:r w:rsidR="002B7ED9">
              <w:rPr>
                <w:noProof/>
                <w:webHidden/>
              </w:rPr>
              <w:fldChar w:fldCharType="separate"/>
            </w:r>
            <w:r w:rsidR="002B7ED9">
              <w:rPr>
                <w:noProof/>
                <w:webHidden/>
              </w:rPr>
              <w:t>118</w:t>
            </w:r>
            <w:r w:rsidR="002B7ED9">
              <w:rPr>
                <w:noProof/>
                <w:webHidden/>
              </w:rPr>
              <w:fldChar w:fldCharType="end"/>
            </w:r>
          </w:hyperlink>
        </w:p>
        <w:p w14:paraId="33C8F2C5" w14:textId="6DC6941A"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25" w:history="1">
            <w:r w:rsidR="002B7ED9" w:rsidRPr="00207DC0">
              <w:rPr>
                <w:rStyle w:val="Hyperlink"/>
                <w:noProof/>
              </w:rPr>
              <w:t>Changes to the regulatory burden (SAS C)</w:t>
            </w:r>
            <w:r w:rsidR="002B7ED9">
              <w:rPr>
                <w:noProof/>
                <w:webHidden/>
              </w:rPr>
              <w:tab/>
            </w:r>
            <w:r w:rsidR="002B7ED9">
              <w:rPr>
                <w:noProof/>
                <w:webHidden/>
              </w:rPr>
              <w:fldChar w:fldCharType="begin"/>
            </w:r>
            <w:r w:rsidR="002B7ED9">
              <w:rPr>
                <w:noProof/>
                <w:webHidden/>
              </w:rPr>
              <w:instrText xml:space="preserve"> PAGEREF _Toc151040425 \h </w:instrText>
            </w:r>
            <w:r w:rsidR="002B7ED9">
              <w:rPr>
                <w:noProof/>
                <w:webHidden/>
              </w:rPr>
            </w:r>
            <w:r w:rsidR="002B7ED9">
              <w:rPr>
                <w:noProof/>
                <w:webHidden/>
              </w:rPr>
              <w:fldChar w:fldCharType="separate"/>
            </w:r>
            <w:r w:rsidR="002B7ED9">
              <w:rPr>
                <w:noProof/>
                <w:webHidden/>
              </w:rPr>
              <w:t>119</w:t>
            </w:r>
            <w:r w:rsidR="002B7ED9">
              <w:rPr>
                <w:noProof/>
                <w:webHidden/>
              </w:rPr>
              <w:fldChar w:fldCharType="end"/>
            </w:r>
          </w:hyperlink>
        </w:p>
        <w:p w14:paraId="3F16443C" w14:textId="3A911F7E"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26" w:history="1">
            <w:r w:rsidR="002B7ED9" w:rsidRPr="00207DC0">
              <w:rPr>
                <w:rStyle w:val="Hyperlink"/>
                <w:noProof/>
              </w:rPr>
              <w:t>Future Growth in AP population</w:t>
            </w:r>
            <w:r w:rsidR="002B7ED9">
              <w:rPr>
                <w:noProof/>
                <w:webHidden/>
              </w:rPr>
              <w:tab/>
            </w:r>
            <w:r w:rsidR="002B7ED9">
              <w:rPr>
                <w:noProof/>
                <w:webHidden/>
              </w:rPr>
              <w:fldChar w:fldCharType="begin"/>
            </w:r>
            <w:r w:rsidR="002B7ED9">
              <w:rPr>
                <w:noProof/>
                <w:webHidden/>
              </w:rPr>
              <w:instrText xml:space="preserve"> PAGEREF _Toc151040426 \h </w:instrText>
            </w:r>
            <w:r w:rsidR="002B7ED9">
              <w:rPr>
                <w:noProof/>
                <w:webHidden/>
              </w:rPr>
            </w:r>
            <w:r w:rsidR="002B7ED9">
              <w:rPr>
                <w:noProof/>
                <w:webHidden/>
              </w:rPr>
              <w:fldChar w:fldCharType="separate"/>
            </w:r>
            <w:r w:rsidR="002B7ED9">
              <w:rPr>
                <w:noProof/>
                <w:webHidden/>
              </w:rPr>
              <w:t>119</w:t>
            </w:r>
            <w:r w:rsidR="002B7ED9">
              <w:rPr>
                <w:noProof/>
                <w:webHidden/>
              </w:rPr>
              <w:fldChar w:fldCharType="end"/>
            </w:r>
          </w:hyperlink>
        </w:p>
        <w:p w14:paraId="54449560" w14:textId="305F4474"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27" w:history="1">
            <w:r w:rsidR="002B7ED9" w:rsidRPr="00207DC0">
              <w:rPr>
                <w:rStyle w:val="Hyperlink"/>
                <w:noProof/>
              </w:rPr>
              <w:t>Future growth in SAS population</w:t>
            </w:r>
            <w:r w:rsidR="002B7ED9">
              <w:rPr>
                <w:noProof/>
                <w:webHidden/>
              </w:rPr>
              <w:tab/>
            </w:r>
            <w:r w:rsidR="002B7ED9">
              <w:rPr>
                <w:noProof/>
                <w:webHidden/>
              </w:rPr>
              <w:fldChar w:fldCharType="begin"/>
            </w:r>
            <w:r w:rsidR="002B7ED9">
              <w:rPr>
                <w:noProof/>
                <w:webHidden/>
              </w:rPr>
              <w:instrText xml:space="preserve"> PAGEREF _Toc151040427 \h </w:instrText>
            </w:r>
            <w:r w:rsidR="002B7ED9">
              <w:rPr>
                <w:noProof/>
                <w:webHidden/>
              </w:rPr>
            </w:r>
            <w:r w:rsidR="002B7ED9">
              <w:rPr>
                <w:noProof/>
                <w:webHidden/>
              </w:rPr>
              <w:fldChar w:fldCharType="separate"/>
            </w:r>
            <w:r w:rsidR="002B7ED9">
              <w:rPr>
                <w:noProof/>
                <w:webHidden/>
              </w:rPr>
              <w:t>120</w:t>
            </w:r>
            <w:r w:rsidR="002B7ED9">
              <w:rPr>
                <w:noProof/>
                <w:webHidden/>
              </w:rPr>
              <w:fldChar w:fldCharType="end"/>
            </w:r>
          </w:hyperlink>
        </w:p>
        <w:p w14:paraId="66236D13" w14:textId="51F486CA"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28" w:history="1">
            <w:r w:rsidR="002B7ED9" w:rsidRPr="00207DC0">
              <w:rPr>
                <w:rStyle w:val="Hyperlink"/>
                <w:noProof/>
              </w:rPr>
              <w:t>Impact on pharmacists</w:t>
            </w:r>
            <w:r w:rsidR="002B7ED9">
              <w:rPr>
                <w:noProof/>
                <w:webHidden/>
              </w:rPr>
              <w:tab/>
            </w:r>
            <w:r w:rsidR="002B7ED9">
              <w:rPr>
                <w:noProof/>
                <w:webHidden/>
              </w:rPr>
              <w:fldChar w:fldCharType="begin"/>
            </w:r>
            <w:r w:rsidR="002B7ED9">
              <w:rPr>
                <w:noProof/>
                <w:webHidden/>
              </w:rPr>
              <w:instrText xml:space="preserve"> PAGEREF _Toc151040428 \h </w:instrText>
            </w:r>
            <w:r w:rsidR="002B7ED9">
              <w:rPr>
                <w:noProof/>
                <w:webHidden/>
              </w:rPr>
            </w:r>
            <w:r w:rsidR="002B7ED9">
              <w:rPr>
                <w:noProof/>
                <w:webHidden/>
              </w:rPr>
              <w:fldChar w:fldCharType="separate"/>
            </w:r>
            <w:r w:rsidR="002B7ED9">
              <w:rPr>
                <w:noProof/>
                <w:webHidden/>
              </w:rPr>
              <w:t>121</w:t>
            </w:r>
            <w:r w:rsidR="002B7ED9">
              <w:rPr>
                <w:noProof/>
                <w:webHidden/>
              </w:rPr>
              <w:fldChar w:fldCharType="end"/>
            </w:r>
          </w:hyperlink>
        </w:p>
        <w:p w14:paraId="781C4CA3" w14:textId="347112B3"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29" w:history="1">
            <w:r w:rsidR="002B7ED9" w:rsidRPr="00207DC0">
              <w:rPr>
                <w:rStyle w:val="Hyperlink"/>
                <w:noProof/>
              </w:rPr>
              <w:t>Overview</w:t>
            </w:r>
            <w:r w:rsidR="002B7ED9">
              <w:rPr>
                <w:noProof/>
                <w:webHidden/>
              </w:rPr>
              <w:tab/>
            </w:r>
            <w:r w:rsidR="002B7ED9">
              <w:rPr>
                <w:noProof/>
                <w:webHidden/>
              </w:rPr>
              <w:fldChar w:fldCharType="begin"/>
            </w:r>
            <w:r w:rsidR="002B7ED9">
              <w:rPr>
                <w:noProof/>
                <w:webHidden/>
              </w:rPr>
              <w:instrText xml:space="preserve"> PAGEREF _Toc151040429 \h </w:instrText>
            </w:r>
            <w:r w:rsidR="002B7ED9">
              <w:rPr>
                <w:noProof/>
                <w:webHidden/>
              </w:rPr>
            </w:r>
            <w:r w:rsidR="002B7ED9">
              <w:rPr>
                <w:noProof/>
                <w:webHidden/>
              </w:rPr>
              <w:fldChar w:fldCharType="separate"/>
            </w:r>
            <w:r w:rsidR="002B7ED9">
              <w:rPr>
                <w:noProof/>
                <w:webHidden/>
              </w:rPr>
              <w:t>121</w:t>
            </w:r>
            <w:r w:rsidR="002B7ED9">
              <w:rPr>
                <w:noProof/>
                <w:webHidden/>
              </w:rPr>
              <w:fldChar w:fldCharType="end"/>
            </w:r>
          </w:hyperlink>
        </w:p>
        <w:p w14:paraId="70B50824" w14:textId="27C86585"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30" w:history="1">
            <w:r w:rsidR="002B7ED9" w:rsidRPr="00207DC0">
              <w:rPr>
                <w:rStyle w:val="Hyperlink"/>
                <w:noProof/>
              </w:rPr>
              <w:t>Changes to the regulatory burden</w:t>
            </w:r>
            <w:r w:rsidR="002B7ED9">
              <w:rPr>
                <w:noProof/>
                <w:webHidden/>
              </w:rPr>
              <w:tab/>
            </w:r>
            <w:r w:rsidR="002B7ED9">
              <w:rPr>
                <w:noProof/>
                <w:webHidden/>
              </w:rPr>
              <w:fldChar w:fldCharType="begin"/>
            </w:r>
            <w:r w:rsidR="002B7ED9">
              <w:rPr>
                <w:noProof/>
                <w:webHidden/>
              </w:rPr>
              <w:instrText xml:space="preserve"> PAGEREF _Toc151040430 \h </w:instrText>
            </w:r>
            <w:r w:rsidR="002B7ED9">
              <w:rPr>
                <w:noProof/>
                <w:webHidden/>
              </w:rPr>
            </w:r>
            <w:r w:rsidR="002B7ED9">
              <w:rPr>
                <w:noProof/>
                <w:webHidden/>
              </w:rPr>
              <w:fldChar w:fldCharType="separate"/>
            </w:r>
            <w:r w:rsidR="002B7ED9">
              <w:rPr>
                <w:noProof/>
                <w:webHidden/>
              </w:rPr>
              <w:t>122</w:t>
            </w:r>
            <w:r w:rsidR="002B7ED9">
              <w:rPr>
                <w:noProof/>
                <w:webHidden/>
              </w:rPr>
              <w:fldChar w:fldCharType="end"/>
            </w:r>
          </w:hyperlink>
        </w:p>
        <w:p w14:paraId="6C0641E4" w14:textId="42975145"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31" w:history="1">
            <w:r w:rsidR="002B7ED9" w:rsidRPr="00207DC0">
              <w:rPr>
                <w:rStyle w:val="Hyperlink"/>
                <w:noProof/>
              </w:rPr>
              <w:t>Impact on manufacturers and suppliers</w:t>
            </w:r>
            <w:r w:rsidR="002B7ED9">
              <w:rPr>
                <w:noProof/>
                <w:webHidden/>
              </w:rPr>
              <w:tab/>
            </w:r>
            <w:r w:rsidR="002B7ED9">
              <w:rPr>
                <w:noProof/>
                <w:webHidden/>
              </w:rPr>
              <w:fldChar w:fldCharType="begin"/>
            </w:r>
            <w:r w:rsidR="002B7ED9">
              <w:rPr>
                <w:noProof/>
                <w:webHidden/>
              </w:rPr>
              <w:instrText xml:space="preserve"> PAGEREF _Toc151040431 \h </w:instrText>
            </w:r>
            <w:r w:rsidR="002B7ED9">
              <w:rPr>
                <w:noProof/>
                <w:webHidden/>
              </w:rPr>
            </w:r>
            <w:r w:rsidR="002B7ED9">
              <w:rPr>
                <w:noProof/>
                <w:webHidden/>
              </w:rPr>
              <w:fldChar w:fldCharType="separate"/>
            </w:r>
            <w:r w:rsidR="002B7ED9">
              <w:rPr>
                <w:noProof/>
                <w:webHidden/>
              </w:rPr>
              <w:t>124</w:t>
            </w:r>
            <w:r w:rsidR="002B7ED9">
              <w:rPr>
                <w:noProof/>
                <w:webHidden/>
              </w:rPr>
              <w:fldChar w:fldCharType="end"/>
            </w:r>
          </w:hyperlink>
        </w:p>
        <w:p w14:paraId="471AA88F" w14:textId="084196FE"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32" w:history="1">
            <w:r w:rsidR="002B7ED9" w:rsidRPr="00207DC0">
              <w:rPr>
                <w:rStyle w:val="Hyperlink"/>
                <w:noProof/>
              </w:rPr>
              <w:t>Overview</w:t>
            </w:r>
            <w:r w:rsidR="002B7ED9">
              <w:rPr>
                <w:noProof/>
                <w:webHidden/>
              </w:rPr>
              <w:tab/>
            </w:r>
            <w:r w:rsidR="002B7ED9">
              <w:rPr>
                <w:noProof/>
                <w:webHidden/>
              </w:rPr>
              <w:fldChar w:fldCharType="begin"/>
            </w:r>
            <w:r w:rsidR="002B7ED9">
              <w:rPr>
                <w:noProof/>
                <w:webHidden/>
              </w:rPr>
              <w:instrText xml:space="preserve"> PAGEREF _Toc151040432 \h </w:instrText>
            </w:r>
            <w:r w:rsidR="002B7ED9">
              <w:rPr>
                <w:noProof/>
                <w:webHidden/>
              </w:rPr>
            </w:r>
            <w:r w:rsidR="002B7ED9">
              <w:rPr>
                <w:noProof/>
                <w:webHidden/>
              </w:rPr>
              <w:fldChar w:fldCharType="separate"/>
            </w:r>
            <w:r w:rsidR="002B7ED9">
              <w:rPr>
                <w:noProof/>
                <w:webHidden/>
              </w:rPr>
              <w:t>124</w:t>
            </w:r>
            <w:r w:rsidR="002B7ED9">
              <w:rPr>
                <w:noProof/>
                <w:webHidden/>
              </w:rPr>
              <w:fldChar w:fldCharType="end"/>
            </w:r>
          </w:hyperlink>
        </w:p>
        <w:p w14:paraId="64C162F8" w14:textId="375DEA56" w:rsidR="002B7ED9" w:rsidRDefault="007364C4">
          <w:pPr>
            <w:pStyle w:val="TOC3"/>
            <w:rPr>
              <w:rFonts w:asciiTheme="minorHAnsi" w:eastAsiaTheme="minorEastAsia" w:hAnsiTheme="minorHAnsi" w:cstheme="minorBidi"/>
              <w:b w:val="0"/>
              <w:noProof/>
              <w:color w:val="auto"/>
              <w:sz w:val="22"/>
              <w:szCs w:val="22"/>
              <w:lang w:eastAsia="en-AU"/>
            </w:rPr>
          </w:pPr>
          <w:hyperlink w:anchor="_Toc151040433" w:history="1">
            <w:r w:rsidR="002B7ED9" w:rsidRPr="00207DC0">
              <w:rPr>
                <w:rStyle w:val="Hyperlink"/>
                <w:noProof/>
              </w:rPr>
              <w:t>Changes to the regulatory burden</w:t>
            </w:r>
            <w:r w:rsidR="002B7ED9">
              <w:rPr>
                <w:noProof/>
                <w:webHidden/>
              </w:rPr>
              <w:tab/>
            </w:r>
            <w:r w:rsidR="002B7ED9">
              <w:rPr>
                <w:noProof/>
                <w:webHidden/>
              </w:rPr>
              <w:fldChar w:fldCharType="begin"/>
            </w:r>
            <w:r w:rsidR="002B7ED9">
              <w:rPr>
                <w:noProof/>
                <w:webHidden/>
              </w:rPr>
              <w:instrText xml:space="preserve"> PAGEREF _Toc151040433 \h </w:instrText>
            </w:r>
            <w:r w:rsidR="002B7ED9">
              <w:rPr>
                <w:noProof/>
                <w:webHidden/>
              </w:rPr>
            </w:r>
            <w:r w:rsidR="002B7ED9">
              <w:rPr>
                <w:noProof/>
                <w:webHidden/>
              </w:rPr>
              <w:fldChar w:fldCharType="separate"/>
            </w:r>
            <w:r w:rsidR="002B7ED9">
              <w:rPr>
                <w:noProof/>
                <w:webHidden/>
              </w:rPr>
              <w:t>125</w:t>
            </w:r>
            <w:r w:rsidR="002B7ED9">
              <w:rPr>
                <w:noProof/>
                <w:webHidden/>
              </w:rPr>
              <w:fldChar w:fldCharType="end"/>
            </w:r>
          </w:hyperlink>
        </w:p>
        <w:p w14:paraId="69FEA8F2" w14:textId="552D7CE9"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34" w:history="1">
            <w:r w:rsidR="002B7ED9" w:rsidRPr="00207DC0">
              <w:rPr>
                <w:rStyle w:val="Hyperlink"/>
                <w:noProof/>
              </w:rPr>
              <w:t>Impact on retailers</w:t>
            </w:r>
            <w:r w:rsidR="002B7ED9">
              <w:rPr>
                <w:noProof/>
                <w:webHidden/>
              </w:rPr>
              <w:tab/>
            </w:r>
            <w:r w:rsidR="002B7ED9">
              <w:rPr>
                <w:noProof/>
                <w:webHidden/>
              </w:rPr>
              <w:fldChar w:fldCharType="begin"/>
            </w:r>
            <w:r w:rsidR="002B7ED9">
              <w:rPr>
                <w:noProof/>
                <w:webHidden/>
              </w:rPr>
              <w:instrText xml:space="preserve"> PAGEREF _Toc151040434 \h </w:instrText>
            </w:r>
            <w:r w:rsidR="002B7ED9">
              <w:rPr>
                <w:noProof/>
                <w:webHidden/>
              </w:rPr>
            </w:r>
            <w:r w:rsidR="002B7ED9">
              <w:rPr>
                <w:noProof/>
                <w:webHidden/>
              </w:rPr>
              <w:fldChar w:fldCharType="separate"/>
            </w:r>
            <w:r w:rsidR="002B7ED9">
              <w:rPr>
                <w:noProof/>
                <w:webHidden/>
              </w:rPr>
              <w:t>132</w:t>
            </w:r>
            <w:r w:rsidR="002B7ED9">
              <w:rPr>
                <w:noProof/>
                <w:webHidden/>
              </w:rPr>
              <w:fldChar w:fldCharType="end"/>
            </w:r>
          </w:hyperlink>
        </w:p>
        <w:p w14:paraId="69A4387C" w14:textId="2C2EB2ED"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35" w:history="1">
            <w:r w:rsidR="002B7ED9" w:rsidRPr="00207DC0">
              <w:rPr>
                <w:rStyle w:val="Hyperlink"/>
                <w:noProof/>
              </w:rPr>
              <w:t>Option 4</w:t>
            </w:r>
            <w:r w:rsidR="002B7ED9">
              <w:rPr>
                <w:noProof/>
                <w:webHidden/>
              </w:rPr>
              <w:tab/>
            </w:r>
            <w:r w:rsidR="002B7ED9">
              <w:rPr>
                <w:noProof/>
                <w:webHidden/>
              </w:rPr>
              <w:fldChar w:fldCharType="begin"/>
            </w:r>
            <w:r w:rsidR="002B7ED9">
              <w:rPr>
                <w:noProof/>
                <w:webHidden/>
              </w:rPr>
              <w:instrText xml:space="preserve"> PAGEREF _Toc151040435 \h </w:instrText>
            </w:r>
            <w:r w:rsidR="002B7ED9">
              <w:rPr>
                <w:noProof/>
                <w:webHidden/>
              </w:rPr>
            </w:r>
            <w:r w:rsidR="002B7ED9">
              <w:rPr>
                <w:noProof/>
                <w:webHidden/>
              </w:rPr>
              <w:fldChar w:fldCharType="separate"/>
            </w:r>
            <w:r w:rsidR="002B7ED9">
              <w:rPr>
                <w:noProof/>
                <w:webHidden/>
              </w:rPr>
              <w:t>133</w:t>
            </w:r>
            <w:r w:rsidR="002B7ED9">
              <w:rPr>
                <w:noProof/>
                <w:webHidden/>
              </w:rPr>
              <w:fldChar w:fldCharType="end"/>
            </w:r>
          </w:hyperlink>
        </w:p>
        <w:p w14:paraId="5C17CE74" w14:textId="6F459EB3" w:rsidR="002B7ED9" w:rsidRDefault="007364C4">
          <w:pPr>
            <w:pStyle w:val="TOC2"/>
            <w:rPr>
              <w:rFonts w:asciiTheme="minorHAnsi" w:eastAsiaTheme="minorEastAsia" w:hAnsiTheme="minorHAnsi" w:cstheme="minorBidi"/>
              <w:b w:val="0"/>
              <w:noProof/>
              <w:color w:val="auto"/>
              <w:sz w:val="22"/>
              <w:szCs w:val="22"/>
              <w:lang w:eastAsia="en-AU"/>
            </w:rPr>
          </w:pPr>
          <w:hyperlink w:anchor="_Toc151040436" w:history="1">
            <w:r w:rsidR="002B7ED9" w:rsidRPr="00207DC0">
              <w:rPr>
                <w:rStyle w:val="Hyperlink"/>
                <w:noProof/>
              </w:rPr>
              <w:t>Conclusion</w:t>
            </w:r>
            <w:r w:rsidR="002B7ED9">
              <w:rPr>
                <w:noProof/>
                <w:webHidden/>
              </w:rPr>
              <w:tab/>
            </w:r>
            <w:r w:rsidR="002B7ED9">
              <w:rPr>
                <w:noProof/>
                <w:webHidden/>
              </w:rPr>
              <w:fldChar w:fldCharType="begin"/>
            </w:r>
            <w:r w:rsidR="002B7ED9">
              <w:rPr>
                <w:noProof/>
                <w:webHidden/>
              </w:rPr>
              <w:instrText xml:space="preserve"> PAGEREF _Toc151040436 \h </w:instrText>
            </w:r>
            <w:r w:rsidR="002B7ED9">
              <w:rPr>
                <w:noProof/>
                <w:webHidden/>
              </w:rPr>
            </w:r>
            <w:r w:rsidR="002B7ED9">
              <w:rPr>
                <w:noProof/>
                <w:webHidden/>
              </w:rPr>
              <w:fldChar w:fldCharType="separate"/>
            </w:r>
            <w:r w:rsidR="002B7ED9">
              <w:rPr>
                <w:noProof/>
                <w:webHidden/>
              </w:rPr>
              <w:t>134</w:t>
            </w:r>
            <w:r w:rsidR="002B7ED9">
              <w:rPr>
                <w:noProof/>
                <w:webHidden/>
              </w:rPr>
              <w:fldChar w:fldCharType="end"/>
            </w:r>
          </w:hyperlink>
        </w:p>
        <w:p w14:paraId="4C77538F" w14:textId="18581714" w:rsidR="00F02AEC" w:rsidRPr="00672F22" w:rsidRDefault="00F02AEC" w:rsidP="00672F22">
          <w:pPr>
            <w:pStyle w:val="TOC1"/>
            <w:rPr>
              <w:rFonts w:asciiTheme="minorHAnsi" w:eastAsiaTheme="minorEastAsia" w:hAnsiTheme="minorHAnsi" w:cstheme="minorBidi"/>
              <w:b w:val="0"/>
              <w:noProof/>
              <w:color w:val="auto"/>
              <w:sz w:val="22"/>
              <w:szCs w:val="22"/>
              <w:lang w:eastAsia="en-AU"/>
            </w:rPr>
          </w:pPr>
          <w:r w:rsidRPr="00215D48">
            <w:fldChar w:fldCharType="end"/>
          </w:r>
        </w:p>
      </w:sdtContent>
    </w:sdt>
    <w:p w14:paraId="18CD79E1" w14:textId="77777777" w:rsidR="00F02AEC" w:rsidRPr="00215D48" w:rsidRDefault="00F02AEC" w:rsidP="00192C22">
      <w:r w:rsidRPr="00215D48">
        <w:br w:type="page"/>
      </w:r>
    </w:p>
    <w:p w14:paraId="6EE4F04B" w14:textId="77777777" w:rsidR="008939F1" w:rsidRDefault="008939F1" w:rsidP="008939F1">
      <w:pPr>
        <w:pStyle w:val="Heading2"/>
        <w:rPr>
          <w:color w:val="000000" w:themeColor="text1"/>
          <w:sz w:val="18"/>
          <w:szCs w:val="18"/>
        </w:rPr>
      </w:pPr>
      <w:bookmarkStart w:id="1" w:name="_Toc147321379"/>
      <w:bookmarkStart w:id="2" w:name="_Toc151040306"/>
      <w:bookmarkStart w:id="3" w:name="_Toc146634888"/>
      <w:r>
        <w:lastRenderedPageBreak/>
        <w:t>Glossary</w:t>
      </w:r>
      <w:bookmarkEnd w:id="1"/>
      <w:bookmarkEnd w:id="2"/>
    </w:p>
    <w:p w14:paraId="5FE358EB" w14:textId="77777777" w:rsidR="008939F1" w:rsidRPr="00462AE0" w:rsidRDefault="008939F1" w:rsidP="008939F1">
      <w:r w:rsidRPr="00462AE0">
        <w:rPr>
          <w:b/>
          <w:bCs/>
        </w:rPr>
        <w:t>Australian Register of Therapeutic Goods (ARTG)</w:t>
      </w:r>
      <w:r w:rsidRPr="00462AE0">
        <w:rPr>
          <w:rFonts w:cs="Arial"/>
        </w:rPr>
        <w:t>:</w:t>
      </w:r>
      <w:r w:rsidRPr="00462AE0">
        <w:rPr>
          <w:rFonts w:cs="Arial"/>
          <w:b/>
          <w:bCs/>
        </w:rPr>
        <w:t xml:space="preserve"> </w:t>
      </w:r>
      <w:r w:rsidRPr="00462AE0">
        <w:rPr>
          <w:rFonts w:cs="Arial"/>
        </w:rPr>
        <w:t xml:space="preserve">the public database of therapeutic goods that can be legally supplied in Australia. The ARTG is the main pathway for consumers to access prescription medicines and medical devices in Australia. </w:t>
      </w:r>
    </w:p>
    <w:p w14:paraId="2FD709F6" w14:textId="77777777" w:rsidR="008939F1" w:rsidRPr="00462AE0" w:rsidRDefault="008939F1" w:rsidP="008939F1">
      <w:pPr>
        <w:rPr>
          <w:rFonts w:cs="Arial"/>
          <w:b/>
          <w:bCs/>
        </w:rPr>
      </w:pPr>
      <w:r w:rsidRPr="00462AE0">
        <w:rPr>
          <w:rFonts w:cs="Arial"/>
          <w:b/>
          <w:bCs/>
        </w:rPr>
        <w:t>Authorised Prescriber (AP) Scheme</w:t>
      </w:r>
      <w:r w:rsidRPr="00462AE0">
        <w:rPr>
          <w:rFonts w:cs="Arial"/>
        </w:rPr>
        <w:t>: allows authorised medical practitioners to prescribe medicines or medical devices that are not included in the ARTG to a class of patients with a particular medical condition.</w:t>
      </w:r>
    </w:p>
    <w:p w14:paraId="67A5ECFE" w14:textId="77777777" w:rsidR="008939F1" w:rsidRPr="00462AE0" w:rsidRDefault="008939F1" w:rsidP="008939F1">
      <w:r w:rsidRPr="00462AE0">
        <w:rPr>
          <w:rFonts w:cs="Arial"/>
          <w:b/>
          <w:bCs/>
        </w:rPr>
        <w:t>Contaminant</w:t>
      </w:r>
      <w:r w:rsidRPr="00462AE0">
        <w:rPr>
          <w:rFonts w:cs="Arial"/>
        </w:rPr>
        <w:t>:</w:t>
      </w:r>
      <w:r w:rsidRPr="00462AE0">
        <w:t xml:space="preserve"> a chemical in the e-liquid (and sometimes the vaping device) that is not intended as an ingredient.</w:t>
      </w:r>
    </w:p>
    <w:p w14:paraId="6381C92D" w14:textId="77777777" w:rsidR="008939F1" w:rsidRPr="00462AE0" w:rsidRDefault="008939F1" w:rsidP="008939F1">
      <w:pPr>
        <w:pStyle w:val="Bullet1"/>
      </w:pPr>
      <w:r w:rsidRPr="00462AE0">
        <w:rPr>
          <w:b/>
          <w:bCs/>
        </w:rPr>
        <w:t>Convenience Stores</w:t>
      </w:r>
      <w:r w:rsidRPr="00462AE0">
        <w:t>: small, local, easily accessed store carrying limited selection of household goods.</w:t>
      </w:r>
    </w:p>
    <w:p w14:paraId="46BE2DFF" w14:textId="53E5A157" w:rsidR="0084100C" w:rsidRPr="0084100C" w:rsidRDefault="0084100C" w:rsidP="008939F1">
      <w:pPr>
        <w:pStyle w:val="Bullet1"/>
      </w:pPr>
      <w:r>
        <w:rPr>
          <w:b/>
          <w:bCs/>
        </w:rPr>
        <w:t>Customs Regulations</w:t>
      </w:r>
      <w:r>
        <w:t xml:space="preserve">: </w:t>
      </w:r>
      <w:r w:rsidR="0040160B" w:rsidRPr="0040160B">
        <w:rPr>
          <w:i/>
          <w:iCs/>
        </w:rPr>
        <w:t>Customs (Prohibited Imports) Regulations 1956</w:t>
      </w:r>
      <w:r w:rsidR="00984034">
        <w:t xml:space="preserve"> (Cth).</w:t>
      </w:r>
    </w:p>
    <w:p w14:paraId="050FBBB0" w14:textId="7A720683" w:rsidR="008939F1" w:rsidRPr="00462AE0" w:rsidRDefault="008939F1" w:rsidP="008939F1">
      <w:pPr>
        <w:rPr>
          <w:rFonts w:cs="Arial"/>
        </w:rPr>
      </w:pPr>
      <w:r w:rsidRPr="00462AE0">
        <w:rPr>
          <w:rFonts w:cs="Arial"/>
          <w:b/>
          <w:bCs/>
        </w:rPr>
        <w:t>Device component (of a vape)</w:t>
      </w:r>
      <w:r w:rsidRPr="00462AE0">
        <w:rPr>
          <w:rFonts w:cs="Arial"/>
        </w:rPr>
        <w:t>: a device, or element of a device, designed to generate or release (or assist), by electronic means, an aerosol or vapour (i.e.</w:t>
      </w:r>
      <w:r w:rsidR="009E0ED4">
        <w:rPr>
          <w:rFonts w:cs="Arial"/>
        </w:rPr>
        <w:t>,</w:t>
      </w:r>
      <w:r w:rsidRPr="00462AE0">
        <w:rPr>
          <w:rFonts w:cs="Arial"/>
        </w:rPr>
        <w:t xml:space="preserve"> mist or emission) for inhalation. Device components include e-cigarettes, e-cigars, e-hookah pens, e-pens, e-pipes, vape pens. Device components can include a battery, a liquid cartridge and an atomiser. Devices components are either disposable or refillable/reusable. </w:t>
      </w:r>
    </w:p>
    <w:p w14:paraId="479FF779" w14:textId="77777777" w:rsidR="008939F1" w:rsidRPr="00462AE0" w:rsidRDefault="008939F1" w:rsidP="008939F1">
      <w:pPr>
        <w:rPr>
          <w:rFonts w:cs="Arial"/>
        </w:rPr>
      </w:pPr>
      <w:r w:rsidRPr="00462AE0">
        <w:rPr>
          <w:rFonts w:cs="Arial"/>
          <w:b/>
          <w:bCs/>
        </w:rPr>
        <w:t>Disposable vape</w:t>
      </w:r>
      <w:r w:rsidRPr="00462AE0">
        <w:rPr>
          <w:rFonts w:cs="Arial"/>
        </w:rPr>
        <w:t>:</w:t>
      </w:r>
      <w:r w:rsidRPr="00462AE0">
        <w:rPr>
          <w:rFonts w:cs="Arial"/>
          <w:b/>
          <w:bCs/>
        </w:rPr>
        <w:t xml:space="preserve"> </w:t>
      </w:r>
      <w:r w:rsidRPr="00462AE0">
        <w:rPr>
          <w:rFonts w:cs="Arial"/>
        </w:rPr>
        <w:t>a vape that is pre-filled with an e-liquid that cannot be refilled and is disposed of once the vaping substance runs out. Disposable vapes refer only to closed system (sealed unit) vaping devices.</w:t>
      </w:r>
    </w:p>
    <w:p w14:paraId="2F2C5011" w14:textId="081788FC" w:rsidR="008939F1" w:rsidRPr="00462AE0" w:rsidRDefault="008939F1" w:rsidP="008939F1">
      <w:pPr>
        <w:rPr>
          <w:rFonts w:cs="Arial"/>
        </w:rPr>
      </w:pPr>
      <w:r w:rsidRPr="00462AE0">
        <w:rPr>
          <w:rFonts w:cs="Arial"/>
          <w:b/>
          <w:bCs/>
        </w:rPr>
        <w:t>E-liquid (component of a vape)</w:t>
      </w:r>
      <w:r w:rsidRPr="00462AE0">
        <w:rPr>
          <w:rFonts w:cs="Arial"/>
        </w:rPr>
        <w:t xml:space="preserve">: means the substance (usually, but not always, a liquid) consumed in a </w:t>
      </w:r>
      <w:r w:rsidR="00FC4BC2">
        <w:rPr>
          <w:rFonts w:cs="Arial"/>
        </w:rPr>
        <w:t>vape</w:t>
      </w:r>
      <w:r w:rsidRPr="00462AE0">
        <w:rPr>
          <w:rFonts w:cs="Arial"/>
        </w:rPr>
        <w:t xml:space="preserve">. E-liquids usually contain propylene glycol, glycerol, and flavourings, and may or may not contain nicotine. </w:t>
      </w:r>
    </w:p>
    <w:p w14:paraId="52085A11" w14:textId="5284FBB6" w:rsidR="008939F1" w:rsidRPr="00462AE0" w:rsidRDefault="008939F1" w:rsidP="008939F1">
      <w:pPr>
        <w:rPr>
          <w:rFonts w:cs="Arial"/>
          <w:b/>
          <w:bCs/>
        </w:rPr>
      </w:pPr>
      <w:r w:rsidRPr="00462AE0">
        <w:rPr>
          <w:rFonts w:cs="Arial"/>
          <w:b/>
          <w:bCs/>
        </w:rPr>
        <w:t>Ingredient</w:t>
      </w:r>
      <w:r w:rsidRPr="00462AE0">
        <w:rPr>
          <w:rFonts w:cs="Arial"/>
        </w:rPr>
        <w:t>:</w:t>
      </w:r>
      <w:r w:rsidRPr="00462AE0">
        <w:t xml:space="preserve"> a chemical that is intended to be in a</w:t>
      </w:r>
      <w:r w:rsidR="00A03E9A">
        <w:t>n</w:t>
      </w:r>
      <w:r w:rsidRPr="00462AE0">
        <w:t xml:space="preserve"> e-liquid (e.g. a flavour).</w:t>
      </w:r>
    </w:p>
    <w:p w14:paraId="2574195E" w14:textId="6408CB14" w:rsidR="008939F1" w:rsidRPr="00462AE0" w:rsidRDefault="008939F1" w:rsidP="008939F1">
      <w:pPr>
        <w:rPr>
          <w:rFonts w:cs="Arial"/>
        </w:rPr>
      </w:pPr>
      <w:r w:rsidRPr="00462AE0">
        <w:rPr>
          <w:rFonts w:cs="Arial"/>
          <w:b/>
          <w:bCs/>
        </w:rPr>
        <w:t>Medical Device (per TG Act)</w:t>
      </w:r>
      <w:r w:rsidRPr="00462AE0">
        <w:rPr>
          <w:rFonts w:cs="Arial"/>
        </w:rPr>
        <w:t>:</w:t>
      </w:r>
      <w:r w:rsidRPr="00462AE0">
        <w:rPr>
          <w:rFonts w:cs="Arial"/>
          <w:b/>
          <w:bCs/>
        </w:rPr>
        <w:t xml:space="preserve"> </w:t>
      </w:r>
      <w:r w:rsidRPr="00462AE0">
        <w:rPr>
          <w:rFonts w:cs="Arial"/>
        </w:rPr>
        <w:t>include</w:t>
      </w:r>
      <w:r w:rsidR="004045E3">
        <w:rPr>
          <w:rFonts w:cs="Arial"/>
        </w:rPr>
        <w:t>s</w:t>
      </w:r>
      <w:r w:rsidRPr="00462AE0">
        <w:rPr>
          <w:rFonts w:cs="Arial"/>
        </w:rPr>
        <w:t xml:space="preserve"> a wide range of products, such as medical gloves, bandages, syringes, blood pressure monitors, and x-ray equipment. They differ from medicines as they generally have a physical or mechanical effect on the body or are used to measure (or monitor) the body and its functions.</w:t>
      </w:r>
    </w:p>
    <w:p w14:paraId="71FDE0CB" w14:textId="77777777" w:rsidR="008939F1" w:rsidRPr="00462AE0" w:rsidRDefault="008939F1" w:rsidP="008939F1">
      <w:pPr>
        <w:rPr>
          <w:rFonts w:cs="Arial"/>
        </w:rPr>
      </w:pPr>
      <w:r w:rsidRPr="00462AE0">
        <w:rPr>
          <w:rFonts w:cs="Arial"/>
          <w:b/>
          <w:bCs/>
        </w:rPr>
        <w:t>Medicines (per TG Act)</w:t>
      </w:r>
      <w:r w:rsidRPr="00462AE0">
        <w:rPr>
          <w:rFonts w:cs="Arial"/>
        </w:rPr>
        <w:t>:</w:t>
      </w:r>
      <w:r w:rsidRPr="00462AE0">
        <w:rPr>
          <w:rFonts w:cs="Arial"/>
          <w:b/>
          <w:bCs/>
        </w:rPr>
        <w:t xml:space="preserve"> </w:t>
      </w:r>
      <w:r w:rsidRPr="00462AE0">
        <w:rPr>
          <w:rFonts w:eastAsia="Arial" w:cs="Arial"/>
          <w:b/>
          <w:bCs/>
        </w:rPr>
        <w:t xml:space="preserve"> </w:t>
      </w:r>
      <w:r w:rsidRPr="00462AE0">
        <w:rPr>
          <w:rFonts w:eastAsia="Arial" w:cs="Arial"/>
        </w:rPr>
        <w:t xml:space="preserve">includes a wide range of goods, such as prescription medicines, complementary medicines, and over the counter medicines. They differ from medical devices or biologicals as they generally have a pharmacological, chemical, immunological or metabolic effect on the body. </w:t>
      </w:r>
    </w:p>
    <w:p w14:paraId="33A5CE0C" w14:textId="77777777" w:rsidR="008939F1" w:rsidRPr="00462AE0" w:rsidRDefault="008939F1" w:rsidP="008939F1">
      <w:pPr>
        <w:rPr>
          <w:rFonts w:cs="Arial"/>
        </w:rPr>
      </w:pPr>
      <w:r w:rsidRPr="00462AE0">
        <w:rPr>
          <w:rFonts w:cs="Arial"/>
          <w:b/>
          <w:bCs/>
        </w:rPr>
        <w:t>Nicotine Vaping Product (NVP)</w:t>
      </w:r>
      <w:r w:rsidRPr="00462AE0">
        <w:rPr>
          <w:rFonts w:cs="Arial"/>
        </w:rPr>
        <w:t>:</w:t>
      </w:r>
      <w:r w:rsidRPr="00462AE0">
        <w:rPr>
          <w:rFonts w:cs="Arial"/>
          <w:b/>
          <w:bCs/>
        </w:rPr>
        <w:t xml:space="preserve"> </w:t>
      </w:r>
      <w:r w:rsidRPr="00462AE0">
        <w:rPr>
          <w:rFonts w:cs="Arial"/>
        </w:rPr>
        <w:t xml:space="preserve">a therapeutic vape that contains nicotine. A term defined in the Therapeutic Goods Regulations. </w:t>
      </w:r>
    </w:p>
    <w:p w14:paraId="7ADE7766" w14:textId="77777777" w:rsidR="008939F1" w:rsidRPr="00462AE0" w:rsidRDefault="008939F1" w:rsidP="008939F1">
      <w:pPr>
        <w:rPr>
          <w:rFonts w:cs="Arial"/>
        </w:rPr>
      </w:pPr>
      <w:r w:rsidRPr="00462AE0">
        <w:rPr>
          <w:rFonts w:cs="Arial"/>
          <w:b/>
          <w:bCs/>
        </w:rPr>
        <w:t>Nicotine Replacement Therapy (NRT) products</w:t>
      </w:r>
      <w:r w:rsidRPr="00462AE0">
        <w:rPr>
          <w:rFonts w:cs="Arial"/>
        </w:rPr>
        <w:t xml:space="preserve">: a range of products included on the ARTG that are used to support smoking cessation, including mouth spray, gum, lozenges, inhalators and patches. </w:t>
      </w:r>
    </w:p>
    <w:p w14:paraId="43978A7A" w14:textId="2EFAD0D8" w:rsidR="008939F1" w:rsidRPr="00462AE0" w:rsidRDefault="008939F1" w:rsidP="008939F1">
      <w:pPr>
        <w:rPr>
          <w:rFonts w:cs="Arial"/>
        </w:rPr>
      </w:pPr>
      <w:r w:rsidRPr="00462AE0">
        <w:rPr>
          <w:rFonts w:cs="Arial"/>
          <w:b/>
          <w:bCs/>
        </w:rPr>
        <w:t>Pharmaceutical Benefits Scheme (PBS)</w:t>
      </w:r>
      <w:r w:rsidRPr="00462AE0">
        <w:rPr>
          <w:rFonts w:cs="Arial"/>
        </w:rPr>
        <w:t>:</w:t>
      </w:r>
      <w:r w:rsidRPr="00462AE0">
        <w:rPr>
          <w:rFonts w:cs="Arial"/>
          <w:b/>
          <w:bCs/>
        </w:rPr>
        <w:t xml:space="preserve"> </w:t>
      </w:r>
      <w:r w:rsidRPr="00462AE0">
        <w:rPr>
          <w:rFonts w:cs="Arial"/>
        </w:rPr>
        <w:t>provides timely, reliable, and affordable access to necessary medicines for Australians.</w:t>
      </w:r>
    </w:p>
    <w:p w14:paraId="27A83F11" w14:textId="77777777" w:rsidR="008939F1" w:rsidRPr="00462AE0" w:rsidRDefault="008939F1" w:rsidP="008939F1">
      <w:pPr>
        <w:rPr>
          <w:rFonts w:cs="Arial"/>
        </w:rPr>
      </w:pPr>
      <w:r w:rsidRPr="00462AE0">
        <w:rPr>
          <w:rFonts w:cs="Arial"/>
          <w:b/>
          <w:bCs/>
        </w:rPr>
        <w:t>Poisons Standard</w:t>
      </w:r>
      <w:r w:rsidRPr="00462AE0">
        <w:rPr>
          <w:rFonts w:cs="Arial"/>
        </w:rPr>
        <w:t>: Standard for the Uniform Scheduling of Medicines and Poisons, which is a legislative instrument consisting of decisions on the classification of medicines and chemicals into Schedules according to risk.</w:t>
      </w:r>
    </w:p>
    <w:p w14:paraId="7C88335B" w14:textId="77777777" w:rsidR="008939F1" w:rsidRPr="00462AE0" w:rsidRDefault="008939F1" w:rsidP="008939F1">
      <w:pPr>
        <w:rPr>
          <w:rFonts w:cs="Arial"/>
        </w:rPr>
      </w:pPr>
      <w:r w:rsidRPr="00462AE0">
        <w:rPr>
          <w:rFonts w:cs="Arial"/>
          <w:b/>
          <w:bCs/>
        </w:rPr>
        <w:t>Prescription-only medicines</w:t>
      </w:r>
      <w:r w:rsidRPr="00462AE0">
        <w:rPr>
          <w:rFonts w:cs="Arial"/>
        </w:rPr>
        <w:t>:</w:t>
      </w:r>
      <w:r w:rsidRPr="00462AE0">
        <w:rPr>
          <w:rFonts w:cs="Arial"/>
          <w:b/>
          <w:bCs/>
        </w:rPr>
        <w:t xml:space="preserve"> </w:t>
      </w:r>
      <w:r w:rsidRPr="00462AE0">
        <w:rPr>
          <w:rFonts w:cs="Arial"/>
        </w:rPr>
        <w:t>medicines listed under Schedule 4 of the Poisons Standard.</w:t>
      </w:r>
    </w:p>
    <w:p w14:paraId="10273581" w14:textId="77777777" w:rsidR="008939F1" w:rsidRPr="00462AE0" w:rsidRDefault="008939F1" w:rsidP="008939F1">
      <w:pPr>
        <w:rPr>
          <w:rFonts w:cs="Arial"/>
        </w:rPr>
      </w:pPr>
      <w:r w:rsidRPr="00462AE0">
        <w:rPr>
          <w:rFonts w:cs="Arial"/>
          <w:b/>
          <w:bCs/>
        </w:rPr>
        <w:t>Reaction product</w:t>
      </w:r>
      <w:r w:rsidRPr="00462AE0">
        <w:rPr>
          <w:rFonts w:cs="Arial"/>
        </w:rPr>
        <w:t>:</w:t>
      </w:r>
      <w:r w:rsidRPr="00462AE0">
        <w:t xml:space="preserve"> a chemical produced when the chemicals present in e-liquids and emissions react with light, heat or other chemicals (produced when e-cigarette devices are heated to produce the inhalable emission).</w:t>
      </w:r>
    </w:p>
    <w:p w14:paraId="630A1DF3" w14:textId="77777777" w:rsidR="008939F1" w:rsidRPr="00462AE0" w:rsidRDefault="008939F1" w:rsidP="008939F1">
      <w:pPr>
        <w:rPr>
          <w:rFonts w:cs="Arial"/>
          <w:b/>
          <w:bCs/>
        </w:rPr>
      </w:pPr>
      <w:r w:rsidRPr="00462AE0">
        <w:rPr>
          <w:rFonts w:cs="Arial"/>
          <w:b/>
          <w:bCs/>
        </w:rPr>
        <w:lastRenderedPageBreak/>
        <w:t>Refillable/reusable vape</w:t>
      </w:r>
      <w:r w:rsidRPr="00462AE0">
        <w:rPr>
          <w:rFonts w:cs="Arial"/>
        </w:rPr>
        <w:t>: a vape that can be refilled and/or reused multiple times, often with various e-liquids or pods sold separately to the device and can be recharged.</w:t>
      </w:r>
    </w:p>
    <w:p w14:paraId="162BCF38" w14:textId="554DC164" w:rsidR="008939F1" w:rsidRPr="00462AE0" w:rsidRDefault="008939F1" w:rsidP="008939F1">
      <w:pPr>
        <w:rPr>
          <w:rFonts w:cs="Arial"/>
          <w:b/>
          <w:bCs/>
        </w:rPr>
      </w:pPr>
      <w:r w:rsidRPr="00462AE0">
        <w:rPr>
          <w:rFonts w:cs="Arial"/>
          <w:b/>
          <w:bCs/>
        </w:rPr>
        <w:t>Therapeutic vape</w:t>
      </w:r>
      <w:r w:rsidRPr="00462AE0">
        <w:rPr>
          <w:rFonts w:cs="Arial"/>
        </w:rPr>
        <w:t>:</w:t>
      </w:r>
      <w:r w:rsidRPr="00462AE0">
        <w:rPr>
          <w:rFonts w:cs="Arial"/>
          <w:b/>
          <w:bCs/>
        </w:rPr>
        <w:t xml:space="preserve"> </w:t>
      </w:r>
      <w:r w:rsidRPr="00462AE0">
        <w:rPr>
          <w:rFonts w:cs="Arial"/>
        </w:rPr>
        <w:t xml:space="preserve">a nicotine vape and a vape that makes a therapeutic claim (irrespective of nicotine content). Therapeutic vapes are regulated under the TG Act. </w:t>
      </w:r>
    </w:p>
    <w:p w14:paraId="29B945F3" w14:textId="77777777" w:rsidR="008939F1" w:rsidRPr="00462AE0" w:rsidRDefault="008939F1" w:rsidP="008939F1">
      <w:pPr>
        <w:rPr>
          <w:rFonts w:cs="Arial"/>
        </w:rPr>
      </w:pPr>
      <w:r w:rsidRPr="00462AE0">
        <w:rPr>
          <w:rFonts w:cs="Arial"/>
          <w:b/>
          <w:bCs/>
        </w:rPr>
        <w:t>TGA</w:t>
      </w:r>
      <w:r w:rsidRPr="00462AE0">
        <w:rPr>
          <w:rFonts w:cs="Arial"/>
        </w:rPr>
        <w:t>: Therapeutic Goods Administration.</w:t>
      </w:r>
    </w:p>
    <w:p w14:paraId="43BD545E" w14:textId="77777777" w:rsidR="008939F1" w:rsidRPr="00462AE0" w:rsidRDefault="008939F1" w:rsidP="008939F1">
      <w:pPr>
        <w:rPr>
          <w:rFonts w:cs="Arial"/>
        </w:rPr>
      </w:pPr>
      <w:r w:rsidRPr="00462AE0">
        <w:rPr>
          <w:rFonts w:cs="Arial"/>
          <w:b/>
          <w:bCs/>
        </w:rPr>
        <w:t>TG Act</w:t>
      </w:r>
      <w:r w:rsidRPr="00462AE0">
        <w:rPr>
          <w:rFonts w:cs="Arial"/>
        </w:rPr>
        <w:t>:</w:t>
      </w:r>
      <w:r w:rsidRPr="00462AE0">
        <w:rPr>
          <w:rFonts w:cs="Arial"/>
          <w:b/>
          <w:bCs/>
        </w:rPr>
        <w:t xml:space="preserve"> </w:t>
      </w:r>
      <w:r w:rsidRPr="00462AE0">
        <w:rPr>
          <w:rFonts w:cs="Arial"/>
          <w:i/>
          <w:iCs/>
        </w:rPr>
        <w:t>Therapeutic Goods Act 1989</w:t>
      </w:r>
      <w:r w:rsidRPr="00462AE0">
        <w:rPr>
          <w:rFonts w:cs="Arial"/>
        </w:rPr>
        <w:t xml:space="preserve"> (Cth).</w:t>
      </w:r>
    </w:p>
    <w:p w14:paraId="515A72DD" w14:textId="77777777" w:rsidR="008939F1" w:rsidRPr="00462AE0" w:rsidRDefault="008939F1" w:rsidP="008939F1">
      <w:pPr>
        <w:rPr>
          <w:rFonts w:cs="Arial"/>
        </w:rPr>
      </w:pPr>
      <w:r w:rsidRPr="00462AE0">
        <w:rPr>
          <w:rFonts w:cs="Arial"/>
          <w:b/>
          <w:bCs/>
        </w:rPr>
        <w:t>TGO 110</w:t>
      </w:r>
      <w:r w:rsidRPr="00462AE0">
        <w:rPr>
          <w:rFonts w:cs="Arial"/>
        </w:rPr>
        <w:t xml:space="preserve">: </w:t>
      </w:r>
      <w:r w:rsidRPr="00462AE0">
        <w:rPr>
          <w:rFonts w:cs="Arial"/>
          <w:i/>
          <w:iCs/>
        </w:rPr>
        <w:t>Therapeutic Goods (Standard for Nicotine Vaping Product) (TGO 110) Order 2021</w:t>
      </w:r>
      <w:r w:rsidRPr="00462AE0">
        <w:rPr>
          <w:rFonts w:cs="Arial"/>
        </w:rPr>
        <w:t>, the product standard made under section 10 of the TG Act which sets out minimum safety and quality requirements for vapes that are not registered in the ARTG and that are imported into, supplied in, or exported from Australia. All therapeutic vapes currently available in Australia are unregistered.</w:t>
      </w:r>
    </w:p>
    <w:p w14:paraId="15F56486" w14:textId="77777777" w:rsidR="008939F1" w:rsidRPr="00462AE0" w:rsidRDefault="008939F1" w:rsidP="008939F1">
      <w:pPr>
        <w:pStyle w:val="Bullet1"/>
      </w:pPr>
      <w:r w:rsidRPr="00462AE0">
        <w:rPr>
          <w:b/>
          <w:bCs/>
        </w:rPr>
        <w:t>Tobacconist Stores</w:t>
      </w:r>
      <w:r w:rsidRPr="00462AE0">
        <w:t>: retail business whose primary purpose is the sale of tobacco products and accessories.</w:t>
      </w:r>
    </w:p>
    <w:p w14:paraId="021E332A" w14:textId="323FB930" w:rsidR="008939F1" w:rsidRPr="00462AE0" w:rsidRDefault="008939F1" w:rsidP="008939F1">
      <w:pPr>
        <w:rPr>
          <w:rFonts w:cs="Arial"/>
        </w:rPr>
      </w:pPr>
      <w:r w:rsidRPr="00462AE0">
        <w:rPr>
          <w:rFonts w:cs="Arial"/>
          <w:b/>
          <w:bCs/>
        </w:rPr>
        <w:t>Unapproved therapeutic goods</w:t>
      </w:r>
      <w:r w:rsidRPr="00462AE0">
        <w:rPr>
          <w:rFonts w:cs="Arial"/>
        </w:rPr>
        <w:t xml:space="preserve">: therapeutic goods that are not included in the ARTG and have not met the quality, safety and efficacy requirements for ARTG registration. There are established pathways under the TG Act that allow access </w:t>
      </w:r>
      <w:r w:rsidR="007471FD">
        <w:rPr>
          <w:rFonts w:cs="Arial"/>
        </w:rPr>
        <w:t>to</w:t>
      </w:r>
      <w:r w:rsidRPr="00462AE0">
        <w:rPr>
          <w:rFonts w:cs="Arial"/>
        </w:rPr>
        <w:t xml:space="preserve"> unapproved therapeutic goods </w:t>
      </w:r>
      <w:r w:rsidR="007471FD">
        <w:rPr>
          <w:rFonts w:cs="Arial"/>
        </w:rPr>
        <w:t xml:space="preserve">in </w:t>
      </w:r>
      <w:r w:rsidRPr="00462AE0">
        <w:rPr>
          <w:rFonts w:cs="Arial"/>
        </w:rPr>
        <w:t xml:space="preserve">certain circumstances, including the Special Access Scheme and the </w:t>
      </w:r>
      <w:r w:rsidR="00DE24D7">
        <w:rPr>
          <w:rFonts w:cs="Arial"/>
        </w:rPr>
        <w:t>AP</w:t>
      </w:r>
      <w:r w:rsidRPr="00462AE0">
        <w:rPr>
          <w:rFonts w:cs="Arial"/>
        </w:rPr>
        <w:t xml:space="preserve"> Scheme. </w:t>
      </w:r>
    </w:p>
    <w:p w14:paraId="5B9D7480" w14:textId="77777777" w:rsidR="008939F1" w:rsidRPr="00462AE0" w:rsidRDefault="008939F1" w:rsidP="008939F1">
      <w:pPr>
        <w:rPr>
          <w:rFonts w:cs="Arial"/>
        </w:rPr>
      </w:pPr>
      <w:r w:rsidRPr="00462AE0">
        <w:rPr>
          <w:rFonts w:cs="Arial"/>
          <w:b/>
          <w:bCs/>
        </w:rPr>
        <w:t>Vaping device</w:t>
      </w:r>
      <w:r w:rsidRPr="00462AE0">
        <w:rPr>
          <w:rFonts w:cs="Arial"/>
        </w:rPr>
        <w:t xml:space="preserve">: see </w:t>
      </w:r>
      <w:r w:rsidRPr="00462AE0">
        <w:rPr>
          <w:rFonts w:cs="Arial"/>
          <w:i/>
          <w:iCs/>
        </w:rPr>
        <w:t>device component</w:t>
      </w:r>
      <w:r w:rsidRPr="00462AE0">
        <w:rPr>
          <w:rFonts w:cs="Arial"/>
        </w:rPr>
        <w:t>.</w:t>
      </w:r>
    </w:p>
    <w:p w14:paraId="428B2CB7" w14:textId="5B71E821" w:rsidR="008939F1" w:rsidRPr="00462AE0" w:rsidRDefault="008939F1" w:rsidP="008939F1">
      <w:r w:rsidRPr="00462AE0">
        <w:rPr>
          <w:rFonts w:cs="Arial"/>
          <w:b/>
          <w:bCs/>
        </w:rPr>
        <w:t>Vape</w:t>
      </w:r>
      <w:r w:rsidRPr="00462AE0">
        <w:rPr>
          <w:rFonts w:cs="Arial"/>
        </w:rPr>
        <w:t>: comprises both e-liquid and device components which, when used together, are designed or intended to vaporise and administer the e-liquid component by inhalation generally in a manner that replicates, or produces an experience similar to, smoking.</w:t>
      </w:r>
    </w:p>
    <w:p w14:paraId="703F4DA2" w14:textId="31A63A13" w:rsidR="008939F1" w:rsidRPr="00462AE0" w:rsidRDefault="008939F1" w:rsidP="008939F1">
      <w:r w:rsidRPr="00462AE0">
        <w:rPr>
          <w:b/>
          <w:bCs/>
        </w:rPr>
        <w:t>Vape Specialist Store</w:t>
      </w:r>
      <w:r w:rsidRPr="00462AE0">
        <w:t xml:space="preserve">: retail business focusing on the selling of </w:t>
      </w:r>
      <w:r w:rsidR="00FC4BC2">
        <w:t>vape</w:t>
      </w:r>
      <w:r w:rsidRPr="00462AE0">
        <w:t>s.</w:t>
      </w:r>
    </w:p>
    <w:p w14:paraId="479221EF" w14:textId="77777777" w:rsidR="008939F1" w:rsidRPr="000E06CA" w:rsidRDefault="008939F1" w:rsidP="008939F1">
      <w:pPr>
        <w:rPr>
          <w:color w:val="538135" w:themeColor="accent6" w:themeShade="BF"/>
        </w:rPr>
      </w:pPr>
    </w:p>
    <w:p w14:paraId="4C2C9ED2" w14:textId="77777777" w:rsidR="008939F1" w:rsidRPr="000E06CA" w:rsidRDefault="008939F1" w:rsidP="008939F1">
      <w:pPr>
        <w:rPr>
          <w:rFonts w:eastAsia="Times New Roman" w:cs="Times New Roman"/>
          <w:b/>
          <w:bCs/>
          <w:color w:val="538135" w:themeColor="accent6" w:themeShade="BF"/>
          <w:sz w:val="38"/>
          <w:szCs w:val="38"/>
        </w:rPr>
      </w:pPr>
      <w:r w:rsidRPr="000E06CA">
        <w:rPr>
          <w:color w:val="538135" w:themeColor="accent6" w:themeShade="BF"/>
        </w:rPr>
        <w:br w:type="page"/>
      </w:r>
    </w:p>
    <w:p w14:paraId="4CDD4EAC" w14:textId="231F5ADF" w:rsidR="000E44AD" w:rsidRDefault="000E44AD" w:rsidP="000E44AD">
      <w:pPr>
        <w:pStyle w:val="Heading2"/>
      </w:pPr>
      <w:bookmarkStart w:id="4" w:name="_Toc146634889"/>
      <w:bookmarkStart w:id="5" w:name="_Toc151040307"/>
      <w:bookmarkEnd w:id="3"/>
      <w:r>
        <w:lastRenderedPageBreak/>
        <w:t>Tables</w:t>
      </w:r>
      <w:bookmarkEnd w:id="4"/>
      <w:bookmarkEnd w:id="5"/>
    </w:p>
    <w:p w14:paraId="7DE15E77" w14:textId="4C51643E" w:rsidR="000B782E" w:rsidRDefault="007720BC">
      <w:pPr>
        <w:pStyle w:val="TableofFigures"/>
        <w:tabs>
          <w:tab w:val="right" w:pos="9016"/>
        </w:tabs>
        <w:rPr>
          <w:rFonts w:asciiTheme="minorHAnsi" w:eastAsiaTheme="minorEastAsia" w:hAnsiTheme="minorHAnsi" w:cstheme="minorBidi"/>
          <w:b w:val="0"/>
          <w:noProof/>
          <w:sz w:val="22"/>
          <w:szCs w:val="22"/>
          <w:lang w:eastAsia="en-AU"/>
        </w:rPr>
      </w:pPr>
      <w:r>
        <w:fldChar w:fldCharType="begin"/>
      </w:r>
      <w:r>
        <w:instrText xml:space="preserve"> TOC \h \z \t "Table Caption" \c </w:instrText>
      </w:r>
      <w:r>
        <w:fldChar w:fldCharType="separate"/>
      </w:r>
      <w:hyperlink w:anchor="_Toc147759787" w:history="1">
        <w:r w:rsidR="000B782E" w:rsidRPr="00227705">
          <w:rPr>
            <w:rStyle w:val="Hyperlink"/>
            <w:noProof/>
          </w:rPr>
          <w:t>Table 1. Policy options considered</w:t>
        </w:r>
        <w:r w:rsidR="000B782E">
          <w:rPr>
            <w:noProof/>
            <w:webHidden/>
          </w:rPr>
          <w:tab/>
        </w:r>
        <w:r w:rsidR="000B782E">
          <w:rPr>
            <w:noProof/>
            <w:webHidden/>
          </w:rPr>
          <w:fldChar w:fldCharType="begin"/>
        </w:r>
        <w:r w:rsidR="000B782E">
          <w:rPr>
            <w:noProof/>
            <w:webHidden/>
          </w:rPr>
          <w:instrText xml:space="preserve"> PAGEREF _Toc147759787 \h </w:instrText>
        </w:r>
        <w:r w:rsidR="000B782E">
          <w:rPr>
            <w:noProof/>
            <w:webHidden/>
          </w:rPr>
        </w:r>
        <w:r w:rsidR="000B782E">
          <w:rPr>
            <w:noProof/>
            <w:webHidden/>
          </w:rPr>
          <w:fldChar w:fldCharType="separate"/>
        </w:r>
        <w:r w:rsidR="000B782E">
          <w:rPr>
            <w:noProof/>
            <w:webHidden/>
          </w:rPr>
          <w:t>44</w:t>
        </w:r>
        <w:r w:rsidR="000B782E">
          <w:rPr>
            <w:noProof/>
            <w:webHidden/>
          </w:rPr>
          <w:fldChar w:fldCharType="end"/>
        </w:r>
      </w:hyperlink>
    </w:p>
    <w:p w14:paraId="49F1EF5E" w14:textId="5A72D6DF"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88" w:history="1">
        <w:r w:rsidR="000B782E" w:rsidRPr="00227705">
          <w:rPr>
            <w:rStyle w:val="Hyperlink"/>
            <w:noProof/>
          </w:rPr>
          <w:t>Table B1. Reduction in number of GP visits per year to obtain a prescription for vapes</w:t>
        </w:r>
        <w:r w:rsidR="000B782E">
          <w:rPr>
            <w:noProof/>
            <w:webHidden/>
          </w:rPr>
          <w:tab/>
        </w:r>
        <w:r w:rsidR="000B782E">
          <w:rPr>
            <w:noProof/>
            <w:webHidden/>
          </w:rPr>
          <w:fldChar w:fldCharType="begin"/>
        </w:r>
        <w:r w:rsidR="000B782E">
          <w:rPr>
            <w:noProof/>
            <w:webHidden/>
          </w:rPr>
          <w:instrText xml:space="preserve"> PAGEREF _Toc147759788 \h </w:instrText>
        </w:r>
        <w:r w:rsidR="000B782E">
          <w:rPr>
            <w:noProof/>
            <w:webHidden/>
          </w:rPr>
        </w:r>
        <w:r w:rsidR="000B782E">
          <w:rPr>
            <w:noProof/>
            <w:webHidden/>
          </w:rPr>
          <w:fldChar w:fldCharType="separate"/>
        </w:r>
        <w:r w:rsidR="00216B22">
          <w:rPr>
            <w:noProof/>
            <w:webHidden/>
          </w:rPr>
          <w:t>113</w:t>
        </w:r>
        <w:r w:rsidR="000B782E">
          <w:rPr>
            <w:noProof/>
            <w:webHidden/>
          </w:rPr>
          <w:fldChar w:fldCharType="end"/>
        </w:r>
      </w:hyperlink>
    </w:p>
    <w:p w14:paraId="6178D7F7" w14:textId="4E508179"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89" w:history="1">
        <w:r w:rsidR="000B782E" w:rsidRPr="00227705">
          <w:rPr>
            <w:rStyle w:val="Hyperlink"/>
            <w:noProof/>
          </w:rPr>
          <w:t>Table B2. Projected growth in APs</w:t>
        </w:r>
        <w:r w:rsidR="000B782E">
          <w:rPr>
            <w:noProof/>
            <w:webHidden/>
          </w:rPr>
          <w:tab/>
        </w:r>
        <w:r w:rsidR="000B782E">
          <w:rPr>
            <w:noProof/>
            <w:webHidden/>
          </w:rPr>
          <w:fldChar w:fldCharType="begin"/>
        </w:r>
        <w:r w:rsidR="000B782E">
          <w:rPr>
            <w:noProof/>
            <w:webHidden/>
          </w:rPr>
          <w:instrText xml:space="preserve"> PAGEREF _Toc147759789 \h </w:instrText>
        </w:r>
        <w:r w:rsidR="000B782E">
          <w:rPr>
            <w:noProof/>
            <w:webHidden/>
          </w:rPr>
        </w:r>
        <w:r w:rsidR="000B782E">
          <w:rPr>
            <w:noProof/>
            <w:webHidden/>
          </w:rPr>
          <w:fldChar w:fldCharType="separate"/>
        </w:r>
        <w:r w:rsidR="00216B22">
          <w:rPr>
            <w:noProof/>
            <w:webHidden/>
          </w:rPr>
          <w:t>120</w:t>
        </w:r>
        <w:r w:rsidR="000B782E">
          <w:rPr>
            <w:noProof/>
            <w:webHidden/>
          </w:rPr>
          <w:fldChar w:fldCharType="end"/>
        </w:r>
      </w:hyperlink>
    </w:p>
    <w:p w14:paraId="7402115E" w14:textId="38F6003C"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90" w:history="1">
        <w:r w:rsidR="000B782E" w:rsidRPr="00227705">
          <w:rPr>
            <w:rStyle w:val="Hyperlink"/>
            <w:noProof/>
          </w:rPr>
          <w:t>Table B3: Summary of estimated regulatory compliance costs</w:t>
        </w:r>
        <w:r w:rsidR="000B782E">
          <w:rPr>
            <w:noProof/>
            <w:webHidden/>
          </w:rPr>
          <w:tab/>
        </w:r>
        <w:r w:rsidR="000B782E">
          <w:rPr>
            <w:noProof/>
            <w:webHidden/>
          </w:rPr>
          <w:fldChar w:fldCharType="begin"/>
        </w:r>
        <w:r w:rsidR="000B782E">
          <w:rPr>
            <w:noProof/>
            <w:webHidden/>
          </w:rPr>
          <w:instrText xml:space="preserve"> PAGEREF _Toc147759790 \h </w:instrText>
        </w:r>
        <w:r w:rsidR="000B782E">
          <w:rPr>
            <w:noProof/>
            <w:webHidden/>
          </w:rPr>
        </w:r>
        <w:r w:rsidR="000B782E">
          <w:rPr>
            <w:noProof/>
            <w:webHidden/>
          </w:rPr>
          <w:fldChar w:fldCharType="separate"/>
        </w:r>
        <w:r w:rsidR="00216B22">
          <w:rPr>
            <w:noProof/>
            <w:webHidden/>
          </w:rPr>
          <w:t>135</w:t>
        </w:r>
        <w:r w:rsidR="000B782E">
          <w:rPr>
            <w:noProof/>
            <w:webHidden/>
          </w:rPr>
          <w:fldChar w:fldCharType="end"/>
        </w:r>
      </w:hyperlink>
    </w:p>
    <w:p w14:paraId="746C24C5" w14:textId="0E613FE8" w:rsidR="000E44AD" w:rsidRDefault="007720BC" w:rsidP="000E44AD">
      <w:pPr>
        <w:pStyle w:val="TableofFigures"/>
        <w:tabs>
          <w:tab w:val="right" w:pos="9016"/>
        </w:tabs>
        <w:ind w:left="0" w:firstLine="0"/>
      </w:pPr>
      <w:r>
        <w:fldChar w:fldCharType="end"/>
      </w:r>
    </w:p>
    <w:p w14:paraId="6443638E" w14:textId="410C2C7A" w:rsidR="000E44AD" w:rsidRDefault="000E44AD" w:rsidP="000E44AD">
      <w:pPr>
        <w:pStyle w:val="Heading2"/>
      </w:pPr>
      <w:bookmarkStart w:id="6" w:name="_Toc151040308"/>
      <w:r>
        <w:t>Figures</w:t>
      </w:r>
      <w:bookmarkEnd w:id="6"/>
    </w:p>
    <w:p w14:paraId="5304934F" w14:textId="06B44A66" w:rsidR="000B782E" w:rsidRDefault="00987340">
      <w:pPr>
        <w:pStyle w:val="TableofFigures"/>
        <w:tabs>
          <w:tab w:val="right" w:pos="9016"/>
        </w:tabs>
        <w:rPr>
          <w:rFonts w:asciiTheme="minorHAnsi" w:eastAsiaTheme="minorEastAsia" w:hAnsiTheme="minorHAnsi" w:cstheme="minorBidi"/>
          <w:b w:val="0"/>
          <w:noProof/>
          <w:sz w:val="22"/>
          <w:szCs w:val="22"/>
          <w:lang w:eastAsia="en-AU"/>
        </w:rPr>
      </w:pPr>
      <w:r>
        <w:fldChar w:fldCharType="begin"/>
      </w:r>
      <w:r>
        <w:instrText xml:space="preserve"> TOC \h \z \t "Caption" \c </w:instrText>
      </w:r>
      <w:r>
        <w:fldChar w:fldCharType="separate"/>
      </w:r>
      <w:hyperlink w:anchor="_Toc147759791" w:history="1">
        <w:r w:rsidR="000B782E" w:rsidRPr="00A65DDB">
          <w:rPr>
            <w:rStyle w:val="Hyperlink"/>
            <w:noProof/>
          </w:rPr>
          <w:t>Figure 1. Overall view of Australian e-cigarette retail business entities by store types</w:t>
        </w:r>
        <w:r w:rsidR="000B782E">
          <w:rPr>
            <w:noProof/>
            <w:webHidden/>
          </w:rPr>
          <w:tab/>
        </w:r>
        <w:r w:rsidR="000B782E">
          <w:rPr>
            <w:noProof/>
            <w:webHidden/>
          </w:rPr>
          <w:fldChar w:fldCharType="begin"/>
        </w:r>
        <w:r w:rsidR="000B782E">
          <w:rPr>
            <w:noProof/>
            <w:webHidden/>
          </w:rPr>
          <w:instrText xml:space="preserve"> PAGEREF _Toc147759791 \h </w:instrText>
        </w:r>
        <w:r w:rsidR="000B782E">
          <w:rPr>
            <w:noProof/>
            <w:webHidden/>
          </w:rPr>
        </w:r>
        <w:r w:rsidR="000B782E">
          <w:rPr>
            <w:noProof/>
            <w:webHidden/>
          </w:rPr>
          <w:fldChar w:fldCharType="separate"/>
        </w:r>
        <w:r w:rsidR="000B782E">
          <w:rPr>
            <w:noProof/>
            <w:webHidden/>
          </w:rPr>
          <w:t>22</w:t>
        </w:r>
        <w:r w:rsidR="000B782E">
          <w:rPr>
            <w:noProof/>
            <w:webHidden/>
          </w:rPr>
          <w:fldChar w:fldCharType="end"/>
        </w:r>
      </w:hyperlink>
    </w:p>
    <w:p w14:paraId="719411B1" w14:textId="2FB5DB26"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92" w:history="1">
        <w:r w:rsidR="000B782E" w:rsidRPr="00A65DDB">
          <w:rPr>
            <w:rStyle w:val="Hyperlink"/>
            <w:noProof/>
          </w:rPr>
          <w:t>Figure 2. Number of physical vaping specialist stores across Australian states and territories</w:t>
        </w:r>
        <w:r w:rsidR="000B782E">
          <w:rPr>
            <w:noProof/>
            <w:webHidden/>
          </w:rPr>
          <w:tab/>
        </w:r>
        <w:r w:rsidR="000B782E">
          <w:rPr>
            <w:noProof/>
            <w:webHidden/>
          </w:rPr>
          <w:fldChar w:fldCharType="begin"/>
        </w:r>
        <w:r w:rsidR="000B782E">
          <w:rPr>
            <w:noProof/>
            <w:webHidden/>
          </w:rPr>
          <w:instrText xml:space="preserve"> PAGEREF _Toc147759792 \h </w:instrText>
        </w:r>
        <w:r w:rsidR="000B782E">
          <w:rPr>
            <w:noProof/>
            <w:webHidden/>
          </w:rPr>
        </w:r>
        <w:r w:rsidR="000B782E">
          <w:rPr>
            <w:noProof/>
            <w:webHidden/>
          </w:rPr>
          <w:fldChar w:fldCharType="separate"/>
        </w:r>
        <w:r w:rsidR="000B782E">
          <w:rPr>
            <w:noProof/>
            <w:webHidden/>
          </w:rPr>
          <w:t>22</w:t>
        </w:r>
        <w:r w:rsidR="000B782E">
          <w:rPr>
            <w:noProof/>
            <w:webHidden/>
          </w:rPr>
          <w:fldChar w:fldCharType="end"/>
        </w:r>
      </w:hyperlink>
    </w:p>
    <w:p w14:paraId="5877A4E4" w14:textId="4D4CD103"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93" w:history="1">
        <w:r w:rsidR="000B782E" w:rsidRPr="00A65DDB">
          <w:rPr>
            <w:rStyle w:val="Hyperlink"/>
            <w:noProof/>
          </w:rPr>
          <w:t>Figure 3. Number of physical tobacconist stores across Australian states and territories</w:t>
        </w:r>
        <w:r w:rsidR="000B782E">
          <w:rPr>
            <w:noProof/>
            <w:webHidden/>
          </w:rPr>
          <w:tab/>
        </w:r>
        <w:r w:rsidR="000B782E">
          <w:rPr>
            <w:noProof/>
            <w:webHidden/>
          </w:rPr>
          <w:fldChar w:fldCharType="begin"/>
        </w:r>
        <w:r w:rsidR="000B782E">
          <w:rPr>
            <w:noProof/>
            <w:webHidden/>
          </w:rPr>
          <w:instrText xml:space="preserve"> PAGEREF _Toc147759793 \h </w:instrText>
        </w:r>
        <w:r w:rsidR="000B782E">
          <w:rPr>
            <w:noProof/>
            <w:webHidden/>
          </w:rPr>
        </w:r>
        <w:r w:rsidR="000B782E">
          <w:rPr>
            <w:noProof/>
            <w:webHidden/>
          </w:rPr>
          <w:fldChar w:fldCharType="separate"/>
        </w:r>
        <w:r w:rsidR="000B782E">
          <w:rPr>
            <w:noProof/>
            <w:webHidden/>
          </w:rPr>
          <w:t>23</w:t>
        </w:r>
        <w:r w:rsidR="000B782E">
          <w:rPr>
            <w:noProof/>
            <w:webHidden/>
          </w:rPr>
          <w:fldChar w:fldCharType="end"/>
        </w:r>
      </w:hyperlink>
    </w:p>
    <w:p w14:paraId="00FDA6C2" w14:textId="3F7FAA68"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94" w:history="1">
        <w:r w:rsidR="000B782E" w:rsidRPr="00A65DDB">
          <w:rPr>
            <w:rStyle w:val="Hyperlink"/>
            <w:noProof/>
          </w:rPr>
          <w:t>Figure 4. Annual prevalence of current vaping in different age groups</w:t>
        </w:r>
        <w:r w:rsidR="000B782E">
          <w:rPr>
            <w:noProof/>
            <w:webHidden/>
          </w:rPr>
          <w:tab/>
        </w:r>
        <w:r w:rsidR="000B782E">
          <w:rPr>
            <w:noProof/>
            <w:webHidden/>
          </w:rPr>
          <w:fldChar w:fldCharType="begin"/>
        </w:r>
        <w:r w:rsidR="000B782E">
          <w:rPr>
            <w:noProof/>
            <w:webHidden/>
          </w:rPr>
          <w:instrText xml:space="preserve"> PAGEREF _Toc147759794 \h </w:instrText>
        </w:r>
        <w:r w:rsidR="000B782E">
          <w:rPr>
            <w:noProof/>
            <w:webHidden/>
          </w:rPr>
        </w:r>
        <w:r w:rsidR="000B782E">
          <w:rPr>
            <w:noProof/>
            <w:webHidden/>
          </w:rPr>
          <w:fldChar w:fldCharType="separate"/>
        </w:r>
        <w:r w:rsidR="000B782E">
          <w:rPr>
            <w:noProof/>
            <w:webHidden/>
          </w:rPr>
          <w:t>25</w:t>
        </w:r>
        <w:r w:rsidR="000B782E">
          <w:rPr>
            <w:noProof/>
            <w:webHidden/>
          </w:rPr>
          <w:fldChar w:fldCharType="end"/>
        </w:r>
      </w:hyperlink>
    </w:p>
    <w:p w14:paraId="1DF3117B" w14:textId="210197CB"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95" w:history="1">
        <w:r w:rsidR="000B782E" w:rsidRPr="00A65DDB">
          <w:rPr>
            <w:rStyle w:val="Hyperlink"/>
            <w:noProof/>
          </w:rPr>
          <w:t>Figure 5. Access to vapes under Option 3</w:t>
        </w:r>
        <w:r w:rsidR="000B782E">
          <w:rPr>
            <w:noProof/>
            <w:webHidden/>
          </w:rPr>
          <w:tab/>
        </w:r>
        <w:r w:rsidR="000B782E">
          <w:rPr>
            <w:noProof/>
            <w:webHidden/>
          </w:rPr>
          <w:fldChar w:fldCharType="begin"/>
        </w:r>
        <w:r w:rsidR="000B782E">
          <w:rPr>
            <w:noProof/>
            <w:webHidden/>
          </w:rPr>
          <w:instrText xml:space="preserve"> PAGEREF _Toc147759795 \h </w:instrText>
        </w:r>
        <w:r w:rsidR="000B782E">
          <w:rPr>
            <w:noProof/>
            <w:webHidden/>
          </w:rPr>
        </w:r>
        <w:r w:rsidR="000B782E">
          <w:rPr>
            <w:noProof/>
            <w:webHidden/>
          </w:rPr>
          <w:fldChar w:fldCharType="separate"/>
        </w:r>
        <w:r w:rsidR="000B782E">
          <w:rPr>
            <w:noProof/>
            <w:webHidden/>
          </w:rPr>
          <w:t>49</w:t>
        </w:r>
        <w:r w:rsidR="000B782E">
          <w:rPr>
            <w:noProof/>
            <w:webHidden/>
          </w:rPr>
          <w:fldChar w:fldCharType="end"/>
        </w:r>
      </w:hyperlink>
    </w:p>
    <w:p w14:paraId="10F26D96" w14:textId="2504F57A"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96" w:history="1">
        <w:r w:rsidR="000B782E" w:rsidRPr="00A65DDB">
          <w:rPr>
            <w:rStyle w:val="Hyperlink"/>
            <w:noProof/>
          </w:rPr>
          <w:t>Figure 6. Proposed lawful vape supply chain</w:t>
        </w:r>
        <w:r w:rsidR="000B782E">
          <w:rPr>
            <w:noProof/>
            <w:webHidden/>
          </w:rPr>
          <w:tab/>
        </w:r>
        <w:r w:rsidR="000B782E">
          <w:rPr>
            <w:noProof/>
            <w:webHidden/>
          </w:rPr>
          <w:fldChar w:fldCharType="begin"/>
        </w:r>
        <w:r w:rsidR="000B782E">
          <w:rPr>
            <w:noProof/>
            <w:webHidden/>
          </w:rPr>
          <w:instrText xml:space="preserve"> PAGEREF _Toc147759796 \h </w:instrText>
        </w:r>
        <w:r w:rsidR="000B782E">
          <w:rPr>
            <w:noProof/>
            <w:webHidden/>
          </w:rPr>
        </w:r>
        <w:r w:rsidR="000B782E">
          <w:rPr>
            <w:noProof/>
            <w:webHidden/>
          </w:rPr>
          <w:fldChar w:fldCharType="separate"/>
        </w:r>
        <w:r w:rsidR="00216B22">
          <w:rPr>
            <w:noProof/>
            <w:webHidden/>
          </w:rPr>
          <w:t>50</w:t>
        </w:r>
        <w:r w:rsidR="000B782E">
          <w:rPr>
            <w:noProof/>
            <w:webHidden/>
          </w:rPr>
          <w:fldChar w:fldCharType="end"/>
        </w:r>
      </w:hyperlink>
    </w:p>
    <w:p w14:paraId="3F62C090" w14:textId="179B7FEF"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97" w:history="1">
        <w:r w:rsidR="000B782E" w:rsidRPr="00A65DDB">
          <w:rPr>
            <w:rStyle w:val="Hyperlink"/>
            <w:noProof/>
          </w:rPr>
          <w:t>Figure B1. AP/SAS B requirements and associated timings</w:t>
        </w:r>
        <w:r w:rsidR="000B782E">
          <w:rPr>
            <w:noProof/>
            <w:webHidden/>
          </w:rPr>
          <w:tab/>
        </w:r>
        <w:r w:rsidR="000B782E">
          <w:rPr>
            <w:noProof/>
            <w:webHidden/>
          </w:rPr>
          <w:fldChar w:fldCharType="begin"/>
        </w:r>
        <w:r w:rsidR="000B782E">
          <w:rPr>
            <w:noProof/>
            <w:webHidden/>
          </w:rPr>
          <w:instrText xml:space="preserve"> PAGEREF _Toc147759797 \h </w:instrText>
        </w:r>
        <w:r w:rsidR="000B782E">
          <w:rPr>
            <w:noProof/>
            <w:webHidden/>
          </w:rPr>
        </w:r>
        <w:r w:rsidR="000B782E">
          <w:rPr>
            <w:noProof/>
            <w:webHidden/>
          </w:rPr>
          <w:fldChar w:fldCharType="separate"/>
        </w:r>
        <w:r w:rsidR="00216B22">
          <w:rPr>
            <w:noProof/>
            <w:webHidden/>
          </w:rPr>
          <w:t>120</w:t>
        </w:r>
        <w:r w:rsidR="000B782E">
          <w:rPr>
            <w:noProof/>
            <w:webHidden/>
          </w:rPr>
          <w:fldChar w:fldCharType="end"/>
        </w:r>
      </w:hyperlink>
    </w:p>
    <w:p w14:paraId="4A8224D3" w14:textId="478E769C" w:rsidR="000B782E" w:rsidRDefault="007364C4">
      <w:pPr>
        <w:pStyle w:val="TableofFigures"/>
        <w:tabs>
          <w:tab w:val="right" w:pos="9016"/>
        </w:tabs>
        <w:rPr>
          <w:rFonts w:asciiTheme="minorHAnsi" w:eastAsiaTheme="minorEastAsia" w:hAnsiTheme="minorHAnsi" w:cstheme="minorBidi"/>
          <w:b w:val="0"/>
          <w:noProof/>
          <w:sz w:val="22"/>
          <w:szCs w:val="22"/>
          <w:lang w:eastAsia="en-AU"/>
        </w:rPr>
      </w:pPr>
      <w:hyperlink w:anchor="_Toc147759798" w:history="1">
        <w:r w:rsidR="000B782E" w:rsidRPr="00A65DDB">
          <w:rPr>
            <w:rStyle w:val="Hyperlink"/>
            <w:noProof/>
          </w:rPr>
          <w:t>Figure B2. Section C of the Import Declaration (N10)</w:t>
        </w:r>
        <w:r w:rsidR="000B782E">
          <w:rPr>
            <w:noProof/>
            <w:webHidden/>
          </w:rPr>
          <w:tab/>
        </w:r>
        <w:r w:rsidR="000B782E">
          <w:rPr>
            <w:noProof/>
            <w:webHidden/>
          </w:rPr>
          <w:fldChar w:fldCharType="begin"/>
        </w:r>
        <w:r w:rsidR="000B782E">
          <w:rPr>
            <w:noProof/>
            <w:webHidden/>
          </w:rPr>
          <w:instrText xml:space="preserve"> PAGEREF _Toc147759798 \h </w:instrText>
        </w:r>
        <w:r w:rsidR="000B782E">
          <w:rPr>
            <w:noProof/>
            <w:webHidden/>
          </w:rPr>
        </w:r>
        <w:r w:rsidR="000B782E">
          <w:rPr>
            <w:noProof/>
            <w:webHidden/>
          </w:rPr>
          <w:fldChar w:fldCharType="separate"/>
        </w:r>
        <w:r w:rsidR="00216B22">
          <w:rPr>
            <w:noProof/>
            <w:webHidden/>
          </w:rPr>
          <w:t>127</w:t>
        </w:r>
        <w:r w:rsidR="000B782E">
          <w:rPr>
            <w:noProof/>
            <w:webHidden/>
          </w:rPr>
          <w:fldChar w:fldCharType="end"/>
        </w:r>
      </w:hyperlink>
    </w:p>
    <w:p w14:paraId="53EE9A19" w14:textId="7DCB7FFA" w:rsidR="000E44AD" w:rsidRDefault="00987340" w:rsidP="000E44AD">
      <w:r>
        <w:fldChar w:fldCharType="end"/>
      </w:r>
    </w:p>
    <w:p w14:paraId="15F6B455" w14:textId="77777777" w:rsidR="000E44AD" w:rsidRDefault="000E44AD" w:rsidP="000E44AD"/>
    <w:p w14:paraId="0BB6DBE7" w14:textId="77777777" w:rsidR="000E44AD" w:rsidRDefault="000E44AD" w:rsidP="000E44AD"/>
    <w:p w14:paraId="3532FB3D" w14:textId="77777777" w:rsidR="000E44AD" w:rsidRDefault="000E44AD" w:rsidP="000E44AD"/>
    <w:p w14:paraId="7A800030" w14:textId="77777777" w:rsidR="000E44AD" w:rsidRDefault="000E44AD" w:rsidP="000E44AD"/>
    <w:p w14:paraId="4A57B041" w14:textId="77777777" w:rsidR="000E44AD" w:rsidRDefault="000E44AD" w:rsidP="000E44AD"/>
    <w:p w14:paraId="67B77509" w14:textId="77777777" w:rsidR="000E44AD" w:rsidRDefault="000E44AD" w:rsidP="000E44AD"/>
    <w:p w14:paraId="076E2583" w14:textId="77777777" w:rsidR="000E44AD" w:rsidRDefault="000E44AD" w:rsidP="000E44AD"/>
    <w:p w14:paraId="156545DF" w14:textId="77777777" w:rsidR="000E44AD" w:rsidRDefault="000E44AD" w:rsidP="000E44AD"/>
    <w:p w14:paraId="0D9BA876" w14:textId="77777777" w:rsidR="000E44AD" w:rsidRDefault="000E44AD" w:rsidP="000E44AD"/>
    <w:p w14:paraId="4229BA94" w14:textId="77777777" w:rsidR="000E44AD" w:rsidRDefault="000E44AD" w:rsidP="000E44AD"/>
    <w:p w14:paraId="350DB67C" w14:textId="77777777" w:rsidR="000E44AD" w:rsidRDefault="000E44AD" w:rsidP="000E44AD"/>
    <w:p w14:paraId="6CD00DE6" w14:textId="77777777" w:rsidR="000E44AD" w:rsidRDefault="000E44AD" w:rsidP="000E44AD"/>
    <w:p w14:paraId="502B8EA4" w14:textId="72EB5F4F" w:rsidR="00F712C0" w:rsidRDefault="00F712C0" w:rsidP="00F712C0">
      <w:pPr>
        <w:pStyle w:val="Heading2"/>
      </w:pPr>
      <w:bookmarkStart w:id="7" w:name="_Toc147478000"/>
      <w:bookmarkStart w:id="8" w:name="_Toc151040309"/>
      <w:r>
        <w:lastRenderedPageBreak/>
        <w:t>Executive Summary</w:t>
      </w:r>
      <w:bookmarkEnd w:id="7"/>
      <w:bookmarkEnd w:id="8"/>
    </w:p>
    <w:p w14:paraId="320C1BFF" w14:textId="77777777" w:rsidR="00F712C0" w:rsidRPr="00D7035F" w:rsidRDefault="00F712C0" w:rsidP="00F712C0">
      <w:pPr>
        <w:pStyle w:val="Heading3"/>
      </w:pPr>
      <w:bookmarkStart w:id="9" w:name="_Toc151040310"/>
      <w:bookmarkStart w:id="10" w:name="_Toc147478001"/>
      <w:r w:rsidRPr="00D7035F">
        <w:t>The public health problem</w:t>
      </w:r>
      <w:bookmarkEnd w:id="9"/>
      <w:r w:rsidRPr="00D7035F">
        <w:t xml:space="preserve"> </w:t>
      </w:r>
      <w:bookmarkEnd w:id="10"/>
    </w:p>
    <w:p w14:paraId="159AC721" w14:textId="5DFFC481" w:rsidR="00F712C0" w:rsidRPr="00D7035F" w:rsidRDefault="00F712C0" w:rsidP="00AB7BEC">
      <w:r>
        <w:t>I</w:t>
      </w:r>
      <w:r w:rsidRPr="00D7035F">
        <w:t>n view of the risks pose</w:t>
      </w:r>
      <w:r>
        <w:t>d by vapes</w:t>
      </w:r>
      <w:r w:rsidRPr="00D7035F">
        <w:t xml:space="preserve"> to tobacco control and population health</w:t>
      </w:r>
      <w:r>
        <w:t>, t</w:t>
      </w:r>
      <w:r w:rsidRPr="00D7035F">
        <w:t>o date Australian governments have taken a precautionary approach to the</w:t>
      </w:r>
      <w:r>
        <w:t>ir</w:t>
      </w:r>
      <w:r w:rsidRPr="00D7035F">
        <w:t xml:space="preserve"> marketing and use. Broadly, this approach is underpinned by the current state of evidence regarding the direct harms </w:t>
      </w:r>
      <w:r>
        <w:t xml:space="preserve">vapes </w:t>
      </w:r>
      <w:r w:rsidRPr="00D7035F">
        <w:t>pose to human health</w:t>
      </w:r>
      <w:r>
        <w:t>,</w:t>
      </w:r>
      <w:r w:rsidRPr="00D7035F">
        <w:t xml:space="preserve"> their impacts on smoking initiation, continuation and cessation</w:t>
      </w:r>
      <w:r>
        <w:t>,</w:t>
      </w:r>
      <w:r w:rsidRPr="00D7035F">
        <w:t xml:space="preserve"> their uptake among </w:t>
      </w:r>
      <w:r w:rsidR="00530370">
        <w:t>youth and young adults</w:t>
      </w:r>
      <w:r>
        <w:t>,</w:t>
      </w:r>
      <w:r w:rsidRPr="00D7035F">
        <w:t xml:space="preserve"> and their dual use with conventional tobacco products.</w:t>
      </w:r>
    </w:p>
    <w:p w14:paraId="6DD5E705" w14:textId="68FD5396" w:rsidR="00F712C0" w:rsidRPr="00D7035F" w:rsidRDefault="00F712C0" w:rsidP="00AB7BEC">
      <w:r w:rsidRPr="00D7035F">
        <w:t>Vaping</w:t>
      </w:r>
      <w:r w:rsidR="00C85B19">
        <w:t xml:space="preserve"> </w:t>
      </w:r>
      <w:r w:rsidR="00E513DF">
        <w:t>–</w:t>
      </w:r>
      <w:r w:rsidRPr="00D7035F">
        <w:t xml:space="preserve"> or the use of e-cigarettes</w:t>
      </w:r>
      <w:r w:rsidR="00E513DF">
        <w:t xml:space="preserve"> –</w:t>
      </w:r>
      <w:r w:rsidRPr="00D7035F">
        <w:t xml:space="preserve"> is rapidly increasing in Australia, particularly among </w:t>
      </w:r>
      <w:r w:rsidR="00CA25EF">
        <w:t>youth</w:t>
      </w:r>
      <w:r w:rsidR="0054116F">
        <w:t xml:space="preserve"> and young adults</w:t>
      </w:r>
      <w:r w:rsidRPr="00D7035F">
        <w:t>. The latest available trend data shows that among young people aged 14 years and over, current use of an e-cigarette</w:t>
      </w:r>
      <w:r>
        <w:t xml:space="preserve">, </w:t>
      </w:r>
      <w:r w:rsidRPr="00D7035F">
        <w:t xml:space="preserve">defined as use at least once in the </w:t>
      </w:r>
      <w:r>
        <w:t>month prior to being</w:t>
      </w:r>
      <w:r w:rsidRPr="00D7035F">
        <w:t xml:space="preserve"> surveyed</w:t>
      </w:r>
      <w:r>
        <w:t>,</w:t>
      </w:r>
      <w:r w:rsidRPr="00D7035F">
        <w:t xml:space="preserve"> increased from 2.5% to 7.5% between 2020 and 2022. The increase was even more marked among people aged 18-24 years old, increasing from 5.6% in 2020 to 21.4% in 2022.</w:t>
      </w:r>
      <w:r w:rsidRPr="00D7035F">
        <w:rPr>
          <w:rStyle w:val="FootnoteReference"/>
        </w:rPr>
        <w:footnoteReference w:id="2"/>
      </w:r>
      <w:r w:rsidRPr="00D7035F">
        <w:t xml:space="preserve"> </w:t>
      </w:r>
      <w:r>
        <w:t>These</w:t>
      </w:r>
      <w:r w:rsidRPr="00D7035F">
        <w:t xml:space="preserve"> findings reinforce a widespread and ser</w:t>
      </w:r>
      <w:r>
        <w:t>i</w:t>
      </w:r>
      <w:r w:rsidRPr="00D7035F">
        <w:t xml:space="preserve">ous concern among public health policy makers and practitioners at the increasing marketing and use of </w:t>
      </w:r>
      <w:r w:rsidR="001C77EC">
        <w:t>vapes</w:t>
      </w:r>
      <w:r>
        <w:t>,</w:t>
      </w:r>
      <w:r w:rsidRPr="00D7035F">
        <w:t xml:space="preserve"> and in particular</w:t>
      </w:r>
      <w:r>
        <w:t xml:space="preserve"> the</w:t>
      </w:r>
      <w:r w:rsidRPr="00D7035F">
        <w:t xml:space="preserve"> use of </w:t>
      </w:r>
      <w:r w:rsidR="001C77EC">
        <w:t>vapes</w:t>
      </w:r>
      <w:r w:rsidRPr="00D7035F">
        <w:t xml:space="preserve"> by </w:t>
      </w:r>
      <w:r w:rsidR="005E25A0">
        <w:t>youth</w:t>
      </w:r>
      <w:r w:rsidR="00691569">
        <w:t xml:space="preserve"> </w:t>
      </w:r>
      <w:r>
        <w:t>and young adults</w:t>
      </w:r>
      <w:r w:rsidRPr="00D7035F">
        <w:t>.</w:t>
      </w:r>
    </w:p>
    <w:p w14:paraId="420CA733" w14:textId="247B4D64" w:rsidR="00F712C0" w:rsidRPr="00D87097" w:rsidRDefault="00F712C0" w:rsidP="00AB7BEC">
      <w:pPr>
        <w:rPr>
          <w:rFonts w:eastAsia="Arial" w:cs="Arial"/>
        </w:rPr>
      </w:pPr>
      <w:r>
        <w:rPr>
          <w:rFonts w:eastAsia="Arial" w:cs="Arial"/>
        </w:rPr>
        <w:t xml:space="preserve">Vapes </w:t>
      </w:r>
      <w:r w:rsidRPr="006B1DC7">
        <w:rPr>
          <w:rFonts w:eastAsia="Arial" w:cs="Arial"/>
        </w:rPr>
        <w:t xml:space="preserve">are widely </w:t>
      </w:r>
      <w:r>
        <w:rPr>
          <w:rFonts w:eastAsia="Arial" w:cs="Arial"/>
        </w:rPr>
        <w:t xml:space="preserve">marketed, </w:t>
      </w:r>
      <w:r w:rsidRPr="006B1DC7">
        <w:rPr>
          <w:rFonts w:eastAsia="Arial" w:cs="Arial"/>
        </w:rPr>
        <w:t xml:space="preserve">available and accessible to </w:t>
      </w:r>
      <w:r w:rsidR="00B53495">
        <w:rPr>
          <w:rFonts w:eastAsia="Arial" w:cs="Arial"/>
        </w:rPr>
        <w:t>youth</w:t>
      </w:r>
      <w:r>
        <w:rPr>
          <w:rFonts w:eastAsia="Arial" w:cs="Arial"/>
        </w:rPr>
        <w:t xml:space="preserve"> </w:t>
      </w:r>
      <w:r w:rsidR="008921FE">
        <w:rPr>
          <w:rFonts w:eastAsia="Arial" w:cs="Arial"/>
        </w:rPr>
        <w:t>and young adults</w:t>
      </w:r>
      <w:r>
        <w:rPr>
          <w:rFonts w:eastAsia="Arial" w:cs="Arial"/>
        </w:rPr>
        <w:t xml:space="preserve"> in Australia</w:t>
      </w:r>
      <w:r w:rsidRPr="006B1DC7">
        <w:rPr>
          <w:rFonts w:eastAsia="Arial" w:cs="Arial"/>
        </w:rPr>
        <w:t>, and many products</w:t>
      </w:r>
      <w:r>
        <w:rPr>
          <w:rFonts w:eastAsia="Arial" w:cs="Arial"/>
        </w:rPr>
        <w:t xml:space="preserve"> </w:t>
      </w:r>
      <w:r w:rsidRPr="006B1DC7">
        <w:rPr>
          <w:rFonts w:eastAsia="Arial" w:cs="Arial"/>
        </w:rPr>
        <w:t xml:space="preserve">have a very low purchase </w:t>
      </w:r>
      <w:r>
        <w:rPr>
          <w:rFonts w:eastAsia="Arial" w:cs="Arial"/>
        </w:rPr>
        <w:t xml:space="preserve">price </w:t>
      </w:r>
      <w:r w:rsidRPr="006B1DC7">
        <w:rPr>
          <w:rFonts w:eastAsia="Arial" w:cs="Arial"/>
        </w:rPr>
        <w:t xml:space="preserve">compared to many consumer goods and tobacco products. </w:t>
      </w:r>
      <w:r>
        <w:rPr>
          <w:rFonts w:eastAsia="Arial" w:cs="Arial"/>
        </w:rPr>
        <w:t>A</w:t>
      </w:r>
      <w:r w:rsidRPr="006B1DC7">
        <w:rPr>
          <w:rFonts w:eastAsia="Arial" w:cs="Arial"/>
        </w:rPr>
        <w:t xml:space="preserve">dvertising and promotion </w:t>
      </w:r>
      <w:r w:rsidR="00CB26F8" w:rsidRPr="006B1DC7">
        <w:rPr>
          <w:rFonts w:eastAsia="Arial" w:cs="Arial"/>
        </w:rPr>
        <w:t>occur</w:t>
      </w:r>
      <w:r w:rsidRPr="006B1DC7">
        <w:rPr>
          <w:rFonts w:eastAsia="Arial" w:cs="Arial"/>
        </w:rPr>
        <w:t xml:space="preserve"> across a range of media channels that have broad reach among you</w:t>
      </w:r>
      <w:r w:rsidR="008921FE">
        <w:rPr>
          <w:rFonts w:eastAsia="Arial" w:cs="Arial"/>
        </w:rPr>
        <w:t>th and young adults</w:t>
      </w:r>
      <w:r w:rsidRPr="006B1DC7">
        <w:rPr>
          <w:rFonts w:eastAsia="Arial" w:cs="Arial"/>
        </w:rPr>
        <w:t xml:space="preserve">, including websites, social media, in print and in retail stores. </w:t>
      </w:r>
      <w:r>
        <w:rPr>
          <w:rFonts w:eastAsia="Arial" w:cs="Arial"/>
        </w:rPr>
        <w:t xml:space="preserve">Evidence also suggests that </w:t>
      </w:r>
      <w:r w:rsidRPr="00951B84">
        <w:rPr>
          <w:rFonts w:eastAsia="Arial" w:cs="Arial"/>
        </w:rPr>
        <w:t>e</w:t>
      </w:r>
      <w:r w:rsidRPr="00951B84">
        <w:rPr>
          <w:rStyle w:val="cf01"/>
          <w:rFonts w:ascii="Arial" w:hAnsi="Arial" w:cs="Arial"/>
          <w:sz w:val="20"/>
          <w:szCs w:val="20"/>
        </w:rPr>
        <w:t xml:space="preserve">xposure to these advertisements increases the likelihood that </w:t>
      </w:r>
      <w:r w:rsidR="000F651D">
        <w:rPr>
          <w:rStyle w:val="cf01"/>
          <w:rFonts w:ascii="Arial" w:hAnsi="Arial" w:cs="Arial"/>
          <w:sz w:val="20"/>
          <w:szCs w:val="20"/>
        </w:rPr>
        <w:t>youth and young adults</w:t>
      </w:r>
      <w:r w:rsidRPr="00951B84">
        <w:rPr>
          <w:rStyle w:val="cf01"/>
          <w:rFonts w:ascii="Arial" w:hAnsi="Arial" w:cs="Arial"/>
          <w:sz w:val="20"/>
          <w:szCs w:val="20"/>
        </w:rPr>
        <w:t xml:space="preserve"> will try vapi</w:t>
      </w:r>
      <w:r w:rsidR="004C192E">
        <w:rPr>
          <w:rStyle w:val="cf01"/>
          <w:rFonts w:ascii="Arial" w:hAnsi="Arial" w:cs="Arial"/>
          <w:sz w:val="20"/>
          <w:szCs w:val="20"/>
        </w:rPr>
        <w:t>ng</w:t>
      </w:r>
      <w:r>
        <w:rPr>
          <w:rStyle w:val="cf01"/>
        </w:rPr>
        <w:t xml:space="preserve">. </w:t>
      </w:r>
      <w:r w:rsidRPr="006B1DC7">
        <w:rPr>
          <w:rFonts w:eastAsia="Arial" w:cs="Arial"/>
        </w:rPr>
        <w:t>Direct exposure to</w:t>
      </w:r>
      <w:r>
        <w:rPr>
          <w:rFonts w:eastAsia="Arial" w:cs="Arial"/>
        </w:rPr>
        <w:t xml:space="preserve"> vaping </w:t>
      </w:r>
      <w:r w:rsidRPr="006B1DC7">
        <w:rPr>
          <w:rFonts w:eastAsia="Arial" w:cs="Arial"/>
        </w:rPr>
        <w:t>promotions has been found to lead to decreased risk perceptions</w:t>
      </w:r>
      <w:r>
        <w:rPr>
          <w:rFonts w:eastAsia="Arial" w:cs="Arial"/>
        </w:rPr>
        <w:t xml:space="preserve"> for vaping</w:t>
      </w:r>
      <w:r w:rsidRPr="006B1DC7">
        <w:rPr>
          <w:rFonts w:eastAsia="Arial" w:cs="Arial"/>
        </w:rPr>
        <w:t xml:space="preserve">. Some </w:t>
      </w:r>
      <w:r>
        <w:rPr>
          <w:rFonts w:eastAsia="Arial" w:cs="Arial"/>
        </w:rPr>
        <w:t xml:space="preserve">vape </w:t>
      </w:r>
      <w:r w:rsidRPr="006B1DC7">
        <w:rPr>
          <w:rFonts w:eastAsia="Arial" w:cs="Arial"/>
        </w:rPr>
        <w:t xml:space="preserve">marketing is </w:t>
      </w:r>
      <w:r>
        <w:rPr>
          <w:rFonts w:eastAsia="Arial" w:cs="Arial"/>
        </w:rPr>
        <w:t>also e</w:t>
      </w:r>
      <w:r w:rsidRPr="006B1DC7">
        <w:rPr>
          <w:rFonts w:eastAsia="Arial" w:cs="Arial"/>
        </w:rPr>
        <w:t>mulating successful tobacco advertising</w:t>
      </w:r>
      <w:r>
        <w:rPr>
          <w:rFonts w:eastAsia="Arial" w:cs="Arial"/>
        </w:rPr>
        <w:t>,</w:t>
      </w:r>
      <w:r w:rsidRPr="006B1DC7">
        <w:rPr>
          <w:rFonts w:eastAsia="Arial" w:cs="Arial"/>
        </w:rPr>
        <w:t xml:space="preserve"> asserting an independent identity and a lifestyle choice, aligning </w:t>
      </w:r>
      <w:r>
        <w:rPr>
          <w:rFonts w:eastAsia="Arial" w:cs="Arial"/>
        </w:rPr>
        <w:t xml:space="preserve">the </w:t>
      </w:r>
      <w:r w:rsidR="005F23AB">
        <w:rPr>
          <w:rFonts w:eastAsia="Arial" w:cs="Arial"/>
        </w:rPr>
        <w:t>products</w:t>
      </w:r>
      <w:r w:rsidR="005F23AB" w:rsidRPr="006B1DC7">
        <w:rPr>
          <w:rFonts w:eastAsia="Arial" w:cs="Arial"/>
        </w:rPr>
        <w:t xml:space="preserve"> </w:t>
      </w:r>
      <w:r w:rsidRPr="006B1DC7">
        <w:rPr>
          <w:rFonts w:eastAsia="Arial" w:cs="Arial"/>
        </w:rPr>
        <w:t>with celebrities</w:t>
      </w:r>
      <w:r w:rsidR="00693DD1">
        <w:rPr>
          <w:rFonts w:eastAsia="Arial" w:cs="Arial"/>
        </w:rPr>
        <w:t xml:space="preserve"> and influencers</w:t>
      </w:r>
      <w:r w:rsidRPr="006B1DC7">
        <w:rPr>
          <w:rFonts w:eastAsia="Arial" w:cs="Arial"/>
        </w:rPr>
        <w:t xml:space="preserve">, </w:t>
      </w:r>
      <w:r>
        <w:rPr>
          <w:rFonts w:eastAsia="Arial" w:cs="Arial"/>
        </w:rPr>
        <w:t xml:space="preserve">and </w:t>
      </w:r>
      <w:r w:rsidRPr="006B1DC7">
        <w:rPr>
          <w:rFonts w:eastAsia="Arial" w:cs="Arial"/>
        </w:rPr>
        <w:t xml:space="preserve">fashionable and youthful places and activities. </w:t>
      </w:r>
      <w:r>
        <w:rPr>
          <w:rFonts w:eastAsia="Arial" w:cs="Arial"/>
        </w:rPr>
        <w:t>Evidence further suggests that specific p</w:t>
      </w:r>
      <w:r w:rsidRPr="00F67F27">
        <w:rPr>
          <w:rFonts w:eastAsia="Arial" w:cs="Arial"/>
        </w:rPr>
        <w:t xml:space="preserve">roduct </w:t>
      </w:r>
      <w:r>
        <w:rPr>
          <w:rFonts w:eastAsia="Arial" w:cs="Arial"/>
        </w:rPr>
        <w:t>features designed by the vaping industry, such as</w:t>
      </w:r>
      <w:r w:rsidRPr="00F67F27">
        <w:rPr>
          <w:rFonts w:eastAsia="Arial" w:cs="Arial"/>
        </w:rPr>
        <w:t xml:space="preserve"> </w:t>
      </w:r>
      <w:r>
        <w:rPr>
          <w:rFonts w:eastAsia="Arial" w:cs="Arial"/>
        </w:rPr>
        <w:t xml:space="preserve">colours and </w:t>
      </w:r>
      <w:r w:rsidRPr="00F67F27">
        <w:rPr>
          <w:rFonts w:eastAsia="Arial" w:cs="Arial"/>
        </w:rPr>
        <w:t>flavours</w:t>
      </w:r>
      <w:r>
        <w:rPr>
          <w:rFonts w:eastAsia="Arial" w:cs="Arial"/>
        </w:rPr>
        <w:t>,</w:t>
      </w:r>
      <w:r w:rsidRPr="00F67F27">
        <w:rPr>
          <w:rFonts w:eastAsia="Arial" w:cs="Arial"/>
        </w:rPr>
        <w:t xml:space="preserve"> are </w:t>
      </w:r>
      <w:r>
        <w:rPr>
          <w:rFonts w:eastAsia="Arial" w:cs="Arial"/>
        </w:rPr>
        <w:t xml:space="preserve">further </w:t>
      </w:r>
      <w:r w:rsidRPr="00F67F27">
        <w:rPr>
          <w:rFonts w:eastAsia="Arial" w:cs="Arial"/>
        </w:rPr>
        <w:t xml:space="preserve">contributing to their appeal and </w:t>
      </w:r>
      <w:r>
        <w:rPr>
          <w:rFonts w:eastAsia="Arial" w:cs="Arial"/>
        </w:rPr>
        <w:t>uptake</w:t>
      </w:r>
      <w:r w:rsidRPr="00F67F27">
        <w:rPr>
          <w:rFonts w:eastAsia="Arial" w:cs="Arial"/>
        </w:rPr>
        <w:t xml:space="preserve"> among you</w:t>
      </w:r>
      <w:r w:rsidR="000F651D">
        <w:rPr>
          <w:rFonts w:eastAsia="Arial" w:cs="Arial"/>
        </w:rPr>
        <w:t xml:space="preserve">th and </w:t>
      </w:r>
      <w:r w:rsidRPr="00F67F27">
        <w:rPr>
          <w:rFonts w:eastAsia="Arial" w:cs="Arial"/>
        </w:rPr>
        <w:t xml:space="preserve">young </w:t>
      </w:r>
      <w:r w:rsidR="000F651D">
        <w:rPr>
          <w:rFonts w:eastAsia="Arial" w:cs="Arial"/>
        </w:rPr>
        <w:t>adults</w:t>
      </w:r>
      <w:r w:rsidRPr="00F67F27">
        <w:rPr>
          <w:rFonts w:eastAsia="Arial" w:cs="Arial"/>
        </w:rPr>
        <w:t>.</w:t>
      </w:r>
    </w:p>
    <w:p w14:paraId="7A771715" w14:textId="4B04F640" w:rsidR="00F712C0" w:rsidRPr="00356915" w:rsidRDefault="0096515C" w:rsidP="00AB7BEC">
      <w:pPr>
        <w:rPr>
          <w:rFonts w:eastAsia="Arial" w:cs="Arial"/>
        </w:rPr>
      </w:pPr>
      <w:r>
        <w:rPr>
          <w:rFonts w:eastAsia="Arial" w:cs="Arial"/>
        </w:rPr>
        <w:t>On</w:t>
      </w:r>
      <w:r w:rsidR="00F712C0" w:rsidRPr="00356915">
        <w:rPr>
          <w:rFonts w:eastAsia="Arial" w:cs="Arial"/>
        </w:rPr>
        <w:t xml:space="preserve"> 1 October 2021</w:t>
      </w:r>
      <w:r w:rsidR="00F712C0" w:rsidRPr="00356915" w:rsidDel="002606E4">
        <w:rPr>
          <w:rFonts w:eastAsia="Arial" w:cs="Arial"/>
        </w:rPr>
        <w:t>,</w:t>
      </w:r>
      <w:r w:rsidR="00F712C0" w:rsidRPr="5712E9FB">
        <w:rPr>
          <w:rFonts w:eastAsia="Arial" w:cs="Arial"/>
        </w:rPr>
        <w:t xml:space="preserve"> the Australian Government introduced </w:t>
      </w:r>
      <w:r w:rsidR="00F712C0" w:rsidRPr="00356915">
        <w:rPr>
          <w:rFonts w:eastAsia="Arial" w:cs="Arial"/>
        </w:rPr>
        <w:t>regulatory changes to clarify that consumers require a valid prescription from an Australian</w:t>
      </w:r>
      <w:r w:rsidR="00290B26">
        <w:rPr>
          <w:rFonts w:eastAsia="Arial" w:cs="Arial"/>
        </w:rPr>
        <w:t xml:space="preserve"> registered</w:t>
      </w:r>
      <w:r w:rsidR="00F712C0" w:rsidRPr="00356915">
        <w:rPr>
          <w:rFonts w:eastAsia="Arial" w:cs="Arial"/>
        </w:rPr>
        <w:t xml:space="preserve"> doctor for all purchases of nicotine vaping products, such as nicotine e-cigarettes, nicotine pods and liquid nicotine. This include</w:t>
      </w:r>
      <w:r w:rsidR="00C14675">
        <w:rPr>
          <w:rFonts w:eastAsia="Arial" w:cs="Arial"/>
        </w:rPr>
        <w:t>d</w:t>
      </w:r>
      <w:r w:rsidR="00F712C0" w:rsidRPr="00356915">
        <w:rPr>
          <w:rFonts w:eastAsia="Arial" w:cs="Arial"/>
        </w:rPr>
        <w:t xml:space="preserve"> purchases</w:t>
      </w:r>
      <w:r w:rsidR="00F712C0">
        <w:rPr>
          <w:rFonts w:eastAsia="Arial" w:cs="Arial"/>
        </w:rPr>
        <w:t xml:space="preserve"> from</w:t>
      </w:r>
      <w:r w:rsidR="00F712C0" w:rsidRPr="00356915">
        <w:rPr>
          <w:rFonts w:eastAsia="Arial" w:cs="Arial"/>
        </w:rPr>
        <w:t xml:space="preserve"> overseas as well as in Australia. These changes were made to prevent </w:t>
      </w:r>
      <w:r w:rsidR="00655117">
        <w:rPr>
          <w:rFonts w:eastAsia="Arial" w:cs="Arial"/>
        </w:rPr>
        <w:t>youth</w:t>
      </w:r>
      <w:r w:rsidR="00691569" w:rsidRPr="00356915">
        <w:rPr>
          <w:rFonts w:eastAsia="Arial" w:cs="Arial"/>
        </w:rPr>
        <w:t xml:space="preserve"> </w:t>
      </w:r>
      <w:r w:rsidR="00F712C0" w:rsidRPr="00356915">
        <w:rPr>
          <w:rFonts w:eastAsia="Arial" w:cs="Arial"/>
        </w:rPr>
        <w:t xml:space="preserve">and young adults from taking up nicotine e-cigarettes, while allowing current smokers to access these products to use for smoking cessation with appropriate medical advice. However, increasing rates of vaping among </w:t>
      </w:r>
      <w:r w:rsidR="000F651D">
        <w:rPr>
          <w:rFonts w:eastAsia="Arial" w:cs="Arial"/>
        </w:rPr>
        <w:t>youth and young adults</w:t>
      </w:r>
      <w:r w:rsidR="00F712C0" w:rsidRPr="00356915">
        <w:rPr>
          <w:rFonts w:eastAsia="Arial" w:cs="Arial"/>
        </w:rPr>
        <w:t xml:space="preserve"> suggest that these reforms are not meeting their objectives. Normalisation of</w:t>
      </w:r>
      <w:r w:rsidR="00F712C0">
        <w:rPr>
          <w:rFonts w:eastAsia="Arial" w:cs="Arial"/>
        </w:rPr>
        <w:t xml:space="preserve"> vaping </w:t>
      </w:r>
      <w:r w:rsidR="00F712C0" w:rsidRPr="00356915">
        <w:rPr>
          <w:rFonts w:eastAsia="Arial" w:cs="Arial"/>
        </w:rPr>
        <w:t>is undermining population health and has the potential to disrupt the significant achievements Australia has made to date in tobacco control.</w:t>
      </w:r>
    </w:p>
    <w:p w14:paraId="45BD6C60" w14:textId="77777777" w:rsidR="00F712C0" w:rsidRPr="009F66D5" w:rsidRDefault="00F712C0" w:rsidP="00AB7BEC">
      <w:r w:rsidRPr="009F66D5">
        <w:t xml:space="preserve">The health risks of vaping </w:t>
      </w:r>
      <w:r>
        <w:t>are</w:t>
      </w:r>
      <w:r w:rsidRPr="009F66D5">
        <w:t xml:space="preserve"> substantial. A review of global evidence published in April 2022 found substantial evidence that </w:t>
      </w:r>
      <w:r>
        <w:t xml:space="preserve">vaping </w:t>
      </w:r>
      <w:r w:rsidRPr="009F66D5">
        <w:t xml:space="preserve">by non-smokers results in dependence and conclusive evidence that </w:t>
      </w:r>
      <w:r>
        <w:t>vape</w:t>
      </w:r>
      <w:r w:rsidRPr="009F66D5">
        <w:t xml:space="preserve"> use can cause respiratory disease, severe burns, poisoning and seizures.</w:t>
      </w:r>
      <w:r w:rsidRPr="009F66D5">
        <w:rPr>
          <w:rStyle w:val="FootnoteReference"/>
        </w:rPr>
        <w:footnoteReference w:id="3"/>
      </w:r>
    </w:p>
    <w:p w14:paraId="0EF38083" w14:textId="4D4A9FED" w:rsidR="00F712C0" w:rsidRDefault="001C77EC" w:rsidP="00AB7BEC">
      <w:r>
        <w:lastRenderedPageBreak/>
        <w:t>Vapes</w:t>
      </w:r>
      <w:r w:rsidR="00F712C0" w:rsidRPr="009F66D5">
        <w:t xml:space="preserve"> contain harmful chemicals, including flavourings, that are known to cause irreversible lung damage, and may also have chronic long-term effects. </w:t>
      </w:r>
      <w:r w:rsidR="00F712C0">
        <w:t xml:space="preserve">In addition, it appears that the majority of products on the domestic market contain, or are likely to be used in conjunction with, nicotine. This is the case even where no nicotine is indicated on the label of the product, if any label exists. </w:t>
      </w:r>
    </w:p>
    <w:p w14:paraId="2E95C8B4" w14:textId="7C324B1A" w:rsidR="00F712C0" w:rsidRPr="009F66D5" w:rsidRDefault="00F712C0" w:rsidP="00AB7BEC">
      <w:r>
        <w:t xml:space="preserve">Further, even where vapes are being used for smoking cessation, the majority of vapes are not being sourced under medical supervision or from a pharmacy. This undermines the role of the Therapeutic Goods Administration (TGA) in safeguarding the health of Australians through effective and timely regulation of therapeutic goods.  </w:t>
      </w:r>
    </w:p>
    <w:p w14:paraId="43417430" w14:textId="1EB51F50" w:rsidR="00F712C0" w:rsidRPr="00356915" w:rsidRDefault="00F712C0" w:rsidP="00AB7BEC">
      <w:pPr>
        <w:rPr>
          <w:rFonts w:ascii="Merriweather Sans" w:eastAsia="Merriweather Sans" w:hAnsi="Merriweather Sans" w:cs="Merriweather Sans"/>
          <w:color w:val="FFFFFF" w:themeColor="background1"/>
        </w:rPr>
      </w:pPr>
      <w:r w:rsidRPr="009F66D5">
        <w:rPr>
          <w:rFonts w:eastAsiaTheme="minorEastAsia"/>
        </w:rPr>
        <w:t xml:space="preserve">All users </w:t>
      </w:r>
      <w:r>
        <w:rPr>
          <w:rFonts w:eastAsiaTheme="minorEastAsia"/>
        </w:rPr>
        <w:t xml:space="preserve">of vapes </w:t>
      </w:r>
      <w:r w:rsidRPr="009F66D5">
        <w:rPr>
          <w:rFonts w:eastAsiaTheme="minorEastAsia"/>
        </w:rPr>
        <w:t xml:space="preserve">are exposed to chemicals and toxins that have the potential to cause adverse health effects. However, vaping is of particular concern among </w:t>
      </w:r>
      <w:r w:rsidR="0068740E">
        <w:rPr>
          <w:rFonts w:eastAsiaTheme="minorEastAsia"/>
        </w:rPr>
        <w:t>youth</w:t>
      </w:r>
      <w:r w:rsidR="0068740E" w:rsidRPr="009F66D5">
        <w:rPr>
          <w:rFonts w:eastAsiaTheme="minorEastAsia"/>
        </w:rPr>
        <w:t xml:space="preserve"> </w:t>
      </w:r>
      <w:r w:rsidRPr="009F66D5">
        <w:rPr>
          <w:rFonts w:eastAsiaTheme="minorEastAsia"/>
        </w:rPr>
        <w:t xml:space="preserve">and young </w:t>
      </w:r>
      <w:r w:rsidR="0068740E">
        <w:rPr>
          <w:rFonts w:eastAsiaTheme="minorEastAsia"/>
        </w:rPr>
        <w:t>adults</w:t>
      </w:r>
      <w:r w:rsidRPr="009F66D5">
        <w:rPr>
          <w:rFonts w:eastAsiaTheme="minorEastAsia"/>
        </w:rPr>
        <w:t xml:space="preserve">. The prevalence of vaping is highest among </w:t>
      </w:r>
      <w:r w:rsidR="005F0BB3">
        <w:rPr>
          <w:rFonts w:eastAsiaTheme="minorEastAsia"/>
        </w:rPr>
        <w:t>youth</w:t>
      </w:r>
      <w:r w:rsidR="00691569" w:rsidRPr="009F66D5">
        <w:rPr>
          <w:rFonts w:eastAsiaTheme="minorEastAsia"/>
        </w:rPr>
        <w:t xml:space="preserve"> </w:t>
      </w:r>
      <w:r w:rsidRPr="009F66D5">
        <w:rPr>
          <w:rFonts w:eastAsiaTheme="minorEastAsia"/>
        </w:rPr>
        <w:t xml:space="preserve">and </w:t>
      </w:r>
      <w:r w:rsidRPr="009F66D5">
        <w:t>young adults</w:t>
      </w:r>
      <w:r w:rsidRPr="009F66D5">
        <w:rPr>
          <w:rFonts w:eastAsiaTheme="minorEastAsia"/>
        </w:rPr>
        <w:t xml:space="preserve">, and the adverse health effects may be greater among this cohort when compared to the general population. </w:t>
      </w:r>
      <w:r w:rsidRPr="009F66D5">
        <w:t xml:space="preserve">Most </w:t>
      </w:r>
      <w:r>
        <w:t xml:space="preserve">vapes </w:t>
      </w:r>
      <w:r w:rsidRPr="009F66D5">
        <w:t xml:space="preserve">are used with nicotine, and there is evidence that nicotine use is addictive and can harm the </w:t>
      </w:r>
      <w:r>
        <w:t>young</w:t>
      </w:r>
      <w:r w:rsidRPr="009F66D5">
        <w:rPr>
          <w:rFonts w:eastAsiaTheme="minorEastAsia"/>
        </w:rPr>
        <w:t xml:space="preserve"> brain, which continues </w:t>
      </w:r>
      <w:r>
        <w:rPr>
          <w:rFonts w:eastAsiaTheme="minorEastAsia"/>
        </w:rPr>
        <w:t xml:space="preserve">developing </w:t>
      </w:r>
      <w:r w:rsidRPr="009F66D5">
        <w:rPr>
          <w:rFonts w:eastAsiaTheme="minorEastAsia"/>
        </w:rPr>
        <w:t>until about age 25.</w:t>
      </w:r>
      <w:r w:rsidRPr="009F66D5">
        <w:rPr>
          <w:rStyle w:val="FootnoteReference"/>
          <w:rFonts w:eastAsiaTheme="minorEastAsia"/>
        </w:rPr>
        <w:footnoteReference w:id="4"/>
      </w:r>
      <w:r w:rsidRPr="009F66D5">
        <w:rPr>
          <w:rFonts w:eastAsiaTheme="minorEastAsia"/>
        </w:rPr>
        <w:t xml:space="preserve"> Evidence also suggests that youth who are exposed to nicotine can become addicted at lower or more intermittent levels of consumption compared to adults.</w:t>
      </w:r>
      <w:r w:rsidRPr="009F66D5">
        <w:rPr>
          <w:rStyle w:val="FootnoteReference"/>
          <w:rFonts w:eastAsiaTheme="minorEastAsia"/>
        </w:rPr>
        <w:footnoteReference w:id="5"/>
      </w:r>
      <w:r w:rsidRPr="009F66D5">
        <w:rPr>
          <w:rFonts w:eastAsiaTheme="minorEastAsia"/>
        </w:rPr>
        <w:t xml:space="preserve"> </w:t>
      </w:r>
    </w:p>
    <w:p w14:paraId="41132443" w14:textId="2C67D6DB" w:rsidR="00F712C0" w:rsidRPr="00356915" w:rsidRDefault="00F712C0" w:rsidP="00AB7BEC">
      <w:pPr>
        <w:rPr>
          <w:rFonts w:eastAsia="Calibri" w:cs="Arial"/>
        </w:rPr>
      </w:pPr>
      <w:r w:rsidRPr="009F66D5">
        <w:rPr>
          <w:rFonts w:eastAsiaTheme="minorEastAsia"/>
        </w:rPr>
        <w:t xml:space="preserve">As </w:t>
      </w:r>
      <w:r>
        <w:rPr>
          <w:rFonts w:eastAsiaTheme="minorEastAsia"/>
        </w:rPr>
        <w:t xml:space="preserve">vapes </w:t>
      </w:r>
      <w:r w:rsidRPr="009F66D5">
        <w:rPr>
          <w:rFonts w:eastAsiaTheme="minorEastAsia"/>
        </w:rPr>
        <w:t>have only been widely used globally for about 10</w:t>
      </w:r>
      <w:r w:rsidR="00FC6DD6" w:rsidRPr="00746795">
        <w:rPr>
          <w:color w:val="000000"/>
        </w:rPr>
        <w:t>–</w:t>
      </w:r>
      <w:r w:rsidRPr="009F66D5">
        <w:rPr>
          <w:rFonts w:eastAsiaTheme="minorEastAsia"/>
        </w:rPr>
        <w:t>15 years, many of the health risks specific to vaping are not yet widely known. However, this</w:t>
      </w:r>
      <w:r w:rsidRPr="4EA4B3E9">
        <w:rPr>
          <w:rFonts w:eastAsiaTheme="minorEastAsia"/>
        </w:rPr>
        <w:t xml:space="preserve"> does</w:t>
      </w:r>
      <w:r w:rsidRPr="009F66D5">
        <w:rPr>
          <w:rFonts w:eastAsiaTheme="minorEastAsia"/>
        </w:rPr>
        <w:t xml:space="preserve"> not mean </w:t>
      </w:r>
      <w:r>
        <w:rPr>
          <w:rFonts w:eastAsiaTheme="minorEastAsia"/>
        </w:rPr>
        <w:t>vapes</w:t>
      </w:r>
      <w:r w:rsidRPr="009F66D5">
        <w:rPr>
          <w:rFonts w:eastAsiaTheme="minorEastAsia"/>
        </w:rPr>
        <w:t xml:space="preserve"> are safe for widespread use in the general population. Notably, the use of conventional tobacco products rapidly increased at the beginning of the 20</w:t>
      </w:r>
      <w:r w:rsidRPr="00A95C3D">
        <w:rPr>
          <w:rFonts w:eastAsiaTheme="minorEastAsia"/>
          <w:vertAlign w:val="superscript"/>
        </w:rPr>
        <w:t>th</w:t>
      </w:r>
      <w:r w:rsidRPr="009F66D5">
        <w:rPr>
          <w:rFonts w:eastAsiaTheme="minorEastAsia"/>
        </w:rPr>
        <w:t xml:space="preserve"> century</w:t>
      </w:r>
      <w:r>
        <w:rPr>
          <w:rFonts w:eastAsiaTheme="minorEastAsia"/>
        </w:rPr>
        <w:t>,</w:t>
      </w:r>
      <w:r w:rsidRPr="009F66D5">
        <w:rPr>
          <w:rFonts w:eastAsiaTheme="minorEastAsia"/>
        </w:rPr>
        <w:t xml:space="preserve"> but tobacco-caused diseases were not identified in large numbers until 30</w:t>
      </w:r>
      <w:r w:rsidR="00FC6DD6" w:rsidRPr="00063DFD">
        <w:rPr>
          <w:color w:val="000000"/>
        </w:rPr>
        <w:t>–</w:t>
      </w:r>
      <w:r w:rsidRPr="009F66D5">
        <w:rPr>
          <w:rFonts w:eastAsiaTheme="minorEastAsia"/>
        </w:rPr>
        <w:t xml:space="preserve">40 years later. </w:t>
      </w:r>
      <w:r w:rsidRPr="00356915">
        <w:rPr>
          <w:rFonts w:eastAsia="Arial" w:cs="Arial"/>
        </w:rPr>
        <w:t xml:space="preserve">There is also evidence that </w:t>
      </w:r>
      <w:r>
        <w:rPr>
          <w:rFonts w:eastAsia="Arial" w:cs="Arial"/>
        </w:rPr>
        <w:t xml:space="preserve">vaping </w:t>
      </w:r>
      <w:r w:rsidRPr="00356915">
        <w:rPr>
          <w:rFonts w:eastAsia="Arial" w:cs="Arial"/>
        </w:rPr>
        <w:t>is</w:t>
      </w:r>
      <w:r w:rsidR="009A5739">
        <w:rPr>
          <w:rFonts w:eastAsia="Arial" w:cs="Arial"/>
        </w:rPr>
        <w:t xml:space="preserve"> a</w:t>
      </w:r>
      <w:r w:rsidRPr="00356915">
        <w:rPr>
          <w:rFonts w:eastAsia="Arial" w:cs="Arial"/>
        </w:rPr>
        <w:t xml:space="preserve"> strong predictor of future tobacco use, particularly among </w:t>
      </w:r>
      <w:r w:rsidR="0068740E">
        <w:rPr>
          <w:rFonts w:eastAsia="Arial" w:cs="Arial"/>
        </w:rPr>
        <w:t>youth and young adults</w:t>
      </w:r>
      <w:r>
        <w:rPr>
          <w:rFonts w:eastAsia="Arial" w:cs="Arial"/>
        </w:rPr>
        <w:t>.</w:t>
      </w:r>
      <w:r w:rsidRPr="00356915">
        <w:rPr>
          <w:rFonts w:eastAsia="Arial" w:cs="Arial"/>
        </w:rPr>
        <w:t xml:space="preserve"> There is strong and consistent evidence that </w:t>
      </w:r>
      <w:r w:rsidR="00F52DF7">
        <w:rPr>
          <w:rFonts w:eastAsia="Arial" w:cs="Arial"/>
        </w:rPr>
        <w:t>young and young adults</w:t>
      </w:r>
      <w:r w:rsidRPr="00356915">
        <w:rPr>
          <w:rFonts w:eastAsia="Arial" w:cs="Arial"/>
        </w:rPr>
        <w:t xml:space="preserve"> who vape are up to 3 times as likely to take up smoking, compared to those who don’t. </w:t>
      </w:r>
    </w:p>
    <w:p w14:paraId="6E5648B1" w14:textId="650FD449" w:rsidR="00F712C0" w:rsidRPr="009706F8" w:rsidRDefault="00F712C0" w:rsidP="00AB7BEC">
      <w:pPr>
        <w:rPr>
          <w:rFonts w:eastAsiaTheme="minorEastAsia"/>
        </w:rPr>
      </w:pPr>
      <w:r w:rsidRPr="009F66D5">
        <w:rPr>
          <w:rFonts w:eastAsiaTheme="minorEastAsia"/>
        </w:rPr>
        <w:t xml:space="preserve">Dual use of </w:t>
      </w:r>
      <w:r>
        <w:rPr>
          <w:rFonts w:eastAsiaTheme="minorEastAsia"/>
        </w:rPr>
        <w:t xml:space="preserve">vapes </w:t>
      </w:r>
      <w:r w:rsidRPr="009F66D5">
        <w:rPr>
          <w:rFonts w:eastAsiaTheme="minorEastAsia"/>
        </w:rPr>
        <w:t xml:space="preserve">and tobacco products is also common and harmful, even if some </w:t>
      </w:r>
      <w:r w:rsidR="000026AD">
        <w:rPr>
          <w:rFonts w:eastAsiaTheme="minorEastAsia"/>
        </w:rPr>
        <w:t>people</w:t>
      </w:r>
      <w:r w:rsidR="000026AD" w:rsidRPr="009F66D5">
        <w:rPr>
          <w:rFonts w:eastAsiaTheme="minorEastAsia"/>
        </w:rPr>
        <w:t xml:space="preserve"> </w:t>
      </w:r>
      <w:r w:rsidRPr="009F66D5">
        <w:rPr>
          <w:rFonts w:eastAsiaTheme="minorEastAsia"/>
        </w:rPr>
        <w:t xml:space="preserve">report using </w:t>
      </w:r>
      <w:r>
        <w:rPr>
          <w:rFonts w:eastAsiaTheme="minorEastAsia"/>
        </w:rPr>
        <w:t xml:space="preserve">vapes </w:t>
      </w:r>
      <w:r w:rsidRPr="009F66D5">
        <w:rPr>
          <w:rFonts w:eastAsiaTheme="minorEastAsia"/>
        </w:rPr>
        <w:t>to cut down on the number of cigarettes they are consuming.</w:t>
      </w:r>
      <w:r w:rsidRPr="009F66D5">
        <w:rPr>
          <w:rFonts w:eastAsiaTheme="minorEastAsia"/>
          <w:lang w:val="en"/>
        </w:rPr>
        <w:t xml:space="preserve"> This is problematic as in addition to any independent health risks introduced by </w:t>
      </w:r>
      <w:r>
        <w:rPr>
          <w:rFonts w:eastAsiaTheme="minorEastAsia"/>
          <w:lang w:val="en"/>
        </w:rPr>
        <w:t>vapes</w:t>
      </w:r>
      <w:r w:rsidRPr="009F66D5">
        <w:rPr>
          <w:rFonts w:eastAsiaTheme="minorEastAsia"/>
          <w:lang w:val="en"/>
        </w:rPr>
        <w:t xml:space="preserve">, even light smoking still poses serious health risks. </w:t>
      </w:r>
    </w:p>
    <w:p w14:paraId="7F2F922D" w14:textId="77777777" w:rsidR="00F712C0" w:rsidRDefault="00F712C0" w:rsidP="00AB7BEC">
      <w:pPr>
        <w:rPr>
          <w:rFonts w:eastAsiaTheme="minorEastAsia"/>
          <w:lang w:val="en"/>
        </w:rPr>
      </w:pPr>
      <w:r w:rsidRPr="00303A72">
        <w:rPr>
          <w:rFonts w:eastAsiaTheme="minorEastAsia"/>
          <w:lang w:val="en"/>
        </w:rPr>
        <w:t xml:space="preserve">A range of </w:t>
      </w:r>
      <w:r>
        <w:rPr>
          <w:rFonts w:eastAsiaTheme="minorEastAsia"/>
          <w:lang w:val="en"/>
        </w:rPr>
        <w:t xml:space="preserve">‘first line’ </w:t>
      </w:r>
      <w:r w:rsidRPr="00303A72">
        <w:rPr>
          <w:rFonts w:eastAsiaTheme="minorEastAsia"/>
          <w:lang w:val="en"/>
        </w:rPr>
        <w:t xml:space="preserve">smoking cessation products </w:t>
      </w:r>
      <w:r>
        <w:rPr>
          <w:rFonts w:eastAsiaTheme="minorEastAsia"/>
          <w:lang w:val="en"/>
        </w:rPr>
        <w:t xml:space="preserve">such as nicotine gums and patches </w:t>
      </w:r>
      <w:r w:rsidRPr="00303A72">
        <w:rPr>
          <w:rFonts w:eastAsiaTheme="minorEastAsia"/>
          <w:lang w:val="en"/>
        </w:rPr>
        <w:t>are available</w:t>
      </w:r>
      <w:r>
        <w:rPr>
          <w:rFonts w:eastAsiaTheme="minorEastAsia"/>
          <w:lang w:val="en"/>
        </w:rPr>
        <w:t>, and these</w:t>
      </w:r>
      <w:r w:rsidRPr="00303A72">
        <w:rPr>
          <w:rFonts w:eastAsiaTheme="minorEastAsia"/>
          <w:lang w:val="en"/>
        </w:rPr>
        <w:t xml:space="preserve"> do not have the same health risks as </w:t>
      </w:r>
      <w:r>
        <w:rPr>
          <w:rFonts w:eastAsiaTheme="minorEastAsia"/>
          <w:lang w:val="en"/>
        </w:rPr>
        <w:t>vapes</w:t>
      </w:r>
      <w:r w:rsidRPr="00303A72">
        <w:rPr>
          <w:rFonts w:eastAsiaTheme="minorEastAsia"/>
          <w:lang w:val="en"/>
        </w:rPr>
        <w:t xml:space="preserve">. These products have been rigorously assessed by the </w:t>
      </w:r>
      <w:r>
        <w:rPr>
          <w:rFonts w:eastAsiaTheme="minorEastAsia"/>
          <w:lang w:val="en"/>
        </w:rPr>
        <w:t xml:space="preserve">TGA </w:t>
      </w:r>
      <w:r w:rsidRPr="00303A72">
        <w:rPr>
          <w:rFonts w:eastAsiaTheme="minorEastAsia"/>
          <w:lang w:val="en"/>
        </w:rPr>
        <w:t>and have established safety and efficacy profile</w:t>
      </w:r>
      <w:r>
        <w:rPr>
          <w:rFonts w:eastAsiaTheme="minorEastAsia"/>
          <w:lang w:val="en"/>
        </w:rPr>
        <w:t>s</w:t>
      </w:r>
      <w:r w:rsidRPr="00303A72">
        <w:rPr>
          <w:rFonts w:eastAsiaTheme="minorEastAsia"/>
          <w:lang w:val="en"/>
        </w:rPr>
        <w:t xml:space="preserve">. These products are generally less addictive than </w:t>
      </w:r>
      <w:r>
        <w:rPr>
          <w:rFonts w:eastAsiaTheme="minorEastAsia"/>
          <w:lang w:val="en"/>
        </w:rPr>
        <w:t xml:space="preserve">vapes </w:t>
      </w:r>
      <w:r w:rsidRPr="00303A72">
        <w:rPr>
          <w:rFonts w:eastAsiaTheme="minorEastAsia"/>
          <w:lang w:val="en"/>
        </w:rPr>
        <w:t>and many are widely available in supermarkets and other retail settings.</w:t>
      </w:r>
    </w:p>
    <w:p w14:paraId="5F07CD7E" w14:textId="211A639B" w:rsidR="00F712C0" w:rsidRPr="00D87097" w:rsidRDefault="00F712C0" w:rsidP="00AB7BEC">
      <w:pPr>
        <w:rPr>
          <w:rFonts w:eastAsiaTheme="minorEastAsia"/>
          <w:lang w:val="en"/>
        </w:rPr>
      </w:pPr>
      <w:r>
        <w:rPr>
          <w:rFonts w:eastAsiaTheme="minorEastAsia"/>
          <w:lang w:val="en"/>
        </w:rPr>
        <w:t xml:space="preserve">As no </w:t>
      </w:r>
      <w:r w:rsidR="002F742E">
        <w:rPr>
          <w:rFonts w:eastAsiaTheme="minorEastAsia"/>
          <w:lang w:val="en"/>
        </w:rPr>
        <w:t>vape</w:t>
      </w:r>
      <w:r>
        <w:rPr>
          <w:rFonts w:eastAsiaTheme="minorEastAsia"/>
          <w:lang w:val="en"/>
        </w:rPr>
        <w:t xml:space="preserve">s have </w:t>
      </w:r>
      <w:r w:rsidRPr="00D87097">
        <w:rPr>
          <w:rFonts w:eastAsiaTheme="minorEastAsia"/>
          <w:lang w:val="en"/>
        </w:rPr>
        <w:t xml:space="preserve">been </w:t>
      </w:r>
      <w:r>
        <w:rPr>
          <w:rFonts w:eastAsiaTheme="minorEastAsia"/>
          <w:lang w:val="en"/>
        </w:rPr>
        <w:t xml:space="preserve">approved or assessed </w:t>
      </w:r>
      <w:r w:rsidRPr="00D87097">
        <w:rPr>
          <w:rFonts w:eastAsiaTheme="minorEastAsia"/>
          <w:lang w:val="en"/>
        </w:rPr>
        <w:t>by the T</w:t>
      </w:r>
      <w:r>
        <w:rPr>
          <w:rFonts w:eastAsiaTheme="minorEastAsia"/>
          <w:lang w:val="en"/>
        </w:rPr>
        <w:t xml:space="preserve">GA, the safety, quality, and efficacy of specific </w:t>
      </w:r>
      <w:r w:rsidR="002F742E">
        <w:rPr>
          <w:rFonts w:eastAsiaTheme="minorEastAsia"/>
          <w:lang w:val="en"/>
        </w:rPr>
        <w:t>vapes</w:t>
      </w:r>
      <w:r>
        <w:rPr>
          <w:rFonts w:eastAsiaTheme="minorEastAsia"/>
          <w:lang w:val="en"/>
        </w:rPr>
        <w:t xml:space="preserve"> remains uncertain</w:t>
      </w:r>
      <w:r w:rsidRPr="00D87097">
        <w:rPr>
          <w:rFonts w:eastAsiaTheme="minorEastAsia"/>
          <w:lang w:val="en"/>
        </w:rPr>
        <w:t>.</w:t>
      </w:r>
      <w:r>
        <w:rPr>
          <w:rFonts w:eastAsiaTheme="minorEastAsia"/>
          <w:lang w:val="en"/>
        </w:rPr>
        <w:t xml:space="preserve"> However, t</w:t>
      </w:r>
      <w:r w:rsidRPr="00D87097">
        <w:rPr>
          <w:rFonts w:eastAsiaTheme="minorEastAsia"/>
          <w:lang w:val="en"/>
        </w:rPr>
        <w:t xml:space="preserve">here are several ways that </w:t>
      </w:r>
      <w:r w:rsidR="002159BD">
        <w:rPr>
          <w:rFonts w:eastAsiaTheme="minorEastAsia"/>
          <w:lang w:val="en"/>
        </w:rPr>
        <w:t>consumers</w:t>
      </w:r>
      <w:r w:rsidRPr="00D87097">
        <w:rPr>
          <w:rFonts w:eastAsiaTheme="minorEastAsia"/>
          <w:lang w:val="en"/>
        </w:rPr>
        <w:t xml:space="preserve"> can </w:t>
      </w:r>
      <w:r>
        <w:rPr>
          <w:rFonts w:eastAsiaTheme="minorEastAsia"/>
          <w:lang w:val="en"/>
        </w:rPr>
        <w:t xml:space="preserve">lawfully </w:t>
      </w:r>
      <w:r w:rsidRPr="00D87097">
        <w:rPr>
          <w:rFonts w:eastAsiaTheme="minorEastAsia"/>
          <w:lang w:val="en"/>
        </w:rPr>
        <w:t xml:space="preserve">gain access to products </w:t>
      </w:r>
      <w:r>
        <w:rPr>
          <w:rFonts w:eastAsiaTheme="minorEastAsia"/>
          <w:lang w:val="en"/>
        </w:rPr>
        <w:t>in Australia, through the TGA’s ‘unapproved goods’ pathways. In the case of nicotine vapes, access is governed through a prescription-only framework. E</w:t>
      </w:r>
      <w:r w:rsidRPr="003B1976">
        <w:rPr>
          <w:rFonts w:eastAsiaTheme="minorEastAsia"/>
          <w:lang w:val="en"/>
        </w:rPr>
        <w:t xml:space="preserve">nsuring that </w:t>
      </w:r>
      <w:r>
        <w:rPr>
          <w:rFonts w:eastAsiaTheme="minorEastAsia"/>
          <w:lang w:val="en"/>
        </w:rPr>
        <w:t xml:space="preserve">vapes </w:t>
      </w:r>
      <w:r w:rsidRPr="003B1976">
        <w:rPr>
          <w:rFonts w:eastAsiaTheme="minorEastAsia"/>
          <w:lang w:val="en"/>
        </w:rPr>
        <w:t xml:space="preserve">are only accessed with medical supervision provides an opportunity for </w:t>
      </w:r>
      <w:r w:rsidR="002761BE">
        <w:rPr>
          <w:rFonts w:eastAsiaTheme="minorEastAsia"/>
          <w:lang w:val="en"/>
        </w:rPr>
        <w:t>consumers</w:t>
      </w:r>
      <w:r w:rsidR="002761BE" w:rsidRPr="003B1976">
        <w:rPr>
          <w:rFonts w:eastAsiaTheme="minorEastAsia"/>
          <w:lang w:val="en"/>
        </w:rPr>
        <w:t xml:space="preserve"> </w:t>
      </w:r>
      <w:r w:rsidRPr="003B1976">
        <w:rPr>
          <w:rFonts w:eastAsiaTheme="minorEastAsia"/>
          <w:lang w:val="en"/>
        </w:rPr>
        <w:t>to receive appropriate advice from a health professional on the risks associated with their use and the benefits of smoking cessation.</w:t>
      </w:r>
      <w:r>
        <w:rPr>
          <w:rFonts w:eastAsiaTheme="minorEastAsia"/>
          <w:lang w:val="en"/>
        </w:rPr>
        <w:t xml:space="preserve"> Medical supervision also enables close monitoring of emerging and ongoing health harms that may be associated with vaping. </w:t>
      </w:r>
      <w:r w:rsidRPr="00303A72">
        <w:rPr>
          <w:rFonts w:eastAsiaTheme="minorEastAsia"/>
          <w:lang w:val="en"/>
        </w:rPr>
        <w:t>Under this framework, access controls</w:t>
      </w:r>
      <w:r>
        <w:rPr>
          <w:rFonts w:eastAsiaTheme="minorEastAsia"/>
          <w:lang w:val="en"/>
        </w:rPr>
        <w:t xml:space="preserve">, including the requirement for a prescription, </w:t>
      </w:r>
      <w:r w:rsidRPr="00303A72">
        <w:rPr>
          <w:rFonts w:eastAsiaTheme="minorEastAsia"/>
          <w:lang w:val="en"/>
        </w:rPr>
        <w:t xml:space="preserve">can </w:t>
      </w:r>
      <w:r>
        <w:rPr>
          <w:rFonts w:eastAsiaTheme="minorEastAsia"/>
          <w:lang w:val="en"/>
        </w:rPr>
        <w:t>be modified</w:t>
      </w:r>
      <w:r w:rsidRPr="00303A72">
        <w:rPr>
          <w:rFonts w:eastAsiaTheme="minorEastAsia"/>
          <w:lang w:val="en"/>
        </w:rPr>
        <w:t xml:space="preserve"> in light of new public health evidence.</w:t>
      </w:r>
    </w:p>
    <w:p w14:paraId="4963526F" w14:textId="77777777" w:rsidR="00F712C0" w:rsidRPr="00951B84" w:rsidRDefault="00F712C0" w:rsidP="00F712C0">
      <w:r w:rsidRPr="00FF15C0">
        <w:t>Some people may be successful in quitting tobacco smoking using vapes, but the overall evidence of the effectiveness of these products as a smoking cessation aid remains limited</w:t>
      </w:r>
      <w:r>
        <w:t xml:space="preserve">. </w:t>
      </w:r>
      <w:r w:rsidRPr="53BDF2F7">
        <w:rPr>
          <w:rFonts w:eastAsia="Arial" w:cs="Arial"/>
        </w:rPr>
        <w:t xml:space="preserve">The prescription model in Australia recognises that for </w:t>
      </w:r>
      <w:r>
        <w:rPr>
          <w:rFonts w:eastAsia="Arial" w:cs="Arial"/>
        </w:rPr>
        <w:t xml:space="preserve">certain people nicotine vapes may be an appropriate intervention, complemented by other supports. </w:t>
      </w:r>
      <w:r>
        <w:rPr>
          <w:rFonts w:eastAsiaTheme="minorEastAsia"/>
        </w:rPr>
        <w:t xml:space="preserve">The Royal Australian College of General Practitioners advises that for people that have tried first line smoking cessation treatment options and supports, but </w:t>
      </w:r>
      <w:r>
        <w:rPr>
          <w:rFonts w:eastAsiaTheme="minorEastAsia"/>
        </w:rPr>
        <w:lastRenderedPageBreak/>
        <w:t>been unsuccessful in quitting, nicotine vaping products may be an intervention they wish to consider in combination with behavioural supports. However, this decision should be made with advice and support from their health professional, which includes consideration of the risks involved.</w:t>
      </w:r>
      <w:r w:rsidRPr="53BDF2F7">
        <w:rPr>
          <w:rFonts w:eastAsia="Arial" w:cs="Arial"/>
        </w:rPr>
        <w:t xml:space="preserve"> </w:t>
      </w:r>
    </w:p>
    <w:p w14:paraId="025E493D" w14:textId="72ABA4D5" w:rsidR="00F712C0" w:rsidRDefault="00F712C0" w:rsidP="004C5562">
      <w:r w:rsidRPr="009F66D5">
        <w:t xml:space="preserve">Collectively, this evidence highlights that the existing controls governing the marketing and use of </w:t>
      </w:r>
      <w:r w:rsidR="00A70357">
        <w:t>vapes</w:t>
      </w:r>
      <w:r w:rsidRPr="009F66D5">
        <w:t xml:space="preserve"> should be strengthened. </w:t>
      </w:r>
    </w:p>
    <w:p w14:paraId="762C65A0" w14:textId="578671A5" w:rsidR="00F712C0" w:rsidRPr="003806DE" w:rsidRDefault="00F712C0" w:rsidP="004C5562">
      <w:r w:rsidRPr="003806DE">
        <w:t>Between 30</w:t>
      </w:r>
      <w:r>
        <w:t> </w:t>
      </w:r>
      <w:r w:rsidRPr="003806DE">
        <w:t xml:space="preserve">November 2022 and 16 January 2023, the TGA undertook a public consultation </w:t>
      </w:r>
      <w:r>
        <w:t xml:space="preserve">(2022 Consultation) </w:t>
      </w:r>
      <w:r w:rsidRPr="003806DE">
        <w:t xml:space="preserve">on potential reforms to </w:t>
      </w:r>
      <w:r>
        <w:t xml:space="preserve">nicotine </w:t>
      </w:r>
      <w:r w:rsidRPr="003806DE">
        <w:t>vaping product</w:t>
      </w:r>
      <w:r>
        <w:t xml:space="preserve"> regulation</w:t>
      </w:r>
      <w:r w:rsidRPr="003806DE">
        <w:t xml:space="preserve"> in Australia</w:t>
      </w:r>
      <w:r>
        <w:t>,</w:t>
      </w:r>
      <w:r w:rsidRPr="003806DE">
        <w:t xml:space="preserve"> to identify if refinements to existing requirements could better support the intent of the 2021 reforms. The consultation canvassed comments on potential reforms in four main areas:</w:t>
      </w:r>
    </w:p>
    <w:p w14:paraId="20439B5F" w14:textId="77777777" w:rsidR="00F712C0" w:rsidRPr="00E17276" w:rsidRDefault="00F712C0" w:rsidP="00D12EFD">
      <w:pPr>
        <w:pStyle w:val="Bullet1"/>
        <w:numPr>
          <w:ilvl w:val="0"/>
          <w:numId w:val="19"/>
        </w:numPr>
      </w:pPr>
      <w:r w:rsidRPr="00E17276">
        <w:t>changes to border controls</w:t>
      </w:r>
    </w:p>
    <w:p w14:paraId="5CAC59CF" w14:textId="77777777" w:rsidR="00F712C0" w:rsidRPr="00E17276" w:rsidRDefault="00F712C0" w:rsidP="00D12EFD">
      <w:pPr>
        <w:pStyle w:val="Bullet1"/>
        <w:numPr>
          <w:ilvl w:val="0"/>
          <w:numId w:val="19"/>
        </w:numPr>
      </w:pPr>
      <w:r w:rsidRPr="00E17276">
        <w:t>pre-market assessment against a quality and safety standard</w:t>
      </w:r>
    </w:p>
    <w:p w14:paraId="5AFE5348" w14:textId="77777777" w:rsidR="00F712C0" w:rsidRPr="00E17276" w:rsidRDefault="00F712C0" w:rsidP="00D12EFD">
      <w:pPr>
        <w:pStyle w:val="Bullet1"/>
        <w:numPr>
          <w:ilvl w:val="0"/>
          <w:numId w:val="19"/>
        </w:numPr>
      </w:pPr>
      <w:r w:rsidRPr="00E17276">
        <w:t>strengthening minimum safety and quality requirements in the applicable product standard, and</w:t>
      </w:r>
    </w:p>
    <w:p w14:paraId="69CDDF60" w14:textId="77777777" w:rsidR="00F712C0" w:rsidRPr="00E17276" w:rsidRDefault="00F712C0" w:rsidP="00D12EFD">
      <w:pPr>
        <w:pStyle w:val="Bullet1"/>
        <w:numPr>
          <w:ilvl w:val="0"/>
          <w:numId w:val="19"/>
        </w:numPr>
      </w:pPr>
      <w:r w:rsidRPr="00E17276">
        <w:t>clarifying that all vaping products containing nicotine are therapeutic goods and subject to regulation under Australia’s therapeutic goods framework.</w:t>
      </w:r>
    </w:p>
    <w:p w14:paraId="19FF4722" w14:textId="5CC9EC0E" w:rsidR="00F712C0" w:rsidRPr="003806DE" w:rsidRDefault="00F712C0" w:rsidP="004C5562">
      <w:r w:rsidRPr="003806DE">
        <w:t>Close to 4</w:t>
      </w:r>
      <w:r w:rsidR="00857F1F">
        <w:t>,</w:t>
      </w:r>
      <w:r w:rsidRPr="003806DE">
        <w:t>000 submissions were received from a range of organisations and individuals, including state and territory health departments, universities, health practitioner peak bodies, retailers, patient groups and suppliers. There were over 3,500 submissions from private individuals.</w:t>
      </w:r>
    </w:p>
    <w:p w14:paraId="730BA1BB" w14:textId="0F7D9756" w:rsidR="00F712C0" w:rsidRDefault="00F712C0" w:rsidP="004C5562">
      <w:r>
        <w:t xml:space="preserve">In May 2023, based </w:t>
      </w:r>
      <w:r w:rsidR="00347232">
        <w:t xml:space="preserve">on the initial IA </w:t>
      </w:r>
      <w:r w:rsidR="00037244">
        <w:t xml:space="preserve">and </w:t>
      </w:r>
      <w:r>
        <w:t>on the feedback from the 2022 Consultation and advice provided by public health experts at Tobacco Control Roundtables on 30 September 2022 and 17 April 2023, the Minister for Health and Aged Care announced, subject to consultation with the states and territories and other stakeholders, an intention to strengthen the regulation of all vapes and ban the import and supply of non-therapeutic vapes</w:t>
      </w:r>
      <w:r w:rsidRPr="003806DE">
        <w:rPr>
          <w:rFonts w:cs="Arial"/>
          <w:color w:val="313131"/>
          <w:shd w:val="clear" w:color="auto" w:fill="FFFFFF"/>
        </w:rPr>
        <w:t>.</w:t>
      </w:r>
      <w:r>
        <w:rPr>
          <w:rFonts w:cs="Arial"/>
          <w:color w:val="313131"/>
          <w:shd w:val="clear" w:color="auto" w:fill="FFFFFF"/>
        </w:rPr>
        <w:t xml:space="preserve"> </w:t>
      </w:r>
    </w:p>
    <w:p w14:paraId="20487640" w14:textId="46DF1089" w:rsidR="00F712C0" w:rsidRDefault="00F712C0" w:rsidP="004C5562">
      <w:r>
        <w:t>Consultations with the states and territories took place principally through Health Ministers</w:t>
      </w:r>
      <w:r w:rsidR="00622635">
        <w:t>’</w:t>
      </w:r>
      <w:r>
        <w:t xml:space="preserve"> Meeting and its subordinate E-Cigarette Working Group, culminating in the Health Ministers’ Meeting Communique of 1 September 2023 which conveyed Ministers’ collective commitment to enhancing regulation of vapes. </w:t>
      </w:r>
    </w:p>
    <w:p w14:paraId="16ED3DB5" w14:textId="010721D2" w:rsidR="00F712C0" w:rsidRDefault="00F712C0" w:rsidP="004C5562">
      <w:r>
        <w:t>A second, targeted</w:t>
      </w:r>
      <w:r w:rsidRPr="003E71BA">
        <w:t xml:space="preserve"> consultation </w:t>
      </w:r>
      <w:r>
        <w:t>was undertaken with stakeholders between 7 September and 21 September 2023 (2023 Consultation) to consult on the proposals developed in consultation with states and territories and to further develop this I</w:t>
      </w:r>
      <w:r w:rsidR="00FE30F9">
        <w:t xml:space="preserve">A. </w:t>
      </w:r>
      <w:r>
        <w:t xml:space="preserve">Submissions for this consultation closed on 21 September 2023. </w:t>
      </w:r>
    </w:p>
    <w:p w14:paraId="26651508" w14:textId="77777777" w:rsidR="00F712C0" w:rsidRDefault="00F712C0" w:rsidP="004C5562">
      <w:r>
        <w:t>Stakeholders were asked to comment from their particular viewpoint on:</w:t>
      </w:r>
    </w:p>
    <w:p w14:paraId="0EE4AA4D" w14:textId="26AA5E29" w:rsidR="00F712C0" w:rsidRPr="00D34FB7" w:rsidRDefault="00F712C0" w:rsidP="00D12EFD">
      <w:pPr>
        <w:pStyle w:val="Bullet1"/>
        <w:numPr>
          <w:ilvl w:val="0"/>
          <w:numId w:val="20"/>
        </w:numPr>
      </w:pPr>
      <w:r w:rsidRPr="00D34FB7">
        <w:t>restrictions on importation, manufacture and supply of all vapes, other than therapeutic vapes</w:t>
      </w:r>
    </w:p>
    <w:p w14:paraId="75661001" w14:textId="70EB131F" w:rsidR="00F712C0" w:rsidRPr="00D34FB7" w:rsidRDefault="00F712C0" w:rsidP="00D12EFD">
      <w:pPr>
        <w:pStyle w:val="Bullet1"/>
        <w:numPr>
          <w:ilvl w:val="0"/>
          <w:numId w:val="20"/>
        </w:numPr>
      </w:pPr>
      <w:r w:rsidRPr="00D34FB7">
        <w:t>changes to market accessibility requirements for therapeutic vapes</w:t>
      </w:r>
    </w:p>
    <w:p w14:paraId="6780F3DE" w14:textId="0549905D" w:rsidR="00F712C0" w:rsidRPr="00D34FB7" w:rsidRDefault="00F712C0" w:rsidP="00D12EFD">
      <w:pPr>
        <w:pStyle w:val="Bullet1"/>
        <w:numPr>
          <w:ilvl w:val="0"/>
          <w:numId w:val="20"/>
        </w:numPr>
      </w:pPr>
      <w:r w:rsidRPr="00D34FB7">
        <w:t>heightened quality and safety standards for therapeutic vapes</w:t>
      </w:r>
    </w:p>
    <w:p w14:paraId="369F5B12" w14:textId="77777777" w:rsidR="001B5120" w:rsidRPr="00D34FB7" w:rsidRDefault="00F712C0" w:rsidP="00D12EFD">
      <w:pPr>
        <w:pStyle w:val="Bullet1"/>
        <w:numPr>
          <w:ilvl w:val="0"/>
          <w:numId w:val="20"/>
        </w:numPr>
      </w:pPr>
      <w:r w:rsidRPr="00D34FB7">
        <w:t xml:space="preserve">strengthening domestic compliance and enforcement mechanisms. </w:t>
      </w:r>
    </w:p>
    <w:p w14:paraId="196A2D88" w14:textId="1B08AB46" w:rsidR="00F712C0" w:rsidRPr="008278B1" w:rsidRDefault="00F712C0" w:rsidP="00DC3DDD">
      <w:r>
        <w:t xml:space="preserve">The consultation received 289 responses, including submissions from government agencies, consumer groups and associations, health professional peak bodies, school related groups, academic experts, pharmacy wholesalers, vape importers, vape manufacturers, vape retailers and others. </w:t>
      </w:r>
      <w:r w:rsidRPr="008278B1">
        <w:t xml:space="preserve">Although not specifically solicited, over 120 of these were responses from individuals. </w:t>
      </w:r>
    </w:p>
    <w:p w14:paraId="413CB5A1" w14:textId="77777777" w:rsidR="00D714D1" w:rsidRDefault="00F712C0" w:rsidP="00D714D1">
      <w:pPr>
        <w:keepNext/>
      </w:pPr>
      <w:r w:rsidRPr="008278B1">
        <w:t>The TGA has developed this I</w:t>
      </w:r>
      <w:r w:rsidR="002F4C6F">
        <w:t>A</w:t>
      </w:r>
      <w:r w:rsidRPr="008278B1">
        <w:t xml:space="preserve"> to examine options, including evidence, data and analysis of the broader costs and benefits, to address the public health problem</w:t>
      </w:r>
      <w:r w:rsidR="0008053D">
        <w:t>.</w:t>
      </w:r>
      <w:r w:rsidR="00DF2423">
        <w:t xml:space="preserve"> </w:t>
      </w:r>
      <w:r w:rsidR="00D714D1" w:rsidRPr="00EA5A86">
        <w:t xml:space="preserve">In April 2023, a draft IA was provided to OIA. It was found to be compliant with Australian Government IA requirements for that </w:t>
      </w:r>
      <w:r w:rsidR="00D714D1" w:rsidRPr="00EA5A86">
        <w:lastRenderedPageBreak/>
        <w:t>stage of policy development and suitable to inform early policy development</w:t>
      </w:r>
      <w:r w:rsidR="00D714D1">
        <w:t>.</w:t>
      </w:r>
      <w:r w:rsidR="00D714D1" w:rsidRPr="006E3A0C">
        <w:t xml:space="preserve"> Consideration of this draft </w:t>
      </w:r>
      <w:r w:rsidR="00D714D1" w:rsidRPr="00704765">
        <w:rPr>
          <w:rFonts w:eastAsia="Times New Roman"/>
        </w:rPr>
        <w:t xml:space="preserve">IA and feedback from OIA informed the </w:t>
      </w:r>
      <w:r w:rsidR="00D714D1">
        <w:rPr>
          <w:rFonts w:eastAsia="Times New Roman"/>
        </w:rPr>
        <w:t>2023 Consultation and questions asked.</w:t>
      </w:r>
    </w:p>
    <w:p w14:paraId="5110CBBC" w14:textId="77777777" w:rsidR="00D714D1" w:rsidRDefault="00D714D1" w:rsidP="00D714D1">
      <w:pPr>
        <w:keepNext/>
      </w:pPr>
      <w:r>
        <w:t>In addition, the OIA was engaged throughout the policy development process, including receiving informal drafts of the updated IA. The IA is to be considered by the Australian Government in making the final decision on the reform approach.</w:t>
      </w:r>
    </w:p>
    <w:p w14:paraId="4B1FF8FF" w14:textId="0C64DADE" w:rsidR="00F712C0" w:rsidRPr="008278B1" w:rsidRDefault="00F712C0" w:rsidP="00F712C0">
      <w:r w:rsidRPr="008278B1">
        <w:t>Th</w:t>
      </w:r>
      <w:r w:rsidR="00A2146C">
        <w:t>e</w:t>
      </w:r>
      <w:r w:rsidRPr="008278B1">
        <w:t xml:space="preserve"> </w:t>
      </w:r>
      <w:r w:rsidR="00891796">
        <w:t>development of this IA</w:t>
      </w:r>
      <w:r w:rsidR="00891796" w:rsidRPr="008278B1">
        <w:t xml:space="preserve"> </w:t>
      </w:r>
      <w:r w:rsidRPr="008278B1">
        <w:t>has been done in line with and informed by:</w:t>
      </w:r>
    </w:p>
    <w:p w14:paraId="24A023FB" w14:textId="283A31AE" w:rsidR="00F712C0" w:rsidRPr="00951B84" w:rsidRDefault="00F712C0" w:rsidP="00D12EFD">
      <w:pPr>
        <w:pStyle w:val="Bullet1"/>
        <w:numPr>
          <w:ilvl w:val="0"/>
          <w:numId w:val="21"/>
        </w:numPr>
      </w:pPr>
      <w:r w:rsidRPr="00951B84">
        <w:t xml:space="preserve">Australian Government guidance </w:t>
      </w:r>
    </w:p>
    <w:p w14:paraId="2E9129C1" w14:textId="014EB699" w:rsidR="00F712C0" w:rsidRPr="00951B84" w:rsidRDefault="00F712C0" w:rsidP="00D12EFD">
      <w:pPr>
        <w:pStyle w:val="Bullet1"/>
        <w:numPr>
          <w:ilvl w:val="0"/>
          <w:numId w:val="21"/>
        </w:numPr>
      </w:pPr>
      <w:r w:rsidRPr="00951B84">
        <w:t xml:space="preserve">consultations with states and territories </w:t>
      </w:r>
    </w:p>
    <w:p w14:paraId="11FB953A" w14:textId="3D06CEA8" w:rsidR="00F712C0" w:rsidRPr="00951B84" w:rsidRDefault="00F712C0" w:rsidP="00D12EFD">
      <w:pPr>
        <w:pStyle w:val="Bullet1"/>
        <w:numPr>
          <w:ilvl w:val="0"/>
          <w:numId w:val="21"/>
        </w:numPr>
      </w:pPr>
      <w:r w:rsidRPr="00951B84">
        <w:t xml:space="preserve">two sets of formal consultations with the general public and targeted stakeholders </w:t>
      </w:r>
    </w:p>
    <w:p w14:paraId="7B9889D0" w14:textId="77777777" w:rsidR="00F712C0" w:rsidRDefault="00F712C0" w:rsidP="00D12EFD">
      <w:pPr>
        <w:pStyle w:val="Bullet1"/>
        <w:numPr>
          <w:ilvl w:val="0"/>
          <w:numId w:val="21"/>
        </w:numPr>
      </w:pPr>
      <w:r w:rsidRPr="00951B84">
        <w:t>other consultations with key stakeholders concerning the proposed regulatory reforms, international best practice and the evidence base</w:t>
      </w:r>
      <w:r>
        <w:t>.</w:t>
      </w:r>
      <w:r w:rsidRPr="00951B84">
        <w:t xml:space="preserve"> </w:t>
      </w:r>
    </w:p>
    <w:p w14:paraId="25EBF629" w14:textId="702579DD" w:rsidR="00F712C0" w:rsidRPr="00951B84" w:rsidRDefault="00F712C0" w:rsidP="00F712C0">
      <w:r w:rsidRPr="008278B1">
        <w:t>The</w:t>
      </w:r>
      <w:r w:rsidR="00E36DAA">
        <w:t xml:space="preserve"> </w:t>
      </w:r>
      <w:r w:rsidR="00076931">
        <w:t>4</w:t>
      </w:r>
      <w:r w:rsidR="007A0266">
        <w:t xml:space="preserve"> </w:t>
      </w:r>
      <w:r w:rsidRPr="008278B1">
        <w:t xml:space="preserve">options </w:t>
      </w:r>
      <w:r w:rsidR="007A0266">
        <w:t>put forward in this IA</w:t>
      </w:r>
      <w:r w:rsidRPr="008278B1">
        <w:t xml:space="preserve"> are:  </w:t>
      </w:r>
    </w:p>
    <w:p w14:paraId="684F57A3" w14:textId="30BD7119" w:rsidR="00F712C0" w:rsidRPr="00F06387" w:rsidRDefault="00583D0D" w:rsidP="00D12EFD">
      <w:pPr>
        <w:pStyle w:val="Bullet1"/>
        <w:numPr>
          <w:ilvl w:val="0"/>
          <w:numId w:val="21"/>
        </w:numPr>
      </w:pPr>
      <w:r>
        <w:t>m</w:t>
      </w:r>
      <w:r w:rsidR="00F712C0" w:rsidRPr="00F06387">
        <w:t>aintain the status quo (no change)</w:t>
      </w:r>
    </w:p>
    <w:p w14:paraId="515BABED" w14:textId="77777777" w:rsidR="003D7607" w:rsidRDefault="00583D0D" w:rsidP="003D7607">
      <w:pPr>
        <w:pStyle w:val="Bullet1"/>
        <w:numPr>
          <w:ilvl w:val="0"/>
          <w:numId w:val="21"/>
        </w:numPr>
      </w:pPr>
      <w:r>
        <w:t>r</w:t>
      </w:r>
      <w:r w:rsidR="00F712C0" w:rsidRPr="00F06387">
        <w:t>egulate vapes under a consumer model</w:t>
      </w:r>
    </w:p>
    <w:p w14:paraId="652B07EB" w14:textId="23460C89" w:rsidR="00F712C0" w:rsidRPr="00F06387" w:rsidRDefault="00583D0D" w:rsidP="003D7607">
      <w:pPr>
        <w:pStyle w:val="Bullet1"/>
        <w:numPr>
          <w:ilvl w:val="0"/>
          <w:numId w:val="21"/>
        </w:numPr>
      </w:pPr>
      <w:r>
        <w:t>i</w:t>
      </w:r>
      <w:r w:rsidR="00F712C0" w:rsidRPr="00F06387">
        <w:t>ncrease regulation of vapes through the T</w:t>
      </w:r>
      <w:r w:rsidR="00077834">
        <w:t xml:space="preserve">G </w:t>
      </w:r>
      <w:r w:rsidR="00F712C0" w:rsidRPr="00F06387">
        <w:t>Act and Customs Regulations</w:t>
      </w:r>
    </w:p>
    <w:p w14:paraId="3EDB9D7C" w14:textId="376AB34F" w:rsidR="00F712C0" w:rsidRPr="00F06387" w:rsidRDefault="00B63EFD" w:rsidP="00D12EFD">
      <w:pPr>
        <w:pStyle w:val="Bullet1"/>
        <w:numPr>
          <w:ilvl w:val="0"/>
          <w:numId w:val="21"/>
        </w:numPr>
      </w:pPr>
      <w:r>
        <w:t>b</w:t>
      </w:r>
      <w:r w:rsidR="00F712C0" w:rsidRPr="00F06387">
        <w:t>an non-therapeutic vapes and require therapeutic vapes to be registered on the Australian Register of Therapeutic Goods and not available as ‘unapproved’ therapeutic goods.</w:t>
      </w:r>
    </w:p>
    <w:p w14:paraId="3F8D196A" w14:textId="165D63DD" w:rsidR="00F712C0" w:rsidRDefault="00F712C0" w:rsidP="004C5562">
      <w:r w:rsidRPr="008278B1">
        <w:t>In assessing the impact of the proposed options, compliance costs to industry were estimated for the purposes of this I</w:t>
      </w:r>
      <w:r w:rsidR="000A726A">
        <w:t>A</w:t>
      </w:r>
      <w:r w:rsidRPr="008278B1">
        <w:t xml:space="preserve"> using</w:t>
      </w:r>
      <w:r>
        <w:t xml:space="preserve"> a Regulatory Burden Measurement Framework that follows the guidelines provided by the OIA. </w:t>
      </w:r>
    </w:p>
    <w:p w14:paraId="2314CC1B" w14:textId="695802CC" w:rsidR="00F712C0" w:rsidRDefault="00A33D71" w:rsidP="004C5562">
      <w:r>
        <w:t xml:space="preserve">Through considering all options, </w:t>
      </w:r>
      <w:r w:rsidR="00F712C0">
        <w:t xml:space="preserve">Option 3 has been identified as the </w:t>
      </w:r>
      <w:r>
        <w:t xml:space="preserve">option </w:t>
      </w:r>
      <w:r w:rsidR="00F712C0">
        <w:t>that would deliver on the public health objectives to:</w:t>
      </w:r>
    </w:p>
    <w:p w14:paraId="6FE6DE0E" w14:textId="41C41C07" w:rsidR="00F712C0" w:rsidRPr="00034E76" w:rsidRDefault="00F17235" w:rsidP="00D12EFD">
      <w:pPr>
        <w:pStyle w:val="Bullet1"/>
        <w:numPr>
          <w:ilvl w:val="0"/>
          <w:numId w:val="21"/>
        </w:numPr>
      </w:pPr>
      <w:r>
        <w:t>a</w:t>
      </w:r>
      <w:r w:rsidR="00F712C0" w:rsidRPr="00034E76">
        <w:t xml:space="preserve">rrest the uptake of vapes, other than for therapeutic purposes, especially in </w:t>
      </w:r>
      <w:r w:rsidR="00F417F6">
        <w:t>youth and young adults</w:t>
      </w:r>
      <w:r w:rsidR="007F3067">
        <w:t xml:space="preserve"> (aged below 25 years)</w:t>
      </w:r>
      <w:r w:rsidR="00F712C0" w:rsidRPr="00034E76">
        <w:t xml:space="preserve"> </w:t>
      </w:r>
    </w:p>
    <w:p w14:paraId="06E1AC69" w14:textId="1A9001E8" w:rsidR="00F712C0" w:rsidRPr="00034E76" w:rsidRDefault="00632BC6" w:rsidP="00D12EFD">
      <w:pPr>
        <w:pStyle w:val="Bullet1"/>
        <w:numPr>
          <w:ilvl w:val="0"/>
          <w:numId w:val="21"/>
        </w:numPr>
      </w:pPr>
      <w:r>
        <w:t>c</w:t>
      </w:r>
      <w:r w:rsidR="00F712C0" w:rsidRPr="00034E76">
        <w:t xml:space="preserve">ounteract the marketing of vapes to </w:t>
      </w:r>
      <w:r w:rsidR="00F417F6">
        <w:t>youth and young adults</w:t>
      </w:r>
      <w:r w:rsidR="00F712C0" w:rsidRPr="00034E76">
        <w:t>, especially through product features such as flavours and packaging</w:t>
      </w:r>
    </w:p>
    <w:p w14:paraId="1A9FEC39" w14:textId="01D64665" w:rsidR="00F712C0" w:rsidRPr="00034E76" w:rsidDel="009F7828" w:rsidRDefault="00495AB6" w:rsidP="00D12EFD">
      <w:pPr>
        <w:pStyle w:val="Bullet1"/>
        <w:numPr>
          <w:ilvl w:val="0"/>
          <w:numId w:val="21"/>
        </w:numPr>
      </w:pPr>
      <w:r>
        <w:t>p</w:t>
      </w:r>
      <w:r w:rsidR="00F712C0" w:rsidRPr="00034E76">
        <w:t>revent nicotine addiction and reduce the risk of future tobacco use</w:t>
      </w:r>
    </w:p>
    <w:p w14:paraId="04360367" w14:textId="3EAEF09E" w:rsidR="00F712C0" w:rsidRDefault="00495AB6" w:rsidP="00D12EFD">
      <w:pPr>
        <w:pStyle w:val="Bullet1"/>
        <w:numPr>
          <w:ilvl w:val="0"/>
          <w:numId w:val="21"/>
        </w:numPr>
      </w:pPr>
      <w:r>
        <w:t>s</w:t>
      </w:r>
      <w:r w:rsidR="00F712C0" w:rsidRPr="00034E76">
        <w:t xml:space="preserve">afeguard </w:t>
      </w:r>
      <w:r w:rsidR="00AB533F">
        <w:t>public</w:t>
      </w:r>
      <w:r w:rsidR="00AB533F" w:rsidRPr="00034E76">
        <w:t xml:space="preserve"> </w:t>
      </w:r>
      <w:r w:rsidR="00F712C0" w:rsidRPr="00034E76">
        <w:t xml:space="preserve">health, increase confidence of </w:t>
      </w:r>
      <w:r w:rsidR="00850C51">
        <w:t>consumers</w:t>
      </w:r>
      <w:r w:rsidR="00850C51" w:rsidRPr="00034E76">
        <w:t xml:space="preserve"> </w:t>
      </w:r>
      <w:r w:rsidR="00F712C0" w:rsidRPr="00034E76">
        <w:t>and prescribers, and minimise the short-term and long-term adverse health effects of vapes by ensuring vapes meet appropriate quality and safety standards.</w:t>
      </w:r>
    </w:p>
    <w:p w14:paraId="7785BE30" w14:textId="77777777" w:rsidR="00191AA1" w:rsidRDefault="00191AA1">
      <w:pPr>
        <w:rPr>
          <w:rFonts w:eastAsia="Times New Roman" w:cs="Times New Roman"/>
          <w:b/>
          <w:bCs/>
          <w:color w:val="001871"/>
          <w:sz w:val="38"/>
          <w:szCs w:val="38"/>
        </w:rPr>
      </w:pPr>
      <w:bookmarkStart w:id="14" w:name="_Toc146634896"/>
      <w:r>
        <w:br w:type="page"/>
      </w:r>
    </w:p>
    <w:p w14:paraId="781226C3" w14:textId="4923A535" w:rsidR="00A50892" w:rsidRPr="00044AD1" w:rsidRDefault="00A50892" w:rsidP="00044AD1">
      <w:pPr>
        <w:pStyle w:val="Heading2"/>
      </w:pPr>
      <w:bookmarkStart w:id="15" w:name="_Toc151040311"/>
      <w:r w:rsidRPr="00044AD1">
        <w:lastRenderedPageBreak/>
        <w:t>Introduction</w:t>
      </w:r>
      <w:bookmarkEnd w:id="14"/>
      <w:bookmarkEnd w:id="15"/>
    </w:p>
    <w:p w14:paraId="1DD44550" w14:textId="019E0279" w:rsidR="004155A5" w:rsidRPr="00462AE0" w:rsidRDefault="188EB349" w:rsidP="00774406">
      <w:pPr>
        <w:pStyle w:val="Heading3"/>
      </w:pPr>
      <w:bookmarkStart w:id="16" w:name="_Toc146634897"/>
      <w:bookmarkStart w:id="17" w:name="_Toc151040312"/>
      <w:r w:rsidRPr="00462AE0">
        <w:t xml:space="preserve">What is a </w:t>
      </w:r>
      <w:r w:rsidRPr="00774406">
        <w:t>vap</w:t>
      </w:r>
      <w:r w:rsidR="540B4C60" w:rsidRPr="00774406">
        <w:t>e</w:t>
      </w:r>
      <w:r w:rsidRPr="00462AE0">
        <w:t>?</w:t>
      </w:r>
      <w:bookmarkEnd w:id="16"/>
      <w:bookmarkEnd w:id="17"/>
    </w:p>
    <w:p w14:paraId="2D1769E7" w14:textId="74692FEB" w:rsidR="00931F01" w:rsidRPr="00462AE0" w:rsidRDefault="00931F01" w:rsidP="00931F01">
      <w:pPr>
        <w:rPr>
          <w:rFonts w:cs="Arial"/>
        </w:rPr>
      </w:pPr>
      <w:r w:rsidRPr="00462AE0">
        <w:rPr>
          <w:rFonts w:cs="Arial"/>
        </w:rPr>
        <w:t xml:space="preserve">The term “vape” is intended to have its ordinary meaning. It comprises both substance and device components, however they are manufactured, assembled, or presented. When used together, these components will be designed or intended to vaporise and administer the substance by inhalation, generally in a manner that replicates or produces an experience similar to smoking. </w:t>
      </w:r>
    </w:p>
    <w:p w14:paraId="7646836E" w14:textId="77777777" w:rsidR="00931F01" w:rsidRPr="00462AE0" w:rsidRDefault="00931F01" w:rsidP="00931F01">
      <w:pPr>
        <w:rPr>
          <w:rFonts w:cs="Arial"/>
        </w:rPr>
      </w:pPr>
      <w:r w:rsidRPr="00462AE0">
        <w:rPr>
          <w:rFonts w:cs="Arial"/>
        </w:rPr>
        <w:t xml:space="preserve">The substance is vaporised for administration by inhalation. The device component supports the vaporisation and inhalation. On occasion, the device component may simply comprise a housing unit and battery. The substance and device components may be sold individually, pre-assembled or as a combination kit. For simplicity, all components of a vape are referred to as a </w:t>
      </w:r>
      <w:r w:rsidRPr="00462AE0">
        <w:rPr>
          <w:rFonts w:cs="Arial"/>
          <w:b/>
          <w:bCs/>
        </w:rPr>
        <w:t>vape</w:t>
      </w:r>
      <w:r w:rsidRPr="00462AE0">
        <w:rPr>
          <w:rFonts w:cs="Arial"/>
        </w:rPr>
        <w:t xml:space="preserve"> throughout this document. </w:t>
      </w:r>
    </w:p>
    <w:p w14:paraId="0A2CFBDD" w14:textId="77777777" w:rsidR="00931F01" w:rsidRPr="00462AE0" w:rsidRDefault="00931F01" w:rsidP="00931F01">
      <w:pPr>
        <w:rPr>
          <w:rFonts w:cs="Arial"/>
        </w:rPr>
      </w:pPr>
      <w:r w:rsidRPr="00462AE0">
        <w:rPr>
          <w:rFonts w:cs="Arial"/>
        </w:rPr>
        <w:t xml:space="preserve">The consumed substance, which may also be known as </w:t>
      </w:r>
      <w:r w:rsidRPr="00462AE0">
        <w:t>e-liquids</w:t>
      </w:r>
      <w:r w:rsidRPr="00462AE0">
        <w:rPr>
          <w:rFonts w:cs="Arial"/>
        </w:rPr>
        <w:t xml:space="preserve">, vape liquids or e-juices, will be referred to as </w:t>
      </w:r>
      <w:r w:rsidRPr="00462AE0">
        <w:rPr>
          <w:b/>
        </w:rPr>
        <w:t>e-liquids</w:t>
      </w:r>
      <w:r w:rsidRPr="00462AE0">
        <w:rPr>
          <w:rFonts w:cs="Arial"/>
        </w:rPr>
        <w:t xml:space="preserve"> throughout this document, as they are generally, but not always, a liquid. An e-liquid may or may not contain nicotine. All vapes require e-liquids to enable vaping to occur. The e-liquid component can be added to a device component as a pod or cartridge, or as a refillable liquid. Some vapes, such as disposable vapes, are purchased with the e-liquids already present in the device component rather than needing to be added and are not designed to be refilled or reused. </w:t>
      </w:r>
    </w:p>
    <w:p w14:paraId="7AC70C26" w14:textId="77777777" w:rsidR="00931F01" w:rsidRPr="00462AE0" w:rsidRDefault="00931F01" w:rsidP="00931F01">
      <w:pPr>
        <w:rPr>
          <w:rFonts w:cs="Arial"/>
        </w:rPr>
      </w:pPr>
      <w:r w:rsidRPr="00462AE0">
        <w:rPr>
          <w:rFonts w:cs="Arial"/>
        </w:rPr>
        <w:t xml:space="preserve">The </w:t>
      </w:r>
      <w:r w:rsidRPr="00462AE0">
        <w:rPr>
          <w:rFonts w:cs="Arial"/>
          <w:b/>
        </w:rPr>
        <w:t>device</w:t>
      </w:r>
      <w:r w:rsidRPr="00462AE0">
        <w:rPr>
          <w:b/>
        </w:rPr>
        <w:t xml:space="preserve"> </w:t>
      </w:r>
      <w:r w:rsidRPr="00462AE0">
        <w:rPr>
          <w:rFonts w:cs="Arial"/>
        </w:rPr>
        <w:t>component is a device, or element of a device, designed to generate, release or assist, by electronic means, an aerosol or vapour for inhalation.</w:t>
      </w:r>
    </w:p>
    <w:p w14:paraId="4129F6DB" w14:textId="77777777" w:rsidR="00931F01" w:rsidRPr="00462AE0" w:rsidRDefault="00931F01" w:rsidP="00931F01">
      <w:pPr>
        <w:rPr>
          <w:rFonts w:cs="Arial"/>
        </w:rPr>
      </w:pPr>
      <w:r w:rsidRPr="00462AE0">
        <w:rPr>
          <w:rFonts w:cs="Arial"/>
        </w:rPr>
        <w:t xml:space="preserve">Vapes come in two main configurations: </w:t>
      </w:r>
    </w:p>
    <w:p w14:paraId="4A4619A8" w14:textId="48CD2C4F" w:rsidR="003D2764" w:rsidRPr="00462AE0" w:rsidRDefault="00CE2B62" w:rsidP="00AB7A52">
      <w:pPr>
        <w:pStyle w:val="Bullet1"/>
        <w:ind w:left="567"/>
      </w:pPr>
      <w:r w:rsidRPr="00462AE0">
        <w:t>A</w:t>
      </w:r>
      <w:r w:rsidR="003D2764" w:rsidRPr="00462AE0">
        <w:t xml:space="preserve"> </w:t>
      </w:r>
      <w:r w:rsidR="003D2764" w:rsidRPr="00462AE0">
        <w:rPr>
          <w:b/>
        </w:rPr>
        <w:t>disposable single use</w:t>
      </w:r>
      <w:r w:rsidR="003D2764" w:rsidRPr="00462AE0">
        <w:t xml:space="preserve"> (closed system) vape</w:t>
      </w:r>
      <w:r w:rsidR="003D2764" w:rsidRPr="00462AE0">
        <w:rPr>
          <w:rStyle w:val="FootnoteReference"/>
          <w:rFonts w:eastAsiaTheme="minorEastAsia" w:cs="Arial"/>
        </w:rPr>
        <w:t xml:space="preserve"> </w:t>
      </w:r>
      <w:r w:rsidR="003D2764" w:rsidRPr="00462AE0">
        <w:rPr>
          <w:rFonts w:eastAsiaTheme="minorEastAsia"/>
        </w:rPr>
        <w:t xml:space="preserve">that </w:t>
      </w:r>
      <w:r w:rsidR="003D2764" w:rsidRPr="00462AE0">
        <w:t>is pre-filled with a</w:t>
      </w:r>
      <w:r w:rsidR="00015BBB">
        <w:t>n</w:t>
      </w:r>
      <w:r w:rsidR="003D2764" w:rsidRPr="00462AE0">
        <w:t xml:space="preserve"> e-liquid, cannot be refilled and is disposed of once the vaping substance</w:t>
      </w:r>
      <w:r w:rsidR="003D2764" w:rsidRPr="00462AE0" w:rsidDel="2B73255B">
        <w:t xml:space="preserve"> </w:t>
      </w:r>
      <w:r w:rsidR="003D2764" w:rsidRPr="00462AE0">
        <w:t>runs out.</w:t>
      </w:r>
    </w:p>
    <w:p w14:paraId="7E530E61" w14:textId="2EE71830" w:rsidR="003D2764" w:rsidRPr="00462AE0" w:rsidRDefault="00CE2B62" w:rsidP="00AB7A52">
      <w:pPr>
        <w:pStyle w:val="Bullet1"/>
        <w:ind w:left="567"/>
      </w:pPr>
      <w:r w:rsidRPr="00462AE0">
        <w:t>A</w:t>
      </w:r>
      <w:r w:rsidR="003D2764" w:rsidRPr="00462AE0">
        <w:t xml:space="preserve"> </w:t>
      </w:r>
      <w:r w:rsidR="003D2764" w:rsidRPr="00462AE0">
        <w:rPr>
          <w:b/>
        </w:rPr>
        <w:t>refillable/reusable</w:t>
      </w:r>
      <w:r w:rsidR="003D2764" w:rsidRPr="00462AE0">
        <w:rPr>
          <w:rStyle w:val="FootnoteReference"/>
          <w:rFonts w:cs="Arial"/>
          <w:b/>
          <w:bCs/>
        </w:rPr>
        <w:footnoteReference w:id="6"/>
      </w:r>
      <w:r w:rsidR="003D2764" w:rsidRPr="00462AE0">
        <w:t xml:space="preserve"> vape that may be refilled or reused multiple times, with various e-liquids pods, cartridges or solutions sold separately to the device; these vapes are intended to be recharged and reused.</w:t>
      </w:r>
    </w:p>
    <w:p w14:paraId="1AA6AF35" w14:textId="77777777" w:rsidR="00931F01" w:rsidRPr="00462AE0" w:rsidRDefault="00931F01" w:rsidP="00931F01">
      <w:r w:rsidRPr="00462AE0">
        <w:rPr>
          <w:rFonts w:cs="Arial"/>
        </w:rPr>
        <w:t>For the purposes of this paper</w:t>
      </w:r>
      <w:r w:rsidRPr="00462AE0">
        <w:rPr>
          <w:rFonts w:cs="Arial"/>
          <w:b/>
        </w:rPr>
        <w:t xml:space="preserve">, </w:t>
      </w:r>
      <w:r w:rsidRPr="00462AE0">
        <w:rPr>
          <w:rFonts w:cs="Arial"/>
        </w:rPr>
        <w:t xml:space="preserve">references will also be made to </w:t>
      </w:r>
      <w:r w:rsidRPr="00462AE0">
        <w:rPr>
          <w:rFonts w:cs="Arial"/>
          <w:b/>
        </w:rPr>
        <w:t>therapeutic vapes</w:t>
      </w:r>
      <w:r w:rsidRPr="00462AE0">
        <w:rPr>
          <w:rFonts w:cs="Arial"/>
        </w:rPr>
        <w:t xml:space="preserve">. </w:t>
      </w:r>
      <w:r w:rsidRPr="00462AE0">
        <w:rPr>
          <w:rFonts w:cs="Arial"/>
          <w:b/>
        </w:rPr>
        <w:t>Therapeutic vapes</w:t>
      </w:r>
      <w:r w:rsidRPr="00462AE0">
        <w:rPr>
          <w:rFonts w:cs="Arial"/>
        </w:rPr>
        <w:t xml:space="preserve"> are those that have, or are claimed to have, a therapeutic use, such as smoking cessation or treatment of nicotine addiction, irrespective of nicotine content.</w:t>
      </w:r>
    </w:p>
    <w:p w14:paraId="079C4200" w14:textId="1F6B8158" w:rsidR="00931F01" w:rsidRPr="00462AE0" w:rsidRDefault="00931F01" w:rsidP="00931F01">
      <w:r w:rsidRPr="00462AE0">
        <w:t xml:space="preserve">A vape does not include </w:t>
      </w:r>
      <w:r w:rsidRPr="00462AE0">
        <w:rPr>
          <w:b/>
          <w:bCs/>
        </w:rPr>
        <w:t>nicotine replacement therapy (NRT) products</w:t>
      </w:r>
      <w:r w:rsidRPr="00462AE0">
        <w:t>, such as patches, gum, lozenges, mouth spray and inhalators, and these will not be covered in this document. Nor does it include other nicotine-containing products not intended for use with a vape, such as cigarettes</w:t>
      </w:r>
      <w:r w:rsidR="00462AE0">
        <w:t>,</w:t>
      </w:r>
      <w:r w:rsidRPr="00462AE0">
        <w:t xml:space="preserve"> chewing tobacco, nicotine pouches or snuff.</w:t>
      </w:r>
    </w:p>
    <w:p w14:paraId="009B3009" w14:textId="5333CE64" w:rsidR="0027614E" w:rsidRPr="00191AA1" w:rsidRDefault="0027614E" w:rsidP="00774406">
      <w:pPr>
        <w:pStyle w:val="Heading3"/>
      </w:pPr>
      <w:bookmarkStart w:id="18" w:name="_Toc144463260"/>
      <w:bookmarkStart w:id="19" w:name="_Toc146634898"/>
      <w:bookmarkStart w:id="20" w:name="_Toc151040313"/>
      <w:r w:rsidRPr="00191AA1">
        <w:t>Accessing vapes in Australia</w:t>
      </w:r>
      <w:bookmarkEnd w:id="18"/>
      <w:bookmarkEnd w:id="19"/>
      <w:bookmarkEnd w:id="20"/>
    </w:p>
    <w:p w14:paraId="07486BB7" w14:textId="77777777" w:rsidR="00931F01" w:rsidRPr="00462AE0" w:rsidRDefault="00931F01" w:rsidP="00931F01">
      <w:r w:rsidRPr="00462AE0">
        <w:t xml:space="preserve">The regulation of vapes is shared between the Commonwealth, state and territory governments and draws on laws that apply to poisons, therapeutic goods, tobacco products, consumer goods and industrial chemicals. </w:t>
      </w:r>
    </w:p>
    <w:p w14:paraId="0058F392" w14:textId="77777777" w:rsidR="00931F01" w:rsidRPr="00462AE0" w:rsidRDefault="00931F01" w:rsidP="00931F01">
      <w:r w:rsidRPr="00462AE0">
        <w:t>Current legislation relating to nicotine vapes is designed to prevent their importation, manufacture, and supply other than for the purpose of smoking cessation under medical supervision with a prescription.</w:t>
      </w:r>
    </w:p>
    <w:p w14:paraId="6F84E255" w14:textId="77777777" w:rsidR="00931F01" w:rsidRPr="00462AE0" w:rsidRDefault="00931F01" w:rsidP="00931F01">
      <w:r w:rsidRPr="00462AE0">
        <w:lastRenderedPageBreak/>
        <w:t>Nicotine vapes</w:t>
      </w:r>
      <w:r w:rsidRPr="00462AE0" w:rsidDel="46E7F0E1">
        <w:t xml:space="preserve"> </w:t>
      </w:r>
      <w:r w:rsidRPr="00462AE0">
        <w:t>must only be lawfully dispensed in Australia by pharmacists. It is illegal for retailers such as tobacconists, vape shops and convenience stores to sell nicotine vapes to consumers, even with a prescription.</w:t>
      </w:r>
    </w:p>
    <w:p w14:paraId="57EBBCDB" w14:textId="77777777" w:rsidR="00931F01" w:rsidRPr="00462AE0" w:rsidRDefault="00931F01" w:rsidP="00931F01">
      <w:pPr>
        <w:tabs>
          <w:tab w:val="left" w:pos="993"/>
        </w:tabs>
      </w:pPr>
      <w:r w:rsidRPr="00462AE0">
        <w:t>Vapes that do not contain nicotine are generally subject to limited regulation. Outside the Australian Consumer Law, these goods are not generally regulated at the Commonwealth level unless represented to be for therapeutic use. At the state and territory level, there is some regulation of vapes through tobacco laws, but this is limited and inconsistent. The device components of vapes are also currently subject to limited regulation.</w:t>
      </w:r>
    </w:p>
    <w:p w14:paraId="18052FBD" w14:textId="55584F40" w:rsidR="0027614E" w:rsidRPr="00462AE0" w:rsidRDefault="0027614E" w:rsidP="00774406">
      <w:pPr>
        <w:pStyle w:val="Heading4"/>
      </w:pPr>
      <w:bookmarkStart w:id="21" w:name="_Toc114129987"/>
      <w:bookmarkStart w:id="22" w:name="_Toc144463261"/>
      <w:bookmarkStart w:id="23" w:name="_Toc151040314"/>
      <w:r w:rsidRPr="00774406">
        <w:t>Commonwealth</w:t>
      </w:r>
      <w:r w:rsidRPr="00462AE0">
        <w:t xml:space="preserve"> legislation</w:t>
      </w:r>
      <w:bookmarkEnd w:id="21"/>
      <w:bookmarkEnd w:id="22"/>
      <w:bookmarkEnd w:id="23"/>
    </w:p>
    <w:p w14:paraId="50FFBB6F" w14:textId="77777777" w:rsidR="00931F01" w:rsidRPr="00462AE0" w:rsidRDefault="00931F01" w:rsidP="00931F01">
      <w:bookmarkStart w:id="24" w:name="_Hlk143595822"/>
      <w:r w:rsidRPr="00462AE0">
        <w:t xml:space="preserve">At the Commonwealth level, nicotine vapes are regulated as medicines under the </w:t>
      </w:r>
      <w:r w:rsidRPr="00462AE0">
        <w:rPr>
          <w:i/>
          <w:iCs/>
        </w:rPr>
        <w:t>Therapeutic Goods Act 1989</w:t>
      </w:r>
      <w:r w:rsidRPr="00462AE0">
        <w:t xml:space="preserve"> (</w:t>
      </w:r>
      <w:r w:rsidRPr="00462AE0">
        <w:rPr>
          <w:b/>
          <w:bCs/>
        </w:rPr>
        <w:t>TG Act</w:t>
      </w:r>
      <w:r w:rsidRPr="00462AE0">
        <w:t>). This means that vapes cannot be imported into, manufactured in or supplied in Australia, unless registered in the Australian Register of Therapeutic Goods (</w:t>
      </w:r>
      <w:r w:rsidRPr="00462AE0">
        <w:rPr>
          <w:b/>
          <w:bCs/>
        </w:rPr>
        <w:t>ARTG</w:t>
      </w:r>
      <w:r w:rsidRPr="00462AE0">
        <w:t xml:space="preserve">), or a lawful exception to registration applies. </w:t>
      </w:r>
    </w:p>
    <w:p w14:paraId="7DC673ED" w14:textId="0562A315" w:rsidR="00931F01" w:rsidRPr="00462AE0" w:rsidRDefault="00931F01" w:rsidP="00931F01">
      <w:r w:rsidRPr="00462AE0">
        <w:t>There are no nicotine vapes currently registered on the ARTG. Instead, nicotine vapes can be supplied to patients with a prescription as ‘</w:t>
      </w:r>
      <w:r w:rsidRPr="00462AE0">
        <w:rPr>
          <w:b/>
          <w:bCs/>
        </w:rPr>
        <w:t>unapproved therapeutic goods</w:t>
      </w:r>
      <w:r w:rsidRPr="00462AE0">
        <w:t xml:space="preserve">’. This means that nicotine vapes sold for a therapeutic purpose have not been assessed for safety, quality and efficacy by the </w:t>
      </w:r>
      <w:r w:rsidRPr="00430A3A">
        <w:t>TGA</w:t>
      </w:r>
      <w:r w:rsidRPr="00462AE0">
        <w:t>.</w:t>
      </w:r>
      <w:r w:rsidRPr="00462AE0">
        <w:rPr>
          <w:rFonts w:cs="Arial"/>
        </w:rPr>
        <w:t xml:space="preserve"> Nevertheless, such nicotine vapes must still currently meet minimum quality and safety requirements specified under the standard that came into force on 1 October 2021, </w:t>
      </w:r>
      <w:hyperlink r:id="rId14">
        <w:r w:rsidRPr="00746795">
          <w:rPr>
            <w:rStyle w:val="Hyperlink"/>
            <w:rFonts w:eastAsia="Cambria" w:cs="Arial"/>
            <w:i/>
            <w:iCs/>
          </w:rPr>
          <w:t>Therapeutic Goods (Standard for Nicotine Vaping Product) (TGO 110) Order 2021</w:t>
        </w:r>
      </w:hyperlink>
      <w:r w:rsidRPr="00462AE0">
        <w:rPr>
          <w:rStyle w:val="Hyperlink"/>
          <w:rFonts w:cs="Arial"/>
          <w:color w:val="auto"/>
        </w:rPr>
        <w:t xml:space="preserve"> </w:t>
      </w:r>
      <w:r w:rsidRPr="00462AE0">
        <w:rPr>
          <w:rFonts w:cs="Arial"/>
        </w:rPr>
        <w:t>(</w:t>
      </w:r>
      <w:r w:rsidRPr="00462AE0">
        <w:rPr>
          <w:rFonts w:cs="Arial"/>
          <w:b/>
          <w:bCs/>
        </w:rPr>
        <w:t>TGO 110</w:t>
      </w:r>
      <w:r w:rsidRPr="00462AE0">
        <w:rPr>
          <w:rFonts w:cs="Arial"/>
        </w:rPr>
        <w:t>). There is, however, no pre-market notification or assessment process to certify or verify compliance with TGO 110.</w:t>
      </w:r>
    </w:p>
    <w:p w14:paraId="68B65129" w14:textId="3EB17D4B" w:rsidR="00C50BBD" w:rsidRPr="00462AE0" w:rsidRDefault="00C06671" w:rsidP="00C50BBD">
      <w:pPr>
        <w:rPr>
          <w:rFonts w:cs="Arial"/>
        </w:rPr>
      </w:pPr>
      <w:r w:rsidRPr="00462AE0">
        <w:rPr>
          <w:rFonts w:cs="Arial"/>
        </w:rPr>
        <w:t>Nicotine (and other therapeutic)</w:t>
      </w:r>
      <w:r w:rsidR="28F4E028" w:rsidRPr="00462AE0">
        <w:rPr>
          <w:rFonts w:cs="Arial"/>
        </w:rPr>
        <w:t xml:space="preserve"> vapes </w:t>
      </w:r>
      <w:r w:rsidR="41CC92CC" w:rsidRPr="00462AE0">
        <w:rPr>
          <w:rFonts w:cs="Arial"/>
        </w:rPr>
        <w:t xml:space="preserve">may be accessed with a prescription </w:t>
      </w:r>
      <w:r w:rsidR="00490248" w:rsidRPr="00462AE0">
        <w:rPr>
          <w:rFonts w:cs="Arial"/>
        </w:rPr>
        <w:t xml:space="preserve">provided </w:t>
      </w:r>
      <w:r w:rsidR="41CC92CC" w:rsidRPr="00462AE0">
        <w:rPr>
          <w:rFonts w:cs="Arial"/>
        </w:rPr>
        <w:t xml:space="preserve">via </w:t>
      </w:r>
      <w:r w:rsidR="2073B2B6" w:rsidRPr="00462AE0">
        <w:rPr>
          <w:rFonts w:cs="Arial"/>
        </w:rPr>
        <w:t>three</w:t>
      </w:r>
      <w:r w:rsidR="41CC92CC" w:rsidRPr="00462AE0">
        <w:rPr>
          <w:rFonts w:cs="Arial"/>
        </w:rPr>
        <w:t xml:space="preserve"> main</w:t>
      </w:r>
      <w:r w:rsidR="00C50BBD" w:rsidRPr="00462AE0">
        <w:rPr>
          <w:rStyle w:val="FootnoteReference"/>
          <w:rFonts w:cs="Arial"/>
        </w:rPr>
        <w:footnoteReference w:id="7"/>
      </w:r>
      <w:r w:rsidR="41CC92CC" w:rsidRPr="00462AE0">
        <w:rPr>
          <w:rFonts w:cs="Arial"/>
        </w:rPr>
        <w:t xml:space="preserve"> </w:t>
      </w:r>
      <w:r w:rsidR="00931F01" w:rsidRPr="00462AE0">
        <w:rPr>
          <w:rFonts w:cs="Arial"/>
        </w:rPr>
        <w:t>established access pathways for unapproved goods under the TG Act. Under these pathways, unregistered vapes can be supplied:</w:t>
      </w:r>
    </w:p>
    <w:p w14:paraId="667313F5" w14:textId="4EE6E278" w:rsidR="00931F01" w:rsidRPr="00511E93" w:rsidRDefault="007364C4" w:rsidP="00467EDD">
      <w:pPr>
        <w:pStyle w:val="Bullet1"/>
        <w:numPr>
          <w:ilvl w:val="0"/>
          <w:numId w:val="122"/>
        </w:numPr>
      </w:pPr>
      <w:hyperlink r:id="rId15">
        <w:r w:rsidR="00931F01" w:rsidRPr="00511E93">
          <w:rPr>
            <w:rStyle w:val="Hyperlink"/>
            <w:rFonts w:cs="Arial"/>
            <w:b/>
            <w:color w:val="auto"/>
            <w:u w:val="none"/>
          </w:rPr>
          <w:t>Personal Importation Scheme</w:t>
        </w:r>
      </w:hyperlink>
      <w:r w:rsidR="00931F01" w:rsidRPr="00511E93">
        <w:t xml:space="preserve">: under this scheme, a person with a prescription from an Australian medical practitioner can directly import up to 3 months’ supply of </w:t>
      </w:r>
      <w:r w:rsidR="00404770">
        <w:t>nicotine vapes</w:t>
      </w:r>
      <w:r w:rsidR="00404770" w:rsidRPr="00511E93">
        <w:t xml:space="preserve"> </w:t>
      </w:r>
      <w:r w:rsidR="00931F01" w:rsidRPr="00511E93">
        <w:t xml:space="preserve">for their own personal use. A person may also import nicotine vapes for immediate family members who have a prescription. </w:t>
      </w:r>
    </w:p>
    <w:p w14:paraId="67D19A63" w14:textId="77777777" w:rsidR="00931F01" w:rsidRPr="00511E93" w:rsidRDefault="007364C4" w:rsidP="00467EDD">
      <w:pPr>
        <w:pStyle w:val="Bullet1"/>
        <w:numPr>
          <w:ilvl w:val="0"/>
          <w:numId w:val="122"/>
        </w:numPr>
        <w:rPr>
          <w:rFonts w:eastAsia="Calibri"/>
        </w:rPr>
      </w:pPr>
      <w:hyperlink r:id="rId16">
        <w:r w:rsidR="00931F01" w:rsidRPr="00511E93">
          <w:rPr>
            <w:rStyle w:val="Hyperlink"/>
            <w:rFonts w:cs="Arial"/>
            <w:b/>
            <w:color w:val="auto"/>
            <w:u w:val="none"/>
          </w:rPr>
          <w:t>Authorised Prescriber Scheme</w:t>
        </w:r>
      </w:hyperlink>
      <w:r w:rsidR="00931F01" w:rsidRPr="00511E93">
        <w:rPr>
          <w:rStyle w:val="Hyperlink"/>
          <w:b/>
          <w:color w:val="auto"/>
          <w:u w:val="none"/>
        </w:rPr>
        <w:t xml:space="preserve"> (AP scheme): </w:t>
      </w:r>
      <w:r w:rsidR="00931F01" w:rsidRPr="00511E93">
        <w:rPr>
          <w:rStyle w:val="Hyperlink"/>
          <w:color w:val="auto"/>
          <w:u w:val="none"/>
        </w:rPr>
        <w:t>under this scheme, a medical practitioner may apply to the TGA for approval to s</w:t>
      </w:r>
      <w:r w:rsidR="00931F01" w:rsidRPr="00511E93">
        <w:t>upply nicotine vapes to certain patients as an aid to stop smoking.</w:t>
      </w:r>
    </w:p>
    <w:p w14:paraId="6F1CA686" w14:textId="5E5454FA" w:rsidR="00931F01" w:rsidRPr="008C4CC3" w:rsidRDefault="007364C4" w:rsidP="00467EDD">
      <w:pPr>
        <w:pStyle w:val="Bullet1"/>
        <w:numPr>
          <w:ilvl w:val="0"/>
          <w:numId w:val="122"/>
        </w:numPr>
        <w:rPr>
          <w:rStyle w:val="Hyperlink"/>
          <w:bCs/>
          <w:color w:val="auto"/>
          <w:u w:val="none"/>
        </w:rPr>
      </w:pPr>
      <w:hyperlink r:id="rId17" w:anchor="application-pathway-category-b">
        <w:r w:rsidR="00931F01" w:rsidRPr="00511E93">
          <w:rPr>
            <w:rStyle w:val="Hyperlink"/>
            <w:rFonts w:cs="Arial"/>
            <w:b/>
            <w:color w:val="auto"/>
            <w:u w:val="none"/>
          </w:rPr>
          <w:t xml:space="preserve">Special Access Scheme </w:t>
        </w:r>
        <w:r w:rsidR="00622635">
          <w:rPr>
            <w:rStyle w:val="Hyperlink"/>
            <w:rFonts w:cs="Arial"/>
            <w:b/>
            <w:color w:val="auto"/>
            <w:u w:val="none"/>
          </w:rPr>
          <w:t>–</w:t>
        </w:r>
        <w:r w:rsidR="00931F01" w:rsidRPr="00511E93">
          <w:rPr>
            <w:rStyle w:val="Hyperlink"/>
            <w:rFonts w:cs="Arial"/>
            <w:b/>
            <w:color w:val="auto"/>
            <w:u w:val="none"/>
          </w:rPr>
          <w:t xml:space="preserve"> Category B</w:t>
        </w:r>
      </w:hyperlink>
      <w:r w:rsidR="00931F01" w:rsidRPr="00511E93">
        <w:t xml:space="preserve"> (SAS B): under this scheme, a health practitioner may apply to the TGA to supply nicotine vapes to a single patient on a case-by-case basis.</w:t>
      </w:r>
    </w:p>
    <w:p w14:paraId="392D455C" w14:textId="77777777" w:rsidR="00931F01" w:rsidRPr="00462AE0" w:rsidRDefault="00931F01" w:rsidP="00931F01">
      <w:pPr>
        <w:rPr>
          <w:rFonts w:cs="Arial"/>
        </w:rPr>
      </w:pPr>
      <w:r w:rsidRPr="00462AE0">
        <w:rPr>
          <w:rFonts w:cs="Arial"/>
        </w:rPr>
        <w:t xml:space="preserve">Zero-nicotine vapes are not currently regulated under the TG Act, unless represented to be for therapeutic use. </w:t>
      </w:r>
    </w:p>
    <w:p w14:paraId="18CABCCE" w14:textId="77777777" w:rsidR="00931F01" w:rsidRPr="00462AE0" w:rsidRDefault="00931F01" w:rsidP="00931F01">
      <w:pPr>
        <w:rPr>
          <w:rFonts w:cs="Arial"/>
        </w:rPr>
      </w:pPr>
      <w:r w:rsidRPr="00462AE0">
        <w:rPr>
          <w:rFonts w:cs="Arial"/>
        </w:rPr>
        <w:t xml:space="preserve">Vaping devices are currently excluded from regulation under the TG Act unless they are intended exclusively for the vaporisation and administration by inhalation of a medicine. </w:t>
      </w:r>
    </w:p>
    <w:p w14:paraId="38A3ED1C" w14:textId="02AF3EC6" w:rsidR="0027614E" w:rsidRPr="001619D5" w:rsidRDefault="0027614E" w:rsidP="00E4333F">
      <w:pPr>
        <w:pStyle w:val="Heading4"/>
      </w:pPr>
      <w:bookmarkStart w:id="25" w:name="_Toc114129988"/>
      <w:bookmarkStart w:id="26" w:name="_Toc144463262"/>
      <w:bookmarkStart w:id="27" w:name="_Toc151040315"/>
      <w:bookmarkEnd w:id="24"/>
      <w:r w:rsidRPr="001619D5">
        <w:t>State and territory legislation</w:t>
      </w:r>
      <w:bookmarkEnd w:id="25"/>
      <w:bookmarkEnd w:id="26"/>
      <w:bookmarkEnd w:id="27"/>
    </w:p>
    <w:p w14:paraId="3F8829C8" w14:textId="77777777" w:rsidR="00931F01" w:rsidRPr="00462AE0" w:rsidRDefault="00931F01" w:rsidP="00931F01">
      <w:r w:rsidRPr="00462AE0">
        <w:t xml:space="preserve">For many years, the states and territories have restricted the supply and/or use of nicotine vapes. It is an offence in all states and territories to supply nicotine vapes to consumers without a prescription. In most Australian jurisdictions, it is similarly an offence to either possess or use a nicotine vape without a prescription. </w:t>
      </w:r>
    </w:p>
    <w:p w14:paraId="65B7BE50" w14:textId="7450C331" w:rsidR="00931F01" w:rsidRPr="00462AE0" w:rsidRDefault="00931F01" w:rsidP="00774406">
      <w:r w:rsidRPr="00462AE0">
        <w:t xml:space="preserve">Retail and wholesale supply of nicotine vapes is currently controlled by state and territory legislation. Nicotine vapes contain Schedule 4 substances and may therefore only be lawfully supplied by pharmacists to patients with a prescription. Nicotine vapes cannot be supplied by vape shops, </w:t>
      </w:r>
      <w:r w:rsidRPr="00462AE0">
        <w:lastRenderedPageBreak/>
        <w:t>convenience stores and the like. Licensing requirements also apply to the wholesale supply of nicotine vapes.</w:t>
      </w:r>
    </w:p>
    <w:p w14:paraId="550CE90A" w14:textId="77777777" w:rsidR="00931F01" w:rsidRPr="00462AE0" w:rsidRDefault="00931F01" w:rsidP="00774406">
      <w:r w:rsidRPr="00462AE0">
        <w:t xml:space="preserve">All states and territories restrict the supply of vapes that do not contain nicotine, through tobacco control laws and/or public health laws. All ban the supply of vapes to minors and the use of vapes in smokefree areas. All regulate the advertising, display and marketing of vapes. Most states and territories (except Victoria and Queensland) require either a licence or a retailer identification number for retail sale. The controls in Western Australia are more extensive than other jurisdictions. </w:t>
      </w:r>
      <w:r w:rsidRPr="00462AE0">
        <w:rPr>
          <w:rFonts w:cs="Arial"/>
        </w:rPr>
        <w:t xml:space="preserve">The </w:t>
      </w:r>
      <w:hyperlink r:id="rId18">
        <w:r w:rsidRPr="00746795">
          <w:rPr>
            <w:rStyle w:val="Hyperlink"/>
            <w:rFonts w:eastAsia="Cambria" w:cs="Arial"/>
            <w:i/>
            <w:iCs/>
          </w:rPr>
          <w:t>Tobacco Products Control Act 1986</w:t>
        </w:r>
      </w:hyperlink>
      <w:r w:rsidRPr="00462AE0">
        <w:rPr>
          <w:rFonts w:cs="Arial"/>
          <w:i/>
          <w:iCs/>
        </w:rPr>
        <w:t xml:space="preserve"> </w:t>
      </w:r>
      <w:r w:rsidRPr="00462AE0">
        <w:rPr>
          <w:rFonts w:cs="Arial"/>
        </w:rPr>
        <w:t>(WA</w:t>
      </w:r>
      <w:r w:rsidRPr="00462AE0">
        <w:t>) makes it an offence to sell any food, toy or other product that is designed to resemble a tobacco product or package or is in packaging that is designed to resemble a tobacco product or package, regardless of whether it contains nicotine. Western Australia also permits registered pharmacists to supply nicotine vapes as part of a medically supervised smoking cessation program.</w:t>
      </w:r>
    </w:p>
    <w:p w14:paraId="74F7BD8E" w14:textId="0B57C69D" w:rsidR="00293354" w:rsidRPr="00462AE0" w:rsidRDefault="00EF32A0" w:rsidP="00774406">
      <w:pPr>
        <w:pStyle w:val="Heading3"/>
      </w:pPr>
      <w:bookmarkStart w:id="28" w:name="_Toc146634899"/>
      <w:bookmarkStart w:id="29" w:name="_Toc151040316"/>
      <w:r w:rsidRPr="00462AE0">
        <w:t xml:space="preserve">Overview of </w:t>
      </w:r>
      <w:r w:rsidR="00F35459" w:rsidRPr="00462AE0">
        <w:t>the market for</w:t>
      </w:r>
      <w:r w:rsidR="00E5654A" w:rsidRPr="00462AE0">
        <w:t xml:space="preserve"> </w:t>
      </w:r>
      <w:r w:rsidR="008A1474" w:rsidRPr="00462AE0">
        <w:t>vapes</w:t>
      </w:r>
      <w:bookmarkEnd w:id="28"/>
      <w:bookmarkEnd w:id="29"/>
    </w:p>
    <w:p w14:paraId="2FE8AE3C" w14:textId="77777777" w:rsidR="00426085" w:rsidRPr="00462AE0" w:rsidRDefault="00426085" w:rsidP="00426085">
      <w:r w:rsidRPr="00462AE0">
        <w:t>In Australia, the supply of vapes is complex, but only a low percentage of the supply of nicotine vapes is lawful. The supply pathways can be broadly simplified into the following categories:</w:t>
      </w:r>
    </w:p>
    <w:p w14:paraId="0C70EFF8" w14:textId="7233FC40" w:rsidR="00426085" w:rsidRPr="00462AE0" w:rsidRDefault="00426085" w:rsidP="00467EDD">
      <w:pPr>
        <w:pStyle w:val="ListParagraph"/>
        <w:numPr>
          <w:ilvl w:val="0"/>
          <w:numId w:val="71"/>
        </w:numPr>
      </w:pPr>
      <w:r w:rsidRPr="00462AE0">
        <w:t>Legal supply of nicotine vapes with a prescription</w:t>
      </w:r>
      <w:r w:rsidR="00C23E58">
        <w:t xml:space="preserve"> </w:t>
      </w:r>
      <w:r w:rsidR="00FC6DD6" w:rsidRPr="00063DFD">
        <w:rPr>
          <w:color w:val="000000"/>
          <w:szCs w:val="20"/>
        </w:rPr>
        <w:t>–</w:t>
      </w:r>
      <w:r w:rsidRPr="00462AE0">
        <w:t xml:space="preserve"> with a prescription </w:t>
      </w:r>
      <w:r w:rsidR="00847176">
        <w:t>dispensed</w:t>
      </w:r>
      <w:r w:rsidRPr="00462AE0">
        <w:t xml:space="preserve"> through lawful avenues such as pharmacies in Australia or imported through the </w:t>
      </w:r>
      <w:r w:rsidR="001A6215" w:rsidRPr="00C54D80">
        <w:t>Personal Importation Scheme</w:t>
      </w:r>
      <w:r w:rsidRPr="00462AE0">
        <w:t>.</w:t>
      </w:r>
    </w:p>
    <w:p w14:paraId="63B2AB19" w14:textId="4F61137E" w:rsidR="00426085" w:rsidRPr="00462AE0" w:rsidRDefault="00426085" w:rsidP="00467EDD">
      <w:pPr>
        <w:pStyle w:val="ListParagraph"/>
        <w:numPr>
          <w:ilvl w:val="0"/>
          <w:numId w:val="71"/>
        </w:numPr>
      </w:pPr>
      <w:r w:rsidRPr="00462AE0">
        <w:t>Illegal supply of nicotine vapes</w:t>
      </w:r>
      <w:r w:rsidR="00666A91">
        <w:t xml:space="preserve"> </w:t>
      </w:r>
      <w:r w:rsidR="00FC6DD6" w:rsidRPr="00063DFD">
        <w:rPr>
          <w:color w:val="000000"/>
          <w:szCs w:val="20"/>
        </w:rPr>
        <w:t>–</w:t>
      </w:r>
      <w:r w:rsidRPr="00462AE0">
        <w:t xml:space="preserve"> with or without a prescription through a vape store, convenience store or an online store in Australia that is not a pharmacy, or supply without a prescription from an Australian pharmacy or overseas online retailer.</w:t>
      </w:r>
    </w:p>
    <w:p w14:paraId="585ACC27" w14:textId="1FE3CE9C" w:rsidR="00426085" w:rsidRPr="00462AE0" w:rsidRDefault="00426085" w:rsidP="00467EDD">
      <w:pPr>
        <w:pStyle w:val="ListParagraph"/>
        <w:numPr>
          <w:ilvl w:val="0"/>
          <w:numId w:val="71"/>
        </w:numPr>
      </w:pPr>
      <w:r w:rsidRPr="00462AE0">
        <w:t xml:space="preserve">Supply of </w:t>
      </w:r>
      <w:r w:rsidR="00467EDD">
        <w:t>zero-nicotine</w:t>
      </w:r>
      <w:r w:rsidRPr="00462AE0">
        <w:t xml:space="preserve"> vapes from within Australia or through importation.</w:t>
      </w:r>
    </w:p>
    <w:p w14:paraId="2E56C77D" w14:textId="69A3FA84" w:rsidR="00426085" w:rsidRPr="00462AE0" w:rsidRDefault="00426085" w:rsidP="00426085">
      <w:r w:rsidRPr="00462AE0">
        <w:t xml:space="preserve">There is very limited data available on the relative proportions and volumes of vapes being supplied through each of these categories. This is partially due to the concealment of nicotine in a large proportion of vapes currently supplied in Australia, confounding the ability to separate the supply levels of nicotine and </w:t>
      </w:r>
      <w:r w:rsidR="00467EDD">
        <w:t>zero</w:t>
      </w:r>
      <w:r w:rsidRPr="00462AE0">
        <w:t>-nicotine vapes.</w:t>
      </w:r>
    </w:p>
    <w:p w14:paraId="522FDFA6" w14:textId="77777777" w:rsidR="00426085" w:rsidRPr="00462AE0" w:rsidRDefault="00426085" w:rsidP="00426085">
      <w:r w:rsidRPr="00462AE0">
        <w:t xml:space="preserve">The scale of the problem is highlighted in recent surveys: </w:t>
      </w:r>
    </w:p>
    <w:p w14:paraId="5472FB0E" w14:textId="77777777" w:rsidR="00426085" w:rsidRPr="008C4CC3" w:rsidRDefault="00426085" w:rsidP="00D12EFD">
      <w:pPr>
        <w:pStyle w:val="Bullet1"/>
        <w:numPr>
          <w:ilvl w:val="0"/>
          <w:numId w:val="22"/>
        </w:numPr>
      </w:pPr>
      <w:r w:rsidRPr="008C4CC3">
        <w:t>Roy Morgan survey (2023) found there are now an estimated 1.3 million adult users of vapes in Australia, and only 8% of all Australian vapers have a prescription, implying 92% of vapes fall within categories 2 and 3 above.</w:t>
      </w:r>
      <w:r w:rsidRPr="008C4CC3">
        <w:rPr>
          <w:rStyle w:val="FootnoteReference"/>
        </w:rPr>
        <w:footnoteReference w:id="8"/>
      </w:r>
    </w:p>
    <w:p w14:paraId="5A162CF0" w14:textId="77777777" w:rsidR="00426085" w:rsidRPr="008C4CC3" w:rsidRDefault="00426085" w:rsidP="00D12EFD">
      <w:pPr>
        <w:pStyle w:val="Bullet1"/>
        <w:numPr>
          <w:ilvl w:val="0"/>
          <w:numId w:val="22"/>
        </w:numPr>
      </w:pPr>
      <w:r w:rsidRPr="008C4CC3">
        <w:t>The National Illicit Drug Reporting System survey in 2022 reported even lower proportions in category 1, with only 3% of vapers having a nicotine prescription.</w:t>
      </w:r>
      <w:r w:rsidRPr="008C4CC3">
        <w:rPr>
          <w:rStyle w:val="FootnoteReference"/>
        </w:rPr>
        <w:footnoteReference w:id="9"/>
      </w:r>
    </w:p>
    <w:p w14:paraId="1FC6DFC3" w14:textId="03702E06" w:rsidR="00426085" w:rsidRPr="008C4CC3" w:rsidRDefault="00426085" w:rsidP="00D12EFD">
      <w:pPr>
        <w:pStyle w:val="Bullet1"/>
        <w:numPr>
          <w:ilvl w:val="0"/>
          <w:numId w:val="22"/>
        </w:numPr>
      </w:pPr>
      <w:r w:rsidRPr="008C4CC3">
        <w:t>The Australian Association of Convenience Stores (AACS) survey in June 2022</w:t>
      </w:r>
      <w:r w:rsidRPr="008C4CC3">
        <w:rPr>
          <w:rStyle w:val="FootnoteReference"/>
        </w:rPr>
        <w:footnoteReference w:id="10"/>
      </w:r>
      <w:r w:rsidRPr="008C4CC3">
        <w:t xml:space="preserve"> reported up to 12% </w:t>
      </w:r>
      <w:r w:rsidR="00DE2AF3">
        <w:t xml:space="preserve">of vape </w:t>
      </w:r>
      <w:r w:rsidR="003A29AD">
        <w:t>users obtained</w:t>
      </w:r>
      <w:r w:rsidRPr="008C4CC3">
        <w:t xml:space="preserve"> a prescription to make their vape purchase.</w:t>
      </w:r>
    </w:p>
    <w:p w14:paraId="15262FAF" w14:textId="08B697A7" w:rsidR="00426085" w:rsidRPr="008C4CC3" w:rsidRDefault="00426085" w:rsidP="00D12EFD">
      <w:pPr>
        <w:pStyle w:val="Bullet1"/>
        <w:numPr>
          <w:ilvl w:val="0"/>
          <w:numId w:val="22"/>
        </w:numPr>
      </w:pPr>
      <w:r w:rsidRPr="008C4CC3">
        <w:lastRenderedPageBreak/>
        <w:t>The Generation Vape Research Project found that nearly 80% of surveyed 14–17-year-</w:t>
      </w:r>
      <w:r w:rsidRPr="008523ED">
        <w:t>old ever-</w:t>
      </w:r>
      <w:r w:rsidRPr="008C4CC3">
        <w:t xml:space="preserve">vapers </w:t>
      </w:r>
      <w:r w:rsidR="00AE05BB" w:rsidRPr="008C4CC3">
        <w:t xml:space="preserve">(people who </w:t>
      </w:r>
      <w:r w:rsidR="00F712C0">
        <w:t>have vaped once</w:t>
      </w:r>
      <w:r w:rsidR="00AE05BB" w:rsidRPr="008C4CC3">
        <w:t>)</w:t>
      </w:r>
      <w:r w:rsidR="00FA60FF" w:rsidRPr="008C4CC3">
        <w:t xml:space="preserve"> </w:t>
      </w:r>
      <w:r w:rsidRPr="008C4CC3">
        <w:t>found it very easy, easy or quite easy to access vapes. Of the 70% who did not purchase their last vape, 80% reported getting it from friends. Of the 30% who did purchase</w:t>
      </w:r>
      <w:r w:rsidR="00C14966" w:rsidRPr="008C4CC3">
        <w:t xml:space="preserve"> their last vape, 49% bought it from a friend or an individual selling them, 31% purchased it from a retailer, 9% from social media, 7% from a website and 1% from a vape store.</w:t>
      </w:r>
    </w:p>
    <w:p w14:paraId="00C6E653" w14:textId="77777777" w:rsidR="00556179" w:rsidRPr="00462AE0" w:rsidRDefault="00556179" w:rsidP="00556179">
      <w:pPr>
        <w:spacing w:before="120"/>
      </w:pPr>
      <w:r w:rsidRPr="00462AE0">
        <w:rPr>
          <w:rStyle w:val="CommentReference"/>
          <w:sz w:val="20"/>
          <w:szCs w:val="20"/>
        </w:rPr>
        <w:t>Further, a</w:t>
      </w:r>
      <w:r w:rsidRPr="00462AE0">
        <w:t xml:space="preserve">necdotal evidence provided by vaping manufacturers, compliance officers and academics support these figures, or that the true proportion could be significantly lower than the 8% as estimated through the Roy Morgan survey.  </w:t>
      </w:r>
    </w:p>
    <w:p w14:paraId="697EB0A7" w14:textId="57454D02" w:rsidR="00556179" w:rsidRPr="00462AE0" w:rsidRDefault="00556179" w:rsidP="00556179">
      <w:pPr>
        <w:pStyle w:val="pf0"/>
        <w:spacing w:before="120" w:beforeAutospacing="0" w:after="120" w:afterAutospacing="0"/>
        <w:rPr>
          <w:rFonts w:ascii="Arial" w:hAnsi="Arial" w:cs="Arial"/>
          <w:sz w:val="20"/>
          <w:szCs w:val="20"/>
        </w:rPr>
      </w:pPr>
      <w:r w:rsidRPr="00462AE0">
        <w:rPr>
          <w:rFonts w:ascii="Arial" w:hAnsi="Arial" w:cs="Arial"/>
          <w:sz w:val="20"/>
          <w:szCs w:val="20"/>
        </w:rPr>
        <w:t>The only published data estimating the volume of vapes sold in Australia estimated that in 2019 sales of e-cigarettes in Australia amounted to approximately US$125.14 million and represented an increase from 2018 with continued year on year growth.</w:t>
      </w:r>
      <w:r w:rsidRPr="00462AE0">
        <w:rPr>
          <w:rStyle w:val="FootnoteReference"/>
          <w:rFonts w:ascii="Arial" w:hAnsi="Arial" w:cs="Arial"/>
          <w:sz w:val="20"/>
          <w:szCs w:val="20"/>
        </w:rPr>
        <w:footnoteReference w:id="11"/>
      </w:r>
      <w:r w:rsidRPr="00462AE0">
        <w:rPr>
          <w:rFonts w:ascii="Arial" w:hAnsi="Arial" w:cs="Arial"/>
          <w:sz w:val="20"/>
          <w:szCs w:val="20"/>
        </w:rPr>
        <w:t xml:space="preserve"> Together with statistics regarding usage increases since 2018 (at least 4 fold), it is reasonable to estimate that the market for vapes supplied without a prescription, comprising illegal nicotine and legal/illegal </w:t>
      </w:r>
      <w:r w:rsidR="00467EDD">
        <w:rPr>
          <w:rFonts w:ascii="Arial" w:hAnsi="Arial" w:cs="Arial"/>
          <w:sz w:val="20"/>
          <w:szCs w:val="20"/>
        </w:rPr>
        <w:t>zero-nicotine</w:t>
      </w:r>
      <w:r w:rsidRPr="00462AE0">
        <w:rPr>
          <w:rFonts w:ascii="Arial" w:hAnsi="Arial" w:cs="Arial"/>
          <w:sz w:val="20"/>
          <w:szCs w:val="20"/>
        </w:rPr>
        <w:t xml:space="preserve"> vapes, is worth well over $400 million annually. One Australian vape manufacturer estimated that the black market sells 30 million units, </w:t>
      </w:r>
      <w:r w:rsidR="002369CA">
        <w:rPr>
          <w:rFonts w:ascii="Arial" w:hAnsi="Arial" w:cs="Arial"/>
          <w:sz w:val="20"/>
          <w:szCs w:val="20"/>
        </w:rPr>
        <w:t xml:space="preserve">with each unit </w:t>
      </w:r>
      <w:r w:rsidRPr="00462AE0">
        <w:rPr>
          <w:rFonts w:ascii="Arial" w:hAnsi="Arial" w:cs="Arial"/>
          <w:sz w:val="20"/>
          <w:szCs w:val="20"/>
        </w:rPr>
        <w:t xml:space="preserve">equivalent to </w:t>
      </w:r>
      <w:r w:rsidR="002369CA">
        <w:rPr>
          <w:rFonts w:ascii="Arial" w:hAnsi="Arial" w:cs="Arial"/>
          <w:sz w:val="20"/>
          <w:szCs w:val="20"/>
        </w:rPr>
        <w:t xml:space="preserve">a </w:t>
      </w:r>
      <w:r w:rsidRPr="00462AE0">
        <w:rPr>
          <w:rFonts w:ascii="Arial" w:hAnsi="Arial" w:cs="Arial"/>
          <w:sz w:val="20"/>
          <w:szCs w:val="20"/>
        </w:rPr>
        <w:t>1 mL pod, per month.</w:t>
      </w:r>
      <w:r w:rsidRPr="00462AE0">
        <w:rPr>
          <w:rStyle w:val="FootnoteReference"/>
          <w:rFonts w:ascii="Arial" w:hAnsi="Arial" w:cs="Arial"/>
          <w:sz w:val="20"/>
          <w:szCs w:val="20"/>
        </w:rPr>
        <w:footnoteReference w:id="12"/>
      </w:r>
      <w:r w:rsidRPr="00462AE0">
        <w:rPr>
          <w:rFonts w:ascii="Arial" w:hAnsi="Arial" w:cs="Arial"/>
          <w:sz w:val="20"/>
          <w:szCs w:val="20"/>
        </w:rPr>
        <w:t xml:space="preserve"> </w:t>
      </w:r>
    </w:p>
    <w:p w14:paraId="4A83A432" w14:textId="61D2683C" w:rsidR="009F4621" w:rsidRPr="00462AE0" w:rsidRDefault="001F28DC" w:rsidP="008E7EDF">
      <w:pPr>
        <w:pStyle w:val="Heading4"/>
      </w:pPr>
      <w:bookmarkStart w:id="30" w:name="_Toc151040317"/>
      <w:r w:rsidRPr="00462AE0">
        <w:t>L</w:t>
      </w:r>
      <w:r w:rsidR="00CA6635" w:rsidRPr="00462AE0">
        <w:t xml:space="preserve">evels of </w:t>
      </w:r>
      <w:r w:rsidR="00E95EB4" w:rsidRPr="00462AE0">
        <w:t xml:space="preserve">legal </w:t>
      </w:r>
      <w:r w:rsidR="00E46038" w:rsidRPr="00462AE0">
        <w:t>nicotine vape</w:t>
      </w:r>
      <w:r w:rsidRPr="00462AE0">
        <w:t xml:space="preserve"> supply</w:t>
      </w:r>
      <w:bookmarkEnd w:id="30"/>
    </w:p>
    <w:p w14:paraId="1E1C2C81" w14:textId="5A35A682" w:rsidR="00556179" w:rsidRPr="00462AE0" w:rsidRDefault="00556179" w:rsidP="008E7EDF">
      <w:r w:rsidRPr="00462AE0">
        <w:t>As highlighted above, the best estimates from surveys conducted over recent years conclude that there has been poor uptake by prescribers and consumers of legal supply pathways for nicotine vapes, likely ranging between 3</w:t>
      </w:r>
      <w:r w:rsidR="00FC6DD6" w:rsidRPr="00063DFD">
        <w:rPr>
          <w:color w:val="000000"/>
        </w:rPr>
        <w:t>–</w:t>
      </w:r>
      <w:r w:rsidRPr="00462AE0">
        <w:t xml:space="preserve">12%. This is despite the Commonwealth Department of Health and Aged Care and its state and territory counterparts engaging in a substantial education and compliance campaign to implement the 2021 reforms. </w:t>
      </w:r>
    </w:p>
    <w:p w14:paraId="39E419C5" w14:textId="7F35FDD6" w:rsidR="00556179" w:rsidRPr="00462AE0" w:rsidRDefault="00556179" w:rsidP="008E7EDF">
      <w:r w:rsidRPr="00462AE0">
        <w:t>Regarding supply under prescription, approval is granted through either</w:t>
      </w:r>
      <w:r w:rsidRPr="00462AE0" w:rsidDel="00C83874">
        <w:t xml:space="preserve"> </w:t>
      </w:r>
      <w:r w:rsidRPr="00462AE0">
        <w:t xml:space="preserve">a practitioner authorised under the Special Access Scheme Category B (SAS B) scheme, or by an AP. The SAS B scheme provides for a medical or other health practitioner to apply for access to unapproved products for an individual patient, where the patient is not seriously </w:t>
      </w:r>
      <w:r w:rsidR="0094123C" w:rsidRPr="00462AE0">
        <w:t>ill,</w:t>
      </w:r>
      <w:r w:rsidRPr="00462AE0">
        <w:t xml:space="preserve"> and the product is not on the established history of use list. An AP can access unapproved products for multiple patients. </w:t>
      </w:r>
    </w:p>
    <w:p w14:paraId="7EBD6A49" w14:textId="61BE9FC6" w:rsidR="00556179" w:rsidRPr="00462AE0" w:rsidRDefault="00556179" w:rsidP="008E7EDF">
      <w:r w:rsidRPr="00462AE0">
        <w:t xml:space="preserve">As </w:t>
      </w:r>
      <w:r w:rsidR="00121C40" w:rsidRPr="00462AE0">
        <w:t>of</w:t>
      </w:r>
      <w:r w:rsidRPr="00462AE0">
        <w:t xml:space="preserve"> 31 August 2023 and since the introduction of the 2021 reforms (1 October 2021), the TGA has approved 2</w:t>
      </w:r>
      <w:r w:rsidR="00272A56">
        <w:t>,</w:t>
      </w:r>
      <w:r w:rsidRPr="00462AE0">
        <w:t xml:space="preserve">987 SAS B applications for nicotine </w:t>
      </w:r>
      <w:r w:rsidR="0098736B">
        <w:t>vapes</w:t>
      </w:r>
      <w:r w:rsidRPr="00462AE0">
        <w:t xml:space="preserve"> for 641 medical practitioners and 17 nurse practitioners. As at the same date, there were 2,333 </w:t>
      </w:r>
      <w:r w:rsidRPr="00462AE0">
        <w:rPr>
          <w:b/>
          <w:bCs/>
        </w:rPr>
        <w:t>active</w:t>
      </w:r>
      <w:r w:rsidRPr="00462AE0">
        <w:t xml:space="preserve"> </w:t>
      </w:r>
      <w:r w:rsidR="00A81715" w:rsidRPr="00462AE0">
        <w:t>A</w:t>
      </w:r>
      <w:r w:rsidR="00964BC1">
        <w:t>P</w:t>
      </w:r>
      <w:r w:rsidR="00A81715" w:rsidRPr="00462AE0">
        <w:t>s (</w:t>
      </w:r>
      <w:r w:rsidRPr="00462AE0">
        <w:t xml:space="preserve">up from 113 </w:t>
      </w:r>
      <w:r w:rsidR="00122A02" w:rsidRPr="00462AE0">
        <w:t>on</w:t>
      </w:r>
      <w:r w:rsidRPr="00462AE0">
        <w:t xml:space="preserve"> 30 September 2021, 655 at 28 February 2022, 1,513 at 23 November 2022 and 2,088 at 18 April 2023), and 636 of the </w:t>
      </w:r>
      <w:r w:rsidRPr="00462AE0">
        <w:rPr>
          <w:b/>
          <w:bCs/>
        </w:rPr>
        <w:t>active</w:t>
      </w:r>
      <w:r w:rsidRPr="00462AE0">
        <w:t xml:space="preserve"> A</w:t>
      </w:r>
      <w:r w:rsidR="00964BC1">
        <w:t>P</w:t>
      </w:r>
      <w:r w:rsidRPr="00462AE0">
        <w:t xml:space="preserve">s had consented to TGA publication of the name and surgery from which they practise. This is still only a fraction of the estimated 100,000 medical practitioners eligible to be APs. </w:t>
      </w:r>
    </w:p>
    <w:p w14:paraId="43A37CEA" w14:textId="77777777" w:rsidR="00556179" w:rsidRPr="00462AE0" w:rsidRDefault="00556179" w:rsidP="008E7EDF">
      <w:r w:rsidRPr="00462AE0">
        <w:t>Further, noting the last reporting period was for 1 January to 30 June 2023, it is estimated that at least 69,987 unique prescriptions had been issued to patients for nicotine vapes.</w:t>
      </w:r>
      <w:r w:rsidRPr="00462AE0">
        <w:rPr>
          <w:vertAlign w:val="superscript"/>
        </w:rPr>
        <w:footnoteReference w:id="13"/>
      </w:r>
      <w:r w:rsidRPr="00462AE0">
        <w:t xml:space="preserve"> In the context of the estimated 1.3 million adult users of vapes, only a very small proportion seek prescriptions.  </w:t>
      </w:r>
    </w:p>
    <w:p w14:paraId="71FBE35D" w14:textId="5741ABFB" w:rsidR="00556179" w:rsidRPr="00462AE0" w:rsidRDefault="00556179" w:rsidP="008E7EDF">
      <w:r w:rsidRPr="00462AE0">
        <w:t xml:space="preserve">There is currently no data available on the volume of vapes supplied against each script, those being obtained legally through pharmacies, those being imported legally through the </w:t>
      </w:r>
      <w:r w:rsidR="001A6215" w:rsidRPr="00C54D80">
        <w:t>Personal Importation Scheme</w:t>
      </w:r>
      <w:r w:rsidRPr="00462AE0">
        <w:t>, or indeed those being supplied through other sources. However, studies have reported on where consumers are usually obtaining their vapes. As reported by the Australian Association of Convenience Stores (AACS) in June 2022</w:t>
      </w:r>
      <w:r w:rsidR="001F1021">
        <w:t>,</w:t>
      </w:r>
      <w:r w:rsidRPr="00462AE0">
        <w:rPr>
          <w:rStyle w:val="FootnoteReference"/>
        </w:rPr>
        <w:footnoteReference w:id="14"/>
      </w:r>
      <w:r w:rsidRPr="00462AE0">
        <w:t xml:space="preserve"> 12% of vapes were sourced with a script, 9% of vapes </w:t>
      </w:r>
      <w:r w:rsidRPr="00462AE0">
        <w:lastRenderedPageBreak/>
        <w:t>were sourced legally, 2% vapes supplied through a pharmacy with a script and 7% sourced online overseas with a script.</w:t>
      </w:r>
    </w:p>
    <w:p w14:paraId="0DA4AFEB" w14:textId="2BA36FE1" w:rsidR="004E3902" w:rsidRPr="00462AE0" w:rsidDel="004E3902" w:rsidRDefault="00621144" w:rsidP="008E7EDF">
      <w:pPr>
        <w:pStyle w:val="Heading4"/>
      </w:pPr>
      <w:bookmarkStart w:id="31" w:name="_Toc151040318"/>
      <w:r w:rsidRPr="00462AE0">
        <w:t>Levels of illegal nicotine vape supply</w:t>
      </w:r>
      <w:bookmarkEnd w:id="31"/>
    </w:p>
    <w:p w14:paraId="20C6B016" w14:textId="77777777" w:rsidR="00A81715" w:rsidRPr="00462AE0" w:rsidRDefault="00A81715" w:rsidP="00A81715">
      <w:pPr>
        <w:rPr>
          <w:rFonts w:eastAsia="Calibri" w:cs="Arial"/>
        </w:rPr>
      </w:pPr>
      <w:r w:rsidRPr="00462AE0">
        <w:rPr>
          <w:rFonts w:eastAsia="Calibri" w:cs="Arial"/>
        </w:rPr>
        <w:t>Evidence suggests that many Australians are accessing nicotine vapes without a prescription, rather than through lawful supply channels. As summarised above, with such a low level of vapes sourced with a prescription, it is estimated that illegal supply represents a significant portion of the supply of vapes in Australia.</w:t>
      </w:r>
    </w:p>
    <w:p w14:paraId="015DFE15" w14:textId="77777777" w:rsidR="00A81715" w:rsidRPr="00462AE0" w:rsidRDefault="00A81715" w:rsidP="00A81715">
      <w:pPr>
        <w:rPr>
          <w:rFonts w:eastAsia="Calibri" w:cs="Arial"/>
        </w:rPr>
      </w:pPr>
      <w:r w:rsidRPr="00462AE0">
        <w:rPr>
          <w:rFonts w:eastAsia="Calibri" w:cs="Arial"/>
        </w:rPr>
        <w:t xml:space="preserve">Illegal supply is occurring through physical specialist retailers such as vape stores and tobacconists, general retailers such as convenience stores and petrol stations, and online retailers including websites and social media both in Australia and overseas. The current scope of the retail sector for vapes is covered in greater </w:t>
      </w:r>
      <w:r w:rsidRPr="00533AEF">
        <w:rPr>
          <w:rFonts w:eastAsia="Calibri" w:cs="Arial"/>
        </w:rPr>
        <w:t xml:space="preserve">detail </w:t>
      </w:r>
      <w:hyperlink w:anchor="_Retail__landscape">
        <w:r w:rsidRPr="00746795">
          <w:rPr>
            <w:rStyle w:val="Hyperlink"/>
            <w:rFonts w:cs="Arial"/>
          </w:rPr>
          <w:t>below</w:t>
        </w:r>
      </w:hyperlink>
      <w:r w:rsidRPr="00462AE0">
        <w:rPr>
          <w:rFonts w:eastAsia="Calibri" w:cs="Arial"/>
        </w:rPr>
        <w:t>. The ease of access to, and low cost of, illegal supply can make this a preferred option, even if an adult has obtained a legitimate prescription.</w:t>
      </w:r>
    </w:p>
    <w:p w14:paraId="0DE9270D" w14:textId="0D6FA576" w:rsidR="00A81715" w:rsidRPr="00462AE0" w:rsidRDefault="00A81715" w:rsidP="00A81715">
      <w:r w:rsidRPr="00462AE0">
        <w:t>According to the Australian Association of Convenience Stores (AACS) in June 2022</w:t>
      </w:r>
      <w:r w:rsidR="00B45E3C">
        <w:t>,</w:t>
      </w:r>
      <w:r w:rsidRPr="00462AE0">
        <w:rPr>
          <w:rStyle w:val="FootnoteReference"/>
        </w:rPr>
        <w:footnoteReference w:id="15"/>
      </w:r>
      <w:r w:rsidRPr="00462AE0">
        <w:t xml:space="preserve"> consumers preferred locations to purchase illegal (without a script) vapes were vape store (53%), online overseas without a script (17%), tobacconist (9%), independent supermarket (5%), social media (4%), friend/acquaintance /family (2%), petrol &amp; convenience store (1%) and milk bar/local store (1%). </w:t>
      </w:r>
    </w:p>
    <w:p w14:paraId="448BD2C6" w14:textId="0D56FB11" w:rsidR="00A81715" w:rsidRPr="00462AE0" w:rsidRDefault="00C023F5" w:rsidP="00A81715">
      <w:pPr>
        <w:rPr>
          <w:rFonts w:eastAsia="Calibri" w:cs="Arial"/>
        </w:rPr>
      </w:pPr>
      <w:r>
        <w:rPr>
          <w:rFonts w:eastAsia="Calibri" w:cs="Arial"/>
        </w:rPr>
        <w:t>Youth</w:t>
      </w:r>
      <w:r w:rsidR="00A81715" w:rsidRPr="00462AE0">
        <w:rPr>
          <w:rFonts w:eastAsia="Calibri" w:cs="Arial"/>
        </w:rPr>
        <w:t xml:space="preserve"> appear to be readily accessing nicotine vapes, which are often disposable and flavoured, through both social and commercial channels. Of a survey of 14</w:t>
      </w:r>
      <w:r w:rsidR="00B45E3C" w:rsidRPr="00063DFD">
        <w:rPr>
          <w:color w:val="000000"/>
        </w:rPr>
        <w:t>–</w:t>
      </w:r>
      <w:r w:rsidR="00A81715" w:rsidRPr="00462AE0">
        <w:rPr>
          <w:rFonts w:eastAsia="Calibri" w:cs="Arial"/>
        </w:rPr>
        <w:t>17</w:t>
      </w:r>
      <w:r w:rsidR="0092697F">
        <w:rPr>
          <w:rFonts w:eastAsia="Calibri" w:cs="Arial"/>
        </w:rPr>
        <w:t>-</w:t>
      </w:r>
      <w:r w:rsidR="00A81715" w:rsidRPr="00462AE0">
        <w:rPr>
          <w:rFonts w:eastAsia="Calibri" w:cs="Arial"/>
        </w:rPr>
        <w:t xml:space="preserve">year-olds, nearly 80% of ever-vapers found it very easy, easy or quite easy to access vapes (n=179), while less than 10% of ever-vapers found it quite hard, hard or very hard (n=20). </w:t>
      </w:r>
    </w:p>
    <w:p w14:paraId="4321CBFC" w14:textId="07F1CB45" w:rsidR="00A81715" w:rsidRPr="00462AE0" w:rsidRDefault="00A81715" w:rsidP="00A81715">
      <w:pPr>
        <w:rPr>
          <w:rFonts w:eastAsia="Calibri" w:cs="Arial"/>
        </w:rPr>
      </w:pPr>
      <w:r w:rsidRPr="00462AE0">
        <w:rPr>
          <w:rFonts w:eastAsia="Calibri" w:cs="Arial"/>
        </w:rPr>
        <w:t xml:space="preserve">Concealment of nicotine in vapes is a significant issue, with manufacturers not declaring nicotine on the label to avoid being captured by the Commonwealth and state and territory regulation of nicotine vapes. As an example, </w:t>
      </w:r>
      <w:r w:rsidRPr="00462AE0">
        <w:rPr>
          <w:rFonts w:cs="Arial"/>
          <w:shd w:val="clear" w:color="auto" w:fill="FFFFFF"/>
        </w:rPr>
        <w:t xml:space="preserve">as part of a TGA operation targeting prohibited sales of nicotine vapes, a large number of </w:t>
      </w:r>
      <w:r w:rsidR="00CE6D79">
        <w:rPr>
          <w:rFonts w:cs="Arial"/>
          <w:shd w:val="clear" w:color="auto" w:fill="FFFFFF"/>
        </w:rPr>
        <w:t>vapes</w:t>
      </w:r>
      <w:r w:rsidRPr="00462AE0">
        <w:rPr>
          <w:rFonts w:cs="Arial"/>
          <w:shd w:val="clear" w:color="auto" w:fill="FFFFFF"/>
        </w:rPr>
        <w:t xml:space="preserve"> were removed from three Canberra businesses in October 2022. Testing on samples of the seized </w:t>
      </w:r>
      <w:r w:rsidR="00CE6D79">
        <w:rPr>
          <w:rFonts w:cs="Arial"/>
          <w:shd w:val="clear" w:color="auto" w:fill="FFFFFF"/>
        </w:rPr>
        <w:t>vapes</w:t>
      </w:r>
      <w:r w:rsidR="00CE6D79" w:rsidRPr="00462AE0">
        <w:rPr>
          <w:rFonts w:cs="Arial"/>
          <w:shd w:val="clear" w:color="auto" w:fill="FFFFFF"/>
        </w:rPr>
        <w:t xml:space="preserve"> </w:t>
      </w:r>
      <w:r w:rsidRPr="00462AE0">
        <w:rPr>
          <w:rFonts w:cs="Arial"/>
          <w:shd w:val="clear" w:color="auto" w:fill="FFFFFF"/>
        </w:rPr>
        <w:t>showed that all were found to contain nicotine, but two thirds of the products were not labelled as containing nicotine.</w:t>
      </w:r>
      <w:r w:rsidRPr="00462AE0">
        <w:rPr>
          <w:rStyle w:val="FootnoteReference"/>
          <w:rFonts w:cs="Arial"/>
          <w:shd w:val="clear" w:color="auto" w:fill="FFFFFF"/>
        </w:rPr>
        <w:footnoteReference w:id="16"/>
      </w:r>
      <w:r w:rsidRPr="00462AE0">
        <w:rPr>
          <w:rFonts w:cs="Arial"/>
          <w:shd w:val="clear" w:color="auto" w:fill="FFFFFF"/>
        </w:rPr>
        <w:t xml:space="preserve"> </w:t>
      </w:r>
      <w:r w:rsidRPr="00462AE0">
        <w:rPr>
          <w:rFonts w:eastAsia="Calibri" w:cs="Arial"/>
        </w:rPr>
        <w:t xml:space="preserve">There is no data available on the overall level of the concealment of nicotine in vapes supplied in Australia, and therefore no data on the proportion of nicotine vapes supplied illegally versus </w:t>
      </w:r>
      <w:r w:rsidR="00467EDD">
        <w:rPr>
          <w:rFonts w:eastAsia="Calibri" w:cs="Arial"/>
        </w:rPr>
        <w:t>zero-nicotine</w:t>
      </w:r>
      <w:r w:rsidRPr="00462AE0">
        <w:rPr>
          <w:rFonts w:eastAsia="Calibri" w:cs="Arial"/>
        </w:rPr>
        <w:t xml:space="preserve"> vapes supplied legally. More than half of ever-vapers had used a vape that they knew contained nicotine (53%, n=123), while 20% (n=47) said they had not used a nicotine-containing vape and 27% (n=63) did not know whether they had used a vape containing nicotine.</w:t>
      </w:r>
    </w:p>
    <w:p w14:paraId="029B60D0" w14:textId="77777777" w:rsidR="00A81715" w:rsidRPr="00462AE0" w:rsidRDefault="00A81715" w:rsidP="00A81715">
      <w:r w:rsidRPr="00462AE0">
        <w:rPr>
          <w:rFonts w:eastAsia="Calibri" w:cs="Arial"/>
        </w:rPr>
        <w:t>Overall, the supply of illegal vapes is undermining current policy objectives and the viability of legal supply pathways.</w:t>
      </w:r>
    </w:p>
    <w:p w14:paraId="4B597D2D" w14:textId="12CD8A02" w:rsidR="004E3902" w:rsidRPr="00462AE0" w:rsidRDefault="00133D24" w:rsidP="008E7EDF">
      <w:pPr>
        <w:pStyle w:val="Heading4"/>
      </w:pPr>
      <w:bookmarkStart w:id="32" w:name="_Toc151040319"/>
      <w:r w:rsidRPr="00462AE0">
        <w:t xml:space="preserve">Levels of </w:t>
      </w:r>
      <w:r w:rsidR="009C1CE1" w:rsidRPr="00462AE0">
        <w:t xml:space="preserve">supply of </w:t>
      </w:r>
      <w:r w:rsidR="00467EDD">
        <w:t>zero-nicotine</w:t>
      </w:r>
      <w:r w:rsidRPr="00462AE0">
        <w:t xml:space="preserve"> vape</w:t>
      </w:r>
      <w:r w:rsidR="009C1CE1" w:rsidRPr="00462AE0">
        <w:t>s</w:t>
      </w:r>
      <w:bookmarkEnd w:id="32"/>
    </w:p>
    <w:p w14:paraId="23178A90" w14:textId="55309524" w:rsidR="00A81715" w:rsidRPr="00462AE0" w:rsidRDefault="00A81715" w:rsidP="00A81715">
      <w:r w:rsidRPr="00462AE0">
        <w:t xml:space="preserve">The supply of </w:t>
      </w:r>
      <w:r w:rsidR="00467EDD">
        <w:t>zero-nicotine</w:t>
      </w:r>
      <w:r w:rsidRPr="00462AE0">
        <w:t xml:space="preserve"> vapes to adults, provided no therapeutic claims are made, is currently legal in most states and territories. The supply to minors is banned in all states and territories, and in WA the sale of any products that are designed to resemble tobacco products is prohibited. </w:t>
      </w:r>
    </w:p>
    <w:p w14:paraId="077DB8BC" w14:textId="73C6FF51" w:rsidR="00A81715" w:rsidRPr="00462AE0" w:rsidRDefault="00A81715" w:rsidP="00A81715">
      <w:r w:rsidRPr="00462AE0">
        <w:t xml:space="preserve">The true size of the </w:t>
      </w:r>
      <w:r w:rsidR="00467EDD">
        <w:t>zero-nicotine</w:t>
      </w:r>
      <w:r w:rsidRPr="00462AE0">
        <w:t xml:space="preserve"> vape market is largely unknown, given the concealment of nicotine in a large proportion of </w:t>
      </w:r>
      <w:r w:rsidR="00467EDD">
        <w:t>zero-nicotine</w:t>
      </w:r>
      <w:r w:rsidRPr="00462AE0">
        <w:t xml:space="preserve"> vapes supplied in Australia. Short of laboratory analysis, it is not </w:t>
      </w:r>
      <w:r w:rsidRPr="00462AE0">
        <w:lastRenderedPageBreak/>
        <w:t>possible to determine whether vapes contain nicotine. This facilitates concealment and hampers enforcement, both at the border and once products are being by sold.</w:t>
      </w:r>
      <w:r w:rsidRPr="00462AE0">
        <w:rPr>
          <w:rStyle w:val="FootnoteReference"/>
        </w:rPr>
        <w:footnoteReference w:id="17"/>
      </w:r>
      <w:r w:rsidRPr="00462AE0">
        <w:t xml:space="preserve"> The concealment </w:t>
      </w:r>
      <w:r w:rsidR="00EE280E" w:rsidRPr="00462AE0">
        <w:t>of nicotine in vapes</w:t>
      </w:r>
      <w:r w:rsidR="00556AB3" w:rsidRPr="00462AE0">
        <w:t xml:space="preserve"> is widely </w:t>
      </w:r>
      <w:r w:rsidR="00D06C50" w:rsidRPr="00462AE0">
        <w:t>recognised</w:t>
      </w:r>
      <w:r w:rsidR="00B1580C">
        <w:t>.</w:t>
      </w:r>
    </w:p>
    <w:p w14:paraId="3E51CF84" w14:textId="0CAE3419" w:rsidR="00A81715" w:rsidRPr="00462AE0" w:rsidRDefault="00D8494F" w:rsidP="00A81715">
      <w:pPr>
        <w:rPr>
          <w:rFonts w:eastAsia="Calibri" w:cs="Arial"/>
        </w:rPr>
      </w:pPr>
      <w:r>
        <w:t>T</w:t>
      </w:r>
      <w:r w:rsidR="00A81715" w:rsidRPr="00462AE0">
        <w:t>he scale of the problem has not been clearly quantified or reported</w:t>
      </w:r>
      <w:r>
        <w:t xml:space="preserve">, </w:t>
      </w:r>
      <w:r w:rsidR="00C00D7A">
        <w:t>but</w:t>
      </w:r>
      <w:r w:rsidR="00A81715" w:rsidRPr="00462AE0">
        <w:t xml:space="preserve"> </w:t>
      </w:r>
      <w:r w:rsidR="0041024A">
        <w:rPr>
          <w:rFonts w:eastAsia="Calibri" w:cs="Arial"/>
        </w:rPr>
        <w:t>e</w:t>
      </w:r>
      <w:r w:rsidR="00A81715" w:rsidRPr="00462AE0">
        <w:rPr>
          <w:rFonts w:eastAsia="Calibri" w:cs="Arial"/>
        </w:rPr>
        <w:t>vidence of these practices has existed for some time:</w:t>
      </w:r>
    </w:p>
    <w:p w14:paraId="6392C116" w14:textId="77777777" w:rsidR="00A81715" w:rsidRPr="008C4CC3" w:rsidRDefault="00A81715" w:rsidP="00D12EFD">
      <w:pPr>
        <w:pStyle w:val="Bullet1"/>
        <w:numPr>
          <w:ilvl w:val="0"/>
          <w:numId w:val="23"/>
        </w:numPr>
      </w:pPr>
      <w:r w:rsidRPr="008C4CC3">
        <w:t>Scientific testing of e-liquid samples collected by NSW Health in 2013 showed that 70% of the samples contained high levels of nicotine even though the label did not state nicotine as an ingredient.</w:t>
      </w:r>
    </w:p>
    <w:p w14:paraId="1006436F" w14:textId="5887C0AC" w:rsidR="00A81715" w:rsidRPr="008C4CC3" w:rsidRDefault="00A81715" w:rsidP="00D12EFD">
      <w:pPr>
        <w:pStyle w:val="Bullet1"/>
        <w:numPr>
          <w:ilvl w:val="0"/>
          <w:numId w:val="23"/>
        </w:numPr>
      </w:pPr>
      <w:r w:rsidRPr="008C4CC3">
        <w:t xml:space="preserve">Between November 2015 and April 2018, NSW Health inspectors visited 227 retailers selling e-liquids and found that 63% of e-liquids labelled “nicotine-free” </w:t>
      </w:r>
      <w:r w:rsidR="004A5294" w:rsidRPr="008C4CC3">
        <w:t>did contain</w:t>
      </w:r>
      <w:r w:rsidRPr="008C4CC3">
        <w:t xml:space="preserve"> nicotine.</w:t>
      </w:r>
      <w:r w:rsidRPr="008C4CC3">
        <w:rPr>
          <w:rStyle w:val="FootnoteReference"/>
          <w:rFonts w:eastAsia="Calibri" w:cs="Arial"/>
        </w:rPr>
        <w:footnoteReference w:id="18"/>
      </w:r>
    </w:p>
    <w:p w14:paraId="5B55B604" w14:textId="0064CFD0" w:rsidR="00A81715" w:rsidRPr="008C4CC3" w:rsidRDefault="00A81715" w:rsidP="00D12EFD">
      <w:pPr>
        <w:pStyle w:val="Bullet1"/>
        <w:numPr>
          <w:ilvl w:val="0"/>
          <w:numId w:val="23"/>
        </w:numPr>
      </w:pPr>
      <w:r w:rsidRPr="008C4CC3">
        <w:t xml:space="preserve">Research conducted in 2023 by the University of Wollongong on behalf of NSW Health (428 vapes seized from retailers, 322 surrendered by children at Sydney schools) found about 98% </w:t>
      </w:r>
      <w:r w:rsidR="00292DB4">
        <w:t xml:space="preserve">of </w:t>
      </w:r>
      <w:r w:rsidRPr="008C4CC3">
        <w:t>vapes contained nicotine, despite most not listing it as an active ingredient.</w:t>
      </w:r>
      <w:r w:rsidRPr="008C4CC3">
        <w:rPr>
          <w:rStyle w:val="FootnoteReference"/>
        </w:rPr>
        <w:footnoteReference w:id="19"/>
      </w:r>
      <w:r w:rsidRPr="008C4CC3">
        <w:t xml:space="preserve"> </w:t>
      </w:r>
    </w:p>
    <w:p w14:paraId="0234963E" w14:textId="4C4A3575" w:rsidR="00A81715" w:rsidRPr="008C4CC3" w:rsidRDefault="00A81715" w:rsidP="00D12EFD">
      <w:pPr>
        <w:pStyle w:val="Bullet1"/>
        <w:numPr>
          <w:ilvl w:val="0"/>
          <w:numId w:val="23"/>
        </w:numPr>
      </w:pPr>
      <w:r w:rsidRPr="008C4CC3">
        <w:t xml:space="preserve">Samples seized from ACT stores in 2021 and tested by the TGA were all found to contain nicotine, even though two thirds of the </w:t>
      </w:r>
      <w:r w:rsidR="00D659E0">
        <w:t>vape</w:t>
      </w:r>
      <w:r w:rsidR="00D659E0" w:rsidRPr="008C4CC3">
        <w:t>s</w:t>
      </w:r>
      <w:r w:rsidRPr="008C4CC3">
        <w:t xml:space="preserve"> were not labelled as containing it.</w:t>
      </w:r>
      <w:r w:rsidRPr="008C4CC3">
        <w:rPr>
          <w:rStyle w:val="FootnoteReference"/>
          <w:rFonts w:eastAsia="Calibri" w:cs="Arial"/>
        </w:rPr>
        <w:footnoteReference w:id="20"/>
      </w:r>
    </w:p>
    <w:p w14:paraId="36747362" w14:textId="77777777" w:rsidR="00A81715" w:rsidRPr="008C4CC3" w:rsidRDefault="00A81715" w:rsidP="00D12EFD">
      <w:pPr>
        <w:pStyle w:val="Bullet1"/>
        <w:numPr>
          <w:ilvl w:val="0"/>
          <w:numId w:val="23"/>
        </w:numPr>
      </w:pPr>
      <w:r w:rsidRPr="008C4CC3">
        <w:t>Researchers in 2019 investigating the potentially harmful ingredients in e-cigarettes tested 10 “nicotine-free” e-liquids and found that six contained nicotine.</w:t>
      </w:r>
      <w:r w:rsidRPr="008C4CC3">
        <w:rPr>
          <w:rStyle w:val="FootnoteReference"/>
          <w:rFonts w:eastAsia="Calibri" w:cs="Arial"/>
        </w:rPr>
        <w:footnoteReference w:id="21"/>
      </w:r>
    </w:p>
    <w:p w14:paraId="2C7B4C8C" w14:textId="2F9E2FD5" w:rsidR="00A81715" w:rsidRPr="008C4CC3" w:rsidRDefault="00A81715" w:rsidP="00D12EFD">
      <w:pPr>
        <w:pStyle w:val="Bullet1"/>
        <w:numPr>
          <w:ilvl w:val="0"/>
          <w:numId w:val="23"/>
        </w:numPr>
      </w:pPr>
      <w:r w:rsidRPr="008C4CC3">
        <w:t>Researchers from Curtin University in 2021 tested the chemicals and toxicity of 52 e-liquids available from retailers in Australia and found 100% were inaccurately labelled and 21% contained nicotine.</w:t>
      </w:r>
      <w:r w:rsidRPr="008C4CC3">
        <w:rPr>
          <w:rStyle w:val="FootnoteReference"/>
          <w:rFonts w:eastAsia="Calibri" w:cs="Arial"/>
        </w:rPr>
        <w:footnoteReference w:id="22"/>
      </w:r>
    </w:p>
    <w:p w14:paraId="11346E74" w14:textId="053E6121" w:rsidR="00A81715" w:rsidRPr="00462AE0" w:rsidRDefault="00A81715" w:rsidP="00A81715">
      <w:r w:rsidRPr="00462AE0">
        <w:t>Actual consumer usage data is typically poorly reported. A 2022 survey summary from Cancer Council Victoria found that 58.3% of past-year e-cigarette users usually vaped nicotine.</w:t>
      </w:r>
      <w:r w:rsidRPr="00462AE0">
        <w:rPr>
          <w:rStyle w:val="FootnoteReference"/>
        </w:rPr>
        <w:footnoteReference w:id="23"/>
      </w:r>
      <w:r w:rsidRPr="00462AE0">
        <w:t xml:space="preserve"> This figure increases to 80.6% when surveying regular e-cigarette users, with the remaining 19.4% reporting that they did not know or couldn’t say if they usually vape nicotine. There are several reasons to believe that a high proportion of that 19.4% do vape nicotine</w:t>
      </w:r>
      <w:r w:rsidR="00911E24">
        <w:t xml:space="preserve"> </w:t>
      </w:r>
      <w:r w:rsidR="00266CAE" w:rsidRPr="00063DFD">
        <w:rPr>
          <w:color w:val="000000"/>
        </w:rPr>
        <w:t>–</w:t>
      </w:r>
      <w:r w:rsidRPr="00462AE0">
        <w:t xml:space="preserve"> respondents may not have wished to disclose that they are engaging in illegal activity, or may legitimately be unsure, given the practice of mislabelling </w:t>
      </w:r>
      <w:r w:rsidR="00E52CD6">
        <w:t>vapes</w:t>
      </w:r>
      <w:r w:rsidRPr="00462AE0">
        <w:t xml:space="preserve"> or the difficulty for someone to correctly </w:t>
      </w:r>
      <w:r w:rsidR="00083DFD">
        <w:t>determine</w:t>
      </w:r>
      <w:r w:rsidR="00083DFD" w:rsidRPr="00462AE0">
        <w:t xml:space="preserve"> </w:t>
      </w:r>
      <w:r w:rsidRPr="00462AE0">
        <w:t xml:space="preserve">whether nicotine has been added. </w:t>
      </w:r>
    </w:p>
    <w:p w14:paraId="237E1895" w14:textId="0034174A" w:rsidR="00A81715" w:rsidRPr="00462AE0" w:rsidRDefault="00A81715" w:rsidP="00A81715">
      <w:r w:rsidRPr="00462AE0">
        <w:t xml:space="preserve">A 2021 survey conducted by Cancer Institute NSW provides an estimate for respondents 18 years and older. For those who had ever used vapes, two thirds (65%) indicated that their last vape </w:t>
      </w:r>
      <w:r w:rsidRPr="00462AE0">
        <w:lastRenderedPageBreak/>
        <w:t>contained nicotine, while 18% indicated that it did not.</w:t>
      </w:r>
      <w:r w:rsidRPr="00462AE0">
        <w:rPr>
          <w:rStyle w:val="FootnoteReference"/>
        </w:rPr>
        <w:footnoteReference w:id="24"/>
      </w:r>
      <w:r w:rsidRPr="00462AE0">
        <w:t xml:space="preserve"> Similarly, a 2023 study of 15</w:t>
      </w:r>
      <w:r w:rsidR="00266CAE" w:rsidRPr="00063DFD">
        <w:rPr>
          <w:color w:val="000000"/>
        </w:rPr>
        <w:t>–</w:t>
      </w:r>
      <w:r w:rsidR="00266CAE" w:rsidRPr="00462AE0">
        <w:t>30-year-olds</w:t>
      </w:r>
      <w:r w:rsidRPr="00462AE0">
        <w:t xml:space="preserve"> found that a large majority (86%) of current e-cigarette users reported using nicotine e-cigarettes.</w:t>
      </w:r>
      <w:r w:rsidRPr="00462AE0">
        <w:rPr>
          <w:rStyle w:val="FootnoteReference"/>
        </w:rPr>
        <w:footnoteReference w:id="25"/>
      </w:r>
    </w:p>
    <w:p w14:paraId="6CE0C978" w14:textId="47E6D8D8" w:rsidR="00DE2875" w:rsidRPr="00462AE0" w:rsidRDefault="00A81715" w:rsidP="00A81715">
      <w:pPr>
        <w:rPr>
          <w:rFonts w:eastAsia="Calibri" w:cs="Arial"/>
        </w:rPr>
      </w:pPr>
      <w:r w:rsidRPr="00462AE0">
        <w:t xml:space="preserve">A number of companies currently </w:t>
      </w:r>
      <w:r w:rsidR="0064053C" w:rsidRPr="00462AE0">
        <w:t>manufacture,</w:t>
      </w:r>
      <w:r w:rsidRPr="00462AE0">
        <w:t xml:space="preserve"> and supply </w:t>
      </w:r>
      <w:r w:rsidR="00467EDD">
        <w:t>zero-nicotine</w:t>
      </w:r>
      <w:r w:rsidRPr="00462AE0">
        <w:t xml:space="preserve"> vapes. </w:t>
      </w:r>
      <w:r w:rsidRPr="00462AE0">
        <w:rPr>
          <w:rFonts w:eastAsia="Calibri" w:cs="Arial"/>
        </w:rPr>
        <w:t xml:space="preserve">The current scope of the retail sector for vapes, including </w:t>
      </w:r>
      <w:r w:rsidR="00467EDD">
        <w:rPr>
          <w:rFonts w:eastAsia="Calibri" w:cs="Arial"/>
        </w:rPr>
        <w:t>zero-nicotine</w:t>
      </w:r>
      <w:r w:rsidRPr="00462AE0">
        <w:rPr>
          <w:rFonts w:eastAsia="Calibri" w:cs="Arial"/>
        </w:rPr>
        <w:t xml:space="preserve"> vapes, is covered in greater detail</w:t>
      </w:r>
      <w:r w:rsidR="006A6BFB" w:rsidRPr="00462AE0">
        <w:rPr>
          <w:rFonts w:eastAsia="Calibri" w:cs="Arial"/>
        </w:rPr>
        <w:t xml:space="preserve"> </w:t>
      </w:r>
      <w:hyperlink w:anchor="_Retail__landscape">
        <w:r w:rsidR="186CE018" w:rsidRPr="00746795">
          <w:rPr>
            <w:rStyle w:val="Hyperlink"/>
            <w:rFonts w:cs="Arial"/>
          </w:rPr>
          <w:t>below</w:t>
        </w:r>
      </w:hyperlink>
      <w:r w:rsidR="006A6BFB" w:rsidRPr="00746795">
        <w:rPr>
          <w:rStyle w:val="Hyperlink"/>
          <w:color w:val="auto"/>
          <w:u w:val="none"/>
        </w:rPr>
        <w:t>.</w:t>
      </w:r>
    </w:p>
    <w:p w14:paraId="13FA4CCD" w14:textId="57254013" w:rsidR="00A81715" w:rsidRPr="00462AE0" w:rsidRDefault="00A81715" w:rsidP="008E7EDF">
      <w:pPr>
        <w:rPr>
          <w:rFonts w:eastAsia="Calibri"/>
        </w:rPr>
      </w:pPr>
      <w:r w:rsidRPr="00462AE0">
        <w:t xml:space="preserve">In summary, it is understood that a high proportion of vapes in Australia do contain nicotine, even when the label does not alert </w:t>
      </w:r>
      <w:r w:rsidR="006D2EF5">
        <w:t>consumers</w:t>
      </w:r>
      <w:r w:rsidR="006D2EF5" w:rsidRPr="00462AE0">
        <w:t xml:space="preserve"> </w:t>
      </w:r>
      <w:r w:rsidRPr="00462AE0">
        <w:t xml:space="preserve">to its presence, but quantification of the volumes and therefore the size of the </w:t>
      </w:r>
      <w:r w:rsidR="00467EDD">
        <w:t>zero-nicotine</w:t>
      </w:r>
      <w:r w:rsidRPr="00462AE0">
        <w:t xml:space="preserve"> vape sector is not possible. </w:t>
      </w:r>
    </w:p>
    <w:p w14:paraId="372AEE29" w14:textId="1591A053" w:rsidR="000079AD" w:rsidRPr="00462AE0" w:rsidRDefault="00662C3D" w:rsidP="008E7EDF">
      <w:pPr>
        <w:pStyle w:val="Heading4"/>
      </w:pPr>
      <w:bookmarkStart w:id="33" w:name="_Retail__landscape"/>
      <w:bookmarkStart w:id="34" w:name="_Toc151040320"/>
      <w:bookmarkEnd w:id="33"/>
      <w:r w:rsidRPr="00462AE0">
        <w:t xml:space="preserve">Retail landscape for </w:t>
      </w:r>
      <w:r w:rsidR="00EF0D51" w:rsidRPr="008E7EDF">
        <w:t>illegal</w:t>
      </w:r>
      <w:r w:rsidR="00EF0D51" w:rsidRPr="00462AE0">
        <w:t xml:space="preserve"> nicotine </w:t>
      </w:r>
      <w:r w:rsidRPr="00462AE0">
        <w:t xml:space="preserve">vapes </w:t>
      </w:r>
      <w:r w:rsidR="00726B36" w:rsidRPr="00462AE0">
        <w:t xml:space="preserve">and legal/illegal </w:t>
      </w:r>
      <w:r w:rsidR="00467EDD">
        <w:t>zero-nicotine</w:t>
      </w:r>
      <w:r w:rsidR="00145E38" w:rsidRPr="00462AE0">
        <w:t xml:space="preserve"> vapes</w:t>
      </w:r>
      <w:r w:rsidR="00726B36" w:rsidRPr="00462AE0">
        <w:t xml:space="preserve"> </w:t>
      </w:r>
      <w:r w:rsidRPr="00462AE0">
        <w:t xml:space="preserve">in </w:t>
      </w:r>
      <w:r w:rsidR="00C4307A" w:rsidRPr="00462AE0">
        <w:t>A</w:t>
      </w:r>
      <w:r w:rsidRPr="00462AE0">
        <w:t>ustralia</w:t>
      </w:r>
      <w:bookmarkEnd w:id="34"/>
    </w:p>
    <w:p w14:paraId="132115B2" w14:textId="77777777" w:rsidR="00A81715" w:rsidRPr="00462AE0" w:rsidRDefault="00A81715" w:rsidP="008E7EDF">
      <w:r w:rsidRPr="00462AE0">
        <w:t>The Australian vaping retail landscape has been on a growth trajectory to meet the surging demand for both legal and illegal vapes, as reflected in the increase in sales of vapes in Australia from 2018 with continued year-on-year growth. Generally, vapes are sold by retailers such as vape specialist, tobacconist and convenience stores adopting either physical and/or online business models across Australia.</w:t>
      </w:r>
    </w:p>
    <w:p w14:paraId="774A0E19" w14:textId="5A66CBA0" w:rsidR="00A81715" w:rsidRPr="00462AE0" w:rsidRDefault="00A81715" w:rsidP="008E7EDF">
      <w:r w:rsidRPr="00462AE0">
        <w:t xml:space="preserve">Currently, it is estimated that there are </w:t>
      </w:r>
      <w:r w:rsidRPr="00462AE0">
        <w:rPr>
          <w:b/>
          <w:bCs/>
        </w:rPr>
        <w:t>7</w:t>
      </w:r>
      <w:r w:rsidR="00FC3BD1">
        <w:rPr>
          <w:b/>
          <w:bCs/>
        </w:rPr>
        <w:t>,</w:t>
      </w:r>
      <w:r w:rsidRPr="00462AE0">
        <w:rPr>
          <w:b/>
          <w:bCs/>
        </w:rPr>
        <w:t>171</w:t>
      </w:r>
      <w:r w:rsidRPr="00462AE0">
        <w:t xml:space="preserve"> Australian business entities across vape specialist, tobacconist and convenience store types and </w:t>
      </w:r>
      <w:r w:rsidRPr="00462AE0">
        <w:rPr>
          <w:b/>
          <w:bCs/>
        </w:rPr>
        <w:t>8</w:t>
      </w:r>
      <w:r w:rsidR="00FC3BD1">
        <w:rPr>
          <w:b/>
          <w:bCs/>
        </w:rPr>
        <w:t>,</w:t>
      </w:r>
      <w:r w:rsidRPr="00462AE0">
        <w:rPr>
          <w:b/>
          <w:bCs/>
        </w:rPr>
        <w:t>775</w:t>
      </w:r>
      <w:r w:rsidRPr="00462AE0">
        <w:t xml:space="preserve"> physical stores with the ability to sell vapes in Australia.</w:t>
      </w:r>
      <w:r w:rsidRPr="00462AE0">
        <w:rPr>
          <w:rStyle w:val="FootnoteReference"/>
        </w:rPr>
        <w:footnoteReference w:id="26"/>
      </w:r>
      <w:r w:rsidRPr="00462AE0">
        <w:t xml:space="preserve"> ‘Super Vape Store’ is the largest Vape Specialist Store identified</w:t>
      </w:r>
      <w:r w:rsidR="00D3528C">
        <w:t>. T</w:t>
      </w:r>
      <w:r w:rsidRPr="00462AE0">
        <w:t xml:space="preserve">heir ’click and mortar‘ business model comprises one online storefront and 61 physical retail stores selling a range of vapes across Australia. </w:t>
      </w:r>
    </w:p>
    <w:p w14:paraId="6F0BDD60" w14:textId="3594F163" w:rsidR="00A81715" w:rsidRPr="00462AE0" w:rsidRDefault="00A81715" w:rsidP="008E7EDF">
      <w:r w:rsidRPr="00462AE0">
        <w:t>Of the numbers above, convenience stores make up the largest retail store type with almost 7</w:t>
      </w:r>
      <w:r w:rsidR="00FC3BD1">
        <w:t>,</w:t>
      </w:r>
      <w:r w:rsidRPr="00462AE0">
        <w:t xml:space="preserve">000 stores across Australia, as indicated in </w:t>
      </w:r>
      <w:r w:rsidRPr="00462AE0">
        <w:rPr>
          <w:i/>
        </w:rPr>
        <w:t>Figure 1</w:t>
      </w:r>
      <w:r w:rsidRPr="00462AE0">
        <w:t>. It is broadly expressed and understood in the vaping community that some retail stores, including some online stores, service stations, convenience stores, local tobacconists and corner stores, do sell ‘under the counter’ vapes that contain nicotine, that sometimes are not labelled as having nicotine, and that can only be purchased with cash to reduce traceability of the transaction.</w:t>
      </w:r>
    </w:p>
    <w:p w14:paraId="3538954D" w14:textId="77777777" w:rsidR="00A81715" w:rsidRPr="00462AE0" w:rsidRDefault="00A81715" w:rsidP="008E7EDF">
      <w:r w:rsidRPr="00462AE0">
        <w:t xml:space="preserve">In some cases, Australian businesses operate overseas websites to facilitate sale of nicotine products to Australian consumers. There have been instances where, </w:t>
      </w:r>
      <w:r w:rsidRPr="00462AE0">
        <w:rPr>
          <w:rFonts w:eastAsia="Arial" w:cs="Arial"/>
        </w:rPr>
        <w:t>following compliance action by the TGA,</w:t>
      </w:r>
      <w:r w:rsidRPr="00462AE0">
        <w:t xml:space="preserve"> Australian businesses have established overseas websites to circumvent the restrictions on the advertising and supply of nicotine vapes in Australia.</w:t>
      </w:r>
    </w:p>
    <w:p w14:paraId="48A14A7B" w14:textId="6EFBCCE8" w:rsidR="00F61D7E" w:rsidRPr="00462AE0" w:rsidRDefault="00F61D7E" w:rsidP="008E7EDF">
      <w:pPr>
        <w:pStyle w:val="Caption"/>
        <w:keepNext/>
        <w:keepLines/>
      </w:pPr>
      <w:bookmarkStart w:id="35" w:name="_Toc146634900"/>
      <w:bookmarkStart w:id="36" w:name="_Toc146635575"/>
      <w:bookmarkStart w:id="37" w:name="_Toc146635836"/>
      <w:bookmarkStart w:id="38" w:name="_Toc146636175"/>
      <w:bookmarkStart w:id="39" w:name="_Toc147759791"/>
      <w:r w:rsidRPr="00462AE0">
        <w:lastRenderedPageBreak/>
        <w:t xml:space="preserve">Figure </w:t>
      </w:r>
      <w:r w:rsidR="004F67BA" w:rsidRPr="00462AE0">
        <w:t>1</w:t>
      </w:r>
      <w:r w:rsidRPr="00462AE0">
        <w:t xml:space="preserve">. </w:t>
      </w:r>
      <w:r w:rsidR="0051413F" w:rsidRPr="00462AE0">
        <w:t xml:space="preserve">Overall view of Australian e-cigarette retail business entities by </w:t>
      </w:r>
      <w:r w:rsidR="00A53E87" w:rsidRPr="00462AE0">
        <w:t>store types</w:t>
      </w:r>
      <w:bookmarkEnd w:id="35"/>
      <w:bookmarkEnd w:id="36"/>
      <w:bookmarkEnd w:id="37"/>
      <w:bookmarkEnd w:id="38"/>
      <w:bookmarkEnd w:id="39"/>
    </w:p>
    <w:p w14:paraId="2471F08E" w14:textId="77777777" w:rsidR="0051413F" w:rsidRPr="00462AE0" w:rsidRDefault="00337DD4" w:rsidP="008E7EDF">
      <w:pPr>
        <w:pStyle w:val="Bullet1"/>
        <w:keepNext/>
        <w:keepLines/>
        <w:ind w:left="360" w:hanging="360"/>
        <w:jc w:val="center"/>
      </w:pPr>
      <w:r w:rsidRPr="00462AE0">
        <w:rPr>
          <w:noProof/>
          <w:lang w:eastAsia="en-AU"/>
        </w:rPr>
        <w:drawing>
          <wp:inline distT="0" distB="0" distL="0" distR="0" wp14:anchorId="7623CAED" wp14:editId="7F1E7883">
            <wp:extent cx="4707629" cy="1522541"/>
            <wp:effectExtent l="0" t="0" r="17145" b="1905"/>
            <wp:docPr id="1314137151" name="Chart 1314137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0A2EEC" w14:textId="762B3A70" w:rsidR="0051413F" w:rsidRPr="00462AE0" w:rsidRDefault="0051413F" w:rsidP="003F4070">
      <w:pPr>
        <w:pStyle w:val="Tabledescription"/>
        <w:rPr>
          <w:color w:val="auto"/>
        </w:rPr>
      </w:pPr>
      <w:r w:rsidRPr="00462AE0">
        <w:rPr>
          <w:color w:val="auto"/>
        </w:rPr>
        <w:t>Source: Data sourced from initial desktop research.</w:t>
      </w:r>
    </w:p>
    <w:p w14:paraId="42FAED1A" w14:textId="73A80A8C" w:rsidR="005B0359" w:rsidRPr="00462AE0" w:rsidRDefault="007B3767" w:rsidP="00A83BD6">
      <w:pPr>
        <w:pStyle w:val="Heading5"/>
      </w:pPr>
      <w:r w:rsidRPr="00462AE0">
        <w:t xml:space="preserve">Vaping Specialist </w:t>
      </w:r>
      <w:r w:rsidR="005B0359" w:rsidRPr="00462AE0">
        <w:t>Stores</w:t>
      </w:r>
      <w:r w:rsidR="00FF5631" w:rsidRPr="00462AE0">
        <w:t xml:space="preserve"> </w:t>
      </w:r>
    </w:p>
    <w:p w14:paraId="5D4174DB" w14:textId="77777777" w:rsidR="00DC6A63" w:rsidRPr="00462AE0" w:rsidRDefault="00DC6A63" w:rsidP="00DC6A63">
      <w:pPr>
        <w:pStyle w:val="Bullet1"/>
      </w:pPr>
      <w:r w:rsidRPr="00462AE0">
        <w:t xml:space="preserve">There are an estimated </w:t>
      </w:r>
      <w:r w:rsidRPr="00462AE0">
        <w:rPr>
          <w:b/>
          <w:bCs/>
        </w:rPr>
        <w:t>205</w:t>
      </w:r>
      <w:r w:rsidRPr="00462AE0">
        <w:t xml:space="preserve"> physical vaping specialist stores in Australian states and territories, with </w:t>
      </w:r>
      <w:r w:rsidRPr="00462AE0">
        <w:rPr>
          <w:b/>
        </w:rPr>
        <w:t>78%</w:t>
      </w:r>
      <w:r w:rsidRPr="00462AE0">
        <w:t xml:space="preserve"> of these stores in Queensland, New South Wales and Western Australia (Figure 3). </w:t>
      </w:r>
    </w:p>
    <w:p w14:paraId="1AF738DA" w14:textId="2A17AC64" w:rsidR="00F33EF5" w:rsidRPr="008E7EDF" w:rsidRDefault="00F33EF5" w:rsidP="008E7EDF">
      <w:pPr>
        <w:pStyle w:val="Caption"/>
      </w:pPr>
      <w:bookmarkStart w:id="40" w:name="_Toc146634901"/>
      <w:bookmarkStart w:id="41" w:name="_Toc146635576"/>
      <w:bookmarkStart w:id="42" w:name="_Toc146635837"/>
      <w:bookmarkStart w:id="43" w:name="_Toc146636176"/>
      <w:bookmarkStart w:id="44" w:name="_Toc147759792"/>
      <w:r w:rsidRPr="008E7EDF">
        <w:t xml:space="preserve">Figure </w:t>
      </w:r>
      <w:r w:rsidR="004F67BA" w:rsidRPr="008E7EDF">
        <w:t>2</w:t>
      </w:r>
      <w:r w:rsidRPr="008E7EDF">
        <w:t xml:space="preserve">. Number of </w:t>
      </w:r>
      <w:r w:rsidR="001D1554" w:rsidRPr="008E7EDF">
        <w:t>p</w:t>
      </w:r>
      <w:r w:rsidRPr="008E7EDF">
        <w:t xml:space="preserve">hysical </w:t>
      </w:r>
      <w:r w:rsidR="001D1554" w:rsidRPr="008E7EDF">
        <w:t>v</w:t>
      </w:r>
      <w:r w:rsidRPr="008E7EDF">
        <w:t xml:space="preserve">aping </w:t>
      </w:r>
      <w:r w:rsidR="001D1554" w:rsidRPr="008E7EDF">
        <w:t>s</w:t>
      </w:r>
      <w:r w:rsidRPr="008E7EDF">
        <w:t xml:space="preserve">pecialist </w:t>
      </w:r>
      <w:r w:rsidR="001D1554" w:rsidRPr="008E7EDF">
        <w:t>s</w:t>
      </w:r>
      <w:r w:rsidRPr="008E7EDF">
        <w:t xml:space="preserve">tores across Australian </w:t>
      </w:r>
      <w:r w:rsidR="001D1554" w:rsidRPr="008E7EDF">
        <w:t>s</w:t>
      </w:r>
      <w:r w:rsidRPr="008E7EDF">
        <w:t xml:space="preserve">tates and </w:t>
      </w:r>
      <w:r w:rsidR="001D1554" w:rsidRPr="008E7EDF">
        <w:t>t</w:t>
      </w:r>
      <w:r w:rsidRPr="008E7EDF">
        <w:t>erritories</w:t>
      </w:r>
      <w:bookmarkEnd w:id="40"/>
      <w:bookmarkEnd w:id="41"/>
      <w:bookmarkEnd w:id="42"/>
      <w:bookmarkEnd w:id="43"/>
      <w:bookmarkEnd w:id="44"/>
    </w:p>
    <w:p w14:paraId="3BB89901" w14:textId="25F2D7E9" w:rsidR="00F33EF5" w:rsidRPr="00462AE0" w:rsidRDefault="00F33EF5" w:rsidP="00F33EF5">
      <w:r w:rsidRPr="00462AE0">
        <w:rPr>
          <w:noProof/>
          <w:lang w:eastAsia="en-AU"/>
        </w:rPr>
        <w:drawing>
          <wp:inline distT="0" distB="0" distL="0" distR="0" wp14:anchorId="31FF9404" wp14:editId="34DE290F">
            <wp:extent cx="5895340" cy="1685498"/>
            <wp:effectExtent l="0" t="0" r="10160" b="10160"/>
            <wp:docPr id="2048214284" name="Chart 2048214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C96F0A" w14:textId="77777777" w:rsidR="00DC6A63" w:rsidRPr="00462AE0" w:rsidRDefault="00DC6A63" w:rsidP="00DC6A63">
      <w:pPr>
        <w:pStyle w:val="Bullet1"/>
      </w:pPr>
      <w:r w:rsidRPr="00462AE0">
        <w:t>While vape specialist stores make up only 1% of the retail vaping industry, 91% of vape specialist stores also have online stores providing nationwide shipping services.</w:t>
      </w:r>
      <w:r w:rsidRPr="00462AE0">
        <w:rPr>
          <w:rStyle w:val="FootnoteReference"/>
        </w:rPr>
        <w:footnoteReference w:id="27"/>
      </w:r>
      <w:r w:rsidRPr="00462AE0">
        <w:t xml:space="preserve"> There are </w:t>
      </w:r>
      <w:r w:rsidRPr="00462AE0">
        <w:rPr>
          <w:b/>
          <w:bCs/>
        </w:rPr>
        <w:t>73</w:t>
      </w:r>
      <w:r w:rsidRPr="00462AE0">
        <w:t xml:space="preserve"> online vape specialist stores in Australia providing delivery and pick up options and a range of services including on-the-day order processing, order tracking, loyalty programs and referral code programs. </w:t>
      </w:r>
    </w:p>
    <w:p w14:paraId="5CB5AD98" w14:textId="031CF013" w:rsidR="00DC6A63" w:rsidRPr="00462AE0" w:rsidRDefault="00DC6A63" w:rsidP="00DC6A63">
      <w:r w:rsidRPr="00462AE0">
        <w:t>Around 10.9% of vaping specialist stores are solely eCommerce businesses and do not have a physical storefront.</w:t>
      </w:r>
      <w:r w:rsidRPr="00462AE0">
        <w:rPr>
          <w:rStyle w:val="FootnoteReference"/>
        </w:rPr>
        <w:footnoteReference w:id="28"/>
      </w:r>
      <w:r w:rsidRPr="00462AE0">
        <w:t xml:space="preserve"> Some online specialist vaping stores, and small businesses with up to one physical storefront, advertise the development and sale of a small batch of </w:t>
      </w:r>
      <w:r w:rsidR="00467EDD">
        <w:t>zero-nicotine</w:t>
      </w:r>
      <w:r w:rsidRPr="00462AE0">
        <w:t xml:space="preserve"> e-liquids manufactured by Australian companies such as CV Labs. </w:t>
      </w:r>
    </w:p>
    <w:p w14:paraId="40D18DB0" w14:textId="696E2EA6" w:rsidR="00DC6A63" w:rsidRPr="00462AE0" w:rsidRDefault="00DC6A63" w:rsidP="00DC6A63">
      <w:r w:rsidRPr="00462AE0">
        <w:t>During consultation, the majority of vape retailers indicated that vapes made up 90</w:t>
      </w:r>
      <w:r w:rsidR="00C47243" w:rsidRPr="00063DFD">
        <w:rPr>
          <w:color w:val="000000"/>
        </w:rPr>
        <w:t>–</w:t>
      </w:r>
      <w:r w:rsidRPr="00462AE0">
        <w:t xml:space="preserve">100% of their sales. </w:t>
      </w:r>
    </w:p>
    <w:p w14:paraId="19ABD502" w14:textId="77777777" w:rsidR="00DC6A63" w:rsidRPr="00462AE0" w:rsidRDefault="00DC6A63" w:rsidP="008E7EDF">
      <w:pPr>
        <w:pStyle w:val="Heading5"/>
      </w:pPr>
      <w:r w:rsidRPr="00462AE0">
        <w:lastRenderedPageBreak/>
        <w:t>Tobacconists</w:t>
      </w:r>
    </w:p>
    <w:p w14:paraId="70176B04" w14:textId="43007C0F" w:rsidR="00DC6A63" w:rsidRPr="00462AE0" w:rsidRDefault="00DC6A63" w:rsidP="002130BB">
      <w:r w:rsidRPr="00462AE0">
        <w:t xml:space="preserve">It is estimated that there are </w:t>
      </w:r>
      <w:r w:rsidRPr="00462AE0">
        <w:rPr>
          <w:b/>
          <w:bCs/>
        </w:rPr>
        <w:t>1</w:t>
      </w:r>
      <w:r w:rsidR="00177D04">
        <w:rPr>
          <w:b/>
          <w:bCs/>
        </w:rPr>
        <w:t>,</w:t>
      </w:r>
      <w:r w:rsidRPr="00462AE0">
        <w:rPr>
          <w:b/>
          <w:bCs/>
        </w:rPr>
        <w:t>592</w:t>
      </w:r>
      <w:r w:rsidRPr="00462AE0">
        <w:t xml:space="preserve"> tobacconist retail stores across Australia, primarily comprising major Australian-owned tobacconists such as Tobacco Station Group (TSG), Smokemart, Free choice tobacconist, Cignall and King of the Pack, which constitute approximately </w:t>
      </w:r>
      <w:r w:rsidRPr="00462AE0">
        <w:rPr>
          <w:b/>
          <w:bCs/>
        </w:rPr>
        <w:t>82</w:t>
      </w:r>
      <w:r w:rsidRPr="00462AE0">
        <w:t>% of domestic tobacconist stores. Tobacconist type entities primarily adopt brick-and-mortar business models. Most of these tobacconist stores advertise the retail sale of vapes</w:t>
      </w:r>
      <w:r w:rsidR="00C47243">
        <w:t>.</w:t>
      </w:r>
      <w:r w:rsidRPr="00462AE0">
        <w:rPr>
          <w:rStyle w:val="FootnoteReference"/>
        </w:rPr>
        <w:footnoteReference w:id="29"/>
      </w:r>
      <w:r w:rsidRPr="00462AE0">
        <w:t xml:space="preserve"> </w:t>
      </w:r>
    </w:p>
    <w:p w14:paraId="046185F6" w14:textId="04A426F1" w:rsidR="00C47243" w:rsidRPr="00462AE0" w:rsidRDefault="00DC6A63" w:rsidP="002130BB">
      <w:r w:rsidRPr="00462AE0">
        <w:t>One tobacconist stakeholder indicated in response to the 2023 Consultation that 1</w:t>
      </w:r>
      <w:r w:rsidR="00C47243" w:rsidRPr="00063DFD">
        <w:rPr>
          <w:color w:val="000000"/>
        </w:rPr>
        <w:t>–</w:t>
      </w:r>
      <w:r w:rsidRPr="00462AE0">
        <w:t>2% of their sales are vapes</w:t>
      </w:r>
      <w:r w:rsidR="00447FD2" w:rsidRPr="00462AE0">
        <w:t>.</w:t>
      </w:r>
    </w:p>
    <w:p w14:paraId="0665C085" w14:textId="287696B6" w:rsidR="00120505" w:rsidRPr="00462AE0" w:rsidRDefault="00A33E20" w:rsidP="00746795">
      <w:pPr>
        <w:pStyle w:val="Caption"/>
      </w:pPr>
      <w:bookmarkStart w:id="45" w:name="_Toc146634902"/>
      <w:bookmarkStart w:id="46" w:name="_Toc146635577"/>
      <w:bookmarkStart w:id="47" w:name="_Toc146635838"/>
      <w:bookmarkStart w:id="48" w:name="_Toc146636177"/>
      <w:bookmarkStart w:id="49" w:name="_Toc147759793"/>
      <w:r w:rsidRPr="008E7EDF">
        <w:t xml:space="preserve">Figure </w:t>
      </w:r>
      <w:r w:rsidR="004F67BA" w:rsidRPr="008E7EDF">
        <w:t>3</w:t>
      </w:r>
      <w:r w:rsidRPr="008E7EDF">
        <w:t xml:space="preserve">. Number of </w:t>
      </w:r>
      <w:r w:rsidR="001D1554" w:rsidRPr="008E7EDF">
        <w:t>p</w:t>
      </w:r>
      <w:r w:rsidRPr="008E7EDF">
        <w:t xml:space="preserve">hysical </w:t>
      </w:r>
      <w:r w:rsidR="001D1554" w:rsidRPr="008E7EDF">
        <w:t>t</w:t>
      </w:r>
      <w:r w:rsidRPr="008E7EDF">
        <w:t xml:space="preserve">obacconist </w:t>
      </w:r>
      <w:r w:rsidR="001D1554" w:rsidRPr="008E7EDF">
        <w:t>s</w:t>
      </w:r>
      <w:r w:rsidRPr="008E7EDF">
        <w:t xml:space="preserve">tores across Australian </w:t>
      </w:r>
      <w:r w:rsidR="001D1554" w:rsidRPr="008E7EDF">
        <w:t>s</w:t>
      </w:r>
      <w:r w:rsidRPr="008E7EDF">
        <w:t xml:space="preserve">tates and </w:t>
      </w:r>
      <w:r w:rsidR="001D1554" w:rsidRPr="008E7EDF">
        <w:t>t</w:t>
      </w:r>
      <w:r w:rsidRPr="008E7EDF">
        <w:t>erritories</w:t>
      </w:r>
      <w:bookmarkEnd w:id="45"/>
      <w:bookmarkEnd w:id="46"/>
      <w:bookmarkEnd w:id="47"/>
      <w:bookmarkEnd w:id="48"/>
      <w:bookmarkEnd w:id="49"/>
      <w:r w:rsidR="00C47243">
        <w:br/>
      </w:r>
      <w:r w:rsidR="00C47243">
        <w:br/>
      </w:r>
      <w:r w:rsidR="006E68D3" w:rsidRPr="00462AE0">
        <w:rPr>
          <w:noProof/>
          <w:lang w:eastAsia="en-AU"/>
        </w:rPr>
        <w:drawing>
          <wp:inline distT="0" distB="0" distL="0" distR="0" wp14:anchorId="652EFBB7" wp14:editId="567B7804">
            <wp:extent cx="4572000" cy="2743200"/>
            <wp:effectExtent l="0" t="0" r="0" b="0"/>
            <wp:docPr id="795433253" name="Chart 795433253">
              <a:extLst xmlns:a="http://schemas.openxmlformats.org/drawingml/2006/main">
                <a:ext uri="{FF2B5EF4-FFF2-40B4-BE49-F238E27FC236}">
                  <a16:creationId xmlns:a16="http://schemas.microsoft.com/office/drawing/2014/main" id="{536E7F1E-5766-3FFD-0E82-FBE27D4A2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5FE7E8" w14:textId="16E6EBA0" w:rsidR="005B0359" w:rsidRPr="00462AE0" w:rsidRDefault="005B0359" w:rsidP="008E7EDF">
      <w:pPr>
        <w:pStyle w:val="Heading5"/>
      </w:pPr>
      <w:r w:rsidRPr="00462AE0">
        <w:t>Convenience Stores</w:t>
      </w:r>
    </w:p>
    <w:p w14:paraId="6493360C" w14:textId="456B0FA1" w:rsidR="008F6016" w:rsidRPr="00462AE0" w:rsidRDefault="00CB5042" w:rsidP="00FF5631">
      <w:r w:rsidRPr="00462AE0">
        <w:t>Most convenience stores are brick</w:t>
      </w:r>
      <w:r w:rsidR="00CF2CFE" w:rsidRPr="00462AE0">
        <w:t>-</w:t>
      </w:r>
      <w:r w:rsidRPr="00462AE0">
        <w:t>and</w:t>
      </w:r>
      <w:r w:rsidR="00CF2CFE" w:rsidRPr="00462AE0">
        <w:t>-</w:t>
      </w:r>
      <w:r w:rsidRPr="00462AE0">
        <w:t>mortar business</w:t>
      </w:r>
      <w:r w:rsidR="00CE6A23" w:rsidRPr="00462AE0">
        <w:t xml:space="preserve">es, focusing on providing </w:t>
      </w:r>
      <w:r w:rsidR="00F5734D" w:rsidRPr="00462AE0">
        <w:t xml:space="preserve">customers </w:t>
      </w:r>
      <w:r w:rsidR="00CE6A23" w:rsidRPr="00462AE0">
        <w:t xml:space="preserve">ease of </w:t>
      </w:r>
      <w:r w:rsidR="00F5734D" w:rsidRPr="00462AE0">
        <w:t xml:space="preserve">physical </w:t>
      </w:r>
      <w:r w:rsidR="00CE6A23" w:rsidRPr="00462AE0">
        <w:t>access to everyday household items</w:t>
      </w:r>
      <w:r w:rsidR="00F5734D" w:rsidRPr="00462AE0">
        <w:t>.</w:t>
      </w:r>
      <w:r w:rsidR="00747184" w:rsidRPr="00462AE0">
        <w:t xml:space="preserve"> Convenience stores do not typically advertise </w:t>
      </w:r>
      <w:r w:rsidR="00A27EFE" w:rsidRPr="00462AE0">
        <w:t>vapes</w:t>
      </w:r>
      <w:r w:rsidR="001E3460" w:rsidRPr="00462AE0">
        <w:t xml:space="preserve"> in their online catalogues</w:t>
      </w:r>
      <w:r w:rsidR="00797B70" w:rsidRPr="00462AE0">
        <w:t xml:space="preserve">. </w:t>
      </w:r>
    </w:p>
    <w:p w14:paraId="69871B93" w14:textId="14FF8825" w:rsidR="00A03201" w:rsidRPr="00462AE0" w:rsidRDefault="00152CAD" w:rsidP="00AB7A52">
      <w:r w:rsidRPr="00462AE0">
        <w:t xml:space="preserve">Online </w:t>
      </w:r>
      <w:r w:rsidR="00C52E3A" w:rsidRPr="00462AE0">
        <w:t xml:space="preserve">vaping community </w:t>
      </w:r>
      <w:r w:rsidR="00145BCA" w:rsidRPr="00462AE0">
        <w:t xml:space="preserve">forums </w:t>
      </w:r>
      <w:r w:rsidR="004702B0" w:rsidRPr="00462AE0">
        <w:t xml:space="preserve">have </w:t>
      </w:r>
      <w:r w:rsidR="009A4556" w:rsidRPr="00462AE0">
        <w:t>alluded</w:t>
      </w:r>
      <w:r w:rsidR="004702B0" w:rsidRPr="00462AE0">
        <w:t xml:space="preserve"> to the </w:t>
      </w:r>
      <w:r w:rsidR="008478D7" w:rsidRPr="00462AE0">
        <w:t xml:space="preserve">retailing of </w:t>
      </w:r>
      <w:r w:rsidR="00A27EFE" w:rsidRPr="00462AE0">
        <w:t>vapes</w:t>
      </w:r>
      <w:r w:rsidR="003C7629" w:rsidRPr="00462AE0">
        <w:t xml:space="preserve"> </w:t>
      </w:r>
      <w:r w:rsidR="00B66FB4" w:rsidRPr="00462AE0">
        <w:t>at</w:t>
      </w:r>
      <w:r w:rsidR="003C7629" w:rsidRPr="00462AE0">
        <w:t xml:space="preserve"> </w:t>
      </w:r>
      <w:r w:rsidR="009A4556" w:rsidRPr="00462AE0">
        <w:t xml:space="preserve">multinational </w:t>
      </w:r>
      <w:r w:rsidR="00E37CAD" w:rsidRPr="00462AE0">
        <w:t xml:space="preserve">chain convenience </w:t>
      </w:r>
      <w:r w:rsidR="002C2147" w:rsidRPr="00462AE0">
        <w:t xml:space="preserve">retail stores with over </w:t>
      </w:r>
      <w:r w:rsidR="00B66FB4" w:rsidRPr="00462AE0">
        <w:rPr>
          <w:b/>
          <w:bCs/>
        </w:rPr>
        <w:t>3</w:t>
      </w:r>
      <w:r w:rsidR="00201ED9">
        <w:rPr>
          <w:b/>
          <w:bCs/>
        </w:rPr>
        <w:t>,</w:t>
      </w:r>
      <w:r w:rsidR="00B66FB4" w:rsidRPr="00462AE0">
        <w:rPr>
          <w:b/>
          <w:bCs/>
        </w:rPr>
        <w:t>505</w:t>
      </w:r>
      <w:r w:rsidR="00B66FB4" w:rsidRPr="00462AE0">
        <w:t xml:space="preserve"> physical retail stores across Australia. </w:t>
      </w:r>
    </w:p>
    <w:p w14:paraId="62CEFC62" w14:textId="3A9EB0A3" w:rsidR="00672F22" w:rsidRPr="00DC6A63" w:rsidRDefault="00672F22" w:rsidP="00AB7A52">
      <w:pPr>
        <w:rPr>
          <w:color w:val="538135" w:themeColor="accent6" w:themeShade="BF"/>
        </w:rPr>
      </w:pPr>
      <w:r w:rsidRPr="00462AE0">
        <w:br w:type="page"/>
      </w:r>
    </w:p>
    <w:p w14:paraId="14EB129A" w14:textId="3E2A4483" w:rsidR="00A50892" w:rsidRPr="00DB2F88" w:rsidRDefault="005D1405" w:rsidP="00E30F8A">
      <w:pPr>
        <w:pStyle w:val="Heading2"/>
      </w:pPr>
      <w:bookmarkStart w:id="50" w:name="_Toc146634903"/>
      <w:bookmarkStart w:id="51" w:name="_Toc151040321"/>
      <w:r w:rsidRPr="00DB2F88">
        <w:lastRenderedPageBreak/>
        <w:t xml:space="preserve">Question One: What </w:t>
      </w:r>
      <w:r w:rsidRPr="00E30F8A">
        <w:t>is</w:t>
      </w:r>
      <w:r w:rsidRPr="00DB2F88">
        <w:t xml:space="preserve"> the proble</w:t>
      </w:r>
      <w:r w:rsidR="00A50892" w:rsidRPr="00DB2F88">
        <w:t>m</w:t>
      </w:r>
      <w:r w:rsidRPr="00DB2F88">
        <w:t xml:space="preserve"> </w:t>
      </w:r>
      <w:r w:rsidR="008851BE" w:rsidRPr="00DB2F88">
        <w:t>you are</w:t>
      </w:r>
      <w:r w:rsidRPr="00DB2F88">
        <w:t xml:space="preserve"> trying to solve</w:t>
      </w:r>
      <w:r w:rsidR="00E671A9" w:rsidRPr="00DB2F88">
        <w:t xml:space="preserve"> and what data is available</w:t>
      </w:r>
      <w:r w:rsidRPr="00DB2F88">
        <w:t>?</w:t>
      </w:r>
      <w:bookmarkEnd w:id="50"/>
      <w:bookmarkEnd w:id="51"/>
    </w:p>
    <w:p w14:paraId="782A7720" w14:textId="53472EA0" w:rsidR="007967B2" w:rsidRPr="00DB2F88" w:rsidRDefault="007967B2" w:rsidP="007967B2">
      <w:pPr>
        <w:rPr>
          <w:rFonts w:eastAsia="Calibri"/>
        </w:rPr>
      </w:pPr>
      <w:bookmarkStart w:id="52" w:name="_Toc144463258"/>
      <w:bookmarkStart w:id="53" w:name="_Toc63843081"/>
      <w:bookmarkStart w:id="54" w:name="_Toc112931021"/>
      <w:bookmarkStart w:id="55" w:name="_Toc114129986"/>
      <w:bookmarkStart w:id="56" w:name="_Toc146634904"/>
      <w:r w:rsidRPr="00DB2F88">
        <w:t xml:space="preserve">Despite regulatory reforms in 2021, vape marketing and use in Australia has increased in recent years, particularly among </w:t>
      </w:r>
      <w:r w:rsidR="00C023F5">
        <w:t>youth and young adults</w:t>
      </w:r>
      <w:r w:rsidRPr="00DB2F88">
        <w:t xml:space="preserve">. This growth in vaping and the unknown quality and safety of vapes represent an unacceptable population health risk, particularly in light of the unfortunate </w:t>
      </w:r>
      <w:r w:rsidRPr="00DB2F88">
        <w:rPr>
          <w:rFonts w:eastAsia="Calibri"/>
        </w:rPr>
        <w:t xml:space="preserve">lessons we have learnt from tobacco use. </w:t>
      </w:r>
    </w:p>
    <w:p w14:paraId="102906E8" w14:textId="68808F91" w:rsidR="007967B2" w:rsidRPr="00DB2F88" w:rsidRDefault="007967B2" w:rsidP="007967B2">
      <w:pPr>
        <w:rPr>
          <w:rFonts w:eastAsia="Arial" w:cs="Arial"/>
        </w:rPr>
      </w:pPr>
      <w:r w:rsidRPr="00DB2F88">
        <w:t>Increasing vaping prevalence also has</w:t>
      </w:r>
      <w:r w:rsidRPr="00DB2F88">
        <w:rPr>
          <w:rFonts w:eastAsia="Calibri"/>
        </w:rPr>
        <w:t xml:space="preserve"> the potential to disrupt the significant achievements Australia has made to date in tobacco control. There is already emerging evidence that, alongside the increasing use of vapes, there has been an increase in </w:t>
      </w:r>
      <w:r w:rsidR="00C948DB">
        <w:rPr>
          <w:rFonts w:eastAsia="Calibri"/>
        </w:rPr>
        <w:t>youth</w:t>
      </w:r>
      <w:r w:rsidRPr="00DB2F88">
        <w:rPr>
          <w:rFonts w:eastAsia="Calibri"/>
        </w:rPr>
        <w:t xml:space="preserve"> </w:t>
      </w:r>
      <w:r w:rsidR="00B13D0D">
        <w:rPr>
          <w:rFonts w:eastAsia="Calibri"/>
        </w:rPr>
        <w:t>and young adults</w:t>
      </w:r>
      <w:r w:rsidRPr="00DB2F88">
        <w:rPr>
          <w:rFonts w:eastAsia="Calibri"/>
        </w:rPr>
        <w:t xml:space="preserve"> using tobacco products</w:t>
      </w:r>
      <w:r w:rsidR="00C47243">
        <w:rPr>
          <w:rFonts w:eastAsia="Calibri"/>
        </w:rPr>
        <w:t>.</w:t>
      </w:r>
      <w:r w:rsidRPr="00DB2F88">
        <w:rPr>
          <w:rStyle w:val="FootnoteReference"/>
          <w:rFonts w:eastAsia="Calibri"/>
        </w:rPr>
        <w:footnoteReference w:id="30"/>
      </w:r>
    </w:p>
    <w:p w14:paraId="10FAA490" w14:textId="40ED3A45" w:rsidR="007967B2" w:rsidRPr="00DB2F88" w:rsidRDefault="007967B2" w:rsidP="007967B2">
      <w:pPr>
        <w:rPr>
          <w:rFonts w:eastAsia="Arial" w:cs="Arial"/>
        </w:rPr>
      </w:pPr>
      <w:r w:rsidRPr="00DB2F88">
        <w:rPr>
          <w:rFonts w:eastAsia="Arial" w:cs="Arial"/>
        </w:rPr>
        <w:t>However, as discussed below under “Access to vapes is appropriate in some circumstances”, some vapes should remain available as an option to assist a cohort of smokers to give up smoking and, where clinically appropriate, nicotine addiction. There is evidence that vaping</w:t>
      </w:r>
      <w:r w:rsidRPr="00DB2F88">
        <w:rPr>
          <w:rFonts w:eastAsia="Arial" w:cs="Arial"/>
          <w:sz w:val="19"/>
          <w:szCs w:val="19"/>
        </w:rPr>
        <w:t xml:space="preserve">, </w:t>
      </w:r>
      <w:r w:rsidRPr="00DB2F88">
        <w:rPr>
          <w:rFonts w:eastAsia="Arial" w:cs="Arial"/>
        </w:rPr>
        <w:t>in the right context and as part of a coordinated program including behavioural support, can assist some people to give up smoking. Tobacco use remains one of the leading causes of preventable death and disability among Australians. While vape use also carries risks, vapes do not produce the tar produced by conventional cigarettes, which is the main cause of lung cancer. Nonetheless, while there is no tar in vapes, the long</w:t>
      </w:r>
      <w:r w:rsidR="00DB2F88">
        <w:rPr>
          <w:rFonts w:eastAsia="Arial" w:cs="Arial"/>
        </w:rPr>
        <w:t>-</w:t>
      </w:r>
      <w:r w:rsidRPr="00DB2F88">
        <w:rPr>
          <w:rFonts w:eastAsia="Arial" w:cs="Arial"/>
        </w:rPr>
        <w:t>term impacts of vaping are yet to be fully understood and some immediate and early health impacts are already being seen.</w:t>
      </w:r>
    </w:p>
    <w:p w14:paraId="7EBB9FB5" w14:textId="77777777" w:rsidR="00082EF6" w:rsidRPr="00DB2F88" w:rsidRDefault="00082EF6" w:rsidP="00E30F8A">
      <w:pPr>
        <w:pStyle w:val="Heading3"/>
      </w:pPr>
      <w:bookmarkStart w:id="57" w:name="_Toc146634905"/>
      <w:bookmarkStart w:id="58" w:name="_Toc151040322"/>
      <w:r w:rsidRPr="00DB2F88">
        <w:t xml:space="preserve">The 2021 reforms need </w:t>
      </w:r>
      <w:r w:rsidRPr="00E30F8A">
        <w:t>refinement</w:t>
      </w:r>
      <w:bookmarkEnd w:id="57"/>
      <w:bookmarkEnd w:id="58"/>
    </w:p>
    <w:p w14:paraId="38425B31" w14:textId="77777777" w:rsidR="007967B2" w:rsidRPr="00DB2F88" w:rsidRDefault="007967B2" w:rsidP="007967B2">
      <w:r w:rsidRPr="00DB2F88">
        <w:t>Regulatory requirements for therapeutic vapes containing nicotine changed on 1 October 2021 (the 2021 reforms), when a TGA decision resulted in nicotine being scheduled as a Schedule 4 substance under the Poisons Standard, except in certain circumstances. The change meant that vapes containing nicotine were subject to regulatory controls under state and territory legislation relating to prescription medicines.</w:t>
      </w:r>
    </w:p>
    <w:p w14:paraId="64B138D8" w14:textId="2A2341D1" w:rsidR="007967B2" w:rsidRPr="00DB2F88" w:rsidRDefault="007967B2" w:rsidP="007967B2">
      <w:pPr>
        <w:rPr>
          <w:rFonts w:cstheme="majorBidi"/>
        </w:rPr>
      </w:pPr>
      <w:r w:rsidRPr="00DB2F88">
        <w:rPr>
          <w:rFonts w:cstheme="majorBidi"/>
        </w:rPr>
        <w:t>The intention of the 2021 reforms was to prevent access to vapes that contain nicotine, except for the purpose of smoking cessation under medical supervision with a prescription. These reforms also make it unlawful to import vapes containing nicotine without a valid prescription from a medical practitioner.</w:t>
      </w:r>
    </w:p>
    <w:p w14:paraId="59C59BBA" w14:textId="405C9527" w:rsidR="00082EF6" w:rsidRPr="00DB2F88" w:rsidRDefault="007967B2" w:rsidP="007B20E9">
      <w:pPr>
        <w:rPr>
          <w:rFonts w:cstheme="majorHAnsi"/>
          <w:szCs w:val="22"/>
        </w:rPr>
      </w:pPr>
      <w:r w:rsidRPr="00DB2F88">
        <w:rPr>
          <w:rFonts w:cstheme="majorHAnsi"/>
          <w:szCs w:val="22"/>
        </w:rPr>
        <w:t xml:space="preserve">Recent evidence (as outlined above) suggests that the 2021 reforms are not meeting these objectives. </w:t>
      </w:r>
    </w:p>
    <w:p w14:paraId="4C820569" w14:textId="078FD876" w:rsidR="00446AE0" w:rsidRPr="00DB2F88" w:rsidRDefault="458CAF8B" w:rsidP="00E30F8A">
      <w:pPr>
        <w:pStyle w:val="Heading3"/>
      </w:pPr>
      <w:bookmarkStart w:id="59" w:name="_Toc151040323"/>
      <w:bookmarkEnd w:id="52"/>
      <w:bookmarkEnd w:id="53"/>
      <w:bookmarkEnd w:id="54"/>
      <w:bookmarkEnd w:id="55"/>
      <w:bookmarkEnd w:id="56"/>
      <w:r w:rsidRPr="00E30F8A">
        <w:t>Increasing</w:t>
      </w:r>
      <w:r w:rsidRPr="00DB2F88">
        <w:t xml:space="preserve"> prevalence </w:t>
      </w:r>
      <w:r w:rsidR="00BE65D9" w:rsidRPr="00DB2F88">
        <w:t>and</w:t>
      </w:r>
      <w:r w:rsidR="00544CD4" w:rsidRPr="00DB2F88">
        <w:t xml:space="preserve"> </w:t>
      </w:r>
      <w:r w:rsidR="007548D6" w:rsidRPr="00DB2F88">
        <w:t>attractiveness</w:t>
      </w:r>
      <w:r w:rsidR="00544CD4" w:rsidRPr="00DB2F88">
        <w:t xml:space="preserve"> </w:t>
      </w:r>
      <w:r w:rsidRPr="00DB2F88">
        <w:t>of vaping in Australia</w:t>
      </w:r>
      <w:r w:rsidR="00A95E97" w:rsidRPr="00DB2F88">
        <w:t xml:space="preserve">, particularly among </w:t>
      </w:r>
      <w:r w:rsidR="005B497B">
        <w:t>youth</w:t>
      </w:r>
      <w:r w:rsidR="00F37172" w:rsidRPr="00DB2F88">
        <w:t xml:space="preserve"> and young adults</w:t>
      </w:r>
      <w:bookmarkEnd w:id="59"/>
    </w:p>
    <w:p w14:paraId="463C836A" w14:textId="4ECA8E3F" w:rsidR="007967B2" w:rsidRPr="00DB2F88" w:rsidRDefault="007967B2" w:rsidP="00E30F8A">
      <w:r w:rsidRPr="00DB2F88">
        <w:t xml:space="preserve">The prevalence of vaping in Australia is increasing and represents an unacceptable risk to public health. Of particular concern is the attractiveness of these products to and the recent rapid increase in </w:t>
      </w:r>
      <w:r w:rsidRPr="00DB2F88">
        <w:lastRenderedPageBreak/>
        <w:t xml:space="preserve">their use by </w:t>
      </w:r>
      <w:r w:rsidR="00351EE0">
        <w:t>youth</w:t>
      </w:r>
      <w:r w:rsidR="00865CE8">
        <w:t xml:space="preserve"> and young adults</w:t>
      </w:r>
      <w:r w:rsidRPr="00DB2F88">
        <w:t>.</w:t>
      </w:r>
      <w:r w:rsidRPr="00FA6B93">
        <w:rPr>
          <w:rStyle w:val="FootnoteReference"/>
        </w:rPr>
        <w:footnoteReference w:id="31"/>
      </w:r>
      <w:r w:rsidR="00FA6B93" w:rsidRPr="00FA6B93">
        <w:rPr>
          <w:vertAlign w:val="superscript"/>
        </w:rPr>
        <w:t>,</w:t>
      </w:r>
      <w:r w:rsidRPr="00FA6B93">
        <w:rPr>
          <w:rStyle w:val="FootnoteReference"/>
        </w:rPr>
        <w:footnoteReference w:id="32"/>
      </w:r>
      <w:r w:rsidR="00FA6B93" w:rsidRPr="00FA6B93">
        <w:rPr>
          <w:vertAlign w:val="superscript"/>
        </w:rPr>
        <w:t>,</w:t>
      </w:r>
      <w:r w:rsidRPr="00FA6B93">
        <w:rPr>
          <w:rStyle w:val="FootnoteReference"/>
        </w:rPr>
        <w:footnoteReference w:id="33"/>
      </w:r>
      <w:r w:rsidR="00FA6B93" w:rsidRPr="00FA6B93">
        <w:rPr>
          <w:vertAlign w:val="superscript"/>
        </w:rPr>
        <w:t>,</w:t>
      </w:r>
      <w:r w:rsidRPr="00FA6B93">
        <w:rPr>
          <w:rStyle w:val="FootnoteReference"/>
        </w:rPr>
        <w:footnoteReference w:id="34"/>
      </w:r>
      <w:r w:rsidR="00FA6B93" w:rsidRPr="00FA6B93">
        <w:rPr>
          <w:vertAlign w:val="superscript"/>
        </w:rPr>
        <w:t>,</w:t>
      </w:r>
      <w:r w:rsidRPr="00FA6B93">
        <w:rPr>
          <w:rStyle w:val="FootnoteReference"/>
        </w:rPr>
        <w:footnoteReference w:id="35"/>
      </w:r>
      <w:r w:rsidR="00FA6B93" w:rsidRPr="00FA6B93">
        <w:rPr>
          <w:vertAlign w:val="superscript"/>
        </w:rPr>
        <w:t>,</w:t>
      </w:r>
      <w:r w:rsidRPr="00FA6B93">
        <w:rPr>
          <w:rStyle w:val="FootnoteReference"/>
        </w:rPr>
        <w:footnoteReference w:id="36"/>
      </w:r>
      <w:r w:rsidRPr="00DB2F88">
        <w:t xml:space="preserve"> Further, the nicotine component is highly addictive and levels of addiction are providing a gateway to tobacco smoking. </w:t>
      </w:r>
    </w:p>
    <w:p w14:paraId="1A8A54B3" w14:textId="2710AA82" w:rsidR="007967B2" w:rsidRPr="00DB2F88" w:rsidRDefault="007967B2" w:rsidP="007967B2">
      <w:pPr>
        <w:rPr>
          <w:rFonts w:cs="Arial"/>
        </w:rPr>
      </w:pPr>
      <w:r w:rsidRPr="00DB2F88">
        <w:rPr>
          <w:rFonts w:cs="Arial"/>
        </w:rPr>
        <w:t xml:space="preserve">Vaping is rapidly increasing in Australia, particularly among </w:t>
      </w:r>
      <w:r w:rsidR="009137CF">
        <w:rPr>
          <w:rFonts w:cs="Arial"/>
        </w:rPr>
        <w:t>youth and young adults</w:t>
      </w:r>
      <w:r w:rsidRPr="00DB2F88">
        <w:rPr>
          <w:rFonts w:cs="Arial"/>
        </w:rPr>
        <w:t xml:space="preserve">. The latest available trend data aligns with other prevalence data, summarised below, in showing that among </w:t>
      </w:r>
      <w:r w:rsidR="00550DA7">
        <w:rPr>
          <w:rFonts w:cs="Arial"/>
        </w:rPr>
        <w:t>people</w:t>
      </w:r>
      <w:r w:rsidRPr="00DB2F88">
        <w:rPr>
          <w:rFonts w:cs="Arial"/>
        </w:rPr>
        <w:t xml:space="preserve"> aged 14 years and over current use of an e</w:t>
      </w:r>
      <w:r w:rsidRPr="00DB2F88">
        <w:rPr>
          <w:rFonts w:cs="Arial"/>
        </w:rPr>
        <w:noBreakHyphen/>
        <w:t>cigarette (defined as use at least once in the last month of being surveyed) increased from 2.5% to 7.5% between 2020 and 2022.</w:t>
      </w:r>
      <w:r w:rsidRPr="00DB2F88">
        <w:rPr>
          <w:rStyle w:val="FootnoteReference"/>
          <w:rFonts w:cs="Arial"/>
        </w:rPr>
        <w:footnoteReference w:id="37"/>
      </w:r>
      <w:r w:rsidRPr="00DB2F88">
        <w:rPr>
          <w:rFonts w:cs="Arial"/>
        </w:rPr>
        <w:t xml:space="preserve"> The increase was particularly marked among people aged 18</w:t>
      </w:r>
      <w:r w:rsidR="00C47243" w:rsidRPr="00063DFD">
        <w:rPr>
          <w:color w:val="000000"/>
        </w:rPr>
        <w:t>–</w:t>
      </w:r>
      <w:r w:rsidRPr="00DB2F88">
        <w:rPr>
          <w:rFonts w:cs="Arial"/>
        </w:rPr>
        <w:t>24 years old, with a concerning 4-fold increase from 5.6% in 2020 to 21.4% in 2022.</w:t>
      </w:r>
    </w:p>
    <w:p w14:paraId="0308BD2B" w14:textId="1E11C61C" w:rsidR="00565E86" w:rsidRPr="00E30F8A" w:rsidRDefault="00565E86" w:rsidP="00E30F8A">
      <w:pPr>
        <w:pStyle w:val="Caption"/>
      </w:pPr>
      <w:bookmarkStart w:id="60" w:name="_Toc146636178"/>
      <w:bookmarkStart w:id="61" w:name="_Toc147759794"/>
      <w:r w:rsidRPr="00E30F8A">
        <w:t xml:space="preserve">Figure </w:t>
      </w:r>
      <w:r w:rsidR="004F67BA" w:rsidRPr="00E30F8A">
        <w:t>4</w:t>
      </w:r>
      <w:r w:rsidRPr="00E30F8A">
        <w:t>. Annual prevalence of current vaping in different age groups</w:t>
      </w:r>
      <w:bookmarkEnd w:id="60"/>
      <w:bookmarkEnd w:id="61"/>
    </w:p>
    <w:p w14:paraId="1E4C37D6" w14:textId="77777777" w:rsidR="00C60C74" w:rsidRPr="00DB2F88" w:rsidRDefault="00C60C74" w:rsidP="00C60C74">
      <w:r w:rsidRPr="00DB2F88">
        <w:rPr>
          <w:noProof/>
          <w:lang w:eastAsia="en-AU"/>
        </w:rPr>
        <w:drawing>
          <wp:inline distT="0" distB="0" distL="0" distR="0" wp14:anchorId="6D06DABD" wp14:editId="42936AD8">
            <wp:extent cx="5217543" cy="2219739"/>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7281" cy="2223882"/>
                    </a:xfrm>
                    <a:prstGeom prst="rect">
                      <a:avLst/>
                    </a:prstGeom>
                  </pic:spPr>
                </pic:pic>
              </a:graphicData>
            </a:graphic>
          </wp:inline>
        </w:drawing>
      </w:r>
    </w:p>
    <w:p w14:paraId="07394AAE" w14:textId="456A083B" w:rsidR="007967B2" w:rsidRPr="00DB2F88" w:rsidRDefault="007967B2" w:rsidP="007967B2">
      <w:pPr>
        <w:spacing w:before="120"/>
      </w:pPr>
      <w:r w:rsidRPr="00DB2F88">
        <w:t>While no national statistics on vaping</w:t>
      </w:r>
      <w:r w:rsidRPr="00DB2F88" w:rsidDel="007B0159">
        <w:t xml:space="preserve"> </w:t>
      </w:r>
      <w:r w:rsidRPr="00DB2F88">
        <w:t>since 2019 are available, results from the 2022</w:t>
      </w:r>
      <w:r w:rsidR="00C47243" w:rsidRPr="00063DFD">
        <w:rPr>
          <w:color w:val="000000"/>
        </w:rPr>
        <w:t>–</w:t>
      </w:r>
      <w:r w:rsidRPr="00DB2F88">
        <w:t xml:space="preserve">23 National Drug Strategy Household Survey are expected to be available in early 2024. There have been several localised studies which all suggest that vaping rates continue to rise, especially among </w:t>
      </w:r>
      <w:r w:rsidR="00425729">
        <w:t>youth and young adults</w:t>
      </w:r>
      <w:r w:rsidRPr="00DB2F88">
        <w:t>, even following the 2021 reforms.</w:t>
      </w:r>
      <w:r w:rsidRPr="00DB2F88">
        <w:rPr>
          <w:rFonts w:cs="Arial"/>
        </w:rPr>
        <w:t xml:space="preserve"> The key findings from these prevalence studies are outlined below.</w:t>
      </w:r>
    </w:p>
    <w:p w14:paraId="3BF29B33" w14:textId="0FCA9275" w:rsidR="007967B2" w:rsidRPr="00DB2F88" w:rsidRDefault="007967B2" w:rsidP="007967B2">
      <w:pPr>
        <w:rPr>
          <w:rFonts w:cs="Arial"/>
        </w:rPr>
      </w:pPr>
      <w:r w:rsidRPr="00DB2F88">
        <w:rPr>
          <w:rFonts w:cs="Arial"/>
        </w:rPr>
        <w:lastRenderedPageBreak/>
        <w:t>Cancer Council Victoria released a report in October 2022 summarising findings from two surveys of e-cigarette use in Victorian adults in 2018</w:t>
      </w:r>
      <w:r w:rsidR="00777D73" w:rsidRPr="00063DFD">
        <w:rPr>
          <w:color w:val="000000"/>
        </w:rPr>
        <w:t>–</w:t>
      </w:r>
      <w:r w:rsidRPr="00DB2F88">
        <w:rPr>
          <w:rFonts w:cs="Arial"/>
        </w:rPr>
        <w:t xml:space="preserve">19 and 2022. Key findings include that: </w:t>
      </w:r>
    </w:p>
    <w:p w14:paraId="0B0D4DAA" w14:textId="77777777" w:rsidR="007967B2" w:rsidRPr="00BC0593" w:rsidRDefault="007967B2" w:rsidP="00D12EFD">
      <w:pPr>
        <w:pStyle w:val="Bullet1"/>
        <w:numPr>
          <w:ilvl w:val="0"/>
          <w:numId w:val="24"/>
        </w:numPr>
      </w:pPr>
      <w:r w:rsidRPr="00BC0593">
        <w:t xml:space="preserve">the use of e-cigarettes by Victorian adults has significantly increased, particularly among young women and those under 30, also showing that: </w:t>
      </w:r>
    </w:p>
    <w:p w14:paraId="18692629" w14:textId="69614FDE" w:rsidR="007967B2" w:rsidRPr="00BC0593" w:rsidRDefault="007967B2" w:rsidP="00DD718C">
      <w:pPr>
        <w:pStyle w:val="Bullet1"/>
        <w:numPr>
          <w:ilvl w:val="1"/>
          <w:numId w:val="24"/>
        </w:numPr>
      </w:pPr>
      <w:r w:rsidRPr="00BC0593">
        <w:t>ever use increased from 17% to 22%</w:t>
      </w:r>
    </w:p>
    <w:p w14:paraId="14E9BD9A" w14:textId="5541EEC9" w:rsidR="007967B2" w:rsidRPr="00BC0593" w:rsidRDefault="007967B2" w:rsidP="00DD718C">
      <w:pPr>
        <w:pStyle w:val="Bullet1"/>
        <w:numPr>
          <w:ilvl w:val="1"/>
          <w:numId w:val="24"/>
        </w:numPr>
      </w:pPr>
      <w:r w:rsidRPr="00BC0593">
        <w:t>current use doubled from 3.0% to 6.1%</w:t>
      </w:r>
    </w:p>
    <w:p w14:paraId="661B7417" w14:textId="5D726784" w:rsidR="007967B2" w:rsidRPr="00BC0593" w:rsidRDefault="007967B2" w:rsidP="00DD718C">
      <w:pPr>
        <w:pStyle w:val="Bullet1"/>
        <w:numPr>
          <w:ilvl w:val="1"/>
          <w:numId w:val="24"/>
        </w:numPr>
      </w:pPr>
      <w:r w:rsidRPr="00BC0593">
        <w:t>regular use more than doubled from 1.6% to 3.5%</w:t>
      </w:r>
      <w:r w:rsidR="00EA0FC3">
        <w:t>.</w:t>
      </w:r>
    </w:p>
    <w:p w14:paraId="46418A92" w14:textId="7BB57A52" w:rsidR="007967B2" w:rsidRPr="00BC0593" w:rsidRDefault="007967B2" w:rsidP="00D12EFD">
      <w:pPr>
        <w:pStyle w:val="Bullet1"/>
        <w:numPr>
          <w:ilvl w:val="0"/>
          <w:numId w:val="24"/>
        </w:numPr>
      </w:pPr>
      <w:r w:rsidRPr="00BC0593">
        <w:t>of the estimated 308,827 current users in 2022, more than half were under 30 years old and more than 30% were aged 18</w:t>
      </w:r>
      <w:r w:rsidR="00777D73" w:rsidRPr="00063DFD">
        <w:rPr>
          <w:color w:val="000000"/>
        </w:rPr>
        <w:t>–</w:t>
      </w:r>
      <w:r w:rsidRPr="00BC0593">
        <w:t xml:space="preserve">24 years </w:t>
      </w:r>
    </w:p>
    <w:p w14:paraId="5B6DD250" w14:textId="77777777" w:rsidR="007967B2" w:rsidRPr="00DB2F88" w:rsidRDefault="007967B2" w:rsidP="00D12EFD">
      <w:pPr>
        <w:pStyle w:val="Bullet1"/>
        <w:numPr>
          <w:ilvl w:val="0"/>
          <w:numId w:val="24"/>
        </w:numPr>
      </w:pPr>
      <w:r w:rsidRPr="00BC0593">
        <w:t>the proportion of never smokers who currently use e-cigarettes increased 4.5-fold from 2018/19 to 2022. This represents approximately 77,200 never smokers who reported currently vaping, of which 44,534 (more than half; 57.7%) were under the age of 25 years.</w:t>
      </w:r>
    </w:p>
    <w:p w14:paraId="1F2A27A6" w14:textId="77777777" w:rsidR="007967B2" w:rsidRPr="00DB2F88" w:rsidRDefault="007967B2" w:rsidP="007967B2">
      <w:pPr>
        <w:keepNext/>
        <w:rPr>
          <w:rFonts w:cs="Arial"/>
        </w:rPr>
      </w:pPr>
      <w:r w:rsidRPr="00DB2F88">
        <w:rPr>
          <w:rFonts w:cs="Arial"/>
        </w:rPr>
        <w:t>Preliminary data analysed by Cancer Council Victoria</w:t>
      </w:r>
      <w:r w:rsidRPr="00DB2F88">
        <w:rPr>
          <w:rStyle w:val="FootnoteReference"/>
          <w:rFonts w:eastAsia="Arial" w:cs="Arial"/>
        </w:rPr>
        <w:footnoteReference w:id="38"/>
      </w:r>
      <w:r w:rsidRPr="00DB2F88">
        <w:rPr>
          <w:rFonts w:cs="Arial"/>
        </w:rPr>
        <w:t xml:space="preserve"> shows that, in the first quarter of 2023:</w:t>
      </w:r>
    </w:p>
    <w:p w14:paraId="2F3FC3F4" w14:textId="77777777" w:rsidR="007967B2" w:rsidRPr="00BC0593" w:rsidRDefault="007967B2" w:rsidP="00D12EFD">
      <w:pPr>
        <w:pStyle w:val="Bullet1"/>
        <w:numPr>
          <w:ilvl w:val="0"/>
          <w:numId w:val="24"/>
        </w:numPr>
      </w:pPr>
      <w:r w:rsidRPr="00BC0593">
        <w:t>8.9% of people aged 14+ reported current use of an e-cigarette (i.e., use at least once in the last month of being surveyed). In particular, the reported current use of an e-cigarette in defined age groups was:</w:t>
      </w:r>
    </w:p>
    <w:p w14:paraId="3C4D2768" w14:textId="7C229206" w:rsidR="007967B2" w:rsidRPr="00BC0593" w:rsidRDefault="007967B2" w:rsidP="00746795">
      <w:pPr>
        <w:pStyle w:val="Bullet1"/>
        <w:numPr>
          <w:ilvl w:val="1"/>
          <w:numId w:val="24"/>
        </w:numPr>
      </w:pPr>
      <w:r w:rsidRPr="00BC0593">
        <w:t>14.5% for ages 14-17</w:t>
      </w:r>
    </w:p>
    <w:p w14:paraId="76ED8A5C" w14:textId="5548E24B" w:rsidR="007967B2" w:rsidRPr="00BC0593" w:rsidRDefault="007967B2" w:rsidP="00746795">
      <w:pPr>
        <w:pStyle w:val="Bullet1"/>
        <w:numPr>
          <w:ilvl w:val="1"/>
          <w:numId w:val="24"/>
        </w:numPr>
      </w:pPr>
      <w:r w:rsidRPr="00BC0593">
        <w:t>19.8% for ages 18-24 (highest prevalence)</w:t>
      </w:r>
    </w:p>
    <w:p w14:paraId="11E1D380" w14:textId="681E49A9" w:rsidR="007967B2" w:rsidRPr="00FA6B93" w:rsidRDefault="007967B2" w:rsidP="00746795">
      <w:pPr>
        <w:pStyle w:val="Bullet1"/>
        <w:numPr>
          <w:ilvl w:val="1"/>
          <w:numId w:val="24"/>
        </w:numPr>
      </w:pPr>
      <w:r w:rsidRPr="00BC0593">
        <w:t>17.4% for ages 25-34</w:t>
      </w:r>
    </w:p>
    <w:p w14:paraId="1F7B9484" w14:textId="6CFCC03E" w:rsidR="007967B2" w:rsidRPr="00FA6B93" w:rsidRDefault="007967B2" w:rsidP="00746795">
      <w:pPr>
        <w:pStyle w:val="Bullet1"/>
        <w:numPr>
          <w:ilvl w:val="1"/>
          <w:numId w:val="24"/>
        </w:numPr>
      </w:pPr>
      <w:r w:rsidRPr="00BC0593">
        <w:t>6.6% for ages 35-49</w:t>
      </w:r>
    </w:p>
    <w:p w14:paraId="62FD5C93" w14:textId="77777777" w:rsidR="007967B2" w:rsidRPr="00FA6B93" w:rsidRDefault="007967B2" w:rsidP="00746795">
      <w:pPr>
        <w:pStyle w:val="Bullet1"/>
        <w:numPr>
          <w:ilvl w:val="1"/>
          <w:numId w:val="24"/>
        </w:numPr>
      </w:pPr>
      <w:r w:rsidRPr="00BC0593">
        <w:t>2.5% for those aged 50+.</w:t>
      </w:r>
    </w:p>
    <w:p w14:paraId="2CD55E54" w14:textId="37680149" w:rsidR="007967B2" w:rsidRPr="00DB2F88" w:rsidRDefault="007967B2" w:rsidP="007967B2">
      <w:r w:rsidRPr="00DB2F88">
        <w:t xml:space="preserve">The 2019 National Drug Strategy Household Survey (NDSHS) shows lifetime use of e-cigarettes (containing nicotine and </w:t>
      </w:r>
      <w:r w:rsidR="00467EDD">
        <w:t>zero-nicotine</w:t>
      </w:r>
      <w:r w:rsidRPr="00DB2F88">
        <w:t xml:space="preserve"> e-liquids) among all age groups increased significantly from 8.8% in 2016 to 11.3% in 2019.</w:t>
      </w:r>
      <w:r w:rsidR="00777D73" w:rsidRPr="00777D73">
        <w:rPr>
          <w:rStyle w:val="FootnoteReference"/>
        </w:rPr>
        <w:t xml:space="preserve"> </w:t>
      </w:r>
      <w:r w:rsidR="00777D73" w:rsidRPr="00DB2F88">
        <w:rPr>
          <w:rStyle w:val="FootnoteReference"/>
        </w:rPr>
        <w:footnoteReference w:id="39"/>
      </w:r>
    </w:p>
    <w:p w14:paraId="109077B6" w14:textId="77777777" w:rsidR="007967B2" w:rsidRPr="00DB2F88" w:rsidRDefault="007967B2" w:rsidP="007967B2">
      <w:pPr>
        <w:keepNext/>
      </w:pPr>
      <w:r w:rsidRPr="00DB2F88">
        <w:t>As reported by the AIHW</w:t>
      </w:r>
      <w:r w:rsidRPr="00DB2F88">
        <w:rPr>
          <w:rStyle w:val="FootnoteReference"/>
        </w:rPr>
        <w:footnoteReference w:id="40"/>
      </w:r>
      <w:r w:rsidRPr="00DB2F88">
        <w:t xml:space="preserve"> in 2019, for those people aged 14 and over:</w:t>
      </w:r>
    </w:p>
    <w:p w14:paraId="114D47A1" w14:textId="2C06239D" w:rsidR="007967B2" w:rsidRPr="00BC0593" w:rsidRDefault="007967B2" w:rsidP="00D12EFD">
      <w:pPr>
        <w:pStyle w:val="Bullet1"/>
        <w:numPr>
          <w:ilvl w:val="0"/>
          <w:numId w:val="24"/>
        </w:numPr>
      </w:pPr>
      <w:r w:rsidRPr="00BC0593">
        <w:t>almost 2 in 5 (39%) smokers had tried e-cigarettes in their lifetime, a significant increase since 2016 (31%)</w:t>
      </w:r>
    </w:p>
    <w:p w14:paraId="5CC19C0A" w14:textId="77777777" w:rsidR="007967B2" w:rsidRPr="00BC0593" w:rsidRDefault="007967B2" w:rsidP="00D12EFD">
      <w:pPr>
        <w:pStyle w:val="Bullet1"/>
        <w:numPr>
          <w:ilvl w:val="0"/>
          <w:numId w:val="24"/>
        </w:numPr>
      </w:pPr>
      <w:r w:rsidRPr="00BC0593">
        <w:t>there was a significant increase in the proportion of non-smokers who had tried e-cigarettes in their lifetime (from 4.9% to 6.9%)</w:t>
      </w:r>
    </w:p>
    <w:p w14:paraId="0A8C2073" w14:textId="02910C90" w:rsidR="007967B2" w:rsidRPr="00BC0593" w:rsidRDefault="007967B2" w:rsidP="00D12EFD">
      <w:pPr>
        <w:pStyle w:val="Bullet1"/>
        <w:numPr>
          <w:ilvl w:val="0"/>
          <w:numId w:val="24"/>
        </w:numPr>
      </w:pPr>
      <w:r w:rsidRPr="00BC0593">
        <w:t>3.2% of current smokers used e-cigarettes daily, a significant increase since 2016 (1.5%)</w:t>
      </w:r>
    </w:p>
    <w:p w14:paraId="3CC59612" w14:textId="119BB194" w:rsidR="007967B2" w:rsidRPr="00BC0593" w:rsidRDefault="007967B2" w:rsidP="00D12EFD">
      <w:pPr>
        <w:pStyle w:val="Bullet1"/>
        <w:numPr>
          <w:ilvl w:val="0"/>
          <w:numId w:val="24"/>
        </w:numPr>
      </w:pPr>
      <w:r w:rsidRPr="00BC0593">
        <w:t>2.2% of ex-smokers used e-cigarettes daily, a significant increase since 2016 (0.8%</w:t>
      </w:r>
      <w:r w:rsidR="00E614C7" w:rsidRPr="00BC0593">
        <w:t>)</w:t>
      </w:r>
    </w:p>
    <w:p w14:paraId="63872D98" w14:textId="1FF75C27" w:rsidR="00C26D32" w:rsidRPr="00BC0593" w:rsidRDefault="007967B2" w:rsidP="00D12EFD">
      <w:pPr>
        <w:pStyle w:val="Bullet1"/>
        <w:numPr>
          <w:ilvl w:val="0"/>
          <w:numId w:val="24"/>
        </w:numPr>
      </w:pPr>
      <w:r w:rsidRPr="00BC0593">
        <w:t>there were significant increases in the lifetime use of e-cigarettes across most age groups between 2016 and 2019, particularly for those aged 18</w:t>
      </w:r>
      <w:r w:rsidR="00777D73" w:rsidRPr="00063DFD">
        <w:rPr>
          <w:color w:val="000000"/>
        </w:rPr>
        <w:t>–</w:t>
      </w:r>
      <w:r w:rsidRPr="00BC0593">
        <w:t>24 (from 19.2% to 26%) and 25</w:t>
      </w:r>
      <w:r w:rsidR="00777D73" w:rsidRPr="00063DFD">
        <w:rPr>
          <w:color w:val="000000"/>
        </w:rPr>
        <w:t>–</w:t>
      </w:r>
      <w:r w:rsidRPr="00BC0593">
        <w:t>29 (from 14.8% to 20%)</w:t>
      </w:r>
    </w:p>
    <w:p w14:paraId="5E06DCBC" w14:textId="6F971503" w:rsidR="0014788D" w:rsidRPr="00BC0593" w:rsidRDefault="0014788D" w:rsidP="00D12EFD">
      <w:pPr>
        <w:pStyle w:val="Bullet1"/>
        <w:numPr>
          <w:ilvl w:val="0"/>
          <w:numId w:val="24"/>
        </w:numPr>
      </w:pPr>
      <w:r w:rsidRPr="00BC0593">
        <w:lastRenderedPageBreak/>
        <w:t>more than two-thirds (69%) of e-cigarette users were current smokers when they first tried an e-cigarette. Nearly 1 in 4 (23%) considered themselves to be a ‘never smoker’ at that time</w:t>
      </w:r>
    </w:p>
    <w:p w14:paraId="484F13EE" w14:textId="120E13EC" w:rsidR="0014788D" w:rsidRPr="00BC0593" w:rsidRDefault="0014788D" w:rsidP="00D12EFD">
      <w:pPr>
        <w:pStyle w:val="Bullet1"/>
        <w:numPr>
          <w:ilvl w:val="0"/>
          <w:numId w:val="24"/>
        </w:numPr>
      </w:pPr>
      <w:r w:rsidRPr="00BC0593">
        <w:t>higher proportions of younger people reported being a ‘never smoker’ (65% of 14</w:t>
      </w:r>
      <w:r w:rsidR="00777D73" w:rsidRPr="00063DFD">
        <w:rPr>
          <w:color w:val="000000"/>
        </w:rPr>
        <w:t>–</w:t>
      </w:r>
      <w:r w:rsidRPr="00BC0593">
        <w:t>17-year-olds and 39% of 18–24-year-olds) compared with proportions lower than 10% for people in age categories for those 40 and over.</w:t>
      </w:r>
    </w:p>
    <w:p w14:paraId="1CBC6010" w14:textId="436624EC" w:rsidR="0014788D" w:rsidRPr="00DB2F88" w:rsidRDefault="0014788D" w:rsidP="002130BB">
      <w:pPr>
        <w:rPr>
          <w:highlight w:val="yellow"/>
        </w:rPr>
      </w:pPr>
      <w:r w:rsidRPr="00DB2F88">
        <w:t xml:space="preserve">Collectively, all studies demonstrate the rapid and still rising rates of vaping in Australia, with the most significant increases worryingly in </w:t>
      </w:r>
      <w:r w:rsidR="002A3196">
        <w:t>youth</w:t>
      </w:r>
      <w:r w:rsidRPr="00DB2F88">
        <w:t xml:space="preserve"> aged 14 years and over. There have been significant increases in all age groups, with the 2021 reforms having no obvious impact, and projections imply the uptake of vapes is still increasing. </w:t>
      </w:r>
    </w:p>
    <w:p w14:paraId="01BE0E0C" w14:textId="77777777" w:rsidR="0014788D" w:rsidRPr="00DB2F88" w:rsidRDefault="0014788D" w:rsidP="002130BB">
      <w:r w:rsidRPr="00DB2F88">
        <w:t>With respect to behaviour and attractiveness, the most common reason for trying e-cigarettes was curiosity (54%), but people’s reasons varied by age.</w:t>
      </w:r>
      <w:r w:rsidRPr="00DB2F88">
        <w:rPr>
          <w:rStyle w:val="FootnoteReference"/>
        </w:rPr>
        <w:footnoteReference w:id="41"/>
      </w:r>
      <w:r w:rsidRPr="00DB2F88">
        <w:t xml:space="preserve"> People aged under 30 were more likely to nominate curiosity while people aged 50 or older were more likely to use e-cigarettes as a cessation device. Almost 1 in 4 (23%) used e-cigarettes because they thought they were less harmful than regular cigarettes.</w:t>
      </w:r>
    </w:p>
    <w:p w14:paraId="732D99BB" w14:textId="411EF3B7" w:rsidR="0014788D" w:rsidRPr="00DB2F88" w:rsidRDefault="0014788D" w:rsidP="002130BB">
      <w:r w:rsidRPr="00DB2F88">
        <w:t xml:space="preserve">Other research also suggests that </w:t>
      </w:r>
      <w:r w:rsidR="002A3196">
        <w:t>youth and young adults</w:t>
      </w:r>
      <w:r w:rsidRPr="00DB2F88">
        <w:t xml:space="preserve"> see vaping as socially acceptable and distinct from smoking. The most important factors driving youth uptake of vapes include flavours and taste, price (of disposable vapes), and the inconspicuous nature of devices.</w:t>
      </w:r>
      <w:r w:rsidRPr="00DB2F88">
        <w:rPr>
          <w:rStyle w:val="FootnoteReference"/>
        </w:rPr>
        <w:footnoteReference w:id="42"/>
      </w:r>
      <w:r w:rsidRPr="00DB2F88">
        <w:t xml:space="preserve"> The most common reason found in one study for e-cigarette use amongst Australians aged 18</w:t>
      </w:r>
      <w:r w:rsidR="00777D73" w:rsidRPr="00063DFD">
        <w:rPr>
          <w:color w:val="000000"/>
        </w:rPr>
        <w:t>–</w:t>
      </w:r>
      <w:r w:rsidRPr="00DB2F88">
        <w:t>25 years was enjoyment.</w:t>
      </w:r>
      <w:r w:rsidRPr="00DB2F88">
        <w:rPr>
          <w:rStyle w:val="FootnoteReference"/>
        </w:rPr>
        <w:footnoteReference w:id="43"/>
      </w:r>
    </w:p>
    <w:p w14:paraId="376F7DB1" w14:textId="6ADCC1ED" w:rsidR="0014788D" w:rsidRPr="00DB2F88" w:rsidRDefault="0014788D" w:rsidP="002130BB">
      <w:r w:rsidRPr="00DB2F88">
        <w:t>In 2022, the Generation Vape group published the results of a study of vape use by 14</w:t>
      </w:r>
      <w:r w:rsidRPr="00DB2F88">
        <w:noBreakHyphen/>
        <w:t>17 year-olds in New South Wales, conducted in September 2021 (before the October 2021 reforms).</w:t>
      </w:r>
      <w:r w:rsidRPr="00DB2F88">
        <w:rPr>
          <w:rStyle w:val="FootnoteReference"/>
        </w:rPr>
        <w:footnoteReference w:id="44"/>
      </w:r>
      <w:r w:rsidRPr="00DB2F88">
        <w:t xml:space="preserve"> The study found that disposable vapes are favoured among </w:t>
      </w:r>
      <w:r w:rsidR="002A3196">
        <w:t>youth</w:t>
      </w:r>
      <w:r w:rsidRPr="00DB2F88">
        <w:t xml:space="preserve"> as they are marketed as easy for beginners to use, do not require liquid refilling, and are simply activated by inhaling on the mouthpiece.</w:t>
      </w:r>
      <w:r w:rsidRPr="00DB2F88">
        <w:rPr>
          <w:rStyle w:val="FootnoteReference"/>
        </w:rPr>
        <w:footnoteReference w:id="45"/>
      </w:r>
    </w:p>
    <w:p w14:paraId="4B35C94A" w14:textId="7739978B" w:rsidR="0014788D" w:rsidRPr="00DB2F88" w:rsidRDefault="0014788D" w:rsidP="002130BB">
      <w:r w:rsidRPr="00DB2F88">
        <w:t xml:space="preserve">Since then, Generation Vape has conducted another study on vaping by children. Although the results of this second study have not yet been published, the new data corroborates the findings in the first Generation Vape study </w:t>
      </w:r>
      <w:r w:rsidRPr="00DB2F88" w:rsidDel="00141D3A">
        <w:t xml:space="preserve">and </w:t>
      </w:r>
      <w:r w:rsidRPr="00DB2F88">
        <w:t xml:space="preserve">demonstrates that vaping prevalence is still increasing, and the 2021 reforms </w:t>
      </w:r>
      <w:r w:rsidRPr="00DB2F88" w:rsidDel="004F0B49">
        <w:t xml:space="preserve">are not </w:t>
      </w:r>
      <w:r w:rsidRPr="00DB2F88">
        <w:t xml:space="preserve">having the intended effect. </w:t>
      </w:r>
    </w:p>
    <w:p w14:paraId="6977FB7D" w14:textId="5B78890C" w:rsidR="0014788D" w:rsidRPr="00DB2F88" w:rsidRDefault="0014788D" w:rsidP="002130BB">
      <w:r w:rsidRPr="00DB2F88">
        <w:t>In summary, the uptake and continued use of vapes has increased to concerning levels in all age groups over recent years. The largest increases were seen in the 18</w:t>
      </w:r>
      <w:r w:rsidR="00777D73" w:rsidRPr="00063DFD">
        <w:rPr>
          <w:color w:val="000000"/>
        </w:rPr>
        <w:t>–</w:t>
      </w:r>
      <w:r w:rsidRPr="00DB2F88">
        <w:t xml:space="preserve">24 age group, but the increasing use in </w:t>
      </w:r>
      <w:r w:rsidR="006D05F4">
        <w:t>youth</w:t>
      </w:r>
      <w:r w:rsidRPr="00DB2F88">
        <w:t xml:space="preserve"> aged 14 years and over is a key statistic that reforms should target. It is already illegal to provide nicotine vapes to this age group, so the appeal of vapes and the relative ease of access needs to be addressed. Finally, the high rates of vaping are giving vaping a level of social acceptability.</w:t>
      </w:r>
    </w:p>
    <w:p w14:paraId="65FE281B" w14:textId="3CA50642" w:rsidR="00EC2E10" w:rsidRPr="00DB2F88" w:rsidRDefault="00EC2E10" w:rsidP="00E30F8A">
      <w:pPr>
        <w:pStyle w:val="Heading3"/>
      </w:pPr>
      <w:bookmarkStart w:id="62" w:name="_Toc151040324"/>
      <w:r w:rsidRPr="00DB2F88">
        <w:lastRenderedPageBreak/>
        <w:t xml:space="preserve">Vaping is not healthy and </w:t>
      </w:r>
      <w:r w:rsidRPr="00E30F8A">
        <w:t>many</w:t>
      </w:r>
      <w:r w:rsidRPr="00DB2F88">
        <w:t xml:space="preserve"> of the</w:t>
      </w:r>
      <w:r w:rsidR="2D6C491D" w:rsidRPr="00DB2F88">
        <w:t xml:space="preserve"> health effects are unknown</w:t>
      </w:r>
      <w:bookmarkEnd w:id="62"/>
    </w:p>
    <w:p w14:paraId="44BA88C2" w14:textId="77777777" w:rsidR="00412E0A" w:rsidRPr="00DB2F88" w:rsidRDefault="00412E0A" w:rsidP="002130BB">
      <w:r w:rsidRPr="00DB2F88">
        <w:t xml:space="preserve">Vaping is known to cause serious health issues, with the short-term risks well established but the long-term risks largely yet unknown. There is also evidence that vaping can be a gateway to tobacco smoking. </w:t>
      </w:r>
    </w:p>
    <w:p w14:paraId="431D610E" w14:textId="77777777" w:rsidR="00412E0A" w:rsidRPr="00DB2F88" w:rsidRDefault="00412E0A" w:rsidP="002130BB">
      <w:r w:rsidRPr="00DB2F88">
        <w:t xml:space="preserve">It is young adults who vape who will experience the most significant health effects in later life. The highly addictive nature of nicotine, and the fact that vapes are inhaled into the lungs, mean the population-wide health risks of these products are more severe than many other consumer goods. Much like the young Australians who smoked cigarettes in the mid-twentieth century, Australian teenagers who vape today are at risk of life-long addiction and are likely to feel the health effects of vaping in their later lives, with many of these effects as yet unknown. Further, nicotine use during adolescence can cause addiction and harm parts of the brain that control attention, learning, memory, mood, and impulse control. </w:t>
      </w:r>
    </w:p>
    <w:p w14:paraId="5921231C" w14:textId="397A70C1" w:rsidR="00412E0A" w:rsidRPr="00DB2F88" w:rsidRDefault="00412E0A" w:rsidP="002130BB">
      <w:r w:rsidRPr="00DB2F88">
        <w:t xml:space="preserve">The current regulatory settings that distinguish regulations applying to nicotine and </w:t>
      </w:r>
      <w:r w:rsidR="00467EDD">
        <w:t>zero-nicotine</w:t>
      </w:r>
      <w:r w:rsidRPr="00DB2F88">
        <w:t xml:space="preserve"> vapes is exacerbating the health risks. This approach has led to the widespread practice of concealing nicotine content in vapes to avoid regulatory controls, which is especially damaging for consumers, including youths, who are unwittingly becoming addicted to nicotine and more likely to take up tobacco smoking as a result.  </w:t>
      </w:r>
    </w:p>
    <w:p w14:paraId="674CDEE2" w14:textId="77777777" w:rsidR="00412E0A" w:rsidRPr="00DB2F88" w:rsidRDefault="00412E0A" w:rsidP="002130BB">
      <w:r w:rsidRPr="00DB2F88">
        <w:t xml:space="preserve">Several international reports outline the evidence of harm from vapes in detail: </w:t>
      </w:r>
    </w:p>
    <w:p w14:paraId="0B0F6BA8" w14:textId="2F7BDD7C" w:rsidR="00412E0A" w:rsidRPr="00BC0593" w:rsidRDefault="00412E0A" w:rsidP="00D12EFD">
      <w:pPr>
        <w:pStyle w:val="Bullet1"/>
        <w:numPr>
          <w:ilvl w:val="0"/>
          <w:numId w:val="25"/>
        </w:numPr>
      </w:pPr>
      <w:r w:rsidRPr="00BC0593">
        <w:t xml:space="preserve">The Irish Health Research Board systematic reviews (which will be collectively referred to as the </w:t>
      </w:r>
      <w:r w:rsidR="00622635">
        <w:t>‘</w:t>
      </w:r>
      <w:r w:rsidRPr="00BC0593">
        <w:t>Irish HRB reports</w:t>
      </w:r>
      <w:r w:rsidR="00622635">
        <w:t>’</w:t>
      </w:r>
      <w:r w:rsidRPr="00BC0593">
        <w:t>):</w:t>
      </w:r>
    </w:p>
    <w:p w14:paraId="69A1C08E" w14:textId="648832A4" w:rsidR="00412E0A" w:rsidRPr="00BC0593" w:rsidRDefault="007364C4" w:rsidP="00746795">
      <w:pPr>
        <w:pStyle w:val="Bullet1"/>
        <w:numPr>
          <w:ilvl w:val="1"/>
          <w:numId w:val="25"/>
        </w:numPr>
      </w:pPr>
      <w:hyperlink r:id="rId23" w:history="1">
        <w:r w:rsidR="00C96C86" w:rsidRPr="00746795">
          <w:rPr>
            <w:rStyle w:val="Hyperlink"/>
            <w:rFonts w:cs="Arial"/>
          </w:rPr>
          <w:t>Electronic cigarette use and tobacco cigarette smoking initiation in adolescents. An evidence review (12 October 2020)</w:t>
        </w:r>
        <w:r w:rsidR="00C96C86" w:rsidRPr="00BC0593">
          <w:rPr>
            <w:rStyle w:val="Hyperlink"/>
            <w:color w:val="auto"/>
          </w:rPr>
          <w:t xml:space="preserve"> </w:t>
        </w:r>
      </w:hyperlink>
    </w:p>
    <w:p w14:paraId="7D64EE16" w14:textId="54B61C40" w:rsidR="00412E0A" w:rsidRPr="00BC0593" w:rsidRDefault="007364C4" w:rsidP="00746795">
      <w:pPr>
        <w:pStyle w:val="Bullet1"/>
        <w:numPr>
          <w:ilvl w:val="1"/>
          <w:numId w:val="25"/>
        </w:numPr>
      </w:pPr>
      <w:hyperlink r:id="rId24" w:history="1">
        <w:r w:rsidR="00C96C86" w:rsidRPr="00746795">
          <w:rPr>
            <w:rStyle w:val="Hyperlink"/>
            <w:rFonts w:cs="Arial"/>
          </w:rPr>
          <w:t>Electronic cigarette and smoking cessation. An evidence review (12 October 2020)</w:t>
        </w:r>
      </w:hyperlink>
    </w:p>
    <w:p w14:paraId="240EAE6A" w14:textId="22F29285" w:rsidR="00412E0A" w:rsidRPr="00BC0593" w:rsidRDefault="007364C4" w:rsidP="00746795">
      <w:pPr>
        <w:pStyle w:val="Bullet1"/>
        <w:numPr>
          <w:ilvl w:val="1"/>
          <w:numId w:val="25"/>
        </w:numPr>
      </w:pPr>
      <w:hyperlink r:id="rId25" w:history="1">
        <w:r w:rsidR="007F6DD6" w:rsidRPr="00746795">
          <w:rPr>
            <w:rStyle w:val="Hyperlink"/>
            <w:rFonts w:cs="Arial"/>
          </w:rPr>
          <w:t>Harms and benefits of e-cigarettes and heat-not-burn tobacco products. A literature map (12 October 2020)</w:t>
        </w:r>
        <w:r w:rsidR="00EA0FC3">
          <w:rPr>
            <w:rStyle w:val="Hyperlink"/>
            <w:color w:val="auto"/>
          </w:rPr>
          <w:t>.</w:t>
        </w:r>
        <w:r w:rsidR="005177D0" w:rsidRPr="00BC0593" w:rsidDel="005177D0">
          <w:rPr>
            <w:rStyle w:val="Hyperlink"/>
            <w:color w:val="auto"/>
          </w:rPr>
          <w:t xml:space="preserve"> </w:t>
        </w:r>
      </w:hyperlink>
    </w:p>
    <w:p w14:paraId="4CDE3664" w14:textId="71A14602" w:rsidR="00A06ECE" w:rsidRPr="00BC0593" w:rsidRDefault="00412E0A" w:rsidP="00D12EFD">
      <w:pPr>
        <w:pStyle w:val="Bullet1"/>
        <w:numPr>
          <w:ilvl w:val="0"/>
          <w:numId w:val="25"/>
        </w:numPr>
      </w:pPr>
      <w:r w:rsidRPr="00BC0593">
        <w:t>The European Commission and its Scientific Committee on Health, Environmental and Emerging Risks (SCHEER) report</w:t>
      </w:r>
      <w:r w:rsidR="00735219" w:rsidRPr="00BC0593">
        <w:t>, </w:t>
      </w:r>
      <w:hyperlink r:id="rId26" w:history="1">
        <w:r w:rsidR="00A003FA" w:rsidRPr="00746795">
          <w:rPr>
            <w:rStyle w:val="Hyperlink"/>
            <w:rFonts w:cs="Arial"/>
          </w:rPr>
          <w:t>Final</w:t>
        </w:r>
        <w:r w:rsidR="00735219" w:rsidRPr="00746795">
          <w:rPr>
            <w:rStyle w:val="Hyperlink"/>
            <w:rFonts w:cs="Arial"/>
          </w:rPr>
          <w:t xml:space="preserve"> opinion on electronic cigarettes (</w:t>
        </w:r>
        <w:r w:rsidR="00A003FA" w:rsidRPr="00746795">
          <w:rPr>
            <w:rStyle w:val="Hyperlink"/>
            <w:rFonts w:cs="Arial"/>
          </w:rPr>
          <w:t>16 April 2021</w:t>
        </w:r>
        <w:r w:rsidR="00735219" w:rsidRPr="00746795">
          <w:rPr>
            <w:rStyle w:val="Hyperlink"/>
            <w:rFonts w:cs="Arial"/>
          </w:rPr>
          <w:t>)</w:t>
        </w:r>
        <w:r w:rsidR="00735219" w:rsidRPr="00BC0593">
          <w:rPr>
            <w:rStyle w:val="Hyperlink"/>
            <w:rFonts w:cs="Arial"/>
            <w:color w:val="auto"/>
          </w:rPr>
          <w:t>.</w:t>
        </w:r>
      </w:hyperlink>
    </w:p>
    <w:p w14:paraId="50E64CFE" w14:textId="61FDE885" w:rsidR="00412E0A" w:rsidRPr="00BC0593" w:rsidRDefault="00412E0A" w:rsidP="00D12EFD">
      <w:pPr>
        <w:pStyle w:val="Bullet1"/>
        <w:numPr>
          <w:ilvl w:val="0"/>
          <w:numId w:val="25"/>
        </w:numPr>
        <w:rPr>
          <w:rStyle w:val="Hyperlink"/>
          <w:color w:val="auto"/>
          <w:u w:val="none"/>
        </w:rPr>
      </w:pPr>
      <w:r w:rsidRPr="00BC0593">
        <w:t>The Australian National University (ANU) report by Banks, E. </w:t>
      </w:r>
      <w:r w:rsidRPr="00BC0593">
        <w:rPr>
          <w:rStyle w:val="latin"/>
          <w:rFonts w:cs="Arial"/>
          <w:i/>
        </w:rPr>
        <w:t xml:space="preserve">et. </w:t>
      </w:r>
      <w:r w:rsidR="00622635" w:rsidRPr="00BC0593">
        <w:rPr>
          <w:rStyle w:val="latin"/>
          <w:rFonts w:cs="Arial"/>
          <w:i/>
        </w:rPr>
        <w:t>A</w:t>
      </w:r>
      <w:r w:rsidRPr="00BC0593">
        <w:rPr>
          <w:rStyle w:val="latin"/>
          <w:rFonts w:cs="Arial"/>
          <w:i/>
        </w:rPr>
        <w:t>l.</w:t>
      </w:r>
      <w:r w:rsidRPr="00BC0593">
        <w:t xml:space="preserve">, </w:t>
      </w:r>
      <w:hyperlink r:id="rId27" w:history="1">
        <w:r w:rsidRPr="00746795">
          <w:rPr>
            <w:rStyle w:val="Hyperlink"/>
            <w:rFonts w:cs="Arial"/>
          </w:rPr>
          <w:t>Electronic cigarettes and health outcomes: systematic review of global evidence (April 2022)</w:t>
        </w:r>
      </w:hyperlink>
      <w:r w:rsidR="00937E67" w:rsidRPr="00746795">
        <w:rPr>
          <w:rStyle w:val="Hyperlink"/>
          <w:rFonts w:cs="Arial"/>
          <w:color w:val="auto"/>
          <w:u w:val="none"/>
        </w:rPr>
        <w:t>.</w:t>
      </w:r>
    </w:p>
    <w:p w14:paraId="2E248823" w14:textId="104EAAFA" w:rsidR="00412E0A" w:rsidRPr="00BC0593" w:rsidRDefault="007364C4" w:rsidP="00D12EFD">
      <w:pPr>
        <w:pStyle w:val="Bullet1"/>
        <w:numPr>
          <w:ilvl w:val="0"/>
          <w:numId w:val="25"/>
        </w:numPr>
      </w:pPr>
      <w:hyperlink r:id="rId28" w:history="1">
        <w:r w:rsidR="00412E0A" w:rsidRPr="00746795">
          <w:rPr>
            <w:rStyle w:val="Hyperlink"/>
            <w:rFonts w:cs="Arial"/>
          </w:rPr>
          <w:t>The 2022 National Health and Medical Research Council (NHMRC) CEO Statement on Electronic Cigarettes</w:t>
        </w:r>
        <w:r w:rsidR="00412E0A" w:rsidRPr="00746795">
          <w:rPr>
            <w:rStyle w:val="Hyperlink"/>
            <w:rFonts w:cs="Arial"/>
            <w:color w:val="auto"/>
            <w:u w:val="none"/>
          </w:rPr>
          <w:t>.</w:t>
        </w:r>
      </w:hyperlink>
    </w:p>
    <w:p w14:paraId="2CE5BF9E" w14:textId="0D512C5A" w:rsidR="00726CEA" w:rsidRPr="00DB2F88" w:rsidRDefault="001839A5" w:rsidP="00E30F8A">
      <w:pPr>
        <w:pStyle w:val="Heading4"/>
      </w:pPr>
      <w:bookmarkStart w:id="63" w:name="_Toc151040325"/>
      <w:r w:rsidRPr="00DB2F88">
        <w:t>S</w:t>
      </w:r>
      <w:r w:rsidR="000A5B9B" w:rsidRPr="00DB2F88">
        <w:t>ignificant s</w:t>
      </w:r>
      <w:r w:rsidRPr="00DB2F88">
        <w:t>hort-term</w:t>
      </w:r>
      <w:r w:rsidR="00983080" w:rsidRPr="00DB2F88">
        <w:t xml:space="preserve"> </w:t>
      </w:r>
      <w:r w:rsidR="00983080" w:rsidRPr="00E30F8A">
        <w:t>health</w:t>
      </w:r>
      <w:r w:rsidR="00726CEA" w:rsidRPr="00DB2F88">
        <w:t xml:space="preserve"> risks caused by vaping</w:t>
      </w:r>
      <w:bookmarkEnd w:id="63"/>
    </w:p>
    <w:p w14:paraId="45EA4083" w14:textId="79264D40" w:rsidR="00412E0A" w:rsidRPr="00DB2F88" w:rsidRDefault="00412E0A" w:rsidP="002130BB">
      <w:r w:rsidRPr="00DB2F88">
        <w:t xml:space="preserve">Vaping of both nicotine and </w:t>
      </w:r>
      <w:r w:rsidR="00467EDD">
        <w:t>zero-nicotine</w:t>
      </w:r>
      <w:r w:rsidRPr="00DB2F88">
        <w:t xml:space="preserve"> liquids can cause significant harm to users. Nicotine vapes have particular harms, in addition to their addictive nature and gateway to smoking, which are listed explicitly under the </w:t>
      </w:r>
      <w:r w:rsidR="00A003FA">
        <w:t>‘H</w:t>
      </w:r>
      <w:r w:rsidRPr="00DB2F88">
        <w:t>arms of nicotine</w:t>
      </w:r>
      <w:r w:rsidR="00A003FA">
        <w:t>’</w:t>
      </w:r>
      <w:r w:rsidRPr="00DB2F88">
        <w:t xml:space="preserve"> below. All other potential range of harms summarised here can apply to the vaping of </w:t>
      </w:r>
      <w:r w:rsidR="00467EDD">
        <w:t>zero-nicotine</w:t>
      </w:r>
      <w:r w:rsidRPr="00DB2F88">
        <w:t xml:space="preserve"> e-liquids.</w:t>
      </w:r>
    </w:p>
    <w:p w14:paraId="60FB8D9E" w14:textId="77777777" w:rsidR="00412E0A" w:rsidRPr="00DB2F88" w:rsidRDefault="00412E0A" w:rsidP="002130BB">
      <w:r w:rsidRPr="00DB2F88">
        <w:t xml:space="preserve">Evidence shows that the use of vapes exposes users to chemicals that are known to or may cause harm. Some of the safety risks also relate to the operation of the vaping device. The safety of vapes was well summarised in the 2022 NHMRC </w:t>
      </w:r>
      <w:r w:rsidRPr="00DB2F88">
        <w:rPr>
          <w:i/>
          <w:iCs/>
        </w:rPr>
        <w:t>CEO Statement on Electronic Cigarettes,</w:t>
      </w:r>
      <w:r w:rsidRPr="00DB2F88">
        <w:t xml:space="preserve"> based on a review of the current evidence.</w:t>
      </w:r>
      <w:r w:rsidRPr="00DB2F88">
        <w:rPr>
          <w:rStyle w:val="FootnoteReference"/>
          <w:rFonts w:eastAsia="Arial" w:cs="Arial"/>
        </w:rPr>
        <w:footnoteReference w:id="46"/>
      </w:r>
      <w:r w:rsidRPr="00DB2F88">
        <w:t xml:space="preserve"> The CEO Statement advises, among other things, that:</w:t>
      </w:r>
    </w:p>
    <w:p w14:paraId="190C17BC" w14:textId="77777777" w:rsidR="00412E0A" w:rsidRPr="00BC0593" w:rsidRDefault="00412E0A" w:rsidP="00D12EFD">
      <w:pPr>
        <w:pStyle w:val="Bullet1"/>
        <w:numPr>
          <w:ilvl w:val="0"/>
          <w:numId w:val="26"/>
        </w:numPr>
      </w:pPr>
      <w:r w:rsidRPr="00BC0593">
        <w:t>e-cigarettes can be harmful. All e-cigarette users are exposed to chemicals and toxins that can harm your health.</w:t>
      </w:r>
    </w:p>
    <w:p w14:paraId="7FF736A6" w14:textId="77777777" w:rsidR="00412E0A" w:rsidRPr="00BC0593" w:rsidRDefault="00412E0A" w:rsidP="00D12EFD">
      <w:pPr>
        <w:pStyle w:val="Bullet1"/>
        <w:numPr>
          <w:ilvl w:val="0"/>
          <w:numId w:val="26"/>
        </w:numPr>
      </w:pPr>
      <w:r w:rsidRPr="00BC0593">
        <w:lastRenderedPageBreak/>
        <w:t xml:space="preserve">use of e-cigarettes can result in serious burns and injuries. In some cases, these burns and injuries have resulted in death. Poor-quality e-cigarette batteries or high-power devices increase the risk of explosion. Use of e-cigarettes can lead to seizures in some users. </w:t>
      </w:r>
    </w:p>
    <w:p w14:paraId="6C7CAD72" w14:textId="00F643FF" w:rsidR="00533017" w:rsidRPr="00BC0593" w:rsidRDefault="00412E0A" w:rsidP="00D12EFD">
      <w:pPr>
        <w:pStyle w:val="Bullet1"/>
        <w:numPr>
          <w:ilvl w:val="0"/>
          <w:numId w:val="26"/>
        </w:numPr>
      </w:pPr>
      <w:r w:rsidRPr="00BC0593">
        <w:t>use of e-cigarettes can result in a serious and sometimes fatal lung condition in some users, known as “E-cigarette or Vaping Associated Lung Injury” (EVALI). Most cases of EVALI reported in the US were linked to cannabis oils and vitamin E acetate, but other chemicals may also contribute to this condition</w:t>
      </w:r>
      <w:r w:rsidR="00AC6398" w:rsidRPr="00BC0593">
        <w:t>.</w:t>
      </w:r>
    </w:p>
    <w:p w14:paraId="33DC43C5" w14:textId="7BFBC96C" w:rsidR="00B06037" w:rsidRPr="00DB2F88" w:rsidRDefault="00B06037" w:rsidP="002130BB">
      <w:r w:rsidRPr="00DB2F88">
        <w:t>The National Academy of Sciences</w:t>
      </w:r>
      <w:r w:rsidRPr="00DB2F88">
        <w:rPr>
          <w:rStyle w:val="FootnoteReference"/>
        </w:rPr>
        <w:footnoteReference w:id="47"/>
      </w:r>
      <w:r w:rsidRPr="00DB2F88">
        <w:t xml:space="preserve"> review also found conclusive evidence that vaping devices can explode and cause burns and projectile injuries. It noted that while the true rate of these events is not known, when they do </w:t>
      </w:r>
      <w:r w:rsidR="00875F60" w:rsidRPr="00DB2F88">
        <w:t>occur,</w:t>
      </w:r>
      <w:r w:rsidRPr="00DB2F88">
        <w:t xml:space="preserve"> they have the potential to cause great harm. The most frequent cause of burns is from overheating and exploding lithium-ion batteries in vapes. The quality and design of the vape may influence the likelihood of malfunction and explosions. The majority of case reports or case series reviewed by the committee involved burns to the thigh, with other injuries occurring to the face, chest, abdomen and genitalia. There have also been reports of injuries caused by projectiles vape explosions.</w:t>
      </w:r>
    </w:p>
    <w:p w14:paraId="2420A852" w14:textId="161AEB73" w:rsidR="00B06037" w:rsidRPr="00DB2F88" w:rsidRDefault="00B06037" w:rsidP="002130BB">
      <w:r w:rsidRPr="00DB2F88">
        <w:t>Similarly, a review of global evidence published by the Australian National University in April 2022</w:t>
      </w:r>
      <w:r w:rsidRPr="00DB2F88">
        <w:rPr>
          <w:rStyle w:val="FootnoteReference"/>
        </w:rPr>
        <w:footnoteReference w:id="48"/>
      </w:r>
      <w:r w:rsidRPr="00DB2F88">
        <w:t xml:space="preserve"> found (among other things)</w:t>
      </w:r>
      <w:r w:rsidR="005177D0">
        <w:t>:</w:t>
      </w:r>
    </w:p>
    <w:p w14:paraId="13E61DC5" w14:textId="7580F41D" w:rsidR="00B06037" w:rsidRPr="00BC0593" w:rsidRDefault="0014061F" w:rsidP="00DD718C">
      <w:pPr>
        <w:pStyle w:val="Bullet1"/>
        <w:numPr>
          <w:ilvl w:val="0"/>
          <w:numId w:val="132"/>
        </w:numPr>
      </w:pPr>
      <w:r>
        <w:t>c</w:t>
      </w:r>
      <w:r w:rsidR="00B06037" w:rsidRPr="00BC0593">
        <w:t>onclusive evidence that:</w:t>
      </w:r>
    </w:p>
    <w:p w14:paraId="7E10C915" w14:textId="4EEBAA85" w:rsidR="00B06037" w:rsidRPr="00102133" w:rsidRDefault="00B06037" w:rsidP="00D12EFD">
      <w:pPr>
        <w:pStyle w:val="Bullet1"/>
        <w:numPr>
          <w:ilvl w:val="0"/>
          <w:numId w:val="27"/>
        </w:numPr>
      </w:pPr>
      <w:r w:rsidRPr="00102133">
        <w:t>intentional or accidental exposure to nicotine e-liquids can lead to poisoning, which can be severe and can result in death</w:t>
      </w:r>
    </w:p>
    <w:p w14:paraId="64FF2582" w14:textId="41F97E9E" w:rsidR="00B06037" w:rsidRPr="00102133" w:rsidRDefault="00B06037" w:rsidP="00D12EFD">
      <w:pPr>
        <w:pStyle w:val="Bullet1"/>
        <w:numPr>
          <w:ilvl w:val="0"/>
          <w:numId w:val="27"/>
        </w:numPr>
      </w:pPr>
      <w:r w:rsidRPr="00102133">
        <w:t>use of e-cigarettes can result in nicotine toxicity</w:t>
      </w:r>
    </w:p>
    <w:p w14:paraId="2B4EE83C" w14:textId="1B7B461F" w:rsidR="00B06037" w:rsidRPr="00102133" w:rsidRDefault="00B06037" w:rsidP="00D12EFD">
      <w:pPr>
        <w:pStyle w:val="Bullet1"/>
        <w:numPr>
          <w:ilvl w:val="0"/>
          <w:numId w:val="27"/>
        </w:numPr>
      </w:pPr>
      <w:r w:rsidRPr="00102133">
        <w:t>the use of e-cigarettes can lead to seizures</w:t>
      </w:r>
    </w:p>
    <w:p w14:paraId="0D3010E1" w14:textId="633DDB1E" w:rsidR="00B06037" w:rsidRPr="00102133" w:rsidRDefault="00B06037" w:rsidP="00D12EFD">
      <w:pPr>
        <w:pStyle w:val="Bullet1"/>
        <w:numPr>
          <w:ilvl w:val="0"/>
          <w:numId w:val="27"/>
        </w:numPr>
      </w:pPr>
      <w:r w:rsidRPr="00102133">
        <w:t>e-cigarettes can cause burns and injuries, which can be severe and can result in death</w:t>
      </w:r>
    </w:p>
    <w:p w14:paraId="08043B5E" w14:textId="570BEF27" w:rsidR="00B06037" w:rsidRPr="00102133" w:rsidRDefault="00B06037" w:rsidP="00D12EFD">
      <w:pPr>
        <w:pStyle w:val="Bullet1"/>
        <w:numPr>
          <w:ilvl w:val="0"/>
          <w:numId w:val="27"/>
        </w:numPr>
      </w:pPr>
      <w:r w:rsidRPr="00102133">
        <w:t xml:space="preserve">e-cigarette use results in increased airborne particulate matter in indoor environments </w:t>
      </w:r>
    </w:p>
    <w:p w14:paraId="25663E65" w14:textId="7FE2A286" w:rsidR="00B06037" w:rsidRPr="00102133" w:rsidRDefault="00B06037" w:rsidP="00D12EFD">
      <w:pPr>
        <w:pStyle w:val="Bullet1"/>
        <w:numPr>
          <w:ilvl w:val="0"/>
          <w:numId w:val="27"/>
        </w:numPr>
      </w:pPr>
      <w:r w:rsidRPr="00102133">
        <w:t>the use of e-cigarettes can cause respiratory disease among smokers and non-smokers (however mainly in e-cigarettes delivering THC and vitamin E</w:t>
      </w:r>
      <w:r w:rsidR="00875F60" w:rsidRPr="00102133">
        <w:t>)</w:t>
      </w:r>
      <w:r w:rsidR="005177D0">
        <w:t>.</w:t>
      </w:r>
    </w:p>
    <w:p w14:paraId="5E7479D6" w14:textId="5EA6D3B9" w:rsidR="00B06037" w:rsidRPr="00102133" w:rsidRDefault="00AE5542" w:rsidP="00DD718C">
      <w:pPr>
        <w:pStyle w:val="Bullet1"/>
        <w:numPr>
          <w:ilvl w:val="0"/>
          <w:numId w:val="132"/>
        </w:numPr>
      </w:pPr>
      <w:r>
        <w:t>s</w:t>
      </w:r>
      <w:r w:rsidR="00B06037" w:rsidRPr="00102133">
        <w:t xml:space="preserve">ubstantial evidence that: </w:t>
      </w:r>
    </w:p>
    <w:p w14:paraId="3572FC15" w14:textId="3481FC72" w:rsidR="00B06037" w:rsidRPr="00102133" w:rsidRDefault="00B06037" w:rsidP="00D12EFD">
      <w:pPr>
        <w:pStyle w:val="Bullet1"/>
        <w:numPr>
          <w:ilvl w:val="0"/>
          <w:numId w:val="27"/>
        </w:numPr>
      </w:pPr>
      <w:r w:rsidRPr="00102133">
        <w:t>e-cigarette use by non-smokers results in [nicotine] dependence</w:t>
      </w:r>
      <w:r w:rsidR="005177D0">
        <w:t>.</w:t>
      </w:r>
    </w:p>
    <w:p w14:paraId="173D7657" w14:textId="77777777" w:rsidR="00B06037" w:rsidRPr="00102133" w:rsidRDefault="00B06037" w:rsidP="00DD718C">
      <w:pPr>
        <w:pStyle w:val="Bullet1"/>
        <w:numPr>
          <w:ilvl w:val="0"/>
          <w:numId w:val="132"/>
        </w:numPr>
      </w:pPr>
      <w:r w:rsidRPr="00102133">
        <w:t xml:space="preserve">moderate evidence that: </w:t>
      </w:r>
    </w:p>
    <w:p w14:paraId="2BF1B0BD" w14:textId="79BE6E5D" w:rsidR="00B06037" w:rsidRPr="00102133" w:rsidRDefault="00B06037" w:rsidP="00D12EFD">
      <w:pPr>
        <w:pStyle w:val="Bullet1"/>
        <w:numPr>
          <w:ilvl w:val="0"/>
          <w:numId w:val="27"/>
        </w:numPr>
      </w:pPr>
      <w:r w:rsidRPr="00102133">
        <w:t>less serious adverse events- such as throat irritation, cough, dizziness, headache, and nausea- occur with use of nicotine e-cigarettes</w:t>
      </w:r>
    </w:p>
    <w:p w14:paraId="721600EC" w14:textId="4E2B8237" w:rsidR="00B06037" w:rsidRPr="00BC0593" w:rsidRDefault="00B06037" w:rsidP="00D12EFD">
      <w:pPr>
        <w:pStyle w:val="Bullet1"/>
        <w:numPr>
          <w:ilvl w:val="0"/>
          <w:numId w:val="27"/>
        </w:numPr>
      </w:pPr>
      <w:r w:rsidRPr="00102133">
        <w:t>among smokers, use of e-cigarettes increases heart rate, systolic blood pressure, diastolic blood pressure and arterial</w:t>
      </w:r>
      <w:r w:rsidRPr="00BC0593">
        <w:t xml:space="preserve"> stiffness acutely after use</w:t>
      </w:r>
      <w:r w:rsidR="00CA1F83" w:rsidRPr="00BC0593">
        <w:t>.</w:t>
      </w:r>
    </w:p>
    <w:p w14:paraId="512E5BC3" w14:textId="2DC53084" w:rsidR="00B06037" w:rsidRPr="00BC0593" w:rsidRDefault="00AE5542" w:rsidP="00DD718C">
      <w:pPr>
        <w:pStyle w:val="Bullet1"/>
        <w:numPr>
          <w:ilvl w:val="0"/>
          <w:numId w:val="132"/>
        </w:numPr>
      </w:pPr>
      <w:r>
        <w:t>l</w:t>
      </w:r>
      <w:r w:rsidR="00B06037" w:rsidRPr="00BC0593">
        <w:t>imited evidence that:</w:t>
      </w:r>
    </w:p>
    <w:p w14:paraId="7A8335C2" w14:textId="199CD488" w:rsidR="00B06037" w:rsidRPr="00BC0593" w:rsidRDefault="00B06037" w:rsidP="00D12EFD">
      <w:pPr>
        <w:pStyle w:val="Bullet1"/>
        <w:numPr>
          <w:ilvl w:val="0"/>
          <w:numId w:val="27"/>
        </w:numPr>
      </w:pPr>
      <w:r w:rsidRPr="00BC0593">
        <w:t>in non-smokers, e-cigarettes have acute (up to two hours post-exposure) effects on spirometry parameters</w:t>
      </w:r>
    </w:p>
    <w:p w14:paraId="16B23F3A" w14:textId="30922ADE" w:rsidR="00B06037" w:rsidRPr="00BC0593" w:rsidRDefault="00B06037" w:rsidP="00D12EFD">
      <w:pPr>
        <w:pStyle w:val="Bullet1"/>
        <w:numPr>
          <w:ilvl w:val="0"/>
          <w:numId w:val="27"/>
        </w:numPr>
      </w:pPr>
      <w:r w:rsidRPr="00BC0593">
        <w:t>e-cigarette use increases respiratory resistance and impedance in healthy and asthmatic smokers up to 30 minutes post-exposure</w:t>
      </w:r>
    </w:p>
    <w:p w14:paraId="4F304F57" w14:textId="728348BC" w:rsidR="00B06037" w:rsidRPr="00BC0593" w:rsidRDefault="00B06037" w:rsidP="00D12EFD">
      <w:pPr>
        <w:pStyle w:val="Bullet1"/>
        <w:numPr>
          <w:ilvl w:val="0"/>
          <w:numId w:val="27"/>
        </w:numPr>
      </w:pPr>
      <w:r w:rsidRPr="00BC0593">
        <w:t>e-cigarette use results in increased concentrations of airborne nicotine and of nicotine and cotinine on indoor surfaces</w:t>
      </w:r>
    </w:p>
    <w:p w14:paraId="0B608A16" w14:textId="318A3614" w:rsidR="00B06037" w:rsidRPr="00BC0593" w:rsidRDefault="00B06037" w:rsidP="00D12EFD">
      <w:pPr>
        <w:pStyle w:val="Bullet1"/>
        <w:numPr>
          <w:ilvl w:val="0"/>
          <w:numId w:val="27"/>
        </w:numPr>
      </w:pPr>
      <w:r w:rsidRPr="00BC0593">
        <w:lastRenderedPageBreak/>
        <w:t>injuries due to e-cigarette explosions can lead to nerve damage</w:t>
      </w:r>
    </w:p>
    <w:p w14:paraId="7A556D27" w14:textId="5610E6EB" w:rsidR="007A2B38" w:rsidRPr="00DB2F88" w:rsidRDefault="00B06037" w:rsidP="00D12EFD">
      <w:pPr>
        <w:pStyle w:val="Bullet1"/>
        <w:numPr>
          <w:ilvl w:val="0"/>
          <w:numId w:val="27"/>
        </w:numPr>
      </w:pPr>
      <w:r w:rsidRPr="00BC0593">
        <w:t>e-cigarette use can lead to contact dermatitis</w:t>
      </w:r>
      <w:r w:rsidR="0022254B" w:rsidRPr="00BC0593">
        <w:t>.</w:t>
      </w:r>
    </w:p>
    <w:p w14:paraId="650D0B83" w14:textId="78407C57" w:rsidR="00DC5AEC" w:rsidRPr="00F96878" w:rsidRDefault="000436BF" w:rsidP="00F96878">
      <w:pPr>
        <w:pStyle w:val="Heading4"/>
      </w:pPr>
      <w:bookmarkStart w:id="64" w:name="_Toc151040326"/>
      <w:r w:rsidRPr="00DB2F88">
        <w:t xml:space="preserve">Risks from </w:t>
      </w:r>
      <w:r w:rsidR="00102133">
        <w:t>n</w:t>
      </w:r>
      <w:r w:rsidR="00DC5AEC" w:rsidRPr="00DB2F88">
        <w:t>icotine</w:t>
      </w:r>
      <w:bookmarkEnd w:id="64"/>
    </w:p>
    <w:p w14:paraId="6FA9C943" w14:textId="1E4978C1" w:rsidR="00B06037" w:rsidRPr="00DB2F88" w:rsidRDefault="00B06037" w:rsidP="008471BB">
      <w:pPr>
        <w:rPr>
          <w:rFonts w:cs="Arial"/>
          <w:spacing w:val="2"/>
          <w:sz w:val="22"/>
          <w:szCs w:val="22"/>
          <w:shd w:val="clear" w:color="auto" w:fill="FFFFFF"/>
        </w:rPr>
      </w:pPr>
      <w:r w:rsidRPr="00DB2F88">
        <w:t xml:space="preserve">The ANU’s National Centre for Epidemiology and Population Health has recently reported that ‘Almost all e-cigarettes deliver nicotine, which is extremely addictive. Addiction is common in people using vapes and </w:t>
      </w:r>
      <w:r w:rsidR="006D05F4">
        <w:t xml:space="preserve">youth and young adults </w:t>
      </w:r>
      <w:r w:rsidRPr="00DB2F88">
        <w:t>are especially vulnerable to addiction as their brains are still developing</w:t>
      </w:r>
      <w:r w:rsidR="00EA0FC3">
        <w:t>’</w:t>
      </w:r>
      <w:r w:rsidRPr="00DB2F88">
        <w:t>.</w:t>
      </w:r>
      <w:r w:rsidRPr="00DB2F88">
        <w:rPr>
          <w:rStyle w:val="FootnoteReference"/>
          <w:rFonts w:cs="Arial"/>
          <w:spacing w:val="2"/>
          <w:sz w:val="22"/>
          <w:szCs w:val="22"/>
          <w:shd w:val="clear" w:color="auto" w:fill="FFFFFF"/>
        </w:rPr>
        <w:footnoteReference w:id="49"/>
      </w:r>
    </w:p>
    <w:p w14:paraId="5F9B11B7" w14:textId="77777777" w:rsidR="00B06037" w:rsidRPr="00DB2F88" w:rsidRDefault="00B06037" w:rsidP="008471BB">
      <w:r w:rsidRPr="00DB2F88">
        <w:t>There are specific health concerns related to nicotine including acute toxicity, cardiovascular effects and effects on foetal and adolescent brain development.</w:t>
      </w:r>
      <w:r w:rsidRPr="00DB2F88">
        <w:rPr>
          <w:rStyle w:val="FootnoteReference"/>
        </w:rPr>
        <w:footnoteReference w:id="50"/>
      </w:r>
      <w:r w:rsidRPr="00DB2F88">
        <w:t xml:space="preserve"> Depending on dose, dose duration and frequency, route of exposure, formulation of the nicotine product and interpersonal variability, acute nicotine toxicity can lead to a broad range of physiological effects.</w:t>
      </w:r>
      <w:r w:rsidRPr="00DB2F88">
        <w:rPr>
          <w:rStyle w:val="FootnoteReference"/>
        </w:rPr>
        <w:footnoteReference w:id="51"/>
      </w:r>
      <w:r w:rsidRPr="00DB2F88">
        <w:t xml:space="preserve"> Mild symptoms can include nausea and vomiting. Greater exposure leading to cholinergic syndrome including diarrhoea, increased salivation, increased respiratory secretions, and bradycardia. Severe poisonings may progress further to seizures and respiratory depression, which can be fatal. Using nicotine in adolescence can harm the developing parts of the brain that control attention, learning, mood, and impulse control. </w:t>
      </w:r>
    </w:p>
    <w:p w14:paraId="5B03756B" w14:textId="77777777" w:rsidR="00B06037" w:rsidRPr="00DB2F88" w:rsidRDefault="00B06037" w:rsidP="008471BB">
      <w:r w:rsidRPr="00DB2F88">
        <w:t>In 2018, the National Academy of Sciences</w:t>
      </w:r>
      <w:r w:rsidRPr="00DB2F88">
        <w:rPr>
          <w:rStyle w:val="FootnoteReference"/>
        </w:rPr>
        <w:footnoteReference w:id="52"/>
      </w:r>
      <w:r w:rsidRPr="00DB2F88">
        <w:t xml:space="preserve"> conducted a scientific review of the public health impact of nicotine containing vapes. The review found conclusive evidence that:</w:t>
      </w:r>
    </w:p>
    <w:p w14:paraId="2EBC5ED7" w14:textId="03AA55A4" w:rsidR="00B06037" w:rsidRPr="008F0BF1" w:rsidRDefault="00B06037" w:rsidP="00D12EFD">
      <w:pPr>
        <w:pStyle w:val="Bullet1"/>
        <w:numPr>
          <w:ilvl w:val="0"/>
          <w:numId w:val="28"/>
        </w:numPr>
      </w:pPr>
      <w:r w:rsidRPr="008F0BF1">
        <w:t>exposure to e-liquids from drinking, eye contact, or dermal contact can result in adverse health effects including but not limited to seizures, anoxic brain injury, vomiting, and lactic acidosis, assumed to be a result of acute nicotine toxicity</w:t>
      </w:r>
    </w:p>
    <w:p w14:paraId="0B8F3733" w14:textId="0018841E" w:rsidR="00B06037" w:rsidRPr="008F0BF1" w:rsidRDefault="00B06037" w:rsidP="00D12EFD">
      <w:pPr>
        <w:pStyle w:val="Bullet1"/>
        <w:numPr>
          <w:ilvl w:val="0"/>
          <w:numId w:val="28"/>
        </w:numPr>
      </w:pPr>
      <w:r w:rsidRPr="008F0BF1">
        <w:t>drinking or injecting e-liquids can be fatal, assumed to be a result of acute nicotine toxicity</w:t>
      </w:r>
      <w:r w:rsidR="00DA76ED">
        <w:t>.</w:t>
      </w:r>
      <w:r w:rsidRPr="008F0BF1" w:rsidDel="00754D09">
        <w:t xml:space="preserve"> </w:t>
      </w:r>
    </w:p>
    <w:p w14:paraId="104551E2" w14:textId="77777777" w:rsidR="00B06037" w:rsidRPr="00DB2F88" w:rsidRDefault="00B06037" w:rsidP="008471BB">
      <w:r w:rsidRPr="00DB2F88">
        <w:t>In June 2022, the National Health and Medical Research Council (NHMRC) published a CEO Statement</w:t>
      </w:r>
      <w:r w:rsidRPr="00DB2F88">
        <w:rPr>
          <w:rStyle w:val="FootnoteReference"/>
        </w:rPr>
        <w:footnoteReference w:id="53"/>
      </w:r>
      <w:r w:rsidRPr="00DB2F88">
        <w:t xml:space="preserve"> which summarised findings on the harms of e-cigarettes:</w:t>
      </w:r>
    </w:p>
    <w:p w14:paraId="4E6300F9" w14:textId="38A419AB" w:rsidR="00B06037" w:rsidRPr="008F0BF1" w:rsidRDefault="00B06037" w:rsidP="00D12EFD">
      <w:pPr>
        <w:pStyle w:val="Bullet1"/>
        <w:numPr>
          <w:ilvl w:val="0"/>
          <w:numId w:val="28"/>
        </w:numPr>
      </w:pPr>
      <w:r w:rsidRPr="008F0BF1">
        <w:t>exposure to e-liquids that contain nicotine can result in poisoning for some users which, although it may not happen to everyone, can be severe and cause death</w:t>
      </w:r>
    </w:p>
    <w:p w14:paraId="4729414D" w14:textId="0A798B98" w:rsidR="00B06037" w:rsidRPr="008F0BF1" w:rsidRDefault="00B06037" w:rsidP="00D12EFD">
      <w:pPr>
        <w:pStyle w:val="Bullet1"/>
        <w:numPr>
          <w:ilvl w:val="0"/>
          <w:numId w:val="28"/>
        </w:numPr>
      </w:pPr>
      <w:r w:rsidRPr="008F0BF1">
        <w:t>e-cigarette-related calls to Australian Poisons Information Centres have increased over the past five years. Most poisonings occur in toddlers and adults. It is difficult to determine whether the poisonings are solely a result of nicotine</w:t>
      </w:r>
    </w:p>
    <w:p w14:paraId="14BAEF95" w14:textId="77777777" w:rsidR="00B06037" w:rsidRPr="008F0BF1" w:rsidRDefault="00B06037" w:rsidP="00D12EFD">
      <w:pPr>
        <w:pStyle w:val="Bullet1"/>
        <w:numPr>
          <w:ilvl w:val="0"/>
          <w:numId w:val="28"/>
        </w:numPr>
      </w:pPr>
      <w:r w:rsidRPr="008F0BF1">
        <w:t>use of e-cigarettes containing nicotine probably results in throat irritation, cough, dizziness, headaches and nausea.</w:t>
      </w:r>
    </w:p>
    <w:p w14:paraId="1EB7486E" w14:textId="6F5E8737" w:rsidR="009C60C3" w:rsidRPr="00DB2F88" w:rsidRDefault="00B06037" w:rsidP="00726CEA">
      <w:r w:rsidRPr="00DB2F88">
        <w:t xml:space="preserve">In addition, higher concentration nicotine e-liquids present a higher risk of acute poisoning in users </w:t>
      </w:r>
      <w:r w:rsidRPr="008471BB">
        <w:t xml:space="preserve">through intentional or accidental ingestion, particularly in </w:t>
      </w:r>
      <w:r w:rsidR="00B56904">
        <w:t xml:space="preserve">young </w:t>
      </w:r>
      <w:r w:rsidRPr="008471BB">
        <w:t>children. For example, an average 2-</w:t>
      </w:r>
      <w:r w:rsidRPr="008471BB">
        <w:lastRenderedPageBreak/>
        <w:t>year-old child would experience potentially lethal effects by ingesting as little as 0.8 ml of a 100 mg/ml nicotine e-liquid.</w:t>
      </w:r>
      <w:r w:rsidRPr="00746795">
        <w:rPr>
          <w:vertAlign w:val="superscript"/>
        </w:rPr>
        <w:footnoteReference w:id="54"/>
      </w:r>
      <w:r w:rsidRPr="00746795">
        <w:rPr>
          <w:vertAlign w:val="superscript"/>
        </w:rPr>
        <w:t xml:space="preserve"> </w:t>
      </w:r>
      <w:r w:rsidRPr="008471BB">
        <w:t xml:space="preserve"> Reducing nicotine concentrations would also lower the risk of titration errors</w:t>
      </w:r>
      <w:r w:rsidR="71AA082F" w:rsidRPr="008471BB">
        <w:t xml:space="preserve"> </w:t>
      </w:r>
      <w:r w:rsidRPr="008471BB">
        <w:t>caused by ‘at-home’ dilution and mitigate the risk of acute poisoning in users from intentional or accidental ingestion.</w:t>
      </w:r>
      <w:r w:rsidRPr="00746795">
        <w:rPr>
          <w:vertAlign w:val="superscript"/>
        </w:rPr>
        <w:footnoteReference w:id="55"/>
      </w:r>
      <w:r w:rsidRPr="00746795">
        <w:rPr>
          <w:vertAlign w:val="superscript"/>
        </w:rPr>
        <w:t xml:space="preserve"> </w:t>
      </w:r>
      <w:r w:rsidRPr="008471BB">
        <w:t>Further, the fact that nicotine is highly addictive means that people using vapes are at risk of life-long dependence to a product that is known to cause some short-term harms and whose long</w:t>
      </w:r>
      <w:r w:rsidRPr="00DB2F88">
        <w:t>-term effects are as yet poorly quantified</w:t>
      </w:r>
      <w:r w:rsidR="0D92CF7B" w:rsidRPr="00DB2F88">
        <w:t xml:space="preserve">. </w:t>
      </w:r>
    </w:p>
    <w:p w14:paraId="3C34B8B3" w14:textId="1610F88A" w:rsidR="00726CEA" w:rsidRPr="00DB2F88" w:rsidRDefault="00175E59" w:rsidP="00F96878">
      <w:pPr>
        <w:pStyle w:val="Heading4"/>
      </w:pPr>
      <w:bookmarkStart w:id="65" w:name="_Toc151040327"/>
      <w:r w:rsidRPr="00DB2F88">
        <w:t xml:space="preserve">Risks </w:t>
      </w:r>
      <w:r w:rsidR="000436BF" w:rsidRPr="00DB2F88">
        <w:t>from</w:t>
      </w:r>
      <w:r w:rsidRPr="00DB2F88">
        <w:t xml:space="preserve"> </w:t>
      </w:r>
      <w:r w:rsidR="000436BF" w:rsidRPr="00DB2F88">
        <w:t>k</w:t>
      </w:r>
      <w:r w:rsidR="00726CEA" w:rsidRPr="00DB2F88">
        <w:t>nown harmful chemicals</w:t>
      </w:r>
      <w:r w:rsidR="00E13A48" w:rsidRPr="00DB2F88">
        <w:t xml:space="preserve"> (other than nicotine)</w:t>
      </w:r>
      <w:bookmarkEnd w:id="65"/>
    </w:p>
    <w:p w14:paraId="34262E03" w14:textId="77777777" w:rsidR="00B06037" w:rsidRPr="00DB2F88" w:rsidRDefault="00B06037" w:rsidP="008471BB">
      <w:r w:rsidRPr="00DB2F88">
        <w:t>E-liquids contain chemicals that are known to be harmful. E-liquids, vaping devices and their inhaled emissions contain ingredients, contaminants and reaction products. Known carcinogens have also been found in e-cigarette aerosols, although the extent to which e-cigarette use increases the risk of cancer remains unknown.</w:t>
      </w:r>
      <w:r w:rsidRPr="00DB2F88">
        <w:rPr>
          <w:rStyle w:val="FootnoteReference"/>
        </w:rPr>
        <w:footnoteReference w:id="56"/>
      </w:r>
    </w:p>
    <w:p w14:paraId="37BFF3F2" w14:textId="47482F61" w:rsidR="00B06037" w:rsidRPr="00DB2F88" w:rsidRDefault="00B06037" w:rsidP="008471BB">
      <w:r w:rsidRPr="00DB2F88">
        <w:t>The Australian Government’s National Industrial Chemicals Notification and Assessment Scheme (NICNAS) 2019 Report</w:t>
      </w:r>
      <w:r w:rsidRPr="00DB2F88">
        <w:rPr>
          <w:rStyle w:val="FootnoteReference"/>
        </w:rPr>
        <w:footnoteReference w:id="57"/>
      </w:r>
      <w:r w:rsidRPr="00DB2F88">
        <w:t xml:space="preserve"> researched the chemistry of liquids used in e-cigarettes in Australia</w:t>
      </w:r>
      <w:r w:rsidR="007E5562">
        <w:t xml:space="preserve"> and found the following</w:t>
      </w:r>
      <w:r w:rsidRPr="00DB2F88">
        <w:t>:</w:t>
      </w:r>
    </w:p>
    <w:p w14:paraId="59FE4FFF" w14:textId="77777777" w:rsidR="00B06037" w:rsidRPr="008F0BF1" w:rsidRDefault="00B06037" w:rsidP="00D12EFD">
      <w:pPr>
        <w:pStyle w:val="Bullet1"/>
        <w:numPr>
          <w:ilvl w:val="0"/>
          <w:numId w:val="29"/>
        </w:numPr>
      </w:pPr>
      <w:r w:rsidRPr="008F0BF1">
        <w:t>A number of chemicals used as flavouring ingredients are of concern to human health, such as diketone flavourings, which have (rarely) been linked to irreversible lung damage known as bronchiolitis obliterans or ‘popcorn lung’.</w:t>
      </w:r>
    </w:p>
    <w:p w14:paraId="0C4FD59D" w14:textId="77777777" w:rsidR="00B06037" w:rsidRPr="008F0BF1" w:rsidRDefault="00B06037" w:rsidP="00D12EFD">
      <w:pPr>
        <w:pStyle w:val="Bullet1"/>
        <w:numPr>
          <w:ilvl w:val="0"/>
          <w:numId w:val="29"/>
        </w:numPr>
      </w:pPr>
      <w:r w:rsidRPr="008F0BF1">
        <w:t>Emissions from e-cigarette devices contain reaction products such as carbonyl compounds that may pose a risk to human health- known cancer-causing agents such as acetaldehyde, acrolein and formaldehyde were the most common carbonyl compounds identified and were present in emissions from all devices and e-liquids tested.</w:t>
      </w:r>
    </w:p>
    <w:p w14:paraId="6DC291B1" w14:textId="77777777" w:rsidR="00B06037" w:rsidRPr="008F0BF1" w:rsidRDefault="00B06037" w:rsidP="00D12EFD">
      <w:pPr>
        <w:pStyle w:val="Bullet1"/>
        <w:numPr>
          <w:ilvl w:val="0"/>
          <w:numId w:val="29"/>
        </w:numPr>
      </w:pPr>
      <w:r w:rsidRPr="008F0BF1">
        <w:t>E-cigarette emissions contain contaminants derived from e-liquids such as volatile organic compounds, phthalates, pesticides and tobacco-specific nitrosamines. At a sufficient concentration and exposure, the contaminants identified in e-cigarette emissions may have the potential to adversely affect human health.</w:t>
      </w:r>
    </w:p>
    <w:p w14:paraId="5C5C3334" w14:textId="77777777" w:rsidR="00B06037" w:rsidRPr="008F0BF1" w:rsidRDefault="00B06037" w:rsidP="00D12EFD">
      <w:pPr>
        <w:pStyle w:val="Bullet1"/>
        <w:numPr>
          <w:ilvl w:val="0"/>
          <w:numId w:val="29"/>
        </w:numPr>
      </w:pPr>
      <w:r w:rsidRPr="008F0BF1">
        <w:t>E-cigarette emissions may contain metal contaminants derived from vaping devices, such as arsenic, chromium, lead, mercury and nickel, which pose health concerns even at low exposure levels.</w:t>
      </w:r>
    </w:p>
    <w:p w14:paraId="008AB38E" w14:textId="4BDDCFAE" w:rsidR="00726CEA" w:rsidRPr="00DB2F88" w:rsidRDefault="00B06037" w:rsidP="00726CEA">
      <w:r w:rsidRPr="008471BB">
        <w:t>The findings above are even more concerning given the small fraction of e-liquids analysed in the report. Many more, predominantly flavouring, chemicals remain to be identified as e</w:t>
      </w:r>
      <w:r w:rsidRPr="008471BB">
        <w:noBreakHyphen/>
        <w:t>liquid ingredients which may</w:t>
      </w:r>
      <w:r w:rsidRPr="00DB2F88">
        <w:t xml:space="preserve"> pose additional health concerns.</w:t>
      </w:r>
    </w:p>
    <w:p w14:paraId="04C7F6BD" w14:textId="77777777" w:rsidR="008D78A4" w:rsidRPr="00F96878" w:rsidRDefault="008D78A4" w:rsidP="00F96878">
      <w:pPr>
        <w:pStyle w:val="Heading4"/>
      </w:pPr>
      <w:bookmarkStart w:id="66" w:name="_Toc151040328"/>
      <w:r w:rsidRPr="00DB2F88">
        <w:t>Quality of vapes</w:t>
      </w:r>
      <w:bookmarkEnd w:id="66"/>
    </w:p>
    <w:p w14:paraId="065163C4" w14:textId="25776042" w:rsidR="008D78A4" w:rsidRPr="00DB2F88" w:rsidRDefault="00B06037" w:rsidP="008471BB">
      <w:bookmarkStart w:id="67" w:name="_Hlk144993870"/>
      <w:bookmarkEnd w:id="67"/>
      <w:r w:rsidRPr="00DB2F88">
        <w:t xml:space="preserve">The risks associated with known chemicals in vapes highlight the importance of ensuring the minimum quality and safety of any vapes supplied. There are currently no vapes registered on the </w:t>
      </w:r>
      <w:r w:rsidRPr="00DB2F88">
        <w:lastRenderedPageBreak/>
        <w:t>ARTG, which means that there are no therapeutic vapes available in Australia that have been fully assessed by the TGA for quality, safety and efficacy.</w:t>
      </w:r>
      <w:r w:rsidR="008D78A4" w:rsidRPr="00DB2F88">
        <w:t xml:space="preserve"> </w:t>
      </w:r>
    </w:p>
    <w:p w14:paraId="470AF480" w14:textId="77777777" w:rsidR="00B06037" w:rsidRPr="00DB2F88" w:rsidRDefault="00B06037" w:rsidP="008471BB">
      <w:pPr>
        <w:rPr>
          <w:rFonts w:eastAsia="Arial"/>
        </w:rPr>
      </w:pPr>
      <w:r w:rsidRPr="00DB2F88">
        <w:t xml:space="preserve">While nicotine vapes must meet the minimum requirements in a TGA quality standard, these requirements are relatively low. This leaves risks for consumers and undermines </w:t>
      </w:r>
      <w:r w:rsidRPr="00DB2F88">
        <w:rPr>
          <w:rFonts w:eastAsia="Arial" w:cs="Arial"/>
        </w:rPr>
        <w:t xml:space="preserve">medical professionals’ trust in prescribing these products. </w:t>
      </w:r>
    </w:p>
    <w:p w14:paraId="0A52B6E8" w14:textId="77777777" w:rsidR="00B06037" w:rsidRPr="00DB2F88" w:rsidRDefault="00B06037" w:rsidP="008471BB">
      <w:pPr>
        <w:rPr>
          <w:rFonts w:eastAsia="Arial" w:cs="Arial"/>
        </w:rPr>
      </w:pPr>
      <w:r w:rsidRPr="00DB2F88">
        <w:t>In addition, there is no requirement for nicotine vapes currently imported under the Personal Importation Scheme to comply with all of the quality and labelling requirements outlined in TGO 110, and there is abundant evidence, as previously discussed, of poor quality of vapes available in Australia. As a result, consumers of products imported under this scheme may not be in possession of accurate information about the products they are purchasing. Further, the other requirements of TGO 110 are very difficult to enforce, due to the difficulty of intercepting and testing small consignments of products imported through the mail.</w:t>
      </w:r>
    </w:p>
    <w:p w14:paraId="223FA50B" w14:textId="77777777" w:rsidR="00B06037" w:rsidRPr="00DB2F88" w:rsidRDefault="00B06037" w:rsidP="008471BB">
      <w:pPr>
        <w:rPr>
          <w:rFonts w:eastAsia="Arial" w:cs="Arial"/>
        </w:rPr>
      </w:pPr>
      <w:r w:rsidRPr="00DB2F88">
        <w:rPr>
          <w:rFonts w:eastAsia="Arial" w:cs="Arial"/>
        </w:rPr>
        <w:t>There is even less regulation of the quality of zero-nicotine vapes, whether or not they are marketed for a therapeutic purpose. There is no product standard that applies to these goods. This means, for example, that there is no legislation that expressly prevents these products containing prohibited ingredients with known health effects that are outlawed for nicotine vapes.</w:t>
      </w:r>
    </w:p>
    <w:p w14:paraId="1CEEBEBC" w14:textId="08383BB2" w:rsidR="00726CEA" w:rsidRPr="00DB2F88" w:rsidRDefault="00424612" w:rsidP="00F96878">
      <w:pPr>
        <w:pStyle w:val="Heading4"/>
      </w:pPr>
      <w:bookmarkStart w:id="68" w:name="_Toc151040329"/>
      <w:r w:rsidRPr="00DB2F88">
        <w:t>Largely unknown</w:t>
      </w:r>
      <w:r w:rsidR="00726CEA" w:rsidRPr="00DB2F88">
        <w:t xml:space="preserve"> </w:t>
      </w:r>
      <w:r w:rsidR="001839A5" w:rsidRPr="00DB2F88">
        <w:t xml:space="preserve">long-term </w:t>
      </w:r>
      <w:r w:rsidR="00726CEA" w:rsidRPr="00DB2F88">
        <w:t>impacts</w:t>
      </w:r>
      <w:r w:rsidR="00B1620A" w:rsidRPr="00DB2F88">
        <w:t xml:space="preserve"> of vaping</w:t>
      </w:r>
      <w:bookmarkEnd w:id="68"/>
    </w:p>
    <w:p w14:paraId="56EA2589" w14:textId="73ECEADB" w:rsidR="00773552" w:rsidRPr="00DB2F88" w:rsidRDefault="00773552" w:rsidP="008471BB">
      <w:r w:rsidRPr="00DB2F88">
        <w:t>The chronic, long-term effects of vaping on health are still unknown, as these products have not yet been used for an extended period of time and many diseases, including cancer, take a long time to develop.</w:t>
      </w:r>
      <w:r w:rsidRPr="00DB2F88">
        <w:rPr>
          <w:rStyle w:val="FootnoteReference"/>
        </w:rPr>
        <w:footnoteReference w:id="58"/>
      </w:r>
      <w:r w:rsidR="0092697F" w:rsidRPr="00746795">
        <w:rPr>
          <w:vertAlign w:val="superscript"/>
        </w:rPr>
        <w:t>,</w:t>
      </w:r>
      <w:r w:rsidRPr="00DB2F88">
        <w:rPr>
          <w:rStyle w:val="FootnoteReference"/>
        </w:rPr>
        <w:footnoteReference w:id="59"/>
      </w:r>
    </w:p>
    <w:p w14:paraId="6FAEE15E" w14:textId="77777777" w:rsidR="00773552" w:rsidRPr="00DB2F88" w:rsidRDefault="00773552" w:rsidP="008471BB">
      <w:r w:rsidRPr="00DB2F88">
        <w:t>In addition to outlining the short-term impacts of vaping, the NHMRC CEO Statement</w:t>
      </w:r>
      <w:r w:rsidRPr="00DB2F88">
        <w:rPr>
          <w:rStyle w:val="FootnoteReference"/>
        </w:rPr>
        <w:footnoteReference w:id="60"/>
      </w:r>
      <w:r w:rsidRPr="00DB2F88">
        <w:t xml:space="preserve"> published in June 2022 provided public health advice on the long-term safety and impacts of e-cigarettes. This statement advises that:</w:t>
      </w:r>
    </w:p>
    <w:p w14:paraId="2308C2DE" w14:textId="62FACCF1" w:rsidR="00773552" w:rsidRPr="008F0BF1" w:rsidRDefault="00773552" w:rsidP="00D12EFD">
      <w:pPr>
        <w:pStyle w:val="Bullet1"/>
        <w:numPr>
          <w:ilvl w:val="0"/>
          <w:numId w:val="30"/>
        </w:numPr>
      </w:pPr>
      <w:r w:rsidRPr="008F0BF1">
        <w:t>there is not enough information from human research studies to know about the potential impacts of e-cigarette use on conditions such as cancer and cardiovascular disease, reproductive health, respiratory conditions and mental illness</w:t>
      </w:r>
    </w:p>
    <w:p w14:paraId="222891E5" w14:textId="77777777" w:rsidR="00773552" w:rsidRPr="008F0BF1" w:rsidRDefault="00773552" w:rsidP="00D12EFD">
      <w:pPr>
        <w:pStyle w:val="Bullet1"/>
        <w:numPr>
          <w:ilvl w:val="0"/>
          <w:numId w:val="30"/>
        </w:numPr>
      </w:pPr>
      <w:r w:rsidRPr="008F0BF1">
        <w:t>lack of information does not mean that e-cigarettes are safe. More information is needed to understand the long-term impacts of e-cigarette use.</w:t>
      </w:r>
    </w:p>
    <w:p w14:paraId="0971D077" w14:textId="4A951D48" w:rsidR="00773552" w:rsidRPr="00DB2F88" w:rsidRDefault="00773552" w:rsidP="008471BB">
      <w:r w:rsidRPr="00DB2F88">
        <w:t xml:space="preserve">Similarly, the review of global evidence published by the Australian National University in April 2022 noted that </w:t>
      </w:r>
      <w:r w:rsidR="00622635">
        <w:t>“</w:t>
      </w:r>
      <w:r w:rsidRPr="00DB2F88">
        <w:t xml:space="preserve">the impact of nicotine and </w:t>
      </w:r>
      <w:r w:rsidR="00467EDD">
        <w:t>zero-nicotine</w:t>
      </w:r>
      <w:r w:rsidRPr="00DB2F88">
        <w:t xml:space="preserve"> e-cigarettes on important clinical health outcomes- including those related to cardiovascular disease, cancer, mental health, development in children and adolescents, reproduction, sleep, wound healing, neurological disease and endocrine, olfactory, optical, allergic and haematological conditions- is not known, as reliable evidence is lacking.</w:t>
      </w:r>
      <w:r w:rsidR="00622635">
        <w:t>”</w:t>
      </w:r>
      <w:r w:rsidR="006166C7" w:rsidRPr="006166C7">
        <w:rPr>
          <w:vertAlign w:val="superscript"/>
        </w:rPr>
        <w:t xml:space="preserve"> </w:t>
      </w:r>
      <w:r w:rsidR="006166C7" w:rsidRPr="00DB2F88">
        <w:rPr>
          <w:vertAlign w:val="superscript"/>
        </w:rPr>
        <w:footnoteReference w:id="61"/>
      </w:r>
    </w:p>
    <w:p w14:paraId="6E5729A3" w14:textId="77777777" w:rsidR="00773552" w:rsidRPr="00DB2F88" w:rsidRDefault="00773552" w:rsidP="008471BB">
      <w:r w:rsidRPr="00DB2F88">
        <w:t>The National Academy of Sciences review</w:t>
      </w:r>
      <w:r w:rsidRPr="00DB2F88">
        <w:rPr>
          <w:rStyle w:val="FootnoteReference"/>
        </w:rPr>
        <w:footnoteReference w:id="62"/>
      </w:r>
      <w:r w:rsidRPr="00DB2F88">
        <w:t xml:space="preserve"> also found substantial evidence that: </w:t>
      </w:r>
    </w:p>
    <w:p w14:paraId="497724D4" w14:textId="559123EE" w:rsidR="00726CEA" w:rsidRPr="008F0BF1" w:rsidRDefault="00773552" w:rsidP="00D12EFD">
      <w:pPr>
        <w:pStyle w:val="Bullet1"/>
        <w:numPr>
          <w:ilvl w:val="0"/>
          <w:numId w:val="31"/>
        </w:numPr>
      </w:pPr>
      <w:r w:rsidRPr="008F0BF1">
        <w:t>e-cigarette aerosols can induce acute endothelial cell dysfunction, although the consequences and outcomes on these parameters with long-term exposure to e-cigarette aerosol are uncertain</w:t>
      </w:r>
      <w:r w:rsidR="00EA0FC3">
        <w:t>.</w:t>
      </w:r>
    </w:p>
    <w:p w14:paraId="62FCD672" w14:textId="3C1C33F5" w:rsidR="00773552" w:rsidRPr="008F0BF1" w:rsidRDefault="00773552" w:rsidP="00D12EFD">
      <w:pPr>
        <w:pStyle w:val="Bullet1"/>
        <w:numPr>
          <w:ilvl w:val="0"/>
          <w:numId w:val="31"/>
        </w:numPr>
      </w:pPr>
      <w:r w:rsidRPr="008F0BF1">
        <w:lastRenderedPageBreak/>
        <w:t>components of e-cigarette aerosols can promote formation of reactive oxygen species/oxidative stress. This supports the biological plausibility of tissue injury and disease from long-term exposure to e-cigarette aerosols</w:t>
      </w:r>
      <w:r w:rsidR="006166C7">
        <w:t>.</w:t>
      </w:r>
    </w:p>
    <w:p w14:paraId="18BBB366" w14:textId="46AF9C83" w:rsidR="00773552" w:rsidRPr="008F0BF1" w:rsidRDefault="00773552" w:rsidP="00D12EFD">
      <w:pPr>
        <w:pStyle w:val="Bullet1"/>
        <w:numPr>
          <w:ilvl w:val="0"/>
          <w:numId w:val="31"/>
        </w:numPr>
      </w:pPr>
      <w:r w:rsidRPr="008F0BF1">
        <w:t>some chemicals present in e-cigarette aerosols, such as formaldehyde and acrolein, can cause DNA damage and mutagenesis. This supports the biological plausibility that long-term exposure to e-cigarette aerosols could increase risk of cancer and adverse reproductive outcomes. Whether or not the levels of exposure are high enough to contribute to human carcinogenesis remains to be determined</w:t>
      </w:r>
      <w:r w:rsidR="007E5562">
        <w:t>.</w:t>
      </w:r>
    </w:p>
    <w:p w14:paraId="73DE1DAD" w14:textId="77777777" w:rsidR="00773552" w:rsidRPr="00DB2F88" w:rsidRDefault="00773552" w:rsidP="00773552">
      <w:r w:rsidRPr="008471BB">
        <w:t>In addition to the well-established risks of first-and second-hand smoking, recent evidence has emerged in relation to the risk of ‘third-hand’ exposure. Third hand exposure relates to the transfer of chemicals from surfaces. This research has shown that residues from vaping, including nicotine, can be left on surfaces and passed on to others, including children, through touch. The effect ‘is like putting a nicotine patch</w:t>
      </w:r>
      <w:r w:rsidRPr="00DB2F88">
        <w:t xml:space="preserve"> on their skin’.</w:t>
      </w:r>
      <w:r w:rsidRPr="00DB2F88">
        <w:rPr>
          <w:rStyle w:val="FootnoteReference"/>
        </w:rPr>
        <w:footnoteReference w:id="63"/>
      </w:r>
    </w:p>
    <w:p w14:paraId="30CABD89" w14:textId="485A4C7C" w:rsidR="00EC3F24" w:rsidRPr="00DB2F88" w:rsidRDefault="007B0F18" w:rsidP="00F96878">
      <w:pPr>
        <w:pStyle w:val="Heading3"/>
      </w:pPr>
      <w:bookmarkStart w:id="69" w:name="_Toc151040330"/>
      <w:r w:rsidRPr="00F96878">
        <w:t>Vaping</w:t>
      </w:r>
      <w:r w:rsidRPr="00DB2F88">
        <w:t xml:space="preserve"> </w:t>
      </w:r>
      <w:r w:rsidR="00922616" w:rsidRPr="00DB2F88">
        <w:t xml:space="preserve">is a strong </w:t>
      </w:r>
      <w:r w:rsidR="00E34335" w:rsidRPr="00DB2F88">
        <w:t>predictor of</w:t>
      </w:r>
      <w:r w:rsidR="00EC3F24" w:rsidRPr="00DB2F88">
        <w:t xml:space="preserve"> tobacco smoking initiation</w:t>
      </w:r>
      <w:bookmarkEnd w:id="69"/>
    </w:p>
    <w:p w14:paraId="62252E97" w14:textId="2B0B2B5F" w:rsidR="00773552" w:rsidRPr="00DB2F88" w:rsidRDefault="00773552" w:rsidP="008471BB">
      <w:pPr>
        <w:rPr>
          <w:lang w:val="en-NZ"/>
        </w:rPr>
      </w:pPr>
      <w:r w:rsidRPr="00DB2F88">
        <w:rPr>
          <w:lang w:val="en-NZ"/>
        </w:rPr>
        <w:t xml:space="preserve">There has been widespread expansion of e-cigarette use internationally. A strong and consistent body of evidence shows that vaping by people who never smoked increases the risk of uptake in tobacco smoking, particularly among </w:t>
      </w:r>
      <w:r w:rsidR="006D05F4">
        <w:t>youth and young adults</w:t>
      </w:r>
      <w:r w:rsidRPr="00DB2F88">
        <w:rPr>
          <w:lang w:val="en-NZ"/>
        </w:rPr>
        <w:t xml:space="preserve">. </w:t>
      </w:r>
    </w:p>
    <w:p w14:paraId="47793664" w14:textId="77777777" w:rsidR="00773552" w:rsidRPr="00DB2F88" w:rsidRDefault="00773552" w:rsidP="008471BB">
      <w:r w:rsidRPr="00DB2F88">
        <w:rPr>
          <w:lang w:val="en-NZ"/>
        </w:rPr>
        <w:t>Vaping is a strong predictor of future tobacco use for youth and young adults, including for those who would otherwise be unlikely to take up conventional smoking.</w:t>
      </w:r>
      <w:r w:rsidRPr="00DB2F88">
        <w:rPr>
          <w:rStyle w:val="FootnoteReference"/>
          <w:rFonts w:eastAsia="Arial"/>
          <w:lang w:val="en-NZ"/>
        </w:rPr>
        <w:footnoteReference w:id="64"/>
      </w:r>
      <w:r w:rsidRPr="00DB2F88">
        <w:rPr>
          <w:lang w:val="en-NZ"/>
        </w:rPr>
        <w:t xml:space="preserve"> </w:t>
      </w:r>
      <w:r w:rsidRPr="00DB2F88">
        <w:t>Vaping also mimics behavioural and sensory aspects of smoking, which makes the transition to combustible smoking more likely.</w:t>
      </w:r>
      <w:r w:rsidRPr="00DB2F88">
        <w:rPr>
          <w:vertAlign w:val="superscript"/>
        </w:rPr>
        <w:footnoteReference w:id="65"/>
      </w:r>
    </w:p>
    <w:p w14:paraId="10286483" w14:textId="0B5CD712" w:rsidR="00773552" w:rsidRPr="00DB2F88" w:rsidRDefault="00773552" w:rsidP="008471BB">
      <w:pPr>
        <w:rPr>
          <w:lang w:val="en-US"/>
        </w:rPr>
      </w:pPr>
      <w:r w:rsidRPr="00DB2F88">
        <w:t xml:space="preserve">The Irish HRB, SCHEER and ANU reports discussed above provide strong evidence that e-cigarettes are a gateway to smoking for </w:t>
      </w:r>
      <w:r w:rsidR="006D05F4">
        <w:t>youth and young adults</w:t>
      </w:r>
      <w:r w:rsidRPr="00DB2F88">
        <w:t>. The ANU systematic review indicates that there is strong evidence that never smokers who use e-cigarettes are around three times as likely than those who do not use e-cigarettes to initiate cigarette smoking.</w:t>
      </w:r>
      <w:r w:rsidRPr="00DB2F88">
        <w:rPr>
          <w:rStyle w:val="FootnoteReference"/>
        </w:rPr>
        <w:footnoteReference w:id="66"/>
      </w:r>
    </w:p>
    <w:p w14:paraId="78A4A252" w14:textId="7927A7CB" w:rsidR="00773552" w:rsidRPr="00DB2F88" w:rsidRDefault="00773552" w:rsidP="008471BB">
      <w:pPr>
        <w:rPr>
          <w:vertAlign w:val="superscript"/>
          <w:lang w:val="en-US"/>
        </w:rPr>
      </w:pPr>
      <w:r w:rsidRPr="00DB2F88">
        <w:rPr>
          <w:lang w:val="en-NZ"/>
        </w:rPr>
        <w:t>There are also concerns about direct health harms associated with e-cigarette use, concurrent use of e-cigarettes and tobacco products, and the potential for their use to further contribute to nicotine addiction and tobacco use, particularly among youth.</w:t>
      </w:r>
      <w:r w:rsidRPr="00DB2F88">
        <w:rPr>
          <w:rStyle w:val="FootnoteReference"/>
          <w:rFonts w:eastAsia="Arial"/>
          <w:lang w:val="en-NZ"/>
        </w:rPr>
        <w:footnoteReference w:id="67"/>
      </w:r>
    </w:p>
    <w:p w14:paraId="66ADD31F" w14:textId="21021752" w:rsidR="007160E5" w:rsidRPr="00DB2F88" w:rsidRDefault="00773552" w:rsidP="008471BB">
      <w:pPr>
        <w:rPr>
          <w:rFonts w:cs="Arial"/>
        </w:rPr>
      </w:pPr>
      <w:r w:rsidRPr="00DB2F88">
        <w:rPr>
          <w:lang w:val="en-US"/>
        </w:rPr>
        <w:lastRenderedPageBreak/>
        <w:t>Tobacco use remains one of the leading causes of preventable death and disability among Australians</w:t>
      </w:r>
      <w:r w:rsidR="00426FD1">
        <w:rPr>
          <w:lang w:val="en-US"/>
        </w:rPr>
        <w:t xml:space="preserve">. </w:t>
      </w:r>
      <w:r w:rsidR="129B6445" w:rsidRPr="00DB2F88">
        <w:rPr>
          <w:rFonts w:cs="Arial"/>
        </w:rPr>
        <w:t xml:space="preserve">This risk is identified as a </w:t>
      </w:r>
      <w:r w:rsidR="428DA079" w:rsidRPr="00DB2F88">
        <w:rPr>
          <w:rFonts w:cs="Arial"/>
        </w:rPr>
        <w:t xml:space="preserve">priority area in the </w:t>
      </w:r>
      <w:r w:rsidR="428DA079" w:rsidRPr="00DB2F88">
        <w:t>National Tobacco Strategy 2023</w:t>
      </w:r>
      <w:r w:rsidR="00763B90" w:rsidRPr="00063DFD">
        <w:rPr>
          <w:color w:val="000000"/>
        </w:rPr>
        <w:t>–</w:t>
      </w:r>
      <w:r w:rsidR="428DA079" w:rsidRPr="00DB2F88">
        <w:t>2030</w:t>
      </w:r>
      <w:r w:rsidR="129B6445" w:rsidRPr="00DB2F88">
        <w:t xml:space="preserve">, and </w:t>
      </w:r>
      <w:r w:rsidR="600142C9" w:rsidRPr="00DB2F88">
        <w:t xml:space="preserve">any </w:t>
      </w:r>
      <w:r w:rsidR="0AC82008" w:rsidRPr="00DB2F88">
        <w:t>reform measures ne</w:t>
      </w:r>
      <w:r w:rsidR="6486B33A" w:rsidRPr="00DB2F88">
        <w:t xml:space="preserve">ed to align </w:t>
      </w:r>
      <w:r w:rsidR="15F712C3" w:rsidRPr="00DB2F88">
        <w:t>with those Government objectives</w:t>
      </w:r>
      <w:r w:rsidR="0D436939" w:rsidRPr="00DB2F88">
        <w:t>.</w:t>
      </w:r>
    </w:p>
    <w:p w14:paraId="52ECC39E" w14:textId="32D12D63" w:rsidR="00BB7F6B" w:rsidRPr="00DB2F88" w:rsidRDefault="00E30743" w:rsidP="00F96878">
      <w:pPr>
        <w:pStyle w:val="Heading3"/>
      </w:pPr>
      <w:bookmarkStart w:id="70" w:name="_Hlk144981636"/>
      <w:bookmarkStart w:id="71" w:name="_Toc151040331"/>
      <w:r w:rsidRPr="00DB2F88">
        <w:t xml:space="preserve">Access to vapes </w:t>
      </w:r>
      <w:r w:rsidR="00040F98" w:rsidRPr="00DB2F88">
        <w:t>is</w:t>
      </w:r>
      <w:r w:rsidRPr="00DB2F88">
        <w:t xml:space="preserve"> </w:t>
      </w:r>
      <w:r w:rsidRPr="00F96878">
        <w:t>appropriate</w:t>
      </w:r>
      <w:r w:rsidRPr="00DB2F88">
        <w:t xml:space="preserve"> in specific circumstances</w:t>
      </w:r>
      <w:bookmarkEnd w:id="70"/>
      <w:bookmarkEnd w:id="71"/>
    </w:p>
    <w:p w14:paraId="7E4ABECB" w14:textId="633D953C" w:rsidR="00426FD1" w:rsidRDefault="00426FD1" w:rsidP="008471BB">
      <w:pPr>
        <w:rPr>
          <w:rFonts w:cs="Arial"/>
          <w:shd w:val="clear" w:color="auto" w:fill="FFFFFF"/>
        </w:rPr>
      </w:pPr>
      <w:r w:rsidRPr="00DB2F88">
        <w:rPr>
          <w:lang w:val="en-US"/>
        </w:rPr>
        <w:t xml:space="preserve">Following an extensive review of the evidence available in 2020 and thousands of consultation submissions, the decision maker for the scheduling of nicotine in Schedule 4 of the Poisons Standard concluded that there is a powerful argument that reducing the ease of with which nicotine e-cigarettes can be accessed by </w:t>
      </w:r>
      <w:r w:rsidR="00054E35">
        <w:rPr>
          <w:lang w:val="en-US"/>
        </w:rPr>
        <w:t>youth</w:t>
      </w:r>
      <w:r w:rsidR="001E5988" w:rsidRPr="00DB2F88">
        <w:rPr>
          <w:lang w:val="en-US"/>
        </w:rPr>
        <w:t xml:space="preserve"> </w:t>
      </w:r>
      <w:r w:rsidRPr="00DB2F88">
        <w:rPr>
          <w:lang w:val="en-US"/>
        </w:rPr>
        <w:t>will act to safeguard current and future generations from nicotine addiction</w:t>
      </w:r>
      <w:r w:rsidR="00773552" w:rsidRPr="00DB2F88">
        <w:rPr>
          <w:rFonts w:cs="Arial"/>
          <w:shd w:val="clear" w:color="auto" w:fill="FFFFFF"/>
        </w:rPr>
        <w:t>.</w:t>
      </w:r>
      <w:r w:rsidR="00773552" w:rsidRPr="00DB2F88">
        <w:rPr>
          <w:rStyle w:val="FootnoteReference"/>
          <w:rFonts w:cs="Arial"/>
          <w:shd w:val="clear" w:color="auto" w:fill="FFFFFF"/>
        </w:rPr>
        <w:footnoteReference w:id="68"/>
      </w:r>
      <w:r w:rsidR="00773552" w:rsidRPr="00DB2F88">
        <w:rPr>
          <w:rFonts w:cs="Arial"/>
          <w:shd w:val="clear" w:color="auto" w:fill="FFFFFF"/>
        </w:rPr>
        <w:t xml:space="preserve"> </w:t>
      </w:r>
    </w:p>
    <w:p w14:paraId="20215632" w14:textId="5AC81E8F" w:rsidR="00773552" w:rsidRPr="00DB2F88" w:rsidRDefault="00773552" w:rsidP="008471BB">
      <w:pPr>
        <w:rPr>
          <w:rFonts w:cs="Arial"/>
          <w:shd w:val="clear" w:color="auto" w:fill="FFFFFF"/>
        </w:rPr>
      </w:pPr>
      <w:r w:rsidRPr="00DB2F88">
        <w:rPr>
          <w:rFonts w:cs="Arial"/>
          <w:shd w:val="clear" w:color="auto" w:fill="FFFFFF"/>
        </w:rPr>
        <w:t>The Poisons Standard classifies medicines and poisons into schedules depending on their risk, with access controls for products vary depending on the schedule in which they are included. In making any decision, the scheduling delegate carefully considers all the available evidence about the risks of a particular substance to determine what schedule it should be included in.</w:t>
      </w:r>
    </w:p>
    <w:p w14:paraId="39F47795" w14:textId="74ECEA5D" w:rsidR="00773552" w:rsidRPr="00DB2F88" w:rsidRDefault="00773552" w:rsidP="008471BB">
      <w:pPr>
        <w:rPr>
          <w:rFonts w:cs="Arial"/>
          <w:shd w:val="clear" w:color="auto" w:fill="FFFFFF"/>
        </w:rPr>
      </w:pPr>
      <w:r w:rsidRPr="00DB2F88">
        <w:rPr>
          <w:rFonts w:cs="Arial"/>
          <w:shd w:val="clear" w:color="auto" w:fill="FFFFFF"/>
        </w:rPr>
        <w:t>In making the December 2020 scheduling decision, the delegate carefully considered all the available evidence about the risks of vaping and the use of nicotine vapes for smoking cessation, including advice from an expert advisory committee, published scientific studies and approximately 2</w:t>
      </w:r>
      <w:r w:rsidR="001D1155">
        <w:rPr>
          <w:rFonts w:cs="Arial"/>
          <w:shd w:val="clear" w:color="auto" w:fill="FFFFFF"/>
        </w:rPr>
        <w:t>,</w:t>
      </w:r>
      <w:r w:rsidRPr="00DB2F88">
        <w:rPr>
          <w:rFonts w:cs="Arial"/>
          <w:shd w:val="clear" w:color="auto" w:fill="FFFFFF"/>
        </w:rPr>
        <w:t xml:space="preserve">500 submissions including from medical and scientific experts. </w:t>
      </w:r>
    </w:p>
    <w:p w14:paraId="729C6A8A" w14:textId="77777777" w:rsidR="00773552" w:rsidRPr="00DB2F88" w:rsidRDefault="00773552" w:rsidP="008471BB">
      <w:pPr>
        <w:rPr>
          <w:rFonts w:cs="Arial"/>
          <w:shd w:val="clear" w:color="auto" w:fill="FFFFFF"/>
        </w:rPr>
      </w:pPr>
      <w:r w:rsidRPr="00DB2F88">
        <w:rPr>
          <w:rFonts w:cs="Arial"/>
          <w:shd w:val="clear" w:color="auto" w:fill="FFFFFF"/>
        </w:rPr>
        <w:t>In making the decision, the scheduling delegate considered, among other things:</w:t>
      </w:r>
    </w:p>
    <w:p w14:paraId="75B0210C" w14:textId="4A4ED83C" w:rsidR="00773552" w:rsidRPr="008F0BF1" w:rsidRDefault="00773552" w:rsidP="00D12EFD">
      <w:pPr>
        <w:pStyle w:val="Bullet1"/>
        <w:numPr>
          <w:ilvl w:val="0"/>
          <w:numId w:val="32"/>
        </w:numPr>
      </w:pPr>
      <w:r w:rsidRPr="008F0BF1">
        <w:rPr>
          <w:shd w:val="clear" w:color="auto" w:fill="FFFFFF"/>
        </w:rPr>
        <w:t>evidence of the harms of tobacco use</w:t>
      </w:r>
      <w:r w:rsidR="00B67653">
        <w:rPr>
          <w:shd w:val="clear" w:color="auto" w:fill="FFFFFF"/>
        </w:rPr>
        <w:t xml:space="preserve"> </w:t>
      </w:r>
      <w:r w:rsidR="00763B90" w:rsidRPr="00063DFD">
        <w:rPr>
          <w:color w:val="000000"/>
        </w:rPr>
        <w:t>–</w:t>
      </w:r>
      <w:r w:rsidRPr="008F0BF1">
        <w:rPr>
          <w:shd w:val="clear" w:color="auto" w:fill="FFFFFF"/>
        </w:rPr>
        <w:t xml:space="preserve"> the delegate noted that at that stage this was a leading cause of preventable disease and death among Australians</w:t>
      </w:r>
    </w:p>
    <w:p w14:paraId="00F0BF60" w14:textId="633BCA75" w:rsidR="00773552" w:rsidRPr="008F0BF1" w:rsidRDefault="00773552" w:rsidP="00D12EFD">
      <w:pPr>
        <w:pStyle w:val="Bullet1"/>
        <w:numPr>
          <w:ilvl w:val="0"/>
          <w:numId w:val="32"/>
        </w:numPr>
      </w:pPr>
      <w:r w:rsidRPr="008F0BF1">
        <w:rPr>
          <w:shd w:val="clear" w:color="auto" w:fill="FFFFFF"/>
        </w:rPr>
        <w:t xml:space="preserve">evidence of the harms of vaping, including on </w:t>
      </w:r>
      <w:r w:rsidR="006D05F4">
        <w:t>youth and young adults</w:t>
      </w:r>
      <w:r w:rsidR="000A2DFE">
        <w:t xml:space="preserve"> </w:t>
      </w:r>
      <w:r w:rsidR="00763B90" w:rsidRPr="00063DFD">
        <w:rPr>
          <w:color w:val="000000"/>
        </w:rPr>
        <w:t>–</w:t>
      </w:r>
      <w:r w:rsidRPr="008F0BF1">
        <w:rPr>
          <w:shd w:val="clear" w:color="auto" w:fill="FFFFFF"/>
        </w:rPr>
        <w:t xml:space="preserve"> the delegate broadly noted evidence of the harms already described above</w:t>
      </w:r>
    </w:p>
    <w:p w14:paraId="2EEA7CA6" w14:textId="07D2D3A2" w:rsidR="00773552" w:rsidRPr="008F0BF1" w:rsidRDefault="00773552" w:rsidP="00D12EFD">
      <w:pPr>
        <w:pStyle w:val="Bullet1"/>
        <w:numPr>
          <w:ilvl w:val="0"/>
          <w:numId w:val="32"/>
        </w:numPr>
      </w:pPr>
      <w:r w:rsidRPr="008F0BF1">
        <w:rPr>
          <w:shd w:val="clear" w:color="auto" w:fill="FFFFFF"/>
        </w:rPr>
        <w:t>evidence of the effectiveness of nicotine vaping for smoking cessation</w:t>
      </w:r>
      <w:r w:rsidR="000A2DFE">
        <w:rPr>
          <w:shd w:val="clear" w:color="auto" w:fill="FFFFFF"/>
        </w:rPr>
        <w:t xml:space="preserve"> </w:t>
      </w:r>
      <w:r w:rsidR="00763B90" w:rsidRPr="00063DFD">
        <w:rPr>
          <w:color w:val="000000"/>
        </w:rPr>
        <w:t>–</w:t>
      </w:r>
      <w:r w:rsidRPr="008F0BF1">
        <w:rPr>
          <w:shd w:val="clear" w:color="auto" w:fill="FFFFFF"/>
        </w:rPr>
        <w:t xml:space="preserve"> the delegate concluded while, at that time, there were promising signs that that nicotine e-cigarettes may be of value in smoking cessation, the evidence was not sufficiently strong to make a firm conclusion. </w:t>
      </w:r>
    </w:p>
    <w:p w14:paraId="74BCBDAD" w14:textId="00058978" w:rsidR="00773552" w:rsidRPr="00DB2F88" w:rsidRDefault="00773552" w:rsidP="008471BB">
      <w:r w:rsidRPr="00DB2F88">
        <w:rPr>
          <w:shd w:val="clear" w:color="auto" w:fill="FFFFFF"/>
        </w:rPr>
        <w:t xml:space="preserve">There was a </w:t>
      </w:r>
      <w:r w:rsidR="006D40A8" w:rsidRPr="00DB2F88">
        <w:rPr>
          <w:shd w:val="clear" w:color="auto" w:fill="FFFFFF"/>
        </w:rPr>
        <w:t>3-stage</w:t>
      </w:r>
      <w:r w:rsidRPr="00DB2F88">
        <w:rPr>
          <w:shd w:val="clear" w:color="auto" w:fill="FFFFFF"/>
        </w:rPr>
        <w:t xml:space="preserve"> decision-making process, involving an initial request for public submissions on scheduling proposals, advice from the Joint Meeting of the Advisory Committees on Medicines Scheduling and Chemical Scheduling, and an interim decision that was publicly consulted on. After carefully weighing all the evidence, the delegate concluded that restricted access to nicotine vapes for smoking cessation should be available under medical supervision to a cohort of smokers who had been unable to give up smoking by other means. The delegate considered that restricted access to nicotine vapes under medical supervision for smoking cessation would appropriately balance the risks presented. It would prevent access for </w:t>
      </w:r>
      <w:r w:rsidR="005D254A">
        <w:rPr>
          <w:shd w:val="clear" w:color="auto" w:fill="FFFFFF"/>
        </w:rPr>
        <w:t>youth</w:t>
      </w:r>
      <w:r w:rsidRPr="00DB2F88">
        <w:rPr>
          <w:shd w:val="clear" w:color="auto" w:fill="FFFFFF"/>
        </w:rPr>
        <w:t xml:space="preserve"> and non-smokers, and a practitioner could make a clinical judgement about whether a </w:t>
      </w:r>
      <w:r w:rsidR="0098736B">
        <w:rPr>
          <w:shd w:val="clear" w:color="auto" w:fill="FFFFFF"/>
        </w:rPr>
        <w:t>vape</w:t>
      </w:r>
      <w:r w:rsidRPr="00DB2F88">
        <w:rPr>
          <w:shd w:val="clear" w:color="auto" w:fill="FFFFFF"/>
        </w:rPr>
        <w:t xml:space="preserve"> would be clinically suitable for a particular patient based on their particular circumstances and clinical history. </w:t>
      </w:r>
    </w:p>
    <w:p w14:paraId="07C5853B" w14:textId="77777777" w:rsidR="00773552" w:rsidRPr="00DB2F88" w:rsidRDefault="00773552" w:rsidP="008471BB">
      <w:r w:rsidRPr="00DB2F88">
        <w:t>The evidence has not significantly changed since the scheduling decision was made, although there is more evidence that vaping may be an effective smoking cessation aid and some evidence it may be more effective than traditional NRTs.</w:t>
      </w:r>
    </w:p>
    <w:p w14:paraId="4304A85C" w14:textId="3E0D9B42" w:rsidR="00876F54" w:rsidRDefault="00773552" w:rsidP="008471BB">
      <w:r w:rsidRPr="00DB2F88">
        <w:t xml:space="preserve">Tobacco use remains </w:t>
      </w:r>
      <w:r w:rsidRPr="00DB2F88">
        <w:rPr>
          <w:shd w:val="clear" w:color="auto" w:fill="FFFFFF"/>
        </w:rPr>
        <w:t>a leading cause of preventable disease and death among Australians.</w:t>
      </w:r>
      <w:r w:rsidRPr="00DB2F88">
        <w:t xml:space="preserve"> It is estimated to have killed 1,280,000 Australians between 1960 and 2020. In 2018 alone, tobacco use </w:t>
      </w:r>
      <w:r w:rsidRPr="00DB2F88">
        <w:lastRenderedPageBreak/>
        <w:t>was estimated to have killed almost 20,500 people</w:t>
      </w:r>
      <w:r w:rsidR="00E45904">
        <w:t>.</w:t>
      </w:r>
      <w:r w:rsidRPr="00DB2F88">
        <w:rPr>
          <w:rStyle w:val="FootnoteReference"/>
          <w:rFonts w:cs="Arial"/>
        </w:rPr>
        <w:footnoteReference w:id="69"/>
      </w:r>
      <w:r w:rsidRPr="00DB2F88">
        <w:rPr>
          <w:rFonts w:eastAsia="Arial" w:cs="Cordia New"/>
        </w:rPr>
        <w:t xml:space="preserve"> </w:t>
      </w:r>
      <w:r w:rsidRPr="00DB2F88">
        <w:t xml:space="preserve">While vaping carries significant health risks, the known health risks (at least for regulated vapes) are, at this stage, lower than for smoking. Unlike cigarettes, vapes do not generally contain tar which is known to cause lung cancer. </w:t>
      </w:r>
    </w:p>
    <w:p w14:paraId="1925F46C" w14:textId="60F9AB63" w:rsidR="00773552" w:rsidRPr="00DB2F88" w:rsidRDefault="00773552" w:rsidP="008471BB">
      <w:r w:rsidRPr="00DB2F88">
        <w:t>The recently updated Cochrane Review, Electronic cigarettes for smoking cessation (November 2022)</w:t>
      </w:r>
      <w:r w:rsidRPr="00DB2F88">
        <w:rPr>
          <w:vertAlign w:val="superscript"/>
        </w:rPr>
        <w:footnoteReference w:id="70"/>
      </w:r>
      <w:r w:rsidR="00E45904">
        <w:t>,</w:t>
      </w:r>
      <w:r w:rsidRPr="00DB2F88">
        <w:t>compared the effects of nicotine vapes with other ways of delivering nicotine, such as NRTs including patches and chewing gum, e-cigarettes without nicotine, and behavioural support only or no</w:t>
      </w:r>
      <w:r w:rsidR="00486D61">
        <w:t xml:space="preserve"> </w:t>
      </w:r>
      <w:r w:rsidRPr="00DB2F88">
        <w:t>support.</w:t>
      </w:r>
      <w:r w:rsidRPr="00DB2F88">
        <w:rPr>
          <w:vertAlign w:val="superscript"/>
        </w:rPr>
        <w:t>51</w:t>
      </w:r>
      <w:r w:rsidRPr="00DB2F88">
        <w:t xml:space="preserve"> The review included 78 studies (22,052 participants), including 40 randomised controlled trials, and studies had to report abstinence from smoking cigarettes at six months.</w:t>
      </w:r>
      <w:r w:rsidRPr="00DB2F88">
        <w:rPr>
          <w:vertAlign w:val="superscript"/>
        </w:rPr>
        <w:t>52</w:t>
      </w:r>
      <w:r w:rsidRPr="00DB2F88">
        <w:t xml:space="preserve"> Of the included studies, 10 (all but one contributing to the authors’ main comparisons) were rated at low risk of bias overall, and 50 at high risk</w:t>
      </w:r>
      <w:r w:rsidR="00E45904">
        <w:t>.</w:t>
      </w:r>
      <w:r w:rsidRPr="00DB2F88">
        <w:rPr>
          <w:vertAlign w:val="superscript"/>
        </w:rPr>
        <w:footnoteReference w:id="71"/>
      </w:r>
      <w:r w:rsidRPr="00DB2F88">
        <w:t xml:space="preserve"> In relation to quit rates: </w:t>
      </w:r>
    </w:p>
    <w:p w14:paraId="601E81C3" w14:textId="6966DAB7" w:rsidR="00773552" w:rsidRPr="008F0BF1" w:rsidRDefault="00773552" w:rsidP="00D12EFD">
      <w:pPr>
        <w:pStyle w:val="Bullet1"/>
        <w:numPr>
          <w:ilvl w:val="0"/>
          <w:numId w:val="33"/>
        </w:numPr>
        <w:rPr>
          <w:shd w:val="clear" w:color="auto" w:fill="FFFFFF"/>
        </w:rPr>
      </w:pPr>
      <w:r w:rsidRPr="008F0BF1">
        <w:rPr>
          <w:shd w:val="clear" w:color="auto" w:fill="FFFFFF"/>
        </w:rPr>
        <w:t>there was high certainty that quit rates were higher in people randomised to nicotine vapes than in those randomised to NRT (risk ratio RR 1.63, 95% CI 1.30 to 2.04; 6 studies, 2</w:t>
      </w:r>
      <w:r w:rsidR="00F23498">
        <w:rPr>
          <w:shd w:val="clear" w:color="auto" w:fill="FFFFFF"/>
        </w:rPr>
        <w:t>,</w:t>
      </w:r>
      <w:r w:rsidRPr="008F0BF1">
        <w:rPr>
          <w:shd w:val="clear" w:color="auto" w:fill="FFFFFF"/>
        </w:rPr>
        <w:t>378 participants). In absolute terms, this might translate to an additional 4 quitters per 100 using nicotine vapes.</w:t>
      </w:r>
    </w:p>
    <w:p w14:paraId="0D650E54" w14:textId="43DCD723" w:rsidR="00773552" w:rsidRPr="008F0BF1" w:rsidRDefault="00773552" w:rsidP="00D12EFD">
      <w:pPr>
        <w:pStyle w:val="Bullet1"/>
        <w:numPr>
          <w:ilvl w:val="0"/>
          <w:numId w:val="33"/>
        </w:numPr>
        <w:rPr>
          <w:shd w:val="clear" w:color="auto" w:fill="FFFFFF"/>
        </w:rPr>
      </w:pPr>
      <w:r w:rsidRPr="008F0BF1">
        <w:rPr>
          <w:shd w:val="clear" w:color="auto" w:fill="FFFFFF"/>
        </w:rPr>
        <w:t xml:space="preserve">there was moderate-certainty evidence that quit rates were higher in people randomised to nicotine vapes than to </w:t>
      </w:r>
      <w:r w:rsidR="00467EDD">
        <w:rPr>
          <w:shd w:val="clear" w:color="auto" w:fill="FFFFFF"/>
        </w:rPr>
        <w:t>zero-nicotine</w:t>
      </w:r>
      <w:r w:rsidRPr="008F0BF1">
        <w:rPr>
          <w:shd w:val="clear" w:color="auto" w:fill="FFFFFF"/>
        </w:rPr>
        <w:t xml:space="preserve"> vap</w:t>
      </w:r>
      <w:r w:rsidR="0098736B">
        <w:rPr>
          <w:shd w:val="clear" w:color="auto" w:fill="FFFFFF"/>
        </w:rPr>
        <w:t>es</w:t>
      </w:r>
      <w:r w:rsidRPr="008F0BF1">
        <w:rPr>
          <w:shd w:val="clear" w:color="auto" w:fill="FFFFFF"/>
        </w:rPr>
        <w:t xml:space="preserve"> (RR 1.94, 95% CI 1.21 to 3.13; 5 studies, 1</w:t>
      </w:r>
      <w:r w:rsidR="00F23498">
        <w:rPr>
          <w:shd w:val="clear" w:color="auto" w:fill="FFFFFF"/>
        </w:rPr>
        <w:t>,</w:t>
      </w:r>
      <w:r w:rsidRPr="008F0BF1">
        <w:rPr>
          <w:shd w:val="clear" w:color="auto" w:fill="FFFFFF"/>
        </w:rPr>
        <w:t>447 participants). In absolute terms, this might lead to an additional 7 quitters per 100 using nicotine vapes.</w:t>
      </w:r>
    </w:p>
    <w:p w14:paraId="78E362FC" w14:textId="4EFBF7F8" w:rsidR="00773552" w:rsidRPr="00DB2F88" w:rsidRDefault="00773552" w:rsidP="00D12EFD">
      <w:pPr>
        <w:pStyle w:val="Bullet1"/>
        <w:numPr>
          <w:ilvl w:val="0"/>
          <w:numId w:val="33"/>
        </w:numPr>
      </w:pPr>
      <w:r w:rsidRPr="008F0BF1">
        <w:rPr>
          <w:shd w:val="clear" w:color="auto" w:fill="FFFFFF"/>
        </w:rPr>
        <w:t>compared to behavioural support only/no support, quit rates were higher for participants randomised to nicotine vapes (RR 2.66, 95% CI 1.52 to 4.65; 7 studies, 3</w:t>
      </w:r>
      <w:r w:rsidR="00F23498">
        <w:rPr>
          <w:shd w:val="clear" w:color="auto" w:fill="FFFFFF"/>
        </w:rPr>
        <w:t>,</w:t>
      </w:r>
      <w:r w:rsidRPr="008F0BF1">
        <w:rPr>
          <w:shd w:val="clear" w:color="auto" w:fill="FFFFFF"/>
        </w:rPr>
        <w:t>126 participants). In absolute terms, this represents an additional 2 quitters per 100 using nicotine vapes. However, this finding was of very low certainty, due to issues with imprecision and risk of bia</w:t>
      </w:r>
      <w:r w:rsidRPr="008F0BF1">
        <w:rPr>
          <w:lang w:eastAsia="en-AU"/>
        </w:rPr>
        <w:t>s.</w:t>
      </w:r>
      <w:r w:rsidRPr="008F0BF1">
        <w:rPr>
          <w:vertAlign w:val="superscript"/>
          <w:lang w:eastAsia="en-AU"/>
        </w:rPr>
        <w:footnoteReference w:id="72"/>
      </w:r>
    </w:p>
    <w:p w14:paraId="46595FC6" w14:textId="573FE133" w:rsidR="00773552" w:rsidRPr="00DB2F88" w:rsidRDefault="00773552" w:rsidP="008471BB">
      <w:r w:rsidRPr="00DB2F88">
        <w:t>Supporting the use of vapes for treating current smokers, UK smokers have been actively urged to swap cigarettes for vapes under a ‘swap to stop’ scheme.</w:t>
      </w:r>
      <w:r w:rsidRPr="00DB2F88">
        <w:rPr>
          <w:rStyle w:val="FootnoteReference"/>
          <w:rFonts w:cs="Arial"/>
        </w:rPr>
        <w:footnoteReference w:id="73"/>
      </w:r>
      <w:r w:rsidRPr="00DB2F88">
        <w:t xml:space="preserve"> The scheme was based on findings from an independent review on ways to be smokefree by 2030,</w:t>
      </w:r>
      <w:r w:rsidRPr="00DB2F88">
        <w:rPr>
          <w:rStyle w:val="FootnoteReference"/>
          <w:rFonts w:cs="Arial"/>
        </w:rPr>
        <w:footnoteReference w:id="74"/>
      </w:r>
      <w:r w:rsidRPr="00DB2F88">
        <w:t xml:space="preserve"> which found that </w:t>
      </w:r>
      <w:r w:rsidR="0050733A">
        <w:t>vapes</w:t>
      </w:r>
      <w:r w:rsidRPr="00DB2F88">
        <w:t xml:space="preserve"> continue to be the most popular and effective aid used by people trying to quit smoking. In 2020, 27.2% of people had used a </w:t>
      </w:r>
      <w:r w:rsidR="0050733A">
        <w:t>vape</w:t>
      </w:r>
      <w:r w:rsidRPr="00DB2F88">
        <w:t xml:space="preserve"> in a quit attempt in the previous 12 months. The review recommended accelerating the path to prescribed vapes through medicinal licensing to complement the swap to stop packs and give hesitant professionals (and the public) more confidence in their safety and effectiveness.</w:t>
      </w:r>
      <w:r w:rsidRPr="00DB2F88">
        <w:rPr>
          <w:rStyle w:val="FootnoteReference"/>
        </w:rPr>
        <w:footnoteReference w:id="75"/>
      </w:r>
      <w:r w:rsidRPr="00DB2F88">
        <w:t xml:space="preserve"> </w:t>
      </w:r>
    </w:p>
    <w:p w14:paraId="6DBBFD14" w14:textId="3E639DCC" w:rsidR="00773552" w:rsidRPr="00DB2F88" w:rsidRDefault="00773552" w:rsidP="008471BB">
      <w:r w:rsidRPr="00DB2F88">
        <w:t>The requirement for a prescription for access to any vapes is key to ensure patients are obtaining and benefiting from evidence-based advice on smoking cessation or nicotine addiction from their doctor. A doctor can facilitate the use of multi-session behavioural interventions such as smoking cessation counselling, combined with clinically appropriate pharmacotherapy, to maximise the likelihood of successful long-term cessation.</w:t>
      </w:r>
      <w:r w:rsidRPr="00DB2F88">
        <w:rPr>
          <w:rStyle w:val="FootnoteReference"/>
          <w:rFonts w:cs="Arial"/>
        </w:rPr>
        <w:footnoteReference w:id="76"/>
      </w:r>
      <w:r w:rsidRPr="00DB2F88">
        <w:t xml:space="preserve"> </w:t>
      </w:r>
    </w:p>
    <w:p w14:paraId="0FF90479" w14:textId="40B32935" w:rsidR="00B531AF" w:rsidRPr="00DB2F88" w:rsidRDefault="00773552" w:rsidP="008471BB">
      <w:r w:rsidRPr="00DB2F88">
        <w:lastRenderedPageBreak/>
        <w:t>Improving the safety profile of vapes, such as imposing additional quality and safety standards, will continue to increase the benefit-risk profile for the use of vapes as a tool for smoking cessation</w:t>
      </w:r>
      <w:r w:rsidR="0093671B" w:rsidRPr="00DB2F88">
        <w:t>.</w:t>
      </w:r>
    </w:p>
    <w:p w14:paraId="19820DAB" w14:textId="39E0A0D2" w:rsidR="00DF61E2" w:rsidRPr="00DB2F88" w:rsidRDefault="00AA71B4" w:rsidP="00F96878">
      <w:pPr>
        <w:pStyle w:val="Heading4"/>
      </w:pPr>
      <w:bookmarkStart w:id="72" w:name="_Toc151040332"/>
      <w:r w:rsidRPr="00F96878">
        <w:t>Individual</w:t>
      </w:r>
      <w:r w:rsidRPr="00DB2F88">
        <w:t xml:space="preserve"> experiences of using vapes to </w:t>
      </w:r>
      <w:r w:rsidR="00B23804" w:rsidRPr="00DB2F88">
        <w:t>quit smoking</w:t>
      </w:r>
      <w:bookmarkEnd w:id="72"/>
    </w:p>
    <w:p w14:paraId="108BD71B" w14:textId="67EB2031" w:rsidR="00773552" w:rsidRPr="00DB2F88" w:rsidRDefault="00773552" w:rsidP="00F96878">
      <w:r w:rsidRPr="008471BB">
        <w:t xml:space="preserve">Individuals responding to the First and Second Consultations by the TGA (see </w:t>
      </w:r>
      <w:hyperlink w:anchor="_Public_consultations" w:history="1">
        <w:r w:rsidRPr="008471BB">
          <w:t>Question 5</w:t>
        </w:r>
      </w:hyperlink>
      <w:r w:rsidRPr="008471BB">
        <w:t>) provided anecd</w:t>
      </w:r>
      <w:r w:rsidRPr="00DB2F88">
        <w:t>otal evidence of the assistance that vaping gave them in quitting smoking</w:t>
      </w:r>
      <w:r w:rsidR="0021188C">
        <w:t xml:space="preserve">. </w:t>
      </w:r>
      <w:r w:rsidR="0021188C" w:rsidRPr="0021188C">
        <w:t xml:space="preserve">Note all quotes are verbatim and therefore may contain spelling, grammatical and typographic </w:t>
      </w:r>
      <w:r w:rsidR="00371F4B">
        <w:t>idiosyncrasies</w:t>
      </w:r>
      <w:r w:rsidR="0021188C" w:rsidRPr="0021188C">
        <w:t xml:space="preserve"> which have not been corrected</w:t>
      </w:r>
      <w:r w:rsidRPr="00DB2F88">
        <w:t xml:space="preserve">: </w:t>
      </w:r>
    </w:p>
    <w:p w14:paraId="5FC7DB42" w14:textId="492A1791" w:rsidR="00773552" w:rsidRPr="008F0BF1" w:rsidRDefault="00773552" w:rsidP="00D12EFD">
      <w:pPr>
        <w:pStyle w:val="Bullet1"/>
        <w:numPr>
          <w:ilvl w:val="0"/>
          <w:numId w:val="34"/>
        </w:numPr>
      </w:pPr>
      <w:r w:rsidRPr="008F0BF1">
        <w:t>Was a smoker for 40 yrs</w:t>
      </w:r>
      <w:r w:rsidR="00426FD1" w:rsidRPr="008F0BF1">
        <w:t xml:space="preserve"> </w:t>
      </w:r>
      <w:r w:rsidR="00622635">
        <w:t>–</w:t>
      </w:r>
      <w:r w:rsidR="00426FD1" w:rsidRPr="008F0BF1">
        <w:t xml:space="preserve"> </w:t>
      </w:r>
      <w:r w:rsidRPr="008F0BF1">
        <w:t>Vaping saved my life</w:t>
      </w:r>
      <w:r w:rsidR="00A2335A">
        <w:t>.</w:t>
      </w:r>
    </w:p>
    <w:p w14:paraId="436C7C3B" w14:textId="0BF3CE59" w:rsidR="00C4186B" w:rsidRPr="008F0BF1" w:rsidRDefault="00773552" w:rsidP="00D12EFD">
      <w:pPr>
        <w:pStyle w:val="Bullet1"/>
        <w:numPr>
          <w:ilvl w:val="0"/>
          <w:numId w:val="34"/>
        </w:numPr>
      </w:pPr>
      <w:r w:rsidRPr="008F0BF1">
        <w:t xml:space="preserve">I have given up cigarette many years ago 10 at least and the only way I could do it was by using a ecig and slowly reducing </w:t>
      </w:r>
      <w:r w:rsidR="00C4186B" w:rsidRPr="008F0BF1">
        <w:t>nicotine</w:t>
      </w:r>
      <w:r w:rsidR="00A2335A">
        <w:t>.</w:t>
      </w:r>
    </w:p>
    <w:p w14:paraId="2EF9BB18" w14:textId="6181AFE9" w:rsidR="00C4186B" w:rsidRPr="008F0BF1" w:rsidRDefault="00C4186B" w:rsidP="00D12EFD">
      <w:pPr>
        <w:pStyle w:val="Bullet1"/>
        <w:numPr>
          <w:ilvl w:val="0"/>
          <w:numId w:val="34"/>
        </w:numPr>
      </w:pPr>
      <w:r w:rsidRPr="008F0BF1">
        <w:t>I used to smoke about 40 cigarettes per day. Then I tried vaping. It has been 3 years since I smoked a cigarette. I started vaping with 18mg of nicotine. Now I’m down to 2mg.</w:t>
      </w:r>
      <w:r w:rsidR="008F0BF1">
        <w:t xml:space="preserve"> </w:t>
      </w:r>
    </w:p>
    <w:p w14:paraId="23D7A2E7" w14:textId="77777777" w:rsidR="00C4186B" w:rsidRPr="008F0BF1" w:rsidRDefault="00C4186B" w:rsidP="00D12EFD">
      <w:pPr>
        <w:pStyle w:val="Bullet1"/>
        <w:numPr>
          <w:ilvl w:val="0"/>
          <w:numId w:val="34"/>
        </w:numPr>
      </w:pPr>
      <w:r w:rsidRPr="008F0BF1">
        <w:t>Helped quit smoking.</w:t>
      </w:r>
    </w:p>
    <w:p w14:paraId="0DB63201" w14:textId="04B7451E" w:rsidR="009E19B4" w:rsidRPr="00DB2F88" w:rsidRDefault="009E19B4" w:rsidP="009E19B4">
      <w:pPr>
        <w:spacing w:before="240"/>
      </w:pPr>
      <w:r w:rsidRPr="008471BB">
        <w:t>Similarly, although the Second Consultation was not targeted at individuals and there were no questions within the survey to elicit the individual’s experience with vaping, some individuals took the opportunity to state strongly that they did not support a ban on vapes and explained the effect of banning vapes might</w:t>
      </w:r>
      <w:r w:rsidRPr="00DB2F88">
        <w:t xml:space="preserve"> have on them</w:t>
      </w:r>
      <w:r w:rsidR="004734B6">
        <w:t>.</w:t>
      </w:r>
      <w:r w:rsidR="004734B6" w:rsidRPr="004734B6">
        <w:rPr>
          <w:rFonts w:asciiTheme="majorHAnsi" w:hAnsiTheme="majorHAnsi" w:cstheme="majorHAnsi"/>
          <w:sz w:val="18"/>
          <w:szCs w:val="18"/>
        </w:rPr>
        <w:t xml:space="preserve"> </w:t>
      </w:r>
      <w:r w:rsidR="004734B6" w:rsidRPr="004734B6">
        <w:t xml:space="preserve">Note all quotes are verbatim and therefore may contain spelling, grammatical and typographic </w:t>
      </w:r>
      <w:r w:rsidR="00371F4B">
        <w:t>idiosyncrasies</w:t>
      </w:r>
      <w:r w:rsidR="004734B6" w:rsidRPr="004734B6">
        <w:t xml:space="preserve"> which have not been corrected</w:t>
      </w:r>
      <w:r w:rsidR="00E14D5C">
        <w:t>:</w:t>
      </w:r>
      <w:r w:rsidRPr="00DB2F88">
        <w:t xml:space="preserve"> </w:t>
      </w:r>
    </w:p>
    <w:p w14:paraId="21A906C3" w14:textId="77777777" w:rsidR="009E19B4" w:rsidRPr="008F0BF1" w:rsidRDefault="009E19B4" w:rsidP="00D12EFD">
      <w:pPr>
        <w:pStyle w:val="Bullet1"/>
        <w:numPr>
          <w:ilvl w:val="0"/>
          <w:numId w:val="35"/>
        </w:numPr>
      </w:pPr>
      <w:r w:rsidRPr="008F0BF1">
        <w:t>I successfully quit smoking after 16 years. I have been cigarette free for 2 years.</w:t>
      </w:r>
    </w:p>
    <w:p w14:paraId="6C753BBB" w14:textId="77777777" w:rsidR="009E19B4" w:rsidRPr="008F0BF1" w:rsidRDefault="009E19B4" w:rsidP="00D12EFD">
      <w:pPr>
        <w:pStyle w:val="Bullet1"/>
        <w:numPr>
          <w:ilvl w:val="0"/>
          <w:numId w:val="35"/>
        </w:numPr>
      </w:pPr>
      <w:r w:rsidRPr="008F0BF1">
        <w:t>Many failed attempts prior to this, the only success I have had is with vaping.</w:t>
      </w:r>
    </w:p>
    <w:p w14:paraId="68816D6B" w14:textId="7353976E" w:rsidR="009E19B4" w:rsidRPr="008F0BF1" w:rsidRDefault="009E19B4" w:rsidP="00D12EFD">
      <w:pPr>
        <w:pStyle w:val="Bullet1"/>
        <w:numPr>
          <w:ilvl w:val="0"/>
          <w:numId w:val="35"/>
        </w:numPr>
      </w:pPr>
      <w:r w:rsidRPr="008F0BF1">
        <w:t>If you</w:t>
      </w:r>
      <w:r w:rsidR="00622635">
        <w:t>’</w:t>
      </w:r>
      <w:r w:rsidRPr="008F0BF1">
        <w:t>re going to continue to offer nicotine in any form, it</w:t>
      </w:r>
      <w:r w:rsidR="00622635">
        <w:t>’</w:t>
      </w:r>
      <w:r w:rsidRPr="008F0BF1">
        <w:t xml:space="preserve">s hypocritical to take away a method of harm reduction. </w:t>
      </w:r>
    </w:p>
    <w:p w14:paraId="484F7EB5" w14:textId="78DA33BF" w:rsidR="009E19B4" w:rsidRPr="008F0BF1" w:rsidRDefault="009E19B4" w:rsidP="00D12EFD">
      <w:pPr>
        <w:pStyle w:val="Bullet1"/>
        <w:numPr>
          <w:ilvl w:val="0"/>
          <w:numId w:val="35"/>
        </w:numPr>
      </w:pPr>
      <w:r w:rsidRPr="008F0BF1">
        <w:t xml:space="preserve">No </w:t>
      </w:r>
      <w:r w:rsidR="00622635">
        <w:t>I</w:t>
      </w:r>
      <w:r w:rsidRPr="008F0BF1">
        <w:t xml:space="preserve"> do not. I am a personal user of nicotine vapes. With the assistance of the vape i have not had a cigarette in 5 years. health issues and my fitness have improved from the change. when the changes came last year i had a lot of issues</w:t>
      </w:r>
      <w:r w:rsidR="00A2335A">
        <w:t>.</w:t>
      </w:r>
    </w:p>
    <w:p w14:paraId="2CBCC19E" w14:textId="39859044" w:rsidR="009E19B4" w:rsidRPr="008F0BF1" w:rsidRDefault="00F224A4" w:rsidP="00D12EFD">
      <w:pPr>
        <w:pStyle w:val="Bullet1"/>
        <w:numPr>
          <w:ilvl w:val="0"/>
          <w:numId w:val="35"/>
        </w:numPr>
      </w:pPr>
      <w:r>
        <w:t>I</w:t>
      </w:r>
      <w:r w:rsidR="009E19B4" w:rsidRPr="008F0BF1">
        <w:t>'m a long term vaper and successfully stopped smoking cigrarettes within 3 weeks, so it works as an option for me and feel so much better about it</w:t>
      </w:r>
      <w:r w:rsidR="00A2335A">
        <w:t>.</w:t>
      </w:r>
    </w:p>
    <w:p w14:paraId="605C9866" w14:textId="77777777" w:rsidR="009E19B4" w:rsidRPr="008F0BF1" w:rsidRDefault="009E19B4" w:rsidP="00D12EFD">
      <w:pPr>
        <w:pStyle w:val="Bullet1"/>
        <w:numPr>
          <w:ilvl w:val="0"/>
          <w:numId w:val="35"/>
        </w:numPr>
      </w:pPr>
      <w:r w:rsidRPr="008F0BF1">
        <w:t>As someone who has used vapes to stop smoking I know this will hamper my road to recovery as no doctors I have spoken with are willing to supply me with a prescription.</w:t>
      </w:r>
    </w:p>
    <w:p w14:paraId="5B4F5E44" w14:textId="0F79A5C4" w:rsidR="009E19B4" w:rsidRPr="008F0BF1" w:rsidRDefault="009E19B4" w:rsidP="00D12EFD">
      <w:pPr>
        <w:pStyle w:val="Bullet1"/>
        <w:numPr>
          <w:ilvl w:val="0"/>
          <w:numId w:val="35"/>
        </w:numPr>
      </w:pPr>
      <w:r w:rsidRPr="008F0BF1">
        <w:t>I wont be able to calm nicotiene cravings &amp; i will be at risk of going back to tobacco smoking which has been proven to be far more dangerous than vaping. Ban all vaping product would leave the government open to a class action lawsuit if people have been forced back on smoking cigarettes which is clearly what the government secretly wants due to massive yearly tax revenues streams cigarrettes &amp; combustable Tobacco products it brings in when you could tax nicotiene vapes reasonably &amp; abolish the</w:t>
      </w:r>
      <w:r w:rsidR="00B728DF">
        <w:t xml:space="preserve"> </w:t>
      </w:r>
      <w:r w:rsidRPr="008F0BF1">
        <w:t>need for a doctor prescriptions likein the good old days  Cannabis should also be available in vaping products like in Canada &amp; othercopuntries that are forwarding thinking while Australia keeps going backwards due to narrow minded, opressive Nanny state medeling scumbags! We the people want these draconian prohibition laws on Cannabis abolished &amp; any plans of vape ban abandoned!You can still make massive multi billion dollar a year tax revenue streams by taxing vapes &amp; taxing Cannabis instead of wasting billions in tax payer money wrongfully prosecuting &amp; wrongfully jailing people because of opressive Nanny state draconian prohibtion laws &amp; as people are getting smarter in hiding money so less &amp; less is seized in raids. Eventually a defendant will selected a jury that supports legalization &amp; succesfully argue in a not guilty court trial for jury nullification &amp; fight back against these oppressive draconian drug prohibtion laws!</w:t>
      </w:r>
    </w:p>
    <w:p w14:paraId="0EE02F0C" w14:textId="77777777" w:rsidR="009E19B4" w:rsidRPr="008F0BF1" w:rsidRDefault="009E19B4" w:rsidP="00D12EFD">
      <w:pPr>
        <w:pStyle w:val="Bullet1"/>
        <w:numPr>
          <w:ilvl w:val="0"/>
          <w:numId w:val="35"/>
        </w:numPr>
      </w:pPr>
      <w:r w:rsidRPr="008F0BF1">
        <w:t>Almost 3 years of hard work potentially down the drain with not using tobacco.</w:t>
      </w:r>
    </w:p>
    <w:p w14:paraId="497998C1" w14:textId="48096EC9" w:rsidR="009E19B4" w:rsidRPr="008F0BF1" w:rsidRDefault="009E19B4" w:rsidP="00D12EFD">
      <w:pPr>
        <w:pStyle w:val="Bullet1"/>
        <w:numPr>
          <w:ilvl w:val="0"/>
          <w:numId w:val="35"/>
        </w:numPr>
      </w:pPr>
      <w:r w:rsidRPr="008F0BF1">
        <w:lastRenderedPageBreak/>
        <w:t>I would no longer be able to access a safer smoking cessation device and liquids. This would be detrimental to my personal health as it has greatly improved by the use of vaping products this would mean going back to smoking cigarettes. The ban of flavours etc would greatly Impact this as the variety of choice is what sustains the healthier choice</w:t>
      </w:r>
      <w:r w:rsidR="00DB3271">
        <w:t>.</w:t>
      </w:r>
    </w:p>
    <w:p w14:paraId="58E60332" w14:textId="77777777" w:rsidR="009E19B4" w:rsidRPr="008F0BF1" w:rsidRDefault="009E19B4" w:rsidP="00D12EFD">
      <w:pPr>
        <w:pStyle w:val="Bullet1"/>
        <w:numPr>
          <w:ilvl w:val="0"/>
          <w:numId w:val="35"/>
        </w:numPr>
      </w:pPr>
      <w:r w:rsidRPr="008F0BF1">
        <w:t xml:space="preserve">As a 42 year chronic tobacco smoker I have been using vapes on and off for over 10 years. In recent times I have been using them more and more. </w:t>
      </w:r>
    </w:p>
    <w:p w14:paraId="0B158243" w14:textId="77777777" w:rsidR="009E19B4" w:rsidRPr="008F0BF1" w:rsidRDefault="009E19B4" w:rsidP="00D12EFD">
      <w:pPr>
        <w:pStyle w:val="Bullet1"/>
        <w:numPr>
          <w:ilvl w:val="0"/>
          <w:numId w:val="35"/>
        </w:numPr>
      </w:pPr>
      <w:r w:rsidRPr="008F0BF1">
        <w:t xml:space="preserve">The first thing I would like to be noted is that my chronic cough disappears when I use vapes consistently. I have had a chronic cough for close to 30 years from using tobacco products. But using a vape clears my lungs within a matter of a day. </w:t>
      </w:r>
    </w:p>
    <w:p w14:paraId="533309CC" w14:textId="77777777" w:rsidR="009E19B4" w:rsidRPr="008F0BF1" w:rsidRDefault="009E19B4" w:rsidP="00D12EFD">
      <w:pPr>
        <w:pStyle w:val="Bullet1"/>
        <w:numPr>
          <w:ilvl w:val="0"/>
          <w:numId w:val="35"/>
        </w:numPr>
      </w:pPr>
      <w:r w:rsidRPr="008F0BF1">
        <w:t>It would have serious consequences to my health if I were not able to use vapes.</w:t>
      </w:r>
    </w:p>
    <w:p w14:paraId="680BBF8F" w14:textId="77777777" w:rsidR="009E19B4" w:rsidRPr="008F0BF1" w:rsidRDefault="009E19B4" w:rsidP="00D12EFD">
      <w:pPr>
        <w:pStyle w:val="Bullet1"/>
        <w:numPr>
          <w:ilvl w:val="0"/>
          <w:numId w:val="35"/>
        </w:numPr>
      </w:pPr>
      <w:r w:rsidRPr="008F0BF1">
        <w:t>It will remove access to life saving alternatives to cigarettes.</w:t>
      </w:r>
    </w:p>
    <w:p w14:paraId="25C0B2BC" w14:textId="2E7A566E" w:rsidR="009E19B4" w:rsidRPr="008F0BF1" w:rsidRDefault="009E19B4" w:rsidP="00D12EFD">
      <w:pPr>
        <w:pStyle w:val="Bullet1"/>
        <w:numPr>
          <w:ilvl w:val="0"/>
          <w:numId w:val="35"/>
        </w:numPr>
      </w:pPr>
      <w:r w:rsidRPr="008F0BF1">
        <w:t xml:space="preserve">I have completely quit smoking for just over three (3) years now, thanks to Vaping. Since we cannot purchase/get Nicotine here in Australia, the </w:t>
      </w:r>
      <w:r w:rsidR="001A6215" w:rsidRPr="00C54D80">
        <w:t>Personal Importation Scheme</w:t>
      </w:r>
      <w:r w:rsidRPr="008F0BF1">
        <w:t xml:space="preserve"> is an important factor to us vapers. </w:t>
      </w:r>
    </w:p>
    <w:p w14:paraId="1D1D60AA" w14:textId="39AE3791" w:rsidR="002B6B75" w:rsidRPr="00DB2F88" w:rsidRDefault="009E19B4" w:rsidP="00D12EFD">
      <w:pPr>
        <w:pStyle w:val="Bullet1"/>
        <w:numPr>
          <w:ilvl w:val="0"/>
          <w:numId w:val="35"/>
        </w:numPr>
      </w:pPr>
      <w:r w:rsidRPr="008F0BF1">
        <w:t>I started out with vaping at 6mg nicotine and currently I can only vape at 4mg due to the fact that 6mg has become too strong. Even with my Pod kits I vape 4 mg. Therefore, I am of the opinion that in another 5 or 6 years, I will be totally nicotine and vape free. Therefore, it is safe to say that it is not addictive (in my case) and does actually wean off dependency gradually and a very effective tool to quit smoking cigarettes</w:t>
      </w:r>
      <w:r w:rsidR="002B6B75" w:rsidRPr="008F0BF1">
        <w:t>.</w:t>
      </w:r>
    </w:p>
    <w:p w14:paraId="131DB2AA" w14:textId="16427A66" w:rsidR="00B531AF" w:rsidRPr="00DB2F88" w:rsidRDefault="00056F0C" w:rsidP="009541C7">
      <w:pPr>
        <w:pStyle w:val="Heading4"/>
      </w:pPr>
      <w:bookmarkStart w:id="73" w:name="_Toc151040333"/>
      <w:r w:rsidRPr="00DB2F88">
        <w:t xml:space="preserve">Use of vapes versus </w:t>
      </w:r>
      <w:r w:rsidR="00A46BA1" w:rsidRPr="009541C7">
        <w:t>approved</w:t>
      </w:r>
      <w:r w:rsidR="00A46BA1" w:rsidRPr="00DB2F88">
        <w:t xml:space="preserve"> N</w:t>
      </w:r>
      <w:r w:rsidR="00233C92" w:rsidRPr="00DB2F88">
        <w:t xml:space="preserve">icotine </w:t>
      </w:r>
      <w:r w:rsidR="00A46BA1" w:rsidRPr="00DB2F88">
        <w:t>R</w:t>
      </w:r>
      <w:r w:rsidR="00233C92" w:rsidRPr="00DB2F88">
        <w:t xml:space="preserve">eplacement </w:t>
      </w:r>
      <w:r w:rsidR="00B531AF" w:rsidRPr="00DB2F88">
        <w:t>T</w:t>
      </w:r>
      <w:r w:rsidR="00233C92" w:rsidRPr="00DB2F88">
        <w:t>herapie</w:t>
      </w:r>
      <w:r w:rsidR="00B531AF" w:rsidRPr="00DB2F88">
        <w:t>s</w:t>
      </w:r>
      <w:bookmarkEnd w:id="73"/>
    </w:p>
    <w:p w14:paraId="396FA2F3" w14:textId="3FBA29FB" w:rsidR="009E19B4" w:rsidRPr="00DB2F88" w:rsidRDefault="009E19B4" w:rsidP="008471BB">
      <w:r w:rsidRPr="00DB2F88">
        <w:t>Careful consideration needs to be given to the issuing of a prescription for a vape to assist with smoking cessation. A range of smoking cessation products are already available that do not have the same health risks (known and unknown) as vapes. These products are known as</w:t>
      </w:r>
      <w:r w:rsidR="00DD718C">
        <w:t xml:space="preserve"> </w:t>
      </w:r>
      <w:r w:rsidR="00622635">
        <w:t>‘</w:t>
      </w:r>
      <w:r w:rsidR="000F54AD">
        <w:t>’</w:t>
      </w:r>
      <w:r w:rsidRPr="00DB2F88">
        <w:t>first lin</w:t>
      </w:r>
      <w:r w:rsidR="001A2841">
        <w:t>e</w:t>
      </w:r>
      <w:r w:rsidRPr="00DB2F88">
        <w:t xml:space="preserve">' smoking cessation medications as they have been rigorously assessed by the TGA and have an established safety and efficacy profile. These products are generally less addictive than vapes and many are widely available in supermarkets and other retail settings. Many of these products (such as nicotine gums, patches and lozenges) are subsidised on the Pharmaceutical Benefits Scheme (PBS). </w:t>
      </w:r>
    </w:p>
    <w:p w14:paraId="0ACB0FE2" w14:textId="77777777" w:rsidR="009E19B4" w:rsidRPr="00DB2F88" w:rsidRDefault="009E19B4" w:rsidP="008471BB">
      <w:r w:rsidRPr="00DB2F88">
        <w:t>As no vapes have yet been evaluated by the TGA, the quality, safety and efficacy of these products in assisting with smoking cessation cannot be assured. A decision to prescribe an unapproved therapeutic good is a benefit-risk decision made on clinical grounds by a health practitioner in consultation with their patient. The RACGP currently advises that for people who have failed to achieve smoking cessation with first-line therapy and are still motivated to quit smoking, nicotine vapes may be a reasonable intervention to complement behavioural support. However, this needs to be preceded by an evidence</w:t>
      </w:r>
      <w:r w:rsidRPr="00DB2F88">
        <w:noBreakHyphen/>
        <w:t>informed shared decision-making process, wherein the patient is aware of the appropriate caveats:</w:t>
      </w:r>
    </w:p>
    <w:p w14:paraId="2B2D0F25" w14:textId="6530D459" w:rsidR="009E19B4" w:rsidRPr="008F0BF1" w:rsidRDefault="00B94219" w:rsidP="00D12EFD">
      <w:pPr>
        <w:pStyle w:val="Bullet1"/>
        <w:numPr>
          <w:ilvl w:val="0"/>
          <w:numId w:val="35"/>
        </w:numPr>
      </w:pPr>
      <w:r>
        <w:t>D</w:t>
      </w:r>
      <w:r w:rsidR="009E19B4" w:rsidRPr="008F0BF1">
        <w:t>ue to the lack of available evidence, the long-term health effects of nicotine vapes are unknown</w:t>
      </w:r>
    </w:p>
    <w:p w14:paraId="7AAAC133" w14:textId="1D4F3CF1" w:rsidR="009E19B4" w:rsidRPr="008F0BF1" w:rsidRDefault="00B94219" w:rsidP="00D12EFD">
      <w:pPr>
        <w:pStyle w:val="Bullet1"/>
        <w:numPr>
          <w:ilvl w:val="0"/>
          <w:numId w:val="35"/>
        </w:numPr>
      </w:pPr>
      <w:r>
        <w:t>N</w:t>
      </w:r>
      <w:r w:rsidR="009E19B4" w:rsidRPr="008F0BF1">
        <w:t>icotine vapes are not registered therapeutic goods in Australia and therefore their quality, safety and efficacy have not been established</w:t>
      </w:r>
    </w:p>
    <w:p w14:paraId="03C2BBAA" w14:textId="03E19E87" w:rsidR="009E19B4" w:rsidRPr="008F0BF1" w:rsidRDefault="00B94219" w:rsidP="00D12EFD">
      <w:pPr>
        <w:pStyle w:val="Bullet1"/>
        <w:numPr>
          <w:ilvl w:val="0"/>
          <w:numId w:val="35"/>
        </w:numPr>
      </w:pPr>
      <w:r>
        <w:t>T</w:t>
      </w:r>
      <w:r w:rsidR="009E19B4" w:rsidRPr="008F0BF1">
        <w:t>here is a lack of uniformity in nicotine vapes and the device components, which increases the uncertainties associated with their use</w:t>
      </w:r>
    </w:p>
    <w:p w14:paraId="60A61F3B" w14:textId="018B64A2" w:rsidR="009E19B4" w:rsidRPr="008F0BF1" w:rsidRDefault="00B94219" w:rsidP="00D12EFD">
      <w:pPr>
        <w:pStyle w:val="Bullet1"/>
        <w:numPr>
          <w:ilvl w:val="0"/>
          <w:numId w:val="35"/>
        </w:numPr>
      </w:pPr>
      <w:r>
        <w:t>T</w:t>
      </w:r>
      <w:r w:rsidR="009E19B4" w:rsidRPr="008F0BF1">
        <w:t>o maximise possible benefit and minimise risk of harms, dual use (vapes and cigarettes) should be avoided and long-term use of vapes should be minimised</w:t>
      </w:r>
    </w:p>
    <w:p w14:paraId="6008F64B" w14:textId="4759519F" w:rsidR="009E19B4" w:rsidRPr="008F0BF1" w:rsidRDefault="00B94219" w:rsidP="00D12EFD">
      <w:pPr>
        <w:pStyle w:val="Bullet1"/>
        <w:numPr>
          <w:ilvl w:val="0"/>
          <w:numId w:val="35"/>
        </w:numPr>
      </w:pPr>
      <w:r>
        <w:t>I</w:t>
      </w:r>
      <w:r w:rsidR="009E19B4" w:rsidRPr="008F0BF1">
        <w:t>t is important that the patient returns for regular review and monitoring.</w:t>
      </w:r>
    </w:p>
    <w:p w14:paraId="52DD8F9C" w14:textId="097D41C9" w:rsidR="009E19B4" w:rsidRPr="00DB2F88" w:rsidRDefault="009E19B4" w:rsidP="009E19B4">
      <w:pPr>
        <w:shd w:val="clear" w:color="auto" w:fill="FFFFFF" w:themeFill="background1"/>
        <w:spacing w:before="120" w:after="0"/>
        <w:rPr>
          <w:rFonts w:eastAsia="Arial" w:cs="Arial"/>
        </w:rPr>
      </w:pPr>
      <w:r w:rsidRPr="008471BB">
        <w:t xml:space="preserve">The TGA has approved many other products such as patches, gum, lozenges, mouth spray and inhalators as quitting aids that are safe to use and are demonstrated to increase likelihood of quitting </w:t>
      </w:r>
      <w:r w:rsidRPr="008471BB">
        <w:lastRenderedPageBreak/>
        <w:t>smoking. It follows that nicotine e-cigarettes are not first-line treatments for smoking cessation.</w:t>
      </w:r>
      <w:r w:rsidRPr="008471BB">
        <w:footnoteReference w:id="77"/>
      </w:r>
      <w:r w:rsidRPr="008471BB">
        <w:t xml:space="preserve"> Taking into account the current body of evidence, and consistent with the Royal Australian College of General Practitioners</w:t>
      </w:r>
      <w:r w:rsidRPr="00DB2F88">
        <w:rPr>
          <w:rFonts w:eastAsia="Arial" w:cs="Arial"/>
        </w:rPr>
        <w:t xml:space="preserve"> </w:t>
      </w:r>
      <w:hyperlink r:id="rId29" w:history="1">
        <w:r w:rsidRPr="00746795">
          <w:rPr>
            <w:rStyle w:val="Hyperlink"/>
            <w:rFonts w:eastAsia="Cambria" w:cs="Arial"/>
          </w:rPr>
          <w:t>Supporting smoking cessation – A guide for health professionals (last revised September 2021) (RACGP guidelines</w:t>
        </w:r>
      </w:hyperlink>
      <w:r w:rsidRPr="00746795">
        <w:rPr>
          <w:rStyle w:val="Hyperlink"/>
          <w:rFonts w:eastAsia="Cambria"/>
        </w:rPr>
        <w:t>)</w:t>
      </w:r>
      <w:r w:rsidRPr="00DB2F88">
        <w:rPr>
          <w:rFonts w:eastAsia="Arial" w:cs="Arial"/>
        </w:rPr>
        <w:t>, a consultation with a doctor will ensure:</w:t>
      </w:r>
    </w:p>
    <w:p w14:paraId="18DB30E3" w14:textId="5BA0482F" w:rsidR="009E19B4" w:rsidRPr="008F0BF1" w:rsidRDefault="009E19B4" w:rsidP="00D12EFD">
      <w:pPr>
        <w:pStyle w:val="Bullet1"/>
        <w:numPr>
          <w:ilvl w:val="0"/>
          <w:numId w:val="35"/>
        </w:numPr>
      </w:pPr>
      <w:r w:rsidRPr="008F0BF1">
        <w:t xml:space="preserve">patients have the opportunity to discuss with their doctor whether approved pharmacotherapy interventions and NRT products would be suitable. If approved pharmacotherapy interventions or NRT are not </w:t>
      </w:r>
      <w:r w:rsidR="00141FC0" w:rsidRPr="008F0BF1">
        <w:t>appropriate,</w:t>
      </w:r>
      <w:r w:rsidRPr="008F0BF1">
        <w:t xml:space="preserve"> then the option to use nicotine e-cigarettes may be explored</w:t>
      </w:r>
    </w:p>
    <w:p w14:paraId="2BEF2672" w14:textId="2EFE08CB" w:rsidR="009E19B4" w:rsidRPr="008F0BF1" w:rsidRDefault="009E19B4" w:rsidP="00D12EFD">
      <w:pPr>
        <w:pStyle w:val="Bullet1"/>
        <w:numPr>
          <w:ilvl w:val="0"/>
          <w:numId w:val="35"/>
        </w:numPr>
      </w:pPr>
      <w:r w:rsidRPr="008F0BF1">
        <w:t>greater likelihood of using a quality nicotine e-cigarette product with reduced risk of injury and the provision of advice on appropriate use</w:t>
      </w:r>
    </w:p>
    <w:p w14:paraId="10A29CD0" w14:textId="62A43141" w:rsidR="009E19B4" w:rsidRPr="008F0BF1" w:rsidRDefault="009E19B4" w:rsidP="00D12EFD">
      <w:pPr>
        <w:pStyle w:val="Bullet1"/>
        <w:numPr>
          <w:ilvl w:val="0"/>
          <w:numId w:val="35"/>
        </w:numPr>
      </w:pPr>
      <w:r w:rsidRPr="008F0BF1">
        <w:t>close monitoring and management of long-term side effects and health complications from the use of nicotine e-cigarettes</w:t>
      </w:r>
    </w:p>
    <w:p w14:paraId="49669048" w14:textId="77777777" w:rsidR="009E19B4" w:rsidRPr="008F0BF1" w:rsidRDefault="009E19B4" w:rsidP="00D12EFD">
      <w:pPr>
        <w:pStyle w:val="Bullet1"/>
        <w:numPr>
          <w:ilvl w:val="0"/>
          <w:numId w:val="35"/>
        </w:numPr>
      </w:pPr>
      <w:r w:rsidRPr="008F0BF1">
        <w:t>greater chance of stopping smoking and relapse prevention through behavioural and advice-based support.</w:t>
      </w:r>
      <w:r w:rsidRPr="001B0713">
        <w:rPr>
          <w:vertAlign w:val="superscript"/>
        </w:rPr>
        <w:footnoteReference w:id="78"/>
      </w:r>
    </w:p>
    <w:p w14:paraId="7EBA0740" w14:textId="0BEC0341" w:rsidR="009E19B4" w:rsidRPr="00DB2F88" w:rsidRDefault="009E19B4" w:rsidP="009E19B4">
      <w:pPr>
        <w:spacing w:before="120" w:after="0"/>
        <w:rPr>
          <w:rFonts w:eastAsia="Arial" w:cs="Arial"/>
        </w:rPr>
      </w:pPr>
      <w:r w:rsidRPr="008471BB">
        <w:t>When there may be clinical justification to supply nicotine e-cigarettes to a patient, the docto</w:t>
      </w:r>
      <w:r w:rsidR="009E6047">
        <w:t>r’s</w:t>
      </w:r>
      <w:r w:rsidRPr="008471BB">
        <w:t xml:space="preserve"> clinical decision-making process should be guided by the RACGP guidelines. These guidelines provide that nicotine vapes may be a reasonable intervention for individuals who have failed to achieve smoking cessation with approved pharmacotherapies but remain motivated to quit smoking and have raised vape usage</w:t>
      </w:r>
      <w:r w:rsidRPr="009541C7">
        <w:t xml:space="preserve"> with their healthcare practitioner</w:t>
      </w:r>
      <w:r w:rsidRPr="00DB2F88">
        <w:rPr>
          <w:rFonts w:eastAsia="Arial" w:cs="Arial"/>
        </w:rPr>
        <w:t>.</w:t>
      </w:r>
    </w:p>
    <w:p w14:paraId="30B5B622" w14:textId="60EA801B" w:rsidR="002B5B7B" w:rsidRPr="00DB2F88" w:rsidDel="007D06CF" w:rsidRDefault="5DAE411D" w:rsidP="009541C7">
      <w:pPr>
        <w:pStyle w:val="Heading3"/>
        <w:rPr>
          <w:rFonts w:eastAsia="Cambria" w:cs="Arial"/>
          <w:sz w:val="28"/>
          <w:szCs w:val="28"/>
        </w:rPr>
      </w:pPr>
      <w:bookmarkStart w:id="74" w:name="_Toc151040334"/>
      <w:r w:rsidRPr="00DB2F88">
        <w:rPr>
          <w:rFonts w:eastAsia="Cambria"/>
        </w:rPr>
        <w:t xml:space="preserve">Marketing of </w:t>
      </w:r>
      <w:r w:rsidR="00471E1C" w:rsidRPr="00DB2F88">
        <w:rPr>
          <w:rFonts w:eastAsia="Cambria"/>
        </w:rPr>
        <w:t>vapes</w:t>
      </w:r>
      <w:r w:rsidRPr="00DB2F88">
        <w:rPr>
          <w:rFonts w:eastAsia="Cambria"/>
        </w:rPr>
        <w:t xml:space="preserve"> target</w:t>
      </w:r>
      <w:r w:rsidR="007F1C3A" w:rsidRPr="00DB2F88">
        <w:rPr>
          <w:rFonts w:eastAsia="Cambria"/>
        </w:rPr>
        <w:t>s</w:t>
      </w:r>
      <w:r w:rsidRPr="00DB2F88">
        <w:rPr>
          <w:rFonts w:eastAsia="Cambria"/>
        </w:rPr>
        <w:t xml:space="preserve"> </w:t>
      </w:r>
      <w:r w:rsidR="006D05F4">
        <w:t>youth and young adults</w:t>
      </w:r>
      <w:bookmarkEnd w:id="74"/>
    </w:p>
    <w:p w14:paraId="2A5D6C97" w14:textId="47872F38" w:rsidR="009E19B4" w:rsidRPr="00DB2F88" w:rsidDel="007D06CF" w:rsidRDefault="009E19B4" w:rsidP="008471BB">
      <w:r w:rsidRPr="00DB2F88">
        <w:t xml:space="preserve">The sale of vapes </w:t>
      </w:r>
      <w:r w:rsidRPr="00DB2F88" w:rsidDel="20CF03C4">
        <w:t>to minors is banned by state</w:t>
      </w:r>
      <w:r w:rsidRPr="00DB2F88">
        <w:t xml:space="preserve"> and </w:t>
      </w:r>
      <w:r w:rsidRPr="00DB2F88" w:rsidDel="20CF03C4">
        <w:t>territory legislation</w:t>
      </w:r>
      <w:r w:rsidRPr="00DB2F88">
        <w:t xml:space="preserve">. While the advertising of nicotine vapes to consumers is generally prohibited under the TG Act, </w:t>
      </w:r>
      <w:r w:rsidRPr="00DB2F88" w:rsidDel="20CF03C4">
        <w:t xml:space="preserve">there is ample evidence to suggest that </w:t>
      </w:r>
      <w:r w:rsidR="006D05F4">
        <w:t xml:space="preserve">youth and young adults </w:t>
      </w:r>
      <w:r w:rsidRPr="00DB2F88" w:rsidDel="20CF03C4">
        <w:t xml:space="preserve">can still obtain </w:t>
      </w:r>
      <w:r w:rsidRPr="00DB2F88">
        <w:t xml:space="preserve">both nicotine and zero-nicotine </w:t>
      </w:r>
      <w:r w:rsidRPr="00DB2F88" w:rsidDel="20CF03C4">
        <w:t>products.</w:t>
      </w:r>
      <w:r w:rsidRPr="00DB2F88">
        <w:t xml:space="preserve"> The intentional marketing of vapes to </w:t>
      </w:r>
      <w:r w:rsidR="006D05F4">
        <w:t xml:space="preserve">youth and young adults </w:t>
      </w:r>
      <w:r w:rsidRPr="00DB2F88">
        <w:t>contributes to the increasing prevalence of use</w:t>
      </w:r>
      <w:r w:rsidR="00426FD1">
        <w:t xml:space="preserve"> </w:t>
      </w:r>
      <w:r w:rsidRPr="00DB2F88">
        <w:t xml:space="preserve">and risks the health of </w:t>
      </w:r>
      <w:r w:rsidR="00B02F7D">
        <w:t>youth</w:t>
      </w:r>
      <w:r w:rsidR="00B02F7D" w:rsidRPr="00DB2F88">
        <w:t xml:space="preserve"> </w:t>
      </w:r>
      <w:r w:rsidRPr="00DB2F88">
        <w:t>and young adults.</w:t>
      </w:r>
    </w:p>
    <w:p w14:paraId="5D1BAE27" w14:textId="05DD9549" w:rsidR="009E19B4" w:rsidRPr="00DB2F88" w:rsidDel="007D06CF" w:rsidRDefault="009E19B4" w:rsidP="008471BB">
      <w:r w:rsidRPr="00DB2F88">
        <w:t xml:space="preserve">Vape marketing intentionally targets </w:t>
      </w:r>
      <w:r w:rsidR="001867EB">
        <w:t>youth and young adults</w:t>
      </w:r>
      <w:r w:rsidRPr="00DB2F88">
        <w:t xml:space="preserve"> through its promotional activities and product features. Vapes</w:t>
      </w:r>
      <w:r w:rsidRPr="00DB2F88" w:rsidDel="20CF03C4">
        <w:t xml:space="preserve"> are aggressively promoted via online advertising and other youth-focused media channels</w:t>
      </w:r>
      <w:r w:rsidRPr="00DB2F88">
        <w:t>. In 2015, one vape company reportedly bought</w:t>
      </w:r>
      <w:r w:rsidRPr="00DB2F88" w:rsidDel="20CF03C4">
        <w:t xml:space="preserve"> online advertisements on teen-focused websites for Nickelodeon, Cartoon Network and Seventeen magazine.</w:t>
      </w:r>
      <w:r w:rsidRPr="00DB2F88">
        <w:t xml:space="preserve"> Promotional spending for vapes varies year-on-year, but in 2014 it was found that US$91 million (AU$143 million) was spent on vape</w:t>
      </w:r>
      <w:r w:rsidRPr="00DB2F88" w:rsidDel="20CF03C4">
        <w:t xml:space="preserve"> advertising in the United States. This spending is often focused on social media promotion</w:t>
      </w:r>
      <w:r w:rsidRPr="00DB2F88">
        <w:t>,</w:t>
      </w:r>
      <w:r w:rsidRPr="00DB2F88" w:rsidDel="20CF03C4">
        <w:t xml:space="preserve"> allow</w:t>
      </w:r>
      <w:r w:rsidRPr="00DB2F88">
        <w:t>ing</w:t>
      </w:r>
      <w:r w:rsidRPr="00DB2F88" w:rsidDel="20CF03C4">
        <w:t xml:space="preserve"> for lower costs and wider reach, particularly to </w:t>
      </w:r>
      <w:r w:rsidR="001867EB">
        <w:t>youth and young adults</w:t>
      </w:r>
      <w:r w:rsidRPr="00DB2F88" w:rsidDel="20CF03C4">
        <w:t xml:space="preserve">. The marketing messages promote perceptions among </w:t>
      </w:r>
      <w:r w:rsidR="001867EB">
        <w:t xml:space="preserve">youth and young adults </w:t>
      </w:r>
      <w:r w:rsidRPr="00DB2F88" w:rsidDel="20CF03C4">
        <w:t>that e-cigarettes are fun, cool, healthier</w:t>
      </w:r>
      <w:r w:rsidRPr="00DB2F88">
        <w:t xml:space="preserve"> and </w:t>
      </w:r>
      <w:r w:rsidRPr="00DB2F88" w:rsidDel="20CF03C4">
        <w:t>safer than tobacco cigarettes, and often focus on the appeal of flavours.</w:t>
      </w:r>
    </w:p>
    <w:p w14:paraId="09F4EB15" w14:textId="50027ED4" w:rsidR="009E19B4" w:rsidRPr="00DB2F88" w:rsidRDefault="009E19B4" w:rsidP="008471BB">
      <w:r w:rsidRPr="00DB2F88">
        <w:t xml:space="preserve">Even though advertising of vapes is restricted </w:t>
      </w:r>
      <w:r w:rsidRPr="00DB2F88" w:rsidDel="20CF03C4">
        <w:t>in Australia</w:t>
      </w:r>
      <w:r w:rsidR="00487390">
        <w:t xml:space="preserve"> </w:t>
      </w:r>
      <w:r w:rsidR="00487390" w:rsidRPr="00063DFD">
        <w:rPr>
          <w:color w:val="000000"/>
        </w:rPr>
        <w:t>–</w:t>
      </w:r>
      <w:r w:rsidRPr="00DB2F88">
        <w:t xml:space="preserve"> </w:t>
      </w:r>
      <w:r w:rsidRPr="00DB2F88" w:rsidDel="20CF03C4">
        <w:t>as is advertising of combustible cigarettes</w:t>
      </w:r>
      <w:r w:rsidRPr="00DB2F88">
        <w:t>-</w:t>
      </w:r>
      <w:r w:rsidRPr="00DB2F88" w:rsidDel="20CF03C4">
        <w:t xml:space="preserve"> online retailers are not subject to the same point-of-sale marketing restrictions as brick-and-mortar stores. </w:t>
      </w:r>
      <w:r w:rsidRPr="00DB2F88">
        <w:t>This has led to a growing trend of</w:t>
      </w:r>
      <w:r w:rsidRPr="00DB2F88" w:rsidDel="20CF03C4">
        <w:t xml:space="preserve"> </w:t>
      </w:r>
      <w:r w:rsidRPr="00DB2F88">
        <w:t>vape</w:t>
      </w:r>
      <w:r w:rsidRPr="00DB2F88" w:rsidDel="20CF03C4">
        <w:t xml:space="preserve"> </w:t>
      </w:r>
      <w:r w:rsidRPr="00DB2F88">
        <w:t xml:space="preserve">promotion and </w:t>
      </w:r>
      <w:r w:rsidRPr="00DB2F88" w:rsidDel="20CF03C4">
        <w:t xml:space="preserve">purchases in Australia </w:t>
      </w:r>
      <w:r w:rsidRPr="00DB2F88">
        <w:t>taking place</w:t>
      </w:r>
      <w:r w:rsidRPr="00DB2F88" w:rsidDel="20CF03C4">
        <w:t xml:space="preserve"> online. </w:t>
      </w:r>
      <w:r w:rsidR="001867EB">
        <w:t xml:space="preserve">Youth and young adults </w:t>
      </w:r>
      <w:r w:rsidRPr="00DB2F88">
        <w:rPr>
          <w:rFonts w:cs="Arial"/>
        </w:rPr>
        <w:t>exposed to vape advertising on social media are more likely to try vapes compared with young people not exposed to these advertisements.</w:t>
      </w:r>
    </w:p>
    <w:p w14:paraId="13EB4119" w14:textId="0AC85A4B" w:rsidR="009E19B4" w:rsidRPr="00DB2F88" w:rsidDel="007D06CF" w:rsidRDefault="009E19B4" w:rsidP="008471BB">
      <w:r w:rsidRPr="00DB2F88" w:rsidDel="20CF03C4">
        <w:t xml:space="preserve">Studies </w:t>
      </w:r>
      <w:r w:rsidRPr="00DB2F88">
        <w:t>also</w:t>
      </w:r>
      <w:r w:rsidRPr="00DB2F88" w:rsidDel="20CF03C4">
        <w:t xml:space="preserve"> show that </w:t>
      </w:r>
      <w:r w:rsidRPr="00DB2F88">
        <w:t>vapes</w:t>
      </w:r>
      <w:r w:rsidRPr="00DB2F88" w:rsidDel="20CF03C4">
        <w:t xml:space="preserve"> are marketed on a range of online platforms </w:t>
      </w:r>
      <w:r w:rsidRPr="00DB2F88">
        <w:t>that</w:t>
      </w:r>
      <w:r w:rsidRPr="00DB2F88" w:rsidDel="20CF03C4">
        <w:t xml:space="preserve"> typically appeal to younger audiences such as Twitter, Instagram, YouTube, TikTok, Facebook, Pinterest, </w:t>
      </w:r>
      <w:r w:rsidRPr="00DB2F88">
        <w:t>i</w:t>
      </w:r>
      <w:r w:rsidRPr="00DB2F88" w:rsidDel="20CF03C4">
        <w:t xml:space="preserve">nternet search engines, and banner/video advertisements. Due to the borderless nature of social media, </w:t>
      </w:r>
      <w:r w:rsidRPr="00DB2F88" w:rsidDel="20CF03C4">
        <w:lastRenderedPageBreak/>
        <w:t>posts from any country can be viewed in Australia on these platforms.</w:t>
      </w:r>
      <w:r w:rsidRPr="00DB2F88">
        <w:t xml:space="preserve"> New research from VicHealth and Quit has identified the subversive and unethical ways the vaping industry uses social media to promote and sell vapes to young Australians. The research found the vaping industry and pro-vaping influencers are flooding social media platforms including TikTok and Instagram with videos and photos normalising and promoting vaping. Specifically, the research identified that TikTok is home to more than 18.1 billion posts with the hashtag #vape. On Instagram, 16.4 million posts were tagged #VapeLife- the majority of this content promotes e-cigarette use, and worryingly suggests to underage social media users that vaping is a normal part of life</w:t>
      </w:r>
      <w:r w:rsidR="00526460">
        <w:t>.</w:t>
      </w:r>
      <w:r w:rsidRPr="00DB2F88">
        <w:rPr>
          <w:rStyle w:val="FootnoteReference"/>
        </w:rPr>
        <w:footnoteReference w:id="79"/>
      </w:r>
    </w:p>
    <w:p w14:paraId="53F18AD8" w14:textId="093E193E" w:rsidR="002B5B7B" w:rsidRPr="00DB2F88" w:rsidDel="007D06CF" w:rsidRDefault="009E19B4" w:rsidP="008471BB">
      <w:r w:rsidRPr="00DB2F88">
        <w:t>Vape</w:t>
      </w:r>
      <w:r w:rsidRPr="00DB2F88" w:rsidDel="20CF03C4">
        <w:t xml:space="preserve"> product features such as flavours, product design and packaging are designed to appeal to </w:t>
      </w:r>
      <w:r w:rsidR="001867EB">
        <w:t>youth and young adults</w:t>
      </w:r>
      <w:r w:rsidRPr="00DB2F88" w:rsidDel="20CF03C4">
        <w:t xml:space="preserve">. The wide range of sweet flavours </w:t>
      </w:r>
      <w:r w:rsidRPr="00DB2F88">
        <w:t xml:space="preserve">is a common reason for </w:t>
      </w:r>
      <w:r w:rsidR="001867EB">
        <w:t xml:space="preserve">youth and young adults </w:t>
      </w:r>
      <w:r w:rsidRPr="00DB2F88">
        <w:t>trying e-cigarettes. I</w:t>
      </w:r>
      <w:r w:rsidRPr="00DB2F88" w:rsidDel="20CF03C4">
        <w:t>n 2017, almost 20,000 different e-liquid products with unique flavour and nicotine combinations were available</w:t>
      </w:r>
      <w:r w:rsidRPr="00DB2F88">
        <w:t xml:space="preserve">. Further, e-cigarette product packaging often includes graphics and colours aimed to appeal to </w:t>
      </w:r>
      <w:r w:rsidR="001867EB">
        <w:t>youth and young adults</w:t>
      </w:r>
      <w:r w:rsidRPr="00DB2F88">
        <w:t>. Moreover, the packaging of e-liquids often resembles food and beverage products</w:t>
      </w:r>
      <w:r w:rsidR="00293B95">
        <w:t xml:space="preserve"> </w:t>
      </w:r>
      <w:r w:rsidR="00293B95" w:rsidRPr="00063DFD">
        <w:rPr>
          <w:color w:val="000000"/>
        </w:rPr>
        <w:t>–</w:t>
      </w:r>
      <w:r w:rsidRPr="00DB2F88">
        <w:t xml:space="preserve"> such as juice boxes, lollies, or cookies</w:t>
      </w:r>
      <w:r w:rsidR="00293B95">
        <w:t xml:space="preserve"> </w:t>
      </w:r>
      <w:r w:rsidR="00293B95" w:rsidRPr="00063DFD">
        <w:rPr>
          <w:color w:val="000000"/>
        </w:rPr>
        <w:t>–</w:t>
      </w:r>
      <w:r w:rsidRPr="00DB2F88">
        <w:t xml:space="preserve"> which makes them more appealing to </w:t>
      </w:r>
      <w:r w:rsidR="00B02F7D">
        <w:t>youth</w:t>
      </w:r>
      <w:r w:rsidR="0083780B" w:rsidRPr="00DB2F88">
        <w:t xml:space="preserve"> </w:t>
      </w:r>
      <w:r w:rsidRPr="00DB2F88">
        <w:t>and also increases the risk of poisoning for younger children. The design of these products often facilitates</w:t>
      </w:r>
      <w:r w:rsidRPr="00DB2F88" w:rsidDel="20CF03C4">
        <w:t xml:space="preserve"> inconspicuous use to conceal the product and/or exhaled vapour to avoid detection by parents and teachers. </w:t>
      </w:r>
    </w:p>
    <w:p w14:paraId="0B1A3275" w14:textId="51244B24" w:rsidR="0010718D" w:rsidRPr="00DB2F88" w:rsidRDefault="00F60871" w:rsidP="009541C7">
      <w:pPr>
        <w:pStyle w:val="Heading3"/>
      </w:pPr>
      <w:bookmarkStart w:id="75" w:name="_Toc151040335"/>
      <w:r w:rsidRPr="009541C7">
        <w:t>Vaping</w:t>
      </w:r>
      <w:r w:rsidRPr="00DB2F88">
        <w:t xml:space="preserve"> </w:t>
      </w:r>
      <w:r w:rsidR="007A51AB" w:rsidRPr="00DB2F88">
        <w:t>result</w:t>
      </w:r>
      <w:r w:rsidR="00512753" w:rsidRPr="00DB2F88">
        <w:t xml:space="preserve">s </w:t>
      </w:r>
      <w:r w:rsidR="007A51AB" w:rsidRPr="00DB2F88">
        <w:t>in a significant amount of waste</w:t>
      </w:r>
      <w:r w:rsidR="00D63F8F" w:rsidRPr="00DB2F88">
        <w:t xml:space="preserve"> and disposal is complex</w:t>
      </w:r>
      <w:bookmarkEnd w:id="75"/>
    </w:p>
    <w:p w14:paraId="03A75B3E" w14:textId="77777777" w:rsidR="009477C1" w:rsidRPr="00DB2F88" w:rsidRDefault="009477C1" w:rsidP="008471BB">
      <w:r w:rsidRPr="00DB2F88">
        <w:t xml:space="preserve">In addition to the public health risks outlined above, the increased prevalence of vapes has raised questions about appropriate and effective disposal of these products. According to Clean Up Australia’s </w:t>
      </w:r>
      <w:r w:rsidRPr="00DB2F88">
        <w:rPr>
          <w:i/>
          <w:iCs/>
        </w:rPr>
        <w:t>Rubbish Report 2022</w:t>
      </w:r>
      <w:r w:rsidRPr="00DB2F88">
        <w:t>, vapes appear to be more damaging to the environment than cigarette butts.</w:t>
      </w:r>
      <w:r w:rsidRPr="00DB2F88">
        <w:rPr>
          <w:rStyle w:val="FootnoteReference"/>
          <w:rFonts w:cs="Arial"/>
        </w:rPr>
        <w:footnoteReference w:id="80"/>
      </w:r>
      <w:r w:rsidRPr="00DB2F88">
        <w:t xml:space="preserve"> Vapes contain poisonous material and lithium batteries meaning, they should not be disposed of through kerbside bins.</w:t>
      </w:r>
      <w:r w:rsidRPr="00DB2F88">
        <w:rPr>
          <w:rStyle w:val="FootnoteReference"/>
          <w:rFonts w:cs="Arial"/>
        </w:rPr>
        <w:footnoteReference w:id="81"/>
      </w:r>
      <w:r w:rsidRPr="00DB2F88">
        <w:t xml:space="preserve"> Vapes present a ‘triple-threat’ to the environment- plastic waste, electronic waste and hazardous waste.</w:t>
      </w:r>
      <w:r w:rsidRPr="00DB2F88">
        <w:rPr>
          <w:rStyle w:val="FootnoteReference"/>
          <w:rFonts w:cs="Arial"/>
        </w:rPr>
        <w:footnoteReference w:id="82"/>
      </w:r>
      <w:r w:rsidRPr="00DB2F88">
        <w:t xml:space="preserve"> Recent media reporting has indicated that disposal of vape cartridges is ‘complex, expensive and confusing’ and that vapes are being sold without any clear disposal or reprocessing pathways.</w:t>
      </w:r>
      <w:r w:rsidRPr="00DB2F88">
        <w:rPr>
          <w:rStyle w:val="FootnoteReference"/>
          <w:rFonts w:cs="Arial"/>
        </w:rPr>
        <w:footnoteReference w:id="83"/>
      </w:r>
    </w:p>
    <w:p w14:paraId="46641B3C" w14:textId="25459B28" w:rsidR="009541C7" w:rsidRDefault="009477C1" w:rsidP="008471BB">
      <w:r w:rsidRPr="00DB2F88">
        <w:t>When non-compliant, unlawfully imported or supplied nicotine vapes are intercepted by Australian regulators, these are seized and eventually disposed of using specialist commercial providers. These providers can safely dismantle and dispose of vape components through appropriate waste streams to ensure the risks to human and environmental health are mitigated. Given the complexity of this process, the costs associated with the appropriate disposal of unlawful vapes are significant and are generally borne by the regulator, as there are limited means in most jurisdictions for regulators to require that the costs are borne by the importer or supplier.</w:t>
      </w:r>
    </w:p>
    <w:p w14:paraId="7A5E1E73" w14:textId="77777777" w:rsidR="009541C7" w:rsidRDefault="009541C7">
      <w:r>
        <w:br w:type="page"/>
      </w:r>
    </w:p>
    <w:p w14:paraId="0E1E950A" w14:textId="741678BF" w:rsidR="08329DDF" w:rsidRPr="00F65817" w:rsidRDefault="08329DDF" w:rsidP="009541C7">
      <w:pPr>
        <w:pStyle w:val="Heading2"/>
        <w:rPr>
          <w:rFonts w:eastAsia="Calibri"/>
          <w:sz w:val="19"/>
          <w:szCs w:val="19"/>
        </w:rPr>
      </w:pPr>
      <w:bookmarkStart w:id="76" w:name="_Toc146634906"/>
      <w:bookmarkStart w:id="77" w:name="_Toc151040336"/>
      <w:r w:rsidRPr="00F65817">
        <w:lastRenderedPageBreak/>
        <w:t xml:space="preserve">Question Two: </w:t>
      </w:r>
      <w:r w:rsidR="058C895C" w:rsidRPr="00F65817">
        <w:t xml:space="preserve">What </w:t>
      </w:r>
      <w:r w:rsidR="058C895C" w:rsidRPr="009541C7">
        <w:t>are</w:t>
      </w:r>
      <w:r w:rsidR="058C895C" w:rsidRPr="00F65817">
        <w:t xml:space="preserve"> the objectives, why is government intervention needed to achieve them, and how will success be measured?</w:t>
      </w:r>
      <w:bookmarkEnd w:id="76"/>
      <w:bookmarkEnd w:id="77"/>
    </w:p>
    <w:p w14:paraId="4DF27AB3" w14:textId="23117AEC" w:rsidR="2D37EF5A" w:rsidRPr="00F65817" w:rsidRDefault="2D37EF5A" w:rsidP="009541C7">
      <w:pPr>
        <w:pStyle w:val="Heading3"/>
      </w:pPr>
      <w:bookmarkStart w:id="78" w:name="_Toc146634907"/>
      <w:bookmarkStart w:id="79" w:name="_Toc151040337"/>
      <w:r w:rsidRPr="00F65817">
        <w:t xml:space="preserve">Objectives of </w:t>
      </w:r>
      <w:r w:rsidRPr="009541C7">
        <w:t>Government</w:t>
      </w:r>
      <w:r w:rsidRPr="00F65817">
        <w:t xml:space="preserve"> Action</w:t>
      </w:r>
      <w:bookmarkEnd w:id="78"/>
      <w:bookmarkEnd w:id="79"/>
    </w:p>
    <w:p w14:paraId="32435678" w14:textId="77777777" w:rsidR="009477C1" w:rsidRPr="00F65817" w:rsidRDefault="009477C1" w:rsidP="009477C1">
      <w:r w:rsidRPr="00F65817">
        <w:t xml:space="preserve">The objectives of the Government’s action are to: </w:t>
      </w:r>
    </w:p>
    <w:p w14:paraId="5C590E09" w14:textId="0978C662" w:rsidR="009477C1" w:rsidRPr="00F65817" w:rsidRDefault="009477C1" w:rsidP="00D12EFD">
      <w:pPr>
        <w:pStyle w:val="Bullet1"/>
        <w:numPr>
          <w:ilvl w:val="0"/>
          <w:numId w:val="18"/>
        </w:numPr>
      </w:pPr>
      <w:r w:rsidRPr="00F65817">
        <w:t xml:space="preserve">Arrest the uptake of vapes (other than for therapeutic purposes) especially in </w:t>
      </w:r>
      <w:r w:rsidR="007A5945">
        <w:t xml:space="preserve">youth and young adults </w:t>
      </w:r>
      <w:r w:rsidR="007F3067">
        <w:t>(</w:t>
      </w:r>
      <w:r w:rsidRPr="00F65817">
        <w:t>aged below 25 years</w:t>
      </w:r>
      <w:r w:rsidR="007F3067">
        <w:t>)</w:t>
      </w:r>
      <w:r w:rsidRPr="00F65817">
        <w:t xml:space="preserve">. </w:t>
      </w:r>
    </w:p>
    <w:p w14:paraId="5F7C644E" w14:textId="3BEE8904" w:rsidR="009477C1" w:rsidRPr="00F65817" w:rsidRDefault="009477C1" w:rsidP="00D12EFD">
      <w:pPr>
        <w:pStyle w:val="Bullet1"/>
        <w:numPr>
          <w:ilvl w:val="0"/>
          <w:numId w:val="18"/>
        </w:numPr>
      </w:pPr>
      <w:r w:rsidRPr="00F65817">
        <w:t xml:space="preserve">Counteract the marketing of vapes to </w:t>
      </w:r>
      <w:r w:rsidR="00E10B09">
        <w:t>youth and young adults</w:t>
      </w:r>
      <w:r w:rsidR="00E10B09" w:rsidRPr="00F65817" w:rsidDel="00E10B09">
        <w:t xml:space="preserve"> </w:t>
      </w:r>
      <w:r w:rsidRPr="00F65817">
        <w:t xml:space="preserve">(especially through product features such as flavours and packaging). </w:t>
      </w:r>
    </w:p>
    <w:p w14:paraId="4220F9E6" w14:textId="77777777" w:rsidR="009477C1" w:rsidRPr="00F65817" w:rsidDel="009F7828" w:rsidRDefault="009477C1" w:rsidP="00D12EFD">
      <w:pPr>
        <w:pStyle w:val="Bullet1"/>
        <w:numPr>
          <w:ilvl w:val="0"/>
          <w:numId w:val="18"/>
        </w:numPr>
      </w:pPr>
      <w:r w:rsidRPr="00F65817">
        <w:t>Prevent nicotine addiction and reduce the risk of future tobacco use:</w:t>
      </w:r>
    </w:p>
    <w:p w14:paraId="061FC62C" w14:textId="2E5B1F4A" w:rsidR="009477C1" w:rsidRPr="00F65817" w:rsidRDefault="009477C1" w:rsidP="00D12EFD">
      <w:pPr>
        <w:pStyle w:val="Bullet1"/>
        <w:numPr>
          <w:ilvl w:val="1"/>
          <w:numId w:val="18"/>
        </w:numPr>
      </w:pPr>
      <w:r w:rsidRPr="00F65817">
        <w:t xml:space="preserve">by mitigating the increased risk of uptake in cigarette use that occurs as a result of vaping, especially for </w:t>
      </w:r>
      <w:r w:rsidR="00E10B09">
        <w:t>youth and young adults</w:t>
      </w:r>
    </w:p>
    <w:p w14:paraId="0C0242C1" w14:textId="77777777" w:rsidR="009477C1" w:rsidRPr="00F65817" w:rsidRDefault="009477C1" w:rsidP="00D12EFD">
      <w:pPr>
        <w:pStyle w:val="Bullet1"/>
        <w:numPr>
          <w:ilvl w:val="1"/>
          <w:numId w:val="18"/>
        </w:numPr>
      </w:pPr>
      <w:r w:rsidRPr="00F65817">
        <w:t>by ensuring vapes are available under medical supervision and through therapeutic pathways only, as opposed to black market pathways, so that smokers receive advice from medical professionals on the most appropriate pathways for smoking cessation and the risks and benefits of different treatment options.</w:t>
      </w:r>
    </w:p>
    <w:p w14:paraId="4DC7A581" w14:textId="703BE866" w:rsidR="009477C1" w:rsidRPr="00F65817" w:rsidDel="009F7828" w:rsidRDefault="009477C1" w:rsidP="00D12EFD">
      <w:pPr>
        <w:pStyle w:val="Bullet1"/>
        <w:numPr>
          <w:ilvl w:val="0"/>
          <w:numId w:val="18"/>
        </w:numPr>
      </w:pPr>
      <w:r w:rsidRPr="00F65817">
        <w:t>Safeguard consumer health, increase confidence of users and prescribers, and minimise the short-term and long-term adverse health effects of vapes by ensuring vapes meet appropriate quality and safety standards, including protecting consumers from harms such as:</w:t>
      </w:r>
    </w:p>
    <w:p w14:paraId="7F2512F6" w14:textId="78CC2376" w:rsidR="009477C1" w:rsidRPr="00F65817" w:rsidDel="009F7828" w:rsidRDefault="009477C1" w:rsidP="00D12EFD">
      <w:pPr>
        <w:pStyle w:val="Bullet1"/>
        <w:numPr>
          <w:ilvl w:val="1"/>
          <w:numId w:val="18"/>
        </w:numPr>
      </w:pPr>
      <w:r w:rsidRPr="00F65817">
        <w:t>known harmful chemicals in the wide range of flavouring ingredients</w:t>
      </w:r>
    </w:p>
    <w:p w14:paraId="4C55640C" w14:textId="4A794DF1" w:rsidR="009477C1" w:rsidRPr="00F65817" w:rsidDel="009F7828" w:rsidRDefault="009477C1" w:rsidP="00D12EFD">
      <w:pPr>
        <w:pStyle w:val="Bullet1"/>
        <w:numPr>
          <w:ilvl w:val="1"/>
          <w:numId w:val="18"/>
        </w:numPr>
      </w:pPr>
      <w:r w:rsidRPr="00F65817">
        <w:t>known harmful chemicals in the emissions of vapes, including contaminants and reaction products</w:t>
      </w:r>
    </w:p>
    <w:p w14:paraId="02EC03CB" w14:textId="2AAFFBEE" w:rsidR="009477C1" w:rsidRPr="00F65817" w:rsidDel="009F7828" w:rsidRDefault="009477C1" w:rsidP="00D12EFD">
      <w:pPr>
        <w:pStyle w:val="Bullet1"/>
        <w:numPr>
          <w:ilvl w:val="1"/>
          <w:numId w:val="18"/>
        </w:numPr>
      </w:pPr>
      <w:r w:rsidRPr="00F65817">
        <w:t>known harms of nicotine, including the risk of poisoning</w:t>
      </w:r>
    </w:p>
    <w:p w14:paraId="335A37A6" w14:textId="3C60AA16" w:rsidR="009477C1" w:rsidRPr="00F65817" w:rsidDel="009F7828" w:rsidRDefault="009477C1" w:rsidP="00D12EFD">
      <w:pPr>
        <w:pStyle w:val="Bullet1"/>
        <w:numPr>
          <w:ilvl w:val="1"/>
          <w:numId w:val="18"/>
        </w:numPr>
      </w:pPr>
      <w:r w:rsidRPr="00F65817">
        <w:t>known harms of vapour delivery, including the risk of explosions and burns caused by device components of the vape</w:t>
      </w:r>
    </w:p>
    <w:p w14:paraId="271597ED" w14:textId="77777777" w:rsidR="009477C1" w:rsidRPr="00F65817" w:rsidRDefault="009477C1" w:rsidP="00D12EFD">
      <w:pPr>
        <w:pStyle w:val="Bullet1"/>
        <w:numPr>
          <w:ilvl w:val="1"/>
          <w:numId w:val="18"/>
        </w:numPr>
      </w:pPr>
      <w:r w:rsidRPr="00F65817">
        <w:t>still unknown long-term harms.</w:t>
      </w:r>
    </w:p>
    <w:p w14:paraId="04EF960A" w14:textId="74140113" w:rsidR="00F212D2" w:rsidRPr="00F65817" w:rsidDel="001D6A6D" w:rsidRDefault="05F92E91" w:rsidP="009541C7">
      <w:pPr>
        <w:pStyle w:val="Heading3"/>
      </w:pPr>
      <w:bookmarkStart w:id="80" w:name="_Toc146634908"/>
      <w:bookmarkStart w:id="81" w:name="_Toc151040338"/>
      <w:r w:rsidRPr="00F65817">
        <w:t xml:space="preserve">Need for Government </w:t>
      </w:r>
      <w:r w:rsidRPr="009541C7">
        <w:t>intervention</w:t>
      </w:r>
      <w:bookmarkEnd w:id="80"/>
      <w:bookmarkEnd w:id="81"/>
    </w:p>
    <w:p w14:paraId="7C3AF795" w14:textId="73B4D161" w:rsidR="00853309" w:rsidRPr="00F65817" w:rsidDel="00F755A3" w:rsidRDefault="00853309" w:rsidP="00FA4DB2">
      <w:r w:rsidRPr="00F65817">
        <w:t xml:space="preserve">Commonwealth law prevents the importation, and state and territory laws prevent the domestic supply, of nicotine vapes without a prescription. There is evidence, however, that many Australians are accessing such products without a prescription, rather than through lawful supply channels. It is apparent that current regulations are not achieving their intended purpose. An extensive illegal market of nicotine vapes exists and vapes are being readily accessed unlawfully without a prescription by youth and adults for </w:t>
      </w:r>
      <w:r w:rsidR="003A4FA8">
        <w:rPr>
          <w:rFonts w:eastAsiaTheme="minorEastAsia"/>
        </w:rPr>
        <w:t>non-therapeutic</w:t>
      </w:r>
      <w:r w:rsidRPr="00F65817">
        <w:t xml:space="preserve"> purposes. Further, despite state and territory laws restricting sale of vapes to people under 18, it is apparent that </w:t>
      </w:r>
      <w:r w:rsidR="00C76E98">
        <w:t>youth</w:t>
      </w:r>
      <w:r w:rsidR="00C76E98" w:rsidRPr="00F65817">
        <w:t xml:space="preserve"> </w:t>
      </w:r>
      <w:r w:rsidRPr="00F65817">
        <w:t xml:space="preserve">are readily accessing vapes of all kinds. Government intervention is needed to improve the effectiveness of regulation of </w:t>
      </w:r>
      <w:r w:rsidR="00A15AFA">
        <w:t>vape</w:t>
      </w:r>
      <w:r w:rsidRPr="00F65817">
        <w:t>s.</w:t>
      </w:r>
    </w:p>
    <w:p w14:paraId="7D390AFB" w14:textId="68F71490" w:rsidR="00853309" w:rsidRPr="00F65817" w:rsidRDefault="00853309" w:rsidP="00FA4DB2">
      <w:r w:rsidRPr="00F65817">
        <w:t>The</w:t>
      </w:r>
      <w:r w:rsidR="00DD718C">
        <w:t xml:space="preserve"> </w:t>
      </w:r>
      <w:r w:rsidR="00622635">
        <w:t>‘</w:t>
      </w:r>
      <w:r w:rsidRPr="00F65817">
        <w:t>'Question On</w:t>
      </w:r>
      <w:r w:rsidR="00FF277C">
        <w:t>e</w:t>
      </w:r>
      <w:r w:rsidR="00622635">
        <w:t>’</w:t>
      </w:r>
      <w:r w:rsidRPr="00F65817">
        <w:t xml:space="preserve">' section above outlines evidence of the harm caused by vapes and that vaping is a gateway to smoking, as well as the growing prevalence of vaping and the intentional marketing of vapes to </w:t>
      </w:r>
      <w:r w:rsidR="00E10B09">
        <w:t xml:space="preserve">youth and young adults </w:t>
      </w:r>
      <w:r w:rsidRPr="00F65817">
        <w:t xml:space="preserve">using online media, which circumvents advertising bans for these products. The absence of full scientific certainty about the harm caused by vapes is not a valid reason to postpone measures to protect public health. Despite the arguably limited information on the long-term effects of vaping to inform scientific opinions, the level of threat or potential for harm is sufficiently high that uncertainty does not justify inaction. </w:t>
      </w:r>
    </w:p>
    <w:p w14:paraId="10674921" w14:textId="327AE709" w:rsidR="00853309" w:rsidRPr="00F65817" w:rsidRDefault="00853309" w:rsidP="00FA4DB2">
      <w:r w:rsidRPr="00F65817" w:rsidDel="0E901826">
        <w:lastRenderedPageBreak/>
        <w:t>Due</w:t>
      </w:r>
      <w:r w:rsidRPr="00F65817" w:rsidDel="44D230FD">
        <w:t xml:space="preserve"> to the</w:t>
      </w:r>
      <w:r w:rsidRPr="00F65817" w:rsidDel="0E901826">
        <w:t xml:space="preserve"> </w:t>
      </w:r>
      <w:r w:rsidRPr="00F65817" w:rsidDel="2E70A831">
        <w:t>problems</w:t>
      </w:r>
      <w:r w:rsidRPr="00F65817" w:rsidDel="44D230FD">
        <w:t xml:space="preserve"> </w:t>
      </w:r>
      <w:r w:rsidRPr="00F65817" w:rsidDel="5001E7DE">
        <w:t>outline</w:t>
      </w:r>
      <w:r w:rsidRPr="00F65817">
        <w:t>d</w:t>
      </w:r>
      <w:r w:rsidRPr="00F65817" w:rsidDel="5001E7DE">
        <w:t xml:space="preserve"> in section</w:t>
      </w:r>
      <w:r w:rsidR="00DD718C">
        <w:t xml:space="preserve"> </w:t>
      </w:r>
      <w:r w:rsidR="00622635">
        <w:t>‘</w:t>
      </w:r>
      <w:r w:rsidRPr="00F65817" w:rsidDel="5001E7DE">
        <w:t>'Question On</w:t>
      </w:r>
      <w:r w:rsidR="00DD718C">
        <w:t>e</w:t>
      </w:r>
      <w:r w:rsidR="00622635">
        <w:t>’</w:t>
      </w:r>
      <w:r w:rsidRPr="00F65817" w:rsidDel="5001E7DE">
        <w:t>'</w:t>
      </w:r>
      <w:r w:rsidRPr="00F65817">
        <w:t xml:space="preserve"> above</w:t>
      </w:r>
      <w:r w:rsidRPr="00F65817" w:rsidDel="44D230FD">
        <w:t xml:space="preserve">, a precautionary approach to </w:t>
      </w:r>
      <w:r w:rsidRPr="00F65817">
        <w:t>vapes</w:t>
      </w:r>
      <w:r w:rsidRPr="00F65817" w:rsidDel="44D230FD">
        <w:t xml:space="preserve"> is warranted, and all Australian governments have committed to </w:t>
      </w:r>
      <w:r w:rsidRPr="00F65817">
        <w:t>implementing</w:t>
      </w:r>
      <w:r w:rsidRPr="00F65817" w:rsidDel="44D230FD">
        <w:t xml:space="preserve"> such an approach.</w:t>
      </w:r>
      <w:r w:rsidRPr="00F65817">
        <w:t xml:space="preserve"> </w:t>
      </w:r>
    </w:p>
    <w:p w14:paraId="656D39E6" w14:textId="6369D28D" w:rsidR="00853309" w:rsidRPr="00F65817" w:rsidRDefault="00853309" w:rsidP="00FA4DB2">
      <w:r w:rsidRPr="00F65817">
        <w:t xml:space="preserve">The prevention of potentially serious and permanent harm, particularly to </w:t>
      </w:r>
      <w:r w:rsidR="001364F8">
        <w:t>youth and young adults</w:t>
      </w:r>
      <w:r w:rsidRPr="00F65817">
        <w:t xml:space="preserve">, arising from the sale of vapes warrants strong government action. The Australian Government is well placed to lead and shape the regulation of </w:t>
      </w:r>
      <w:r w:rsidR="0035456B">
        <w:t>vape</w:t>
      </w:r>
      <w:r w:rsidRPr="00F65817">
        <w:t xml:space="preserve">s. Only the Australian Government can control border </w:t>
      </w:r>
      <w:r w:rsidR="00F65817">
        <w:t xml:space="preserve">through restrictions in </w:t>
      </w:r>
      <w:r w:rsidRPr="00F65817">
        <w:t xml:space="preserve">the </w:t>
      </w:r>
      <w:r w:rsidRPr="00F65817">
        <w:rPr>
          <w:i/>
          <w:iCs/>
        </w:rPr>
        <w:t>Customs Act 1901</w:t>
      </w:r>
      <w:r w:rsidRPr="00F65817">
        <w:t>. The reforms both support the National Tobacco Strategy 2023</w:t>
      </w:r>
      <w:r w:rsidR="00FF277C">
        <w:t>–</w:t>
      </w:r>
      <w:r w:rsidRPr="00F65817">
        <w:t xml:space="preserve">2030 and enable a national coordinated approach through the therapeutic goods scheme. This scheme allows the Australian Government to legislate an approach which will be automatically adopted in all states and territories, other than Western Australia, through an existing and well-understood mechanism. It would be significantly slower and more complex to progress legislative reforms in all states and territories than to progress Commonwealth legislation, and it may be difficult to secure the passage of uniform legislation across all jurisdictions. Action by states and territories, particularly in relation to enforcement, will be key to the effectiveness of any vaping control measures. </w:t>
      </w:r>
    </w:p>
    <w:p w14:paraId="2A530E43" w14:textId="77777777" w:rsidR="00853309" w:rsidRPr="00F65817" w:rsidRDefault="00853309" w:rsidP="00FA4DB2">
      <w:r w:rsidRPr="00F65817">
        <w:t xml:space="preserve">While threats to public health must be balanced against other considerations, such as the economic interests of those involved in the vaping industry, it is clear that the risk of harm far outweighs those economic interests. The harm will be borne by the Australian people, in terms of their personal health, into the future, in the same way as the harms from smoking have been a significant burden on personal health. Further, the costs of future health care will be borne by Australian governments, and the Australian community, rather than the vaping industry. </w:t>
      </w:r>
    </w:p>
    <w:p w14:paraId="4F56F4C9" w14:textId="19E73C64" w:rsidR="00853309" w:rsidRPr="00F65817" w:rsidRDefault="00853309" w:rsidP="00FA4DB2">
      <w:r w:rsidRPr="00F65817" w:rsidDel="53A4A67C">
        <w:t>The str</w:t>
      </w:r>
      <w:r w:rsidRPr="00F65817" w:rsidDel="2F8EEA3B">
        <w:t xml:space="preserve">ong feedback to the November 2022 public consultation paper titled ‘Potential reforms to the regulation of nicotine vaping products’ from </w:t>
      </w:r>
      <w:r w:rsidRPr="00F65817" w:rsidDel="5E8978E5">
        <w:t>s</w:t>
      </w:r>
      <w:r w:rsidRPr="00F65817" w:rsidDel="70493783">
        <w:t xml:space="preserve">tate and </w:t>
      </w:r>
      <w:r w:rsidRPr="00F65817" w:rsidDel="5E8978E5">
        <w:t>t</w:t>
      </w:r>
      <w:r w:rsidRPr="00F65817" w:rsidDel="70493783">
        <w:t>erritory governments, health professional bodies, individual health professionals, public health associations and university researchers</w:t>
      </w:r>
      <w:r w:rsidRPr="00F65817" w:rsidDel="470D74C3">
        <w:t xml:space="preserve"> was</w:t>
      </w:r>
      <w:r w:rsidRPr="00F65817" w:rsidDel="1581A0CD">
        <w:t xml:space="preserve"> that</w:t>
      </w:r>
      <w:r w:rsidRPr="00F65817" w:rsidDel="470D74C3">
        <w:t xml:space="preserve"> the status quo was not sustainable</w:t>
      </w:r>
      <w:r w:rsidRPr="00F65817">
        <w:t>,</w:t>
      </w:r>
      <w:r w:rsidRPr="00F65817" w:rsidDel="470D74C3">
        <w:t xml:space="preserve"> and direct intervention by the </w:t>
      </w:r>
      <w:r w:rsidRPr="00F65817" w:rsidDel="0A011BE5">
        <w:t xml:space="preserve">Australian </w:t>
      </w:r>
      <w:r w:rsidRPr="00F65817">
        <w:t>Government was required</w:t>
      </w:r>
      <w:r w:rsidRPr="00F65817" w:rsidDel="692DF72A">
        <w:t xml:space="preserve">. Indeed, </w:t>
      </w:r>
      <w:r w:rsidRPr="00F65817">
        <w:t>noting the difficulty encountered by enforcement officers and consumers</w:t>
      </w:r>
      <w:r w:rsidRPr="00F65817" w:rsidDel="069D0CCC">
        <w:t xml:space="preserve"> in differentiating between </w:t>
      </w:r>
      <w:r w:rsidRPr="00F65817" w:rsidDel="0A011BE5">
        <w:t xml:space="preserve">nicotine </w:t>
      </w:r>
      <w:r w:rsidR="001D1F61">
        <w:t>vapes</w:t>
      </w:r>
      <w:r w:rsidRPr="00F65817" w:rsidDel="069D0CCC">
        <w:t xml:space="preserve"> and </w:t>
      </w:r>
      <w:r w:rsidRPr="00F65817">
        <w:t>purported zero</w:t>
      </w:r>
      <w:r w:rsidRPr="00F65817" w:rsidDel="42D8B8C8">
        <w:t xml:space="preserve">-nicotine </w:t>
      </w:r>
      <w:r w:rsidR="001D1F61">
        <w:t>vapes</w:t>
      </w:r>
      <w:r w:rsidRPr="00F65817">
        <w:t xml:space="preserve">, and noting the health risks of all vapes, </w:t>
      </w:r>
      <w:r w:rsidRPr="00F65817" w:rsidDel="692DF72A">
        <w:t xml:space="preserve">many respondents </w:t>
      </w:r>
      <w:r w:rsidRPr="00F65817" w:rsidDel="424549DC">
        <w:t>submitted that</w:t>
      </w:r>
      <w:r w:rsidRPr="00F65817" w:rsidDel="358B11DD">
        <w:t xml:space="preserve"> regulatory controls should </w:t>
      </w:r>
      <w:r w:rsidRPr="00F65817" w:rsidDel="424549DC">
        <w:t xml:space="preserve">be placed on </w:t>
      </w:r>
      <w:r w:rsidRPr="00F65817">
        <w:t>zero</w:t>
      </w:r>
      <w:r w:rsidRPr="00F65817" w:rsidDel="42D8B8C8">
        <w:t xml:space="preserve">-nicotine </w:t>
      </w:r>
      <w:r w:rsidR="00433B9D">
        <w:t>vapes</w:t>
      </w:r>
      <w:r w:rsidRPr="00F65817" w:rsidDel="3B6B63F6">
        <w:t xml:space="preserve"> </w:t>
      </w:r>
      <w:r w:rsidRPr="00F65817">
        <w:t>that went</w:t>
      </w:r>
      <w:r w:rsidRPr="00F65817" w:rsidDel="424549DC">
        <w:t xml:space="preserve"> further than th</w:t>
      </w:r>
      <w:r w:rsidRPr="00F65817">
        <w:t>ose</w:t>
      </w:r>
      <w:r w:rsidRPr="00F65817" w:rsidDel="424549DC">
        <w:t xml:space="preserve"> proposed in the consultation paper.</w:t>
      </w:r>
      <w:r w:rsidRPr="00F65817" w:rsidDel="7DEB5808">
        <w:t xml:space="preserve"> </w:t>
      </w:r>
    </w:p>
    <w:p w14:paraId="55F991B1" w14:textId="6DBF4CC7" w:rsidR="00853309" w:rsidRPr="00F65817" w:rsidRDefault="00853309" w:rsidP="00FA4DB2">
      <w:r w:rsidRPr="00F65817">
        <w:t>Given the extent and rapid growth of vaping, it is unlikely that alternatives to government action would be sufficient. Awareness campaigns targeting health professionals and the public, conducted in accordance with the objectives of the National Tobacco Strategy 2023</w:t>
      </w:r>
      <w:r w:rsidR="00FF277C">
        <w:t>–</w:t>
      </w:r>
      <w:r w:rsidRPr="00F65817">
        <w:t>2030 (‘NTS’), would likely have some success in arresting the uptake of vaping by youth</w:t>
      </w:r>
      <w:r w:rsidR="0048659D">
        <w:t xml:space="preserve"> </w:t>
      </w:r>
      <w:r w:rsidRPr="00F65817">
        <w:t xml:space="preserve">and assisting smokers to cease smoking. Without additional regulatory changes, however, this is unlikely to significantly reduce access for </w:t>
      </w:r>
      <w:r w:rsidR="003A4FA8">
        <w:t>non-therapeutic</w:t>
      </w:r>
      <w:r w:rsidRPr="00F65817">
        <w:t xml:space="preserve"> purposes, particularly among </w:t>
      </w:r>
      <w:r w:rsidR="001D41AB">
        <w:t xml:space="preserve">the </w:t>
      </w:r>
      <w:r w:rsidR="00C76E98">
        <w:t>youth</w:t>
      </w:r>
      <w:r w:rsidRPr="00F65817">
        <w:rPr>
          <w:rFonts w:eastAsia="Arial" w:cs="Arial"/>
        </w:rPr>
        <w:t xml:space="preserve">. It is clear that strong marketing tactics are focused on encouraging </w:t>
      </w:r>
      <w:r w:rsidR="00C76E98">
        <w:rPr>
          <w:rFonts w:eastAsia="Arial" w:cs="Arial"/>
        </w:rPr>
        <w:t>youth</w:t>
      </w:r>
      <w:r w:rsidRPr="00F65817">
        <w:rPr>
          <w:rFonts w:eastAsia="Arial" w:cs="Arial"/>
        </w:rPr>
        <w:t xml:space="preserve"> to try vaping, and education alone will be insufficient. </w:t>
      </w:r>
      <w:r w:rsidRPr="00F65817">
        <w:t>Actions by schools and public health entities, particularly in educating people on the risks of vaping, can usefully support government action. Due to its role in tobacco reform, the Australian Government is also well placed to coordinate these public education efforts.</w:t>
      </w:r>
    </w:p>
    <w:p w14:paraId="32532674" w14:textId="341828C9" w:rsidR="00597264" w:rsidRPr="00F65817" w:rsidDel="001D6A6D" w:rsidRDefault="00853309" w:rsidP="00FA4DB2">
      <w:r w:rsidRPr="00F65817" w:rsidDel="7DEB5808">
        <w:t>Recent media reporting has</w:t>
      </w:r>
      <w:r w:rsidRPr="00F65817" w:rsidDel="7BF0D401">
        <w:t xml:space="preserve"> continued to</w:t>
      </w:r>
      <w:r w:rsidRPr="00F65817" w:rsidDel="7DEB5808">
        <w:t xml:space="preserve"> </w:t>
      </w:r>
      <w:r w:rsidRPr="00F65817" w:rsidDel="7BF0D401">
        <w:t>highlight the public’s concern about the dangers of vaping among youth</w:t>
      </w:r>
      <w:r w:rsidRPr="00F65817">
        <w:t xml:space="preserve">. As an </w:t>
      </w:r>
      <w:r w:rsidRPr="00F65817" w:rsidDel="3EEE0345">
        <w:t xml:space="preserve">example, on </w:t>
      </w:r>
      <w:r w:rsidRPr="00F65817" w:rsidDel="14A7C89C">
        <w:t>2</w:t>
      </w:r>
      <w:r w:rsidRPr="00F65817" w:rsidDel="3EEE0345">
        <w:t xml:space="preserve"> March 2023 the ABC reported that </w:t>
      </w:r>
      <w:r w:rsidRPr="00F65817" w:rsidDel="3BC3DEBC">
        <w:t>some schools were so concerned about the extent of vaping among their students that they have installed vape de</w:t>
      </w:r>
      <w:r w:rsidRPr="00F65817" w:rsidDel="5E59A418">
        <w:t xml:space="preserve">tectors in bathrooms to try and </w:t>
      </w:r>
      <w:r w:rsidRPr="00F65817" w:rsidDel="4138DADF">
        <w:t xml:space="preserve">detect and </w:t>
      </w:r>
      <w:r w:rsidRPr="00F65817" w:rsidDel="5E59A418">
        <w:t>deter this behaviour.</w:t>
      </w:r>
    </w:p>
    <w:p w14:paraId="038EF9B9" w14:textId="5EF15B2A" w:rsidR="007606A7" w:rsidRPr="00F65817" w:rsidRDefault="007606A7" w:rsidP="009541C7">
      <w:pPr>
        <w:pStyle w:val="Heading4"/>
      </w:pPr>
      <w:bookmarkStart w:id="82" w:name="_Toc151040339"/>
      <w:r w:rsidRPr="009541C7">
        <w:t>Reforms</w:t>
      </w:r>
      <w:r w:rsidRPr="00F65817">
        <w:t xml:space="preserve"> would support the National Tobacco Strategy 2023</w:t>
      </w:r>
      <w:r w:rsidR="00FF277C">
        <w:t>–</w:t>
      </w:r>
      <w:r w:rsidRPr="00F65817">
        <w:t>2030</w:t>
      </w:r>
      <w:bookmarkEnd w:id="82"/>
    </w:p>
    <w:p w14:paraId="5D41755E" w14:textId="77777777" w:rsidR="00853309" w:rsidRPr="00F65817" w:rsidRDefault="00853309" w:rsidP="00853309">
      <w:pPr>
        <w:rPr>
          <w:rFonts w:cs="Arial"/>
          <w:lang w:eastAsia="en-AU"/>
        </w:rPr>
      </w:pPr>
      <w:r w:rsidRPr="00FA4DB2">
        <w:t>Proposed reform measures are designed to support and prioritise the objectives and targets in the National Tobacco Strategy, and complement other measures announced by the Australian Government to reduce rates to smoking</w:t>
      </w:r>
      <w:r w:rsidRPr="00F65817">
        <w:rPr>
          <w:lang w:eastAsia="en-AU"/>
        </w:rPr>
        <w:t xml:space="preserve"> and vaping. These include:</w:t>
      </w:r>
    </w:p>
    <w:p w14:paraId="33408E23" w14:textId="6C43313F" w:rsidR="00853309" w:rsidRPr="008F0BF1" w:rsidRDefault="00B81580" w:rsidP="00D12EFD">
      <w:pPr>
        <w:pStyle w:val="Bullet1"/>
        <w:numPr>
          <w:ilvl w:val="0"/>
          <w:numId w:val="36"/>
        </w:numPr>
        <w:rPr>
          <w:rFonts w:cs="Arial"/>
          <w:lang w:eastAsia="en-AU"/>
        </w:rPr>
      </w:pPr>
      <w:r>
        <w:rPr>
          <w:lang w:eastAsia="en-AU"/>
        </w:rPr>
        <w:t>N</w:t>
      </w:r>
      <w:r w:rsidR="00853309" w:rsidRPr="008F0BF1">
        <w:rPr>
          <w:lang w:eastAsia="en-AU"/>
        </w:rPr>
        <w:t>ew public health information campaigns to prevent and reduce the use of tobacco and vapes</w:t>
      </w:r>
    </w:p>
    <w:p w14:paraId="4E999946" w14:textId="68C539AB" w:rsidR="00853309" w:rsidRPr="008F0BF1" w:rsidRDefault="00B81580" w:rsidP="00D12EFD">
      <w:pPr>
        <w:pStyle w:val="Bullet1"/>
        <w:numPr>
          <w:ilvl w:val="0"/>
          <w:numId w:val="36"/>
        </w:numPr>
        <w:rPr>
          <w:rFonts w:cs="Arial"/>
          <w:lang w:eastAsia="en-AU"/>
        </w:rPr>
      </w:pPr>
      <w:r>
        <w:rPr>
          <w:lang w:eastAsia="en-AU"/>
        </w:rPr>
        <w:lastRenderedPageBreak/>
        <w:t>E</w:t>
      </w:r>
      <w:r w:rsidR="00853309" w:rsidRPr="008F0BF1">
        <w:rPr>
          <w:lang w:eastAsia="en-AU"/>
        </w:rPr>
        <w:t>xpansion of specialised programs and services to support Australians to quit smoking and vaping</w:t>
      </w:r>
    </w:p>
    <w:p w14:paraId="7599F3FC" w14:textId="714231A8" w:rsidR="00853309" w:rsidRPr="008F0BF1" w:rsidRDefault="00B81580" w:rsidP="00D12EFD">
      <w:pPr>
        <w:pStyle w:val="Bullet1"/>
        <w:numPr>
          <w:ilvl w:val="0"/>
          <w:numId w:val="36"/>
        </w:numPr>
        <w:rPr>
          <w:rFonts w:cs="Arial"/>
          <w:lang w:eastAsia="en-AU"/>
        </w:rPr>
      </w:pPr>
      <w:r>
        <w:rPr>
          <w:lang w:eastAsia="en-AU"/>
        </w:rPr>
        <w:t>E</w:t>
      </w:r>
      <w:r w:rsidR="00853309" w:rsidRPr="008F0BF1">
        <w:rPr>
          <w:lang w:eastAsia="en-AU"/>
        </w:rPr>
        <w:t>xtension and expansion of the Tackling Indigenous Smoking program to reduce both vaping and smoking among First Nations people</w:t>
      </w:r>
    </w:p>
    <w:p w14:paraId="2E31F76B" w14:textId="559D0E44" w:rsidR="00853309" w:rsidRPr="008F0BF1" w:rsidRDefault="004329E5" w:rsidP="00D12EFD">
      <w:pPr>
        <w:pStyle w:val="Bullet1"/>
        <w:numPr>
          <w:ilvl w:val="0"/>
          <w:numId w:val="36"/>
        </w:numPr>
        <w:rPr>
          <w:rFonts w:cs="Arial"/>
        </w:rPr>
      </w:pPr>
      <w:r>
        <w:rPr>
          <w:lang w:eastAsia="en-AU"/>
        </w:rPr>
        <w:t>N</w:t>
      </w:r>
      <w:r w:rsidR="00853309" w:rsidRPr="008F0BF1">
        <w:rPr>
          <w:lang w:eastAsia="en-AU"/>
        </w:rPr>
        <w:t xml:space="preserve">ew tobacco control legislative reforms </w:t>
      </w:r>
      <w:hyperlink r:id="rId30" w:history="1">
        <w:r w:rsidR="00853309" w:rsidRPr="008F0BF1">
          <w:rPr>
            <w:u w:val="single"/>
            <w:lang w:eastAsia="en-AU"/>
          </w:rPr>
          <w:t>first announced</w:t>
        </w:r>
      </w:hyperlink>
      <w:r w:rsidR="00853309" w:rsidRPr="008F0BF1">
        <w:rPr>
          <w:lang w:eastAsia="en-AU"/>
        </w:rPr>
        <w:t xml:space="preserve"> in November 2022, to </w:t>
      </w:r>
      <w:r w:rsidR="00853309" w:rsidRPr="008F0BF1">
        <w:rPr>
          <w:rFonts w:cs="Arial"/>
        </w:rPr>
        <w:t xml:space="preserve">prevent uptake of e-cigarettes by </w:t>
      </w:r>
      <w:r w:rsidR="00E10B09">
        <w:t xml:space="preserve">youth and young adults </w:t>
      </w:r>
      <w:r w:rsidR="00853309" w:rsidRPr="008F0BF1">
        <w:rPr>
          <w:rFonts w:cs="Arial"/>
        </w:rPr>
        <w:t>and those who have never smoked.</w:t>
      </w:r>
    </w:p>
    <w:p w14:paraId="5FC3ABB3" w14:textId="2D42D2B2" w:rsidR="0098721B" w:rsidRPr="00F65817" w:rsidRDefault="18083E37" w:rsidP="009541C7">
      <w:pPr>
        <w:pStyle w:val="Heading3"/>
      </w:pPr>
      <w:bookmarkStart w:id="83" w:name="_Toc146634909"/>
      <w:bookmarkStart w:id="84" w:name="_Toc151040340"/>
      <w:r w:rsidRPr="00F65817">
        <w:t xml:space="preserve">Barriers to </w:t>
      </w:r>
      <w:r w:rsidR="03C614D6" w:rsidRPr="00F65817">
        <w:t xml:space="preserve">successful </w:t>
      </w:r>
      <w:r w:rsidRPr="009541C7">
        <w:t>Government</w:t>
      </w:r>
      <w:r w:rsidRPr="00F65817">
        <w:t xml:space="preserve"> intervention</w:t>
      </w:r>
      <w:bookmarkEnd w:id="83"/>
      <w:bookmarkEnd w:id="84"/>
    </w:p>
    <w:p w14:paraId="13BB7A56" w14:textId="77777777" w:rsidR="00853309" w:rsidRPr="00F65817" w:rsidRDefault="00853309" w:rsidP="00FA4DB2">
      <w:pPr>
        <w:rPr>
          <w:lang w:eastAsia="en-AU"/>
        </w:rPr>
      </w:pPr>
      <w:r w:rsidRPr="00F65817">
        <w:rPr>
          <w:lang w:eastAsia="en-AU"/>
        </w:rPr>
        <w:t xml:space="preserve">There are a number of potential barriers to government intervention to address the problems associated with vaping: </w:t>
      </w:r>
    </w:p>
    <w:p w14:paraId="1A50FF59" w14:textId="76478101" w:rsidR="00853309" w:rsidRPr="00457C0D" w:rsidRDefault="00853309" w:rsidP="00D12EFD">
      <w:pPr>
        <w:pStyle w:val="Bullet1"/>
        <w:numPr>
          <w:ilvl w:val="0"/>
          <w:numId w:val="37"/>
        </w:numPr>
        <w:rPr>
          <w:u w:val="single"/>
          <w:lang w:eastAsia="en-AU"/>
        </w:rPr>
      </w:pPr>
      <w:r w:rsidRPr="00457C0D">
        <w:rPr>
          <w:u w:val="single"/>
        </w:rPr>
        <w:t xml:space="preserve">Requires a high degree of agreement and cooperation of all Australian governments and multiple agencies at each level of government. </w:t>
      </w:r>
    </w:p>
    <w:p w14:paraId="60BE65F2" w14:textId="77777777" w:rsidR="00D27EF4" w:rsidRDefault="00853309" w:rsidP="00457C0D">
      <w:pPr>
        <w:pStyle w:val="Bullet1"/>
        <w:ind w:left="720"/>
      </w:pPr>
      <w:r w:rsidRPr="00F65817">
        <w:t xml:space="preserve">As discussed above, vapes are currently regulated through a combination of Commonwealth and state and territory laws. An effective national regulatory system requires jurisdictions to have a harmonised regulatory approach without legal gaps, and to cooperatively enforce the legal framework. Consistent public health messaging must promote the harms of vapes. Without cooperation, including in relation to roles and responsibilities, the arrangements could potentially lead to ineffective enforcement, inconsistent laws and inconsistent public health messaging, discussed further below. </w:t>
      </w:r>
    </w:p>
    <w:p w14:paraId="0B840854" w14:textId="3A96D732" w:rsidR="00853309" w:rsidRPr="00F65817" w:rsidRDefault="00853309" w:rsidP="00D12EFD">
      <w:pPr>
        <w:pStyle w:val="Bullet1"/>
        <w:numPr>
          <w:ilvl w:val="0"/>
          <w:numId w:val="37"/>
        </w:numPr>
      </w:pPr>
      <w:r w:rsidRPr="00D27EF4">
        <w:rPr>
          <w:u w:val="single"/>
        </w:rPr>
        <w:t>Potential increase in black market sales of products that do not meet quality standards</w:t>
      </w:r>
      <w:r w:rsidRPr="00F65817">
        <w:t xml:space="preserve">. </w:t>
      </w:r>
    </w:p>
    <w:p w14:paraId="471D53AA" w14:textId="77777777" w:rsidR="00CD5303" w:rsidRDefault="00853309" w:rsidP="00457C0D">
      <w:pPr>
        <w:pStyle w:val="Bullet1"/>
        <w:ind w:left="720"/>
      </w:pPr>
      <w:r w:rsidRPr="00104FA8">
        <w:t>There is a widespread black market in vapes that has to date proved difficult to combat. As noted above, the exploitation of loopholes and a lack of understanding of the current regulatory framework has allowed the black market to flourish. Any changes to regulatory settings have the potential to further increase black market activity. A multi-faceted approach will be required to manage th</w:t>
      </w:r>
      <w:r w:rsidR="001F1441" w:rsidRPr="00104FA8">
        <w:t>is</w:t>
      </w:r>
      <w:r w:rsidRPr="00104FA8">
        <w:t xml:space="preserve"> potential </w:t>
      </w:r>
      <w:r w:rsidR="001F1441" w:rsidRPr="00104FA8">
        <w:t>risk</w:t>
      </w:r>
      <w:r w:rsidRPr="00104FA8">
        <w:t>, including strengthening compliance action at all steps in the supply chain and for unlawful advertising of vapes, coordinated enforcement action between agencies and governments, and increased education to decrease demand for vapes and ensure people are aware of the legal requirements in relation to vapes.</w:t>
      </w:r>
    </w:p>
    <w:p w14:paraId="2EC2665B" w14:textId="45E122EE" w:rsidR="00853309" w:rsidRPr="00104FA8" w:rsidRDefault="00853309" w:rsidP="00D12EFD">
      <w:pPr>
        <w:pStyle w:val="Bullet1"/>
        <w:numPr>
          <w:ilvl w:val="0"/>
          <w:numId w:val="37"/>
        </w:numPr>
      </w:pPr>
      <w:r w:rsidRPr="00CD5303">
        <w:rPr>
          <w:u w:val="single"/>
        </w:rPr>
        <w:t>Insufficient access to vapes for legitimate purposes</w:t>
      </w:r>
      <w:r w:rsidRPr="00104FA8">
        <w:t xml:space="preserve">. </w:t>
      </w:r>
    </w:p>
    <w:p w14:paraId="72DD7517" w14:textId="77777777" w:rsidR="00853309" w:rsidRPr="00D50EE5" w:rsidRDefault="00853309" w:rsidP="00CD5303">
      <w:pPr>
        <w:pStyle w:val="Bullet1"/>
        <w:ind w:left="720"/>
      </w:pPr>
      <w:r w:rsidRPr="00D50EE5">
        <w:t>A range of factors could impact on whether consumers have sufficient access to vapes for therapeutic purposes:</w:t>
      </w:r>
    </w:p>
    <w:p w14:paraId="34E1F0DD" w14:textId="0E4BA92A" w:rsidR="00853309" w:rsidRPr="00D50EE5" w:rsidRDefault="00853309" w:rsidP="00286395">
      <w:pPr>
        <w:pStyle w:val="Bullet1"/>
        <w:numPr>
          <w:ilvl w:val="0"/>
          <w:numId w:val="38"/>
        </w:numPr>
      </w:pPr>
      <w:r w:rsidRPr="00D50EE5">
        <w:t xml:space="preserve">Strengthening of regulatory controls could lead to suppliers exiting the market because they are unable to comply with new requirements or because compliance burden would impact too greatly on profitability. </w:t>
      </w:r>
    </w:p>
    <w:p w14:paraId="45280E41" w14:textId="77777777" w:rsidR="00853309" w:rsidRPr="00D50EE5" w:rsidRDefault="00853309" w:rsidP="00286395">
      <w:pPr>
        <w:pStyle w:val="ListParagraph"/>
        <w:numPr>
          <w:ilvl w:val="0"/>
          <w:numId w:val="38"/>
        </w:numPr>
        <w:spacing w:after="120" w:line="240" w:lineRule="auto"/>
        <w:ind w:left="1077" w:hanging="357"/>
        <w:rPr>
          <w:rFonts w:eastAsia="Cambria" w:cs="Times New Roman"/>
          <w:kern w:val="0"/>
          <w:szCs w:val="20"/>
          <w14:ligatures w14:val="none"/>
        </w:rPr>
      </w:pPr>
      <w:r w:rsidRPr="00D50EE5">
        <w:rPr>
          <w:rFonts w:eastAsia="Cambria" w:cs="Times New Roman"/>
          <w:kern w:val="0"/>
          <w:szCs w:val="20"/>
          <w14:ligatures w14:val="none"/>
        </w:rPr>
        <w:t>The prescription model may be too restrictive in terms of types of vapes available and ease of access, compared with the current broad range of vapes available and ease of access.</w:t>
      </w:r>
    </w:p>
    <w:p w14:paraId="2CB79C4C" w14:textId="77777777" w:rsidR="00853309" w:rsidRPr="00D50EE5" w:rsidRDefault="00853309" w:rsidP="00286395">
      <w:pPr>
        <w:pStyle w:val="Bullet1"/>
        <w:numPr>
          <w:ilvl w:val="0"/>
          <w:numId w:val="38"/>
        </w:numPr>
      </w:pPr>
      <w:r w:rsidRPr="00D50EE5">
        <w:t>There may be insufficient prescribers to meet demand or inability to access prescribers.</w:t>
      </w:r>
    </w:p>
    <w:p w14:paraId="1AF3CA6E" w14:textId="77777777" w:rsidR="00853309" w:rsidRPr="00D50EE5" w:rsidRDefault="00853309" w:rsidP="00286395">
      <w:pPr>
        <w:pStyle w:val="Bullet1"/>
        <w:numPr>
          <w:ilvl w:val="0"/>
          <w:numId w:val="38"/>
        </w:numPr>
      </w:pPr>
      <w:r w:rsidRPr="00D50EE5">
        <w:t>There may be insufficient pharmacies willing to stock vapes or the range of vapes being stocked by pharmacies is too limited to meet consumer wishes.</w:t>
      </w:r>
    </w:p>
    <w:p w14:paraId="15A9A7FE" w14:textId="48282AD7" w:rsidR="00853309" w:rsidRPr="00D50EE5" w:rsidRDefault="00853309" w:rsidP="00746795">
      <w:pPr>
        <w:pStyle w:val="Bullet1"/>
        <w:numPr>
          <w:ilvl w:val="0"/>
          <w:numId w:val="38"/>
        </w:numPr>
      </w:pPr>
      <w:r w:rsidRPr="00D50EE5">
        <w:t xml:space="preserve">Supply chain issues may exist with lawful vapes, including because there </w:t>
      </w:r>
      <w:r w:rsidR="004C2D7C" w:rsidRPr="00D50EE5">
        <w:t>is insufficient</w:t>
      </w:r>
      <w:r w:rsidRPr="00D50EE5">
        <w:t xml:space="preserve"> information available to allow suppliers and pharmacists to gauge the likely demand.</w:t>
      </w:r>
    </w:p>
    <w:p w14:paraId="289E806F" w14:textId="77777777" w:rsidR="00853309" w:rsidRPr="00D50EE5" w:rsidRDefault="00853309" w:rsidP="00746795">
      <w:pPr>
        <w:pStyle w:val="Bullet1"/>
        <w:numPr>
          <w:ilvl w:val="0"/>
          <w:numId w:val="38"/>
        </w:numPr>
      </w:pPr>
      <w:r w:rsidRPr="00D50EE5">
        <w:t>The cost of lawful vapes may rise, particularly with the potential for pharmacies to exploit a monopoly on supply to consumers.</w:t>
      </w:r>
    </w:p>
    <w:p w14:paraId="63B1EEE6" w14:textId="77777777" w:rsidR="00853309" w:rsidRPr="00F65817" w:rsidRDefault="00853309" w:rsidP="00286395">
      <w:pPr>
        <w:pStyle w:val="Bullet1"/>
        <w:ind w:left="720"/>
        <w:rPr>
          <w:lang w:eastAsia="en-AU"/>
        </w:rPr>
      </w:pPr>
      <w:r w:rsidRPr="00F65817">
        <w:rPr>
          <w:lang w:eastAsia="en-AU"/>
        </w:rPr>
        <w:t>To mitigate these risks, market forces will need to be carefully considered and monitored, based on consultation feedback, with regulatory tools sufficiently responsive and adjustable to ensure sufficient supply can be maintained in the short and long-term.</w:t>
      </w:r>
    </w:p>
    <w:p w14:paraId="2CCF7B45" w14:textId="660D84BD" w:rsidR="00DB0CE6" w:rsidRPr="00286395" w:rsidRDefault="00853309" w:rsidP="00286395">
      <w:pPr>
        <w:pStyle w:val="Bullet1"/>
        <w:numPr>
          <w:ilvl w:val="0"/>
          <w:numId w:val="37"/>
        </w:numPr>
        <w:rPr>
          <w:rFonts w:eastAsia="Calibri"/>
          <w:u w:val="single"/>
        </w:rPr>
      </w:pPr>
      <w:r w:rsidRPr="00286395">
        <w:rPr>
          <w:u w:val="single"/>
          <w:lang w:eastAsia="en-AU"/>
        </w:rPr>
        <w:t xml:space="preserve">Increase in tobacco use due to inability to source vapes. </w:t>
      </w:r>
    </w:p>
    <w:p w14:paraId="3C26DFD2" w14:textId="1377E063" w:rsidR="00286395" w:rsidRDefault="00853309" w:rsidP="00286395">
      <w:pPr>
        <w:pStyle w:val="Bullet1"/>
        <w:ind w:left="720"/>
        <w:rPr>
          <w:lang w:eastAsia="en-AU"/>
        </w:rPr>
      </w:pPr>
      <w:r w:rsidRPr="00F65817">
        <w:rPr>
          <w:lang w:eastAsia="en-AU"/>
        </w:rPr>
        <w:lastRenderedPageBreak/>
        <w:t>If access to nicotine-containing vapes were to be significantly restricted there is a risk that Australians addicted to nicotine may seek alternative products to meet cravings, such as tobacco. However, as noted above in Question 1, vapes are currently regarded as a ‘second tier’ aid for smoking cessation. Other therapeutic goods, including some on the ARTG, are available to assist with smoking cessation. Further, these risks can be partially addressed by ensuring ease of supply for legitimate use and access. The risks can also be mitigated through additional measures, such as implementing preventive public health campaigns focused on vaping and smoking cessation and increasing and improving vaping and smoking cessation support. These are outlined in the Australian Government’s Tobacco Strategy 2023</w:t>
      </w:r>
      <w:r w:rsidR="00DD62DF">
        <w:rPr>
          <w:lang w:eastAsia="en-AU"/>
        </w:rPr>
        <w:t>–</w:t>
      </w:r>
      <w:r w:rsidRPr="00F65817">
        <w:rPr>
          <w:lang w:eastAsia="en-AU"/>
        </w:rPr>
        <w:t>2030 and the Australian Government has provided additional funding to support public health campaigns and cessation support and information.</w:t>
      </w:r>
    </w:p>
    <w:p w14:paraId="52515C54" w14:textId="77777777" w:rsidR="00286395" w:rsidRDefault="00286395">
      <w:pPr>
        <w:rPr>
          <w:rFonts w:eastAsia="Cambria" w:cs="Times New Roman"/>
          <w:lang w:eastAsia="en-AU"/>
        </w:rPr>
      </w:pPr>
      <w:r>
        <w:rPr>
          <w:lang w:eastAsia="en-AU"/>
        </w:rPr>
        <w:br w:type="page"/>
      </w:r>
    </w:p>
    <w:p w14:paraId="34A148CA" w14:textId="77777777" w:rsidR="00F65817" w:rsidRDefault="00F65817" w:rsidP="00286395">
      <w:pPr>
        <w:pStyle w:val="Heading2"/>
      </w:pPr>
      <w:bookmarkStart w:id="85" w:name="_Toc146634910"/>
      <w:bookmarkStart w:id="86" w:name="_Toc147384258"/>
      <w:bookmarkStart w:id="87" w:name="_Toc151040341"/>
      <w:r>
        <w:lastRenderedPageBreak/>
        <w:t>Question Three: What policy options are you considering?</w:t>
      </w:r>
      <w:bookmarkEnd w:id="85"/>
      <w:bookmarkEnd w:id="86"/>
      <w:bookmarkEnd w:id="87"/>
    </w:p>
    <w:p w14:paraId="7CD58ADE" w14:textId="22E999C2" w:rsidR="00F65817" w:rsidRDefault="00F65817" w:rsidP="00FA4DB2">
      <w:r>
        <w:t xml:space="preserve">There are four regulatory options proposed to address the vaping problem. The status quo (Option 1) provides the baseline for the determination of any changes to regulatory compliance costs for the other options under consideration. </w:t>
      </w:r>
    </w:p>
    <w:p w14:paraId="273D6295" w14:textId="6E8D1C75" w:rsidR="00F65817" w:rsidRDefault="00F65817" w:rsidP="00F65817">
      <w:pPr>
        <w:pStyle w:val="TableCaption"/>
      </w:pPr>
      <w:bookmarkStart w:id="88" w:name="_Toc146634911"/>
      <w:bookmarkStart w:id="89" w:name="_Toc146635578"/>
      <w:bookmarkStart w:id="90" w:name="_Toc146636572"/>
      <w:bookmarkStart w:id="91" w:name="_Toc146636810"/>
      <w:bookmarkStart w:id="92" w:name="_Toc147759787"/>
      <w:r w:rsidRPr="00E4333F">
        <w:t xml:space="preserve">Table </w:t>
      </w:r>
      <w:r w:rsidR="008928CB">
        <w:t>1</w:t>
      </w:r>
      <w:r w:rsidRPr="00E4333F">
        <w:t>. Policy options considered</w:t>
      </w:r>
      <w:bookmarkEnd w:id="88"/>
      <w:bookmarkEnd w:id="89"/>
      <w:bookmarkEnd w:id="90"/>
      <w:bookmarkEnd w:id="91"/>
      <w:bookmarkEnd w:id="92"/>
    </w:p>
    <w:tbl>
      <w:tblPr>
        <w:tblStyle w:val="TableTGAblue2023"/>
        <w:tblW w:w="0" w:type="auto"/>
        <w:tblLook w:val="04A0" w:firstRow="1" w:lastRow="0" w:firstColumn="1" w:lastColumn="0" w:noHBand="0" w:noVBand="1"/>
      </w:tblPr>
      <w:tblGrid>
        <w:gridCol w:w="1534"/>
        <w:gridCol w:w="7392"/>
      </w:tblGrid>
      <w:tr w:rsidR="00F65817" w14:paraId="30F7863C" w14:textId="77777777" w:rsidTr="00D40C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4" w:type="dxa"/>
          </w:tcPr>
          <w:p w14:paraId="78FBB263" w14:textId="77777777" w:rsidR="00F65817" w:rsidRDefault="00F65817" w:rsidP="00D40CCB">
            <w:r>
              <w:t>Options</w:t>
            </w:r>
          </w:p>
        </w:tc>
        <w:tc>
          <w:tcPr>
            <w:tcW w:w="7392" w:type="dxa"/>
          </w:tcPr>
          <w:p w14:paraId="6AF76C02" w14:textId="77777777" w:rsidR="00F65817" w:rsidRDefault="00F65817" w:rsidP="00D40CCB">
            <w:pPr>
              <w:cnfStyle w:val="100000000000" w:firstRow="1" w:lastRow="0" w:firstColumn="0" w:lastColumn="0" w:oddVBand="0" w:evenVBand="0" w:oddHBand="0" w:evenHBand="0" w:firstRowFirstColumn="0" w:firstRowLastColumn="0" w:lastRowFirstColumn="0" w:lastRowLastColumn="0"/>
            </w:pPr>
            <w:r>
              <w:t>Elements</w:t>
            </w:r>
          </w:p>
        </w:tc>
      </w:tr>
      <w:tr w:rsidR="00F65817" w14:paraId="5FFE0E4E" w14:textId="77777777" w:rsidTr="00D40CCB">
        <w:trPr>
          <w:trHeight w:val="300"/>
        </w:trPr>
        <w:tc>
          <w:tcPr>
            <w:cnfStyle w:val="001000000000" w:firstRow="0" w:lastRow="0" w:firstColumn="1" w:lastColumn="0" w:oddVBand="0" w:evenVBand="0" w:oddHBand="0" w:evenHBand="0" w:firstRowFirstColumn="0" w:firstRowLastColumn="0" w:lastRowFirstColumn="0" w:lastRowLastColumn="0"/>
            <w:tcW w:w="1534" w:type="dxa"/>
          </w:tcPr>
          <w:p w14:paraId="22E568DE" w14:textId="77777777" w:rsidR="00F65817" w:rsidRPr="001A3D7C" w:rsidRDefault="00F65817" w:rsidP="00D40CCB">
            <w:r>
              <w:t>Option 1</w:t>
            </w:r>
          </w:p>
        </w:tc>
        <w:tc>
          <w:tcPr>
            <w:tcW w:w="7392" w:type="dxa"/>
          </w:tcPr>
          <w:p w14:paraId="55F4C18C" w14:textId="77777777" w:rsidR="00F65817" w:rsidRDefault="00F65817" w:rsidP="00D40CCB">
            <w:pPr>
              <w:cnfStyle w:val="000000000000" w:firstRow="0" w:lastRow="0" w:firstColumn="0" w:lastColumn="0" w:oddVBand="0" w:evenVBand="0" w:oddHBand="0" w:evenHBand="0" w:firstRowFirstColumn="0" w:firstRowLastColumn="0" w:lastRowFirstColumn="0" w:lastRowLastColumn="0"/>
            </w:pPr>
            <w:r>
              <w:t>Maintain the status quo (no change):</w:t>
            </w:r>
          </w:p>
          <w:p w14:paraId="29B1FAD7" w14:textId="77777777" w:rsidR="00F65817" w:rsidRDefault="00F65817" w:rsidP="00467EDD">
            <w:pPr>
              <w:pStyle w:val="ListParagraph"/>
              <w:numPr>
                <w:ilvl w:val="0"/>
                <w:numId w:val="72"/>
              </w:numPr>
              <w:ind w:left="478"/>
              <w:cnfStyle w:val="000000000000" w:firstRow="0" w:lastRow="0" w:firstColumn="0" w:lastColumn="0" w:oddVBand="0" w:evenVBand="0" w:oddHBand="0" w:evenHBand="0" w:firstRowFirstColumn="0" w:firstRowLastColumn="0" w:lastRowFirstColumn="0" w:lastRowLastColumn="0"/>
            </w:pPr>
            <w:r w:rsidRPr="2D37EF5A">
              <w:t xml:space="preserve">Australian consumers with a prescription will continue to be able to </w:t>
            </w:r>
            <w:r>
              <w:t>lawfully</w:t>
            </w:r>
            <w:r w:rsidRPr="2D37EF5A">
              <w:t xml:space="preserve"> access nicotine vapes through pharmacies or by import via the Personal Importation Scheme.</w:t>
            </w:r>
          </w:p>
          <w:p w14:paraId="2BF0E1EC" w14:textId="77777777" w:rsidR="00F65817" w:rsidRDefault="00F65817" w:rsidP="00467EDD">
            <w:pPr>
              <w:pStyle w:val="ListParagraph"/>
              <w:numPr>
                <w:ilvl w:val="0"/>
                <w:numId w:val="72"/>
              </w:numPr>
              <w:ind w:left="478"/>
              <w:cnfStyle w:val="000000000000" w:firstRow="0" w:lastRow="0" w:firstColumn="0" w:lastColumn="0" w:oddVBand="0" w:evenVBand="0" w:oddHBand="0" w:evenHBand="0" w:firstRowFirstColumn="0" w:firstRowLastColumn="0" w:lastRowFirstColumn="0" w:lastRowLastColumn="0"/>
            </w:pPr>
            <w:r>
              <w:t>Some minimum quality standards would apply to nicotine e-liquids.</w:t>
            </w:r>
          </w:p>
          <w:p w14:paraId="5317F014" w14:textId="77777777" w:rsidR="00F65817" w:rsidRPr="00655B62" w:rsidRDefault="00F65817" w:rsidP="00467EDD">
            <w:pPr>
              <w:pStyle w:val="ListParagraph"/>
              <w:numPr>
                <w:ilvl w:val="0"/>
                <w:numId w:val="72"/>
              </w:numPr>
              <w:ind w:left="478"/>
              <w:cnfStyle w:val="000000000000" w:firstRow="0" w:lastRow="0" w:firstColumn="0" w:lastColumn="0" w:oddVBand="0" w:evenVBand="0" w:oddHBand="0" w:evenHBand="0" w:firstRowFirstColumn="0" w:firstRowLastColumn="0" w:lastRowFirstColumn="0" w:lastRowLastColumn="0"/>
              <w:rPr>
                <w:szCs w:val="21"/>
              </w:rPr>
            </w:pPr>
            <w:r w:rsidRPr="366EDE46">
              <w:t>Zero</w:t>
            </w:r>
            <w:r>
              <w:t>-</w:t>
            </w:r>
            <w:r w:rsidRPr="366EDE46">
              <w:t>nicotine vapes would remain widely accessible through domestic and international retailers and quality standards would not generally apply to these products.</w:t>
            </w:r>
          </w:p>
          <w:p w14:paraId="586204D5" w14:textId="77777777" w:rsidR="00F65817" w:rsidRDefault="00F65817" w:rsidP="00467EDD">
            <w:pPr>
              <w:pStyle w:val="ListParagraph"/>
              <w:numPr>
                <w:ilvl w:val="0"/>
                <w:numId w:val="72"/>
              </w:numPr>
              <w:ind w:left="478"/>
              <w:cnfStyle w:val="000000000000" w:firstRow="0" w:lastRow="0" w:firstColumn="0" w:lastColumn="0" w:oddVBand="0" w:evenVBand="0" w:oddHBand="0" w:evenHBand="0" w:firstRowFirstColumn="0" w:firstRowLastColumn="0" w:lastRowFirstColumn="0" w:lastRowLastColumn="0"/>
            </w:pPr>
            <w:r>
              <w:t>Many vaping devices would not be subject to controls under the Therapeutic Goods Act.</w:t>
            </w:r>
          </w:p>
          <w:p w14:paraId="436049DA" w14:textId="77777777" w:rsidR="00F65817" w:rsidRPr="00AB7A52" w:rsidRDefault="00F65817" w:rsidP="00467EDD">
            <w:pPr>
              <w:pStyle w:val="ListParagraph"/>
              <w:numPr>
                <w:ilvl w:val="0"/>
                <w:numId w:val="72"/>
              </w:numPr>
              <w:ind w:left="478"/>
              <w:cnfStyle w:val="000000000000" w:firstRow="0" w:lastRow="0" w:firstColumn="0" w:lastColumn="0" w:oddVBand="0" w:evenVBand="0" w:oddHBand="0" w:evenHBand="0" w:firstRowFirstColumn="0" w:firstRowLastColumn="0" w:lastRowFirstColumn="0" w:lastRowLastColumn="0"/>
            </w:pPr>
            <w:r>
              <w:t>E</w:t>
            </w:r>
            <w:r w:rsidRPr="00BD3F26">
              <w:t>ducation campaigns and targeted tobacco and vape cessation support</w:t>
            </w:r>
            <w:r>
              <w:t>.</w:t>
            </w:r>
          </w:p>
        </w:tc>
      </w:tr>
      <w:tr w:rsidR="00F65817" w14:paraId="2C5B85D2" w14:textId="77777777" w:rsidTr="00D40CCB">
        <w:trPr>
          <w:trHeight w:val="300"/>
        </w:trPr>
        <w:tc>
          <w:tcPr>
            <w:cnfStyle w:val="001000000000" w:firstRow="0" w:lastRow="0" w:firstColumn="1" w:lastColumn="0" w:oddVBand="0" w:evenVBand="0" w:oddHBand="0" w:evenHBand="0" w:firstRowFirstColumn="0" w:firstRowLastColumn="0" w:lastRowFirstColumn="0" w:lastRowLastColumn="0"/>
            <w:tcW w:w="1534" w:type="dxa"/>
          </w:tcPr>
          <w:p w14:paraId="3077A592" w14:textId="77777777" w:rsidR="00F65817" w:rsidRDefault="00F65817" w:rsidP="00D40CCB">
            <w:r>
              <w:t>Option 2</w:t>
            </w:r>
          </w:p>
        </w:tc>
        <w:tc>
          <w:tcPr>
            <w:tcW w:w="7392" w:type="dxa"/>
          </w:tcPr>
          <w:p w14:paraId="7917A6B4" w14:textId="77777777" w:rsidR="00F65817" w:rsidRDefault="00F65817" w:rsidP="00D40CCB">
            <w:pPr>
              <w:cnfStyle w:val="000000000000" w:firstRow="0" w:lastRow="0" w:firstColumn="0" w:lastColumn="0" w:oddVBand="0" w:evenVBand="0" w:oddHBand="0" w:evenHBand="0" w:firstRowFirstColumn="0" w:firstRowLastColumn="0" w:lastRowFirstColumn="0" w:lastRowLastColumn="0"/>
            </w:pPr>
            <w:r w:rsidRPr="007953C1">
              <w:t>Regulat</w:t>
            </w:r>
            <w:r>
              <w:t>e</w:t>
            </w:r>
            <w:r w:rsidRPr="007953C1">
              <w:t xml:space="preserve"> vapes </w:t>
            </w:r>
            <w:r>
              <w:t xml:space="preserve">under a </w:t>
            </w:r>
            <w:r w:rsidRPr="007953C1">
              <w:t>consumer model</w:t>
            </w:r>
            <w:r>
              <w:t>:</w:t>
            </w:r>
          </w:p>
          <w:p w14:paraId="1B635156" w14:textId="77777777" w:rsidR="00F65817" w:rsidRDefault="00F65817" w:rsidP="00467EDD">
            <w:pPr>
              <w:pStyle w:val="ListParagraph"/>
              <w:numPr>
                <w:ilvl w:val="0"/>
                <w:numId w:val="73"/>
              </w:numPr>
              <w:ind w:left="478"/>
              <w:cnfStyle w:val="000000000000" w:firstRow="0" w:lastRow="0" w:firstColumn="0" w:lastColumn="0" w:oddVBand="0" w:evenVBand="0" w:oddHBand="0" w:evenHBand="0" w:firstRowFirstColumn="0" w:firstRowLastColumn="0" w:lastRowFirstColumn="0" w:lastRowLastColumn="0"/>
            </w:pPr>
            <w:r w:rsidRPr="2D37EF5A">
              <w:t>A</w:t>
            </w:r>
            <w:r>
              <w:t>dult</w:t>
            </w:r>
            <w:r w:rsidRPr="2D37EF5A">
              <w:t xml:space="preserve"> consumers </w:t>
            </w:r>
            <w:r>
              <w:t>could access all vapes at retail outlets without a prescription or advice from a health professional.</w:t>
            </w:r>
          </w:p>
          <w:p w14:paraId="4C341327" w14:textId="77777777" w:rsidR="00F65817" w:rsidRPr="00A70F7C" w:rsidRDefault="00F65817" w:rsidP="00467EDD">
            <w:pPr>
              <w:pStyle w:val="ListParagraph"/>
              <w:numPr>
                <w:ilvl w:val="0"/>
                <w:numId w:val="73"/>
              </w:numPr>
              <w:ind w:left="478"/>
              <w:cnfStyle w:val="000000000000" w:firstRow="0" w:lastRow="0" w:firstColumn="0" w:lastColumn="0" w:oddVBand="0" w:evenVBand="0" w:oddHBand="0" w:evenHBand="0" w:firstRowFirstColumn="0" w:firstRowLastColumn="0" w:lastRowFirstColumn="0" w:lastRowLastColumn="0"/>
              <w:rPr>
                <w:rFonts w:eastAsia="Calibri" w:cs="Arial"/>
              </w:rPr>
            </w:pPr>
            <w:r>
              <w:t>Quality standards would be applied.</w:t>
            </w:r>
          </w:p>
          <w:p w14:paraId="04CFA0E1" w14:textId="77777777" w:rsidR="00F65817" w:rsidRPr="00A70F7C" w:rsidRDefault="00F65817" w:rsidP="00467EDD">
            <w:pPr>
              <w:pStyle w:val="ListParagraph"/>
              <w:numPr>
                <w:ilvl w:val="0"/>
                <w:numId w:val="73"/>
              </w:numPr>
              <w:ind w:left="478"/>
              <w:cnfStyle w:val="000000000000" w:firstRow="0" w:lastRow="0" w:firstColumn="0" w:lastColumn="0" w:oddVBand="0" w:evenVBand="0" w:oddHBand="0" w:evenHBand="0" w:firstRowFirstColumn="0" w:firstRowLastColumn="0" w:lastRowFirstColumn="0" w:lastRowLastColumn="0"/>
              <w:rPr>
                <w:rFonts w:eastAsia="Calibri" w:cs="Arial"/>
              </w:rPr>
            </w:pPr>
            <w:r>
              <w:t xml:space="preserve">Retailers would be </w:t>
            </w:r>
            <w:r w:rsidRPr="3633548E">
              <w:t>licensed</w:t>
            </w:r>
            <w:r>
              <w:t xml:space="preserve"> to aid enforcement of regulatory controls.</w:t>
            </w:r>
          </w:p>
        </w:tc>
      </w:tr>
      <w:tr w:rsidR="00F65817" w14:paraId="0B85AF33" w14:textId="77777777" w:rsidTr="00D40CCB">
        <w:trPr>
          <w:trHeight w:val="300"/>
        </w:trPr>
        <w:tc>
          <w:tcPr>
            <w:cnfStyle w:val="001000000000" w:firstRow="0" w:lastRow="0" w:firstColumn="1" w:lastColumn="0" w:oddVBand="0" w:evenVBand="0" w:oddHBand="0" w:evenHBand="0" w:firstRowFirstColumn="0" w:firstRowLastColumn="0" w:lastRowFirstColumn="0" w:lastRowLastColumn="0"/>
            <w:tcW w:w="1534" w:type="dxa"/>
          </w:tcPr>
          <w:p w14:paraId="4E2997F7" w14:textId="77777777" w:rsidR="00F65817" w:rsidRPr="00604716" w:rsidRDefault="00F65817" w:rsidP="00D40CCB">
            <w:r>
              <w:t>Option 3</w:t>
            </w:r>
          </w:p>
        </w:tc>
        <w:tc>
          <w:tcPr>
            <w:tcW w:w="7392" w:type="dxa"/>
          </w:tcPr>
          <w:p w14:paraId="2CB7ADEE" w14:textId="77777777" w:rsidR="00F65817" w:rsidRPr="00427C64" w:rsidRDefault="00F65817" w:rsidP="00D40CCB">
            <w:pPr>
              <w:spacing w:line="257" w:lineRule="auto"/>
              <w:cnfStyle w:val="000000000000" w:firstRow="0" w:lastRow="0" w:firstColumn="0" w:lastColumn="0" w:oddVBand="0" w:evenVBand="0" w:oddHBand="0" w:evenHBand="0" w:firstRowFirstColumn="0" w:firstRowLastColumn="0" w:lastRowFirstColumn="0" w:lastRowLastColumn="0"/>
              <w:rPr>
                <w:szCs w:val="18"/>
              </w:rPr>
            </w:pPr>
            <w:r w:rsidRPr="006277B8">
              <w:rPr>
                <w:rFonts w:eastAsia="Arial" w:cs="Arial"/>
                <w:szCs w:val="18"/>
              </w:rPr>
              <w:t>Increase regulation of vapes through the T</w:t>
            </w:r>
            <w:r>
              <w:rPr>
                <w:rFonts w:eastAsia="Arial" w:cs="Arial"/>
                <w:szCs w:val="18"/>
              </w:rPr>
              <w:t>herapeutic Goods Act and Customs Regulations</w:t>
            </w:r>
            <w:r w:rsidRPr="00427C64">
              <w:rPr>
                <w:rFonts w:eastAsia="Arial" w:cs="Arial"/>
                <w:szCs w:val="18"/>
              </w:rPr>
              <w:t>:</w:t>
            </w:r>
          </w:p>
          <w:p w14:paraId="1D985D14" w14:textId="77777777" w:rsidR="00F65817" w:rsidRPr="00427C64" w:rsidRDefault="00F65817" w:rsidP="00467EDD">
            <w:pPr>
              <w:pStyle w:val="ListParagraph"/>
              <w:numPr>
                <w:ilvl w:val="0"/>
                <w:numId w:val="74"/>
              </w:numPr>
              <w:ind w:left="478"/>
              <w:cnfStyle w:val="000000000000" w:firstRow="0" w:lastRow="0" w:firstColumn="0" w:lastColumn="0" w:oddVBand="0" w:evenVBand="0" w:oddHBand="0" w:evenHBand="0" w:firstRowFirstColumn="0" w:firstRowLastColumn="0" w:lastRowFirstColumn="0" w:lastRowLastColumn="0"/>
            </w:pPr>
            <w:r w:rsidRPr="00427C64">
              <w:t>Restrictions on importation, manufacture and supply of all vapes</w:t>
            </w:r>
            <w:r>
              <w:t>.</w:t>
            </w:r>
          </w:p>
          <w:p w14:paraId="79378508" w14:textId="77777777" w:rsidR="00F65817" w:rsidRPr="00427C64" w:rsidRDefault="00F65817" w:rsidP="00467EDD">
            <w:pPr>
              <w:pStyle w:val="ListParagraph"/>
              <w:numPr>
                <w:ilvl w:val="0"/>
                <w:numId w:val="74"/>
              </w:numPr>
              <w:ind w:left="478"/>
              <w:cnfStyle w:val="000000000000" w:firstRow="0" w:lastRow="0" w:firstColumn="0" w:lastColumn="0" w:oddVBand="0" w:evenVBand="0" w:oddHBand="0" w:evenHBand="0" w:firstRowFirstColumn="0" w:firstRowLastColumn="0" w:lastRowFirstColumn="0" w:lastRowLastColumn="0"/>
            </w:pPr>
            <w:r w:rsidRPr="00427C64">
              <w:t>Changes to market accessibility requirements for therapeutic vapes</w:t>
            </w:r>
            <w:r>
              <w:t>.</w:t>
            </w:r>
          </w:p>
          <w:p w14:paraId="61F769A8" w14:textId="77777777" w:rsidR="00F65817" w:rsidRPr="00427C64" w:rsidRDefault="00F65817" w:rsidP="00467EDD">
            <w:pPr>
              <w:pStyle w:val="ListParagraph"/>
              <w:numPr>
                <w:ilvl w:val="0"/>
                <w:numId w:val="74"/>
              </w:numPr>
              <w:ind w:left="478"/>
              <w:cnfStyle w:val="000000000000" w:firstRow="0" w:lastRow="0" w:firstColumn="0" w:lastColumn="0" w:oddVBand="0" w:evenVBand="0" w:oddHBand="0" w:evenHBand="0" w:firstRowFirstColumn="0" w:firstRowLastColumn="0" w:lastRowFirstColumn="0" w:lastRowLastColumn="0"/>
            </w:pPr>
            <w:r w:rsidRPr="00427C64">
              <w:t>Heighten</w:t>
            </w:r>
            <w:r>
              <w:t>ed</w:t>
            </w:r>
            <w:r w:rsidRPr="00427C64">
              <w:t xml:space="preserve"> quality and safety standards for therapeutic vapes</w:t>
            </w:r>
            <w:r>
              <w:t>, including better regulation of device components.</w:t>
            </w:r>
          </w:p>
          <w:p w14:paraId="6B9D45A5" w14:textId="77777777" w:rsidR="00F65817" w:rsidRPr="00427C64" w:rsidRDefault="00F65817" w:rsidP="00467EDD">
            <w:pPr>
              <w:pStyle w:val="ListParagraph"/>
              <w:numPr>
                <w:ilvl w:val="0"/>
                <w:numId w:val="74"/>
              </w:numPr>
              <w:ind w:left="478"/>
              <w:cnfStyle w:val="000000000000" w:firstRow="0" w:lastRow="0" w:firstColumn="0" w:lastColumn="0" w:oddVBand="0" w:evenVBand="0" w:oddHBand="0" w:evenHBand="0" w:firstRowFirstColumn="0" w:firstRowLastColumn="0" w:lastRowFirstColumn="0" w:lastRowLastColumn="0"/>
            </w:pPr>
            <w:r w:rsidRPr="00427C64">
              <w:t xml:space="preserve">Strengthening </w:t>
            </w:r>
            <w:r>
              <w:t xml:space="preserve">import and </w:t>
            </w:r>
            <w:r w:rsidRPr="00427C64">
              <w:t>domestic compliance and enforcement mechanisms</w:t>
            </w:r>
            <w:r>
              <w:t>.</w:t>
            </w:r>
          </w:p>
        </w:tc>
      </w:tr>
      <w:tr w:rsidR="00F65817" w14:paraId="505A1379" w14:textId="77777777" w:rsidTr="00D40CCB">
        <w:trPr>
          <w:trHeight w:val="300"/>
        </w:trPr>
        <w:tc>
          <w:tcPr>
            <w:cnfStyle w:val="001000000000" w:firstRow="0" w:lastRow="0" w:firstColumn="1" w:lastColumn="0" w:oddVBand="0" w:evenVBand="0" w:oddHBand="0" w:evenHBand="0" w:firstRowFirstColumn="0" w:firstRowLastColumn="0" w:lastRowFirstColumn="0" w:lastRowLastColumn="0"/>
            <w:tcW w:w="1534" w:type="dxa"/>
          </w:tcPr>
          <w:p w14:paraId="229EEC81" w14:textId="77777777" w:rsidR="00F65817" w:rsidRDefault="00F65817" w:rsidP="00D40CCB">
            <w:r>
              <w:t>Option 4</w:t>
            </w:r>
          </w:p>
        </w:tc>
        <w:tc>
          <w:tcPr>
            <w:tcW w:w="7392" w:type="dxa"/>
          </w:tcPr>
          <w:p w14:paraId="45E3D473" w14:textId="77777777" w:rsidR="00F65817" w:rsidRPr="00427C64" w:rsidRDefault="00F65817" w:rsidP="00D40CCB">
            <w:pPr>
              <w:ind w:left="126"/>
              <w:cnfStyle w:val="000000000000" w:firstRow="0" w:lastRow="0" w:firstColumn="0" w:lastColumn="0" w:oddVBand="0" w:evenVBand="0" w:oddHBand="0" w:evenHBand="0" w:firstRowFirstColumn="0" w:firstRowLastColumn="0" w:lastRowFirstColumn="0" w:lastRowLastColumn="0"/>
              <w:rPr>
                <w:rFonts w:eastAsia="Arial" w:cs="Arial"/>
                <w:szCs w:val="18"/>
              </w:rPr>
            </w:pPr>
            <w:r w:rsidRPr="00427C64">
              <w:rPr>
                <w:rFonts w:eastAsia="Arial" w:cs="Arial"/>
                <w:szCs w:val="18"/>
              </w:rPr>
              <w:t>Ban non-therapeutic vapes and requir</w:t>
            </w:r>
            <w:r>
              <w:rPr>
                <w:rFonts w:eastAsia="Arial" w:cs="Arial"/>
                <w:szCs w:val="18"/>
              </w:rPr>
              <w:t>e</w:t>
            </w:r>
            <w:r w:rsidRPr="00427C64">
              <w:rPr>
                <w:rFonts w:eastAsia="Arial" w:cs="Arial"/>
                <w:szCs w:val="18"/>
              </w:rPr>
              <w:t xml:space="preserve"> </w:t>
            </w:r>
            <w:r>
              <w:rPr>
                <w:rFonts w:eastAsia="Arial" w:cs="Arial"/>
                <w:szCs w:val="18"/>
              </w:rPr>
              <w:t xml:space="preserve">therapeutic </w:t>
            </w:r>
            <w:r w:rsidRPr="00427C64">
              <w:rPr>
                <w:rFonts w:eastAsia="Arial" w:cs="Arial"/>
                <w:szCs w:val="18"/>
              </w:rPr>
              <w:t xml:space="preserve">vapes to be registered on the </w:t>
            </w:r>
            <w:r>
              <w:rPr>
                <w:rFonts w:eastAsia="Arial" w:cs="Arial"/>
                <w:szCs w:val="18"/>
              </w:rPr>
              <w:t>Australian Register of Therapeutic Goods</w:t>
            </w:r>
            <w:r w:rsidRPr="00427C64">
              <w:rPr>
                <w:rFonts w:eastAsia="Arial" w:cs="Arial"/>
                <w:szCs w:val="18"/>
              </w:rPr>
              <w:t xml:space="preserve"> and not available as ‘unapproved’ therapeutic goods.</w:t>
            </w:r>
          </w:p>
        </w:tc>
      </w:tr>
    </w:tbl>
    <w:p w14:paraId="42BB7B0F" w14:textId="77777777" w:rsidR="00F65817" w:rsidRPr="00B52584" w:rsidRDefault="00F65817" w:rsidP="00F65817">
      <w:pPr>
        <w:pStyle w:val="Heading3"/>
        <w:spacing w:after="240"/>
      </w:pPr>
      <w:bookmarkStart w:id="93" w:name="_Toc146634912"/>
      <w:bookmarkStart w:id="94" w:name="_Toc147384259"/>
      <w:bookmarkStart w:id="95" w:name="_Toc151040342"/>
      <w:r>
        <w:t>Option 1. Maintain the status quo (no change)</w:t>
      </w:r>
      <w:bookmarkEnd w:id="93"/>
      <w:bookmarkEnd w:id="94"/>
      <w:bookmarkEnd w:id="95"/>
    </w:p>
    <w:p w14:paraId="2D6CCE6F" w14:textId="77777777" w:rsidR="00F65817" w:rsidRDefault="00F65817" w:rsidP="00F65817">
      <w:r>
        <w:rPr>
          <w:noProof/>
          <w:lang w:eastAsia="en-AU"/>
        </w:rPr>
        <w:drawing>
          <wp:inline distT="0" distB="0" distL="0" distR="0" wp14:anchorId="6140C4FF" wp14:editId="0CD25D5B">
            <wp:extent cx="5742940" cy="1000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940" cy="1000125"/>
                    </a:xfrm>
                    <a:prstGeom prst="rect">
                      <a:avLst/>
                    </a:prstGeom>
                    <a:noFill/>
                  </pic:spPr>
                </pic:pic>
              </a:graphicData>
            </a:graphic>
          </wp:inline>
        </w:drawing>
      </w:r>
    </w:p>
    <w:p w14:paraId="423845F3" w14:textId="77777777" w:rsidR="00F65817" w:rsidRPr="0069423C" w:rsidRDefault="00F65817" w:rsidP="00F65817">
      <w:r>
        <w:t>Under the status quo:</w:t>
      </w:r>
    </w:p>
    <w:p w14:paraId="03E05C04" w14:textId="77777777" w:rsidR="00F65817" w:rsidRPr="002F7700" w:rsidRDefault="00F65817" w:rsidP="00D12EFD">
      <w:pPr>
        <w:pStyle w:val="Bullet1"/>
        <w:numPr>
          <w:ilvl w:val="0"/>
          <w:numId w:val="39"/>
        </w:numPr>
      </w:pPr>
      <w:r w:rsidRPr="002F7700">
        <w:lastRenderedPageBreak/>
        <w:t xml:space="preserve">Australian consumers with a prescription would continue to be able to lawfully access nicotine vapes through pharmacies or by import via the Personal Importation Scheme. </w:t>
      </w:r>
    </w:p>
    <w:p w14:paraId="5136A5AC" w14:textId="573ED270" w:rsidR="00F65817" w:rsidRPr="002F7700" w:rsidRDefault="00F65817" w:rsidP="00D12EFD">
      <w:pPr>
        <w:pStyle w:val="Bullet1"/>
        <w:numPr>
          <w:ilvl w:val="0"/>
          <w:numId w:val="39"/>
        </w:numPr>
      </w:pPr>
      <w:r w:rsidRPr="002F7700">
        <w:t>Some minimum quality standards would apply to nicotine e-liquids. These are currently applied by TGO 110.</w:t>
      </w:r>
    </w:p>
    <w:p w14:paraId="387E955F" w14:textId="77777777" w:rsidR="00F65817" w:rsidRPr="002F7700" w:rsidRDefault="00F65817" w:rsidP="00D12EFD">
      <w:pPr>
        <w:pStyle w:val="Bullet1"/>
        <w:numPr>
          <w:ilvl w:val="0"/>
          <w:numId w:val="39"/>
        </w:numPr>
      </w:pPr>
      <w:r w:rsidRPr="002F7700">
        <w:t>Nicotine vapes sold in Australian pharmacies would continue to be supplied as unapproved goods as there are no nicotine vapes currently registered on the ARTG. Companies could apply to register therapeutic vapes.</w:t>
      </w:r>
    </w:p>
    <w:p w14:paraId="6B3527D7" w14:textId="77777777" w:rsidR="00F65817" w:rsidRPr="002F7700" w:rsidRDefault="00F65817" w:rsidP="00D12EFD">
      <w:pPr>
        <w:pStyle w:val="Bullet1"/>
        <w:numPr>
          <w:ilvl w:val="0"/>
          <w:numId w:val="39"/>
        </w:numPr>
      </w:pPr>
      <w:r w:rsidRPr="002F7700">
        <w:t>Many vaping devices would not be subject to controls under the TG Act.</w:t>
      </w:r>
    </w:p>
    <w:p w14:paraId="71464423" w14:textId="77777777" w:rsidR="00F65817" w:rsidRPr="002F7700" w:rsidRDefault="00F65817" w:rsidP="00D12EFD">
      <w:pPr>
        <w:pStyle w:val="Bullet1"/>
        <w:numPr>
          <w:ilvl w:val="0"/>
          <w:numId w:val="39"/>
        </w:numPr>
      </w:pPr>
      <w:r w:rsidRPr="002F7700">
        <w:t xml:space="preserve">Illegal nicotine vapes will continue to be available with limited regulation. As examples, virtually unlimited colours and flavours would continue to be available, and permissible nicotine concentrations would remain at 100 mg/ml. </w:t>
      </w:r>
    </w:p>
    <w:p w14:paraId="2FB0D53F" w14:textId="77777777" w:rsidR="00F65817" w:rsidRPr="002F7700" w:rsidRDefault="00F65817" w:rsidP="00D12EFD">
      <w:pPr>
        <w:pStyle w:val="Bullet1"/>
        <w:numPr>
          <w:ilvl w:val="0"/>
          <w:numId w:val="39"/>
        </w:numPr>
      </w:pPr>
      <w:r w:rsidRPr="002F7700">
        <w:t xml:space="preserve">Zero-nicotine vapes would continue to be sold by thousands of retailers through both physical and online stores. </w:t>
      </w:r>
    </w:p>
    <w:p w14:paraId="2DF1A655" w14:textId="2793CB87" w:rsidR="00F65817" w:rsidRPr="008F0BF1" w:rsidRDefault="00F65817" w:rsidP="00D12EFD">
      <w:pPr>
        <w:pStyle w:val="Bullet1"/>
        <w:numPr>
          <w:ilvl w:val="0"/>
          <w:numId w:val="39"/>
        </w:numPr>
      </w:pPr>
      <w:r w:rsidRPr="008F0BF1">
        <w:t xml:space="preserve">Despite the supply of vapes by retailers to people under 18 being illegal in all Australian states and territories, there would still be high and growing use of nicotine and zero-nicotine </w:t>
      </w:r>
      <w:r w:rsidR="00433B9D">
        <w:t>vapes</w:t>
      </w:r>
      <w:r w:rsidRPr="008F0BF1">
        <w:t xml:space="preserve"> among this cohort. </w:t>
      </w:r>
    </w:p>
    <w:p w14:paraId="2A86D98E" w14:textId="77777777" w:rsidR="00F65817" w:rsidRPr="008F0BF1" w:rsidRDefault="00F65817" w:rsidP="00D12EFD">
      <w:pPr>
        <w:pStyle w:val="Bullet1"/>
        <w:numPr>
          <w:ilvl w:val="0"/>
          <w:numId w:val="39"/>
        </w:numPr>
      </w:pPr>
      <w:r w:rsidRPr="008F0BF1">
        <w:t>At the state and territory level, there will continue to be some regulation of vapes through tobacco laws.</w:t>
      </w:r>
    </w:p>
    <w:p w14:paraId="1254EBCA" w14:textId="74AB5D71" w:rsidR="00F65817" w:rsidRPr="001D30D0" w:rsidRDefault="00F65817" w:rsidP="002F7700">
      <w:pPr>
        <w:spacing w:before="120" w:after="240"/>
      </w:pPr>
      <w:r>
        <w:rPr>
          <w:rFonts w:cs="Arial"/>
        </w:rPr>
        <w:t>T</w:t>
      </w:r>
      <w:r w:rsidRPr="001D30D0">
        <w:rPr>
          <w:rFonts w:cs="Arial"/>
        </w:rPr>
        <w:t xml:space="preserve">he Department of Health and Aged Care and its state and territory counterparts </w:t>
      </w:r>
      <w:r>
        <w:rPr>
          <w:rFonts w:cs="Arial"/>
        </w:rPr>
        <w:t xml:space="preserve">would continue to engage in </w:t>
      </w:r>
      <w:r w:rsidRPr="001D30D0">
        <w:rPr>
          <w:rFonts w:cs="Arial"/>
        </w:rPr>
        <w:t xml:space="preserve">substantial information and education </w:t>
      </w:r>
      <w:r>
        <w:rPr>
          <w:rFonts w:cs="Arial"/>
        </w:rPr>
        <w:t>activities</w:t>
      </w:r>
      <w:r w:rsidRPr="001D30D0">
        <w:rPr>
          <w:rFonts w:cs="Arial"/>
        </w:rPr>
        <w:t xml:space="preserve"> to highlight the dangers of vaping and </w:t>
      </w:r>
      <w:r w:rsidRPr="00632978">
        <w:t>encourage and support individuals to quit. All jurisdictions would continue to undertake and increase enforcement efforts. Under this option</w:t>
      </w:r>
      <w:r w:rsidR="00DD62DF">
        <w:t xml:space="preserve"> –</w:t>
      </w:r>
      <w:r w:rsidRPr="00632978">
        <w:t xml:space="preserve"> and all other options</w:t>
      </w:r>
      <w:r w:rsidR="00DD62DF">
        <w:t xml:space="preserve"> –</w:t>
      </w:r>
      <w:r w:rsidRPr="00632978">
        <w:t xml:space="preserve"> parallel work would continue to be performed</w:t>
      </w:r>
      <w:r w:rsidR="00576ADD">
        <w:t xml:space="preserve"> as follows</w:t>
      </w:r>
      <w:r w:rsidRPr="00632978">
        <w:t>:</w:t>
      </w:r>
    </w:p>
    <w:p w14:paraId="5EE657A2" w14:textId="4D41A82E" w:rsidR="00F65817" w:rsidRPr="008F0BF1" w:rsidRDefault="00576ADD" w:rsidP="00D12EFD">
      <w:pPr>
        <w:pStyle w:val="Bullet1"/>
        <w:numPr>
          <w:ilvl w:val="0"/>
          <w:numId w:val="39"/>
        </w:numPr>
      </w:pPr>
      <w:r>
        <w:t>D</w:t>
      </w:r>
      <w:r w:rsidR="00F65817" w:rsidRPr="008F0BF1">
        <w:t xml:space="preserve">evelopment of targeted cessation support and resources for users of vapes and tobacco products, their support networks, and health professionals. This includes, but is not limited to, establishing an online quit support hub, redeveloping the My Quit Buddy app to include vapes, scaling up state and territory Quitline and other quit services, and updating clinical guidance and training resources to support the health workforce to provide cessation advice and support. </w:t>
      </w:r>
    </w:p>
    <w:p w14:paraId="45BCC4FB" w14:textId="6D2CBCBF" w:rsidR="00F65817" w:rsidRPr="008F0BF1" w:rsidRDefault="00F65817" w:rsidP="00D12EFD">
      <w:pPr>
        <w:pStyle w:val="Bullet1"/>
        <w:numPr>
          <w:ilvl w:val="0"/>
          <w:numId w:val="39"/>
        </w:numPr>
      </w:pPr>
      <w:r w:rsidRPr="008F0BF1">
        <w:t xml:space="preserve">Public health campaigns to denormalise vaping and disrupt and counter the influx of vape advertising and promotional activities. The Commonwealth is developing </w:t>
      </w:r>
      <w:r w:rsidR="00DD62DF">
        <w:t>2</w:t>
      </w:r>
      <w:r w:rsidR="00DD62DF" w:rsidRPr="008F0BF1">
        <w:t xml:space="preserve"> </w:t>
      </w:r>
      <w:r w:rsidRPr="008F0BF1">
        <w:t>campaigns:</w:t>
      </w:r>
    </w:p>
    <w:p w14:paraId="75DDB6EF" w14:textId="27FBE64C" w:rsidR="00F65817" w:rsidRPr="008F0BF1" w:rsidRDefault="00576ADD" w:rsidP="00746795">
      <w:pPr>
        <w:pStyle w:val="Bullet1"/>
        <w:numPr>
          <w:ilvl w:val="1"/>
          <w:numId w:val="39"/>
        </w:numPr>
      </w:pPr>
      <w:r>
        <w:t xml:space="preserve">A </w:t>
      </w:r>
      <w:r w:rsidR="00763240">
        <w:t>n</w:t>
      </w:r>
      <w:r w:rsidR="00F65817" w:rsidRPr="008F0BF1">
        <w:t xml:space="preserve">ational Youth Vaping Education Campaign which will contribute to national efforts in educating </w:t>
      </w:r>
      <w:r w:rsidR="00E10B09">
        <w:t>youth and young adults</w:t>
      </w:r>
      <w:r w:rsidR="00F65817" w:rsidRPr="008F0BF1">
        <w:t>, parents and carers, and the broader community on the harms of vaping</w:t>
      </w:r>
      <w:r w:rsidR="00EA0FC3">
        <w:t>.</w:t>
      </w:r>
      <w:r w:rsidR="00F65817" w:rsidRPr="008F0BF1">
        <w:t xml:space="preserve"> </w:t>
      </w:r>
    </w:p>
    <w:p w14:paraId="55BFE24A" w14:textId="38C31DB9" w:rsidR="00F65817" w:rsidRPr="008F0BF1" w:rsidRDefault="00576ADD" w:rsidP="00746795">
      <w:pPr>
        <w:pStyle w:val="Bullet1"/>
        <w:numPr>
          <w:ilvl w:val="1"/>
          <w:numId w:val="39"/>
        </w:numPr>
      </w:pPr>
      <w:r>
        <w:t>A</w:t>
      </w:r>
      <w:r w:rsidR="00F65817" w:rsidRPr="008F0BF1">
        <w:t xml:space="preserve"> </w:t>
      </w:r>
      <w:r w:rsidR="009F3F02">
        <w:t>n</w:t>
      </w:r>
      <w:r w:rsidR="00F65817" w:rsidRPr="008F0BF1">
        <w:t>ational Tobacco and E-Cigarette Campaign targeted towards adults, with a particular focus on priority and at-risk population groups. A key focus of this campaign will be to drive tobacco and vaping cessation among adults.</w:t>
      </w:r>
    </w:p>
    <w:p w14:paraId="3D590747" w14:textId="77777777" w:rsidR="00F65817" w:rsidRPr="008F0BF1" w:rsidRDefault="00F65817" w:rsidP="00D12EFD">
      <w:pPr>
        <w:pStyle w:val="Bullet1"/>
        <w:numPr>
          <w:ilvl w:val="0"/>
          <w:numId w:val="39"/>
        </w:numPr>
      </w:pPr>
      <w:r w:rsidRPr="008F0BF1">
        <w:t>An extension of the Tackling Indigenous Smoking Program to include vaping, while also maintaining the focus on reducing First Nations smoking prevalence, by funding local organisations to deliver grassroots-led activities to create generational behaviour change and prevent uptake of e-cigarette use.</w:t>
      </w:r>
    </w:p>
    <w:p w14:paraId="1B78F2D5" w14:textId="77777777" w:rsidR="00F65817" w:rsidRPr="008F0BF1" w:rsidRDefault="00F65817" w:rsidP="00D12EFD">
      <w:pPr>
        <w:pStyle w:val="Bullet1"/>
        <w:numPr>
          <w:ilvl w:val="0"/>
          <w:numId w:val="39"/>
        </w:numPr>
      </w:pPr>
      <w:r w:rsidRPr="008F0BF1">
        <w:t>The continuation and heightening of enforcement activities.</w:t>
      </w:r>
    </w:p>
    <w:p w14:paraId="0A088629" w14:textId="77777777" w:rsidR="00F65817" w:rsidRPr="00A609A1" w:rsidRDefault="00F65817" w:rsidP="00D12EFD">
      <w:pPr>
        <w:pStyle w:val="Bullet1"/>
        <w:numPr>
          <w:ilvl w:val="0"/>
          <w:numId w:val="39"/>
        </w:numPr>
      </w:pPr>
      <w:r w:rsidRPr="008F0BF1">
        <w:t>The Public Health (Tobacco and Other Products) Bill 2023, introduced into the House of Representatives on 13 September 2023, which includes prohibition of advertising and promotion of e-cigarettes.</w:t>
      </w:r>
    </w:p>
    <w:p w14:paraId="040F8FE4" w14:textId="77777777" w:rsidR="00F65817" w:rsidRPr="00053D18" w:rsidRDefault="00F65817" w:rsidP="00286395">
      <w:pPr>
        <w:pStyle w:val="Heading4"/>
        <w:rPr>
          <w:b w:val="0"/>
        </w:rPr>
      </w:pPr>
      <w:bookmarkStart w:id="96" w:name="_Toc151040343"/>
      <w:r w:rsidRPr="00053D18">
        <w:t>How does the status quo meet the Government’s objectives</w:t>
      </w:r>
      <w:r>
        <w:rPr>
          <w:b w:val="0"/>
        </w:rPr>
        <w:t>?</w:t>
      </w:r>
      <w:bookmarkEnd w:id="96"/>
    </w:p>
    <w:p w14:paraId="640FCBC2" w14:textId="7FD0BDB6" w:rsidR="00F65817" w:rsidRDefault="00F65817" w:rsidP="00F65817">
      <w:pPr>
        <w:pStyle w:val="Bullet1"/>
      </w:pPr>
      <w:r>
        <w:t>The status quo goes some way to meeting the Government’s objectives</w:t>
      </w:r>
      <w:r w:rsidR="00313D61">
        <w:t xml:space="preserve"> as</w:t>
      </w:r>
      <w:r>
        <w:t>:</w:t>
      </w:r>
    </w:p>
    <w:p w14:paraId="4D08B894" w14:textId="7FDE16FE" w:rsidR="00F65817" w:rsidRPr="008F0BF1" w:rsidRDefault="00AC1079" w:rsidP="00D12EFD">
      <w:pPr>
        <w:pStyle w:val="Bullet1"/>
        <w:numPr>
          <w:ilvl w:val="0"/>
          <w:numId w:val="39"/>
        </w:numPr>
      </w:pPr>
      <w:r>
        <w:lastRenderedPageBreak/>
        <w:t>t</w:t>
      </w:r>
      <w:r w:rsidR="00F65817" w:rsidRPr="008F0BF1">
        <w:t xml:space="preserve">he uptake of vapes by </w:t>
      </w:r>
      <w:r w:rsidR="00C76E98">
        <w:t>youth</w:t>
      </w:r>
      <w:r w:rsidR="00C76E98" w:rsidRPr="008F0BF1">
        <w:t xml:space="preserve"> </w:t>
      </w:r>
      <w:r w:rsidR="00F65817" w:rsidRPr="008F0BF1">
        <w:t>is partially addressed by restrictions on sale of zero-nicotine vapes to minors and the requirement for nicotine vapes to be supplied through pharmacies on prescription</w:t>
      </w:r>
    </w:p>
    <w:p w14:paraId="629DDD35" w14:textId="588EFA23" w:rsidR="00F65817" w:rsidRPr="008F0BF1" w:rsidRDefault="00AC1079" w:rsidP="00D12EFD">
      <w:pPr>
        <w:pStyle w:val="Bullet1"/>
        <w:numPr>
          <w:ilvl w:val="0"/>
          <w:numId w:val="39"/>
        </w:numPr>
      </w:pPr>
      <w:r>
        <w:t>t</w:t>
      </w:r>
      <w:r w:rsidR="00F65817" w:rsidRPr="008F0BF1">
        <w:t xml:space="preserve">he marketing of vapes to </w:t>
      </w:r>
      <w:r w:rsidR="00E10B09">
        <w:t>youth and young adults</w:t>
      </w:r>
      <w:r w:rsidR="00F65817" w:rsidRPr="008F0BF1">
        <w:t xml:space="preserve"> would be countered by advertising restrictions that would come into effect through the </w:t>
      </w:r>
      <w:r w:rsidR="00F65817" w:rsidRPr="00A609A1">
        <w:t>Public Health (Tobacco and Other Products) Bill 2023 assuming it is enacted</w:t>
      </w:r>
    </w:p>
    <w:p w14:paraId="5D3C131E" w14:textId="3C24C640" w:rsidR="00F65817" w:rsidRPr="008F0BF1" w:rsidRDefault="00AC1079" w:rsidP="00D12EFD">
      <w:pPr>
        <w:pStyle w:val="Bullet1"/>
        <w:numPr>
          <w:ilvl w:val="0"/>
          <w:numId w:val="39"/>
        </w:numPr>
      </w:pPr>
      <w:r>
        <w:t>n</w:t>
      </w:r>
      <w:r w:rsidR="00F65817" w:rsidRPr="008F0BF1">
        <w:t>icotine and smoking addiction are addressed through public health campaigns, quit services and by making nicotine vapes available on prescription</w:t>
      </w:r>
    </w:p>
    <w:p w14:paraId="64B65012" w14:textId="69D663A9" w:rsidR="00F65817" w:rsidRPr="008F0BF1" w:rsidRDefault="00AC1079" w:rsidP="00D12EFD">
      <w:pPr>
        <w:pStyle w:val="Bullet1"/>
        <w:numPr>
          <w:ilvl w:val="0"/>
          <w:numId w:val="39"/>
        </w:numPr>
      </w:pPr>
      <w:bookmarkStart w:id="97" w:name="_Hlk147447461"/>
      <w:r>
        <w:t>s</w:t>
      </w:r>
      <w:r w:rsidR="00F65817" w:rsidRPr="008F0BF1">
        <w:t xml:space="preserve">afe-guarding consumer health is facilitated through product standards that apply to nicotine vapes (but not to zero-nicotine vapes or most devices) and the requirement for nicotine vapes to be prescribed. </w:t>
      </w:r>
    </w:p>
    <w:bookmarkEnd w:id="97"/>
    <w:p w14:paraId="412AAB24" w14:textId="33AA9979" w:rsidR="00F65817" w:rsidRDefault="00F65817" w:rsidP="00A609A1">
      <w:r w:rsidRPr="00632978">
        <w:t>While compliance and enforcement could be increased to better meet these objectives, recent compliance and enforcement efforts have demonstrated several deficiencies in the current compliance framework</w:t>
      </w:r>
      <w:r>
        <w:t xml:space="preserve"> for nicotine vapes</w:t>
      </w:r>
      <w:r w:rsidR="009C1B9F">
        <w:t xml:space="preserve">. These </w:t>
      </w:r>
      <w:r w:rsidR="00CC4310">
        <w:t>deficiencies</w:t>
      </w:r>
      <w:r w:rsidR="009C1B9F">
        <w:t xml:space="preserve"> are</w:t>
      </w:r>
      <w:r>
        <w:t>:</w:t>
      </w:r>
    </w:p>
    <w:p w14:paraId="1CF44D6F" w14:textId="21CF9C66" w:rsidR="00F65817" w:rsidRPr="008F0BF1" w:rsidRDefault="00F65817" w:rsidP="00D12EFD">
      <w:pPr>
        <w:pStyle w:val="Bullet1"/>
        <w:numPr>
          <w:ilvl w:val="0"/>
          <w:numId w:val="40"/>
        </w:numPr>
      </w:pPr>
      <w:r w:rsidRPr="00A609A1">
        <w:t>The regulatory distinction between nicotine and zero-nicotine vapes would remain. This regulatory distinction has allowed unscrupulous importers and suppliers to evade regulatory controls by concealing the presence of nicotine in vapes, as demonstrated in TGA-published testing results.</w:t>
      </w:r>
      <w:r w:rsidRPr="00746795">
        <w:rPr>
          <w:vertAlign w:val="superscript"/>
        </w:rPr>
        <w:footnoteReference w:id="84"/>
      </w:r>
      <w:r w:rsidRPr="00A609A1">
        <w:t xml:space="preserve"> The concealment of nicotine in vapes is especially damaging for consumers, including </w:t>
      </w:r>
      <w:r w:rsidR="00320551">
        <w:t>youths</w:t>
      </w:r>
      <w:r w:rsidRPr="00A609A1">
        <w:t>, who are unwittingly becoming addicted to nicotine. It has also significantly undermined the effectiveness of the 2021 reforms because it requires costly testing of vapes to determine whether they can be lawfully supplied. This practice makes enforcement difficult at both national and state and territory levels and reduces public confidence</w:t>
      </w:r>
      <w:r w:rsidRPr="008F0BF1">
        <w:t xml:space="preserve"> that the arrangements are effective and working.</w:t>
      </w:r>
    </w:p>
    <w:p w14:paraId="634B6E7E" w14:textId="4D76044B" w:rsidR="00F65817" w:rsidRPr="00B52572" w:rsidRDefault="00F65817" w:rsidP="00D12EFD">
      <w:pPr>
        <w:pStyle w:val="Bullet1"/>
        <w:numPr>
          <w:ilvl w:val="0"/>
          <w:numId w:val="40"/>
        </w:numPr>
      </w:pPr>
      <w:r w:rsidRPr="00B52572">
        <w:t xml:space="preserve">Under the status quo, nicotine vapes would continue to be able to be imported under the Personal Importation Scheme. Neither the TGA, nor any other government authority, has records on the extent of use of this pathway, although anecdotally the TGA has been advised that personal importation is a source of access to unlawful nicotine vapes for personal use or for unlawful supply. Further, the health risks seeking to be addressed by the TGA’s product standard for nicotine e-liquids (TGO 110) are less likely to be applied to products imported under the Personal Importation Scheme when compared to those obtained from domestic community pharmacies.  </w:t>
      </w:r>
    </w:p>
    <w:p w14:paraId="5FDAC970" w14:textId="77777777" w:rsidR="00F65817" w:rsidRPr="00B52572" w:rsidRDefault="00F65817" w:rsidP="00D12EFD">
      <w:pPr>
        <w:pStyle w:val="Bullet1"/>
        <w:numPr>
          <w:ilvl w:val="0"/>
          <w:numId w:val="40"/>
        </w:numPr>
      </w:pPr>
      <w:r w:rsidRPr="00B52572">
        <w:t xml:space="preserve">The TGA can only undertake compliance activity on nicotine e-liquids once they have been in the market for some time and potential non-compliance has been detected or reported to the TGA. </w:t>
      </w:r>
    </w:p>
    <w:p w14:paraId="676EBC94" w14:textId="77777777" w:rsidR="00F65817" w:rsidRPr="00053D18" w:rsidRDefault="00F65817" w:rsidP="00F65817">
      <w:pPr>
        <w:spacing w:before="120"/>
        <w:rPr>
          <w:rFonts w:eastAsia="Times New Roman" w:cs="Arial"/>
        </w:rPr>
      </w:pPr>
      <w:r>
        <w:rPr>
          <w:rFonts w:eastAsia="Times New Roman" w:cs="Arial"/>
        </w:rPr>
        <w:t>There are also several other deficiencies with the status quo, discussed below in Question 4.</w:t>
      </w:r>
    </w:p>
    <w:p w14:paraId="1E457360" w14:textId="77777777" w:rsidR="00F65817" w:rsidRPr="008852B5" w:rsidRDefault="00F65817" w:rsidP="00286395">
      <w:pPr>
        <w:pStyle w:val="Heading3"/>
        <w:rPr>
          <w:highlight w:val="yellow"/>
        </w:rPr>
      </w:pPr>
      <w:bookmarkStart w:id="98" w:name="_Toc146634914"/>
      <w:bookmarkStart w:id="99" w:name="_Toc147384260"/>
      <w:bookmarkStart w:id="100" w:name="_Toc151040344"/>
      <w:r w:rsidRPr="00277852">
        <w:t>Option 2: Regulat</w:t>
      </w:r>
      <w:r>
        <w:t>e</w:t>
      </w:r>
      <w:r w:rsidRPr="00277852">
        <w:t xml:space="preserve"> vapes </w:t>
      </w:r>
      <w:r>
        <w:t>under</w:t>
      </w:r>
      <w:r w:rsidRPr="00277852">
        <w:t xml:space="preserve"> a consumer </w:t>
      </w:r>
      <w:r w:rsidRPr="00286395">
        <w:t>model</w:t>
      </w:r>
      <w:bookmarkEnd w:id="98"/>
      <w:bookmarkEnd w:id="99"/>
      <w:bookmarkEnd w:id="100"/>
    </w:p>
    <w:p w14:paraId="6967FC25" w14:textId="77777777" w:rsidR="00F65817" w:rsidRDefault="00F65817" w:rsidP="00F65817">
      <w:r>
        <w:rPr>
          <w:noProof/>
          <w:lang w:eastAsia="en-AU"/>
        </w:rPr>
        <w:drawing>
          <wp:inline distT="0" distB="0" distL="0" distR="0" wp14:anchorId="7D54230D" wp14:editId="1FD1B65E">
            <wp:extent cx="5742940" cy="932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5742940" cy="932815"/>
                    </a:xfrm>
                    <a:prstGeom prst="rect">
                      <a:avLst/>
                    </a:prstGeom>
                  </pic:spPr>
                </pic:pic>
              </a:graphicData>
            </a:graphic>
          </wp:inline>
        </w:drawing>
      </w:r>
    </w:p>
    <w:p w14:paraId="55410237" w14:textId="77777777" w:rsidR="00F65817" w:rsidRDefault="00F65817" w:rsidP="00632978">
      <w:r>
        <w:t xml:space="preserve">Option 2 would result in all vapes being available as consumer goods. This Option would result in vapes being available for purchase by consumers from a range of retail outlets, including supermarkets and convenience stores, provided appropriate regulatory requirements are met. There would not be a restriction on the intended use. </w:t>
      </w:r>
    </w:p>
    <w:p w14:paraId="39FECB9A" w14:textId="77777777" w:rsidR="00F65817" w:rsidRPr="009D5D12" w:rsidRDefault="00F65817" w:rsidP="00286395">
      <w:pPr>
        <w:pStyle w:val="Heading4"/>
      </w:pPr>
      <w:bookmarkStart w:id="101" w:name="_Toc151040345"/>
      <w:r>
        <w:lastRenderedPageBreak/>
        <w:t xml:space="preserve">Description of </w:t>
      </w:r>
      <w:r w:rsidRPr="00286395">
        <w:t>option</w:t>
      </w:r>
      <w:bookmarkEnd w:id="101"/>
    </w:p>
    <w:p w14:paraId="7ED5A1B1" w14:textId="77777777" w:rsidR="00F65817" w:rsidRPr="00AB7A52" w:rsidRDefault="00F65817" w:rsidP="00F65817">
      <w:pPr>
        <w:rPr>
          <w:kern w:val="2"/>
          <w14:ligatures w14:val="standardContextual"/>
        </w:rPr>
      </w:pPr>
      <w:r w:rsidRPr="00AB7A52">
        <w:rPr>
          <w:kern w:val="2"/>
          <w14:ligatures w14:val="standardContextual"/>
        </w:rPr>
        <w:t xml:space="preserve">The main regulatory requirements would: </w:t>
      </w:r>
    </w:p>
    <w:p w14:paraId="64A8FFD4" w14:textId="7B6F6F76" w:rsidR="00F65817" w:rsidRPr="00367CCB" w:rsidRDefault="00F65817" w:rsidP="00467EDD">
      <w:pPr>
        <w:pStyle w:val="Bullet1"/>
        <w:numPr>
          <w:ilvl w:val="0"/>
          <w:numId w:val="123"/>
        </w:numPr>
      </w:pPr>
      <w:r w:rsidRPr="00367CCB">
        <w:rPr>
          <w:u w:val="single"/>
        </w:rPr>
        <w:t>Require retailers to be licensed to sell vapes</w:t>
      </w:r>
      <w:r w:rsidRPr="00367CCB">
        <w:t xml:space="preserve">. Licensed vape shops and licensed general retail outlets would be permitted to sell vapes (including nicotine vapes) as consumer goods. A positive licensing system would require retailers to meet regulatory requirements for the supply of vapes, including those preventing sale of vapes to minors and requiring vapes to meet product standards. Non-compliance could be dealt with by including additional conditions in a licence or suspending or revoking a licence. The licensing system would ensure a range of regulatory levers are available to secure compliance with the regulatory controls, in addition to taking formal legal action for breach, such as prosecuting an offence. </w:t>
      </w:r>
    </w:p>
    <w:p w14:paraId="426B6406" w14:textId="2D6A4CB3" w:rsidR="00F65817" w:rsidRPr="00367CCB" w:rsidRDefault="00F65817" w:rsidP="00467EDD">
      <w:pPr>
        <w:pStyle w:val="Bullet1"/>
        <w:numPr>
          <w:ilvl w:val="0"/>
          <w:numId w:val="123"/>
        </w:numPr>
      </w:pPr>
      <w:r w:rsidRPr="00367CCB">
        <w:rPr>
          <w:u w:val="single"/>
        </w:rPr>
        <w:t>Prevent the sale of vapes to under 18s.</w:t>
      </w:r>
      <w:r w:rsidRPr="00367CCB">
        <w:t xml:space="preserve"> Retailers would be required to conduct age verification at the time of sale. This is currently required for the sale of cigarettes and so all retailers would already have processes in place to meet this increase in regulation. Most submitters to the 2 TGA consultations considered that an appropriate age limit would be 18.</w:t>
      </w:r>
    </w:p>
    <w:p w14:paraId="2CE90542" w14:textId="10A94062" w:rsidR="00F65817" w:rsidRPr="00367CCB" w:rsidRDefault="00F65817" w:rsidP="00467EDD">
      <w:pPr>
        <w:pStyle w:val="Bullet1"/>
        <w:numPr>
          <w:ilvl w:val="0"/>
          <w:numId w:val="123"/>
        </w:numPr>
      </w:pPr>
      <w:r w:rsidRPr="00367CCB">
        <w:rPr>
          <w:u w:val="single"/>
        </w:rPr>
        <w:t>Impose quality and safety standards.</w:t>
      </w:r>
      <w:r w:rsidRPr="00367CCB">
        <w:t xml:space="preserve"> To ensure a level of quality and safety of the goods, vapes would need to comply with strict standards. The standards would be similar to those proposed under Option 3 but would not be as limiting in relation to flavours and colours. In both consultations, most people who advocated for this model submitted that a reasonable range of flavours should be available because they are important in encouraging smokers to take up vaping as a smoking cessation tool. Submitters suggested that people will source vapes from the black market or return to or continue smoking unless a reasonable flavour range continued to be available. </w:t>
      </w:r>
    </w:p>
    <w:p w14:paraId="027B8EF8" w14:textId="2ECA4AA1" w:rsidR="00F65817" w:rsidRPr="00367CCB" w:rsidRDefault="00F65817" w:rsidP="00467EDD">
      <w:pPr>
        <w:pStyle w:val="Bullet1"/>
        <w:numPr>
          <w:ilvl w:val="0"/>
          <w:numId w:val="123"/>
        </w:numPr>
      </w:pPr>
      <w:r w:rsidRPr="00367CCB">
        <w:rPr>
          <w:u w:val="single"/>
        </w:rPr>
        <w:t>Require manufacturers to submit pre-market notification</w:t>
      </w:r>
      <w:r w:rsidRPr="00367CCB">
        <w:t xml:space="preserve">. Notification would include </w:t>
      </w:r>
      <w:r w:rsidR="00FF41A8">
        <w:t>certification</w:t>
      </w:r>
      <w:r w:rsidRPr="00367CCB">
        <w:t xml:space="preserve"> that confirms compliance with quality and safety standards and would be required before </w:t>
      </w:r>
      <w:r w:rsidR="00681E41">
        <w:t>supply</w:t>
      </w:r>
      <w:r w:rsidRPr="00367CCB">
        <w:t xml:space="preserve"> is permitted. This would be complemented by post market surveillance and reporting of adverse events. </w:t>
      </w:r>
    </w:p>
    <w:p w14:paraId="59287956" w14:textId="0C776C82" w:rsidR="00F65817" w:rsidRPr="00367CCB" w:rsidRDefault="00F65817" w:rsidP="00467EDD">
      <w:pPr>
        <w:pStyle w:val="Bullet1"/>
        <w:numPr>
          <w:ilvl w:val="0"/>
          <w:numId w:val="123"/>
        </w:numPr>
      </w:pPr>
      <w:r w:rsidRPr="00367CCB">
        <w:rPr>
          <w:u w:val="single"/>
        </w:rPr>
        <w:t>Limit the advertising of vape</w:t>
      </w:r>
      <w:r w:rsidRPr="00972487">
        <w:t>s</w:t>
      </w:r>
      <w:r w:rsidRPr="00367CCB">
        <w:t xml:space="preserve">. This would include restricting advertising of vapes as already proposed in the Public Health (Tobacco and Other Products) Bill 2023. </w:t>
      </w:r>
    </w:p>
    <w:p w14:paraId="00C3CFC2" w14:textId="4E10F023" w:rsidR="00F65817" w:rsidRPr="00651C33" w:rsidRDefault="00F65817" w:rsidP="00F65817">
      <w:r w:rsidRPr="00651C33">
        <w:t xml:space="preserve">Similar consumer models for supply of vapes are in place in other countries, such as in NZ and the UK. </w:t>
      </w:r>
      <w:r w:rsidR="00936406">
        <w:t>The</w:t>
      </w:r>
      <w:r w:rsidR="00911217">
        <w:t>ir consumer models are summarised below.</w:t>
      </w:r>
    </w:p>
    <w:p w14:paraId="73060517" w14:textId="3C818B15" w:rsidR="00F65817" w:rsidRPr="00367CCB" w:rsidRDefault="00F65817" w:rsidP="00281166">
      <w:pPr>
        <w:pStyle w:val="Bullet1"/>
        <w:numPr>
          <w:ilvl w:val="0"/>
          <w:numId w:val="41"/>
        </w:numPr>
        <w:rPr>
          <w:lang w:eastAsia="en-AU"/>
        </w:rPr>
      </w:pPr>
      <w:r w:rsidRPr="00367CCB">
        <w:t>In NZ, legislation regulates sale to minors, advertising and sponsorship restrictions, smokefree and vape</w:t>
      </w:r>
      <w:r w:rsidR="009B1A9C">
        <w:t xml:space="preserve"> </w:t>
      </w:r>
      <w:r w:rsidRPr="00367CCB">
        <w:t>free areas, labelling and packaging, and product safety.</w:t>
      </w:r>
      <w:r w:rsidRPr="00367CCB">
        <w:rPr>
          <w:rStyle w:val="FootnoteReference"/>
        </w:rPr>
        <w:footnoteReference w:id="85"/>
      </w:r>
      <w:r w:rsidRPr="00367CCB">
        <w:t xml:space="preserve"> Further regulation of </w:t>
      </w:r>
      <w:r w:rsidR="00433B9D">
        <w:t>vape</w:t>
      </w:r>
      <w:r w:rsidRPr="00367CCB">
        <w:t xml:space="preserve">s was added in 2023, limiting flavour descriptions, packaging, approval requirements for specialist vape retailers and additional product safety requirements. The new laws require general retailers, as well as specialist vape retailers, to notify the NZ Government that they are selling </w:t>
      </w:r>
      <w:r w:rsidR="00433B9D">
        <w:t>vapes</w:t>
      </w:r>
      <w:r w:rsidRPr="00367CCB">
        <w:t>.</w:t>
      </w:r>
      <w:r w:rsidRPr="00367CCB">
        <w:rPr>
          <w:rStyle w:val="FootnoteReference"/>
        </w:rPr>
        <w:footnoteReference w:id="86"/>
      </w:r>
      <w:r w:rsidRPr="00367CCB">
        <w:t xml:space="preserve"> All </w:t>
      </w:r>
      <w:r w:rsidR="00433B9D">
        <w:t>vape</w:t>
      </w:r>
      <w:r w:rsidRPr="00367CCB">
        <w:t>s must also be notified before they can be sold.</w:t>
      </w:r>
    </w:p>
    <w:p w14:paraId="48FE255D" w14:textId="77777777" w:rsidR="00F65817" w:rsidRPr="00367CCB" w:rsidRDefault="00F65817" w:rsidP="00281166">
      <w:pPr>
        <w:pStyle w:val="Bullet1"/>
        <w:numPr>
          <w:ilvl w:val="0"/>
          <w:numId w:val="41"/>
        </w:numPr>
      </w:pPr>
      <w:r w:rsidRPr="00367CCB">
        <w:t>In the UK, vapes are regulated as both consumer and therapeutic products, but all supply is currently through the consumer market. Vapes are required to comply with a range of minimum safety and quality standards, packaging requirements, and advertising restrictions. Importers and manufacturers must also submit information to the regulator about their products.</w:t>
      </w:r>
    </w:p>
    <w:p w14:paraId="58EC3647" w14:textId="77777777" w:rsidR="00F65817" w:rsidRDefault="00F65817" w:rsidP="00F65817">
      <w:pPr>
        <w:pStyle w:val="Heading4"/>
      </w:pPr>
      <w:bookmarkStart w:id="102" w:name="_Toc151040346"/>
      <w:r>
        <w:lastRenderedPageBreak/>
        <w:t>Change from the status quo</w:t>
      </w:r>
      <w:bookmarkEnd w:id="102"/>
    </w:p>
    <w:p w14:paraId="78EB254B" w14:textId="77777777" w:rsidR="00F65817" w:rsidRDefault="00F65817" w:rsidP="00632978">
      <w:r>
        <w:t>The main changes from the status quo would be:</w:t>
      </w:r>
    </w:p>
    <w:p w14:paraId="7002B6D6" w14:textId="77777777" w:rsidR="00F65817" w:rsidRPr="00367CCB" w:rsidRDefault="00F65817" w:rsidP="00281166">
      <w:pPr>
        <w:pStyle w:val="Bullet1"/>
        <w:numPr>
          <w:ilvl w:val="0"/>
          <w:numId w:val="42"/>
        </w:numPr>
      </w:pPr>
      <w:r w:rsidRPr="00367CCB">
        <w:t xml:space="preserve">Nicotine and other therapeutic vapes would cease to be regulated as therapeutic goods and prescription medicines. This would mean that they could be imported by or supplied to consumers for any purpose and without medical supervision. It would also mean that wholesale licensing restrictions that currently apply to nicotine vape wholesalers would cease. </w:t>
      </w:r>
    </w:p>
    <w:p w14:paraId="332D350A" w14:textId="77777777" w:rsidR="00F65817" w:rsidRPr="00367CCB" w:rsidRDefault="00F65817" w:rsidP="00281166">
      <w:pPr>
        <w:pStyle w:val="Bullet1"/>
        <w:numPr>
          <w:ilvl w:val="0"/>
          <w:numId w:val="42"/>
        </w:numPr>
      </w:pPr>
      <w:r w:rsidRPr="00367CCB">
        <w:t>Product standards would apply to all vapes, not just nicotine vapes and some devices.</w:t>
      </w:r>
    </w:p>
    <w:p w14:paraId="68589FDD" w14:textId="77777777" w:rsidR="00F65817" w:rsidRPr="00367CCB" w:rsidRDefault="00F65817" w:rsidP="00281166">
      <w:pPr>
        <w:pStyle w:val="Bullet1"/>
        <w:numPr>
          <w:ilvl w:val="0"/>
          <w:numId w:val="42"/>
        </w:numPr>
      </w:pPr>
      <w:r w:rsidRPr="00367CCB">
        <w:t>Pre-market processes would need to be observed to introduce vapes to the Australian market.</w:t>
      </w:r>
    </w:p>
    <w:p w14:paraId="2AF9DC52" w14:textId="77777777" w:rsidR="00F65817" w:rsidRPr="00367CCB" w:rsidRDefault="00F65817" w:rsidP="00281166">
      <w:pPr>
        <w:pStyle w:val="Bullet1"/>
        <w:numPr>
          <w:ilvl w:val="0"/>
          <w:numId w:val="42"/>
        </w:numPr>
      </w:pPr>
      <w:r w:rsidRPr="00367CCB">
        <w:t xml:space="preserve">Retail licences would be required in more jurisdictions than they currently are. </w:t>
      </w:r>
    </w:p>
    <w:p w14:paraId="4E85F301" w14:textId="77777777" w:rsidR="00F65817" w:rsidRDefault="00F65817" w:rsidP="00D733F6">
      <w:pPr>
        <w:pStyle w:val="Heading4"/>
        <w:spacing w:before="240"/>
      </w:pPr>
      <w:bookmarkStart w:id="103" w:name="_Toc151040347"/>
      <w:r>
        <w:t xml:space="preserve">How does Option 2 meet the </w:t>
      </w:r>
      <w:r w:rsidRPr="00854BEC">
        <w:t>Government’s</w:t>
      </w:r>
      <w:r>
        <w:t xml:space="preserve"> objectives?</w:t>
      </w:r>
      <w:bookmarkEnd w:id="103"/>
    </w:p>
    <w:p w14:paraId="03C85691" w14:textId="77777777" w:rsidR="00F65817" w:rsidRDefault="00F65817" w:rsidP="00632978">
      <w:r>
        <w:t xml:space="preserve">This option was advocated by some stakeholders during the 2022 and 2023 Consultations, mainly by individual vapers and retailers but also by some medical professionals. The overall view was that the benefits and risks of vapes could be appropriately managed in a consumer model. </w:t>
      </w:r>
    </w:p>
    <w:p w14:paraId="37ADAD0D" w14:textId="21168383" w:rsidR="00F65817" w:rsidRDefault="00F65817" w:rsidP="00632978">
      <w:r>
        <w:t>This model could go some way to addressing the Government’s objectives</w:t>
      </w:r>
      <w:r w:rsidR="000C1FFA">
        <w:t xml:space="preserve"> as</w:t>
      </w:r>
      <w:r>
        <w:t>:</w:t>
      </w:r>
    </w:p>
    <w:p w14:paraId="1CD4A44A" w14:textId="72784DA0" w:rsidR="00F65817" w:rsidRPr="00367CCB" w:rsidRDefault="0080222C" w:rsidP="00281166">
      <w:pPr>
        <w:pStyle w:val="Bullet1"/>
        <w:numPr>
          <w:ilvl w:val="0"/>
          <w:numId w:val="43"/>
        </w:numPr>
      </w:pPr>
      <w:r>
        <w:t>t</w:t>
      </w:r>
      <w:r w:rsidR="00F65817" w:rsidRPr="00367CCB">
        <w:t xml:space="preserve">he uptake of vapes by </w:t>
      </w:r>
      <w:r w:rsidR="00D00ACA">
        <w:t>youth</w:t>
      </w:r>
      <w:r w:rsidR="00D00ACA" w:rsidRPr="00367CCB">
        <w:t xml:space="preserve"> </w:t>
      </w:r>
      <w:r w:rsidR="00F65817" w:rsidRPr="00367CCB">
        <w:t xml:space="preserve">could be addressed by preventing retailers from selling vapes to </w:t>
      </w:r>
      <w:r w:rsidR="00D00ACA">
        <w:t>youth</w:t>
      </w:r>
      <w:r w:rsidR="00D00ACA" w:rsidRPr="00367CCB">
        <w:t xml:space="preserve"> </w:t>
      </w:r>
      <w:r w:rsidR="00F65817" w:rsidRPr="00367CCB">
        <w:t xml:space="preserve">and applying product standards to vapes to reduce some features that are attractive to </w:t>
      </w:r>
      <w:r w:rsidR="00D00ACA">
        <w:t>youth</w:t>
      </w:r>
      <w:r w:rsidR="00F65817" w:rsidRPr="00367CCB">
        <w:t xml:space="preserve">. A range of flavours that also appeal to </w:t>
      </w:r>
      <w:r w:rsidR="00C7774F">
        <w:t>youth</w:t>
      </w:r>
      <w:r w:rsidR="00C7774F" w:rsidRPr="00367CCB">
        <w:t xml:space="preserve"> </w:t>
      </w:r>
      <w:r w:rsidR="00F65817" w:rsidRPr="00367CCB">
        <w:t>would continue to be available, however. This model would not address uptake by young adults.</w:t>
      </w:r>
    </w:p>
    <w:p w14:paraId="24AF792F" w14:textId="1DCBDA83" w:rsidR="00F65817" w:rsidRPr="00367CCB" w:rsidRDefault="0080222C" w:rsidP="00281166">
      <w:pPr>
        <w:pStyle w:val="Bullet1"/>
        <w:numPr>
          <w:ilvl w:val="0"/>
          <w:numId w:val="43"/>
        </w:numPr>
      </w:pPr>
      <w:r>
        <w:t>t</w:t>
      </w:r>
      <w:r w:rsidR="00F65817" w:rsidRPr="00367CCB">
        <w:t xml:space="preserve">he marketing of vapes to </w:t>
      </w:r>
      <w:r w:rsidR="00E10B09">
        <w:t xml:space="preserve">youth and young adults </w:t>
      </w:r>
      <w:r w:rsidR="00F65817" w:rsidRPr="00367CCB">
        <w:t xml:space="preserve">could be counteracted by introducing specific provisions limiting advertising of vapes, and by applying products standards to limit packaging appealing to </w:t>
      </w:r>
      <w:r w:rsidR="00C7774F">
        <w:t>youth</w:t>
      </w:r>
      <w:r w:rsidR="00C7774F" w:rsidRPr="00367CCB">
        <w:t xml:space="preserve"> </w:t>
      </w:r>
      <w:r w:rsidR="00F65817" w:rsidRPr="00367CCB">
        <w:t xml:space="preserve">and limit the flavours most appealing to </w:t>
      </w:r>
      <w:r w:rsidR="00C7774F">
        <w:t>youth</w:t>
      </w:r>
      <w:r w:rsidR="00F65817" w:rsidRPr="00367CCB">
        <w:t>.</w:t>
      </w:r>
    </w:p>
    <w:p w14:paraId="7AC8D2CB" w14:textId="41B21891" w:rsidR="00F65817" w:rsidRPr="00367CCB" w:rsidRDefault="0080222C" w:rsidP="00281166">
      <w:pPr>
        <w:pStyle w:val="Bullet1"/>
        <w:numPr>
          <w:ilvl w:val="0"/>
          <w:numId w:val="43"/>
        </w:numPr>
      </w:pPr>
      <w:r>
        <w:t>n</w:t>
      </w:r>
      <w:r w:rsidR="00F65817" w:rsidRPr="00367CCB">
        <w:t xml:space="preserve">icotine and smoking addiction could be addressed through public health campaigns and quit services, and by making vapes freely available for smoking cessation. Even though vapes would be widely available, quit services and education campaigns about the risks and appropriate use of vapes would mitigate the risk of </w:t>
      </w:r>
      <w:r w:rsidR="003A4FA8">
        <w:rPr>
          <w:rFonts w:eastAsiaTheme="minorEastAsia"/>
        </w:rPr>
        <w:t>non-therapeutic</w:t>
      </w:r>
      <w:r w:rsidR="00F65817" w:rsidRPr="00367CCB">
        <w:t xml:space="preserve"> use of vapes and consequent nicotine addiction. They would also provide adults with information about how to effectively use vapes for smoking cessation. </w:t>
      </w:r>
    </w:p>
    <w:p w14:paraId="054BA3F8" w14:textId="47C9B7CD" w:rsidR="00F65817" w:rsidRPr="00367CCB" w:rsidRDefault="0080222C" w:rsidP="00281166">
      <w:pPr>
        <w:pStyle w:val="Bullet1"/>
        <w:numPr>
          <w:ilvl w:val="0"/>
          <w:numId w:val="43"/>
        </w:numPr>
      </w:pPr>
      <w:r>
        <w:t>p</w:t>
      </w:r>
      <w:r w:rsidR="00F65817" w:rsidRPr="00367CCB">
        <w:t xml:space="preserve">roduct standards would safeguard consumer health.  </w:t>
      </w:r>
    </w:p>
    <w:p w14:paraId="41DE1C10" w14:textId="77777777" w:rsidR="00F65817" w:rsidRDefault="00F65817" w:rsidP="00D733F6">
      <w:pPr>
        <w:spacing w:before="120"/>
      </w:pPr>
      <w:r>
        <w:t>However, it would not fully address the objectives for a number of reasons as discussed further in Question 4.</w:t>
      </w:r>
    </w:p>
    <w:p w14:paraId="00E769C8" w14:textId="77777777" w:rsidR="00F65817" w:rsidRPr="0068632D" w:rsidRDefault="00F65817" w:rsidP="00FC05F3">
      <w:pPr>
        <w:pStyle w:val="Heading3"/>
        <w:spacing w:before="120"/>
        <w:rPr>
          <w:highlight w:val="yellow"/>
        </w:rPr>
      </w:pPr>
      <w:bookmarkStart w:id="104" w:name="_Toc146634915"/>
      <w:bookmarkStart w:id="105" w:name="_Toc147384261"/>
      <w:bookmarkStart w:id="106" w:name="_Toc151040348"/>
      <w:r w:rsidRPr="00AB7A52">
        <w:lastRenderedPageBreak/>
        <w:t xml:space="preserve">Option </w:t>
      </w:r>
      <w:r>
        <w:t>3</w:t>
      </w:r>
      <w:r w:rsidRPr="00AB7A52">
        <w:t xml:space="preserve">: </w:t>
      </w:r>
      <w:r w:rsidRPr="006277B8">
        <w:t xml:space="preserve">Increase regulation of vapes through the Therapeutic Goods </w:t>
      </w:r>
      <w:r>
        <w:t>Act</w:t>
      </w:r>
      <w:bookmarkEnd w:id="104"/>
      <w:bookmarkEnd w:id="105"/>
      <w:bookmarkEnd w:id="106"/>
    </w:p>
    <w:p w14:paraId="48D1DA93" w14:textId="77777777" w:rsidR="00F65817" w:rsidRDefault="00F65817" w:rsidP="00CE1DE4">
      <w:pPr>
        <w:keepNext/>
        <w:keepLines/>
      </w:pPr>
      <w:r>
        <w:rPr>
          <w:noProof/>
          <w:lang w:eastAsia="en-AU"/>
        </w:rPr>
        <w:drawing>
          <wp:inline distT="0" distB="0" distL="0" distR="0" wp14:anchorId="4B4DE560" wp14:editId="6A5370DC">
            <wp:extent cx="5731510" cy="2151875"/>
            <wp:effectExtent l="0" t="0" r="21590" b="2032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5BB06BB" w14:textId="34274F26" w:rsidR="00F65817" w:rsidRDefault="00F65817" w:rsidP="00CE1DE4">
      <w:pPr>
        <w:keepNext/>
        <w:keepLines/>
      </w:pPr>
      <w:r w:rsidRPr="00FF24FC">
        <w:t>This option would strengthen the regulatory amendments made as part of the 2021 reforms to tightly restric</w:t>
      </w:r>
      <w:r>
        <w:t xml:space="preserve">t imports and </w:t>
      </w:r>
      <w:r w:rsidRPr="00FF24FC">
        <w:t xml:space="preserve">sales of nicotine and </w:t>
      </w:r>
      <w:r>
        <w:t>zero</w:t>
      </w:r>
      <w:r w:rsidRPr="00FF24FC">
        <w:t xml:space="preserve">-nicotine </w:t>
      </w:r>
      <w:r>
        <w:t>vapes</w:t>
      </w:r>
      <w:r w:rsidRPr="00FF24FC">
        <w:t xml:space="preserve">. </w:t>
      </w:r>
      <w:r>
        <w:t>Under this option, vapes would be prohibited unless they are therapeutic vapes that meet TG Act requirements. The TG Act requirements for therapeutic vapes would be strengthened, as would compliance powers. Access to therapeutic vapes, depicted in Figure 5 below, would be facilitated by allowing all doctors to prescribe therapeutic vapes for smoking cessation or to treat nicotine addiction without needing to apply to the TGA for approval.</w:t>
      </w:r>
    </w:p>
    <w:p w14:paraId="62FE0441" w14:textId="77777777" w:rsidR="00F65817" w:rsidRPr="00821925" w:rsidRDefault="00F65817" w:rsidP="00821925">
      <w:pPr>
        <w:pStyle w:val="Caption"/>
      </w:pPr>
      <w:bookmarkStart w:id="107" w:name="_Toc145602897"/>
      <w:bookmarkStart w:id="108" w:name="_Toc145668054"/>
      <w:bookmarkStart w:id="109" w:name="_Toc145602898"/>
      <w:bookmarkStart w:id="110" w:name="_Toc145668055"/>
      <w:bookmarkStart w:id="111" w:name="_Toc145602899"/>
      <w:bookmarkStart w:id="112" w:name="_Toc145668056"/>
      <w:bookmarkStart w:id="113" w:name="_Toc145602900"/>
      <w:bookmarkStart w:id="114" w:name="_Toc145668057"/>
      <w:bookmarkStart w:id="115" w:name="_Toc145602901"/>
      <w:bookmarkStart w:id="116" w:name="_Toc145668058"/>
      <w:bookmarkStart w:id="117" w:name="_Toc145602902"/>
      <w:bookmarkStart w:id="118" w:name="_Toc145668059"/>
      <w:bookmarkStart w:id="119" w:name="_Toc145602904"/>
      <w:bookmarkStart w:id="120" w:name="_Toc145668061"/>
      <w:bookmarkStart w:id="121" w:name="_Toc145602905"/>
      <w:bookmarkStart w:id="122" w:name="_Toc145668062"/>
      <w:bookmarkStart w:id="123" w:name="_Toc145602906"/>
      <w:bookmarkStart w:id="124" w:name="_Toc145668063"/>
      <w:bookmarkStart w:id="125" w:name="_Toc145602908"/>
      <w:bookmarkStart w:id="126" w:name="_Toc145668065"/>
      <w:bookmarkStart w:id="127" w:name="_Toc145602909"/>
      <w:bookmarkStart w:id="128" w:name="_Toc145668066"/>
      <w:bookmarkStart w:id="129" w:name="_Toc145602910"/>
      <w:bookmarkStart w:id="130" w:name="_Toc145668067"/>
      <w:bookmarkStart w:id="131" w:name="_Toc145602912"/>
      <w:bookmarkStart w:id="132" w:name="_Toc145668069"/>
      <w:bookmarkStart w:id="133" w:name="_Toc145602913"/>
      <w:bookmarkStart w:id="134" w:name="_Toc145668070"/>
      <w:bookmarkStart w:id="135" w:name="_Toc145602914"/>
      <w:bookmarkStart w:id="136" w:name="_Toc145668071"/>
      <w:bookmarkStart w:id="137" w:name="_Toc145602916"/>
      <w:bookmarkStart w:id="138" w:name="_Toc145668073"/>
      <w:bookmarkStart w:id="139" w:name="_Toc145602917"/>
      <w:bookmarkStart w:id="140" w:name="_Toc145668074"/>
      <w:bookmarkStart w:id="141" w:name="_Toc145602918"/>
      <w:bookmarkStart w:id="142" w:name="_Toc145668075"/>
      <w:bookmarkStart w:id="143" w:name="_Toc145602920"/>
      <w:bookmarkStart w:id="144" w:name="_Toc145668077"/>
      <w:bookmarkStart w:id="145" w:name="_Toc145602921"/>
      <w:bookmarkStart w:id="146" w:name="_Toc145668078"/>
      <w:bookmarkStart w:id="147" w:name="_Toc145602922"/>
      <w:bookmarkStart w:id="148" w:name="_Toc145668079"/>
      <w:bookmarkStart w:id="149" w:name="_Toc145602923"/>
      <w:bookmarkStart w:id="150" w:name="_Toc145668080"/>
      <w:bookmarkStart w:id="151" w:name="_Toc146634916"/>
      <w:bookmarkStart w:id="152" w:name="_Toc146635579"/>
      <w:bookmarkStart w:id="153" w:name="_Toc146636180"/>
      <w:bookmarkStart w:id="154" w:name="_Toc14775979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821925">
        <w:t xml:space="preserve">Figure 5. Access to vapes under Option </w:t>
      </w:r>
      <w:bookmarkEnd w:id="151"/>
      <w:bookmarkEnd w:id="152"/>
      <w:bookmarkEnd w:id="153"/>
      <w:r w:rsidRPr="00821925">
        <w:t>3</w:t>
      </w:r>
      <w:bookmarkEnd w:id="154"/>
      <w:r w:rsidRPr="00821925">
        <w:t xml:space="preserve"> </w:t>
      </w:r>
    </w:p>
    <w:p w14:paraId="45F62707" w14:textId="77777777" w:rsidR="00F65817" w:rsidRDefault="00F65817" w:rsidP="00F65817">
      <w:r>
        <w:rPr>
          <w:noProof/>
          <w:lang w:eastAsia="en-AU"/>
        </w:rPr>
        <w:drawing>
          <wp:inline distT="0" distB="0" distL="0" distR="0" wp14:anchorId="7E2020C7" wp14:editId="4EB5E910">
            <wp:extent cx="5731510" cy="32778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277870"/>
                    </a:xfrm>
                    <a:prstGeom prst="rect">
                      <a:avLst/>
                    </a:prstGeom>
                  </pic:spPr>
                </pic:pic>
              </a:graphicData>
            </a:graphic>
          </wp:inline>
        </w:drawing>
      </w:r>
    </w:p>
    <w:p w14:paraId="0F440339" w14:textId="77777777" w:rsidR="00F65817" w:rsidRDefault="00F65817" w:rsidP="00F65817">
      <w:r w:rsidRPr="00632978">
        <w:t>For importation of therapeutic reusable vapes to occur, the importer would need to have either registered the product on the ARTG or notified the TGA that the vape complies with TGO 110. Once the TGA has accepted the TGO 110 compliance notification, the Office of Drug Control may issue a customs licence and permit to the sponsor. Once a licence and permit has been received by ABF, the product could cross the Australian border and be supplied directly to pharmacies, or through wholesalers who may need to also hold state or territory</w:t>
      </w:r>
      <w:r>
        <w:t xml:space="preserve"> licences.</w:t>
      </w:r>
    </w:p>
    <w:p w14:paraId="3F3C66B7" w14:textId="77777777" w:rsidR="00F65817" w:rsidRDefault="00F65817" w:rsidP="00632978">
      <w:r>
        <w:lastRenderedPageBreak/>
        <w:t>Therapeutic reusable vapes could also be manufactured in Australia. Domestic manufacturers would need to comply with manufacturing controls under the TG Act. To manufacture therapeutic e-liquids, a manufacturing licence, or a relevant exemption, would be required. A manufacturer or sponsor would also need to have registered the product on the ARTG or notified the TGA that the therapeutic reusable vape complies with TGO 110. The vapes could then be supplied directly to pharmacies, or through wholesalers who may need to also hold state or territory licences.</w:t>
      </w:r>
    </w:p>
    <w:p w14:paraId="0B3D5F7D" w14:textId="17FDDB98" w:rsidR="00F65817" w:rsidRPr="00113437" w:rsidRDefault="00F65817" w:rsidP="00632978">
      <w:r>
        <w:t>Figure 6</w:t>
      </w:r>
      <w:r w:rsidRPr="00113437">
        <w:t xml:space="preserve"> outlines the steps </w:t>
      </w:r>
      <w:r>
        <w:t xml:space="preserve">described that are </w:t>
      </w:r>
      <w:r w:rsidRPr="00113437">
        <w:t xml:space="preserve">required to import </w:t>
      </w:r>
      <w:r w:rsidR="00433B9D">
        <w:t>vape</w:t>
      </w:r>
      <w:r w:rsidRPr="00113437">
        <w:t>s and for patients to gain access under this option</w:t>
      </w:r>
      <w:r>
        <w:t>.</w:t>
      </w:r>
    </w:p>
    <w:p w14:paraId="4C84EC31" w14:textId="06493B1F" w:rsidR="00F65817" w:rsidRDefault="00F65817" w:rsidP="00734FAB">
      <w:pPr>
        <w:pStyle w:val="Caption"/>
        <w:keepNext/>
        <w:keepLines/>
        <w:rPr>
          <w:i w:val="0"/>
        </w:rPr>
      </w:pPr>
      <w:bookmarkStart w:id="155" w:name="_Toc147759796"/>
      <w:r w:rsidRPr="00113437">
        <w:t xml:space="preserve">Figure </w:t>
      </w:r>
      <w:r>
        <w:t>6</w:t>
      </w:r>
      <w:r w:rsidRPr="00113437">
        <w:t xml:space="preserve">. </w:t>
      </w:r>
      <w:r w:rsidRPr="00113437">
        <w:rPr>
          <w:i w:val="0"/>
        </w:rPr>
        <w:t xml:space="preserve">Proposed lawful </w:t>
      </w:r>
      <w:r w:rsidR="00433B9D">
        <w:rPr>
          <w:i w:val="0"/>
        </w:rPr>
        <w:t>vape</w:t>
      </w:r>
      <w:r w:rsidRPr="00AB7A52">
        <w:rPr>
          <w:i w:val="0"/>
        </w:rPr>
        <w:t xml:space="preserve"> supply chain</w:t>
      </w:r>
      <w:bookmarkEnd w:id="155"/>
    </w:p>
    <w:p w14:paraId="3355D558" w14:textId="6096021A" w:rsidR="00816501" w:rsidRPr="00816501" w:rsidRDefault="00C81B06" w:rsidP="00734FAB">
      <w:pPr>
        <w:keepNext/>
        <w:keepLines/>
      </w:pPr>
      <w:r>
        <w:rPr>
          <w:noProof/>
          <w:lang w:eastAsia="en-AU"/>
        </w:rPr>
        <w:drawing>
          <wp:inline distT="0" distB="0" distL="0" distR="0" wp14:anchorId="75DB7B3B" wp14:editId="0AF1E8B8">
            <wp:extent cx="3495721" cy="38739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68332" cy="3954459"/>
                    </a:xfrm>
                    <a:prstGeom prst="rect">
                      <a:avLst/>
                    </a:prstGeom>
                  </pic:spPr>
                </pic:pic>
              </a:graphicData>
            </a:graphic>
          </wp:inline>
        </w:drawing>
      </w:r>
    </w:p>
    <w:p w14:paraId="78A706C4" w14:textId="77777777" w:rsidR="00070A22" w:rsidRPr="00816501" w:rsidRDefault="00070A22" w:rsidP="00070A22"/>
    <w:p w14:paraId="39307DA0" w14:textId="77777777" w:rsidR="00F65817" w:rsidRDefault="00F65817" w:rsidP="00F65817">
      <w:pPr>
        <w:pStyle w:val="Heading4"/>
      </w:pPr>
      <w:bookmarkStart w:id="156" w:name="_Toc147384262"/>
      <w:bookmarkStart w:id="157" w:name="_Toc151040349"/>
      <w:r w:rsidRPr="004B15F2">
        <w:t xml:space="preserve">Measure </w:t>
      </w:r>
      <w:r>
        <w:t xml:space="preserve">1. </w:t>
      </w:r>
      <w:r w:rsidRPr="004B15F2">
        <w:t>Restrictions on importation, manufacture and supply of all vapes</w:t>
      </w:r>
      <w:bookmarkEnd w:id="156"/>
      <w:bookmarkEnd w:id="157"/>
      <w:r w:rsidRPr="004B15F2">
        <w:t xml:space="preserve"> </w:t>
      </w:r>
    </w:p>
    <w:p w14:paraId="14502DFB" w14:textId="77777777" w:rsidR="00F65817" w:rsidRDefault="00F65817" w:rsidP="00F65817">
      <w:r>
        <w:rPr>
          <w:noProof/>
          <w:lang w:eastAsia="en-AU"/>
        </w:rPr>
        <w:drawing>
          <wp:inline distT="0" distB="0" distL="0" distR="0" wp14:anchorId="18DEF62C" wp14:editId="3C96A9FC">
            <wp:extent cx="5731510" cy="2152650"/>
            <wp:effectExtent l="0" t="0" r="2159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300BB44" w14:textId="77777777" w:rsidR="00F65817" w:rsidRPr="00BB1AFE" w:rsidRDefault="00F65817" w:rsidP="00734FAB">
      <w:pPr>
        <w:pStyle w:val="Heading5"/>
      </w:pPr>
      <w:bookmarkStart w:id="158" w:name="_Toc145668081"/>
      <w:r>
        <w:lastRenderedPageBreak/>
        <w:t xml:space="preserve">Measure 1(a). Limit the importation, </w:t>
      </w:r>
      <w:r w:rsidRPr="00734FAB">
        <w:t>manufacture</w:t>
      </w:r>
      <w:r>
        <w:t xml:space="preserve"> and supply of all disposable vapes</w:t>
      </w:r>
      <w:bookmarkEnd w:id="158"/>
    </w:p>
    <w:p w14:paraId="2E1D0BAD" w14:textId="77777777" w:rsidR="00F65817" w:rsidRDefault="00F65817" w:rsidP="00632978">
      <w:r w:rsidRPr="002048C6">
        <w:t xml:space="preserve">This </w:t>
      </w:r>
      <w:r>
        <w:t>measure</w:t>
      </w:r>
      <w:r w:rsidRPr="002048C6">
        <w:t xml:space="preserve"> would ban</w:t>
      </w:r>
      <w:r>
        <w:t xml:space="preserve"> the importation, manufacture or supply of </w:t>
      </w:r>
      <w:r w:rsidRPr="002048C6">
        <w:t>all disposable (closed system) vapes</w:t>
      </w:r>
      <w:r>
        <w:t>. This would be</w:t>
      </w:r>
      <w:r w:rsidRPr="002048C6">
        <w:t xml:space="preserve"> irrespective of nicotine content or therapeutic claims, with minor exceptions, </w:t>
      </w:r>
      <w:r>
        <w:t>such as</w:t>
      </w:r>
      <w:r w:rsidRPr="002048C6">
        <w:t xml:space="preserve"> for clinical trials and scientific research. </w:t>
      </w:r>
    </w:p>
    <w:p w14:paraId="2B55BBDF" w14:textId="7064B75C" w:rsidR="00F65817" w:rsidRDefault="00F65817" w:rsidP="00632978">
      <w:r w:rsidRPr="007D28C4">
        <w:t xml:space="preserve">This approach was supported by most respondents to the 2022 consultation on the basis that disposable vapes are preferred by </w:t>
      </w:r>
      <w:r w:rsidR="00F83203">
        <w:t>youth</w:t>
      </w:r>
      <w:r>
        <w:t xml:space="preserve">, </w:t>
      </w:r>
      <w:r w:rsidRPr="007D28C4">
        <w:t>due to their low cost and ease of concealment from parents and teachers</w:t>
      </w:r>
      <w:r>
        <w:t>, and because of the environmental impact of disposable vapes</w:t>
      </w:r>
      <w:r w:rsidRPr="007D28C4">
        <w:t xml:space="preserve">. </w:t>
      </w:r>
    </w:p>
    <w:p w14:paraId="1315338E" w14:textId="0C7019F6" w:rsidR="00F65817" w:rsidRDefault="00F65817" w:rsidP="00632978">
      <w:r>
        <w:t>This measure alone, with effective enforcement, could go a long way to achieve the Government objectives of arresting the uptake of vapes and preventing nicotine addiction and risk of future tobacco use. It would also partially address the problems of ease of access and attractiveness to youth.</w:t>
      </w:r>
    </w:p>
    <w:p w14:paraId="2F678463" w14:textId="77777777" w:rsidR="00F65817" w:rsidRDefault="00F65817" w:rsidP="00632978">
      <w:r w:rsidRPr="007D28C4">
        <w:t xml:space="preserve">It </w:t>
      </w:r>
      <w:r>
        <w:t xml:space="preserve">would also address the environmental risks associated with </w:t>
      </w:r>
      <w:r w:rsidRPr="007D28C4">
        <w:t>disposable vapes</w:t>
      </w:r>
      <w:r>
        <w:t xml:space="preserve">, which </w:t>
      </w:r>
      <w:r w:rsidRPr="007D28C4">
        <w:t>are made predominantly of plastic and contain batteries that end up in landfill</w:t>
      </w:r>
      <w:r>
        <w:t>, requiring specialist disposal services.</w:t>
      </w:r>
    </w:p>
    <w:p w14:paraId="314E8D7A" w14:textId="77777777" w:rsidR="00F65817" w:rsidRDefault="00F65817" w:rsidP="00F65817">
      <w:pPr>
        <w:pStyle w:val="Heading5"/>
      </w:pPr>
      <w:r>
        <w:t>Measure 1(b). Limit the importation, manufacture and supply of all other vapes</w:t>
      </w:r>
    </w:p>
    <w:p w14:paraId="2D964E0C" w14:textId="77777777" w:rsidR="00F65817" w:rsidRPr="00E4333F" w:rsidRDefault="00F65817" w:rsidP="002929EA">
      <w:r w:rsidRPr="00E4333F">
        <w:t xml:space="preserve">This </w:t>
      </w:r>
      <w:r>
        <w:t>measure</w:t>
      </w:r>
      <w:r w:rsidRPr="00E4333F">
        <w:t xml:space="preserve"> would include a prohibition on</w:t>
      </w:r>
      <w:r w:rsidRPr="00765020">
        <w:t xml:space="preserve"> the importation, manufacture and supply of all other vapes, except therapeutic vapes that comply with regulatory controls under the TG Act</w:t>
      </w:r>
      <w:r>
        <w:t xml:space="preserve">, including with </w:t>
      </w:r>
      <w:r w:rsidRPr="00765020">
        <w:t>licensing and notification requirements.</w:t>
      </w:r>
      <w:r>
        <w:t xml:space="preserve"> </w:t>
      </w:r>
      <w:r w:rsidRPr="00765020">
        <w:t>Th</w:t>
      </w:r>
      <w:r w:rsidRPr="00E4333F">
        <w:t xml:space="preserve">is option seeks to </w:t>
      </w:r>
      <w:r w:rsidRPr="00765020">
        <w:t>significantly restrict the importation, manufacture and supply of vapes in Australia to legitimate the</w:t>
      </w:r>
      <w:r>
        <w:t>r</w:t>
      </w:r>
      <w:r w:rsidRPr="00765020">
        <w:t xml:space="preserve">apeutic vapes, as illustrated </w:t>
      </w:r>
      <w:r w:rsidRPr="00655B62">
        <w:t xml:space="preserve">in Figure </w:t>
      </w:r>
      <w:r>
        <w:t>5 above</w:t>
      </w:r>
      <w:r w:rsidRPr="00655B62">
        <w:t>.</w:t>
      </w:r>
    </w:p>
    <w:p w14:paraId="7A3CFC32" w14:textId="3F2D1AE5" w:rsidR="00F65817" w:rsidRPr="009A0A30" w:rsidRDefault="00F65817" w:rsidP="002929EA">
      <w:r w:rsidRPr="009A0A30">
        <w:t xml:space="preserve">Under this </w:t>
      </w:r>
      <w:r w:rsidRPr="00E4333F">
        <w:t>option</w:t>
      </w:r>
      <w:r w:rsidRPr="009A0A30">
        <w:t xml:space="preserve">, the importation of all vapes would be prohibited under </w:t>
      </w:r>
      <w:r w:rsidRPr="0041396A">
        <w:t xml:space="preserve">the </w:t>
      </w:r>
      <w:r w:rsidRPr="00972487">
        <w:rPr>
          <w:i/>
        </w:rPr>
        <w:t>Customs (Prohibited Imports) Regulations 1956</w:t>
      </w:r>
      <w:r w:rsidR="00622635">
        <w:t xml:space="preserve"> (Customs Regulations)</w:t>
      </w:r>
      <w:r>
        <w:t>,</w:t>
      </w:r>
      <w:r w:rsidRPr="009A0A30">
        <w:t xml:space="preserve"> unless a licence and permit are issued by the Office of Drug Control (ODC). </w:t>
      </w:r>
      <w:r>
        <w:t>Obtaining a</w:t>
      </w:r>
      <w:r w:rsidRPr="009A0A30">
        <w:t xml:space="preserve"> licence would require the importer to demonstrate fitness and propriety. A permit would only be granted in relation to vapes that comply with TG Act requirements. The domestic manufacture and supply of </w:t>
      </w:r>
      <w:r w:rsidR="00CF07ED">
        <w:t>non-therapeutic</w:t>
      </w:r>
      <w:r w:rsidR="00CF07ED" w:rsidRPr="009A0A30">
        <w:t xml:space="preserve"> </w:t>
      </w:r>
      <w:r w:rsidRPr="009A0A30">
        <w:t xml:space="preserve">vapes would be prohibited under the TG Act. </w:t>
      </w:r>
    </w:p>
    <w:p w14:paraId="10A40234" w14:textId="77777777" w:rsidR="00F65817" w:rsidRDefault="00F65817" w:rsidP="002929EA">
      <w:r w:rsidRPr="009A0A30">
        <w:t>These measures are intended to overcome the current challenge faced by the ABF</w:t>
      </w:r>
      <w:r>
        <w:t>,</w:t>
      </w:r>
      <w:r w:rsidRPr="009A0A30">
        <w:t xml:space="preserve"> </w:t>
      </w:r>
      <w:r>
        <w:t xml:space="preserve">the TGA and state and territory officials, </w:t>
      </w:r>
      <w:r w:rsidRPr="009A0A30">
        <w:t xml:space="preserve">in </w:t>
      </w:r>
      <w:r>
        <w:t>distinguishing</w:t>
      </w:r>
      <w:r w:rsidRPr="009A0A30">
        <w:t xml:space="preserve"> between lawful and unlawful vapes. </w:t>
      </w:r>
      <w:r>
        <w:t xml:space="preserve">Instead of having to refer vapes to the TGA to test for nicotine content, the ABF would be able to determine if a vape is lawful simply by ascertaining whether or not it is being imported by a person with a licence and a permit. In combination with pre-market notification controls, it would also assist domestic compliance officers to enforce controls as the TGA will be able to publish a list of lawful vapes. This would also assist consumer and prescribers to source lawful, and quality regulated, products. </w:t>
      </w:r>
    </w:p>
    <w:p w14:paraId="7EF53810" w14:textId="77777777" w:rsidR="00F65817" w:rsidRPr="00A935FA" w:rsidRDefault="00F65817" w:rsidP="002929EA">
      <w:r w:rsidRPr="00A935FA">
        <w:t>Together with the ban on disposable vapes</w:t>
      </w:r>
      <w:r w:rsidRPr="00E4333F">
        <w:t xml:space="preserve"> (</w:t>
      </w:r>
      <w:r>
        <w:t>Measure 1(a)</w:t>
      </w:r>
      <w:r w:rsidRPr="00E4333F">
        <w:t>)</w:t>
      </w:r>
      <w:r w:rsidRPr="00A935FA">
        <w:t>, this proposal would tighten the regulatory controls for vapes and thereby ease compliance and enforcement effort</w:t>
      </w:r>
      <w:r>
        <w:t>s</w:t>
      </w:r>
      <w:r w:rsidRPr="00A935FA">
        <w:t xml:space="preserve"> at the border and domestically</w:t>
      </w:r>
      <w:r w:rsidRPr="007D28C4">
        <w:t xml:space="preserve">. </w:t>
      </w:r>
      <w:r>
        <w:t>It would therefore facilitate the Government’s objectives of arresting the uptake of vapes, preventing nicotine addiction and reducing the risks of future tobacco use.</w:t>
      </w:r>
    </w:p>
    <w:p w14:paraId="2074C057" w14:textId="77777777" w:rsidR="00F65817" w:rsidRDefault="00F65817" w:rsidP="00F65817">
      <w:pPr>
        <w:pStyle w:val="Heading5"/>
      </w:pPr>
      <w:r>
        <w:t>Measure 1(c). Prevent importation through the Personal Importation Scheme</w:t>
      </w:r>
    </w:p>
    <w:p w14:paraId="3A038D44" w14:textId="77777777" w:rsidR="00F65817" w:rsidRDefault="00F65817" w:rsidP="002929EA">
      <w:r>
        <w:t>This measure would</w:t>
      </w:r>
      <w:r w:rsidRPr="00FA11D7">
        <w:t xml:space="preserve"> prevent the importation</w:t>
      </w:r>
      <w:r>
        <w:t xml:space="preserve"> </w:t>
      </w:r>
      <w:r w:rsidRPr="00FA11D7">
        <w:t xml:space="preserve">of all vapes </w:t>
      </w:r>
      <w:r>
        <w:t>in</w:t>
      </w:r>
      <w:r w:rsidRPr="00FA11D7">
        <w:t>to Australia through the Personal Importation Scheme, subject to the preservation of a traveller’s exemption</w:t>
      </w:r>
      <w:r w:rsidRPr="00E4333F">
        <w:t xml:space="preserve"> (</w:t>
      </w:r>
      <w:r>
        <w:t>Measure 1(d)</w:t>
      </w:r>
      <w:r w:rsidRPr="00E4333F">
        <w:t>)</w:t>
      </w:r>
      <w:r w:rsidRPr="00FA11D7">
        <w:t xml:space="preserve">. </w:t>
      </w:r>
      <w:r>
        <w:t>This measure would assist in the Government’s objective of arresting the uptake of vapes and safeguarding consumer health.</w:t>
      </w:r>
    </w:p>
    <w:p w14:paraId="354F445E" w14:textId="60BA2D86" w:rsidR="00F65817" w:rsidRPr="00FA11D7" w:rsidRDefault="00F65817" w:rsidP="002929EA">
      <w:r w:rsidRPr="00FA11D7">
        <w:t xml:space="preserve">The Personal Importation Scheme presently allows a person with a prescription from an Australian medical practitioner to directly import up to </w:t>
      </w:r>
      <w:r w:rsidR="00C40584">
        <w:t>3</w:t>
      </w:r>
      <w:r w:rsidR="00C40584" w:rsidRPr="00FA11D7">
        <w:t xml:space="preserve"> </w:t>
      </w:r>
      <w:r w:rsidRPr="00FA11D7">
        <w:t xml:space="preserve">months’ supply of </w:t>
      </w:r>
      <w:r>
        <w:t>nicotine vapes</w:t>
      </w:r>
      <w:r w:rsidRPr="00FA11D7">
        <w:t xml:space="preserve"> for their personal use. There can be any number of repeat transactions on the same prescription. This makes the scheme </w:t>
      </w:r>
      <w:r>
        <w:t>subject</w:t>
      </w:r>
      <w:r w:rsidRPr="00FA11D7">
        <w:t xml:space="preserve"> to abuse and </w:t>
      </w:r>
      <w:r>
        <w:t xml:space="preserve">facilitates the </w:t>
      </w:r>
      <w:r w:rsidRPr="00FA11D7">
        <w:t>diversion of vapes for illegitimate supply.</w:t>
      </w:r>
    </w:p>
    <w:p w14:paraId="3CFE9BBF" w14:textId="77777777" w:rsidR="00F65817" w:rsidRDefault="00F65817" w:rsidP="002929EA">
      <w:r w:rsidRPr="00FA11D7">
        <w:t xml:space="preserve">Further, it is extremely difficult to police regulatory controls, including the requirement for a prescription or compliance with the relevant quality standard, where goods are imported under the </w:t>
      </w:r>
      <w:r w:rsidRPr="00FA11D7">
        <w:lastRenderedPageBreak/>
        <w:t xml:space="preserve">Personal Importation Scheme. Retaining an exemption for personal importation would undermine the other </w:t>
      </w:r>
      <w:r>
        <w:t>elements of Option 3</w:t>
      </w:r>
      <w:r w:rsidRPr="00FA11D7">
        <w:t xml:space="preserve"> designed to simplify enforcement, which will depend on compliance and enforcement officers being able to clearly identify the vapes that may be lawfully supplied</w:t>
      </w:r>
      <w:r>
        <w:t xml:space="preserve"> on the basis of having a permit or being on a list of vapes notified to meet TGO 110</w:t>
      </w:r>
      <w:r w:rsidRPr="00FA11D7">
        <w:t xml:space="preserve">. </w:t>
      </w:r>
    </w:p>
    <w:p w14:paraId="0EA9C0D0" w14:textId="77777777" w:rsidR="00F65817" w:rsidRDefault="00F65817" w:rsidP="00F65817">
      <w:pPr>
        <w:pStyle w:val="Heading5"/>
      </w:pPr>
      <w:r>
        <w:t>Measure 1(d). Preserve the traveller’s exemption</w:t>
      </w:r>
    </w:p>
    <w:p w14:paraId="2156978C" w14:textId="77777777" w:rsidR="00F65817" w:rsidRDefault="00F65817" w:rsidP="002929EA">
      <w:r>
        <w:t xml:space="preserve">Despite the proposed cessation of the Personal Importation Scheme, Option 3 would preserve a limited traveller’s exemption to recognise that persons arriving in Australia as a passenger on a ship or plane may need therapeutic vapes for their personal use. </w:t>
      </w:r>
    </w:p>
    <w:p w14:paraId="1200A13E" w14:textId="77777777" w:rsidR="00F65817" w:rsidRPr="00001D4E" w:rsidRDefault="00F65817" w:rsidP="002929EA">
      <w:r>
        <w:t xml:space="preserve">The traveller’s exemption would </w:t>
      </w:r>
      <w:r w:rsidRPr="00E4333F">
        <w:t xml:space="preserve">apply limits </w:t>
      </w:r>
      <w:r>
        <w:t xml:space="preserve">on the quantity </w:t>
      </w:r>
      <w:r w:rsidRPr="00E4333F">
        <w:t xml:space="preserve">of vapes for </w:t>
      </w:r>
      <w:r>
        <w:t xml:space="preserve">each </w:t>
      </w:r>
      <w:r w:rsidRPr="00E4333F">
        <w:t xml:space="preserve">passenger, to </w:t>
      </w:r>
      <w:r>
        <w:t>prevent</w:t>
      </w:r>
      <w:r w:rsidRPr="00E4333F">
        <w:t xml:space="preserve"> this exemption becoming a pathway for </w:t>
      </w:r>
      <w:r>
        <w:t>domestic supply or allowing diversion of vapes.</w:t>
      </w:r>
      <w:r w:rsidRPr="00E4333F">
        <w:t xml:space="preserve"> </w:t>
      </w:r>
    </w:p>
    <w:p w14:paraId="3D3670A9" w14:textId="77777777" w:rsidR="00F65817" w:rsidRDefault="00F65817" w:rsidP="00F65817">
      <w:pPr>
        <w:pStyle w:val="Heading5"/>
      </w:pPr>
      <w:r>
        <w:t xml:space="preserve">Measure 1(e). </w:t>
      </w:r>
      <w:r w:rsidRPr="006D5309">
        <w:t>Prohibit the advertisement of vapes generally</w:t>
      </w:r>
    </w:p>
    <w:p w14:paraId="6C8CD284" w14:textId="77777777" w:rsidR="00F65817" w:rsidRDefault="00F65817" w:rsidP="00F65817">
      <w:r w:rsidRPr="002929EA">
        <w:t>The current TG framework prohibits advertising prescription-only and certain pharmacist-only medicines to the public. Consistent with this prohibition, this measure would prohibit advertising vapes generally</w:t>
      </w:r>
      <w:r w:rsidRPr="00AE52BE">
        <w:t>, with exceptions to allow</w:t>
      </w:r>
      <w:r>
        <w:t>:</w:t>
      </w:r>
      <w:r w:rsidRPr="00AE52BE">
        <w:t xml:space="preserve"> </w:t>
      </w:r>
    </w:p>
    <w:p w14:paraId="71750AF6" w14:textId="6171536E" w:rsidR="00F65817" w:rsidRPr="00734FAB" w:rsidRDefault="00F65817" w:rsidP="00281166">
      <w:pPr>
        <w:pStyle w:val="Bullet1"/>
        <w:numPr>
          <w:ilvl w:val="0"/>
          <w:numId w:val="44"/>
        </w:numPr>
      </w:pPr>
      <w:r w:rsidRPr="00734FAB">
        <w:t xml:space="preserve">appropriate marketing of therapeutic vapes to health practitioners </w:t>
      </w:r>
    </w:p>
    <w:p w14:paraId="323266B2" w14:textId="539A966D" w:rsidR="00F65817" w:rsidRPr="00734FAB" w:rsidRDefault="00F65817" w:rsidP="00281166">
      <w:pPr>
        <w:pStyle w:val="Bullet1"/>
        <w:numPr>
          <w:ilvl w:val="0"/>
          <w:numId w:val="44"/>
        </w:numPr>
      </w:pPr>
      <w:r w:rsidRPr="00734FAB">
        <w:t>health practitioners to provide advice to patients about use of therapeutic vapes in a clinical setting</w:t>
      </w:r>
    </w:p>
    <w:p w14:paraId="529A80B9" w14:textId="77777777" w:rsidR="00F65817" w:rsidRPr="00734FAB" w:rsidRDefault="00F65817" w:rsidP="00281166">
      <w:pPr>
        <w:pStyle w:val="Bullet1"/>
        <w:numPr>
          <w:ilvl w:val="0"/>
          <w:numId w:val="44"/>
        </w:numPr>
      </w:pPr>
      <w:r w:rsidRPr="00734FAB">
        <w:t xml:space="preserve">limited advertising by pharmacies. </w:t>
      </w:r>
    </w:p>
    <w:p w14:paraId="0C490CAE" w14:textId="108E3712" w:rsidR="00F65817" w:rsidRPr="002C56ED" w:rsidRDefault="00F65817" w:rsidP="00F65817">
      <w:pPr>
        <w:rPr>
          <w:rFonts w:ascii="Calibri" w:hAnsi="Calibri"/>
        </w:rPr>
      </w:pPr>
      <w:r w:rsidRPr="002929EA">
        <w:t xml:space="preserve">The proposal is intended to stop aggressive marketing to </w:t>
      </w:r>
      <w:r w:rsidR="00E142E5" w:rsidRPr="002929EA">
        <w:t>youth and young adults</w:t>
      </w:r>
      <w:r w:rsidRPr="002929EA">
        <w:t xml:space="preserve"> and the promotion of vapes outside the prescription pathway. This measure would interact with the proposed Public Health (Tobacco and Other Products) Bill 2023, and both measures would need to be aligned. It would</w:t>
      </w:r>
      <w:r>
        <w:t xml:space="preserve"> support the objectives of arresting the uptake of vapes to </w:t>
      </w:r>
      <w:r w:rsidR="00E10B09">
        <w:t xml:space="preserve">youth and young adults </w:t>
      </w:r>
      <w:r>
        <w:t xml:space="preserve">and counteracting the marketing of vapes to </w:t>
      </w:r>
      <w:r w:rsidR="00E10B09">
        <w:t>youth and young adults</w:t>
      </w:r>
      <w:r>
        <w:t>.</w:t>
      </w:r>
    </w:p>
    <w:p w14:paraId="55095999" w14:textId="669CA3CE" w:rsidR="00F65817" w:rsidRPr="00494B95" w:rsidRDefault="00F65817" w:rsidP="00F65817">
      <w:pPr>
        <w:pStyle w:val="Heading4"/>
      </w:pPr>
      <w:bookmarkStart w:id="159" w:name="_Toc147384263"/>
      <w:bookmarkStart w:id="160" w:name="_Toc151040350"/>
      <w:r>
        <w:t>Measure 2. C</w:t>
      </w:r>
      <w:r w:rsidRPr="004C63BA">
        <w:t>hanges to market accessibility requirements</w:t>
      </w:r>
      <w:bookmarkEnd w:id="159"/>
      <w:r>
        <w:t xml:space="preserve"> for therapeutic vapes</w:t>
      </w:r>
      <w:bookmarkEnd w:id="160"/>
    </w:p>
    <w:p w14:paraId="62BF2D21" w14:textId="77777777" w:rsidR="00F65817" w:rsidRDefault="00F65817" w:rsidP="00F65817">
      <w:pPr>
        <w:pStyle w:val="Heading5"/>
      </w:pPr>
      <w:r>
        <w:rPr>
          <w:noProof/>
          <w:lang w:eastAsia="en-AU"/>
        </w:rPr>
        <w:drawing>
          <wp:inline distT="0" distB="0" distL="0" distR="0" wp14:anchorId="7B0404A1" wp14:editId="64329DC1">
            <wp:extent cx="5731510" cy="1292950"/>
            <wp:effectExtent l="0" t="0" r="21590" b="2159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B333011" w14:textId="77777777" w:rsidR="00F65817" w:rsidRPr="00915D20" w:rsidRDefault="00F65817" w:rsidP="00F65817">
      <w:pPr>
        <w:pStyle w:val="Heading5"/>
      </w:pPr>
      <w:r>
        <w:t>Measure 2(a). Pre-market notification of compliance with product standards</w:t>
      </w:r>
    </w:p>
    <w:p w14:paraId="55C7D74A" w14:textId="77777777" w:rsidR="00F65817" w:rsidRDefault="00F65817" w:rsidP="002929EA">
      <w:r>
        <w:t xml:space="preserve">This </w:t>
      </w:r>
      <w:r w:rsidRPr="00144C44">
        <w:t>measure w</w:t>
      </w:r>
      <w:r w:rsidRPr="00746795">
        <w:t>ould re</w:t>
      </w:r>
      <w:r w:rsidRPr="00144C44">
        <w:t xml:space="preserve">quire </w:t>
      </w:r>
      <w:r>
        <w:t>those introducing vapes to the Australian market to provide a declaration and hold supporting evidence that e</w:t>
      </w:r>
      <w:r>
        <w:noBreakHyphen/>
        <w:t xml:space="preserve">liquids and/or associated device components meet the product standards such as TGO 110 and device standards. This measure complements Measure 4 in addressing the Government objective to </w:t>
      </w:r>
      <w:r w:rsidRPr="00EE3E00">
        <w:t>ensure vapes</w:t>
      </w:r>
      <w:r>
        <w:t xml:space="preserve">, </w:t>
      </w:r>
      <w:r w:rsidRPr="00EE3E00">
        <w:t>including both e-liquid and device components</w:t>
      </w:r>
      <w:r>
        <w:t>,</w:t>
      </w:r>
      <w:r w:rsidRPr="00EE3E00">
        <w:t xml:space="preserve"> meet appropriate quality and safety standards</w:t>
      </w:r>
      <w:r>
        <w:t>. It would also assist consumers, enforcement officers and practitioners to identify lawful vapes as it would enable the TGA to publish a list of vapes that can be lawfully supplied.</w:t>
      </w:r>
    </w:p>
    <w:p w14:paraId="6E9B06ED" w14:textId="77777777" w:rsidR="00F65817" w:rsidRDefault="00F65817" w:rsidP="002929EA">
      <w:r>
        <w:t xml:space="preserve">A pre-market notification process will require suppliers of vapes to consider the quality and safety requirements in the product standards and to declare that any vapes supplied are compliant with </w:t>
      </w:r>
      <w:r>
        <w:lastRenderedPageBreak/>
        <w:t>these standards. It will also make it easier for the TGA to identify the person responsible for the supply of the goods, which is useful in the event of subsequent quality issues or compliance actions.</w:t>
      </w:r>
    </w:p>
    <w:p w14:paraId="4C659228" w14:textId="77777777" w:rsidR="00F65817" w:rsidRDefault="00F65817" w:rsidP="002929EA">
      <w:r>
        <w:t>It is not intended that the sponsor will be required to provide evidence to the TGA, in relation to the formulation of the product, specifically with relation to the presence of only permitted ingredients or restricted ingredients less to or equal to the maximum permissible concentrations. However, the expectation is that appropriate product testing would occur on a per batch basis.</w:t>
      </w:r>
    </w:p>
    <w:p w14:paraId="6FA4DD46" w14:textId="3D19B7FC" w:rsidR="00F65817" w:rsidRPr="007A5996" w:rsidRDefault="00F65817" w:rsidP="002929EA">
      <w:r>
        <w:t xml:space="preserve">The notification would be required for each vape type to be supplied and would be enduring unless there were a change to the formulation. </w:t>
      </w:r>
    </w:p>
    <w:p w14:paraId="22C9B0FB" w14:textId="77777777" w:rsidR="00F65817" w:rsidRDefault="00F65817" w:rsidP="002929EA">
      <w:r>
        <w:t xml:space="preserve">It would be a legal requirement that the sponsor must produce upon demand by the TGA evidence to demonstrate how they have met the requirements specified in the TGA standards. </w:t>
      </w:r>
    </w:p>
    <w:p w14:paraId="2E974C0D" w14:textId="5A4EFC16" w:rsidR="00F65817" w:rsidRDefault="00F65817" w:rsidP="002929EA">
      <w:r>
        <w:t xml:space="preserve">This is a similar regulatory requirement for notification schemes for nicotine </w:t>
      </w:r>
      <w:r w:rsidR="003527CD">
        <w:t>vape</w:t>
      </w:r>
      <w:r>
        <w:t xml:space="preserve">s sold as consumer goods in the UK, EU and NZ. Notification would be a pre-condition for the granting of an import permit by the ODC under Customs Regulations. </w:t>
      </w:r>
      <w:r w:rsidR="00F07B0C">
        <w:t xml:space="preserve"> </w:t>
      </w:r>
    </w:p>
    <w:p w14:paraId="7D4D5168" w14:textId="77777777" w:rsidR="00F65817" w:rsidRDefault="00F65817" w:rsidP="00F65817">
      <w:pPr>
        <w:pStyle w:val="Heading5"/>
      </w:pPr>
      <w:r>
        <w:t>Measure 2(b). Streamlined access under Special Access Scheme and Authorised Prescriber scheme</w:t>
      </w:r>
    </w:p>
    <w:p w14:paraId="1A38F5F3" w14:textId="77777777" w:rsidR="00F65817" w:rsidRDefault="00F65817" w:rsidP="002929EA">
      <w:r>
        <w:t xml:space="preserve">This measure would ensure that therapeutic vapes used for smoking cessation, treatment of nicotine addiction and other therapeutic purposes may continue to be lawfully accessed under the TG Act, subject to appropriate regulatory controls. </w:t>
      </w:r>
    </w:p>
    <w:p w14:paraId="164025CD" w14:textId="6C89A9EA" w:rsidR="00F65817" w:rsidRDefault="00F65817" w:rsidP="002929EA">
      <w:r>
        <w:t xml:space="preserve">In the absence of any therapeutic vapes registered on the ARTG, therapeutic vapes are accessed in Australia through established pathways for ‘unapproved’ goods. Currently, these pathways require therapeutic vapes to be supplied to patients with a prescription from a health practitioner who has authority to prescribe under the AP and Special Access B </w:t>
      </w:r>
      <w:r w:rsidR="00C40584">
        <w:t xml:space="preserve">(SAS B) </w:t>
      </w:r>
      <w:r>
        <w:t xml:space="preserve">schemes. </w:t>
      </w:r>
    </w:p>
    <w:p w14:paraId="35F6D7A1" w14:textId="77777777" w:rsidR="00F65817" w:rsidRDefault="00F65817" w:rsidP="002929EA">
      <w:r>
        <w:t xml:space="preserve">The fact that a limited number of health practitioners may currently prescribe therapeutic vapes is potentially a barrier to people accessing vapes for therapeutic purposes, which could impede the Government’s objective that vapes be available for smoking cessation where clinically appropriate. </w:t>
      </w:r>
    </w:p>
    <w:p w14:paraId="59BB1121" w14:textId="77777777" w:rsidR="00F65817" w:rsidRDefault="00F65817" w:rsidP="002929EA">
      <w:r>
        <w:t xml:space="preserve">This measure would include enabling access to vapes through the Special Access Scheme Category C (SAS C) notification system in addition, or as an alternative, to the AP and SAS B schemes. Importantly, the approach would not require a prescriber to obtain pre-approval or authority under the TG Act but instead notify the TGA within 28 days after a therapeutic vape being supplied to a patient. </w:t>
      </w:r>
    </w:p>
    <w:p w14:paraId="788D106D" w14:textId="77777777" w:rsidR="00F65817" w:rsidRDefault="00F65817" w:rsidP="002929EA">
      <w:r>
        <w:t xml:space="preserve">This change would enable more timely access to unapproved vapes for individual patients and reduce the regulatory burden on practitioners, while maintaining a level of regulation commensurate with the risk posed by unapproved therapeutic vapes. </w:t>
      </w:r>
    </w:p>
    <w:p w14:paraId="0B08BAF7" w14:textId="7848596F" w:rsidR="00F65817" w:rsidRDefault="00F65817" w:rsidP="00F65817">
      <w:pPr>
        <w:pStyle w:val="Heading4"/>
      </w:pPr>
      <w:bookmarkStart w:id="161" w:name="_Toc147384264"/>
      <w:bookmarkStart w:id="162" w:name="_Toc151040351"/>
      <w:r>
        <w:t>Measure 3. Heightened quality and safety standards for therapeutic vapes, including better regulation of device components</w:t>
      </w:r>
      <w:bookmarkEnd w:id="161"/>
      <w:bookmarkEnd w:id="162"/>
    </w:p>
    <w:p w14:paraId="68F9477B" w14:textId="77777777" w:rsidR="00F65817" w:rsidRDefault="00F65817" w:rsidP="00F65817">
      <w:r>
        <w:rPr>
          <w:noProof/>
          <w:lang w:eastAsia="en-AU"/>
        </w:rPr>
        <w:drawing>
          <wp:inline distT="0" distB="0" distL="0" distR="0" wp14:anchorId="04DAEC54" wp14:editId="5DA9059E">
            <wp:extent cx="5731510" cy="1834410"/>
            <wp:effectExtent l="0" t="0" r="21590" b="1397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BD2A501" w14:textId="58A8D61D" w:rsidR="00F65817" w:rsidRDefault="00F65817" w:rsidP="002929EA">
      <w:r w:rsidRPr="003B4D6D">
        <w:lastRenderedPageBreak/>
        <w:t xml:space="preserve">These measures </w:t>
      </w:r>
      <w:r>
        <w:t xml:space="preserve">would enhance requirements for </w:t>
      </w:r>
      <w:r w:rsidRPr="003B4D6D">
        <w:t>vapes</w:t>
      </w:r>
      <w:r>
        <w:t xml:space="preserve">, </w:t>
      </w:r>
      <w:r w:rsidRPr="003B4D6D">
        <w:t>including both e-liquid and device components</w:t>
      </w:r>
      <w:r>
        <w:t>,</w:t>
      </w:r>
      <w:r w:rsidRPr="003B4D6D">
        <w:t xml:space="preserve"> </w:t>
      </w:r>
      <w:r>
        <w:t>to achieve the Government objective for vapes to be of</w:t>
      </w:r>
      <w:r w:rsidRPr="00B8485F">
        <w:t xml:space="preserve"> appropriate quality and safety to safeguard consumer health, </w:t>
      </w:r>
      <w:r>
        <w:t xml:space="preserve">minimise the attractiveness of vapes (especially for </w:t>
      </w:r>
      <w:r w:rsidR="009B3F20">
        <w:t>youth</w:t>
      </w:r>
      <w:r>
        <w:t xml:space="preserve"> and young adults), </w:t>
      </w:r>
      <w:r w:rsidRPr="00B8485F">
        <w:t>increase confidence of users and prescribers, and minimise the potential short-term and long-term adverse health effects of vapes</w:t>
      </w:r>
      <w:r>
        <w:t>.</w:t>
      </w:r>
    </w:p>
    <w:p w14:paraId="2B10DCF9" w14:textId="77777777" w:rsidR="00F65817" w:rsidRDefault="00F65817" w:rsidP="00F65817">
      <w:pPr>
        <w:pStyle w:val="Heading5"/>
      </w:pPr>
      <w:r>
        <w:t xml:space="preserve">Measure 3(a). Heightened quality and safety standards for therapeutic vapes </w:t>
      </w:r>
    </w:p>
    <w:p w14:paraId="40FA0C7B" w14:textId="77777777" w:rsidR="00F65817" w:rsidRPr="00325EAD" w:rsidRDefault="00F65817" w:rsidP="00325EAD">
      <w:pPr>
        <w:pStyle w:val="Heading6"/>
      </w:pPr>
      <w:r w:rsidRPr="00600F4E">
        <w:t>Packaging and labelling changes</w:t>
      </w:r>
    </w:p>
    <w:p w14:paraId="53BDA439" w14:textId="3C0564EF" w:rsidR="00F65817" w:rsidRDefault="00F65817" w:rsidP="002929EA">
      <w:r>
        <w:t xml:space="preserve">TGO 110 would outline requirements for therapeutic vapes to have ‘pharmaceutical-like’ packaging and presentation. This is appropriate where therapeutic vapes contain scheduled substances that are prescription medicines and supply is directed through pharmacies. The proposal would also facilitate detection of non-compliant or illicit nicotine vapes, such as any brightly coloured products with pictorial representations. Significantly, it would reduce attractiveness of vapes to </w:t>
      </w:r>
      <w:r w:rsidR="009B3F20">
        <w:t>youth</w:t>
      </w:r>
      <w:r>
        <w:t xml:space="preserve"> and young </w:t>
      </w:r>
      <w:r w:rsidR="009B3F20">
        <w:t>adults</w:t>
      </w:r>
      <w:r>
        <w:t xml:space="preserve"> and close off one avenue by which these products are being marketed to </w:t>
      </w:r>
      <w:r w:rsidR="00F83203">
        <w:t>youth</w:t>
      </w:r>
      <w:r>
        <w:t>, as an example, no more yellow packaged ‘Juicy Fruit’ vapes.</w:t>
      </w:r>
    </w:p>
    <w:p w14:paraId="2D51FADF" w14:textId="77777777" w:rsidR="00F65817" w:rsidRPr="00B145D8" w:rsidRDefault="00F65817" w:rsidP="002929EA">
      <w:r w:rsidRPr="00E4333F">
        <w:t>The introduction of ‘pharmaceutical’ style plain packaging w</w:t>
      </w:r>
      <w:r>
        <w:t xml:space="preserve">ould </w:t>
      </w:r>
      <w:r w:rsidRPr="00E4333F">
        <w:t xml:space="preserve">reinforce that </w:t>
      </w:r>
      <w:r>
        <w:t>vapes</w:t>
      </w:r>
      <w:r w:rsidRPr="00E4333F">
        <w:t xml:space="preserve"> are a therapeutic rather than a consumer product. </w:t>
      </w:r>
      <w:r>
        <w:t xml:space="preserve">These new requirements would include that therapeutic vapes must be </w:t>
      </w:r>
      <w:r w:rsidRPr="00BF4461">
        <w:t>predominantly</w:t>
      </w:r>
      <w:r>
        <w:t xml:space="preserve"> </w:t>
      </w:r>
      <w:r w:rsidRPr="00BF4461">
        <w:t>white for the retail pack with only black and grey lettering permitted</w:t>
      </w:r>
      <w:r>
        <w:t>, bear mandatory p</w:t>
      </w:r>
      <w:r w:rsidRPr="00BF4461">
        <w:t>rominent health warnings</w:t>
      </w:r>
      <w:r>
        <w:t xml:space="preserve">, observe prohibitions on </w:t>
      </w:r>
      <w:r w:rsidRPr="00E4333F">
        <w:t>certain product names, logos or brand names</w:t>
      </w:r>
      <w:r>
        <w:t xml:space="preserve">, and meet further </w:t>
      </w:r>
      <w:r w:rsidRPr="00BF4461">
        <w:t>labelling requirements in line with selective requirements applying to other prescription medicines under TGO</w:t>
      </w:r>
      <w:r>
        <w:t xml:space="preserve"> </w:t>
      </w:r>
      <w:r w:rsidRPr="00BF4461">
        <w:t>91 (Standard for labels of prescription and related medicines)</w:t>
      </w:r>
      <w:r>
        <w:t>.</w:t>
      </w:r>
    </w:p>
    <w:p w14:paraId="3D120086" w14:textId="77777777" w:rsidR="00F65817" w:rsidRPr="00806714" w:rsidRDefault="00F65817" w:rsidP="00F65817">
      <w:pPr>
        <w:pStyle w:val="Heading6"/>
      </w:pPr>
      <w:r w:rsidRPr="00806714">
        <w:t>Limiting flavours</w:t>
      </w:r>
    </w:p>
    <w:p w14:paraId="76AAE167" w14:textId="6DA91726" w:rsidR="00F65817" w:rsidRDefault="00F65817" w:rsidP="00F65817">
      <w:r>
        <w:t xml:space="preserve">This measure would substantially limit flavours currently available for use in vapes, to reduce the attractiveness of vapes to </w:t>
      </w:r>
      <w:r w:rsidR="00BC4C3E">
        <w:t>youth</w:t>
      </w:r>
      <w:r>
        <w:t xml:space="preserve"> and young </w:t>
      </w:r>
      <w:r w:rsidR="00BC4C3E">
        <w:t>adults</w:t>
      </w:r>
      <w:r>
        <w:t xml:space="preserve"> and address a number of safety concerns with ingredients present in flavours. </w:t>
      </w:r>
    </w:p>
    <w:p w14:paraId="14962CA0" w14:textId="77777777" w:rsidR="00F65817" w:rsidRDefault="00F65817" w:rsidP="00F65817">
      <w:r>
        <w:t xml:space="preserve">During the 2022 consultation, the TGA consulted on restricting flavours in vapes. Many governments and public health organisations supported banning all flavours or limiting to only tobacco flavour, noting that nicotine alone vapes have an unpleasant taste and may deter use in smoking cessation. </w:t>
      </w:r>
    </w:p>
    <w:p w14:paraId="603AA182" w14:textId="77777777" w:rsidR="00F65817" w:rsidRDefault="00F65817" w:rsidP="00F65817">
      <w:r>
        <w:t xml:space="preserve">Flavour restrictions guard against the unknown long-term health effects of ingredients found within flavours. However, given that nicotine-alone e-liquids have an unpleasant taste, providing limited flavour options for those using nicotine e-liquids for approved therapeutic purposes would support smoking cessation objectives. </w:t>
      </w:r>
    </w:p>
    <w:p w14:paraId="4452D896" w14:textId="77777777" w:rsidR="00F65817" w:rsidRPr="00AB7A52" w:rsidRDefault="00F65817" w:rsidP="00F65817">
      <w:pPr>
        <w:pStyle w:val="Heading6"/>
      </w:pPr>
      <w:r w:rsidRPr="00E8322E">
        <w:t>Lowering</w:t>
      </w:r>
      <w:r w:rsidRPr="00AB7A52">
        <w:t xml:space="preserve"> maximum nicotine concentration in e-liquids</w:t>
      </w:r>
    </w:p>
    <w:p w14:paraId="394BBC99" w14:textId="77777777" w:rsidR="00F65817" w:rsidRDefault="00F65817" w:rsidP="00F65817">
      <w:r>
        <w:t xml:space="preserve">This measure would reduce the maximum allowable nicotine concentration from 100 mg/ml to a more appropriate level to limit safety concerns, while still allowing prescribers flexibility to prescribe appropriately. </w:t>
      </w:r>
    </w:p>
    <w:p w14:paraId="298F05B6" w14:textId="77777777" w:rsidR="00F65817" w:rsidRDefault="00F65817" w:rsidP="00F65817">
      <w:r>
        <w:t>A separate limit for nicotine salt has been considered but is not practicable. There are several different nicotine salt forms and salt form combinations used in vapes, which makes it challenging to have a standardised limit. However, an equivalent base form concentration would be standardised and could be efficiently enforced.</w:t>
      </w:r>
    </w:p>
    <w:p w14:paraId="6EDADF92" w14:textId="77777777" w:rsidR="00F65817" w:rsidRPr="00AB7A52" w:rsidRDefault="00F65817" w:rsidP="00F65817">
      <w:pPr>
        <w:pStyle w:val="Heading6"/>
      </w:pPr>
      <w:r>
        <w:t xml:space="preserve">Other requirements for </w:t>
      </w:r>
      <w:r w:rsidRPr="00AB7A52">
        <w:t>e-liquid components</w:t>
      </w:r>
    </w:p>
    <w:p w14:paraId="5DBFD6AE" w14:textId="77777777" w:rsidR="00F65817" w:rsidRDefault="00F65817" w:rsidP="00F65817">
      <w:r>
        <w:t xml:space="preserve">This element of the measure would prescribe: </w:t>
      </w:r>
    </w:p>
    <w:p w14:paraId="239BA7C1" w14:textId="0A9BF907" w:rsidR="00F65817" w:rsidRPr="002929EA" w:rsidRDefault="00F65817" w:rsidP="00467EDD">
      <w:pPr>
        <w:pStyle w:val="Bullet1"/>
        <w:numPr>
          <w:ilvl w:val="0"/>
          <w:numId w:val="125"/>
        </w:numPr>
      </w:pPr>
      <w:r w:rsidRPr="002929EA">
        <w:t xml:space="preserve">a list of permitted ingredients </w:t>
      </w:r>
      <w:r w:rsidR="00DB2D12" w:rsidRPr="00063DFD">
        <w:rPr>
          <w:color w:val="000000"/>
        </w:rPr>
        <w:t>–</w:t>
      </w:r>
      <w:r w:rsidRPr="002929EA">
        <w:t xml:space="preserve"> only 4 ingredients (plus permitted flavours) would be allowed to be mixed in the formulation of a vape and limits will be applied to the quantity of some ingredients. These permitted ingredients would be nicotine, propylene glycol, glycerine, and water.</w:t>
      </w:r>
    </w:p>
    <w:p w14:paraId="257F6916" w14:textId="1CAD4535" w:rsidR="00F65817" w:rsidRPr="002929EA" w:rsidRDefault="00F65817" w:rsidP="00467EDD">
      <w:pPr>
        <w:pStyle w:val="Bullet1"/>
        <w:numPr>
          <w:ilvl w:val="0"/>
          <w:numId w:val="125"/>
        </w:numPr>
      </w:pPr>
      <w:r w:rsidRPr="002929EA">
        <w:lastRenderedPageBreak/>
        <w:t>quality standards for ingredients (</w:t>
      </w:r>
      <w:r w:rsidR="00367CCB" w:rsidRPr="002929EA">
        <w:t>pharmacopeial</w:t>
      </w:r>
      <w:r w:rsidRPr="002929EA">
        <w:t xml:space="preserve"> grade) </w:t>
      </w:r>
      <w:r w:rsidR="00DB2D12" w:rsidRPr="00063DFD">
        <w:rPr>
          <w:color w:val="000000"/>
        </w:rPr>
        <w:t>–</w:t>
      </w:r>
      <w:r w:rsidRPr="002929EA">
        <w:t xml:space="preserve"> all ingredients in e-liquid, except for flavours, would be required to comply with a </w:t>
      </w:r>
      <w:r w:rsidR="00367CCB" w:rsidRPr="002929EA">
        <w:t>pharmacopeial</w:t>
      </w:r>
      <w:r w:rsidRPr="002929EA">
        <w:t xml:space="preserve"> standard, derived from the European Pharmacopoeia, British Pharmacopoeia or United States Pharmacopoeia. Permitted flavours would likely be exempted from this requirement as </w:t>
      </w:r>
      <w:r w:rsidR="00367CCB" w:rsidRPr="002929EA">
        <w:t>pharmacopeial</w:t>
      </w:r>
      <w:r w:rsidRPr="002929EA">
        <w:t xml:space="preserve"> grade material is generally not available.</w:t>
      </w:r>
    </w:p>
    <w:p w14:paraId="23EF3FE5" w14:textId="3E44B68E" w:rsidR="00F65817" w:rsidRPr="002929EA" w:rsidRDefault="00F65817" w:rsidP="00467EDD">
      <w:pPr>
        <w:pStyle w:val="Bullet1"/>
        <w:numPr>
          <w:ilvl w:val="0"/>
          <w:numId w:val="125"/>
        </w:numPr>
      </w:pPr>
      <w:r w:rsidRPr="002929EA">
        <w:t xml:space="preserve">a list of restricted substances </w:t>
      </w:r>
      <w:r w:rsidR="00DB2D12" w:rsidRPr="00063DFD">
        <w:rPr>
          <w:color w:val="000000"/>
        </w:rPr>
        <w:t>–</w:t>
      </w:r>
      <w:r w:rsidRPr="002929EA">
        <w:t xml:space="preserve"> chemicals such as contaminants, degradation products, reaction products or residual compounds in the raw materials must remain below specified concentration. These chemical entities may include known harmful substances such as formaldehyde, heavy metals, and carbonyl compounds. </w:t>
      </w:r>
    </w:p>
    <w:p w14:paraId="2C72F1EF" w14:textId="5A961E0A" w:rsidR="00F65817" w:rsidRPr="002929EA" w:rsidRDefault="00F65817" w:rsidP="00467EDD">
      <w:pPr>
        <w:pStyle w:val="Bullet1"/>
        <w:numPr>
          <w:ilvl w:val="0"/>
          <w:numId w:val="125"/>
        </w:numPr>
      </w:pPr>
      <w:r w:rsidRPr="002929EA">
        <w:t>the maximum volume of e-liquid for retail units – limiting the maximum amount of e-liquid sold for open system vapes and for closed system vapes (pods) would maximise safety and prevent misuse and unauthorised distribution.</w:t>
      </w:r>
      <w:r w:rsidRPr="002929EA" w:rsidDel="00A937B5">
        <w:t xml:space="preserve"> </w:t>
      </w:r>
      <w:r w:rsidRPr="002929EA">
        <w:t>Currently, there is no restriction on the volume of e-liquid retail packs. Where possible, proposed limits would align with similar limits enforced in other jurisdictions such as the EU, UK and NZ</w:t>
      </w:r>
      <w:r w:rsidRPr="002929EA" w:rsidDel="001A7DEE">
        <w:t>.</w:t>
      </w:r>
    </w:p>
    <w:p w14:paraId="50B82B13" w14:textId="36A9206B" w:rsidR="00F65817" w:rsidRPr="002D7179" w:rsidRDefault="00F65817" w:rsidP="00F65817">
      <w:pPr>
        <w:pStyle w:val="Heading5"/>
      </w:pPr>
      <w:bookmarkStart w:id="163" w:name="_Toc144463289"/>
      <w:r>
        <w:t>Measure 3(b)</w:t>
      </w:r>
      <w:r w:rsidR="00DB2D12">
        <w:t>.</w:t>
      </w:r>
      <w:r>
        <w:t xml:space="preserve"> Requirements for device components</w:t>
      </w:r>
      <w:bookmarkEnd w:id="163"/>
    </w:p>
    <w:p w14:paraId="44595C28" w14:textId="77777777" w:rsidR="00F65817" w:rsidRDefault="00F65817" w:rsidP="00F65817">
      <w:r>
        <w:t>Under this measure,</w:t>
      </w:r>
      <w:r w:rsidRPr="56AFBD0B">
        <w:t xml:space="preserve"> requirements for the device component</w:t>
      </w:r>
      <w:r>
        <w:t xml:space="preserve"> would be specified by legislative instrument</w:t>
      </w:r>
      <w:r w:rsidRPr="56AFBD0B">
        <w:t xml:space="preserve"> to ensure minimum </w:t>
      </w:r>
      <w:r>
        <w:t>design</w:t>
      </w:r>
      <w:r w:rsidRPr="56AFBD0B">
        <w:t xml:space="preserve"> and safety standards</w:t>
      </w:r>
      <w:r>
        <w:t>, including to</w:t>
      </w:r>
      <w:r w:rsidRPr="56AFBD0B">
        <w:t>:</w:t>
      </w:r>
    </w:p>
    <w:p w14:paraId="333145B8" w14:textId="6D1C372E" w:rsidR="00F65817" w:rsidRPr="00367CCB" w:rsidRDefault="00F65817" w:rsidP="00467EDD">
      <w:pPr>
        <w:pStyle w:val="Bullet1"/>
        <w:numPr>
          <w:ilvl w:val="0"/>
          <w:numId w:val="45"/>
        </w:numPr>
      </w:pPr>
      <w:r w:rsidRPr="00367CCB">
        <w:t>ensure vaporisation process and dosing controls</w:t>
      </w:r>
    </w:p>
    <w:p w14:paraId="044C7FDC" w14:textId="6E7DD87E" w:rsidR="00F65817" w:rsidRPr="00367CCB" w:rsidRDefault="00F65817" w:rsidP="00467EDD">
      <w:pPr>
        <w:pStyle w:val="Bullet1"/>
        <w:numPr>
          <w:ilvl w:val="0"/>
          <w:numId w:val="45"/>
        </w:numPr>
      </w:pPr>
      <w:r w:rsidRPr="00367CCB">
        <w:t>ensure the device component conforms with minimum safety principles to reduce user risk, having regard to the generally acknowledged state of the art</w:t>
      </w:r>
    </w:p>
    <w:p w14:paraId="05D1D080" w14:textId="6CE7527B" w:rsidR="00F65817" w:rsidRPr="00367CCB" w:rsidRDefault="00F65817" w:rsidP="00467EDD">
      <w:pPr>
        <w:pStyle w:val="Bullet1"/>
        <w:numPr>
          <w:ilvl w:val="0"/>
          <w:numId w:val="45"/>
        </w:numPr>
      </w:pPr>
      <w:r w:rsidRPr="00367CCB">
        <w:t>ensure the device component performs and operates safely during its expected lifetime (including storage)</w:t>
      </w:r>
    </w:p>
    <w:p w14:paraId="5D386D1B" w14:textId="01542A81" w:rsidR="00F65817" w:rsidRPr="00367CCB" w:rsidRDefault="00F65817" w:rsidP="00467EDD">
      <w:pPr>
        <w:pStyle w:val="Bullet1"/>
        <w:numPr>
          <w:ilvl w:val="0"/>
          <w:numId w:val="45"/>
        </w:numPr>
      </w:pPr>
      <w:r w:rsidRPr="00367CCB">
        <w:t>demonstrate device physical, thermal, material, and electrical safety, including battery safety</w:t>
      </w:r>
    </w:p>
    <w:p w14:paraId="58BE7DE6" w14:textId="14EF470C" w:rsidR="00F65817" w:rsidRPr="00367CCB" w:rsidRDefault="00F65817" w:rsidP="00467EDD">
      <w:pPr>
        <w:pStyle w:val="Bullet1"/>
        <w:numPr>
          <w:ilvl w:val="0"/>
          <w:numId w:val="45"/>
        </w:numPr>
      </w:pPr>
      <w:r w:rsidRPr="00367CCB">
        <w:t>minimise risks to the user associated with contaminants, residues, and leachable substances (and their degradation and reaction products)</w:t>
      </w:r>
    </w:p>
    <w:p w14:paraId="1EF0B946" w14:textId="3A8542F8" w:rsidR="00F65817" w:rsidRPr="00367CCB" w:rsidRDefault="00F65817" w:rsidP="00467EDD">
      <w:pPr>
        <w:pStyle w:val="Bullet1"/>
        <w:numPr>
          <w:ilvl w:val="0"/>
          <w:numId w:val="45"/>
        </w:numPr>
      </w:pPr>
      <w:r w:rsidRPr="00367CCB">
        <w:t>ensure any risks of fire or explosion occurring during normal use of the device are removed or minimised</w:t>
      </w:r>
    </w:p>
    <w:p w14:paraId="1400684E" w14:textId="2566FE7F" w:rsidR="00F65817" w:rsidRPr="00367CCB" w:rsidRDefault="00F65817" w:rsidP="00467EDD">
      <w:pPr>
        <w:pStyle w:val="Bullet1"/>
        <w:numPr>
          <w:ilvl w:val="0"/>
          <w:numId w:val="45"/>
        </w:numPr>
      </w:pPr>
      <w:r w:rsidRPr="00367CCB">
        <w:t>ensure programmed features or software perform appropriately and any resulting risks are minimised</w:t>
      </w:r>
    </w:p>
    <w:p w14:paraId="6EAE42D0" w14:textId="7B3E1A8F" w:rsidR="00F65817" w:rsidRPr="00367CCB" w:rsidRDefault="00F65817" w:rsidP="00467EDD">
      <w:pPr>
        <w:pStyle w:val="Bullet1"/>
        <w:numPr>
          <w:ilvl w:val="0"/>
          <w:numId w:val="45"/>
        </w:numPr>
      </w:pPr>
      <w:r w:rsidRPr="00367CCB">
        <w:t xml:space="preserve">ensure suitable labelling of the device and instructions for use </w:t>
      </w:r>
    </w:p>
    <w:p w14:paraId="2E461488" w14:textId="77777777" w:rsidR="00F65817" w:rsidRPr="00367CCB" w:rsidRDefault="00F65817" w:rsidP="00467EDD">
      <w:pPr>
        <w:pStyle w:val="Bullet1"/>
        <w:numPr>
          <w:ilvl w:val="0"/>
          <w:numId w:val="45"/>
        </w:numPr>
      </w:pPr>
      <w:r w:rsidRPr="00367CCB">
        <w:t>maintain certification of the manufacturer to international standards for Quality Management Systems (consistent with ISO9001, ISO13485).</w:t>
      </w:r>
    </w:p>
    <w:p w14:paraId="62C5A4C8" w14:textId="77777777" w:rsidR="00F65817" w:rsidRDefault="00F65817" w:rsidP="00F65817">
      <w:r w:rsidRPr="11685EBC">
        <w:t xml:space="preserve">Demonstrated compliance with relevant comparable overseas regulatory requirements would provide pathways for manufacturers to demonstrate compliance with most or all of these requirements. </w:t>
      </w:r>
      <w:r>
        <w:t>These include</w:t>
      </w:r>
      <w:r w:rsidRPr="11685EBC">
        <w:t>:</w:t>
      </w:r>
    </w:p>
    <w:p w14:paraId="534F73AF" w14:textId="188DEAA5" w:rsidR="00F65817" w:rsidRPr="00367CCB" w:rsidRDefault="00F65817" w:rsidP="00467EDD">
      <w:pPr>
        <w:pStyle w:val="Bullet1"/>
        <w:numPr>
          <w:ilvl w:val="0"/>
          <w:numId w:val="46"/>
        </w:numPr>
        <w:rPr>
          <w:rFonts w:eastAsiaTheme="majorEastAsia" w:cs="Arial"/>
          <w:u w:val="single"/>
        </w:rPr>
      </w:pPr>
      <w:r w:rsidRPr="00367CCB">
        <w:rPr>
          <w:rFonts w:eastAsiaTheme="majorEastAsia" w:cs="Arial"/>
        </w:rPr>
        <w:t>US FDA guidance document</w:t>
      </w:r>
      <w:r w:rsidR="00DB2D12">
        <w:rPr>
          <w:rFonts w:eastAsiaTheme="majorEastAsia" w:cs="Arial"/>
        </w:rPr>
        <w:t xml:space="preserve"> </w:t>
      </w:r>
      <w:r w:rsidR="00DB2D12" w:rsidRPr="00063DFD">
        <w:rPr>
          <w:color w:val="000000"/>
        </w:rPr>
        <w:t>–</w:t>
      </w:r>
      <w:r w:rsidRPr="00367CCB">
        <w:rPr>
          <w:rFonts w:eastAsiaTheme="majorEastAsia" w:cs="Arial"/>
        </w:rPr>
        <w:t xml:space="preserve"> </w:t>
      </w:r>
      <w:r w:rsidRPr="00746795">
        <w:rPr>
          <w:rFonts w:eastAsiaTheme="majorEastAsia" w:cs="Arial"/>
        </w:rPr>
        <w:t>“</w:t>
      </w:r>
      <w:hyperlink r:id="rId56">
        <w:r w:rsidRPr="00367CCB">
          <w:rPr>
            <w:rStyle w:val="Hyperlink"/>
            <w:rFonts w:cs="Arial"/>
          </w:rPr>
          <w:t>Premarket Tobacco Product Applications for Electronic Nicotine Delivery Systems (ENDS)</w:t>
        </w:r>
      </w:hyperlink>
      <w:r w:rsidRPr="00746795">
        <w:rPr>
          <w:rFonts w:eastAsiaTheme="majorEastAsia" w:cs="Arial"/>
        </w:rPr>
        <w:t>”</w:t>
      </w:r>
    </w:p>
    <w:p w14:paraId="2A15D10D" w14:textId="176F77D0" w:rsidR="00F65817" w:rsidRPr="00367CCB" w:rsidRDefault="00F65817" w:rsidP="00467EDD">
      <w:pPr>
        <w:pStyle w:val="Bullet1"/>
        <w:numPr>
          <w:ilvl w:val="0"/>
          <w:numId w:val="46"/>
        </w:numPr>
        <w:rPr>
          <w:rFonts w:eastAsiaTheme="majorEastAsia" w:cs="Arial"/>
          <w:u w:val="single"/>
        </w:rPr>
      </w:pPr>
      <w:r w:rsidRPr="00367CCB">
        <w:rPr>
          <w:rFonts w:eastAsiaTheme="majorEastAsia" w:cs="Arial"/>
        </w:rPr>
        <w:t xml:space="preserve">EU standard </w:t>
      </w:r>
      <w:r w:rsidRPr="00746795">
        <w:rPr>
          <w:rFonts w:eastAsiaTheme="majorEastAsia" w:cs="Arial"/>
        </w:rPr>
        <w:t>“</w:t>
      </w:r>
      <w:r w:rsidRPr="00367CCB">
        <w:rPr>
          <w:rFonts w:eastAsiaTheme="majorEastAsia" w:cs="Arial"/>
        </w:rPr>
        <w:t>CEN/TS 17287</w:t>
      </w:r>
      <w:r w:rsidR="00DB2D12">
        <w:rPr>
          <w:rFonts w:eastAsiaTheme="majorEastAsia" w:cs="Arial"/>
        </w:rPr>
        <w:t xml:space="preserve"> </w:t>
      </w:r>
      <w:r w:rsidR="00DB2D12" w:rsidRPr="00063DFD">
        <w:rPr>
          <w:color w:val="000000"/>
        </w:rPr>
        <w:t>–</w:t>
      </w:r>
      <w:r w:rsidRPr="00367CCB">
        <w:rPr>
          <w:rFonts w:eastAsiaTheme="majorEastAsia" w:cs="Arial"/>
        </w:rPr>
        <w:t xml:space="preserve"> </w:t>
      </w:r>
      <w:r w:rsidR="00DB2D12">
        <w:rPr>
          <w:rFonts w:eastAsiaTheme="majorEastAsia" w:cs="Arial"/>
        </w:rPr>
        <w:t>“</w:t>
      </w:r>
      <w:hyperlink r:id="rId57">
        <w:r w:rsidRPr="00367CCB">
          <w:rPr>
            <w:rStyle w:val="Hyperlink"/>
            <w:rFonts w:cs="Arial"/>
          </w:rPr>
          <w:t>Requirements and test methods for electronic cigarette devices</w:t>
        </w:r>
      </w:hyperlink>
      <w:r w:rsidRPr="00367CCB">
        <w:rPr>
          <w:rFonts w:eastAsiaTheme="majorEastAsia" w:cs="Arial"/>
        </w:rPr>
        <w:t>”</w:t>
      </w:r>
    </w:p>
    <w:p w14:paraId="22019659" w14:textId="391CB916" w:rsidR="00F65817" w:rsidRPr="00367CCB" w:rsidRDefault="00F65817" w:rsidP="00467EDD">
      <w:pPr>
        <w:pStyle w:val="Bullet1"/>
        <w:numPr>
          <w:ilvl w:val="0"/>
          <w:numId w:val="46"/>
        </w:numPr>
        <w:rPr>
          <w:u w:val="single"/>
        </w:rPr>
      </w:pPr>
      <w:r w:rsidRPr="00367CCB">
        <w:t>MHRA – “</w:t>
      </w:r>
      <w:hyperlink r:id="rId58">
        <w:r w:rsidRPr="00367CCB">
          <w:rPr>
            <w:rStyle w:val="Hyperlink"/>
            <w:rFonts w:eastAsiaTheme="majorEastAsia" w:cs="Arial"/>
          </w:rPr>
          <w:t>Guidance for licensing electronic cigarettes and other inhaled nicotine-containing products as medicines</w:t>
        </w:r>
      </w:hyperlink>
      <w:r w:rsidRPr="00367CCB">
        <w:t>”</w:t>
      </w:r>
      <w:r w:rsidR="00B73AEB">
        <w:t>.</w:t>
      </w:r>
    </w:p>
    <w:p w14:paraId="31F197C5" w14:textId="77777777" w:rsidR="00F65817" w:rsidRDefault="00F65817" w:rsidP="0049058A">
      <w:pPr>
        <w:pStyle w:val="Heading4"/>
      </w:pPr>
      <w:bookmarkStart w:id="164" w:name="_Toc145602931"/>
      <w:bookmarkStart w:id="165" w:name="_Toc145668088"/>
      <w:bookmarkStart w:id="166" w:name="_Toc145602932"/>
      <w:bookmarkStart w:id="167" w:name="_Toc145668089"/>
      <w:bookmarkStart w:id="168" w:name="_Toc145602933"/>
      <w:bookmarkStart w:id="169" w:name="_Toc145668090"/>
      <w:bookmarkStart w:id="170" w:name="_Toc145602934"/>
      <w:bookmarkStart w:id="171" w:name="_Toc145668091"/>
      <w:bookmarkStart w:id="172" w:name="_Toc147384265"/>
      <w:bookmarkStart w:id="173" w:name="_Toc151040352"/>
      <w:bookmarkEnd w:id="164"/>
      <w:bookmarkEnd w:id="165"/>
      <w:bookmarkEnd w:id="166"/>
      <w:bookmarkEnd w:id="167"/>
      <w:bookmarkEnd w:id="168"/>
      <w:bookmarkEnd w:id="169"/>
      <w:bookmarkEnd w:id="170"/>
      <w:bookmarkEnd w:id="171"/>
      <w:r>
        <w:lastRenderedPageBreak/>
        <w:t>Measure 4. Strengthening import and domestic compliance and enforcement mechanisms</w:t>
      </w:r>
      <w:bookmarkEnd w:id="172"/>
      <w:bookmarkEnd w:id="173"/>
    </w:p>
    <w:p w14:paraId="7CC31C1C" w14:textId="77777777" w:rsidR="00F65817" w:rsidRPr="007222A6" w:rsidRDefault="00F65817" w:rsidP="0049058A">
      <w:pPr>
        <w:keepNext/>
        <w:keepLines/>
      </w:pPr>
      <w:r>
        <w:rPr>
          <w:noProof/>
          <w:lang w:eastAsia="en-AU"/>
        </w:rPr>
        <w:drawing>
          <wp:inline distT="0" distB="0" distL="0" distR="0" wp14:anchorId="38495398" wp14:editId="7018B5D9">
            <wp:extent cx="5742940" cy="13836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2940" cy="1383665"/>
                    </a:xfrm>
                    <a:prstGeom prst="rect">
                      <a:avLst/>
                    </a:prstGeom>
                    <a:noFill/>
                  </pic:spPr>
                </pic:pic>
              </a:graphicData>
            </a:graphic>
          </wp:inline>
        </w:drawing>
      </w:r>
    </w:p>
    <w:p w14:paraId="641A55D5" w14:textId="2F665078" w:rsidR="00F65817" w:rsidRDefault="00F65817" w:rsidP="002929EA">
      <w:r>
        <w:t xml:space="preserve">This measure seeks to strengthen the domestic compliance and enforcement mechanisms under the TG Act to support the broader policy intent of the vaping reforms, particularly Measure </w:t>
      </w:r>
      <w:r w:rsidRPr="00F65817">
        <w:t>1 of Option 3</w:t>
      </w:r>
      <w:r>
        <w:t>.</w:t>
      </w:r>
    </w:p>
    <w:p w14:paraId="615BA95D" w14:textId="77777777" w:rsidR="00F65817" w:rsidRDefault="00F65817" w:rsidP="002929EA">
      <w:r>
        <w:t>Commonwealth, state and territory officials agree that effective compliance and enforcement mechanisms are essential to ensure this option works as intended. Recent compliance and enforcement efforts, and discussions between Commonwealth, state and territory officials, have illustrated deficiencies in the current TG Act compliance framework for nicotine vapes and vaping devices, most notably the general need to test for the presence of nicotine before compliance and enforcement action may be confidently undertaken.</w:t>
      </w:r>
    </w:p>
    <w:p w14:paraId="147D3E96" w14:textId="77777777" w:rsidR="00F65817" w:rsidRDefault="00F65817" w:rsidP="00F65817">
      <w:pPr>
        <w:pStyle w:val="Heading5"/>
      </w:pPr>
      <w:r>
        <w:t>Measure 4(a). Enhanced compliance and enforcement measures</w:t>
      </w:r>
    </w:p>
    <w:p w14:paraId="23D6C641" w14:textId="77777777" w:rsidR="00F65817" w:rsidRDefault="00F65817" w:rsidP="00F65817">
      <w:pPr>
        <w:pStyle w:val="Bullet1"/>
      </w:pPr>
      <w:r w:rsidRPr="002929EA">
        <w:t>This measure includes enhanced compliance and enforcement measures needed to support the new restrictions</w:t>
      </w:r>
      <w:r>
        <w:t xml:space="preserve"> outlined in </w:t>
      </w:r>
      <w:r w:rsidRPr="00053D18">
        <w:t>Measure 1</w:t>
      </w:r>
      <w:r w:rsidRPr="003645E1">
        <w:t>.</w:t>
      </w:r>
      <w:r>
        <w:t xml:space="preserve"> Associated offences and civil penalties would prohibit: </w:t>
      </w:r>
    </w:p>
    <w:p w14:paraId="01806337" w14:textId="2A541F0F" w:rsidR="00F65817" w:rsidRPr="00367CCB" w:rsidRDefault="00F65817" w:rsidP="00467EDD">
      <w:pPr>
        <w:pStyle w:val="Bullet1"/>
        <w:numPr>
          <w:ilvl w:val="0"/>
          <w:numId w:val="47"/>
        </w:numPr>
      </w:pPr>
      <w:r w:rsidRPr="00367CCB">
        <w:t>the importation, manufacture and supply of disposable vapes, irrespective of nicotine content or therapeutic claims</w:t>
      </w:r>
    </w:p>
    <w:p w14:paraId="356ADFEA" w14:textId="78385AA3" w:rsidR="00F65817" w:rsidRPr="00367CCB" w:rsidRDefault="00F65817" w:rsidP="00467EDD">
      <w:pPr>
        <w:pStyle w:val="Bullet1"/>
        <w:numPr>
          <w:ilvl w:val="0"/>
          <w:numId w:val="47"/>
        </w:numPr>
      </w:pPr>
      <w:r w:rsidRPr="00367CCB">
        <w:t>the importation, manufacture and supply of all other vapes, irrespective of nicotine content, other than those included in the ARTG or subject to alternative regulatory controls under the TG Act such as including pre-market notification of compliance with the relevant quality standard</w:t>
      </w:r>
    </w:p>
    <w:p w14:paraId="601CF0EB" w14:textId="77777777" w:rsidR="00F65817" w:rsidRPr="00367CCB" w:rsidRDefault="00F65817" w:rsidP="00467EDD">
      <w:pPr>
        <w:pStyle w:val="Bullet1"/>
        <w:numPr>
          <w:ilvl w:val="0"/>
          <w:numId w:val="47"/>
        </w:numPr>
      </w:pPr>
      <w:r w:rsidRPr="00367CCB">
        <w:t xml:space="preserve">the advertisement of vapes generally. </w:t>
      </w:r>
    </w:p>
    <w:p w14:paraId="515355AA" w14:textId="77777777" w:rsidR="00F65817" w:rsidRDefault="00F65817" w:rsidP="00F65817">
      <w:pPr>
        <w:pStyle w:val="Bullet1"/>
      </w:pPr>
      <w:r w:rsidRPr="002929EA">
        <w:t>None of the new offences would be dependent on proving nicotine content before compliance and enforcement action may be undertaken. This would have the benefit of simplifying the compliance and enforcement effort at the border and domestically, and allow for the search, seizure and disposal of vapes without the requirement</w:t>
      </w:r>
      <w:r>
        <w:t xml:space="preserve"> for laboratory testing.</w:t>
      </w:r>
    </w:p>
    <w:p w14:paraId="050A42FD" w14:textId="77777777" w:rsidR="00F65817" w:rsidRDefault="00F65817" w:rsidP="00F65817">
      <w:pPr>
        <w:pStyle w:val="Bullet1"/>
      </w:pPr>
      <w:r>
        <w:t xml:space="preserve">Under this measure, reforms to the regulation of vapes in Australia would be supported by: </w:t>
      </w:r>
    </w:p>
    <w:p w14:paraId="75B88A6C" w14:textId="3E053004" w:rsidR="00F65817" w:rsidRPr="00367CCB" w:rsidRDefault="00EC6075" w:rsidP="00467EDD">
      <w:pPr>
        <w:pStyle w:val="Bullet1"/>
        <w:numPr>
          <w:ilvl w:val="0"/>
          <w:numId w:val="48"/>
        </w:numPr>
      </w:pPr>
      <w:r>
        <w:t>N</w:t>
      </w:r>
      <w:r w:rsidR="00F65817" w:rsidRPr="00367CCB">
        <w:t>ew powers relating to forfeiture and destruction of unlawful therapeutic goods to prevent unlawful therapeutic goods and vapes being returned to the market</w:t>
      </w:r>
      <w:r>
        <w:t>.</w:t>
      </w:r>
    </w:p>
    <w:p w14:paraId="43A33903" w14:textId="24FA1767" w:rsidR="00F65817" w:rsidRPr="00367CCB" w:rsidRDefault="00EC6075" w:rsidP="00467EDD">
      <w:pPr>
        <w:pStyle w:val="Bullet1"/>
        <w:numPr>
          <w:ilvl w:val="0"/>
          <w:numId w:val="48"/>
        </w:numPr>
      </w:pPr>
      <w:r>
        <w:t>N</w:t>
      </w:r>
      <w:r w:rsidR="00F65817" w:rsidRPr="00367CCB">
        <w:t>ew criminal offence and civil penalties for supplying</w:t>
      </w:r>
      <w:r w:rsidR="00F65817" w:rsidRPr="00367CCB" w:rsidDel="00F80FB9">
        <w:t xml:space="preserve"> </w:t>
      </w:r>
      <w:r w:rsidR="00F65817" w:rsidRPr="00367CCB">
        <w:t>vapes to consumers outside a pharmacy and possession of unlawful vapes for supply</w:t>
      </w:r>
      <w:r w:rsidR="00DB2D12">
        <w:t xml:space="preserve"> </w:t>
      </w:r>
      <w:r w:rsidR="00DB2D12" w:rsidRPr="00063DFD">
        <w:rPr>
          <w:color w:val="000000"/>
        </w:rPr>
        <w:t>–</w:t>
      </w:r>
      <w:r w:rsidR="00F65817" w:rsidRPr="00367CCB">
        <w:t xml:space="preserve"> it is not proposed that such offences or penalties would apply to possession for personal use</w:t>
      </w:r>
      <w:r>
        <w:t>.</w:t>
      </w:r>
    </w:p>
    <w:p w14:paraId="67CEF198" w14:textId="02A7C77B" w:rsidR="00F65817" w:rsidRPr="00367CCB" w:rsidRDefault="00EC6075" w:rsidP="00467EDD">
      <w:pPr>
        <w:pStyle w:val="Bullet1"/>
        <w:numPr>
          <w:ilvl w:val="0"/>
          <w:numId w:val="48"/>
        </w:numPr>
      </w:pPr>
      <w:r>
        <w:t>N</w:t>
      </w:r>
      <w:r w:rsidR="00F65817" w:rsidRPr="00367CCB">
        <w:t>ew powers to make enforceable directions relating to importation, manufacture, supply, advertisement and possession</w:t>
      </w:r>
      <w:r>
        <w:t>.</w:t>
      </w:r>
    </w:p>
    <w:p w14:paraId="09173554" w14:textId="0A9D4BC9" w:rsidR="00F65817" w:rsidRPr="00367CCB" w:rsidRDefault="00EC6075" w:rsidP="00467EDD">
      <w:pPr>
        <w:pStyle w:val="Bullet1"/>
        <w:numPr>
          <w:ilvl w:val="0"/>
          <w:numId w:val="48"/>
        </w:numPr>
      </w:pPr>
      <w:r>
        <w:t>I</w:t>
      </w:r>
      <w:r w:rsidR="00F65817" w:rsidRPr="00367CCB">
        <w:t>ncreased powers to share information with states and territories and other compliance and enforcement bodies</w:t>
      </w:r>
      <w:r>
        <w:t>.</w:t>
      </w:r>
      <w:r w:rsidR="00F65817" w:rsidRPr="00367CCB">
        <w:t xml:space="preserve"> </w:t>
      </w:r>
    </w:p>
    <w:p w14:paraId="5A659A93" w14:textId="60659500" w:rsidR="00F65817" w:rsidRPr="00367CCB" w:rsidRDefault="00EC6075" w:rsidP="00467EDD">
      <w:pPr>
        <w:pStyle w:val="Bullet1"/>
        <w:numPr>
          <w:ilvl w:val="0"/>
          <w:numId w:val="48"/>
        </w:numPr>
      </w:pPr>
      <w:r>
        <w:t>R</w:t>
      </w:r>
      <w:r w:rsidR="00F65817" w:rsidRPr="00367CCB">
        <w:t xml:space="preserve">evised powers to release and otherwise publish information relating to enforcement and compliance. </w:t>
      </w:r>
    </w:p>
    <w:p w14:paraId="06E7E90D" w14:textId="77777777" w:rsidR="00F65817" w:rsidRDefault="00F65817" w:rsidP="00F65817">
      <w:pPr>
        <w:pStyle w:val="Heading5"/>
      </w:pPr>
      <w:r>
        <w:lastRenderedPageBreak/>
        <w:t>Measure 4(b). Integrated Australia-wide enforcement</w:t>
      </w:r>
    </w:p>
    <w:p w14:paraId="09E43D91" w14:textId="77777777" w:rsidR="00F65817" w:rsidRDefault="00F65817" w:rsidP="002929EA">
      <w:r>
        <w:t xml:space="preserve">This measure complements those under </w:t>
      </w:r>
      <w:r w:rsidRPr="00053D18">
        <w:t>Measure 1</w:t>
      </w:r>
      <w:r>
        <w:rPr>
          <w:b/>
          <w:bCs/>
        </w:rPr>
        <w:t>,</w:t>
      </w:r>
      <w:r>
        <w:t xml:space="preserve"> to integrate into an Australia-wide enforcement framework by enabling state and territory officers to exercise compliance and enforcement powers and functions</w:t>
      </w:r>
      <w:r w:rsidDel="000430A0">
        <w:t xml:space="preserve"> </w:t>
      </w:r>
      <w:r>
        <w:t>relating to the wholesale and retail supply of vapes.</w:t>
      </w:r>
    </w:p>
    <w:p w14:paraId="141A8CBD" w14:textId="77777777" w:rsidR="00F65817" w:rsidRDefault="00F65817" w:rsidP="002929EA">
      <w:r>
        <w:t xml:space="preserve">Currently, state and territory officers may be authorised by the Secretary to undertake compliance and enforcement powers and functions, including investigative and monitoring activities. Under this measure, state and territory officials could support compliance and enforcement efforts by taking responsibility for issuing infringement notices, commencing civil penalty proceedings, and referring briefs of evidence to the Commonwealth Director of Public Prosecutions on behalf of the Secretary under the TG Act. </w:t>
      </w:r>
    </w:p>
    <w:p w14:paraId="5995F6D1" w14:textId="77777777" w:rsidR="00F65817" w:rsidRDefault="00F65817" w:rsidP="00F65817">
      <w:pPr>
        <w:pStyle w:val="Heading5"/>
      </w:pPr>
      <w:r>
        <w:t>Measure 4(c). Expand regulation making powers for laboratory testing</w:t>
      </w:r>
    </w:p>
    <w:p w14:paraId="692A86B1" w14:textId="77777777" w:rsidR="00F65817" w:rsidRDefault="00F65817" w:rsidP="00F65817">
      <w:pPr>
        <w:pStyle w:val="Bullet1"/>
      </w:pPr>
      <w:r w:rsidRPr="002929EA">
        <w:t>This measure would allow regulations to be made to enable laboratory testing to play a critical role in supporting effective compliance and enforcement action in the interests of public health, such as through</w:t>
      </w:r>
      <w:r>
        <w:t xml:space="preserve"> the detection of prohibited toxic substances in vapes.</w:t>
      </w:r>
    </w:p>
    <w:p w14:paraId="1F7E1B2E" w14:textId="77777777" w:rsidR="00F65817" w:rsidRDefault="00F65817" w:rsidP="00F65817">
      <w:pPr>
        <w:pStyle w:val="Heading4"/>
      </w:pPr>
      <w:bookmarkStart w:id="174" w:name="_Toc151040353"/>
      <w:r>
        <w:t>Changes to the status quo</w:t>
      </w:r>
      <w:bookmarkEnd w:id="174"/>
      <w:r>
        <w:t xml:space="preserve"> </w:t>
      </w:r>
    </w:p>
    <w:p w14:paraId="43E5763F" w14:textId="77777777" w:rsidR="00F65817" w:rsidRDefault="00F65817" w:rsidP="004D6ABC">
      <w:r>
        <w:t xml:space="preserve">These measures involve an increase in regulatory requirements for importers, manufacturers, suppliers and retailers compared to Options 1 and 2. </w:t>
      </w:r>
    </w:p>
    <w:p w14:paraId="54F6341D" w14:textId="0C9CC5F1" w:rsidR="00F65817" w:rsidRDefault="00F65817" w:rsidP="004D6ABC">
      <w:r>
        <w:t>The increase in regulation over Option 1 would be</w:t>
      </w:r>
      <w:r w:rsidR="00552BE3">
        <w:t xml:space="preserve"> the following</w:t>
      </w:r>
      <w:r>
        <w:t>:</w:t>
      </w:r>
    </w:p>
    <w:p w14:paraId="043A2597" w14:textId="77777777" w:rsidR="00F65817" w:rsidRPr="00367CCB" w:rsidRDefault="00F65817" w:rsidP="00467EDD">
      <w:pPr>
        <w:pStyle w:val="Bullet1"/>
        <w:numPr>
          <w:ilvl w:val="0"/>
          <w:numId w:val="49"/>
        </w:numPr>
      </w:pPr>
      <w:r w:rsidRPr="00367CCB">
        <w:t xml:space="preserve">Non-therapeutic vapes would be banned instead of being freely available from many retail premises. </w:t>
      </w:r>
    </w:p>
    <w:p w14:paraId="45C0B84B" w14:textId="77777777" w:rsidR="00F65817" w:rsidRPr="00367CCB" w:rsidRDefault="00F65817" w:rsidP="00467EDD">
      <w:pPr>
        <w:pStyle w:val="Bullet1"/>
        <w:numPr>
          <w:ilvl w:val="0"/>
          <w:numId w:val="49"/>
        </w:numPr>
      </w:pPr>
      <w:r w:rsidRPr="00367CCB">
        <w:t>Importers and domestic manufacturers of therapeutic vapes would be required to ensure that therapeutic vapes meet new product standards and would be required to notify the TGA of this. Importers would also need to obtain customs licences and permits prior to importation.</w:t>
      </w:r>
    </w:p>
    <w:p w14:paraId="0D6AF60F" w14:textId="77777777" w:rsidR="00F65817" w:rsidRPr="00367CCB" w:rsidRDefault="00F65817" w:rsidP="00467EDD">
      <w:pPr>
        <w:pStyle w:val="Bullet1"/>
        <w:numPr>
          <w:ilvl w:val="0"/>
          <w:numId w:val="49"/>
        </w:numPr>
      </w:pPr>
      <w:r w:rsidRPr="00367CCB">
        <w:t xml:space="preserve">Zero-nicotine vapes that have a therapeutic use and more vaping devices would need to meet TGA product standards. </w:t>
      </w:r>
    </w:p>
    <w:p w14:paraId="5B6E44A3" w14:textId="1691CAA1" w:rsidR="00F65817" w:rsidRPr="00367CCB" w:rsidRDefault="00F65817" w:rsidP="00467EDD">
      <w:pPr>
        <w:pStyle w:val="Bullet1"/>
        <w:numPr>
          <w:ilvl w:val="0"/>
          <w:numId w:val="49"/>
        </w:numPr>
      </w:pPr>
      <w:r w:rsidRPr="00367CCB">
        <w:t>Zero-nicotine vapes could only be supplied through pharmacies and pharmacists would be required to ensure that consumers have a prescription for zero-nicotine vapes. Doctors would not need to apply for SAS B or AP approvals to prescribe ‘unapproved’ therapeutic vapes but could instead prescribe under the SAS C scheme.</w:t>
      </w:r>
    </w:p>
    <w:p w14:paraId="010196FB" w14:textId="77777777" w:rsidR="00F65817" w:rsidRDefault="00F65817" w:rsidP="004D6ABC">
      <w:r>
        <w:t xml:space="preserve">In addition, </w:t>
      </w:r>
      <w:r w:rsidRPr="00760653">
        <w:t xml:space="preserve">consumers </w:t>
      </w:r>
      <w:r>
        <w:t>will lose a currently lawful avenue for accessing vapes due</w:t>
      </w:r>
      <w:r w:rsidRPr="00760653">
        <w:t xml:space="preserve"> to cessation of the Personal Importation Scheme</w:t>
      </w:r>
      <w:r>
        <w:t>. As a consequence, they will:</w:t>
      </w:r>
    </w:p>
    <w:p w14:paraId="3509C2AC" w14:textId="29608B62" w:rsidR="00F65817" w:rsidRPr="00367CCB" w:rsidRDefault="00F65817" w:rsidP="00467EDD">
      <w:pPr>
        <w:pStyle w:val="Bullet1"/>
        <w:numPr>
          <w:ilvl w:val="0"/>
          <w:numId w:val="50"/>
        </w:numPr>
      </w:pPr>
      <w:r w:rsidRPr="00367CCB">
        <w:t xml:space="preserve">experience a reduction in the range and availability of </w:t>
      </w:r>
      <w:r w:rsidR="00467EDD">
        <w:t>zero-nicotine</w:t>
      </w:r>
      <w:r w:rsidRPr="00367CCB">
        <w:t xml:space="preserve"> vapes and devices </w:t>
      </w:r>
    </w:p>
    <w:p w14:paraId="527E0FC2" w14:textId="77CFF495" w:rsidR="00F65817" w:rsidRPr="00367CCB" w:rsidRDefault="00F65817" w:rsidP="00467EDD">
      <w:pPr>
        <w:pStyle w:val="Bullet1"/>
        <w:numPr>
          <w:ilvl w:val="0"/>
          <w:numId w:val="50"/>
        </w:numPr>
      </w:pPr>
      <w:r w:rsidRPr="00367CCB">
        <w:t xml:space="preserve">require a prescription for therapeutic zero-nicotine vapes </w:t>
      </w:r>
    </w:p>
    <w:p w14:paraId="3C2468A5" w14:textId="7FE6EAFE" w:rsidR="00F65817" w:rsidRPr="00367CCB" w:rsidRDefault="00F65817" w:rsidP="00467EDD">
      <w:pPr>
        <w:pStyle w:val="Bullet1"/>
        <w:numPr>
          <w:ilvl w:val="0"/>
          <w:numId w:val="50"/>
        </w:numPr>
      </w:pPr>
      <w:r w:rsidRPr="00367CCB">
        <w:t xml:space="preserve">need to obtain their zero-nicotine vapes and devices through a pharmacy </w:t>
      </w:r>
    </w:p>
    <w:p w14:paraId="5BCF58C8" w14:textId="77777777" w:rsidR="00F65817" w:rsidRPr="00064239" w:rsidRDefault="00F65817" w:rsidP="00F65817">
      <w:r w:rsidRPr="004D6ABC">
        <w:t>Where vapes were supplied prior to the domestic ban on non-therapeutic vapes, there would be no requirement for consumers to dispose of products. Similarly, there would be no requirement for consumers</w:t>
      </w:r>
      <w:r>
        <w:t xml:space="preserve"> to dispose of vapes which would not meet the increased product standards. </w:t>
      </w:r>
    </w:p>
    <w:p w14:paraId="3C8DDE80" w14:textId="77777777" w:rsidR="00F65817" w:rsidRDefault="00F65817" w:rsidP="00F65817">
      <w:pPr>
        <w:pStyle w:val="Heading4"/>
      </w:pPr>
      <w:bookmarkStart w:id="175" w:name="_Toc151040354"/>
      <w:bookmarkStart w:id="176" w:name="_Toc146634917"/>
      <w:bookmarkStart w:id="177" w:name="_Toc147384266"/>
      <w:r>
        <w:t>How does Option 3 meet the Government’s objectives?</w:t>
      </w:r>
      <w:bookmarkEnd w:id="175"/>
    </w:p>
    <w:p w14:paraId="299DB948" w14:textId="77777777" w:rsidR="00F65817" w:rsidRPr="00053D18" w:rsidRDefault="00F65817" w:rsidP="00F65817">
      <w:pPr>
        <w:spacing w:before="120"/>
        <w:rPr>
          <w:rFonts w:cs="Arial"/>
        </w:rPr>
      </w:pPr>
      <w:r w:rsidRPr="00053D18">
        <w:rPr>
          <w:rFonts w:cs="Arial"/>
        </w:rPr>
        <w:t>All measures in combination could largely meet the Government’s objectives.</w:t>
      </w:r>
    </w:p>
    <w:p w14:paraId="22D9BE66" w14:textId="009EAD11" w:rsidR="00F65817" w:rsidRPr="00367CCB" w:rsidRDefault="00F65817" w:rsidP="00467EDD">
      <w:pPr>
        <w:pStyle w:val="Bullet1"/>
        <w:numPr>
          <w:ilvl w:val="0"/>
          <w:numId w:val="124"/>
        </w:numPr>
      </w:pPr>
      <w:r w:rsidRPr="000C4BFD">
        <w:rPr>
          <w:u w:val="single"/>
        </w:rPr>
        <w:t>Restrictions on importation, manufacture and supply of all vapes</w:t>
      </w:r>
      <w:r w:rsidRPr="00367CCB">
        <w:t xml:space="preserve">. This would only allow certain therapeutic vapes to be supplied. Non-therapeutic vapes and disposable single use vapes would be banned. Import through the Personal Importation Scheme would be banned. This measure aims to address the uptake of vapes and counteract the marketing of vapes to </w:t>
      </w:r>
      <w:r w:rsidR="00E10B09">
        <w:lastRenderedPageBreak/>
        <w:t>youth and young adults</w:t>
      </w:r>
      <w:r w:rsidRPr="00367CCB">
        <w:t xml:space="preserve">, and therefore works to prevent nicotine addiction and reduce the risk of future tobacco use. </w:t>
      </w:r>
    </w:p>
    <w:p w14:paraId="166A0E39" w14:textId="522D0F16" w:rsidR="00F65817" w:rsidRPr="00367CCB" w:rsidRDefault="00F65817" w:rsidP="00467EDD">
      <w:pPr>
        <w:pStyle w:val="Bullet1"/>
        <w:numPr>
          <w:ilvl w:val="0"/>
          <w:numId w:val="124"/>
        </w:numPr>
      </w:pPr>
      <w:r w:rsidRPr="000C4BFD">
        <w:rPr>
          <w:u w:val="single"/>
        </w:rPr>
        <w:t>Changes to market accessibility requirements for therapeutic vapes.</w:t>
      </w:r>
      <w:r w:rsidRPr="00367CCB">
        <w:t xml:space="preserve"> Therapeutic vapes would be subject to pre-market access controls and streamlined access under the Special Access Scheme (SAS) and AP scheme. This measure aims to ensure that vapes are available for therapeutic purposes and therefore addresses nicotine addiction and reduces the risk of future tobacco use. </w:t>
      </w:r>
    </w:p>
    <w:p w14:paraId="7DB058E6" w14:textId="09541BFF" w:rsidR="00F65817" w:rsidRPr="00367CCB" w:rsidRDefault="00F65817" w:rsidP="00467EDD">
      <w:pPr>
        <w:pStyle w:val="Bullet1"/>
        <w:numPr>
          <w:ilvl w:val="0"/>
          <w:numId w:val="124"/>
        </w:numPr>
      </w:pPr>
      <w:r w:rsidRPr="00DD79F8">
        <w:rPr>
          <w:u w:val="single"/>
        </w:rPr>
        <w:t>Heightened quality and safety standards for therapeutic vapes, including better regulation of device components.</w:t>
      </w:r>
      <w:r w:rsidRPr="00367CCB">
        <w:t xml:space="preserve"> Labelling and packaging requirements would be restricted to minimise marketing and appeal to youth, the quality and safety requirements would increase, requirements for the device components would be introduced, and a notification of compliance to the new standards will be required. This measure aims to safeguard consumer health, increase confidence of users and prescribers, and minimise the short- and long-term adverse health effects of vapes. It will also counteract the marketing of vapes to </w:t>
      </w:r>
      <w:r w:rsidR="00E10B09">
        <w:t>youth and young adults</w:t>
      </w:r>
      <w:r w:rsidRPr="00367CCB">
        <w:t xml:space="preserve">, especially through product features such as flavours and packaging, and therefore arrest the uptake of vapes, especially in </w:t>
      </w:r>
      <w:r w:rsidR="00E10B09">
        <w:t>youth and young adults</w:t>
      </w:r>
      <w:r w:rsidRPr="00367CCB">
        <w:t xml:space="preserve">.  </w:t>
      </w:r>
    </w:p>
    <w:p w14:paraId="714F7899" w14:textId="3446F6DA" w:rsidR="00F65817" w:rsidRPr="00367CCB" w:rsidRDefault="00F65817" w:rsidP="00467EDD">
      <w:pPr>
        <w:pStyle w:val="Bullet1"/>
        <w:numPr>
          <w:ilvl w:val="0"/>
          <w:numId w:val="124"/>
        </w:numPr>
      </w:pPr>
      <w:r w:rsidRPr="00DD79F8">
        <w:rPr>
          <w:u w:val="single"/>
        </w:rPr>
        <w:t xml:space="preserve">Strengthening import and domestic compliance and enforcement mechanisms. </w:t>
      </w:r>
      <w:r w:rsidRPr="00367CCB">
        <w:t xml:space="preserve">This measure aims to ensure that the benefits of the reforms are not undermined through the illegal importation, manufacture or supply of unlawful vapes. This measure is therefore relevant to all the Objectives of Government Action in Question 2.  </w:t>
      </w:r>
    </w:p>
    <w:p w14:paraId="72EB353C" w14:textId="328BCA23" w:rsidR="00F65817" w:rsidRDefault="00F65817" w:rsidP="00367CCB">
      <w:pPr>
        <w:spacing w:before="120"/>
        <w:contextualSpacing/>
      </w:pPr>
      <w:r w:rsidRPr="00DD79F8">
        <w:t xml:space="preserve">While each regulatory </w:t>
      </w:r>
      <w:r w:rsidRPr="004D6ABC">
        <w:t>measure could be enacted separately, each would be most effective if all are enacted together. For example, heightening quality and safety standards for therapeutic vapes alone will achieve little and could incentivise illegal-market efforts to evade detection. It is critical to heighten quality and safety standards for therapeutic vapes in conjunction with the other measures</w:t>
      </w:r>
      <w:r>
        <w:t xml:space="preserve">. </w:t>
      </w:r>
    </w:p>
    <w:p w14:paraId="44663C14" w14:textId="77777777" w:rsidR="00F65817" w:rsidRDefault="00F65817" w:rsidP="00F65817">
      <w:pPr>
        <w:pStyle w:val="Heading3"/>
      </w:pPr>
      <w:bookmarkStart w:id="178" w:name="_Toc151040355"/>
      <w:r w:rsidRPr="00E4333F">
        <w:t xml:space="preserve">Option </w:t>
      </w:r>
      <w:r>
        <w:t>4</w:t>
      </w:r>
      <w:r w:rsidRPr="00E4333F">
        <w:t xml:space="preserve">: </w:t>
      </w:r>
      <w:r>
        <w:t xml:space="preserve">Ban non-therapeutic vapes and require therapeutic </w:t>
      </w:r>
      <w:r w:rsidRPr="00404D57">
        <w:t xml:space="preserve">vapes to be registered on the </w:t>
      </w:r>
      <w:r>
        <w:t xml:space="preserve">Australian Register of Therapeutic Goods, </w:t>
      </w:r>
      <w:r w:rsidRPr="00404D57">
        <w:t>and not available as ‘unapproved’ therapeutic goods</w:t>
      </w:r>
      <w:bookmarkEnd w:id="176"/>
      <w:bookmarkEnd w:id="177"/>
      <w:bookmarkEnd w:id="178"/>
    </w:p>
    <w:p w14:paraId="211B99B8" w14:textId="77777777" w:rsidR="00F65817" w:rsidRDefault="00F65817" w:rsidP="00F65817">
      <w:r>
        <w:rPr>
          <w:noProof/>
          <w:lang w:eastAsia="en-AU"/>
        </w:rPr>
        <w:drawing>
          <wp:inline distT="0" distB="0" distL="0" distR="0" wp14:anchorId="7F05388B" wp14:editId="0657304C">
            <wp:extent cx="5731510" cy="1047750"/>
            <wp:effectExtent l="0" t="19050" r="2159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3AE4E223" w14:textId="77777777" w:rsidR="00F65817" w:rsidRDefault="00F65817" w:rsidP="004D6ABC">
      <w:r>
        <w:t>This option imposes a higher level of regulation for vapes than Option 3. As with Option 3, it would involve banning all non-therapeutic vapes, but would add a requirement for any vape to be registered on the ARTG to be able to be lawfully supplied in Australia.</w:t>
      </w:r>
    </w:p>
    <w:p w14:paraId="79C43EB0" w14:textId="77777777" w:rsidR="00F65817" w:rsidRPr="002309DF" w:rsidDel="00F17182" w:rsidRDefault="00F65817" w:rsidP="004D6ABC">
      <w:r w:rsidDel="00F17182">
        <w:t>This model would provide confidence to prescribers on the quality, safety and appropriate use of approved vapes, ensure safety for consumers, and increase transparency and certainty for retailers and suppliers of approved vapes.</w:t>
      </w:r>
    </w:p>
    <w:p w14:paraId="78A5EE4E" w14:textId="77777777" w:rsidR="00F65817" w:rsidRDefault="00F65817" w:rsidP="004D6ABC">
      <w:r w:rsidRPr="00AB7A52">
        <w:rPr>
          <w:shd w:val="clear" w:color="auto" w:fill="FFFFFF"/>
        </w:rPr>
        <w:t xml:space="preserve">The </w:t>
      </w:r>
      <w:r w:rsidRPr="00AB7A52">
        <w:rPr>
          <w:shd w:val="clear" w:color="auto" w:fill="FFFFFF"/>
          <w:lang w:eastAsia="en-AU"/>
        </w:rPr>
        <w:t xml:space="preserve">ARTG </w:t>
      </w:r>
      <w:r w:rsidRPr="00AB7A52">
        <w:rPr>
          <w:shd w:val="clear" w:color="auto" w:fill="FFFFFF"/>
        </w:rPr>
        <w:t>is </w:t>
      </w:r>
      <w:r w:rsidRPr="00AB7A52">
        <w:t>the</w:t>
      </w:r>
      <w:r w:rsidRPr="00AB7A52">
        <w:rPr>
          <w:lang w:eastAsia="en-AU"/>
        </w:rPr>
        <w:t xml:space="preserve"> </w:t>
      </w:r>
      <w:r w:rsidRPr="00AB7A52">
        <w:rPr>
          <w:color w:val="040C28"/>
          <w:lang w:eastAsia="en-AU"/>
        </w:rPr>
        <w:t xml:space="preserve">public </w:t>
      </w:r>
      <w:r w:rsidRPr="008F0EEA">
        <w:rPr>
          <w:color w:val="040C28"/>
        </w:rPr>
        <w:t xml:space="preserve">database of </w:t>
      </w:r>
      <w:r w:rsidRPr="00AB7A52">
        <w:rPr>
          <w:color w:val="040C28"/>
          <w:lang w:eastAsia="en-AU"/>
        </w:rPr>
        <w:t xml:space="preserve">therapeutic goods </w:t>
      </w:r>
      <w:r w:rsidRPr="008F0EEA">
        <w:rPr>
          <w:color w:val="040C28"/>
        </w:rPr>
        <w:t xml:space="preserve">that </w:t>
      </w:r>
      <w:r>
        <w:rPr>
          <w:color w:val="040C28"/>
        </w:rPr>
        <w:t>have been approved for the purpose of supply</w:t>
      </w:r>
      <w:r w:rsidRPr="008F0EEA">
        <w:rPr>
          <w:color w:val="040C28"/>
        </w:rPr>
        <w:t xml:space="preserve"> in Australia</w:t>
      </w:r>
      <w:r w:rsidRPr="008F0EEA">
        <w:rPr>
          <w:color w:val="4D5156"/>
          <w:shd w:val="clear" w:color="auto" w:fill="FFFFFF"/>
        </w:rPr>
        <w:t>.</w:t>
      </w:r>
      <w:r w:rsidRPr="002309DF">
        <w:t xml:space="preserve"> </w:t>
      </w:r>
      <w:r>
        <w:t>It</w:t>
      </w:r>
      <w:r w:rsidRPr="002309DF">
        <w:t xml:space="preserve"> contains information </w:t>
      </w:r>
      <w:r w:rsidRPr="00AB7A52">
        <w:t xml:space="preserve">such as the </w:t>
      </w:r>
      <w:r w:rsidRPr="002309DF">
        <w:t xml:space="preserve">approved </w:t>
      </w:r>
      <w:r w:rsidRPr="00AB7A52">
        <w:t xml:space="preserve">product name, </w:t>
      </w:r>
      <w:r>
        <w:t>list of</w:t>
      </w:r>
      <w:r w:rsidRPr="00AB7A52">
        <w:t xml:space="preserve"> ingredients, classification (in the case of medical devices), sponsor and manufacturer. </w:t>
      </w:r>
    </w:p>
    <w:p w14:paraId="10B416A8" w14:textId="7051D93C" w:rsidR="00F65817" w:rsidRDefault="00F65817" w:rsidP="004D6ABC">
      <w:r>
        <w:t xml:space="preserve">It would be necessary for a sponsor seeking to introduce a product to the Australian market to apply for the product to be registered. Application fees generally apply. The TGA would then assess the product for </w:t>
      </w:r>
      <w:r w:rsidRPr="002309DF">
        <w:t>quality, safety</w:t>
      </w:r>
      <w:r>
        <w:t>,</w:t>
      </w:r>
      <w:r w:rsidRPr="002309DF">
        <w:t xml:space="preserve"> and efficacy</w:t>
      </w:r>
      <w:r>
        <w:t>, based on appropriate clinical trials and regulatory inspections and certifications.</w:t>
      </w:r>
    </w:p>
    <w:p w14:paraId="67D5E94B" w14:textId="77777777" w:rsidR="00F65817" w:rsidRPr="00AB7A52" w:rsidRDefault="00F65817" w:rsidP="00F65817">
      <w:r w:rsidRPr="00AB7A52">
        <w:lastRenderedPageBreak/>
        <w:t>The TGA enters therapeutic goods in the ARTG when it has: </w:t>
      </w:r>
    </w:p>
    <w:p w14:paraId="1463E047" w14:textId="3BE72843" w:rsidR="00F65817" w:rsidRPr="00367CCB" w:rsidRDefault="00F65817" w:rsidP="00467EDD">
      <w:pPr>
        <w:pStyle w:val="Bullet1"/>
        <w:numPr>
          <w:ilvl w:val="0"/>
          <w:numId w:val="51"/>
        </w:numPr>
      </w:pPr>
      <w:r w:rsidRPr="00367CCB">
        <w:t>assessed higher risk therapeutic goods as meeting the requirements for quality, safety and (where appropriate) efficacy and/or performance</w:t>
      </w:r>
      <w:r w:rsidR="001C64BA">
        <w:t>;</w:t>
      </w:r>
      <w:r w:rsidRPr="00367CCB">
        <w:t xml:space="preserve"> or</w:t>
      </w:r>
    </w:p>
    <w:p w14:paraId="569FCB33" w14:textId="2B6BB36C" w:rsidR="00F65817" w:rsidRPr="00367CCB" w:rsidRDefault="00F65817" w:rsidP="00467EDD">
      <w:pPr>
        <w:pStyle w:val="Bullet1"/>
        <w:numPr>
          <w:ilvl w:val="0"/>
          <w:numId w:val="51"/>
        </w:numPr>
      </w:pPr>
      <w:r w:rsidRPr="00367CCB">
        <w:t>validated lower risk medicine or medical device applications</w:t>
      </w:r>
      <w:r w:rsidR="002B5112">
        <w:t>.</w:t>
      </w:r>
      <w:r w:rsidRPr="00367CCB">
        <w:t> </w:t>
      </w:r>
    </w:p>
    <w:p w14:paraId="4B434156" w14:textId="77777777" w:rsidR="00F65817" w:rsidRPr="00AB7A52" w:rsidRDefault="00F65817" w:rsidP="00F65817">
      <w:bookmarkStart w:id="179" w:name="_Toc145668098"/>
      <w:r w:rsidRPr="00AB7A52">
        <w:rPr>
          <w:rStyle w:val="normaltextrun"/>
          <w:rFonts w:cs="Arial"/>
        </w:rPr>
        <w:t>Every ARTG entry belongs to a sponsor who is responsible for applying for and maintaining the ARTG entry and the supply of the product. Only the registered sponsor</w:t>
      </w:r>
      <w:r>
        <w:rPr>
          <w:rStyle w:val="normaltextrun"/>
          <w:rFonts w:cs="Arial"/>
        </w:rPr>
        <w:t>,</w:t>
      </w:r>
      <w:r w:rsidRPr="00AB7A52">
        <w:rPr>
          <w:rStyle w:val="normaltextrun"/>
          <w:rFonts w:cs="Arial"/>
        </w:rPr>
        <w:t xml:space="preserve"> and no one else</w:t>
      </w:r>
      <w:r>
        <w:rPr>
          <w:rStyle w:val="normaltextrun"/>
          <w:rFonts w:cs="Arial"/>
        </w:rPr>
        <w:t>,</w:t>
      </w:r>
      <w:r w:rsidRPr="00AB7A52">
        <w:rPr>
          <w:rStyle w:val="normaltextrun"/>
          <w:rFonts w:cs="Arial"/>
        </w:rPr>
        <w:t xml:space="preserve"> can </w:t>
      </w:r>
      <w:r w:rsidRPr="008F0EEA">
        <w:t xml:space="preserve">lawfully supply, import, or export that </w:t>
      </w:r>
      <w:r>
        <w:t xml:space="preserve">specific </w:t>
      </w:r>
      <w:r w:rsidRPr="008F0EEA">
        <w:t xml:space="preserve">product </w:t>
      </w:r>
      <w:r>
        <w:t xml:space="preserve">to or </w:t>
      </w:r>
      <w:r w:rsidRPr="008F0EEA">
        <w:t>from Australia</w:t>
      </w:r>
      <w:r w:rsidRPr="00AB7A52">
        <w:rPr>
          <w:shd w:val="clear" w:color="auto" w:fill="FFFFFF"/>
        </w:rPr>
        <w:t>.</w:t>
      </w:r>
    </w:p>
    <w:p w14:paraId="6E2E69F7" w14:textId="77777777" w:rsidR="00F65817" w:rsidRDefault="00F65817" w:rsidP="00F65817">
      <w:r w:rsidRPr="008F0EEA">
        <w:t xml:space="preserve">The application, evaluation and registration of vapes on the ARTG can be managed via the TGA’s standard </w:t>
      </w:r>
      <w:r>
        <w:t xml:space="preserve">application </w:t>
      </w:r>
      <w:r w:rsidRPr="008F0EEA">
        <w:t xml:space="preserve">pathways. The amount of data considered necessary to support approval will depend on </w:t>
      </w:r>
      <w:r>
        <w:t xml:space="preserve">a range of factors including </w:t>
      </w:r>
      <w:r w:rsidRPr="008F0EEA">
        <w:t xml:space="preserve">the extent to which the new therapeutic product is similar to already registered products. </w:t>
      </w:r>
    </w:p>
    <w:p w14:paraId="05A40DE3" w14:textId="78EF75F1" w:rsidR="00F65817" w:rsidRDefault="00F65817" w:rsidP="00F65817">
      <w:r>
        <w:t>It would also be necessary for products to meet manufacturing requirements. For therapeutic e-liquids, products would need to be manufactured by a licensed manufacturer in accordance with Good Manufacturing Practice principles. Imported products would also need to meet Good Manufacturing Practice requirements, and this would be considered as part of the application for registration.</w:t>
      </w:r>
      <w:r w:rsidR="00367CCB">
        <w:t xml:space="preserve"> </w:t>
      </w:r>
      <w:r w:rsidRPr="00AB7A52">
        <w:rPr>
          <w:rStyle w:val="normaltextrun"/>
          <w:rFonts w:cs="Arial"/>
        </w:rPr>
        <w:t>The sponsor</w:t>
      </w:r>
      <w:r>
        <w:rPr>
          <w:rStyle w:val="normaltextrun"/>
          <w:rFonts w:cs="Arial"/>
        </w:rPr>
        <w:t xml:space="preserve"> </w:t>
      </w:r>
      <w:r w:rsidRPr="00AB7A52">
        <w:rPr>
          <w:rStyle w:val="normaltextrun"/>
          <w:rFonts w:cs="Arial"/>
        </w:rPr>
        <w:t>is responsible for meeting the regulatory requirements of the therapeutic goods legislation</w:t>
      </w:r>
      <w:r>
        <w:rPr>
          <w:rStyle w:val="normaltextrun"/>
          <w:rFonts w:cs="Arial"/>
        </w:rPr>
        <w:t>,</w:t>
      </w:r>
      <w:r w:rsidRPr="00AB7A52">
        <w:rPr>
          <w:rStyle w:val="normaltextrun"/>
          <w:rFonts w:cs="Arial"/>
        </w:rPr>
        <w:t xml:space="preserve"> which includes post</w:t>
      </w:r>
      <w:r>
        <w:rPr>
          <w:rStyle w:val="normaltextrun"/>
          <w:rFonts w:cs="Arial"/>
        </w:rPr>
        <w:t>-</w:t>
      </w:r>
      <w:r w:rsidRPr="00AB7A52">
        <w:rPr>
          <w:rStyle w:val="normaltextrun"/>
          <w:rFonts w:cs="Arial"/>
        </w:rPr>
        <w:t>market surveillance</w:t>
      </w:r>
      <w:r>
        <w:rPr>
          <w:rStyle w:val="normaltextrun"/>
          <w:rFonts w:cs="Arial"/>
        </w:rPr>
        <w:t xml:space="preserve"> of their products</w:t>
      </w:r>
      <w:r w:rsidRPr="00AB7A52">
        <w:rPr>
          <w:rStyle w:val="normaltextrun"/>
          <w:rFonts w:cs="Arial"/>
        </w:rPr>
        <w:t xml:space="preserve">. </w:t>
      </w:r>
      <w:r>
        <w:rPr>
          <w:rFonts w:eastAsia="Times New Roman"/>
        </w:rPr>
        <w:t xml:space="preserve">The TGA </w:t>
      </w:r>
      <w:r w:rsidRPr="00A72307">
        <w:rPr>
          <w:rFonts w:eastAsia="Times New Roman"/>
        </w:rPr>
        <w:t>continually monitor</w:t>
      </w:r>
      <w:r>
        <w:rPr>
          <w:rFonts w:eastAsia="Times New Roman"/>
        </w:rPr>
        <w:t>s</w:t>
      </w:r>
      <w:r w:rsidRPr="00A72307">
        <w:rPr>
          <w:rFonts w:eastAsia="Times New Roman"/>
        </w:rPr>
        <w:t xml:space="preserve"> the safety and, in some cases, the efficacy or performance of therapeutic goods that are available on the market</w:t>
      </w:r>
      <w:r>
        <w:rPr>
          <w:rFonts w:eastAsia="Times New Roman"/>
        </w:rPr>
        <w:t>. R</w:t>
      </w:r>
      <w:r w:rsidRPr="00A72307">
        <w:rPr>
          <w:rFonts w:eastAsia="Times New Roman"/>
        </w:rPr>
        <w:t xml:space="preserve">isks associated with individual products </w:t>
      </w:r>
      <w:r>
        <w:rPr>
          <w:rFonts w:eastAsia="Times New Roman"/>
        </w:rPr>
        <w:t xml:space="preserve">can be managed in a number of ways, including </w:t>
      </w:r>
      <w:r w:rsidRPr="00A72307">
        <w:rPr>
          <w:rFonts w:eastAsia="Times New Roman"/>
        </w:rPr>
        <w:t xml:space="preserve">by changes to product information, safety alerts and recalls, </w:t>
      </w:r>
      <w:r>
        <w:rPr>
          <w:rFonts w:eastAsia="Times New Roman"/>
        </w:rPr>
        <w:t>or compliance-based enforcement</w:t>
      </w:r>
      <w:r w:rsidRPr="00A72307">
        <w:rPr>
          <w:rFonts w:eastAsia="Times New Roman"/>
        </w:rPr>
        <w:t xml:space="preserve">. </w:t>
      </w:r>
    </w:p>
    <w:p w14:paraId="01B57956" w14:textId="77777777" w:rsidR="00F65817" w:rsidRPr="002309DF" w:rsidRDefault="00F65817" w:rsidP="00F65817">
      <w:r w:rsidRPr="00BF72D6">
        <w:t>This option will require significant premarket data requirements be met by vape sponsors, as well as achieving GMP certification of all manufacturing sites. The time and costs involved in meeting these requirements suggests that it will take significant time, potentially years, before vape sponsors will be ready (or willing) to submit applications for ARTG registration.</w:t>
      </w:r>
    </w:p>
    <w:p w14:paraId="29FC90BD" w14:textId="58D1FDA5" w:rsidR="00F65817" w:rsidRDefault="00F65817" w:rsidP="00761DD5">
      <w:r>
        <w:t xml:space="preserve">However, there are no vapes currently registered on the ARTG. Further, the length of time required to undertake the clinical trials necessary to register a vape on the ARTG and to supply the market would result in a total absence of supply of vapes in Australia for greater than a year </w:t>
      </w:r>
      <w:r w:rsidR="00073073" w:rsidRPr="00063DFD">
        <w:rPr>
          <w:color w:val="000000"/>
        </w:rPr>
        <w:t>–</w:t>
      </w:r>
      <w:r w:rsidRPr="00A35AB0">
        <w:rPr>
          <w:rFonts w:eastAsia="Arial" w:cs="Arial"/>
        </w:rPr>
        <w:t xml:space="preserve"> and this is on the assumption that any sponsor would find it commercially attractive to seek registration on the ARTG</w:t>
      </w:r>
      <w:r>
        <w:rPr>
          <w:rFonts w:eastAsia="Arial" w:cs="Arial"/>
        </w:rPr>
        <w:t>, which is by no means assured</w:t>
      </w:r>
      <w:r>
        <w:t>.</w:t>
      </w:r>
    </w:p>
    <w:p w14:paraId="59497ADA" w14:textId="77777777" w:rsidR="00F65817" w:rsidRDefault="00F65817" w:rsidP="00761DD5">
      <w:r>
        <w:t>As a result, this may mean that under this option no vapes, of any kind, are available in Australia, for an indefinite period.</w:t>
      </w:r>
    </w:p>
    <w:p w14:paraId="72FAE604" w14:textId="11410B5C" w:rsidR="00F65817" w:rsidRDefault="00F65817" w:rsidP="00F65817">
      <w:pPr>
        <w:pStyle w:val="Heading4"/>
      </w:pPr>
      <w:bookmarkStart w:id="180" w:name="_Toc151040356"/>
      <w:r>
        <w:t>Changes to the status quo</w:t>
      </w:r>
      <w:bookmarkEnd w:id="180"/>
    </w:p>
    <w:p w14:paraId="1E572C14" w14:textId="77777777" w:rsidR="00F65817" w:rsidRDefault="00F65817" w:rsidP="004D6ABC">
      <w:r>
        <w:t>This option would have the effect that all vapes would be prohibited until a</w:t>
      </w:r>
      <w:r w:rsidRPr="002309DF">
        <w:t xml:space="preserve"> </w:t>
      </w:r>
      <w:r>
        <w:t xml:space="preserve">therapeutic vape has undergone full assessment and </w:t>
      </w:r>
      <w:r w:rsidRPr="002309DF">
        <w:t>approved by TGA as a therapeutic good and entered in the ARTG.</w:t>
      </w:r>
    </w:p>
    <w:p w14:paraId="1142C23A" w14:textId="77777777" w:rsidR="00F65817" w:rsidRDefault="00F65817" w:rsidP="004D6ABC">
      <w:r>
        <w:t xml:space="preserve">This option involves an increase in regulatory requirements for importers, manufacturers, suppliers and retailers over Options 1 and 2. </w:t>
      </w:r>
    </w:p>
    <w:p w14:paraId="4921DF12" w14:textId="77777777" w:rsidR="00F65817" w:rsidRDefault="00F65817" w:rsidP="00F65817">
      <w:r>
        <w:t>The increase in regulation over Option 1 would be:</w:t>
      </w:r>
    </w:p>
    <w:p w14:paraId="337791A1" w14:textId="0AFC8806" w:rsidR="00F65817" w:rsidRPr="00367CCB" w:rsidRDefault="00F65817" w:rsidP="00467EDD">
      <w:pPr>
        <w:pStyle w:val="Bullet1"/>
        <w:numPr>
          <w:ilvl w:val="0"/>
          <w:numId w:val="52"/>
        </w:numPr>
      </w:pPr>
      <w:r w:rsidRPr="00367CCB">
        <w:t xml:space="preserve">People seeking to introduce therapeutic vapes to the Australian market would be required to apply for and meet the application requirements for registration  </w:t>
      </w:r>
    </w:p>
    <w:p w14:paraId="0D1A8A09" w14:textId="14FB02EF" w:rsidR="00F65817" w:rsidRPr="00367CCB" w:rsidRDefault="00F65817" w:rsidP="00467EDD">
      <w:pPr>
        <w:pStyle w:val="Bullet1"/>
        <w:numPr>
          <w:ilvl w:val="0"/>
          <w:numId w:val="52"/>
        </w:numPr>
      </w:pPr>
      <w:r w:rsidRPr="00367CCB">
        <w:t xml:space="preserve">Domestic manufacturers would be required to meet manufacturing requirements, including the requirement to obtain a licence to manufacture </w:t>
      </w:r>
      <w:r w:rsidR="00245A86" w:rsidRPr="00367CCB">
        <w:t>a</w:t>
      </w:r>
      <w:r w:rsidRPr="00367CCB">
        <w:t xml:space="preserve"> therapeutic e-liquid</w:t>
      </w:r>
    </w:p>
    <w:p w14:paraId="4E2E25C1" w14:textId="77777777" w:rsidR="00F65817" w:rsidRPr="00367CCB" w:rsidRDefault="00F65817" w:rsidP="00467EDD">
      <w:pPr>
        <w:pStyle w:val="Bullet1"/>
        <w:numPr>
          <w:ilvl w:val="0"/>
          <w:numId w:val="52"/>
        </w:numPr>
      </w:pPr>
      <w:r w:rsidRPr="00367CCB">
        <w:t>All of the changes outlined for Option 3.</w:t>
      </w:r>
    </w:p>
    <w:p w14:paraId="5B6B3694" w14:textId="77777777" w:rsidR="00F65817" w:rsidRDefault="00F65817" w:rsidP="00F65817">
      <w:pPr>
        <w:pStyle w:val="Heading4"/>
      </w:pPr>
      <w:bookmarkStart w:id="181" w:name="_Toc151040357"/>
      <w:r>
        <w:lastRenderedPageBreak/>
        <w:t>How does Option 4 meet the Government’s objectives?</w:t>
      </w:r>
      <w:bookmarkEnd w:id="181"/>
    </w:p>
    <w:p w14:paraId="18364A4B" w14:textId="240E472B" w:rsidR="00F65817" w:rsidRDefault="00F65817" w:rsidP="004D6ABC">
      <w:r>
        <w:t>This would meet the Government’s objectives in a similar way to Option 3. The crucial difference is that it would far better safeguard consumer health, increase confidence of users and prescribers, and minimise the short-term and long-term adverse health effects of vapes. This would come, however, at the cost of reducing the risk of future tobacco use by jeopardising the availability of vapes for smoking cessation where clinically appropriate. The practical effect of this option will be to ban all vapes until a product is registered.</w:t>
      </w:r>
    </w:p>
    <w:p w14:paraId="24508F45" w14:textId="77777777" w:rsidR="002A1DAB" w:rsidRDefault="002A1DAB">
      <w:pPr>
        <w:rPr>
          <w:rFonts w:eastAsia="Times New Roman" w:cs="Times New Roman"/>
          <w:b/>
          <w:bCs/>
          <w:color w:val="001871"/>
          <w:sz w:val="38"/>
          <w:szCs w:val="38"/>
        </w:rPr>
      </w:pPr>
      <w:bookmarkStart w:id="182" w:name="_Toc147478050"/>
      <w:bookmarkEnd w:id="179"/>
      <w:r>
        <w:br w:type="page"/>
      </w:r>
    </w:p>
    <w:p w14:paraId="3D3555EB" w14:textId="7D36BD42" w:rsidR="00D238B7" w:rsidRPr="00DF6795" w:rsidRDefault="00D238B7" w:rsidP="00D238B7">
      <w:pPr>
        <w:pStyle w:val="Heading2"/>
      </w:pPr>
      <w:bookmarkStart w:id="183" w:name="_Toc151040358"/>
      <w:r w:rsidRPr="00DF6795">
        <w:lastRenderedPageBreak/>
        <w:t>Question Four: What is the likely net benefit of each option?</w:t>
      </w:r>
      <w:bookmarkEnd w:id="183"/>
    </w:p>
    <w:p w14:paraId="745C19B2" w14:textId="77777777" w:rsidR="00D238B7" w:rsidRDefault="00D238B7" w:rsidP="004D6ABC">
      <w:r>
        <w:t xml:space="preserve">This section outlines the benefits and costs for each of the four options proposed in this Impact Analysis.  </w:t>
      </w:r>
    </w:p>
    <w:p w14:paraId="0C52BDC0" w14:textId="77777777" w:rsidR="00D238B7" w:rsidRDefault="00D238B7" w:rsidP="004D6ABC">
      <w:r>
        <w:t xml:space="preserve">A Regulatory Burden Measurement Framework (the Framework) has been applied to each option outlined in the Impact Analysis (see Annexure B).  </w:t>
      </w:r>
    </w:p>
    <w:p w14:paraId="5D461A6F" w14:textId="77777777" w:rsidR="00D238B7" w:rsidRPr="00DA2CA8" w:rsidRDefault="00D238B7" w:rsidP="004D6ABC">
      <w:r w:rsidRPr="00DA2CA8">
        <w:t xml:space="preserve">The Framework follows the guidelines provided by the Office of Impact Analysis. The regulatory burden measurements are calculated on a ten-year basis. </w:t>
      </w:r>
      <w:r>
        <w:t>C</w:t>
      </w:r>
      <w:r w:rsidRPr="00DA2CA8">
        <w:t xml:space="preserve">osts are presented on an average per year basis, with one-tenth of the initial start-up costs added to the expected ongoing annual regulatory burden costs to provide the annual average cost that is expected for the first ten years of the proposed regulation. </w:t>
      </w:r>
      <w:r>
        <w:t xml:space="preserve">A </w:t>
      </w:r>
      <w:r w:rsidRPr="00DA2CA8">
        <w:t xml:space="preserve">range of assumptions have been used as model inputs. </w:t>
      </w:r>
      <w:r w:rsidRPr="00FE7485">
        <w:t>Many of the key assumptions are the same between the measures.</w:t>
      </w:r>
    </w:p>
    <w:p w14:paraId="6570EA31" w14:textId="77777777" w:rsidR="00D238B7" w:rsidRPr="00B52584" w:rsidRDefault="00D238B7" w:rsidP="00D238B7">
      <w:pPr>
        <w:pStyle w:val="Heading3"/>
        <w:spacing w:after="240"/>
      </w:pPr>
      <w:bookmarkStart w:id="184" w:name="_Toc151040359"/>
      <w:r>
        <w:t>Option 1. Maintain the status quo (no change)</w:t>
      </w:r>
      <w:bookmarkEnd w:id="184"/>
    </w:p>
    <w:p w14:paraId="37D539C9" w14:textId="77777777" w:rsidR="00D238B7" w:rsidRDefault="00D238B7" w:rsidP="00D238B7">
      <w:r>
        <w:rPr>
          <w:noProof/>
          <w:lang w:eastAsia="en-AU"/>
        </w:rPr>
        <w:drawing>
          <wp:inline distT="0" distB="0" distL="0" distR="0" wp14:anchorId="3AACB69C" wp14:editId="0EE63EF7">
            <wp:extent cx="5742940" cy="1000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940" cy="1000125"/>
                    </a:xfrm>
                    <a:prstGeom prst="rect">
                      <a:avLst/>
                    </a:prstGeom>
                    <a:noFill/>
                  </pic:spPr>
                </pic:pic>
              </a:graphicData>
            </a:graphic>
          </wp:inline>
        </w:drawing>
      </w:r>
    </w:p>
    <w:p w14:paraId="0A16A1A6" w14:textId="77777777" w:rsidR="00D238B7" w:rsidRDefault="00D238B7" w:rsidP="00D238B7">
      <w:pPr>
        <w:pStyle w:val="Heading4"/>
      </w:pPr>
      <w:bookmarkStart w:id="185" w:name="_Toc151040360"/>
      <w:r>
        <w:t>Overview</w:t>
      </w:r>
      <w:bookmarkEnd w:id="185"/>
    </w:p>
    <w:p w14:paraId="214417AD" w14:textId="77777777" w:rsidR="00D238B7" w:rsidRDefault="00D238B7" w:rsidP="004D6ABC">
      <w:r w:rsidRPr="005405A7">
        <w:t xml:space="preserve">Under the status quo, the Commonwealth would not take any </w:t>
      </w:r>
      <w:r>
        <w:t xml:space="preserve">further </w:t>
      </w:r>
      <w:r w:rsidRPr="005405A7">
        <w:t xml:space="preserve">action to strengthen the regulations for vapes. </w:t>
      </w:r>
      <w:r>
        <w:t xml:space="preserve">We would expect to see that the current trends outlined in Question 1 would continue. </w:t>
      </w:r>
    </w:p>
    <w:p w14:paraId="4C4D0E6E" w14:textId="77777777" w:rsidR="00D238B7" w:rsidRPr="005405A7" w:rsidRDefault="00D238B7" w:rsidP="004D6ABC">
      <w:r w:rsidRPr="005405A7">
        <w:t xml:space="preserve">While this option would minimise regulatory impost for industry stakeholders and consumers, the associated </w:t>
      </w:r>
      <w:r>
        <w:t>health impacts on</w:t>
      </w:r>
      <w:r w:rsidRPr="005405A7">
        <w:t xml:space="preserve"> users of vapes, and the impacts on the health system generally, overwhelm any actual benefit.</w:t>
      </w:r>
      <w:r>
        <w:t xml:space="preserve"> In addition, the status quo is not tenable due to </w:t>
      </w:r>
      <w:r w:rsidRPr="005405A7">
        <w:t xml:space="preserve">the </w:t>
      </w:r>
      <w:r>
        <w:t>risks of repeating</w:t>
      </w:r>
      <w:r w:rsidRPr="005405A7">
        <w:t xml:space="preserve"> the past lessons on the well-defined harms to consumers from tobacco use.</w:t>
      </w:r>
    </w:p>
    <w:p w14:paraId="432F6FD9" w14:textId="77777777" w:rsidR="00D238B7" w:rsidRDefault="00D238B7" w:rsidP="00D238B7">
      <w:pPr>
        <w:pStyle w:val="Heading4"/>
      </w:pPr>
      <w:bookmarkStart w:id="186" w:name="_Toc151040361"/>
      <w:r>
        <w:t>Who is affected and what are the economic, social and environmental costs and benefits?</w:t>
      </w:r>
      <w:bookmarkEnd w:id="186"/>
      <w:r>
        <w:t xml:space="preserve"> </w:t>
      </w:r>
    </w:p>
    <w:p w14:paraId="0DE2A22A" w14:textId="77777777" w:rsidR="00D238B7" w:rsidRDefault="00D238B7" w:rsidP="00D238B7">
      <w:r w:rsidRPr="004D6ABC">
        <w:t>Under the status quo, the trends and problems outlined under Question 1 would be expected to continue. This will have the biggest impact on the health of consumers, although it is also likely the vaping retail</w:t>
      </w:r>
      <w:r>
        <w:t xml:space="preserve"> sector would continue to grow as a consequence of increasing demand. </w:t>
      </w:r>
    </w:p>
    <w:p w14:paraId="4A73DFED" w14:textId="77777777" w:rsidR="00D238B7" w:rsidRDefault="00D238B7" w:rsidP="00D238B7">
      <w:pPr>
        <w:pStyle w:val="Heading5"/>
      </w:pPr>
      <w:r>
        <w:t>Consumers</w:t>
      </w:r>
    </w:p>
    <w:p w14:paraId="5A62698D" w14:textId="77777777" w:rsidR="00D238B7" w:rsidRDefault="00D238B7" w:rsidP="004D6ABC">
      <w:r>
        <w:t xml:space="preserve">For consumers, a benefit of this option has been to continue to allow lawful access to a wide range of vapes, including nicotine vapes through prescription and at low cost for smoking cessation. </w:t>
      </w:r>
    </w:p>
    <w:p w14:paraId="0C7839FE" w14:textId="77777777" w:rsidR="00D238B7" w:rsidRDefault="00D238B7" w:rsidP="004D6ABC">
      <w:pPr>
        <w:rPr>
          <w:rFonts w:eastAsia="Arial" w:cs="Arial"/>
          <w:sz w:val="19"/>
          <w:szCs w:val="19"/>
        </w:rPr>
      </w:pPr>
      <w:r>
        <w:t xml:space="preserve">However, this option would expose consumers who vape regularly to the health risks outlined in Question 1. </w:t>
      </w:r>
    </w:p>
    <w:p w14:paraId="7B556ABC" w14:textId="7CAC3980" w:rsidR="00D238B7" w:rsidRDefault="00D238B7" w:rsidP="004D6ABC">
      <w:r>
        <w:lastRenderedPageBreak/>
        <w:t>In addition, as set out in Question 1, vaping is a gateway to smoking. Over time, and with an increasing proportion of the population vaping, the status quo option will result in increased numbers of people taking up smoking, with its associated known health risks</w:t>
      </w:r>
      <w:r w:rsidR="00073073">
        <w:t>.</w:t>
      </w:r>
      <w:r>
        <w:rPr>
          <w:rStyle w:val="FootnoteReference"/>
        </w:rPr>
        <w:footnoteReference w:id="87"/>
      </w:r>
    </w:p>
    <w:p w14:paraId="16ECA79C" w14:textId="77777777" w:rsidR="00D238B7" w:rsidRPr="00421449" w:rsidRDefault="00D238B7" w:rsidP="004D6ABC">
      <w:pPr>
        <w:rPr>
          <w:rFonts w:eastAsia="Arial" w:cs="Arial"/>
        </w:rPr>
      </w:pPr>
      <w:r>
        <w:rPr>
          <w:rFonts w:eastAsia="Arial" w:cs="Arial"/>
        </w:rPr>
        <w:t xml:space="preserve">Product standards do not generally apply to zero-nicotine vapes, which exposes users to harm from potentially unsafe ingredients. As discussed in Question 1, while some ingredients are prohibited in therapeutic vapes under TGO 110 because of known health risks, these restrictions do not apply to non-therapeutic vapes. Further, due </w:t>
      </w:r>
      <w:r w:rsidRPr="009C4CB5">
        <w:rPr>
          <w:rFonts w:eastAsia="Arial" w:cs="Arial"/>
        </w:rPr>
        <w:t xml:space="preserve">to the difficulties with policing whether vapes imported through the Personal Importation Scheme comply with the regulatory standards in TGO 110, the prescription vapes many people are obtaining may not meet this standard or any other regulatory requirements. </w:t>
      </w:r>
    </w:p>
    <w:p w14:paraId="0FE6C226" w14:textId="5B25ED3A" w:rsidR="00D238B7" w:rsidRPr="002E7D53" w:rsidRDefault="00D238B7" w:rsidP="004D6ABC">
      <w:r w:rsidRPr="00A46932">
        <w:rPr>
          <w:rFonts w:eastAsia="Arial" w:cs="Arial"/>
        </w:rPr>
        <w:t xml:space="preserve">For smokers, ready access to zero-nicotine vapes without a valid prescription is likely to detract from, rather than maximise, chances of smoking cessation. It is well established that smoking cessation is most likely to be successful </w:t>
      </w:r>
      <w:r>
        <w:rPr>
          <w:rFonts w:eastAsia="Arial" w:cs="Arial"/>
        </w:rPr>
        <w:t>when delivered through or with</w:t>
      </w:r>
      <w:r w:rsidRPr="00A46932">
        <w:rPr>
          <w:rFonts w:eastAsia="Arial" w:cs="Arial"/>
        </w:rPr>
        <w:t xml:space="preserve"> behavioural support (see Question 1). The current regulatory settings allow smokers to self-medicate with zero-nicotine vapes, which is more risky than other treatment options and is not most likely to succeed. A medical practitioner can provide advice to patients on all of the options for smoking cessation, </w:t>
      </w:r>
      <w:r>
        <w:rPr>
          <w:rFonts w:eastAsia="Arial" w:cs="Arial"/>
        </w:rPr>
        <w:t xml:space="preserve">with </w:t>
      </w:r>
      <w:r w:rsidRPr="00A46932">
        <w:rPr>
          <w:rFonts w:eastAsia="Arial" w:cs="Arial"/>
        </w:rPr>
        <w:t>their comparative risks and benefits, and provide the behavioural support which is important in smoking cessation. There are a range of smoking cessation aids that have been approved by the TGA whose quality, safety and efficacy for smoking cessation has been rigorously assessed</w:t>
      </w:r>
      <w:r>
        <w:rPr>
          <w:rFonts w:eastAsia="Arial" w:cs="Arial"/>
        </w:rPr>
        <w:t>, which is not the case with</w:t>
      </w:r>
      <w:r w:rsidRPr="00A46932">
        <w:rPr>
          <w:rFonts w:eastAsia="Arial" w:cs="Arial"/>
        </w:rPr>
        <w:t xml:space="preserve"> </w:t>
      </w:r>
      <w:r w:rsidR="00923A7D">
        <w:rPr>
          <w:rFonts w:eastAsia="Arial" w:cs="Arial"/>
        </w:rPr>
        <w:t>vape</w:t>
      </w:r>
      <w:r w:rsidRPr="00A46932">
        <w:rPr>
          <w:rFonts w:eastAsia="Arial" w:cs="Arial"/>
        </w:rPr>
        <w:t>s.</w:t>
      </w:r>
      <w:r>
        <w:rPr>
          <w:rFonts w:eastAsia="Arial" w:cs="Arial"/>
        </w:rPr>
        <w:t xml:space="preserve"> The status quo </w:t>
      </w:r>
      <w:r>
        <w:t>also legitimises dual use of vaping and tobacco products, which can have the counteractive effect of vaping enabling smokers to continue to smoke, rather than to quit.</w:t>
      </w:r>
    </w:p>
    <w:p w14:paraId="22B2E14E" w14:textId="77777777" w:rsidR="00D238B7" w:rsidRPr="00B52844" w:rsidRDefault="00D238B7" w:rsidP="00D238B7">
      <w:pPr>
        <w:pStyle w:val="Heading5"/>
      </w:pPr>
      <w:r>
        <w:t>Health</w:t>
      </w:r>
      <w:r w:rsidRPr="00B52844">
        <w:t xml:space="preserve"> practitioners </w:t>
      </w:r>
    </w:p>
    <w:p w14:paraId="437A3B56" w14:textId="32B5E243" w:rsidR="00D238B7" w:rsidRDefault="00D238B7" w:rsidP="004D6ABC">
      <w:r>
        <w:t>Medical practitioners will need to continue to apply to the TGA to prescribe ‘unapproved’ therapeutic vapes through the SAS B and AP schemes and report to the TGA under these schemes. They will also need to continue to supply their SAS B and AP approvals to pharmacists before prescriptions can be dispensed.</w:t>
      </w:r>
    </w:p>
    <w:p w14:paraId="43432F74" w14:textId="77777777" w:rsidR="00D238B7" w:rsidRDefault="00D238B7" w:rsidP="00D238B7">
      <w:r>
        <w:t>In the absence of any TGA pre-market controls for nicotine vapes, medical practitioners would need to continue to independently review product options for the purpose of prescribing.</w:t>
      </w:r>
    </w:p>
    <w:p w14:paraId="03804D7C" w14:textId="77777777" w:rsidR="00D238B7" w:rsidRPr="00B52844" w:rsidRDefault="00D238B7" w:rsidP="00D238B7">
      <w:pPr>
        <w:pStyle w:val="Heading5"/>
      </w:pPr>
      <w:r w:rsidRPr="00B52844">
        <w:t xml:space="preserve">Pharmacists </w:t>
      </w:r>
    </w:p>
    <w:p w14:paraId="6C294771" w14:textId="77777777" w:rsidR="00D238B7" w:rsidRDefault="00D238B7" w:rsidP="004D6ABC">
      <w:r>
        <w:t xml:space="preserve">Competition from the </w:t>
      </w:r>
      <w:r w:rsidRPr="00342A88">
        <w:t xml:space="preserve">continued growth of illegal supply </w:t>
      </w:r>
      <w:r>
        <w:t>would progressively undermine</w:t>
      </w:r>
      <w:r w:rsidRPr="00342A88">
        <w:t xml:space="preserve"> the current legal supply of nicotine vapes through </w:t>
      </w:r>
      <w:r>
        <w:t>pharmacies</w:t>
      </w:r>
      <w:r w:rsidRPr="00342A88">
        <w:t xml:space="preserve">. </w:t>
      </w:r>
    </w:p>
    <w:p w14:paraId="06A69923" w14:textId="77777777" w:rsidR="00D238B7" w:rsidRPr="00342A88" w:rsidRDefault="00D238B7" w:rsidP="004D6ABC">
      <w:r>
        <w:t>In the absence of any TGA pre-market controls for nicotine vapes, pharmacists would need to continue to independently review product options for the purpose of stocking and supplying lawful therapeutic vapes.</w:t>
      </w:r>
    </w:p>
    <w:p w14:paraId="404D9A86" w14:textId="77777777" w:rsidR="00D238B7" w:rsidRPr="00B52844" w:rsidRDefault="00D238B7" w:rsidP="00D238B7">
      <w:pPr>
        <w:pStyle w:val="Heading5"/>
      </w:pPr>
      <w:r w:rsidRPr="00B52844">
        <w:t>Manufacturers</w:t>
      </w:r>
      <w:r>
        <w:t xml:space="preserve"> and </w:t>
      </w:r>
      <w:r w:rsidRPr="00B52844">
        <w:t>suppliers</w:t>
      </w:r>
    </w:p>
    <w:p w14:paraId="7C2DD31A" w14:textId="77777777" w:rsidR="00D238B7" w:rsidRPr="0087608A" w:rsidRDefault="00D238B7" w:rsidP="004D6ABC">
      <w:r>
        <w:t xml:space="preserve">Option 1 is unlikely to impose any additional regulatory cost on any of these stakeholder groups, with the domestic manufacturers of zero-nicotine vapes allowed to continue to manufacture. </w:t>
      </w:r>
    </w:p>
    <w:p w14:paraId="05089724" w14:textId="77777777" w:rsidR="00D238B7" w:rsidRDefault="00D238B7" w:rsidP="004D6ABC">
      <w:pPr>
        <w:rPr>
          <w:u w:val="single"/>
        </w:rPr>
      </w:pPr>
      <w:r>
        <w:t xml:space="preserve">Retailers selling zero-nicotine vapes, and domestic manufacturers of these products, would have the benefit that their businesses can continue to operate. Over time, increasing enforcement activity has the capacity </w:t>
      </w:r>
      <w:r w:rsidRPr="005302E5">
        <w:t xml:space="preserve">to impact supply of illegal nicotine vapes, which may undermine the viability of some specialist vape stores </w:t>
      </w:r>
      <w:r>
        <w:t xml:space="preserve">who may be </w:t>
      </w:r>
      <w:r w:rsidRPr="005302E5">
        <w:t xml:space="preserve">unable to maintain a business relying </w:t>
      </w:r>
      <w:r>
        <w:t xml:space="preserve">solely </w:t>
      </w:r>
      <w:r w:rsidRPr="005302E5">
        <w:t xml:space="preserve">on </w:t>
      </w:r>
      <w:r>
        <w:t xml:space="preserve">(legal) </w:t>
      </w:r>
      <w:r w:rsidRPr="005302E5">
        <w:t xml:space="preserve">sales of </w:t>
      </w:r>
      <w:r>
        <w:t>zero</w:t>
      </w:r>
      <w:r w:rsidRPr="005302E5">
        <w:t>-nicotine vapes.</w:t>
      </w:r>
      <w:r>
        <w:rPr>
          <w:u w:val="single"/>
        </w:rPr>
        <w:t xml:space="preserve">  </w:t>
      </w:r>
    </w:p>
    <w:p w14:paraId="359AFBF2" w14:textId="428D2960" w:rsidR="00D238B7" w:rsidRPr="004745A3" w:rsidRDefault="00D238B7" w:rsidP="004D6ABC">
      <w:pPr>
        <w:rPr>
          <w:u w:val="single"/>
        </w:rPr>
      </w:pPr>
      <w:r w:rsidRPr="005E32FE">
        <w:t>There would also be no new impact on manufacturers and importers supplying therapeutic vapes to the pharmacy market</w:t>
      </w:r>
      <w:r w:rsidRPr="00275699">
        <w:t xml:space="preserve">. </w:t>
      </w:r>
      <w:r>
        <w:t>However, a</w:t>
      </w:r>
      <w:r w:rsidRPr="00275699">
        <w:t xml:space="preserve"> number of suppliers to the pharmacy market have invested </w:t>
      </w:r>
      <w:r w:rsidRPr="004D6ABC">
        <w:t xml:space="preserve">significant capital in developing nicotine </w:t>
      </w:r>
      <w:r w:rsidR="00CA04B5" w:rsidRPr="004D6ABC">
        <w:t>vape</w:t>
      </w:r>
      <w:r w:rsidRPr="004D6ABC">
        <w:t xml:space="preserve">s for supply in Australian pharmacies that comply with </w:t>
      </w:r>
      <w:r w:rsidRPr="004D6ABC">
        <w:lastRenderedPageBreak/>
        <w:t>the regulatory requirements in the TG Act. The ability for people to readily access nicotine vapes, disguised as zero-nicotine vapes, on the black market means that this investment is not being realised. In the 2022 and 2023 Consultations, suppliers to the pharmacy market indicated that the black market is impacting</w:t>
      </w:r>
      <w:r w:rsidRPr="00275699">
        <w:t xml:space="preserve"> on the viability of them continuing to supply lawful nicotine vapes.</w:t>
      </w:r>
    </w:p>
    <w:p w14:paraId="15C051C7" w14:textId="77777777" w:rsidR="00D238B7" w:rsidRDefault="00D238B7" w:rsidP="00D238B7">
      <w:pPr>
        <w:pStyle w:val="Heading4"/>
      </w:pPr>
      <w:bookmarkStart w:id="187" w:name="_Toc151040362"/>
      <w:r w:rsidRPr="00287778">
        <w:t xml:space="preserve">Analysis of </w:t>
      </w:r>
      <w:r>
        <w:t>the net benefit</w:t>
      </w:r>
      <w:r w:rsidRPr="00287778">
        <w:t xml:space="preserve"> of Option </w:t>
      </w:r>
      <w:r>
        <w:t>1</w:t>
      </w:r>
      <w:r w:rsidRPr="00287778">
        <w:t>:</w:t>
      </w:r>
      <w:bookmarkEnd w:id="187"/>
      <w:r w:rsidRPr="00287778">
        <w:t xml:space="preserve"> </w:t>
      </w:r>
    </w:p>
    <w:p w14:paraId="0E0DF120" w14:textId="77777777" w:rsidR="00D238B7" w:rsidRDefault="00D238B7" w:rsidP="00D238B7">
      <w:pPr>
        <w:pStyle w:val="Heading5"/>
      </w:pPr>
      <w:r>
        <w:t xml:space="preserve">Economic costs and benefits </w:t>
      </w:r>
    </w:p>
    <w:p w14:paraId="47E80415" w14:textId="77777777" w:rsidR="00D238B7" w:rsidRDefault="00D238B7" w:rsidP="004D6ABC">
      <w:r>
        <w:t xml:space="preserve">There is a net positive impact on manufacturers and retailers that supply zero-nicotine vapes. </w:t>
      </w:r>
    </w:p>
    <w:p w14:paraId="2AF180F5" w14:textId="77777777" w:rsidR="00D238B7" w:rsidRDefault="00D238B7" w:rsidP="004D6ABC">
      <w:r>
        <w:t xml:space="preserve">However, over time, the continued growth of unlawful supply would risk undermining the viability of manufacturers, prescribers and pharmacists responsible for the legal supply of vapes in Australia. </w:t>
      </w:r>
    </w:p>
    <w:p w14:paraId="0DECFCFE" w14:textId="77777777" w:rsidR="00D238B7" w:rsidRDefault="00D238B7" w:rsidP="00D238B7">
      <w:pPr>
        <w:pStyle w:val="Heading5"/>
      </w:pPr>
      <w:r>
        <w:t xml:space="preserve">Social costs and benefits </w:t>
      </w:r>
    </w:p>
    <w:p w14:paraId="57B24269" w14:textId="77777777" w:rsidR="00D238B7" w:rsidRDefault="00D238B7" w:rsidP="004D6ABC">
      <w:r>
        <w:t xml:space="preserve">The status quo would continue to bring social benefits in relation to consumer choice and price. </w:t>
      </w:r>
    </w:p>
    <w:p w14:paraId="6CAAA170" w14:textId="5F910960" w:rsidR="00D238B7" w:rsidRDefault="00D238B7" w:rsidP="004D6ABC">
      <w:pPr>
        <w:rPr>
          <w:rFonts w:eastAsia="Arial" w:cs="Arial"/>
          <w:sz w:val="19"/>
          <w:szCs w:val="19"/>
        </w:rPr>
      </w:pPr>
      <w:r>
        <w:t xml:space="preserve">However, failure to move from the status quo would mean that, over time, more consumers, particularly </w:t>
      </w:r>
      <w:r w:rsidR="00E10B09">
        <w:t>youth and young adults</w:t>
      </w:r>
      <w:r>
        <w:t xml:space="preserve">, would take up vaping, attracted by marketing that intentionally targets </w:t>
      </w:r>
      <w:r w:rsidR="00E10B09" w:rsidRPr="00E10B09">
        <w:t xml:space="preserve">youth and young adults </w:t>
      </w:r>
      <w:r>
        <w:t xml:space="preserve">through product features such as flavours and packaging. </w:t>
      </w:r>
      <w:r>
        <w:rPr>
          <w:rFonts w:eastAsia="Arial" w:cs="Arial"/>
        </w:rPr>
        <w:t>A</w:t>
      </w:r>
      <w:r w:rsidRPr="00421449">
        <w:rPr>
          <w:rFonts w:eastAsia="Arial" w:cs="Arial"/>
        </w:rPr>
        <w:t>llowing</w:t>
      </w:r>
      <w:r w:rsidRPr="00811E15">
        <w:rPr>
          <w:rFonts w:eastAsia="Arial" w:cs="Arial"/>
        </w:rPr>
        <w:t xml:space="preserve"> access to zero-nicotine vapes for </w:t>
      </w:r>
      <w:r w:rsidR="003A4FA8" w:rsidRPr="00811E15">
        <w:rPr>
          <w:rFonts w:eastAsia="Arial" w:cs="Arial"/>
        </w:rPr>
        <w:t>non-therapeutic</w:t>
      </w:r>
      <w:r w:rsidRPr="00811E15">
        <w:rPr>
          <w:rFonts w:eastAsia="Arial" w:cs="Arial"/>
        </w:rPr>
        <w:t xml:space="preserve"> purposes normalises these products and counteracts messaging to </w:t>
      </w:r>
      <w:r w:rsidR="00E10B09">
        <w:t xml:space="preserve">youth and young adults </w:t>
      </w:r>
      <w:r w:rsidRPr="00F34B7B">
        <w:rPr>
          <w:rFonts w:eastAsia="Arial" w:cs="Arial"/>
        </w:rPr>
        <w:t xml:space="preserve">about the harms of vaping. </w:t>
      </w:r>
      <w:r>
        <w:t>An increasingly larger proportion of the population of Australia will be exposed to the unquantifiable short</w:t>
      </w:r>
      <w:r w:rsidR="00BA1C74">
        <w:t>-</w:t>
      </w:r>
      <w:r>
        <w:t xml:space="preserve"> and long</w:t>
      </w:r>
      <w:r w:rsidR="00BA1C74">
        <w:t>-</w:t>
      </w:r>
      <w:r>
        <w:t xml:space="preserve">term harms that come from vaping, even when using zero-nicotine vapes. </w:t>
      </w:r>
    </w:p>
    <w:p w14:paraId="69004A15" w14:textId="6884C0EA" w:rsidR="00D238B7" w:rsidRPr="00421449" w:rsidRDefault="00D238B7" w:rsidP="004D6ABC">
      <w:pPr>
        <w:rPr>
          <w:rFonts w:eastAsia="Arial" w:cs="Arial"/>
        </w:rPr>
      </w:pPr>
      <w:r>
        <w:rPr>
          <w:rFonts w:eastAsia="Arial" w:cs="Arial"/>
        </w:rPr>
        <w:t xml:space="preserve">While </w:t>
      </w:r>
      <w:r w:rsidRPr="00421449">
        <w:rPr>
          <w:rFonts w:eastAsia="Arial" w:cs="Arial"/>
        </w:rPr>
        <w:t xml:space="preserve">vapes are unavailable to </w:t>
      </w:r>
      <w:r w:rsidR="00E10B09">
        <w:t>youth and young adults</w:t>
      </w:r>
      <w:r w:rsidRPr="00421449">
        <w:rPr>
          <w:rFonts w:eastAsia="Arial" w:cs="Arial"/>
        </w:rPr>
        <w:t xml:space="preserve"> under the current regulatory framework, </w:t>
      </w:r>
      <w:r w:rsidR="00E10B09">
        <w:t xml:space="preserve">youth and young adults </w:t>
      </w:r>
      <w:r>
        <w:rPr>
          <w:rFonts w:eastAsia="Arial" w:cs="Arial"/>
        </w:rPr>
        <w:t>appear to</w:t>
      </w:r>
      <w:r w:rsidRPr="00421449">
        <w:rPr>
          <w:rFonts w:eastAsia="Arial" w:cs="Arial"/>
        </w:rPr>
        <w:t xml:space="preserve"> have ready access to all kinds of vapes despite these controls. </w:t>
      </w:r>
      <w:r>
        <w:rPr>
          <w:rFonts w:eastAsia="Arial" w:cs="Arial"/>
        </w:rPr>
        <w:t xml:space="preserve">As the Generation Vape study referred to in </w:t>
      </w:r>
      <w:r w:rsidR="00006AAE">
        <w:rPr>
          <w:rFonts w:eastAsia="Arial" w:cs="Arial"/>
        </w:rPr>
        <w:t>Question</w:t>
      </w:r>
      <w:r>
        <w:rPr>
          <w:rFonts w:eastAsia="Arial" w:cs="Arial"/>
        </w:rPr>
        <w:t xml:space="preserve"> 1 has found, </w:t>
      </w:r>
      <w:r w:rsidR="00E10B09">
        <w:t xml:space="preserve">youth and young adults </w:t>
      </w:r>
      <w:r w:rsidRPr="00421449">
        <w:rPr>
          <w:rFonts w:eastAsia="Arial" w:cs="Arial"/>
        </w:rPr>
        <w:t>are accessing vapes from friends and family</w:t>
      </w:r>
      <w:r>
        <w:rPr>
          <w:rFonts w:eastAsia="Arial" w:cs="Arial"/>
        </w:rPr>
        <w:t>,</w:t>
      </w:r>
      <w:r w:rsidRPr="005014D4">
        <w:rPr>
          <w:rFonts w:eastAsia="Arial" w:cs="Arial"/>
        </w:rPr>
        <w:t xml:space="preserve"> </w:t>
      </w:r>
      <w:r>
        <w:rPr>
          <w:rFonts w:eastAsia="Arial" w:cs="Arial"/>
        </w:rPr>
        <w:t>individuals selling them, retailers and online. As outlined in Question 1, this problem is expected to grow over time.</w:t>
      </w:r>
    </w:p>
    <w:p w14:paraId="4B270655" w14:textId="77777777" w:rsidR="00D238B7" w:rsidRDefault="00D238B7" w:rsidP="00D238B7">
      <w:pPr>
        <w:pStyle w:val="Heading5"/>
      </w:pPr>
      <w:r>
        <w:t xml:space="preserve">Environmental costs and benefits </w:t>
      </w:r>
    </w:p>
    <w:p w14:paraId="332ACAA3" w14:textId="7626E9EB" w:rsidR="00D238B7" w:rsidRDefault="00D238B7" w:rsidP="00D238B7">
      <w:pPr>
        <w:pStyle w:val="Bullet1"/>
        <w:rPr>
          <w:rFonts w:eastAsiaTheme="minorEastAsia" w:cstheme="minorBidi"/>
        </w:rPr>
      </w:pPr>
      <w:r w:rsidRPr="00C2196E">
        <w:t xml:space="preserve">Disposable vapes would remain widely available, leading to environmental damage and the need to implement expensive cost disposal mechanisms </w:t>
      </w:r>
      <w:r w:rsidR="00755ED3" w:rsidRPr="00063DFD">
        <w:rPr>
          <w:color w:val="000000"/>
        </w:rPr>
        <w:t>–</w:t>
      </w:r>
      <w:r w:rsidRPr="00C2196E">
        <w:t xml:space="preserve"> </w:t>
      </w:r>
      <w:r w:rsidR="00035FB3">
        <w:t>estimated costs per device vary</w:t>
      </w:r>
      <w:r w:rsidRPr="00C2196E">
        <w:t>. In the absence of reliable information relating to vaping usage, it is not currently possible to estimate how many disposals occur per year. In any case, the scale of the current problem is obscured</w:t>
      </w:r>
      <w:r>
        <w:rPr>
          <w:rFonts w:eastAsiaTheme="minorEastAsia" w:cstheme="minorBidi"/>
        </w:rPr>
        <w:t xml:space="preserve"> by inappropriate dumping of vape waste in ordinary garbage. </w:t>
      </w:r>
    </w:p>
    <w:p w14:paraId="0BACAE4D" w14:textId="77777777" w:rsidR="00D238B7" w:rsidRDefault="00D238B7" w:rsidP="00F14100">
      <w:pPr>
        <w:pStyle w:val="Heading6"/>
      </w:pPr>
      <w:r>
        <w:t xml:space="preserve">Net benefit </w:t>
      </w:r>
    </w:p>
    <w:p w14:paraId="7AA786B4" w14:textId="77777777" w:rsidR="00D238B7" w:rsidRDefault="00D238B7" w:rsidP="00C2196E">
      <w:r>
        <w:t>There are very few additional benefits over time resulting from no intervention, aside from potentially maintaining consistency for industry.</w:t>
      </w:r>
    </w:p>
    <w:p w14:paraId="07E79337" w14:textId="4FAD92EB" w:rsidR="00D238B7" w:rsidRDefault="00D238B7" w:rsidP="00C2196E">
      <w:r>
        <w:t xml:space="preserve">The status quo will not meet the objectives for Government action stated in Question 2 nor address the health costs of vaping. It will not arrest the future uptake of vapes, especially by </w:t>
      </w:r>
      <w:r w:rsidR="00E10B09">
        <w:t xml:space="preserve">youth and </w:t>
      </w:r>
      <w:r>
        <w:t xml:space="preserve">young </w:t>
      </w:r>
      <w:r w:rsidR="00E10B09">
        <w:t>adults</w:t>
      </w:r>
      <w:r>
        <w:t xml:space="preserve">. The trends identified under Question 1, “Increasing prevalence and attractiveness of vaping in Australia, particularly amongst </w:t>
      </w:r>
      <w:r w:rsidR="00A67A88">
        <w:t>youth</w:t>
      </w:r>
      <w:r>
        <w:t xml:space="preserve"> and young adults”, will continue.</w:t>
      </w:r>
    </w:p>
    <w:p w14:paraId="7FCD01C2" w14:textId="3E353643" w:rsidR="00F9604C" w:rsidRDefault="00D238B7" w:rsidP="00401C65">
      <w:r>
        <w:t xml:space="preserve">The status quo also does not adequately address the growing unlawful access to nicotine vapes. While theoretically nicotine vapes are only available to consumers with a prescription, surveys conclude that the legal supply of nicotine vapes is likely ranging between 3-12% of all </w:t>
      </w:r>
      <w:r w:rsidRPr="00E249E4">
        <w:t xml:space="preserve">nicotine vapes supplied in Australia (as outlined in Question 1). </w:t>
      </w:r>
      <w:r w:rsidRPr="1F15AA31">
        <w:t xml:space="preserve">There is </w:t>
      </w:r>
      <w:r w:rsidR="001B0490">
        <w:t xml:space="preserve">also </w:t>
      </w:r>
      <w:r>
        <w:t xml:space="preserve">anecdotal </w:t>
      </w:r>
      <w:r w:rsidRPr="1F15AA31">
        <w:t>evidence that smokers buy zero</w:t>
      </w:r>
      <w:r w:rsidRPr="44292172">
        <w:t>-</w:t>
      </w:r>
      <w:r w:rsidRPr="1F15AA31">
        <w:t xml:space="preserve">nicotine </w:t>
      </w:r>
      <w:r w:rsidRPr="44292172">
        <w:t>e-</w:t>
      </w:r>
      <w:r w:rsidRPr="1F15AA31">
        <w:t xml:space="preserve">liquids from </w:t>
      </w:r>
      <w:r>
        <w:t xml:space="preserve">a retail </w:t>
      </w:r>
      <w:r w:rsidRPr="1F15AA31">
        <w:t>or online store in Australia and then</w:t>
      </w:r>
      <w:r>
        <w:t xml:space="preserve"> </w:t>
      </w:r>
      <w:r w:rsidRPr="1F15AA31">
        <w:t>purchase nicotine to mix with this solution from an overseas website without a prescription.</w:t>
      </w:r>
      <w:r>
        <w:rPr>
          <w:rStyle w:val="FootnoteReference"/>
        </w:rPr>
        <w:footnoteReference w:id="88"/>
      </w:r>
      <w:r w:rsidRPr="1F15AA31">
        <w:t xml:space="preserve"> </w:t>
      </w:r>
    </w:p>
    <w:p w14:paraId="7FFDE4A8" w14:textId="53ADCC1B" w:rsidR="00D238B7" w:rsidRPr="00D238B7" w:rsidRDefault="00D238B7" w:rsidP="00F14100">
      <w:r w:rsidRPr="00C2196E">
        <w:lastRenderedPageBreak/>
        <w:t xml:space="preserve">It is difficult to police the requirement for a prescription for products imported for personal use through the mail. Access to nicotine products without a prescription has been exacerbated by the current regulatory settings that have allowed nicotine containing vapes to be disguised as zero-nicotine vapes. While many vapes sold in Australia are not labelled as containing nicotine, as outlined in </w:t>
      </w:r>
      <w:r w:rsidR="00BA1C74" w:rsidRPr="00C2196E">
        <w:t>Question</w:t>
      </w:r>
      <w:r w:rsidRPr="00C2196E">
        <w:t xml:space="preserve"> 1, when tested these products are often shown to contain nicotine. This makes enforcement actio</w:t>
      </w:r>
      <w:r>
        <w:t>n difficult, as product testing is required to determine if it is a lawful</w:t>
      </w:r>
      <w:r w:rsidR="00680198">
        <w:t xml:space="preserve"> </w:t>
      </w:r>
      <w:r>
        <w:t xml:space="preserve">or unlawful vape. </w:t>
      </w:r>
    </w:p>
    <w:p w14:paraId="5DEFFEFB" w14:textId="3CF0E13E" w:rsidR="00D238B7" w:rsidRPr="008852B5" w:rsidRDefault="00D238B7" w:rsidP="00D238B7">
      <w:pPr>
        <w:pStyle w:val="Heading3"/>
        <w:rPr>
          <w:highlight w:val="yellow"/>
        </w:rPr>
      </w:pPr>
      <w:bookmarkStart w:id="188" w:name="_Toc151040363"/>
      <w:r w:rsidRPr="00277852">
        <w:rPr>
          <w:bCs w:val="0"/>
        </w:rPr>
        <w:t xml:space="preserve">Option 2: Regulating vapes </w:t>
      </w:r>
      <w:r>
        <w:rPr>
          <w:bCs w:val="0"/>
        </w:rPr>
        <w:t>under</w:t>
      </w:r>
      <w:r w:rsidRPr="00277852">
        <w:rPr>
          <w:bCs w:val="0"/>
        </w:rPr>
        <w:t xml:space="preserve"> a consumer model</w:t>
      </w:r>
      <w:bookmarkEnd w:id="188"/>
    </w:p>
    <w:p w14:paraId="5B15D9F2" w14:textId="77777777" w:rsidR="00D238B7" w:rsidRDefault="00D238B7" w:rsidP="00D238B7">
      <w:r>
        <w:rPr>
          <w:noProof/>
          <w:lang w:eastAsia="en-AU"/>
        </w:rPr>
        <w:drawing>
          <wp:inline distT="0" distB="0" distL="0" distR="0" wp14:anchorId="320A375D" wp14:editId="4CFAB603">
            <wp:extent cx="5742940" cy="932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5742940" cy="932815"/>
                    </a:xfrm>
                    <a:prstGeom prst="rect">
                      <a:avLst/>
                    </a:prstGeom>
                  </pic:spPr>
                </pic:pic>
              </a:graphicData>
            </a:graphic>
          </wp:inline>
        </w:drawing>
      </w:r>
    </w:p>
    <w:p w14:paraId="7056EEEE" w14:textId="77777777" w:rsidR="00D238B7" w:rsidRDefault="00D238B7" w:rsidP="00D238B7">
      <w:pPr>
        <w:pStyle w:val="Heading4"/>
      </w:pPr>
      <w:bookmarkStart w:id="189" w:name="_Toc151040364"/>
      <w:r>
        <w:t>Overview</w:t>
      </w:r>
      <w:bookmarkEnd w:id="189"/>
    </w:p>
    <w:p w14:paraId="52190E61" w14:textId="77777777" w:rsidR="00D238B7" w:rsidRDefault="00D238B7" w:rsidP="00C2196E">
      <w:r>
        <w:t xml:space="preserve">Option 2 would result in vapes being available for purchase by consumers from a range of retail outlets, including supermarkets and convenience stores, provided appropriate regulatory requirements are met. There would not be a restriction on the intended use of vapes and prescription from a medical practitioner would not be required to access any form of vape. </w:t>
      </w:r>
    </w:p>
    <w:p w14:paraId="26498B10" w14:textId="77777777" w:rsidR="00D238B7" w:rsidRPr="00AB7A52" w:rsidRDefault="00D238B7" w:rsidP="00C2196E">
      <w:pPr>
        <w:rPr>
          <w:kern w:val="2"/>
          <w14:ligatures w14:val="standardContextual"/>
        </w:rPr>
      </w:pPr>
      <w:r>
        <w:rPr>
          <w:kern w:val="2"/>
          <w14:ligatures w14:val="standardContextual"/>
        </w:rPr>
        <w:t xml:space="preserve">As outlined in Question 3, </w:t>
      </w:r>
      <w:r>
        <w:t>this option represents a lower level of regulation than the status quo. T</w:t>
      </w:r>
      <w:r>
        <w:rPr>
          <w:kern w:val="2"/>
          <w14:ligatures w14:val="standardContextual"/>
        </w:rPr>
        <w:t xml:space="preserve">he main regulatory </w:t>
      </w:r>
      <w:r w:rsidRPr="00AB7A52">
        <w:rPr>
          <w:kern w:val="2"/>
          <w14:ligatures w14:val="standardContextual"/>
        </w:rPr>
        <w:t>requirements would</w:t>
      </w:r>
      <w:r>
        <w:rPr>
          <w:kern w:val="2"/>
          <w14:ligatures w14:val="standardContextual"/>
        </w:rPr>
        <w:t xml:space="preserve"> be to</w:t>
      </w:r>
      <w:r w:rsidRPr="00AB7A52">
        <w:rPr>
          <w:kern w:val="2"/>
          <w14:ligatures w14:val="standardContextual"/>
        </w:rPr>
        <w:t xml:space="preserve">: </w:t>
      </w:r>
    </w:p>
    <w:p w14:paraId="6E68A6E6" w14:textId="4DE8D77A" w:rsidR="00D238B7" w:rsidRDefault="00D238B7" w:rsidP="00467EDD">
      <w:pPr>
        <w:pStyle w:val="Bullet1"/>
        <w:numPr>
          <w:ilvl w:val="0"/>
          <w:numId w:val="53"/>
        </w:numPr>
      </w:pPr>
      <w:r w:rsidRPr="007A39F4">
        <w:t>requir</w:t>
      </w:r>
      <w:r>
        <w:t>e</w:t>
      </w:r>
      <w:r w:rsidRPr="007A39F4">
        <w:t xml:space="preserve"> retailers to be licensed to sell vapes</w:t>
      </w:r>
    </w:p>
    <w:p w14:paraId="3FD7A756" w14:textId="789F4DF1" w:rsidR="00D238B7" w:rsidRDefault="00D238B7" w:rsidP="00467EDD">
      <w:pPr>
        <w:pStyle w:val="Bullet1"/>
        <w:numPr>
          <w:ilvl w:val="0"/>
          <w:numId w:val="53"/>
        </w:numPr>
      </w:pPr>
      <w:r w:rsidRPr="007A39F4">
        <w:t>prevent the sale of vapes to under 18s</w:t>
      </w:r>
    </w:p>
    <w:p w14:paraId="4F3B69BB" w14:textId="127E029A" w:rsidR="00D238B7" w:rsidRPr="007A39F4" w:rsidRDefault="00D238B7" w:rsidP="00467EDD">
      <w:pPr>
        <w:pStyle w:val="Bullet1"/>
        <w:numPr>
          <w:ilvl w:val="0"/>
          <w:numId w:val="53"/>
        </w:numPr>
      </w:pPr>
      <w:r>
        <w:t>limit advertising of vapes</w:t>
      </w:r>
    </w:p>
    <w:p w14:paraId="3553FC75" w14:textId="50A86290" w:rsidR="00D238B7" w:rsidRPr="007A39F4" w:rsidRDefault="00D238B7" w:rsidP="00467EDD">
      <w:pPr>
        <w:pStyle w:val="Bullet1"/>
        <w:numPr>
          <w:ilvl w:val="0"/>
          <w:numId w:val="53"/>
        </w:numPr>
      </w:pPr>
      <w:r>
        <w:t xml:space="preserve">impose quality and safety </w:t>
      </w:r>
      <w:r w:rsidRPr="007A39F4">
        <w:t>standards</w:t>
      </w:r>
    </w:p>
    <w:p w14:paraId="7208DFF4" w14:textId="77777777" w:rsidR="00D238B7" w:rsidRDefault="00D238B7" w:rsidP="00467EDD">
      <w:pPr>
        <w:pStyle w:val="Bullet1"/>
        <w:numPr>
          <w:ilvl w:val="0"/>
          <w:numId w:val="53"/>
        </w:numPr>
      </w:pPr>
      <w:r>
        <w:t xml:space="preserve">require </w:t>
      </w:r>
      <w:r w:rsidRPr="007A39F4">
        <w:t xml:space="preserve">manufacturers to submit pre-market notification. </w:t>
      </w:r>
    </w:p>
    <w:p w14:paraId="59849078" w14:textId="77777777" w:rsidR="00D238B7" w:rsidRDefault="00D238B7" w:rsidP="005B3BE6">
      <w:r w:rsidRPr="00C2196E">
        <w:t>This option would entail the repeal of the October 2021 reforms as prescriptions would no longer be required. State and territory legislation, relating to tobacco, medicines and poisons, would also require amendment. In practice, it may be difficult to achieve uniform reform in this area, leading to different regulatory practices throughout Australia</w:t>
      </w:r>
      <w:r>
        <w:t xml:space="preserve">.  </w:t>
      </w:r>
    </w:p>
    <w:p w14:paraId="4DA73D1C" w14:textId="77777777" w:rsidR="00D238B7" w:rsidRDefault="00D238B7" w:rsidP="00D238B7">
      <w:pPr>
        <w:pStyle w:val="Heading4"/>
      </w:pPr>
      <w:bookmarkStart w:id="190" w:name="_Toc151040365"/>
      <w:r>
        <w:t>Who is affected and what are the economic, social and environmental costs and benefits?</w:t>
      </w:r>
      <w:bookmarkEnd w:id="190"/>
      <w:r>
        <w:t xml:space="preserve"> </w:t>
      </w:r>
    </w:p>
    <w:p w14:paraId="23E03C22" w14:textId="77777777" w:rsidR="00D238B7" w:rsidRDefault="00D238B7" w:rsidP="00D238B7">
      <w:pPr>
        <w:pStyle w:val="Heading5"/>
      </w:pPr>
      <w:r w:rsidRPr="00496A46">
        <w:t>Consumers</w:t>
      </w:r>
      <w:r>
        <w:t xml:space="preserve"> </w:t>
      </w:r>
    </w:p>
    <w:p w14:paraId="6C6F9979" w14:textId="77777777" w:rsidR="00D238B7" w:rsidRPr="00126F62" w:rsidRDefault="00D238B7" w:rsidP="00C2196E">
      <w:r w:rsidRPr="00126F62">
        <w:t xml:space="preserve">Consumers would benefit through greater personal choice as to when to vape and the range of vapes </w:t>
      </w:r>
      <w:r>
        <w:t>used</w:t>
      </w:r>
      <w:r w:rsidRPr="00126F62">
        <w:t xml:space="preserve">. </w:t>
      </w:r>
    </w:p>
    <w:p w14:paraId="105FAED8" w14:textId="77777777" w:rsidR="00D238B7" w:rsidRPr="00126F62" w:rsidRDefault="00D238B7" w:rsidP="00C2196E">
      <w:r w:rsidRPr="00126F62">
        <w:t>Consumers who wish to access vapes for smoking cessation would have easy access to a range of products for this purpose. A number of submissions to the 2022 and 2023 Consultations argued that flavour choice significantly contributes to the uptake of vaping for smoking cessation.</w:t>
      </w:r>
    </w:p>
    <w:p w14:paraId="41C35FEC" w14:textId="77777777" w:rsidR="00D238B7" w:rsidRPr="00126F62" w:rsidRDefault="00D238B7" w:rsidP="00617DF5">
      <w:r w:rsidRPr="00EA0EBF">
        <w:t>There would be cost savings for consumers in not being required to obtain a prescription to use vapes for smoking cessation.</w:t>
      </w:r>
      <w:r>
        <w:t xml:space="preserve"> </w:t>
      </w:r>
    </w:p>
    <w:p w14:paraId="7F43B733" w14:textId="77777777" w:rsidR="00D238B7" w:rsidRDefault="00D238B7" w:rsidP="00617DF5">
      <w:r w:rsidRPr="00126F62">
        <w:t>Consumers would also benefit because the quality of lawful vapes would improve, with all vapes</w:t>
      </w:r>
      <w:r>
        <w:t xml:space="preserve">, </w:t>
      </w:r>
      <w:r w:rsidRPr="00126F62">
        <w:t>not just nicotine vapes</w:t>
      </w:r>
      <w:r>
        <w:t>,</w:t>
      </w:r>
      <w:r w:rsidRPr="00126F62">
        <w:t xml:space="preserve"> subject to a minimum product standard.</w:t>
      </w:r>
      <w:r>
        <w:t xml:space="preserve"> Quality standards on vapes have the </w:t>
      </w:r>
      <w:r>
        <w:lastRenderedPageBreak/>
        <w:t>potential to lower some of the health risks associated with use of low quality vapes, both zero-nicotine and nicotine. As outlined in Question 1, a number of studies on vapes sampled from retailers and seized imports have shown the presence of a wide range of chemicals in vapes, including some listed on the prohibited ingredients list outlined in TGO 110.</w:t>
      </w:r>
      <w:r w:rsidRPr="00E53FC5">
        <w:t xml:space="preserve"> </w:t>
      </w:r>
      <w:r>
        <w:t xml:space="preserve">The introduction of quality standards for all vapes would have significant benefits to consumers in mitigating some health risks of vaping compared to the status quo. </w:t>
      </w:r>
    </w:p>
    <w:p w14:paraId="63D810E4" w14:textId="7F2081EE" w:rsidR="00D238B7" w:rsidRDefault="00D238B7" w:rsidP="00617DF5">
      <w:pPr>
        <w:rPr>
          <w:rFonts w:cs="Arial"/>
        </w:rPr>
      </w:pPr>
      <w:r w:rsidRPr="00126F62">
        <w:t xml:space="preserve">However, these benefits come at the risk of </w:t>
      </w:r>
      <w:r>
        <w:t xml:space="preserve">even </w:t>
      </w:r>
      <w:r w:rsidRPr="00126F62">
        <w:t xml:space="preserve">greater health impacts for individuals. A minimum product </w:t>
      </w:r>
      <w:r w:rsidRPr="00126F62">
        <w:rPr>
          <w:rFonts w:cs="Arial"/>
        </w:rPr>
        <w:t>standard cannot protect consumers from the health risks of vapes. Consumers will be exposed to the known short</w:t>
      </w:r>
      <w:r w:rsidR="00FC00EF" w:rsidRPr="00126F62">
        <w:rPr>
          <w:rFonts w:cs="Arial"/>
        </w:rPr>
        <w:t>-</w:t>
      </w:r>
      <w:r w:rsidRPr="00126F62">
        <w:rPr>
          <w:rFonts w:cs="Arial"/>
        </w:rPr>
        <w:t xml:space="preserve">term risks of vaping outlined in </w:t>
      </w:r>
      <w:r>
        <w:rPr>
          <w:rFonts w:cs="Arial"/>
        </w:rPr>
        <w:t>Q</w:t>
      </w:r>
      <w:r w:rsidRPr="00126F62">
        <w:rPr>
          <w:rFonts w:cs="Arial"/>
        </w:rPr>
        <w:t>uestion 1</w:t>
      </w:r>
      <w:r>
        <w:rPr>
          <w:rFonts w:cs="Arial"/>
        </w:rPr>
        <w:t>. These include</w:t>
      </w:r>
      <w:r w:rsidRPr="00126F62">
        <w:rPr>
          <w:rFonts w:cs="Arial"/>
        </w:rPr>
        <w:t xml:space="preserve"> nicotine addiction, nicotine poisoning, exposure to toxins, and serious injuries and burns. Those vapers who </w:t>
      </w:r>
      <w:r w:rsidRPr="00A1472C">
        <w:rPr>
          <w:rFonts w:cs="Arial"/>
        </w:rPr>
        <w:t xml:space="preserve">have never smoked will be exposed to a significant risk of taking up smoking. As outlined in </w:t>
      </w:r>
      <w:r w:rsidR="00FC00EF" w:rsidRPr="00A1472C">
        <w:rPr>
          <w:rFonts w:cs="Arial"/>
        </w:rPr>
        <w:t>Question</w:t>
      </w:r>
      <w:r w:rsidR="00DD0259" w:rsidRPr="00A1472C">
        <w:rPr>
          <w:rFonts w:cs="Arial"/>
        </w:rPr>
        <w:t xml:space="preserve"> </w:t>
      </w:r>
      <w:r w:rsidRPr="00A1472C">
        <w:t>1,</w:t>
      </w:r>
      <w:r w:rsidRPr="00A1472C">
        <w:rPr>
          <w:rFonts w:cs="Arial"/>
        </w:rPr>
        <w:t xml:space="preserve"> vapers who have never smoked are 3 times more likely than non-vapers to take up smoking. They will also</w:t>
      </w:r>
      <w:r w:rsidRPr="00126F62">
        <w:rPr>
          <w:rFonts w:cs="Arial"/>
        </w:rPr>
        <w:t xml:space="preserve"> be exposed to the unknown long term health impacts of vaping that public health experts are concerned could be of a similar magnitude to those resulting from smoking. </w:t>
      </w:r>
    </w:p>
    <w:p w14:paraId="53047F37" w14:textId="77777777" w:rsidR="00D238B7" w:rsidRPr="00E51912" w:rsidRDefault="00D238B7" w:rsidP="00617DF5">
      <w:pPr>
        <w:rPr>
          <w:rFonts w:cs="Arial"/>
        </w:rPr>
      </w:pPr>
      <w:r>
        <w:t xml:space="preserve">A minimum product standard cannot provide the support that most assists smokers to quit. Use of vapes for smoking cessation without medical supervision does not provide the behavioural support and advice that is so often important in quitting. It can also result in prolonging smoking though with dual use of vapes and tobacco products. Vape use can support continued smoking because it is a cheap option to satisfy nicotine cravings in conjunction with cigarette use. </w:t>
      </w:r>
    </w:p>
    <w:p w14:paraId="6E9153FE" w14:textId="77777777" w:rsidR="00D238B7" w:rsidRPr="00085BBE" w:rsidRDefault="00D238B7" w:rsidP="00D238B7">
      <w:pPr>
        <w:pStyle w:val="Heading5"/>
      </w:pPr>
      <w:r>
        <w:t>Health</w:t>
      </w:r>
      <w:r w:rsidRPr="00085BBE">
        <w:t xml:space="preserve"> practitioners </w:t>
      </w:r>
    </w:p>
    <w:p w14:paraId="58503082" w14:textId="5C6739BF" w:rsidR="00D238B7" w:rsidRDefault="00D238B7" w:rsidP="00D238B7">
      <w:r>
        <w:t>Compared to the status quo, this option would remove the need for medical practitioners to prescribe vapes, and the need for vapes to be dispensed by pharmacies. Based on the costings in Annexure B, the savings to prescribers is expected to be $1.14m just for the Authorised Prescribers currently having to submit 6 monthly reports, and up to 140,000 visits to seek prescriptions per year (current users with a script). Savings for practitioners using SAS would also be achieved.</w:t>
      </w:r>
    </w:p>
    <w:p w14:paraId="1761C12C" w14:textId="77777777" w:rsidR="00D238B7" w:rsidRPr="00085BBE" w:rsidRDefault="00D238B7" w:rsidP="00D238B7">
      <w:pPr>
        <w:pStyle w:val="Heading5"/>
      </w:pPr>
      <w:r w:rsidRPr="00085BBE">
        <w:t>Pharmacists</w:t>
      </w:r>
    </w:p>
    <w:p w14:paraId="1C3C7593" w14:textId="77777777" w:rsidR="00D238B7" w:rsidRPr="00496A46" w:rsidRDefault="00D238B7" w:rsidP="00D238B7">
      <w:r w:rsidRPr="65D23060">
        <w:rPr>
          <w:rFonts w:eastAsiaTheme="minorEastAsia"/>
        </w:rPr>
        <w:t>While pharmacies would be able to sell vapes as consumer goods</w:t>
      </w:r>
      <w:r>
        <w:rPr>
          <w:rFonts w:eastAsiaTheme="minorEastAsia"/>
        </w:rPr>
        <w:t>,</w:t>
      </w:r>
      <w:r w:rsidRPr="65D23060">
        <w:rPr>
          <w:rFonts w:eastAsiaTheme="minorEastAsia"/>
        </w:rPr>
        <w:t xml:space="preserve"> it is difficult to see how this would be an economically viable option as consumers would be likely able to obtain a greater product range and at a cheaper price from domestic vaping retailers or online overseas retailers.</w:t>
      </w:r>
    </w:p>
    <w:p w14:paraId="567751E8" w14:textId="77777777" w:rsidR="00D238B7" w:rsidRPr="00085BBE" w:rsidRDefault="00D238B7" w:rsidP="00D238B7">
      <w:pPr>
        <w:pStyle w:val="Heading5"/>
      </w:pPr>
      <w:r w:rsidRPr="00085BBE">
        <w:t xml:space="preserve">Manufacturers and suppliers </w:t>
      </w:r>
    </w:p>
    <w:p w14:paraId="3A8E1264" w14:textId="77777777" w:rsidR="00D238B7" w:rsidRDefault="00D238B7" w:rsidP="00D238B7">
      <w:r>
        <w:t xml:space="preserve">The main regulatory cost to manufacturers would be the need to change formulations to meet the quality requirements and in notifying compliant products to a regulator. </w:t>
      </w:r>
    </w:p>
    <w:p w14:paraId="77644963" w14:textId="77777777" w:rsidR="00D238B7" w:rsidRDefault="00D238B7" w:rsidP="00D238B7">
      <w:r w:rsidRPr="00346D0A">
        <w:t xml:space="preserve">The true regulatory cost is difficult to estimate accurately without understanding </w:t>
      </w:r>
      <w:r>
        <w:t xml:space="preserve">the likely number of manufacturers and suppliers. The requirements imposed under a product standard would be broadly of the same kind as proposed under Option 3 for TGO 110, but with fewer limitations on flavours and somewhat less restrictive labelling packaging. For consumer products, it is expected that the cost per manufacturer would be approximately $500k per sponsor.  </w:t>
      </w:r>
    </w:p>
    <w:p w14:paraId="5D604A9B" w14:textId="10E043AD" w:rsidR="00D238B7" w:rsidRPr="00496A46" w:rsidRDefault="00D238B7" w:rsidP="00D238B7">
      <w:r w:rsidRPr="00E51912">
        <w:t>The notification process would be similar to that proposed under Option 3. On this basis, the regulatory impact would be similar to Measure 3 of Option 3</w:t>
      </w:r>
      <w:r>
        <w:t xml:space="preserve"> (calculated in </w:t>
      </w:r>
      <w:r w:rsidR="00806045">
        <w:t>Annexure</w:t>
      </w:r>
      <w:r>
        <w:t xml:space="preserve"> B to be a one off $1,500,000 cost)</w:t>
      </w:r>
      <w:r w:rsidRPr="00E51912">
        <w:t xml:space="preserve">. </w:t>
      </w:r>
    </w:p>
    <w:p w14:paraId="521B0F06" w14:textId="77777777" w:rsidR="00D238B7" w:rsidRPr="00085BBE" w:rsidRDefault="00D238B7" w:rsidP="00D238B7">
      <w:pPr>
        <w:pStyle w:val="Heading5"/>
      </w:pPr>
      <w:r w:rsidRPr="00085BBE">
        <w:t>Retailers</w:t>
      </w:r>
    </w:p>
    <w:p w14:paraId="731C368A" w14:textId="64CD18F1" w:rsidR="00D238B7" w:rsidRDefault="00D238B7" w:rsidP="00D238B7">
      <w:r>
        <w:t xml:space="preserve">There would be costs relating to applying for licensing and maintenance of </w:t>
      </w:r>
      <w:r w:rsidR="00C81381">
        <w:t>licences</w:t>
      </w:r>
      <w:r>
        <w:t xml:space="preserve"> but these are expected to be minor. Many retailers selling cigarettes are already required to comply with licensing requirements under tobacco regulation in most jurisdictions, though not all. There would be some additional costs in complying with licensing requirements in jurisdictions currently without those requirements. </w:t>
      </w:r>
    </w:p>
    <w:p w14:paraId="1C65326A" w14:textId="0C2E18B9" w:rsidR="00D238B7" w:rsidRPr="008761E8" w:rsidRDefault="00D238B7" w:rsidP="00D238B7">
      <w:r>
        <w:lastRenderedPageBreak/>
        <w:t xml:space="preserve">It is possible that some retailers would come under more scrutiny to ensure supply to </w:t>
      </w:r>
      <w:r w:rsidR="001364F8">
        <w:t>youth and young adults</w:t>
      </w:r>
      <w:r>
        <w:t xml:space="preserve"> is limited and that only vapes that meet the quality requirements are supplied, but this is not considered a direct regulatory cost burden. </w:t>
      </w:r>
    </w:p>
    <w:p w14:paraId="714BBDBC" w14:textId="77777777" w:rsidR="00D238B7" w:rsidRDefault="00D238B7" w:rsidP="00D238B7">
      <w:pPr>
        <w:pStyle w:val="Heading4"/>
      </w:pPr>
      <w:bookmarkStart w:id="191" w:name="_Toc151040366"/>
      <w:r w:rsidRPr="00287778">
        <w:t>Analysis of</w:t>
      </w:r>
      <w:r>
        <w:t xml:space="preserve"> the</w:t>
      </w:r>
      <w:r w:rsidRPr="00287778">
        <w:t xml:space="preserve"> </w:t>
      </w:r>
      <w:r>
        <w:t>net benefit</w:t>
      </w:r>
      <w:r w:rsidRPr="00287778">
        <w:t xml:space="preserve"> of Option </w:t>
      </w:r>
      <w:r>
        <w:t>2</w:t>
      </w:r>
      <w:r w:rsidRPr="00287778">
        <w:t>:</w:t>
      </w:r>
      <w:bookmarkEnd w:id="191"/>
      <w:r w:rsidRPr="00287778">
        <w:t xml:space="preserve"> </w:t>
      </w:r>
    </w:p>
    <w:p w14:paraId="01BABC1A" w14:textId="77777777" w:rsidR="00D238B7" w:rsidRDefault="00D238B7" w:rsidP="00D238B7">
      <w:pPr>
        <w:pStyle w:val="Heading5"/>
      </w:pPr>
      <w:r>
        <w:t xml:space="preserve">Economic costs and benefits </w:t>
      </w:r>
    </w:p>
    <w:p w14:paraId="73CEED03" w14:textId="77777777" w:rsidR="00D238B7" w:rsidRDefault="00D238B7" w:rsidP="005B3BE6">
      <w:r>
        <w:t xml:space="preserve">The regulatory cost of the proposed regulatory reforms under Option 2 is substantially lower than the status quo. There is likely to be an overall regulatory cost saving due to the repeal of the October 2021 reforms. There would be cost savings to medical practitioners. Economic costs to consumers may also decrease. </w:t>
      </w:r>
    </w:p>
    <w:p w14:paraId="64677571" w14:textId="77777777" w:rsidR="00D238B7" w:rsidRDefault="00D238B7" w:rsidP="005B3BE6">
      <w:r>
        <w:t>There will be increased costs for manufacturers relating to introduction of product standards.</w:t>
      </w:r>
    </w:p>
    <w:p w14:paraId="70114970" w14:textId="77777777" w:rsidR="00D238B7" w:rsidRDefault="00D238B7" w:rsidP="00D238B7">
      <w:pPr>
        <w:pStyle w:val="Heading5"/>
      </w:pPr>
      <w:r>
        <w:t xml:space="preserve">Social costs and benefits </w:t>
      </w:r>
    </w:p>
    <w:p w14:paraId="623B4246" w14:textId="5E6EC990" w:rsidR="00D238B7" w:rsidRDefault="00D238B7" w:rsidP="005B3BE6">
      <w:r>
        <w:t>While t</w:t>
      </w:r>
      <w:r w:rsidRPr="00896BEC">
        <w:t xml:space="preserve">he </w:t>
      </w:r>
      <w:r>
        <w:t xml:space="preserve">uptake of vaping by </w:t>
      </w:r>
      <w:r w:rsidR="00E10B09">
        <w:t xml:space="preserve">youth and young adults </w:t>
      </w:r>
      <w:r w:rsidRPr="00896BEC">
        <w:t>could be counteracted by specific provisions limiting advertising of vapes</w:t>
      </w:r>
      <w:r>
        <w:t xml:space="preserve">, </w:t>
      </w:r>
      <w:r w:rsidRPr="00896BEC">
        <w:t xml:space="preserve">by applying products standards to limit packaging </w:t>
      </w:r>
      <w:r>
        <w:t xml:space="preserve">flavouring appealing to </w:t>
      </w:r>
      <w:r w:rsidR="00E10B09">
        <w:t xml:space="preserve">youth and young adults </w:t>
      </w:r>
      <w:r>
        <w:t xml:space="preserve">and through public health education, this option is highly unlikely to achieve the sought public health outcomes in Question 2. It would likely result in a continuation of the historical trend of increased vaping uptake by </w:t>
      </w:r>
      <w:r w:rsidR="009A3429">
        <w:t xml:space="preserve">youth </w:t>
      </w:r>
      <w:r>
        <w:t xml:space="preserve">and young adults, with the attendant risk of vaping being a pathway to tobacco smoking. </w:t>
      </w:r>
    </w:p>
    <w:p w14:paraId="166A698C" w14:textId="50953CE5" w:rsidR="00D238B7" w:rsidRPr="00A17D2B" w:rsidRDefault="00D238B7" w:rsidP="005B3BE6">
      <w:pPr>
        <w:rPr>
          <w:rFonts w:eastAsiaTheme="minorEastAsia"/>
        </w:rPr>
      </w:pPr>
      <w:r>
        <w:t xml:space="preserve">The consumer model would </w:t>
      </w:r>
      <w:r w:rsidRPr="37E891B6">
        <w:rPr>
          <w:rFonts w:eastAsiaTheme="minorEastAsia"/>
        </w:rPr>
        <w:t xml:space="preserve">normalise </w:t>
      </w:r>
      <w:r w:rsidR="003A4FA8">
        <w:rPr>
          <w:rFonts w:eastAsiaTheme="minorEastAsia"/>
        </w:rPr>
        <w:t>non-therapeutic</w:t>
      </w:r>
      <w:r w:rsidRPr="37E891B6">
        <w:rPr>
          <w:rFonts w:eastAsiaTheme="minorEastAsia"/>
        </w:rPr>
        <w:t xml:space="preserve"> vaping for adults and counteract public health messaging </w:t>
      </w:r>
      <w:r>
        <w:rPr>
          <w:rFonts w:eastAsiaTheme="minorEastAsia"/>
        </w:rPr>
        <w:t xml:space="preserve">to </w:t>
      </w:r>
      <w:r w:rsidR="00BC4C3E">
        <w:t>youth</w:t>
      </w:r>
      <w:r>
        <w:t xml:space="preserve"> and young </w:t>
      </w:r>
      <w:r w:rsidR="00BC4C3E">
        <w:t>adults</w:t>
      </w:r>
      <w:r>
        <w:rPr>
          <w:rFonts w:eastAsiaTheme="minorEastAsia"/>
        </w:rPr>
        <w:t xml:space="preserve"> </w:t>
      </w:r>
      <w:r w:rsidRPr="37E891B6">
        <w:rPr>
          <w:rFonts w:eastAsiaTheme="minorEastAsia"/>
        </w:rPr>
        <w:t>about the harms of vapes.</w:t>
      </w:r>
      <w:r>
        <w:rPr>
          <w:rFonts w:eastAsiaTheme="minorEastAsia"/>
        </w:rPr>
        <w:t xml:space="preserve"> </w:t>
      </w:r>
      <w:r>
        <w:t xml:space="preserve">Nicotine vapes, which are highly addictive, would be widely available and likely easily accessible by </w:t>
      </w:r>
      <w:r w:rsidR="00875BF3">
        <w:t>youth</w:t>
      </w:r>
      <w:r w:rsidR="005C07CB">
        <w:t>s</w:t>
      </w:r>
      <w:r w:rsidR="00875BF3">
        <w:t xml:space="preserve"> </w:t>
      </w:r>
      <w:r>
        <w:t>despite age restrictions on sales and retailer licensing. The consumer model is</w:t>
      </w:r>
      <w:r w:rsidDel="3D2D39ED">
        <w:t xml:space="preserve">, </w:t>
      </w:r>
      <w:r>
        <w:t xml:space="preserve">to a significant extent, the existing state and territory model for regulating zero-nicotine vapes, albeit with some enhancements. State and territory laws already prohibit the sale of vapes to </w:t>
      </w:r>
      <w:r w:rsidR="00A35317">
        <w:t>youth</w:t>
      </w:r>
      <w:r w:rsidR="005C07CB">
        <w:t>s</w:t>
      </w:r>
      <w:r w:rsidR="00A35317">
        <w:t xml:space="preserve"> </w:t>
      </w:r>
      <w:r>
        <w:t xml:space="preserve">and some jurisdictions already have licensing laws that apply to vape retailers. These measures have been proven ineffective in stemming the flow of vapes to </w:t>
      </w:r>
      <w:r w:rsidR="009A3429">
        <w:t xml:space="preserve">youth </w:t>
      </w:r>
      <w:r>
        <w:t xml:space="preserve">and young adults and have proven ineffective at preventing retailers from selling nicotine vapes to </w:t>
      </w:r>
      <w:r w:rsidR="00A35317">
        <w:t>youth</w:t>
      </w:r>
      <w:r w:rsidR="00311B26">
        <w:t>s</w:t>
      </w:r>
      <w:r>
        <w:t>.</w:t>
      </w:r>
    </w:p>
    <w:p w14:paraId="0B5FEBD7" w14:textId="7D11E052" w:rsidR="00D238B7" w:rsidRDefault="00D238B7" w:rsidP="005B3BE6">
      <w:r w:rsidRPr="0087608A">
        <w:rPr>
          <w:color w:val="000000" w:themeColor="text1"/>
        </w:rPr>
        <w:t xml:space="preserve">Further, the equivalent model in place in NZ and the UK is not stemming the uptake of vaping by </w:t>
      </w:r>
      <w:r w:rsidR="002D603B">
        <w:t xml:space="preserve">youth </w:t>
      </w:r>
      <w:r>
        <w:t xml:space="preserve">and young </w:t>
      </w:r>
      <w:r w:rsidR="002D603B">
        <w:t>adults</w:t>
      </w:r>
      <w:r w:rsidRPr="0087608A">
        <w:rPr>
          <w:color w:val="000000" w:themeColor="text1"/>
        </w:rPr>
        <w:t xml:space="preserve">. In NZ, vaping rates </w:t>
      </w:r>
      <w:r>
        <w:rPr>
          <w:color w:val="000000" w:themeColor="text1"/>
        </w:rPr>
        <w:t>of</w:t>
      </w:r>
      <w:r w:rsidRPr="0087608A">
        <w:rPr>
          <w:color w:val="000000" w:themeColor="text1"/>
        </w:rPr>
        <w:t xml:space="preserve"> young people are continuing to rise. In 2021</w:t>
      </w:r>
      <w:r>
        <w:rPr>
          <w:color w:val="000000" w:themeColor="text1"/>
        </w:rPr>
        <w:t>/</w:t>
      </w:r>
      <w:r w:rsidRPr="0087608A">
        <w:rPr>
          <w:color w:val="000000" w:themeColor="text1"/>
        </w:rPr>
        <w:t>22, y</w:t>
      </w:r>
      <w:r w:rsidRPr="00C81381">
        <w:rPr>
          <w:rFonts w:eastAsia="Arial" w:cs="Arial"/>
          <w:color w:val="000000" w:themeColor="text1"/>
        </w:rPr>
        <w:t>oung people aged 18–24 in New Zealand had the highest rate of daily vaping in (22.9%), up from 5.0% in 2019/20.</w:t>
      </w:r>
      <w:r w:rsidRPr="0087608A">
        <w:rPr>
          <w:rStyle w:val="FootnoteReference"/>
          <w:color w:val="000000" w:themeColor="text1"/>
        </w:rPr>
        <w:footnoteReference w:id="89"/>
      </w:r>
      <w:r w:rsidRPr="0087608A">
        <w:rPr>
          <w:color w:val="000000" w:themeColor="text1"/>
        </w:rPr>
        <w:t xml:space="preserve"> New Zealand is currently implementing further reforms to combat this trend.</w:t>
      </w:r>
      <w:r w:rsidRPr="0087608A">
        <w:rPr>
          <w:rStyle w:val="FootnoteReference"/>
          <w:color w:val="000000" w:themeColor="text1"/>
        </w:rPr>
        <w:footnoteReference w:id="90"/>
      </w:r>
      <w:r w:rsidRPr="0087608A">
        <w:rPr>
          <w:color w:val="000000" w:themeColor="text1"/>
        </w:rPr>
        <w:t xml:space="preserve"> </w:t>
      </w:r>
      <w:r>
        <w:rPr>
          <w:color w:val="000000" w:themeColor="text1"/>
        </w:rPr>
        <w:t>In the UK, v</w:t>
      </w:r>
      <w:r w:rsidRPr="0087608A">
        <w:rPr>
          <w:color w:val="000000" w:themeColor="text1"/>
        </w:rPr>
        <w:t xml:space="preserve">aping rates among </w:t>
      </w:r>
      <w:r w:rsidR="00295AAF">
        <w:rPr>
          <w:color w:val="000000" w:themeColor="text1"/>
        </w:rPr>
        <w:t>youth</w:t>
      </w:r>
      <w:r w:rsidR="00295AAF" w:rsidRPr="0087608A">
        <w:rPr>
          <w:color w:val="000000" w:themeColor="text1"/>
        </w:rPr>
        <w:t xml:space="preserve"> </w:t>
      </w:r>
      <w:r w:rsidRPr="0087608A">
        <w:rPr>
          <w:color w:val="000000" w:themeColor="text1"/>
        </w:rPr>
        <w:t>are continuing to rise, with a recent survey showing a</w:t>
      </w:r>
      <w:r w:rsidRPr="0087608A">
        <w:rPr>
          <w:rFonts w:eastAsia="Arial" w:cs="Arial"/>
          <w:color w:val="000000" w:themeColor="text1"/>
          <w:sz w:val="28"/>
          <w:szCs w:val="28"/>
        </w:rPr>
        <w:t xml:space="preserve"> </w:t>
      </w:r>
      <w:r w:rsidRPr="0087608A">
        <w:rPr>
          <w:rFonts w:eastAsia="Arial" w:cs="Arial"/>
          <w:color w:val="000000" w:themeColor="text1"/>
        </w:rPr>
        <w:t>sharp increase in vaping among 11 to 17 year olds from 4% in 2020, before the first COVID-19 lockdown, to 7% in 2022. As a result</w:t>
      </w:r>
      <w:r w:rsidRPr="7261CBDA">
        <w:rPr>
          <w:rFonts w:eastAsia="Arial" w:cs="Arial"/>
          <w:color w:val="0B0C0C"/>
        </w:rPr>
        <w:t>, the UK is reviewing the evidence about youth vaping with a view to pursing regulatory reforms.</w:t>
      </w:r>
      <w:r w:rsidRPr="00DF6795">
        <w:rPr>
          <w:rStyle w:val="FootnoteReference"/>
          <w:rFonts w:eastAsia="Arial" w:cs="Arial"/>
          <w:color w:val="0B0C0C"/>
        </w:rPr>
        <w:footnoteReference w:id="91"/>
      </w:r>
      <w:r>
        <w:rPr>
          <w:rFonts w:eastAsia="Arial" w:cs="Arial"/>
          <w:color w:val="0B0C0C"/>
        </w:rPr>
        <w:t xml:space="preserve"> </w:t>
      </w:r>
    </w:p>
    <w:p w14:paraId="79E7519F" w14:textId="77777777" w:rsidR="00D238B7" w:rsidRDefault="00D238B7" w:rsidP="005B3BE6">
      <w:r>
        <w:t>The deregulation</w:t>
      </w:r>
      <w:r w:rsidRPr="37E891B6" w:rsidDel="00BA7ABE">
        <w:t xml:space="preserve"> </w:t>
      </w:r>
      <w:r>
        <w:t xml:space="preserve">in Option 2 </w:t>
      </w:r>
      <w:r w:rsidRPr="37E891B6">
        <w:t xml:space="preserve">would result in vapers seeking to </w:t>
      </w:r>
      <w:r>
        <w:t>self-medicate with vapes</w:t>
      </w:r>
      <w:r w:rsidRPr="37E891B6">
        <w:t xml:space="preserve"> for smoking cessation and the treatment of nicotine addiction outside medical supervision. </w:t>
      </w:r>
      <w:r>
        <w:t xml:space="preserve">Further, it is likely to reduce the extent to which persons seeking to use vapes would be willing to access professional advice on the benefits, contraindications, and dangers of vapes. </w:t>
      </w:r>
    </w:p>
    <w:p w14:paraId="3A333BA5" w14:textId="32EF93D9" w:rsidR="00D238B7" w:rsidRDefault="00D238B7" w:rsidP="005B3BE6">
      <w:r>
        <w:lastRenderedPageBreak/>
        <w:t xml:space="preserve">It will also reduce the likelihood of the vaping industry progressively increasing standards relating to quality and safety of vapes over time. It </w:t>
      </w:r>
      <w:r w:rsidRPr="65D23060">
        <w:t xml:space="preserve">will remove the emerging market for therapeutic nicotine vapes and essentially negate any investment made by companies in developing and bringing to market nicotine </w:t>
      </w:r>
      <w:r w:rsidR="006812D1">
        <w:t>vape</w:t>
      </w:r>
      <w:r w:rsidRPr="65D23060">
        <w:t>s that accord with the current TGO</w:t>
      </w:r>
      <w:r>
        <w:t> </w:t>
      </w:r>
      <w:r w:rsidRPr="65D23060">
        <w:t xml:space="preserve">110 specifications. </w:t>
      </w:r>
      <w:r>
        <w:t xml:space="preserve">There would be little or no perceived benefit for any company wishing to register vapes as therapeutic goods.  </w:t>
      </w:r>
    </w:p>
    <w:p w14:paraId="5A83FE95" w14:textId="2A074C9A" w:rsidR="00D238B7" w:rsidRDefault="00D238B7" w:rsidP="00A1472C">
      <w:r>
        <w:t xml:space="preserve">Vapes </w:t>
      </w:r>
      <w:r w:rsidRPr="37E891B6">
        <w:t xml:space="preserve">would fall outside the TG regulatory framework and therefore measures such as post-market surveillance and reporting of adverse events would </w:t>
      </w:r>
      <w:r>
        <w:t>rest solely in the province of</w:t>
      </w:r>
      <w:r w:rsidRPr="37E891B6">
        <w:t xml:space="preserve"> the </w:t>
      </w:r>
      <w:r>
        <w:t>Australian C</w:t>
      </w:r>
      <w:r w:rsidRPr="37E891B6">
        <w:t xml:space="preserve">onsumer </w:t>
      </w:r>
      <w:r>
        <w:t>L</w:t>
      </w:r>
      <w:r w:rsidRPr="37E891B6">
        <w:t xml:space="preserve">aw. </w:t>
      </w:r>
    </w:p>
    <w:p w14:paraId="14CA8B93" w14:textId="77777777" w:rsidR="00D238B7" w:rsidRPr="00A17D2B" w:rsidRDefault="00D238B7" w:rsidP="00A1472C">
      <w:r>
        <w:t>Given this, the social costs from any increase in vaping far outweigh a reduction in economic and regulatory costs.</w:t>
      </w:r>
    </w:p>
    <w:p w14:paraId="39593A07" w14:textId="77777777" w:rsidR="00D238B7" w:rsidRDefault="00D238B7" w:rsidP="00D238B7">
      <w:pPr>
        <w:pStyle w:val="Heading5"/>
      </w:pPr>
      <w:r>
        <w:t xml:space="preserve">Environmental costs and benefits </w:t>
      </w:r>
    </w:p>
    <w:p w14:paraId="2F13FE27" w14:textId="426010C1" w:rsidR="00D238B7" w:rsidRDefault="00D238B7" w:rsidP="005B3BE6">
      <w:r w:rsidRPr="00A1472C">
        <w:t>As noted under Question 1, the environmental cost of vapes is high, as vaping results in a significant amount of waste and disposal is complex. These costs would increase under a consumer model, commensurate with the growth in vaping. Disposable vapes would remain widely available, leading to environmental damage and the need to implement expensive cost disposal mechanisms (</w:t>
      </w:r>
      <w:r w:rsidR="001120A8">
        <w:t xml:space="preserve">estimated costs </w:t>
      </w:r>
      <w:r w:rsidR="00972C40">
        <w:t xml:space="preserve">of safe disposal </w:t>
      </w:r>
      <w:r w:rsidR="001120A8">
        <w:t>per device vary</w:t>
      </w:r>
      <w:r w:rsidRPr="43FF9097">
        <w:t>).</w:t>
      </w:r>
    </w:p>
    <w:p w14:paraId="2D09EF51" w14:textId="77777777" w:rsidR="00D238B7" w:rsidRDefault="00D238B7" w:rsidP="00D238B7">
      <w:pPr>
        <w:pStyle w:val="Heading5"/>
      </w:pPr>
      <w:r>
        <w:t xml:space="preserve">Net benefit </w:t>
      </w:r>
    </w:p>
    <w:p w14:paraId="712EC566" w14:textId="63B6EEC4" w:rsidR="00D238B7" w:rsidRPr="00DB5F50" w:rsidRDefault="00D238B7" w:rsidP="005B3BE6">
      <w:r w:rsidRPr="00A1472C">
        <w:t xml:space="preserve">This option, combined with the advertising prohibitions for vapes, could conceivably provide some benefits in reducing the uptake of vaping, particularly among </w:t>
      </w:r>
      <w:r w:rsidR="009A3429">
        <w:t>youth</w:t>
      </w:r>
      <w:r w:rsidR="009A3429" w:rsidRPr="00A1472C">
        <w:t xml:space="preserve"> </w:t>
      </w:r>
      <w:r w:rsidRPr="00A1472C">
        <w:t xml:space="preserve">and young </w:t>
      </w:r>
      <w:r w:rsidR="009A3429">
        <w:t>adults</w:t>
      </w:r>
      <w:r w:rsidRPr="00A1472C">
        <w:t>. However, this option does not address most of the problems outlined in Question 1. In particular, significant social costs outweigh any benefits from a consumer model, particularly where prevalence rates show</w:t>
      </w:r>
      <w:r>
        <w:t xml:space="preserve"> that even the status quo is providing a youth gateway to smoking.</w:t>
      </w:r>
      <w:bookmarkEnd w:id="182"/>
    </w:p>
    <w:p w14:paraId="2A57C521" w14:textId="77777777" w:rsidR="00D238B7" w:rsidRPr="00D238B7" w:rsidRDefault="00D238B7" w:rsidP="00D238B7">
      <w:pPr>
        <w:pStyle w:val="Heading3"/>
      </w:pPr>
      <w:bookmarkStart w:id="192" w:name="_Toc151040367"/>
      <w:bookmarkStart w:id="193" w:name="_Toc145668103"/>
      <w:r w:rsidRPr="00D238B7">
        <w:t>Option 3: Increased regulation of vapes through the Therapeutic Goods Act and Customs Regulations</w:t>
      </w:r>
      <w:bookmarkEnd w:id="192"/>
    </w:p>
    <w:p w14:paraId="04324C32" w14:textId="77777777" w:rsidR="00D238B7" w:rsidRDefault="00D238B7" w:rsidP="00D238B7">
      <w:r>
        <w:rPr>
          <w:noProof/>
          <w:lang w:eastAsia="en-AU"/>
        </w:rPr>
        <w:drawing>
          <wp:inline distT="0" distB="0" distL="0" distR="0" wp14:anchorId="49257904" wp14:editId="3DA065D2">
            <wp:extent cx="5731510" cy="2143125"/>
            <wp:effectExtent l="0" t="0" r="21590" b="95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15041F9A" w14:textId="77777777" w:rsidR="00D238B7" w:rsidRDefault="00D238B7" w:rsidP="005B3BE6">
      <w:r w:rsidRPr="00FF24FC">
        <w:t>This option would strengthen the regulatory amendments made as part of the 2021 reforms to tightly restric</w:t>
      </w:r>
      <w:r>
        <w:t xml:space="preserve">t imports and </w:t>
      </w:r>
      <w:r w:rsidRPr="00FF24FC">
        <w:t xml:space="preserve">sales of nicotine and </w:t>
      </w:r>
      <w:r>
        <w:t>zero</w:t>
      </w:r>
      <w:r w:rsidRPr="00FF24FC">
        <w:t xml:space="preserve">-nicotine </w:t>
      </w:r>
      <w:r>
        <w:t>vapes</w:t>
      </w:r>
      <w:r w:rsidRPr="00FF24FC">
        <w:t xml:space="preserve">. </w:t>
      </w:r>
      <w:r>
        <w:t xml:space="preserve">Under this option, vapes would be prohibited unless they are therapeutic vapes that meet TG Act requirements. The TG Act requirements for therapeutic vapes would be strengthened, as would compliance powers. Access to therapeutic vapes would be facilitated by allowing all doctors to prescribe therapeutic vapes for smoking cessation or to treat nicotine addiction without needing to apply to the TGA for an approval.  </w:t>
      </w:r>
    </w:p>
    <w:p w14:paraId="5A3D1EBA" w14:textId="77777777" w:rsidR="00D238B7" w:rsidRDefault="00D238B7" w:rsidP="005B3BE6">
      <w:r>
        <w:t xml:space="preserve">This option represents a higher level of regulation than Option 1 (the status quo).  </w:t>
      </w:r>
    </w:p>
    <w:p w14:paraId="75D09FDB" w14:textId="77777777" w:rsidR="00D238B7" w:rsidRDefault="00D238B7" w:rsidP="00D238B7">
      <w:pPr>
        <w:pStyle w:val="Heading4"/>
      </w:pPr>
      <w:bookmarkStart w:id="194" w:name="_Toc151040368"/>
      <w:r>
        <w:lastRenderedPageBreak/>
        <w:t>Who is affected and what are the economic, social and environmental costs and benefits?</w:t>
      </w:r>
      <w:bookmarkEnd w:id="194"/>
      <w:r>
        <w:t xml:space="preserve"> </w:t>
      </w:r>
    </w:p>
    <w:p w14:paraId="5F91900A" w14:textId="77777777" w:rsidR="00D238B7" w:rsidRDefault="00D238B7" w:rsidP="00D238B7">
      <w:pPr>
        <w:pStyle w:val="Heading5"/>
      </w:pPr>
      <w:r w:rsidRPr="00496A46">
        <w:t>Consumers</w:t>
      </w:r>
      <w:r>
        <w:t xml:space="preserve"> </w:t>
      </w:r>
    </w:p>
    <w:bookmarkEnd w:id="193"/>
    <w:p w14:paraId="6E4FB6A8" w14:textId="77777777" w:rsidR="00D238B7" w:rsidRPr="00F97F76" w:rsidRDefault="00D238B7" w:rsidP="000620AB">
      <w:pPr>
        <w:pStyle w:val="Heading6"/>
      </w:pPr>
      <w:r w:rsidRPr="000620AB">
        <w:t>Measure</w:t>
      </w:r>
      <w:r w:rsidRPr="00F97F76">
        <w:t xml:space="preserve"> 1</w:t>
      </w:r>
    </w:p>
    <w:p w14:paraId="031F41DF" w14:textId="77777777" w:rsidR="00D238B7" w:rsidRDefault="00D238B7" w:rsidP="00D238B7">
      <w:r>
        <w:t xml:space="preserve">Measure 1 would impact consumer choice in relation to vapes as: </w:t>
      </w:r>
    </w:p>
    <w:p w14:paraId="612EBEC8" w14:textId="66DA029B" w:rsidR="00D238B7" w:rsidRDefault="00D238B7" w:rsidP="00467EDD">
      <w:pPr>
        <w:pStyle w:val="Bullet1"/>
        <w:numPr>
          <w:ilvl w:val="0"/>
          <w:numId w:val="54"/>
        </w:numPr>
      </w:pPr>
      <w:r>
        <w:t>consumers</w:t>
      </w:r>
      <w:r w:rsidRPr="0074585B">
        <w:t xml:space="preserve"> w</w:t>
      </w:r>
      <w:r>
        <w:t>ould</w:t>
      </w:r>
      <w:r w:rsidRPr="0074585B">
        <w:t xml:space="preserve"> cease to be able to purchase zero</w:t>
      </w:r>
      <w:r>
        <w:t>-</w:t>
      </w:r>
      <w:r w:rsidRPr="0074585B">
        <w:t xml:space="preserve">nicotine vapes for </w:t>
      </w:r>
      <w:r w:rsidR="003A4FA8">
        <w:rPr>
          <w:rFonts w:eastAsiaTheme="minorEastAsia"/>
        </w:rPr>
        <w:t>non-therapeutic</w:t>
      </w:r>
      <w:r w:rsidRPr="0074585B">
        <w:t xml:space="preserve"> use</w:t>
      </w:r>
    </w:p>
    <w:p w14:paraId="5959F665" w14:textId="54A2DB69" w:rsidR="00D238B7" w:rsidRDefault="00D238B7" w:rsidP="00467EDD">
      <w:pPr>
        <w:pStyle w:val="Bullet1"/>
        <w:numPr>
          <w:ilvl w:val="0"/>
          <w:numId w:val="54"/>
        </w:numPr>
      </w:pPr>
      <w:r>
        <w:t>t</w:t>
      </w:r>
      <w:r w:rsidRPr="0074585B">
        <w:t>hose consumers who are using zero-nicotine vapes for smoking cessation would be required to obtain a prescription from a health practitioner to continue to access these products</w:t>
      </w:r>
    </w:p>
    <w:p w14:paraId="6B4E5535" w14:textId="77777777" w:rsidR="00D238B7" w:rsidRPr="0074585B" w:rsidRDefault="00D238B7" w:rsidP="00467EDD">
      <w:pPr>
        <w:pStyle w:val="Bullet1"/>
        <w:numPr>
          <w:ilvl w:val="0"/>
          <w:numId w:val="54"/>
        </w:numPr>
      </w:pPr>
      <w:r w:rsidRPr="0074585B">
        <w:t>consumers w</w:t>
      </w:r>
      <w:r>
        <w:t xml:space="preserve">ould </w:t>
      </w:r>
      <w:r w:rsidRPr="0074585B">
        <w:t>have far less choice as to vape flavours for therapeutic use</w:t>
      </w:r>
      <w:r>
        <w:t>, g</w:t>
      </w:r>
      <w:r w:rsidRPr="0074585B">
        <w:t xml:space="preserve">iven the very large range of vape flavours </w:t>
      </w:r>
      <w:r>
        <w:t xml:space="preserve">currently </w:t>
      </w:r>
      <w:r w:rsidRPr="0074585B">
        <w:t>available. </w:t>
      </w:r>
    </w:p>
    <w:p w14:paraId="3727CE43" w14:textId="77777777" w:rsidR="00D238B7" w:rsidRDefault="00D238B7" w:rsidP="00C654DF">
      <w:r>
        <w:t xml:space="preserve">These changes would increase the costs of obtaining zero-nicotine vapes for smoking cessation. A prescription would be required from a health practitioner and the cost of purchasing regulated products through a pharmacy is likely to be greater than purchasing these products through retail outlets currently. </w:t>
      </w:r>
    </w:p>
    <w:p w14:paraId="0D20AB7F" w14:textId="77777777" w:rsidR="00D238B7" w:rsidRDefault="00D238B7" w:rsidP="00C654DF">
      <w:r>
        <w:t>Legal importation of nicotine vapes would no longer be permitted via the Personal Importation Scheme using an online retail platform. However, with a valid prescription, purchase from a pharmacy would be available. The impact of this change on individual consumers would vary, with the greatest cost if consumers need to physically visit a doctor and a pharmacy to access vapes, to the least cost if both are conducted online. The need to fill the prescription monthly is also reflected in the increased cost in Annexure B, rather than receiving a 3-month supply through the Personal Importation Scheme. Closure of the Personal Importation Scheme is also likely to impact on product choice and could impact on cost.</w:t>
      </w:r>
    </w:p>
    <w:p w14:paraId="395FE1BB" w14:textId="06C82297" w:rsidR="00D238B7" w:rsidRDefault="00D238B7" w:rsidP="00C654DF">
      <w:r>
        <w:t xml:space="preserve">The modelling detailed at Annexure B estimates that 450,000 additional consumers may seek a prescription under the proposed changes, equating to </w:t>
      </w:r>
      <w:r w:rsidRPr="0087608A">
        <w:t>additional out-of-pocket costs for</w:t>
      </w:r>
      <w:r>
        <w:t xml:space="preserve"> consumers of </w:t>
      </w:r>
      <w:r w:rsidRPr="0087608A">
        <w:t>$42.55 (average) in FY2022</w:t>
      </w:r>
      <w:r w:rsidR="00802F26">
        <w:t>–</w:t>
      </w:r>
      <w:r w:rsidRPr="0087608A">
        <w:t xml:space="preserve">23 for a non-referred GP </w:t>
      </w:r>
      <w:r w:rsidRPr="00793C8F">
        <w:t>attendance.</w:t>
      </w:r>
      <w:r>
        <w:t xml:space="preserve"> The number of consumers is expected to decline over time as consumers respond to public health messaging and advice from medical practitioners regarding the danger of vaping. </w:t>
      </w:r>
    </w:p>
    <w:p w14:paraId="2E639E6C" w14:textId="77777777" w:rsidR="00D238B7" w:rsidRDefault="00D238B7" w:rsidP="00C654DF">
      <w:r>
        <w:t>The prohibition on importing disposable vapes may further increase consumer costs, primarily by forcing consumers to use more expensive vapes. This prohibition is also likely to have some impact for disabled or older users, who may struggle with the greater complexities of using refillable/reusable vapes, though this could be minimised if they switched to a pod/cartridge vape rather than an open system requiring the application of a refill liquid.</w:t>
      </w:r>
    </w:p>
    <w:p w14:paraId="3EC166C2" w14:textId="77777777" w:rsidR="00D238B7" w:rsidRPr="00973F74" w:rsidRDefault="00D238B7" w:rsidP="00C654DF">
      <w:r>
        <w:t xml:space="preserve">There is also </w:t>
      </w:r>
      <w:r w:rsidRPr="00973F74">
        <w:t>potential for higher costs for different groups of consumers</w:t>
      </w:r>
      <w:r>
        <w:t xml:space="preserve">. This cannot be </w:t>
      </w:r>
      <w:r w:rsidRPr="00973F74">
        <w:t>quantified</w:t>
      </w:r>
      <w:r>
        <w:t xml:space="preserve"> as it would vary depending on the location of the consumer</w:t>
      </w:r>
      <w:r w:rsidRPr="00973F74">
        <w:t xml:space="preserve">. For example, costs would be greater for patients in ACT where bulk billing rates are lower than </w:t>
      </w:r>
      <w:r>
        <w:t>the</w:t>
      </w:r>
      <w:r w:rsidRPr="00973F74">
        <w:t xml:space="preserve"> national average. Other geographic areas</w:t>
      </w:r>
      <w:r>
        <w:t xml:space="preserve">, particularly rural areas, </w:t>
      </w:r>
      <w:r w:rsidRPr="00973F74">
        <w:t>may have higher transport costs and/or consumer choice may be</w:t>
      </w:r>
      <w:r>
        <w:t xml:space="preserve"> more</w:t>
      </w:r>
      <w:r w:rsidRPr="00973F74">
        <w:t xml:space="preserve"> limited.</w:t>
      </w:r>
    </w:p>
    <w:p w14:paraId="1C8FEBEF" w14:textId="77777777" w:rsidR="00D238B7" w:rsidRDefault="00D238B7" w:rsidP="00C654DF">
      <w:r>
        <w:t xml:space="preserve">However, consumers would also be positively impacted by this Option. The </w:t>
      </w:r>
      <w:r w:rsidRPr="00126F62">
        <w:t>quality of lawful vapes would improve, with all vapes</w:t>
      </w:r>
      <w:r>
        <w:t xml:space="preserve">, </w:t>
      </w:r>
      <w:r w:rsidRPr="00126F62">
        <w:t>not just nicotine vapes</w:t>
      </w:r>
      <w:r>
        <w:t>,</w:t>
      </w:r>
      <w:r w:rsidRPr="00126F62">
        <w:t xml:space="preserve"> being subject to a minimum product standard.</w:t>
      </w:r>
      <w:r>
        <w:t xml:space="preserve"> Significantly, access arrangements under Option 3 would mean that consumers are not exposed to the significant health risks arising under the status quo as outlined above.</w:t>
      </w:r>
    </w:p>
    <w:p w14:paraId="585ADFED" w14:textId="77777777" w:rsidR="00D238B7" w:rsidRPr="00264421" w:rsidRDefault="00D238B7" w:rsidP="00C654DF">
      <w:pPr>
        <w:pStyle w:val="Heading6"/>
      </w:pPr>
      <w:r>
        <w:t>Measures 2 and 4</w:t>
      </w:r>
    </w:p>
    <w:p w14:paraId="314D7877" w14:textId="77777777" w:rsidR="00D238B7" w:rsidRDefault="00D238B7" w:rsidP="00D238B7">
      <w:r>
        <w:t>Measures 2 and 4 would not impact consumers in any direct way. The length of an appointment with a medical practitioner is unlikely to change as a result of Measure 2 (Changes to market accessibility requirements), so would be unlikely to impact on costs to consumers.</w:t>
      </w:r>
    </w:p>
    <w:p w14:paraId="04134041" w14:textId="77777777" w:rsidR="00D238B7" w:rsidRPr="00264421" w:rsidRDefault="00D238B7" w:rsidP="00C654DF">
      <w:pPr>
        <w:pStyle w:val="Heading6"/>
      </w:pPr>
      <w:r>
        <w:lastRenderedPageBreak/>
        <w:t>Measure 3</w:t>
      </w:r>
    </w:p>
    <w:p w14:paraId="7194BAFA" w14:textId="51B9C723" w:rsidR="00D238B7" w:rsidRDefault="00D238B7" w:rsidP="00C654DF">
      <w:r>
        <w:t>Compared to the status quo, the proposal to heighten TGA standards for therapeutic</w:t>
      </w:r>
      <w:r w:rsidR="00802F26">
        <w:t xml:space="preserve"> vapes</w:t>
      </w:r>
      <w:r>
        <w:t xml:space="preserve"> would limit the choice of therapeutic vapes currently available to consumers, particularly to limit the flavours and nicotine concentrations</w:t>
      </w:r>
      <w:r w:rsidRPr="005716B5">
        <w:t xml:space="preserve"> </w:t>
      </w:r>
      <w:r>
        <w:t xml:space="preserve">available. </w:t>
      </w:r>
    </w:p>
    <w:p w14:paraId="71D5FFF4" w14:textId="39DDEABE" w:rsidR="00D238B7" w:rsidRDefault="00D238B7" w:rsidP="00C654DF">
      <w:r>
        <w:t>It is also expected that costs for consumers will increase from this regulatory reform. The nature of these costs cannot be quantified. Cost pressures include the inability to source cheaper disposable vapes, choice of vapes available that meet TGO 110, and the passing on to consumers of the cost of manufacturing a pharmaceutic</w:t>
      </w:r>
      <w:r w:rsidR="00802F26">
        <w:t>al</w:t>
      </w:r>
      <w:r>
        <w:t xml:space="preserve"> grade vape.</w:t>
      </w:r>
    </w:p>
    <w:p w14:paraId="39C92CA7" w14:textId="77777777" w:rsidR="00D238B7" w:rsidRDefault="00D238B7" w:rsidP="00C654DF">
      <w:r>
        <w:t>A significant transition period for the withdrawal from sale of all non-TGO 110 compliant vapes would remove an additional regulatory cost arising from needing to purchase a new TGO 110 compliant vaping device, as consumers would most likely have needed to purchase a replacement vaping device anyway based on standard usage.</w:t>
      </w:r>
    </w:p>
    <w:p w14:paraId="75C2C3A1" w14:textId="77777777" w:rsidR="00D238B7" w:rsidRDefault="00D238B7" w:rsidP="00C654DF">
      <w:r>
        <w:t xml:space="preserve">However, these changes also have health benefits for consumers.  </w:t>
      </w:r>
    </w:p>
    <w:p w14:paraId="4BD7E3D6" w14:textId="063D9E92" w:rsidR="00D238B7" w:rsidRPr="0073182A" w:rsidRDefault="00D238B7" w:rsidP="00C654DF">
      <w:r>
        <w:t>Measure 3 - Heightened quality and safety standards for therapeutic vapes, would negate</w:t>
      </w:r>
      <w:r w:rsidRPr="0073182A">
        <w:t xml:space="preserve"> the pull factor of packaging, brand names and flavours, particularly for </w:t>
      </w:r>
      <w:r w:rsidR="0061061F">
        <w:t>youth</w:t>
      </w:r>
      <w:r w:rsidR="0061061F" w:rsidRPr="0073182A">
        <w:t xml:space="preserve"> </w:t>
      </w:r>
      <w:r w:rsidRPr="0073182A">
        <w:t>and</w:t>
      </w:r>
      <w:r>
        <w:t xml:space="preserve"> young </w:t>
      </w:r>
      <w:r w:rsidR="009A3429">
        <w:t>adults</w:t>
      </w:r>
      <w:r>
        <w:t>. It would also assist with combating the uptake of vaping and the consequential health risks.</w:t>
      </w:r>
    </w:p>
    <w:p w14:paraId="344C5565" w14:textId="77777777" w:rsidR="00D238B7" w:rsidRPr="0073182A" w:rsidRDefault="00D238B7" w:rsidP="00C654DF">
      <w:r w:rsidRPr="0073182A">
        <w:t xml:space="preserve">A key benefit of </w:t>
      </w:r>
      <w:r>
        <w:t xml:space="preserve">Measure 3 </w:t>
      </w:r>
      <w:r w:rsidRPr="0073182A">
        <w:t>is limiting the ingredients, including flavours of vapes, to mitigate the short and potential long-term health effects</w:t>
      </w:r>
      <w:r>
        <w:t xml:space="preserve"> </w:t>
      </w:r>
      <w:r w:rsidRPr="0073182A">
        <w:t xml:space="preserve">related to the vaporisation of ingredients. </w:t>
      </w:r>
      <w:r>
        <w:t>T</w:t>
      </w:r>
      <w:r w:rsidRPr="0073182A">
        <w:t xml:space="preserve">he risks associated with the inhalation of specific ingredients are largely unknown at this time and therefore this specific benefit </w:t>
      </w:r>
      <w:r>
        <w:t xml:space="preserve">to consumers </w:t>
      </w:r>
      <w:r w:rsidRPr="0073182A">
        <w:t>cannot be quantified.</w:t>
      </w:r>
    </w:p>
    <w:p w14:paraId="6F74D68F" w14:textId="77777777" w:rsidR="00D238B7" w:rsidRDefault="00D238B7" w:rsidP="00C654DF">
      <w:r w:rsidRPr="0073182A">
        <w:t>Reducing the maximum nicotine concentration from 100 mg/ml to a lower level has a number of benefits</w:t>
      </w:r>
      <w:r>
        <w:t xml:space="preserve">. </w:t>
      </w:r>
      <w:r w:rsidRPr="0073182A">
        <w:t>It would reduce nicotine dependence</w:t>
      </w:r>
      <w:r>
        <w:t xml:space="preserve"> </w:t>
      </w:r>
      <w:r w:rsidRPr="0073182A">
        <w:t>and could reduce the instances of accidental poisoning through ingestion</w:t>
      </w:r>
      <w:r>
        <w:t xml:space="preserve"> or dermal absorption</w:t>
      </w:r>
      <w:r w:rsidRPr="0073182A">
        <w:t>, particularly among toddlers and young children</w:t>
      </w:r>
      <w:r>
        <w:t>.</w:t>
      </w:r>
    </w:p>
    <w:p w14:paraId="7058281A" w14:textId="77777777" w:rsidR="00D238B7" w:rsidRDefault="00D238B7" w:rsidP="00C654DF">
      <w:r w:rsidRPr="00AC3CA4">
        <w:rPr>
          <w:color w:val="000000" w:themeColor="text1"/>
        </w:rPr>
        <w:t xml:space="preserve">The proposed product standard requirements for the device component will provide clear benefits for </w:t>
      </w:r>
      <w:r w:rsidRPr="0073182A">
        <w:t>consumers by reducing the overall safety risk of operating the device</w:t>
      </w:r>
      <w:r>
        <w:t>,</w:t>
      </w:r>
      <w:r w:rsidRPr="0073182A">
        <w:t xml:space="preserve"> by removing or minimising design risks (such as the battery exploding)</w:t>
      </w:r>
      <w:r>
        <w:t xml:space="preserve">, </w:t>
      </w:r>
      <w:r w:rsidRPr="0073182A">
        <w:t>as well as user error by suitabl</w:t>
      </w:r>
      <w:r>
        <w:t>y</w:t>
      </w:r>
      <w:r w:rsidRPr="0073182A">
        <w:t xml:space="preserve"> labelling the device and providing clear instructions for us</w:t>
      </w:r>
      <w:r>
        <w:t>e.</w:t>
      </w:r>
    </w:p>
    <w:p w14:paraId="01076CE7" w14:textId="77777777" w:rsidR="00D238B7" w:rsidRDefault="00D238B7" w:rsidP="00C654DF">
      <w:pPr>
        <w:rPr>
          <w:rFonts w:eastAsia="Arial" w:cs="Arial"/>
          <w:color w:val="000000" w:themeColor="text1"/>
        </w:rPr>
      </w:pPr>
      <w:r w:rsidRPr="0073182A">
        <w:t xml:space="preserve">Most submitters to the two TGA </w:t>
      </w:r>
      <w:r>
        <w:t>C</w:t>
      </w:r>
      <w:r w:rsidRPr="0073182A">
        <w:t xml:space="preserve">onsultations on this issue recognised that nicotine concentrations could be significantly reduced without compromising the utility of vapes for smoking cessation. However, there is some debate amongst experts as to the appropriate level of reduction. Some recommend reducing concentrations to 20 mg/ml to align with some international regulators and because this amount should be clinically sufficient for smoking cessation. However, other experts </w:t>
      </w:r>
      <w:r>
        <w:t>argue</w:t>
      </w:r>
      <w:r w:rsidRPr="0073182A">
        <w:t xml:space="preserve"> that 20</w:t>
      </w:r>
      <w:r>
        <w:t xml:space="preserve"> </w:t>
      </w:r>
      <w:r w:rsidRPr="0073182A">
        <w:t xml:space="preserve">mg/ml would reduce the utility of products for smoking cessation because a higher concentration </w:t>
      </w:r>
      <w:r w:rsidRPr="00AC3CA4">
        <w:rPr>
          <w:color w:val="000000" w:themeColor="text1"/>
        </w:rPr>
        <w:t>would</w:t>
      </w:r>
      <w:r w:rsidRPr="00AC3CA4">
        <w:rPr>
          <w:rFonts w:eastAsia="Arial" w:cs="Arial"/>
          <w:color w:val="000000" w:themeColor="text1"/>
        </w:rPr>
        <w:t xml:space="preserve"> best replicate the hit of nicotine from smoking and because lower concentrations mean people will puff more and thereby inhale larger</w:t>
      </w:r>
      <w:r>
        <w:rPr>
          <w:rFonts w:eastAsia="Arial" w:cs="Arial"/>
          <w:color w:val="000000" w:themeColor="text1"/>
        </w:rPr>
        <w:t xml:space="preserve"> </w:t>
      </w:r>
      <w:r w:rsidRPr="00AC3CA4">
        <w:rPr>
          <w:rFonts w:eastAsia="Arial" w:cs="Arial"/>
          <w:color w:val="000000" w:themeColor="text1"/>
        </w:rPr>
        <w:t>quantities of the other potentially harmful substances in vapes.</w:t>
      </w:r>
    </w:p>
    <w:p w14:paraId="14E98C59" w14:textId="77777777" w:rsidR="00D238B7" w:rsidRPr="002D472B" w:rsidRDefault="00D238B7" w:rsidP="00D238B7">
      <w:pPr>
        <w:pStyle w:val="Heading5"/>
      </w:pPr>
      <w:r>
        <w:t>Health</w:t>
      </w:r>
      <w:r w:rsidRPr="002D472B">
        <w:t xml:space="preserve"> practitioners</w:t>
      </w:r>
    </w:p>
    <w:p w14:paraId="5EB9EF2C" w14:textId="77777777" w:rsidR="00D238B7" w:rsidRPr="000620AB" w:rsidRDefault="00D238B7" w:rsidP="000620AB">
      <w:pPr>
        <w:pStyle w:val="Heading6"/>
      </w:pPr>
      <w:r w:rsidRPr="000620AB">
        <w:t>Measure 1</w:t>
      </w:r>
    </w:p>
    <w:p w14:paraId="1E196336" w14:textId="72003A26" w:rsidR="00D238B7" w:rsidRDefault="00D238B7" w:rsidP="00C033F5">
      <w:r>
        <w:t>Option 3 will bring a significant increase in the number of patients seeking a prescription for therapeutic vapes, due to stopping the illegal domestic supply of nicotine vapes, closing the Personal Importation Scheme, and prohibiting the supply of non-therapeutic vapes. As vapes are unapproved goods, currently the processes for prescribing vapes are more onerous tha</w:t>
      </w:r>
      <w:r w:rsidR="000E22D3">
        <w:t>n</w:t>
      </w:r>
      <w:r>
        <w:t xml:space="preserve"> for registered therapeutic goods. </w:t>
      </w:r>
    </w:p>
    <w:p w14:paraId="4EFFBFEB" w14:textId="77777777" w:rsidR="00D238B7" w:rsidRPr="00F97F76" w:rsidRDefault="00D238B7" w:rsidP="000620AB">
      <w:pPr>
        <w:pStyle w:val="Heading6"/>
      </w:pPr>
      <w:r w:rsidRPr="000620AB">
        <w:t>Measure</w:t>
      </w:r>
      <w:r w:rsidRPr="00F97F76">
        <w:t xml:space="preserve"> 2</w:t>
      </w:r>
    </w:p>
    <w:p w14:paraId="44728824" w14:textId="77777777" w:rsidR="00D238B7" w:rsidRDefault="00D238B7" w:rsidP="00C033F5">
      <w:r>
        <w:t>Changes to market accessibility requirements should benefit medical practitioners. However, unless reporting requirements for SAS C are changed or automated through prescribing software, the lower regulatory burden for reporting as an AP will mean that</w:t>
      </w:r>
      <w:r w:rsidRPr="00961A77">
        <w:t xml:space="preserve"> </w:t>
      </w:r>
      <w:r>
        <w:t xml:space="preserve">the AP pathway will likely continue to be the </w:t>
      </w:r>
      <w:r>
        <w:lastRenderedPageBreak/>
        <w:t xml:space="preserve">most popular option for health practitioners to prescribe nicotine e-liquid. The regulatory burden in relation to becoming an AP will not change. Health practitioners currently prescribing under the SAS B pathway will simply switch to SAS C. </w:t>
      </w:r>
    </w:p>
    <w:p w14:paraId="78DDAAE3" w14:textId="7CBD6E43" w:rsidR="00D238B7" w:rsidRPr="00F87903" w:rsidRDefault="00D238B7" w:rsidP="00C033F5">
      <w:r>
        <w:t>The publication of a compiled list of notified vapes will likely reduce the existing regulatory cost for health practitioners in ascertaining what products can be lawfully supplied</w:t>
      </w:r>
      <w:r w:rsidR="00A27624">
        <w:t xml:space="preserve"> and</w:t>
      </w:r>
      <w:r>
        <w:t xml:space="preserve"> increase confidence in prescribing.</w:t>
      </w:r>
    </w:p>
    <w:p w14:paraId="6AF1B030" w14:textId="77777777" w:rsidR="00D238B7" w:rsidRPr="00F97F76" w:rsidRDefault="00D238B7" w:rsidP="00C033F5">
      <w:pPr>
        <w:pStyle w:val="Heading6"/>
        <w:rPr>
          <w:b/>
          <w:bCs w:val="0"/>
          <w:i w:val="0"/>
          <w:iCs/>
        </w:rPr>
      </w:pPr>
      <w:r w:rsidRPr="00F97F76">
        <w:rPr>
          <w:b/>
          <w:bCs w:val="0"/>
          <w:i w:val="0"/>
          <w:iCs/>
        </w:rPr>
        <w:t>Measure 3</w:t>
      </w:r>
    </w:p>
    <w:p w14:paraId="550106AA" w14:textId="77777777" w:rsidR="00D238B7" w:rsidRPr="00BD5120" w:rsidRDefault="00D238B7" w:rsidP="00C033F5">
      <w:r>
        <w:t xml:space="preserve">The heightened requirements around the quality and safety of vapes will have no direct regulatory impact on health practitioners. Some health practitioners may have greater confidence in prescribing unapproved vapes if the standards are increased, combined with the proposal to require notification to the TGA of compliance under Measure 2. </w:t>
      </w:r>
    </w:p>
    <w:p w14:paraId="236990E2" w14:textId="77777777" w:rsidR="00D238B7" w:rsidRDefault="00D238B7" w:rsidP="00D238B7">
      <w:pPr>
        <w:pStyle w:val="Heading5"/>
      </w:pPr>
      <w:r w:rsidRPr="002D472B">
        <w:t>Pharmacists</w:t>
      </w:r>
    </w:p>
    <w:p w14:paraId="23E801E0" w14:textId="77777777" w:rsidR="00D238B7" w:rsidRDefault="00D238B7" w:rsidP="00C033F5">
      <w:r>
        <w:t xml:space="preserve">Option 3 will bring a significant increase in the quantity of vapes purchased directly from domestic pharmacies, due to closing the illegal domestic supply of nicotine vapes and the Personal Importation Scheme for vapes, and the prohibition on the supply of non-therapeutic vapes. </w:t>
      </w:r>
    </w:p>
    <w:p w14:paraId="169CA4B3" w14:textId="77777777" w:rsidR="00D238B7" w:rsidRDefault="00D238B7" w:rsidP="00C033F5">
      <w:r>
        <w:t>In the absence of any TGA pre-market controls for nicotine vapes, pharmacists would need to continue to independently review product options for the purpose of stocking and supplying lawful therapeutic vapes.</w:t>
      </w:r>
    </w:p>
    <w:p w14:paraId="126734F5" w14:textId="77777777" w:rsidR="00D238B7" w:rsidRDefault="00D238B7" w:rsidP="00C033F5">
      <w:r>
        <w:t>There would be no additional cost associated with the need to dispose of non-compliant stock due to improved quality standards, as the transition period until TGO 110 commences will ensure time for pharmacies to turnover stock.</w:t>
      </w:r>
    </w:p>
    <w:p w14:paraId="1C674AE3" w14:textId="77777777" w:rsidR="00D238B7" w:rsidRDefault="00D238B7" w:rsidP="00D238B7">
      <w:pPr>
        <w:pStyle w:val="Heading5"/>
      </w:pPr>
      <w:r w:rsidRPr="002D472B">
        <w:t>Manufacturers and suppliers</w:t>
      </w:r>
      <w:r>
        <w:t xml:space="preserve"> </w:t>
      </w:r>
    </w:p>
    <w:p w14:paraId="41B09C90" w14:textId="77777777" w:rsidR="00D238B7" w:rsidRDefault="00D238B7" w:rsidP="00C033F5">
      <w:pPr>
        <w:pStyle w:val="Heading6"/>
      </w:pPr>
      <w:r>
        <w:t>Measure 1 – those supplying to the pharmacy market</w:t>
      </w:r>
    </w:p>
    <w:p w14:paraId="2F731FB3" w14:textId="6D5FC39B" w:rsidR="00D238B7" w:rsidRDefault="00D238B7" w:rsidP="00EE5769">
      <w:r>
        <w:t>Option 3 would strengthen the economic viability</w:t>
      </w:r>
      <w:r w:rsidR="0012612C">
        <w:t xml:space="preserve"> of</w:t>
      </w:r>
      <w:r>
        <w:t xml:space="preserve"> those manufacturing and supplying to the pharmacy market by reducing access of consumers to nicotine vapes outsides pharmacies.</w:t>
      </w:r>
    </w:p>
    <w:p w14:paraId="6E93D244" w14:textId="77777777" w:rsidR="00D238B7" w:rsidRDefault="00D238B7" w:rsidP="00EE5769">
      <w:r>
        <w:t xml:space="preserve">Importers would require a licence and permit (issued by the ODC) to import any vapes into Australia, which will be an additional regulatory burden. The estimated number of sponsors who would seek to provide a therapeutic vape that accords with the revised TGO 110 specifications is estimated to be no more than five. Therefore, the overall regulatory burden in complying with import and permit requirements is estimated to be </w:t>
      </w:r>
      <w:r w:rsidRPr="00D977A7">
        <w:t>$2,362.36</w:t>
      </w:r>
      <w:r>
        <w:t xml:space="preserve"> per year. </w:t>
      </w:r>
    </w:p>
    <w:p w14:paraId="37F67C68" w14:textId="77777777" w:rsidR="00D238B7" w:rsidRDefault="00D238B7" w:rsidP="00EE5769">
      <w:r>
        <w:t>There would be no additional cost associated with the need to dispose of non-compliant stock due to improved quality standards, as the transition period until TGO 110 commences will ensure time to turnover stock.</w:t>
      </w:r>
    </w:p>
    <w:p w14:paraId="060F6572" w14:textId="77777777" w:rsidR="00D238B7" w:rsidRPr="00264421" w:rsidRDefault="00D238B7" w:rsidP="00EE5769">
      <w:pPr>
        <w:rPr>
          <w:i/>
          <w:iCs/>
        </w:rPr>
      </w:pPr>
      <w:r>
        <w:rPr>
          <w:i/>
          <w:iCs/>
        </w:rPr>
        <w:t>Measure 1 – those supplying to the retail market</w:t>
      </w:r>
    </w:p>
    <w:p w14:paraId="17B37AB8" w14:textId="77777777" w:rsidR="00D238B7" w:rsidRDefault="00D238B7" w:rsidP="00EE5769">
      <w:r>
        <w:t xml:space="preserve">The impact on this sector will be substantial. It is likely that there would be no legal market for domestic manufactured zero-nicotine e-liquids unless they could be reformulated as therapeutic goods. Manufacturers of these products (approximately </w:t>
      </w:r>
      <w:r>
        <w:rPr>
          <w:rStyle w:val="normaltextrun"/>
          <w:rFonts w:cs="Arial"/>
          <w:color w:val="000000"/>
          <w:shd w:val="clear" w:color="auto" w:fill="FFFFFF"/>
        </w:rPr>
        <w:t xml:space="preserve">7 Australian manufacturers) could </w:t>
      </w:r>
      <w:r>
        <w:t>exit the market.</w:t>
      </w:r>
    </w:p>
    <w:p w14:paraId="5B779013" w14:textId="77777777" w:rsidR="00D238B7" w:rsidRDefault="00D238B7" w:rsidP="00EE5769">
      <w:r w:rsidRPr="00264421">
        <w:t xml:space="preserve">Depending on stock levels and transition times, some manufacturers and suppliers may need to dispose of non-compliant stock. However, </w:t>
      </w:r>
      <w:r>
        <w:t>t</w:t>
      </w:r>
      <w:r w:rsidRPr="00222B31">
        <w:t>his cost would</w:t>
      </w:r>
      <w:r>
        <w:t xml:space="preserve"> be</w:t>
      </w:r>
      <w:r w:rsidRPr="00222B31">
        <w:t xml:space="preserve"> miti</w:t>
      </w:r>
      <w:r>
        <w:t>gate</w:t>
      </w:r>
      <w:r w:rsidRPr="00222B31">
        <w:t xml:space="preserve">d by the length of time between the Minister for Health and Aged Care’s announcement </w:t>
      </w:r>
      <w:r>
        <w:t xml:space="preserve">of the proposal to pursue reforms </w:t>
      </w:r>
      <w:r w:rsidRPr="00222B31">
        <w:t xml:space="preserve">on 2 May 2023 and implementation of the domestic ban. This period will be at least 12 months </w:t>
      </w:r>
      <w:r>
        <w:t xml:space="preserve">and </w:t>
      </w:r>
      <w:r w:rsidRPr="00222B31">
        <w:t xml:space="preserve">should allow retailers and suppliers to run down their stocks. </w:t>
      </w:r>
    </w:p>
    <w:p w14:paraId="14DF21B1" w14:textId="77777777" w:rsidR="00D238B7" w:rsidRPr="00EE5769" w:rsidRDefault="00D238B7" w:rsidP="00EE5769">
      <w:pPr>
        <w:pStyle w:val="Heading6"/>
      </w:pPr>
      <w:r w:rsidRPr="00EE5769">
        <w:lastRenderedPageBreak/>
        <w:t>Measure 2</w:t>
      </w:r>
    </w:p>
    <w:p w14:paraId="4F1C2F48" w14:textId="77777777" w:rsidR="00D238B7" w:rsidRDefault="00D238B7" w:rsidP="00D238B7">
      <w:pPr>
        <w:pStyle w:val="Bullet1"/>
      </w:pPr>
      <w:r w:rsidRPr="00EE5769">
        <w:t>The regulatory cost for manufacturers from notification requirements will be minimal and largely upfront, as notification of conformance with TGO 110 will be required for each different formulation in their product range. New notifications are only needed if the product range changes. This notification process is very simple</w:t>
      </w:r>
      <w:r>
        <w:t xml:space="preserve"> to complete so the overall cost is minimal (as summarised in Annexure B). </w:t>
      </w:r>
    </w:p>
    <w:p w14:paraId="074ECEE7" w14:textId="77777777" w:rsidR="00D238B7" w:rsidRPr="00264421" w:rsidRDefault="00D238B7" w:rsidP="00EE5769">
      <w:pPr>
        <w:pStyle w:val="Heading6"/>
      </w:pPr>
      <w:r>
        <w:t>Measure 3</w:t>
      </w:r>
    </w:p>
    <w:p w14:paraId="75641D0D" w14:textId="77777777" w:rsidR="00D238B7" w:rsidRPr="00D95429" w:rsidRDefault="00D238B7" w:rsidP="005C25F6">
      <w:pPr>
        <w:rPr>
          <w:b/>
          <w:bCs/>
        </w:rPr>
      </w:pPr>
      <w:r>
        <w:t>The greater cost is associated with meeting TGO 110 and holding the data</w:t>
      </w:r>
      <w:r w:rsidDel="00561E61">
        <w:t xml:space="preserve"> to </w:t>
      </w:r>
      <w:r>
        <w:t xml:space="preserve">demonstrate batch-specific compliance with TGO 110. Compliance costs for manufacturers are likely to be substantial, but the degree will vary greatly between companies. As outlined in Annexure B, based on the range of figures identified by likely sponsors in relation to the 2023 Consultation, this cost would be approximately $1.5m per sponsor (but there is a high degree of uncertainty about the accuracy of this costing due to the very limited data on which it is based). </w:t>
      </w:r>
    </w:p>
    <w:p w14:paraId="1CBB7136" w14:textId="77777777" w:rsidR="00D238B7" w:rsidRDefault="00D238B7" w:rsidP="005C25F6">
      <w:r>
        <w:t xml:space="preserve">The main risks to be balanced are the ability for manufacturers to absorb this cost, timeframes to meet the requirements, and the willingness to manufacture an Australian-specific vape. If all manufacturers considered the requirements to be too high, then the risk would be an absence of legal supply of vapes in Australia. To mitigate this risk a transition period will be observed and, where possible, the requirements will be aligned with the those in similar jurisdictions, including the UK, EU, Canada and NZ. </w:t>
      </w:r>
    </w:p>
    <w:p w14:paraId="5DF2F743" w14:textId="77777777" w:rsidR="00D238B7" w:rsidRPr="003D74B4" w:rsidRDefault="00D238B7" w:rsidP="001C04D3">
      <w:pPr>
        <w:rPr>
          <w:b/>
          <w:bCs/>
          <w:highlight w:val="yellow"/>
        </w:rPr>
      </w:pPr>
      <w:r>
        <w:t xml:space="preserve">However, it is likely that there will be bespoke Australian requirements, including in relation to ingredients and packaging. Specific feedback was sought in the consultation on these risks and costs, but the actual risk of manufacturers leaving the market is considered low, as none exhibited an unwillingness to meet the requirements. </w:t>
      </w:r>
    </w:p>
    <w:p w14:paraId="4D04AC97" w14:textId="77777777" w:rsidR="00D238B7" w:rsidRPr="00264421" w:rsidRDefault="00D238B7" w:rsidP="001C04D3">
      <w:pPr>
        <w:pStyle w:val="Heading6"/>
      </w:pPr>
      <w:r>
        <w:t>Measure 4</w:t>
      </w:r>
    </w:p>
    <w:p w14:paraId="475E023C" w14:textId="77777777" w:rsidR="00D238B7" w:rsidRPr="001B45E5" w:rsidRDefault="00D238B7" w:rsidP="00D238B7">
      <w:pPr>
        <w:pStyle w:val="Bullet1"/>
      </w:pPr>
      <w:r w:rsidRPr="00467C77">
        <w:t>Manufacturers and suppliers who meet regulatory requirements would not be affected</w:t>
      </w:r>
      <w:r>
        <w:t xml:space="preserve"> by Measure 4.</w:t>
      </w:r>
      <w:r w:rsidRPr="00027095">
        <w:t xml:space="preserve"> </w:t>
      </w:r>
    </w:p>
    <w:p w14:paraId="7C88886B" w14:textId="77777777" w:rsidR="00D238B7" w:rsidRDefault="00D238B7" w:rsidP="00D238B7">
      <w:pPr>
        <w:pStyle w:val="Heading5"/>
      </w:pPr>
      <w:r w:rsidRPr="002D472B">
        <w:t>Retailers</w:t>
      </w:r>
    </w:p>
    <w:p w14:paraId="1CE65BCC" w14:textId="77777777" w:rsidR="00D238B7" w:rsidRPr="001F34D7" w:rsidRDefault="00D238B7" w:rsidP="001C04D3">
      <w:r w:rsidRPr="001F34D7">
        <w:t xml:space="preserve">The impact on retailers </w:t>
      </w:r>
      <w:r>
        <w:t xml:space="preserve">from restrictions on the importation and supply of non-therapeutic vapes </w:t>
      </w:r>
      <w:r w:rsidRPr="001F34D7">
        <w:t>will be significant in some cases</w:t>
      </w:r>
      <w:r>
        <w:t xml:space="preserve">. However, this </w:t>
      </w:r>
      <w:r w:rsidRPr="001F34D7">
        <w:t xml:space="preserve">is dependent on the extent of their product line and associated revenue provided by vapes. </w:t>
      </w:r>
    </w:p>
    <w:p w14:paraId="4C5C5C61" w14:textId="77777777" w:rsidR="00D238B7" w:rsidRPr="00FB59FB" w:rsidRDefault="00D238B7" w:rsidP="001C04D3">
      <w:r>
        <w:t xml:space="preserve">As the </w:t>
      </w:r>
      <w:r w:rsidRPr="00FB59FB">
        <w:t xml:space="preserve">sale of </w:t>
      </w:r>
      <w:r>
        <w:t>zero</w:t>
      </w:r>
      <w:r w:rsidRPr="00FB59FB">
        <w:t xml:space="preserve">-nicotine vapes is generally legal </w:t>
      </w:r>
      <w:r>
        <w:t xml:space="preserve">it has been </w:t>
      </w:r>
      <w:r w:rsidRPr="00FB59FB">
        <w:t>included in the costing impact</w:t>
      </w:r>
      <w:r>
        <w:t xml:space="preserve">. However, </w:t>
      </w:r>
      <w:r w:rsidRPr="00FB59FB">
        <w:t xml:space="preserve">income or store viability </w:t>
      </w:r>
      <w:r>
        <w:t>dependent on the</w:t>
      </w:r>
      <w:r w:rsidRPr="00FB59FB">
        <w:t xml:space="preserve"> sale of nicotine vapes illegally is not included in the cost to retailers.</w:t>
      </w:r>
    </w:p>
    <w:p w14:paraId="0E50C2B8" w14:textId="46E3AD5B" w:rsidR="00D238B7" w:rsidRPr="00EF2578" w:rsidRDefault="00D238B7" w:rsidP="001C04D3">
      <w:pPr>
        <w:rPr>
          <w:rStyle w:val="normaltextrun"/>
          <w:color w:val="000000" w:themeColor="text1"/>
        </w:rPr>
      </w:pPr>
      <w:r w:rsidRPr="00EF2578">
        <w:t xml:space="preserve">Speciality vaping stores will most likely close, as their income is exclusively funded from sale of vapes. There are estimated to be 205 specialist vape stores and it is expected that all will </w:t>
      </w:r>
      <w:r>
        <w:t>likely</w:t>
      </w:r>
      <w:r w:rsidRPr="00EF2578">
        <w:rPr>
          <w:color w:val="000000" w:themeColor="text1"/>
        </w:rPr>
        <w:t xml:space="preserve"> close. It is estimated that each business averaging 2</w:t>
      </w:r>
      <w:r w:rsidR="00C04761">
        <w:rPr>
          <w:color w:val="000000" w:themeColor="text1"/>
        </w:rPr>
        <w:t>–</w:t>
      </w:r>
      <w:r w:rsidRPr="00EF2578">
        <w:rPr>
          <w:color w:val="000000" w:themeColor="text1"/>
        </w:rPr>
        <w:t xml:space="preserve">3 staff </w:t>
      </w:r>
      <w:r w:rsidRPr="00EF2578">
        <w:rPr>
          <w:rStyle w:val="normaltextrun"/>
          <w:rFonts w:cs="Arial"/>
          <w:color w:val="000000" w:themeColor="text1"/>
          <w:shd w:val="clear" w:color="auto" w:fill="FFFFFF"/>
        </w:rPr>
        <w:t>ha</w:t>
      </w:r>
      <w:r>
        <w:rPr>
          <w:rStyle w:val="normaltextrun"/>
          <w:rFonts w:cs="Arial"/>
          <w:color w:val="000000" w:themeColor="text1"/>
          <w:shd w:val="clear" w:color="auto" w:fill="FFFFFF"/>
        </w:rPr>
        <w:t>s</w:t>
      </w:r>
      <w:r w:rsidRPr="00EF2578">
        <w:rPr>
          <w:rStyle w:val="normaltextrun"/>
          <w:rFonts w:cs="Arial"/>
          <w:color w:val="000000" w:themeColor="text1"/>
          <w:shd w:val="clear" w:color="auto" w:fill="FFFFFF"/>
        </w:rPr>
        <w:t xml:space="preserve"> various levels of investment in retail fixtures, development of an online marketplace, and long-term property leases. </w:t>
      </w:r>
      <w:r w:rsidRPr="00EF2578">
        <w:rPr>
          <w:color w:val="000000" w:themeColor="text1"/>
        </w:rPr>
        <w:t>It is estimated that this equates to a financial loss of approximately $500,000 per vape specialist store.</w:t>
      </w:r>
      <w:r w:rsidR="00882B7E">
        <w:rPr>
          <w:color w:val="000000" w:themeColor="text1"/>
        </w:rPr>
        <w:t xml:space="preserve"> This is loosely based on </w:t>
      </w:r>
      <w:r w:rsidR="009F7874">
        <w:rPr>
          <w:color w:val="000000" w:themeColor="text1"/>
        </w:rPr>
        <w:t>cost impacts provided from vape stores in response to</w:t>
      </w:r>
      <w:r w:rsidR="00882B7E">
        <w:rPr>
          <w:color w:val="000000" w:themeColor="text1"/>
        </w:rPr>
        <w:t xml:space="preserve"> the 2023 Consultation.</w:t>
      </w:r>
    </w:p>
    <w:p w14:paraId="4B4AB947" w14:textId="77777777" w:rsidR="00D238B7" w:rsidRDefault="00D238B7" w:rsidP="001C04D3">
      <w:pPr>
        <w:rPr>
          <w:rStyle w:val="normaltextrun"/>
          <w:rFonts w:cs="Arial"/>
          <w:color w:val="000000"/>
          <w:shd w:val="clear" w:color="auto" w:fill="FFFFFF"/>
        </w:rPr>
      </w:pPr>
      <w:r w:rsidRPr="00EF2578">
        <w:rPr>
          <w:rStyle w:val="normaltextrun"/>
          <w:rFonts w:cs="Arial"/>
          <w:color w:val="000000"/>
          <w:shd w:val="clear" w:color="auto" w:fill="FFFFFF"/>
        </w:rPr>
        <w:t>Transition times will be crucial to minimise cost impact, by allowing most stock to be sold and minimise write offs.</w:t>
      </w:r>
      <w:r>
        <w:rPr>
          <w:rStyle w:val="normaltextrun"/>
          <w:rFonts w:cs="Arial"/>
          <w:color w:val="000000"/>
          <w:shd w:val="clear" w:color="auto" w:fill="FFFFFF"/>
        </w:rPr>
        <w:t xml:space="preserve"> It would also be mitigated by the length of time between the announcement of the proposal to pursue reforms by the Minister for Health and Aged on 2 May 2023 and the likely implementation of these restrictions. </w:t>
      </w:r>
    </w:p>
    <w:p w14:paraId="0CB2A79F" w14:textId="77777777" w:rsidR="00D238B7" w:rsidRDefault="00D238B7" w:rsidP="001C04D3">
      <w:r w:rsidRPr="00EF2578">
        <w:t xml:space="preserve">For </w:t>
      </w:r>
      <w:r>
        <w:t>t</w:t>
      </w:r>
      <w:r w:rsidRPr="00EF2578">
        <w:t xml:space="preserve">obacconists, revenue from the sale of vapes is likely to be a small proportion of their business compared to tobacco, so </w:t>
      </w:r>
      <w:r>
        <w:t xml:space="preserve">tobacconists </w:t>
      </w:r>
      <w:r w:rsidRPr="00EF2578">
        <w:t>would remain viable. The lowest impact is on convenience stores, for which sales of vapes would only make a very small proportion of their business.</w:t>
      </w:r>
    </w:p>
    <w:p w14:paraId="3CD53589" w14:textId="77777777" w:rsidR="00D238B7" w:rsidRPr="00EF2578" w:rsidRDefault="00D238B7" w:rsidP="001C04D3">
      <w:r w:rsidRPr="00EF2578">
        <w:t xml:space="preserve">The cost on retailers is acknowledged but not further quantified in Annexure B due to insufficient knowledge. Despite specifically seeking feedback from suppliers on the impact of the changes to their </w:t>
      </w:r>
      <w:r w:rsidRPr="00EF2578">
        <w:lastRenderedPageBreak/>
        <w:t>businesses in the 2023 consultation, insufficient data was provided to assist accurate quantification of the impact.</w:t>
      </w:r>
    </w:p>
    <w:p w14:paraId="5A739A24" w14:textId="77777777" w:rsidR="00D238B7" w:rsidRPr="00145305" w:rsidRDefault="00D238B7" w:rsidP="001C04D3">
      <w:pPr>
        <w:rPr>
          <w:b/>
          <w:bCs/>
        </w:rPr>
      </w:pPr>
      <w:r>
        <w:t xml:space="preserve">Measure 2 would have no impact </w:t>
      </w:r>
      <w:r w:rsidRPr="007E413C">
        <w:t xml:space="preserve">on vape retailers as opposed to pharmacies, </w:t>
      </w:r>
      <w:r>
        <w:t xml:space="preserve">due to changes in market accessibility requirements, </w:t>
      </w:r>
      <w:r w:rsidRPr="007E413C">
        <w:t xml:space="preserve">as </w:t>
      </w:r>
      <w:r>
        <w:t>this measure</w:t>
      </w:r>
      <w:r w:rsidRPr="007E413C">
        <w:t xml:space="preserve"> relates specifically to the selling of therapeutic vapes through pharmacies. </w:t>
      </w:r>
    </w:p>
    <w:p w14:paraId="1FED3AF6" w14:textId="77777777" w:rsidR="00D238B7" w:rsidRDefault="00D238B7" w:rsidP="001C04D3">
      <w:pPr>
        <w:rPr>
          <w:highlight w:val="yellow"/>
        </w:rPr>
      </w:pPr>
      <w:r w:rsidRPr="00AC6D18">
        <w:t xml:space="preserve">There would be no direct regulatory cost on retailers </w:t>
      </w:r>
      <w:r>
        <w:t xml:space="preserve">due to improving quality standard for unapproved vapes. </w:t>
      </w:r>
    </w:p>
    <w:p w14:paraId="6AFBA7B6" w14:textId="77777777" w:rsidR="00D238B7" w:rsidRDefault="00D238B7" w:rsidP="001C04D3">
      <w:r>
        <w:t xml:space="preserve">Similarly, retailers </w:t>
      </w:r>
      <w:r w:rsidRPr="00786F86">
        <w:t>who meet regulatory requirements would not be affected</w:t>
      </w:r>
      <w:r>
        <w:t xml:space="preserve"> by strengthening import and domestic compliance and enforcement mechanism. However, t</w:t>
      </w:r>
      <w:r w:rsidRPr="00027095">
        <w:t xml:space="preserve">here would be a direct impact of the compliance and enforcement mechanisms on current and future vape retailers who </w:t>
      </w:r>
      <w:r>
        <w:t>disregard</w:t>
      </w:r>
      <w:r w:rsidRPr="00027095">
        <w:t xml:space="preserve"> the other measures detailed in this </w:t>
      </w:r>
      <w:r>
        <w:t>option</w:t>
      </w:r>
      <w:r w:rsidRPr="00027095">
        <w:t xml:space="preserve">. </w:t>
      </w:r>
    </w:p>
    <w:p w14:paraId="535DE1BC" w14:textId="77777777" w:rsidR="00D238B7" w:rsidRDefault="00D238B7" w:rsidP="00D238B7">
      <w:pPr>
        <w:pStyle w:val="Heading4"/>
      </w:pPr>
      <w:bookmarkStart w:id="195" w:name="_Toc147321439"/>
      <w:bookmarkStart w:id="196" w:name="_Toc147478066"/>
      <w:bookmarkStart w:id="197" w:name="_Toc151040369"/>
      <w:bookmarkStart w:id="198" w:name="_Toc145668105"/>
      <w:r w:rsidRPr="00287778">
        <w:t xml:space="preserve">Analysis of </w:t>
      </w:r>
      <w:r>
        <w:t>the net benefit</w:t>
      </w:r>
      <w:r w:rsidRPr="00287778">
        <w:t xml:space="preserve"> of Option 3:</w:t>
      </w:r>
      <w:bookmarkEnd w:id="195"/>
      <w:bookmarkEnd w:id="196"/>
      <w:bookmarkEnd w:id="197"/>
      <w:r w:rsidRPr="00287778">
        <w:t xml:space="preserve"> </w:t>
      </w:r>
      <w:bookmarkEnd w:id="198"/>
    </w:p>
    <w:p w14:paraId="53A9C36F" w14:textId="77777777" w:rsidR="00D238B7" w:rsidRDefault="00D238B7" w:rsidP="00D238B7">
      <w:pPr>
        <w:pStyle w:val="Heading5"/>
      </w:pPr>
      <w:r>
        <w:t xml:space="preserve">Economic and regulatory costs and benefits </w:t>
      </w:r>
    </w:p>
    <w:p w14:paraId="32BB66DF" w14:textId="77777777" w:rsidR="00D238B7" w:rsidRDefault="00D238B7" w:rsidP="00D238B7">
      <w:r>
        <w:t>This option will likely result in regulatory burden costs, as outlined in Annexure B, particularly for manufacturers and suppliers who are seeking to achieve compliance with the proposed requirements in TGO 110.</w:t>
      </w:r>
      <w:r w:rsidDel="00D07521">
        <w:t xml:space="preserve"> </w:t>
      </w:r>
    </w:p>
    <w:p w14:paraId="5A6641EA" w14:textId="77777777" w:rsidR="00D238B7" w:rsidRDefault="00D238B7" w:rsidP="00D238B7">
      <w:r>
        <w:t xml:space="preserve">In addition, the implementation of this option will completely shut down the retail vaping sector in Australia, with the consequent economic loss for those who have invested in this sector, as well as associated job losses. </w:t>
      </w:r>
    </w:p>
    <w:p w14:paraId="1FFBA419" w14:textId="77777777" w:rsidR="00D238B7" w:rsidRDefault="00D238B7" w:rsidP="00D238B7">
      <w:r>
        <w:t xml:space="preserve">A significant regulatory </w:t>
      </w:r>
      <w:r w:rsidRPr="00505DBB">
        <w:t xml:space="preserve">cost </w:t>
      </w:r>
      <w:r>
        <w:t>of</w:t>
      </w:r>
      <w:r w:rsidRPr="00505DBB">
        <w:t xml:space="preserve"> this option </w:t>
      </w:r>
      <w:r>
        <w:t>would be on</w:t>
      </w:r>
      <w:r w:rsidRPr="00505DBB">
        <w:rPr>
          <w:rStyle w:val="CommentReference"/>
        </w:rPr>
        <w:t xml:space="preserve"> </w:t>
      </w:r>
      <w:r w:rsidRPr="00505DBB">
        <w:t xml:space="preserve">manufacturers </w:t>
      </w:r>
      <w:r>
        <w:t xml:space="preserve">in complying with increased quality requirements under Measure 3, but most companies supplying through pharmacies at present seem prepared to meet these costs and supply vapes </w:t>
      </w:r>
      <w:r w:rsidRPr="00FC535F">
        <w:t>that comply</w:t>
      </w:r>
      <w:r>
        <w:t xml:space="preserve"> with the increased quality requirements under this option. If the manufacturers are able to meet this significantly higher bar for product quality and safety, then significant benefits will be realised, such as increased confidence in prescribing and use, with</w:t>
      </w:r>
      <w:r w:rsidRPr="00422B73">
        <w:t xml:space="preserve"> </w:t>
      </w:r>
      <w:r>
        <w:t xml:space="preserve">fewer ingredients likely to cause adverse health outcomes. </w:t>
      </w:r>
    </w:p>
    <w:p w14:paraId="13D310C0" w14:textId="277E663C" w:rsidR="00D238B7" w:rsidRDefault="00D238B7" w:rsidP="00D238B7">
      <w:r>
        <w:t>Measure 4</w:t>
      </w:r>
      <w:r w:rsidR="00C04761">
        <w:t xml:space="preserve"> –</w:t>
      </w:r>
      <w:r>
        <w:t xml:space="preserve"> Strengthen import and domestic compliance and enforcement mechanisms, will facilitate effective enforcement of the regulatory reforms, including greater efficiency in enforcement activities and co-operation between Commonwealth, state and territory enforcement officials. </w:t>
      </w:r>
      <w:r w:rsidRPr="001B5809">
        <w:t>Effective enforcement is key to achieving the anticipated health benefits of the reforms.</w:t>
      </w:r>
      <w:r w:rsidRPr="001B45E5">
        <w:t xml:space="preserve"> </w:t>
      </w:r>
    </w:p>
    <w:p w14:paraId="23365C09" w14:textId="77777777" w:rsidR="00D238B7" w:rsidRDefault="00D238B7" w:rsidP="00D238B7">
      <w:r>
        <w:t xml:space="preserve">By enabling state and territory officials to exercise compliance and enforcement power and functions, more officials who are already distributed across the nation will be available to take appropriate action when unlawful activity in relation to vapes is suspected or detected. It will also lower the complexity in determining the appropriate officials with jurisdiction to take action and arrangements for multi-agency enforcement operations. This will increase overall efficiency in removing unlawful vapes from the supply chain. </w:t>
      </w:r>
    </w:p>
    <w:p w14:paraId="77758747" w14:textId="77777777" w:rsidR="00D238B7" w:rsidRDefault="00D238B7" w:rsidP="00D238B7">
      <w:r>
        <w:t xml:space="preserve">The expansion of the existing regulation making power in relation to laboratory testing will remove gaps in the TGA laboratories being able to comprehensively test all vapes that fall under the new regime. </w:t>
      </w:r>
    </w:p>
    <w:p w14:paraId="72D3AFF7" w14:textId="77777777" w:rsidR="00D238B7" w:rsidRDefault="00D238B7" w:rsidP="00D238B7">
      <w:pPr>
        <w:pStyle w:val="Heading5"/>
      </w:pPr>
      <w:r>
        <w:t xml:space="preserve">Social costs and benefits </w:t>
      </w:r>
    </w:p>
    <w:p w14:paraId="3E129CA1" w14:textId="77777777" w:rsidR="00D238B7" w:rsidRDefault="00D238B7" w:rsidP="00CE7B87">
      <w:r>
        <w:t>This option will produce significant health outcomes and at a relatively low cost when compared to the overall impact of smoking and vaping-related conditions on both individuals and public health expenditure.</w:t>
      </w:r>
    </w:p>
    <w:p w14:paraId="6B0F96BD" w14:textId="4610AFD1" w:rsidR="00D238B7" w:rsidRDefault="00D238B7" w:rsidP="00CE7B87">
      <w:r>
        <w:t xml:space="preserve">Measure 1 would remove from the market disposable devices, which the evidence suggests are particularly attractive to </w:t>
      </w:r>
      <w:r w:rsidR="0061061F">
        <w:t xml:space="preserve">youth </w:t>
      </w:r>
      <w:r w:rsidRPr="00F141E3">
        <w:t>because of their very low cost and ease of concealment from parental or teacher detection (see Question 1)</w:t>
      </w:r>
      <w:r>
        <w:t xml:space="preserve">. The restrictions on prohibition of the importation of all e-liquid, regardless of nicotine content, would remove the need for regulators to determine </w:t>
      </w:r>
      <w:r w:rsidRPr="00617A4D">
        <w:t>whether a</w:t>
      </w:r>
      <w:r>
        <w:t xml:space="preserve"> product </w:t>
      </w:r>
      <w:r>
        <w:lastRenderedPageBreak/>
        <w:t xml:space="preserve">contains nicotine, noting that evasion tactics would remain a concern. The implementation of a licensing and permit system would provide greater visibility and control of quantity and type of vapes imported and make unlawful vapes easier to detect. </w:t>
      </w:r>
    </w:p>
    <w:p w14:paraId="5016D116" w14:textId="77777777" w:rsidR="00D238B7" w:rsidRDefault="00D238B7" w:rsidP="00CE7B87">
      <w:r w:rsidRPr="0087608A">
        <w:t xml:space="preserve">It would also cut off a source of the supply of unlawful nicotine vapes </w:t>
      </w:r>
      <w:r>
        <w:t>and strengthen the economic viability of the market for regulated nicotine vapes by reducing consumer access to nicotine vapes outside of pharmacies.</w:t>
      </w:r>
    </w:p>
    <w:p w14:paraId="16601FB9" w14:textId="3724CE09" w:rsidR="00D238B7" w:rsidRDefault="00D238B7" w:rsidP="00CE7B87">
      <w:r>
        <w:t>Closing off the Personal Importation Scheme for vapes would remove a suspected source of black market vapes and address concerns that vapes imported by this means may not comply with any standards</w:t>
      </w:r>
      <w:r w:rsidR="0059323F">
        <w:t xml:space="preserve"> –</w:t>
      </w:r>
      <w:r>
        <w:t xml:space="preserve"> noting that the preservation of the travellers’ exemption will still allow the importation for personal use of a limited quantity of vapes. Advertising prohibitions on vapes will reduce their attractiveness to </w:t>
      </w:r>
      <w:r w:rsidR="0061061F">
        <w:t xml:space="preserve">youth </w:t>
      </w:r>
      <w:r>
        <w:t>and young adults, noting that legal non-therapeutic use of vapes (for 18-year-olds and over) would be removed.</w:t>
      </w:r>
    </w:p>
    <w:p w14:paraId="00ADB0D0" w14:textId="77777777" w:rsidR="00D238B7" w:rsidRDefault="00D238B7" w:rsidP="00CE7B87">
      <w:r w:rsidRPr="009209AB">
        <w:t xml:space="preserve">The requirement in </w:t>
      </w:r>
      <w:r>
        <w:t>Measure 2 for</w:t>
      </w:r>
      <w:r w:rsidRPr="009209AB">
        <w:t xml:space="preserve"> sponsors to notify the TGA, and hold evidence, of compliance with the relevant standard (TGO 110) </w:t>
      </w:r>
      <w:r>
        <w:t xml:space="preserve">may increase the confidence of some medical practitioners. This may assist them in prescribing </w:t>
      </w:r>
      <w:r w:rsidRPr="009209AB">
        <w:t>vapes</w:t>
      </w:r>
      <w:r>
        <w:t xml:space="preserve"> for smoking cessation and treatment of nicotine addiction purposes by strengthening compliance against the relevant product standard (TGO 110 as modified) and requiring sponsors to notify the TGA, and hold evidence, of compliance with the relevant standard (TGO 110). Further, enabling the SAS C pathway will decrease the administrative burden for prescribers compared to SAS B, albeit the AP pathway may remain the most popular pathway for prescribing vapes unless changes are made to reporting obligations or reporting obligations can be automated. </w:t>
      </w:r>
    </w:p>
    <w:p w14:paraId="2264BC4F" w14:textId="459676E7" w:rsidR="00D238B7" w:rsidRDefault="00D238B7" w:rsidP="00CE7B87">
      <w:r>
        <w:t xml:space="preserve">Measure 3 would directly target the attractiveness of vaping to </w:t>
      </w:r>
      <w:r w:rsidR="0061061F">
        <w:t xml:space="preserve">youth </w:t>
      </w:r>
      <w:r>
        <w:t xml:space="preserve">and young adults for </w:t>
      </w:r>
      <w:r w:rsidR="003A4FA8">
        <w:rPr>
          <w:rFonts w:eastAsiaTheme="minorEastAsia"/>
        </w:rPr>
        <w:t>non-therapeutic</w:t>
      </w:r>
      <w:r>
        <w:t xml:space="preserve"> purposes by </w:t>
      </w:r>
      <w:r w:rsidRPr="00113724">
        <w:t xml:space="preserve">prohibiting use of </w:t>
      </w:r>
      <w:r>
        <w:t xml:space="preserve">most </w:t>
      </w:r>
      <w:r w:rsidRPr="00113724">
        <w:t>colour and images designed to appeal to youth</w:t>
      </w:r>
      <w:r>
        <w:t xml:space="preserve"> and by excluding fruit and other youth-attractive flavours. Measure 3 would result in overall improved health outcomes for all vapers due to the restriction of the number of ingredients (including flavours), some of which contain known harmful chemicals and whose long-term health impacts are unknown, as well as reducing the nicotine concentration. Health outcomes would also be improved by the introduction of safety and quality requirements for a greater range of vaping devices, which would specifically reduce the risk of product malfunction either by design fault or user error.</w:t>
      </w:r>
      <w:r w:rsidRPr="005B50EC">
        <w:t xml:space="preserve"> </w:t>
      </w:r>
    </w:p>
    <w:p w14:paraId="0D98E4A4" w14:textId="77777777" w:rsidR="00D238B7" w:rsidRPr="003A5555" w:rsidRDefault="00D238B7" w:rsidP="00D238B7">
      <w:pPr>
        <w:pStyle w:val="Heading5"/>
      </w:pPr>
      <w:r>
        <w:t xml:space="preserve">Environmental costs and benefits </w:t>
      </w:r>
    </w:p>
    <w:p w14:paraId="3D882090" w14:textId="62898728" w:rsidR="00D238B7" w:rsidRDefault="00D238B7" w:rsidP="00D238B7">
      <w:pPr>
        <w:pStyle w:val="Bullet1"/>
      </w:pPr>
      <w:r w:rsidRPr="009A4E17">
        <w:rPr>
          <w:rFonts w:eastAsiaTheme="minorEastAsia" w:cstheme="minorBidi"/>
        </w:rPr>
        <w:t xml:space="preserve">There is the potential for </w:t>
      </w:r>
      <w:r w:rsidRPr="009A4E17">
        <w:t>significant</w:t>
      </w:r>
      <w:r>
        <w:t xml:space="preserve"> environmental and disposal costs of vapes for</w:t>
      </w:r>
      <w:r w:rsidR="00E54AD1" w:rsidRPr="00E54AD1">
        <w:t xml:space="preserve"> </w:t>
      </w:r>
      <w:r w:rsidR="00E54AD1" w:rsidRPr="000C172A">
        <w:t xml:space="preserve">manufacturers, retailers and suppliers (including wholesalers) </w:t>
      </w:r>
      <w:r w:rsidR="00E54AD1">
        <w:t xml:space="preserve">relating to </w:t>
      </w:r>
      <w:r w:rsidR="00E54AD1" w:rsidRPr="000C172A">
        <w:t>existing stocks</w:t>
      </w:r>
      <w:r w:rsidR="00E54AD1">
        <w:t xml:space="preserve"> of</w:t>
      </w:r>
      <w:r>
        <w:t xml:space="preserve">: </w:t>
      </w:r>
    </w:p>
    <w:p w14:paraId="2A560041" w14:textId="1A00F8A1" w:rsidR="00D238B7" w:rsidRDefault="00D238B7" w:rsidP="00467EDD">
      <w:pPr>
        <w:pStyle w:val="Bullet1"/>
        <w:numPr>
          <w:ilvl w:val="0"/>
          <w:numId w:val="55"/>
        </w:numPr>
      </w:pPr>
      <w:r w:rsidRPr="000C172A">
        <w:t xml:space="preserve"> therapeutic vapes and vaping devices being supplied to the pharmacy market which meet current regulatory requirements</w:t>
      </w:r>
      <w:r w:rsidR="00D31B9D" w:rsidRPr="000C172A">
        <w:t xml:space="preserve"> but</w:t>
      </w:r>
      <w:r w:rsidRPr="000C172A">
        <w:t xml:space="preserve"> will not meet the new product standards. This would be mitigated through a transition period of 6</w:t>
      </w:r>
      <w:r w:rsidR="0059323F">
        <w:t>–</w:t>
      </w:r>
      <w:r w:rsidRPr="000C172A">
        <w:t>12 months to allow selling down of these stocks</w:t>
      </w:r>
      <w:r>
        <w:t>.</w:t>
      </w:r>
    </w:p>
    <w:p w14:paraId="05EA49D8" w14:textId="30555383" w:rsidR="00D238B7" w:rsidRPr="008523ED" w:rsidRDefault="00D238B7" w:rsidP="00467EDD">
      <w:pPr>
        <w:pStyle w:val="Bullet1"/>
        <w:numPr>
          <w:ilvl w:val="0"/>
          <w:numId w:val="55"/>
        </w:numPr>
      </w:pPr>
      <w:r>
        <w:t xml:space="preserve">non-therapeutic </w:t>
      </w:r>
      <w:r w:rsidRPr="009A4E17">
        <w:t xml:space="preserve">vapes and </w:t>
      </w:r>
      <w:r>
        <w:t xml:space="preserve">non-therapeutic </w:t>
      </w:r>
      <w:r w:rsidRPr="009A4E17">
        <w:t xml:space="preserve">devices. This would </w:t>
      </w:r>
      <w:r>
        <w:t xml:space="preserve">be </w:t>
      </w:r>
      <w:r w:rsidRPr="009A4E17">
        <w:t xml:space="preserve">mitigated by the </w:t>
      </w:r>
      <w:r>
        <w:t xml:space="preserve">advance warning the industry has had of the proposed reforms, which should be at least 12 months by the time they would be implemented. </w:t>
      </w:r>
    </w:p>
    <w:p w14:paraId="081FA7CF" w14:textId="77777777" w:rsidR="00D238B7" w:rsidRDefault="00D238B7" w:rsidP="00D238B7">
      <w:pPr>
        <w:pStyle w:val="Heading5"/>
      </w:pPr>
      <w:r>
        <w:t xml:space="preserve">Net benefit </w:t>
      </w:r>
    </w:p>
    <w:p w14:paraId="4175567D" w14:textId="77777777" w:rsidR="00D238B7" w:rsidRDefault="00D238B7" w:rsidP="00CE7B87">
      <w:r>
        <w:t xml:space="preserve">Each of the regulatory measures proposed in this option targets existing weaknesses in the regulatory framework introduced in 2021, which is not meeting its intended objectives. The regulatory burden under this option is significantly higher than the status quo but each of the measures alone has a clear cost benefit, and they collectively represent the highest benefit option. </w:t>
      </w:r>
    </w:p>
    <w:p w14:paraId="4D83CC48" w14:textId="7AA45381" w:rsidR="00D238B7" w:rsidRDefault="00D238B7" w:rsidP="00CE7B87">
      <w:r w:rsidRPr="00B71BCB">
        <w:t xml:space="preserve">Option 3 will address many of the underlying concerns about the population wide health risks of vaping, particularly for </w:t>
      </w:r>
      <w:r w:rsidR="00BC4C3E">
        <w:t>youth</w:t>
      </w:r>
      <w:r w:rsidRPr="00B71BCB">
        <w:t xml:space="preserve"> and young </w:t>
      </w:r>
      <w:r w:rsidR="00BC4C3E">
        <w:t>adults</w:t>
      </w:r>
      <w:r w:rsidRPr="00B71BCB">
        <w:t>. This option targets existing</w:t>
      </w:r>
      <w:r>
        <w:t xml:space="preserve"> weaknesses in the current regulatory framework that are enabling widespread access to vapes by </w:t>
      </w:r>
      <w:r w:rsidR="00976966">
        <w:t xml:space="preserve">the </w:t>
      </w:r>
      <w:r w:rsidR="00CD2EA9">
        <w:t xml:space="preserve">youth </w:t>
      </w:r>
      <w:r>
        <w:t>and for non-therapeutic purposes.</w:t>
      </w:r>
    </w:p>
    <w:p w14:paraId="5440BBF3" w14:textId="324EE54C" w:rsidR="00D238B7" w:rsidRPr="00432592" w:rsidRDefault="00D238B7" w:rsidP="00CE7B87">
      <w:r>
        <w:t>Substantial health benefits flow from preventing vape use in susceptible groups u</w:t>
      </w:r>
      <w:r w:rsidRPr="001C5EA2">
        <w:rPr>
          <w:bCs/>
        </w:rPr>
        <w:t>nder Measure 1</w:t>
      </w:r>
      <w:r w:rsidR="0059323F">
        <w:rPr>
          <w:bCs/>
        </w:rPr>
        <w:t xml:space="preserve"> –</w:t>
      </w:r>
      <w:r>
        <w:rPr>
          <w:bCs/>
        </w:rPr>
        <w:t xml:space="preserve">Restrict importation, manufacturing and supply of all vapes. </w:t>
      </w:r>
      <w:r>
        <w:t xml:space="preserve">These outweigh the economic costs to </w:t>
      </w:r>
      <w:r>
        <w:lastRenderedPageBreak/>
        <w:t xml:space="preserve">the main impacted stakeholders, consumers and specific vape retailers. </w:t>
      </w:r>
      <w:r w:rsidRPr="00432592">
        <w:t xml:space="preserve">In the 2023 </w:t>
      </w:r>
      <w:r>
        <w:t>C</w:t>
      </w:r>
      <w:r w:rsidRPr="00432592">
        <w:t xml:space="preserve">onsultation on these reforms, there was very strong support for these measures and clear benefits highlighted by Government agencies, </w:t>
      </w:r>
      <w:r>
        <w:t>h</w:t>
      </w:r>
      <w:r w:rsidRPr="00432592">
        <w:t xml:space="preserve">ealth professional peak bodies, </w:t>
      </w:r>
      <w:r>
        <w:t>p</w:t>
      </w:r>
      <w:r w:rsidRPr="00432592">
        <w:t xml:space="preserve">ublic health organisations and </w:t>
      </w:r>
      <w:r>
        <w:t>u</w:t>
      </w:r>
      <w:r w:rsidRPr="00432592">
        <w:t xml:space="preserve">niversity research groups, who noted the positive impact these reforms would have on communities </w:t>
      </w:r>
      <w:r>
        <w:t>in</w:t>
      </w:r>
      <w:r w:rsidRPr="00432592">
        <w:t xml:space="preserve"> </w:t>
      </w:r>
      <w:r>
        <w:t xml:space="preserve">curbing the illegal trade in nicotine vapes. </w:t>
      </w:r>
    </w:p>
    <w:p w14:paraId="5277324B" w14:textId="17BF5FEA" w:rsidR="00D238B7" w:rsidRDefault="00D238B7" w:rsidP="00315670">
      <w:r>
        <w:t>Measure 2</w:t>
      </w:r>
      <w:r w:rsidR="0059323F">
        <w:t xml:space="preserve"> –</w:t>
      </w:r>
      <w:r>
        <w:t xml:space="preserve"> Change market accessibility requirements for therapeutic vapes, is designed to complement Measure 1 by requiring manufacturers and importers to notify compliance with TGA standards prior to introducing a therapeutic vape to the Australian market. It will also make access through the legal pathway more attractive, particularly by streamlining the SAS and AP schemes to remove some of the burden on </w:t>
      </w:r>
      <w:r w:rsidR="00CA4367">
        <w:t>prescribers</w:t>
      </w:r>
      <w:r>
        <w:t>.</w:t>
      </w:r>
    </w:p>
    <w:p w14:paraId="41D138FE" w14:textId="77777777" w:rsidR="00D238B7" w:rsidRPr="00DC6C49" w:rsidRDefault="00D238B7" w:rsidP="00315670">
      <w:r w:rsidRPr="00BE6FBB">
        <w:t xml:space="preserve">The </w:t>
      </w:r>
      <w:r>
        <w:t>regulatory cost of Measure 2 on stakeholders is minimal, but there are significant benefits in streamlining appropriate access to vapes through medical practitioners and introducing a level of responsibility on manufacturers to declare compliance with TGA standards. The notification scheme would also increase the level of transparency and assurance to consumers and prescribers of the quality and safety of prescribed vapes</w:t>
      </w:r>
      <w:r w:rsidRPr="00BE6FBB">
        <w:t>.</w:t>
      </w:r>
      <w:r>
        <w:t xml:space="preserve"> For example, benefits of this regulatory measure would include:</w:t>
      </w:r>
    </w:p>
    <w:p w14:paraId="128448A2" w14:textId="651DED60" w:rsidR="00D238B7" w:rsidRPr="00CE7B87" w:rsidRDefault="00D238B7" w:rsidP="00467EDD">
      <w:pPr>
        <w:pStyle w:val="Bullet1"/>
        <w:numPr>
          <w:ilvl w:val="0"/>
          <w:numId w:val="56"/>
        </w:numPr>
      </w:pPr>
      <w:r w:rsidRPr="00CE7B87">
        <w:t xml:space="preserve">reducing the ‘duty of care’ checking undertaken by </w:t>
      </w:r>
      <w:r w:rsidR="00FC78E5">
        <w:t>prescribers</w:t>
      </w:r>
      <w:r w:rsidRPr="00CE7B87">
        <w:t>, wholesalers and pharmacists to determine if particular vapes can be lawfully supplied, as the TGA would provide a published list of vapes that are registered or that sponsors have declared meet the requirements outlined in TGA standards</w:t>
      </w:r>
      <w:r w:rsidR="00CD0A8E">
        <w:t xml:space="preserve"> </w:t>
      </w:r>
    </w:p>
    <w:p w14:paraId="77E338F4" w14:textId="15471091" w:rsidR="00D238B7" w:rsidRPr="00CE7B87" w:rsidRDefault="00D238B7" w:rsidP="00467EDD">
      <w:pPr>
        <w:pStyle w:val="Bullet1"/>
        <w:numPr>
          <w:ilvl w:val="0"/>
          <w:numId w:val="56"/>
        </w:numPr>
      </w:pPr>
      <w:r w:rsidRPr="00CE7B87">
        <w:t>increasing the confidence of consumers and prescribers in the safety and quality of vapes, although it is recognised that some prescribers and consumers will never have confidence in unregistered products.</w:t>
      </w:r>
    </w:p>
    <w:p w14:paraId="630CDB21" w14:textId="48287482" w:rsidR="00D238B7" w:rsidRDefault="00D238B7" w:rsidP="00CE7B87">
      <w:r>
        <w:t>The health benefit of Measure 3</w:t>
      </w:r>
      <w:r w:rsidR="00EA11FF">
        <w:t xml:space="preserve"> </w:t>
      </w:r>
      <w:r w:rsidR="0059323F">
        <w:t>–</w:t>
      </w:r>
      <w:r>
        <w:t xml:space="preserve"> Heightened quality and safety standards for therapeutic vapes, including better regulation of device components, is significant as it ensures that only vapes of a certain quality are supplied. This public health benefit would outweigh the cost to consumers of any price increases and reduction of choice, and the cost to manufacturers to meet these standards.</w:t>
      </w:r>
    </w:p>
    <w:p w14:paraId="7F3F6FCE" w14:textId="530A8A00" w:rsidR="00D238B7" w:rsidRDefault="00D238B7" w:rsidP="00CE7B87">
      <w:r>
        <w:t>The regulatory costs to legitimate industry are minimal for changes under Measure 4</w:t>
      </w:r>
      <w:r w:rsidR="0059323F">
        <w:t xml:space="preserve"> –</w:t>
      </w:r>
      <w:r>
        <w:t xml:space="preserve"> Strengthening import and domestic compliance and enforcement mechanisms, but the benefit to achieving the intention of the reform measures and anticipated health benefits can be realised.</w:t>
      </w:r>
    </w:p>
    <w:p w14:paraId="65217E2D" w14:textId="565CF59E" w:rsidR="0029026E" w:rsidRDefault="0029026E" w:rsidP="0029026E">
      <w:r w:rsidRPr="0087608A">
        <w:rPr>
          <w:rFonts w:eastAsia="Calibri" w:cs="Arial"/>
        </w:rPr>
        <w:t>The overall annual regulatory cost of this option is estimated to be $</w:t>
      </w:r>
      <w:r>
        <w:rPr>
          <w:rFonts w:eastAsia="Calibri" w:cs="Arial"/>
        </w:rPr>
        <w:t>59.46</w:t>
      </w:r>
      <w:r w:rsidRPr="0087608A">
        <w:rPr>
          <w:rFonts w:eastAsia="Calibri" w:cs="Arial"/>
        </w:rPr>
        <w:t>m</w:t>
      </w:r>
      <w:r>
        <w:rPr>
          <w:rFonts w:eastAsia="Calibri" w:cs="Arial"/>
        </w:rPr>
        <w:t xml:space="preserve"> </w:t>
      </w:r>
      <w:r w:rsidRPr="00704765">
        <w:t>(plus costs o</w:t>
      </w:r>
      <w:r>
        <w:t>n</w:t>
      </w:r>
      <w:r w:rsidRPr="00704765">
        <w:t xml:space="preserve"> vaping store closure)</w:t>
      </w:r>
      <w:r>
        <w:t xml:space="preserve">. </w:t>
      </w:r>
      <w:r w:rsidRPr="00A94C6F">
        <w:t>T</w:t>
      </w:r>
      <w:r w:rsidRPr="00CD0A8E">
        <w:t xml:space="preserve">he </w:t>
      </w:r>
      <w:r>
        <w:t>benefits of quitting smoking were quantified in the recently published IA on the review of the Tobacco Control Legislative Framework.</w:t>
      </w:r>
      <w:r w:rsidR="00D20E99">
        <w:rPr>
          <w:rStyle w:val="FootnoteReference"/>
        </w:rPr>
        <w:footnoteReference w:id="92"/>
      </w:r>
      <w:r>
        <w:t xml:space="preserve"> The proportion of the 1.3 million Australian adult vapers who are never smokers cannot be determined at this time. However, the estimated regulatory burden of $59.46m for Option 3 would be justified if approximately 200 individuals never progressed to tobacco smoking by not taking up vaping in the first place/or by ceasing vaping before they started tobacco smoking. This figure (n=200) represents only 0.015% of the current population of Australian vapers (n=1.3m). Given this very low target there is a high likelihood that the benefits would outweigh the costs for this option.  </w:t>
      </w:r>
    </w:p>
    <w:p w14:paraId="3FB1247A" w14:textId="4747A383" w:rsidR="00D238B7" w:rsidRDefault="00D238B7" w:rsidP="00D238B7">
      <w:pPr>
        <w:pStyle w:val="Heading3"/>
      </w:pPr>
      <w:bookmarkStart w:id="199" w:name="_Toc151040370"/>
      <w:bookmarkStart w:id="200" w:name="_Toc147478068"/>
      <w:r w:rsidRPr="00E4333F">
        <w:lastRenderedPageBreak/>
        <w:t xml:space="preserve">Option </w:t>
      </w:r>
      <w:r>
        <w:t>4</w:t>
      </w:r>
      <w:r w:rsidRPr="00E4333F">
        <w:t xml:space="preserve">: </w:t>
      </w:r>
      <w:r>
        <w:t xml:space="preserve">Ban non-therapeutic vapes and require therapeutic </w:t>
      </w:r>
      <w:r w:rsidRPr="00404D57">
        <w:t xml:space="preserve">vapes to be registered on the </w:t>
      </w:r>
      <w:r>
        <w:t xml:space="preserve">Australian Register of Therapeutic Goods, </w:t>
      </w:r>
      <w:r w:rsidRPr="00404D57">
        <w:t>and not available as ‘unapproved’ therapeutic goods</w:t>
      </w:r>
      <w:bookmarkEnd w:id="199"/>
    </w:p>
    <w:p w14:paraId="09D132DE" w14:textId="77777777" w:rsidR="00D238B7" w:rsidRDefault="00D238B7" w:rsidP="00D238B7">
      <w:r>
        <w:rPr>
          <w:noProof/>
          <w:lang w:eastAsia="en-AU"/>
        </w:rPr>
        <w:drawing>
          <wp:inline distT="0" distB="0" distL="0" distR="0" wp14:anchorId="4D6EFB2F" wp14:editId="35A7285F">
            <wp:extent cx="5731510" cy="1047750"/>
            <wp:effectExtent l="0" t="19050" r="2159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9991A42" w14:textId="77777777" w:rsidR="00D238B7" w:rsidRDefault="00D238B7" w:rsidP="00D238B7">
      <w:pPr>
        <w:pStyle w:val="Heading4"/>
      </w:pPr>
      <w:bookmarkStart w:id="201" w:name="_Toc151040371"/>
      <w:r>
        <w:t>Overview</w:t>
      </w:r>
      <w:bookmarkEnd w:id="201"/>
    </w:p>
    <w:p w14:paraId="419124E0" w14:textId="77777777" w:rsidR="00D238B7" w:rsidRDefault="00D238B7" w:rsidP="008C74BF">
      <w:r>
        <w:t>This option imposes a higher level of regulation for vapes than Option 3. As with Option 3, it would involve banning all non-therapeutic vapes, but would add a requirement for all vapes to be registered on the ARTG to be lawfully supplied in Australia. Only vapes that have been reviewed by TGA for quality, safety, and efficacy/performance can be included on the ARTG.</w:t>
      </w:r>
    </w:p>
    <w:p w14:paraId="7840897A" w14:textId="1735F62C" w:rsidR="00D238B7" w:rsidRDefault="00D238B7" w:rsidP="008C74BF">
      <w:r>
        <w:t xml:space="preserve">This option would meet the Government’s objectives in a similar way to Option 3. The crucial difference is that it would far better safeguard consumer health, increase confidence of users and prescribers, and minimise the short-term and long-term adverse health effects of vapes. </w:t>
      </w:r>
    </w:p>
    <w:p w14:paraId="5EE700EF" w14:textId="77777777" w:rsidR="00D238B7" w:rsidRPr="009C4ED0" w:rsidRDefault="00D238B7" w:rsidP="008C74BF">
      <w:r>
        <w:t>However, t</w:t>
      </w:r>
      <w:r w:rsidRPr="009C4ED0">
        <w:t xml:space="preserve">his option would come </w:t>
      </w:r>
      <w:r>
        <w:t>with t</w:t>
      </w:r>
      <w:r w:rsidRPr="009C4ED0">
        <w:t>he practical effect to ban all vapes until a product is registered</w:t>
      </w:r>
      <w:r>
        <w:t>. This in turn risks losing the opportunity of</w:t>
      </w:r>
      <w:r w:rsidRPr="009C4ED0">
        <w:t xml:space="preserve"> reducing the risk of future tobacco use by </w:t>
      </w:r>
      <w:r>
        <w:t>threatening the</w:t>
      </w:r>
      <w:r w:rsidRPr="009C4ED0">
        <w:t xml:space="preserve"> availability of vapes for smoking cessation where clinically appropriate. </w:t>
      </w:r>
    </w:p>
    <w:p w14:paraId="5F1BB527" w14:textId="77777777" w:rsidR="00D238B7" w:rsidRDefault="00D238B7" w:rsidP="00D238B7">
      <w:pPr>
        <w:pStyle w:val="Heading4"/>
      </w:pPr>
      <w:bookmarkStart w:id="202" w:name="_Toc151040372"/>
      <w:r>
        <w:t>Who is affected and what are the economic, social and environmental costs and benefits?</w:t>
      </w:r>
      <w:bookmarkEnd w:id="202"/>
      <w:r>
        <w:t xml:space="preserve"> </w:t>
      </w:r>
    </w:p>
    <w:p w14:paraId="45017B53" w14:textId="77777777" w:rsidR="00D238B7" w:rsidRDefault="00D238B7" w:rsidP="00D238B7">
      <w:pPr>
        <w:pStyle w:val="Heading5"/>
      </w:pPr>
      <w:r w:rsidRPr="00496A46">
        <w:t>Consumers</w:t>
      </w:r>
      <w:r>
        <w:t xml:space="preserve"> </w:t>
      </w:r>
    </w:p>
    <w:p w14:paraId="64E4F70B" w14:textId="17A2AAEA" w:rsidR="00D238B7" w:rsidRDefault="00D238B7" w:rsidP="008C74BF">
      <w:r w:rsidRPr="366EDE46">
        <w:t xml:space="preserve">Option </w:t>
      </w:r>
      <w:r>
        <w:t>4</w:t>
      </w:r>
      <w:r w:rsidRPr="366EDE46">
        <w:t xml:space="preserve"> </w:t>
      </w:r>
      <w:r>
        <w:t>has a very high level of</w:t>
      </w:r>
      <w:r w:rsidRPr="366EDE46">
        <w:t xml:space="preserve"> </w:t>
      </w:r>
      <w:r>
        <w:t xml:space="preserve">public and individual </w:t>
      </w:r>
      <w:r w:rsidRPr="366EDE46">
        <w:t xml:space="preserve">health </w:t>
      </w:r>
      <w:r>
        <w:t>benefit</w:t>
      </w:r>
      <w:r w:rsidRPr="366EDE46">
        <w:t xml:space="preserve"> </w:t>
      </w:r>
      <w:r>
        <w:t>compared to the status quo, as vapes would have been reviewed for quality, safety and efficacy/performance to the same level as any other approved therapeutic good. This would remove any doubt about the suitability for the intended clinical use</w:t>
      </w:r>
      <w:r w:rsidR="00C83592">
        <w:t xml:space="preserve"> and</w:t>
      </w:r>
      <w:r>
        <w:t xml:space="preserve"> ensure the risk-benefit of the quality and safety of ingredients in the vape and components of the vape have been considered. </w:t>
      </w:r>
    </w:p>
    <w:p w14:paraId="3EE63D4F" w14:textId="77777777" w:rsidR="00D238B7" w:rsidRDefault="00D238B7" w:rsidP="008C74BF">
      <w:r>
        <w:t xml:space="preserve">However, implementing this option in the short term would effectively result in a total ban on all vapes. There are currently no vapes on the ARTG and this option would prevent consumers using vapes as a tool for smoking cessation or any other purpose until such time as a product is added to the ARTG. </w:t>
      </w:r>
    </w:p>
    <w:p w14:paraId="21CAD126" w14:textId="2258AEC2" w:rsidR="00D238B7" w:rsidRPr="005A1791" w:rsidRDefault="00D238B7" w:rsidP="008C74BF">
      <w:pPr>
        <w:rPr>
          <w:rFonts w:cs="Arial"/>
        </w:rPr>
      </w:pPr>
      <w:r>
        <w:rPr>
          <w:rFonts w:cs="Arial"/>
        </w:rPr>
        <w:t xml:space="preserve">The price of vapes would also likely increase substantially, as the cost to manufacturers of seeking TGA approval are likely to be passed on. These costs are delayed until a vape is included on the register. </w:t>
      </w:r>
      <w:r>
        <w:t>Detailed costing is outlined in Annexure B but is expected to be $52.1m.</w:t>
      </w:r>
    </w:p>
    <w:p w14:paraId="7CC66349" w14:textId="77777777" w:rsidR="00D238B7" w:rsidRPr="009B24C0" w:rsidRDefault="00D238B7" w:rsidP="00D238B7">
      <w:pPr>
        <w:pStyle w:val="Heading5"/>
      </w:pPr>
      <w:r>
        <w:t>Health</w:t>
      </w:r>
      <w:r w:rsidRPr="009B24C0">
        <w:t xml:space="preserve"> practitioners </w:t>
      </w:r>
    </w:p>
    <w:p w14:paraId="61DBE878" w14:textId="77777777" w:rsidR="00D238B7" w:rsidRDefault="00D238B7" w:rsidP="008C74BF">
      <w:r>
        <w:t>Manufacturing vapes in accordance with strict standards in line with other approved therapeutic goods would remove concerns of health practitioners about prescribing them as regulated therapeutic goods. Likewise, any patient concerns about the quality, safety and efficacy of vapes would be greatly reduced.</w:t>
      </w:r>
    </w:p>
    <w:p w14:paraId="4C7234A9" w14:textId="77777777" w:rsidR="00D238B7" w:rsidRPr="00C94FDA" w:rsidRDefault="00D238B7" w:rsidP="008C74BF">
      <w:r>
        <w:lastRenderedPageBreak/>
        <w:t xml:space="preserve">Option 4 would remove any existing and future regulatory burden for health practitioners in complying with the requirements for AP and SAS prescription pathways for nicotine vapes, so there would be a reduction in costs over the status quo. </w:t>
      </w:r>
    </w:p>
    <w:p w14:paraId="545B14E7" w14:textId="77777777" w:rsidR="00D238B7" w:rsidRPr="002C6E6B" w:rsidRDefault="00D238B7" w:rsidP="00D238B7">
      <w:pPr>
        <w:pStyle w:val="Heading5"/>
      </w:pPr>
      <w:r>
        <w:t>P</w:t>
      </w:r>
      <w:r w:rsidRPr="009B24C0">
        <w:t>harmacists</w:t>
      </w:r>
      <w:r w:rsidRPr="002C6E6B">
        <w:t xml:space="preserve"> </w:t>
      </w:r>
    </w:p>
    <w:p w14:paraId="453DD622" w14:textId="77777777" w:rsidR="00D238B7" w:rsidRDefault="00D238B7" w:rsidP="008C74BF">
      <w:r>
        <w:t>There would be an increased number of consumers needing to seek a prescription and fill it through pharmacies. While this cost is already borne under the status quo in relation to nicotine vapes, it will be a new cost in relation to zero-nicotine vapes.</w:t>
      </w:r>
    </w:p>
    <w:p w14:paraId="704CA5A0" w14:textId="77777777" w:rsidR="00D238B7" w:rsidRPr="00AF3B21" w:rsidRDefault="00D238B7" w:rsidP="008C74BF">
      <w:r>
        <w:t>Detailed costing is outlined in Annexure B but is expected to be less than $6.57m.</w:t>
      </w:r>
    </w:p>
    <w:p w14:paraId="477ACBB5" w14:textId="77777777" w:rsidR="00D238B7" w:rsidRPr="006B3193" w:rsidRDefault="00D238B7" w:rsidP="00D238B7">
      <w:pPr>
        <w:pStyle w:val="Heading5"/>
      </w:pPr>
      <w:r w:rsidRPr="006B3193">
        <w:t xml:space="preserve">Manufacturers and suppliers </w:t>
      </w:r>
    </w:p>
    <w:p w14:paraId="4CE5BDD6" w14:textId="77777777" w:rsidR="00D238B7" w:rsidRPr="001B45E5" w:rsidRDefault="00D238B7" w:rsidP="008C74BF">
      <w:r w:rsidRPr="00D371CC">
        <w:t>The overall cost in obtaining full ARTG registration cannot be accurately quantified at this stage</w:t>
      </w:r>
      <w:r>
        <w:t>.</w:t>
      </w:r>
    </w:p>
    <w:p w14:paraId="24B0A7D7" w14:textId="77777777" w:rsidR="00D238B7" w:rsidRDefault="00D238B7" w:rsidP="008C74BF">
      <w:r>
        <w:t xml:space="preserve">The </w:t>
      </w:r>
      <w:r w:rsidRPr="0087608A">
        <w:t xml:space="preserve">regulatory </w:t>
      </w:r>
      <w:r w:rsidRPr="001C038C">
        <w:t>cost</w:t>
      </w:r>
      <w:r w:rsidRPr="0087608A">
        <w:t xml:space="preserve">s </w:t>
      </w:r>
      <w:r>
        <w:t xml:space="preserve">will be higher than the status quo and include additional expenses imposed on manufacturers due to the need to seek </w:t>
      </w:r>
      <w:r w:rsidRPr="0087608A">
        <w:t>TGA certification of all manufacturing sited to Good Manufacturing Practice (GMP) standards</w:t>
      </w:r>
      <w:r>
        <w:t xml:space="preserve"> and generation of data (including through clinical trials) to support an application for ARTG registration. </w:t>
      </w:r>
    </w:p>
    <w:p w14:paraId="2823A891" w14:textId="77777777" w:rsidR="00D238B7" w:rsidRPr="000174B0" w:rsidRDefault="00D238B7" w:rsidP="00D238B7">
      <w:pPr>
        <w:pStyle w:val="Heading5"/>
      </w:pPr>
      <w:r w:rsidRPr="000174B0">
        <w:t>Retailers</w:t>
      </w:r>
    </w:p>
    <w:p w14:paraId="7B0684C2" w14:textId="06AF75FE" w:rsidR="00D238B7" w:rsidRPr="0087608A" w:rsidRDefault="00D238B7" w:rsidP="008C74BF">
      <w:r>
        <w:t>T</w:t>
      </w:r>
      <w:r w:rsidRPr="001F34D7">
        <w:t xml:space="preserve">he impact on retailers selling will be significant </w:t>
      </w:r>
      <w:r>
        <w:t>with specialty vape retailers</w:t>
      </w:r>
      <w:r w:rsidRPr="001F34D7">
        <w:t xml:space="preserve"> likely </w:t>
      </w:r>
      <w:r>
        <w:t xml:space="preserve">to </w:t>
      </w:r>
      <w:r w:rsidRPr="001F34D7">
        <w:t>close</w:t>
      </w:r>
      <w:r>
        <w:t xml:space="preserve">. </w:t>
      </w:r>
      <w:r w:rsidRPr="0053319E">
        <w:t xml:space="preserve">It is estimated that </w:t>
      </w:r>
      <w:r>
        <w:t>the loss of sales of zero-nicotine vapes</w:t>
      </w:r>
      <w:r w:rsidR="00CA7D29">
        <w:t>,</w:t>
      </w:r>
      <w:r>
        <w:t xml:space="preserve"> and devices would </w:t>
      </w:r>
      <w:r w:rsidRPr="0053319E">
        <w:t>equate to a financial loss of approximately $500,000 per vape specialist store.</w:t>
      </w:r>
    </w:p>
    <w:p w14:paraId="44200E9F" w14:textId="77777777" w:rsidR="00D238B7" w:rsidRDefault="00D238B7" w:rsidP="00D238B7">
      <w:pPr>
        <w:pStyle w:val="Heading4"/>
      </w:pPr>
      <w:bookmarkStart w:id="203" w:name="_Toc151040373"/>
      <w:r w:rsidRPr="00287778">
        <w:t xml:space="preserve">Analysis of </w:t>
      </w:r>
      <w:r>
        <w:t>the net benefit</w:t>
      </w:r>
      <w:r w:rsidRPr="00287778">
        <w:t xml:space="preserve"> of Option </w:t>
      </w:r>
      <w:r>
        <w:t>4</w:t>
      </w:r>
      <w:r w:rsidRPr="00287778">
        <w:t>:</w:t>
      </w:r>
      <w:bookmarkEnd w:id="203"/>
      <w:r w:rsidRPr="00287778">
        <w:t xml:space="preserve"> </w:t>
      </w:r>
    </w:p>
    <w:p w14:paraId="1CDDC540" w14:textId="77777777" w:rsidR="00D238B7" w:rsidRDefault="00D238B7" w:rsidP="00D238B7">
      <w:pPr>
        <w:pStyle w:val="Heading5"/>
      </w:pPr>
      <w:r>
        <w:t xml:space="preserve">Economic and regulatory costs and benefits </w:t>
      </w:r>
    </w:p>
    <w:p w14:paraId="02E4F9C7" w14:textId="77777777" w:rsidR="00D238B7" w:rsidRDefault="00D238B7" w:rsidP="008C74BF">
      <w:r w:rsidRPr="005E5DF5">
        <w:t xml:space="preserve">There are currently no vapes </w:t>
      </w:r>
      <w:r>
        <w:t xml:space="preserve">registered </w:t>
      </w:r>
      <w:r w:rsidRPr="005E5DF5">
        <w:t>on the ARTG.</w:t>
      </w:r>
      <w:r>
        <w:t xml:space="preserve"> Implementing Option 4 would, </w:t>
      </w:r>
      <w:r w:rsidRPr="005E5DF5">
        <w:t>in the short term</w:t>
      </w:r>
      <w:r>
        <w:t xml:space="preserve">, </w:t>
      </w:r>
      <w:r w:rsidRPr="005E5DF5">
        <w:t xml:space="preserve">effectively result in a total ban on all vapes. </w:t>
      </w:r>
      <w:r>
        <w:t xml:space="preserve">The estimated cost would be the value of the lawful vape market. </w:t>
      </w:r>
    </w:p>
    <w:p w14:paraId="254EEC62" w14:textId="7BF4A510" w:rsidR="00D238B7" w:rsidRDefault="00D238B7" w:rsidP="008C74BF">
      <w:r>
        <w:t xml:space="preserve">Once a sponsor achieves ARTG registration they would receive an immediate market benefit as they would be the sole supplier of therapeutic vapes in Australia, which would effectively allow them to set the price. Therapeutic vapes are not likely, at least in the short term, to be subjected to the price control measures of the Pharmaceutical Benefits Scheme. This market monopoly would encourage other sponsors to enter the market (given the initial size of the market is estimated to be 520,000 individuals) but there might be additional delays in doing so. </w:t>
      </w:r>
    </w:p>
    <w:p w14:paraId="5FCF4212" w14:textId="6EEE2D98" w:rsidR="00D238B7" w:rsidRDefault="00D238B7" w:rsidP="008C74BF">
      <w:r>
        <w:t>In the meantime, the complete loss of the legal market for those sponsors who complied with the existing TGO 110 specifications and have indicated a willingness to meet the proposed revised specifications, would remove any related incomes streams, potentially resulting in them exiting the market as it is no longer economic</w:t>
      </w:r>
      <w:r w:rsidR="00A73B0E">
        <w:t>ally</w:t>
      </w:r>
      <w:r>
        <w:t xml:space="preserve"> viable. This factor would most likely result in further delays for a </w:t>
      </w:r>
      <w:r w:rsidR="002052E1">
        <w:t>vapes</w:t>
      </w:r>
      <w:r>
        <w:t xml:space="preserve"> achieving ARTG registration.</w:t>
      </w:r>
    </w:p>
    <w:p w14:paraId="2D268E8C" w14:textId="77777777" w:rsidR="00D238B7" w:rsidRPr="00D371CC" w:rsidRDefault="00D238B7" w:rsidP="008C74BF">
      <w:pPr>
        <w:rPr>
          <w:rFonts w:cs="Arial"/>
        </w:rPr>
      </w:pPr>
      <w:r>
        <w:t xml:space="preserve">As comparable overseas regulators, and hence the markets serviced by likely international manufacturers, mostly regulate vapes as a consumer rather than a therapeutic good, any potential </w:t>
      </w:r>
      <w:r w:rsidRPr="00D371CC">
        <w:rPr>
          <w:rFonts w:cs="Arial"/>
        </w:rPr>
        <w:t>supplier is unlikely to be able to leverage previous clinical trials to demonstrate the safety and efficacy</w:t>
      </w:r>
      <w:r>
        <w:rPr>
          <w:rFonts w:cs="Arial"/>
        </w:rPr>
        <w:t>/performance</w:t>
      </w:r>
      <w:r w:rsidRPr="00D371CC">
        <w:rPr>
          <w:rFonts w:cs="Arial"/>
        </w:rPr>
        <w:t xml:space="preserve"> of therapeutic vapes</w:t>
      </w:r>
      <w:r>
        <w:rPr>
          <w:rFonts w:cs="Arial"/>
        </w:rPr>
        <w:t xml:space="preserve">. They </w:t>
      </w:r>
      <w:r w:rsidRPr="00D371CC">
        <w:rPr>
          <w:rFonts w:cs="Arial"/>
        </w:rPr>
        <w:t>will therefore need to incur this cost largely to supply to the Australian market</w:t>
      </w:r>
      <w:r>
        <w:rPr>
          <w:rFonts w:cs="Arial"/>
        </w:rPr>
        <w:t xml:space="preserve">, </w:t>
      </w:r>
      <w:r w:rsidRPr="00D371CC">
        <w:rPr>
          <w:rFonts w:cs="Arial"/>
        </w:rPr>
        <w:t>although it may also assist to enter other markets which allow for vapes to be supplied as medicines, such as the UK.</w:t>
      </w:r>
    </w:p>
    <w:p w14:paraId="3B375AD0" w14:textId="77777777" w:rsidR="00D238B7" w:rsidRDefault="00D238B7" w:rsidP="008C74BF">
      <w:r>
        <w:t xml:space="preserve">The regulatory costs for the TGA in assessing and approving registered goods form part of the normal costs of business for the TGA. Internal compliance processes at the TGA would be simplified from the status quo as TGA would no longer be operating a parallel regulatory framework for vapes as unapproved goods by imposing quality standards through TGO 110. </w:t>
      </w:r>
    </w:p>
    <w:p w14:paraId="55A3C21E" w14:textId="77777777" w:rsidR="00D238B7" w:rsidRDefault="00D238B7" w:rsidP="00D238B7">
      <w:pPr>
        <w:pStyle w:val="Heading5"/>
      </w:pPr>
      <w:r>
        <w:lastRenderedPageBreak/>
        <w:t xml:space="preserve">Social costs and benefits </w:t>
      </w:r>
    </w:p>
    <w:p w14:paraId="065AC99A" w14:textId="77777777" w:rsidR="00D238B7" w:rsidRDefault="00D238B7" w:rsidP="008C74BF">
      <w:r w:rsidRPr="366EDE46">
        <w:t xml:space="preserve">Option </w:t>
      </w:r>
      <w:r>
        <w:t>4</w:t>
      </w:r>
      <w:r w:rsidRPr="366EDE46">
        <w:t xml:space="preserve"> is </w:t>
      </w:r>
      <w:r>
        <w:t xml:space="preserve">the </w:t>
      </w:r>
      <w:r w:rsidRPr="366EDE46">
        <w:t xml:space="preserve">most desirable </w:t>
      </w:r>
      <w:r>
        <w:t xml:space="preserve">option </w:t>
      </w:r>
      <w:r w:rsidRPr="366EDE46">
        <w:t xml:space="preserve">from a </w:t>
      </w:r>
      <w:r>
        <w:t xml:space="preserve">long-term </w:t>
      </w:r>
      <w:r w:rsidRPr="366EDE46">
        <w:t xml:space="preserve">population health perspective as vapes would only be available for therapeutic purpose where they had been assessed </w:t>
      </w:r>
      <w:r>
        <w:t xml:space="preserve">by the TGA </w:t>
      </w:r>
      <w:r w:rsidRPr="366EDE46">
        <w:t>for quality, safety and efficacy</w:t>
      </w:r>
      <w:r>
        <w:t>/performance</w:t>
      </w:r>
      <w:r w:rsidRPr="366EDE46">
        <w:t xml:space="preserve">. </w:t>
      </w:r>
      <w:r>
        <w:t xml:space="preserve">It would also require vapes to be manufactured in accordance with strict </w:t>
      </w:r>
      <w:r w:rsidRPr="00D06572">
        <w:t xml:space="preserve">manufacturing </w:t>
      </w:r>
      <w:r>
        <w:t xml:space="preserve">standards. </w:t>
      </w:r>
      <w:r w:rsidRPr="00D06572">
        <w:t>Having approved vape</w:t>
      </w:r>
      <w:r>
        <w:t>s</w:t>
      </w:r>
      <w:r w:rsidRPr="00D06572">
        <w:t xml:space="preserve"> on the ARTG removes </w:t>
      </w:r>
      <w:r>
        <w:t xml:space="preserve">concerns health practitioners </w:t>
      </w:r>
      <w:r w:rsidRPr="00D06572">
        <w:t xml:space="preserve">currently have </w:t>
      </w:r>
      <w:r>
        <w:t xml:space="preserve">about prescribing </w:t>
      </w:r>
      <w:r w:rsidRPr="00D06572">
        <w:t xml:space="preserve">vapes as </w:t>
      </w:r>
      <w:r>
        <w:t xml:space="preserve">unapproved medicines. </w:t>
      </w:r>
    </w:p>
    <w:p w14:paraId="63F4BE1C" w14:textId="77777777" w:rsidR="00D238B7" w:rsidRDefault="00D238B7" w:rsidP="008C74BF">
      <w:r>
        <w:t xml:space="preserve">Likewise, any patient concerns about the quality, safety and efficacy of vapes would be greatly reduced, although it should be noted that any such concerns have failed to curtail the exponential growth of vaping in Australia under the status quo. </w:t>
      </w:r>
    </w:p>
    <w:p w14:paraId="3F2E159C" w14:textId="77777777" w:rsidR="00D238B7" w:rsidRDefault="00D238B7" w:rsidP="00D238B7">
      <w:pPr>
        <w:pStyle w:val="Heading5"/>
      </w:pPr>
      <w:r>
        <w:t xml:space="preserve">Environmental costs and benefits </w:t>
      </w:r>
    </w:p>
    <w:p w14:paraId="65FFC88D" w14:textId="51A63B18" w:rsidR="00D238B7" w:rsidRDefault="00D238B7" w:rsidP="008C74BF">
      <w:r w:rsidRPr="008961BA">
        <w:t xml:space="preserve">All vapes </w:t>
      </w:r>
      <w:r>
        <w:t>being lawfully imported, manufactured or supplied in Australia would become unlawful and would require disposal. Depending on timing, including the length of any transition periods, t</w:t>
      </w:r>
      <w:r w:rsidRPr="008961BA">
        <w:t>here is the potential for significant environmental and disposal costs</w:t>
      </w:r>
      <w:r>
        <w:t xml:space="preserve">. </w:t>
      </w:r>
    </w:p>
    <w:p w14:paraId="20BDC2FC" w14:textId="77777777" w:rsidR="00D238B7" w:rsidRDefault="00D238B7" w:rsidP="00D238B7">
      <w:pPr>
        <w:pStyle w:val="Heading5"/>
      </w:pPr>
      <w:r>
        <w:t xml:space="preserve">Net benefit </w:t>
      </w:r>
    </w:p>
    <w:p w14:paraId="2AEDF765" w14:textId="77777777" w:rsidR="00D238B7" w:rsidRDefault="00D238B7" w:rsidP="008C74BF">
      <w:r>
        <w:t>In order to be approved by TGA and placed on the ARTG, the health benefits arising from the use of vapes for smoking cessation and treatment of nicotine addiction must have been established and the full health benefits of this option can be realised.</w:t>
      </w:r>
    </w:p>
    <w:p w14:paraId="063899DD" w14:textId="77777777" w:rsidR="00D238B7" w:rsidRDefault="00D238B7" w:rsidP="008C74BF">
      <w:r>
        <w:t xml:space="preserve">However, implementing this option in the short term would effectively result in a total ban on all vapes as there are currently no vapes on the ARTG. There is interest by manufacturers to seek registration of vapes, but they have indicated that it might takes years, or may not be possible at all, to gather the necessary clinical evidence to support ARTG entry. In the meantime, there will be no legal mechanism for vapes to be accessed for therapeutic purposes and those seeking treatment for smoking cessation or nicotine addition will be dependent on existing behavioural and pharmacological products, such as NRT. </w:t>
      </w:r>
    </w:p>
    <w:p w14:paraId="4473614B" w14:textId="3F351DF8" w:rsidR="00D238B7" w:rsidRDefault="00D238B7" w:rsidP="008C74BF">
      <w:pPr>
        <w:rPr>
          <w:rFonts w:cs="Arial"/>
        </w:rPr>
      </w:pPr>
      <w:r>
        <w:rPr>
          <w:rFonts w:cs="Arial"/>
        </w:rPr>
        <w:t>As a consequence, compared to the status quo, t</w:t>
      </w:r>
      <w:r w:rsidRPr="00D371CC">
        <w:rPr>
          <w:rFonts w:cs="Arial"/>
        </w:rPr>
        <w:t xml:space="preserve">his option </w:t>
      </w:r>
      <w:r>
        <w:rPr>
          <w:rFonts w:cs="Arial"/>
        </w:rPr>
        <w:t>also has the greatest potential to</w:t>
      </w:r>
      <w:r w:rsidRPr="00D371CC">
        <w:rPr>
          <w:rFonts w:cs="Arial"/>
        </w:rPr>
        <w:t xml:space="preserve"> incentivise the growth of the black market</w:t>
      </w:r>
      <w:r>
        <w:rPr>
          <w:rFonts w:cs="Arial"/>
        </w:rPr>
        <w:t>. U</w:t>
      </w:r>
      <w:r w:rsidRPr="00D371CC">
        <w:rPr>
          <w:rFonts w:cs="Arial"/>
        </w:rPr>
        <w:t xml:space="preserve">ntil a </w:t>
      </w:r>
      <w:r>
        <w:rPr>
          <w:rFonts w:cs="Arial"/>
        </w:rPr>
        <w:t>vape</w:t>
      </w:r>
      <w:r w:rsidRPr="00D371CC">
        <w:rPr>
          <w:rFonts w:cs="Arial"/>
        </w:rPr>
        <w:t xml:space="preserve"> is registered on the ARTG, there will be no legal pathway to obtain a vape in Australia</w:t>
      </w:r>
      <w:r>
        <w:rPr>
          <w:rFonts w:cs="Arial"/>
        </w:rPr>
        <w:t xml:space="preserve">, </w:t>
      </w:r>
      <w:r w:rsidRPr="00D371CC">
        <w:rPr>
          <w:rFonts w:cs="Arial"/>
        </w:rPr>
        <w:t xml:space="preserve">with the exception of bringing </w:t>
      </w:r>
      <w:r w:rsidR="00A73B0E">
        <w:rPr>
          <w:rFonts w:cs="Arial"/>
        </w:rPr>
        <w:t xml:space="preserve">relatively </w:t>
      </w:r>
      <w:r>
        <w:rPr>
          <w:rFonts w:cs="Arial"/>
        </w:rPr>
        <w:t>small volumes</w:t>
      </w:r>
      <w:r w:rsidRPr="00D371CC">
        <w:rPr>
          <w:rFonts w:cs="Arial"/>
        </w:rPr>
        <w:t xml:space="preserve"> into Australia from overseas </w:t>
      </w:r>
      <w:r>
        <w:rPr>
          <w:rFonts w:cs="Arial"/>
        </w:rPr>
        <w:t xml:space="preserve">for personal use </w:t>
      </w:r>
      <w:r w:rsidRPr="00D371CC">
        <w:rPr>
          <w:rFonts w:cs="Arial"/>
        </w:rPr>
        <w:t>under the Traveller’s Exemption. This aspect would likely increase the noted safety and health risks associated with the use of nicotine vapes that are completely non-regulated by the TGA</w:t>
      </w:r>
      <w:r>
        <w:rPr>
          <w:rFonts w:cs="Arial"/>
        </w:rPr>
        <w:t>.</w:t>
      </w:r>
      <w:r w:rsidRPr="00D371CC">
        <w:rPr>
          <w:rFonts w:cs="Arial"/>
        </w:rPr>
        <w:t xml:space="preserve"> </w:t>
      </w:r>
    </w:p>
    <w:p w14:paraId="5CA45F33" w14:textId="73CB9698" w:rsidR="00C04603" w:rsidRDefault="00C04603" w:rsidP="00C04603">
      <w:r w:rsidRPr="0087608A">
        <w:rPr>
          <w:rFonts w:eastAsia="Calibri" w:cs="Arial"/>
        </w:rPr>
        <w:t>The overall annual regulatory cost of this option is estimated to be $</w:t>
      </w:r>
      <w:r>
        <w:rPr>
          <w:rFonts w:eastAsia="Calibri" w:cs="Arial"/>
        </w:rPr>
        <w:t>59.87</w:t>
      </w:r>
      <w:r w:rsidRPr="0087608A">
        <w:rPr>
          <w:rFonts w:eastAsia="Calibri" w:cs="Arial"/>
        </w:rPr>
        <w:t>m</w:t>
      </w:r>
      <w:r>
        <w:rPr>
          <w:rFonts w:eastAsia="Calibri" w:cs="Arial"/>
        </w:rPr>
        <w:t xml:space="preserve"> </w:t>
      </w:r>
      <w:r w:rsidRPr="00C04603">
        <w:t>(plus costs on vaping store closure)</w:t>
      </w:r>
      <w:r>
        <w:t>. The benefits of quitting smoking were quantified in the recently published IA on the review of the Tobacco Control Legislative Framework.</w:t>
      </w:r>
      <w:r w:rsidR="00D20E99">
        <w:rPr>
          <w:rStyle w:val="FootnoteReference"/>
        </w:rPr>
        <w:footnoteReference w:id="93"/>
      </w:r>
      <w:r>
        <w:t xml:space="preserve">  The proportion of the 1.3 million Australian adult vapers who are never smokers cannot be determined at this time. However, at an estimated regulatory burden of $59.87m for Option 4 would be justified if approximately 200 individuals never progressed to tobacco smoking by not taking up vaping in the first place/or by ceasing vaping before they started tobacco smoking. This figure (n=200) represents only 0.015% of the current population of Australian vapers (n=1.3m). Given this very low target there is a high likelihood that the benefits would outweigh the costs for this option. </w:t>
      </w:r>
    </w:p>
    <w:p w14:paraId="5BFEABA3" w14:textId="77777777" w:rsidR="00243B42" w:rsidRDefault="00243B42">
      <w:pPr>
        <w:rPr>
          <w:rFonts w:eastAsia="Times New Roman" w:cs="Times New Roman"/>
          <w:b/>
          <w:bCs/>
          <w:color w:val="001871"/>
          <w:sz w:val="38"/>
          <w:szCs w:val="38"/>
        </w:rPr>
      </w:pPr>
      <w:bookmarkStart w:id="204" w:name="_Toc147478072"/>
      <w:bookmarkEnd w:id="200"/>
      <w:r>
        <w:br w:type="page"/>
      </w:r>
    </w:p>
    <w:p w14:paraId="052D5060" w14:textId="77777777" w:rsidR="00C54D80" w:rsidRPr="00C54D80" w:rsidRDefault="00C54D80" w:rsidP="008C74BF">
      <w:pPr>
        <w:pStyle w:val="Heading2"/>
      </w:pPr>
      <w:bookmarkStart w:id="205" w:name="_Toc151040374"/>
      <w:r w:rsidRPr="00C54D80">
        <w:lastRenderedPageBreak/>
        <w:t>Question Five: Who did you consult with and how did you incorporate their feedback?</w:t>
      </w:r>
      <w:bookmarkEnd w:id="204"/>
      <w:bookmarkEnd w:id="205"/>
    </w:p>
    <w:p w14:paraId="36711771" w14:textId="77777777" w:rsidR="00C54D80" w:rsidRPr="00C54D80" w:rsidRDefault="00C54D80" w:rsidP="008C74BF">
      <w:pPr>
        <w:pStyle w:val="Heading3"/>
      </w:pPr>
      <w:bookmarkStart w:id="206" w:name="_Toc146634920"/>
      <w:bookmarkStart w:id="207" w:name="_Toc147478073"/>
      <w:bookmarkStart w:id="208" w:name="_Toc151040375"/>
      <w:r w:rsidRPr="00C54D80">
        <w:t>Consultations</w:t>
      </w:r>
      <w:bookmarkEnd w:id="206"/>
      <w:bookmarkEnd w:id="207"/>
      <w:bookmarkEnd w:id="208"/>
    </w:p>
    <w:p w14:paraId="2B9D247A" w14:textId="645D4DD0" w:rsidR="00C54D80" w:rsidRPr="00C54D80" w:rsidRDefault="00C54D80" w:rsidP="008C74BF">
      <w:r w:rsidRPr="00C54D80">
        <w:t xml:space="preserve">In the last 12 months, the TGA has conducted </w:t>
      </w:r>
      <w:r w:rsidR="00A73B0E">
        <w:t>2</w:t>
      </w:r>
      <w:r w:rsidR="00A73B0E" w:rsidRPr="00C54D80">
        <w:t xml:space="preserve"> </w:t>
      </w:r>
      <w:r w:rsidRPr="00C54D80">
        <w:t xml:space="preserve">significant consultations on the potential reforms to the regulation of vapes. The first consultation, conducted between 30 November 2022 and 16 January 2023, was a public consultation on proposed reforms to nicotine vaping products (2022 Consultation). </w:t>
      </w:r>
    </w:p>
    <w:p w14:paraId="468D2886" w14:textId="77777777" w:rsidR="00C54D80" w:rsidRPr="00C54D80" w:rsidRDefault="00C54D80" w:rsidP="008C74BF">
      <w:r w:rsidRPr="00C54D80">
        <w:t>In May 2023, based on the feedback from the 2022 Consultation and advice provided by public health experts at Tobacco Control Roundtables on 30 September 2022 and 17 April 2023, the Minister for Health and Aged Care announced, subject to consultation with the states and territories and other stakeholders, an intention to strengthen the regulation of all vapes and ban the import and supply of non-therapeutic vapes.</w:t>
      </w:r>
      <w:r w:rsidRPr="00C54D80">
        <w:rPr>
          <w:vertAlign w:val="superscript"/>
        </w:rPr>
        <w:footnoteReference w:id="94"/>
      </w:r>
    </w:p>
    <w:p w14:paraId="30586C1B" w14:textId="77777777" w:rsidR="00C54D80" w:rsidRPr="00C54D80" w:rsidRDefault="00C54D80" w:rsidP="008C74BF">
      <w:r w:rsidRPr="00C54D80">
        <w:t xml:space="preserve">The TGA engaged in extensive discussions with the states and territories between June and August 2023 to assess the regulatory options and develop policy proposals. A second, targeted consultation, was undertaken with stakeholders between 7 September 2023 and 21 September 2023 (2023 Consultation) to consult on the proposals developed in consultation with states and territories. </w:t>
      </w:r>
    </w:p>
    <w:p w14:paraId="4B380FF7" w14:textId="6A7F037F" w:rsidR="00C54D80" w:rsidRPr="00C54D80" w:rsidRDefault="00C54D80" w:rsidP="008C74BF">
      <w:r w:rsidRPr="00C54D80">
        <w:t xml:space="preserve">In addition to the </w:t>
      </w:r>
      <w:r w:rsidR="00A73B0E">
        <w:t>2</w:t>
      </w:r>
      <w:r w:rsidR="00A73B0E" w:rsidRPr="00C54D80">
        <w:t xml:space="preserve"> </w:t>
      </w:r>
      <w:r w:rsidRPr="00C54D80">
        <w:t>formal consultation processes, the TGA has had, and continues to have, meetings with key stakeholders concerning the proposed regulatory reforms.</w:t>
      </w:r>
    </w:p>
    <w:p w14:paraId="40C94D7F" w14:textId="77777777" w:rsidR="00C54D80" w:rsidRPr="00C54D80" w:rsidRDefault="00C54D80" w:rsidP="008C74BF">
      <w:r w:rsidRPr="00C54D80">
        <w:t>A summary of the 2022 and 2023 Consultations is outlined below.</w:t>
      </w:r>
    </w:p>
    <w:p w14:paraId="05AEE804" w14:textId="77777777" w:rsidR="00C54D80" w:rsidRPr="00C54D80" w:rsidRDefault="00C54D80" w:rsidP="008C74BF">
      <w:pPr>
        <w:pStyle w:val="Heading3"/>
      </w:pPr>
      <w:bookmarkStart w:id="209" w:name="_Toc146634921"/>
      <w:bookmarkStart w:id="210" w:name="_Toc147478074"/>
      <w:bookmarkStart w:id="211" w:name="_Toc151040376"/>
      <w:r w:rsidRPr="00C54D80">
        <w:t xml:space="preserve">2022 </w:t>
      </w:r>
      <w:r w:rsidRPr="008C74BF">
        <w:t>Consultation</w:t>
      </w:r>
      <w:bookmarkEnd w:id="209"/>
      <w:bookmarkEnd w:id="210"/>
      <w:bookmarkEnd w:id="211"/>
    </w:p>
    <w:p w14:paraId="2207A3FE" w14:textId="77777777" w:rsidR="00C54D80" w:rsidRPr="00C54D80" w:rsidRDefault="00C54D80" w:rsidP="008C74BF">
      <w:r w:rsidRPr="00C54D80">
        <w:t>On 30 November 2022, the TGA released a public consultation paper titled ‘</w:t>
      </w:r>
      <w:r w:rsidRPr="00C54D80">
        <w:rPr>
          <w:i/>
          <w:iCs/>
        </w:rPr>
        <w:t>Potential reforms to the regulation of nicotine vaping products</w:t>
      </w:r>
      <w:r w:rsidRPr="00C54D80">
        <w:t xml:space="preserve">’ (the 2022 consultation paper), with the submission period closing on 16 January 2023. </w:t>
      </w:r>
    </w:p>
    <w:p w14:paraId="1A2B0624" w14:textId="77777777" w:rsidR="00C54D80" w:rsidRPr="00C54D80" w:rsidRDefault="00C54D80" w:rsidP="00C54D80">
      <w:r w:rsidRPr="00C54D80">
        <w:t>The 2022 Consultation covered four reform options:</w:t>
      </w:r>
    </w:p>
    <w:p w14:paraId="7F9755C3" w14:textId="25B5FE4C" w:rsidR="00C54D80" w:rsidRPr="00C54D80" w:rsidRDefault="00C54D80" w:rsidP="00A71DDE">
      <w:pPr>
        <w:pStyle w:val="Bullet1"/>
        <w:ind w:left="720"/>
      </w:pPr>
      <w:r w:rsidRPr="00A71DDE">
        <w:rPr>
          <w:b/>
          <w:bCs/>
        </w:rPr>
        <w:t>Reform option 1</w:t>
      </w:r>
      <w:r w:rsidR="00633D89">
        <w:rPr>
          <w:b/>
          <w:bCs/>
        </w:rPr>
        <w:t xml:space="preserve"> </w:t>
      </w:r>
      <w:r w:rsidR="00A73B0E" w:rsidRPr="00746795">
        <w:rPr>
          <w:bCs/>
        </w:rPr>
        <w:t>–</w:t>
      </w:r>
      <w:r w:rsidRPr="00C54D80">
        <w:t xml:space="preserve"> </w:t>
      </w:r>
      <w:r w:rsidR="00A30DAF">
        <w:t>B</w:t>
      </w:r>
      <w:r w:rsidRPr="00C54D80">
        <w:t xml:space="preserve">order controls </w:t>
      </w:r>
    </w:p>
    <w:p w14:paraId="6BC20D01" w14:textId="51E9774F" w:rsidR="00C54D80" w:rsidRPr="00C54D80" w:rsidRDefault="00C54D80" w:rsidP="00A71DDE">
      <w:pPr>
        <w:pStyle w:val="Bullet1"/>
        <w:ind w:left="720"/>
      </w:pPr>
      <w:r w:rsidRPr="00A71DDE">
        <w:rPr>
          <w:b/>
          <w:bCs/>
        </w:rPr>
        <w:t>Reform option 2</w:t>
      </w:r>
      <w:r w:rsidR="00A73B0E">
        <w:rPr>
          <w:b/>
          <w:bCs/>
        </w:rPr>
        <w:t xml:space="preserve"> </w:t>
      </w:r>
      <w:r w:rsidR="00A73B0E">
        <w:t>–</w:t>
      </w:r>
      <w:r w:rsidRPr="00C54D80">
        <w:t xml:space="preserve"> </w:t>
      </w:r>
      <w:r w:rsidR="00A30DAF">
        <w:t>P</w:t>
      </w:r>
      <w:r w:rsidRPr="00C54D80">
        <w:t xml:space="preserve">re-market TGA assessment of </w:t>
      </w:r>
      <w:r>
        <w:t>nicotine vaping products (N</w:t>
      </w:r>
      <w:r w:rsidRPr="00C54D80">
        <w:t>VPs</w:t>
      </w:r>
      <w:r>
        <w:t>)</w:t>
      </w:r>
    </w:p>
    <w:p w14:paraId="0E79C040" w14:textId="0492F967" w:rsidR="00C54D80" w:rsidRPr="00C54D80" w:rsidRDefault="00C54D80" w:rsidP="00A71DDE">
      <w:pPr>
        <w:pStyle w:val="Bullet1"/>
        <w:ind w:left="720"/>
      </w:pPr>
      <w:r w:rsidRPr="00A71DDE">
        <w:rPr>
          <w:b/>
          <w:bCs/>
        </w:rPr>
        <w:t>Reform option 3</w:t>
      </w:r>
      <w:r w:rsidR="00A73B0E">
        <w:rPr>
          <w:b/>
          <w:bCs/>
        </w:rPr>
        <w:t xml:space="preserve"> </w:t>
      </w:r>
      <w:r w:rsidR="00A73B0E" w:rsidRPr="00746795">
        <w:rPr>
          <w:bCs/>
        </w:rPr>
        <w:t>–</w:t>
      </w:r>
      <w:r w:rsidRPr="00633D89">
        <w:rPr>
          <w:bCs/>
        </w:rPr>
        <w:t xml:space="preserve"> </w:t>
      </w:r>
      <w:r w:rsidR="00A30DAF">
        <w:t>M</w:t>
      </w:r>
      <w:r w:rsidRPr="00C54D80">
        <w:t>inimum quality and safety standards for NVPs</w:t>
      </w:r>
    </w:p>
    <w:p w14:paraId="6FD1057A" w14:textId="1576A6E2" w:rsidR="00C54D80" w:rsidRPr="00C54D80" w:rsidRDefault="00C54D80" w:rsidP="003B1ECE">
      <w:pPr>
        <w:pStyle w:val="Bullet1"/>
        <w:spacing w:after="240"/>
        <w:ind w:left="720"/>
      </w:pPr>
      <w:r w:rsidRPr="00A71DDE">
        <w:rPr>
          <w:b/>
          <w:bCs/>
        </w:rPr>
        <w:t>Reform option 4</w:t>
      </w:r>
      <w:r w:rsidR="00A73B0E">
        <w:rPr>
          <w:b/>
          <w:bCs/>
        </w:rPr>
        <w:t xml:space="preserve"> </w:t>
      </w:r>
      <w:r w:rsidR="00A73B0E">
        <w:t>–</w:t>
      </w:r>
      <w:r w:rsidRPr="00C54D80">
        <w:t xml:space="preserve"> </w:t>
      </w:r>
      <w:r w:rsidR="00A30DAF">
        <w:t>C</w:t>
      </w:r>
      <w:r w:rsidRPr="00C54D80">
        <w:t>larifying the status of NVPs as ‘therapeutic goods’</w:t>
      </w:r>
    </w:p>
    <w:p w14:paraId="40CC1C4C" w14:textId="77777777" w:rsidR="00C54D80" w:rsidRPr="00C54D80" w:rsidRDefault="00C54D80" w:rsidP="003B1ECE">
      <w:pPr>
        <w:spacing w:before="120"/>
      </w:pPr>
      <w:r w:rsidRPr="00C54D80">
        <w:t>The TGA received almost 4,000 submissions in response to the consultation. Respondents included:</w:t>
      </w:r>
    </w:p>
    <w:p w14:paraId="71665690" w14:textId="03ECE401" w:rsidR="00C54D80" w:rsidRPr="00C54D80" w:rsidRDefault="00C54D80" w:rsidP="00467EDD">
      <w:pPr>
        <w:pStyle w:val="Bullet1"/>
        <w:numPr>
          <w:ilvl w:val="0"/>
          <w:numId w:val="58"/>
        </w:numPr>
      </w:pPr>
      <w:r w:rsidRPr="00C54D80">
        <w:t>state and territory health and education departments</w:t>
      </w:r>
    </w:p>
    <w:p w14:paraId="7E13D309" w14:textId="31F39ACF" w:rsidR="00C54D80" w:rsidRPr="00C54D80" w:rsidRDefault="00C54D80" w:rsidP="00467EDD">
      <w:pPr>
        <w:pStyle w:val="Bullet1"/>
        <w:numPr>
          <w:ilvl w:val="0"/>
          <w:numId w:val="58"/>
        </w:numPr>
      </w:pPr>
      <w:r w:rsidRPr="00C54D80">
        <w:t>health professional bodies</w:t>
      </w:r>
    </w:p>
    <w:p w14:paraId="599402DE" w14:textId="6986C3A0" w:rsidR="00C54D80" w:rsidRPr="00C54D80" w:rsidRDefault="00C54D80" w:rsidP="00467EDD">
      <w:pPr>
        <w:pStyle w:val="Bullet1"/>
        <w:numPr>
          <w:ilvl w:val="0"/>
          <w:numId w:val="58"/>
        </w:numPr>
      </w:pPr>
      <w:r w:rsidRPr="00C54D80">
        <w:t>public health associations</w:t>
      </w:r>
    </w:p>
    <w:p w14:paraId="1E3EEF91" w14:textId="720BB574" w:rsidR="00C54D80" w:rsidRPr="00C54D80" w:rsidRDefault="00C54D80" w:rsidP="00467EDD">
      <w:pPr>
        <w:pStyle w:val="Bullet1"/>
        <w:numPr>
          <w:ilvl w:val="0"/>
          <w:numId w:val="58"/>
        </w:numPr>
      </w:pPr>
      <w:r w:rsidRPr="00C54D80">
        <w:t>university researchers</w:t>
      </w:r>
    </w:p>
    <w:p w14:paraId="6F795D3F" w14:textId="463D054C" w:rsidR="00C54D80" w:rsidRPr="00C54D80" w:rsidRDefault="00C54D80" w:rsidP="00467EDD">
      <w:pPr>
        <w:pStyle w:val="Bullet1"/>
        <w:numPr>
          <w:ilvl w:val="0"/>
          <w:numId w:val="58"/>
        </w:numPr>
      </w:pPr>
      <w:r w:rsidRPr="00C54D80">
        <w:t>pharmaceutical industry and peak bodies</w:t>
      </w:r>
    </w:p>
    <w:p w14:paraId="1DFB3658" w14:textId="2E010CA7" w:rsidR="00C54D80" w:rsidRPr="00C54D80" w:rsidRDefault="00C54D80" w:rsidP="00467EDD">
      <w:pPr>
        <w:pStyle w:val="Bullet1"/>
        <w:numPr>
          <w:ilvl w:val="0"/>
          <w:numId w:val="58"/>
        </w:numPr>
      </w:pPr>
      <w:r w:rsidRPr="00C54D80">
        <w:t>vaping manufacturers and importers</w:t>
      </w:r>
    </w:p>
    <w:p w14:paraId="49609C91" w14:textId="794F268D" w:rsidR="00C54D80" w:rsidRPr="00C54D80" w:rsidRDefault="00C54D80" w:rsidP="00467EDD">
      <w:pPr>
        <w:pStyle w:val="Bullet1"/>
        <w:numPr>
          <w:ilvl w:val="0"/>
          <w:numId w:val="58"/>
        </w:numPr>
      </w:pPr>
      <w:r w:rsidRPr="00C54D80">
        <w:t>vaping retailers, including convenience stores and petrol stations</w:t>
      </w:r>
    </w:p>
    <w:p w14:paraId="1A635546" w14:textId="6C86DECA" w:rsidR="00C54D80" w:rsidRPr="00C54D80" w:rsidRDefault="00C54D80" w:rsidP="00467EDD">
      <w:pPr>
        <w:pStyle w:val="Bullet1"/>
        <w:numPr>
          <w:ilvl w:val="0"/>
          <w:numId w:val="58"/>
        </w:numPr>
      </w:pPr>
      <w:r w:rsidRPr="00C54D80">
        <w:lastRenderedPageBreak/>
        <w:t>pro-vaping associations</w:t>
      </w:r>
    </w:p>
    <w:p w14:paraId="6FCB15CD" w14:textId="0D1DD70F" w:rsidR="00C54D80" w:rsidRPr="00C54D80" w:rsidRDefault="00C54D80" w:rsidP="00467EDD">
      <w:pPr>
        <w:pStyle w:val="Bullet1"/>
        <w:numPr>
          <w:ilvl w:val="0"/>
          <w:numId w:val="58"/>
        </w:numPr>
      </w:pPr>
      <w:r w:rsidRPr="00C54D80">
        <w:t>individual healthcare professionals</w:t>
      </w:r>
    </w:p>
    <w:p w14:paraId="5D103C3A" w14:textId="2BCADA38" w:rsidR="00C54D80" w:rsidRPr="00C54D80" w:rsidRDefault="00C54D80" w:rsidP="00467EDD">
      <w:pPr>
        <w:pStyle w:val="Bullet1"/>
        <w:numPr>
          <w:ilvl w:val="0"/>
          <w:numId w:val="58"/>
        </w:numPr>
      </w:pPr>
      <w:r w:rsidRPr="00C54D80">
        <w:t>the general public, including individual vapers, smokers, and ex-smokers</w:t>
      </w:r>
      <w:r w:rsidR="008A5858">
        <w:t>.</w:t>
      </w:r>
    </w:p>
    <w:p w14:paraId="52E3667E" w14:textId="77777777" w:rsidR="00C54D80" w:rsidRPr="00C54D80" w:rsidRDefault="00C54D80" w:rsidP="008C74BF">
      <w:r w:rsidRPr="00C54D80">
        <w:t>Of the almost 4,000 submissions, just under 100 came from state and territory government health and education departments, health care professional peak bodies, industry peak bodies and academics and advocacy groups involved in smoking harm reduction. Many of the general public submissions appeared to be campaign responses that advocated changing the current regulatory framework in which nicotine vapes are regulated as prescription medicines, which had been established in 2021 and was outside the scope of the consultation.</w:t>
      </w:r>
    </w:p>
    <w:p w14:paraId="78DFDF6A" w14:textId="77777777" w:rsidR="00C54D80" w:rsidRPr="00C54D80" w:rsidRDefault="00C54D80" w:rsidP="008C74BF">
      <w:r w:rsidRPr="00C54D80">
        <w:t>A thematic summary of the matters raised in the submissions for each reform option is outlined below.</w:t>
      </w:r>
    </w:p>
    <w:p w14:paraId="3F8AD813" w14:textId="7793F99E" w:rsidR="00C54D80" w:rsidRPr="00C54D80" w:rsidRDefault="00C54D80" w:rsidP="00360678">
      <w:pPr>
        <w:pStyle w:val="Heading4"/>
        <w:numPr>
          <w:ilvl w:val="0"/>
          <w:numId w:val="59"/>
        </w:numPr>
        <w:ind w:left="426"/>
      </w:pPr>
      <w:bookmarkStart w:id="212" w:name="_Toc147478075"/>
      <w:bookmarkStart w:id="213" w:name="_Toc151040377"/>
      <w:r w:rsidRPr="00C54D80">
        <w:t>Changes to border controls</w:t>
      </w:r>
      <w:bookmarkEnd w:id="212"/>
      <w:bookmarkEnd w:id="213"/>
    </w:p>
    <w:p w14:paraId="4C902067" w14:textId="77777777" w:rsidR="00C54D80" w:rsidRPr="00C54D80" w:rsidRDefault="00C54D80" w:rsidP="00ED2E5B">
      <w:r w:rsidRPr="00C54D80">
        <w:t xml:space="preserve">The 2022 consultation paper proposed strengthening border controls by requiring importers to obtain an import permit and by closing off the Personal Importation Scheme. </w:t>
      </w:r>
    </w:p>
    <w:p w14:paraId="5037DE8B" w14:textId="47B3A3DE" w:rsidR="00C54D80" w:rsidRPr="00C54D80" w:rsidRDefault="00C54D80" w:rsidP="00ED2E5B">
      <w:r w:rsidRPr="00C54D80">
        <w:t>All state and territory governments supported tightening border controls for nicotine vapes, with most also supporting closing the Personal Importation Scheme and requiring import permits. Health professional bodies, public health associations, individual health professionals, university researchers and companies marketing prescription nicotine vapes to Australian pharmacies showed overwhelming support for tightening border controls for nicotine vapes. Many, but not all, of these groups also submitted that border controls should be placed on zero-nicotine vapes, a suggestion that went further than the proposed options in the consultation paper. These groups submitted that stronger regulation of all vapes was required because of the known and unknown health risks of use, including the evidence that vaping can lead to smoking uptake. They were supportive of TGA-regulated vapes being available to assist with smoking cessation, but only under medical supervision. This feedback supported consideration of Options 3 and 4</w:t>
      </w:r>
      <w:r>
        <w:t xml:space="preserve"> (in the reforms proposed in the 2023 consultation)</w:t>
      </w:r>
      <w:r w:rsidRPr="00C54D80">
        <w:t>, in which registration vapes are regulated as therapeutic goods, through registration on the ARTG or other regulatory controls.</w:t>
      </w:r>
    </w:p>
    <w:p w14:paraId="0A614D25" w14:textId="58B45F47" w:rsidR="00C54D80" w:rsidRPr="00C54D80" w:rsidRDefault="00C54D80" w:rsidP="00C54D80">
      <w:r w:rsidRPr="00C54D80">
        <w:t xml:space="preserve">By contrast, individual vapers, vaping retailers, vaping manufacturers/importers and pro-vaping associations did not generally support any import controls. These groups generally submitted that vapes should be regulated as consumer goods and available for supply in retail outlets. Common reasons advanced to support this view were that the prescription model is failing and creating a black market, restricts access to vapes for people who need then for smoking cessation, and interferes with personal liberty. These groups also generally considered that adequate regulatory controls could be imposed under a consumer model by, for example, preventing sales to </w:t>
      </w:r>
      <w:r w:rsidR="00295AAF">
        <w:t>youth</w:t>
      </w:r>
      <w:r w:rsidRPr="00C54D80">
        <w:t>, licensing retailers, and imposing a quality standard. This feedback supported consideration of Option 2, in which vapes are regulated through a consumer model.</w:t>
      </w:r>
    </w:p>
    <w:p w14:paraId="51D94554" w14:textId="18F3E9C0" w:rsidR="00C54D80" w:rsidRPr="00C17870" w:rsidRDefault="00C54D80" w:rsidP="003E2EE8">
      <w:pPr>
        <w:pStyle w:val="Heading4"/>
        <w:numPr>
          <w:ilvl w:val="0"/>
          <w:numId w:val="59"/>
        </w:numPr>
        <w:ind w:left="426"/>
      </w:pPr>
      <w:bookmarkStart w:id="214" w:name="_Toc147478076"/>
      <w:bookmarkStart w:id="215" w:name="_Toc151040378"/>
      <w:r w:rsidRPr="00C17870">
        <w:t>Pre-market T</w:t>
      </w:r>
      <w:r w:rsidR="00C412AB">
        <w:t>herapeutic Goods Adm</w:t>
      </w:r>
      <w:r w:rsidR="00D3457E">
        <w:t>inistration</w:t>
      </w:r>
      <w:r w:rsidRPr="00C17870">
        <w:t xml:space="preserve"> assessment of nicotine e-liquids against a product standard</w:t>
      </w:r>
      <w:bookmarkEnd w:id="214"/>
      <w:bookmarkEnd w:id="215"/>
    </w:p>
    <w:p w14:paraId="17458CE5" w14:textId="77777777" w:rsidR="00C54D80" w:rsidRPr="00C54D80" w:rsidRDefault="00C54D80" w:rsidP="00C54D80">
      <w:r w:rsidRPr="00C54D80">
        <w:t xml:space="preserve">The 2022 consultation paper proposed requiring pre-market TGA assessment of nicotine vapes against a product standard specifying certain quality and safety requirements. Companies supplying to the prescription pharmacy market supported this approach, as did about half of the state and territory governments, half of health professional bodies and nearly half of individual health professionals. </w:t>
      </w:r>
    </w:p>
    <w:p w14:paraId="623AFDD0" w14:textId="64CFCD79" w:rsidR="00C54D80" w:rsidRPr="00C54D80" w:rsidRDefault="00C54D80" w:rsidP="00C54D80">
      <w:r w:rsidRPr="00C54D80">
        <w:t xml:space="preserve">Nearly half of public health associations and health professional bodies proposed instead that all nicotine vapes should be registered in the ARTG and opposed any pre-market assessment mechanism as they were concerned it could be misinterpreted as TGA approval. This feedback supported consideration of Option 4, in which registration on the ARTG should be the only legitimate pathway to supply therapeutic vapes. </w:t>
      </w:r>
    </w:p>
    <w:p w14:paraId="0C27FF7D" w14:textId="130A97DE" w:rsidR="00C54D80" w:rsidRPr="00C54D80" w:rsidRDefault="00C54D80" w:rsidP="00C54D80">
      <w:r w:rsidRPr="00C54D80">
        <w:lastRenderedPageBreak/>
        <w:t xml:space="preserve">Many individual vapers, vaping retailers, vaping manufacturers/importers, and pro-vaping associations supported at least some regulation to ensure nicotine vaping products’ safety and quality but with nicotine vapes regulated as consumer goods, instead of as prescription medicines. This feedback also helped to inform consideration of Option 2 above to assess the risks and benefits of the consumer regulatory model. This led to further consideration of international developments, including in jurisdictions where the consumer model has been adopted in its various incarnations, to assess the appropriateness of this approach in resolving the vaping problem. </w:t>
      </w:r>
    </w:p>
    <w:p w14:paraId="7581199A" w14:textId="76C62683" w:rsidR="00C54D80" w:rsidRPr="00C54D80" w:rsidRDefault="00C54D80" w:rsidP="003E2EE8">
      <w:pPr>
        <w:pStyle w:val="Heading4"/>
        <w:numPr>
          <w:ilvl w:val="0"/>
          <w:numId w:val="59"/>
        </w:numPr>
        <w:ind w:left="426"/>
      </w:pPr>
      <w:bookmarkStart w:id="216" w:name="_Toc147478077"/>
      <w:bookmarkStart w:id="217" w:name="_Toc151040379"/>
      <w:r w:rsidRPr="00C54D80">
        <w:t>Strengthening quality standards for nicotine e-liquids</w:t>
      </w:r>
      <w:bookmarkEnd w:id="216"/>
      <w:bookmarkEnd w:id="217"/>
    </w:p>
    <w:p w14:paraId="74C015D0" w14:textId="77777777" w:rsidR="00C54D80" w:rsidRPr="00C54D80" w:rsidRDefault="00C54D80" w:rsidP="00A30DAF">
      <w:r w:rsidRPr="00C54D80">
        <w:t xml:space="preserve">The 2022 consultation paper proposed strengthening TGO 110 to introduce warning statements, require pharmaceutical-like packaging, lower the maximum allowable nicotine concentrations, prohibit/restrict flavours and certain other ingredients, and limit nicotine vape volume and overall nicotine content. There was strong support for these proposed regulatory changes from state and territory governments, health professional bodies, individual health professionals, public health associations and university researchers. Many of these submissions also called for the imposition of similar controls on zero-nicotine vapes, which was outside the scope of the consultation. </w:t>
      </w:r>
    </w:p>
    <w:p w14:paraId="0811C9EC" w14:textId="77777777" w:rsidR="00C54D80" w:rsidRPr="00C54D80" w:rsidRDefault="00C54D80" w:rsidP="00A30DAF">
      <w:r w:rsidRPr="00C54D80">
        <w:t>Many individual vapers, vaping retailers, vaping manufacturers/importers, and pro-vaping associations proposed abandoning the prescription model and regulation through TGO 110, which was also outside the scope of the consultation. Regardless, many in this category supported some regulation to ensure nicotine vapes quality and safety. There was significant support for import restrictions on disposable vapes from all categories of submitters, including individual vapers, but some opposed this due to concerns that such restrictions could affect accessibility for smoking cessation and because of the risks of using some alternative products.</w:t>
      </w:r>
    </w:p>
    <w:p w14:paraId="2D7C11DE" w14:textId="0DC0F874" w:rsidR="00C54D80" w:rsidRPr="00C54D80" w:rsidRDefault="00C54D80" w:rsidP="00B71F3F">
      <w:pPr>
        <w:pStyle w:val="Heading4"/>
        <w:numPr>
          <w:ilvl w:val="0"/>
          <w:numId w:val="59"/>
        </w:numPr>
        <w:ind w:left="426"/>
      </w:pPr>
      <w:bookmarkStart w:id="218" w:name="_Toc147478078"/>
      <w:bookmarkStart w:id="219" w:name="_Toc151040380"/>
      <w:r w:rsidRPr="00C54D80">
        <w:t xml:space="preserve">Clarifying the status of </w:t>
      </w:r>
      <w:r w:rsidR="00C412AB">
        <w:t>nicotine vaping product</w:t>
      </w:r>
      <w:r w:rsidRPr="00C54D80">
        <w:t>s as ‘therapeutic goods</w:t>
      </w:r>
      <w:bookmarkEnd w:id="218"/>
      <w:r w:rsidRPr="00C54D80">
        <w:t>’</w:t>
      </w:r>
      <w:bookmarkEnd w:id="219"/>
    </w:p>
    <w:p w14:paraId="0BC62ECB" w14:textId="77777777" w:rsidR="00C54D80" w:rsidRPr="00C54D80" w:rsidRDefault="00C54D80" w:rsidP="00C54D80">
      <w:r w:rsidRPr="00C54D80">
        <w:t xml:space="preserve">The 2022 consultation paper discussed concerns in relation to the increasing practice of concealing the presence of nicotine in what are purported to be NVPs. On this basis, it was proposed to utilise the power in section 7 of the TG Act to clarify the regulatory status of vapes. On the proposal to clarify that all vaping products containing nicotine are therapeutic goods, there was general support for from all categories of submitters except individual vapers, vaping retailers, vaping manufacturers/importers, and pro-vaping associations. </w:t>
      </w:r>
    </w:p>
    <w:p w14:paraId="4CFDDD9D" w14:textId="77777777" w:rsidR="00C54D80" w:rsidRPr="00C54D80" w:rsidRDefault="00C54D80" w:rsidP="00C54D80">
      <w:r w:rsidRPr="00C54D80">
        <w:t>This feedback was carefully analysed in early 2023 and used to advise the Commonwealth Minister for Health and Aged Care about the policy options available. It was also discussed with state and territory officials in assessing the various policy options. It informed the preliminary announcement made by the Minister for Health and Aged Care on 2 May 2023 that, subject to further consultation, the Australian Government intended to take stronger action in relation to all vapes. It was also used to expand the policy options being considered to address the vaping problem, identify the impacts of different options on different stakeholder groups and assess the viability of options. The 2022 Consultation feedback was also used to refine proposals for further consultation and to identify issues that required further consideration in the policy development process. This included developing a notification scheme, the risks of the device components of vapes, the impact of the prescription model on doctors, management of the waste associated with vapes, necessary transition times for specific measures, and maintaining a viable supply of products for smoking cessation.</w:t>
      </w:r>
    </w:p>
    <w:p w14:paraId="422BAEE5" w14:textId="77777777" w:rsidR="00C54D80" w:rsidRPr="00C54D80" w:rsidRDefault="00C54D80" w:rsidP="00A30DAF">
      <w:pPr>
        <w:pStyle w:val="Heading3"/>
      </w:pPr>
      <w:bookmarkStart w:id="220" w:name="_Toc146634922"/>
      <w:bookmarkStart w:id="221" w:name="_Toc146674477"/>
      <w:bookmarkStart w:id="222" w:name="_Toc147478079"/>
      <w:bookmarkStart w:id="223" w:name="_Toc151040381"/>
      <w:r w:rsidRPr="00C54D80">
        <w:t>2023 Consultation</w:t>
      </w:r>
      <w:bookmarkEnd w:id="220"/>
      <w:bookmarkEnd w:id="221"/>
      <w:bookmarkEnd w:id="222"/>
      <w:bookmarkEnd w:id="223"/>
    </w:p>
    <w:p w14:paraId="20E15F62" w14:textId="77777777" w:rsidR="00C54D80" w:rsidRPr="00C54D80" w:rsidRDefault="00C54D80" w:rsidP="00A30DAF">
      <w:r w:rsidRPr="00C54D80">
        <w:t>On 7 September 2023, the TGA released the consultation paper titled ‘</w:t>
      </w:r>
      <w:r w:rsidRPr="00C54D80">
        <w:rPr>
          <w:i/>
        </w:rPr>
        <w:t>Proposed reforms to the regulation of vapes</w:t>
      </w:r>
      <w:r w:rsidRPr="00C54D80">
        <w:t xml:space="preserve">’ (the 2023 consultation paper) for targeted consultation, with the submission period closing on 21 September 2023. </w:t>
      </w:r>
    </w:p>
    <w:p w14:paraId="0115046D" w14:textId="77777777" w:rsidR="00C54D80" w:rsidRPr="00C54D80" w:rsidRDefault="00C54D80" w:rsidP="00A30DAF">
      <w:r w:rsidRPr="00C54D80">
        <w:lastRenderedPageBreak/>
        <w:t>The stakeholder groups targeted in the consultation were:</w:t>
      </w:r>
    </w:p>
    <w:p w14:paraId="1E578A90" w14:textId="1870CB42" w:rsidR="00C54D80" w:rsidRPr="00C54D80" w:rsidRDefault="00C54D80" w:rsidP="00467EDD">
      <w:pPr>
        <w:pStyle w:val="Bullet1"/>
        <w:numPr>
          <w:ilvl w:val="0"/>
          <w:numId w:val="60"/>
        </w:numPr>
      </w:pPr>
      <w:r w:rsidRPr="00C54D80">
        <w:t xml:space="preserve">government organisations </w:t>
      </w:r>
    </w:p>
    <w:p w14:paraId="1F6B7C4D" w14:textId="3A3271E0" w:rsidR="00C54D80" w:rsidRPr="00C54D80" w:rsidRDefault="00C54D80" w:rsidP="00467EDD">
      <w:pPr>
        <w:pStyle w:val="Bullet1"/>
        <w:numPr>
          <w:ilvl w:val="0"/>
          <w:numId w:val="60"/>
        </w:numPr>
      </w:pPr>
      <w:r w:rsidRPr="00C54D80">
        <w:t>consumer organisations and school related groups</w:t>
      </w:r>
    </w:p>
    <w:p w14:paraId="798C479C" w14:textId="3C47827B" w:rsidR="00C54D80" w:rsidRPr="00C54D80" w:rsidRDefault="00C54D80" w:rsidP="00467EDD">
      <w:pPr>
        <w:pStyle w:val="Bullet1"/>
        <w:numPr>
          <w:ilvl w:val="0"/>
          <w:numId w:val="60"/>
        </w:numPr>
      </w:pPr>
      <w:r w:rsidRPr="00C54D80">
        <w:t>retailers</w:t>
      </w:r>
    </w:p>
    <w:p w14:paraId="15A4259F" w14:textId="1E6575F0" w:rsidR="00C54D80" w:rsidRPr="00C54D80" w:rsidRDefault="00C54D80" w:rsidP="00467EDD">
      <w:pPr>
        <w:pStyle w:val="Bullet1"/>
        <w:numPr>
          <w:ilvl w:val="0"/>
          <w:numId w:val="60"/>
        </w:numPr>
      </w:pPr>
      <w:r w:rsidRPr="00C54D80">
        <w:t>retail associations</w:t>
      </w:r>
    </w:p>
    <w:p w14:paraId="5543FCE2" w14:textId="356A3614" w:rsidR="00C54D80" w:rsidRPr="00C54D80" w:rsidRDefault="00C54D80" w:rsidP="00467EDD">
      <w:pPr>
        <w:pStyle w:val="Bullet1"/>
        <w:numPr>
          <w:ilvl w:val="0"/>
          <w:numId w:val="60"/>
        </w:numPr>
      </w:pPr>
      <w:r w:rsidRPr="00C54D80">
        <w:t>vape importers/manufacturers/wholesalers/distributors</w:t>
      </w:r>
    </w:p>
    <w:p w14:paraId="2C4945D1" w14:textId="46A97874" w:rsidR="00C54D80" w:rsidRPr="00C54D80" w:rsidRDefault="00C54D80" w:rsidP="00467EDD">
      <w:pPr>
        <w:pStyle w:val="Bullet1"/>
        <w:numPr>
          <w:ilvl w:val="0"/>
          <w:numId w:val="60"/>
        </w:numPr>
      </w:pPr>
      <w:r w:rsidRPr="00C54D80">
        <w:t>health professional peak bodies</w:t>
      </w:r>
    </w:p>
    <w:p w14:paraId="120822FE" w14:textId="6E7ED626" w:rsidR="00C54D80" w:rsidRPr="00C54D80" w:rsidRDefault="00C54D80" w:rsidP="00467EDD">
      <w:pPr>
        <w:pStyle w:val="Bullet1"/>
        <w:numPr>
          <w:ilvl w:val="0"/>
          <w:numId w:val="60"/>
        </w:numPr>
      </w:pPr>
      <w:r w:rsidRPr="00C54D80">
        <w:t>public health peak bodies</w:t>
      </w:r>
    </w:p>
    <w:p w14:paraId="5D33295D" w14:textId="57482211" w:rsidR="00C54D80" w:rsidRPr="00C54D80" w:rsidRDefault="00C54D80" w:rsidP="00467EDD">
      <w:pPr>
        <w:pStyle w:val="Bullet1"/>
        <w:numPr>
          <w:ilvl w:val="0"/>
          <w:numId w:val="60"/>
        </w:numPr>
      </w:pPr>
      <w:r w:rsidRPr="00C54D80">
        <w:t>university researchers, including public health experts</w:t>
      </w:r>
      <w:r>
        <w:t>.</w:t>
      </w:r>
    </w:p>
    <w:p w14:paraId="0EC6AC61" w14:textId="48F9BA95" w:rsidR="00C54D80" w:rsidRPr="00C54D80" w:rsidRDefault="00C54D80" w:rsidP="00A30DAF">
      <w:r w:rsidRPr="00C54D80">
        <w:t xml:space="preserve">These groups were selected for </w:t>
      </w:r>
      <w:r w:rsidR="000748EA">
        <w:t xml:space="preserve">these </w:t>
      </w:r>
      <w:r w:rsidRPr="00C54D80">
        <w:t>specific reasons:</w:t>
      </w:r>
    </w:p>
    <w:p w14:paraId="76CFC5AC" w14:textId="07E2D261" w:rsidR="00C54D80" w:rsidRPr="00C54D80" w:rsidRDefault="007D57BD" w:rsidP="00467EDD">
      <w:pPr>
        <w:pStyle w:val="Bullet1"/>
        <w:numPr>
          <w:ilvl w:val="0"/>
          <w:numId w:val="61"/>
        </w:numPr>
      </w:pPr>
      <w:r>
        <w:t>T</w:t>
      </w:r>
      <w:r w:rsidR="00C54D80" w:rsidRPr="00C54D80">
        <w:t>o obtain information from people who would be affected by the proposed restrictions on all vapes that were not consulted on as part of the 2022 Consultation, specifically consumer groups and school related groups, vaping retailers, vaping importers/manufacturers/ wholesalers/distributors and retail associations)</w:t>
      </w:r>
      <w:r>
        <w:t>.</w:t>
      </w:r>
    </w:p>
    <w:p w14:paraId="1BDF5FC8" w14:textId="0FF8780E" w:rsidR="00C54D80" w:rsidRPr="00C54D80" w:rsidRDefault="007D57BD" w:rsidP="00467EDD">
      <w:pPr>
        <w:pStyle w:val="Bullet1"/>
        <w:numPr>
          <w:ilvl w:val="0"/>
          <w:numId w:val="61"/>
        </w:numPr>
      </w:pPr>
      <w:r>
        <w:t>T</w:t>
      </w:r>
      <w:r w:rsidR="00C54D80" w:rsidRPr="00C54D80">
        <w:t>he need to obtain information from people who would be affected by proposed refinements to TGA regulatory controls (specifically vaping importers/manufacturers/wholesalers/ distributors and health professional organisations)</w:t>
      </w:r>
      <w:r>
        <w:t>.</w:t>
      </w:r>
    </w:p>
    <w:p w14:paraId="636A3EB7" w14:textId="3447A5DB" w:rsidR="00C54D80" w:rsidRPr="00C54D80" w:rsidRDefault="007D57BD" w:rsidP="00467EDD">
      <w:pPr>
        <w:pStyle w:val="Bullet1"/>
        <w:numPr>
          <w:ilvl w:val="0"/>
          <w:numId w:val="61"/>
        </w:numPr>
      </w:pPr>
      <w:r>
        <w:t>T</w:t>
      </w:r>
      <w:r w:rsidR="00C54D80" w:rsidRPr="00C54D80">
        <w:t>he need to obtain expert advice on measures from public health experts.</w:t>
      </w:r>
    </w:p>
    <w:p w14:paraId="7DF4E21F" w14:textId="77777777" w:rsidR="00C54D80" w:rsidRPr="00C54D80" w:rsidRDefault="00C54D80" w:rsidP="00A30DAF">
      <w:r w:rsidRPr="00C54D80">
        <w:t xml:space="preserve">The consultation list was compiled from responses to the 2022 Consultation, complemented by stakeholder lists maintained by the TGA. </w:t>
      </w:r>
    </w:p>
    <w:p w14:paraId="3693B1D4" w14:textId="77777777" w:rsidR="00C54D80" w:rsidRPr="00C54D80" w:rsidRDefault="00C54D80" w:rsidP="00A30DAF">
      <w:r w:rsidRPr="00C54D80">
        <w:t xml:space="preserve">The purpose of the 2023 Consultation was to seek views from targeted stakeholders. This included matters not covered by the 2022 Consultation being: </w:t>
      </w:r>
    </w:p>
    <w:p w14:paraId="5B19E183" w14:textId="12EA721C" w:rsidR="00C54D80" w:rsidRPr="00C54D80" w:rsidRDefault="00C54D80" w:rsidP="00467EDD">
      <w:pPr>
        <w:pStyle w:val="Bullet1"/>
        <w:numPr>
          <w:ilvl w:val="0"/>
          <w:numId w:val="62"/>
        </w:numPr>
      </w:pPr>
      <w:r w:rsidRPr="00C54D80">
        <w:t xml:space="preserve">proposed restrictions on the importation and supply of non-prescription vapes </w:t>
      </w:r>
    </w:p>
    <w:p w14:paraId="0AED5415" w14:textId="47284ADA" w:rsidR="00C54D80" w:rsidRPr="00C54D80" w:rsidRDefault="00C54D80" w:rsidP="00467EDD">
      <w:pPr>
        <w:pStyle w:val="Bullet1"/>
        <w:numPr>
          <w:ilvl w:val="0"/>
          <w:numId w:val="62"/>
        </w:numPr>
      </w:pPr>
      <w:r w:rsidRPr="00C54D80">
        <w:t xml:space="preserve">a pre-market notification scheme, being a streamlined SAS and AP to address concerns about access to prescriptions </w:t>
      </w:r>
    </w:p>
    <w:p w14:paraId="4DBF55E9" w14:textId="77777777" w:rsidR="00C54D80" w:rsidRPr="00C54D80" w:rsidRDefault="00C54D80" w:rsidP="00467EDD">
      <w:pPr>
        <w:pStyle w:val="Bullet1"/>
        <w:numPr>
          <w:ilvl w:val="0"/>
          <w:numId w:val="62"/>
        </w:numPr>
      </w:pPr>
      <w:r w:rsidRPr="00C54D80">
        <w:t>modifications to quality and safety requirements for therapeutic vapes. </w:t>
      </w:r>
    </w:p>
    <w:p w14:paraId="404FB2E5" w14:textId="77777777" w:rsidR="00C54D80" w:rsidRPr="00C54D80" w:rsidRDefault="00C54D80" w:rsidP="00A30DAF">
      <w:r w:rsidRPr="00C54D80">
        <w:t xml:space="preserve">As such, it was intended to inform the assessment of the appropriate policy response to the vaping problem, including by understanding the specific impacts on particular groups. </w:t>
      </w:r>
    </w:p>
    <w:p w14:paraId="4C8EE092" w14:textId="77777777" w:rsidR="00C54D80" w:rsidRPr="00C54D80" w:rsidRDefault="00C54D80" w:rsidP="00A30DAF">
      <w:r w:rsidRPr="00C54D80">
        <w:t>The 2023 Consultation outlined 4 proposals:</w:t>
      </w:r>
    </w:p>
    <w:p w14:paraId="204A11AA" w14:textId="1A9E4412" w:rsidR="00C54D80" w:rsidRPr="00C54D80" w:rsidRDefault="00C54D80" w:rsidP="007D57BD">
      <w:pPr>
        <w:pStyle w:val="Bullet1"/>
        <w:ind w:left="720"/>
        <w:rPr>
          <w:sz w:val="22"/>
          <w:szCs w:val="22"/>
        </w:rPr>
      </w:pPr>
      <w:r w:rsidRPr="007D57BD">
        <w:rPr>
          <w:b/>
          <w:bCs/>
        </w:rPr>
        <w:t>Proposal 1</w:t>
      </w:r>
      <w:r w:rsidRPr="00C54D80">
        <w:t xml:space="preserve"> – </w:t>
      </w:r>
      <w:r w:rsidR="00A30DAF">
        <w:t>R</w:t>
      </w:r>
      <w:r w:rsidRPr="00C54D80">
        <w:t xml:space="preserve">estrictions on importation, manufacture and supply of all vapes, other than therapeutic vapes. </w:t>
      </w:r>
    </w:p>
    <w:p w14:paraId="54946B51" w14:textId="343DD1BF" w:rsidR="00C54D80" w:rsidRPr="00C54D80" w:rsidRDefault="00C54D80" w:rsidP="007D57BD">
      <w:pPr>
        <w:pStyle w:val="Bullet1"/>
        <w:ind w:left="720"/>
        <w:rPr>
          <w:sz w:val="22"/>
          <w:szCs w:val="22"/>
        </w:rPr>
      </w:pPr>
      <w:r w:rsidRPr="007D57BD">
        <w:rPr>
          <w:b/>
          <w:bCs/>
        </w:rPr>
        <w:t>Proposal 2</w:t>
      </w:r>
      <w:r w:rsidRPr="00C54D80">
        <w:t xml:space="preserve"> – </w:t>
      </w:r>
      <w:r w:rsidR="00A30DAF">
        <w:t>C</w:t>
      </w:r>
      <w:r w:rsidRPr="00C54D80">
        <w:t xml:space="preserve">hanges to market accessibility requirements for therapeutic vapes. </w:t>
      </w:r>
    </w:p>
    <w:p w14:paraId="5CE5E3FB" w14:textId="35466F86" w:rsidR="00C54D80" w:rsidRPr="00C54D80" w:rsidRDefault="00C54D80" w:rsidP="007D57BD">
      <w:pPr>
        <w:pStyle w:val="Bullet1"/>
        <w:ind w:left="720"/>
        <w:rPr>
          <w:sz w:val="22"/>
          <w:szCs w:val="22"/>
        </w:rPr>
      </w:pPr>
      <w:r w:rsidRPr="007D57BD">
        <w:rPr>
          <w:b/>
          <w:bCs/>
        </w:rPr>
        <w:t>Proposal 3</w:t>
      </w:r>
      <w:r w:rsidRPr="00C54D80">
        <w:t xml:space="preserve"> – </w:t>
      </w:r>
      <w:r w:rsidR="00A30DAF">
        <w:t>H</w:t>
      </w:r>
      <w:r w:rsidRPr="00C54D80">
        <w:t xml:space="preserve">eightened quality and safety standards for therapeutic vapes. </w:t>
      </w:r>
    </w:p>
    <w:p w14:paraId="7A68010D" w14:textId="7C1BFA79" w:rsidR="00C54D80" w:rsidRPr="00C54D80" w:rsidRDefault="00C54D80" w:rsidP="007D57BD">
      <w:pPr>
        <w:pStyle w:val="Bullet1"/>
        <w:ind w:left="720"/>
        <w:rPr>
          <w:sz w:val="22"/>
          <w:szCs w:val="22"/>
        </w:rPr>
      </w:pPr>
      <w:r w:rsidRPr="007D57BD">
        <w:rPr>
          <w:b/>
          <w:bCs/>
        </w:rPr>
        <w:t>Proposal 4</w:t>
      </w:r>
      <w:r w:rsidRPr="00C54D80">
        <w:t xml:space="preserve"> – </w:t>
      </w:r>
      <w:r w:rsidR="00A30DAF">
        <w:t>S</w:t>
      </w:r>
      <w:r w:rsidRPr="00C54D80">
        <w:t>trengthening domestic compliance and enforcement mechanisms.</w:t>
      </w:r>
    </w:p>
    <w:p w14:paraId="02FD4D02" w14:textId="4612C34A" w:rsidR="00C54D80" w:rsidRPr="00C54D80" w:rsidRDefault="00C54D80" w:rsidP="00D12EFD">
      <w:r w:rsidRPr="00C54D80">
        <w:t>Reform</w:t>
      </w:r>
      <w:r w:rsidR="00B46938">
        <w:t xml:space="preserve"> </w:t>
      </w:r>
      <w:r w:rsidR="00A30DAF">
        <w:t>O</w:t>
      </w:r>
      <w:r w:rsidRPr="00C54D80">
        <w:t xml:space="preserve">ption 4 from the 2022 </w:t>
      </w:r>
      <w:r w:rsidR="00724D25">
        <w:t>C</w:t>
      </w:r>
      <w:r w:rsidRPr="00C54D80">
        <w:t xml:space="preserve">onsultation, clarifying the status of NVPs as therapeutic goods, was not revisited as part of the 2023 </w:t>
      </w:r>
      <w:r w:rsidR="00724D25">
        <w:t>C</w:t>
      </w:r>
      <w:r w:rsidRPr="00C54D80">
        <w:t xml:space="preserve">onsultation. This reform option was no longer necessary because of the proposed reforms to regulate all vapes, irrespective of nicotine content. </w:t>
      </w:r>
    </w:p>
    <w:p w14:paraId="4A7FEDD0" w14:textId="77777777" w:rsidR="00C54D80" w:rsidRPr="00C54D80" w:rsidRDefault="00C54D80" w:rsidP="00D12EFD">
      <w:pPr>
        <w:pStyle w:val="Heading4"/>
        <w:rPr>
          <w:b w:val="0"/>
        </w:rPr>
      </w:pPr>
      <w:bookmarkStart w:id="224" w:name="_Toc147478080"/>
      <w:bookmarkStart w:id="225" w:name="_Toc151040382"/>
      <w:r w:rsidRPr="00C54D80">
        <w:t>Stakeholder feedback during the 2023 Consultation</w:t>
      </w:r>
      <w:bookmarkEnd w:id="224"/>
      <w:bookmarkEnd w:id="225"/>
    </w:p>
    <w:p w14:paraId="28D32539" w14:textId="77777777" w:rsidR="00C54D80" w:rsidRPr="00C54D80" w:rsidRDefault="00C54D80" w:rsidP="00D12EFD">
      <w:bookmarkStart w:id="226" w:name="_Hlk151041000"/>
      <w:r w:rsidRPr="00C54D80">
        <w:t>The consultation received 289 responses, including submissions from the following stakeholder groups:</w:t>
      </w:r>
    </w:p>
    <w:p w14:paraId="4747D253" w14:textId="10882B36" w:rsidR="00C54D80" w:rsidRPr="00C54D80" w:rsidRDefault="00C54D80" w:rsidP="00467EDD">
      <w:pPr>
        <w:pStyle w:val="Bullet1"/>
        <w:numPr>
          <w:ilvl w:val="0"/>
          <w:numId w:val="64"/>
        </w:numPr>
      </w:pPr>
      <w:r w:rsidRPr="00C54D80">
        <w:t>2</w:t>
      </w:r>
      <w:r w:rsidR="003B72EF">
        <w:t>0</w:t>
      </w:r>
      <w:r w:rsidRPr="00C54D80">
        <w:t xml:space="preserve"> government agencies, including state and territory health and education departments</w:t>
      </w:r>
    </w:p>
    <w:p w14:paraId="295C9318" w14:textId="52EE6CF0" w:rsidR="00C54D80" w:rsidRPr="00C54D80" w:rsidRDefault="00C54D80" w:rsidP="00467EDD">
      <w:pPr>
        <w:pStyle w:val="Bullet1"/>
        <w:numPr>
          <w:ilvl w:val="0"/>
          <w:numId w:val="64"/>
        </w:numPr>
      </w:pPr>
      <w:r w:rsidRPr="00C54D80">
        <w:lastRenderedPageBreak/>
        <w:t>19 consumer groups and associations</w:t>
      </w:r>
    </w:p>
    <w:p w14:paraId="5F83CA7F" w14:textId="75B5498F" w:rsidR="00C54D80" w:rsidRPr="00C54D80" w:rsidRDefault="00C54D80" w:rsidP="00467EDD">
      <w:pPr>
        <w:pStyle w:val="Bullet1"/>
        <w:numPr>
          <w:ilvl w:val="0"/>
          <w:numId w:val="64"/>
        </w:numPr>
      </w:pPr>
      <w:r w:rsidRPr="00C54D80">
        <w:t>1</w:t>
      </w:r>
      <w:r w:rsidR="003B72EF">
        <w:t>1</w:t>
      </w:r>
      <w:r w:rsidRPr="00C54D80">
        <w:t xml:space="preserve"> health professional peak bodies</w:t>
      </w:r>
    </w:p>
    <w:p w14:paraId="5DFC4E9D" w14:textId="46D3F5C6" w:rsidR="00C54D80" w:rsidRPr="00C54D80" w:rsidRDefault="00C54D80" w:rsidP="00467EDD">
      <w:pPr>
        <w:pStyle w:val="Bullet1"/>
        <w:numPr>
          <w:ilvl w:val="0"/>
          <w:numId w:val="64"/>
        </w:numPr>
      </w:pPr>
      <w:r w:rsidRPr="00C54D80">
        <w:t>37 peak public health organisations</w:t>
      </w:r>
    </w:p>
    <w:p w14:paraId="3360CD21" w14:textId="4C888C76" w:rsidR="00C54D80" w:rsidRPr="00C54D80" w:rsidRDefault="00C54D80" w:rsidP="00467EDD">
      <w:pPr>
        <w:pStyle w:val="Bullet1"/>
        <w:numPr>
          <w:ilvl w:val="0"/>
          <w:numId w:val="64"/>
        </w:numPr>
      </w:pPr>
      <w:r w:rsidRPr="00C54D80">
        <w:t>5 school related groups</w:t>
      </w:r>
    </w:p>
    <w:p w14:paraId="23AA3AA4" w14:textId="2D817B69" w:rsidR="00C54D80" w:rsidRPr="00C54D80" w:rsidRDefault="00C54D80" w:rsidP="00467EDD">
      <w:pPr>
        <w:pStyle w:val="Bullet1"/>
        <w:numPr>
          <w:ilvl w:val="0"/>
          <w:numId w:val="64"/>
        </w:numPr>
      </w:pPr>
      <w:r w:rsidRPr="00C54D80">
        <w:t>19 with expertise and interests in smoking and effects of nicotine</w:t>
      </w:r>
    </w:p>
    <w:p w14:paraId="54985C46" w14:textId="5B683E3D" w:rsidR="00C54D80" w:rsidRPr="00C54D80" w:rsidRDefault="00C54D80" w:rsidP="00467EDD">
      <w:pPr>
        <w:pStyle w:val="Bullet1"/>
        <w:numPr>
          <w:ilvl w:val="0"/>
          <w:numId w:val="64"/>
        </w:numPr>
      </w:pPr>
      <w:r w:rsidRPr="00C54D80">
        <w:t>3 pharmaceutical industry participants (not solely trading in vapes)</w:t>
      </w:r>
    </w:p>
    <w:p w14:paraId="7418DA32" w14:textId="492894DC" w:rsidR="00C54D80" w:rsidRPr="00C54D80" w:rsidRDefault="00C54D80" w:rsidP="00467EDD">
      <w:pPr>
        <w:pStyle w:val="Bullet1"/>
        <w:numPr>
          <w:ilvl w:val="0"/>
          <w:numId w:val="64"/>
        </w:numPr>
      </w:pPr>
      <w:r w:rsidRPr="00C54D80">
        <w:t>4 pharmacy wholesaler stakeholders</w:t>
      </w:r>
    </w:p>
    <w:p w14:paraId="78779829" w14:textId="34E38893" w:rsidR="00C54D80" w:rsidRPr="00C54D80" w:rsidRDefault="00C54D80" w:rsidP="00467EDD">
      <w:pPr>
        <w:pStyle w:val="Bullet1"/>
        <w:numPr>
          <w:ilvl w:val="0"/>
          <w:numId w:val="64"/>
        </w:numPr>
      </w:pPr>
      <w:r w:rsidRPr="00C54D80">
        <w:t>16 advocacy groups, from a range who self-identified as public health organisations, vape suppliers and education sector, and unsolicited submitters</w:t>
      </w:r>
    </w:p>
    <w:p w14:paraId="1F156198" w14:textId="17FB4247" w:rsidR="00C54D80" w:rsidRPr="00C54D80" w:rsidRDefault="00C54D80" w:rsidP="00467EDD">
      <w:pPr>
        <w:pStyle w:val="Bullet1"/>
        <w:numPr>
          <w:ilvl w:val="0"/>
          <w:numId w:val="64"/>
        </w:numPr>
      </w:pPr>
      <w:r w:rsidRPr="00C54D80">
        <w:t>5 vape importers</w:t>
      </w:r>
    </w:p>
    <w:p w14:paraId="124DD213" w14:textId="1D2A4D3A" w:rsidR="00C54D80" w:rsidRPr="00C54D80" w:rsidRDefault="00C54D80" w:rsidP="00467EDD">
      <w:pPr>
        <w:pStyle w:val="Bullet1"/>
        <w:numPr>
          <w:ilvl w:val="0"/>
          <w:numId w:val="64"/>
        </w:numPr>
      </w:pPr>
      <w:r w:rsidRPr="00C54D80">
        <w:t>9 vape manufacturers</w:t>
      </w:r>
    </w:p>
    <w:p w14:paraId="4E80CBD0" w14:textId="7AE15CB8" w:rsidR="00C54D80" w:rsidRPr="00C54D80" w:rsidRDefault="00C54D80" w:rsidP="00467EDD">
      <w:pPr>
        <w:pStyle w:val="Bullet1"/>
        <w:numPr>
          <w:ilvl w:val="0"/>
          <w:numId w:val="64"/>
        </w:numPr>
      </w:pPr>
      <w:r w:rsidRPr="00C54D80">
        <w:t xml:space="preserve">20 vape stores- retail outlets specialising in the selling of </w:t>
      </w:r>
      <w:r w:rsidR="002052E1">
        <w:t>vape</w:t>
      </w:r>
      <w:r w:rsidRPr="00C54D80">
        <w:t>s</w:t>
      </w:r>
    </w:p>
    <w:p w14:paraId="3E17CB25" w14:textId="32AEF6F4" w:rsidR="00C54D80" w:rsidRPr="00C54D80" w:rsidRDefault="00C54D80" w:rsidP="00467EDD">
      <w:pPr>
        <w:pStyle w:val="Bullet1"/>
        <w:numPr>
          <w:ilvl w:val="0"/>
          <w:numId w:val="64"/>
        </w:numPr>
      </w:pPr>
      <w:r w:rsidRPr="00C54D80">
        <w:t>1 other retailer- tobacco and convenience stores and chains that sell vapes</w:t>
      </w:r>
    </w:p>
    <w:p w14:paraId="31D92974" w14:textId="77777777" w:rsidR="00C54D80" w:rsidRPr="00C54D80" w:rsidRDefault="00C54D80" w:rsidP="00467EDD">
      <w:pPr>
        <w:pStyle w:val="Bullet1"/>
        <w:numPr>
          <w:ilvl w:val="0"/>
          <w:numId w:val="64"/>
        </w:numPr>
      </w:pPr>
      <w:r w:rsidRPr="00C54D80">
        <w:t>120 ‘others’, consisting mainly of vape consumers (users).</w:t>
      </w:r>
    </w:p>
    <w:bookmarkEnd w:id="226"/>
    <w:p w14:paraId="6C060DD9" w14:textId="7AA5B5D7" w:rsidR="00CF4065" w:rsidRDefault="00D347CD" w:rsidP="00AB61D1">
      <w:r w:rsidRPr="00D347CD">
        <w:t>Two late responses were received from one government agency and one health professional peak body. Due to time constraints, these were not included in the analysis outlined in the IA, but will be published on the TGA website.</w:t>
      </w:r>
    </w:p>
    <w:p w14:paraId="731806E7" w14:textId="12052FC3" w:rsidR="00C54D80" w:rsidRPr="00C54D80" w:rsidRDefault="00C54D80" w:rsidP="00AB61D1">
      <w:r w:rsidRPr="00C54D80">
        <w:t>The 120 responses from the ‘Other’ group were unsolicited by the TGA, coming from persons or bodies who were not directly the target of the consultation. The majority of these responses were from vape consumers.</w:t>
      </w:r>
      <w:r w:rsidRPr="00C54D80" w:rsidDel="00EC506E">
        <w:t xml:space="preserve"> </w:t>
      </w:r>
      <w:r w:rsidRPr="00C54D80">
        <w:t xml:space="preserve">The views of consumers were specifically sought and comprehensively analysed under the 2022 Consultation, in questions specifically designed to elicit consumer responses. By comparison, the 2023 Consultation was designed to address specific areas of regulation which formed part of the Minister’s announcement on 2 May </w:t>
      </w:r>
      <w:r w:rsidR="005C24F2" w:rsidRPr="00C54D80">
        <w:t>202</w:t>
      </w:r>
      <w:r w:rsidR="00AE409D">
        <w:t>3</w:t>
      </w:r>
      <w:r w:rsidR="005C24F2" w:rsidRPr="00C54D80">
        <w:t>,</w:t>
      </w:r>
      <w:r w:rsidRPr="00C54D80">
        <w:t xml:space="preserve"> and which have been included in Option 3 (see Question 3 above). </w:t>
      </w:r>
    </w:p>
    <w:p w14:paraId="7BCDBBDC" w14:textId="77777777" w:rsidR="00C54D80" w:rsidRPr="00C54D80" w:rsidRDefault="00C54D80" w:rsidP="00AB61D1">
      <w:pPr>
        <w:rPr>
          <w:highlight w:val="yellow"/>
        </w:rPr>
      </w:pPr>
      <w:r w:rsidRPr="00C54D80">
        <w:t xml:space="preserve">Views raised by the ‘Other’ group in 2023 broadly reflected the views obtained through the 2022 Consultation, with strong opposition to the proposed reforms, concerns that the reforms would increase the black market, and concerns that the reforms would be counterproductive to those seeking to quit smoking. The ‘Other’ group also expressed views that while the local vape industry would cease, pharmaceutical and tobacco companies would benefit, resulting in an increase in costs and a reduction in consumer choice. </w:t>
      </w:r>
    </w:p>
    <w:p w14:paraId="1EACCF26" w14:textId="77777777" w:rsidR="00C54D80" w:rsidRPr="00C54D80" w:rsidRDefault="00C54D80" w:rsidP="00AB61D1">
      <w:r w:rsidRPr="00C54D80">
        <w:t xml:space="preserve">It should be noted that for some questions the feedback received from particular stakeholder groups was either not provided or was inadequate. For example, the TGA sought feedback around total sales and size of the current lawful market, but only 6 responses were received in relation to this particular issue. This has made data compilation and analysis difficult because it was not possible to develop information that would provide reliable estimates for further consideration in the development of policy options. There may be several reasons why this information was not disclosed to the TGA, including that the information was commercially sensitive, that it was not readily available, or that the data relates to, or cannot be separated from, sales of vapes that do not comply with the current regulatory requirements. </w:t>
      </w:r>
      <w:bookmarkStart w:id="227" w:name="_Toc146674478"/>
    </w:p>
    <w:p w14:paraId="6693B1C1" w14:textId="27E81421" w:rsidR="00C54D80" w:rsidRPr="00C54D80" w:rsidRDefault="00C54D80" w:rsidP="00D12EFD">
      <w:pPr>
        <w:pStyle w:val="Heading4"/>
        <w:rPr>
          <w:b w:val="0"/>
        </w:rPr>
      </w:pPr>
      <w:bookmarkStart w:id="228" w:name="_Toc147478081"/>
      <w:bookmarkStart w:id="229" w:name="_Toc151040383"/>
      <w:bookmarkEnd w:id="227"/>
      <w:r w:rsidRPr="00C54D80">
        <w:t>Proposal 1 – Restrictions on importation, manufacture and supply of all vapes, other than therapeutic vapes</w:t>
      </w:r>
      <w:bookmarkEnd w:id="228"/>
      <w:bookmarkEnd w:id="229"/>
    </w:p>
    <w:p w14:paraId="4B1727DB" w14:textId="77777777" w:rsidR="00C54D80" w:rsidRPr="00C54D80" w:rsidRDefault="00C54D80" w:rsidP="00D12EFD">
      <w:r w:rsidRPr="00C54D80">
        <w:t xml:space="preserve">The 2023 consultation paper sought feedback from stakeholders, including whether they supported a ban on the importation, manufacture, and supply of all vapes (excluding therapeutic vapes), removal of the Personal Importation Scheme exception, retention of the traveller’s exemption, and the prohibition of advertising in line with restrictions on advertising prescription medicines. The 2023 </w:t>
      </w:r>
      <w:r w:rsidRPr="00C54D80">
        <w:lastRenderedPageBreak/>
        <w:t>consultations also sought stakeholder views on how they anticipate industry and consumers would respond to implementation of the measures.</w:t>
      </w:r>
    </w:p>
    <w:p w14:paraId="5260E83B" w14:textId="77777777" w:rsidR="00C54D80" w:rsidRPr="00C54D80" w:rsidRDefault="00C54D80" w:rsidP="00D12EFD">
      <w:pPr>
        <w:pStyle w:val="Heading5"/>
      </w:pPr>
      <w:r w:rsidRPr="00C54D80">
        <w:t>Banning vapes (other than therapeutic vapes)</w:t>
      </w:r>
    </w:p>
    <w:p w14:paraId="6AB9F9F2" w14:textId="77777777" w:rsidR="00C54D80" w:rsidRPr="00C54D80" w:rsidRDefault="00C54D80" w:rsidP="00D12EFD">
      <w:r w:rsidRPr="00C54D80">
        <w:t xml:space="preserve">Government agencies, health professional peak bodies, public health organisations and academic experts and vape manufacturers/importers supplying to the pharmacy market were all, or nearly all, in favour of the proposed ban on the manufacture, import and supply of disposable and non-therapeutic vapes, citing the positive impact this will have on communities and noting it would assist enforcement to curb the illegal trade. </w:t>
      </w:r>
    </w:p>
    <w:p w14:paraId="7BB6A2EF" w14:textId="77777777" w:rsidR="00C54D80" w:rsidRPr="00C54D80" w:rsidRDefault="00C54D80" w:rsidP="00D12EFD">
      <w:r w:rsidRPr="00C54D80">
        <w:t xml:space="preserve">Vape retailers and importers not part of the pharmacy supply chain strongly opposed the ban (90%), but some could see a point in banning disposables but not non-therapeutic vapes. This group argued it would lead to increase in black market sales and would be counterproductive for smoking cessation initiatives. </w:t>
      </w:r>
    </w:p>
    <w:p w14:paraId="2895ABDA" w14:textId="7A36F310" w:rsidR="00C54D80" w:rsidRPr="00C54D80" w:rsidRDefault="00C54D80" w:rsidP="00D12EFD">
      <w:r w:rsidRPr="00C54D80">
        <w:t xml:space="preserve">Consumer groups and associations expressed limited support for the proposal. Some youth welfare groups mistook this proposal as involving the criminalisation of the use of vapes, arguing it would be detrimental to the wellbeing of </w:t>
      </w:r>
      <w:r w:rsidR="00353130">
        <w:t>youth</w:t>
      </w:r>
      <w:r w:rsidR="00353130" w:rsidRPr="00C54D80">
        <w:t xml:space="preserve"> </w:t>
      </w:r>
      <w:r w:rsidRPr="00C54D80">
        <w:t>to be penalised for vape use. The ‘Others’ group, consisting mostly of consumers, were nearly 100% against the proposed ban.</w:t>
      </w:r>
    </w:p>
    <w:p w14:paraId="10EE9BF2" w14:textId="77777777" w:rsidR="00C54D80" w:rsidRPr="00C54D80" w:rsidRDefault="00C54D80" w:rsidP="00D12EFD">
      <w:pPr>
        <w:pStyle w:val="Heading5"/>
      </w:pPr>
      <w:r w:rsidRPr="00C54D80">
        <w:t xml:space="preserve">Removing vapes from the Personal Importation Scheme </w:t>
      </w:r>
    </w:p>
    <w:p w14:paraId="2CE14CE9" w14:textId="36052DC0" w:rsidR="00C54D80" w:rsidRPr="00C54D80" w:rsidRDefault="00C54D80" w:rsidP="00C54D80">
      <w:r w:rsidRPr="00D12EFD">
        <w:t xml:space="preserve">Government agencies, health professional peak bodies and public health organisations strongly supported (90 to 100%) the proposal to remove the Personal Importation Scheme, arguing that it is prone to abuse and allows unregulated product to enter the market. Academic experts and vape manufactures/importers supplying to the pharmacy market expressed mixed support (60-68%) for the removal of </w:t>
      </w:r>
      <w:r w:rsidR="0070058A" w:rsidRPr="00D12EFD">
        <w:t>Personal Importation Scheme</w:t>
      </w:r>
      <w:r w:rsidRPr="00D12EFD">
        <w:t xml:space="preserve">, while vape retailers and importers not part of the pharmacy supply chain were unsupportive of the removal of </w:t>
      </w:r>
      <w:r w:rsidR="0070058A" w:rsidRPr="00D12EFD">
        <w:t xml:space="preserve">Personal Importation Scheme </w:t>
      </w:r>
      <w:r w:rsidRPr="00D12EFD">
        <w:t>(nearly 75% opposing). Consumer groups and the 'Others’</w:t>
      </w:r>
      <w:r w:rsidRPr="00D12EFD" w:rsidDel="00872C54">
        <w:t xml:space="preserve"> </w:t>
      </w:r>
      <w:r w:rsidRPr="00D12EFD">
        <w:t xml:space="preserve">group, mostly consisting of vape users, were also strongly against removal of </w:t>
      </w:r>
      <w:r w:rsidR="0070058A" w:rsidRPr="00D12EFD">
        <w:t>Personal Importation Scheme</w:t>
      </w:r>
      <w:r w:rsidRPr="00D12EFD">
        <w:t>, arguing that it will restrict personal choice and</w:t>
      </w:r>
      <w:r w:rsidRPr="00C54D80">
        <w:t xml:space="preserve"> make it difficult for consumers to access vapes, especially in rural settings. </w:t>
      </w:r>
    </w:p>
    <w:p w14:paraId="5A5050BF" w14:textId="77777777" w:rsidR="00C54D80" w:rsidRPr="00C54D80" w:rsidRDefault="00C54D80" w:rsidP="00D12EFD">
      <w:pPr>
        <w:pStyle w:val="Heading5"/>
      </w:pPr>
      <w:r w:rsidRPr="00C54D80">
        <w:t>Retaining the traveller’s exemption</w:t>
      </w:r>
    </w:p>
    <w:p w14:paraId="5636A1E0" w14:textId="77777777" w:rsidR="00C54D80" w:rsidRPr="00C54D80" w:rsidRDefault="00C54D80" w:rsidP="00C54D80">
      <w:r w:rsidRPr="00C54D80">
        <w:t xml:space="preserve">Government agencies, health professional peak bodies, public health organisations and academic experts expressed strong support (around 90%) for retaining the traveller’s exemption, although they </w:t>
      </w:r>
      <w:r w:rsidRPr="00D12EFD">
        <w:t>raised concerns that the quantity proposed was too generous. They also sought further information on the kind of vapes that would be permitted under the exemption. All other major stakeholder groups showed support for retaining the traveller’s exemption, except vape retailers, manufacturers and import</w:t>
      </w:r>
      <w:r w:rsidRPr="00C54D80">
        <w:t xml:space="preserve">ers, who were predominantly against retaining the traveller’s exemption.  </w:t>
      </w:r>
    </w:p>
    <w:p w14:paraId="08ECFD33" w14:textId="77777777" w:rsidR="00C54D80" w:rsidRPr="00C54D80" w:rsidRDefault="00C54D80" w:rsidP="00D12EFD">
      <w:pPr>
        <w:pStyle w:val="Heading5"/>
        <w:rPr>
          <w:i/>
        </w:rPr>
      </w:pPr>
      <w:r w:rsidRPr="00C54D80">
        <w:rPr>
          <w:i/>
        </w:rPr>
        <w:t>Restrictio</w:t>
      </w:r>
      <w:r w:rsidRPr="00C54D80">
        <w:t>ns on advertising</w:t>
      </w:r>
    </w:p>
    <w:p w14:paraId="06BA3372" w14:textId="77777777" w:rsidR="00C54D80" w:rsidRPr="00C54D80" w:rsidRDefault="00C54D80" w:rsidP="00D12EFD">
      <w:r w:rsidRPr="00C54D80">
        <w:t>The majority of respondents (&gt;60%) across all stakeholder groups supported the proposed restrictions on the advertisement of vapes. This included suggestions for a ban on all direct advertising to customers and restricting advertising or promotional activities directed to healthcare providers. Concerns were raised that the vaping industry may use corrupt practices to influence the use of vapes while promoting products to prescribers. Further concerns were raised that social media advertisements might use predatory practices to target young users. Stakeholders</w:t>
      </w:r>
      <w:r w:rsidRPr="00C54D80" w:rsidDel="0014160B">
        <w:t xml:space="preserve"> </w:t>
      </w:r>
      <w:r w:rsidRPr="00C54D80">
        <w:t>felt these should be the focus of enforcement agencies.</w:t>
      </w:r>
    </w:p>
    <w:p w14:paraId="30544C72" w14:textId="77777777" w:rsidR="00C54D80" w:rsidRPr="00C54D80" w:rsidRDefault="00C54D80" w:rsidP="00D12EFD">
      <w:pPr>
        <w:pStyle w:val="Heading4"/>
        <w:rPr>
          <w:b w:val="0"/>
        </w:rPr>
      </w:pPr>
      <w:bookmarkStart w:id="230" w:name="_Toc146674479"/>
      <w:bookmarkStart w:id="231" w:name="_Toc147478082"/>
      <w:bookmarkStart w:id="232" w:name="_Toc151040384"/>
      <w:r w:rsidRPr="00C54D80">
        <w:t>Proposal 2 - Changes to market accessibility requirements for therapeutic vapes</w:t>
      </w:r>
      <w:bookmarkEnd w:id="230"/>
      <w:bookmarkEnd w:id="231"/>
      <w:bookmarkEnd w:id="232"/>
      <w:r w:rsidRPr="00C54D80">
        <w:t xml:space="preserve"> </w:t>
      </w:r>
    </w:p>
    <w:p w14:paraId="2D057573" w14:textId="77777777" w:rsidR="00C54D80" w:rsidRPr="00C54D80" w:rsidRDefault="00C54D80" w:rsidP="00D12EFD">
      <w:r w:rsidRPr="00C54D80">
        <w:t xml:space="preserve">The 2023 consultation paper discussed the following proposed regulatory controls: </w:t>
      </w:r>
    </w:p>
    <w:p w14:paraId="457793EB" w14:textId="7D44CF12" w:rsidR="00C54D80" w:rsidRPr="00C54D80" w:rsidRDefault="00210E04" w:rsidP="00467EDD">
      <w:pPr>
        <w:pStyle w:val="Bullet1"/>
        <w:numPr>
          <w:ilvl w:val="0"/>
          <w:numId w:val="65"/>
        </w:numPr>
      </w:pPr>
      <w:r>
        <w:t>P</w:t>
      </w:r>
      <w:r w:rsidR="00C54D80" w:rsidRPr="00C54D80">
        <w:t>re-market notification of compliance with TGO 110</w:t>
      </w:r>
    </w:p>
    <w:p w14:paraId="177281BB" w14:textId="69364725" w:rsidR="00C54D80" w:rsidRPr="00C54D80" w:rsidRDefault="00210E04" w:rsidP="00467EDD">
      <w:pPr>
        <w:pStyle w:val="Bullet1"/>
        <w:numPr>
          <w:ilvl w:val="0"/>
          <w:numId w:val="65"/>
        </w:numPr>
      </w:pPr>
      <w:r>
        <w:lastRenderedPageBreak/>
        <w:t>S</w:t>
      </w:r>
      <w:r w:rsidR="00C54D80" w:rsidRPr="00C54D80" w:rsidDel="00C86014">
        <w:t>treamlined access under the Special Access Scheme (SAS) and AP scheme</w:t>
      </w:r>
      <w:r w:rsidR="00C54D80" w:rsidRPr="00C54D80">
        <w:t>.</w:t>
      </w:r>
    </w:p>
    <w:p w14:paraId="1EE790DE" w14:textId="77777777" w:rsidR="00C54D80" w:rsidRPr="00C54D80" w:rsidRDefault="00C54D80" w:rsidP="00D12EFD">
      <w:pPr>
        <w:pStyle w:val="Heading5"/>
      </w:pPr>
      <w:r w:rsidRPr="00C54D80">
        <w:t>Pre-market notification</w:t>
      </w:r>
    </w:p>
    <w:p w14:paraId="34AD5563" w14:textId="77777777" w:rsidR="00C54D80" w:rsidRPr="00C54D80" w:rsidRDefault="00C54D80" w:rsidP="00C54D80">
      <w:r w:rsidRPr="00D12EFD">
        <w:t>Out of government agencies, health professional peak bodies and public health organisations, only one respondent was against the proposed pre-market notification program. Strong support (90-100%) was also received from academic experts and vape manufacturers/importers supplying to the pharmacy market. However, strong opposition</w:t>
      </w:r>
      <w:r w:rsidRPr="00D12EFD" w:rsidDel="00B456EE">
        <w:t xml:space="preserve"> </w:t>
      </w:r>
      <w:r w:rsidRPr="00D12EFD">
        <w:t>was received from vape retailers and importers not part of the pharmacy supply chain (&lt;25% in favour). Those from the 'Others’ group, mostly consisting of vape users, were strongly against the proposal with more than 70% responding negatively. Although there was significant support for the proposal, some concerns were raised regarding the possibility of notified vapes being misinterpreted or misrepresented as products endorsed by the TGA. These stakeholders recommended severe penalty measures to stop such misinformation. A research institute also raised concerns about bringing devices on to a pre-notification program, stating that device technology</w:t>
      </w:r>
      <w:r w:rsidRPr="00C54D80">
        <w:t xml:space="preserve"> changes too fast to regulate these using a</w:t>
      </w:r>
      <w:r w:rsidRPr="00C54D80" w:rsidDel="00745717">
        <w:t xml:space="preserve"> </w:t>
      </w:r>
      <w:r w:rsidRPr="00C54D80">
        <w:t xml:space="preserve">notification scheme. </w:t>
      </w:r>
    </w:p>
    <w:p w14:paraId="78B18E67" w14:textId="77777777" w:rsidR="00C54D80" w:rsidRPr="00C54D80" w:rsidRDefault="00C54D80" w:rsidP="00D12EFD">
      <w:pPr>
        <w:pStyle w:val="Heading5"/>
      </w:pPr>
      <w:r w:rsidRPr="00C54D80">
        <w:t>Streamlined access</w:t>
      </w:r>
    </w:p>
    <w:p w14:paraId="4EB104A5" w14:textId="77777777" w:rsidR="00C54D80" w:rsidRPr="00C54D80" w:rsidRDefault="00C54D80" w:rsidP="00D12EFD">
      <w:r w:rsidRPr="00C54D80">
        <w:t>Government agencies and public health organisations were highly supportive of the SAS C pathway for access to vapes (nearly 100% in favour), arguing it will reduce the burden on prescribers. Health professional peak bodies agreed with this reasoning but only 60% were supportive of SAS C. The RACGP noted that the availability of SAS C would streamline prescribing by removing the administrative step of requiring AP and SAS C approvals to be provided to pharmacies for the nicotine vapes to be dispensed.</w:t>
      </w:r>
    </w:p>
    <w:p w14:paraId="780C1843" w14:textId="77777777" w:rsidR="00C54D80" w:rsidRPr="00C54D80" w:rsidRDefault="00C54D80" w:rsidP="00D12EFD">
      <w:r w:rsidRPr="00C54D80">
        <w:t>Those who were opposed stated that AP and SAS B are adequate and that the introduction of SAS C will not improve accessibility, because the issue is the lack of trust from health practitioners that vapes are a safe and effective treatment. This group also felt</w:t>
      </w:r>
      <w:r w:rsidRPr="00C54D80" w:rsidDel="00A910C1">
        <w:t xml:space="preserve"> </w:t>
      </w:r>
      <w:r w:rsidRPr="00C54D80">
        <w:t xml:space="preserve">that unapproved access pathways are inconsistent with other NRT access pathways and may disincentivise future product registration. As a consequence, this group felt the unapproved pathway should be implemented for a limited time only as a transitional mechanism, and sponsors should be encouraged to apply for ARTG registration. </w:t>
      </w:r>
    </w:p>
    <w:p w14:paraId="030BB8E1" w14:textId="252306F7" w:rsidR="00C54D80" w:rsidRPr="00C54D80" w:rsidRDefault="00C54D80" w:rsidP="00D12EFD">
      <w:r w:rsidRPr="00C54D80">
        <w:t xml:space="preserve">University researchers were strongly in favour of the proposed SAS C pathway but raised concerns regarding the potential for abuse and the possibility for the regulation to be undermined (for example, by dedicated telehealth businesses providing prescriptions for vapes). There was a recommendation made to include nurses as prescribers to reduce the burden on </w:t>
      </w:r>
      <w:r w:rsidR="00FC78E5">
        <w:t>medical practitioners</w:t>
      </w:r>
      <w:r w:rsidRPr="00C54D80">
        <w:t xml:space="preserve">. There was mixed support </w:t>
      </w:r>
      <w:r w:rsidRPr="00C54D80" w:rsidDel="00066E6F">
        <w:t xml:space="preserve">from </w:t>
      </w:r>
      <w:r w:rsidRPr="00C54D80">
        <w:t>consumer</w:t>
      </w:r>
      <w:r w:rsidRPr="00C54D80" w:rsidDel="00173FAD">
        <w:t xml:space="preserve"> </w:t>
      </w:r>
      <w:r w:rsidRPr="00C54D80">
        <w:t>groups and the ‘Other’ group. Only 10% of vape retailers and importers were in favour, compared to 100% of vape manufacturers.</w:t>
      </w:r>
    </w:p>
    <w:p w14:paraId="73C050FF" w14:textId="77777777" w:rsidR="00C54D80" w:rsidRPr="00C54D80" w:rsidRDefault="00C54D80" w:rsidP="00D12EFD">
      <w:pPr>
        <w:pStyle w:val="Heading4"/>
        <w:rPr>
          <w:b w:val="0"/>
        </w:rPr>
      </w:pPr>
      <w:bookmarkStart w:id="233" w:name="_Toc147478083"/>
      <w:bookmarkStart w:id="234" w:name="_Toc151040385"/>
      <w:r w:rsidRPr="00C54D80">
        <w:t>Proposal 3 - Heightened quality and safety standards for therapeutic vapes</w:t>
      </w:r>
      <w:bookmarkEnd w:id="233"/>
      <w:bookmarkEnd w:id="234"/>
      <w:r w:rsidRPr="00C54D80">
        <w:t xml:space="preserve"> </w:t>
      </w:r>
    </w:p>
    <w:p w14:paraId="33F04EDC" w14:textId="77777777" w:rsidR="00C54D80" w:rsidRPr="00C54D80" w:rsidRDefault="00C54D80" w:rsidP="00D12EFD">
      <w:r w:rsidRPr="00C54D80">
        <w:t xml:space="preserve">The 2023 consultation paper proposed improving quality standards for unapproved (unregistered) vapes by: </w:t>
      </w:r>
    </w:p>
    <w:p w14:paraId="250E2105" w14:textId="53C8DCF9" w:rsidR="00C54D80" w:rsidRPr="00C54D80" w:rsidRDefault="00C54D80" w:rsidP="00467EDD">
      <w:pPr>
        <w:pStyle w:val="Bullet1"/>
        <w:numPr>
          <w:ilvl w:val="0"/>
          <w:numId w:val="66"/>
        </w:numPr>
        <w:rPr>
          <w:sz w:val="22"/>
          <w:szCs w:val="22"/>
        </w:rPr>
      </w:pPr>
      <w:r w:rsidRPr="00C54D80">
        <w:t xml:space="preserve">specifying new requirements for device components </w:t>
      </w:r>
    </w:p>
    <w:p w14:paraId="2A158127" w14:textId="77777777" w:rsidR="00C54D80" w:rsidRPr="00C54D80" w:rsidRDefault="00C54D80" w:rsidP="00467EDD">
      <w:pPr>
        <w:pStyle w:val="Bullet1"/>
        <w:numPr>
          <w:ilvl w:val="0"/>
          <w:numId w:val="66"/>
        </w:numPr>
      </w:pPr>
      <w:r w:rsidRPr="00C54D80">
        <w:t xml:space="preserve">enhancing the requirements for vape components. </w:t>
      </w:r>
    </w:p>
    <w:p w14:paraId="160881D3" w14:textId="77777777" w:rsidR="00C54D80" w:rsidRPr="00C54D80" w:rsidRDefault="00C54D80" w:rsidP="00D12EFD">
      <w:pPr>
        <w:pStyle w:val="Heading5"/>
      </w:pPr>
      <w:r w:rsidRPr="00C54D80">
        <w:t>Device components</w:t>
      </w:r>
    </w:p>
    <w:p w14:paraId="5F692828" w14:textId="77777777" w:rsidR="00C54D80" w:rsidRPr="00C54D80" w:rsidRDefault="00C54D80" w:rsidP="00D12EFD">
      <w:pPr>
        <w:pStyle w:val="Heading6"/>
        <w:rPr>
          <w:i w:val="0"/>
          <w:color w:val="001871"/>
        </w:rPr>
      </w:pPr>
      <w:r w:rsidRPr="00C54D80">
        <w:t xml:space="preserve">Registration of devices and </w:t>
      </w:r>
      <w:r w:rsidRPr="00C54D80">
        <w:rPr>
          <w:color w:val="001871"/>
        </w:rPr>
        <w:t>compliance with relevant international standards</w:t>
      </w:r>
    </w:p>
    <w:p w14:paraId="603682B0" w14:textId="77777777" w:rsidR="00C54D80" w:rsidRPr="00C54D80" w:rsidRDefault="00C54D80" w:rsidP="00D12EFD">
      <w:r w:rsidRPr="00C54D80">
        <w:t xml:space="preserve">Importers, manufacturers and suppliers were asked whether they were familiar with relevant US FDA or MHRA guidance and/or EU standards covering vaping devices, and whether their vapes would currently comply with those standards. They were also asked whether their vapes were manufactured at facilities that meet relevant international standards for Quality Management Systems (QMS), such as ISO9001. </w:t>
      </w:r>
    </w:p>
    <w:p w14:paraId="264072F4" w14:textId="77777777" w:rsidR="00C54D80" w:rsidRPr="00C54D80" w:rsidRDefault="00C54D80" w:rsidP="00D12EFD">
      <w:r w:rsidRPr="00C54D80">
        <w:lastRenderedPageBreak/>
        <w:t>All vape manufacturers stated that they are familiar with international guidance and standards (FDA, MHRA and EU) for devices and all but one meet QMS requirements. Two vape manufacturers even said their devices already meet one or more of these standards. By contrast, only half of the retailers responded that they are familiar with overseas standards for devices and only just over half of those said their devices meet one or more comparable overseas standard or their facilities hold relevant QMS.</w:t>
      </w:r>
    </w:p>
    <w:p w14:paraId="1186CC64" w14:textId="77777777" w:rsidR="00C54D80" w:rsidRPr="00C54D80" w:rsidRDefault="00C54D80" w:rsidP="00D12EFD">
      <w:r w:rsidRPr="00C54D80">
        <w:t xml:space="preserve">Suppliers were also asked whether they intended to apply for any vaping device to be included on the ARTG as an approved medical device. Three of the nine manufacturers indicated their interest in registering device(s), but others felt the cost of registration is prohibitive and devices technology change so fast that registration would quickly become redundant. All but two manufacturers are looking at registering their products in next 2 years. Some respondents indicated that at present, vape sales via prescriptions account for </w:t>
      </w:r>
      <w:r w:rsidRPr="00C54D80">
        <w:rPr>
          <w:rFonts w:eastAsia="Arial" w:cs="Arial"/>
        </w:rPr>
        <w:t xml:space="preserve">an extremely small part of </w:t>
      </w:r>
      <w:r w:rsidRPr="00C54D80">
        <w:t xml:space="preserve">the market and that the market share will need to increase significantly to justify a case for full therapeutic goods registration. </w:t>
      </w:r>
    </w:p>
    <w:p w14:paraId="7B5BD252" w14:textId="77777777" w:rsidR="00C54D80" w:rsidRPr="00C54D80" w:rsidRDefault="00C54D80" w:rsidP="00D12EFD">
      <w:r w:rsidRPr="00C54D80">
        <w:t>There was mixed support across the stakeholder groups for applying devices requirements under TGO 110. Concerns were raised over the complexity of devices, and their safety with different settings and batteries. Other concerns were raised regarding the lack of information</w:t>
      </w:r>
      <w:r w:rsidRPr="00C54D80" w:rsidDel="00411413">
        <w:t xml:space="preserve"> </w:t>
      </w:r>
      <w:r w:rsidRPr="00C54D80">
        <w:t>available on the safety of vaping in terms of potentially toxic compounds migrating into the liquid from the device component or the packaging.</w:t>
      </w:r>
    </w:p>
    <w:p w14:paraId="0CA08443" w14:textId="77777777" w:rsidR="00C54D80" w:rsidRPr="00C54D80" w:rsidRDefault="00C54D80" w:rsidP="00D12EFD">
      <w:pPr>
        <w:pStyle w:val="Heading6"/>
        <w:rPr>
          <w:i w:val="0"/>
          <w:color w:val="001871"/>
        </w:rPr>
      </w:pPr>
      <w:r w:rsidRPr="00C54D80">
        <w:t>Regulation of combination device and medicine components</w:t>
      </w:r>
    </w:p>
    <w:p w14:paraId="04FEA42F" w14:textId="77777777" w:rsidR="00C54D80" w:rsidRPr="00C54D80" w:rsidRDefault="00C54D80" w:rsidP="00D12EFD">
      <w:r w:rsidRPr="00C54D80">
        <w:t>The proposed regulation of both vape and device components under the same part of the TG Act received mixed support amongst consumer</w:t>
      </w:r>
      <w:r w:rsidRPr="00C54D80" w:rsidDel="00E31B3E">
        <w:t xml:space="preserve"> </w:t>
      </w:r>
      <w:r w:rsidRPr="00C54D80">
        <w:t>groups and associations, with some arguing it would increase costs and cause a rise in the black market. In contrast, government agencies and health professional peak bodies were very supportive of device and medicine components being regulated together (100% and 80%</w:t>
      </w:r>
      <w:r w:rsidRPr="00C54D80" w:rsidDel="00E463C4">
        <w:t>,</w:t>
      </w:r>
      <w:r w:rsidRPr="00C54D80">
        <w:t xml:space="preserve"> respectively), arguing that stronger regulation will help enforcement, and support welfare agencies to deal with youth addiction. A concern regarding the ability to control an ever-changing device market was raised. It was also highlighted that pharmacies will need sufficient time for education and information to prepare for this change. </w:t>
      </w:r>
    </w:p>
    <w:p w14:paraId="37ED4823" w14:textId="77777777" w:rsidR="00C54D80" w:rsidRPr="00C54D80" w:rsidRDefault="00C54D80" w:rsidP="00D12EFD">
      <w:r w:rsidRPr="00C54D80">
        <w:t xml:space="preserve">Vape retailers and importers not part of the pharmacy supply chain strongly opposed the proposal (only 20% in favour). Vape manufacturers supplying to the pharmacy market gave strong support (80% in favour). Consumer groups were generally opposed to regulating the vape with the device as it would reduce personal choice, reduce accessibility, and only benefit pharmacies and tobacco companies. Manufacturers and consumers also urged Australia to follow a model similar to the UK and NZ. </w:t>
      </w:r>
    </w:p>
    <w:p w14:paraId="24F52EDF" w14:textId="77777777" w:rsidR="00C54D80" w:rsidRPr="00C54D80" w:rsidRDefault="00C54D80" w:rsidP="00D12EFD">
      <w:r w:rsidRPr="00C54D80">
        <w:t>Most stakeholders agreed that more than 12 months would be needed to adjust to the new regulation.</w:t>
      </w:r>
    </w:p>
    <w:p w14:paraId="6D13F7C7" w14:textId="77777777" w:rsidR="00C54D80" w:rsidRPr="00C54D80" w:rsidRDefault="00C54D80" w:rsidP="00D12EFD">
      <w:pPr>
        <w:pStyle w:val="Heading5"/>
      </w:pPr>
      <w:r w:rsidRPr="00C54D80">
        <w:t>Enhanced requirements for vapes</w:t>
      </w:r>
      <w:r w:rsidRPr="00C54D80">
        <w:rPr>
          <w:iCs/>
        </w:rPr>
        <w:t xml:space="preserve"> </w:t>
      </w:r>
    </w:p>
    <w:p w14:paraId="3215742C" w14:textId="77777777" w:rsidR="00C54D80" w:rsidRPr="00C54D80" w:rsidRDefault="00C54D80" w:rsidP="00D12EFD">
      <w:pPr>
        <w:pStyle w:val="Heading6"/>
        <w:rPr>
          <w:i w:val="0"/>
          <w:color w:val="001871"/>
        </w:rPr>
      </w:pPr>
      <w:r w:rsidRPr="00C54D80">
        <w:t>Flavours</w:t>
      </w:r>
    </w:p>
    <w:p w14:paraId="7C167E98" w14:textId="77777777" w:rsidR="00C54D80" w:rsidRPr="00C54D80" w:rsidRDefault="00C54D80" w:rsidP="00D12EFD">
      <w:r w:rsidRPr="00C54D80">
        <w:t xml:space="preserve">Overall, limiting flavours received strong support from government agencies, public health organisations, health professional </w:t>
      </w:r>
      <w:r w:rsidRPr="00C54D80">
        <w:rPr>
          <w:rFonts w:cs="Arial"/>
        </w:rPr>
        <w:t>peak bodies and schools related groups. These groups</w:t>
      </w:r>
      <w:r w:rsidRPr="00C54D80" w:rsidDel="006E208B">
        <w:rPr>
          <w:rFonts w:cs="Arial"/>
        </w:rPr>
        <w:t xml:space="preserve"> </w:t>
      </w:r>
      <w:r w:rsidRPr="00C54D80">
        <w:t>felt limited flavours would reduce some of the appeal of vapes to youth. University research groups were split, as some felt the definitions were not specific enough and would need to specify the chemicals that are to be permitted.</w:t>
      </w:r>
    </w:p>
    <w:p w14:paraId="0603796B" w14:textId="77777777" w:rsidR="00C54D80" w:rsidRPr="00C54D80" w:rsidRDefault="00C54D80" w:rsidP="00D12EFD">
      <w:r w:rsidRPr="00C54D80">
        <w:t>Support was low among consumer groups, ‘Others’ mostly consisting of consumers, and zero-nicotine vape manufacturers, vape retailers and manufacturers/retailers. C</w:t>
      </w:r>
      <w:r w:rsidRPr="00C54D80">
        <w:rPr>
          <w:rFonts w:cs="Arial"/>
        </w:rPr>
        <w:t xml:space="preserve">oncerns were raised across several stakeholder groups that the restriction of flavour choice for patients may turn them back to cigarettes, or to the black market to get their preferred flavour. Many users were opposed to tobacco flavour as this </w:t>
      </w:r>
      <w:r w:rsidRPr="00C54D80">
        <w:t xml:space="preserve">may </w:t>
      </w:r>
      <w:r w:rsidRPr="00C54D80">
        <w:rPr>
          <w:rFonts w:cs="Arial"/>
        </w:rPr>
        <w:t>invoke memories of cigarettes</w:t>
      </w:r>
      <w:r w:rsidRPr="00C54D80">
        <w:t xml:space="preserve"> and lead patients to relapse. </w:t>
      </w:r>
    </w:p>
    <w:p w14:paraId="4E55BC70" w14:textId="77777777" w:rsidR="00C54D80" w:rsidRPr="00C54D80" w:rsidRDefault="00C54D80" w:rsidP="00D12EFD">
      <w:r w:rsidRPr="00C54D80">
        <w:t xml:space="preserve">Some university research groups would prefer no flavours, arguing that this would be much less harmful. Vape retailers and manufacturers were concerned that limitation on permitted flavours </w:t>
      </w:r>
      <w:r w:rsidRPr="00C54D80">
        <w:rPr>
          <w:rFonts w:cs="Arial"/>
        </w:rPr>
        <w:t xml:space="preserve">would </w:t>
      </w:r>
      <w:r w:rsidRPr="00C54D80">
        <w:rPr>
          <w:rFonts w:cs="Arial"/>
        </w:rPr>
        <w:lastRenderedPageBreak/>
        <w:t>significantly impact their industry.</w:t>
      </w:r>
      <w:r w:rsidRPr="00C54D80" w:rsidDel="00370A28">
        <w:rPr>
          <w:rFonts w:cs="Arial"/>
        </w:rPr>
        <w:t xml:space="preserve"> </w:t>
      </w:r>
      <w:r w:rsidRPr="00C54D80">
        <w:rPr>
          <w:rFonts w:cs="Arial"/>
        </w:rPr>
        <w:t>Vape manufacturers said that tobacco and mint only form a very small part of the market and therefore do not represent</w:t>
      </w:r>
      <w:r w:rsidRPr="00C54D80" w:rsidDel="00370A28">
        <w:rPr>
          <w:rFonts w:cs="Arial"/>
        </w:rPr>
        <w:t xml:space="preserve"> </w:t>
      </w:r>
      <w:r w:rsidRPr="00C54D80">
        <w:rPr>
          <w:rFonts w:cs="Arial"/>
        </w:rPr>
        <w:t xml:space="preserve">consumers’ preferred </w:t>
      </w:r>
      <w:r w:rsidRPr="00C54D80">
        <w:t>choice. Vape manufacturers stated that significant re-formulation will be required, which means changing raw materials, stabilising the new formulations, and validating new processes. This significant investment may cost up to 2 million dollars and the industry would like to see how the market reacts and the black market controlled, before committing to such a financial investment.</w:t>
      </w:r>
    </w:p>
    <w:p w14:paraId="4A2AE1DD" w14:textId="77777777" w:rsidR="00C54D80" w:rsidRPr="00C54D80" w:rsidRDefault="00C54D80" w:rsidP="00D12EFD">
      <w:pPr>
        <w:pStyle w:val="Heading6"/>
        <w:rPr>
          <w:i w:val="0"/>
          <w:color w:val="001871"/>
        </w:rPr>
      </w:pPr>
      <w:r w:rsidRPr="00C54D80">
        <w:t>Limits on menthol</w:t>
      </w:r>
    </w:p>
    <w:p w14:paraId="6A27B892" w14:textId="28C78F97" w:rsidR="00C54D80" w:rsidRPr="00C54D80" w:rsidRDefault="00C54D80" w:rsidP="00D12EFD">
      <w:pPr>
        <w:rPr>
          <w:rFonts w:asciiTheme="minorHAnsi" w:hAnsiTheme="minorHAnsi"/>
        </w:rPr>
      </w:pPr>
      <w:r w:rsidRPr="00C54D80">
        <w:t xml:space="preserve">There was mixed support for the upper limit of menthol in vapes. Government agencies, public health organisations and health professional </w:t>
      </w:r>
      <w:r w:rsidRPr="00C54D80">
        <w:rPr>
          <w:rFonts w:cs="Arial"/>
        </w:rPr>
        <w:t>peak bodies</w:t>
      </w:r>
      <w:r w:rsidRPr="00C54D80">
        <w:t xml:space="preserve"> showed strong support (&gt;80%). School related groups and university researchers showed less support (50</w:t>
      </w:r>
      <w:r w:rsidR="00A81448">
        <w:rPr>
          <w:b/>
        </w:rPr>
        <w:t>–</w:t>
      </w:r>
      <w:r w:rsidRPr="00C54D80">
        <w:t>65%). Support among consumer groups, ‘Others’ mostly consisting of vape users, and vape retailers and manufacturers was even less (0</w:t>
      </w:r>
      <w:r w:rsidR="00A81448">
        <w:rPr>
          <w:b/>
        </w:rPr>
        <w:t>–</w:t>
      </w:r>
      <w:r w:rsidRPr="00C54D80">
        <w:t xml:space="preserve">30%). They argued the limit was too low and that it limited personal choice. Health care professionals and public health organisations highlighted that menthol, and some isomers of menthol, are known for their pharmacological action causing lung injury. This led </w:t>
      </w:r>
      <w:r w:rsidRPr="00C54D80">
        <w:rPr>
          <w:rFonts w:cs="Arial"/>
        </w:rPr>
        <w:t>some to suggest that menthol should not be allowed at all.</w:t>
      </w:r>
      <w:r w:rsidRPr="00C54D80">
        <w:t xml:space="preserve"> </w:t>
      </w:r>
    </w:p>
    <w:p w14:paraId="10E0985A" w14:textId="77777777" w:rsidR="00C54D80" w:rsidRPr="00C54D80" w:rsidRDefault="00C54D80" w:rsidP="00D12EFD">
      <w:pPr>
        <w:pStyle w:val="Heading6"/>
        <w:rPr>
          <w:i w:val="0"/>
          <w:color w:val="001871"/>
        </w:rPr>
      </w:pPr>
      <w:r w:rsidRPr="00C54D80">
        <w:t>Plain packaging requirements</w:t>
      </w:r>
    </w:p>
    <w:p w14:paraId="134169F9" w14:textId="0ADC545F" w:rsidR="00C54D80" w:rsidRPr="00C54D80" w:rsidRDefault="00C54D80" w:rsidP="00D12EFD">
      <w:r w:rsidRPr="00C54D80">
        <w:t>Plain packaging was strongly supported by schools and education groups (80%), government agencies, university researchers, public health organisations and health professional peak bodies (all 90</w:t>
      </w:r>
      <w:r w:rsidR="00A81448">
        <w:rPr>
          <w:b/>
        </w:rPr>
        <w:t>–</w:t>
      </w:r>
      <w:r w:rsidRPr="00C54D80">
        <w:t>100%), as it is seen as a step in reducing youth appeal. It was recommended by some that labels indicate whether the vape has been tested and/or evaluated by the TGA. Poison information centres would like more information on labels regarding nicotine salts and their equivalent concentration when responding to potential nicotine overdoses.</w:t>
      </w:r>
    </w:p>
    <w:p w14:paraId="4F8B2E8D" w14:textId="77777777" w:rsidR="00C54D80" w:rsidRPr="00C54D80" w:rsidRDefault="00C54D80" w:rsidP="00D12EFD">
      <w:r w:rsidRPr="00C54D80">
        <w:t xml:space="preserve">Consumer groups, ‘Others’ mostly consisting of vape users, and vape retailers and importers were less supportive (≤40%) of plain packaging as it was seen as unnecessary and not an effective way to reduce appeal. More vape manufacturers supported the plain packaging of vape products (60%). </w:t>
      </w:r>
    </w:p>
    <w:p w14:paraId="2985C0CC" w14:textId="77777777" w:rsidR="00C54D80" w:rsidRPr="00C54D80" w:rsidRDefault="00C54D80" w:rsidP="00D12EFD">
      <w:r w:rsidRPr="00C54D80">
        <w:t xml:space="preserve">Most vape retailers and manufacturers responded that it would take 3 to more than 12 months to comply with this requirement. </w:t>
      </w:r>
    </w:p>
    <w:p w14:paraId="0B422954" w14:textId="77777777" w:rsidR="00C54D80" w:rsidRPr="00C54D80" w:rsidRDefault="00C54D80" w:rsidP="00D12EFD">
      <w:pPr>
        <w:pStyle w:val="Heading6"/>
        <w:rPr>
          <w:i w:val="0"/>
          <w:color w:val="001871"/>
        </w:rPr>
      </w:pPr>
      <w:r w:rsidRPr="00C54D80">
        <w:t>Permitted ingredients</w:t>
      </w:r>
    </w:p>
    <w:p w14:paraId="04383F7B" w14:textId="52B94896" w:rsidR="00C54D80" w:rsidRPr="00C54D80" w:rsidRDefault="00C54D80" w:rsidP="00D12EFD">
      <w:r w:rsidRPr="00C54D80">
        <w:t>Apart from the ‘Others’ mostly consisting of vape users, vape retailers, importers and manufacturers (20</w:t>
      </w:r>
      <w:r w:rsidR="00A81448">
        <w:rPr>
          <w:b/>
        </w:rPr>
        <w:t>–</w:t>
      </w:r>
      <w:r w:rsidRPr="00C54D80">
        <w:t>45% support), there was strong support for a permitted ingredient list across the other stakeholder groups (70</w:t>
      </w:r>
      <w:r w:rsidR="00A81448">
        <w:rPr>
          <w:b/>
        </w:rPr>
        <w:t>–</w:t>
      </w:r>
      <w:r w:rsidRPr="00C54D80">
        <w:t xml:space="preserve">100%). </w:t>
      </w:r>
    </w:p>
    <w:p w14:paraId="7CE7FB7D" w14:textId="77777777" w:rsidR="00C54D80" w:rsidRPr="00C54D80" w:rsidRDefault="00C54D80" w:rsidP="00D12EFD">
      <w:pPr>
        <w:pStyle w:val="Heading6"/>
        <w:rPr>
          <w:i w:val="0"/>
          <w:color w:val="001871"/>
        </w:rPr>
      </w:pPr>
      <w:r w:rsidRPr="00C54D80">
        <w:t>Regulation of zero-nicotine vapes</w:t>
      </w:r>
    </w:p>
    <w:p w14:paraId="6AA7F83F" w14:textId="29228B8B" w:rsidR="00C54D80" w:rsidRPr="00C54D80" w:rsidRDefault="00C54D80" w:rsidP="00D12EFD">
      <w:r w:rsidRPr="00C54D80">
        <w:t xml:space="preserve">Government agencies, public health organisations, university research groups, health professional peak </w:t>
      </w:r>
      <w:r w:rsidRPr="00C54D80">
        <w:rPr>
          <w:rFonts w:cs="Arial"/>
        </w:rPr>
        <w:t>bodies</w:t>
      </w:r>
      <w:r w:rsidRPr="00C54D80">
        <w:t xml:space="preserve"> and vape manufacturers provided strong support (80</w:t>
      </w:r>
      <w:r w:rsidR="00872127">
        <w:rPr>
          <w:b/>
        </w:rPr>
        <w:t>–</w:t>
      </w:r>
      <w:r w:rsidRPr="00C54D80">
        <w:t xml:space="preserve">100%) for the same regulatory controls for zero-nicotine therapeutic vapes, as for nicotine therapeutic vapes. They argued it will make enforcement easier by eliminating the need to prove nicotine presence before compliance action can be taken. It was also noted that ingredients in zero-nicotine vapes may be harmful so should be regulated. </w:t>
      </w:r>
    </w:p>
    <w:p w14:paraId="48EB833F" w14:textId="2D50204D" w:rsidR="00C54D80" w:rsidRPr="00C54D80" w:rsidRDefault="00C54D80" w:rsidP="00D12EFD">
      <w:r w:rsidRPr="00C54D80">
        <w:t>There was limited support amongst vape retailers and importers, consumer groups and ’Others’</w:t>
      </w:r>
      <w:r w:rsidRPr="00C54D80" w:rsidDel="00DA4360">
        <w:t xml:space="preserve"> </w:t>
      </w:r>
      <w:r w:rsidRPr="00C54D80">
        <w:t>mostly consisting of vape users (10</w:t>
      </w:r>
      <w:r w:rsidR="00872127">
        <w:rPr>
          <w:b/>
        </w:rPr>
        <w:t>–</w:t>
      </w:r>
      <w:r w:rsidRPr="00C54D80">
        <w:t xml:space="preserve">36% support). </w:t>
      </w:r>
    </w:p>
    <w:p w14:paraId="0E16D31E" w14:textId="77777777" w:rsidR="00C54D80" w:rsidRPr="00C54D80" w:rsidRDefault="00C54D80" w:rsidP="00D12EFD">
      <w:r w:rsidRPr="00C54D80">
        <w:t>The business impact and the fact that overseas manufacturers will avoid Australia, further limiting product availability, were raised as arguments against this proposal.</w:t>
      </w:r>
    </w:p>
    <w:p w14:paraId="1CADE777" w14:textId="75F3E46A" w:rsidR="00C54D80" w:rsidRPr="00C54D80" w:rsidRDefault="00C54D80" w:rsidP="00D12EFD">
      <w:pPr>
        <w:pStyle w:val="Heading4"/>
        <w:rPr>
          <w:b w:val="0"/>
        </w:rPr>
      </w:pPr>
      <w:bookmarkStart w:id="235" w:name="_Toc147478084"/>
      <w:bookmarkStart w:id="236" w:name="_Toc151040386"/>
      <w:r w:rsidRPr="00C54D80">
        <w:lastRenderedPageBreak/>
        <w:t xml:space="preserve">Proposal 4 </w:t>
      </w:r>
      <w:r w:rsidR="00836C6D" w:rsidRPr="00746795">
        <w:t>–</w:t>
      </w:r>
      <w:r w:rsidRPr="00C54D80">
        <w:t xml:space="preserve"> Strengthening domestic compliance and enforcement mechanisms.</w:t>
      </w:r>
      <w:bookmarkEnd w:id="235"/>
      <w:bookmarkEnd w:id="236"/>
    </w:p>
    <w:p w14:paraId="5695713C" w14:textId="77777777" w:rsidR="00C54D80" w:rsidRPr="00C54D80" w:rsidRDefault="00C54D80" w:rsidP="00D12EFD">
      <w:r w:rsidRPr="00C54D80">
        <w:t>The paper proposed strengthening the domestic compliance and enforcement mechanisms under the TG Act to support the broader policy intent of the vaping reforms, particularly those measures included in Proposal 1. Feedback was sought to determine the effect of the proposed reforms on particular</w:t>
      </w:r>
      <w:r w:rsidRPr="00C54D80" w:rsidDel="00FD79B2">
        <w:t xml:space="preserve"> </w:t>
      </w:r>
      <w:r w:rsidRPr="00C54D80">
        <w:t xml:space="preserve">stakeholders. Stakeholders were also given an opportunity to provide any other comments in relation to the proposed reforms. </w:t>
      </w:r>
    </w:p>
    <w:p w14:paraId="3E25DCB2" w14:textId="77777777" w:rsidR="00C54D80" w:rsidRPr="00C54D80" w:rsidRDefault="00C54D80" w:rsidP="00D12EFD">
      <w:r w:rsidRPr="00C54D80">
        <w:t xml:space="preserve">Government agencies welcomed tougher regulation with powers delegated to state and territory authorities. Government agencies, health professional peak bodies, public health organisations and university researchers were supportive of uniform application of regulations across states and territories and delegation of powers to state and territory authorities to help in enforcement. Tougher regulations with penalty measures were also supported as a deterrent. </w:t>
      </w:r>
    </w:p>
    <w:p w14:paraId="4D906098" w14:textId="77777777" w:rsidR="00C54D80" w:rsidRPr="00C54D80" w:rsidRDefault="00C54D80" w:rsidP="00D12EFD">
      <w:r w:rsidRPr="00C54D80">
        <w:t>While concerns were raised that the black market will continue to exist, the view was also put that the use of the legal pathway should increase with the proposed reforms. There were concerns that unapproved product pathways can be misused if not accompanied by monitoring, and this would heavily disincentivise the ARTG registration pathway.</w:t>
      </w:r>
    </w:p>
    <w:p w14:paraId="36D68F72" w14:textId="77777777" w:rsidR="00C54D80" w:rsidRPr="00C54D80" w:rsidRDefault="00C54D80" w:rsidP="00D12EFD">
      <w:r w:rsidRPr="00C54D80">
        <w:t>It was further recommended that targeted educational and awareness programs will be required to stop demand as well as to support the young users who are already addicted to vapes.</w:t>
      </w:r>
    </w:p>
    <w:p w14:paraId="0B885FA9" w14:textId="77777777" w:rsidR="00C54D80" w:rsidRPr="00C54D80" w:rsidRDefault="00C54D80" w:rsidP="00D12EFD">
      <w:pPr>
        <w:pStyle w:val="Heading4"/>
        <w:rPr>
          <w:rFonts w:eastAsia="Arial"/>
        </w:rPr>
      </w:pPr>
      <w:bookmarkStart w:id="237" w:name="_Toc151040387"/>
      <w:r w:rsidRPr="00C54D80">
        <w:t>General questions</w:t>
      </w:r>
      <w:bookmarkEnd w:id="237"/>
    </w:p>
    <w:p w14:paraId="09CA9FD4" w14:textId="77777777" w:rsidR="00C54D80" w:rsidRPr="00C54D80" w:rsidRDefault="00C54D80" w:rsidP="00D12EFD">
      <w:r w:rsidRPr="00C54D80">
        <w:t xml:space="preserve">Suppliers were asked to confirm if they intend to continue to supply therapeutic vapes under the proposed reforms and, if so, to provide an outline of their product range and the length of time it would take to meet the new requirements. Suppliers were also asked whether they intended to register therapeutic vapes in the next two years, as well as the nature of guidance and assistance required from the TGA. </w:t>
      </w:r>
    </w:p>
    <w:p w14:paraId="3D623BCB" w14:textId="7135E2C1" w:rsidR="00C54D80" w:rsidRPr="00C54D80" w:rsidRDefault="00C54D80" w:rsidP="00D12EFD">
      <w:r w:rsidRPr="00C54D80">
        <w:t xml:space="preserve">There were mixed responses from suppliers as far as their ability to maintain supply under the proposed reforms, but a few indicated that their products already conform with TGO 110 or international guidance and/or standards and are manufactured in facilities that hold ISO and/or GMP certification. Some companies supplied commercial-in-confidence information regarding their current range of products and their standards. This information cannot be disclosed as part of this Impact Analysis but has been considered as part of the TGA’s development of these reforms. </w:t>
      </w:r>
    </w:p>
    <w:p w14:paraId="7C9CA1ED" w14:textId="77777777" w:rsidR="00C54D80" w:rsidRPr="00C54D80" w:rsidRDefault="00C54D80" w:rsidP="00D12EFD">
      <w:r w:rsidRPr="00C54D80">
        <w:t>One stakeholder estimated that vape sales via prescription presently account for an extremely small part of the market for therapeutic goods to assist in the cessation of smoking. Suppliers indicated that market share would need to increase significantly to justify a case for registration on the ARTG.  Vape manufacturers expressed concerns with the time and money required for GMP certification, compliance with standards for devices, the development of new flavours, and conducting safety studies.</w:t>
      </w:r>
    </w:p>
    <w:p w14:paraId="1FFCF05E" w14:textId="77777777" w:rsidR="00C54D80" w:rsidRPr="00C54D80" w:rsidRDefault="00C54D80" w:rsidP="00D12EFD">
      <w:pPr>
        <w:pStyle w:val="Heading4"/>
        <w:rPr>
          <w:b w:val="0"/>
        </w:rPr>
      </w:pPr>
      <w:bookmarkStart w:id="238" w:name="_Toc151040388"/>
      <w:bookmarkStart w:id="239" w:name="_Toc147478085"/>
      <w:r w:rsidRPr="00C54D80">
        <w:t>How this feedback informed policy development</w:t>
      </w:r>
      <w:bookmarkEnd w:id="238"/>
    </w:p>
    <w:p w14:paraId="459E15F2" w14:textId="77777777" w:rsidR="00C54D80" w:rsidRPr="00C54D80" w:rsidRDefault="00C54D80" w:rsidP="00D12EFD">
      <w:r w:rsidRPr="00C54D80">
        <w:t xml:space="preserve">The process of policy development has involved extensive consultation with the sector, both directly and through two rounds of formal consultation. </w:t>
      </w:r>
    </w:p>
    <w:p w14:paraId="5CBCCFE9" w14:textId="77777777" w:rsidR="00C54D80" w:rsidRPr="00C54D80" w:rsidRDefault="00C54D80" w:rsidP="00D12EFD">
      <w:r w:rsidRPr="00C54D80">
        <w:t>The initial scope of these reforms followed emerging evidence that the intended objectives of the 2021 reforms were not being met.</w:t>
      </w:r>
    </w:p>
    <w:p w14:paraId="5281062B" w14:textId="77777777" w:rsidR="00C54D80" w:rsidRPr="00C54D80" w:rsidRDefault="00C54D80" w:rsidP="00D12EFD">
      <w:r w:rsidRPr="00C54D80">
        <w:t xml:space="preserve">In both consultations the feedback was generally split between the consumers calling for limited regulation, and most other stakeholder groups calling for urgent intervention by Government. Both significantly informed the options considered as part of the policy development process and assessment of the regulatory impact on the sector. </w:t>
      </w:r>
    </w:p>
    <w:p w14:paraId="3AD6885F" w14:textId="77777777" w:rsidR="00C54D80" w:rsidRPr="00C54D80" w:rsidRDefault="00C54D80" w:rsidP="00D12EFD">
      <w:r w:rsidRPr="00C54D80">
        <w:lastRenderedPageBreak/>
        <w:t xml:space="preserve">This 2022 Consultation feedback was carefully analysed in early 2023 and used to advise the Commonwealth Minister for Health and Aged Care on the policy options available. It was also discussed with state and territory officials in assessing the various policy options. It informed the preliminary announcement made by the Minister for Health and Aged Care on 2 May 2023 that, subject to further consultation, the Australian Government intended to take stronger action in relation to the regulation of all vapes. </w:t>
      </w:r>
    </w:p>
    <w:p w14:paraId="533A7BCD" w14:textId="77777777" w:rsidR="00C54D80" w:rsidRPr="00C54D80" w:rsidRDefault="00C54D80" w:rsidP="00D12EFD">
      <w:r w:rsidRPr="00C54D80">
        <w:t>It was also used to revise the policy options being considered to address the vaping problem, identify the impacts of different options on different stakeholder groups, assess the viability of options, and identify issues that required further consideration in the policy development process. For example, the 2022 Consultation feedback resulted in:</w:t>
      </w:r>
    </w:p>
    <w:p w14:paraId="05AC58C5" w14:textId="1B03AC3D" w:rsidR="00C54D80" w:rsidRPr="00C54D80" w:rsidRDefault="00C54D80" w:rsidP="00467EDD">
      <w:pPr>
        <w:pStyle w:val="Bullet1"/>
        <w:numPr>
          <w:ilvl w:val="0"/>
          <w:numId w:val="67"/>
        </w:numPr>
      </w:pPr>
      <w:r w:rsidRPr="00C54D80">
        <w:t>a reconsideration of the scope of the vaping problem and consideration of whether regulation should cover all vapes, not just nicotine vapes</w:t>
      </w:r>
      <w:r w:rsidR="00BC37C4">
        <w:t>.</w:t>
      </w:r>
    </w:p>
    <w:p w14:paraId="3FD62341" w14:textId="0FF177EA" w:rsidR="00C54D80" w:rsidRPr="00C54D80" w:rsidRDefault="00C54D80" w:rsidP="00467EDD">
      <w:pPr>
        <w:pStyle w:val="Bullet1"/>
        <w:numPr>
          <w:ilvl w:val="0"/>
          <w:numId w:val="67"/>
        </w:numPr>
      </w:pPr>
      <w:r w:rsidRPr="00C54D80">
        <w:t>the revision of the proposal for TGA pre-market controls. While the initial proposal was for TGA to assess compliance of products with TGO 110 prior to market entry, this was revised to a proposal to notify compliant products following opposition to the proposal from public health stakeholders</w:t>
      </w:r>
      <w:r w:rsidR="00BC37C4">
        <w:t>.</w:t>
      </w:r>
    </w:p>
    <w:p w14:paraId="15135C78" w14:textId="516CB5A2" w:rsidR="00C54D80" w:rsidRPr="00C54D80" w:rsidRDefault="00BC37C4" w:rsidP="00467EDD">
      <w:pPr>
        <w:pStyle w:val="Bullet1"/>
        <w:numPr>
          <w:ilvl w:val="0"/>
          <w:numId w:val="67"/>
        </w:numPr>
      </w:pPr>
      <w:r w:rsidRPr="00C54D80">
        <w:t>R</w:t>
      </w:r>
      <w:r w:rsidR="00C54D80" w:rsidRPr="00C54D80">
        <w:t>e-examination of the options for regulating of vapes as consumer goods (which was outside the scope of the 2022 Consultation)</w:t>
      </w:r>
      <w:r>
        <w:t>.</w:t>
      </w:r>
      <w:r w:rsidR="00C54D80" w:rsidRPr="00C54D80">
        <w:t xml:space="preserve"> </w:t>
      </w:r>
    </w:p>
    <w:p w14:paraId="22CF11A1" w14:textId="6E5EB114" w:rsidR="00C54D80" w:rsidRPr="00C54D80" w:rsidRDefault="00C54D80" w:rsidP="00467EDD">
      <w:pPr>
        <w:pStyle w:val="Bullet1"/>
        <w:numPr>
          <w:ilvl w:val="0"/>
          <w:numId w:val="67"/>
        </w:numPr>
      </w:pPr>
      <w:r w:rsidRPr="00C54D80">
        <w:t>re-examination of the option of permitting only ARTG registered vapes, which received strong support from public health stakeholders in the 2022 Consultation</w:t>
      </w:r>
      <w:r w:rsidR="00B25E05">
        <w:t>.</w:t>
      </w:r>
    </w:p>
    <w:p w14:paraId="7CE42381" w14:textId="77777777" w:rsidR="00C54D80" w:rsidRPr="00C54D80" w:rsidRDefault="00C54D80" w:rsidP="00467EDD">
      <w:pPr>
        <w:pStyle w:val="Bullet1"/>
        <w:numPr>
          <w:ilvl w:val="0"/>
          <w:numId w:val="67"/>
        </w:numPr>
      </w:pPr>
      <w:r w:rsidRPr="00C54D80">
        <w:t>further consideration of the risks of the device components of vapes, the impact of the prescription model on doctors, management of the waste associated with vapes, necessary transition times for specific measures, and the regulatory parameters necessary to maintain a viable supply of products for smoking cessation.</w:t>
      </w:r>
    </w:p>
    <w:p w14:paraId="5732F9C8" w14:textId="77777777" w:rsidR="00C54D80" w:rsidRPr="00C54D80" w:rsidRDefault="00C54D80" w:rsidP="00D12EFD">
      <w:r w:rsidRPr="00C54D80">
        <w:t xml:space="preserve">The outcomes of the 2022 Consultation informed the design of the options outlined in the consultation published in September 2023. This consultation also provided an opportunity to for stakeholders to provide more specific industry input relating to the impacts on them. </w:t>
      </w:r>
    </w:p>
    <w:p w14:paraId="59A5597A" w14:textId="77777777" w:rsidR="00C54D80" w:rsidRPr="00C54D80" w:rsidRDefault="00C54D80" w:rsidP="00D12EFD">
      <w:r w:rsidRPr="00C54D80">
        <w:t>Stakeholder feedback from the targeted consultation in September</w:t>
      </w:r>
      <w:r w:rsidRPr="00C54D80">
        <w:rPr>
          <w:rFonts w:eastAsia="Times New Roman"/>
        </w:rPr>
        <w:t xml:space="preserve"> of </w:t>
      </w:r>
      <w:r w:rsidRPr="00C54D80">
        <w:t xml:space="preserve">2023: </w:t>
      </w:r>
    </w:p>
    <w:p w14:paraId="376685C5" w14:textId="288EAA6C" w:rsidR="00C54D80" w:rsidRPr="00C54D80" w:rsidRDefault="00C54D80" w:rsidP="00467EDD">
      <w:pPr>
        <w:pStyle w:val="Bullet1"/>
        <w:numPr>
          <w:ilvl w:val="0"/>
          <w:numId w:val="68"/>
        </w:numPr>
        <w:rPr>
          <w:rFonts w:ascii="Calibri" w:hAnsi="Calibri"/>
        </w:rPr>
      </w:pPr>
      <w:r w:rsidRPr="00C54D80">
        <w:t>has directly informed the implementation plan in this Impact Analysis and the transition periods necessary to mitigate costs to industry and ensure adequate supply of therapeutic vapes through pharmacies</w:t>
      </w:r>
    </w:p>
    <w:p w14:paraId="2F7B09BF" w14:textId="3BF5EE6B" w:rsidR="00C54D80" w:rsidRPr="008B44C4" w:rsidRDefault="00C54D80" w:rsidP="00467EDD">
      <w:pPr>
        <w:pStyle w:val="Bullet1"/>
        <w:numPr>
          <w:ilvl w:val="0"/>
          <w:numId w:val="68"/>
        </w:numPr>
        <w:rPr>
          <w:rFonts w:ascii="Calibri" w:hAnsi="Calibri"/>
        </w:rPr>
      </w:pPr>
      <w:r w:rsidRPr="00C54D80">
        <w:t>assisted with identifying the benefits and costs on key stakeholders to inform this Impact Analysis and compare the policy options.</w:t>
      </w:r>
    </w:p>
    <w:p w14:paraId="1E31AEF1" w14:textId="3C79C199" w:rsidR="00C54D80" w:rsidRPr="00C54D80" w:rsidRDefault="00C54D80" w:rsidP="00D12EFD">
      <w:r w:rsidRPr="00C54D80">
        <w:t>The feedback has also signalled a need to carefully consider the precise terms of technical regulations that will be decided as part of the legislative development process, including:</w:t>
      </w:r>
    </w:p>
    <w:p w14:paraId="7311231F" w14:textId="042CCB14" w:rsidR="00C54D80" w:rsidRPr="00C54D80" w:rsidRDefault="00C54D80" w:rsidP="00467EDD">
      <w:pPr>
        <w:pStyle w:val="Bullet1"/>
        <w:numPr>
          <w:ilvl w:val="0"/>
          <w:numId w:val="69"/>
        </w:numPr>
      </w:pPr>
      <w:r w:rsidRPr="00C54D80">
        <w:t>the need to carefully consider the final position on allowed flavours and nicotine concentration and volumes (noting there were contested health expert views on these points)</w:t>
      </w:r>
    </w:p>
    <w:p w14:paraId="1160A569" w14:textId="357FAA7E" w:rsidR="00C54D80" w:rsidRPr="00C54D80" w:rsidRDefault="00C54D80" w:rsidP="00467EDD">
      <w:pPr>
        <w:pStyle w:val="Bullet1"/>
        <w:numPr>
          <w:ilvl w:val="0"/>
          <w:numId w:val="69"/>
        </w:numPr>
      </w:pPr>
      <w:r w:rsidRPr="00C54D80">
        <w:t xml:space="preserve">the risks of allowing ‘open system’ devices and how to mitigate those risks. </w:t>
      </w:r>
      <w:bookmarkStart w:id="240" w:name="_Public_consultations"/>
      <w:bookmarkStart w:id="241" w:name="_Toc146634923"/>
      <w:bookmarkEnd w:id="239"/>
      <w:bookmarkEnd w:id="240"/>
    </w:p>
    <w:p w14:paraId="20C179BE" w14:textId="77777777" w:rsidR="005574EE" w:rsidRDefault="005574EE">
      <w:pPr>
        <w:rPr>
          <w:rFonts w:eastAsia="Times New Roman" w:cs="Times New Roman"/>
          <w:b/>
          <w:bCs/>
          <w:color w:val="001871"/>
          <w:sz w:val="38"/>
          <w:szCs w:val="38"/>
        </w:rPr>
      </w:pPr>
      <w:bookmarkStart w:id="242" w:name="_Toc147384301"/>
      <w:bookmarkEnd w:id="241"/>
      <w:r>
        <w:br w:type="page"/>
      </w:r>
    </w:p>
    <w:p w14:paraId="4BA1FE6C" w14:textId="5CE03797" w:rsidR="003B0B55" w:rsidRPr="003B0B55" w:rsidRDefault="003B0B55" w:rsidP="00D12EFD">
      <w:pPr>
        <w:pStyle w:val="Heading2"/>
        <w:rPr>
          <w:b w:val="0"/>
        </w:rPr>
      </w:pPr>
      <w:bookmarkStart w:id="243" w:name="_Toc151040389"/>
      <w:r w:rsidRPr="003B0B55">
        <w:lastRenderedPageBreak/>
        <w:t>Question Six: What is the best option from those you have considered and how will it be implemented?</w:t>
      </w:r>
      <w:bookmarkEnd w:id="242"/>
      <w:bookmarkEnd w:id="243"/>
    </w:p>
    <w:p w14:paraId="20AA5C90" w14:textId="77777777" w:rsidR="003B0B55" w:rsidRPr="003B0B55" w:rsidRDefault="003B0B55" w:rsidP="00D12EFD">
      <w:pPr>
        <w:pStyle w:val="Heading3"/>
        <w:rPr>
          <w:b w:val="0"/>
        </w:rPr>
      </w:pPr>
      <w:bookmarkStart w:id="244" w:name="_Toc147384302"/>
      <w:bookmarkStart w:id="245" w:name="_Toc151040390"/>
      <w:r w:rsidRPr="003B0B55">
        <w:t>What is the best option?</w:t>
      </w:r>
      <w:bookmarkEnd w:id="244"/>
      <w:bookmarkEnd w:id="245"/>
    </w:p>
    <w:p w14:paraId="42ADC64C" w14:textId="77777777" w:rsidR="003B0B55" w:rsidRPr="003B0B55" w:rsidRDefault="003B0B55" w:rsidP="00D12EFD">
      <w:r w:rsidRPr="003B0B55">
        <w:t>Of the four presented options, Option 3 most effectively delivers on the regulatory objectives concerning vapes. It</w:t>
      </w:r>
      <w:r w:rsidRPr="003B0B55" w:rsidDel="00CA6D83">
        <w:t xml:space="preserve"> is the option that best </w:t>
      </w:r>
      <w:r w:rsidRPr="003B0B55">
        <w:t xml:space="preserve">balances mitigating the health risks associated with vaping with maintaining access to vapes for smoking cessation and other genuine therapeutic purposes. </w:t>
      </w:r>
    </w:p>
    <w:p w14:paraId="1F9D1E1D" w14:textId="68D8EF4A" w:rsidR="003B0B55" w:rsidRPr="003B0B55" w:rsidRDefault="003B0B55" w:rsidP="00D12EFD">
      <w:pPr>
        <w:pStyle w:val="Heading4"/>
        <w:rPr>
          <w:rFonts w:eastAsia="Times New Roman" w:cs="Times New Roman"/>
          <w:b w:val="0"/>
          <w:i/>
          <w:sz w:val="26"/>
        </w:rPr>
      </w:pPr>
      <w:bookmarkStart w:id="246" w:name="_Toc151040391"/>
      <w:r w:rsidRPr="003B0B55">
        <w:t xml:space="preserve">Option 1 – </w:t>
      </w:r>
      <w:r w:rsidR="004175CD">
        <w:t>M</w:t>
      </w:r>
      <w:r w:rsidRPr="003B0B55">
        <w:t>aintain the status quo (no change)</w:t>
      </w:r>
      <w:bookmarkEnd w:id="246"/>
    </w:p>
    <w:p w14:paraId="69990378" w14:textId="77777777" w:rsidR="003B0B55" w:rsidRPr="003B0B55" w:rsidRDefault="003B0B55" w:rsidP="00D12EFD">
      <w:r w:rsidRPr="003B0B55">
        <w:t xml:space="preserve">Option 1, the status quo, fails to address the present problem concerning vapes and to deliver on the policy objectives of the regulation. </w:t>
      </w:r>
    </w:p>
    <w:p w14:paraId="2E26F0A1" w14:textId="73567BED" w:rsidR="003B0B55" w:rsidRPr="003B0B55" w:rsidRDefault="003B0B55" w:rsidP="00D12EFD">
      <w:r w:rsidRPr="003B0B55">
        <w:t xml:space="preserve">The widespread lawful availability of zero-nicotine vapes normalises vaping as a </w:t>
      </w:r>
      <w:r w:rsidR="003A4FA8">
        <w:rPr>
          <w:rFonts w:eastAsiaTheme="minorEastAsia"/>
        </w:rPr>
        <w:t>non-therapeutic</w:t>
      </w:r>
      <w:r w:rsidRPr="003B0B55">
        <w:t xml:space="preserve"> activity</w:t>
      </w:r>
      <w:r>
        <w:t xml:space="preserve"> </w:t>
      </w:r>
      <w:r w:rsidRPr="003B0B55">
        <w:t xml:space="preserve">and contradicts messaging about the harms of vaping. Safety standards do not apply to zero-nicotine vapes or most vaping devices, The quality and safety standards that apply to nicotine vapes are limited. The current regulatory distinction between nicotine and zero-nicotine vapes frustrates effective regulation of these products and enables businesses to easily evade the regulatory requirements for nicotine vapes through concealment actions. The ease of this evasion has encouraged businesses to risk unlawful sales of nicotine and vapes containing nicotine. Due to the impact of unlawful trading, the viability of the lawful vaping industry is compromised. Maintaining the status quo does not address these problems. </w:t>
      </w:r>
    </w:p>
    <w:p w14:paraId="26EA28C1" w14:textId="24B0FCDE" w:rsidR="003B0B55" w:rsidRPr="003B0B55" w:rsidRDefault="003B0B55" w:rsidP="00D12EFD">
      <w:r w:rsidRPr="003B0B55">
        <w:t>Option </w:t>
      </w:r>
      <w:r w:rsidR="00C17C10">
        <w:t>1</w:t>
      </w:r>
      <w:r w:rsidRPr="003B0B55">
        <w:t xml:space="preserve"> will not directly address the uptake of vapes, nor counteract the marketing of vapes to </w:t>
      </w:r>
      <w:r w:rsidR="00AF7775">
        <w:t xml:space="preserve">youth and young adults </w:t>
      </w:r>
      <w:r w:rsidRPr="003B0B55">
        <w:t xml:space="preserve">through appealing packaging and flavours. Although it includes measures to safeguard consumer health through the existing TGO 110, these quality and safety standards are not sufficient to address the known and unknown harms from vaping and are difficult to police for personally imported goods. Due to the growth in vaping, particularly among </w:t>
      </w:r>
      <w:r w:rsidR="001364F8">
        <w:t>youth an</w:t>
      </w:r>
      <w:r w:rsidR="00E34C56">
        <w:t>d</w:t>
      </w:r>
      <w:r w:rsidR="001364F8">
        <w:t xml:space="preserve"> young </w:t>
      </w:r>
      <w:r w:rsidR="00870912">
        <w:t>adults</w:t>
      </w:r>
      <w:r w:rsidRPr="003B0B55">
        <w:t xml:space="preserve">, Option 1 would not succeed in preventing nicotine addiction, nor reduce the risk of future tobacco use. </w:t>
      </w:r>
      <w:r w:rsidR="00C17C10" w:rsidRPr="003B0B55">
        <w:t>Consequently</w:t>
      </w:r>
      <w:r w:rsidRPr="003B0B55">
        <w:t xml:space="preserve">, Option 1 does not fully address the Objectives of Government Action (see Question 2 above). </w:t>
      </w:r>
    </w:p>
    <w:p w14:paraId="002A4CE8" w14:textId="77777777" w:rsidR="003B0B55" w:rsidRPr="003B0B55" w:rsidRDefault="003B0B55" w:rsidP="00D12EFD">
      <w:r w:rsidRPr="003B0B55">
        <w:t xml:space="preserve">Further, although the 2021 reforms sought to find a balance between allowing access to vapes for legitimate therapeutic purposes and protecting the community from the potential harms of vaping, maintaining the status quo will not address the problems that have been identified with the current approach. As noted above, these include difficulties with enforcement due to the lawful sale of zero-nicotine vapes. </w:t>
      </w:r>
    </w:p>
    <w:p w14:paraId="71D51D1F" w14:textId="77777777" w:rsidR="003B0B55" w:rsidRPr="003B0B55" w:rsidRDefault="003B0B55" w:rsidP="00D12EFD">
      <w:r w:rsidRPr="003B0B55">
        <w:t>The</w:t>
      </w:r>
      <w:r w:rsidRPr="003B0B55" w:rsidDel="00242D5F">
        <w:t xml:space="preserve"> </w:t>
      </w:r>
      <w:r w:rsidRPr="003B0B55">
        <w:t>avoidance</w:t>
      </w:r>
      <w:r w:rsidRPr="003B0B55" w:rsidDel="00242D5F">
        <w:t xml:space="preserve"> of an additional regulatory burden is not a reasonable basis for supporting the status quo</w:t>
      </w:r>
      <w:r w:rsidRPr="003B0B55">
        <w:t xml:space="preserve"> where it is failing to address the objectives of government action and failing to protect public health.</w:t>
      </w:r>
    </w:p>
    <w:p w14:paraId="17CB1AFD" w14:textId="4CD92CAD" w:rsidR="003B0B55" w:rsidRPr="003B0B55" w:rsidRDefault="003B0B55" w:rsidP="00D12EFD">
      <w:pPr>
        <w:pStyle w:val="Heading4"/>
        <w:rPr>
          <w:rFonts w:eastAsia="Times New Roman" w:cs="Times New Roman"/>
          <w:b w:val="0"/>
          <w:i/>
          <w:sz w:val="26"/>
        </w:rPr>
      </w:pPr>
      <w:bookmarkStart w:id="247" w:name="_Toc151040392"/>
      <w:r w:rsidRPr="003B0B55">
        <w:t xml:space="preserve">Option 2 – </w:t>
      </w:r>
      <w:r w:rsidR="004175CD">
        <w:t>R</w:t>
      </w:r>
      <w:r w:rsidRPr="003B0B55">
        <w:t>egulating vapes under a consumer model</w:t>
      </w:r>
      <w:bookmarkEnd w:id="247"/>
    </w:p>
    <w:p w14:paraId="65D70CFC" w14:textId="77777777" w:rsidR="003B0B55" w:rsidRPr="003B0B55" w:rsidRDefault="003B0B55" w:rsidP="003B0B55">
      <w:pPr>
        <w:spacing w:before="120" w:after="180" w:line="240" w:lineRule="atLeast"/>
        <w:rPr>
          <w:rFonts w:eastAsia="Cambria" w:cs="Times New Roman"/>
        </w:rPr>
      </w:pPr>
      <w:r w:rsidRPr="003B0B55">
        <w:rPr>
          <w:rFonts w:eastAsia="Cambria" w:cs="Times New Roman"/>
        </w:rPr>
        <w:t xml:space="preserve">Consultation with consumers in December 2022 strongly supported a significant reduction in regulation, citing the need for personal choice and for allowing a range of options in deciding how they should quit smoking. </w:t>
      </w:r>
    </w:p>
    <w:p w14:paraId="061A1EC7" w14:textId="17BEC1DB" w:rsidR="003B0B55" w:rsidRPr="003B0B55" w:rsidRDefault="003B0B55" w:rsidP="003B0B55">
      <w:pPr>
        <w:spacing w:before="120"/>
        <w:rPr>
          <w:rFonts w:eastAsia="Calibri" w:cs="Times New Roman"/>
        </w:rPr>
      </w:pPr>
      <w:r w:rsidRPr="003B0B55">
        <w:rPr>
          <w:rFonts w:eastAsia="Calibri" w:cs="Times New Roman"/>
        </w:rPr>
        <w:t xml:space="preserve">This option could meet the Objectives of Government Action to a limited extent. The uptake of vapes by </w:t>
      </w:r>
      <w:r w:rsidR="00A5242E">
        <w:rPr>
          <w:rFonts w:eastAsia="Calibri" w:cs="Times New Roman"/>
        </w:rPr>
        <w:t>youth</w:t>
      </w:r>
      <w:r w:rsidR="00A5242E" w:rsidRPr="003B0B55">
        <w:rPr>
          <w:rFonts w:eastAsia="Calibri" w:cs="Times New Roman"/>
        </w:rPr>
        <w:t xml:space="preserve"> </w:t>
      </w:r>
      <w:r w:rsidRPr="003B0B55">
        <w:rPr>
          <w:rFonts w:eastAsia="Calibri" w:cs="Times New Roman"/>
        </w:rPr>
        <w:t xml:space="preserve">would be targeted by preventing retailers from selling vapes to </w:t>
      </w:r>
      <w:r w:rsidR="00A5242E">
        <w:rPr>
          <w:rFonts w:eastAsia="Calibri" w:cs="Times New Roman"/>
        </w:rPr>
        <w:t>youth</w:t>
      </w:r>
      <w:r w:rsidR="00A5242E" w:rsidRPr="003B0B55">
        <w:rPr>
          <w:rFonts w:eastAsia="Calibri" w:cs="Times New Roman"/>
        </w:rPr>
        <w:t xml:space="preserve"> </w:t>
      </w:r>
      <w:r w:rsidRPr="003B0B55">
        <w:rPr>
          <w:rFonts w:eastAsia="Calibri" w:cs="Times New Roman"/>
        </w:rPr>
        <w:t xml:space="preserve">and applying product standards to vapes to reduce some features that are attractive to </w:t>
      </w:r>
      <w:r w:rsidR="00A5242E">
        <w:rPr>
          <w:rFonts w:eastAsia="Calibri" w:cs="Times New Roman"/>
        </w:rPr>
        <w:t>youth</w:t>
      </w:r>
      <w:r w:rsidRPr="003B0B55">
        <w:rPr>
          <w:rFonts w:eastAsia="Calibri" w:cs="Times New Roman"/>
        </w:rPr>
        <w:t xml:space="preserve">. The marketing of vapes to </w:t>
      </w:r>
      <w:r w:rsidR="00AF7775">
        <w:lastRenderedPageBreak/>
        <w:t>youth and young adults</w:t>
      </w:r>
      <w:r w:rsidRPr="003B0B55">
        <w:rPr>
          <w:rFonts w:eastAsia="Calibri" w:cs="Times New Roman"/>
        </w:rPr>
        <w:t xml:space="preserve"> would be counteracted by specific provisions limiting advertising of vapes and by applying products standards to limit packaging and flavours most appealing to </w:t>
      </w:r>
      <w:r w:rsidR="00A5242E">
        <w:rPr>
          <w:rFonts w:eastAsia="Calibri" w:cs="Times New Roman"/>
        </w:rPr>
        <w:t>youth</w:t>
      </w:r>
      <w:r w:rsidRPr="003B0B55">
        <w:rPr>
          <w:rFonts w:eastAsia="Calibri" w:cs="Times New Roman"/>
        </w:rPr>
        <w:t xml:space="preserve">. </w:t>
      </w:r>
    </w:p>
    <w:p w14:paraId="331B7C1B" w14:textId="24BFCAA9" w:rsidR="003B0B55" w:rsidRPr="003B0B55" w:rsidRDefault="003B0B55" w:rsidP="003B0B55">
      <w:pPr>
        <w:spacing w:before="120"/>
        <w:rPr>
          <w:rFonts w:eastAsia="Calibri" w:cs="Times New Roman"/>
        </w:rPr>
      </w:pPr>
      <w:r w:rsidRPr="003B0B55">
        <w:rPr>
          <w:rFonts w:eastAsia="Calibri" w:cs="Times New Roman"/>
        </w:rPr>
        <w:t xml:space="preserve">Nicotine and smoking addiction would be targeted through public health campaigns and quit services, and by making a range of vapes readily available for smoking cessation. Even though vapes would be widely available, education campaigns about the risks and appropriate use of vapes, and quit services, could mitigate the risk of </w:t>
      </w:r>
      <w:r w:rsidR="003A4FA8">
        <w:rPr>
          <w:rFonts w:eastAsiaTheme="minorEastAsia"/>
        </w:rPr>
        <w:t>non-therapeutic</w:t>
      </w:r>
      <w:r w:rsidRPr="003B0B55">
        <w:rPr>
          <w:rFonts w:eastAsia="Calibri" w:cs="Times New Roman"/>
        </w:rPr>
        <w:t xml:space="preserve"> use of vapes and consequent risks of nicotine addiction and smoking uptake. They would also provide adults with information about how to effectively use vapes for smoking cessation. </w:t>
      </w:r>
    </w:p>
    <w:p w14:paraId="4074DA0C" w14:textId="77777777" w:rsidR="003B0B55" w:rsidRPr="003B0B55" w:rsidRDefault="003B0B55" w:rsidP="003B0B55">
      <w:pPr>
        <w:spacing w:before="120"/>
        <w:rPr>
          <w:rFonts w:eastAsia="Calibri" w:cs="Times New Roman"/>
        </w:rPr>
      </w:pPr>
      <w:r w:rsidRPr="003B0B55">
        <w:rPr>
          <w:rFonts w:eastAsia="Calibri" w:cs="Times New Roman"/>
        </w:rPr>
        <w:t>The introduction of product standards would safeguard consumer health.</w:t>
      </w:r>
    </w:p>
    <w:p w14:paraId="5DDDC7B6" w14:textId="35685FC1" w:rsidR="003B0B55" w:rsidRPr="003B0B55" w:rsidRDefault="003B0B55" w:rsidP="003B0B55">
      <w:pPr>
        <w:spacing w:before="120" w:after="180" w:line="240" w:lineRule="atLeast"/>
        <w:rPr>
          <w:rFonts w:eastAsia="Cambria" w:cs="Times New Roman"/>
        </w:rPr>
      </w:pPr>
      <w:r w:rsidRPr="003B0B55">
        <w:rPr>
          <w:rFonts w:eastAsia="Cambria" w:cs="Times New Roman"/>
        </w:rPr>
        <w:t xml:space="preserve">However, apart from the introduction of product standards and stricter advertising controls, this is the regulatory model that applies today for zero-nicotine vapes in states and territories. This model has proven ineffective in stemming the flow of </w:t>
      </w:r>
      <w:r w:rsidR="002052E1">
        <w:rPr>
          <w:rFonts w:eastAsia="Cambria" w:cs="Times New Roman"/>
        </w:rPr>
        <w:t>vape</w:t>
      </w:r>
      <w:r w:rsidRPr="003B0B55">
        <w:rPr>
          <w:rFonts w:eastAsia="Cambria" w:cs="Times New Roman"/>
        </w:rPr>
        <w:t xml:space="preserve">s to </w:t>
      </w:r>
      <w:r w:rsidR="0061061F">
        <w:rPr>
          <w:rFonts w:eastAsia="Cambria" w:cs="Times New Roman"/>
        </w:rPr>
        <w:t>youth</w:t>
      </w:r>
      <w:r w:rsidR="0061061F" w:rsidRPr="003B0B55">
        <w:rPr>
          <w:rFonts w:eastAsia="Cambria" w:cs="Times New Roman"/>
        </w:rPr>
        <w:t xml:space="preserve"> </w:t>
      </w:r>
      <w:r w:rsidRPr="003B0B55">
        <w:rPr>
          <w:rFonts w:eastAsia="Cambria" w:cs="Times New Roman"/>
        </w:rPr>
        <w:t xml:space="preserve">and young adults for non-therapeutic purposes. Under this model, vaping rates for young adults are increasing. </w:t>
      </w:r>
    </w:p>
    <w:p w14:paraId="20438AA7" w14:textId="77777777" w:rsidR="003B0B55" w:rsidRPr="003B0B55" w:rsidRDefault="003B0B55" w:rsidP="003B0B55">
      <w:pPr>
        <w:spacing w:before="120" w:after="180" w:line="240" w:lineRule="atLeast"/>
        <w:rPr>
          <w:rFonts w:eastAsia="Cambria" w:cs="Times New Roman"/>
        </w:rPr>
      </w:pPr>
      <w:r w:rsidRPr="003B0B55">
        <w:rPr>
          <w:rFonts w:eastAsia="Cambria" w:cs="Times New Roman"/>
        </w:rPr>
        <w:t>It would also normalise vaping use and would likely fail to arrest vaping rates. Vaping is likely to increase with fewer access controls and a normalised environment, especially because this would make highly addictive nicotine vapes easier to access than under the status quo (or the other options). It would thereby fail to address the very real public health risks posed by vaping, including rising nicotine addiction rates with potentially life-long consequences for Australia’s young. Such a normalisation of vaping would undercut the concurrent tobacco reforms being pursued by the Government which aim to reduce the overall use of tobacco and nicotine products in Australi</w:t>
      </w:r>
      <w:r w:rsidRPr="003B0B55">
        <w:rPr>
          <w:rFonts w:ascii="Segoe UI" w:eastAsia="Cambria" w:hAnsi="Segoe UI" w:cs="Segoe UI"/>
          <w:color w:val="212121"/>
          <w:sz w:val="21"/>
          <w:szCs w:val="21"/>
          <w:shd w:val="clear" w:color="auto" w:fill="FFFFFF"/>
        </w:rPr>
        <w:t>a</w:t>
      </w:r>
      <w:r w:rsidRPr="003B0B55">
        <w:rPr>
          <w:rFonts w:eastAsia="Cambria" w:cs="Times New Roman"/>
        </w:rPr>
        <w:t xml:space="preserve">. </w:t>
      </w:r>
    </w:p>
    <w:p w14:paraId="5A2AF3F8" w14:textId="77777777" w:rsidR="003B0B55" w:rsidRPr="003B0B55" w:rsidRDefault="003B0B55" w:rsidP="003B0B55">
      <w:pPr>
        <w:spacing w:before="120" w:after="180" w:line="240" w:lineRule="atLeast"/>
        <w:rPr>
          <w:rFonts w:eastAsia="Cambria" w:cs="Times New Roman"/>
        </w:rPr>
      </w:pPr>
      <w:r w:rsidRPr="003B0B55">
        <w:rPr>
          <w:rFonts w:eastAsia="Cambria" w:cs="Times New Roman"/>
        </w:rPr>
        <w:t xml:space="preserve">It would also limit the effectiveness of vaping as a smoking cessation tool as users may self-medicate without accessing the professional advice and supervision that best facilitates quitting. </w:t>
      </w:r>
    </w:p>
    <w:p w14:paraId="3CDE5FFD" w14:textId="77777777" w:rsidR="003B0B55" w:rsidRPr="003B0B55" w:rsidRDefault="003B0B55" w:rsidP="003B0B55">
      <w:pPr>
        <w:spacing w:before="120" w:after="180" w:line="240" w:lineRule="atLeast"/>
        <w:rPr>
          <w:rFonts w:eastAsia="Cambria" w:cs="Times New Roman"/>
        </w:rPr>
      </w:pPr>
      <w:r w:rsidRPr="003B0B55">
        <w:rPr>
          <w:rFonts w:eastAsia="Cambria" w:cs="Times New Roman"/>
        </w:rPr>
        <w:t xml:space="preserve">Option 2 would greatly reduce the regulatory burden and associated economic impact of the proposed regulatory reforms for many. The current retail vaping sector would continue to prosper, which is a key economic impact. </w:t>
      </w:r>
    </w:p>
    <w:p w14:paraId="3A154028" w14:textId="26DC4AFD" w:rsidR="003B0B55" w:rsidRPr="003B0B55" w:rsidRDefault="003B0B55" w:rsidP="003B0B55">
      <w:pPr>
        <w:spacing w:before="120" w:after="180" w:line="240" w:lineRule="atLeast"/>
        <w:rPr>
          <w:rFonts w:eastAsia="Cambria" w:cs="Times New Roman"/>
        </w:rPr>
      </w:pPr>
      <w:r w:rsidRPr="003B0B55">
        <w:rPr>
          <w:rFonts w:eastAsia="Cambria" w:cs="Times New Roman"/>
        </w:rPr>
        <w:t>This</w:t>
      </w:r>
      <w:r w:rsidR="00C17C10">
        <w:rPr>
          <w:rFonts w:eastAsia="Cambria" w:cs="Times New Roman"/>
        </w:rPr>
        <w:t>,</w:t>
      </w:r>
      <w:r w:rsidRPr="003B0B55">
        <w:rPr>
          <w:rFonts w:eastAsia="Cambria" w:cs="Times New Roman"/>
        </w:rPr>
        <w:t xml:space="preserve"> in itself</w:t>
      </w:r>
      <w:r w:rsidR="00C17C10">
        <w:rPr>
          <w:rFonts w:eastAsia="Cambria" w:cs="Times New Roman"/>
        </w:rPr>
        <w:t>,</w:t>
      </w:r>
      <w:r w:rsidRPr="003B0B55">
        <w:rPr>
          <w:rFonts w:eastAsia="Cambria" w:cs="Times New Roman"/>
        </w:rPr>
        <w:t xml:space="preserve"> is not sufficient justification to consider this option further. Option 2 is highly unlikely to achieve the sought public health outcomes. It is likely to reverse public health gains in relation to tobacco control. Although changes in quality and safety standards may partially safeguard consumer health, Option 2 does not meet most of the Objectives of Government Action set out under Question 2.</w:t>
      </w:r>
    </w:p>
    <w:p w14:paraId="5C4B10CD" w14:textId="684102D5" w:rsidR="003B0B55" w:rsidRPr="003B0B55" w:rsidRDefault="003B0B55" w:rsidP="00D12EFD">
      <w:pPr>
        <w:pStyle w:val="Heading4"/>
        <w:rPr>
          <w:rFonts w:eastAsia="Times New Roman" w:cs="Times New Roman"/>
          <w:b w:val="0"/>
          <w:sz w:val="26"/>
        </w:rPr>
      </w:pPr>
      <w:bookmarkStart w:id="248" w:name="_Toc151040393"/>
      <w:r w:rsidRPr="003B0B55">
        <w:t xml:space="preserve">Option 3 – </w:t>
      </w:r>
      <w:r w:rsidR="004175CD">
        <w:t>I</w:t>
      </w:r>
      <w:r w:rsidRPr="003B0B55">
        <w:t>ncreased regulation of vapes through the Therapeutic Goods Act and Customs Regulations</w:t>
      </w:r>
      <w:bookmarkEnd w:id="248"/>
    </w:p>
    <w:p w14:paraId="46D0733F" w14:textId="7BA32810" w:rsidR="003B0B55" w:rsidRPr="003B0B55" w:rsidRDefault="003B0B55" w:rsidP="00D12EFD">
      <w:r w:rsidRPr="003B0B55">
        <w:t xml:space="preserve">Option 3 is the most likely of the options considered to address the underlying concerns about the existing regulatory controls for </w:t>
      </w:r>
      <w:r w:rsidRPr="003B0B55">
        <w:rPr>
          <w:b/>
          <w:bCs/>
        </w:rPr>
        <w:t>all</w:t>
      </w:r>
      <w:r w:rsidRPr="003B0B55">
        <w:t xml:space="preserve"> vapes. This option targets existing weaknesses in the current regulatory framework that are enabling widespread access by </w:t>
      </w:r>
      <w:r w:rsidR="0061061F">
        <w:t>youth</w:t>
      </w:r>
      <w:r w:rsidR="0061061F" w:rsidRPr="003B0B55">
        <w:t xml:space="preserve"> </w:t>
      </w:r>
      <w:r w:rsidRPr="003B0B55">
        <w:t xml:space="preserve">to nicotine e-liquid, as well as decreasing the attractiveness of vaping to </w:t>
      </w:r>
      <w:r w:rsidR="0061061F">
        <w:t>youth</w:t>
      </w:r>
      <w:r w:rsidR="0061061F" w:rsidRPr="003B0B55">
        <w:t xml:space="preserve"> </w:t>
      </w:r>
      <w:r w:rsidRPr="003B0B55">
        <w:t xml:space="preserve">and young adults and improving overall health outcomes. </w:t>
      </w:r>
    </w:p>
    <w:p w14:paraId="45E20B82" w14:textId="5E0E0BFC" w:rsidR="003B0B55" w:rsidRPr="003B0B55" w:rsidRDefault="003B0B55" w:rsidP="00D12EFD">
      <w:r w:rsidRPr="003B0B55">
        <w:t xml:space="preserve">Option 3, however, would effectively </w:t>
      </w:r>
      <w:r w:rsidR="00C17C10" w:rsidRPr="003B0B55">
        <w:t>close</w:t>
      </w:r>
      <w:r w:rsidRPr="003B0B55">
        <w:t xml:space="preserve"> a currently legal market for zero-nicotine vapes and vaping devices for the retail sector, other than pharmacies. Closing down this market would cause</w:t>
      </w:r>
      <w:r w:rsidRPr="003B0B55" w:rsidDel="00D3436E">
        <w:t xml:space="preserve"> </w:t>
      </w:r>
      <w:r w:rsidRPr="003B0B55">
        <w:t xml:space="preserve">significant economic impact on both the broader vaping sector and individual businesses. </w:t>
      </w:r>
    </w:p>
    <w:p w14:paraId="0BE048FB" w14:textId="45776993" w:rsidR="003B0B55" w:rsidRPr="003B0B55" w:rsidRDefault="003B0B55" w:rsidP="00D12EFD">
      <w:r w:rsidRPr="003B0B55">
        <w:t>Fears that extra regulation may incentivise growth in the black market for nicotine vapes must also be acknowledged. In response to the September 2023 consultation paper, close to a third of respondents</w:t>
      </w:r>
      <w:r w:rsidR="00635029">
        <w:t>,</w:t>
      </w:r>
      <w:r w:rsidRPr="003B0B55">
        <w:rPr>
          <w:vertAlign w:val="superscript"/>
        </w:rPr>
        <w:footnoteReference w:id="95"/>
      </w:r>
      <w:r w:rsidRPr="003B0B55">
        <w:t xml:space="preserve"> spread across stakeholder categories, commented that a likely impact of the proposed </w:t>
      </w:r>
      <w:r w:rsidRPr="003B0B55">
        <w:lastRenderedPageBreak/>
        <w:t xml:space="preserve">reforms to vaping regulation was an increase in black market activities. These fears are equally relevant for the proposed reforms in both Option 3 and 4. </w:t>
      </w:r>
    </w:p>
    <w:p w14:paraId="365C74FD" w14:textId="16B1D8C4" w:rsidR="003B0B55" w:rsidRPr="003B0B55" w:rsidRDefault="003B0B55" w:rsidP="00D12EFD">
      <w:r w:rsidRPr="003B0B55">
        <w:t xml:space="preserve">This is a legitimate risk as tighter regulation will often raise the risk of </w:t>
      </w:r>
      <w:r w:rsidR="00C17C10" w:rsidRPr="003B0B55">
        <w:t>black-market</w:t>
      </w:r>
      <w:r w:rsidRPr="003B0B55">
        <w:t xml:space="preserve"> sales. There are arguably fewer risks, however, associated with Option 3 than Option 4, as Option 3 provides lawful pathways to access vapes. This risk will be mitigated in two principal ways. </w:t>
      </w:r>
    </w:p>
    <w:p w14:paraId="1400E368" w14:textId="603EA205" w:rsidR="003B0B55" w:rsidRPr="003B0B55" w:rsidRDefault="003B0B55" w:rsidP="00D12EFD">
      <w:r w:rsidRPr="003B0B55">
        <w:t xml:space="preserve">Firstly, strong messaging that non-therapeutic vapes are unlawful, </w:t>
      </w:r>
      <w:r w:rsidR="00C17C10" w:rsidRPr="003B0B55">
        <w:t>unregulated,</w:t>
      </w:r>
      <w:r w:rsidRPr="003B0B55">
        <w:t xml:space="preserve"> and unsafe is being explained to consumers through education campaigns about the harms of vaping. Investment in Quit services to assist people in giving up both smoking and vaping will also assist to reduce the demand for unlawful vapes. </w:t>
      </w:r>
    </w:p>
    <w:p w14:paraId="0120C9ED" w14:textId="77777777" w:rsidR="003B0B55" w:rsidRPr="003B0B55" w:rsidRDefault="003B0B55" w:rsidP="00D12EFD">
      <w:r w:rsidRPr="003B0B55">
        <w:t xml:space="preserve">Secondly, the investment in strong, nationally coordinated enforcement will go some way to addressing this risk. Option 3 is explicitly designed to simplify regulation and enforcement, and thus increase regulatory effectiveness. More extensive enforcement at the border, in retail settings and in relation to online sales will do much to stamp out the presently existing black market and prevent its future flourishing. </w:t>
      </w:r>
    </w:p>
    <w:p w14:paraId="61EF44F7" w14:textId="111A05CC" w:rsidR="003B0B55" w:rsidRPr="003B0B55" w:rsidRDefault="003B0B55" w:rsidP="00D12EFD">
      <w:r w:rsidRPr="003B0B55">
        <w:t xml:space="preserve">Unlike Option 2, this option will also limit consumer choice, in terms of the range of vapes available and the ease with which stakeholders can access those vapes. Stakeholders in both Consultations raised the risk that Options 3 and 4 could lead to increased smoking rates, as consumers could switch from </w:t>
      </w:r>
      <w:r w:rsidR="002052E1">
        <w:t>vape</w:t>
      </w:r>
      <w:r w:rsidRPr="003B0B55">
        <w:t>s to tobacco products. Again, this is a legitimate risk. This risk will be mitigated through the Government’s National Tobacco Strategy 2023</w:t>
      </w:r>
      <w:r w:rsidR="00635029">
        <w:rPr>
          <w:b/>
        </w:rPr>
        <w:t>–</w:t>
      </w:r>
      <w:r w:rsidRPr="003B0B55">
        <w:t xml:space="preserve">2030. It will also be mitigated through the changes to market accessibility for therapeutic vapes proposed under Measure 2 of Option 3, particularly streamlined access under the Special Access Scheme and </w:t>
      </w:r>
      <w:r w:rsidR="00C32A43">
        <w:t>AP</w:t>
      </w:r>
      <w:r w:rsidRPr="003B0B55">
        <w:t xml:space="preserve"> arrangements (Measure 2(b) of Option 3).  </w:t>
      </w:r>
    </w:p>
    <w:p w14:paraId="33359698" w14:textId="382880CC" w:rsidR="003B0B55" w:rsidRPr="003B0B55" w:rsidRDefault="003B0B55" w:rsidP="00D12EFD">
      <w:r w:rsidRPr="003B0B55">
        <w:t xml:space="preserve">Through both Consultations, consumers using their personal experience argued strongly for retention of vapes as a smoking cessation tool. By contrast, other stakeholders, particularly academics and public health bodies, argued that vapes were relatively ineffective as a smoking cessation tool and that they should only be available if registered on the ARTG (Option 4). The RACGP’s view is that vapes have a legitimate role as a ‘second tier’ smoking cessation tool but more effective tools are available. Option 3 would provide a legitimate path for consumers to access vapes to assist in smoking cessation but not for </w:t>
      </w:r>
      <w:r w:rsidR="003A4FA8">
        <w:rPr>
          <w:rFonts w:eastAsiaTheme="minorEastAsia"/>
        </w:rPr>
        <w:t>non-therapeutic</w:t>
      </w:r>
      <w:r w:rsidRPr="003B0B55">
        <w:t xml:space="preserve"> purposes. In doing so, this option recognises the need to place a high priority on maximising individual efforts to cease smoking to ensure good public health outcomes. It does not ignore or underestimate the public health risks from vaping. </w:t>
      </w:r>
    </w:p>
    <w:p w14:paraId="29DF0283" w14:textId="77777777" w:rsidR="003B0B55" w:rsidRPr="003B0B55" w:rsidRDefault="003B0B55" w:rsidP="00D12EFD">
      <w:r w:rsidRPr="003B0B55">
        <w:t>In balancing economic impact against public health outcomes, public health must be given more weight. The regulatory changes envisaged under Option 3 would provide the response that best balances the health risks associated with vaping, while maintaining access to vapes for smoking cessation and other genuine therapeutic purposes. In finding this balance, Option 3 is also best suited to realise the goals of the Government’s broader tobacco reforms. By restricting access to only therapeutic vapes, Option 3 provides a legitimate, and medically supervised, method to motivate Australians to combat tobacco/nicotine addiction, while also preventing the unsupervised vaping that encourages tobacco smoking. As such, Option 3 is well aligned with the Government’s broader policy agenda concerning tobacco/nicotine regulation.</w:t>
      </w:r>
    </w:p>
    <w:p w14:paraId="6B702564" w14:textId="3F51A84F" w:rsidR="003B0B55" w:rsidRPr="00746795" w:rsidRDefault="003B0B55" w:rsidP="00D347CD">
      <w:pPr>
        <w:pStyle w:val="Heading4"/>
      </w:pPr>
      <w:bookmarkStart w:id="249" w:name="_Toc151040394"/>
      <w:r w:rsidRPr="00D347CD">
        <w:t xml:space="preserve">Option 4 – </w:t>
      </w:r>
      <w:r w:rsidR="004175CD" w:rsidRPr="00D347CD">
        <w:t>B</w:t>
      </w:r>
      <w:r w:rsidRPr="00D347CD">
        <w:t>an on non-therapeutic vapes and require therapeutic vapes to be registered on the Australian Register of Therapeuti</w:t>
      </w:r>
      <w:r w:rsidRPr="00746795">
        <w:t>c Goods and not available as ‘unapproved’ therapeutic goods</w:t>
      </w:r>
      <w:bookmarkEnd w:id="249"/>
    </w:p>
    <w:p w14:paraId="48576A4F" w14:textId="3DD72DF8" w:rsidR="003B0B55" w:rsidRPr="003B0B55" w:rsidRDefault="003B0B55" w:rsidP="00D12EFD">
      <w:r w:rsidRPr="003B0B55">
        <w:t xml:space="preserve">Option 4 would allow consumers to access </w:t>
      </w:r>
      <w:r w:rsidR="00E04CAE">
        <w:t>vape</w:t>
      </w:r>
      <w:r w:rsidRPr="003B0B55">
        <w:t xml:space="preserve">s as a smoking cessation tool, but only where those vapes were registered on the ARTG. Like Option 3, this option places a high emphasis on maximising individual efforts to cease smoking to ensure good public health outcomes, notwithstanding the public health risks of vaping. Permitting only vapes registered on the ARTG would further reduce the public health risks of vaping. Option 4 is the most desirable option from a population health perspective as vapes would only be available for therapeutic purpose where they had been assessed for quality, </w:t>
      </w:r>
      <w:r w:rsidRPr="003B0B55">
        <w:lastRenderedPageBreak/>
        <w:t xml:space="preserve">safety and efficacy or performance by the TGA. This will strongly safeguard consumer health, increase the confidence of users and prescribers, and minimise to the maximum extent possible the short- and long-term adverse health effects of vapes. </w:t>
      </w:r>
    </w:p>
    <w:p w14:paraId="5C9631A3" w14:textId="77777777" w:rsidR="003B0B55" w:rsidRPr="003B0B55" w:rsidRDefault="003B0B55" w:rsidP="00D12EFD">
      <w:r w:rsidRPr="003B0B55">
        <w:t xml:space="preserve">This approach was strongly supported by academic, government and public health stakeholders in both the December 2022 and September 2023 consultations. </w:t>
      </w:r>
    </w:p>
    <w:p w14:paraId="08FB2B5C" w14:textId="77777777" w:rsidR="003B0B55" w:rsidRPr="003B0B55" w:rsidRDefault="003B0B55" w:rsidP="00D12EFD">
      <w:r w:rsidRPr="003B0B55">
        <w:t xml:space="preserve">It would simplify prescribing, as any GP could prescribe without the associated increased regulatory burden associated with the prescription of unapproved therapeutic goods. The impact at the border would be unchanged from Option 3, but the TGA’s regulatory efficiency would increase due to the relative simplicity of enforcement – if the vape were unregistered, it could not be lawfully imported, manufactured or supplied. Once entered on the ARTG, the health benefits arising from their use for smoking cessation and treatment of nicotine addiction would accrue. </w:t>
      </w:r>
    </w:p>
    <w:p w14:paraId="26BB268A" w14:textId="1F1492B2" w:rsidR="003B0B55" w:rsidRPr="003B0B55" w:rsidRDefault="003B0B55" w:rsidP="00D12EFD">
      <w:r w:rsidRPr="003B0B55">
        <w:t xml:space="preserve">It would also arrest the uptake of vapes and counteract the marketing of vapes to </w:t>
      </w:r>
      <w:r w:rsidR="00AF7775">
        <w:t>youth and young adults</w:t>
      </w:r>
      <w:r w:rsidRPr="003B0B55">
        <w:t xml:space="preserve">, due to the strict access controls and regulation of advertising for goods registered on the ARTG.  </w:t>
      </w:r>
    </w:p>
    <w:p w14:paraId="74C245DC" w14:textId="2E5D0AF9" w:rsidR="003B0B55" w:rsidRPr="003B0B55" w:rsidRDefault="003B0B55" w:rsidP="00D12EFD">
      <w:r w:rsidRPr="003B0B55">
        <w:t>However, Option 4 fails on the cost/benefit analysis as it would likely result in total failure of the therapeutic vaping market. In the current circumstances, Option 4 would effectively totally ban all vapes for an indefinite period, at least 2 years</w:t>
      </w:r>
      <w:r w:rsidR="00635029">
        <w:t xml:space="preserve"> </w:t>
      </w:r>
      <w:r w:rsidR="00635029">
        <w:rPr>
          <w:b/>
        </w:rPr>
        <w:t>–</w:t>
      </w:r>
      <w:r w:rsidRPr="003B0B55">
        <w:t xml:space="preserve"> until such time as a product is successfully registered on the ARTG. </w:t>
      </w:r>
    </w:p>
    <w:p w14:paraId="5BFEFEEF" w14:textId="77777777" w:rsidR="003B0B55" w:rsidRPr="003B0B55" w:rsidRDefault="003B0B55" w:rsidP="00002658">
      <w:r w:rsidRPr="003B0B55">
        <w:t xml:space="preserve">Existing vaping manufacturers have indicated that it might takes years, if it is possible or commercially viable at all, to gather the necessary clinical evidence to support ARTG registration. Additionally, the removal of any current income streams for the sale of nicotine vapes in Australia as an ‘unapproved’ medicine is likely to delay ARTG registration. While existing manufacturers would be the most likely to progress to registration, if they are forced to exit the market now, it may not be economically viable for them to seek registration later. </w:t>
      </w:r>
    </w:p>
    <w:p w14:paraId="6086F3F5" w14:textId="77777777" w:rsidR="003B0B55" w:rsidRPr="003B0B55" w:rsidRDefault="003B0B55" w:rsidP="00002658">
      <w:r w:rsidRPr="003B0B55">
        <w:t>In the meantime, there would be no legal mechanism for vapes to be accessed for therapeutic purposes. Persons seeking treatment for smoking cessation or nicotine addition will be dependent on existing behavioural and pharmacological products, such as NRT. As noted above, consumers and retailers argued strongly in both Consultations that vaping is the smoking cessation tool that some consumers find works for them. Removing legitimate therapeutic pathways to reduce tobacco and nicotine addiction could impede the Government’s broader policy objective of reducing the use of tobacco and nicotine products.</w:t>
      </w:r>
    </w:p>
    <w:p w14:paraId="3449F5BE" w14:textId="2037C9D8" w:rsidR="003B0B55" w:rsidRPr="003B0B55" w:rsidRDefault="003B0B55" w:rsidP="00002658">
      <w:r w:rsidRPr="003B0B55">
        <w:t xml:space="preserve">The total absence of any lawful mechanism for accessing vapes would significantly increase the risks of </w:t>
      </w:r>
      <w:r w:rsidR="00C17C10" w:rsidRPr="003B0B55">
        <w:t>black-market</w:t>
      </w:r>
      <w:r w:rsidRPr="003B0B55">
        <w:t xml:space="preserve"> sales (see Option 3 above). Mitigation through education and Quit services will not be as effective as where there is legitimate access to these products. Mitigation would rely solely on effective enforcement at both the border and domestically. </w:t>
      </w:r>
    </w:p>
    <w:p w14:paraId="1465378B" w14:textId="77777777" w:rsidR="003B0B55" w:rsidRPr="003B0B55" w:rsidRDefault="003B0B55" w:rsidP="00D12EFD">
      <w:pPr>
        <w:pStyle w:val="Heading4"/>
        <w:rPr>
          <w:rFonts w:eastAsia="Times New Roman" w:cs="Times New Roman"/>
          <w:b w:val="0"/>
          <w:sz w:val="32"/>
          <w:szCs w:val="32"/>
        </w:rPr>
      </w:pPr>
      <w:bookmarkStart w:id="250" w:name="_Toc147384303"/>
      <w:bookmarkStart w:id="251" w:name="_Toc151040395"/>
      <w:r w:rsidRPr="003B0B55">
        <w:t>Implementation approach</w:t>
      </w:r>
      <w:bookmarkEnd w:id="250"/>
      <w:bookmarkEnd w:id="251"/>
    </w:p>
    <w:p w14:paraId="0A1087D9" w14:textId="77777777" w:rsidR="003B0B55" w:rsidRPr="003B0B55" w:rsidRDefault="003B0B55" w:rsidP="00D12EFD">
      <w:r w:rsidRPr="003B0B55">
        <w:t>While arguably the most effective Option, Option 3 would take time to roll out in its entirety and would require significant government reform and investment.</w:t>
      </w:r>
    </w:p>
    <w:p w14:paraId="373833B9" w14:textId="77777777" w:rsidR="003B0B55" w:rsidRPr="003B0B55" w:rsidRDefault="003B0B55" w:rsidP="00D12EFD">
      <w:r w:rsidRPr="003B0B55">
        <w:t>To achieve success, the approach must be comprehensive and multi-faceted. The success of Option 3 will be influenced by programs delivered at all levels of government in Australia, through support programs, communication campaigns and compliance and enforcement. </w:t>
      </w:r>
    </w:p>
    <w:p w14:paraId="02251A46" w14:textId="427ABE36" w:rsidR="003B0B55" w:rsidRPr="003B0B55" w:rsidRDefault="003B0B55" w:rsidP="00D12EFD">
      <w:r w:rsidRPr="003B0B55">
        <w:t xml:space="preserve">Implementation of Option 3 will complement and align with other Australian Government measures including tobacco control reforms, the </w:t>
      </w:r>
      <w:r w:rsidRPr="003B0B55">
        <w:rPr>
          <w:i/>
          <w:iCs/>
        </w:rPr>
        <w:t>Public Health (Tobacco and Other Products) Bill 2023</w:t>
      </w:r>
      <w:r w:rsidRPr="003B0B55">
        <w:t>, the Tackling Indigenous Smoking program, targeted communication campaigns and support for cessation. The proposed measures outlined in this IA will complement the existing measures and the Australian Government will continue to consider future measures consistent with the National Tobacco Strategy 2023</w:t>
      </w:r>
      <w:r w:rsidR="00635029">
        <w:rPr>
          <w:b/>
        </w:rPr>
        <w:t>–</w:t>
      </w:r>
      <w:r w:rsidRPr="003B0B55">
        <w:t>2030 to reduce harms from e-cigarettes.</w:t>
      </w:r>
    </w:p>
    <w:p w14:paraId="646DAFA4" w14:textId="77777777" w:rsidR="003B0B55" w:rsidRPr="003B0B55" w:rsidRDefault="003B0B55" w:rsidP="00D12EFD">
      <w:pPr>
        <w:pStyle w:val="Heading4"/>
        <w:rPr>
          <w:rFonts w:eastAsia="Times New Roman" w:cs="Times New Roman"/>
          <w:b w:val="0"/>
          <w:i/>
          <w:sz w:val="26"/>
        </w:rPr>
      </w:pPr>
      <w:bookmarkStart w:id="252" w:name="_Toc151040396"/>
      <w:r w:rsidRPr="003B0B55">
        <w:lastRenderedPageBreak/>
        <w:t>Who will be involved in the implementation of Option 3?</w:t>
      </w:r>
      <w:bookmarkEnd w:id="252"/>
    </w:p>
    <w:p w14:paraId="5EF819F8" w14:textId="77777777" w:rsidR="003B0B55" w:rsidRPr="003B0B55" w:rsidRDefault="003B0B55" w:rsidP="00D12EFD">
      <w:r w:rsidRPr="003B0B55">
        <w:t xml:space="preserve">Implementation of the preferred Option 3 will require a coordinated effort between the Commonwealth and states and territories to be effective. </w:t>
      </w:r>
    </w:p>
    <w:p w14:paraId="6F092571" w14:textId="77777777" w:rsidR="003B0B55" w:rsidRPr="003B0B55" w:rsidRDefault="003B0B55" w:rsidP="00D12EFD">
      <w:r w:rsidRPr="003B0B55">
        <w:t xml:space="preserve">Health Ministers agreed on 1 September 2023 to pursue extending the operation of the TG Act to restrict the importation, manufacture and supply of all vapes. They further agreed the Commonwealth Government would lead the enforcement of new importation and manufacturing controls, advertising controls, and controls on therapeutic vapes, and that states and territories will lead the enforcement efforts at the point of wholesale and retail.  </w:t>
      </w:r>
    </w:p>
    <w:p w14:paraId="4CEE64E6" w14:textId="79DFE997" w:rsidR="003B0B55" w:rsidRPr="003B0B55" w:rsidRDefault="003B0B55" w:rsidP="00D12EFD">
      <w:r w:rsidRPr="003B0B55">
        <w:t>Within the Commonwealth, coordination is required across multiple agencies and departments. The TGA will lead and coordinate much of this activity and will coordinate with other areas within the Department of Health and Aged Care to ensure alignment with implementation of the National Tobacco Strategy 2023</w:t>
      </w:r>
      <w:r w:rsidR="00635029">
        <w:rPr>
          <w:b/>
        </w:rPr>
        <w:t>–</w:t>
      </w:r>
      <w:r w:rsidRPr="003B0B55">
        <w:t xml:space="preserve">2030. </w:t>
      </w:r>
    </w:p>
    <w:p w14:paraId="70A1A757" w14:textId="77777777" w:rsidR="003B0B55" w:rsidRPr="003B0B55" w:rsidRDefault="003B0B55" w:rsidP="00D12EFD">
      <w:r w:rsidRPr="003B0B55">
        <w:t>Restrictions on importation will be implemented by the TGA and the Office of Drug Control from the Department of Health and Aged Care, and the Australian Border Force from the Department of Home Affairs. Restrictions on importation by mail will also need to be coordinated with the Department of Infrastructure, Transport, Regional Development, Communications and the Arts.</w:t>
      </w:r>
    </w:p>
    <w:p w14:paraId="049DA201" w14:textId="77777777" w:rsidR="003B0B55" w:rsidRPr="003B0B55" w:rsidRDefault="003B0B55" w:rsidP="00D12EFD">
      <w:r w:rsidRPr="003B0B55">
        <w:t>Enforcement will be coordinated with state and territory health departments and state and territory policing, as well as the TGA, Australian Federal Police, AUSTRAC and the Australian Competition and Consumer Commission. Measures restricting unlawful sales through the internet will require the assistance of the Department of Infrastructure, Transport, Regional Development, Communications and the Arts.</w:t>
      </w:r>
    </w:p>
    <w:p w14:paraId="2E5CBB55" w14:textId="77777777" w:rsidR="003B0B55" w:rsidRPr="003B0B55" w:rsidRDefault="003B0B55" w:rsidP="00D12EFD">
      <w:r w:rsidRPr="003B0B55">
        <w:t xml:space="preserve">Environmental issues and disposal of vapes will need to be coordinated between Commonwealth and state/territory health departments and environment departments. For the Commonwealth, this is the Department of Climate Change, Energy, the Environment and Water.  </w:t>
      </w:r>
    </w:p>
    <w:p w14:paraId="368B83D8" w14:textId="77777777" w:rsidR="003B0B55" w:rsidRPr="003B0B55" w:rsidRDefault="003B0B55" w:rsidP="00D12EFD">
      <w:r w:rsidRPr="003B0B55">
        <w:t>Non-Government Organisations, such as the RACGP, will also play an important role in ensuring that health practitioners receive guidance about prescribing of vapes for smoking cessation and to treat nicotine addiction and are aware of, and willing to prescribe under, pathways to assist access to therapeutic vapes. The Australian Health Practitioner Regulation Agency will also play a role to monitor and respond to professional misconduct in prescribing.</w:t>
      </w:r>
    </w:p>
    <w:p w14:paraId="214DD8C0" w14:textId="77777777" w:rsidR="003B0B55" w:rsidRPr="003B0B55" w:rsidRDefault="003B0B55" w:rsidP="00002658">
      <w:pPr>
        <w:pStyle w:val="Heading4"/>
        <w:rPr>
          <w:b w:val="0"/>
        </w:rPr>
      </w:pPr>
      <w:bookmarkStart w:id="253" w:name="_Toc151040397"/>
      <w:r w:rsidRPr="003B0B55">
        <w:t>What legislative amendments will be required for the implementation of Option 3?</w:t>
      </w:r>
      <w:bookmarkEnd w:id="253"/>
    </w:p>
    <w:p w14:paraId="42810B13" w14:textId="77777777" w:rsidR="003B0B55" w:rsidRPr="003B0B55" w:rsidRDefault="003B0B55" w:rsidP="00D12EFD">
      <w:r w:rsidRPr="003B0B55">
        <w:t>It is proposed that Option 3 would be implemented through a number of legislative instruments, as well as amendments to the TG Act. Key proposed legislative changes are:</w:t>
      </w:r>
    </w:p>
    <w:p w14:paraId="6B92C31F" w14:textId="1E114D1A" w:rsidR="003B0B55" w:rsidRPr="003B0B55" w:rsidRDefault="003B0B55" w:rsidP="00467EDD">
      <w:pPr>
        <w:pStyle w:val="Bullet1"/>
        <w:numPr>
          <w:ilvl w:val="0"/>
          <w:numId w:val="70"/>
        </w:numPr>
        <w:rPr>
          <w:sz w:val="22"/>
          <w:szCs w:val="22"/>
        </w:rPr>
      </w:pPr>
      <w:r w:rsidRPr="003B0B55">
        <w:t xml:space="preserve">amending the </w:t>
      </w:r>
      <w:r w:rsidRPr="003B0B55">
        <w:rPr>
          <w:i/>
        </w:rPr>
        <w:t xml:space="preserve">Customs </w:t>
      </w:r>
      <w:r w:rsidRPr="003B0B55">
        <w:rPr>
          <w:i/>
          <w:iCs/>
        </w:rPr>
        <w:t>(Prohibited Imports) Regulations 1956</w:t>
      </w:r>
      <w:r w:rsidRPr="003B0B55">
        <w:t xml:space="preserve"> to make vapes, including devices, prohibited imports. An import licence and permit would be required to import any vapes and would generally only be granted for non-disposable therapeutic vapes that are registered or that have met the proposed new notification requirements</w:t>
      </w:r>
    </w:p>
    <w:p w14:paraId="785479B0" w14:textId="18C7B30B" w:rsidR="003B0B55" w:rsidRPr="003B0B55" w:rsidRDefault="003B0B55" w:rsidP="00467EDD">
      <w:pPr>
        <w:pStyle w:val="Bullet1"/>
        <w:numPr>
          <w:ilvl w:val="0"/>
          <w:numId w:val="70"/>
        </w:numPr>
        <w:rPr>
          <w:sz w:val="22"/>
          <w:szCs w:val="22"/>
        </w:rPr>
      </w:pPr>
      <w:r w:rsidRPr="003B0B55">
        <w:t>amending regulations made under the TG Act to require sponsors to make a pre-market notification to the TGA that their product complies with the relevant product standard and modify some existing exemptions to registration for devices</w:t>
      </w:r>
    </w:p>
    <w:p w14:paraId="5BCD57D6" w14:textId="402C633F" w:rsidR="003B0B55" w:rsidRPr="003B0B55" w:rsidRDefault="003B0B55" w:rsidP="00467EDD">
      <w:pPr>
        <w:pStyle w:val="Bullet1"/>
        <w:numPr>
          <w:ilvl w:val="0"/>
          <w:numId w:val="70"/>
        </w:numPr>
        <w:rPr>
          <w:sz w:val="22"/>
          <w:szCs w:val="22"/>
        </w:rPr>
      </w:pPr>
      <w:r w:rsidRPr="003B0B55">
        <w:t>a new legislative instrument to allow vapes to be prescribed under the SAS C scheme to facilitate prescribing and reporting by health practitioners</w:t>
      </w:r>
    </w:p>
    <w:p w14:paraId="6FAF932B" w14:textId="01E82ED9" w:rsidR="003B0B55" w:rsidRPr="003B0B55" w:rsidRDefault="003B0B55" w:rsidP="00467EDD">
      <w:pPr>
        <w:pStyle w:val="Bullet1"/>
        <w:numPr>
          <w:ilvl w:val="0"/>
          <w:numId w:val="70"/>
        </w:numPr>
        <w:rPr>
          <w:sz w:val="22"/>
          <w:szCs w:val="22"/>
        </w:rPr>
      </w:pPr>
      <w:r w:rsidRPr="003B0B55">
        <w:t>amending TGO 110 to heighten minimum safety and quality standards, including to restrict ingredients (including flavourings), restrict colourings, require pharmaceutical-like plain packaging, reduce maximum allowable nicotine concentrations, reduce permissible volumes of nicotine, and make commensurate changes to product standards for devices</w:t>
      </w:r>
    </w:p>
    <w:p w14:paraId="3DADBE13" w14:textId="77777777" w:rsidR="003B0B55" w:rsidRPr="003B0B55" w:rsidRDefault="003B0B55" w:rsidP="00467EDD">
      <w:pPr>
        <w:pStyle w:val="Bullet1"/>
        <w:numPr>
          <w:ilvl w:val="0"/>
          <w:numId w:val="70"/>
        </w:numPr>
        <w:rPr>
          <w:sz w:val="22"/>
          <w:szCs w:val="22"/>
        </w:rPr>
      </w:pPr>
      <w:r w:rsidRPr="003B0B55">
        <w:lastRenderedPageBreak/>
        <w:t>amending the TG Act to impose a domestic ban on the manufacture, supply and commercial possession of non-therapeutic vapes. This would enliven the existing cooperative scheme for therapeutic goods and ensure a uniform national approach (other than in WA).</w:t>
      </w:r>
    </w:p>
    <w:p w14:paraId="4D61B6A5" w14:textId="77777777" w:rsidR="003B0B55" w:rsidRPr="003B0B55" w:rsidRDefault="003B0B55" w:rsidP="00D12EFD">
      <w:r w:rsidRPr="003B0B55">
        <w:t xml:space="preserve">Consequential amendments may be required to other legislation within the Commonwealth, including the </w:t>
      </w:r>
      <w:r w:rsidRPr="003B0B55">
        <w:rPr>
          <w:i/>
          <w:iCs/>
        </w:rPr>
        <w:t>Industrial Chemicals Act 2019</w:t>
      </w:r>
      <w:r w:rsidRPr="003B0B55">
        <w:t xml:space="preserve">.  </w:t>
      </w:r>
    </w:p>
    <w:p w14:paraId="38A8A651" w14:textId="77777777" w:rsidR="003B0B55" w:rsidRPr="003B0B55" w:rsidRDefault="003B0B55" w:rsidP="00D12EFD">
      <w:r w:rsidRPr="003B0B55">
        <w:t xml:space="preserve">Further, state and territory legislation may require amendment to ensure it is not inconsistent with amendments to the TG Act. However, these changes do not fall within the scope of this Impact Analysis. </w:t>
      </w:r>
    </w:p>
    <w:p w14:paraId="39014B1E" w14:textId="77777777" w:rsidR="003B0B55" w:rsidRPr="003B0B55" w:rsidRDefault="003B0B55" w:rsidP="00D12EFD">
      <w:pPr>
        <w:pStyle w:val="Heading4"/>
        <w:rPr>
          <w:rFonts w:eastAsia="Times New Roman" w:cs="Times New Roman"/>
          <w:b w:val="0"/>
          <w:i/>
          <w:sz w:val="26"/>
        </w:rPr>
      </w:pPr>
      <w:bookmarkStart w:id="254" w:name="_Toc151040398"/>
      <w:r w:rsidRPr="003B0B55">
        <w:t>What is the timing for implementation of Option 3?</w:t>
      </w:r>
      <w:bookmarkEnd w:id="254"/>
    </w:p>
    <w:p w14:paraId="01AB81A3" w14:textId="6C2C3D77" w:rsidR="003B0B55" w:rsidRPr="003B0B55" w:rsidRDefault="003B0B55" w:rsidP="00D12EFD">
      <w:r w:rsidRPr="003B0B55">
        <w:t xml:space="preserve">As set out in </w:t>
      </w:r>
      <w:r w:rsidR="002423A1">
        <w:t>Annexure</w:t>
      </w:r>
      <w:r w:rsidRPr="003B0B55">
        <w:t xml:space="preserve"> A, the implementation of Option 3, and the above legislative amendments, can be broadly categorised into Stages 0</w:t>
      </w:r>
      <w:r w:rsidR="00635029" w:rsidRPr="00746795">
        <w:rPr>
          <w:bCs/>
        </w:rPr>
        <w:t>–</w:t>
      </w:r>
      <w:r w:rsidR="005647B1">
        <w:t>3</w:t>
      </w:r>
      <w:r w:rsidRPr="003B0B55">
        <w:t>, which build upon the policy agreement on the national approach with states and territories. In September 2022, the Commonwealth, states and territories began the initial efforts to gain national policy agreement on a cohesive and uniform approach to vape regulation across all Australian jurisdictions. Engagement between all jurisdictions will continue throughout implementation and beyond.</w:t>
      </w:r>
    </w:p>
    <w:p w14:paraId="2B99057C" w14:textId="77777777" w:rsidR="003B0B55" w:rsidRPr="003B0B55" w:rsidRDefault="003B0B55" w:rsidP="00D12EFD">
      <w:r w:rsidRPr="003B0B55">
        <w:t xml:space="preserve">The four stages for implementation are: </w:t>
      </w:r>
    </w:p>
    <w:p w14:paraId="28743387" w14:textId="27DCD4C0" w:rsidR="003B0B55" w:rsidRPr="00C17C10" w:rsidRDefault="00C17C10" w:rsidP="002423A1">
      <w:pPr>
        <w:spacing w:line="280" w:lineRule="exact"/>
        <w:ind w:left="1418" w:hanging="851"/>
        <w:rPr>
          <w:rFonts w:eastAsia="Calibri" w:cs="Times New Roman"/>
        </w:rPr>
      </w:pPr>
      <w:r w:rsidRPr="00C17C10">
        <w:rPr>
          <w:rFonts w:eastAsia="Calibri" w:cs="Times New Roman"/>
          <w:b/>
          <w:bCs/>
        </w:rPr>
        <w:t>Stage 0.</w:t>
      </w:r>
      <w:r w:rsidRPr="00C17C10">
        <w:rPr>
          <w:rFonts w:eastAsia="Calibri" w:cs="Times New Roman"/>
        </w:rPr>
        <w:t xml:space="preserve"> </w:t>
      </w:r>
      <w:r w:rsidR="003B0B55" w:rsidRPr="00C17C10">
        <w:rPr>
          <w:rFonts w:eastAsia="Calibri" w:cs="Times New Roman"/>
        </w:rPr>
        <w:t>Preparation for border requirements (October 2023 to December 2023).</w:t>
      </w:r>
    </w:p>
    <w:p w14:paraId="0CE9857B" w14:textId="77777777" w:rsidR="003B0B55" w:rsidRPr="003B0B55" w:rsidRDefault="003B0B55" w:rsidP="002423A1">
      <w:pPr>
        <w:spacing w:line="280" w:lineRule="exact"/>
        <w:ind w:left="1418"/>
        <w:rPr>
          <w:rFonts w:eastAsia="Calibri" w:cs="Times New Roman"/>
        </w:rPr>
      </w:pPr>
      <w:r w:rsidRPr="003B0B55">
        <w:rPr>
          <w:rFonts w:eastAsia="Calibri" w:cs="Times New Roman"/>
        </w:rPr>
        <w:t>Preventing the importation of unregulated / non-therapeutic vapes.</w:t>
      </w:r>
    </w:p>
    <w:p w14:paraId="75B28570" w14:textId="3720ECA6" w:rsidR="003B0B55" w:rsidRPr="003B0B55" w:rsidRDefault="003B0B55" w:rsidP="002423A1">
      <w:pPr>
        <w:spacing w:line="280" w:lineRule="exact"/>
        <w:ind w:left="1418"/>
        <w:rPr>
          <w:rFonts w:eastAsia="Calibri" w:cs="Times New Roman"/>
        </w:rPr>
      </w:pPr>
      <w:r w:rsidRPr="003B0B55">
        <w:rPr>
          <w:rFonts w:eastAsia="Calibri" w:cs="Times New Roman"/>
        </w:rPr>
        <w:t>Facilitating access to prescriptions for consumers who require a lawful pathway.</w:t>
      </w:r>
    </w:p>
    <w:p w14:paraId="5CB61E02" w14:textId="4A94AC2B" w:rsidR="003B0B55" w:rsidRPr="00C17C10" w:rsidRDefault="00C17C10" w:rsidP="002423A1">
      <w:pPr>
        <w:spacing w:line="280" w:lineRule="exact"/>
        <w:ind w:left="1418" w:hanging="851"/>
        <w:rPr>
          <w:rFonts w:eastAsia="Calibri" w:cs="Times New Roman"/>
        </w:rPr>
      </w:pPr>
      <w:r w:rsidRPr="00C17C10">
        <w:rPr>
          <w:rFonts w:eastAsia="Calibri" w:cs="Times New Roman"/>
          <w:b/>
          <w:bCs/>
        </w:rPr>
        <w:t>Stage 1.</w:t>
      </w:r>
      <w:r>
        <w:rPr>
          <w:rFonts w:eastAsia="Calibri" w:cs="Times New Roman"/>
        </w:rPr>
        <w:t xml:space="preserve"> </w:t>
      </w:r>
      <w:r w:rsidR="003B0B55" w:rsidRPr="00C17C10">
        <w:rPr>
          <w:rFonts w:eastAsia="Calibri" w:cs="Times New Roman"/>
        </w:rPr>
        <w:t xml:space="preserve">Transition to new product standards (October 2023 to December 2024). </w:t>
      </w:r>
    </w:p>
    <w:p w14:paraId="51AA2A89" w14:textId="7C8072B6" w:rsidR="003B0B55" w:rsidRPr="003B0B55" w:rsidRDefault="00C17C10" w:rsidP="002423A1">
      <w:pPr>
        <w:spacing w:line="280" w:lineRule="exact"/>
        <w:ind w:left="1418" w:hanging="851"/>
        <w:rPr>
          <w:rFonts w:eastAsia="Calibri" w:cs="Times New Roman"/>
        </w:rPr>
      </w:pPr>
      <w:r w:rsidRPr="00C17C10">
        <w:rPr>
          <w:rFonts w:eastAsia="Calibri" w:cs="Times New Roman"/>
          <w:b/>
          <w:bCs/>
        </w:rPr>
        <w:t>Stage 2.</w:t>
      </w:r>
      <w:r>
        <w:rPr>
          <w:rFonts w:eastAsia="Calibri" w:cs="Times New Roman"/>
        </w:rPr>
        <w:t xml:space="preserve"> </w:t>
      </w:r>
      <w:r w:rsidR="003B0B55" w:rsidRPr="003B0B55">
        <w:rPr>
          <w:rFonts w:eastAsia="Calibri" w:cs="Times New Roman"/>
        </w:rPr>
        <w:t>Preparation for the domestic ban on non-therapeutic goods (January 2024 to July 2024).</w:t>
      </w:r>
    </w:p>
    <w:p w14:paraId="082EB49F" w14:textId="6E111AB2" w:rsidR="003B0B55" w:rsidRPr="003B0B55" w:rsidRDefault="00C17C10" w:rsidP="002423A1">
      <w:pPr>
        <w:spacing w:line="280" w:lineRule="exact"/>
        <w:ind w:left="1418" w:hanging="851"/>
        <w:rPr>
          <w:rFonts w:eastAsia="Calibri" w:cs="Times New Roman"/>
        </w:rPr>
      </w:pPr>
      <w:r w:rsidRPr="00C17C10">
        <w:rPr>
          <w:rFonts w:eastAsia="Calibri" w:cs="Times New Roman"/>
          <w:b/>
          <w:bCs/>
        </w:rPr>
        <w:t xml:space="preserve">Stage 3. </w:t>
      </w:r>
      <w:r w:rsidR="003B0B55" w:rsidRPr="003B0B55">
        <w:rPr>
          <w:rFonts w:eastAsia="Calibri" w:cs="Times New Roman"/>
        </w:rPr>
        <w:t xml:space="preserve">Commencement of a domestic ban on all non-therapeutic vapes, including primary legislative (dependent on Parliamentary timetable but possibly 1 July 2024). </w:t>
      </w:r>
    </w:p>
    <w:p w14:paraId="02D3EBFE" w14:textId="77777777" w:rsidR="003B0B55" w:rsidRPr="003B0B55" w:rsidRDefault="003B0B55" w:rsidP="00B962D7">
      <w:pPr>
        <w:pStyle w:val="Heading4"/>
        <w:rPr>
          <w:rFonts w:eastAsia="Times New Roman" w:cs="Times New Roman"/>
          <w:i/>
          <w:sz w:val="26"/>
        </w:rPr>
      </w:pPr>
      <w:bookmarkStart w:id="255" w:name="_Toc151040399"/>
      <w:r w:rsidRPr="003B0B55">
        <w:t>Implementation issues and risks</w:t>
      </w:r>
      <w:bookmarkEnd w:id="255"/>
    </w:p>
    <w:p w14:paraId="1711138B" w14:textId="578407FA" w:rsidR="003B0B55" w:rsidRPr="003B0B55" w:rsidRDefault="003B0B55" w:rsidP="003B0B55">
      <w:pPr>
        <w:spacing w:before="120" w:line="280" w:lineRule="exact"/>
        <w:rPr>
          <w:rFonts w:eastAsia="Calibri" w:cs="Times New Roman"/>
        </w:rPr>
      </w:pPr>
      <w:r w:rsidRPr="003B0B55">
        <w:t>Each implementation stage of Option 3 has associated implementation risks which are detailed in A</w:t>
      </w:r>
      <w:r w:rsidR="002423A1">
        <w:t>nnexure</w:t>
      </w:r>
      <w:r w:rsidRPr="003B0B55">
        <w:t> A, with repeating themes and categories of risk, and broad mitigation. Below are some of these implementation issues, repeating risks and associated mitigation strategies</w:t>
      </w:r>
      <w:r w:rsidRPr="003B0B55">
        <w:rPr>
          <w:rFonts w:eastAsia="Calibri" w:cs="Times New Roman"/>
        </w:rPr>
        <w:t>.</w:t>
      </w:r>
    </w:p>
    <w:p w14:paraId="05276BAE" w14:textId="77777777" w:rsidR="003B0B55" w:rsidRPr="003B0B55" w:rsidRDefault="003B0B55" w:rsidP="00B962D7">
      <w:pPr>
        <w:pStyle w:val="Heading5"/>
      </w:pPr>
      <w:r w:rsidRPr="003B0B55">
        <w:t xml:space="preserve">Tight timeframes </w:t>
      </w:r>
    </w:p>
    <w:p w14:paraId="545AB4D2" w14:textId="77777777" w:rsidR="003B0B55" w:rsidRPr="003B0B55" w:rsidRDefault="003B0B55" w:rsidP="0046436D">
      <w:r w:rsidRPr="003B0B55">
        <w:t xml:space="preserve">The </w:t>
      </w:r>
      <w:r w:rsidRPr="003B0B55">
        <w:rPr>
          <w:rFonts w:eastAsia="Calibri" w:cs="Times New Roman"/>
        </w:rPr>
        <w:t>health</w:t>
      </w:r>
      <w:r w:rsidRPr="003B0B55">
        <w:t xml:space="preserve"> risks posed by the increase in vaping, and the need to discourage stockpiling of illegal products, indicate that all measures should be implemented as soon as possible. This means that the timeframes for development and implementation of vaping reforms will be very tight. </w:t>
      </w:r>
    </w:p>
    <w:p w14:paraId="36D7C87D" w14:textId="77777777" w:rsidR="003B0B55" w:rsidRPr="003B0B55" w:rsidRDefault="003B0B55" w:rsidP="0046436D">
      <w:pPr>
        <w:rPr>
          <w:rFonts w:eastAsia="Calibri" w:cs="Times New Roman"/>
        </w:rPr>
      </w:pPr>
      <w:r w:rsidRPr="003B0B55">
        <w:rPr>
          <w:rFonts w:eastAsia="Calibri" w:cs="Times New Roman"/>
        </w:rPr>
        <w:t xml:space="preserve">There is the risk that a lack of either time or agreement will prevent a uniform regulatory framework being successfully designed, and later implemented, across all Australian jurisdictions. </w:t>
      </w:r>
    </w:p>
    <w:p w14:paraId="0F3321FB" w14:textId="77777777" w:rsidR="003B0B55" w:rsidRPr="003B0B55" w:rsidRDefault="003B0B55" w:rsidP="0046436D">
      <w:r w:rsidRPr="003B0B55">
        <w:t xml:space="preserve">Of particular concern is the effect of the short time frames for implementation on the supply chain. </w:t>
      </w:r>
      <w:r w:rsidRPr="003B0B55">
        <w:rPr>
          <w:rFonts w:eastAsia="Calibri" w:cs="Times New Roman"/>
        </w:rPr>
        <w:t>These risks have been partially addressed through consultation with industry stakeholders</w:t>
      </w:r>
      <w:r w:rsidRPr="003B0B55">
        <w:rPr>
          <w:rFonts w:eastAsia="Calibri" w:cs="Times New Roman"/>
          <w:vertAlign w:val="superscript"/>
        </w:rPr>
        <w:footnoteReference w:id="96"/>
      </w:r>
      <w:r w:rsidRPr="003B0B55">
        <w:rPr>
          <w:rFonts w:eastAsia="Calibri" w:cs="Times New Roman"/>
        </w:rPr>
        <w:t xml:space="preserve"> and will continue to be managed through provision of clear advice on the regulatory amendments to ensure early awareness of changes and required timeframes. </w:t>
      </w:r>
      <w:r w:rsidRPr="003B0B55">
        <w:t xml:space="preserve">Risks include: </w:t>
      </w:r>
    </w:p>
    <w:p w14:paraId="37AB40FF" w14:textId="783EF823" w:rsidR="003B0B55" w:rsidRPr="00C17C10" w:rsidRDefault="003B0B55" w:rsidP="00467EDD">
      <w:pPr>
        <w:pStyle w:val="Bullet1"/>
        <w:numPr>
          <w:ilvl w:val="0"/>
          <w:numId w:val="75"/>
        </w:numPr>
        <w:rPr>
          <w:rFonts w:eastAsia="Arial" w:cs="Arial"/>
        </w:rPr>
      </w:pPr>
      <w:r w:rsidRPr="00C17C10">
        <w:t xml:space="preserve">ensuring that the new notification system and the import controls are in place with sufficient time to allow importation of therapeutic vapes following the commencement of the import ban. </w:t>
      </w:r>
      <w:r w:rsidRPr="00C17C10">
        <w:lastRenderedPageBreak/>
        <w:t>This would be mitigated through a short transition period to allow sponsors to notify compliant products to the TGA, obtain customs permits and licences and deliver stock to pharmacies</w:t>
      </w:r>
    </w:p>
    <w:p w14:paraId="3FE953EC" w14:textId="22C244F0" w:rsidR="003B0B55" w:rsidRPr="00C17C10" w:rsidRDefault="003B0B55" w:rsidP="00467EDD">
      <w:pPr>
        <w:pStyle w:val="Bullet1"/>
        <w:numPr>
          <w:ilvl w:val="0"/>
          <w:numId w:val="75"/>
        </w:numPr>
        <w:rPr>
          <w:rFonts w:eastAsia="Arial" w:cs="Arial"/>
        </w:rPr>
      </w:pPr>
      <w:r w:rsidRPr="00C17C10">
        <w:t>the ability of the e-cigarette industry to sell/dispose of all products that meet the requirements of the present TGO 110 and are currently lawful but will cease to be lawful when product standards are increased (see “Implementation Costs” below)</w:t>
      </w:r>
    </w:p>
    <w:p w14:paraId="7545640A" w14:textId="2FA86FE2" w:rsidR="003B0B55" w:rsidRPr="00C17C10" w:rsidRDefault="003B0B55" w:rsidP="00467EDD">
      <w:pPr>
        <w:pStyle w:val="Bullet1"/>
        <w:numPr>
          <w:ilvl w:val="0"/>
          <w:numId w:val="75"/>
        </w:numPr>
        <w:rPr>
          <w:rFonts w:eastAsia="Arial" w:cs="Arial"/>
        </w:rPr>
      </w:pPr>
      <w:r w:rsidRPr="00C17C10">
        <w:t>the ability of overseas or domestic manufacturers to manufacture to new product standards. The risk of this is considered to be low as product standards frequently change</w:t>
      </w:r>
      <w:r w:rsidR="00440818">
        <w:t>.</w:t>
      </w:r>
    </w:p>
    <w:p w14:paraId="021BD5A3" w14:textId="11DB6629" w:rsidR="003B0B55" w:rsidRPr="00C17C10" w:rsidRDefault="003B0B55" w:rsidP="00467EDD">
      <w:pPr>
        <w:pStyle w:val="Bullet1"/>
        <w:numPr>
          <w:ilvl w:val="0"/>
          <w:numId w:val="75"/>
        </w:numPr>
      </w:pPr>
      <w:r w:rsidRPr="00C17C10">
        <w:t>ensuring that there is a sufficient supply of therapeutic vapes available through to those consumers who might need them. This is being mitigated through consultation with pharmaceutical wholesalers and importers, to ensure there is sufficient stock available for pharmacies</w:t>
      </w:r>
    </w:p>
    <w:p w14:paraId="00DF8764" w14:textId="77777777" w:rsidR="003B0B55" w:rsidRPr="00C17C10" w:rsidRDefault="003B0B55" w:rsidP="00467EDD">
      <w:pPr>
        <w:pStyle w:val="Bullet1"/>
        <w:numPr>
          <w:ilvl w:val="0"/>
          <w:numId w:val="75"/>
        </w:numPr>
        <w:rPr>
          <w:rFonts w:eastAsia="Arial" w:cs="Arial"/>
        </w:rPr>
      </w:pPr>
      <w:r w:rsidRPr="00C17C10">
        <w:t>ensuring there will be sufficient health practitioners prepared to prescribe therapeutic vapes to meet consumer demand. This would be mitigated by streamlining access under the SAS C and AP schemes to encourage health practitioners to prescribe vapes for smoking cessation (as described in Measure 2(b) of Option 3) and through revision of the RACGP Guidelines.</w:t>
      </w:r>
    </w:p>
    <w:p w14:paraId="1A59AB26" w14:textId="77777777" w:rsidR="003B0B55" w:rsidRPr="003B0B55" w:rsidRDefault="003B0B55" w:rsidP="00B962D7">
      <w:pPr>
        <w:pStyle w:val="Heading5"/>
        <w:rPr>
          <w:rFonts w:eastAsia="Arial"/>
        </w:rPr>
      </w:pPr>
      <w:r w:rsidRPr="003B0B55">
        <w:rPr>
          <w:rFonts w:eastAsia="Arial"/>
        </w:rPr>
        <w:t>Implementation costs</w:t>
      </w:r>
    </w:p>
    <w:p w14:paraId="7D079488" w14:textId="4B11DFAB" w:rsidR="003B0B55" w:rsidRPr="003B0B55" w:rsidRDefault="003B0B55" w:rsidP="007A7891">
      <w:r w:rsidRPr="003B0B55">
        <w:t>Retailers have had significant warning about the long-term viability of their sector and have witnessed regulatory reform of varying stringency in other countries. The broad policy approach of these reforms was first announced by the Minister for Health and Age</w:t>
      </w:r>
      <w:r w:rsidR="002B4AB5">
        <w:t>d Care</w:t>
      </w:r>
      <w:r w:rsidRPr="003B0B55">
        <w:t xml:space="preserve"> on 2 May 2023, in which the plan to ban all non-therapeutic vapes was expressly communicated. Several months will also be provided between when the importation of non-therapeutic vapes are banned and the domestic supply of such vapes becomes prohibited. This will provide time for retailers to sell their remaining stock.</w:t>
      </w:r>
    </w:p>
    <w:p w14:paraId="26DA1A47" w14:textId="28EAE480" w:rsidR="003B0B55" w:rsidRPr="003B0B55" w:rsidRDefault="003B0B55" w:rsidP="00A165AE">
      <w:r w:rsidRPr="003B0B55">
        <w:t>Implementation costs for manufacturers, retailers and suppliers (including wholesalers) will include the disposal of existing stocks of therapeutic vapes and vaping devices being supplied to the pharmacy market which meet current regulatory requirements</w:t>
      </w:r>
      <w:r w:rsidR="00C17C10">
        <w:t xml:space="preserve"> </w:t>
      </w:r>
      <w:r w:rsidRPr="003B0B55">
        <w:t>but will not meet the new product standards and will consequently become unlawful once these commence. This would be mitigated through a transition period of 6</w:t>
      </w:r>
      <w:r w:rsidR="006E0E34">
        <w:rPr>
          <w:b/>
        </w:rPr>
        <w:t>–</w:t>
      </w:r>
      <w:r w:rsidRPr="003B0B55">
        <w:t xml:space="preserve">12 months to allow selling down of these stocks. </w:t>
      </w:r>
    </w:p>
    <w:p w14:paraId="182EDF00" w14:textId="112448AF" w:rsidR="003B0B55" w:rsidRPr="003B0B55" w:rsidRDefault="003B0B55" w:rsidP="00A165AE">
      <w:r w:rsidRPr="003B0B55">
        <w:t xml:space="preserve">Implementation costs for manufacturers, retailers and suppliers (including wholesalers) will also include disposal of existing stock of non-therapeutic vapes and devices. This stock is currently lawfully sold by retailers but would become unlawful when the domestic ban on supply of non-therapeutic vapes commences. The ban is proposed to commence soon after the passage of amendments to the TG Act, possibly towards the end of the second quarter of 2024. This cost would </w:t>
      </w:r>
      <w:r w:rsidR="002B4AB5">
        <w:t>be</w:t>
      </w:r>
      <w:r w:rsidR="00C32F77">
        <w:t xml:space="preserve"> </w:t>
      </w:r>
      <w:r w:rsidRPr="003B0B55">
        <w:t xml:space="preserve">mitigated by the length of time between the Minister for Health and Aged Care’s announcement of the reforms on 2 May 2023 and implementation of the domestic ban. This period will be at least 12 months and the costings in </w:t>
      </w:r>
      <w:r w:rsidR="002423A1">
        <w:t>Annexur</w:t>
      </w:r>
      <w:r w:rsidR="008453DA">
        <w:t>e</w:t>
      </w:r>
      <w:r w:rsidRPr="003B0B55">
        <w:t xml:space="preserve"> B are based on a 12</w:t>
      </w:r>
      <w:r w:rsidR="002B4AB5" w:rsidRPr="003B0B55">
        <w:t>-</w:t>
      </w:r>
      <w:r w:rsidRPr="003B0B55">
        <w:t xml:space="preserve">month transition. This lengthy period should have allowed retailers and suppliers to run down their stocks. Further, the TGA has been advised anecdotally that the rapid development of </w:t>
      </w:r>
      <w:r w:rsidR="009029BA">
        <w:t>vape</w:t>
      </w:r>
      <w:r w:rsidRPr="003B0B55">
        <w:t>s means that stock is seldom more than six months old.</w:t>
      </w:r>
    </w:p>
    <w:p w14:paraId="592DC83C" w14:textId="64B98820" w:rsidR="003B0B55" w:rsidRPr="003B0B55" w:rsidRDefault="003B0B55" w:rsidP="007A7891">
      <w:r w:rsidRPr="003B0B55">
        <w:t xml:space="preserve">Implementation costs for retailers and suppliers will include the disposal of existing stocks of disposable vapes, which would manifest when the domestic ban on supply of vapes commences. This cost would be mitigated by the length of time between the Minister for Health and Aged Care’s announcement of the reforms on 2 May 2023 and implementation of the domestic ban. This period will be at least 12 months and the costings in </w:t>
      </w:r>
      <w:r w:rsidR="002423A1">
        <w:t>Annexure</w:t>
      </w:r>
      <w:r w:rsidRPr="003B0B55">
        <w:t xml:space="preserve"> B are based on a 12</w:t>
      </w:r>
      <w:r w:rsidR="002B4AB5" w:rsidRPr="003B0B55">
        <w:t>-</w:t>
      </w:r>
      <w:r w:rsidRPr="003B0B55">
        <w:t xml:space="preserve">month transition. This lengthy period should have allowed retailers and suppliers to run down their stocks. Further, it is likely that consumers will seek to stockpile disposable vapes as they will not be able to obtain them in the future. Therefore, it is unlikely that these costs will be high unless suppliers and retailers are deliberately increasing their stocks in the hope of obtaining compensation from the Government. </w:t>
      </w:r>
    </w:p>
    <w:p w14:paraId="4C677957" w14:textId="19553AA9" w:rsidR="003B0B55" w:rsidRPr="003B0B55" w:rsidRDefault="003B0B55" w:rsidP="007A7891">
      <w:r w:rsidRPr="003B0B55">
        <w:t>It is also envisaged that domestic manufacturers currently manufacturing lawful zero-nicotine e-liquids would be provided with a 12</w:t>
      </w:r>
      <w:r w:rsidR="002B4AB5" w:rsidRPr="003B0B55">
        <w:t>–</w:t>
      </w:r>
      <w:r w:rsidRPr="003B0B55">
        <w:t>18</w:t>
      </w:r>
      <w:r w:rsidR="002B4AB5" w:rsidRPr="003B0B55">
        <w:t>-</w:t>
      </w:r>
      <w:r w:rsidRPr="003B0B55">
        <w:t>month transition period for compliance with good manufacturing practice requirements for current products (not new products).</w:t>
      </w:r>
    </w:p>
    <w:p w14:paraId="38A6ECC0" w14:textId="77777777" w:rsidR="003B0B55" w:rsidRPr="003B0B55" w:rsidRDefault="003B0B55" w:rsidP="00B962D7">
      <w:pPr>
        <w:pStyle w:val="Heading5"/>
        <w:rPr>
          <w:rFonts w:eastAsia="Cambria"/>
        </w:rPr>
      </w:pPr>
      <w:r w:rsidRPr="003B0B55">
        <w:rPr>
          <w:rFonts w:eastAsia="Cambria"/>
        </w:rPr>
        <w:lastRenderedPageBreak/>
        <w:t>Disposal of unlawful vapes seized under compliance action</w:t>
      </w:r>
    </w:p>
    <w:p w14:paraId="76D55C09" w14:textId="77777777" w:rsidR="003B0B55" w:rsidRPr="003B0B55" w:rsidRDefault="003B0B55" w:rsidP="007A7891">
      <w:r w:rsidRPr="003B0B55">
        <w:t>Disposal of unlawful vapes is not only an issue for manufacturers, suppliers and retailers holding products which become unlawful. The TGA, ABF and states and territories are in the process of increasing capacity to safely dispose of vapes seized by regulatory action. Options for disposal of vapes that become unlawful are currently being discussed with the states and territories. Commonwealth and state and territory health departments are liaising with their respective environmental departments regarding options for disposal.</w:t>
      </w:r>
    </w:p>
    <w:p w14:paraId="7238C0C0" w14:textId="77777777" w:rsidR="003B0B55" w:rsidRPr="003B0B55" w:rsidRDefault="003B0B55" w:rsidP="00B962D7">
      <w:pPr>
        <w:pStyle w:val="Heading5"/>
        <w:rPr>
          <w:rFonts w:eastAsia="Cambria"/>
        </w:rPr>
      </w:pPr>
      <w:r w:rsidRPr="003B0B55">
        <w:rPr>
          <w:rFonts w:eastAsia="Cambria"/>
        </w:rPr>
        <w:t>Education Campaign</w:t>
      </w:r>
    </w:p>
    <w:p w14:paraId="06476CC8" w14:textId="77777777" w:rsidR="003B0B55" w:rsidRPr="003B0B55" w:rsidRDefault="003B0B55" w:rsidP="007A7891">
      <w:pPr>
        <w:rPr>
          <w:rFonts w:eastAsia="Calibri" w:cs="Times New Roman"/>
        </w:rPr>
      </w:pPr>
      <w:r w:rsidRPr="003B0B55">
        <w:rPr>
          <w:rFonts w:eastAsia="Calibri" w:cs="Times New Roman"/>
        </w:rPr>
        <w:t xml:space="preserve">The TGA will publish guidance materials on the new legislative requirements that clearly identify the changes which have been made and their implications for various stakeholder groups. The webpage will provide guidance material and fact sheets educating stakeholders and the public of the requirements of the legislation. </w:t>
      </w:r>
    </w:p>
    <w:p w14:paraId="7D24DED6" w14:textId="564CBF6A" w:rsidR="003B0B55" w:rsidRPr="003B0B55" w:rsidRDefault="003B0B55" w:rsidP="007A7891">
      <w:r w:rsidRPr="003B0B55">
        <w:t xml:space="preserve">Many of the identified implementation risks in </w:t>
      </w:r>
      <w:r w:rsidR="002423A1">
        <w:t>Annexure</w:t>
      </w:r>
      <w:r w:rsidRPr="003B0B55">
        <w:t xml:space="preserve"> A will be mitigated through preventive public health campaigns focused on vaping and smoking cessation and increasing and improving vaping and smoking cessation support. These are outlined in the Australian Government’s Tobacco Strategy 2023</w:t>
      </w:r>
      <w:r w:rsidR="006E0E34" w:rsidRPr="00746795">
        <w:rPr>
          <w:bCs/>
        </w:rPr>
        <w:t>–</w:t>
      </w:r>
      <w:r w:rsidRPr="003B0B55">
        <w:t>2030 and the Australian Government has provided additional funding to support public health campaigns and cessation support and information.</w:t>
      </w:r>
    </w:p>
    <w:p w14:paraId="0A85C210" w14:textId="77777777" w:rsidR="003B0B55" w:rsidRPr="003B0B55" w:rsidRDefault="003B0B55" w:rsidP="00B962D7">
      <w:pPr>
        <w:pStyle w:val="Heading5"/>
        <w:rPr>
          <w:rFonts w:eastAsia="Cambria"/>
        </w:rPr>
      </w:pPr>
      <w:r w:rsidRPr="003B0B55">
        <w:rPr>
          <w:rFonts w:eastAsia="Cambria"/>
        </w:rPr>
        <w:t>Ensuring regulation will meet its aims</w:t>
      </w:r>
    </w:p>
    <w:p w14:paraId="48729F47" w14:textId="77777777" w:rsidR="003B0B55" w:rsidRPr="003B0B55" w:rsidRDefault="003B0B55" w:rsidP="007A7891">
      <w:r w:rsidRPr="003B0B55">
        <w:t xml:space="preserve">As with any broad population health reform requiring behavioural change, there are a number of potential barriers to meeting the objectives of regulation. To achieve success, the approach must be comprehensive and multi-faceted. </w:t>
      </w:r>
    </w:p>
    <w:p w14:paraId="70553ADC" w14:textId="00CCA913" w:rsidR="003B0B55" w:rsidRPr="003B0B55" w:rsidRDefault="003B0B55" w:rsidP="007A7891">
      <w:r w:rsidRPr="003B0B55">
        <w:t xml:space="preserve">The October 2021 reforms aimed the need to balance discouraging </w:t>
      </w:r>
      <w:r w:rsidR="00AF7775">
        <w:t xml:space="preserve">youth and young adults </w:t>
      </w:r>
      <w:r w:rsidRPr="003B0B55">
        <w:t xml:space="preserve">from nicotine vaping against the need to allow nicotine vaping for smoking cessation. It did not comprehensively capture all e-cigarette product types and was focussed only on e-cigarettes containing nicotine. </w:t>
      </w:r>
    </w:p>
    <w:p w14:paraId="10C0027C" w14:textId="77777777" w:rsidR="003B0B55" w:rsidRPr="003B0B55" w:rsidRDefault="003B0B55" w:rsidP="007A7891">
      <w:r w:rsidRPr="003B0B55">
        <w:t xml:space="preserve">As noted in Question 1, evidence shows that the majority of e-cigarettes available contain nicotine, even if not labelled as such. The regulatory distinction between zero-nicotine and nicotine vapes has allowed the restrictions on nicotine vapes to be evaded. Further, there are health risks associated with all vaping. Therefore, a comprehensive approach to all types of e-cigarettes is required for the reforms to be implemented successfully. Option 3 would seek to regulate vapes, whether or not they contain nicotine. </w:t>
      </w:r>
    </w:p>
    <w:p w14:paraId="312C0C90" w14:textId="77777777" w:rsidR="003B0B55" w:rsidRPr="003B0B55" w:rsidRDefault="003B0B55" w:rsidP="007A7891">
      <w:r w:rsidRPr="003B0B55">
        <w:t xml:space="preserve">The Australian Government works with state and territory governments, law enforcement agencies and relevant taskforces, such as the Illicit Tobacco Task Force, to investigate allegations of illegal tobacco and e-cigarette supply. </w:t>
      </w:r>
    </w:p>
    <w:p w14:paraId="01EACF07" w14:textId="724B75FE" w:rsidR="003B0B55" w:rsidRPr="003B0B55" w:rsidRDefault="003B0B55" w:rsidP="007A7891">
      <w:r w:rsidRPr="003B0B55">
        <w:t>The success of stricter e-cigarette reforms will be influenced by programs delivered at all levels of Government in Australia, through public health organisations such as Cancer Councils, and through clinical guidelines, support programs and communication campaigns. Stakeholder engagement and collaboration is key to ensuring that all measures being implemented through Option 3 are appropriately adapted to complement the broader tobacco control environment. To mitigate any risk of e-cigarette industry influence on the implementation of the proposed e-cigarette control measures, consultation has been limited to that which is necessary to enact effective e-cigarette control measures and has been undertaken in line with Article 5.3 of the WHO</w:t>
      </w:r>
      <w:r w:rsidR="00323F72">
        <w:t xml:space="preserve"> </w:t>
      </w:r>
      <w:r w:rsidR="00323F72" w:rsidRPr="00323F72">
        <w:t>Framework Convention on Tobacco Control</w:t>
      </w:r>
      <w:r w:rsidRPr="003B0B55">
        <w:t xml:space="preserve"> </w:t>
      </w:r>
      <w:r w:rsidR="00323F72">
        <w:t>(</w:t>
      </w:r>
      <w:r w:rsidRPr="003B0B55">
        <w:t>FCTC</w:t>
      </w:r>
      <w:r w:rsidR="00323F72">
        <w:t>)</w:t>
      </w:r>
      <w:r w:rsidRPr="003B0B55">
        <w:t xml:space="preserve">. </w:t>
      </w:r>
    </w:p>
    <w:p w14:paraId="2814E36F" w14:textId="66FA104B" w:rsidR="003B0B55" w:rsidRPr="003B0B55" w:rsidRDefault="003B0B55" w:rsidP="007A7891">
      <w:r w:rsidRPr="003B0B55">
        <w:t xml:space="preserve">For individuals who use </w:t>
      </w:r>
      <w:r w:rsidR="009029BA" w:rsidRPr="009029BA">
        <w:t>vape</w:t>
      </w:r>
      <w:r w:rsidRPr="009029BA">
        <w:t>s</w:t>
      </w:r>
      <w:r w:rsidRPr="003B0B55">
        <w:t xml:space="preserve">, a key barrier to successfully reducing e-cigarette prevalence rates includes cognitive biases which distort perceptions, judgements or decision making. The e-cigarette and tobacco industry employs these biases to influence social norms, habits and routines to encourage tobacco and e-cigarette use. There is the potential for some individuals to seek alternate options to maintain nicotine consumption, rather than using the e-cigarette products through an approved prescription. This may include seeking new e-cigarette sources, such as vape products </w:t>
      </w:r>
      <w:r w:rsidRPr="003B0B55">
        <w:lastRenderedPageBreak/>
        <w:t xml:space="preserve">being sold on the black market or transitioning to the use of tobacco products through either legal or illegal channels.  These risks would be mitigated in a number of ways. </w:t>
      </w:r>
      <w:r w:rsidRPr="009029BA">
        <w:rPr>
          <w:rFonts w:eastAsia="Arial" w:cs="Arial"/>
          <w:color w:val="000000"/>
        </w:rPr>
        <w:t xml:space="preserve">The regulatory controls proposed in option 3 are designed to make enforcement easier and would be accompanied by increased resources for enforcement at the border by the ABF, regulatory requirements by the TGA, and retail and wholesale restrictions by the states and territories. A detailed compliance plan is being developed to better deter non-compliance, including the planned imposition of high penalties for egregious breaches and new strategies to </w:t>
      </w:r>
      <w:r w:rsidR="0046436D" w:rsidRPr="009029BA">
        <w:rPr>
          <w:rFonts w:eastAsia="Arial" w:cs="Arial"/>
          <w:color w:val="000000"/>
        </w:rPr>
        <w:t>close</w:t>
      </w:r>
      <w:r w:rsidRPr="009029BA">
        <w:rPr>
          <w:rFonts w:eastAsia="Arial" w:cs="Arial"/>
          <w:color w:val="000000"/>
        </w:rPr>
        <w:t xml:space="preserve"> </w:t>
      </w:r>
      <w:r w:rsidR="0046436D" w:rsidRPr="009029BA">
        <w:rPr>
          <w:rFonts w:eastAsia="Arial" w:cs="Arial"/>
          <w:color w:val="000000"/>
        </w:rPr>
        <w:t xml:space="preserve">down </w:t>
      </w:r>
      <w:r w:rsidRPr="009029BA">
        <w:rPr>
          <w:rFonts w:eastAsia="Arial" w:cs="Arial"/>
          <w:color w:val="000000"/>
        </w:rPr>
        <w:t>internet sales. This would be accompanied by increased education and enhanced quit services to reduce demand.</w:t>
      </w:r>
    </w:p>
    <w:p w14:paraId="75441DC6" w14:textId="3BF150ED" w:rsidR="00992CB8" w:rsidRPr="0094309B" w:rsidRDefault="005572BC" w:rsidP="003B0B55">
      <w:r>
        <w:br w:type="page"/>
      </w:r>
    </w:p>
    <w:p w14:paraId="77C36161" w14:textId="77777777" w:rsidR="005E355D" w:rsidRPr="005E355D" w:rsidRDefault="005E355D" w:rsidP="003310FA">
      <w:pPr>
        <w:pStyle w:val="Heading2"/>
        <w:rPr>
          <w:b w:val="0"/>
        </w:rPr>
      </w:pPr>
      <w:bookmarkStart w:id="256" w:name="_Toc147478089"/>
      <w:bookmarkStart w:id="257" w:name="_Toc151040400"/>
      <w:r w:rsidRPr="005E355D">
        <w:lastRenderedPageBreak/>
        <w:t>Question Seven: How will you evaluate your chosen option against the success metrics?</w:t>
      </w:r>
      <w:bookmarkEnd w:id="256"/>
      <w:bookmarkEnd w:id="257"/>
    </w:p>
    <w:p w14:paraId="1D7BAFF7" w14:textId="77777777" w:rsidR="005E355D" w:rsidRPr="005E355D" w:rsidRDefault="005E355D" w:rsidP="003310FA">
      <w:pPr>
        <w:pStyle w:val="Heading3"/>
        <w:rPr>
          <w:b w:val="0"/>
        </w:rPr>
      </w:pPr>
      <w:bookmarkStart w:id="258" w:name="_Toc146634926"/>
      <w:bookmarkStart w:id="259" w:name="_Toc147478090"/>
      <w:bookmarkStart w:id="260" w:name="_Toc151040401"/>
      <w:r w:rsidRPr="005E355D">
        <w:t>Measurement of success</w:t>
      </w:r>
      <w:bookmarkEnd w:id="258"/>
      <w:bookmarkEnd w:id="259"/>
      <w:bookmarkEnd w:id="260"/>
    </w:p>
    <w:p w14:paraId="2D1A5599" w14:textId="77777777" w:rsidR="005E355D" w:rsidRPr="005E355D" w:rsidRDefault="005E355D" w:rsidP="00B962D7">
      <w:pPr>
        <w:rPr>
          <w:rFonts w:eastAsia="Cambria" w:cs="Times New Roman"/>
        </w:rPr>
      </w:pPr>
      <w:r w:rsidRPr="005E355D">
        <w:rPr>
          <w:rFonts w:eastAsia="Cambria" w:cs="Times New Roman"/>
        </w:rPr>
        <w:t>In relation to resolving the issues relating to vaping supply, usage and uptake, the Government’s objectives would be met if, by 1 July 2026:</w:t>
      </w:r>
    </w:p>
    <w:p w14:paraId="66529144" w14:textId="59583932" w:rsidR="005E355D" w:rsidRPr="005E355D" w:rsidRDefault="005E355D" w:rsidP="00467EDD">
      <w:pPr>
        <w:pStyle w:val="Bullet1"/>
        <w:numPr>
          <w:ilvl w:val="0"/>
          <w:numId w:val="76"/>
        </w:numPr>
      </w:pPr>
      <w:r w:rsidRPr="005E355D">
        <w:t xml:space="preserve">vaping rates are significantly reduced in all age groups, but especially in </w:t>
      </w:r>
      <w:r w:rsidR="00AF7775">
        <w:t>youth and young adults</w:t>
      </w:r>
      <w:r w:rsidR="00AF7775" w:rsidRPr="005E355D" w:rsidDel="00AF7775">
        <w:t xml:space="preserve"> </w:t>
      </w:r>
      <w:r w:rsidRPr="005E355D">
        <w:t>(aged below 25 years), other than for therapeutic use</w:t>
      </w:r>
    </w:p>
    <w:p w14:paraId="089BD0DF" w14:textId="28971E63" w:rsidR="005E355D" w:rsidRPr="005E355D" w:rsidRDefault="005E355D" w:rsidP="00467EDD">
      <w:pPr>
        <w:pStyle w:val="Bullet1"/>
        <w:numPr>
          <w:ilvl w:val="0"/>
          <w:numId w:val="76"/>
        </w:numPr>
      </w:pPr>
      <w:r w:rsidRPr="005E355D">
        <w:t>the proportion of vapes being supplied through legal pathways, such as with a prescription and obtained from a pharmacy, significantly increases</w:t>
      </w:r>
    </w:p>
    <w:p w14:paraId="5CA8B574" w14:textId="48759308" w:rsidR="005E355D" w:rsidRPr="005E355D" w:rsidRDefault="005E355D" w:rsidP="00467EDD">
      <w:pPr>
        <w:pStyle w:val="Bullet1"/>
        <w:numPr>
          <w:ilvl w:val="0"/>
          <w:numId w:val="76"/>
        </w:numPr>
      </w:pPr>
      <w:r w:rsidRPr="005E355D">
        <w:t>there is increased consumer and prescriber awareness of therapeutic vapes as an option for smoking cessation</w:t>
      </w:r>
    </w:p>
    <w:p w14:paraId="4F46170E" w14:textId="6196764B" w:rsidR="005E355D" w:rsidRPr="005E355D" w:rsidRDefault="005E355D" w:rsidP="00467EDD">
      <w:pPr>
        <w:pStyle w:val="Bullet1"/>
        <w:numPr>
          <w:ilvl w:val="0"/>
          <w:numId w:val="76"/>
        </w:numPr>
      </w:pPr>
      <w:r w:rsidRPr="005E355D">
        <w:t xml:space="preserve">vapes for </w:t>
      </w:r>
      <w:r w:rsidR="003A4FA8">
        <w:rPr>
          <w:rFonts w:eastAsiaTheme="minorEastAsia"/>
        </w:rPr>
        <w:t>non-therapeutic</w:t>
      </w:r>
      <w:r w:rsidRPr="005E355D">
        <w:t xml:space="preserve"> use are considered to be less attractive to </w:t>
      </w:r>
      <w:r w:rsidR="001469F2">
        <w:t>youth and young adults</w:t>
      </w:r>
      <w:r w:rsidR="001469F2" w:rsidRPr="005E355D" w:rsidDel="001469F2">
        <w:t xml:space="preserve"> </w:t>
      </w:r>
      <w:r w:rsidRPr="005E355D">
        <w:t>(aged below 25 years) compared to the current state</w:t>
      </w:r>
    </w:p>
    <w:p w14:paraId="4EEF4DD9" w14:textId="6444F3A9" w:rsidR="005E355D" w:rsidRPr="005E355D" w:rsidRDefault="005E355D" w:rsidP="00467EDD">
      <w:pPr>
        <w:pStyle w:val="Bullet1"/>
        <w:numPr>
          <w:ilvl w:val="0"/>
          <w:numId w:val="76"/>
        </w:numPr>
      </w:pPr>
      <w:r w:rsidRPr="005E355D">
        <w:t>strengthened border controls significantly reduce the quantities of unlawful vapes being imported into Australia</w:t>
      </w:r>
    </w:p>
    <w:p w14:paraId="4D8A6EE6" w14:textId="77777777" w:rsidR="005E355D" w:rsidRPr="005E355D" w:rsidRDefault="005E355D" w:rsidP="00467EDD">
      <w:pPr>
        <w:pStyle w:val="Bullet1"/>
        <w:numPr>
          <w:ilvl w:val="0"/>
          <w:numId w:val="76"/>
        </w:numPr>
      </w:pPr>
      <w:r w:rsidRPr="005E355D">
        <w:t>strengthened domestic controls significantly reduce the quantities of unlawful vapes being supplied within Australia.</w:t>
      </w:r>
    </w:p>
    <w:p w14:paraId="52CD4B10" w14:textId="77777777" w:rsidR="005E355D" w:rsidRPr="005E355D" w:rsidRDefault="005E355D" w:rsidP="007A7891">
      <w:pPr>
        <w:pStyle w:val="Heading3"/>
        <w:rPr>
          <w:b w:val="0"/>
        </w:rPr>
      </w:pPr>
      <w:bookmarkStart w:id="261" w:name="_Toc151040402"/>
      <w:r w:rsidRPr="005E355D">
        <w:t xml:space="preserve">Monitoring and </w:t>
      </w:r>
      <w:r w:rsidRPr="007A7891">
        <w:t>evaluation</w:t>
      </w:r>
      <w:bookmarkEnd w:id="261"/>
      <w:r w:rsidRPr="005E355D">
        <w:t xml:space="preserve"> </w:t>
      </w:r>
    </w:p>
    <w:p w14:paraId="28C59907" w14:textId="77777777" w:rsidR="005E355D" w:rsidRPr="005E355D" w:rsidRDefault="005E355D" w:rsidP="00B962D7">
      <w:pPr>
        <w:rPr>
          <w:rFonts w:eastAsia="Calibri" w:cs="Times New Roman"/>
        </w:rPr>
      </w:pPr>
      <w:r w:rsidRPr="005E355D">
        <w:rPr>
          <w:rFonts w:eastAsia="Calibri" w:cs="Times New Roman"/>
        </w:rPr>
        <w:t xml:space="preserve">Compliance with the proposed legislation and existing legislation relating to the sale of e-cigarettes and vaping devices will continue to be monitored under existing frameworks to limit the trade of vaping and e-cigarette devices or tobacco that does not comply with legislative requirements. Changes in smoking patterns and behaviours will also be monitored. </w:t>
      </w:r>
    </w:p>
    <w:p w14:paraId="3F8C70D1" w14:textId="77777777" w:rsidR="005E355D" w:rsidRPr="005E355D" w:rsidRDefault="005E355D" w:rsidP="007A7891">
      <w:pPr>
        <w:rPr>
          <w:rFonts w:eastAsia="Calibri" w:cs="Times New Roman"/>
        </w:rPr>
      </w:pPr>
      <w:r w:rsidRPr="005E355D">
        <w:rPr>
          <w:rFonts w:eastAsia="Calibri" w:cs="Times New Roman"/>
        </w:rPr>
        <w:t xml:space="preserve">Should Option 3 be chosen, a monitoring and evaluation program for the reforms will be established. The program will be developed in line with the Commonwealth Evaluation Policy, which provides for a principles-based evaluation approach that is fit-for-purpose, useful, robust, ethical, culturally appropriate, credible, and transparent where appropriate. </w:t>
      </w:r>
    </w:p>
    <w:p w14:paraId="09D0E283" w14:textId="77777777" w:rsidR="005E355D" w:rsidRPr="005E355D" w:rsidRDefault="005E355D" w:rsidP="007A7891">
      <w:pPr>
        <w:rPr>
          <w:rFonts w:eastAsia="Calibri" w:cs="Times New Roman"/>
        </w:rPr>
      </w:pPr>
      <w:bookmarkStart w:id="262" w:name="_Hlk147604198"/>
      <w:r w:rsidRPr="005E355D">
        <w:rPr>
          <w:rFonts w:eastAsia="Calibri" w:cs="Times New Roman"/>
        </w:rPr>
        <w:t>The monitoring and evaluation program will include an evaluation framework, program logic and post</w:t>
      </w:r>
      <w:r w:rsidRPr="005E355D">
        <w:rPr>
          <w:rFonts w:eastAsia="Calibri" w:cs="Times New Roman"/>
        </w:rPr>
        <w:noBreakHyphen/>
        <w:t>implementation review designed to measure a wide range of outcomes relevant to the marketing and use of vapes and their impacts on population health. The program will measure reduction in cessation rates of vaping and improvement in patient outcomes from the collective impact of these measures.</w:t>
      </w:r>
    </w:p>
    <w:bookmarkEnd w:id="262"/>
    <w:p w14:paraId="2D8E743D" w14:textId="77777777" w:rsidR="005E355D" w:rsidRPr="005E355D" w:rsidRDefault="005E355D" w:rsidP="007A7891">
      <w:pPr>
        <w:rPr>
          <w:rFonts w:eastAsia="Calibri" w:cs="Times New Roman"/>
        </w:rPr>
      </w:pPr>
      <w:r w:rsidRPr="005E355D">
        <w:rPr>
          <w:rFonts w:eastAsia="Calibri" w:cs="Times New Roman"/>
        </w:rPr>
        <w:t xml:space="preserve">The evaluation framework will be targeted and adaptable to the specific aims and outcomes of the relevant measures contained in Option 3. It will incorporate both existing and to-be-developed datasets, information sources and international comparisons (where available), and will likely link into the measures implemented for tobacco control, due to the clear links between the two reforms, stakeholders and health outcomes. </w:t>
      </w:r>
    </w:p>
    <w:p w14:paraId="4D0E07EC" w14:textId="7C8173AE" w:rsidR="005E355D" w:rsidRPr="005E355D" w:rsidRDefault="005E355D" w:rsidP="007A7891">
      <w:pPr>
        <w:rPr>
          <w:rFonts w:eastAsia="Calibri" w:cs="Times New Roman"/>
        </w:rPr>
      </w:pPr>
      <w:r w:rsidRPr="005E355D">
        <w:rPr>
          <w:rFonts w:eastAsia="Calibri" w:cs="Times New Roman"/>
        </w:rPr>
        <w:t xml:space="preserve">The program would seek to track measures from their earliest stages to ensure implementation approaches are fit for purpose and can pivot as necessary during implementation. The monitoring activities and data collected as part of the program will provide Government with insights into uptake and utilisation trends of cessation supports, oversight of industry marketing activities, and compliance and enforcement activity. This will enable policy settings to adapt as needed to drive desired activities, </w:t>
      </w:r>
      <w:r w:rsidR="00CF5135" w:rsidRPr="005E355D">
        <w:rPr>
          <w:rFonts w:eastAsia="Calibri" w:cs="Times New Roman"/>
        </w:rPr>
        <w:t>behaviours,</w:t>
      </w:r>
      <w:r w:rsidRPr="005E355D">
        <w:rPr>
          <w:rFonts w:eastAsia="Calibri" w:cs="Times New Roman"/>
        </w:rPr>
        <w:t xml:space="preserve"> and outcomes.</w:t>
      </w:r>
    </w:p>
    <w:p w14:paraId="2E52D8AE" w14:textId="209DF359" w:rsidR="005E355D" w:rsidRPr="005E355D" w:rsidRDefault="005E355D" w:rsidP="007A7891">
      <w:pPr>
        <w:rPr>
          <w:rFonts w:eastAsia="Calibri" w:cs="Times New Roman"/>
        </w:rPr>
      </w:pPr>
      <w:r w:rsidRPr="005E355D">
        <w:rPr>
          <w:rFonts w:eastAsia="Calibri" w:cs="Times New Roman"/>
        </w:rPr>
        <w:lastRenderedPageBreak/>
        <w:t>Implementation will be supported by strengthened enforcement and monitoring activities that ensure compliance with new regulatory provisions at the border and in retail settings.  Compliance with the new legislative requirements will be monitored by the TGA, ABF, state and territory health and police authorities, AUSTRAC and the ACCC. Instances of non-compliance will be considered in accordance with the TG Act to ensure that enforcement and any potential penalties are proportionate to the nature of the contravention. Through education and awareness materials, suppliers and retailers will be supported to understand their new obligations</w:t>
      </w:r>
      <w:r>
        <w:rPr>
          <w:rFonts w:eastAsia="Calibri" w:cs="Times New Roman"/>
        </w:rPr>
        <w:t>.</w:t>
      </w:r>
      <w:r w:rsidRPr="005E355D">
        <w:rPr>
          <w:rFonts w:eastAsia="Calibri" w:cs="Times New Roman"/>
        </w:rPr>
        <w:t xml:space="preserve"> </w:t>
      </w:r>
    </w:p>
    <w:p w14:paraId="3B4F4CEC" w14:textId="77777777" w:rsidR="005E355D" w:rsidRPr="005E355D" w:rsidRDefault="005E355D" w:rsidP="007A7891">
      <w:r w:rsidRPr="005E355D">
        <w:t>There is also the risk that the desired quality standards will be breached by sponsors who notify compliant products to the TGA. The TGA will be conducting post-market surveillance and testing of products being supplied to the pharmacy market to mitigate this risk.</w:t>
      </w:r>
    </w:p>
    <w:p w14:paraId="6C46DF09" w14:textId="77777777" w:rsidR="005E355D" w:rsidRPr="005E355D" w:rsidRDefault="005E355D" w:rsidP="007A7891">
      <w:pPr>
        <w:pStyle w:val="Heading3"/>
        <w:rPr>
          <w:b w:val="0"/>
        </w:rPr>
      </w:pPr>
      <w:bookmarkStart w:id="263" w:name="_Toc151040403"/>
      <w:r w:rsidRPr="007A7891">
        <w:t>Measuring</w:t>
      </w:r>
      <w:r w:rsidRPr="005E355D">
        <w:t xml:space="preserve"> Success</w:t>
      </w:r>
      <w:bookmarkEnd w:id="263"/>
      <w:r w:rsidRPr="005E355D">
        <w:t xml:space="preserve"> </w:t>
      </w:r>
    </w:p>
    <w:p w14:paraId="75E74C49" w14:textId="77777777" w:rsidR="005E355D" w:rsidRPr="005E355D" w:rsidRDefault="005E355D" w:rsidP="007A7891">
      <w:pPr>
        <w:rPr>
          <w:rFonts w:eastAsia="Calibri" w:cs="Times New Roman"/>
        </w:rPr>
      </w:pPr>
      <w:r w:rsidRPr="005E355D">
        <w:rPr>
          <w:rFonts w:eastAsia="Calibri" w:cs="Times New Roman"/>
        </w:rPr>
        <w:t xml:space="preserve">As with many areas of health reform, most indicators of success in the regulation of vaping are likely to be lag rather than lead indicators. As part of the National Drug Strategy, the National Drug Strategy Household Survey, began in 1985 and is conducted approximately every 3 years. The survey is commissioned by the Department and the Australian Institute of Health and Welfare. It draws upon data provided by survey responses from over 20,000 citizens aged 14 years and over. This survey provides the most comprehensive national data set on illicit drug, alcohol and tobacco consumption, including vaping. It would provide an evidence base for determining the impact of the proposed regulatory changes, after adjusting for the impact of broader tobacco control measures. Additional datapoints could be provided from longitudinal health studies undertaken by the state and territory health departments, such as the NSW Government’s Generation Vape study detailed earlier in this document. </w:t>
      </w:r>
    </w:p>
    <w:p w14:paraId="45667BA3" w14:textId="4444811F" w:rsidR="005E355D" w:rsidRPr="005E355D" w:rsidRDefault="005E355D" w:rsidP="007A7891">
      <w:pPr>
        <w:rPr>
          <w:rFonts w:eastAsia="Calibri" w:cs="Times New Roman"/>
        </w:rPr>
      </w:pPr>
      <w:r w:rsidRPr="005E355D">
        <w:rPr>
          <w:rFonts w:eastAsia="Calibri" w:cs="Times New Roman"/>
        </w:rPr>
        <w:t>A reduction in the use of e-cigarettes is not a specific target in the National Tobacco Strategy 2023</w:t>
      </w:r>
      <w:r w:rsidRPr="005E355D">
        <w:rPr>
          <w:rFonts w:eastAsia="Calibri" w:cs="Times New Roman"/>
        </w:rPr>
        <w:noBreakHyphen/>
        <w:t>2030</w:t>
      </w:r>
      <w:r w:rsidR="00D20E99">
        <w:rPr>
          <w:rFonts w:eastAsia="Calibri" w:cs="Times New Roman"/>
        </w:rPr>
        <w:t>,</w:t>
      </w:r>
      <w:r w:rsidRPr="005E355D">
        <w:rPr>
          <w:rFonts w:eastAsia="Calibri" w:cs="Times New Roman"/>
          <w:vertAlign w:val="superscript"/>
        </w:rPr>
        <w:footnoteReference w:id="97"/>
      </w:r>
      <w:r w:rsidRPr="005E355D">
        <w:rPr>
          <w:rFonts w:eastAsia="Calibri" w:cs="Times New Roman"/>
        </w:rPr>
        <w:t xml:space="preserve"> though the listed actions specifically targeting e-cigarette use will contribute to achieving the listed national targets to reduce daily smoking prevalence.</w:t>
      </w:r>
    </w:p>
    <w:p w14:paraId="07A20472" w14:textId="349C0642" w:rsidR="005E355D" w:rsidRPr="005E355D" w:rsidRDefault="005E355D" w:rsidP="007A7891">
      <w:pPr>
        <w:rPr>
          <w:rFonts w:eastAsia="Calibri" w:cs="Times New Roman"/>
        </w:rPr>
      </w:pPr>
      <w:r w:rsidRPr="005E355D">
        <w:rPr>
          <w:rFonts w:eastAsia="Calibri" w:cs="Times New Roman"/>
        </w:rPr>
        <w:t xml:space="preserve">Reporting by health practitioners prescribing under the Special Access Scheme and </w:t>
      </w:r>
      <w:r w:rsidR="00C32A43">
        <w:rPr>
          <w:rFonts w:eastAsia="Calibri" w:cs="Times New Roman"/>
        </w:rPr>
        <w:t>AP</w:t>
      </w:r>
      <w:r w:rsidRPr="005E355D">
        <w:rPr>
          <w:rFonts w:eastAsia="Calibri" w:cs="Times New Roman"/>
        </w:rPr>
        <w:t xml:space="preserve"> pathways will provide data relating to the lawful access to therapeutic vapes. This data will be supplemented through IQVIA data, which will assist with determining the supply of therapeutic vapes from wholesalers to pharmacies.  </w:t>
      </w:r>
    </w:p>
    <w:p w14:paraId="6D912FED" w14:textId="77777777" w:rsidR="005E355D" w:rsidRPr="005E355D" w:rsidRDefault="005E355D" w:rsidP="007A7891">
      <w:pPr>
        <w:rPr>
          <w:rFonts w:eastAsia="Calibri" w:cs="Times New Roman"/>
        </w:rPr>
      </w:pPr>
      <w:r w:rsidRPr="005E355D">
        <w:rPr>
          <w:rFonts w:eastAsia="Calibri" w:cs="Times New Roman"/>
        </w:rPr>
        <w:t xml:space="preserve">In addition to the National Drug Strategy Household Survey, other key data to determine consumer awareness and attitudes over time include Roy Morgan and ASSAD survey data.  </w:t>
      </w:r>
    </w:p>
    <w:p w14:paraId="75E87EDF" w14:textId="040AD4C3" w:rsidR="005E355D" w:rsidRPr="005E355D" w:rsidRDefault="005E355D" w:rsidP="007A7891">
      <w:pPr>
        <w:rPr>
          <w:rFonts w:eastAsia="Calibri" w:cs="Times New Roman"/>
        </w:rPr>
      </w:pPr>
      <w:r w:rsidRPr="005E355D">
        <w:rPr>
          <w:rFonts w:eastAsia="Calibri" w:cs="Times New Roman"/>
        </w:rPr>
        <w:t xml:space="preserve">Strengthened border controls may also enable an output measure of interceptions and seizures of </w:t>
      </w:r>
      <w:r w:rsidR="009029BA">
        <w:rPr>
          <w:rFonts w:eastAsia="Calibri" w:cs="Times New Roman"/>
        </w:rPr>
        <w:t>vape</w:t>
      </w:r>
      <w:r w:rsidRPr="005E355D">
        <w:rPr>
          <w:rFonts w:eastAsia="Calibri" w:cs="Times New Roman"/>
        </w:rPr>
        <w:t xml:space="preserve">s, which would be expected to decrease over time as the market for these products decreases and the risk of detection at the border increases. Less robust indicators of success might include a reduction in online marketing of </w:t>
      </w:r>
      <w:r w:rsidR="009029BA">
        <w:rPr>
          <w:rFonts w:eastAsia="Calibri" w:cs="Times New Roman"/>
        </w:rPr>
        <w:t>vapes</w:t>
      </w:r>
      <w:r w:rsidRPr="005E355D">
        <w:rPr>
          <w:rFonts w:eastAsia="Calibri" w:cs="Times New Roman"/>
        </w:rPr>
        <w:t xml:space="preserve"> indicating a market contraction, though this will be dependent on the running down of domestic stockholdings.</w:t>
      </w:r>
    </w:p>
    <w:p w14:paraId="735820E0" w14:textId="0C154671" w:rsidR="005E355D" w:rsidRPr="005E355D" w:rsidRDefault="005E355D" w:rsidP="007A7891">
      <w:pPr>
        <w:rPr>
          <w:rFonts w:eastAsia="Calibri" w:cs="Times New Roman"/>
        </w:rPr>
      </w:pPr>
      <w:r w:rsidRPr="005E355D">
        <w:rPr>
          <w:rFonts w:eastAsia="Calibri" w:cs="Times New Roman"/>
        </w:rPr>
        <w:t xml:space="preserve">Similarly, the level of interceptions and seizures of </w:t>
      </w:r>
      <w:r w:rsidR="009029BA">
        <w:rPr>
          <w:rFonts w:eastAsia="Calibri" w:cs="Times New Roman"/>
        </w:rPr>
        <w:t>vape</w:t>
      </w:r>
      <w:r w:rsidRPr="005E355D">
        <w:rPr>
          <w:rFonts w:eastAsia="Calibri" w:cs="Times New Roman"/>
        </w:rPr>
        <w:t xml:space="preserve"> by state and territory health departments and police could be used as an output measure. These could be influenced, however, by the level of enforcement, rather than the level of unlawful products available. </w:t>
      </w:r>
    </w:p>
    <w:p w14:paraId="16F238EC" w14:textId="36F67505" w:rsidR="005E355D" w:rsidRPr="005E355D" w:rsidRDefault="005E355D" w:rsidP="007A7891">
      <w:pPr>
        <w:rPr>
          <w:rFonts w:eastAsia="Calibri" w:cs="Times New Roman"/>
        </w:rPr>
      </w:pPr>
      <w:r w:rsidRPr="005E355D">
        <w:rPr>
          <w:rFonts w:eastAsia="Calibri" w:cs="Times New Roman"/>
        </w:rPr>
        <w:t>In addition, state and territory governments, public health organisations and experts, smoking cessation services, and the research community will have valuable roles in contributing to the Government’s impact evaluation through the contribution of aligned data and research. Reports outlining the findings from impact evaluation will be published, where possible.</w:t>
      </w:r>
    </w:p>
    <w:p w14:paraId="657E7FD6" w14:textId="77777777" w:rsidR="005E355D" w:rsidRPr="005E355D" w:rsidRDefault="005E355D" w:rsidP="009D476C">
      <w:pPr>
        <w:pStyle w:val="Heading3"/>
        <w:rPr>
          <w:b w:val="0"/>
        </w:rPr>
      </w:pPr>
      <w:bookmarkStart w:id="264" w:name="_Toc151040404"/>
      <w:r w:rsidRPr="005E355D">
        <w:rPr>
          <w:rFonts w:eastAsia="Cambria"/>
        </w:rPr>
        <w:lastRenderedPageBreak/>
        <w:t xml:space="preserve">2026 </w:t>
      </w:r>
      <w:r w:rsidRPr="009D476C">
        <w:rPr>
          <w:rFonts w:eastAsia="Cambria"/>
        </w:rPr>
        <w:t>Review</w:t>
      </w:r>
      <w:bookmarkEnd w:id="264"/>
      <w:r w:rsidRPr="005E355D">
        <w:rPr>
          <w:rFonts w:eastAsia="Cambria"/>
        </w:rPr>
        <w:t xml:space="preserve"> </w:t>
      </w:r>
    </w:p>
    <w:p w14:paraId="56CCF49B" w14:textId="5E05D3DF" w:rsidR="00B11E8C" w:rsidRPr="005E355D" w:rsidRDefault="005E355D" w:rsidP="00B962D7">
      <w:pPr>
        <w:rPr>
          <w:rFonts w:eastAsia="Calibri" w:cs="Times New Roman"/>
        </w:rPr>
      </w:pPr>
      <w:r w:rsidRPr="005E355D">
        <w:rPr>
          <w:rFonts w:eastAsia="Calibri" w:cs="Times New Roman"/>
        </w:rPr>
        <w:t>Fu</w:t>
      </w:r>
      <w:r>
        <w:rPr>
          <w:rFonts w:eastAsia="Calibri" w:cs="Times New Roman"/>
        </w:rPr>
        <w:t>r</w:t>
      </w:r>
      <w:r w:rsidRPr="005E355D">
        <w:rPr>
          <w:rFonts w:eastAsia="Calibri" w:cs="Times New Roman"/>
        </w:rPr>
        <w:t xml:space="preserve">ther, it is proposed that in 2026 the TGA will undertake consideration of whether it is appropriate to continue to allow the continued importation, manufacture and supply of vapes as unapproved goods. If it is appropriate to continue to regulate vapes as unapproved goods, the TGA will also look to whether product standards should be further increased. This consideration will result in recommendations to Government. </w:t>
      </w:r>
    </w:p>
    <w:p w14:paraId="06030412" w14:textId="3200B08B" w:rsidR="00A657BE" w:rsidRDefault="00A657BE">
      <w:r>
        <w:br w:type="page"/>
      </w:r>
    </w:p>
    <w:p w14:paraId="498D3594" w14:textId="77777777" w:rsidR="00E83A3B" w:rsidRDefault="00E83A3B" w:rsidP="00F80E14">
      <w:pPr>
        <w:pStyle w:val="Heading2"/>
        <w:sectPr w:rsidR="00E83A3B" w:rsidSect="00853309">
          <w:headerReference w:type="even" r:id="rId75"/>
          <w:headerReference w:type="default" r:id="rId76"/>
          <w:footerReference w:type="default" r:id="rId77"/>
          <w:headerReference w:type="first" r:id="rId78"/>
          <w:pgSz w:w="11906" w:h="16838" w:code="9"/>
          <w:pgMar w:top="1701" w:right="1440" w:bottom="1440" w:left="1440" w:header="573" w:footer="567" w:gutter="0"/>
          <w:cols w:space="708"/>
          <w:docGrid w:linePitch="360"/>
        </w:sectPr>
      </w:pPr>
      <w:bookmarkStart w:id="265" w:name="_Toc147384306"/>
      <w:bookmarkStart w:id="266" w:name="_Toc145668120"/>
    </w:p>
    <w:p w14:paraId="7BA0F0DC" w14:textId="40E071DF" w:rsidR="004F2CE6" w:rsidRDefault="004F2CE6" w:rsidP="009D476C">
      <w:pPr>
        <w:pStyle w:val="Heading2"/>
      </w:pPr>
      <w:bookmarkStart w:id="267" w:name="_Toc151040405"/>
      <w:r>
        <w:lastRenderedPageBreak/>
        <w:t xml:space="preserve">Annexure A – </w:t>
      </w:r>
      <w:r w:rsidR="00C775F5">
        <w:t xml:space="preserve">Vaping </w:t>
      </w:r>
      <w:r w:rsidR="000D4DCC">
        <w:t>P</w:t>
      </w:r>
      <w:r w:rsidR="00C775F5">
        <w:t xml:space="preserve">olicy </w:t>
      </w:r>
      <w:r w:rsidRPr="009D476C">
        <w:t>Implementation</w:t>
      </w:r>
      <w:r>
        <w:t xml:space="preserve"> Plan</w:t>
      </w:r>
      <w:bookmarkEnd w:id="267"/>
    </w:p>
    <w:p w14:paraId="27F49442" w14:textId="3B4E0835" w:rsidR="00427B39" w:rsidRPr="00427B39" w:rsidRDefault="002243C8" w:rsidP="00427B39">
      <w:r>
        <w:rPr>
          <w:noProof/>
          <w:lang w:eastAsia="en-AU"/>
        </w:rPr>
        <w:drawing>
          <wp:anchor distT="0" distB="0" distL="114300" distR="114300" simplePos="0" relativeHeight="251660288" behindDoc="0" locked="0" layoutInCell="1" allowOverlap="1" wp14:anchorId="3B9DB8A4" wp14:editId="2CC13349">
            <wp:simplePos x="0" y="0"/>
            <wp:positionH relativeFrom="page">
              <wp:posOffset>914400</wp:posOffset>
            </wp:positionH>
            <wp:positionV relativeFrom="paragraph">
              <wp:posOffset>237490</wp:posOffset>
            </wp:positionV>
            <wp:extent cx="8763000" cy="3592830"/>
            <wp:effectExtent l="0" t="0" r="0" b="7620"/>
            <wp:wrapTopAndBottom/>
            <wp:docPr id="795433249" name="Picture 79543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63000" cy="3592830"/>
                    </a:xfrm>
                    <a:prstGeom prst="rect">
                      <a:avLst/>
                    </a:prstGeom>
                    <a:noFill/>
                  </pic:spPr>
                </pic:pic>
              </a:graphicData>
            </a:graphic>
            <wp14:sizeRelH relativeFrom="margin">
              <wp14:pctWidth>0</wp14:pctWidth>
            </wp14:sizeRelH>
            <wp14:sizeRelV relativeFrom="margin">
              <wp14:pctHeight>0</wp14:pctHeight>
            </wp14:sizeRelV>
          </wp:anchor>
        </w:drawing>
      </w:r>
    </w:p>
    <w:p w14:paraId="2607E8B3" w14:textId="5E53CFCF" w:rsidR="00E31A5A" w:rsidRDefault="00E31A5A" w:rsidP="004F2CE6"/>
    <w:p w14:paraId="7367F733" w14:textId="0FCAEF78" w:rsidR="00E31A5A" w:rsidRDefault="002243C8">
      <w:r>
        <w:rPr>
          <w:noProof/>
          <w:lang w:eastAsia="en-AU"/>
        </w:rPr>
        <w:lastRenderedPageBreak/>
        <w:drawing>
          <wp:anchor distT="0" distB="0" distL="114300" distR="114300" simplePos="0" relativeHeight="251662336" behindDoc="0" locked="0" layoutInCell="1" allowOverlap="1" wp14:anchorId="6FDA61FD" wp14:editId="27EE071F">
            <wp:simplePos x="0" y="0"/>
            <wp:positionH relativeFrom="page">
              <wp:posOffset>914400</wp:posOffset>
            </wp:positionH>
            <wp:positionV relativeFrom="paragraph">
              <wp:posOffset>238125</wp:posOffset>
            </wp:positionV>
            <wp:extent cx="8763000" cy="4388485"/>
            <wp:effectExtent l="0" t="0" r="0" b="0"/>
            <wp:wrapTopAndBottom/>
            <wp:docPr id="795433248" name="Picture 79543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00" cy="4388485"/>
                    </a:xfrm>
                    <a:prstGeom prst="rect">
                      <a:avLst/>
                    </a:prstGeom>
                    <a:noFill/>
                  </pic:spPr>
                </pic:pic>
              </a:graphicData>
            </a:graphic>
            <wp14:sizeRelH relativeFrom="margin">
              <wp14:pctWidth>0</wp14:pctWidth>
            </wp14:sizeRelH>
            <wp14:sizeRelV relativeFrom="margin">
              <wp14:pctHeight>0</wp14:pctHeight>
            </wp14:sizeRelV>
          </wp:anchor>
        </w:drawing>
      </w:r>
    </w:p>
    <w:p w14:paraId="2672B7E9" w14:textId="5AC74B5A" w:rsidR="00E31A5A" w:rsidRDefault="00E31A5A"/>
    <w:p w14:paraId="170BF21C" w14:textId="77777777" w:rsidR="002243C8" w:rsidRDefault="002243C8"/>
    <w:p w14:paraId="406D5022" w14:textId="59150920" w:rsidR="002243C8" w:rsidRDefault="002243C8">
      <w:r>
        <w:rPr>
          <w:noProof/>
          <w:lang w:eastAsia="en-AU"/>
        </w:rPr>
        <w:lastRenderedPageBreak/>
        <w:drawing>
          <wp:anchor distT="0" distB="0" distL="114300" distR="114300" simplePos="0" relativeHeight="251666432" behindDoc="0" locked="0" layoutInCell="1" allowOverlap="1" wp14:anchorId="5E34E715" wp14:editId="7ED14AFD">
            <wp:simplePos x="0" y="0"/>
            <wp:positionH relativeFrom="page">
              <wp:posOffset>914400</wp:posOffset>
            </wp:positionH>
            <wp:positionV relativeFrom="paragraph">
              <wp:posOffset>238125</wp:posOffset>
            </wp:positionV>
            <wp:extent cx="8814435" cy="4417695"/>
            <wp:effectExtent l="0" t="0" r="5715"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14435" cy="4417695"/>
                    </a:xfrm>
                    <a:prstGeom prst="rect">
                      <a:avLst/>
                    </a:prstGeom>
                    <a:noFill/>
                  </pic:spPr>
                </pic:pic>
              </a:graphicData>
            </a:graphic>
          </wp:anchor>
        </w:drawing>
      </w:r>
    </w:p>
    <w:p w14:paraId="618CF8C7" w14:textId="1E5950B6" w:rsidR="00E31A5A" w:rsidRDefault="00E31A5A">
      <w:pPr>
        <w:rPr>
          <w:noProof/>
        </w:rPr>
      </w:pPr>
    </w:p>
    <w:p w14:paraId="637A2803" w14:textId="63E26E05" w:rsidR="002243C8" w:rsidRDefault="002243C8">
      <w:pPr>
        <w:rPr>
          <w:noProof/>
        </w:rPr>
      </w:pPr>
    </w:p>
    <w:p w14:paraId="00A3A623" w14:textId="2C156F3A" w:rsidR="002243C8" w:rsidRDefault="002243C8">
      <w:pPr>
        <w:rPr>
          <w:noProof/>
        </w:rPr>
      </w:pPr>
    </w:p>
    <w:p w14:paraId="4D58BDB1" w14:textId="6F01F74D" w:rsidR="002243C8" w:rsidRDefault="002243C8">
      <w:pPr>
        <w:rPr>
          <w:noProof/>
        </w:rPr>
      </w:pPr>
    </w:p>
    <w:p w14:paraId="397936CA" w14:textId="4AD55DDE" w:rsidR="002243C8" w:rsidRDefault="002243C8">
      <w:r>
        <w:rPr>
          <w:noProof/>
          <w:lang w:eastAsia="en-AU"/>
        </w:rPr>
        <w:lastRenderedPageBreak/>
        <w:drawing>
          <wp:anchor distT="0" distB="0" distL="114300" distR="114300" simplePos="0" relativeHeight="251668480" behindDoc="0" locked="0" layoutInCell="1" allowOverlap="1" wp14:anchorId="767EDE45" wp14:editId="7C21E7FC">
            <wp:simplePos x="0" y="0"/>
            <wp:positionH relativeFrom="margin">
              <wp:posOffset>0</wp:posOffset>
            </wp:positionH>
            <wp:positionV relativeFrom="paragraph">
              <wp:posOffset>238125</wp:posOffset>
            </wp:positionV>
            <wp:extent cx="8829675" cy="4507230"/>
            <wp:effectExtent l="0" t="0" r="9525" b="7620"/>
            <wp:wrapTopAndBottom/>
            <wp:docPr id="795433251" name="Picture 79543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29675" cy="4507230"/>
                    </a:xfrm>
                    <a:prstGeom prst="rect">
                      <a:avLst/>
                    </a:prstGeom>
                    <a:noFill/>
                  </pic:spPr>
                </pic:pic>
              </a:graphicData>
            </a:graphic>
            <wp14:sizeRelH relativeFrom="margin">
              <wp14:pctWidth>0</wp14:pctWidth>
            </wp14:sizeRelH>
            <wp14:sizeRelV relativeFrom="margin">
              <wp14:pctHeight>0</wp14:pctHeight>
            </wp14:sizeRelV>
          </wp:anchor>
        </w:drawing>
      </w:r>
    </w:p>
    <w:p w14:paraId="3CFD05A4" w14:textId="6C4387FF" w:rsidR="00E31A5A" w:rsidRDefault="00E31A5A"/>
    <w:p w14:paraId="4A3C8BAB" w14:textId="6E96AC78" w:rsidR="00EF6B47" w:rsidRDefault="00EF6B47"/>
    <w:p w14:paraId="25636837" w14:textId="7398C147" w:rsidR="002243C8" w:rsidRDefault="002243C8"/>
    <w:p w14:paraId="463BB5E8" w14:textId="352A182F" w:rsidR="002243C8" w:rsidRDefault="002243C8"/>
    <w:p w14:paraId="074A1D9E" w14:textId="55130BAE" w:rsidR="00E31A5A" w:rsidRDefault="002243C8">
      <w:r>
        <w:rPr>
          <w:noProof/>
          <w:lang w:eastAsia="en-AU"/>
        </w:rPr>
        <w:lastRenderedPageBreak/>
        <w:drawing>
          <wp:inline distT="0" distB="0" distL="0" distR="0" wp14:anchorId="72E1EB60" wp14:editId="3C39BBD6">
            <wp:extent cx="8697595" cy="3628372"/>
            <wp:effectExtent l="0" t="0" r="0" b="0"/>
            <wp:docPr id="795433252" name="Picture 79543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97595" cy="3628372"/>
                    </a:xfrm>
                    <a:prstGeom prst="rect">
                      <a:avLst/>
                    </a:prstGeom>
                    <a:noFill/>
                  </pic:spPr>
                </pic:pic>
              </a:graphicData>
            </a:graphic>
          </wp:inline>
        </w:drawing>
      </w:r>
    </w:p>
    <w:p w14:paraId="56B3FFFB" w14:textId="7E848999" w:rsidR="002243C8" w:rsidRDefault="002243C8"/>
    <w:p w14:paraId="3D9FB6D5" w14:textId="01F9C68B" w:rsidR="002243C8" w:rsidRDefault="002243C8"/>
    <w:p w14:paraId="66427359" w14:textId="711B9AE3" w:rsidR="002243C8" w:rsidRDefault="002243C8"/>
    <w:p w14:paraId="4B11F46B" w14:textId="51006543" w:rsidR="002243C8" w:rsidRDefault="002243C8"/>
    <w:p w14:paraId="173993FC" w14:textId="2092C298" w:rsidR="002243C8" w:rsidRDefault="002243C8"/>
    <w:p w14:paraId="39401750" w14:textId="44311248" w:rsidR="002243C8" w:rsidRDefault="002243C8"/>
    <w:p w14:paraId="299723E2" w14:textId="51E66048" w:rsidR="002243C8" w:rsidRDefault="002243C8"/>
    <w:p w14:paraId="0E088E6A" w14:textId="4F240450" w:rsidR="002243C8" w:rsidRDefault="002243C8"/>
    <w:p w14:paraId="33C65B63" w14:textId="037DA520" w:rsidR="002243C8" w:rsidRDefault="002243C8">
      <w:r>
        <w:rPr>
          <w:noProof/>
          <w:lang w:eastAsia="en-AU"/>
        </w:rPr>
        <w:lastRenderedPageBreak/>
        <w:drawing>
          <wp:inline distT="0" distB="0" distL="0" distR="0" wp14:anchorId="06346085" wp14:editId="7C737AC6">
            <wp:extent cx="8697595" cy="4315047"/>
            <wp:effectExtent l="0" t="0" r="8255" b="9525"/>
            <wp:docPr id="795433254" name="Picture 79543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97595" cy="4315047"/>
                    </a:xfrm>
                    <a:prstGeom prst="rect">
                      <a:avLst/>
                    </a:prstGeom>
                    <a:noFill/>
                  </pic:spPr>
                </pic:pic>
              </a:graphicData>
            </a:graphic>
          </wp:inline>
        </w:drawing>
      </w:r>
    </w:p>
    <w:p w14:paraId="40999989" w14:textId="3E84CA1A" w:rsidR="00C775F5" w:rsidRDefault="00C775F5">
      <w:pPr>
        <w:sectPr w:rsidR="00C775F5" w:rsidSect="00E83A3B">
          <w:pgSz w:w="16838" w:h="11906" w:orient="landscape" w:code="9"/>
          <w:pgMar w:top="1440" w:right="1701" w:bottom="1440" w:left="1440" w:header="573" w:footer="567" w:gutter="0"/>
          <w:cols w:space="708"/>
          <w:docGrid w:linePitch="360"/>
        </w:sectPr>
      </w:pPr>
    </w:p>
    <w:p w14:paraId="44916B3B" w14:textId="26573BE1" w:rsidR="00F80E14" w:rsidRDefault="00F80E14" w:rsidP="00F80E14">
      <w:pPr>
        <w:pStyle w:val="Heading2"/>
      </w:pPr>
      <w:bookmarkStart w:id="268" w:name="_Toc151040406"/>
      <w:r w:rsidRPr="00827541">
        <w:lastRenderedPageBreak/>
        <w:t xml:space="preserve">Annexure </w:t>
      </w:r>
      <w:r>
        <w:t>B</w:t>
      </w:r>
      <w:r w:rsidRPr="00827541">
        <w:t xml:space="preserve"> – Regulatory Burden Estimate</w:t>
      </w:r>
      <w:bookmarkEnd w:id="265"/>
      <w:bookmarkEnd w:id="268"/>
    </w:p>
    <w:p w14:paraId="19CB8FAD" w14:textId="77777777" w:rsidR="00F80E14" w:rsidRPr="00755542" w:rsidRDefault="00F80E14" w:rsidP="0004242F">
      <w:pPr>
        <w:pStyle w:val="Heading3"/>
      </w:pPr>
      <w:bookmarkStart w:id="269" w:name="_Toc147384307"/>
      <w:bookmarkStart w:id="270" w:name="_Toc151040407"/>
      <w:r w:rsidRPr="00755542">
        <w:t xml:space="preserve">Purpose of this </w:t>
      </w:r>
      <w:r w:rsidRPr="0004242F">
        <w:t>annexure</w:t>
      </w:r>
      <w:bookmarkEnd w:id="269"/>
      <w:bookmarkEnd w:id="270"/>
    </w:p>
    <w:p w14:paraId="3153A023" w14:textId="77777777" w:rsidR="00F80E14" w:rsidRPr="004A70BA" w:rsidRDefault="00F80E14" w:rsidP="00F80E14">
      <w:r>
        <w:t>T</w:t>
      </w:r>
      <w:r w:rsidRPr="00E57F9F">
        <w:t xml:space="preserve">his </w:t>
      </w:r>
      <w:r>
        <w:t>annexure</w:t>
      </w:r>
      <w:r w:rsidRPr="00E57F9F">
        <w:t xml:space="preserve"> provide</w:t>
      </w:r>
      <w:r>
        <w:t>s</w:t>
      </w:r>
      <w:r w:rsidRPr="00E57F9F">
        <w:t xml:space="preserve"> a quantification of the regulatory </w:t>
      </w:r>
      <w:r>
        <w:t xml:space="preserve">burden </w:t>
      </w:r>
      <w:r w:rsidRPr="00E57F9F">
        <w:t xml:space="preserve">of the proposed </w:t>
      </w:r>
      <w:r>
        <w:t xml:space="preserve">changes to the regulation of vapes. </w:t>
      </w:r>
    </w:p>
    <w:p w14:paraId="703332B5" w14:textId="77777777" w:rsidR="00F80E14" w:rsidRPr="00F05970" w:rsidRDefault="00F80E14" w:rsidP="0004242F">
      <w:pPr>
        <w:pStyle w:val="Heading3"/>
      </w:pPr>
      <w:bookmarkStart w:id="271" w:name="_Toc147384308"/>
      <w:bookmarkStart w:id="272" w:name="_Toc151040408"/>
      <w:r w:rsidRPr="0004242F">
        <w:t>Approach</w:t>
      </w:r>
      <w:bookmarkEnd w:id="271"/>
      <w:bookmarkEnd w:id="272"/>
    </w:p>
    <w:p w14:paraId="772D3B58" w14:textId="131A5D3A" w:rsidR="00F80E14" w:rsidRPr="00A36D44" w:rsidRDefault="00F80E14" w:rsidP="0004242F">
      <w:r w:rsidRPr="00A36D44">
        <w:t>The modelling detailed in this</w:t>
      </w:r>
      <w:r>
        <w:t xml:space="preserve"> annexure</w:t>
      </w:r>
      <w:r w:rsidRPr="00A36D44">
        <w:t xml:space="preserve"> was conducted in accordance with </w:t>
      </w:r>
      <w:r>
        <w:t xml:space="preserve">Office of </w:t>
      </w:r>
      <w:r w:rsidR="00381A29">
        <w:t>I</w:t>
      </w:r>
      <w:r>
        <w:t>mpact Analysis</w:t>
      </w:r>
      <w:r w:rsidRPr="00A36D44">
        <w:t xml:space="preserve"> </w:t>
      </w:r>
      <w:r w:rsidR="00381A29">
        <w:t xml:space="preserve">(OIA) </w:t>
      </w:r>
      <w:r w:rsidRPr="00A36D44">
        <w:t>guidance for the calculation of regulatory costs</w:t>
      </w:r>
      <w:r>
        <w:t xml:space="preserve"> on businesses, community organisations and individuals.</w:t>
      </w:r>
      <w:r w:rsidRPr="002F64FB">
        <w:t xml:space="preserve"> </w:t>
      </w:r>
      <w:r>
        <w:t xml:space="preserve">For the purposes of this regulatory burden estimate, stakeholder groups include medical practitioners, pharmacists, manufacturers, suppliers and vape retailers. Individuals, referred to collectively as consumers, comprises both patients of medical practitioners and consumers who purchase vaping devices.  </w:t>
      </w:r>
    </w:p>
    <w:p w14:paraId="1D4A86E6" w14:textId="77777777" w:rsidR="00F80E14" w:rsidRPr="00A36D44" w:rsidRDefault="00F80E14" w:rsidP="0004242F">
      <w:r w:rsidRPr="00A36D44">
        <w:t xml:space="preserve">The below activities were undertaken to inform the development of the </w:t>
      </w:r>
      <w:r>
        <w:t>r</w:t>
      </w:r>
      <w:r w:rsidRPr="00A36D44">
        <w:t xml:space="preserve">egulatory </w:t>
      </w:r>
      <w:r>
        <w:t>costs</w:t>
      </w:r>
      <w:r w:rsidRPr="00A36D44">
        <w:t>:</w:t>
      </w:r>
      <w:r>
        <w:t xml:space="preserve"> </w:t>
      </w:r>
      <w:r w:rsidRPr="00A36D44">
        <w:t xml:space="preserve"> </w:t>
      </w:r>
    </w:p>
    <w:p w14:paraId="4F25D6A2" w14:textId="7577412D" w:rsidR="00F80E14" w:rsidRPr="00BB49E2" w:rsidRDefault="00F80E14" w:rsidP="00467EDD">
      <w:pPr>
        <w:pStyle w:val="Bullet1"/>
        <w:numPr>
          <w:ilvl w:val="0"/>
          <w:numId w:val="77"/>
        </w:numPr>
      </w:pPr>
      <w:r w:rsidRPr="00BB49E2">
        <w:t>desktop research to understand the current regulations for vapes in Australia</w:t>
      </w:r>
    </w:p>
    <w:p w14:paraId="79A7DDB7" w14:textId="7B0C43A5" w:rsidR="00F80E14" w:rsidRPr="00BB49E2" w:rsidRDefault="00F80E14" w:rsidP="00467EDD">
      <w:pPr>
        <w:pStyle w:val="Bullet1"/>
        <w:numPr>
          <w:ilvl w:val="0"/>
          <w:numId w:val="77"/>
        </w:numPr>
      </w:pPr>
      <w:r w:rsidRPr="00BB49E2">
        <w:t>numerous workshops and meetings with departmental staff, both internal and external to the Department of Health and Aged Care, to clarify and refine the underpinning policy positions for the proposed regulatory changes, identify likely response pathways (including frequency and time required for each activity), and test and validate assumptions</w:t>
      </w:r>
    </w:p>
    <w:p w14:paraId="37F19FA8" w14:textId="77777777" w:rsidR="00F80E14" w:rsidRPr="00BB49E2" w:rsidRDefault="00F80E14" w:rsidP="00467EDD">
      <w:pPr>
        <w:pStyle w:val="Bullet1"/>
        <w:numPr>
          <w:ilvl w:val="0"/>
          <w:numId w:val="77"/>
        </w:numPr>
      </w:pPr>
      <w:r w:rsidRPr="00BB49E2">
        <w:t>identification of regulatory touchpoints for the proposed regulatory changes (including second-order touch-points necessary to achieve the sought policy outcomes)</w:t>
      </w:r>
    </w:p>
    <w:p w14:paraId="4B86B258" w14:textId="208C0B27" w:rsidR="00F80E14" w:rsidRPr="00BB49E2" w:rsidRDefault="00F80E14" w:rsidP="00467EDD">
      <w:pPr>
        <w:pStyle w:val="Bullet1"/>
        <w:numPr>
          <w:ilvl w:val="0"/>
          <w:numId w:val="77"/>
        </w:numPr>
      </w:pPr>
      <w:r w:rsidRPr="00BB49E2">
        <w:t>determination of the respective populations impacted by identified touchpoints (i.e., consumers, medical practitioners, pharmacists, manufacturers and suppliers (sponsors) and vaping retailers) and mapped pathways and requirements</w:t>
      </w:r>
    </w:p>
    <w:p w14:paraId="0974AA4C" w14:textId="5A131C8A" w:rsidR="00F80E14" w:rsidRPr="00BB49E2" w:rsidRDefault="00F80E14" w:rsidP="00467EDD">
      <w:pPr>
        <w:pStyle w:val="Bullet1"/>
        <w:numPr>
          <w:ilvl w:val="0"/>
          <w:numId w:val="77"/>
        </w:numPr>
      </w:pPr>
      <w:r w:rsidRPr="00BB49E2">
        <w:t>review and analysis of responses to the September 2023 TGA consultation paper titled ‘Proposed reforms to the regulation of vapes’</w:t>
      </w:r>
    </w:p>
    <w:p w14:paraId="5BB5CE4B" w14:textId="77777777" w:rsidR="00F80E14" w:rsidRPr="00BB49E2" w:rsidRDefault="00F80E14" w:rsidP="00467EDD">
      <w:pPr>
        <w:pStyle w:val="Bullet1"/>
        <w:numPr>
          <w:ilvl w:val="0"/>
          <w:numId w:val="77"/>
        </w:numPr>
      </w:pPr>
      <w:r w:rsidRPr="00BB49E2">
        <w:t>utilisation of existing datasets to estimate current and future (growth) population numbers (where relevant).</w:t>
      </w:r>
    </w:p>
    <w:p w14:paraId="68B80549" w14:textId="77777777" w:rsidR="00F80E14" w:rsidRPr="00A36D44" w:rsidRDefault="00F80E14" w:rsidP="002A3C99">
      <w:r w:rsidRPr="00A36D44">
        <w:t xml:space="preserve">Specifically, </w:t>
      </w:r>
      <w:r>
        <w:t>the regulatory costing</w:t>
      </w:r>
      <w:r w:rsidRPr="00A36D44">
        <w:t xml:space="preserve"> considered the following options: </w:t>
      </w:r>
    </w:p>
    <w:p w14:paraId="5AE53657" w14:textId="77777777" w:rsidR="00A0398A" w:rsidRPr="00BB49E2" w:rsidRDefault="00F80E14" w:rsidP="00ED5196">
      <w:pPr>
        <w:pStyle w:val="Bullet1"/>
        <w:ind w:left="720"/>
      </w:pPr>
      <w:r w:rsidRPr="00F21C42">
        <w:rPr>
          <w:u w:val="single"/>
        </w:rPr>
        <w:t>Option 1 – Status Quo.</w:t>
      </w:r>
      <w:r w:rsidRPr="00BB49E2">
        <w:t xml:space="preserve"> Under the status quo, vapes would continue to be able to be imported under the Personal Importation Scheme and border enforcement activities would remain complicated by it being difficult to distinguish between unlawful and lawful imports of vapes. There would remain no import restrictions on zero-nicotine vapes and disposable vapes.  </w:t>
      </w:r>
    </w:p>
    <w:p w14:paraId="3F92A6AF" w14:textId="77777777" w:rsidR="00A0398A" w:rsidRPr="00BB49E2" w:rsidRDefault="00F80E14" w:rsidP="00ED5196">
      <w:pPr>
        <w:pStyle w:val="Bullet1"/>
        <w:ind w:left="720"/>
      </w:pPr>
      <w:r w:rsidRPr="00F21C42">
        <w:rPr>
          <w:u w:val="single"/>
        </w:rPr>
        <w:t>Option 2 – Regulating vapes under a consumer model.</w:t>
      </w:r>
      <w:r w:rsidRPr="00BB49E2">
        <w:t xml:space="preserve"> This Option would result in vapes being available for purchase by consumers from a range of retail outlets, including supermarkets and convenience stores, provided appropriate regulatory requirements are met (including compliance with product standards and age restrictions for sale). There would not be a restriction on the intended use of vapes. </w:t>
      </w:r>
    </w:p>
    <w:p w14:paraId="2CE03A96" w14:textId="77777777" w:rsidR="00A0398A" w:rsidRPr="00BB49E2" w:rsidRDefault="00F80E14" w:rsidP="00ED5196">
      <w:pPr>
        <w:pStyle w:val="Bullet1"/>
        <w:ind w:left="720"/>
      </w:pPr>
      <w:r w:rsidRPr="00F21C42">
        <w:rPr>
          <w:u w:val="single"/>
        </w:rPr>
        <w:t>Option 3 – Increased regulation of vapes through the Therapeutic Goods Act and Customs Regulations.</w:t>
      </w:r>
      <w:r w:rsidRPr="00BB49E2">
        <w:t xml:space="preserve">  </w:t>
      </w:r>
      <w:r w:rsidRPr="00ED5196">
        <w:t>Under this option, vapes would be prohibited unless they are therapeutic vapes that meet TG Act requirements. The TG Act requirements for therapeutic vapes would be strengthened, as would compliance powers. Access to therapeutic vapes would be facilitated by allowing all doctors to prescribe therapeutic vapes for smoking cessation or to treat nicotine addiction without needing to apply to the TGA for approval</w:t>
      </w:r>
      <w:r w:rsidRPr="00BB49E2">
        <w:t xml:space="preserve">.  </w:t>
      </w:r>
      <w:r w:rsidRPr="00BB49E2">
        <w:rPr>
          <w:b/>
        </w:rPr>
        <w:t xml:space="preserve">This option is the most </w:t>
      </w:r>
      <w:r w:rsidRPr="00BB49E2">
        <w:rPr>
          <w:b/>
        </w:rPr>
        <w:lastRenderedPageBreak/>
        <w:t>likely to achieve the sought health outcomes and Government objectives, so the estimated regulatory burden arising from the option has been costed in detail</w:t>
      </w:r>
      <w:r w:rsidRPr="00BB49E2">
        <w:t>.</w:t>
      </w:r>
    </w:p>
    <w:p w14:paraId="75B90526" w14:textId="1C03B9C3" w:rsidR="00F80E14" w:rsidRPr="00BB49E2" w:rsidRDefault="00F80E14" w:rsidP="00805633">
      <w:pPr>
        <w:pStyle w:val="Bullet1"/>
        <w:ind w:left="720"/>
      </w:pPr>
      <w:r w:rsidRPr="00805633">
        <w:rPr>
          <w:u w:val="single"/>
        </w:rPr>
        <w:t>Option 4 – Ban on non-therapeutic vapes and require vapes to be registered on the Australian Register of Therapeutic Goods and not available as ‘unapproved’ therapeutic goods.</w:t>
      </w:r>
      <w:r w:rsidRPr="00BB49E2">
        <w:t xml:space="preserve"> As with Option 3, it would involve banning all non-therapeutic vapes, but would add a requirement for any vape to be registered on the ARTG to be able to be lawfully supplied in </w:t>
      </w:r>
      <w:r w:rsidR="00A0398A" w:rsidRPr="00BB49E2">
        <w:t>Australia. This</w:t>
      </w:r>
      <w:r w:rsidRPr="00BB49E2">
        <w:t xml:space="preserve"> option provides all the </w:t>
      </w:r>
      <w:r w:rsidR="00A0398A" w:rsidRPr="00BB49E2">
        <w:t>desired</w:t>
      </w:r>
      <w:r w:rsidRPr="00BB49E2">
        <w:t xml:space="preserve"> benefits from Option 3 with the added advantage of removing any remaining hesitation from </w:t>
      </w:r>
      <w:r w:rsidR="00C61EFF">
        <w:t>health practitioners</w:t>
      </w:r>
      <w:r w:rsidRPr="00BB49E2">
        <w:t xml:space="preserve"> to prescribe vapes for smoking cessation and the treatment of nicotine addiction purposes due to their status as unapproved medicines. However, by requiring vapes to be registered in the ARTG and given the low likelihood of a sponsor to seek to have a product approved, this would likely preclude access to such products by consumers for a period of at least a couple of years, which is counter to the Government’s stated policy objectives to preserve access to vapes for therapeutic purposes. While the registration of vapes on the ARTG should remain the long-term objective of the vaping reforms, this option will not meet the Government’s policy objectives. The regulatory burden variations between Option 4 and Option 3 have been estimated.</w:t>
      </w:r>
    </w:p>
    <w:p w14:paraId="56078148" w14:textId="7D873B54" w:rsidR="00F80E14" w:rsidRDefault="00F80E14" w:rsidP="00805633">
      <w:r>
        <w:t>Within Option 3, the following summarises the regulatory impact of each of the reform measures on the key stakeholder groups</w:t>
      </w:r>
      <w:r w:rsidR="0054421F">
        <w:t>:</w:t>
      </w:r>
    </w:p>
    <w:p w14:paraId="78F7985F" w14:textId="6304AA4F" w:rsidR="00F80E14" w:rsidRPr="00BB49E2" w:rsidRDefault="00F80E14" w:rsidP="00980C44">
      <w:pPr>
        <w:pStyle w:val="Bullet1"/>
        <w:ind w:left="720"/>
      </w:pPr>
      <w:r w:rsidRPr="00980C44">
        <w:rPr>
          <w:b/>
          <w:bCs/>
        </w:rPr>
        <w:t>Measure 1</w:t>
      </w:r>
      <w:r w:rsidR="0054421F" w:rsidRPr="00BB49E2">
        <w:t xml:space="preserve"> – </w:t>
      </w:r>
      <w:r w:rsidRPr="00BB49E2">
        <w:t>Restrictions on importation, manufacture and supply of all vapes</w:t>
      </w:r>
      <w:r w:rsidR="0054421F" w:rsidRPr="00BB49E2">
        <w:t>.</w:t>
      </w:r>
    </w:p>
    <w:p w14:paraId="4D9D5FF5" w14:textId="77777777" w:rsidR="00F80E14" w:rsidRPr="00BB49E2" w:rsidRDefault="00F80E14" w:rsidP="009E1A05">
      <w:pPr>
        <w:pStyle w:val="Bullet1"/>
        <w:ind w:left="720"/>
      </w:pPr>
      <w:r w:rsidRPr="00BB49E2">
        <w:t xml:space="preserve">Significant direct regulatory cost to consumers, manufacturers, suppliers and retailers. </w:t>
      </w:r>
    </w:p>
    <w:p w14:paraId="29772621" w14:textId="1EDC7E9C" w:rsidR="00F80E14" w:rsidRPr="00BB49E2" w:rsidRDefault="00F80E14" w:rsidP="00980C44">
      <w:pPr>
        <w:pStyle w:val="Bullet1"/>
        <w:ind w:left="720"/>
      </w:pPr>
      <w:r w:rsidRPr="00980C44">
        <w:rPr>
          <w:b/>
          <w:bCs/>
        </w:rPr>
        <w:t>Measure 2</w:t>
      </w:r>
      <w:r w:rsidR="0054421F" w:rsidRPr="00BB49E2">
        <w:t xml:space="preserve"> – </w:t>
      </w:r>
      <w:r w:rsidRPr="00BB49E2">
        <w:t>Changes to market accessibility requirements for therapeutic vapes</w:t>
      </w:r>
      <w:r w:rsidR="00980C44">
        <w:t>.</w:t>
      </w:r>
    </w:p>
    <w:p w14:paraId="5AFE7795" w14:textId="77777777" w:rsidR="00F80E14" w:rsidRPr="00BB49E2" w:rsidRDefault="00F80E14" w:rsidP="009E1A05">
      <w:pPr>
        <w:pStyle w:val="Bullet1"/>
        <w:ind w:left="720"/>
      </w:pPr>
      <w:r w:rsidRPr="00BB49E2">
        <w:t xml:space="preserve">Significant direct regulatory cost to consumers, and some impact on medical practitioners and pharmacists. </w:t>
      </w:r>
    </w:p>
    <w:p w14:paraId="6F3E86C9" w14:textId="49F0B6CC" w:rsidR="00F80E14" w:rsidRPr="00BB49E2" w:rsidRDefault="00F80E14" w:rsidP="00980C44">
      <w:pPr>
        <w:pStyle w:val="Bullet1"/>
        <w:ind w:left="720"/>
      </w:pPr>
      <w:r w:rsidRPr="00980C44">
        <w:rPr>
          <w:b/>
          <w:bCs/>
        </w:rPr>
        <w:t>Measure 3</w:t>
      </w:r>
      <w:r w:rsidR="0054421F" w:rsidRPr="00BB49E2">
        <w:t xml:space="preserve"> – </w:t>
      </w:r>
      <w:r w:rsidRPr="00BB49E2">
        <w:t>Heightened quality and safety standards for therapeutic vapes, including better regulation of device components</w:t>
      </w:r>
      <w:r w:rsidR="00980C44">
        <w:t>.</w:t>
      </w:r>
    </w:p>
    <w:p w14:paraId="4CC5D04B" w14:textId="77777777" w:rsidR="00F80E14" w:rsidRPr="00BB49E2" w:rsidRDefault="00F80E14" w:rsidP="009E1A05">
      <w:pPr>
        <w:pStyle w:val="Bullet1"/>
        <w:ind w:left="720"/>
      </w:pPr>
      <w:r w:rsidRPr="00BB49E2">
        <w:t>Significant direct regulatory cost to manufacturers and suppliers, and minor impact on consumers, manufacturers, suppliers and specialist vape retailers.</w:t>
      </w:r>
    </w:p>
    <w:p w14:paraId="5BD4B013" w14:textId="5071ACBF" w:rsidR="00F80E14" w:rsidRPr="00BB49E2" w:rsidRDefault="00F80E14" w:rsidP="00980C44">
      <w:pPr>
        <w:pStyle w:val="Bullet1"/>
        <w:ind w:left="720"/>
      </w:pPr>
      <w:r w:rsidRPr="00980C44">
        <w:rPr>
          <w:b/>
          <w:bCs/>
        </w:rPr>
        <w:t>Measure 4</w:t>
      </w:r>
      <w:r w:rsidR="0054421F" w:rsidRPr="00BB49E2">
        <w:t xml:space="preserve"> – </w:t>
      </w:r>
      <w:r w:rsidRPr="00BB49E2">
        <w:t>Strengthening import and domestic compliance and enforcement mechanisms</w:t>
      </w:r>
      <w:r w:rsidR="009077E2" w:rsidRPr="00BB49E2">
        <w:t>.</w:t>
      </w:r>
    </w:p>
    <w:p w14:paraId="0973B926" w14:textId="77777777" w:rsidR="00F80E14" w:rsidRPr="00BB49E2" w:rsidRDefault="00F80E14" w:rsidP="009E1A05">
      <w:pPr>
        <w:pStyle w:val="Bullet1"/>
        <w:ind w:left="720"/>
      </w:pPr>
      <w:r w:rsidRPr="00BB49E2">
        <w:t>These result in no direct regulatory cost to any of the main stakeholder groups. As such they are not discussed further in the regulatory burden analysis. These changes are solely designed to ensure Commonwealth and state and territory officials have effective compliance and enforcement mechanisms available to them.</w:t>
      </w:r>
    </w:p>
    <w:p w14:paraId="37929E07" w14:textId="77777777" w:rsidR="00F80E14" w:rsidRPr="00FD46F4" w:rsidRDefault="00F80E14" w:rsidP="009E1A05">
      <w:pPr>
        <w:pStyle w:val="Heading3"/>
      </w:pPr>
      <w:bookmarkStart w:id="273" w:name="_Toc147384309"/>
      <w:bookmarkStart w:id="274" w:name="_Toc151040409"/>
      <w:r>
        <w:t xml:space="preserve">Costing </w:t>
      </w:r>
      <w:r w:rsidRPr="009E1A05">
        <w:t>model</w:t>
      </w:r>
      <w:bookmarkEnd w:id="273"/>
      <w:bookmarkEnd w:id="274"/>
    </w:p>
    <w:p w14:paraId="0EC5475D" w14:textId="77777777" w:rsidR="00F80E14" w:rsidRDefault="00F80E14" w:rsidP="009E1A05">
      <w:pPr>
        <w:pStyle w:val="Heading4"/>
      </w:pPr>
      <w:bookmarkStart w:id="275" w:name="_Toc147384310"/>
      <w:bookmarkStart w:id="276" w:name="_Toc151040410"/>
      <w:r w:rsidRPr="009E1A05">
        <w:t>Overview</w:t>
      </w:r>
      <w:bookmarkEnd w:id="275"/>
      <w:bookmarkEnd w:id="276"/>
    </w:p>
    <w:p w14:paraId="414F85F0" w14:textId="2A3AD2FE" w:rsidR="00F80E14" w:rsidRDefault="00F80E14" w:rsidP="00823669">
      <w:r w:rsidRPr="009E1A05">
        <w:t>The development of the regulatory costing model was undertaken in accordance with the OIA July 2023 Guidance Note, ‘Regulatory Burden Measurement Framework’ (the Guidance Note). Estimated regulatory costs were mainly administrative compliance costs</w:t>
      </w:r>
      <w:r w:rsidR="00381A29">
        <w:t>,</w:t>
      </w:r>
      <w:r w:rsidRPr="00746795">
        <w:rPr>
          <w:vertAlign w:val="superscript"/>
        </w:rPr>
        <w:footnoteReference w:id="98"/>
      </w:r>
      <w:r w:rsidRPr="009E1A05">
        <w:t xml:space="preserve"> with the assumption that the identified substantive compliance cost for consumers to purchase a new refillable/reusable vape via a pharmacy to replace an existing device purchased from a vape retailer will be substantially</w:t>
      </w:r>
      <w:r>
        <w:t xml:space="preserve"> mitigated by a transition period for the withdrawal from sale of all non-TGO 110 compliant vapes. There will likely also be significant substantive compliance costs incurred by vape sponsors to meet the revised TGO 110 specifications. </w:t>
      </w:r>
    </w:p>
    <w:p w14:paraId="22D22926" w14:textId="77777777" w:rsidR="00F80E14" w:rsidRDefault="00F80E14" w:rsidP="009E1A05">
      <w:r w:rsidRPr="00860C60">
        <w:t xml:space="preserve">The labour cost formula was used to determine these administrative compliance costs: </w:t>
      </w:r>
    </w:p>
    <w:p w14:paraId="73814BED" w14:textId="77777777" w:rsidR="00F80E14" w:rsidRPr="000A07F0" w:rsidRDefault="00F80E14" w:rsidP="00F80E14">
      <w:pPr>
        <w:jc w:val="center"/>
        <w:rPr>
          <w:i/>
          <w:iCs/>
        </w:rPr>
      </w:pPr>
      <w:r w:rsidRPr="000A07F0">
        <w:rPr>
          <w:i/>
          <w:iCs/>
        </w:rPr>
        <w:lastRenderedPageBreak/>
        <w:t xml:space="preserve">price x quantity </w:t>
      </w:r>
    </w:p>
    <w:p w14:paraId="424ABAFC" w14:textId="77777777" w:rsidR="00F80E14" w:rsidRDefault="00F80E14" w:rsidP="009E1A05">
      <w:r>
        <w:t>I</w:t>
      </w:r>
      <w:r w:rsidRPr="00860C60">
        <w:t>n its more expanded version</w:t>
      </w:r>
      <w:r>
        <w:t>, this formula is:</w:t>
      </w:r>
      <w:r w:rsidRPr="00860C60">
        <w:t xml:space="preserve"> </w:t>
      </w:r>
    </w:p>
    <w:p w14:paraId="47F42100" w14:textId="77777777" w:rsidR="00F80E14" w:rsidRDefault="00F80E14" w:rsidP="00F80E14">
      <w:pPr>
        <w:jc w:val="center"/>
        <w:rPr>
          <w:i/>
          <w:iCs/>
        </w:rPr>
      </w:pPr>
      <w:r w:rsidRPr="000A07F0">
        <w:rPr>
          <w:i/>
          <w:iCs/>
        </w:rPr>
        <w:t xml:space="preserve">(Time required × Labour cost) × </w:t>
      </w:r>
    </w:p>
    <w:p w14:paraId="7BA2D377" w14:textId="77777777" w:rsidR="00F80E14" w:rsidRPr="000A07F0" w:rsidRDefault="00F80E14" w:rsidP="00F80E14">
      <w:pPr>
        <w:jc w:val="center"/>
        <w:rPr>
          <w:i/>
          <w:iCs/>
        </w:rPr>
      </w:pPr>
      <w:r w:rsidRPr="000A07F0">
        <w:rPr>
          <w:i/>
          <w:iCs/>
        </w:rPr>
        <w:t>(Times performed × Number of businesses or community organisations × Number of staff).</w:t>
      </w:r>
    </w:p>
    <w:p w14:paraId="30976D99" w14:textId="77777777" w:rsidR="00F80E14" w:rsidRDefault="00F80E14" w:rsidP="009E1A05">
      <w:r>
        <w:t xml:space="preserve">Direct estimates are provided for substantive costs. The paucity of data available to determine these substantive compliance costs gives these estimates a low confidence level. In most instances, they are likely an overestimation of the costs that will be incurred. </w:t>
      </w:r>
    </w:p>
    <w:p w14:paraId="3C5459AE" w14:textId="77777777" w:rsidR="00F80E14" w:rsidRPr="00860C60" w:rsidRDefault="00F80E14" w:rsidP="009E1A05">
      <w:r w:rsidRPr="00860C60">
        <w:t xml:space="preserve">As detailed </w:t>
      </w:r>
      <w:r>
        <w:t>above</w:t>
      </w:r>
      <w:r w:rsidRPr="00860C60">
        <w:t xml:space="preserve"> in this report, various </w:t>
      </w:r>
      <w:r>
        <w:t>consultation</w:t>
      </w:r>
      <w:r w:rsidRPr="00860C60">
        <w:t xml:space="preserve"> activities</w:t>
      </w:r>
      <w:r>
        <w:t xml:space="preserve"> with key stakeholders, supplemented by document reviews,</w:t>
      </w:r>
      <w:r w:rsidRPr="00860C60">
        <w:t xml:space="preserve"> have been undertaken to identify first- and second-order touchpoints for </w:t>
      </w:r>
      <w:r>
        <w:t xml:space="preserve">specified </w:t>
      </w:r>
      <w:r w:rsidRPr="00860C60">
        <w:t xml:space="preserve">stakeholder groups to allow </w:t>
      </w:r>
      <w:r>
        <w:t xml:space="preserve">quantification of </w:t>
      </w:r>
      <w:r w:rsidRPr="00860C60">
        <w:t>the arising regulatory burden</w:t>
      </w:r>
      <w:r>
        <w:t xml:space="preserve">. </w:t>
      </w:r>
    </w:p>
    <w:p w14:paraId="0B012C8D" w14:textId="77777777" w:rsidR="00F80E14" w:rsidRPr="0057455F" w:rsidRDefault="00F80E14" w:rsidP="009E1A05">
      <w:pPr>
        <w:pStyle w:val="Heading4"/>
      </w:pPr>
      <w:bookmarkStart w:id="277" w:name="_Toc147384311"/>
      <w:bookmarkStart w:id="278" w:name="_Toc151040411"/>
      <w:r>
        <w:t xml:space="preserve">Labour </w:t>
      </w:r>
      <w:r w:rsidRPr="009E1A05">
        <w:t>cost</w:t>
      </w:r>
      <w:bookmarkEnd w:id="277"/>
      <w:bookmarkEnd w:id="278"/>
    </w:p>
    <w:p w14:paraId="4716C383" w14:textId="77777777" w:rsidR="00F80E14" w:rsidRPr="004B23F6" w:rsidRDefault="00F80E14" w:rsidP="00823669">
      <w:r w:rsidRPr="009E1A05">
        <w:t>As per the Guidance Note, the hourly work-related labour cost of $79.63 has been used for wholesalers and retailers, with the hourly non-work-related cost of $36 applied to vapers/patients.</w:t>
      </w:r>
      <w:r w:rsidRPr="009E1A05">
        <w:footnoteReference w:id="99"/>
      </w:r>
      <w:r w:rsidRPr="009E1A05">
        <w:t xml:space="preserve"> The Australian Bureau of Statistics (ABS) semi-annually publishes ‘Average Weekly Earnings’ data. As of 26 September 2023, the latest dataset is May 2023.</w:t>
      </w:r>
      <w:r w:rsidRPr="009E1A05">
        <w:footnoteReference w:id="100"/>
      </w:r>
      <w:r w:rsidRPr="009E1A05">
        <w:t xml:space="preserve"> Given that potential vape sponsors could be based in any state/territory, the national dataset was used. The relevant table is Table 10H (‘Average Weekly Earnings, Industry, Australia (Dollars) - Original - Persons, Full Time Adult Total Earnings’ (includes overtime)). The below Australian and New Zealand Standard Industrial Classification (ANZSIC) division was considered the most relevant to the particular activities being costed</w:t>
      </w:r>
      <w:r w:rsidRPr="004B23F6">
        <w:t xml:space="preserve">: </w:t>
      </w:r>
    </w:p>
    <w:p w14:paraId="4F574B76" w14:textId="77777777" w:rsidR="00F80E14" w:rsidRPr="00BB49E2" w:rsidRDefault="00F80E14" w:rsidP="00467EDD">
      <w:pPr>
        <w:pStyle w:val="Bullet1"/>
        <w:numPr>
          <w:ilvl w:val="0"/>
          <w:numId w:val="78"/>
        </w:numPr>
      </w:pPr>
      <w:r w:rsidRPr="00BB49E2">
        <w:t>Professional, Scientific and Technical Services (ANZSIC Division M). Industry subdivisions are: Professional, Scientific and Technical Services (Except Computer System Design and Related Services), and Computer System Design and Related Services. As identified in the most recent dataset (May 2023 dataset), the figure for weekly earnings is $2192.70.</w:t>
      </w:r>
    </w:p>
    <w:p w14:paraId="62F6C3A9" w14:textId="77777777" w:rsidR="00F80E14" w:rsidRPr="004B23F6" w:rsidRDefault="00F80E14" w:rsidP="00823669">
      <w:r w:rsidRPr="004B23F6">
        <w:t xml:space="preserve">It was assessed </w:t>
      </w:r>
      <w:r>
        <w:t>that</w:t>
      </w:r>
      <w:r w:rsidRPr="004B23F6">
        <w:t xml:space="preserve"> Professional, Scientific and Technical Services was the most appropriate industry division because it is most likely to include the regulatory staff who would undertake the </w:t>
      </w:r>
      <w:r>
        <w:t xml:space="preserve">regulatory compliance </w:t>
      </w:r>
      <w:r w:rsidRPr="004B23F6">
        <w:t xml:space="preserve">activities required by the TGA. </w:t>
      </w:r>
    </w:p>
    <w:p w14:paraId="2FBD0369" w14:textId="7DF11073" w:rsidR="00F80E14" w:rsidRDefault="00F80E14" w:rsidP="006A54CA">
      <w:r w:rsidRPr="004B23F6">
        <w:t>Therefore, the figure for weekly earnings is $</w:t>
      </w:r>
      <w:r>
        <w:t>2</w:t>
      </w:r>
      <w:r w:rsidR="00BF1836">
        <w:t>,</w:t>
      </w:r>
      <w:r>
        <w:t>192.70</w:t>
      </w:r>
      <w:r w:rsidRPr="004B23F6">
        <w:t>. To determine the average hourly cost, this figure is divided by the average number of total hours worked (includ</w:t>
      </w:r>
      <w:r>
        <w:t>ing</w:t>
      </w:r>
      <w:r w:rsidRPr="004B23F6">
        <w:t xml:space="preserve"> overtime) for full-time non-managerial employees</w:t>
      </w:r>
      <w:r>
        <w:t xml:space="preserve">, using </w:t>
      </w:r>
      <w:r w:rsidRPr="004B23F6">
        <w:t>the ‘All Industries’ category</w:t>
      </w:r>
      <w:r>
        <w:t xml:space="preserve">- a figure of </w:t>
      </w:r>
      <w:r w:rsidRPr="004B23F6">
        <w:t>39.40 hours.</w:t>
      </w:r>
      <w:r w:rsidRPr="004B23F6">
        <w:rPr>
          <w:vertAlign w:val="superscript"/>
        </w:rPr>
        <w:footnoteReference w:id="101"/>
      </w:r>
      <w:r w:rsidRPr="004B23F6">
        <w:t xml:space="preserve"> </w:t>
      </w:r>
    </w:p>
    <w:p w14:paraId="0138A4E5" w14:textId="241110ED" w:rsidR="00F80E14" w:rsidRPr="004B23F6" w:rsidRDefault="00F80E14" w:rsidP="006A54CA">
      <w:r w:rsidRPr="004B23F6">
        <w:t xml:space="preserve">In accordance with </w:t>
      </w:r>
      <w:r>
        <w:t>OIA</w:t>
      </w:r>
      <w:r w:rsidRPr="004B23F6">
        <w:t xml:space="preserve"> guidance, a multiplier of 1.75 was used to account for non</w:t>
      </w:r>
      <w:r>
        <w:t>-</w:t>
      </w:r>
      <w:r w:rsidRPr="004B23F6">
        <w:t>wage labour on-costs and overhead costs</w:t>
      </w:r>
      <w:r>
        <w:t>, giving an hourly rate of:</w:t>
      </w:r>
      <w:r w:rsidRPr="004B23F6">
        <w:t xml:space="preserve"> ($</w:t>
      </w:r>
      <w:r>
        <w:t>2</w:t>
      </w:r>
      <w:r w:rsidR="00BF1836">
        <w:t>,</w:t>
      </w:r>
      <w:r>
        <w:t>192.70</w:t>
      </w:r>
      <w:r w:rsidRPr="004B23F6">
        <w:t>/39.40) *1.75 = $</w:t>
      </w:r>
      <w:r>
        <w:t>97.39.</w:t>
      </w:r>
    </w:p>
    <w:p w14:paraId="751A9F2F" w14:textId="77777777" w:rsidR="00F80E14" w:rsidRDefault="00F80E14" w:rsidP="006A54CA">
      <w:r>
        <w:t>A 50% loading has been added onto this base amount for General Practitioners (GPs) and Pharmacists, as explained below, giving $97.39 x 1.5 = $146.09.</w:t>
      </w:r>
    </w:p>
    <w:p w14:paraId="1959BE8C" w14:textId="77777777" w:rsidR="00F80E14" w:rsidRPr="006A54CA" w:rsidRDefault="00F80E14" w:rsidP="006A54CA">
      <w:r>
        <w:t xml:space="preserve">While there are national awards for both Medical Practitioners (MA000031) and the Pharmacy Industry (MA000012), these set out minimum wages and conditions. Across Australia there is known </w:t>
      </w:r>
      <w:r w:rsidRPr="006A54CA">
        <w:t xml:space="preserve">to be a wide variance in the salaries of medical practitioners and pharmacists, due in part to private commercial and state-based variation. There is not a separate ANZSIC Division for these professions. The 50% loading on the ANZSIC Division M average hourly cost reflects that, on average, medical </w:t>
      </w:r>
      <w:r w:rsidRPr="006A54CA">
        <w:lastRenderedPageBreak/>
        <w:t xml:space="preserve">practitioners and pharmacists are assumed to receive higher wages than the average salary included in Division M. </w:t>
      </w:r>
    </w:p>
    <w:p w14:paraId="22EFB23D" w14:textId="77777777" w:rsidR="00F80E14" w:rsidRDefault="00F80E14" w:rsidP="00F80E14">
      <w:pPr>
        <w:pBdr>
          <w:top w:val="single" w:sz="4" w:space="1" w:color="auto"/>
          <w:left w:val="single" w:sz="4" w:space="4" w:color="auto"/>
          <w:bottom w:val="single" w:sz="4" w:space="1" w:color="auto"/>
          <w:right w:val="single" w:sz="4" w:space="4" w:color="auto"/>
        </w:pBdr>
        <w:shd w:val="clear" w:color="auto" w:fill="FFFF00"/>
      </w:pPr>
      <w:r>
        <w:t xml:space="preserve">Throughout this regulatory burden estimate, the upper limit for population modelling has been applied. This approach was taken to avoid underestimating the cost of the arising regulatory burden, particularly for consumers. </w:t>
      </w:r>
    </w:p>
    <w:p w14:paraId="66A30D75" w14:textId="77777777" w:rsidR="00F80E14" w:rsidRDefault="00F80E14" w:rsidP="006A54CA">
      <w:pPr>
        <w:pStyle w:val="Heading3"/>
      </w:pPr>
      <w:bookmarkStart w:id="279" w:name="_Toc147384312"/>
      <w:bookmarkStart w:id="280" w:name="_Toc151040412"/>
      <w:r>
        <w:t xml:space="preserve">Impact on </w:t>
      </w:r>
      <w:r w:rsidRPr="006A54CA">
        <w:t>consumers</w:t>
      </w:r>
      <w:bookmarkEnd w:id="279"/>
      <w:bookmarkEnd w:id="280"/>
    </w:p>
    <w:p w14:paraId="18482B9B" w14:textId="77777777" w:rsidR="00F80E14" w:rsidRDefault="00F80E14" w:rsidP="006A54CA">
      <w:pPr>
        <w:pStyle w:val="Heading4"/>
      </w:pPr>
      <w:bookmarkStart w:id="281" w:name="_Toc147384313"/>
      <w:bookmarkStart w:id="282" w:name="_Toc151040413"/>
      <w:r w:rsidRPr="006A54CA">
        <w:t>Overview</w:t>
      </w:r>
      <w:bookmarkEnd w:id="281"/>
      <w:bookmarkEnd w:id="282"/>
    </w:p>
    <w:p w14:paraId="23BD9494" w14:textId="77777777" w:rsidR="00F80E14" w:rsidRDefault="00F80E14" w:rsidP="006A54CA">
      <w:r>
        <w:t xml:space="preserve">Most of the proposed regulatory measures under Option 3 will have a significant impact on consumers. In particular:  </w:t>
      </w:r>
    </w:p>
    <w:p w14:paraId="3AF9BF3E" w14:textId="77777777" w:rsidR="00F80E14" w:rsidRPr="00BB49E2" w:rsidRDefault="00F80E14" w:rsidP="000D6A86">
      <w:pPr>
        <w:pStyle w:val="Bullet1"/>
        <w:ind w:left="720"/>
      </w:pPr>
      <w:r w:rsidRPr="000D6A86">
        <w:rPr>
          <w:b/>
        </w:rPr>
        <w:t>Measure 1</w:t>
      </w:r>
      <w:r w:rsidRPr="00BB49E2">
        <w:rPr>
          <w:b/>
          <w:bCs/>
        </w:rPr>
        <w:t>.</w:t>
      </w:r>
      <w:r w:rsidRPr="00BB49E2">
        <w:t xml:space="preserve"> The restrictions on importation, manufacture and supply of all vapes will indirectly impact on consumer choice, but consumers will still be able to source vapes for therapeutic use from pharmacies.  Non-therapeutic vapes and disposable single-use vapes would be banned, but transition periods will assist consumers to change over to alternative vapes, where appropriate. Currently, consumers can readily source nicotine vapes through legal and illegal pathways, but under this option they will need to obtain a prescription to access vapes, and only for therapeutic purposes such as for smoking cessation or treatment of nicotine addiction. Consumers would then need to fill the prescription through pharmacies, as per other prescription medicines.</w:t>
      </w:r>
    </w:p>
    <w:p w14:paraId="1A2A8052" w14:textId="3E313308" w:rsidR="00F80E14" w:rsidRPr="00BB49E2" w:rsidRDefault="00F80E14" w:rsidP="000D6A86">
      <w:pPr>
        <w:pStyle w:val="Bullet1"/>
        <w:ind w:left="720"/>
      </w:pPr>
      <w:r w:rsidRPr="000D6A86">
        <w:rPr>
          <w:b/>
        </w:rPr>
        <w:t>Measure 2</w:t>
      </w:r>
      <w:r w:rsidRPr="00BB49E2">
        <w:rPr>
          <w:b/>
          <w:bCs/>
        </w:rPr>
        <w:t xml:space="preserve">. </w:t>
      </w:r>
      <w:r w:rsidRPr="00BB49E2">
        <w:t>This measure will not directly impact on consumers as it relates to activities undertaken by sponsors and medical practitioners</w:t>
      </w:r>
      <w:r w:rsidR="00A0398A" w:rsidRPr="00BB49E2">
        <w:t>.</w:t>
      </w:r>
    </w:p>
    <w:p w14:paraId="6B89989C" w14:textId="77777777" w:rsidR="00F80E14" w:rsidRPr="00BB49E2" w:rsidRDefault="00F80E14" w:rsidP="000D6A86">
      <w:pPr>
        <w:pStyle w:val="Bullet1"/>
        <w:ind w:left="720"/>
      </w:pPr>
      <w:r w:rsidRPr="000D6A86">
        <w:rPr>
          <w:b/>
        </w:rPr>
        <w:t>Measure 3</w:t>
      </w:r>
      <w:r w:rsidRPr="00BB49E2">
        <w:rPr>
          <w:b/>
          <w:bCs/>
        </w:rPr>
        <w:t>.</w:t>
      </w:r>
      <w:r w:rsidRPr="00BB49E2">
        <w:t xml:space="preserve"> Most of these restrictions will not directly impact consumers, other than limiting choice of vapes available, which is not a regulatory cost. For example, while changes to labelling and quality of the e-liquid and device components of the vapes have no direct impact on consumers, restrictions to flavours and nicotine concentration will restrict choice.</w:t>
      </w:r>
    </w:p>
    <w:p w14:paraId="18B09C2C" w14:textId="2DBD3397" w:rsidR="00F80E14" w:rsidRDefault="00F80E14" w:rsidP="002F2CC0">
      <w:r>
        <w:t>There is considerable vaping stock present in Australia</w:t>
      </w:r>
      <w:r w:rsidR="00DB474B">
        <w:t>,</w:t>
      </w:r>
      <w:r>
        <w:rPr>
          <w:rStyle w:val="FootnoteReference"/>
        </w:rPr>
        <w:footnoteReference w:id="102"/>
      </w:r>
      <w:r>
        <w:t xml:space="preserve"> but a transition period will be applied for the withdrawal from sale of non-therapeutic vapes that will become illegal when the legislative changes are implemented. Therefore, the proposed regulatory changes are not expected to have an immediate impact on the availability of non-therapeutic vapes for consumers. It is expected that consumer choice will gradually decrease as domestic stockholdings of non-therapeutic vapes decrease with time. </w:t>
      </w:r>
    </w:p>
    <w:p w14:paraId="4A64156E" w14:textId="77777777" w:rsidR="00F80E14" w:rsidRDefault="00F80E14" w:rsidP="002F2CC0">
      <w:r>
        <w:t>Nicotine vapes are currently widely available, both through legal import using the Personal Importation Scheme or domestically through pharmacies, but also illegally through various means described in greater detail above.  Under proposed reforms, closure of the Personal Importation Scheme for vapes will significantly impact the purchasing behaviour of consumers, with consumer access only through domestic pharmacies on presentation of a valid prescription, the product range significantly smaller, and supply only for narrowly defined therapeutic purposes. However, the</w:t>
      </w:r>
      <w:r w:rsidDel="00A27909">
        <w:t xml:space="preserve"> </w:t>
      </w:r>
      <w:r>
        <w:t xml:space="preserve">timeframes for all consumers needing to move to seek a prescription and source all nicotine vapes legally will depend on the success of enforcement activities and prevention of illegal access. </w:t>
      </w:r>
    </w:p>
    <w:p w14:paraId="7C9707CE" w14:textId="77777777" w:rsidR="00F80E14" w:rsidRDefault="00F80E14" w:rsidP="006A54CA">
      <w:r>
        <w:t xml:space="preserve">The baseline for the regulatory burden estimate on consumers is the number that already access vapes via prescription through a pharmacy.  </w:t>
      </w:r>
    </w:p>
    <w:p w14:paraId="49136ACA" w14:textId="0164A1AF" w:rsidR="00F80E14" w:rsidRPr="00503FCB" w:rsidRDefault="00F80E14" w:rsidP="006A54CA">
      <w:bookmarkStart w:id="283" w:name="_Toc147384314"/>
      <w:r>
        <w:t>Obtaining and filling a nicotine vape prescription</w:t>
      </w:r>
      <w:bookmarkEnd w:id="283"/>
      <w:r w:rsidR="004F13C1">
        <w:t>.</w:t>
      </w:r>
    </w:p>
    <w:p w14:paraId="08F49217" w14:textId="77777777" w:rsidR="00F80E14" w:rsidRPr="00A768FA" w:rsidRDefault="00F80E14" w:rsidP="00F80E14">
      <w:pPr>
        <w:rPr>
          <w:rFonts w:cs="Arial"/>
        </w:rPr>
      </w:pPr>
      <w:r w:rsidRPr="006A54CA">
        <w:lastRenderedPageBreak/>
        <w:t>Patients can obtain therapeutic vapes (zero-nicotine and nicotine vapes) only if prescribed by a medical practitioner. This</w:t>
      </w:r>
      <w:r>
        <w:t xml:space="preserve"> can be achieved </w:t>
      </w:r>
      <w:r w:rsidRPr="00A768FA">
        <w:rPr>
          <w:rFonts w:cs="Arial"/>
        </w:rPr>
        <w:t>through in-person</w:t>
      </w:r>
      <w:r>
        <w:rPr>
          <w:rFonts w:cs="Arial"/>
        </w:rPr>
        <w:t xml:space="preserve">, </w:t>
      </w:r>
      <w:r w:rsidRPr="00A768FA">
        <w:rPr>
          <w:rFonts w:cs="Arial"/>
        </w:rPr>
        <w:t xml:space="preserve">telehealth </w:t>
      </w:r>
      <w:r>
        <w:rPr>
          <w:rFonts w:cs="Arial"/>
        </w:rPr>
        <w:t xml:space="preserve">or </w:t>
      </w:r>
      <w:r w:rsidRPr="00A768FA">
        <w:rPr>
          <w:rFonts w:cs="Arial"/>
        </w:rPr>
        <w:t>online consultation</w:t>
      </w:r>
      <w:r>
        <w:rPr>
          <w:rFonts w:cs="Arial"/>
        </w:rPr>
        <w:t>:</w:t>
      </w:r>
      <w:r w:rsidRPr="00A768FA">
        <w:rPr>
          <w:rFonts w:cs="Arial"/>
        </w:rPr>
        <w:t xml:space="preserve"> </w:t>
      </w:r>
    </w:p>
    <w:p w14:paraId="72088A6E" w14:textId="77777777" w:rsidR="00D6504C" w:rsidRDefault="00F80E14" w:rsidP="00467EDD">
      <w:pPr>
        <w:pStyle w:val="Bullet1"/>
        <w:numPr>
          <w:ilvl w:val="0"/>
          <w:numId w:val="79"/>
        </w:numPr>
      </w:pPr>
      <w:r w:rsidRPr="00BB49E2">
        <w:t xml:space="preserve">For an in-person consultation, it is estimated that the time taken to book a consultation is 2 minutes and this is usually completed over the phone or through an internet booking portal. To attend an in-person consultation, a patient will need to travel to and from their consultation. As there are many variables in how someone can travel to the doctor (walk, bus, drive themselves, ride share etc.), the monetary cost of the travel has not been included in the regulatory costing. It is estimated that, on average, patients will require 15 minutes each way to travel for their appointment, totalling 30 minutes. </w:t>
      </w:r>
    </w:p>
    <w:p w14:paraId="29953381" w14:textId="4E70EF1D" w:rsidR="00F80E14" w:rsidRPr="00BB49E2" w:rsidRDefault="00F80E14" w:rsidP="00D6504C">
      <w:pPr>
        <w:pStyle w:val="Bullet1"/>
        <w:ind w:left="720"/>
      </w:pPr>
      <w:r w:rsidRPr="00BB49E2">
        <w:t>It is estimated, based on consumer behaviour survey data</w:t>
      </w:r>
      <w:r w:rsidR="00DB474B">
        <w:t>,</w:t>
      </w:r>
      <w:r w:rsidRPr="00BB49E2">
        <w:rPr>
          <w:rStyle w:val="FootnoteReference"/>
          <w:rFonts w:cs="Arial"/>
        </w:rPr>
        <w:footnoteReference w:id="103"/>
      </w:r>
      <w:r w:rsidRPr="00BB49E2">
        <w:t xml:space="preserve"> that individuals will spend an average of 30 minutes in a waiting room before being able to see their doctor. During the consultation activity the doctor and patient will need to discuss the severity of addiction, various cessation options, the need for a paper or electronic prescription. It is noted that if a doctor is an AP, they will also be required to provide the patient a copy of their AP authorisation for domestic prescription fulfillment. </w:t>
      </w:r>
    </w:p>
    <w:p w14:paraId="5BE5A9B6" w14:textId="77777777" w:rsidR="00F80E14" w:rsidRPr="00BB49E2" w:rsidRDefault="00F80E14" w:rsidP="00467EDD">
      <w:pPr>
        <w:pStyle w:val="Bullet1"/>
        <w:numPr>
          <w:ilvl w:val="0"/>
          <w:numId w:val="79"/>
        </w:numPr>
      </w:pPr>
      <w:r w:rsidRPr="00BB49E2">
        <w:t>The average doctor’s consultation time in Australia has been estimated to be 15 minutes per consultation. The total elapsed time for an in-person consultation is 77 minutes (2 minutes book + 30 minutes travel + 30 minutes wait + 15 minutes consult). From this total, 15 minutes needs to deducted for the regulatory baseline activity of obtaining a vape via the Personal Importation Scheme, giving a total of 62 minutes (77- 15 min).</w:t>
      </w:r>
    </w:p>
    <w:p w14:paraId="14ACA0C2" w14:textId="21774264" w:rsidR="00F80E14" w:rsidRPr="00BB49E2" w:rsidRDefault="00F80E14" w:rsidP="00467EDD">
      <w:pPr>
        <w:pStyle w:val="Bullet1"/>
        <w:numPr>
          <w:ilvl w:val="0"/>
          <w:numId w:val="79"/>
        </w:numPr>
      </w:pPr>
      <w:r w:rsidRPr="00BB49E2">
        <w:t>Nationally, 80% of GP consultations are bulk</w:t>
      </w:r>
      <w:r w:rsidR="00505351" w:rsidRPr="00BB49E2">
        <w:t xml:space="preserve"> billed</w:t>
      </w:r>
      <w:r w:rsidRPr="00BB49E2">
        <w:t>. Out of pocket costs (gap payment) to patients for non-bulk-billed standard (15 minute) GP consultations has been estimated to be $40.42 per GP visit.</w:t>
      </w:r>
    </w:p>
    <w:p w14:paraId="3D9FECB2" w14:textId="77777777" w:rsidR="00F80E14" w:rsidRPr="00BB49E2" w:rsidRDefault="00F80E14" w:rsidP="00467EDD">
      <w:pPr>
        <w:pStyle w:val="Bullet1"/>
        <w:numPr>
          <w:ilvl w:val="0"/>
          <w:numId w:val="79"/>
        </w:numPr>
      </w:pPr>
      <w:r w:rsidRPr="00BB49E2">
        <w:t>For the purpose of this costing activity, the estimates will assume that all consults will be in-person, which represents the greatest overall regulatory burden for consumers as a proportion of consults will be via telehealth or online, which involve less elapsed time.</w:t>
      </w:r>
    </w:p>
    <w:p w14:paraId="3B4847AC" w14:textId="2A93C55F" w:rsidR="00F80E14" w:rsidRPr="00BB49E2" w:rsidRDefault="00F80E14" w:rsidP="00467EDD">
      <w:pPr>
        <w:pStyle w:val="Bullet1"/>
        <w:numPr>
          <w:ilvl w:val="0"/>
          <w:numId w:val="79"/>
        </w:numPr>
      </w:pPr>
      <w:r w:rsidRPr="00BB49E2">
        <w:t>It should also be noted that this is an estimate for an initial consultation and plan development</w:t>
      </w:r>
      <w:r w:rsidR="00086979" w:rsidRPr="00BB49E2">
        <w:t>. S</w:t>
      </w:r>
      <w:r w:rsidRPr="00BB49E2">
        <w:t>ubsequent</w:t>
      </w:r>
      <w:r w:rsidR="00086979" w:rsidRPr="00BB49E2">
        <w:t xml:space="preserve"> and </w:t>
      </w:r>
      <w:r w:rsidRPr="00BB49E2">
        <w:t>follow-up consultations, which will likely be only to obtain a prescription, will likely be shorter, and more likely to be completed by electronic means. This estimate therefore will overestimate over the life of the treatment of the patient for these purposes.</w:t>
      </w:r>
    </w:p>
    <w:p w14:paraId="5EF2779C" w14:textId="77777777" w:rsidR="00F80E14" w:rsidRPr="00BB49E2" w:rsidRDefault="00F80E14" w:rsidP="00467EDD">
      <w:pPr>
        <w:pStyle w:val="Bullet1"/>
        <w:numPr>
          <w:ilvl w:val="0"/>
          <w:numId w:val="79"/>
        </w:numPr>
      </w:pPr>
      <w:r w:rsidRPr="00BB49E2">
        <w:t xml:space="preserve">A person who attends a telehealth consultation (which involves direct interaction with a doctor) will not need to spend any time travelling as they can have the virtual consultation from any location (i.e., at home or work).  Additionally, a patient who attends a virtual consultation will not have to spend any time waiting as they can go about their daily activities while they wait for the doctor to call them. </w:t>
      </w:r>
    </w:p>
    <w:p w14:paraId="16E38B9E" w14:textId="77777777" w:rsidR="00F80E14" w:rsidRPr="00BB49E2" w:rsidRDefault="00F80E14" w:rsidP="00467EDD">
      <w:pPr>
        <w:pStyle w:val="Bullet1"/>
        <w:numPr>
          <w:ilvl w:val="0"/>
          <w:numId w:val="79"/>
        </w:numPr>
      </w:pPr>
      <w:r w:rsidRPr="00BB49E2">
        <w:t>Since the previous regulatory burden estimate was compiled (2021 reforms), there has been significant channel growth in ‘vaping’ prescriptions obtained via online means. This option entails considerably less regulatory burden than an in-person and slightly less than a telehealth consultation. The websites themselves estimate that the online process to provide the necessary details (including a smoking history) to obtain a prescription for nicotine vapes takes no longer than 10 minutes, with a simple internet search directing the consumer to such platforms.</w:t>
      </w:r>
      <w:r w:rsidRPr="00BB49E2">
        <w:rPr>
          <w:rStyle w:val="FootnoteReference"/>
        </w:rPr>
        <w:footnoteReference w:id="104"/>
      </w:r>
      <w:r w:rsidRPr="00BB49E2">
        <w:t xml:space="preserve"> To upload their prescription and order a nicotine vape from an online pharmacy is assessed to take no longer than 5 minutes, so a total of 15 minutes. </w:t>
      </w:r>
    </w:p>
    <w:p w14:paraId="326FEE1D" w14:textId="7CFE679F" w:rsidR="00F80E14" w:rsidRPr="00BB49E2" w:rsidRDefault="00F80E14" w:rsidP="00467EDD">
      <w:pPr>
        <w:pStyle w:val="Bullet1"/>
        <w:numPr>
          <w:ilvl w:val="0"/>
          <w:numId w:val="79"/>
        </w:numPr>
      </w:pPr>
      <w:r w:rsidRPr="00BB49E2">
        <w:t xml:space="preserve">From the </w:t>
      </w:r>
      <w:r w:rsidR="00086979" w:rsidRPr="00BB49E2">
        <w:t xml:space="preserve">estimated </w:t>
      </w:r>
      <w:r w:rsidRPr="00BB49E2">
        <w:t>total number of GP consultations</w:t>
      </w:r>
      <w:r w:rsidR="00086979" w:rsidRPr="00BB49E2">
        <w:t>, i</w:t>
      </w:r>
      <w:r w:rsidRPr="00BB49E2">
        <w:t>t is estimated that the total number of consultations resulting in a prescription being written for therapeutic vapes is 50%</w:t>
      </w:r>
      <w:r w:rsidR="00086979" w:rsidRPr="00BB49E2">
        <w:t xml:space="preserve"> </w:t>
      </w:r>
      <w:r w:rsidRPr="00BB49E2">
        <w:t xml:space="preserve">(n=225,000), but this number may </w:t>
      </w:r>
      <w:r w:rsidR="00086979" w:rsidRPr="00BB49E2">
        <w:t xml:space="preserve">even </w:t>
      </w:r>
      <w:r w:rsidRPr="00BB49E2">
        <w:t xml:space="preserve">be lower. </w:t>
      </w:r>
      <w:r w:rsidR="00086979" w:rsidRPr="00BB49E2">
        <w:t>This estimate is based on c</w:t>
      </w:r>
      <w:r w:rsidRPr="00BB49E2">
        <w:t>urrent RACGP guidelines</w:t>
      </w:r>
      <w:r w:rsidR="00086979" w:rsidRPr="00BB49E2">
        <w:t>, which</w:t>
      </w:r>
      <w:r w:rsidRPr="00BB49E2">
        <w:t xml:space="preserve"> highlight that vaping is second-line treatment for smoking cessation or nicotine addiction, so </w:t>
      </w:r>
      <w:r w:rsidR="00C61EFF">
        <w:t>medical practitioners</w:t>
      </w:r>
      <w:r w:rsidRPr="00BB49E2">
        <w:t xml:space="preserve"> strongly direct patients to other primary </w:t>
      </w:r>
      <w:r w:rsidRPr="00BB49E2">
        <w:lastRenderedPageBreak/>
        <w:t>pharmacotherapy, accompanied by behavioural support, and therefore would be less likely to prescribe a nicotine vape</w:t>
      </w:r>
      <w:r w:rsidR="00086979" w:rsidRPr="00BB49E2">
        <w:t>.</w:t>
      </w:r>
    </w:p>
    <w:p w14:paraId="0B0E8D7A" w14:textId="72BD3D1A" w:rsidR="00F80E14" w:rsidRDefault="00F80E14" w:rsidP="00E30A24">
      <w:pPr>
        <w:pStyle w:val="Heading4"/>
      </w:pPr>
      <w:bookmarkStart w:id="285" w:name="_Toc147384315"/>
      <w:bookmarkStart w:id="286" w:name="_Toc151040414"/>
      <w:r w:rsidRPr="005E2B4C">
        <w:t xml:space="preserve">Prescribing behaviour by </w:t>
      </w:r>
      <w:bookmarkEnd w:id="285"/>
      <w:r w:rsidR="00C61EFF">
        <w:t>medical practitioners</w:t>
      </w:r>
      <w:bookmarkEnd w:id="286"/>
    </w:p>
    <w:p w14:paraId="48564AFA" w14:textId="5D91FB68" w:rsidR="00F80E14" w:rsidRDefault="00F80E14" w:rsidP="00F80E14">
      <w:pPr>
        <w:shd w:val="clear" w:color="auto" w:fill="FFFFFF" w:themeFill="background1"/>
      </w:pPr>
      <w:r w:rsidRPr="00E30A24">
        <w:t xml:space="preserve">There is a low likelihood of therapeutic vapes being included on the Pharmaceutical Benefits Scheme (PBS) Schedule, due to there being no approved </w:t>
      </w:r>
      <w:r w:rsidR="005D2CEA">
        <w:t>vapes</w:t>
      </w:r>
      <w:r w:rsidRPr="00E30A24">
        <w:t xml:space="preserve"> on the ARTG and little likelihood of a sponsor applying for such approval, and concerns regarding its cost-effectiveness for cessation</w:t>
      </w:r>
      <w:r w:rsidR="00ED220F">
        <w:t>.</w:t>
      </w:r>
      <w:r w:rsidRPr="00E314E0">
        <w:rPr>
          <w:vertAlign w:val="superscript"/>
        </w:rPr>
        <w:footnoteReference w:id="105"/>
      </w:r>
      <w:r w:rsidRPr="00E30A24">
        <w:t xml:space="preserve"> It has therefore been assumed that vapes will be supplied over the duration of the regulatory costing (10 years) under private prescription. Therefore, there is no specified maximum number of repeats, nor is there a specified maximum quantity that can be prescribed at any one time. It is possible that </w:t>
      </w:r>
      <w:r w:rsidR="00E314E0">
        <w:t>medical practitioners</w:t>
      </w:r>
      <w:r w:rsidRPr="00E30A24">
        <w:t xml:space="preserve"> may therefore prescribe a range of nicotine concentrations (higher potency) to cater for variance in addiction levels, but it is considered that the general prescribing conditions as for the PBS will be applied by </w:t>
      </w:r>
      <w:r w:rsidR="00E314E0">
        <w:t>medical practitioners</w:t>
      </w:r>
      <w:r w:rsidRPr="00E30A24">
        <w:t>, in that each prescription will provide approximately one month’s therapy, which may be repeated to provide 6 months’ therapy in total. This seems appropriate as it is assumed that doctors might only prescribe nicotine vapes over a shorter periods and schedule more frequent consultations to monitor</w:t>
      </w:r>
      <w:r>
        <w:t xml:space="preserve"> progress towards the objective of successful smoking cessation.</w:t>
      </w:r>
    </w:p>
    <w:p w14:paraId="31872181" w14:textId="53DD79EF" w:rsidR="00F80E14" w:rsidRDefault="00F80E14" w:rsidP="00E30A24">
      <w:pPr>
        <w:pStyle w:val="Heading4"/>
      </w:pPr>
      <w:bookmarkStart w:id="287" w:name="_Toc147384316"/>
      <w:bookmarkStart w:id="288" w:name="_Toc151040415"/>
      <w:r>
        <w:t>Future p</w:t>
      </w:r>
      <w:r w:rsidRPr="00974A2A">
        <w:t xml:space="preserve">opulation </w:t>
      </w:r>
      <w:r w:rsidRPr="00E30A24">
        <w:t>considerations</w:t>
      </w:r>
      <w:r>
        <w:t xml:space="preserve"> (</w:t>
      </w:r>
      <w:r w:rsidR="00E314E0">
        <w:t>medical practitioners</w:t>
      </w:r>
      <w:r>
        <w:t xml:space="preserve"> visits)</w:t>
      </w:r>
      <w:bookmarkEnd w:id="287"/>
      <w:bookmarkEnd w:id="288"/>
    </w:p>
    <w:p w14:paraId="281D0CAF" w14:textId="4466B6BF" w:rsidR="00F80E14" w:rsidRDefault="00F80E14" w:rsidP="002F2CC0">
      <w:r>
        <w:t xml:space="preserve">As detailed in the response to Question 1, there are an estimated 1.3 million adult users of vapes in Australia. It has been estimated that of this base number, 20% are exclusively zero-nicotine vapers (n=1.04m). of which 50% are occasional vapers who are unlikely to seek a prescription for smoking cessation or treatment of nicotine addiction (n=520,000). From this number the existing number of vapers who have already obtained a script and will likely continue to do so in the future (n=70,000) are removed, leaving n=450,000. Noting the likely prescribing behaviour detailed above, it is assessed that each patient will consult with a </w:t>
      </w:r>
      <w:r w:rsidR="00E314E0">
        <w:t xml:space="preserve">medical </w:t>
      </w:r>
      <w:r w:rsidR="00505351">
        <w:t>practitioner</w:t>
      </w:r>
      <w:r>
        <w:t xml:space="preserve"> twice a year, meaning 900,000 GP visits.</w:t>
      </w:r>
    </w:p>
    <w:p w14:paraId="7D7C5F9A" w14:textId="77777777" w:rsidR="00F80E14" w:rsidRDefault="00F80E14" w:rsidP="002F2CC0">
      <w:r>
        <w:t>In this costing, no year-on-year reduction in the rate of prescriptions sought is conservatively assumed. However, it is expected, in line with policy intent, that</w:t>
      </w:r>
      <w:r w:rsidDel="00093FBF">
        <w:t xml:space="preserve"> </w:t>
      </w:r>
      <w:r>
        <w:t>the population of vape users will decrease following implementation of the proposed regulatory changes, due in part to incidences</w:t>
      </w:r>
      <w:r w:rsidRPr="00122D03">
        <w:t xml:space="preserve"> </w:t>
      </w:r>
      <w:r>
        <w:t>of</w:t>
      </w:r>
      <w:r w:rsidRPr="00122D03">
        <w:t xml:space="preserve"> </w:t>
      </w:r>
      <w:r>
        <w:t>successful smoking cessation attempts</w:t>
      </w:r>
      <w:r w:rsidRPr="00122D03">
        <w:t xml:space="preserve"> and </w:t>
      </w:r>
      <w:r>
        <w:t xml:space="preserve">increased consumer awareness of the health risks of vaping. So too, then, will the number of GP visits to obtain a prescription. As such, it is estimated that the number of patients seeking a prescription for vapes could reduce by 10% </w:t>
      </w:r>
      <w:r w:rsidRPr="000C763E">
        <w:t>per year</w:t>
      </w:r>
      <w:r>
        <w:t>, as per the table below.</w:t>
      </w:r>
      <w:r>
        <w:rPr>
          <w:rStyle w:val="FootnoteReference"/>
        </w:rPr>
        <w:footnoteReference w:id="106"/>
      </w:r>
      <w:r>
        <w:t xml:space="preserve"> As a result, the impact would be expected to be much lower, with the number of vapers seeking a prescription dropping to 349,000 by Year 10 (2034/35), However, as noted earlier, to avoid underestimation of the impact of the proposed regulatory changes, the unadjusted vaping population base (n=450,00) has been taken forward into subsequent modelling.  </w:t>
      </w:r>
    </w:p>
    <w:p w14:paraId="276C8278" w14:textId="20832ED8" w:rsidR="00F80E14" w:rsidRDefault="00F80E14" w:rsidP="004320CB">
      <w:pPr>
        <w:pStyle w:val="TableCaption"/>
      </w:pPr>
      <w:bookmarkStart w:id="289" w:name="_Toc147759788"/>
      <w:r>
        <w:t xml:space="preserve">Table B1. Reduction in number of GP visits per year to obtain a prescription for </w:t>
      </w:r>
      <w:r w:rsidR="00086979">
        <w:t>vapes</w:t>
      </w:r>
      <w:bookmarkEnd w:id="289"/>
    </w:p>
    <w:tbl>
      <w:tblPr>
        <w:tblW w:w="9209" w:type="dxa"/>
        <w:tblLook w:val="04A0" w:firstRow="1" w:lastRow="0" w:firstColumn="1" w:lastColumn="0" w:noHBand="0" w:noVBand="1"/>
      </w:tblPr>
      <w:tblGrid>
        <w:gridCol w:w="1220"/>
        <w:gridCol w:w="1340"/>
        <w:gridCol w:w="1971"/>
        <w:gridCol w:w="4678"/>
      </w:tblGrid>
      <w:tr w:rsidR="00F80E14" w:rsidRPr="009C604D" w14:paraId="7618805F" w14:textId="77777777" w:rsidTr="00970164">
        <w:trPr>
          <w:trHeight w:val="70"/>
          <w:tblHeader/>
        </w:trPr>
        <w:tc>
          <w:tcPr>
            <w:tcW w:w="122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08D60240" w14:textId="77777777" w:rsidR="00F80E14" w:rsidRPr="009C604D" w:rsidRDefault="00F80E14" w:rsidP="000A07F0">
            <w:pPr>
              <w:spacing w:after="0" w:line="240" w:lineRule="auto"/>
              <w:jc w:val="center"/>
              <w:rPr>
                <w:rFonts w:ascii="Overpass" w:eastAsia="Times New Roman" w:hAnsi="Overpass" w:cs="Calibri"/>
                <w:b/>
                <w:bCs/>
                <w:color w:val="FFFFFF"/>
                <w:sz w:val="18"/>
                <w:szCs w:val="18"/>
                <w:lang w:eastAsia="en-AU"/>
              </w:rPr>
            </w:pPr>
            <w:r w:rsidRPr="009C604D">
              <w:rPr>
                <w:rFonts w:ascii="Overpass" w:eastAsia="Times New Roman" w:hAnsi="Overpass" w:cs="Calibri"/>
                <w:b/>
                <w:bCs/>
                <w:color w:val="FFFFFF"/>
                <w:sz w:val="18"/>
                <w:szCs w:val="18"/>
                <w:lang w:eastAsia="en-AU"/>
              </w:rPr>
              <w:t> </w:t>
            </w:r>
          </w:p>
        </w:tc>
        <w:tc>
          <w:tcPr>
            <w:tcW w:w="1340" w:type="dxa"/>
            <w:tcBorders>
              <w:top w:val="single" w:sz="4" w:space="0" w:color="auto"/>
              <w:left w:val="nil"/>
              <w:bottom w:val="single" w:sz="4" w:space="0" w:color="auto"/>
              <w:right w:val="single" w:sz="4" w:space="0" w:color="auto"/>
            </w:tcBorders>
            <w:shd w:val="clear" w:color="000000" w:fill="4472C4"/>
            <w:vAlign w:val="center"/>
            <w:hideMark/>
          </w:tcPr>
          <w:p w14:paraId="1520FDC3" w14:textId="77777777" w:rsidR="00F80E14" w:rsidRPr="009C604D" w:rsidRDefault="00F80E14" w:rsidP="000A07F0">
            <w:pPr>
              <w:spacing w:after="0" w:line="240" w:lineRule="auto"/>
              <w:jc w:val="center"/>
              <w:rPr>
                <w:rFonts w:ascii="Overpass" w:eastAsia="Times New Roman" w:hAnsi="Overpass" w:cs="Calibri"/>
                <w:b/>
                <w:bCs/>
                <w:color w:val="FFFFFF"/>
                <w:sz w:val="18"/>
                <w:szCs w:val="18"/>
                <w:lang w:eastAsia="en-AU"/>
              </w:rPr>
            </w:pPr>
            <w:r w:rsidRPr="009C604D">
              <w:rPr>
                <w:rFonts w:ascii="Overpass" w:eastAsia="Times New Roman" w:hAnsi="Overpass" w:cs="Calibri"/>
                <w:b/>
                <w:bCs/>
                <w:color w:val="FFFFFF"/>
                <w:sz w:val="18"/>
                <w:szCs w:val="18"/>
                <w:lang w:eastAsia="en-AU"/>
              </w:rPr>
              <w:t>Year</w:t>
            </w:r>
          </w:p>
        </w:tc>
        <w:tc>
          <w:tcPr>
            <w:tcW w:w="1971" w:type="dxa"/>
            <w:tcBorders>
              <w:top w:val="single" w:sz="4" w:space="0" w:color="auto"/>
              <w:left w:val="nil"/>
              <w:bottom w:val="single" w:sz="4" w:space="0" w:color="auto"/>
              <w:right w:val="single" w:sz="4" w:space="0" w:color="auto"/>
            </w:tcBorders>
            <w:shd w:val="clear" w:color="000000" w:fill="4472C4"/>
            <w:vAlign w:val="center"/>
            <w:hideMark/>
          </w:tcPr>
          <w:p w14:paraId="2DB3D145" w14:textId="77777777" w:rsidR="00F80E14" w:rsidRPr="009C604D" w:rsidRDefault="00F80E14" w:rsidP="000A07F0">
            <w:pPr>
              <w:spacing w:after="0" w:line="240" w:lineRule="auto"/>
              <w:jc w:val="center"/>
              <w:rPr>
                <w:rFonts w:ascii="Overpass" w:eastAsia="Times New Roman" w:hAnsi="Overpass" w:cs="Calibri"/>
                <w:b/>
                <w:bCs/>
                <w:color w:val="FFFFFF"/>
                <w:sz w:val="18"/>
                <w:szCs w:val="18"/>
                <w:lang w:eastAsia="en-AU"/>
              </w:rPr>
            </w:pPr>
            <w:r w:rsidRPr="009C604D">
              <w:rPr>
                <w:rFonts w:ascii="Overpass" w:eastAsia="Times New Roman" w:hAnsi="Overpass" w:cs="Calibri"/>
                <w:b/>
                <w:bCs/>
                <w:color w:val="FFFFFF"/>
                <w:sz w:val="18"/>
                <w:szCs w:val="18"/>
                <w:lang w:eastAsia="en-AU"/>
              </w:rPr>
              <w:t xml:space="preserve">Population </w:t>
            </w:r>
            <w:r>
              <w:rPr>
                <w:rFonts w:ascii="Overpass" w:eastAsia="Times New Roman" w:hAnsi="Overpass" w:cs="Calibri"/>
                <w:b/>
                <w:bCs/>
                <w:color w:val="FFFFFF"/>
                <w:sz w:val="18"/>
                <w:szCs w:val="18"/>
                <w:lang w:eastAsia="en-AU"/>
              </w:rPr>
              <w:t>g</w:t>
            </w:r>
            <w:r w:rsidRPr="009C604D">
              <w:rPr>
                <w:rFonts w:ascii="Overpass" w:eastAsia="Times New Roman" w:hAnsi="Overpass" w:cs="Calibri"/>
                <w:b/>
                <w:bCs/>
                <w:color w:val="FFFFFF"/>
                <w:sz w:val="18"/>
                <w:szCs w:val="18"/>
                <w:lang w:eastAsia="en-AU"/>
              </w:rPr>
              <w:t>rowth</w:t>
            </w:r>
          </w:p>
        </w:tc>
        <w:tc>
          <w:tcPr>
            <w:tcW w:w="4678" w:type="dxa"/>
            <w:tcBorders>
              <w:top w:val="single" w:sz="4" w:space="0" w:color="auto"/>
              <w:left w:val="nil"/>
              <w:bottom w:val="single" w:sz="4" w:space="0" w:color="auto"/>
              <w:right w:val="single" w:sz="4" w:space="0" w:color="auto"/>
            </w:tcBorders>
            <w:shd w:val="clear" w:color="000000" w:fill="4472C4"/>
            <w:vAlign w:val="center"/>
            <w:hideMark/>
          </w:tcPr>
          <w:p w14:paraId="66701D14" w14:textId="77777777" w:rsidR="00F80E14" w:rsidRPr="009C604D" w:rsidRDefault="00F80E14" w:rsidP="000A07F0">
            <w:pPr>
              <w:spacing w:after="0" w:line="240" w:lineRule="auto"/>
              <w:jc w:val="center"/>
              <w:rPr>
                <w:rFonts w:ascii="Overpass" w:eastAsia="Times New Roman" w:hAnsi="Overpass" w:cs="Calibri"/>
                <w:b/>
                <w:bCs/>
                <w:color w:val="FFFFFF"/>
                <w:sz w:val="18"/>
                <w:szCs w:val="18"/>
                <w:lang w:eastAsia="en-AU"/>
              </w:rPr>
            </w:pPr>
            <w:r w:rsidRPr="009C604D">
              <w:rPr>
                <w:rFonts w:ascii="Overpass" w:eastAsia="Times New Roman" w:hAnsi="Overpass" w:cs="Calibri"/>
                <w:b/>
                <w:bCs/>
                <w:color w:val="FFFFFF"/>
                <w:sz w:val="18"/>
                <w:szCs w:val="18"/>
                <w:lang w:eastAsia="en-AU"/>
              </w:rPr>
              <w:t xml:space="preserve">Reduction in </w:t>
            </w:r>
            <w:r>
              <w:rPr>
                <w:rFonts w:ascii="Overpass" w:eastAsia="Times New Roman" w:hAnsi="Overpass" w:cs="Calibri"/>
                <w:b/>
                <w:bCs/>
                <w:color w:val="FFFFFF"/>
                <w:sz w:val="18"/>
                <w:szCs w:val="18"/>
                <w:lang w:eastAsia="en-AU"/>
              </w:rPr>
              <w:t>those seeking a vaping prescription</w:t>
            </w:r>
            <w:r w:rsidRPr="009C604D">
              <w:rPr>
                <w:rFonts w:ascii="Overpass" w:eastAsia="Times New Roman" w:hAnsi="Overpass" w:cs="Calibri"/>
                <w:b/>
                <w:bCs/>
                <w:color w:val="FFFFFF"/>
                <w:sz w:val="18"/>
                <w:szCs w:val="18"/>
                <w:lang w:eastAsia="en-AU"/>
              </w:rPr>
              <w:t xml:space="preserve"> per year</w:t>
            </w:r>
          </w:p>
        </w:tc>
      </w:tr>
      <w:tr w:rsidR="00F80E14" w:rsidRPr="009C604D" w14:paraId="04F5F89A" w14:textId="77777777" w:rsidTr="000A07F0">
        <w:trPr>
          <w:trHeight w:val="240"/>
        </w:trPr>
        <w:tc>
          <w:tcPr>
            <w:tcW w:w="256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01C33C" w14:textId="77777777" w:rsidR="00F80E14" w:rsidRPr="009C604D" w:rsidRDefault="00F80E14" w:rsidP="000A07F0">
            <w:pPr>
              <w:spacing w:after="0" w:line="240" w:lineRule="auto"/>
              <w:jc w:val="right"/>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Yearly Growth Factor</w:t>
            </w:r>
          </w:p>
        </w:tc>
        <w:tc>
          <w:tcPr>
            <w:tcW w:w="1971" w:type="dxa"/>
            <w:tcBorders>
              <w:top w:val="nil"/>
              <w:left w:val="nil"/>
              <w:bottom w:val="single" w:sz="4" w:space="0" w:color="auto"/>
              <w:right w:val="single" w:sz="4" w:space="0" w:color="auto"/>
            </w:tcBorders>
            <w:shd w:val="clear" w:color="auto" w:fill="auto"/>
            <w:noWrap/>
            <w:vAlign w:val="center"/>
            <w:hideMark/>
          </w:tcPr>
          <w:p w14:paraId="4FAB9F0D"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0.90</w:t>
            </w:r>
          </w:p>
        </w:tc>
        <w:tc>
          <w:tcPr>
            <w:tcW w:w="4678" w:type="dxa"/>
            <w:tcBorders>
              <w:top w:val="nil"/>
              <w:left w:val="nil"/>
              <w:bottom w:val="single" w:sz="4" w:space="0" w:color="auto"/>
              <w:right w:val="single" w:sz="4" w:space="0" w:color="auto"/>
            </w:tcBorders>
            <w:shd w:val="clear" w:color="auto" w:fill="auto"/>
            <w:noWrap/>
            <w:vAlign w:val="center"/>
            <w:hideMark/>
          </w:tcPr>
          <w:p w14:paraId="06018FCA" w14:textId="77777777" w:rsidR="00F80E14" w:rsidRPr="009C604D" w:rsidRDefault="00F80E14" w:rsidP="000A07F0">
            <w:pPr>
              <w:spacing w:after="0" w:line="240" w:lineRule="auto"/>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 </w:t>
            </w:r>
          </w:p>
        </w:tc>
      </w:tr>
      <w:tr w:rsidR="00F80E14" w:rsidRPr="009C604D" w14:paraId="3BF3B7D0"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6B4ED29B"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 1</w:t>
            </w:r>
          </w:p>
        </w:tc>
        <w:tc>
          <w:tcPr>
            <w:tcW w:w="1340" w:type="dxa"/>
            <w:tcBorders>
              <w:top w:val="nil"/>
              <w:left w:val="nil"/>
              <w:bottom w:val="single" w:sz="4" w:space="0" w:color="auto"/>
              <w:right w:val="single" w:sz="4" w:space="0" w:color="auto"/>
            </w:tcBorders>
            <w:shd w:val="clear" w:color="auto" w:fill="auto"/>
            <w:noWrap/>
            <w:vAlign w:val="center"/>
            <w:hideMark/>
          </w:tcPr>
          <w:p w14:paraId="49F27A05"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24/25</w:t>
            </w:r>
          </w:p>
        </w:tc>
        <w:tc>
          <w:tcPr>
            <w:tcW w:w="1971" w:type="dxa"/>
            <w:tcBorders>
              <w:top w:val="nil"/>
              <w:left w:val="nil"/>
              <w:bottom w:val="single" w:sz="4" w:space="0" w:color="auto"/>
              <w:right w:val="single" w:sz="4" w:space="0" w:color="auto"/>
            </w:tcBorders>
            <w:shd w:val="clear" w:color="auto" w:fill="auto"/>
            <w:noWrap/>
            <w:vAlign w:val="center"/>
            <w:hideMark/>
          </w:tcPr>
          <w:p w14:paraId="763FF970"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900,000</w:t>
            </w:r>
          </w:p>
        </w:tc>
        <w:tc>
          <w:tcPr>
            <w:tcW w:w="4678" w:type="dxa"/>
            <w:tcBorders>
              <w:top w:val="nil"/>
              <w:left w:val="nil"/>
              <w:bottom w:val="single" w:sz="4" w:space="0" w:color="auto"/>
              <w:right w:val="single" w:sz="4" w:space="0" w:color="auto"/>
            </w:tcBorders>
            <w:shd w:val="clear" w:color="auto" w:fill="auto"/>
            <w:noWrap/>
            <w:vAlign w:val="center"/>
            <w:hideMark/>
          </w:tcPr>
          <w:p w14:paraId="0F5145E9" w14:textId="77777777" w:rsidR="00F80E14" w:rsidRPr="009C604D" w:rsidRDefault="00F80E14" w:rsidP="000A07F0">
            <w:pPr>
              <w:spacing w:after="0" w:line="240" w:lineRule="auto"/>
              <w:rPr>
                <w:rFonts w:ascii="Overpass" w:eastAsia="Times New Roman" w:hAnsi="Overpass" w:cs="Calibri"/>
                <w:color w:val="000000"/>
                <w:sz w:val="18"/>
                <w:szCs w:val="18"/>
                <w:lang w:eastAsia="en-AU"/>
              </w:rPr>
            </w:pPr>
            <w:r>
              <w:rPr>
                <w:rFonts w:ascii="Overpass" w:hAnsi="Overpass" w:cs="Calibri"/>
                <w:color w:val="000000"/>
                <w:sz w:val="18"/>
                <w:szCs w:val="18"/>
              </w:rPr>
              <w:t> </w:t>
            </w:r>
          </w:p>
        </w:tc>
      </w:tr>
      <w:tr w:rsidR="00F80E14" w:rsidRPr="009C604D" w14:paraId="06F829DB"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0FDF7AEF"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 2</w:t>
            </w:r>
          </w:p>
        </w:tc>
        <w:tc>
          <w:tcPr>
            <w:tcW w:w="1340" w:type="dxa"/>
            <w:tcBorders>
              <w:top w:val="nil"/>
              <w:left w:val="nil"/>
              <w:bottom w:val="single" w:sz="4" w:space="0" w:color="auto"/>
              <w:right w:val="single" w:sz="4" w:space="0" w:color="auto"/>
            </w:tcBorders>
            <w:shd w:val="clear" w:color="auto" w:fill="auto"/>
            <w:noWrap/>
            <w:vAlign w:val="center"/>
            <w:hideMark/>
          </w:tcPr>
          <w:p w14:paraId="0B7BEA89"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25/26</w:t>
            </w:r>
          </w:p>
        </w:tc>
        <w:tc>
          <w:tcPr>
            <w:tcW w:w="1971" w:type="dxa"/>
            <w:tcBorders>
              <w:top w:val="nil"/>
              <w:left w:val="nil"/>
              <w:bottom w:val="single" w:sz="4" w:space="0" w:color="auto"/>
              <w:right w:val="single" w:sz="4" w:space="0" w:color="auto"/>
            </w:tcBorders>
            <w:shd w:val="clear" w:color="auto" w:fill="auto"/>
            <w:noWrap/>
            <w:vAlign w:val="bottom"/>
            <w:hideMark/>
          </w:tcPr>
          <w:p w14:paraId="2BE136BA"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810,000</w:t>
            </w:r>
          </w:p>
        </w:tc>
        <w:tc>
          <w:tcPr>
            <w:tcW w:w="4678" w:type="dxa"/>
            <w:tcBorders>
              <w:top w:val="nil"/>
              <w:left w:val="nil"/>
              <w:bottom w:val="single" w:sz="4" w:space="0" w:color="auto"/>
              <w:right w:val="single" w:sz="4" w:space="0" w:color="auto"/>
            </w:tcBorders>
            <w:shd w:val="clear" w:color="auto" w:fill="auto"/>
            <w:noWrap/>
            <w:vAlign w:val="bottom"/>
            <w:hideMark/>
          </w:tcPr>
          <w:p w14:paraId="79FD56CF"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-90,000</w:t>
            </w:r>
          </w:p>
        </w:tc>
      </w:tr>
      <w:tr w:rsidR="00F80E14" w:rsidRPr="009C604D" w14:paraId="134B6E40"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796A6456"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 3</w:t>
            </w:r>
          </w:p>
        </w:tc>
        <w:tc>
          <w:tcPr>
            <w:tcW w:w="1340" w:type="dxa"/>
            <w:tcBorders>
              <w:top w:val="nil"/>
              <w:left w:val="nil"/>
              <w:bottom w:val="single" w:sz="4" w:space="0" w:color="auto"/>
              <w:right w:val="single" w:sz="4" w:space="0" w:color="auto"/>
            </w:tcBorders>
            <w:shd w:val="clear" w:color="auto" w:fill="auto"/>
            <w:noWrap/>
            <w:vAlign w:val="center"/>
            <w:hideMark/>
          </w:tcPr>
          <w:p w14:paraId="019836C6"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26/27</w:t>
            </w:r>
          </w:p>
        </w:tc>
        <w:tc>
          <w:tcPr>
            <w:tcW w:w="1971" w:type="dxa"/>
            <w:tcBorders>
              <w:top w:val="nil"/>
              <w:left w:val="nil"/>
              <w:bottom w:val="single" w:sz="4" w:space="0" w:color="auto"/>
              <w:right w:val="single" w:sz="4" w:space="0" w:color="auto"/>
            </w:tcBorders>
            <w:shd w:val="clear" w:color="auto" w:fill="auto"/>
            <w:noWrap/>
            <w:vAlign w:val="bottom"/>
            <w:hideMark/>
          </w:tcPr>
          <w:p w14:paraId="477A0366"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729,000</w:t>
            </w:r>
          </w:p>
        </w:tc>
        <w:tc>
          <w:tcPr>
            <w:tcW w:w="4678" w:type="dxa"/>
            <w:tcBorders>
              <w:top w:val="nil"/>
              <w:left w:val="nil"/>
              <w:bottom w:val="single" w:sz="4" w:space="0" w:color="auto"/>
              <w:right w:val="single" w:sz="4" w:space="0" w:color="auto"/>
            </w:tcBorders>
            <w:shd w:val="clear" w:color="auto" w:fill="auto"/>
            <w:noWrap/>
            <w:vAlign w:val="bottom"/>
            <w:hideMark/>
          </w:tcPr>
          <w:p w14:paraId="2EE1461C"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-81,000</w:t>
            </w:r>
          </w:p>
        </w:tc>
      </w:tr>
      <w:tr w:rsidR="00F80E14" w:rsidRPr="009C604D" w14:paraId="72291578"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4FD14B11"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 4</w:t>
            </w:r>
          </w:p>
        </w:tc>
        <w:tc>
          <w:tcPr>
            <w:tcW w:w="1340" w:type="dxa"/>
            <w:tcBorders>
              <w:top w:val="nil"/>
              <w:left w:val="nil"/>
              <w:bottom w:val="single" w:sz="4" w:space="0" w:color="auto"/>
              <w:right w:val="single" w:sz="4" w:space="0" w:color="auto"/>
            </w:tcBorders>
            <w:shd w:val="clear" w:color="auto" w:fill="auto"/>
            <w:noWrap/>
            <w:vAlign w:val="center"/>
            <w:hideMark/>
          </w:tcPr>
          <w:p w14:paraId="2B399F66"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27/28</w:t>
            </w:r>
          </w:p>
        </w:tc>
        <w:tc>
          <w:tcPr>
            <w:tcW w:w="1971" w:type="dxa"/>
            <w:tcBorders>
              <w:top w:val="nil"/>
              <w:left w:val="nil"/>
              <w:bottom w:val="single" w:sz="4" w:space="0" w:color="auto"/>
              <w:right w:val="single" w:sz="4" w:space="0" w:color="auto"/>
            </w:tcBorders>
            <w:shd w:val="clear" w:color="auto" w:fill="auto"/>
            <w:noWrap/>
            <w:vAlign w:val="bottom"/>
            <w:hideMark/>
          </w:tcPr>
          <w:p w14:paraId="5CA4C5D3"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656,100</w:t>
            </w:r>
          </w:p>
        </w:tc>
        <w:tc>
          <w:tcPr>
            <w:tcW w:w="4678" w:type="dxa"/>
            <w:tcBorders>
              <w:top w:val="nil"/>
              <w:left w:val="nil"/>
              <w:bottom w:val="single" w:sz="4" w:space="0" w:color="auto"/>
              <w:right w:val="single" w:sz="4" w:space="0" w:color="auto"/>
            </w:tcBorders>
            <w:shd w:val="clear" w:color="auto" w:fill="auto"/>
            <w:noWrap/>
            <w:vAlign w:val="bottom"/>
            <w:hideMark/>
          </w:tcPr>
          <w:p w14:paraId="38460B37"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-72,900</w:t>
            </w:r>
          </w:p>
        </w:tc>
      </w:tr>
      <w:tr w:rsidR="00F80E14" w:rsidRPr="009C604D" w14:paraId="77B3991A"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2D298A4A"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 5</w:t>
            </w:r>
          </w:p>
        </w:tc>
        <w:tc>
          <w:tcPr>
            <w:tcW w:w="1340" w:type="dxa"/>
            <w:tcBorders>
              <w:top w:val="nil"/>
              <w:left w:val="nil"/>
              <w:bottom w:val="single" w:sz="4" w:space="0" w:color="auto"/>
              <w:right w:val="single" w:sz="4" w:space="0" w:color="auto"/>
            </w:tcBorders>
            <w:shd w:val="clear" w:color="auto" w:fill="auto"/>
            <w:noWrap/>
            <w:vAlign w:val="center"/>
            <w:hideMark/>
          </w:tcPr>
          <w:p w14:paraId="2DAB0FBA"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28/29</w:t>
            </w:r>
          </w:p>
        </w:tc>
        <w:tc>
          <w:tcPr>
            <w:tcW w:w="1971" w:type="dxa"/>
            <w:tcBorders>
              <w:top w:val="nil"/>
              <w:left w:val="nil"/>
              <w:bottom w:val="single" w:sz="4" w:space="0" w:color="auto"/>
              <w:right w:val="single" w:sz="4" w:space="0" w:color="auto"/>
            </w:tcBorders>
            <w:shd w:val="clear" w:color="auto" w:fill="auto"/>
            <w:noWrap/>
            <w:vAlign w:val="bottom"/>
            <w:hideMark/>
          </w:tcPr>
          <w:p w14:paraId="16871A0E"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590,490</w:t>
            </w:r>
          </w:p>
        </w:tc>
        <w:tc>
          <w:tcPr>
            <w:tcW w:w="4678" w:type="dxa"/>
            <w:tcBorders>
              <w:top w:val="nil"/>
              <w:left w:val="nil"/>
              <w:bottom w:val="single" w:sz="4" w:space="0" w:color="auto"/>
              <w:right w:val="single" w:sz="4" w:space="0" w:color="auto"/>
            </w:tcBorders>
            <w:shd w:val="clear" w:color="auto" w:fill="auto"/>
            <w:noWrap/>
            <w:vAlign w:val="bottom"/>
            <w:hideMark/>
          </w:tcPr>
          <w:p w14:paraId="57FF4980"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-65,610</w:t>
            </w:r>
          </w:p>
        </w:tc>
      </w:tr>
      <w:tr w:rsidR="00F80E14" w:rsidRPr="009C604D" w14:paraId="1C870B10"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40055FF9"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lastRenderedPageBreak/>
              <w:t>Year 6</w:t>
            </w:r>
          </w:p>
        </w:tc>
        <w:tc>
          <w:tcPr>
            <w:tcW w:w="1340" w:type="dxa"/>
            <w:tcBorders>
              <w:top w:val="nil"/>
              <w:left w:val="nil"/>
              <w:bottom w:val="single" w:sz="4" w:space="0" w:color="auto"/>
              <w:right w:val="single" w:sz="4" w:space="0" w:color="auto"/>
            </w:tcBorders>
            <w:shd w:val="clear" w:color="auto" w:fill="auto"/>
            <w:noWrap/>
            <w:vAlign w:val="center"/>
            <w:hideMark/>
          </w:tcPr>
          <w:p w14:paraId="293FB218"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30/31</w:t>
            </w:r>
          </w:p>
        </w:tc>
        <w:tc>
          <w:tcPr>
            <w:tcW w:w="1971" w:type="dxa"/>
            <w:tcBorders>
              <w:top w:val="nil"/>
              <w:left w:val="nil"/>
              <w:bottom w:val="single" w:sz="4" w:space="0" w:color="auto"/>
              <w:right w:val="single" w:sz="4" w:space="0" w:color="auto"/>
            </w:tcBorders>
            <w:shd w:val="clear" w:color="auto" w:fill="auto"/>
            <w:noWrap/>
            <w:vAlign w:val="bottom"/>
            <w:hideMark/>
          </w:tcPr>
          <w:p w14:paraId="0BA00602"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531,441</w:t>
            </w:r>
          </w:p>
        </w:tc>
        <w:tc>
          <w:tcPr>
            <w:tcW w:w="4678" w:type="dxa"/>
            <w:tcBorders>
              <w:top w:val="nil"/>
              <w:left w:val="nil"/>
              <w:bottom w:val="single" w:sz="4" w:space="0" w:color="auto"/>
              <w:right w:val="single" w:sz="4" w:space="0" w:color="auto"/>
            </w:tcBorders>
            <w:shd w:val="clear" w:color="auto" w:fill="auto"/>
            <w:noWrap/>
            <w:vAlign w:val="bottom"/>
            <w:hideMark/>
          </w:tcPr>
          <w:p w14:paraId="1513328D"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-59,049</w:t>
            </w:r>
          </w:p>
        </w:tc>
      </w:tr>
      <w:tr w:rsidR="00F80E14" w:rsidRPr="009C604D" w14:paraId="23F73428"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03C0355D"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 7</w:t>
            </w:r>
          </w:p>
        </w:tc>
        <w:tc>
          <w:tcPr>
            <w:tcW w:w="1340" w:type="dxa"/>
            <w:tcBorders>
              <w:top w:val="nil"/>
              <w:left w:val="nil"/>
              <w:bottom w:val="single" w:sz="4" w:space="0" w:color="auto"/>
              <w:right w:val="single" w:sz="4" w:space="0" w:color="auto"/>
            </w:tcBorders>
            <w:shd w:val="clear" w:color="auto" w:fill="auto"/>
            <w:noWrap/>
            <w:vAlign w:val="center"/>
            <w:hideMark/>
          </w:tcPr>
          <w:p w14:paraId="7FCBEE5F"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31/32</w:t>
            </w:r>
          </w:p>
        </w:tc>
        <w:tc>
          <w:tcPr>
            <w:tcW w:w="1971" w:type="dxa"/>
            <w:tcBorders>
              <w:top w:val="nil"/>
              <w:left w:val="nil"/>
              <w:bottom w:val="single" w:sz="4" w:space="0" w:color="auto"/>
              <w:right w:val="single" w:sz="4" w:space="0" w:color="auto"/>
            </w:tcBorders>
            <w:shd w:val="clear" w:color="auto" w:fill="auto"/>
            <w:noWrap/>
            <w:vAlign w:val="bottom"/>
            <w:hideMark/>
          </w:tcPr>
          <w:p w14:paraId="4D84BE8D"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478,297</w:t>
            </w:r>
          </w:p>
        </w:tc>
        <w:tc>
          <w:tcPr>
            <w:tcW w:w="4678" w:type="dxa"/>
            <w:tcBorders>
              <w:top w:val="nil"/>
              <w:left w:val="nil"/>
              <w:bottom w:val="single" w:sz="4" w:space="0" w:color="auto"/>
              <w:right w:val="single" w:sz="4" w:space="0" w:color="auto"/>
            </w:tcBorders>
            <w:shd w:val="clear" w:color="auto" w:fill="auto"/>
            <w:noWrap/>
            <w:vAlign w:val="bottom"/>
            <w:hideMark/>
          </w:tcPr>
          <w:p w14:paraId="788F13CA"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-53,144</w:t>
            </w:r>
          </w:p>
        </w:tc>
      </w:tr>
      <w:tr w:rsidR="00F80E14" w:rsidRPr="009C604D" w14:paraId="223AC96D"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5D989B1A"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 8</w:t>
            </w:r>
          </w:p>
        </w:tc>
        <w:tc>
          <w:tcPr>
            <w:tcW w:w="1340" w:type="dxa"/>
            <w:tcBorders>
              <w:top w:val="nil"/>
              <w:left w:val="nil"/>
              <w:bottom w:val="single" w:sz="4" w:space="0" w:color="auto"/>
              <w:right w:val="single" w:sz="4" w:space="0" w:color="auto"/>
            </w:tcBorders>
            <w:shd w:val="clear" w:color="auto" w:fill="auto"/>
            <w:noWrap/>
            <w:vAlign w:val="center"/>
            <w:hideMark/>
          </w:tcPr>
          <w:p w14:paraId="4283139B"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32/33</w:t>
            </w:r>
          </w:p>
        </w:tc>
        <w:tc>
          <w:tcPr>
            <w:tcW w:w="1971" w:type="dxa"/>
            <w:tcBorders>
              <w:top w:val="nil"/>
              <w:left w:val="nil"/>
              <w:bottom w:val="single" w:sz="4" w:space="0" w:color="auto"/>
              <w:right w:val="single" w:sz="4" w:space="0" w:color="auto"/>
            </w:tcBorders>
            <w:shd w:val="clear" w:color="auto" w:fill="auto"/>
            <w:noWrap/>
            <w:vAlign w:val="bottom"/>
            <w:hideMark/>
          </w:tcPr>
          <w:p w14:paraId="3993EF03"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430,467</w:t>
            </w:r>
          </w:p>
        </w:tc>
        <w:tc>
          <w:tcPr>
            <w:tcW w:w="4678" w:type="dxa"/>
            <w:tcBorders>
              <w:top w:val="nil"/>
              <w:left w:val="nil"/>
              <w:bottom w:val="single" w:sz="4" w:space="0" w:color="auto"/>
              <w:right w:val="single" w:sz="4" w:space="0" w:color="auto"/>
            </w:tcBorders>
            <w:shd w:val="clear" w:color="auto" w:fill="auto"/>
            <w:noWrap/>
            <w:vAlign w:val="bottom"/>
            <w:hideMark/>
          </w:tcPr>
          <w:p w14:paraId="7B45076D"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-47,830</w:t>
            </w:r>
          </w:p>
        </w:tc>
      </w:tr>
      <w:tr w:rsidR="00F80E14" w:rsidRPr="009C604D" w14:paraId="6D4A025A"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444E1292"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 9</w:t>
            </w:r>
          </w:p>
        </w:tc>
        <w:tc>
          <w:tcPr>
            <w:tcW w:w="1340" w:type="dxa"/>
            <w:tcBorders>
              <w:top w:val="nil"/>
              <w:left w:val="nil"/>
              <w:bottom w:val="single" w:sz="4" w:space="0" w:color="auto"/>
              <w:right w:val="single" w:sz="4" w:space="0" w:color="auto"/>
            </w:tcBorders>
            <w:shd w:val="clear" w:color="auto" w:fill="auto"/>
            <w:noWrap/>
            <w:vAlign w:val="center"/>
            <w:hideMark/>
          </w:tcPr>
          <w:p w14:paraId="022B38D2"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33/34</w:t>
            </w:r>
          </w:p>
        </w:tc>
        <w:tc>
          <w:tcPr>
            <w:tcW w:w="1971" w:type="dxa"/>
            <w:tcBorders>
              <w:top w:val="nil"/>
              <w:left w:val="nil"/>
              <w:bottom w:val="single" w:sz="4" w:space="0" w:color="auto"/>
              <w:right w:val="single" w:sz="4" w:space="0" w:color="auto"/>
            </w:tcBorders>
            <w:shd w:val="clear" w:color="auto" w:fill="auto"/>
            <w:noWrap/>
            <w:vAlign w:val="bottom"/>
            <w:hideMark/>
          </w:tcPr>
          <w:p w14:paraId="4F2F723B"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387,420</w:t>
            </w:r>
          </w:p>
        </w:tc>
        <w:tc>
          <w:tcPr>
            <w:tcW w:w="4678" w:type="dxa"/>
            <w:tcBorders>
              <w:top w:val="nil"/>
              <w:left w:val="nil"/>
              <w:bottom w:val="single" w:sz="4" w:space="0" w:color="auto"/>
              <w:right w:val="single" w:sz="4" w:space="0" w:color="auto"/>
            </w:tcBorders>
            <w:shd w:val="clear" w:color="auto" w:fill="auto"/>
            <w:noWrap/>
            <w:vAlign w:val="bottom"/>
            <w:hideMark/>
          </w:tcPr>
          <w:p w14:paraId="6A3E2623"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-43,047</w:t>
            </w:r>
          </w:p>
        </w:tc>
      </w:tr>
      <w:tr w:rsidR="00F80E14" w:rsidRPr="009C604D" w14:paraId="0219F4F6"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4B491747" w14:textId="77777777" w:rsidR="00F80E14" w:rsidRPr="009C604D" w:rsidRDefault="00F80E14" w:rsidP="000A07F0">
            <w:pPr>
              <w:spacing w:after="0" w:line="240" w:lineRule="auto"/>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Year 10</w:t>
            </w:r>
          </w:p>
        </w:tc>
        <w:tc>
          <w:tcPr>
            <w:tcW w:w="1340" w:type="dxa"/>
            <w:tcBorders>
              <w:top w:val="nil"/>
              <w:left w:val="nil"/>
              <w:bottom w:val="single" w:sz="4" w:space="0" w:color="auto"/>
              <w:right w:val="single" w:sz="4" w:space="0" w:color="auto"/>
            </w:tcBorders>
            <w:shd w:val="clear" w:color="auto" w:fill="auto"/>
            <w:noWrap/>
            <w:vAlign w:val="center"/>
            <w:hideMark/>
          </w:tcPr>
          <w:p w14:paraId="4E0EDDE0"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sidRPr="009C604D">
              <w:rPr>
                <w:rFonts w:ascii="Overpass" w:eastAsia="Times New Roman" w:hAnsi="Overpass" w:cs="Calibri"/>
                <w:color w:val="000000"/>
                <w:sz w:val="18"/>
                <w:szCs w:val="18"/>
                <w:lang w:eastAsia="en-AU"/>
              </w:rPr>
              <w:t>34/35</w:t>
            </w:r>
          </w:p>
        </w:tc>
        <w:tc>
          <w:tcPr>
            <w:tcW w:w="1971" w:type="dxa"/>
            <w:tcBorders>
              <w:top w:val="nil"/>
              <w:left w:val="nil"/>
              <w:bottom w:val="single" w:sz="4" w:space="0" w:color="auto"/>
              <w:right w:val="single" w:sz="4" w:space="0" w:color="auto"/>
            </w:tcBorders>
            <w:shd w:val="clear" w:color="auto" w:fill="auto"/>
            <w:noWrap/>
            <w:vAlign w:val="bottom"/>
            <w:hideMark/>
          </w:tcPr>
          <w:p w14:paraId="2B62C779"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348,678</w:t>
            </w:r>
          </w:p>
        </w:tc>
        <w:tc>
          <w:tcPr>
            <w:tcW w:w="4678" w:type="dxa"/>
            <w:tcBorders>
              <w:top w:val="nil"/>
              <w:left w:val="nil"/>
              <w:bottom w:val="single" w:sz="4" w:space="0" w:color="auto"/>
              <w:right w:val="single" w:sz="4" w:space="0" w:color="auto"/>
            </w:tcBorders>
            <w:shd w:val="clear" w:color="auto" w:fill="auto"/>
            <w:noWrap/>
            <w:vAlign w:val="bottom"/>
            <w:hideMark/>
          </w:tcPr>
          <w:p w14:paraId="078B326B" w14:textId="77777777" w:rsidR="00F80E14" w:rsidRPr="009C604D"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hAnsi="Overpass" w:cs="Calibri"/>
                <w:color w:val="000000"/>
                <w:sz w:val="18"/>
                <w:szCs w:val="18"/>
              </w:rPr>
              <w:t>-38,742</w:t>
            </w:r>
          </w:p>
        </w:tc>
      </w:tr>
      <w:tr w:rsidR="00F80E14" w:rsidRPr="009C604D" w14:paraId="22BDB19C" w14:textId="77777777" w:rsidTr="000A07F0">
        <w:trPr>
          <w:trHeight w:val="70"/>
        </w:trPr>
        <w:tc>
          <w:tcPr>
            <w:tcW w:w="256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38D73CC9" w14:textId="77777777" w:rsidR="00F80E14" w:rsidRPr="009C604D" w:rsidRDefault="00F80E14" w:rsidP="000A07F0">
            <w:pPr>
              <w:spacing w:after="0" w:line="240" w:lineRule="auto"/>
              <w:jc w:val="right"/>
              <w:rPr>
                <w:rFonts w:ascii="Overpass" w:eastAsia="Times New Roman" w:hAnsi="Overpass" w:cs="Calibri"/>
                <w:b/>
                <w:bCs/>
                <w:color w:val="000000"/>
                <w:sz w:val="18"/>
                <w:szCs w:val="18"/>
                <w:lang w:eastAsia="en-AU"/>
              </w:rPr>
            </w:pPr>
            <w:r w:rsidRPr="009C604D">
              <w:rPr>
                <w:rFonts w:ascii="Overpass" w:eastAsia="Times New Roman" w:hAnsi="Overpass" w:cs="Calibri"/>
                <w:b/>
                <w:bCs/>
                <w:color w:val="000000"/>
                <w:sz w:val="18"/>
                <w:szCs w:val="18"/>
                <w:lang w:eastAsia="en-AU"/>
              </w:rPr>
              <w:t>Totals</w:t>
            </w:r>
          </w:p>
        </w:tc>
        <w:tc>
          <w:tcPr>
            <w:tcW w:w="1971" w:type="dxa"/>
            <w:tcBorders>
              <w:top w:val="nil"/>
              <w:left w:val="nil"/>
              <w:bottom w:val="single" w:sz="4" w:space="0" w:color="auto"/>
              <w:right w:val="single" w:sz="4" w:space="0" w:color="auto"/>
            </w:tcBorders>
            <w:shd w:val="clear" w:color="000000" w:fill="D9D9D9"/>
            <w:noWrap/>
            <w:vAlign w:val="center"/>
            <w:hideMark/>
          </w:tcPr>
          <w:p w14:paraId="3443C66F" w14:textId="77777777" w:rsidR="00F80E14" w:rsidRPr="009C604D" w:rsidRDefault="00F80E14" w:rsidP="000A07F0">
            <w:pPr>
              <w:spacing w:after="0" w:line="240" w:lineRule="auto"/>
              <w:jc w:val="right"/>
              <w:rPr>
                <w:rFonts w:ascii="Overpass" w:eastAsia="Times New Roman" w:hAnsi="Overpass" w:cs="Calibri"/>
                <w:b/>
                <w:bCs/>
                <w:color w:val="000000"/>
                <w:sz w:val="18"/>
                <w:szCs w:val="18"/>
                <w:lang w:eastAsia="en-AU"/>
              </w:rPr>
            </w:pPr>
            <w:r>
              <w:rPr>
                <w:rFonts w:ascii="Overpass" w:hAnsi="Overpass" w:cs="Calibri"/>
                <w:b/>
                <w:bCs/>
                <w:color w:val="000000"/>
                <w:sz w:val="18"/>
                <w:szCs w:val="18"/>
              </w:rPr>
              <w:t>5,861,893</w:t>
            </w:r>
          </w:p>
        </w:tc>
        <w:tc>
          <w:tcPr>
            <w:tcW w:w="4678" w:type="dxa"/>
            <w:tcBorders>
              <w:top w:val="nil"/>
              <w:left w:val="nil"/>
              <w:bottom w:val="single" w:sz="4" w:space="0" w:color="auto"/>
              <w:right w:val="single" w:sz="4" w:space="0" w:color="auto"/>
            </w:tcBorders>
            <w:shd w:val="clear" w:color="000000" w:fill="D9D9D9"/>
            <w:noWrap/>
            <w:vAlign w:val="center"/>
            <w:hideMark/>
          </w:tcPr>
          <w:p w14:paraId="272071E2" w14:textId="77777777" w:rsidR="00F80E14" w:rsidRPr="009C604D" w:rsidRDefault="00F80E14" w:rsidP="000A07F0">
            <w:pPr>
              <w:spacing w:after="0" w:line="240" w:lineRule="auto"/>
              <w:jc w:val="right"/>
              <w:rPr>
                <w:rFonts w:ascii="Overpass" w:eastAsia="Times New Roman" w:hAnsi="Overpass" w:cs="Calibri"/>
                <w:b/>
                <w:bCs/>
                <w:color w:val="000000"/>
                <w:sz w:val="18"/>
                <w:szCs w:val="18"/>
                <w:lang w:eastAsia="en-AU"/>
              </w:rPr>
            </w:pPr>
            <w:r>
              <w:rPr>
                <w:rFonts w:ascii="Overpass" w:hAnsi="Overpass" w:cs="Calibri"/>
                <w:b/>
                <w:bCs/>
                <w:color w:val="000000"/>
                <w:sz w:val="18"/>
                <w:szCs w:val="18"/>
              </w:rPr>
              <w:t>-551,322</w:t>
            </w:r>
          </w:p>
        </w:tc>
      </w:tr>
    </w:tbl>
    <w:p w14:paraId="3912634E" w14:textId="77777777" w:rsidR="00F80E14" w:rsidRPr="004320CB" w:rsidRDefault="00F80E14" w:rsidP="00AC20ED">
      <w:pPr>
        <w:pStyle w:val="Heading5"/>
      </w:pPr>
      <w:r w:rsidRPr="000A07F0">
        <w:t>Number of pharmacy visits</w:t>
      </w:r>
    </w:p>
    <w:p w14:paraId="117887FF" w14:textId="77777777" w:rsidR="00F80E14" w:rsidRDefault="00F80E14" w:rsidP="00AC20ED">
      <w:r>
        <w:t>It has been assumed that most patients who obtain a prescription for a therapeutic vape will have it filled, therefore no reduction has been made to the population to account for non-presentation of prescriptions.</w:t>
      </w:r>
    </w:p>
    <w:p w14:paraId="58060140" w14:textId="77777777" w:rsidR="00F80E14" w:rsidRDefault="00F80E14" w:rsidP="00AC20ED">
      <w:r>
        <w:t>Once a consumer has obtained a prescription for a therapeutic vape, they are then required to visit a pharmacy (in person or online), noting that access to overseas retailers via the Personal Importation Scheme will cease under the proposed regulatory changes. Thus, the consumer has two options for obtaining nicotine vapes:</w:t>
      </w:r>
    </w:p>
    <w:p w14:paraId="796AD641" w14:textId="38378878" w:rsidR="00F80E14" w:rsidRPr="00BB49E2" w:rsidRDefault="00F80E14" w:rsidP="00194CEA">
      <w:pPr>
        <w:pStyle w:val="Bullet1"/>
        <w:numPr>
          <w:ilvl w:val="0"/>
          <w:numId w:val="133"/>
        </w:numPr>
        <w:rPr>
          <w:b/>
          <w:bCs/>
        </w:rPr>
      </w:pPr>
      <w:r w:rsidRPr="00BB49E2">
        <w:t>visit physical pharmacy to obtain nicotine vapes</w:t>
      </w:r>
      <w:r w:rsidR="00194CEA">
        <w:t>, or</w:t>
      </w:r>
    </w:p>
    <w:p w14:paraId="12AA6BEF" w14:textId="3002FDF6" w:rsidR="00F80E14" w:rsidRPr="00BB49E2" w:rsidRDefault="00F80E14" w:rsidP="00194CEA">
      <w:pPr>
        <w:pStyle w:val="Bullet1"/>
        <w:numPr>
          <w:ilvl w:val="0"/>
          <w:numId w:val="133"/>
        </w:numPr>
        <w:rPr>
          <w:b/>
          <w:bCs/>
        </w:rPr>
      </w:pPr>
      <w:r w:rsidRPr="00BB49E2">
        <w:t>order nicotine vapes from an online pharmacy (domestic only)</w:t>
      </w:r>
      <w:r w:rsidR="00086979" w:rsidRPr="00BB49E2">
        <w:t>.</w:t>
      </w:r>
    </w:p>
    <w:p w14:paraId="2EFB6E17" w14:textId="337DA1CB" w:rsidR="00F80E14" w:rsidRDefault="00F80E14" w:rsidP="00302481">
      <w:r>
        <w:t xml:space="preserve">According to the Pharmacy Board of Australia’s </w:t>
      </w:r>
      <w:r w:rsidRPr="7261CBDA">
        <w:rPr>
          <w:i/>
          <w:iCs/>
        </w:rPr>
        <w:t>Guidelines for Dispensing of Medicines</w:t>
      </w:r>
      <w:r w:rsidR="00ED220F">
        <w:rPr>
          <w:i/>
          <w:iCs/>
        </w:rPr>
        <w:t>,</w:t>
      </w:r>
      <w:r>
        <w:rPr>
          <w:rStyle w:val="FootnoteReference"/>
        </w:rPr>
        <w:footnoteReference w:id="107"/>
      </w:r>
      <w:r>
        <w:t xml:space="preserve"> while the supply of multiple quantities of a prescription at one time is permitted under the regulatory framework this should only occur at the specific direction of the prescriber on each occasion when exceptional circumstances </w:t>
      </w:r>
      <w:r w:rsidR="00B929F3">
        <w:t>exist</w:t>
      </w:r>
      <w:r>
        <w:t xml:space="preserve"> to the satisfaction of the pharmacist. For this reason, it is assumed that each pharmacy interaction will provide a 1-month (30-day) supply of nicotine vapes, hence up to 12 pharmacy interactions in a year.</w:t>
      </w:r>
    </w:p>
    <w:p w14:paraId="7EBB4005" w14:textId="77777777" w:rsidR="00F80E14" w:rsidRPr="00086979" w:rsidRDefault="00F80E14" w:rsidP="00302481">
      <w:r w:rsidRPr="00086979">
        <w:t xml:space="preserve">Note that this analysis has not incorporated the possible beneficial impact of the Government’s 60-day dispensing reforms. </w:t>
      </w:r>
    </w:p>
    <w:p w14:paraId="7093ED95" w14:textId="77777777" w:rsidR="00F80E14" w:rsidRDefault="00F80E14" w:rsidP="00302481">
      <w:r>
        <w:t xml:space="preserve">In terms of the additional regulatory burden associated with a physical pharmacy visit, it is noted that most GP clinics are likely to be collocated with or situated in close proximity to a pharmacy, and that many individuals are likely to incorporate a trip to the pharmacy into other personal activities such as shopping. The travel time associated with a physical pharmacy visit is therefore estimated to be minimal, of the order of 2 minutes. It is estimated that the time within the </w:t>
      </w:r>
      <w:r w:rsidRPr="0099229E">
        <w:t>physical pharmacy would be 5 minutes</w:t>
      </w:r>
      <w:r>
        <w:t xml:space="preserve">, incorporating both the wait and consultation time with the pharmacist. Thus, the total time for a physical visit </w:t>
      </w:r>
      <w:r w:rsidRPr="0099229E">
        <w:t>is 7 minutes.</w:t>
      </w:r>
      <w:r>
        <w:t xml:space="preserve"> </w:t>
      </w:r>
    </w:p>
    <w:p w14:paraId="760E7160" w14:textId="77777777" w:rsidR="00F80E14" w:rsidRPr="003D791F" w:rsidRDefault="00F80E14" w:rsidP="00302481">
      <w:r w:rsidRPr="00796703">
        <w:rPr>
          <w:rFonts w:cs="Arial"/>
        </w:rPr>
        <w:t xml:space="preserve">For the purpose of this </w:t>
      </w:r>
      <w:r>
        <w:rPr>
          <w:rFonts w:cs="Arial"/>
        </w:rPr>
        <w:t>regulatory costing</w:t>
      </w:r>
      <w:r w:rsidRPr="00796703">
        <w:rPr>
          <w:rFonts w:cs="Arial"/>
        </w:rPr>
        <w:t xml:space="preserve">, the estimates will assume that all </w:t>
      </w:r>
      <w:r>
        <w:rPr>
          <w:rFonts w:cs="Arial"/>
        </w:rPr>
        <w:t>prescriptions will be filled by a physical visit to a pharmacy</w:t>
      </w:r>
      <w:r w:rsidRPr="00796703">
        <w:rPr>
          <w:rFonts w:cs="Arial"/>
        </w:rPr>
        <w:t xml:space="preserve">, which represents </w:t>
      </w:r>
      <w:r>
        <w:rPr>
          <w:rFonts w:cs="Arial"/>
        </w:rPr>
        <w:t xml:space="preserve">the greatest overall regulatory burden envelope. In reality, </w:t>
      </w:r>
      <w:r>
        <w:t xml:space="preserve">it is estimated that the burden will be </w:t>
      </w:r>
      <w:r w:rsidRPr="003D791F">
        <w:t>substantially lower for the following reasons:</w:t>
      </w:r>
    </w:p>
    <w:p w14:paraId="232060A5" w14:textId="77777777" w:rsidR="00F80E14" w:rsidRPr="00BB49E2" w:rsidRDefault="00F80E14" w:rsidP="00467EDD">
      <w:pPr>
        <w:pStyle w:val="Bullet1"/>
        <w:numPr>
          <w:ilvl w:val="0"/>
          <w:numId w:val="81"/>
        </w:numPr>
        <w:rPr>
          <w:rFonts w:cs="Arial"/>
        </w:rPr>
      </w:pPr>
      <w:r w:rsidRPr="00BB49E2">
        <w:t>Based on current practice that 70% of users will obtain their nicotine vapes via an online domestic pharmacy with the remaining 30% obtaining their vape from a physical pharmacy.</w:t>
      </w:r>
    </w:p>
    <w:p w14:paraId="2C285BA8" w14:textId="77777777" w:rsidR="00F80E14" w:rsidRPr="00BB49E2" w:rsidRDefault="00F80E14" w:rsidP="00467EDD">
      <w:pPr>
        <w:pStyle w:val="Bullet1"/>
        <w:numPr>
          <w:ilvl w:val="0"/>
          <w:numId w:val="81"/>
        </w:numPr>
      </w:pPr>
      <w:r w:rsidRPr="00BB49E2">
        <w:t xml:space="preserve">Filling a prescription at an online pharmacy has a reduced regulatory timing cost as there are no associated travel or wait times. </w:t>
      </w:r>
    </w:p>
    <w:p w14:paraId="2350FAF9" w14:textId="77777777" w:rsidR="00F80E14" w:rsidRPr="00BB49E2" w:rsidRDefault="00F80E14" w:rsidP="00467EDD">
      <w:pPr>
        <w:pStyle w:val="Bullet1"/>
        <w:numPr>
          <w:ilvl w:val="0"/>
          <w:numId w:val="81"/>
        </w:numPr>
      </w:pPr>
      <w:r w:rsidRPr="00BB49E2">
        <w:t xml:space="preserve">The ability to upload a script and have it ‘on file’ also reduces regulatory burden. This means consumers will not need to re-upload their script when getting a repeat filled. </w:t>
      </w:r>
    </w:p>
    <w:p w14:paraId="74B8EC1C" w14:textId="77777777" w:rsidR="00F80E14" w:rsidRPr="00BB49E2" w:rsidRDefault="00F80E14" w:rsidP="00467EDD">
      <w:pPr>
        <w:pStyle w:val="Bullet1"/>
        <w:numPr>
          <w:ilvl w:val="0"/>
          <w:numId w:val="81"/>
        </w:numPr>
      </w:pPr>
      <w:r w:rsidRPr="00BB49E2">
        <w:t xml:space="preserve">Consumers who are visiting an online pharmacy send their script to the online domestic pharmacy of their choice. This can be through the GP posting the physical copy of their script by mail with no postage cost to the patient, the GP providing an electronic script direct to the pharmacy, or the consumer uploading/sending the script to their pharmacy of choice. Once the script has been uploaded/provided (virtually or by mail) (estimated to be 4 minutes), the usual processes for online shopping are applicable. This generates no addition to the </w:t>
      </w:r>
      <w:r w:rsidRPr="00BB49E2">
        <w:lastRenderedPageBreak/>
        <w:t xml:space="preserve">regulatory burden, compared to the current baseline activity for obtaining nicotine vapes via an online retailer under the Personal Importation Scheme. </w:t>
      </w:r>
    </w:p>
    <w:p w14:paraId="45EAB1BB" w14:textId="77777777" w:rsidR="00970164" w:rsidRPr="00BB49E2" w:rsidRDefault="00F80E14" w:rsidP="00467EDD">
      <w:pPr>
        <w:pStyle w:val="Bullet1"/>
        <w:numPr>
          <w:ilvl w:val="0"/>
          <w:numId w:val="81"/>
        </w:numPr>
      </w:pPr>
      <w:r w:rsidRPr="00BB49E2">
        <w:t>The National Drug Research Institute, Curtin University report ‘Identifying the Social Costs of Tobacco Use to Australia in 2015/16’</w:t>
      </w:r>
      <w:r w:rsidRPr="00BB49E2">
        <w:rPr>
          <w:rStyle w:val="FootnoteReference"/>
        </w:rPr>
        <w:footnoteReference w:id="108"/>
      </w:r>
      <w:r w:rsidRPr="00BB49E2">
        <w:t xml:space="preserve"> identified 46 medical conditions requiring treatment and care caused by active smoking. It is therefore likely that a portion of users seeking to obtain therapeutic vapes will already be visiting a pharmacy to obtain other therapeutic goods related to a range of medical conditions caused by smoking. </w:t>
      </w:r>
    </w:p>
    <w:p w14:paraId="3AA16850" w14:textId="77777777" w:rsidR="00F80E14" w:rsidRPr="00302481" w:rsidRDefault="00F80E14" w:rsidP="00302481">
      <w:pPr>
        <w:pStyle w:val="Heading4"/>
      </w:pPr>
      <w:bookmarkStart w:id="290" w:name="_Toc147384318"/>
      <w:bookmarkStart w:id="291" w:name="_Toc151040416"/>
      <w:r>
        <w:t>Other considerations</w:t>
      </w:r>
      <w:bookmarkEnd w:id="290"/>
      <w:bookmarkEnd w:id="291"/>
    </w:p>
    <w:p w14:paraId="5D2B9D1A" w14:textId="77777777" w:rsidR="00F80E14" w:rsidRDefault="00F80E14" w:rsidP="00302481">
      <w:r>
        <w:t xml:space="preserve">This regulatory burden estimate considers only the changes to legitimate activities under the current regulatory regime. The fundamental aspect of the previous regime, being that nicotine e-liquid is listed on Schedule 4 (prescription-only medicines) of the Poisons Standard and the arising downstream regulatory compliance activities, such as requiring a prescription from a medical practitioner, remain unchanged. </w:t>
      </w:r>
    </w:p>
    <w:p w14:paraId="6D36D8B1" w14:textId="77777777" w:rsidR="00F80E14" w:rsidRDefault="00F80E14" w:rsidP="00302481">
      <w:r>
        <w:t>In relation to changes to consumer behaviour, the following points are made:</w:t>
      </w:r>
    </w:p>
    <w:p w14:paraId="6C23EDDE" w14:textId="77777777" w:rsidR="00F80E14" w:rsidRPr="00BB49E2" w:rsidRDefault="00F80E14" w:rsidP="00467EDD">
      <w:pPr>
        <w:pStyle w:val="Bullet1"/>
        <w:numPr>
          <w:ilvl w:val="0"/>
          <w:numId w:val="82"/>
        </w:numPr>
      </w:pPr>
      <w:r w:rsidRPr="00BB49E2">
        <w:t xml:space="preserve">All adult zero-nicotine vapers, after a transition period, will no longer have any legal access to zero-nicotine vapes. While this restricts their choice for vapes available as a consumer it does not result in any additional regulatory burden.  </w:t>
      </w:r>
    </w:p>
    <w:p w14:paraId="39694952" w14:textId="77777777" w:rsidR="00F80E14" w:rsidRPr="00BB49E2" w:rsidRDefault="00F80E14" w:rsidP="00467EDD">
      <w:pPr>
        <w:pStyle w:val="Bullet1"/>
        <w:numPr>
          <w:ilvl w:val="0"/>
          <w:numId w:val="82"/>
        </w:numPr>
      </w:pPr>
      <w:r w:rsidRPr="00BB49E2">
        <w:t xml:space="preserve">A large proportion of vapers currently aged under 18-years-old would obtain their vapes illegally. </w:t>
      </w:r>
    </w:p>
    <w:p w14:paraId="172EA961" w14:textId="75B4AB81" w:rsidR="00F80E14" w:rsidRPr="00BB49E2" w:rsidRDefault="00F80E14" w:rsidP="00467EDD">
      <w:pPr>
        <w:pStyle w:val="Bullet1"/>
        <w:numPr>
          <w:ilvl w:val="0"/>
          <w:numId w:val="82"/>
        </w:numPr>
      </w:pPr>
      <w:r w:rsidRPr="00BB49E2">
        <w:t>Current nicotine vapers aged 18 years and over will be able to obtain a prescription for nicotine vapes online and order the product online (total elapsed time is assessed to be no longer than 15 minutes). This is comparable in time to having obtained their vape online using the Personal Importation Scheme so will not result in any additional regulatory burden. Even for those who were obtaining their nicotine vapes via the black market, the time taken to obtain a vape via an online therapeutic pathway is considered equitable and so there will be no additional regulatory burden arising from the proposed regulatory reforms</w:t>
      </w:r>
      <w:r w:rsidR="00ED220F">
        <w:t xml:space="preserve"> –</w:t>
      </w:r>
      <w:r w:rsidRPr="00BB49E2">
        <w:t xml:space="preserve"> noting to avoid underestimating the regulatory burden on consumers, we have assumed that all vapers will obtain their therapeutic vapes via a physical visit to a pharmacy).</w:t>
      </w:r>
    </w:p>
    <w:p w14:paraId="7424B8DD" w14:textId="77777777" w:rsidR="00F80E14" w:rsidRPr="00BB49E2" w:rsidRDefault="00F80E14" w:rsidP="00467EDD">
      <w:pPr>
        <w:pStyle w:val="Bullet1"/>
        <w:numPr>
          <w:ilvl w:val="0"/>
          <w:numId w:val="82"/>
        </w:numPr>
      </w:pPr>
      <w:r w:rsidRPr="00BB49E2">
        <w:t xml:space="preserve">There will be no change in regulatory burden for those vapers who are currently obtaining a vaping prescription from a GP, via in-person or telehealth consultation, and visiting a community pharmacy to have their prescription fulfilled. </w:t>
      </w:r>
    </w:p>
    <w:p w14:paraId="3FD4F331" w14:textId="77777777" w:rsidR="00F80E14" w:rsidRPr="00BB49E2" w:rsidRDefault="00F80E14" w:rsidP="00467EDD">
      <w:pPr>
        <w:pStyle w:val="Bullet1"/>
        <w:numPr>
          <w:ilvl w:val="0"/>
          <w:numId w:val="82"/>
        </w:numPr>
      </w:pPr>
      <w:r w:rsidRPr="00BB49E2">
        <w:t>Some consumers will choose to discuss with their GP the use of vapes for smoking cessation or the treatment of nicotine addiction. Some would have been visiting their GP already to discuss other health matters, though others will make a specific appointment to do so. It is only for this latter category that an additional regulatory burden will be generated.</w:t>
      </w:r>
    </w:p>
    <w:p w14:paraId="678270D8" w14:textId="7540A035" w:rsidR="00F80E14" w:rsidRPr="00BB49E2" w:rsidRDefault="00F80E14" w:rsidP="00467EDD">
      <w:pPr>
        <w:pStyle w:val="Bullet1"/>
        <w:numPr>
          <w:ilvl w:val="0"/>
          <w:numId w:val="82"/>
        </w:numPr>
      </w:pPr>
      <w:r w:rsidRPr="00BB49E2">
        <w:t xml:space="preserve">A transition period of greater than 6 months for the withdrawal from sale of all non-TGO 110 compliant vapes would largely negate the costs of consumers needing to purchase a new vaping device, as they would most likely have needed to purchase a new vape anyway, based on an economic life of a vaping devices of approximately 6 months to a year. Conversely, an immediate ban on the sale of vapes outside a pharmacy on passage of the legislation might require consumers to purchase a new vaping device while they still had economic life in their existing vaping device. </w:t>
      </w:r>
      <w:r w:rsidR="00314C65" w:rsidRPr="00BB49E2">
        <w:t>In the absence of</w:t>
      </w:r>
      <w:r w:rsidRPr="00BB49E2">
        <w:t xml:space="preserve"> a transition period</w:t>
      </w:r>
      <w:r w:rsidR="00314C65" w:rsidRPr="00BB49E2">
        <w:t xml:space="preserve"> t</w:t>
      </w:r>
      <w:r w:rsidRPr="00BB49E2">
        <w:t xml:space="preserve">he average cost of a new vaping device is $150 then the arising cost could be as high as $67.5m ($150 x 450,000 vapers switching to a therapeutic pathway in the first year). </w:t>
      </w:r>
    </w:p>
    <w:p w14:paraId="12300AB4" w14:textId="1152E970" w:rsidR="00F80E14" w:rsidRDefault="00F80E14" w:rsidP="00467EDD">
      <w:pPr>
        <w:pStyle w:val="Bullet1"/>
        <w:numPr>
          <w:ilvl w:val="0"/>
          <w:numId w:val="82"/>
        </w:numPr>
      </w:pPr>
      <w:r w:rsidRPr="00BB49E2">
        <w:t xml:space="preserve">On average, the cost of vapes sourced solely through a pharmacy may be significantly higher than those sourced through most current means, but no data is available to </w:t>
      </w:r>
      <w:r w:rsidR="00314C65" w:rsidRPr="00BB49E2">
        <w:t>quantify the impact readily or accurately</w:t>
      </w:r>
      <w:r w:rsidRPr="00BB49E2">
        <w:t xml:space="preserve">. Any increased cost of therapeutic vapes is a direct reflection of the additional cost entailed in their manufacture to meet the TGO 110 specifications. Over </w:t>
      </w:r>
      <w:r w:rsidRPr="00BB49E2">
        <w:lastRenderedPageBreak/>
        <w:t>time, as the market for therapeutic vapes increases, fixed production costs could be spread over large production runs, potentially resulting in decreased costs for consumers. This factor cannot be quantified at this time.</w:t>
      </w:r>
      <w:r>
        <w:t xml:space="preserve"> </w:t>
      </w:r>
    </w:p>
    <w:p w14:paraId="58175502" w14:textId="77777777" w:rsidR="00F80E14" w:rsidRDefault="00F80E14" w:rsidP="00302481">
      <w:pPr>
        <w:pStyle w:val="Heading4"/>
      </w:pPr>
      <w:bookmarkStart w:id="292" w:name="_Toc147384319"/>
      <w:bookmarkStart w:id="293" w:name="_Toc151040417"/>
      <w:r>
        <w:t>Changes to the regulatory burden</w:t>
      </w:r>
      <w:bookmarkEnd w:id="292"/>
      <w:bookmarkEnd w:id="293"/>
    </w:p>
    <w:p w14:paraId="122521B8" w14:textId="77777777" w:rsidR="00F80E14" w:rsidRPr="00D83941" w:rsidRDefault="00F80E14" w:rsidP="00E314E0">
      <w:pPr>
        <w:pStyle w:val="Heading5"/>
        <w:rPr>
          <w:rFonts w:eastAsia="Batang"/>
          <w:i/>
        </w:rPr>
      </w:pPr>
      <w:r w:rsidRPr="00D83941">
        <w:rPr>
          <w:rFonts w:eastAsia="Batang"/>
          <w:i/>
          <w:iCs/>
        </w:rPr>
        <w:t>Key assumptions</w:t>
      </w:r>
    </w:p>
    <w:p w14:paraId="5D5AC000" w14:textId="4B233F69" w:rsidR="00ED3EFD" w:rsidRPr="00BB49E2" w:rsidRDefault="00ED3EFD" w:rsidP="00467EDD">
      <w:pPr>
        <w:pStyle w:val="Bullet1"/>
        <w:numPr>
          <w:ilvl w:val="0"/>
          <w:numId w:val="83"/>
        </w:numPr>
      </w:pPr>
      <w:r w:rsidRPr="00BB49E2">
        <w:t>These estimates are considered the upper limit of expected regulatory costs. For example, it does not include patients seeing GPs for multiple issues.</w:t>
      </w:r>
    </w:p>
    <w:p w14:paraId="358B4A37" w14:textId="51985DFE" w:rsidR="00F80E14" w:rsidRPr="00BB49E2" w:rsidRDefault="00F80E14" w:rsidP="00467EDD">
      <w:pPr>
        <w:pStyle w:val="Bullet1"/>
        <w:numPr>
          <w:ilvl w:val="0"/>
          <w:numId w:val="83"/>
        </w:numPr>
      </w:pPr>
      <w:r w:rsidRPr="00BB49E2">
        <w:t>There are different routes through which a prescription can be obtained, but for the purpose of this regulatory costing the option generating the highest regulatory cost, in-person visits of 62 minutes additional time, is assumed- noting the caveats outlined above.</w:t>
      </w:r>
    </w:p>
    <w:p w14:paraId="3BAAE690" w14:textId="77777777" w:rsidR="00F80E14" w:rsidRPr="00BB49E2" w:rsidRDefault="00F80E14" w:rsidP="00467EDD">
      <w:pPr>
        <w:pStyle w:val="Bullet1"/>
        <w:numPr>
          <w:ilvl w:val="0"/>
          <w:numId w:val="83"/>
        </w:numPr>
      </w:pPr>
      <w:r w:rsidRPr="00BB49E2">
        <w:t>Although under a private prescription a GP could potentially provide up to 12 months’ supply, GPs may also choose to provide a lesser number of repeats to cater for more frequent monitoring of their patient’s progress towards smoking cessation. It is assumed that on average, GPs will provide 6-months’ supply of nicotine vapes per consultation and only one month of supply per filled prescription.</w:t>
      </w:r>
    </w:p>
    <w:p w14:paraId="265C0033" w14:textId="77777777" w:rsidR="00F80E14" w:rsidRPr="00BB49E2" w:rsidRDefault="00F80E14" w:rsidP="00467EDD">
      <w:pPr>
        <w:pStyle w:val="Bullet1"/>
        <w:numPr>
          <w:ilvl w:val="0"/>
          <w:numId w:val="83"/>
        </w:numPr>
      </w:pPr>
      <w:r w:rsidRPr="00BB49E2">
        <w:t>Many individuals are likely to incorporate a trip to the pharmacy into other personal activities, such as shopping. The total time for a physical visit to a pharmacy is 7 minutes, incorporating travel and wait time, and consultation time with a pharmacist.</w:t>
      </w:r>
    </w:p>
    <w:p w14:paraId="32806EDB" w14:textId="22ED80B9" w:rsidR="00F80E14" w:rsidRPr="00BB49E2" w:rsidRDefault="00F80E14" w:rsidP="00467EDD">
      <w:pPr>
        <w:pStyle w:val="Bullet1"/>
        <w:numPr>
          <w:ilvl w:val="0"/>
          <w:numId w:val="83"/>
        </w:numPr>
      </w:pPr>
      <w:r w:rsidRPr="00BB49E2">
        <w:t xml:space="preserve">80% of vapers visiting to obtain a prescription for a therapeutic vape will be </w:t>
      </w:r>
      <w:r w:rsidR="00ED3EFD" w:rsidRPr="00BB49E2">
        <w:t>bulk billed</w:t>
      </w:r>
      <w:r w:rsidRPr="00BB49E2">
        <w:t xml:space="preserve">. The remaining 20% will incur an </w:t>
      </w:r>
      <w:r w:rsidR="00314C65" w:rsidRPr="00BB49E2">
        <w:t>out-of-pocket</w:t>
      </w:r>
      <w:r w:rsidRPr="00BB49E2">
        <w:t xml:space="preserve"> cost of $40.42 per consultation</w:t>
      </w:r>
      <w:r w:rsidR="00ED3EFD" w:rsidRPr="00BB49E2">
        <w:t>.</w:t>
      </w:r>
    </w:p>
    <w:p w14:paraId="0429A898" w14:textId="77777777" w:rsidR="00F80E14" w:rsidRPr="00D83941" w:rsidRDefault="00F80E14" w:rsidP="00DC3B31">
      <w:pPr>
        <w:pStyle w:val="Heading5"/>
        <w:rPr>
          <w:i/>
          <w:iCs/>
        </w:rPr>
      </w:pPr>
      <w:r w:rsidRPr="00D83941">
        <w:rPr>
          <w:i/>
          <w:iCs/>
        </w:rPr>
        <w:t>Inputs</w:t>
      </w:r>
    </w:p>
    <w:p w14:paraId="4D358B50" w14:textId="1CF0BE69" w:rsidR="00F80E14" w:rsidRPr="00BB49E2" w:rsidRDefault="00F80E14" w:rsidP="00467EDD">
      <w:pPr>
        <w:pStyle w:val="Bullet1"/>
        <w:numPr>
          <w:ilvl w:val="0"/>
          <w:numId w:val="84"/>
        </w:numPr>
      </w:pPr>
      <w:r w:rsidRPr="00BB49E2">
        <w:t>Number of vapers visiting a GP to obtain a prescription for a therapeutic vape= (450,000) x 2 GP visits per year = 900,000 additional GP consultations</w:t>
      </w:r>
      <w:r w:rsidR="00633D89">
        <w:t>.</w:t>
      </w:r>
    </w:p>
    <w:p w14:paraId="1A2E4977" w14:textId="4261FA57" w:rsidR="00F80E14" w:rsidRPr="00BB49E2" w:rsidRDefault="00F80E14" w:rsidP="00467EDD">
      <w:pPr>
        <w:pStyle w:val="Bullet1"/>
        <w:numPr>
          <w:ilvl w:val="0"/>
          <w:numId w:val="84"/>
        </w:numPr>
      </w:pPr>
      <w:r w:rsidRPr="00BB49E2">
        <w:t>Number of vapers visiting a GP to obtain a prescription for a therapeutic vape who will NOT be bulk billed (20%) = 900,000 x 0.2= 180,000</w:t>
      </w:r>
      <w:r w:rsidR="00633D89">
        <w:t>.</w:t>
      </w:r>
    </w:p>
    <w:p w14:paraId="7CC5260E" w14:textId="63E8444A" w:rsidR="00F80E14" w:rsidRPr="00BB49E2" w:rsidRDefault="00F80E14" w:rsidP="00467EDD">
      <w:pPr>
        <w:pStyle w:val="Bullet1"/>
        <w:numPr>
          <w:ilvl w:val="0"/>
          <w:numId w:val="84"/>
        </w:numPr>
      </w:pPr>
      <w:r w:rsidRPr="00BB49E2">
        <w:t>Out of pocket cost per non-bulk billed GP consultation = $40.42</w:t>
      </w:r>
      <w:r w:rsidR="00633D89">
        <w:t>.</w:t>
      </w:r>
    </w:p>
    <w:p w14:paraId="3251E065" w14:textId="09EBD657" w:rsidR="00F80E14" w:rsidRPr="00BB49E2" w:rsidRDefault="00F80E14" w:rsidP="00467EDD">
      <w:pPr>
        <w:pStyle w:val="Bullet1"/>
        <w:numPr>
          <w:ilvl w:val="0"/>
          <w:numId w:val="84"/>
        </w:numPr>
      </w:pPr>
      <w:r w:rsidRPr="00BB49E2">
        <w:t>Number of vapers who will obtain a prescription for a therapeutic vape and visit a physical pharmacy (50% of carry forward vaping population (n=450,000)) = 225,000</w:t>
      </w:r>
      <w:r w:rsidR="00633D89">
        <w:t>.</w:t>
      </w:r>
    </w:p>
    <w:p w14:paraId="0A1A5F88" w14:textId="70703D8C" w:rsidR="00F80E14" w:rsidRPr="00BB49E2" w:rsidRDefault="00F80E14" w:rsidP="00467EDD">
      <w:pPr>
        <w:pStyle w:val="Bullet1"/>
        <w:numPr>
          <w:ilvl w:val="0"/>
          <w:numId w:val="84"/>
        </w:numPr>
      </w:pPr>
      <w:r w:rsidRPr="00BB49E2">
        <w:t>Number of pharmacy visits per year = 12 (Note: this</w:t>
      </w:r>
      <w:r w:rsidR="00ED3EFD" w:rsidRPr="00BB49E2">
        <w:t xml:space="preserve"> is</w:t>
      </w:r>
      <w:r w:rsidRPr="00BB49E2">
        <w:t xml:space="preserve"> the top estimate, as it is not including possible impact of 60 day dispensing reforms</w:t>
      </w:r>
      <w:r w:rsidR="00ED3EFD" w:rsidRPr="00BB49E2">
        <w:t xml:space="preserve"> or that these are private prescriptions and not subject to dispensing restrictions</w:t>
      </w:r>
      <w:r w:rsidRPr="00BB49E2">
        <w:t>)</w:t>
      </w:r>
      <w:r w:rsidR="0069652A">
        <w:t>.</w:t>
      </w:r>
    </w:p>
    <w:p w14:paraId="30CF99E8" w14:textId="60D341F6" w:rsidR="00F80E14" w:rsidRPr="00BB49E2" w:rsidRDefault="00F80E14" w:rsidP="00467EDD">
      <w:pPr>
        <w:pStyle w:val="Bullet1"/>
        <w:numPr>
          <w:ilvl w:val="0"/>
          <w:numId w:val="84"/>
        </w:numPr>
      </w:pPr>
      <w:r w:rsidRPr="00BB49E2">
        <w:t>Time spent by patients for a physical visit to a GP = 62 minutes</w:t>
      </w:r>
      <w:r w:rsidR="00633D89">
        <w:t>.</w:t>
      </w:r>
    </w:p>
    <w:p w14:paraId="27502749" w14:textId="7F21745B" w:rsidR="00F80E14" w:rsidRPr="00BB49E2" w:rsidRDefault="00F80E14" w:rsidP="00467EDD">
      <w:pPr>
        <w:pStyle w:val="Bullet1"/>
        <w:numPr>
          <w:ilvl w:val="0"/>
          <w:numId w:val="84"/>
        </w:numPr>
      </w:pPr>
      <w:r w:rsidRPr="00BB49E2">
        <w:t>Time spent by consumers for a physical visit to a pharmacist = 7 minutes</w:t>
      </w:r>
      <w:r w:rsidR="00633D89">
        <w:t>.</w:t>
      </w:r>
    </w:p>
    <w:p w14:paraId="48FFD25E" w14:textId="362C5C93" w:rsidR="00F80E14" w:rsidRPr="00BB49E2" w:rsidRDefault="00F80E14" w:rsidP="00467EDD">
      <w:pPr>
        <w:pStyle w:val="Bullet1"/>
        <w:numPr>
          <w:ilvl w:val="0"/>
          <w:numId w:val="84"/>
        </w:numPr>
      </w:pPr>
      <w:r w:rsidRPr="00BB49E2">
        <w:t>Hourly non-work</w:t>
      </w:r>
      <w:r w:rsidR="00ED3EFD" w:rsidRPr="00BB49E2">
        <w:t>-</w:t>
      </w:r>
      <w:r w:rsidRPr="00BB49E2">
        <w:t>related cost = $36.</w:t>
      </w:r>
    </w:p>
    <w:p w14:paraId="1936387E" w14:textId="77777777" w:rsidR="00F80E14" w:rsidRPr="00A45C74" w:rsidRDefault="00F80E14" w:rsidP="00DC3B31">
      <w:pPr>
        <w:pStyle w:val="Heading5"/>
        <w:rPr>
          <w:rFonts w:eastAsia="Batang"/>
        </w:rPr>
      </w:pPr>
      <w:r w:rsidRPr="00A45C74">
        <w:rPr>
          <w:rFonts w:eastAsia="Batang"/>
        </w:rPr>
        <w:t>Future population (consumers)</w:t>
      </w:r>
    </w:p>
    <w:p w14:paraId="5021F32B" w14:textId="77777777" w:rsidR="00F80E14" w:rsidRDefault="00F80E14" w:rsidP="00E314E0">
      <w:r>
        <w:t>Note- while figures are shown as rounded, actual rounding occurs only in the final step.</w:t>
      </w:r>
    </w:p>
    <w:p w14:paraId="417A97B5" w14:textId="77777777" w:rsidR="00F80E14" w:rsidRDefault="00F80E14" w:rsidP="00E314E0">
      <w:r>
        <w:t xml:space="preserve">Step 1. Calculate total time in minutes to fulfil regulatory requirement: </w:t>
      </w:r>
    </w:p>
    <w:p w14:paraId="171AC17D" w14:textId="77777777" w:rsidR="00F80E14" w:rsidRPr="00BB49E2" w:rsidRDefault="00F80E14" w:rsidP="00A45C74">
      <w:pPr>
        <w:pStyle w:val="ListParagraph"/>
        <w:spacing w:after="120"/>
      </w:pPr>
      <w:r w:rsidRPr="00BB49E2">
        <w:t xml:space="preserve">Annual activities: </w:t>
      </w:r>
    </w:p>
    <w:p w14:paraId="787D9DDE" w14:textId="2F246DFF" w:rsidR="00F80E14" w:rsidRPr="00BB49E2" w:rsidRDefault="00F80E14" w:rsidP="00467EDD">
      <w:pPr>
        <w:pStyle w:val="Bullet1"/>
        <w:numPr>
          <w:ilvl w:val="0"/>
          <w:numId w:val="85"/>
        </w:numPr>
      </w:pPr>
      <w:r w:rsidRPr="00BB49E2">
        <w:t>Physical visit to a GP to obtain a prescription for a therapeutic vape: 900,000 (additional GP consultations) x 62 minutes per consultation = 55,800,000 minutes</w:t>
      </w:r>
      <w:r w:rsidR="00633D89">
        <w:t>.</w:t>
      </w:r>
    </w:p>
    <w:p w14:paraId="061E361A" w14:textId="669A0DDB" w:rsidR="00F80E14" w:rsidRPr="00BB49E2" w:rsidRDefault="00F80E14" w:rsidP="00467EDD">
      <w:pPr>
        <w:pStyle w:val="Bullet1"/>
        <w:numPr>
          <w:ilvl w:val="0"/>
          <w:numId w:val="85"/>
        </w:numPr>
      </w:pPr>
      <w:r w:rsidRPr="00BB49E2">
        <w:t>Physical visit to a pharmacy to fulfil a prescription for a therapeutic vape: 225,000 x 7 minutes per visit x 12 visits per year = 18,900,000 minutes</w:t>
      </w:r>
      <w:r w:rsidR="00633D89">
        <w:t>.</w:t>
      </w:r>
    </w:p>
    <w:p w14:paraId="500E3F03" w14:textId="77777777" w:rsidR="00F80E14" w:rsidRDefault="00F80E14" w:rsidP="00F80E14">
      <w:pPr>
        <w:shd w:val="clear" w:color="auto" w:fill="FFFFFF" w:themeFill="background1"/>
      </w:pPr>
      <w:r>
        <w:t xml:space="preserve">Step 2. Calculate total time in hours to fulfil regulatory requirement: </w:t>
      </w:r>
    </w:p>
    <w:p w14:paraId="4D943F70" w14:textId="77777777" w:rsidR="00F80E14" w:rsidRPr="00BB49E2" w:rsidRDefault="00F80E14" w:rsidP="00E314E0">
      <w:pPr>
        <w:pStyle w:val="Bullet1"/>
        <w:ind w:left="720"/>
      </w:pPr>
      <w:r w:rsidRPr="00BB49E2">
        <w:lastRenderedPageBreak/>
        <w:t>Annual activities:</w:t>
      </w:r>
    </w:p>
    <w:p w14:paraId="4B52945D" w14:textId="6E54CF09" w:rsidR="00F80E14" w:rsidRPr="00BB49E2" w:rsidRDefault="00F80E14" w:rsidP="00467EDD">
      <w:pPr>
        <w:pStyle w:val="Bullet1"/>
        <w:numPr>
          <w:ilvl w:val="0"/>
          <w:numId w:val="86"/>
        </w:numPr>
      </w:pPr>
      <w:r w:rsidRPr="00BB49E2">
        <w:t>GP visits = 930,000 hours (55,800,000/60)</w:t>
      </w:r>
      <w:r w:rsidR="00633D89">
        <w:t>.</w:t>
      </w:r>
    </w:p>
    <w:p w14:paraId="3A12841C" w14:textId="239CAC7A" w:rsidR="00F80E14" w:rsidRPr="00BB49E2" w:rsidRDefault="00F80E14" w:rsidP="00467EDD">
      <w:pPr>
        <w:pStyle w:val="Bullet1"/>
        <w:numPr>
          <w:ilvl w:val="0"/>
          <w:numId w:val="86"/>
        </w:numPr>
      </w:pPr>
      <w:r w:rsidRPr="00BB49E2">
        <w:t>Pharmacy visits = 315,000 hours (18,900,000/60)</w:t>
      </w:r>
      <w:r w:rsidR="00633D89">
        <w:t>.</w:t>
      </w:r>
    </w:p>
    <w:p w14:paraId="7362F538" w14:textId="77777777" w:rsidR="00F80E14" w:rsidRDefault="00F80E14" w:rsidP="00F80E14">
      <w:r>
        <w:t xml:space="preserve">Step 3. Apply the hourly rate to determine overall regulatory compliance cost (average cost): </w:t>
      </w:r>
    </w:p>
    <w:p w14:paraId="36665763" w14:textId="3F37963A" w:rsidR="00F80E14" w:rsidRPr="00BB49E2" w:rsidRDefault="00F80E14" w:rsidP="00467EDD">
      <w:pPr>
        <w:pStyle w:val="Bullet1"/>
        <w:numPr>
          <w:ilvl w:val="0"/>
          <w:numId w:val="87"/>
        </w:numPr>
      </w:pPr>
      <w:r w:rsidRPr="00BB49E2">
        <w:t>GP visits: 930,000 hours x hourly rate ($36.00) = $33,480,000</w:t>
      </w:r>
      <w:r w:rsidR="00633D89">
        <w:t>.</w:t>
      </w:r>
      <w:r w:rsidRPr="00BB49E2">
        <w:t xml:space="preserve">  </w:t>
      </w:r>
    </w:p>
    <w:p w14:paraId="0F333621" w14:textId="56761415" w:rsidR="00F80E14" w:rsidRPr="00BB49E2" w:rsidRDefault="00F80E14" w:rsidP="00467EDD">
      <w:pPr>
        <w:pStyle w:val="Bullet1"/>
        <w:numPr>
          <w:ilvl w:val="0"/>
          <w:numId w:val="87"/>
        </w:numPr>
      </w:pPr>
      <w:r w:rsidRPr="00BB49E2">
        <w:t>Pharmacy visits: 315,000 hours x hourly rate ($36.00) = $11,340,000</w:t>
      </w:r>
      <w:r w:rsidR="00633D89">
        <w:t>.</w:t>
      </w:r>
    </w:p>
    <w:p w14:paraId="3AB03634" w14:textId="767DC1FA" w:rsidR="00F80E14" w:rsidRPr="00BB49E2" w:rsidRDefault="00F80E14" w:rsidP="00467EDD">
      <w:pPr>
        <w:pStyle w:val="Bullet1"/>
        <w:numPr>
          <w:ilvl w:val="0"/>
          <w:numId w:val="87"/>
        </w:numPr>
      </w:pPr>
      <w:r w:rsidRPr="00BB49E2">
        <w:t>Total: $33,480,000 (GP visits) + $11,340,000 (pharmacy visits) = $44,820,000</w:t>
      </w:r>
      <w:r w:rsidR="00633D89">
        <w:t>.</w:t>
      </w:r>
    </w:p>
    <w:p w14:paraId="151C34CC" w14:textId="0489A5D2" w:rsidR="00F80E14" w:rsidRDefault="00F80E14" w:rsidP="00F80E14">
      <w:pPr>
        <w:pStyle w:val="Bullet1"/>
      </w:pPr>
      <w:r>
        <w:t>Step 4: Calculate direct financial costs</w:t>
      </w:r>
      <w:r w:rsidR="009E2429">
        <w:t>:</w:t>
      </w:r>
    </w:p>
    <w:p w14:paraId="762229A8" w14:textId="1D566565" w:rsidR="00F80E14" w:rsidRPr="00BB49E2" w:rsidRDefault="00F80E14" w:rsidP="00467EDD">
      <w:pPr>
        <w:pStyle w:val="Bullet1"/>
        <w:numPr>
          <w:ilvl w:val="0"/>
          <w:numId w:val="88"/>
        </w:numPr>
      </w:pPr>
      <w:r w:rsidRPr="00BB49E2">
        <w:t>Out of pocket expenses for visiting a GP to obtain a prescription for a therapeutic vape = 180,000 (900,000 consultations x 20%) x $40.42 = $7,275,600</w:t>
      </w:r>
      <w:r w:rsidR="00633D89">
        <w:t>.</w:t>
      </w:r>
    </w:p>
    <w:p w14:paraId="17A5110A" w14:textId="77777777" w:rsidR="00F80E14" w:rsidRPr="00314C65" w:rsidRDefault="00F80E14" w:rsidP="00F80E14">
      <w:pPr>
        <w:pStyle w:val="Bullet1"/>
      </w:pPr>
      <w:r>
        <w:t xml:space="preserve">Step 5. </w:t>
      </w:r>
      <w:r w:rsidRPr="00314C65">
        <w:t>Determine the average annual cost over the ten-year default period for regulatory changes:</w:t>
      </w:r>
    </w:p>
    <w:p w14:paraId="328B5B9D" w14:textId="0E4F79CD" w:rsidR="00F80E14" w:rsidRPr="00BB49E2" w:rsidRDefault="00F80E14" w:rsidP="00467EDD">
      <w:pPr>
        <w:pStyle w:val="Bullet1"/>
        <w:numPr>
          <w:ilvl w:val="0"/>
          <w:numId w:val="88"/>
        </w:numPr>
      </w:pPr>
      <w:r w:rsidRPr="00BB49E2">
        <w:t>$44,820,000 (regulatory compliance costs) + $7,275,600 (direct financial costs) = $52,095,600</w:t>
      </w:r>
      <w:r w:rsidR="00633D89">
        <w:t>.</w:t>
      </w:r>
      <w:r w:rsidRPr="00BB49E2">
        <w:t xml:space="preserve"> </w:t>
      </w:r>
    </w:p>
    <w:p w14:paraId="27466B9B" w14:textId="1149CC90" w:rsidR="00F80E14" w:rsidRPr="00BB49E2" w:rsidRDefault="00F80E14" w:rsidP="00467EDD">
      <w:pPr>
        <w:pStyle w:val="Bullet1"/>
        <w:numPr>
          <w:ilvl w:val="0"/>
          <w:numId w:val="88"/>
        </w:numPr>
      </w:pPr>
      <w:r w:rsidRPr="00BB49E2">
        <w:t xml:space="preserve">Average annual cost = </w:t>
      </w:r>
      <w:r w:rsidRPr="00BB49E2">
        <w:rPr>
          <w:bCs/>
        </w:rPr>
        <w:t>$52,095,600</w:t>
      </w:r>
      <w:r w:rsidRPr="00BB49E2">
        <w:t xml:space="preserve"> or </w:t>
      </w:r>
      <w:r w:rsidRPr="00BB49E2">
        <w:rPr>
          <w:bCs/>
        </w:rPr>
        <w:t>$52.1m</w:t>
      </w:r>
      <w:r w:rsidR="00633D89">
        <w:rPr>
          <w:bCs/>
        </w:rPr>
        <w:t>.</w:t>
      </w:r>
    </w:p>
    <w:p w14:paraId="772D2FFA" w14:textId="0CCC8D51" w:rsidR="00F80E14" w:rsidRDefault="00F80E14" w:rsidP="00F80E14">
      <w:pPr>
        <w:pBdr>
          <w:top w:val="single" w:sz="4" w:space="1" w:color="auto"/>
          <w:left w:val="single" w:sz="4" w:space="4" w:color="auto"/>
          <w:bottom w:val="single" w:sz="4" w:space="1" w:color="auto"/>
          <w:right w:val="single" w:sz="4" w:space="4" w:color="auto"/>
        </w:pBdr>
        <w:shd w:val="clear" w:color="auto" w:fill="FFFF00"/>
      </w:pPr>
      <w:r>
        <w:t>Average cost per year for consumers (</w:t>
      </w:r>
      <w:r w:rsidR="00ED3EFD">
        <w:t>GP &amp; pharmacy visit) + system costs</w:t>
      </w:r>
      <w:r>
        <w:t xml:space="preserve"> over the default ten-year period under the regulatory burden framework measurement = </w:t>
      </w:r>
      <w:r w:rsidRPr="000F20E4">
        <w:rPr>
          <w:b/>
          <w:bCs/>
        </w:rPr>
        <w:t>$</w:t>
      </w:r>
      <w:r w:rsidRPr="000F20E4">
        <w:rPr>
          <w:b/>
        </w:rPr>
        <w:t>52.1m</w:t>
      </w:r>
    </w:p>
    <w:p w14:paraId="1B968F6C" w14:textId="77777777" w:rsidR="00F80E14" w:rsidRDefault="00F80E14" w:rsidP="00F80E14">
      <w:pPr>
        <w:pStyle w:val="Heading3"/>
      </w:pPr>
      <w:bookmarkStart w:id="294" w:name="_Toc147384320"/>
      <w:bookmarkStart w:id="295" w:name="_Toc151040418"/>
      <w:r>
        <w:t>Impact on medical practitioners</w:t>
      </w:r>
      <w:bookmarkEnd w:id="294"/>
      <w:bookmarkEnd w:id="295"/>
    </w:p>
    <w:p w14:paraId="7A08D09D" w14:textId="77777777" w:rsidR="00F80E14" w:rsidRDefault="00F80E14" w:rsidP="00F80E14">
      <w:pPr>
        <w:pStyle w:val="Heading4"/>
      </w:pPr>
      <w:bookmarkStart w:id="296" w:name="_Toc147384321"/>
      <w:bookmarkStart w:id="297" w:name="_Toc151040419"/>
      <w:r>
        <w:t>Overview</w:t>
      </w:r>
      <w:bookmarkEnd w:id="296"/>
      <w:bookmarkEnd w:id="297"/>
    </w:p>
    <w:p w14:paraId="3F380195" w14:textId="77777777" w:rsidR="00F80E14" w:rsidRDefault="00F80E14" w:rsidP="00F80E14">
      <w:r w:rsidRPr="004513CE">
        <w:t>While most of the proposed regulatory measures that comprise Option 3 would not have a direct regulatory impact on medical practitioners, indirectly the changes will lead to a significant shifting of consumer behaviour from illegal to legal channels and therefore increase demand for obtaining nicotine vapes for therapeutic</w:t>
      </w:r>
      <w:r>
        <w:t xml:space="preserve"> purposes through a prescription. In particular:  </w:t>
      </w:r>
    </w:p>
    <w:p w14:paraId="62A1965B" w14:textId="77777777" w:rsidR="00F80E14" w:rsidRPr="00BB49E2" w:rsidRDefault="00F80E14" w:rsidP="00C86EE6">
      <w:pPr>
        <w:pStyle w:val="Bullet1"/>
        <w:ind w:left="720"/>
      </w:pPr>
      <w:r w:rsidRPr="00C86EE6">
        <w:rPr>
          <w:b/>
        </w:rPr>
        <w:t>Measure 1</w:t>
      </w:r>
      <w:r w:rsidRPr="00BB49E2">
        <w:rPr>
          <w:b/>
          <w:bCs/>
        </w:rPr>
        <w:t>.</w:t>
      </w:r>
      <w:r w:rsidRPr="00BB49E2">
        <w:t xml:space="preserve"> The restrictions on importation, manufacture, and supply of all vapes will significantly increase the demand for patients to have consults with medical practitioners to seek access to vapes for therapeutic purposes. As vapes are currently unapproved goods, the mechanisms to prescribe vapes is more onerous than for approved medicines. </w:t>
      </w:r>
    </w:p>
    <w:p w14:paraId="6C120A1B" w14:textId="77777777" w:rsidR="00F80E14" w:rsidRPr="00BB49E2" w:rsidRDefault="00F80E14" w:rsidP="00C86EE6">
      <w:pPr>
        <w:pStyle w:val="Bullet1"/>
        <w:ind w:left="720"/>
      </w:pPr>
      <w:r w:rsidRPr="00C86EE6">
        <w:rPr>
          <w:b/>
        </w:rPr>
        <w:t>Measure 2</w:t>
      </w:r>
      <w:r w:rsidRPr="00BB49E2">
        <w:rPr>
          <w:b/>
          <w:bCs/>
        </w:rPr>
        <w:t xml:space="preserve">. </w:t>
      </w:r>
      <w:r w:rsidRPr="00BB49E2">
        <w:t>The only sub-measure to have an impact on medical practitioners will be the ability to utilise an additional supply pathway, SAS C, making prescribing easier than the current SAS B pathway used for therapeutic vapes.</w:t>
      </w:r>
    </w:p>
    <w:p w14:paraId="0B1AA0FA" w14:textId="77777777" w:rsidR="00F80E14" w:rsidRPr="00BB49E2" w:rsidRDefault="00F80E14" w:rsidP="00C86EE6">
      <w:pPr>
        <w:pStyle w:val="Bullet1"/>
        <w:ind w:left="720"/>
      </w:pPr>
      <w:r w:rsidRPr="00C86EE6">
        <w:rPr>
          <w:b/>
        </w:rPr>
        <w:t>Measure 3.</w:t>
      </w:r>
      <w:r w:rsidRPr="00BB49E2">
        <w:t xml:space="preserve"> The heightened requirements around the quality and safety of vapes will have no direct regulatory impact on medical practitioners.</w:t>
      </w:r>
    </w:p>
    <w:p w14:paraId="179E5158" w14:textId="77777777" w:rsidR="00F80E14" w:rsidRPr="00274C12" w:rsidRDefault="00F80E14" w:rsidP="004513CE">
      <w:r w:rsidRPr="00274C12">
        <w:t xml:space="preserve">Although not a regulatory change </w:t>
      </w:r>
      <w:r w:rsidRPr="000A07F0">
        <w:rPr>
          <w:i/>
          <w:iCs/>
        </w:rPr>
        <w:t>per se</w:t>
      </w:r>
      <w:r w:rsidRPr="00274C12">
        <w:t>, as it is an existing pathway for the provision of unapproved products under the TG regulatory framework, the TGA is seeking to make therapeutic vapes accessible via SAS C, which is permissible for products with established history of use. Currently, nicotine e-liquid can be accessed only via:</w:t>
      </w:r>
    </w:p>
    <w:p w14:paraId="2FA34B20" w14:textId="548882D2" w:rsidR="00F80E14" w:rsidRPr="00BB49E2" w:rsidRDefault="00BB49E2" w:rsidP="00467EDD">
      <w:pPr>
        <w:pStyle w:val="Bullet1"/>
        <w:numPr>
          <w:ilvl w:val="0"/>
          <w:numId w:val="90"/>
        </w:numPr>
      </w:pPr>
      <w:r w:rsidRPr="00BB49E2">
        <w:t>t</w:t>
      </w:r>
      <w:r w:rsidR="00F80E14" w:rsidRPr="00BB49E2">
        <w:t>he AP pathway</w:t>
      </w:r>
      <w:r w:rsidRPr="00BB49E2">
        <w:t xml:space="preserve"> – </w:t>
      </w:r>
      <w:r w:rsidR="00F80E14" w:rsidRPr="00BB49E2">
        <w:t>provide an unapproved product to multiple patients)</w:t>
      </w:r>
      <w:r w:rsidR="000A04EB">
        <w:t>,</w:t>
      </w:r>
      <w:r w:rsidR="00F80E14" w:rsidRPr="00BB49E2">
        <w:t xml:space="preserve"> or </w:t>
      </w:r>
    </w:p>
    <w:p w14:paraId="2685E045" w14:textId="6F4D116F" w:rsidR="00F80E14" w:rsidRPr="00BB49E2" w:rsidRDefault="00F80E14" w:rsidP="00467EDD">
      <w:pPr>
        <w:pStyle w:val="Bullet1"/>
        <w:numPr>
          <w:ilvl w:val="0"/>
          <w:numId w:val="90"/>
        </w:numPr>
      </w:pPr>
      <w:r w:rsidRPr="00BB49E2">
        <w:t>SAS B pathway</w:t>
      </w:r>
      <w:r w:rsidRPr="00BB49E2">
        <w:rPr>
          <w:rStyle w:val="FootnoteReference"/>
        </w:rPr>
        <w:footnoteReference w:id="109"/>
      </w:r>
      <w:r w:rsidR="00BB49E2" w:rsidRPr="00BB49E2">
        <w:t xml:space="preserve"> – </w:t>
      </w:r>
      <w:r w:rsidRPr="00BB49E2">
        <w:t xml:space="preserve">provide an unapproved product to an individual patient on a case-by-case basis but pre-approval required. </w:t>
      </w:r>
    </w:p>
    <w:p w14:paraId="78F98224" w14:textId="77777777" w:rsidR="00F80E14" w:rsidRDefault="00F80E14" w:rsidP="00F80E14">
      <w:r w:rsidRPr="004513CE">
        <w:lastRenderedPageBreak/>
        <w:t>The baseline regulatory burden for medical practitioners is based on nicotine e-liquid as a prescription-only medicine (Schedule 4). The regulatory burden for this option reflects the projected increases compared</w:t>
      </w:r>
      <w:r>
        <w:t xml:space="preserve"> to the current level of consults and prescriptions for therapeutic vapes.   </w:t>
      </w:r>
    </w:p>
    <w:p w14:paraId="17029F6F" w14:textId="77777777" w:rsidR="00F80E14" w:rsidRDefault="00F80E14" w:rsidP="004513CE">
      <w:pPr>
        <w:pStyle w:val="Heading3"/>
      </w:pPr>
      <w:bookmarkStart w:id="298" w:name="_Toc147384322"/>
      <w:bookmarkStart w:id="299" w:name="_Toc151040420"/>
      <w:r w:rsidRPr="004513CE">
        <w:t>Access</w:t>
      </w:r>
      <w:r>
        <w:t xml:space="preserve"> through AP and SAS Schemes</w:t>
      </w:r>
      <w:bookmarkEnd w:id="298"/>
      <w:bookmarkEnd w:id="299"/>
      <w:r>
        <w:t xml:space="preserve"> </w:t>
      </w:r>
    </w:p>
    <w:p w14:paraId="5AAB1EA5" w14:textId="77777777" w:rsidR="00F80E14" w:rsidRDefault="00F80E14" w:rsidP="004513CE">
      <w:pPr>
        <w:pStyle w:val="Heading4"/>
      </w:pPr>
      <w:bookmarkStart w:id="300" w:name="_Toc147384323"/>
      <w:bookmarkStart w:id="301" w:name="_Toc151040421"/>
      <w:r w:rsidRPr="004513CE">
        <w:t>Overview</w:t>
      </w:r>
      <w:bookmarkEnd w:id="300"/>
      <w:bookmarkEnd w:id="301"/>
    </w:p>
    <w:p w14:paraId="71C3780E" w14:textId="77777777" w:rsidR="00F80E14" w:rsidRDefault="00F80E14" w:rsidP="00E314E0">
      <w:r>
        <w:t>To be able to prescribe nicotine e-liquid for domestic supply, medical practitioners must either be an AP or submit a SAS B submission.</w:t>
      </w:r>
      <w:r>
        <w:rPr>
          <w:rStyle w:val="FootnoteReference"/>
          <w:sz w:val="22"/>
          <w:szCs w:val="22"/>
        </w:rPr>
        <w:footnoteReference w:id="110"/>
      </w:r>
      <w:r>
        <w:t xml:space="preserve"> The SAS B pathway generates a significantly higher “per transaction” administrative burden to doctors than the AP route, once the doctor is registered as an AP. There is also a delay between the doctor submitting the SAS B submission and receiving approval from the TGA, which will likely result in a patient having to collect their script from the doctor post consultation or delaying their visit to the pharmacy.</w:t>
      </w:r>
      <w:r w:rsidRPr="002178B9">
        <w:rPr>
          <w:rStyle w:val="FootnoteReference"/>
        </w:rPr>
        <w:t xml:space="preserve"> </w:t>
      </w:r>
      <w:r>
        <w:t xml:space="preserve">This, along with the TGA encouraging use of the AP pathway, was assessed in the last regulatory burden estimate to be likely deter the majority of doctors from going down the SAS B pathway. Therefore, it is estimated that only a small percentage of doctors may prefer to use the SAS B pathway, as evidenced by the latest reported figures for the respective prescription pathways. </w:t>
      </w:r>
    </w:p>
    <w:p w14:paraId="72E1A24D" w14:textId="11E0A59E" w:rsidR="00F80E14" w:rsidRDefault="00F80E14" w:rsidP="00E314E0">
      <w:r>
        <w:t xml:space="preserve">As </w:t>
      </w:r>
      <w:r w:rsidR="00CA059D">
        <w:t>of</w:t>
      </w:r>
      <w:r>
        <w:t xml:space="preserve"> 31 August 2023, there were 2,333 APs for the prescription of nicotine e-liquid and 69,987 unique patients had been provided prescriptions for nicotine e-liquid. Conversely, as at the same date, 641 unique medical practitioners and 17 Nurse Practitioners had received SAS B approvals to access nicotine e-liquid, and 2,987 unique patients had accessed nicotine e-liquid through this pathway. Based on these numbers, patients are currently over 20 times more likely to obtain nicotine e-liquid via the AP rather than the SAS B pathway.</w:t>
      </w:r>
    </w:p>
    <w:p w14:paraId="551C4F7E" w14:textId="77777777" w:rsidR="00F80E14" w:rsidRDefault="00F80E14" w:rsidP="003F2CDC">
      <w:pPr>
        <w:pStyle w:val="Heading4"/>
      </w:pPr>
      <w:bookmarkStart w:id="302" w:name="_Toc147384324"/>
      <w:bookmarkStart w:id="303" w:name="_Toc151040422"/>
      <w:r>
        <w:t xml:space="preserve">Doctors complete </w:t>
      </w:r>
      <w:r w:rsidRPr="00DB7C7A">
        <w:t xml:space="preserve">AP </w:t>
      </w:r>
      <w:r w:rsidRPr="003F2CDC">
        <w:t>application</w:t>
      </w:r>
      <w:bookmarkEnd w:id="302"/>
      <w:bookmarkEnd w:id="303"/>
    </w:p>
    <w:p w14:paraId="3A2287CA" w14:textId="77777777" w:rsidR="00F80E14" w:rsidRPr="00953B34" w:rsidRDefault="00F80E14" w:rsidP="003F2CDC">
      <w:r>
        <w:t>Doctors who will choose to become APs for vapes, to service the expected shifting behaviour of 450,000 vapers from illegal to legal channels, will be required to acquaint themselves with the requirements associated with becoming an AP. Those who are not already familiar with the AP process will need to undertake initial reading on the AP scheme</w:t>
      </w:r>
      <w:r w:rsidRPr="00970164">
        <w:rPr>
          <w:vertAlign w:val="superscript"/>
        </w:rPr>
        <w:footnoteReference w:id="111"/>
      </w:r>
      <w:r>
        <w:t xml:space="preserve"> to understand the application process and ongoing reporting requirements. The estimated reading </w:t>
      </w:r>
      <w:r w:rsidRPr="00953B34">
        <w:t>time is 10 minutes for each doctor.</w:t>
      </w:r>
      <w:r w:rsidRPr="000F20E4">
        <w:rPr>
          <w:vertAlign w:val="superscript"/>
        </w:rPr>
        <w:footnoteReference w:id="112"/>
      </w:r>
    </w:p>
    <w:p w14:paraId="59C02341" w14:textId="77777777" w:rsidR="00F80E14" w:rsidRDefault="00F80E14" w:rsidP="003F2CDC">
      <w:r w:rsidRPr="00953B34">
        <w:t xml:space="preserve">Doctors who already have an account with a system hosted by the TGA will need to login </w:t>
      </w:r>
      <w:r>
        <w:t>to</w:t>
      </w:r>
      <w:r w:rsidRPr="00953B34">
        <w:t xml:space="preserve"> the AP portal with their username and password. The estimated time for login with an existing account is 30 seconds.</w:t>
      </w:r>
    </w:p>
    <w:p w14:paraId="3B154A68" w14:textId="28EE09E6" w:rsidR="00F80E14" w:rsidRPr="00953B34" w:rsidRDefault="00F80E14" w:rsidP="003F2CDC">
      <w:r w:rsidRPr="00953B34">
        <w:t xml:space="preserve">If a doctor does not already have a login, they will </w:t>
      </w:r>
      <w:r>
        <w:t>need</w:t>
      </w:r>
      <w:r w:rsidRPr="00953B34">
        <w:t xml:space="preserve"> to set up a new one including a username</w:t>
      </w:r>
      <w:r>
        <w:t>,</w:t>
      </w:r>
      <w:r w:rsidRPr="00953B34">
        <w:t xml:space="preserve"> password</w:t>
      </w:r>
      <w:r>
        <w:t>,</w:t>
      </w:r>
      <w:r w:rsidRPr="00953B34">
        <w:t xml:space="preserve"> email address and personal information such as full name, health practitioner type, A</w:t>
      </w:r>
      <w:r w:rsidR="004456A5">
        <w:t>HPRA</w:t>
      </w:r>
      <w:r w:rsidRPr="00953B34">
        <w:t xml:space="preserve"> registration number and contact details. The estimated time </w:t>
      </w:r>
      <w:r>
        <w:t>to</w:t>
      </w:r>
      <w:r w:rsidRPr="00953B34">
        <w:t xml:space="preserve"> establish an account is 5 minutes. </w:t>
      </w:r>
    </w:p>
    <w:p w14:paraId="3AD450CC" w14:textId="4C9179D2" w:rsidR="00F80E14" w:rsidRDefault="00F80E14" w:rsidP="003F2CDC">
      <w:r w:rsidRPr="00953B34">
        <w:t xml:space="preserve">The next step is completing and </w:t>
      </w:r>
      <w:r w:rsidR="004456A5" w:rsidRPr="00953B34">
        <w:t>applying</w:t>
      </w:r>
      <w:r w:rsidRPr="00953B34">
        <w:t xml:space="preserve"> to become an AP. For </w:t>
      </w:r>
      <w:r>
        <w:t>nicotine vapes</w:t>
      </w:r>
      <w:r w:rsidRPr="00953B34">
        <w:t xml:space="preserve">, the application process has been streamlined as there is no requirement for </w:t>
      </w:r>
      <w:r>
        <w:t xml:space="preserve">endorsement or approval via a human research ethics committee or specialist college to become an AP for products without an established </w:t>
      </w:r>
      <w:r>
        <w:lastRenderedPageBreak/>
        <w:t xml:space="preserve">history.  Doctors </w:t>
      </w:r>
      <w:r w:rsidRPr="00953B34">
        <w:t>need to complete four simple steps before reviewing and submitting the application</w:t>
      </w:r>
      <w:r>
        <w:t xml:space="preserve">. </w:t>
      </w:r>
      <w:r w:rsidRPr="00953B34">
        <w:t>The estimated time for making a new AP application is 5 minutes. Each</w:t>
      </w:r>
      <w:r>
        <w:t xml:space="preserve"> application is valid for 5 years.</w:t>
      </w:r>
      <w:r>
        <w:rPr>
          <w:rStyle w:val="FootnoteReference"/>
          <w:sz w:val="22"/>
          <w:szCs w:val="22"/>
        </w:rPr>
        <w:footnoteReference w:id="113"/>
      </w:r>
      <w:r>
        <w:t xml:space="preserve"> </w:t>
      </w:r>
    </w:p>
    <w:p w14:paraId="7E2C73DA" w14:textId="2A6B02F2" w:rsidR="00F80E14" w:rsidRPr="00DB7C7A" w:rsidRDefault="00F80E14" w:rsidP="003F2CDC">
      <w:r>
        <w:t xml:space="preserve">As </w:t>
      </w:r>
      <w:r w:rsidR="00CA059D">
        <w:t>of</w:t>
      </w:r>
      <w:r>
        <w:t xml:space="preserve"> 31 August 2023, there were 2,333 APs for the prescription of nicotine e-liquid.</w:t>
      </w:r>
    </w:p>
    <w:p w14:paraId="0A6578EC" w14:textId="77777777" w:rsidR="00F80E14" w:rsidRPr="008C0264" w:rsidRDefault="00F80E14" w:rsidP="006C0BBD">
      <w:pPr>
        <w:pStyle w:val="Heading4"/>
      </w:pPr>
      <w:bookmarkStart w:id="304" w:name="_Toc147384325"/>
      <w:bookmarkStart w:id="305" w:name="_Toc151040423"/>
      <w:r>
        <w:t xml:space="preserve">Doctors complete </w:t>
      </w:r>
      <w:r w:rsidRPr="008C0264">
        <w:t>AP 6</w:t>
      </w:r>
      <w:r>
        <w:t xml:space="preserve"> </w:t>
      </w:r>
      <w:r w:rsidRPr="008C0264">
        <w:t xml:space="preserve">monthly </w:t>
      </w:r>
      <w:r w:rsidRPr="006C0BBD">
        <w:t>reports</w:t>
      </w:r>
      <w:bookmarkEnd w:id="304"/>
      <w:bookmarkEnd w:id="305"/>
      <w:r w:rsidRPr="008C0264">
        <w:t xml:space="preserve"> </w:t>
      </w:r>
    </w:p>
    <w:p w14:paraId="71DC999F" w14:textId="77777777" w:rsidR="00F80E14" w:rsidRDefault="00F80E14" w:rsidP="006C0BBD">
      <w:r w:rsidRPr="00570506">
        <w:t xml:space="preserve">A </w:t>
      </w:r>
      <w:r>
        <w:t xml:space="preserve">requirement under the AP scheme is that doctors must report on the number of new and existing patients who have been prescribed nicotine vapes within each 6-month reporting period. This enables the TGA to monitor the quantities of new and repeat patients prescribed nicotine vapes under the proposed regulatory change. </w:t>
      </w:r>
    </w:p>
    <w:p w14:paraId="36FE6931" w14:textId="77777777" w:rsidR="00F80E14" w:rsidRDefault="00F80E14" w:rsidP="006C0BBD">
      <w:r>
        <w:t xml:space="preserve">APs can submit this information by using the online portal. To complete a report, they will need to login and complete the report template provided, which is a simple one-pager requiring a doctor to provide some initial details, including name, product, approval number and time of reporting. They are then required to enter the number of new and repeat patients in the previous 6-month period. APs should be able to easily access and transfer this information from their prescription software. There should not be any requirement for an AP or their support to change their record keeping processes or update patient databases to obtain this information. The estimated time for submitting an AP 6 monthly report is </w:t>
      </w:r>
      <w:r w:rsidRPr="00DB668D">
        <w:t>10 minutes per AP</w:t>
      </w:r>
      <w:r>
        <w:t>.</w:t>
      </w:r>
    </w:p>
    <w:p w14:paraId="59163D2A" w14:textId="77777777" w:rsidR="00F80E14" w:rsidRDefault="00F80E14" w:rsidP="006C0BBD">
      <w:pPr>
        <w:pStyle w:val="Heading4"/>
      </w:pPr>
      <w:bookmarkStart w:id="306" w:name="_Toc147384326"/>
      <w:bookmarkStart w:id="307" w:name="_Toc151040424"/>
      <w:r w:rsidRPr="006C0BBD">
        <w:t>Doctors</w:t>
      </w:r>
      <w:r>
        <w:t xml:space="preserve"> complete SAS B applications</w:t>
      </w:r>
      <w:bookmarkEnd w:id="306"/>
      <w:bookmarkEnd w:id="307"/>
    </w:p>
    <w:p w14:paraId="45354F39" w14:textId="3EEA0EB0" w:rsidR="00F80E14" w:rsidRDefault="00F80E14" w:rsidP="006C0BBD">
      <w:r>
        <w:t>Doctors</w:t>
      </w:r>
      <w:r w:rsidR="004456A5">
        <w:t xml:space="preserve"> and nurse practitioners</w:t>
      </w:r>
      <w:r>
        <w:t xml:space="preserve"> who are not already familiar with the SAS B process will need to undertake initial reading</w:t>
      </w:r>
      <w:r>
        <w:rPr>
          <w:rStyle w:val="FootnoteReference"/>
          <w:sz w:val="22"/>
          <w:szCs w:val="22"/>
        </w:rPr>
        <w:footnoteReference w:id="114"/>
      </w:r>
      <w:r>
        <w:t xml:space="preserve"> to understand the submission process and ongoing requirements. The estimated reading time is </w:t>
      </w:r>
      <w:r w:rsidRPr="00DB668D">
        <w:t>10 minutes for each doctor.</w:t>
      </w:r>
    </w:p>
    <w:p w14:paraId="292D04D1" w14:textId="482C04B8" w:rsidR="00F80E14" w:rsidRPr="00953B34" w:rsidRDefault="00F80E14" w:rsidP="006C0BBD">
      <w:r w:rsidRPr="00953B34">
        <w:t xml:space="preserve">If a </w:t>
      </w:r>
      <w:r w:rsidR="004456A5">
        <w:t>practitioner</w:t>
      </w:r>
      <w:r w:rsidRPr="00953B34">
        <w:t xml:space="preserve"> does not already have a login, they will </w:t>
      </w:r>
      <w:r>
        <w:t>need</w:t>
      </w:r>
      <w:r w:rsidRPr="00953B34">
        <w:t xml:space="preserve"> to set up a new one including a username</w:t>
      </w:r>
      <w:r>
        <w:t>,</w:t>
      </w:r>
      <w:r w:rsidRPr="00953B34">
        <w:t xml:space="preserve"> password</w:t>
      </w:r>
      <w:r>
        <w:t>,</w:t>
      </w:r>
      <w:r w:rsidRPr="00953B34">
        <w:t xml:space="preserve"> email address and personal information such as full name, health practitioner type, A</w:t>
      </w:r>
      <w:r w:rsidR="004456A5">
        <w:t>HPRA</w:t>
      </w:r>
      <w:r w:rsidRPr="00953B34">
        <w:t xml:space="preserve"> registration number and contact details. The estimated time </w:t>
      </w:r>
      <w:r>
        <w:t>to</w:t>
      </w:r>
      <w:r w:rsidRPr="00953B34">
        <w:t xml:space="preserve"> establish an account is 5 minutes. </w:t>
      </w:r>
    </w:p>
    <w:p w14:paraId="3F1E87DD" w14:textId="43C6B4C5" w:rsidR="00F80E14" w:rsidRDefault="00F80E14" w:rsidP="006C0BBD">
      <w:r>
        <w:t xml:space="preserve">All </w:t>
      </w:r>
      <w:r w:rsidR="004456A5">
        <w:t>prescribers</w:t>
      </w:r>
      <w:r>
        <w:t xml:space="preserve"> who are using the SAS B route must then make a new SAS B submission for each patient for whom they are prescribing nicotine vapes. They must first login, select ‘New SAS submission’, fill in the active ingredient, dosage form and indication, and provide patient details and a diagnosis and clinical justification for the prescription. The </w:t>
      </w:r>
      <w:r w:rsidR="004456A5">
        <w:t>prescriber</w:t>
      </w:r>
      <w:r>
        <w:t xml:space="preserve"> must then read a disclaimer and submit the application to the TGA. The estimated time for each new SAS B submission </w:t>
      </w:r>
      <w:r w:rsidRPr="00DB668D">
        <w:t>is 5 minutes</w:t>
      </w:r>
      <w:r w:rsidRPr="00375FD8">
        <w:t>.</w:t>
      </w:r>
    </w:p>
    <w:p w14:paraId="1E51BEA5" w14:textId="77777777" w:rsidR="00F80E14" w:rsidRPr="00AC0EEB" w:rsidRDefault="00F80E14" w:rsidP="00FD08E1">
      <w:pPr>
        <w:pStyle w:val="Caption"/>
        <w:keepNext/>
        <w:keepLines/>
      </w:pPr>
      <w:bookmarkStart w:id="308" w:name="_Toc147759797"/>
      <w:r>
        <w:lastRenderedPageBreak/>
        <w:t xml:space="preserve">Figure B1. AP/SAS B requirements and associated </w:t>
      </w:r>
      <w:r w:rsidRPr="006C0BBD">
        <w:t>timings</w:t>
      </w:r>
      <w:bookmarkEnd w:id="308"/>
    </w:p>
    <w:p w14:paraId="410B89BF" w14:textId="77777777" w:rsidR="00F80E14" w:rsidRDefault="00F80E14" w:rsidP="00FD08E1">
      <w:pPr>
        <w:keepNext/>
        <w:keepLines/>
      </w:pPr>
      <w:r>
        <w:rPr>
          <w:noProof/>
          <w:lang w:eastAsia="en-AU"/>
        </w:rPr>
        <w:drawing>
          <wp:inline distT="0" distB="0" distL="0" distR="0" wp14:anchorId="534E5963" wp14:editId="7FC81ECE">
            <wp:extent cx="5783580" cy="25973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96204" cy="2602973"/>
                    </a:xfrm>
                    <a:prstGeom prst="rect">
                      <a:avLst/>
                    </a:prstGeom>
                    <a:noFill/>
                  </pic:spPr>
                </pic:pic>
              </a:graphicData>
            </a:graphic>
          </wp:inline>
        </w:drawing>
      </w:r>
    </w:p>
    <w:p w14:paraId="72B03B00" w14:textId="77777777" w:rsidR="00F80E14" w:rsidRDefault="00F80E14" w:rsidP="006C0BBD">
      <w:pPr>
        <w:pStyle w:val="Heading4"/>
      </w:pPr>
      <w:bookmarkStart w:id="309" w:name="_Toc147384327"/>
      <w:bookmarkStart w:id="310" w:name="_Toc151040425"/>
      <w:r>
        <w:t xml:space="preserve">Changes to the regulatory </w:t>
      </w:r>
      <w:r w:rsidRPr="006C0BBD">
        <w:t>burden</w:t>
      </w:r>
      <w:r>
        <w:t xml:space="preserve"> (SAS C)</w:t>
      </w:r>
      <w:bookmarkEnd w:id="309"/>
      <w:bookmarkEnd w:id="310"/>
    </w:p>
    <w:p w14:paraId="6DD46E4D" w14:textId="173A4167" w:rsidR="00F80E14" w:rsidRDefault="00F80E14" w:rsidP="006C0BBD">
      <w:r>
        <w:t xml:space="preserve">The regulatory burden of the SAS C pathway is considerably lower than that of the SAS B pathway, while both have a higher regulatory burden than the AP route, principally due to the need to submit applications per patient. Under the SAS C pathway, </w:t>
      </w:r>
      <w:r w:rsidR="004456A5">
        <w:t>prescribers</w:t>
      </w:r>
      <w:r>
        <w:t xml:space="preserve"> would need to acquaint themselves with the relevant guidance as well as establish a login with the TGA hosted system. However, noting that as </w:t>
      </w:r>
      <w:r w:rsidR="00E00595">
        <w:t>of</w:t>
      </w:r>
      <w:r>
        <w:t xml:space="preserve"> 31 August 2023, 641 unique medical practitioners and 17 Nurse Practitioners had already received SAS approvals to access nicotine e-liquid, it is assumed that many, if not the majority, of these practitioners will simply switch from the SAS B to SAS C. Unlike under SAS B, pre-approval for prescribing is not required for SAS C. Rather, a form must be submitted to the TGA per individual within 28 days after each prescription. A copy of the form must be kept with the patient’s medical record, as is the case of the approval provided by the TGA for SAS B. As the information required on the SAS C notification form is less than that required for an SAS B application form, the use of the SAS C rather than SAS B pathway represents a reduction in the existing regulatory burden with completion time being 5 minutes per patient rather than 3 minutes under SAS B. However, the regulatory burden of the AP pathway on a unit level is much less than via either SAS B or C, and AP will likely remain the preferred prescription route going forward.</w:t>
      </w:r>
    </w:p>
    <w:p w14:paraId="09987131" w14:textId="78BE071C" w:rsidR="00F80E14" w:rsidRDefault="00F80E14" w:rsidP="006C0BBD">
      <w:pPr>
        <w:pStyle w:val="Heading4"/>
      </w:pPr>
      <w:bookmarkStart w:id="311" w:name="_Toc147384328"/>
      <w:bookmarkStart w:id="312" w:name="_Toc151040426"/>
      <w:r w:rsidRPr="006C0BBD">
        <w:t>Future</w:t>
      </w:r>
      <w:r>
        <w:t xml:space="preserve"> Growth in AP </w:t>
      </w:r>
      <w:r w:rsidR="00FD08E1">
        <w:t>p</w:t>
      </w:r>
      <w:r>
        <w:t>opulation</w:t>
      </w:r>
      <w:bookmarkEnd w:id="311"/>
      <w:bookmarkEnd w:id="312"/>
      <w:r>
        <w:t xml:space="preserve"> </w:t>
      </w:r>
    </w:p>
    <w:p w14:paraId="383B29F6" w14:textId="3EC4534C" w:rsidR="00F80E14" w:rsidRDefault="00F80E14" w:rsidP="006C0BBD">
      <w:r>
        <w:t xml:space="preserve">As noted above, as </w:t>
      </w:r>
      <w:r w:rsidR="00E00595">
        <w:t>of</w:t>
      </w:r>
      <w:r>
        <w:t xml:space="preserve"> 31 August 2023 there were 2,333 APs. Based on the average daily historical growth rate for APs since the October 2021 reforms, the base number of APs as </w:t>
      </w:r>
      <w:r w:rsidR="005E1B1E">
        <w:t>of</w:t>
      </w:r>
      <w:r>
        <w:t xml:space="preserve"> 1 July 2024 is estimated to be 3</w:t>
      </w:r>
      <w:r w:rsidR="009549C1">
        <w:t>,</w:t>
      </w:r>
      <w:r>
        <w:t>220. It is also estimated that once the proposed</w:t>
      </w:r>
      <w:r w:rsidDel="0038725C">
        <w:t xml:space="preserve"> regulatory</w:t>
      </w:r>
      <w:r>
        <w:t xml:space="preserve"> changes are in place, the number of APs will grow by 10% in the first year, premised on more confidence by practitioners in the new regulatory regime and pressure from patients, and then 2% per year </w:t>
      </w:r>
      <w:r w:rsidR="004456A5">
        <w:t>afterwards.</w:t>
      </w:r>
      <w:r>
        <w:t xml:space="preserve"> </w:t>
      </w:r>
    </w:p>
    <w:p w14:paraId="50C58EF1" w14:textId="77777777" w:rsidR="00F80E14" w:rsidRDefault="00F80E14" w:rsidP="00E314E0">
      <w:pPr>
        <w:pStyle w:val="TableCaption"/>
      </w:pPr>
      <w:bookmarkStart w:id="313" w:name="_Toc147759789"/>
      <w:r>
        <w:t>Table B2. Projected growth in APs</w:t>
      </w:r>
      <w:bookmarkEnd w:id="313"/>
    </w:p>
    <w:tbl>
      <w:tblPr>
        <w:tblW w:w="8000" w:type="dxa"/>
        <w:tblLook w:val="04A0" w:firstRow="1" w:lastRow="0" w:firstColumn="1" w:lastColumn="0" w:noHBand="0" w:noVBand="1"/>
      </w:tblPr>
      <w:tblGrid>
        <w:gridCol w:w="1220"/>
        <w:gridCol w:w="1500"/>
        <w:gridCol w:w="1540"/>
        <w:gridCol w:w="980"/>
        <w:gridCol w:w="1460"/>
        <w:gridCol w:w="1300"/>
      </w:tblGrid>
      <w:tr w:rsidR="00F80E14" w:rsidRPr="00A83564" w14:paraId="2A501992" w14:textId="77777777" w:rsidTr="00E314E0">
        <w:trPr>
          <w:trHeight w:val="1515"/>
          <w:tblHeader/>
        </w:trPr>
        <w:tc>
          <w:tcPr>
            <w:tcW w:w="122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609A5D1" w14:textId="77777777" w:rsidR="00F80E14" w:rsidRPr="00A83564" w:rsidRDefault="00F80E14" w:rsidP="000A07F0">
            <w:pPr>
              <w:keepNext/>
              <w:keepLines/>
              <w:spacing w:after="0" w:line="240" w:lineRule="auto"/>
              <w:jc w:val="center"/>
              <w:rPr>
                <w:rFonts w:ascii="Overpass" w:eastAsia="Times New Roman" w:hAnsi="Overpass" w:cs="Calibri"/>
                <w:b/>
                <w:bCs/>
                <w:color w:val="FFFFFF"/>
                <w:sz w:val="18"/>
                <w:szCs w:val="18"/>
                <w:lang w:eastAsia="en-AU"/>
              </w:rPr>
            </w:pPr>
            <w:r w:rsidRPr="00A83564">
              <w:rPr>
                <w:rFonts w:ascii="Overpass" w:eastAsia="Times New Roman" w:hAnsi="Overpass" w:cs="Calibri"/>
                <w:b/>
                <w:bCs/>
                <w:color w:val="FFFFFF"/>
                <w:sz w:val="18"/>
                <w:szCs w:val="18"/>
                <w:lang w:eastAsia="en-AU"/>
              </w:rPr>
              <w:t> </w:t>
            </w:r>
          </w:p>
        </w:tc>
        <w:tc>
          <w:tcPr>
            <w:tcW w:w="1500" w:type="dxa"/>
            <w:tcBorders>
              <w:top w:val="single" w:sz="4" w:space="0" w:color="auto"/>
              <w:left w:val="nil"/>
              <w:bottom w:val="single" w:sz="4" w:space="0" w:color="auto"/>
              <w:right w:val="single" w:sz="4" w:space="0" w:color="auto"/>
            </w:tcBorders>
            <w:shd w:val="clear" w:color="000000" w:fill="4472C4"/>
            <w:vAlign w:val="center"/>
            <w:hideMark/>
          </w:tcPr>
          <w:p w14:paraId="7B2B1CD6" w14:textId="77777777" w:rsidR="00F80E14" w:rsidRPr="00A83564" w:rsidRDefault="00F80E14" w:rsidP="000A07F0">
            <w:pPr>
              <w:keepNext/>
              <w:keepLines/>
              <w:spacing w:after="0" w:line="240" w:lineRule="auto"/>
              <w:jc w:val="center"/>
              <w:rPr>
                <w:rFonts w:ascii="Overpass" w:eastAsia="Times New Roman" w:hAnsi="Overpass" w:cs="Calibri"/>
                <w:b/>
                <w:bCs/>
                <w:color w:val="FFFFFF"/>
                <w:sz w:val="18"/>
                <w:szCs w:val="18"/>
                <w:lang w:eastAsia="en-AU"/>
              </w:rPr>
            </w:pPr>
            <w:r w:rsidRPr="00A83564">
              <w:rPr>
                <w:rFonts w:ascii="Overpass" w:eastAsia="Times New Roman" w:hAnsi="Overpass" w:cs="Calibri"/>
                <w:b/>
                <w:bCs/>
                <w:color w:val="FFFFFF"/>
                <w:sz w:val="18"/>
                <w:szCs w:val="18"/>
                <w:lang w:eastAsia="en-AU"/>
              </w:rPr>
              <w:t>Year</w:t>
            </w:r>
          </w:p>
        </w:tc>
        <w:tc>
          <w:tcPr>
            <w:tcW w:w="1540" w:type="dxa"/>
            <w:tcBorders>
              <w:top w:val="single" w:sz="4" w:space="0" w:color="auto"/>
              <w:left w:val="nil"/>
              <w:bottom w:val="single" w:sz="4" w:space="0" w:color="auto"/>
              <w:right w:val="single" w:sz="4" w:space="0" w:color="auto"/>
            </w:tcBorders>
            <w:shd w:val="clear" w:color="000000" w:fill="4472C4"/>
            <w:vAlign w:val="center"/>
            <w:hideMark/>
          </w:tcPr>
          <w:p w14:paraId="3FFE3CBF" w14:textId="77777777" w:rsidR="00F80E14" w:rsidRPr="00A83564" w:rsidRDefault="00F80E14" w:rsidP="000A07F0">
            <w:pPr>
              <w:keepNext/>
              <w:keepLines/>
              <w:spacing w:after="0" w:line="240" w:lineRule="auto"/>
              <w:jc w:val="center"/>
              <w:rPr>
                <w:rFonts w:ascii="Overpass" w:eastAsia="Times New Roman" w:hAnsi="Overpass" w:cs="Calibri"/>
                <w:b/>
                <w:bCs/>
                <w:color w:val="FFFFFF"/>
                <w:sz w:val="18"/>
                <w:szCs w:val="18"/>
                <w:lang w:eastAsia="en-AU"/>
              </w:rPr>
            </w:pPr>
            <w:r w:rsidRPr="00A83564">
              <w:rPr>
                <w:rFonts w:ascii="Overpass" w:eastAsia="Times New Roman" w:hAnsi="Overpass" w:cs="Calibri"/>
                <w:b/>
                <w:bCs/>
                <w:color w:val="FFFFFF"/>
                <w:sz w:val="18"/>
                <w:szCs w:val="18"/>
                <w:lang w:eastAsia="en-AU"/>
              </w:rPr>
              <w:t>Growth Rate (%)</w:t>
            </w:r>
          </w:p>
        </w:tc>
        <w:tc>
          <w:tcPr>
            <w:tcW w:w="980" w:type="dxa"/>
            <w:tcBorders>
              <w:top w:val="single" w:sz="4" w:space="0" w:color="auto"/>
              <w:left w:val="nil"/>
              <w:bottom w:val="single" w:sz="4" w:space="0" w:color="auto"/>
              <w:right w:val="single" w:sz="4" w:space="0" w:color="auto"/>
            </w:tcBorders>
            <w:shd w:val="clear" w:color="000000" w:fill="4472C4"/>
            <w:vAlign w:val="center"/>
            <w:hideMark/>
          </w:tcPr>
          <w:p w14:paraId="176D40BC" w14:textId="77777777" w:rsidR="00F80E14" w:rsidRPr="00A83564" w:rsidRDefault="00F80E14" w:rsidP="000A07F0">
            <w:pPr>
              <w:keepNext/>
              <w:keepLines/>
              <w:spacing w:after="0" w:line="240" w:lineRule="auto"/>
              <w:jc w:val="center"/>
              <w:rPr>
                <w:rFonts w:ascii="Overpass" w:eastAsia="Times New Roman" w:hAnsi="Overpass" w:cs="Calibri"/>
                <w:b/>
                <w:bCs/>
                <w:color w:val="FFFFFF"/>
                <w:sz w:val="18"/>
                <w:szCs w:val="18"/>
                <w:lang w:eastAsia="en-AU"/>
              </w:rPr>
            </w:pPr>
            <w:r w:rsidRPr="00A83564">
              <w:rPr>
                <w:rFonts w:ascii="Overpass" w:eastAsia="Times New Roman" w:hAnsi="Overpass" w:cs="Calibri"/>
                <w:b/>
                <w:bCs/>
                <w:color w:val="FFFFFF"/>
                <w:sz w:val="18"/>
                <w:szCs w:val="18"/>
                <w:lang w:eastAsia="en-AU"/>
              </w:rPr>
              <w:t>Total A</w:t>
            </w:r>
            <w:r>
              <w:rPr>
                <w:rFonts w:ascii="Overpass" w:eastAsia="Times New Roman" w:hAnsi="Overpass" w:cs="Calibri"/>
                <w:b/>
                <w:bCs/>
                <w:color w:val="FFFFFF"/>
                <w:sz w:val="18"/>
                <w:szCs w:val="18"/>
                <w:lang w:eastAsia="en-AU"/>
              </w:rPr>
              <w:t>P</w:t>
            </w:r>
            <w:r w:rsidRPr="00A83564">
              <w:rPr>
                <w:rFonts w:ascii="Overpass" w:eastAsia="Times New Roman" w:hAnsi="Overpass" w:cs="Calibri"/>
                <w:b/>
                <w:bCs/>
                <w:color w:val="FFFFFF"/>
                <w:sz w:val="18"/>
                <w:szCs w:val="18"/>
                <w:lang w:eastAsia="en-AU"/>
              </w:rPr>
              <w:t>s</w:t>
            </w:r>
          </w:p>
        </w:tc>
        <w:tc>
          <w:tcPr>
            <w:tcW w:w="1460" w:type="dxa"/>
            <w:tcBorders>
              <w:top w:val="single" w:sz="4" w:space="0" w:color="auto"/>
              <w:left w:val="nil"/>
              <w:bottom w:val="single" w:sz="4" w:space="0" w:color="auto"/>
              <w:right w:val="single" w:sz="4" w:space="0" w:color="auto"/>
            </w:tcBorders>
            <w:shd w:val="clear" w:color="000000" w:fill="4472C4"/>
            <w:vAlign w:val="center"/>
            <w:hideMark/>
          </w:tcPr>
          <w:p w14:paraId="55591B80" w14:textId="77777777" w:rsidR="00F80E14" w:rsidRPr="00A83564" w:rsidRDefault="00F80E14" w:rsidP="000A07F0">
            <w:pPr>
              <w:keepNext/>
              <w:keepLines/>
              <w:spacing w:after="0" w:line="240" w:lineRule="auto"/>
              <w:jc w:val="center"/>
              <w:rPr>
                <w:rFonts w:ascii="Overpass" w:eastAsia="Times New Roman" w:hAnsi="Overpass" w:cs="Calibri"/>
                <w:b/>
                <w:bCs/>
                <w:color w:val="FFFFFF"/>
                <w:sz w:val="18"/>
                <w:szCs w:val="18"/>
                <w:lang w:eastAsia="en-AU"/>
              </w:rPr>
            </w:pPr>
            <w:r w:rsidRPr="00A83564">
              <w:rPr>
                <w:rFonts w:ascii="Overpass" w:eastAsia="Times New Roman" w:hAnsi="Overpass" w:cs="Calibri"/>
                <w:b/>
                <w:bCs/>
                <w:color w:val="FFFFFF"/>
                <w:sz w:val="18"/>
                <w:szCs w:val="18"/>
                <w:lang w:eastAsia="en-AU"/>
              </w:rPr>
              <w:t>Additional APs</w:t>
            </w:r>
          </w:p>
        </w:tc>
        <w:tc>
          <w:tcPr>
            <w:tcW w:w="1300" w:type="dxa"/>
            <w:tcBorders>
              <w:top w:val="single" w:sz="4" w:space="0" w:color="auto"/>
              <w:left w:val="nil"/>
              <w:bottom w:val="single" w:sz="4" w:space="0" w:color="auto"/>
              <w:right w:val="single" w:sz="4" w:space="0" w:color="auto"/>
            </w:tcBorders>
            <w:shd w:val="clear" w:color="000000" w:fill="4472C4"/>
            <w:vAlign w:val="center"/>
            <w:hideMark/>
          </w:tcPr>
          <w:p w14:paraId="5680E7F9" w14:textId="77777777" w:rsidR="00F80E14" w:rsidRPr="00A83564" w:rsidRDefault="00F80E14" w:rsidP="000A07F0">
            <w:pPr>
              <w:keepNext/>
              <w:keepLines/>
              <w:spacing w:after="0" w:line="240" w:lineRule="auto"/>
              <w:jc w:val="center"/>
              <w:rPr>
                <w:rFonts w:ascii="Overpass" w:eastAsia="Times New Roman" w:hAnsi="Overpass" w:cs="Calibri"/>
                <w:b/>
                <w:bCs/>
                <w:color w:val="FFFFFF"/>
                <w:sz w:val="18"/>
                <w:szCs w:val="18"/>
                <w:lang w:eastAsia="en-AU"/>
              </w:rPr>
            </w:pPr>
            <w:r w:rsidRPr="00A83564">
              <w:rPr>
                <w:rFonts w:ascii="Overpass" w:eastAsia="Times New Roman" w:hAnsi="Overpass" w:cs="Calibri"/>
                <w:b/>
                <w:bCs/>
                <w:color w:val="FFFFFF"/>
                <w:sz w:val="18"/>
                <w:szCs w:val="18"/>
                <w:lang w:eastAsia="en-AU"/>
              </w:rPr>
              <w:t>Additional AP report</w:t>
            </w:r>
            <w:r>
              <w:rPr>
                <w:rFonts w:ascii="Overpass" w:eastAsia="Times New Roman" w:hAnsi="Overpass" w:cs="Calibri"/>
                <w:b/>
                <w:bCs/>
                <w:color w:val="FFFFFF"/>
                <w:sz w:val="18"/>
                <w:szCs w:val="18"/>
                <w:lang w:eastAsia="en-AU"/>
              </w:rPr>
              <w:t>s per year</w:t>
            </w:r>
          </w:p>
        </w:tc>
      </w:tr>
      <w:tr w:rsidR="00F80E14" w:rsidRPr="00A83564" w14:paraId="670DA578" w14:textId="77777777" w:rsidTr="000A07F0">
        <w:trPr>
          <w:trHeight w:val="240"/>
        </w:trPr>
        <w:tc>
          <w:tcPr>
            <w:tcW w:w="272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F1AEE8" w14:textId="69E87A9C" w:rsidR="00F80E14" w:rsidRPr="00A83564" w:rsidRDefault="00F80E14" w:rsidP="000A07F0">
            <w:pPr>
              <w:spacing w:after="0" w:line="240" w:lineRule="auto"/>
              <w:ind w:firstLineChars="100" w:firstLine="180"/>
              <w:jc w:val="right"/>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 xml:space="preserve">Base (3220 as </w:t>
            </w:r>
            <w:r w:rsidR="00E314F7" w:rsidRPr="00A83564">
              <w:rPr>
                <w:rFonts w:ascii="Overpass" w:eastAsia="Times New Roman" w:hAnsi="Overpass" w:cs="Calibri"/>
                <w:b/>
                <w:bCs/>
                <w:color w:val="000000"/>
                <w:sz w:val="18"/>
                <w:szCs w:val="18"/>
                <w:lang w:eastAsia="en-AU"/>
              </w:rPr>
              <w:t>of</w:t>
            </w:r>
            <w:r w:rsidRPr="00A83564">
              <w:rPr>
                <w:rFonts w:ascii="Overpass" w:eastAsia="Times New Roman" w:hAnsi="Overpass" w:cs="Calibri"/>
                <w:b/>
                <w:bCs/>
                <w:color w:val="000000"/>
                <w:sz w:val="18"/>
                <w:szCs w:val="18"/>
                <w:lang w:eastAsia="en-AU"/>
              </w:rPr>
              <w:t xml:space="preserve"> </w:t>
            </w:r>
            <w:r>
              <w:rPr>
                <w:rFonts w:ascii="Overpass" w:eastAsia="Times New Roman" w:hAnsi="Overpass" w:cs="Calibri"/>
                <w:b/>
                <w:bCs/>
                <w:color w:val="000000"/>
                <w:sz w:val="18"/>
                <w:szCs w:val="18"/>
                <w:lang w:eastAsia="en-AU"/>
              </w:rPr>
              <w:t>1 July</w:t>
            </w:r>
            <w:r w:rsidRPr="00A83564">
              <w:rPr>
                <w:rFonts w:ascii="Overpass" w:eastAsia="Times New Roman" w:hAnsi="Overpass" w:cs="Calibri"/>
                <w:b/>
                <w:bCs/>
                <w:color w:val="000000"/>
                <w:sz w:val="18"/>
                <w:szCs w:val="18"/>
                <w:lang w:eastAsia="en-AU"/>
              </w:rPr>
              <w:t xml:space="preserve"> 24)</w:t>
            </w:r>
          </w:p>
        </w:tc>
        <w:tc>
          <w:tcPr>
            <w:tcW w:w="1540" w:type="dxa"/>
            <w:tcBorders>
              <w:top w:val="nil"/>
              <w:left w:val="nil"/>
              <w:bottom w:val="single" w:sz="4" w:space="0" w:color="auto"/>
              <w:right w:val="single" w:sz="4" w:space="0" w:color="auto"/>
            </w:tcBorders>
            <w:shd w:val="clear" w:color="auto" w:fill="auto"/>
            <w:noWrap/>
            <w:vAlign w:val="center"/>
            <w:hideMark/>
          </w:tcPr>
          <w:p w14:paraId="1BCFF551"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 </w:t>
            </w:r>
          </w:p>
        </w:tc>
        <w:tc>
          <w:tcPr>
            <w:tcW w:w="980" w:type="dxa"/>
            <w:tcBorders>
              <w:top w:val="nil"/>
              <w:left w:val="nil"/>
              <w:bottom w:val="single" w:sz="4" w:space="0" w:color="auto"/>
              <w:right w:val="single" w:sz="4" w:space="0" w:color="auto"/>
            </w:tcBorders>
            <w:shd w:val="clear" w:color="auto" w:fill="auto"/>
            <w:noWrap/>
            <w:vAlign w:val="center"/>
            <w:hideMark/>
          </w:tcPr>
          <w:p w14:paraId="1402E1A5"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 </w:t>
            </w:r>
          </w:p>
        </w:tc>
        <w:tc>
          <w:tcPr>
            <w:tcW w:w="1460" w:type="dxa"/>
            <w:tcBorders>
              <w:top w:val="nil"/>
              <w:left w:val="nil"/>
              <w:bottom w:val="single" w:sz="4" w:space="0" w:color="auto"/>
              <w:right w:val="single" w:sz="4" w:space="0" w:color="auto"/>
            </w:tcBorders>
            <w:shd w:val="clear" w:color="auto" w:fill="auto"/>
            <w:noWrap/>
            <w:vAlign w:val="center"/>
            <w:hideMark/>
          </w:tcPr>
          <w:p w14:paraId="4D9739C7" w14:textId="77777777" w:rsidR="00F80E14" w:rsidRPr="00A83564" w:rsidRDefault="00F80E14" w:rsidP="000A07F0">
            <w:pPr>
              <w:spacing w:after="0" w:line="240" w:lineRule="auto"/>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906208" w14:textId="77777777" w:rsidR="00F80E14" w:rsidRPr="00A83564" w:rsidRDefault="00F80E14" w:rsidP="000A07F0">
            <w:pPr>
              <w:spacing w:after="0" w:line="240" w:lineRule="auto"/>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 </w:t>
            </w:r>
          </w:p>
        </w:tc>
      </w:tr>
      <w:tr w:rsidR="00F80E14" w:rsidRPr="00A83564" w14:paraId="7EFC3040"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1191E143"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Year 1</w:t>
            </w:r>
          </w:p>
        </w:tc>
        <w:tc>
          <w:tcPr>
            <w:tcW w:w="1500" w:type="dxa"/>
            <w:tcBorders>
              <w:top w:val="nil"/>
              <w:left w:val="nil"/>
              <w:bottom w:val="single" w:sz="4" w:space="0" w:color="auto"/>
              <w:right w:val="single" w:sz="4" w:space="0" w:color="auto"/>
            </w:tcBorders>
            <w:shd w:val="clear" w:color="auto" w:fill="auto"/>
            <w:noWrap/>
            <w:vAlign w:val="center"/>
            <w:hideMark/>
          </w:tcPr>
          <w:p w14:paraId="247B73B3"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24/25</w:t>
            </w:r>
          </w:p>
        </w:tc>
        <w:tc>
          <w:tcPr>
            <w:tcW w:w="1540" w:type="dxa"/>
            <w:tcBorders>
              <w:top w:val="nil"/>
              <w:left w:val="nil"/>
              <w:bottom w:val="single" w:sz="4" w:space="0" w:color="auto"/>
              <w:right w:val="single" w:sz="4" w:space="0" w:color="auto"/>
            </w:tcBorders>
            <w:shd w:val="clear" w:color="auto" w:fill="auto"/>
            <w:noWrap/>
            <w:vAlign w:val="center"/>
            <w:hideMark/>
          </w:tcPr>
          <w:p w14:paraId="2F1261E3"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10</w:t>
            </w:r>
          </w:p>
        </w:tc>
        <w:tc>
          <w:tcPr>
            <w:tcW w:w="980" w:type="dxa"/>
            <w:tcBorders>
              <w:top w:val="nil"/>
              <w:left w:val="nil"/>
              <w:bottom w:val="single" w:sz="4" w:space="0" w:color="auto"/>
              <w:right w:val="single" w:sz="4" w:space="0" w:color="auto"/>
            </w:tcBorders>
            <w:shd w:val="clear" w:color="auto" w:fill="auto"/>
            <w:noWrap/>
            <w:vAlign w:val="center"/>
            <w:hideMark/>
          </w:tcPr>
          <w:p w14:paraId="6F41FC5B"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3,542</w:t>
            </w:r>
          </w:p>
        </w:tc>
        <w:tc>
          <w:tcPr>
            <w:tcW w:w="1460" w:type="dxa"/>
            <w:tcBorders>
              <w:top w:val="nil"/>
              <w:left w:val="nil"/>
              <w:bottom w:val="single" w:sz="4" w:space="0" w:color="auto"/>
              <w:right w:val="single" w:sz="4" w:space="0" w:color="auto"/>
            </w:tcBorders>
            <w:shd w:val="clear" w:color="auto" w:fill="auto"/>
            <w:noWrap/>
            <w:vAlign w:val="center"/>
            <w:hideMark/>
          </w:tcPr>
          <w:p w14:paraId="517B266B"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322</w:t>
            </w:r>
          </w:p>
        </w:tc>
        <w:tc>
          <w:tcPr>
            <w:tcW w:w="1300" w:type="dxa"/>
            <w:tcBorders>
              <w:top w:val="nil"/>
              <w:left w:val="nil"/>
              <w:bottom w:val="single" w:sz="4" w:space="0" w:color="auto"/>
              <w:right w:val="single" w:sz="4" w:space="0" w:color="auto"/>
            </w:tcBorders>
            <w:shd w:val="clear" w:color="auto" w:fill="auto"/>
            <w:noWrap/>
            <w:vAlign w:val="bottom"/>
            <w:hideMark/>
          </w:tcPr>
          <w:p w14:paraId="7C7DBE58"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644</w:t>
            </w:r>
          </w:p>
        </w:tc>
      </w:tr>
      <w:tr w:rsidR="00F80E14" w:rsidRPr="00A83564" w14:paraId="6080B966"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2BD3F1E0"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lastRenderedPageBreak/>
              <w:t>Year 2</w:t>
            </w:r>
          </w:p>
        </w:tc>
        <w:tc>
          <w:tcPr>
            <w:tcW w:w="1500" w:type="dxa"/>
            <w:tcBorders>
              <w:top w:val="nil"/>
              <w:left w:val="nil"/>
              <w:bottom w:val="single" w:sz="4" w:space="0" w:color="auto"/>
              <w:right w:val="single" w:sz="4" w:space="0" w:color="auto"/>
            </w:tcBorders>
            <w:shd w:val="clear" w:color="auto" w:fill="auto"/>
            <w:noWrap/>
            <w:vAlign w:val="center"/>
            <w:hideMark/>
          </w:tcPr>
          <w:p w14:paraId="7CF2E421"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25/26</w:t>
            </w:r>
          </w:p>
        </w:tc>
        <w:tc>
          <w:tcPr>
            <w:tcW w:w="1540" w:type="dxa"/>
            <w:tcBorders>
              <w:top w:val="nil"/>
              <w:left w:val="nil"/>
              <w:bottom w:val="single" w:sz="4" w:space="0" w:color="auto"/>
              <w:right w:val="single" w:sz="4" w:space="0" w:color="auto"/>
            </w:tcBorders>
            <w:shd w:val="clear" w:color="auto" w:fill="auto"/>
            <w:noWrap/>
            <w:vAlign w:val="bottom"/>
            <w:hideMark/>
          </w:tcPr>
          <w:p w14:paraId="0D26CA51"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w:t>
            </w:r>
          </w:p>
        </w:tc>
        <w:tc>
          <w:tcPr>
            <w:tcW w:w="980" w:type="dxa"/>
            <w:tcBorders>
              <w:top w:val="nil"/>
              <w:left w:val="nil"/>
              <w:bottom w:val="single" w:sz="4" w:space="0" w:color="auto"/>
              <w:right w:val="single" w:sz="4" w:space="0" w:color="auto"/>
            </w:tcBorders>
            <w:shd w:val="clear" w:color="auto" w:fill="auto"/>
            <w:noWrap/>
            <w:vAlign w:val="bottom"/>
            <w:hideMark/>
          </w:tcPr>
          <w:p w14:paraId="242C3083"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3,613</w:t>
            </w:r>
          </w:p>
        </w:tc>
        <w:tc>
          <w:tcPr>
            <w:tcW w:w="1460" w:type="dxa"/>
            <w:tcBorders>
              <w:top w:val="nil"/>
              <w:left w:val="nil"/>
              <w:bottom w:val="single" w:sz="4" w:space="0" w:color="auto"/>
              <w:right w:val="single" w:sz="4" w:space="0" w:color="auto"/>
            </w:tcBorders>
            <w:shd w:val="clear" w:color="auto" w:fill="auto"/>
            <w:noWrap/>
            <w:vAlign w:val="center"/>
            <w:hideMark/>
          </w:tcPr>
          <w:p w14:paraId="4E4DD613"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71</w:t>
            </w:r>
          </w:p>
        </w:tc>
        <w:tc>
          <w:tcPr>
            <w:tcW w:w="1300" w:type="dxa"/>
            <w:tcBorders>
              <w:top w:val="nil"/>
              <w:left w:val="nil"/>
              <w:bottom w:val="single" w:sz="4" w:space="0" w:color="auto"/>
              <w:right w:val="single" w:sz="4" w:space="0" w:color="auto"/>
            </w:tcBorders>
            <w:shd w:val="clear" w:color="auto" w:fill="auto"/>
            <w:noWrap/>
            <w:vAlign w:val="bottom"/>
            <w:hideMark/>
          </w:tcPr>
          <w:p w14:paraId="1B1A717E"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786</w:t>
            </w:r>
          </w:p>
        </w:tc>
      </w:tr>
      <w:tr w:rsidR="00F80E14" w:rsidRPr="00A83564" w14:paraId="620DAFFD"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45557AF6"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Year 3</w:t>
            </w:r>
          </w:p>
        </w:tc>
        <w:tc>
          <w:tcPr>
            <w:tcW w:w="1500" w:type="dxa"/>
            <w:tcBorders>
              <w:top w:val="nil"/>
              <w:left w:val="nil"/>
              <w:bottom w:val="single" w:sz="4" w:space="0" w:color="auto"/>
              <w:right w:val="single" w:sz="4" w:space="0" w:color="auto"/>
            </w:tcBorders>
            <w:shd w:val="clear" w:color="auto" w:fill="auto"/>
            <w:noWrap/>
            <w:vAlign w:val="center"/>
            <w:hideMark/>
          </w:tcPr>
          <w:p w14:paraId="7B5B0156"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26/27</w:t>
            </w:r>
          </w:p>
        </w:tc>
        <w:tc>
          <w:tcPr>
            <w:tcW w:w="1540" w:type="dxa"/>
            <w:tcBorders>
              <w:top w:val="nil"/>
              <w:left w:val="nil"/>
              <w:bottom w:val="single" w:sz="4" w:space="0" w:color="auto"/>
              <w:right w:val="single" w:sz="4" w:space="0" w:color="auto"/>
            </w:tcBorders>
            <w:shd w:val="clear" w:color="auto" w:fill="auto"/>
            <w:noWrap/>
            <w:vAlign w:val="bottom"/>
            <w:hideMark/>
          </w:tcPr>
          <w:p w14:paraId="6D4F3581"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w:t>
            </w:r>
          </w:p>
        </w:tc>
        <w:tc>
          <w:tcPr>
            <w:tcW w:w="980" w:type="dxa"/>
            <w:tcBorders>
              <w:top w:val="nil"/>
              <w:left w:val="nil"/>
              <w:bottom w:val="single" w:sz="4" w:space="0" w:color="auto"/>
              <w:right w:val="single" w:sz="4" w:space="0" w:color="auto"/>
            </w:tcBorders>
            <w:shd w:val="clear" w:color="auto" w:fill="auto"/>
            <w:noWrap/>
            <w:vAlign w:val="bottom"/>
            <w:hideMark/>
          </w:tcPr>
          <w:p w14:paraId="12C47A0C"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3,685</w:t>
            </w:r>
          </w:p>
        </w:tc>
        <w:tc>
          <w:tcPr>
            <w:tcW w:w="1460" w:type="dxa"/>
            <w:tcBorders>
              <w:top w:val="nil"/>
              <w:left w:val="nil"/>
              <w:bottom w:val="single" w:sz="4" w:space="0" w:color="auto"/>
              <w:right w:val="single" w:sz="4" w:space="0" w:color="auto"/>
            </w:tcBorders>
            <w:shd w:val="clear" w:color="auto" w:fill="auto"/>
            <w:noWrap/>
            <w:vAlign w:val="center"/>
            <w:hideMark/>
          </w:tcPr>
          <w:p w14:paraId="168ACC4B"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72</w:t>
            </w:r>
          </w:p>
        </w:tc>
        <w:tc>
          <w:tcPr>
            <w:tcW w:w="1300" w:type="dxa"/>
            <w:tcBorders>
              <w:top w:val="nil"/>
              <w:left w:val="nil"/>
              <w:bottom w:val="single" w:sz="4" w:space="0" w:color="auto"/>
              <w:right w:val="single" w:sz="4" w:space="0" w:color="auto"/>
            </w:tcBorders>
            <w:shd w:val="clear" w:color="auto" w:fill="auto"/>
            <w:noWrap/>
            <w:vAlign w:val="bottom"/>
            <w:hideMark/>
          </w:tcPr>
          <w:p w14:paraId="65CC19FB"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930</w:t>
            </w:r>
          </w:p>
        </w:tc>
      </w:tr>
      <w:tr w:rsidR="00F80E14" w:rsidRPr="00A83564" w14:paraId="49A6BEFD"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422555C6"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Year 4</w:t>
            </w:r>
          </w:p>
        </w:tc>
        <w:tc>
          <w:tcPr>
            <w:tcW w:w="1500" w:type="dxa"/>
            <w:tcBorders>
              <w:top w:val="nil"/>
              <w:left w:val="nil"/>
              <w:bottom w:val="single" w:sz="4" w:space="0" w:color="auto"/>
              <w:right w:val="single" w:sz="4" w:space="0" w:color="auto"/>
            </w:tcBorders>
            <w:shd w:val="clear" w:color="auto" w:fill="auto"/>
            <w:noWrap/>
            <w:vAlign w:val="center"/>
            <w:hideMark/>
          </w:tcPr>
          <w:p w14:paraId="2D58771B"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27/28</w:t>
            </w:r>
          </w:p>
        </w:tc>
        <w:tc>
          <w:tcPr>
            <w:tcW w:w="1540" w:type="dxa"/>
            <w:tcBorders>
              <w:top w:val="nil"/>
              <w:left w:val="nil"/>
              <w:bottom w:val="single" w:sz="4" w:space="0" w:color="auto"/>
              <w:right w:val="single" w:sz="4" w:space="0" w:color="auto"/>
            </w:tcBorders>
            <w:shd w:val="clear" w:color="auto" w:fill="auto"/>
            <w:noWrap/>
            <w:vAlign w:val="bottom"/>
            <w:hideMark/>
          </w:tcPr>
          <w:p w14:paraId="35DE090C"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w:t>
            </w:r>
          </w:p>
        </w:tc>
        <w:tc>
          <w:tcPr>
            <w:tcW w:w="980" w:type="dxa"/>
            <w:tcBorders>
              <w:top w:val="nil"/>
              <w:left w:val="nil"/>
              <w:bottom w:val="single" w:sz="4" w:space="0" w:color="auto"/>
              <w:right w:val="single" w:sz="4" w:space="0" w:color="auto"/>
            </w:tcBorders>
            <w:shd w:val="clear" w:color="auto" w:fill="auto"/>
            <w:noWrap/>
            <w:vAlign w:val="bottom"/>
            <w:hideMark/>
          </w:tcPr>
          <w:p w14:paraId="220DDAB7"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3,759</w:t>
            </w:r>
          </w:p>
        </w:tc>
        <w:tc>
          <w:tcPr>
            <w:tcW w:w="1460" w:type="dxa"/>
            <w:tcBorders>
              <w:top w:val="nil"/>
              <w:left w:val="nil"/>
              <w:bottom w:val="single" w:sz="4" w:space="0" w:color="auto"/>
              <w:right w:val="single" w:sz="4" w:space="0" w:color="auto"/>
            </w:tcBorders>
            <w:shd w:val="clear" w:color="auto" w:fill="auto"/>
            <w:noWrap/>
            <w:vAlign w:val="center"/>
            <w:hideMark/>
          </w:tcPr>
          <w:p w14:paraId="088C71A8"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74</w:t>
            </w:r>
          </w:p>
        </w:tc>
        <w:tc>
          <w:tcPr>
            <w:tcW w:w="1300" w:type="dxa"/>
            <w:tcBorders>
              <w:top w:val="nil"/>
              <w:left w:val="nil"/>
              <w:bottom w:val="single" w:sz="4" w:space="0" w:color="auto"/>
              <w:right w:val="single" w:sz="4" w:space="0" w:color="auto"/>
            </w:tcBorders>
            <w:shd w:val="clear" w:color="auto" w:fill="auto"/>
            <w:noWrap/>
            <w:vAlign w:val="bottom"/>
            <w:hideMark/>
          </w:tcPr>
          <w:p w14:paraId="0EF0DEF9" w14:textId="272D4EAE"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1</w:t>
            </w:r>
            <w:r w:rsidR="009549C1">
              <w:rPr>
                <w:rFonts w:ascii="Overpass" w:eastAsia="Times New Roman" w:hAnsi="Overpass" w:cs="Calibri"/>
                <w:color w:val="000000"/>
                <w:sz w:val="18"/>
                <w:szCs w:val="18"/>
                <w:lang w:eastAsia="en-AU"/>
              </w:rPr>
              <w:t>,</w:t>
            </w:r>
            <w:r>
              <w:rPr>
                <w:rFonts w:ascii="Overpass" w:eastAsia="Times New Roman" w:hAnsi="Overpass" w:cs="Calibri"/>
                <w:color w:val="000000"/>
                <w:sz w:val="18"/>
                <w:szCs w:val="18"/>
                <w:lang w:eastAsia="en-AU"/>
              </w:rPr>
              <w:t>078</w:t>
            </w:r>
          </w:p>
        </w:tc>
      </w:tr>
      <w:tr w:rsidR="00F80E14" w:rsidRPr="00A83564" w14:paraId="75C1AE66"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1CF9C328"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Year 5</w:t>
            </w:r>
          </w:p>
        </w:tc>
        <w:tc>
          <w:tcPr>
            <w:tcW w:w="1500" w:type="dxa"/>
            <w:tcBorders>
              <w:top w:val="nil"/>
              <w:left w:val="nil"/>
              <w:bottom w:val="single" w:sz="4" w:space="0" w:color="auto"/>
              <w:right w:val="single" w:sz="4" w:space="0" w:color="auto"/>
            </w:tcBorders>
            <w:shd w:val="clear" w:color="auto" w:fill="auto"/>
            <w:noWrap/>
            <w:vAlign w:val="center"/>
            <w:hideMark/>
          </w:tcPr>
          <w:p w14:paraId="34C0A7CE"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28/29</w:t>
            </w:r>
          </w:p>
        </w:tc>
        <w:tc>
          <w:tcPr>
            <w:tcW w:w="1540" w:type="dxa"/>
            <w:tcBorders>
              <w:top w:val="nil"/>
              <w:left w:val="nil"/>
              <w:bottom w:val="single" w:sz="4" w:space="0" w:color="auto"/>
              <w:right w:val="single" w:sz="4" w:space="0" w:color="auto"/>
            </w:tcBorders>
            <w:shd w:val="clear" w:color="auto" w:fill="auto"/>
            <w:noWrap/>
            <w:vAlign w:val="bottom"/>
            <w:hideMark/>
          </w:tcPr>
          <w:p w14:paraId="5DF24E3E"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w:t>
            </w:r>
          </w:p>
        </w:tc>
        <w:tc>
          <w:tcPr>
            <w:tcW w:w="980" w:type="dxa"/>
            <w:tcBorders>
              <w:top w:val="nil"/>
              <w:left w:val="nil"/>
              <w:bottom w:val="single" w:sz="4" w:space="0" w:color="auto"/>
              <w:right w:val="single" w:sz="4" w:space="0" w:color="auto"/>
            </w:tcBorders>
            <w:shd w:val="clear" w:color="auto" w:fill="auto"/>
            <w:noWrap/>
            <w:vAlign w:val="bottom"/>
            <w:hideMark/>
          </w:tcPr>
          <w:p w14:paraId="33B09A82"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3,834</w:t>
            </w:r>
          </w:p>
        </w:tc>
        <w:tc>
          <w:tcPr>
            <w:tcW w:w="1460" w:type="dxa"/>
            <w:tcBorders>
              <w:top w:val="nil"/>
              <w:left w:val="nil"/>
              <w:bottom w:val="single" w:sz="4" w:space="0" w:color="auto"/>
              <w:right w:val="single" w:sz="4" w:space="0" w:color="auto"/>
            </w:tcBorders>
            <w:shd w:val="clear" w:color="auto" w:fill="auto"/>
            <w:noWrap/>
            <w:vAlign w:val="center"/>
            <w:hideMark/>
          </w:tcPr>
          <w:p w14:paraId="19243BFB"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75</w:t>
            </w:r>
          </w:p>
        </w:tc>
        <w:tc>
          <w:tcPr>
            <w:tcW w:w="1300" w:type="dxa"/>
            <w:tcBorders>
              <w:top w:val="nil"/>
              <w:left w:val="nil"/>
              <w:bottom w:val="single" w:sz="4" w:space="0" w:color="auto"/>
              <w:right w:val="single" w:sz="4" w:space="0" w:color="auto"/>
            </w:tcBorders>
            <w:shd w:val="clear" w:color="auto" w:fill="auto"/>
            <w:noWrap/>
            <w:vAlign w:val="bottom"/>
            <w:hideMark/>
          </w:tcPr>
          <w:p w14:paraId="1E1DBBFE" w14:textId="10303770"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1</w:t>
            </w:r>
            <w:r w:rsidR="009549C1">
              <w:rPr>
                <w:rFonts w:ascii="Overpass" w:eastAsia="Times New Roman" w:hAnsi="Overpass" w:cs="Calibri"/>
                <w:color w:val="000000"/>
                <w:sz w:val="18"/>
                <w:szCs w:val="18"/>
                <w:lang w:eastAsia="en-AU"/>
              </w:rPr>
              <w:t>,</w:t>
            </w:r>
            <w:r>
              <w:rPr>
                <w:rFonts w:ascii="Overpass" w:eastAsia="Times New Roman" w:hAnsi="Overpass" w:cs="Calibri"/>
                <w:color w:val="000000"/>
                <w:sz w:val="18"/>
                <w:szCs w:val="18"/>
                <w:lang w:eastAsia="en-AU"/>
              </w:rPr>
              <w:t>228</w:t>
            </w:r>
          </w:p>
        </w:tc>
      </w:tr>
      <w:tr w:rsidR="00F80E14" w:rsidRPr="00A83564" w14:paraId="6E088A18"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224C88ED"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Year 6</w:t>
            </w:r>
          </w:p>
        </w:tc>
        <w:tc>
          <w:tcPr>
            <w:tcW w:w="1500" w:type="dxa"/>
            <w:tcBorders>
              <w:top w:val="nil"/>
              <w:left w:val="nil"/>
              <w:bottom w:val="single" w:sz="4" w:space="0" w:color="auto"/>
              <w:right w:val="single" w:sz="4" w:space="0" w:color="auto"/>
            </w:tcBorders>
            <w:shd w:val="clear" w:color="auto" w:fill="auto"/>
            <w:noWrap/>
            <w:vAlign w:val="center"/>
            <w:hideMark/>
          </w:tcPr>
          <w:p w14:paraId="6D2DA7F7"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30/31</w:t>
            </w:r>
          </w:p>
        </w:tc>
        <w:tc>
          <w:tcPr>
            <w:tcW w:w="1540" w:type="dxa"/>
            <w:tcBorders>
              <w:top w:val="nil"/>
              <w:left w:val="nil"/>
              <w:bottom w:val="single" w:sz="4" w:space="0" w:color="auto"/>
              <w:right w:val="single" w:sz="4" w:space="0" w:color="auto"/>
            </w:tcBorders>
            <w:shd w:val="clear" w:color="auto" w:fill="auto"/>
            <w:noWrap/>
            <w:vAlign w:val="bottom"/>
            <w:hideMark/>
          </w:tcPr>
          <w:p w14:paraId="0B918D98"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w:t>
            </w:r>
          </w:p>
        </w:tc>
        <w:tc>
          <w:tcPr>
            <w:tcW w:w="980" w:type="dxa"/>
            <w:tcBorders>
              <w:top w:val="nil"/>
              <w:left w:val="nil"/>
              <w:bottom w:val="single" w:sz="4" w:space="0" w:color="auto"/>
              <w:right w:val="single" w:sz="4" w:space="0" w:color="auto"/>
            </w:tcBorders>
            <w:shd w:val="clear" w:color="auto" w:fill="auto"/>
            <w:noWrap/>
            <w:vAlign w:val="bottom"/>
            <w:hideMark/>
          </w:tcPr>
          <w:p w14:paraId="69F1B232"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3,911</w:t>
            </w:r>
          </w:p>
        </w:tc>
        <w:tc>
          <w:tcPr>
            <w:tcW w:w="1460" w:type="dxa"/>
            <w:tcBorders>
              <w:top w:val="nil"/>
              <w:left w:val="nil"/>
              <w:bottom w:val="single" w:sz="4" w:space="0" w:color="auto"/>
              <w:right w:val="single" w:sz="4" w:space="0" w:color="auto"/>
            </w:tcBorders>
            <w:shd w:val="clear" w:color="auto" w:fill="auto"/>
            <w:noWrap/>
            <w:vAlign w:val="center"/>
            <w:hideMark/>
          </w:tcPr>
          <w:p w14:paraId="784E07EB"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77</w:t>
            </w:r>
          </w:p>
        </w:tc>
        <w:tc>
          <w:tcPr>
            <w:tcW w:w="1300" w:type="dxa"/>
            <w:tcBorders>
              <w:top w:val="nil"/>
              <w:left w:val="nil"/>
              <w:bottom w:val="single" w:sz="4" w:space="0" w:color="auto"/>
              <w:right w:val="single" w:sz="4" w:space="0" w:color="auto"/>
            </w:tcBorders>
            <w:shd w:val="clear" w:color="auto" w:fill="auto"/>
            <w:noWrap/>
            <w:vAlign w:val="bottom"/>
            <w:hideMark/>
          </w:tcPr>
          <w:p w14:paraId="6492C7D1" w14:textId="24CB8F71"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1</w:t>
            </w:r>
            <w:r w:rsidR="009549C1">
              <w:rPr>
                <w:rFonts w:ascii="Overpass" w:eastAsia="Times New Roman" w:hAnsi="Overpass" w:cs="Calibri"/>
                <w:color w:val="000000"/>
                <w:sz w:val="18"/>
                <w:szCs w:val="18"/>
                <w:lang w:eastAsia="en-AU"/>
              </w:rPr>
              <w:t>,</w:t>
            </w:r>
            <w:r>
              <w:rPr>
                <w:rFonts w:ascii="Overpass" w:eastAsia="Times New Roman" w:hAnsi="Overpass" w:cs="Calibri"/>
                <w:color w:val="000000"/>
                <w:sz w:val="18"/>
                <w:szCs w:val="18"/>
                <w:lang w:eastAsia="en-AU"/>
              </w:rPr>
              <w:t>382</w:t>
            </w:r>
          </w:p>
        </w:tc>
      </w:tr>
      <w:tr w:rsidR="00F80E14" w:rsidRPr="00A83564" w14:paraId="575B1789"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58A6AD82"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Year 7</w:t>
            </w:r>
          </w:p>
        </w:tc>
        <w:tc>
          <w:tcPr>
            <w:tcW w:w="1500" w:type="dxa"/>
            <w:tcBorders>
              <w:top w:val="nil"/>
              <w:left w:val="nil"/>
              <w:bottom w:val="single" w:sz="4" w:space="0" w:color="auto"/>
              <w:right w:val="single" w:sz="4" w:space="0" w:color="auto"/>
            </w:tcBorders>
            <w:shd w:val="clear" w:color="auto" w:fill="auto"/>
            <w:noWrap/>
            <w:vAlign w:val="center"/>
            <w:hideMark/>
          </w:tcPr>
          <w:p w14:paraId="0D5B388F"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31/32</w:t>
            </w:r>
          </w:p>
        </w:tc>
        <w:tc>
          <w:tcPr>
            <w:tcW w:w="1540" w:type="dxa"/>
            <w:tcBorders>
              <w:top w:val="nil"/>
              <w:left w:val="nil"/>
              <w:bottom w:val="single" w:sz="4" w:space="0" w:color="auto"/>
              <w:right w:val="single" w:sz="4" w:space="0" w:color="auto"/>
            </w:tcBorders>
            <w:shd w:val="clear" w:color="auto" w:fill="auto"/>
            <w:noWrap/>
            <w:vAlign w:val="bottom"/>
            <w:hideMark/>
          </w:tcPr>
          <w:p w14:paraId="7F9581BD"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w:t>
            </w:r>
          </w:p>
        </w:tc>
        <w:tc>
          <w:tcPr>
            <w:tcW w:w="980" w:type="dxa"/>
            <w:tcBorders>
              <w:top w:val="nil"/>
              <w:left w:val="nil"/>
              <w:bottom w:val="single" w:sz="4" w:space="0" w:color="auto"/>
              <w:right w:val="single" w:sz="4" w:space="0" w:color="auto"/>
            </w:tcBorders>
            <w:shd w:val="clear" w:color="auto" w:fill="auto"/>
            <w:noWrap/>
            <w:vAlign w:val="bottom"/>
            <w:hideMark/>
          </w:tcPr>
          <w:p w14:paraId="259F2DEB"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3,989</w:t>
            </w:r>
          </w:p>
        </w:tc>
        <w:tc>
          <w:tcPr>
            <w:tcW w:w="1460" w:type="dxa"/>
            <w:tcBorders>
              <w:top w:val="nil"/>
              <w:left w:val="nil"/>
              <w:bottom w:val="single" w:sz="4" w:space="0" w:color="auto"/>
              <w:right w:val="single" w:sz="4" w:space="0" w:color="auto"/>
            </w:tcBorders>
            <w:shd w:val="clear" w:color="auto" w:fill="auto"/>
            <w:noWrap/>
            <w:vAlign w:val="center"/>
            <w:hideMark/>
          </w:tcPr>
          <w:p w14:paraId="66B14664"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78</w:t>
            </w:r>
          </w:p>
        </w:tc>
        <w:tc>
          <w:tcPr>
            <w:tcW w:w="1300" w:type="dxa"/>
            <w:tcBorders>
              <w:top w:val="nil"/>
              <w:left w:val="nil"/>
              <w:bottom w:val="single" w:sz="4" w:space="0" w:color="auto"/>
              <w:right w:val="single" w:sz="4" w:space="0" w:color="auto"/>
            </w:tcBorders>
            <w:shd w:val="clear" w:color="auto" w:fill="auto"/>
            <w:noWrap/>
            <w:vAlign w:val="bottom"/>
            <w:hideMark/>
          </w:tcPr>
          <w:p w14:paraId="39E6691C" w14:textId="304AAE08"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1</w:t>
            </w:r>
            <w:r w:rsidR="009549C1">
              <w:rPr>
                <w:rFonts w:ascii="Overpass" w:eastAsia="Times New Roman" w:hAnsi="Overpass" w:cs="Calibri"/>
                <w:color w:val="000000"/>
                <w:sz w:val="18"/>
                <w:szCs w:val="18"/>
                <w:lang w:eastAsia="en-AU"/>
              </w:rPr>
              <w:t>,</w:t>
            </w:r>
            <w:r>
              <w:rPr>
                <w:rFonts w:ascii="Overpass" w:eastAsia="Times New Roman" w:hAnsi="Overpass" w:cs="Calibri"/>
                <w:color w:val="000000"/>
                <w:sz w:val="18"/>
                <w:szCs w:val="18"/>
                <w:lang w:eastAsia="en-AU"/>
              </w:rPr>
              <w:t>538</w:t>
            </w:r>
          </w:p>
        </w:tc>
      </w:tr>
      <w:tr w:rsidR="00F80E14" w:rsidRPr="00A83564" w14:paraId="627FDFB0"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5CA2BDBB"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Year 8</w:t>
            </w:r>
          </w:p>
        </w:tc>
        <w:tc>
          <w:tcPr>
            <w:tcW w:w="1500" w:type="dxa"/>
            <w:tcBorders>
              <w:top w:val="nil"/>
              <w:left w:val="nil"/>
              <w:bottom w:val="single" w:sz="4" w:space="0" w:color="auto"/>
              <w:right w:val="single" w:sz="4" w:space="0" w:color="auto"/>
            </w:tcBorders>
            <w:shd w:val="clear" w:color="auto" w:fill="auto"/>
            <w:noWrap/>
            <w:vAlign w:val="center"/>
            <w:hideMark/>
          </w:tcPr>
          <w:p w14:paraId="6A559C67"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32/33</w:t>
            </w:r>
          </w:p>
        </w:tc>
        <w:tc>
          <w:tcPr>
            <w:tcW w:w="1540" w:type="dxa"/>
            <w:tcBorders>
              <w:top w:val="nil"/>
              <w:left w:val="nil"/>
              <w:bottom w:val="single" w:sz="4" w:space="0" w:color="auto"/>
              <w:right w:val="single" w:sz="4" w:space="0" w:color="auto"/>
            </w:tcBorders>
            <w:shd w:val="clear" w:color="auto" w:fill="auto"/>
            <w:noWrap/>
            <w:vAlign w:val="bottom"/>
            <w:hideMark/>
          </w:tcPr>
          <w:p w14:paraId="715E03B7"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w:t>
            </w:r>
          </w:p>
        </w:tc>
        <w:tc>
          <w:tcPr>
            <w:tcW w:w="980" w:type="dxa"/>
            <w:tcBorders>
              <w:top w:val="nil"/>
              <w:left w:val="nil"/>
              <w:bottom w:val="single" w:sz="4" w:space="0" w:color="auto"/>
              <w:right w:val="single" w:sz="4" w:space="0" w:color="auto"/>
            </w:tcBorders>
            <w:shd w:val="clear" w:color="auto" w:fill="auto"/>
            <w:noWrap/>
            <w:vAlign w:val="bottom"/>
            <w:hideMark/>
          </w:tcPr>
          <w:p w14:paraId="3EC17DB0"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4,069</w:t>
            </w:r>
          </w:p>
        </w:tc>
        <w:tc>
          <w:tcPr>
            <w:tcW w:w="1460" w:type="dxa"/>
            <w:tcBorders>
              <w:top w:val="nil"/>
              <w:left w:val="nil"/>
              <w:bottom w:val="single" w:sz="4" w:space="0" w:color="auto"/>
              <w:right w:val="single" w:sz="4" w:space="0" w:color="auto"/>
            </w:tcBorders>
            <w:shd w:val="clear" w:color="auto" w:fill="auto"/>
            <w:noWrap/>
            <w:vAlign w:val="center"/>
            <w:hideMark/>
          </w:tcPr>
          <w:p w14:paraId="1FFFACAB"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80</w:t>
            </w:r>
          </w:p>
        </w:tc>
        <w:tc>
          <w:tcPr>
            <w:tcW w:w="1300" w:type="dxa"/>
            <w:tcBorders>
              <w:top w:val="nil"/>
              <w:left w:val="nil"/>
              <w:bottom w:val="single" w:sz="4" w:space="0" w:color="auto"/>
              <w:right w:val="single" w:sz="4" w:space="0" w:color="auto"/>
            </w:tcBorders>
            <w:shd w:val="clear" w:color="auto" w:fill="auto"/>
            <w:noWrap/>
            <w:vAlign w:val="bottom"/>
            <w:hideMark/>
          </w:tcPr>
          <w:p w14:paraId="2E8FECE5" w14:textId="3C03236D"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1</w:t>
            </w:r>
            <w:r w:rsidR="009549C1">
              <w:rPr>
                <w:rFonts w:ascii="Overpass" w:eastAsia="Times New Roman" w:hAnsi="Overpass" w:cs="Calibri"/>
                <w:color w:val="000000"/>
                <w:sz w:val="18"/>
                <w:szCs w:val="18"/>
                <w:lang w:eastAsia="en-AU"/>
              </w:rPr>
              <w:t>,</w:t>
            </w:r>
            <w:r>
              <w:rPr>
                <w:rFonts w:ascii="Overpass" w:eastAsia="Times New Roman" w:hAnsi="Overpass" w:cs="Calibri"/>
                <w:color w:val="000000"/>
                <w:sz w:val="18"/>
                <w:szCs w:val="18"/>
                <w:lang w:eastAsia="en-AU"/>
              </w:rPr>
              <w:t>698</w:t>
            </w:r>
          </w:p>
        </w:tc>
      </w:tr>
      <w:tr w:rsidR="00F80E14" w:rsidRPr="00A83564" w14:paraId="76B96698"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5EB53C40"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Year 9</w:t>
            </w:r>
          </w:p>
        </w:tc>
        <w:tc>
          <w:tcPr>
            <w:tcW w:w="1500" w:type="dxa"/>
            <w:tcBorders>
              <w:top w:val="nil"/>
              <w:left w:val="nil"/>
              <w:bottom w:val="single" w:sz="4" w:space="0" w:color="auto"/>
              <w:right w:val="single" w:sz="4" w:space="0" w:color="auto"/>
            </w:tcBorders>
            <w:shd w:val="clear" w:color="auto" w:fill="auto"/>
            <w:noWrap/>
            <w:vAlign w:val="center"/>
            <w:hideMark/>
          </w:tcPr>
          <w:p w14:paraId="69D550DE"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33/34</w:t>
            </w:r>
          </w:p>
        </w:tc>
        <w:tc>
          <w:tcPr>
            <w:tcW w:w="1540" w:type="dxa"/>
            <w:tcBorders>
              <w:top w:val="nil"/>
              <w:left w:val="nil"/>
              <w:bottom w:val="single" w:sz="4" w:space="0" w:color="auto"/>
              <w:right w:val="single" w:sz="4" w:space="0" w:color="auto"/>
            </w:tcBorders>
            <w:shd w:val="clear" w:color="auto" w:fill="auto"/>
            <w:noWrap/>
            <w:vAlign w:val="bottom"/>
            <w:hideMark/>
          </w:tcPr>
          <w:p w14:paraId="378C4AE3"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w:t>
            </w:r>
          </w:p>
        </w:tc>
        <w:tc>
          <w:tcPr>
            <w:tcW w:w="980" w:type="dxa"/>
            <w:tcBorders>
              <w:top w:val="nil"/>
              <w:left w:val="nil"/>
              <w:bottom w:val="single" w:sz="4" w:space="0" w:color="auto"/>
              <w:right w:val="single" w:sz="4" w:space="0" w:color="auto"/>
            </w:tcBorders>
            <w:shd w:val="clear" w:color="auto" w:fill="auto"/>
            <w:noWrap/>
            <w:vAlign w:val="bottom"/>
            <w:hideMark/>
          </w:tcPr>
          <w:p w14:paraId="1C21B212"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4,150</w:t>
            </w:r>
          </w:p>
        </w:tc>
        <w:tc>
          <w:tcPr>
            <w:tcW w:w="1460" w:type="dxa"/>
            <w:tcBorders>
              <w:top w:val="nil"/>
              <w:left w:val="nil"/>
              <w:bottom w:val="single" w:sz="4" w:space="0" w:color="auto"/>
              <w:right w:val="single" w:sz="4" w:space="0" w:color="auto"/>
            </w:tcBorders>
            <w:shd w:val="clear" w:color="auto" w:fill="auto"/>
            <w:noWrap/>
            <w:vAlign w:val="center"/>
            <w:hideMark/>
          </w:tcPr>
          <w:p w14:paraId="53B91A94"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81</w:t>
            </w:r>
          </w:p>
        </w:tc>
        <w:tc>
          <w:tcPr>
            <w:tcW w:w="1300" w:type="dxa"/>
            <w:tcBorders>
              <w:top w:val="nil"/>
              <w:left w:val="nil"/>
              <w:bottom w:val="single" w:sz="4" w:space="0" w:color="auto"/>
              <w:right w:val="single" w:sz="4" w:space="0" w:color="auto"/>
            </w:tcBorders>
            <w:shd w:val="clear" w:color="auto" w:fill="auto"/>
            <w:noWrap/>
            <w:vAlign w:val="bottom"/>
            <w:hideMark/>
          </w:tcPr>
          <w:p w14:paraId="7F3D88E3" w14:textId="5F72E11D"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1</w:t>
            </w:r>
            <w:r w:rsidR="009549C1">
              <w:rPr>
                <w:rFonts w:ascii="Overpass" w:eastAsia="Times New Roman" w:hAnsi="Overpass" w:cs="Calibri"/>
                <w:color w:val="000000"/>
                <w:sz w:val="18"/>
                <w:szCs w:val="18"/>
                <w:lang w:eastAsia="en-AU"/>
              </w:rPr>
              <w:t>,</w:t>
            </w:r>
            <w:r>
              <w:rPr>
                <w:rFonts w:ascii="Overpass" w:eastAsia="Times New Roman" w:hAnsi="Overpass" w:cs="Calibri"/>
                <w:color w:val="000000"/>
                <w:sz w:val="18"/>
                <w:szCs w:val="18"/>
                <w:lang w:eastAsia="en-AU"/>
              </w:rPr>
              <w:t>860</w:t>
            </w:r>
          </w:p>
        </w:tc>
      </w:tr>
      <w:tr w:rsidR="00F80E14" w:rsidRPr="00A83564" w14:paraId="7BAAD30A" w14:textId="77777777" w:rsidTr="000A07F0">
        <w:trPr>
          <w:trHeight w:val="240"/>
        </w:trPr>
        <w:tc>
          <w:tcPr>
            <w:tcW w:w="1220" w:type="dxa"/>
            <w:tcBorders>
              <w:top w:val="nil"/>
              <w:left w:val="single" w:sz="4" w:space="0" w:color="auto"/>
              <w:bottom w:val="single" w:sz="4" w:space="0" w:color="auto"/>
              <w:right w:val="single" w:sz="4" w:space="0" w:color="auto"/>
            </w:tcBorders>
            <w:shd w:val="clear" w:color="000000" w:fill="BFBFBF"/>
            <w:noWrap/>
            <w:vAlign w:val="center"/>
            <w:hideMark/>
          </w:tcPr>
          <w:p w14:paraId="41A1D86B" w14:textId="77777777" w:rsidR="00F80E14" w:rsidRPr="00A83564" w:rsidRDefault="00F80E14" w:rsidP="000A07F0">
            <w:pPr>
              <w:spacing w:after="0" w:line="240" w:lineRule="auto"/>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Year 10</w:t>
            </w:r>
          </w:p>
        </w:tc>
        <w:tc>
          <w:tcPr>
            <w:tcW w:w="1500" w:type="dxa"/>
            <w:tcBorders>
              <w:top w:val="nil"/>
              <w:left w:val="nil"/>
              <w:bottom w:val="single" w:sz="4" w:space="0" w:color="auto"/>
              <w:right w:val="single" w:sz="4" w:space="0" w:color="auto"/>
            </w:tcBorders>
            <w:shd w:val="clear" w:color="auto" w:fill="auto"/>
            <w:noWrap/>
            <w:vAlign w:val="center"/>
            <w:hideMark/>
          </w:tcPr>
          <w:p w14:paraId="78F85CCE"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34/35</w:t>
            </w:r>
          </w:p>
        </w:tc>
        <w:tc>
          <w:tcPr>
            <w:tcW w:w="1540" w:type="dxa"/>
            <w:tcBorders>
              <w:top w:val="nil"/>
              <w:left w:val="nil"/>
              <w:bottom w:val="single" w:sz="4" w:space="0" w:color="auto"/>
              <w:right w:val="single" w:sz="4" w:space="0" w:color="auto"/>
            </w:tcBorders>
            <w:shd w:val="clear" w:color="auto" w:fill="auto"/>
            <w:noWrap/>
            <w:vAlign w:val="bottom"/>
            <w:hideMark/>
          </w:tcPr>
          <w:p w14:paraId="6B0D462A"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2</w:t>
            </w:r>
          </w:p>
        </w:tc>
        <w:tc>
          <w:tcPr>
            <w:tcW w:w="980" w:type="dxa"/>
            <w:tcBorders>
              <w:top w:val="nil"/>
              <w:left w:val="nil"/>
              <w:bottom w:val="single" w:sz="4" w:space="0" w:color="auto"/>
              <w:right w:val="single" w:sz="4" w:space="0" w:color="auto"/>
            </w:tcBorders>
            <w:shd w:val="clear" w:color="auto" w:fill="auto"/>
            <w:noWrap/>
            <w:vAlign w:val="bottom"/>
            <w:hideMark/>
          </w:tcPr>
          <w:p w14:paraId="7749B8DC"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4,233</w:t>
            </w:r>
          </w:p>
        </w:tc>
        <w:tc>
          <w:tcPr>
            <w:tcW w:w="1460" w:type="dxa"/>
            <w:tcBorders>
              <w:top w:val="nil"/>
              <w:left w:val="nil"/>
              <w:bottom w:val="single" w:sz="4" w:space="0" w:color="auto"/>
              <w:right w:val="single" w:sz="4" w:space="0" w:color="auto"/>
            </w:tcBorders>
            <w:shd w:val="clear" w:color="auto" w:fill="auto"/>
            <w:noWrap/>
            <w:vAlign w:val="center"/>
            <w:hideMark/>
          </w:tcPr>
          <w:p w14:paraId="6245B6A6" w14:textId="77777777"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sidRPr="00A83564">
              <w:rPr>
                <w:rFonts w:ascii="Overpass" w:eastAsia="Times New Roman" w:hAnsi="Overpass" w:cs="Calibri"/>
                <w:color w:val="000000"/>
                <w:sz w:val="18"/>
                <w:szCs w:val="18"/>
                <w:lang w:eastAsia="en-AU"/>
              </w:rPr>
              <w:t>83</w:t>
            </w:r>
          </w:p>
        </w:tc>
        <w:tc>
          <w:tcPr>
            <w:tcW w:w="1300" w:type="dxa"/>
            <w:tcBorders>
              <w:top w:val="nil"/>
              <w:left w:val="nil"/>
              <w:bottom w:val="single" w:sz="4" w:space="0" w:color="auto"/>
              <w:right w:val="single" w:sz="4" w:space="0" w:color="auto"/>
            </w:tcBorders>
            <w:shd w:val="clear" w:color="auto" w:fill="auto"/>
            <w:noWrap/>
            <w:vAlign w:val="bottom"/>
            <w:hideMark/>
          </w:tcPr>
          <w:p w14:paraId="277CD958" w14:textId="5533118A" w:rsidR="00F80E14" w:rsidRPr="00A83564" w:rsidRDefault="00F80E14" w:rsidP="000A07F0">
            <w:pPr>
              <w:spacing w:after="0" w:line="240" w:lineRule="auto"/>
              <w:jc w:val="right"/>
              <w:rPr>
                <w:rFonts w:ascii="Overpass" w:eastAsia="Times New Roman" w:hAnsi="Overpass" w:cs="Calibri"/>
                <w:color w:val="000000"/>
                <w:sz w:val="18"/>
                <w:szCs w:val="18"/>
                <w:lang w:eastAsia="en-AU"/>
              </w:rPr>
            </w:pPr>
            <w:r>
              <w:rPr>
                <w:rFonts w:ascii="Overpass" w:eastAsia="Times New Roman" w:hAnsi="Overpass" w:cs="Calibri"/>
                <w:color w:val="000000"/>
                <w:sz w:val="18"/>
                <w:szCs w:val="18"/>
                <w:lang w:eastAsia="en-AU"/>
              </w:rPr>
              <w:t>2</w:t>
            </w:r>
            <w:r w:rsidR="009549C1">
              <w:rPr>
                <w:rFonts w:ascii="Overpass" w:eastAsia="Times New Roman" w:hAnsi="Overpass" w:cs="Calibri"/>
                <w:color w:val="000000"/>
                <w:sz w:val="18"/>
                <w:szCs w:val="18"/>
                <w:lang w:eastAsia="en-AU"/>
              </w:rPr>
              <w:t>,</w:t>
            </w:r>
            <w:r>
              <w:rPr>
                <w:rFonts w:ascii="Overpass" w:eastAsia="Times New Roman" w:hAnsi="Overpass" w:cs="Calibri"/>
                <w:color w:val="000000"/>
                <w:sz w:val="18"/>
                <w:szCs w:val="18"/>
                <w:lang w:eastAsia="en-AU"/>
              </w:rPr>
              <w:t>026</w:t>
            </w:r>
          </w:p>
        </w:tc>
      </w:tr>
      <w:tr w:rsidR="00F80E14" w:rsidRPr="00A83564" w14:paraId="5D7BD3A7" w14:textId="77777777" w:rsidTr="000A07F0">
        <w:trPr>
          <w:trHeight w:val="300"/>
        </w:trPr>
        <w:tc>
          <w:tcPr>
            <w:tcW w:w="5240"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636F312C" w14:textId="77777777" w:rsidR="00F80E14" w:rsidRPr="00A83564" w:rsidRDefault="00F80E14" w:rsidP="000A07F0">
            <w:pPr>
              <w:spacing w:after="0" w:line="240" w:lineRule="auto"/>
              <w:jc w:val="right"/>
              <w:rPr>
                <w:rFonts w:ascii="Overpass" w:eastAsia="Times New Roman" w:hAnsi="Overpass" w:cs="Calibri"/>
                <w:b/>
                <w:bCs/>
                <w:color w:val="000000"/>
                <w:sz w:val="18"/>
                <w:szCs w:val="18"/>
                <w:lang w:eastAsia="en-AU"/>
              </w:rPr>
            </w:pPr>
            <w:r w:rsidRPr="00A83564">
              <w:rPr>
                <w:rFonts w:ascii="Overpass" w:eastAsia="Times New Roman" w:hAnsi="Overpass" w:cs="Calibri"/>
                <w:b/>
                <w:bCs/>
                <w:color w:val="000000"/>
                <w:sz w:val="18"/>
                <w:szCs w:val="18"/>
                <w:lang w:eastAsia="en-AU"/>
              </w:rPr>
              <w:t>Total</w:t>
            </w:r>
          </w:p>
        </w:tc>
        <w:tc>
          <w:tcPr>
            <w:tcW w:w="1460" w:type="dxa"/>
            <w:tcBorders>
              <w:top w:val="nil"/>
              <w:left w:val="nil"/>
              <w:bottom w:val="single" w:sz="4" w:space="0" w:color="auto"/>
              <w:right w:val="single" w:sz="4" w:space="0" w:color="auto"/>
            </w:tcBorders>
            <w:shd w:val="clear" w:color="000000" w:fill="D9D9D9"/>
            <w:noWrap/>
            <w:vAlign w:val="center"/>
            <w:hideMark/>
          </w:tcPr>
          <w:p w14:paraId="3BBE5FA4" w14:textId="735F916E" w:rsidR="00F80E14" w:rsidRPr="00A83564" w:rsidRDefault="00F80E14" w:rsidP="000A07F0">
            <w:pPr>
              <w:spacing w:after="0" w:line="240" w:lineRule="auto"/>
              <w:jc w:val="right"/>
              <w:rPr>
                <w:rFonts w:ascii="Overpass" w:eastAsia="Times New Roman" w:hAnsi="Overpass" w:cs="Calibri"/>
                <w:b/>
                <w:bCs/>
                <w:color w:val="000000"/>
                <w:sz w:val="18"/>
                <w:szCs w:val="18"/>
                <w:lang w:eastAsia="en-AU"/>
              </w:rPr>
            </w:pPr>
            <w:r>
              <w:rPr>
                <w:rFonts w:ascii="Overpass" w:eastAsia="Times New Roman" w:hAnsi="Overpass" w:cs="Calibri"/>
                <w:b/>
                <w:bCs/>
                <w:color w:val="000000"/>
                <w:sz w:val="18"/>
                <w:szCs w:val="18"/>
                <w:lang w:eastAsia="en-AU"/>
              </w:rPr>
              <w:t>1</w:t>
            </w:r>
            <w:r w:rsidR="009549C1">
              <w:rPr>
                <w:rFonts w:ascii="Overpass" w:eastAsia="Times New Roman" w:hAnsi="Overpass" w:cs="Calibri"/>
                <w:b/>
                <w:bCs/>
                <w:color w:val="000000"/>
                <w:sz w:val="18"/>
                <w:szCs w:val="18"/>
                <w:lang w:eastAsia="en-AU"/>
              </w:rPr>
              <w:t>,</w:t>
            </w:r>
            <w:r>
              <w:rPr>
                <w:rFonts w:ascii="Overpass" w:eastAsia="Times New Roman" w:hAnsi="Overpass" w:cs="Calibri"/>
                <w:b/>
                <w:bCs/>
                <w:color w:val="000000"/>
                <w:sz w:val="18"/>
                <w:szCs w:val="18"/>
                <w:lang w:eastAsia="en-AU"/>
              </w:rPr>
              <w:t>013</w:t>
            </w:r>
          </w:p>
        </w:tc>
        <w:tc>
          <w:tcPr>
            <w:tcW w:w="1300" w:type="dxa"/>
            <w:tcBorders>
              <w:top w:val="nil"/>
              <w:left w:val="nil"/>
              <w:bottom w:val="single" w:sz="4" w:space="0" w:color="auto"/>
              <w:right w:val="single" w:sz="4" w:space="0" w:color="auto"/>
            </w:tcBorders>
            <w:shd w:val="clear" w:color="000000" w:fill="D9D9D9"/>
            <w:noWrap/>
            <w:vAlign w:val="center"/>
            <w:hideMark/>
          </w:tcPr>
          <w:p w14:paraId="1167FDAF" w14:textId="345B21D2" w:rsidR="00F80E14" w:rsidRPr="00A83564" w:rsidRDefault="00F80E14" w:rsidP="000A07F0">
            <w:pPr>
              <w:spacing w:after="0" w:line="240" w:lineRule="auto"/>
              <w:jc w:val="right"/>
              <w:rPr>
                <w:rFonts w:ascii="Overpass" w:eastAsia="Times New Roman" w:hAnsi="Overpass" w:cs="Calibri"/>
                <w:b/>
                <w:bCs/>
                <w:color w:val="000000"/>
                <w:sz w:val="18"/>
                <w:szCs w:val="18"/>
                <w:lang w:eastAsia="en-AU"/>
              </w:rPr>
            </w:pPr>
            <w:r>
              <w:rPr>
                <w:rFonts w:ascii="Overpass" w:eastAsia="Times New Roman" w:hAnsi="Overpass" w:cs="Calibri"/>
                <w:b/>
                <w:bCs/>
                <w:color w:val="000000"/>
                <w:sz w:val="18"/>
                <w:szCs w:val="18"/>
                <w:lang w:eastAsia="en-AU"/>
              </w:rPr>
              <w:t>13</w:t>
            </w:r>
            <w:r w:rsidR="009549C1">
              <w:rPr>
                <w:rFonts w:ascii="Overpass" w:eastAsia="Times New Roman" w:hAnsi="Overpass" w:cs="Calibri"/>
                <w:b/>
                <w:bCs/>
                <w:color w:val="000000"/>
                <w:sz w:val="18"/>
                <w:szCs w:val="18"/>
                <w:lang w:eastAsia="en-AU"/>
              </w:rPr>
              <w:t>,</w:t>
            </w:r>
            <w:r>
              <w:rPr>
                <w:rFonts w:ascii="Overpass" w:eastAsia="Times New Roman" w:hAnsi="Overpass" w:cs="Calibri"/>
                <w:b/>
                <w:bCs/>
                <w:color w:val="000000"/>
                <w:sz w:val="18"/>
                <w:szCs w:val="18"/>
                <w:lang w:eastAsia="en-AU"/>
              </w:rPr>
              <w:t>170</w:t>
            </w:r>
          </w:p>
        </w:tc>
      </w:tr>
    </w:tbl>
    <w:p w14:paraId="54FCF994" w14:textId="4C1FA07C" w:rsidR="00F80E14" w:rsidRPr="00D46261" w:rsidRDefault="00F80E14" w:rsidP="00E314E0">
      <w:pPr>
        <w:pStyle w:val="Heading4"/>
        <w:rPr>
          <w:b w:val="0"/>
          <w:szCs w:val="28"/>
        </w:rPr>
      </w:pPr>
      <w:bookmarkStart w:id="314" w:name="_Toc151040427"/>
      <w:r w:rsidRPr="25C11D02">
        <w:t xml:space="preserve">Future </w:t>
      </w:r>
      <w:r w:rsidR="00821950">
        <w:t>g</w:t>
      </w:r>
      <w:r w:rsidRPr="25C11D02">
        <w:t xml:space="preserve">rowth in SAS </w:t>
      </w:r>
      <w:r w:rsidR="00FD08E1">
        <w:t>p</w:t>
      </w:r>
      <w:r w:rsidRPr="25C11D02">
        <w:t>opulation</w:t>
      </w:r>
      <w:bookmarkEnd w:id="314"/>
    </w:p>
    <w:p w14:paraId="07FF8B72" w14:textId="2220CAA8" w:rsidR="00F80E14" w:rsidRDefault="00F80E14" w:rsidP="00F80E14">
      <w:r>
        <w:t xml:space="preserve">Any existing practitioners who have previously utilised the SAS B pathway and who now choose to use the SAS C pathway will generate a reduction in the existing regulatory burden. However, the number of prescribers who have utilised the SAS B pathway in the past (641) is minor compared to the number of estimated primacy care </w:t>
      </w:r>
      <w:r w:rsidR="004456A5">
        <w:t>practitioners</w:t>
      </w:r>
      <w:r>
        <w:t>. It is expected that the SAS C pathway will be more likely used by Nurse Practitioners (NP)</w:t>
      </w:r>
      <w:r w:rsidR="004456A5">
        <w:t>, and a</w:t>
      </w:r>
      <w:r>
        <w:t xml:space="preserve">s </w:t>
      </w:r>
      <w:r w:rsidR="00E314F7">
        <w:t>of</w:t>
      </w:r>
      <w:r>
        <w:t xml:space="preserve"> 30 June 2023, there were 2656 endorsed NPs in Australia.</w:t>
      </w:r>
      <w:r>
        <w:rPr>
          <w:rStyle w:val="FootnoteReference"/>
        </w:rPr>
        <w:footnoteReference w:id="115"/>
      </w:r>
      <w:r>
        <w:t xml:space="preserve"> Over the course of the ten-year default period for the regulatory costing the total number of NPs using the SAS C pathway is expected to rise to 5% (n=133). The current number of NP utilising the SAS B pathway is 17, so this represents an increase of 116 (or 12 per year). This increase in population is not material to the overall regulatory costing and any increase in regulatory costing is likely counterbalanced by a reduction in regulatory burden arising from the shifting from the SAS B to SAS C pathways. </w:t>
      </w:r>
    </w:p>
    <w:p w14:paraId="0586B7EE" w14:textId="77777777" w:rsidR="00F80E14" w:rsidRPr="00D83941" w:rsidRDefault="00F80E14" w:rsidP="00821950">
      <w:pPr>
        <w:pStyle w:val="Heading5"/>
        <w:rPr>
          <w:rFonts w:eastAsia="Batang"/>
          <w:i/>
          <w:iCs/>
        </w:rPr>
      </w:pPr>
      <w:r w:rsidRPr="00D83941">
        <w:rPr>
          <w:rFonts w:eastAsia="Batang"/>
          <w:i/>
          <w:iCs/>
        </w:rPr>
        <w:t>Key assumptions</w:t>
      </w:r>
    </w:p>
    <w:p w14:paraId="1C4ACADA" w14:textId="7656BB3F" w:rsidR="00F80E14" w:rsidRPr="00BB49E2" w:rsidRDefault="00F80E14" w:rsidP="00467EDD">
      <w:pPr>
        <w:pStyle w:val="Bullet1"/>
        <w:numPr>
          <w:ilvl w:val="0"/>
          <w:numId w:val="91"/>
        </w:numPr>
      </w:pPr>
      <w:r w:rsidRPr="00BB49E2">
        <w:t xml:space="preserve">It is estimated that once the regulatory changes are in place the number of APs will grow by 10% in the first year (based on more confidence by </w:t>
      </w:r>
      <w:r w:rsidR="004456A5" w:rsidRPr="00BB49E2">
        <w:t xml:space="preserve">prescribers </w:t>
      </w:r>
      <w:r w:rsidRPr="00BB49E2">
        <w:t>in the new regulatory regime and pressure from patients) and then 2% per year thereafter. This equates to an additional 691 APs over the 10-year default period for the regulatory costing.</w:t>
      </w:r>
    </w:p>
    <w:p w14:paraId="7C54D92B" w14:textId="77777777" w:rsidR="00F80E14" w:rsidRPr="00BB49E2" w:rsidRDefault="00F80E14" w:rsidP="00467EDD">
      <w:pPr>
        <w:pStyle w:val="Bullet1"/>
        <w:numPr>
          <w:ilvl w:val="0"/>
          <w:numId w:val="91"/>
        </w:numPr>
      </w:pPr>
      <w:r w:rsidRPr="00BB49E2">
        <w:t xml:space="preserve">It is assumed that additional APs are neither familiar with the AP process nor have an existing AP account with the TGA, as previously users of the AP pathway were likely early adopted for using this pathway to prescribe nicotine vapes. </w:t>
      </w:r>
    </w:p>
    <w:p w14:paraId="5E1C4DDD" w14:textId="77777777" w:rsidR="00F80E14" w:rsidRPr="00BB49E2" w:rsidRDefault="00F80E14" w:rsidP="00467EDD">
      <w:pPr>
        <w:pStyle w:val="Bullet1"/>
        <w:numPr>
          <w:ilvl w:val="0"/>
          <w:numId w:val="91"/>
        </w:numPr>
      </w:pPr>
      <w:r w:rsidRPr="00BB49E2">
        <w:t xml:space="preserve">Current SAS B pathway users will likely switch over to the SAS C pathway and while some growth is expected in the number of NPs who will be using the SAS C pathway, given the time savings arising from using the SAS C rather than the SAS B pathway, the additional regulatory burden is expected to minimal and is not material to this regulatory costing. </w:t>
      </w:r>
    </w:p>
    <w:p w14:paraId="7EE4123D" w14:textId="77777777" w:rsidR="00F80E14" w:rsidRPr="00BB49E2" w:rsidRDefault="00F80E14" w:rsidP="00467EDD">
      <w:pPr>
        <w:pStyle w:val="Bullet1"/>
        <w:numPr>
          <w:ilvl w:val="0"/>
          <w:numId w:val="91"/>
        </w:numPr>
      </w:pPr>
      <w:r w:rsidRPr="00BB49E2">
        <w:t>The growth in nicotine vape prescriptions will almost entirely be met using the AP pathway, until and unless a vape is registered on the ARTG</w:t>
      </w:r>
      <w:r w:rsidRPr="00BB49E2" w:rsidDel="000D7921">
        <w:t>.</w:t>
      </w:r>
    </w:p>
    <w:p w14:paraId="0E9CB123" w14:textId="77777777" w:rsidR="00F80E14" w:rsidRPr="007A79F1" w:rsidRDefault="00F80E14" w:rsidP="00821950">
      <w:pPr>
        <w:pStyle w:val="Heading5"/>
        <w:rPr>
          <w:i/>
          <w:iCs/>
        </w:rPr>
      </w:pPr>
      <w:r w:rsidRPr="007A79F1">
        <w:rPr>
          <w:i/>
          <w:iCs/>
        </w:rPr>
        <w:t>Inputs</w:t>
      </w:r>
    </w:p>
    <w:p w14:paraId="2C4452AC" w14:textId="14DE572D" w:rsidR="00F80E14" w:rsidRPr="004456A5" w:rsidRDefault="00F80E14" w:rsidP="00467EDD">
      <w:pPr>
        <w:pStyle w:val="Bullet1"/>
        <w:numPr>
          <w:ilvl w:val="0"/>
          <w:numId w:val="92"/>
        </w:numPr>
      </w:pPr>
      <w:r w:rsidRPr="004456A5">
        <w:t>Number of additional GPs using the AP pathway (over the 10-year period) = 1</w:t>
      </w:r>
      <w:r w:rsidR="00B43A65">
        <w:t>,</w:t>
      </w:r>
      <w:r w:rsidRPr="004456A5">
        <w:t>013</w:t>
      </w:r>
      <w:r w:rsidR="00633D89">
        <w:t>.</w:t>
      </w:r>
    </w:p>
    <w:p w14:paraId="54246AD9" w14:textId="12E7414B" w:rsidR="00F80E14" w:rsidRPr="004456A5" w:rsidRDefault="00F80E14" w:rsidP="00467EDD">
      <w:pPr>
        <w:pStyle w:val="Bullet1"/>
        <w:numPr>
          <w:ilvl w:val="0"/>
          <w:numId w:val="92"/>
        </w:numPr>
      </w:pPr>
      <w:r w:rsidRPr="004456A5">
        <w:lastRenderedPageBreak/>
        <w:t>Time to become familiar with AP pathway, create account and submit application (one-off) = 20 minutes</w:t>
      </w:r>
      <w:r w:rsidR="00633D89">
        <w:t>.</w:t>
      </w:r>
    </w:p>
    <w:p w14:paraId="1423E2EC" w14:textId="1EA161A1" w:rsidR="00F80E14" w:rsidRPr="004456A5" w:rsidRDefault="00F80E14" w:rsidP="00467EDD">
      <w:pPr>
        <w:pStyle w:val="Bullet1"/>
        <w:numPr>
          <w:ilvl w:val="0"/>
          <w:numId w:val="92"/>
        </w:numPr>
      </w:pPr>
      <w:r w:rsidRPr="004456A5">
        <w:t>Number of additional AP reports submitted (over the 10-year period) = 13</w:t>
      </w:r>
      <w:r w:rsidR="00B43A65">
        <w:t>,</w:t>
      </w:r>
      <w:r w:rsidRPr="004456A5">
        <w:t>170</w:t>
      </w:r>
      <w:r w:rsidR="00633D89">
        <w:t>.</w:t>
      </w:r>
      <w:r w:rsidRPr="004456A5">
        <w:t xml:space="preserve"> </w:t>
      </w:r>
    </w:p>
    <w:p w14:paraId="3FC53447" w14:textId="1118F861" w:rsidR="00F80E14" w:rsidRPr="004456A5" w:rsidRDefault="00F80E14" w:rsidP="00467EDD">
      <w:pPr>
        <w:pStyle w:val="Bullet1"/>
        <w:numPr>
          <w:ilvl w:val="0"/>
          <w:numId w:val="92"/>
        </w:numPr>
      </w:pPr>
      <w:r w:rsidRPr="004456A5">
        <w:t>Compile and submit an AP report = 10 minutes</w:t>
      </w:r>
      <w:r w:rsidR="00633D89">
        <w:t>.</w:t>
      </w:r>
    </w:p>
    <w:p w14:paraId="0B7358A5" w14:textId="5AB91374" w:rsidR="00F80E14" w:rsidRPr="004456A5" w:rsidRDefault="00F80E14" w:rsidP="00467EDD">
      <w:pPr>
        <w:pStyle w:val="Bullet1"/>
        <w:numPr>
          <w:ilvl w:val="0"/>
          <w:numId w:val="92"/>
        </w:numPr>
      </w:pPr>
      <w:r w:rsidRPr="004456A5">
        <w:t>Hourly work-related labour cost for GPs = $146.09</w:t>
      </w:r>
      <w:r w:rsidR="00633D89">
        <w:t>.</w:t>
      </w:r>
    </w:p>
    <w:p w14:paraId="631C650A" w14:textId="77777777" w:rsidR="00F80E14" w:rsidRPr="00A45C74" w:rsidRDefault="00F80E14" w:rsidP="00F80E14">
      <w:pPr>
        <w:pStyle w:val="Heading5"/>
        <w:rPr>
          <w:rFonts w:eastAsia="Batang"/>
        </w:rPr>
      </w:pPr>
      <w:r w:rsidRPr="00A45C74">
        <w:rPr>
          <w:rFonts w:eastAsia="Batang"/>
        </w:rPr>
        <w:t>Regulatory costing</w:t>
      </w:r>
    </w:p>
    <w:p w14:paraId="535D2C30" w14:textId="77777777" w:rsidR="00F80E14" w:rsidRDefault="00F80E14" w:rsidP="009510B5">
      <w:r>
        <w:t xml:space="preserve">Note while figures are shown as rounded, the actual rounding occurs only in the final step. </w:t>
      </w:r>
    </w:p>
    <w:p w14:paraId="38751B6F" w14:textId="77777777" w:rsidR="00F80E14" w:rsidRDefault="00F80E14" w:rsidP="009510B5">
      <w:r w:rsidRPr="000C4377">
        <w:t>Step 1</w:t>
      </w:r>
      <w:r w:rsidRPr="00CA0992">
        <w:t>. Calculate total time in minutes to fulfil regulatory requirement:</w:t>
      </w:r>
      <w:r>
        <w:t xml:space="preserve"> </w:t>
      </w:r>
    </w:p>
    <w:p w14:paraId="7FAA3DAC" w14:textId="77777777" w:rsidR="00F80E14" w:rsidRPr="004456A5" w:rsidRDefault="00F80E14" w:rsidP="009510B5">
      <w:pPr>
        <w:pStyle w:val="Bullet1"/>
      </w:pPr>
      <w:r w:rsidRPr="004456A5">
        <w:t xml:space="preserve">One-off activities: </w:t>
      </w:r>
    </w:p>
    <w:p w14:paraId="410CF335" w14:textId="524A2B2B" w:rsidR="00F80E14" w:rsidRPr="004456A5" w:rsidRDefault="00F80E14" w:rsidP="00467EDD">
      <w:pPr>
        <w:pStyle w:val="Bullet1"/>
        <w:numPr>
          <w:ilvl w:val="0"/>
          <w:numId w:val="93"/>
        </w:numPr>
      </w:pPr>
      <w:r w:rsidRPr="004456A5">
        <w:t>Familiarisation, account creation and AP application: Additional AP population (1013) x familiarisation training et al (20 minutes) = 20,260 minutes</w:t>
      </w:r>
      <w:r w:rsidR="00633D89">
        <w:t>.</w:t>
      </w:r>
    </w:p>
    <w:p w14:paraId="28DB1EAF" w14:textId="77777777" w:rsidR="00F80E14" w:rsidRPr="001C6AF1" w:rsidRDefault="00F80E14" w:rsidP="00467EDD">
      <w:pPr>
        <w:pStyle w:val="Bullet1"/>
        <w:numPr>
          <w:ilvl w:val="0"/>
          <w:numId w:val="93"/>
        </w:numPr>
      </w:pPr>
      <w:r w:rsidRPr="001C6AF1">
        <w:t xml:space="preserve">Aggregated activities (over 10-year period): </w:t>
      </w:r>
    </w:p>
    <w:p w14:paraId="7934DEA9" w14:textId="74B1910C" w:rsidR="00F80E14" w:rsidRPr="004456A5" w:rsidRDefault="00F80E14" w:rsidP="00467EDD">
      <w:pPr>
        <w:pStyle w:val="Bullet1"/>
        <w:numPr>
          <w:ilvl w:val="0"/>
          <w:numId w:val="93"/>
        </w:numPr>
      </w:pPr>
      <w:r w:rsidRPr="004456A5">
        <w:t>Compile AP reports = Additional AP reports (13,170) x report compilation and submission (10 mins) = 131,700 minutes</w:t>
      </w:r>
      <w:r w:rsidR="00633D89">
        <w:t>.</w:t>
      </w:r>
    </w:p>
    <w:p w14:paraId="7C4EF758" w14:textId="77777777" w:rsidR="00F80E14" w:rsidRPr="00CA0992" w:rsidRDefault="00F80E14" w:rsidP="00F80E14">
      <w:pPr>
        <w:shd w:val="clear" w:color="auto" w:fill="FFFFFF" w:themeFill="background1"/>
      </w:pPr>
      <w:r w:rsidRPr="000C4377">
        <w:t>Step 2</w:t>
      </w:r>
      <w:r w:rsidRPr="00CA0992">
        <w:t>. Calculate total time in hours to fulfil regulatory requirement</w:t>
      </w:r>
      <w:r>
        <w:t xml:space="preserve">: </w:t>
      </w:r>
    </w:p>
    <w:p w14:paraId="7C73F835" w14:textId="4C655A7E" w:rsidR="00F80E14" w:rsidRPr="004456A5" w:rsidRDefault="00F80E14" w:rsidP="00746795">
      <w:pPr>
        <w:pStyle w:val="Bullet1"/>
        <w:numPr>
          <w:ilvl w:val="0"/>
          <w:numId w:val="94"/>
        </w:numPr>
      </w:pPr>
      <w:r w:rsidRPr="004456A5">
        <w:t>One-off: 20,260/60 = 337.67 hours</w:t>
      </w:r>
      <w:r w:rsidR="00633D89">
        <w:t>.</w:t>
      </w:r>
    </w:p>
    <w:p w14:paraId="0805F23B" w14:textId="5700BFB7" w:rsidR="00F80E14" w:rsidRPr="004456A5" w:rsidRDefault="00F80E14" w:rsidP="00467EDD">
      <w:pPr>
        <w:pStyle w:val="Bullet1"/>
        <w:numPr>
          <w:ilvl w:val="0"/>
          <w:numId w:val="94"/>
        </w:numPr>
      </w:pPr>
      <w:r w:rsidRPr="004456A5">
        <w:t>Aggregated activities: = 131,700/60 = 2,195 hours</w:t>
      </w:r>
      <w:r w:rsidR="00633D89">
        <w:t>.</w:t>
      </w:r>
    </w:p>
    <w:p w14:paraId="672A8757" w14:textId="77777777" w:rsidR="00F80E14" w:rsidRDefault="00F80E14" w:rsidP="00F80E14">
      <w:r w:rsidRPr="000C4377">
        <w:t>Step 3</w:t>
      </w:r>
      <w:r w:rsidRPr="00CA0992">
        <w:t>. Apply the hourly rate to determine overall regulatory compliance cost:</w:t>
      </w:r>
      <w:r>
        <w:t xml:space="preserve"> </w:t>
      </w:r>
    </w:p>
    <w:p w14:paraId="65970080" w14:textId="0BC470BC" w:rsidR="00F80E14" w:rsidRPr="004456A5" w:rsidRDefault="00F80E14" w:rsidP="00467EDD">
      <w:pPr>
        <w:pStyle w:val="Bullet1"/>
        <w:numPr>
          <w:ilvl w:val="0"/>
          <w:numId w:val="94"/>
        </w:numPr>
      </w:pPr>
      <w:r w:rsidRPr="004456A5">
        <w:t>One off: 337.67 hours x hourly rate ($146.09) = $49,329.72</w:t>
      </w:r>
      <w:r w:rsidR="00633D89">
        <w:t>.</w:t>
      </w:r>
      <w:r w:rsidRPr="004456A5">
        <w:t xml:space="preserve"> </w:t>
      </w:r>
    </w:p>
    <w:p w14:paraId="6CFB1DEA" w14:textId="095E6270" w:rsidR="00F80E14" w:rsidRPr="004456A5" w:rsidRDefault="00F80E14" w:rsidP="00467EDD">
      <w:pPr>
        <w:pStyle w:val="Bullet1"/>
        <w:numPr>
          <w:ilvl w:val="0"/>
          <w:numId w:val="94"/>
        </w:numPr>
      </w:pPr>
      <w:r w:rsidRPr="004456A5">
        <w:t>Aggregated activities: 2,195 hours x hourly rate ($146.09) = $320,618.85</w:t>
      </w:r>
      <w:r w:rsidR="00633D89">
        <w:t>.</w:t>
      </w:r>
      <w:r w:rsidRPr="004456A5">
        <w:t xml:space="preserve"> </w:t>
      </w:r>
    </w:p>
    <w:p w14:paraId="78B79E07" w14:textId="77777777" w:rsidR="00F80E14" w:rsidRPr="00024474" w:rsidRDefault="00F80E14" w:rsidP="00F80E14">
      <w:pPr>
        <w:shd w:val="clear" w:color="auto" w:fill="FFFFFF" w:themeFill="background1"/>
      </w:pPr>
      <w:r>
        <w:t xml:space="preserve">Step 4. </w:t>
      </w:r>
      <w:r w:rsidRPr="00024474">
        <w:t>Determine the average annual cost over the ten-year default period for regulatory changes</w:t>
      </w:r>
      <w:r>
        <w:t>:</w:t>
      </w:r>
    </w:p>
    <w:p w14:paraId="373674D8" w14:textId="1D56E0CE" w:rsidR="00F80E14" w:rsidRPr="004456A5" w:rsidRDefault="00F80E14" w:rsidP="00467EDD">
      <w:pPr>
        <w:pStyle w:val="Bullet1"/>
        <w:numPr>
          <w:ilvl w:val="0"/>
          <w:numId w:val="95"/>
        </w:numPr>
      </w:pPr>
      <w:r w:rsidRPr="004456A5">
        <w:t>4,932.97 ($49,329.72 /10) (one-off costs) + $32,061.89 ($320,618.85/10) (aggregated costs) = $36,994.86</w:t>
      </w:r>
      <w:r w:rsidR="00633D89">
        <w:t>.</w:t>
      </w:r>
    </w:p>
    <w:p w14:paraId="3F2D5783" w14:textId="77777777" w:rsidR="00F80E14" w:rsidRPr="004E7A49" w:rsidRDefault="00F80E14" w:rsidP="00F80E14">
      <w:pPr>
        <w:pStyle w:val="Bullet1"/>
        <w:rPr>
          <w:highlight w:val="yellow"/>
        </w:rPr>
      </w:pPr>
      <w:r>
        <w:rPr>
          <w:b/>
          <w:bCs/>
        </w:rPr>
        <w:t>Average a</w:t>
      </w:r>
      <w:r w:rsidRPr="00D87184">
        <w:rPr>
          <w:b/>
          <w:bCs/>
        </w:rPr>
        <w:t xml:space="preserve">nnual cost: </w:t>
      </w:r>
      <w:r>
        <w:rPr>
          <w:b/>
          <w:bCs/>
        </w:rPr>
        <w:t>$</w:t>
      </w:r>
      <w:r w:rsidRPr="003774A6">
        <w:rPr>
          <w:b/>
          <w:bCs/>
        </w:rPr>
        <w:t>36,994.86</w:t>
      </w:r>
    </w:p>
    <w:p w14:paraId="49831CA6" w14:textId="77777777" w:rsidR="00F80E14" w:rsidRDefault="00F80E14" w:rsidP="00F80E14">
      <w:pPr>
        <w:pBdr>
          <w:top w:val="single" w:sz="4" w:space="1" w:color="auto"/>
          <w:left w:val="single" w:sz="4" w:space="4" w:color="auto"/>
          <w:bottom w:val="single" w:sz="4" w:space="1" w:color="auto"/>
          <w:right w:val="single" w:sz="4" w:space="4" w:color="auto"/>
        </w:pBdr>
        <w:shd w:val="clear" w:color="auto" w:fill="FFFF00"/>
      </w:pPr>
      <w:r>
        <w:t xml:space="preserve">Average cost per year for medical practitioners (businesses) over the default ten-year period under the regulatory burden framework measurement = </w:t>
      </w:r>
      <w:r w:rsidRPr="00894F86">
        <w:rPr>
          <w:b/>
        </w:rPr>
        <w:t>$36,994.86</w:t>
      </w:r>
      <w:r w:rsidRPr="00103FE9">
        <w:rPr>
          <w:b/>
          <w:bCs/>
        </w:rPr>
        <w:t>.</w:t>
      </w:r>
      <w:r>
        <w:t xml:space="preserve"> </w:t>
      </w:r>
    </w:p>
    <w:p w14:paraId="7836B42A" w14:textId="77777777" w:rsidR="00F80E14" w:rsidRDefault="00F80E14" w:rsidP="005D3847">
      <w:pPr>
        <w:pStyle w:val="Heading3"/>
      </w:pPr>
      <w:bookmarkStart w:id="315" w:name="_Toc147384329"/>
      <w:bookmarkStart w:id="316" w:name="_Toc151040428"/>
      <w:r>
        <w:t xml:space="preserve">Impact on </w:t>
      </w:r>
      <w:r w:rsidRPr="005D3847">
        <w:t>pharmacists</w:t>
      </w:r>
      <w:bookmarkEnd w:id="315"/>
      <w:bookmarkEnd w:id="316"/>
    </w:p>
    <w:p w14:paraId="65AA9C94" w14:textId="77777777" w:rsidR="00F80E14" w:rsidRDefault="00F80E14" w:rsidP="005D3847">
      <w:pPr>
        <w:pStyle w:val="Heading4"/>
      </w:pPr>
      <w:bookmarkStart w:id="317" w:name="_Toc147384330"/>
      <w:bookmarkStart w:id="318" w:name="_Toc151040429"/>
      <w:r w:rsidRPr="005D3847">
        <w:t>Overview</w:t>
      </w:r>
      <w:bookmarkEnd w:id="317"/>
      <w:bookmarkEnd w:id="318"/>
    </w:p>
    <w:p w14:paraId="5D45B434" w14:textId="77777777" w:rsidR="00F80E14" w:rsidRDefault="00F80E14" w:rsidP="00F80E14">
      <w:r w:rsidRPr="00D44A48">
        <w:t>As per the impact on medical practitioners, most of the proposed regulatory measures that comprise Option 3 would not have a direct regulatory impact on pharmacists, but indirectly the changes will lead to a significant shifting of consumer behaviour from illegal to legal channels and therefore increase demand for</w:t>
      </w:r>
      <w:r>
        <w:t xml:space="preserve"> obtaining nicotine vapes under prescription through a pharmacy. In particular,  </w:t>
      </w:r>
    </w:p>
    <w:p w14:paraId="561F11F2" w14:textId="77777777" w:rsidR="00F80E14" w:rsidRPr="00BB49E2" w:rsidRDefault="00F80E14" w:rsidP="00C22C02">
      <w:pPr>
        <w:pStyle w:val="Bullet1"/>
        <w:ind w:left="720"/>
      </w:pPr>
      <w:r w:rsidRPr="00C22C02">
        <w:rPr>
          <w:b/>
        </w:rPr>
        <w:t>Measure 1</w:t>
      </w:r>
      <w:r w:rsidRPr="00BB49E2">
        <w:rPr>
          <w:b/>
          <w:bCs/>
        </w:rPr>
        <w:t>.</w:t>
      </w:r>
      <w:r w:rsidRPr="00BB49E2">
        <w:t xml:space="preserve"> The restrictions on importation, manufacture, and supply of all vapes will indirectly but significantly increase the demand for pharmacists to understand dispensing of this new product range. As vapes are currently unapproved goods, the mechanism to access vapes is more onerous than for approved prescription medicines. </w:t>
      </w:r>
    </w:p>
    <w:p w14:paraId="01004FB4" w14:textId="77777777" w:rsidR="00F80E14" w:rsidRPr="00BB49E2" w:rsidRDefault="00F80E14" w:rsidP="00C22C02">
      <w:pPr>
        <w:pStyle w:val="Bullet1"/>
        <w:ind w:left="720"/>
      </w:pPr>
      <w:r w:rsidRPr="00C22C02">
        <w:rPr>
          <w:b/>
        </w:rPr>
        <w:t>Measure 2</w:t>
      </w:r>
      <w:r w:rsidRPr="00BB49E2">
        <w:rPr>
          <w:b/>
          <w:bCs/>
        </w:rPr>
        <w:t xml:space="preserve">. </w:t>
      </w:r>
      <w:r w:rsidRPr="00BB49E2">
        <w:t>The measures will not significantly impact pharmacy supply, as they relate to the consultation and prescribing pathways for vapes.</w:t>
      </w:r>
    </w:p>
    <w:p w14:paraId="03FE5741" w14:textId="77777777" w:rsidR="00F80E14" w:rsidRPr="00BB49E2" w:rsidRDefault="00F80E14" w:rsidP="00C22C02">
      <w:pPr>
        <w:pStyle w:val="Bullet1"/>
        <w:ind w:left="720"/>
      </w:pPr>
      <w:r w:rsidRPr="00C22C02">
        <w:rPr>
          <w:b/>
        </w:rPr>
        <w:lastRenderedPageBreak/>
        <w:t>Measure 3</w:t>
      </w:r>
      <w:r w:rsidRPr="00BB49E2">
        <w:rPr>
          <w:b/>
          <w:bCs/>
        </w:rPr>
        <w:t>.</w:t>
      </w:r>
      <w:r w:rsidRPr="00BB49E2">
        <w:t xml:space="preserve"> The heightened requirements around the quality and safety of vapes will have no direct regulatory impact on pharmacists.</w:t>
      </w:r>
    </w:p>
    <w:p w14:paraId="4F660831" w14:textId="77777777" w:rsidR="00F80E14" w:rsidRDefault="00F80E14" w:rsidP="000B5D2F">
      <w:r>
        <w:t xml:space="preserve">A pharmacist cannot dispense stock of any unapproved Schedule 4 (prescription only) medicine unless it has been approved for supply via a TGA approved pathway, subject also to state and territory legislation, noting some jurisdictions have technical restrictions on the ability to ‘wholesale’ unapproved medicines. For this to occur, the pharmacist must confirm that the prescriber is authorised by the TGA to prescribe the specific medicine. This is accomplished by the pharmacist viewing documentary evidence from the prescriber of their authority to prescribe. </w:t>
      </w:r>
    </w:p>
    <w:p w14:paraId="18553240" w14:textId="581E6318" w:rsidR="00F80E14" w:rsidRDefault="00F80E14" w:rsidP="000B5D2F">
      <w:r w:rsidRPr="00BD7725">
        <w:t xml:space="preserve">Pharmacies may obtain </w:t>
      </w:r>
      <w:r>
        <w:t>nicotine vapes and hold them in their dispensary</w:t>
      </w:r>
      <w:r w:rsidRPr="00BD7725">
        <w:t xml:space="preserve"> prior to receiving prescriptions issued </w:t>
      </w:r>
      <w:r>
        <w:t>under</w:t>
      </w:r>
      <w:r w:rsidRPr="00BD7725">
        <w:t xml:space="preserve"> AP or </w:t>
      </w:r>
      <w:r>
        <w:t>SAS provisions</w:t>
      </w:r>
      <w:r w:rsidRPr="00BD7725">
        <w:t xml:space="preserve">. </w:t>
      </w:r>
      <w:r>
        <w:t>The current TGA advice to pharmacists is that if sourcing nicotine e-liquid from an Australian sponsor or pharmaceutical wholesaler, they should make inquiries ‘</w:t>
      </w:r>
      <w:r w:rsidRPr="005312A5">
        <w:t>about conformance to TGO 110 prior to ordering the products</w:t>
      </w:r>
      <w:r w:rsidR="00B438CF">
        <w:t>.</w:t>
      </w:r>
      <w:r>
        <w:rPr>
          <w:rStyle w:val="FootnoteReference"/>
        </w:rPr>
        <w:footnoteReference w:id="116"/>
      </w:r>
      <w:r w:rsidRPr="005312A5">
        <w:t xml:space="preserve"> You should only dispense products that conform to the requirements of TGO 110</w:t>
      </w:r>
      <w:r>
        <w:t>,</w:t>
      </w:r>
      <w:r>
        <w:rPr>
          <w:rStyle w:val="FootnoteReference"/>
        </w:rPr>
        <w:footnoteReference w:id="117"/>
      </w:r>
      <w:r>
        <w:t xml:space="preserve"> and if sourcing directly from overseas suppliers, then the pharmacist would be considered the Australian sponsor and be primarily responsible for ensuring the products conform to the requirements of TGO 110.</w:t>
      </w:r>
      <w:r>
        <w:rPr>
          <w:rStyle w:val="FootnoteReference"/>
        </w:rPr>
        <w:footnoteReference w:id="118"/>
      </w:r>
      <w:r>
        <w:t xml:space="preserve"> Under the proposed regulatory changes, this checking by pharmacist will no longer be needed, as import will be dependent on compliance with TGO 110. </w:t>
      </w:r>
    </w:p>
    <w:p w14:paraId="177591CD" w14:textId="39771163" w:rsidR="00F80E14" w:rsidRDefault="00F80E14" w:rsidP="000B5D2F">
      <w:r>
        <w:t xml:space="preserve">The baseline regulatory burden for pharmacists is relatively low, relating only to increased engagement to fill prescriptions. Pharmacists are already familiar with </w:t>
      </w:r>
      <w:r w:rsidR="00E90318">
        <w:t>vapes</w:t>
      </w:r>
      <w:r>
        <w:t xml:space="preserve"> under the current regime, as well as any associated training already required.   </w:t>
      </w:r>
    </w:p>
    <w:p w14:paraId="53B9027D" w14:textId="77777777" w:rsidR="00F80E14" w:rsidRDefault="00F80E14" w:rsidP="000B5D2F">
      <w:pPr>
        <w:pStyle w:val="Heading3"/>
      </w:pPr>
      <w:bookmarkStart w:id="319" w:name="_Toc133525191"/>
      <w:bookmarkStart w:id="320" w:name="_Toc133915642"/>
      <w:bookmarkStart w:id="321" w:name="_Toc145668136"/>
      <w:bookmarkStart w:id="322" w:name="_Toc147384331"/>
      <w:bookmarkStart w:id="323" w:name="_Toc151040430"/>
      <w:r w:rsidRPr="000B5D2F">
        <w:t>Changes</w:t>
      </w:r>
      <w:r>
        <w:t xml:space="preserve"> to the regulatory burden</w:t>
      </w:r>
      <w:bookmarkEnd w:id="319"/>
      <w:bookmarkEnd w:id="320"/>
      <w:bookmarkEnd w:id="321"/>
      <w:bookmarkEnd w:id="322"/>
      <w:bookmarkEnd w:id="323"/>
    </w:p>
    <w:p w14:paraId="7BA161E7" w14:textId="77777777" w:rsidR="00F80E14" w:rsidRDefault="00F80E14" w:rsidP="00DB7BBD">
      <w:r>
        <w:t>Unverified data indicates that at least a third and potentially as high as half of all community pharmacies in Australia stock nicotine e-liquid.</w:t>
      </w:r>
      <w:r>
        <w:rPr>
          <w:rStyle w:val="FootnoteReference"/>
        </w:rPr>
        <w:footnoteReference w:id="119"/>
      </w:r>
      <w:r>
        <w:t xml:space="preserve"> The expected increase in prescriptions for nicotine vapes (450,000 additional prescriptions per year) will translate into increased volume of supply of nicotine vapes by pharmacies as, under the implementation of the proposed regulatory changes, they will be the only legal avenue of domestic supply. Evidence provided by wholesalers in response to the September 2023 consultation paper indicates that while nicotine vapes may be widely stocked across community pharmacies, actual sales are low and much smaller than the number of unique prescriptions made for nicotine vaping. This suggests that many patients with a prescription are currently purchasing from an overseas online supplier, relying on the provisions of the Personal Importation Scheme. </w:t>
      </w:r>
    </w:p>
    <w:p w14:paraId="7935DBB7" w14:textId="77777777" w:rsidR="00F80E14" w:rsidRDefault="00F80E14" w:rsidP="00DB7BBD">
      <w:r>
        <w:t>An output from the implementation of Measure 3 will be publication by the TGA of a list vapes that have been certified as compliant with quality requirements. The publication of this list would simplify the TGO 110 conformance activity undertaken by community pharmacies.</w:t>
      </w:r>
    </w:p>
    <w:p w14:paraId="223B04FA" w14:textId="20CC6810" w:rsidR="00F80E14" w:rsidRDefault="00F80E14" w:rsidP="00DB7BBD">
      <w:r>
        <w:lastRenderedPageBreak/>
        <w:t>Under the Pharmaceutical Society of Australia’s Code of Ethics for Pharmacists</w:t>
      </w:r>
      <w:r w:rsidR="00B438CF">
        <w:t>,</w:t>
      </w:r>
      <w:r>
        <w:rPr>
          <w:rStyle w:val="FootnoteReference"/>
        </w:rPr>
        <w:footnoteReference w:id="120"/>
      </w:r>
      <w:r>
        <w:t xml:space="preserve"> Care Principle 1 states that ‘a pharmacist makes the health and wellbeing of the patient their first priority’. Under this principle a pharmacist, ‘before recommending a therapeutic product, considers available evidence and supports the patient to make an informed choice and only supplies a product when satisfied that it is appropriate, and the person understands how to use it correctly’. To this end, pharmacists should have already completed training to become familiar with the risks of vapes and the safe operation of various vaping devices. </w:t>
      </w:r>
    </w:p>
    <w:p w14:paraId="4D3AAA49" w14:textId="77777777" w:rsidR="00F80E14" w:rsidRPr="00D83941" w:rsidRDefault="00F80E14" w:rsidP="00DB7BBD">
      <w:pPr>
        <w:pStyle w:val="Heading5"/>
        <w:rPr>
          <w:rFonts w:eastAsia="Batang"/>
          <w:i/>
          <w:iCs/>
        </w:rPr>
      </w:pPr>
      <w:r w:rsidRPr="00D83941">
        <w:rPr>
          <w:rFonts w:eastAsia="Batang"/>
          <w:i/>
          <w:iCs/>
        </w:rPr>
        <w:t>Key assumptions</w:t>
      </w:r>
    </w:p>
    <w:p w14:paraId="5EA38696" w14:textId="77777777" w:rsidR="00F80E14" w:rsidRPr="004456A5" w:rsidRDefault="00F80E14" w:rsidP="00467EDD">
      <w:pPr>
        <w:pStyle w:val="Bullet1"/>
        <w:numPr>
          <w:ilvl w:val="0"/>
          <w:numId w:val="96"/>
        </w:numPr>
      </w:pPr>
      <w:r w:rsidRPr="004456A5">
        <w:t xml:space="preserve">All practising Australian pharmacists should already be familiar with dispensing nicotine vapes, and a standard training program is in place to maintain knowledge of therapeutic vapes as they become available. </w:t>
      </w:r>
    </w:p>
    <w:p w14:paraId="426F210D" w14:textId="77777777" w:rsidR="00F80E14" w:rsidRDefault="00F80E14" w:rsidP="00467EDD">
      <w:pPr>
        <w:pStyle w:val="Bullet1"/>
        <w:numPr>
          <w:ilvl w:val="0"/>
          <w:numId w:val="96"/>
        </w:numPr>
      </w:pPr>
      <w:r w:rsidRPr="004456A5">
        <w:t>For each nicotine vape dispensed a pharmacist will spend on average 1 minute engaging with the consumer about the risks and safe operation of a vape. This is an average figure because some consumers will be familiar with vapes while others will not and will therefore require more detailed advice from the pharmacist.</w:t>
      </w:r>
      <w:r>
        <w:t xml:space="preserve"> </w:t>
      </w:r>
    </w:p>
    <w:p w14:paraId="3C53D387" w14:textId="77777777" w:rsidR="00F80E14" w:rsidRPr="00D83941" w:rsidRDefault="00F80E14" w:rsidP="00F80E14">
      <w:pPr>
        <w:pStyle w:val="Heading5"/>
        <w:rPr>
          <w:i/>
          <w:iCs/>
        </w:rPr>
      </w:pPr>
      <w:r w:rsidRPr="00D83941">
        <w:rPr>
          <w:i/>
          <w:iCs/>
        </w:rPr>
        <w:t>Inputs</w:t>
      </w:r>
    </w:p>
    <w:p w14:paraId="76E6B9C8" w14:textId="76F73258" w:rsidR="00F80E14" w:rsidRPr="004456A5" w:rsidRDefault="00F80E14" w:rsidP="00467EDD">
      <w:pPr>
        <w:pStyle w:val="Bullet1"/>
        <w:numPr>
          <w:ilvl w:val="0"/>
          <w:numId w:val="97"/>
        </w:numPr>
      </w:pPr>
      <w:r w:rsidRPr="004456A5">
        <w:t>Engagement with consumer (per dispensing) = 1 minute</w:t>
      </w:r>
      <w:r w:rsidR="00633D89">
        <w:t>.</w:t>
      </w:r>
    </w:p>
    <w:p w14:paraId="0C722266" w14:textId="6C2F9540" w:rsidR="00F80E14" w:rsidRPr="004456A5" w:rsidRDefault="00F80E14" w:rsidP="00467EDD">
      <w:pPr>
        <w:pStyle w:val="Bullet1"/>
        <w:numPr>
          <w:ilvl w:val="0"/>
          <w:numId w:val="97"/>
        </w:numPr>
      </w:pPr>
      <w:r w:rsidRPr="004456A5">
        <w:t>Annual number of nicotine vaping prescription filled by physical pharmacies = 2,700,000</w:t>
      </w:r>
      <w:r w:rsidRPr="004456A5" w:rsidDel="008C0EC7">
        <w:t xml:space="preserve"> </w:t>
      </w:r>
      <w:r w:rsidRPr="004456A5">
        <w:t>(from earlier prescription modelling)</w:t>
      </w:r>
      <w:r w:rsidR="00633D89">
        <w:t>.</w:t>
      </w:r>
    </w:p>
    <w:p w14:paraId="119E5689" w14:textId="4C591D2C" w:rsidR="00F80E14" w:rsidRPr="004456A5" w:rsidRDefault="00F80E14" w:rsidP="00467EDD">
      <w:pPr>
        <w:pStyle w:val="Bullet1"/>
        <w:numPr>
          <w:ilvl w:val="0"/>
          <w:numId w:val="97"/>
        </w:numPr>
      </w:pPr>
      <w:r w:rsidRPr="004456A5">
        <w:t>Hourly work-related labour cost for pharmacists = $146.09</w:t>
      </w:r>
      <w:r w:rsidR="00633D89">
        <w:t>.</w:t>
      </w:r>
    </w:p>
    <w:p w14:paraId="026A7115" w14:textId="77777777" w:rsidR="00F80E14" w:rsidRPr="00A45C74" w:rsidRDefault="00F80E14" w:rsidP="00F80E14">
      <w:pPr>
        <w:pStyle w:val="Heading5"/>
        <w:rPr>
          <w:rFonts w:eastAsia="Batang"/>
        </w:rPr>
      </w:pPr>
      <w:r w:rsidRPr="00A45C74">
        <w:rPr>
          <w:rFonts w:eastAsia="Batang"/>
        </w:rPr>
        <w:t>Regulatory costing</w:t>
      </w:r>
    </w:p>
    <w:p w14:paraId="4880E5A8" w14:textId="77777777" w:rsidR="00F80E14" w:rsidRDefault="00F80E14" w:rsidP="00F80E14">
      <w:pPr>
        <w:shd w:val="clear" w:color="auto" w:fill="FFFFFF" w:themeFill="background1"/>
      </w:pPr>
      <w:r>
        <w:t xml:space="preserve">Note while figures are shown as rounded, the actual rounding occurs only in the final step. </w:t>
      </w:r>
    </w:p>
    <w:p w14:paraId="13F72C43" w14:textId="77777777" w:rsidR="00F80E14" w:rsidRPr="008B7203" w:rsidRDefault="00F80E14" w:rsidP="00F80E14">
      <w:pPr>
        <w:shd w:val="clear" w:color="auto" w:fill="FFFFFF" w:themeFill="background1"/>
      </w:pPr>
      <w:r w:rsidRPr="000C4377">
        <w:t>Step 1</w:t>
      </w:r>
      <w:r w:rsidRPr="00CA0992">
        <w:t>. Calculate total time in minutes to fulfil regulatory requirement</w:t>
      </w:r>
      <w:r>
        <w:t>s</w:t>
      </w:r>
      <w:r w:rsidRPr="00CA0992">
        <w:t>:</w:t>
      </w:r>
      <w:r>
        <w:t xml:space="preserve"> </w:t>
      </w:r>
    </w:p>
    <w:p w14:paraId="0C69C2BC" w14:textId="77777777" w:rsidR="00F80E14" w:rsidRPr="00061C4C" w:rsidRDefault="00F80E14" w:rsidP="00467EDD">
      <w:pPr>
        <w:pStyle w:val="Bullet1"/>
        <w:numPr>
          <w:ilvl w:val="0"/>
          <w:numId w:val="98"/>
        </w:numPr>
      </w:pPr>
      <w:r w:rsidRPr="00061C4C">
        <w:t xml:space="preserve">Annual activities (over 10-year period): </w:t>
      </w:r>
    </w:p>
    <w:p w14:paraId="50606935" w14:textId="390564C1" w:rsidR="00F80E14" w:rsidRPr="004456A5" w:rsidRDefault="00F80E14" w:rsidP="00467EDD">
      <w:pPr>
        <w:pStyle w:val="Bullet1"/>
        <w:numPr>
          <w:ilvl w:val="0"/>
          <w:numId w:val="98"/>
        </w:numPr>
      </w:pPr>
      <w:r w:rsidRPr="004456A5">
        <w:t>Engagement with consumer: Number of interactions annually = 2,700,000 x 1 min per interaction = 2,700,000 minutes</w:t>
      </w:r>
      <w:r w:rsidR="00633D89">
        <w:t>.</w:t>
      </w:r>
    </w:p>
    <w:p w14:paraId="1DB0F7F6" w14:textId="77777777" w:rsidR="00F80E14" w:rsidRPr="00CA0992" w:rsidRDefault="00F80E14" w:rsidP="00F80E14">
      <w:pPr>
        <w:shd w:val="clear" w:color="auto" w:fill="FFFFFF" w:themeFill="background1"/>
      </w:pPr>
      <w:r w:rsidRPr="000C4377">
        <w:t>Step 2</w:t>
      </w:r>
      <w:r w:rsidRPr="00CA0992">
        <w:t>. Calculate total time in hours to fulfil regulatory requirement</w:t>
      </w:r>
      <w:r>
        <w:t>:</w:t>
      </w:r>
    </w:p>
    <w:p w14:paraId="29256CD0" w14:textId="77777777" w:rsidR="00F80E14" w:rsidRPr="004456A5" w:rsidRDefault="00F80E14" w:rsidP="00467EDD">
      <w:pPr>
        <w:pStyle w:val="Bullet1"/>
        <w:numPr>
          <w:ilvl w:val="0"/>
          <w:numId w:val="99"/>
        </w:numPr>
      </w:pPr>
      <w:r w:rsidRPr="004456A5">
        <w:t>Annual: 2,700,000 minutes/60 = 45,000 hours</w:t>
      </w:r>
    </w:p>
    <w:p w14:paraId="1D6FD614" w14:textId="77777777" w:rsidR="004456A5" w:rsidRDefault="00F80E14" w:rsidP="00F80E14">
      <w:pPr>
        <w:shd w:val="clear" w:color="auto" w:fill="FFFFFF" w:themeFill="background1"/>
      </w:pPr>
      <w:r w:rsidRPr="000C4377">
        <w:t>Step 3</w:t>
      </w:r>
      <w:r w:rsidRPr="00CA0992">
        <w:t xml:space="preserve">. Apply the hourly rate to determine </w:t>
      </w:r>
      <w:r>
        <w:t>annual</w:t>
      </w:r>
      <w:r w:rsidRPr="00CA0992">
        <w:t xml:space="preserve"> regulatory compliance cost:</w:t>
      </w:r>
      <w:r>
        <w:t xml:space="preserve"> </w:t>
      </w:r>
    </w:p>
    <w:p w14:paraId="1BCC363D" w14:textId="4143AE14" w:rsidR="00F80E14" w:rsidRPr="004456A5" w:rsidRDefault="004456A5" w:rsidP="00467EDD">
      <w:pPr>
        <w:pStyle w:val="Bullet1"/>
        <w:numPr>
          <w:ilvl w:val="0"/>
          <w:numId w:val="99"/>
        </w:numPr>
      </w:pPr>
      <w:r>
        <w:t xml:space="preserve">Annual: </w:t>
      </w:r>
      <w:r w:rsidR="00F80E14" w:rsidRPr="004456A5">
        <w:t>45,000 hours x hourly rate ($146.09) = $6,574,050</w:t>
      </w:r>
      <w:r w:rsidR="00633D89">
        <w:t>.</w:t>
      </w:r>
    </w:p>
    <w:p w14:paraId="0449915D" w14:textId="77777777" w:rsidR="00F80E14" w:rsidRDefault="00F80E14" w:rsidP="00F80E14">
      <w:pPr>
        <w:pStyle w:val="Bullet1"/>
        <w:rPr>
          <w:b/>
          <w:bCs/>
        </w:rPr>
      </w:pPr>
      <w:r>
        <w:rPr>
          <w:b/>
          <w:bCs/>
        </w:rPr>
        <w:t>Average a</w:t>
      </w:r>
      <w:r w:rsidRPr="00D87184">
        <w:rPr>
          <w:b/>
          <w:bCs/>
        </w:rPr>
        <w:t xml:space="preserve">nnual cost: </w:t>
      </w:r>
      <w:r>
        <w:rPr>
          <w:b/>
          <w:bCs/>
        </w:rPr>
        <w:t>$</w:t>
      </w:r>
      <w:r w:rsidRPr="00C1198C">
        <w:rPr>
          <w:b/>
        </w:rPr>
        <w:t>6,574,</w:t>
      </w:r>
      <w:r w:rsidRPr="00C1198C">
        <w:rPr>
          <w:b/>
          <w:bCs/>
        </w:rPr>
        <w:t>050</w:t>
      </w:r>
    </w:p>
    <w:p w14:paraId="155A500A" w14:textId="77777777" w:rsidR="00F80E14" w:rsidRPr="00230CD3" w:rsidRDefault="00F80E14" w:rsidP="00F80E14">
      <w:pPr>
        <w:pStyle w:val="Bullet1"/>
        <w:pBdr>
          <w:top w:val="single" w:sz="4" w:space="1" w:color="auto"/>
          <w:left w:val="single" w:sz="4" w:space="4" w:color="auto"/>
          <w:bottom w:val="single" w:sz="4" w:space="1" w:color="auto"/>
          <w:right w:val="single" w:sz="4" w:space="4" w:color="auto"/>
        </w:pBdr>
        <w:shd w:val="clear" w:color="auto" w:fill="FFFF00"/>
      </w:pPr>
      <w:r w:rsidRPr="00230CD3">
        <w:t xml:space="preserve">Average cost per year for </w:t>
      </w:r>
      <w:r>
        <w:t>pharmacists</w:t>
      </w:r>
      <w:r w:rsidRPr="00230CD3">
        <w:t xml:space="preserve"> (businesses) over the default ten-year period under the regulatory burden framework measurement is </w:t>
      </w:r>
      <w:r>
        <w:t>$6,574,050</w:t>
      </w:r>
      <w:r w:rsidRPr="00D87184">
        <w:rPr>
          <w:b/>
        </w:rPr>
        <w:t xml:space="preserve"> </w:t>
      </w:r>
      <w:r>
        <w:t xml:space="preserve">(engagement with consumers) or </w:t>
      </w:r>
      <w:r w:rsidRPr="001A4DB7">
        <w:rPr>
          <w:b/>
          <w:bCs/>
        </w:rPr>
        <w:t>$</w:t>
      </w:r>
      <w:r>
        <w:rPr>
          <w:b/>
          <w:bCs/>
        </w:rPr>
        <w:t>6.57</w:t>
      </w:r>
      <w:r w:rsidRPr="001A4DB7">
        <w:rPr>
          <w:b/>
          <w:bCs/>
        </w:rPr>
        <w:t>m.</w:t>
      </w:r>
    </w:p>
    <w:p w14:paraId="44BD4C66" w14:textId="77777777" w:rsidR="00F80E14" w:rsidRDefault="00F80E14" w:rsidP="00F80E14">
      <w:pPr>
        <w:pStyle w:val="Heading3"/>
      </w:pPr>
      <w:bookmarkStart w:id="324" w:name="_Toc147384332"/>
      <w:bookmarkStart w:id="325" w:name="_Toc151040431"/>
      <w:r>
        <w:lastRenderedPageBreak/>
        <w:t>Impact on manufacturers and suppliers</w:t>
      </w:r>
      <w:bookmarkEnd w:id="324"/>
      <w:bookmarkEnd w:id="325"/>
      <w:r>
        <w:t xml:space="preserve"> </w:t>
      </w:r>
    </w:p>
    <w:p w14:paraId="2D28CACF" w14:textId="77777777" w:rsidR="00F80E14" w:rsidRDefault="00F80E14" w:rsidP="00F80E14">
      <w:pPr>
        <w:pStyle w:val="Heading4"/>
      </w:pPr>
      <w:bookmarkStart w:id="326" w:name="_Toc147384333"/>
      <w:bookmarkStart w:id="327" w:name="_Toc151040432"/>
      <w:r>
        <w:t>Overview</w:t>
      </w:r>
      <w:bookmarkEnd w:id="326"/>
      <w:bookmarkEnd w:id="327"/>
    </w:p>
    <w:p w14:paraId="10F9344E" w14:textId="77777777" w:rsidR="00F80E14" w:rsidRDefault="00F80E14" w:rsidP="000E5185">
      <w:r>
        <w:t xml:space="preserve">Of the main stakeholder segments examined in the regulatory burden estimate, the impact of the proposed regulatory changes will be significantly felt by manufacturers and suppliers (sponsors). In particular: </w:t>
      </w:r>
    </w:p>
    <w:p w14:paraId="4358444A" w14:textId="769308A7" w:rsidR="00F80E14" w:rsidRPr="007C48F3" w:rsidRDefault="00F80E14" w:rsidP="00C22C02">
      <w:pPr>
        <w:pStyle w:val="Bullet1"/>
        <w:ind w:left="720"/>
      </w:pPr>
      <w:r w:rsidRPr="00C22C02">
        <w:rPr>
          <w:b/>
        </w:rPr>
        <w:t>Measure 1</w:t>
      </w:r>
      <w:r w:rsidRPr="007C48F3">
        <w:rPr>
          <w:b/>
          <w:bCs/>
        </w:rPr>
        <w:t>.</w:t>
      </w:r>
      <w:r w:rsidRPr="007C48F3">
        <w:t xml:space="preserve"> The restrictions on importation, manufacture, and supply of vapes other than for therapeutic use will prevent supply from most currently existing manufacturers and suppliers. The range of products in the market will diminish substantially, with all non-therapeutic vapes or disposable single use vapes being banned from domestic sale and export.  For manufacturers and suppliers looking to work within the legal provisions, these changes will support the viability of their supply model. Note that currently nicotine vapes already can only be legally supplied through pharmacies, so any other supply is considered illegal</w:t>
      </w:r>
      <w:r w:rsidR="00597E70" w:rsidRPr="007C48F3">
        <w:t>,</w:t>
      </w:r>
      <w:r w:rsidRPr="007C48F3">
        <w:t xml:space="preserve"> and the arising impact of the proposed regulatory changes is not measured in the costing. However, for zero-nicotine vapes most supply is currently legal, and both domestic and overseas manufacturers would be significantly impacted by these measures, noting that the impact on overseas manufacturers is excluded from the regulatory costing. </w:t>
      </w:r>
    </w:p>
    <w:p w14:paraId="2C40AE50" w14:textId="5CC0E735" w:rsidR="00F80E14" w:rsidRPr="007C48F3" w:rsidRDefault="00F80E14" w:rsidP="00C22C02">
      <w:pPr>
        <w:pStyle w:val="Bullet1"/>
        <w:ind w:left="720"/>
      </w:pPr>
      <w:r w:rsidRPr="00C22C02">
        <w:rPr>
          <w:b/>
        </w:rPr>
        <w:t>Measure 2</w:t>
      </w:r>
      <w:r w:rsidRPr="007C48F3">
        <w:rPr>
          <w:b/>
          <w:bCs/>
        </w:rPr>
        <w:t xml:space="preserve">. </w:t>
      </w:r>
      <w:r w:rsidRPr="007C48F3">
        <w:t>The measures to change market accessibility requirements for therapeutic vapes will not significantly impact manufacturers and suppliers, with the exception of a minor impact arising from licencing and permit requirements for those supplying therapeutic vapes to pharmacies.</w:t>
      </w:r>
    </w:p>
    <w:p w14:paraId="486C0E53" w14:textId="77777777" w:rsidR="00F80E14" w:rsidRPr="007C48F3" w:rsidRDefault="00F80E14" w:rsidP="00C22C02">
      <w:pPr>
        <w:pStyle w:val="Bullet1"/>
        <w:ind w:left="720"/>
      </w:pPr>
      <w:r w:rsidRPr="00C22C02">
        <w:rPr>
          <w:b/>
        </w:rPr>
        <w:t>Measure 3</w:t>
      </w:r>
      <w:r w:rsidRPr="000620AB">
        <w:rPr>
          <w:i/>
          <w:iCs/>
        </w:rPr>
        <w:t>.</w:t>
      </w:r>
      <w:r w:rsidRPr="007C48F3">
        <w:rPr>
          <w:b/>
        </w:rPr>
        <w:t xml:space="preserve"> </w:t>
      </w:r>
      <w:r w:rsidRPr="007C48F3">
        <w:t>The heightened requirements around the quality and safety of both the e-liquid and the device components will have a significant regulatory impact on manufacturers and suppliers, forcing them to reformulate and re-package their product range if they wish to supply therapeutic vapes to pharmacies (else they will need to exit the vaping market).</w:t>
      </w:r>
    </w:p>
    <w:p w14:paraId="746E6921" w14:textId="77777777" w:rsidR="00F80E14" w:rsidRPr="00D830F3" w:rsidRDefault="00F80E14" w:rsidP="009510B5">
      <w:pPr>
        <w:pStyle w:val="Heading5"/>
      </w:pPr>
      <w:r w:rsidRPr="00D830F3">
        <w:t>Nicotine vapes (including disposable single use vapes)</w:t>
      </w:r>
    </w:p>
    <w:p w14:paraId="4AC4152B" w14:textId="77777777" w:rsidR="00F80E14" w:rsidRDefault="00F80E14" w:rsidP="00533362">
      <w:r>
        <w:t>While currently no therapeutic vapes are registered on the ARTG, some companies are legally supplying nicotine vapes and a proportion of these suppliers are looking to continue to supply under the proposed reforms. All manufacturers are likely to have to make changes to the range of vapes supplied, labelling and potentially re-formulation. Other current suppliers do not have vapes that meet the new requirements and without substantial product change will be withdrawn from the market in Australia. There are also a large number of illegal suppliers, but the impact of the measures on these entities is not captured in this regulatory costing.</w:t>
      </w:r>
    </w:p>
    <w:p w14:paraId="5F6CE7F6" w14:textId="77777777" w:rsidR="00F80E14" w:rsidRDefault="00F80E14" w:rsidP="00533362">
      <w:r>
        <w:t xml:space="preserve">Some suppliers are looking to position themselves to submit an application to register vapes, but the pre- and post-market regulatory burden arising from this process was captured in the 2021 regulatory burden estimate and is not impacted by the proposed regulatory changes. </w:t>
      </w:r>
    </w:p>
    <w:p w14:paraId="700BC44C" w14:textId="77777777" w:rsidR="00F80E14" w:rsidRDefault="00F80E14" w:rsidP="00533362">
      <w:r w:rsidRPr="00CD3935">
        <w:t xml:space="preserve">The TGA is not aware of any </w:t>
      </w:r>
      <w:r>
        <w:t xml:space="preserve">current </w:t>
      </w:r>
      <w:r w:rsidRPr="00CD3935">
        <w:t xml:space="preserve">domestic manufacturers of nicotine </w:t>
      </w:r>
      <w:r>
        <w:t>vapes, although some domestic manufacturers of zero-nicotine vapes may be able to pivot to supply compliant therapeutic vapes</w:t>
      </w:r>
      <w:r w:rsidRPr="00CD3935">
        <w:t xml:space="preserve">. </w:t>
      </w:r>
    </w:p>
    <w:p w14:paraId="0E768216" w14:textId="77777777" w:rsidR="00F80E14" w:rsidRPr="00C64674" w:rsidRDefault="00F80E14" w:rsidP="009510B5">
      <w:pPr>
        <w:pStyle w:val="Heading5"/>
      </w:pPr>
      <w:r>
        <w:t>Zero</w:t>
      </w:r>
      <w:r w:rsidRPr="00C64674">
        <w:t>-nicotine vapes</w:t>
      </w:r>
    </w:p>
    <w:p w14:paraId="73693DD0" w14:textId="77777777" w:rsidR="00F80E14" w:rsidRDefault="00F80E14" w:rsidP="00533362">
      <w:r>
        <w:t>Most supply of zero-nicotine vapes is currently legal in Australia, so the impact of the ban on the manufacture and supply of these vapes will be substantial. All domestic manufacturers of zero-nicotine e-liquids will be severely impacted by the proposed regulatory changes, and without finding other revenue streams such as producing pharmaceutical-grade therapeutic vapes, will not be economically viable.</w:t>
      </w:r>
    </w:p>
    <w:p w14:paraId="27753AC4" w14:textId="77777777" w:rsidR="00F80E14" w:rsidRDefault="00F80E14" w:rsidP="00533362">
      <w:r w:rsidRPr="00CD3935">
        <w:t xml:space="preserve">Desktop research identified 7 Australian manufacturers of </w:t>
      </w:r>
      <w:r>
        <w:t>zero</w:t>
      </w:r>
      <w:r w:rsidRPr="00CD3935">
        <w:t>-nicotine e-liquids</w:t>
      </w:r>
      <w:r>
        <w:t>, but t</w:t>
      </w:r>
      <w:r w:rsidRPr="00CD3935">
        <w:t xml:space="preserve">he majority of </w:t>
      </w:r>
      <w:r>
        <w:t>zero</w:t>
      </w:r>
      <w:r w:rsidRPr="00CD3935">
        <w:t>-nicotine e-liquids appear to be imported, with one of the leading Australian online vape stores listing over 130 different brands</w:t>
      </w:r>
      <w:r>
        <w:t xml:space="preserve">, </w:t>
      </w:r>
      <w:r w:rsidRPr="00CD3935">
        <w:t>with international ‘juices’ from the USA, UK and Malaysia</w:t>
      </w:r>
      <w:r>
        <w:t>. A</w:t>
      </w:r>
      <w:r w:rsidRPr="00CD3935">
        <w:t xml:space="preserve">nother </w:t>
      </w:r>
      <w:r w:rsidRPr="00CD3935">
        <w:lastRenderedPageBreak/>
        <w:t>advertised e-liquids made in-house as well e-liquid supplied from New Zealand, Malaysia, USA, UK and Canada.</w:t>
      </w:r>
    </w:p>
    <w:p w14:paraId="575C41C0" w14:textId="77777777" w:rsidR="00F80E14" w:rsidRDefault="00F80E14" w:rsidP="00F80E14">
      <w:pPr>
        <w:pStyle w:val="Heading4"/>
      </w:pPr>
      <w:bookmarkStart w:id="328" w:name="_Toc133525195"/>
      <w:bookmarkStart w:id="329" w:name="_Toc133915646"/>
      <w:bookmarkStart w:id="330" w:name="_Toc145668140"/>
      <w:bookmarkStart w:id="331" w:name="_Toc147384334"/>
      <w:bookmarkStart w:id="332" w:name="_Toc151040433"/>
      <w:r>
        <w:t>Changes to the regulatory burden</w:t>
      </w:r>
      <w:bookmarkEnd w:id="328"/>
      <w:bookmarkEnd w:id="329"/>
      <w:bookmarkEnd w:id="330"/>
      <w:bookmarkEnd w:id="331"/>
      <w:bookmarkEnd w:id="332"/>
    </w:p>
    <w:p w14:paraId="095346B5" w14:textId="77777777" w:rsidR="00F80E14" w:rsidRDefault="00F80E14" w:rsidP="00533362">
      <w:pPr>
        <w:pStyle w:val="Heading5"/>
      </w:pPr>
      <w:r w:rsidRPr="00533362">
        <w:t>Tightening</w:t>
      </w:r>
      <w:r>
        <w:t xml:space="preserve"> of import restrictions</w:t>
      </w:r>
    </w:p>
    <w:p w14:paraId="5ACC4D11" w14:textId="77777777" w:rsidR="00F80E14" w:rsidRDefault="00F80E14" w:rsidP="00533362">
      <w:r>
        <w:t xml:space="preserve">There will remain a legal Australian market for vapes to be supplied for therapeutic purposes, with a valid prescription, via community pharmacies and pharmaceutical wholesalers. However, under these reforms, </w:t>
      </w:r>
      <w:r w:rsidRPr="005A071B">
        <w:t>a licen</w:t>
      </w:r>
      <w:r>
        <w:t>s</w:t>
      </w:r>
      <w:r w:rsidRPr="005A071B">
        <w:t xml:space="preserve">ing and permit scheme for </w:t>
      </w:r>
      <w:r>
        <w:t>vapes</w:t>
      </w:r>
      <w:r w:rsidRPr="005A071B">
        <w:t xml:space="preserve"> </w:t>
      </w:r>
      <w:r>
        <w:t xml:space="preserve">will be introduced and </w:t>
      </w:r>
      <w:r w:rsidRPr="005A071B">
        <w:t xml:space="preserve">administered by the </w:t>
      </w:r>
      <w:r>
        <w:t>Office of Drug Control (</w:t>
      </w:r>
      <w:r w:rsidRPr="005A071B">
        <w:t>ODC</w:t>
      </w:r>
      <w:r>
        <w:t xml:space="preserve">). </w:t>
      </w:r>
    </w:p>
    <w:p w14:paraId="6AB571AB" w14:textId="77777777" w:rsidR="00F80E14" w:rsidRDefault="00F80E14" w:rsidP="00533362">
      <w:r>
        <w:t>The regime will require an annual renewal of the permit, to provide appropriate control measures such as licences and permits to regulate the supply of imported vapes to the Australian market, and to reduce the risk of diversion of vapes into the black market. The proposed regulatory scheme is as follows:</w:t>
      </w:r>
    </w:p>
    <w:p w14:paraId="075A5AEA" w14:textId="77A38CDD" w:rsidR="007C48F3" w:rsidRDefault="00F80E14" w:rsidP="00467EDD">
      <w:pPr>
        <w:pStyle w:val="ListParagraph"/>
        <w:numPr>
          <w:ilvl w:val="0"/>
          <w:numId w:val="101"/>
        </w:numPr>
      </w:pPr>
      <w:r w:rsidRPr="00053279">
        <w:rPr>
          <w:b/>
        </w:rPr>
        <w:t>Licence application form</w:t>
      </w:r>
      <w:r w:rsidRPr="00696BA7">
        <w:t xml:space="preserve"> </w:t>
      </w:r>
    </w:p>
    <w:p w14:paraId="4DD6ADEC" w14:textId="149A87D9" w:rsidR="00F80E14" w:rsidRDefault="00F80E14" w:rsidP="002B1000">
      <w:r>
        <w:t>An online licence application form is completed and submitted. The form requires information on a range of topics including:</w:t>
      </w:r>
    </w:p>
    <w:p w14:paraId="3FDB19CA" w14:textId="6F72BB56" w:rsidR="00F80E14" w:rsidRPr="007C48F3" w:rsidRDefault="00F80E14" w:rsidP="00467EDD">
      <w:pPr>
        <w:pStyle w:val="Bullet1"/>
        <w:numPr>
          <w:ilvl w:val="0"/>
          <w:numId w:val="100"/>
        </w:numPr>
      </w:pPr>
      <w:r w:rsidRPr="007C48F3">
        <w:t>the nature of the organisation applying for the licence including ABN, and the uploading of a company extract as well as the provision of primary and alternate contact details</w:t>
      </w:r>
    </w:p>
    <w:p w14:paraId="5379392B" w14:textId="1F89BF57" w:rsidR="00F80E14" w:rsidRPr="007C48F3" w:rsidRDefault="00F80E14" w:rsidP="00467EDD">
      <w:pPr>
        <w:pStyle w:val="Bullet1"/>
        <w:numPr>
          <w:ilvl w:val="0"/>
          <w:numId w:val="100"/>
        </w:numPr>
      </w:pPr>
      <w:r w:rsidRPr="007C48F3">
        <w:t>a fit and proper person check including the uploading of an informed consent form, details of any convictions, civil penalties and revocation, and financial background</w:t>
      </w:r>
    </w:p>
    <w:p w14:paraId="6C92F7D7" w14:textId="027E3211" w:rsidR="00F80E14" w:rsidRPr="007C48F3" w:rsidRDefault="00F80E14" w:rsidP="00467EDD">
      <w:pPr>
        <w:pStyle w:val="Bullet1"/>
        <w:numPr>
          <w:ilvl w:val="0"/>
          <w:numId w:val="100"/>
        </w:numPr>
      </w:pPr>
      <w:r w:rsidRPr="007C48F3">
        <w:t>state/territory licences to trade nicotine</w:t>
      </w:r>
    </w:p>
    <w:p w14:paraId="5D3AEF69" w14:textId="3E537843" w:rsidR="00F80E14" w:rsidRPr="007C48F3" w:rsidRDefault="00F80E14" w:rsidP="00467EDD">
      <w:pPr>
        <w:pStyle w:val="Bullet1"/>
        <w:numPr>
          <w:ilvl w:val="0"/>
          <w:numId w:val="100"/>
        </w:numPr>
      </w:pPr>
      <w:r w:rsidRPr="007C48F3">
        <w:t xml:space="preserve">details of standard operating procedures relating to security and control measures </w:t>
      </w:r>
    </w:p>
    <w:p w14:paraId="38FF762C" w14:textId="77777777" w:rsidR="00F80E14" w:rsidRPr="007C48F3" w:rsidRDefault="00F80E14" w:rsidP="00467EDD">
      <w:pPr>
        <w:pStyle w:val="Bullet1"/>
        <w:numPr>
          <w:ilvl w:val="0"/>
          <w:numId w:val="100"/>
        </w:numPr>
      </w:pPr>
      <w:r w:rsidRPr="007C48F3">
        <w:t>site details including physical security details.</w:t>
      </w:r>
    </w:p>
    <w:p w14:paraId="3B654675" w14:textId="77777777" w:rsidR="00F80E14" w:rsidRDefault="00F80E14" w:rsidP="00F80E14">
      <w:pPr>
        <w:pStyle w:val="ListBullet"/>
        <w:ind w:left="0" w:firstLine="0"/>
      </w:pPr>
      <w:r w:rsidRPr="002B1000">
        <w:t>It is estimated that the time taken to review the guidance material, source and potentially compile the likely required background information, and complete the online application form for a vape importer licence is 8 hours, plus another 8 hours if standard operating procedures relating to security and control measures, the retention of records and the engagement and retention of suitable staff need to be compiled. This time includes an allowance for responding to any follow-up questions from the ODC. The licence</w:t>
      </w:r>
      <w:r>
        <w:t xml:space="preserve"> will be perpetual but may be subject to surrender, suspension or revocation. </w:t>
      </w:r>
    </w:p>
    <w:p w14:paraId="32FA0476" w14:textId="28F73037" w:rsidR="007C48F3" w:rsidRDefault="00F80E14" w:rsidP="00467EDD">
      <w:pPr>
        <w:pStyle w:val="ListBullet"/>
        <w:numPr>
          <w:ilvl w:val="0"/>
          <w:numId w:val="101"/>
        </w:numPr>
        <w:rPr>
          <w:b/>
          <w:bCs/>
        </w:rPr>
      </w:pPr>
      <w:r>
        <w:rPr>
          <w:b/>
          <w:bCs/>
        </w:rPr>
        <w:t>Permit application form</w:t>
      </w:r>
    </w:p>
    <w:p w14:paraId="374CD37E" w14:textId="305E76A2" w:rsidR="00F80E14" w:rsidRDefault="00F80E14" w:rsidP="00F80E14">
      <w:pPr>
        <w:pStyle w:val="ListBullet"/>
        <w:ind w:left="0" w:firstLine="0"/>
      </w:pPr>
      <w:r w:rsidRPr="00E606E0">
        <w:t>A separate permit application form will be completed to import vapes. Permits will be valid for 12 months, and a permit is required per product (e.g., nicotine concentration/flavour). A new permit application form will be required each time an importer adds a new product to the product range. This is a downloadable</w:t>
      </w:r>
      <w:r>
        <w:t xml:space="preserve"> form that is submitted via email. The form requires details such as:</w:t>
      </w:r>
    </w:p>
    <w:p w14:paraId="195A4C36" w14:textId="23398420" w:rsidR="00F80E14" w:rsidRPr="007C48F3" w:rsidRDefault="00F80E14" w:rsidP="00467EDD">
      <w:pPr>
        <w:pStyle w:val="Bullet1"/>
        <w:numPr>
          <w:ilvl w:val="0"/>
          <w:numId w:val="102"/>
        </w:numPr>
      </w:pPr>
      <w:r w:rsidRPr="007C48F3">
        <w:t>licence details</w:t>
      </w:r>
    </w:p>
    <w:p w14:paraId="382A7960" w14:textId="708E8BAD" w:rsidR="00F80E14" w:rsidRPr="007C48F3" w:rsidRDefault="00F80E14" w:rsidP="00467EDD">
      <w:pPr>
        <w:pStyle w:val="Bullet1"/>
        <w:numPr>
          <w:ilvl w:val="0"/>
          <w:numId w:val="102"/>
        </w:numPr>
      </w:pPr>
      <w:r w:rsidRPr="007C48F3">
        <w:t>overview of activities which the licence holder intends to undertake under the permit</w:t>
      </w:r>
    </w:p>
    <w:p w14:paraId="507F35D6" w14:textId="279153B3" w:rsidR="00F80E14" w:rsidRPr="007C48F3" w:rsidRDefault="00F80E14" w:rsidP="00467EDD">
      <w:pPr>
        <w:pStyle w:val="Bullet1"/>
        <w:numPr>
          <w:ilvl w:val="0"/>
          <w:numId w:val="102"/>
        </w:numPr>
      </w:pPr>
      <w:r w:rsidRPr="007C48F3">
        <w:t>proposed permit start date (permits are granted for a standard 12 months from date of grant)</w:t>
      </w:r>
    </w:p>
    <w:p w14:paraId="3B41240A" w14:textId="0D44CA94" w:rsidR="00F80E14" w:rsidRPr="007C48F3" w:rsidRDefault="00F80E14" w:rsidP="00467EDD">
      <w:pPr>
        <w:pStyle w:val="Bullet1"/>
        <w:numPr>
          <w:ilvl w:val="0"/>
          <w:numId w:val="102"/>
        </w:numPr>
      </w:pPr>
      <w:r w:rsidRPr="007C48F3">
        <w:t>supply details, including the details of the overseas manufacturer (likely supported by commercial documentation detailing the intention to purchase and supply)</w:t>
      </w:r>
    </w:p>
    <w:p w14:paraId="4D10708B" w14:textId="231C4D5C" w:rsidR="00F80E14" w:rsidRPr="007C48F3" w:rsidRDefault="00F80E14" w:rsidP="00467EDD">
      <w:pPr>
        <w:pStyle w:val="Bullet1"/>
        <w:numPr>
          <w:ilvl w:val="0"/>
          <w:numId w:val="102"/>
        </w:numPr>
      </w:pPr>
      <w:r w:rsidRPr="007C48F3">
        <w:t xml:space="preserve">reference to standing operating procedures relating to security and control measures </w:t>
      </w:r>
    </w:p>
    <w:p w14:paraId="0ABA6755" w14:textId="77777777" w:rsidR="00F80E14" w:rsidRPr="007C48F3" w:rsidRDefault="00F80E14" w:rsidP="00467EDD">
      <w:pPr>
        <w:pStyle w:val="Bullet1"/>
        <w:numPr>
          <w:ilvl w:val="0"/>
          <w:numId w:val="102"/>
        </w:numPr>
      </w:pPr>
      <w:r w:rsidRPr="007C48F3">
        <w:t>declaration section.</w:t>
      </w:r>
    </w:p>
    <w:p w14:paraId="2C1ACB65" w14:textId="77777777" w:rsidR="00F80E14" w:rsidRDefault="00F80E14" w:rsidP="009510B5">
      <w:r>
        <w:t xml:space="preserve">It is estimated that the time taken to review the guidance material, complete the form, source the required supporting documentation (noting that much of it will already be generated as part of </w:t>
      </w:r>
      <w:r>
        <w:lastRenderedPageBreak/>
        <w:t xml:space="preserve">standard commercial transactions between an importer and an overseas supplier) and submit is 30 minutes per permit. As applicants become more familiar with the process, less time will be needed to review the guidance material, but this time saving is not considered material to the overall time taken, noting that the responsibility for completing the permit may not always rest with the same individual. </w:t>
      </w:r>
    </w:p>
    <w:p w14:paraId="1AF9BF48" w14:textId="03E86483" w:rsidR="00F80E14" w:rsidRDefault="00F80E14" w:rsidP="009510B5">
      <w:r>
        <w:t xml:space="preserve">It has been assumed that a </w:t>
      </w:r>
      <w:r w:rsidRPr="00510C55">
        <w:t xml:space="preserve">permit will be submitted per year per product from the start of the regulatory changes coming into effect, </w:t>
      </w:r>
      <w:r>
        <w:t xml:space="preserve">that </w:t>
      </w:r>
      <w:r w:rsidRPr="00510C55">
        <w:t xml:space="preserve">each sponsor will have four different </w:t>
      </w:r>
      <w:r w:rsidR="00124CC4" w:rsidRPr="00510C55">
        <w:t>formulations</w:t>
      </w:r>
      <w:r w:rsidRPr="00510C55">
        <w:t xml:space="preserve"> of vapes</w:t>
      </w:r>
      <w:r w:rsidRPr="000A07F0">
        <w:t>,</w:t>
      </w:r>
      <w:r w:rsidRPr="00510C55">
        <w:t xml:space="preserve"> and</w:t>
      </w:r>
      <w:r>
        <w:t xml:space="preserve"> that each importer will update their product range with new products 3 times over a ten-year period. Updates may include variation in vaping devices, packaging, pack-size or flavouring ingredients such as concentration of mint flavour, tobacco flavour or menthol. With a sponsor population of 5, this gives a total count of permit applications of 200 over the ten-year period (5 sponsors x 4 permits per year x 10 years). It is assumed any new product will take the place of an existing product, and so this will not alter the overall number of permits applied for.  </w:t>
      </w:r>
    </w:p>
    <w:p w14:paraId="79E6DAA9" w14:textId="30F92EDF" w:rsidR="007C48F3" w:rsidRDefault="00F80E14" w:rsidP="00467EDD">
      <w:pPr>
        <w:pStyle w:val="ListBullet"/>
        <w:numPr>
          <w:ilvl w:val="0"/>
          <w:numId w:val="101"/>
        </w:numPr>
        <w:rPr>
          <w:b/>
          <w:bCs/>
        </w:rPr>
      </w:pPr>
      <w:r>
        <w:rPr>
          <w:b/>
          <w:bCs/>
        </w:rPr>
        <w:t xml:space="preserve">Activity report </w:t>
      </w:r>
    </w:p>
    <w:p w14:paraId="7A2BDB9C" w14:textId="18E73B9E" w:rsidR="00F80E14" w:rsidRDefault="00F80E14" w:rsidP="00A05887">
      <w:r>
        <w:t xml:space="preserve">As a signatory to the Single Convention on Narcotic Drugs 1961, Australia has reporting requirements to the International Narcotic Control Board. It is unlikely that similar reporting requirements will arise for vapes but the ODC may use a quarterly reporting cycle (similar reporting frequency for other controlled activities) for monitoring purposes. This report could be used to acquit permits issued against permits used, as this information may not be provided back to the ODC by the ABF. Importers will be required to provide quarterly and on-demand reports for any adverse events. This report is estimated to take 30 minutes to complete, so with 4 reports per year total completion time is estimated to be 2 hours per sponsor. No estimate has been made for the number of adverse events reports submitted but this is expected to be minimal, given the quality and safety specifications in the revised TGO 110. </w:t>
      </w:r>
    </w:p>
    <w:p w14:paraId="2316EA0E" w14:textId="25A4220C" w:rsidR="007C48F3" w:rsidRDefault="00F80E14" w:rsidP="00467EDD">
      <w:pPr>
        <w:pStyle w:val="ListBullet"/>
        <w:numPr>
          <w:ilvl w:val="0"/>
          <w:numId w:val="101"/>
        </w:numPr>
        <w:rPr>
          <w:b/>
          <w:bCs/>
        </w:rPr>
      </w:pPr>
      <w:r>
        <w:rPr>
          <w:b/>
          <w:bCs/>
        </w:rPr>
        <w:t>Inspection and audits</w:t>
      </w:r>
    </w:p>
    <w:p w14:paraId="7F94E12F" w14:textId="066D1DA5" w:rsidR="00F80E14" w:rsidRDefault="00F80E14" w:rsidP="00F80E14">
      <w:pPr>
        <w:pStyle w:val="ListBullet"/>
        <w:ind w:left="0" w:firstLine="0"/>
      </w:pPr>
      <w:r>
        <w:t>It is not currently envisaged that an audit and inspection regime will apply to vapes importation licence holders.</w:t>
      </w:r>
    </w:p>
    <w:p w14:paraId="486DB92B" w14:textId="1D3EC640" w:rsidR="007C48F3" w:rsidRDefault="00F80E14" w:rsidP="00467EDD">
      <w:pPr>
        <w:pStyle w:val="ListBullet"/>
        <w:numPr>
          <w:ilvl w:val="0"/>
          <w:numId w:val="101"/>
        </w:numPr>
        <w:rPr>
          <w:b/>
          <w:bCs/>
        </w:rPr>
      </w:pPr>
      <w:r>
        <w:rPr>
          <w:b/>
          <w:bCs/>
        </w:rPr>
        <w:t>Fees and charges</w:t>
      </w:r>
    </w:p>
    <w:p w14:paraId="0D8FCF79" w14:textId="7424F23B" w:rsidR="00F80E14" w:rsidRPr="00EC1679" w:rsidRDefault="00F80E14" w:rsidP="00F80E14">
      <w:pPr>
        <w:pStyle w:val="ListBullet"/>
        <w:ind w:left="0" w:firstLine="0"/>
      </w:pPr>
      <w:r>
        <w:t xml:space="preserve">The policy position that ODC licensing and permit activities will not be cost recovered excludes this form of activity from the regulatory burden estimate. </w:t>
      </w:r>
    </w:p>
    <w:p w14:paraId="6117111F" w14:textId="039CA60D" w:rsidR="00F80E14" w:rsidRPr="00DD4746" w:rsidRDefault="00F80E14" w:rsidP="00467EDD">
      <w:pPr>
        <w:pStyle w:val="ListBullet"/>
        <w:numPr>
          <w:ilvl w:val="0"/>
          <w:numId w:val="101"/>
        </w:numPr>
        <w:rPr>
          <w:b/>
          <w:bCs/>
        </w:rPr>
      </w:pPr>
      <w:r>
        <w:rPr>
          <w:b/>
          <w:bCs/>
        </w:rPr>
        <w:t>Border documentation</w:t>
      </w:r>
    </w:p>
    <w:p w14:paraId="4CF8CCFE" w14:textId="77777777" w:rsidR="00F80E14" w:rsidRDefault="00F80E14" w:rsidP="00F80E14">
      <w:r>
        <w:t xml:space="preserve">For vapes to legally enter Australia, the importer, or the customs broker working on their behalf, must complete an import declaration form (Form N10), which is submitted to the ABF. It is assumed that future importers will likely already have in place business-to-business data interchange software to largely automate the production of the required importation documentation. Their stock management system will provide the necessary details to their customs broker/or via an application programming interface (API) with Integrated Cargo System (ICS) to complete the importation documentation. </w:t>
      </w:r>
    </w:p>
    <w:p w14:paraId="7FDD1A57" w14:textId="77777777" w:rsidR="00F80E14" w:rsidRDefault="00F80E14" w:rsidP="00F80E14">
      <w:r>
        <w:t xml:space="preserve">The proposed regulatory changes do not impact upon the border regulatory processes except in one aspect, which is the inclusion of the permit number on the import declaration, as depicted below. To facilitate border clearance is it likely that a copy of the permit will also be provided for review by the ABF. It is estimated that the time taken to enter the permit number and provide a copy of the permit to the ABF is 5 minutes per consignment. </w:t>
      </w:r>
    </w:p>
    <w:p w14:paraId="6048754A" w14:textId="77777777" w:rsidR="00F80E14" w:rsidRDefault="00F80E14" w:rsidP="00F80E14">
      <w:pPr>
        <w:pStyle w:val="Caption"/>
        <w:keepNext/>
        <w:keepLines/>
      </w:pPr>
      <w:bookmarkStart w:id="333" w:name="_Toc147759798"/>
      <w:r>
        <w:lastRenderedPageBreak/>
        <w:t>Figure B2. Section C of the Import Declaration (N10)</w:t>
      </w:r>
      <w:bookmarkEnd w:id="333"/>
      <w:r>
        <w:t xml:space="preserve"> </w:t>
      </w:r>
    </w:p>
    <w:p w14:paraId="56C8711F" w14:textId="77777777" w:rsidR="00F80E14" w:rsidRDefault="00F80E14" w:rsidP="00F80E14">
      <w:pPr>
        <w:keepNext/>
        <w:keepLines/>
      </w:pPr>
      <w:r>
        <w:rPr>
          <w:noProof/>
          <w:lang w:eastAsia="en-AU"/>
        </w:rPr>
        <w:drawing>
          <wp:inline distT="0" distB="0" distL="0" distR="0" wp14:anchorId="3B52AEA3" wp14:editId="6E0268F8">
            <wp:extent cx="5400675" cy="1992630"/>
            <wp:effectExtent l="0" t="0" r="9525" b="762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28681" name="Picture 1" descr="Graphical user interface, text, application&#10;&#10;Description automatically generated"/>
                    <pic:cNvPicPr/>
                  </pic:nvPicPr>
                  <pic:blipFill>
                    <a:blip r:embed="rId86"/>
                    <a:stretch>
                      <a:fillRect/>
                    </a:stretch>
                  </pic:blipFill>
                  <pic:spPr>
                    <a:xfrm>
                      <a:off x="0" y="0"/>
                      <a:ext cx="5400675" cy="1992630"/>
                    </a:xfrm>
                    <a:prstGeom prst="rect">
                      <a:avLst/>
                    </a:prstGeom>
                  </pic:spPr>
                </pic:pic>
              </a:graphicData>
            </a:graphic>
          </wp:inline>
        </w:drawing>
      </w:r>
    </w:p>
    <w:p w14:paraId="62A898E9" w14:textId="77777777" w:rsidR="00F80E14" w:rsidRDefault="00F80E14" w:rsidP="005D4FD8">
      <w:r>
        <w:t>If a package containing vapes is detected at the border by the ABF without an appropriate permit, then the standard process, in general terms, is as follows:</w:t>
      </w:r>
    </w:p>
    <w:p w14:paraId="78FF1D00" w14:textId="0FD081BD" w:rsidR="00F80E14" w:rsidRPr="007C48F3" w:rsidRDefault="00F80E14" w:rsidP="00467EDD">
      <w:pPr>
        <w:pStyle w:val="Bullet1"/>
        <w:numPr>
          <w:ilvl w:val="0"/>
          <w:numId w:val="103"/>
        </w:numPr>
      </w:pPr>
      <w:r w:rsidRPr="007C48F3">
        <w:t xml:space="preserve">the ABF detects a good that could breach the </w:t>
      </w:r>
      <w:r w:rsidRPr="007C48F3">
        <w:rPr>
          <w:i/>
        </w:rPr>
        <w:t>Customs Act</w:t>
      </w:r>
      <w:r w:rsidRPr="007C48F3">
        <w:rPr>
          <w:i/>
          <w:iCs/>
        </w:rPr>
        <w:t xml:space="preserve"> 1901</w:t>
      </w:r>
    </w:p>
    <w:p w14:paraId="6E087A97" w14:textId="4D0DF5CB" w:rsidR="00F80E14" w:rsidRPr="007C48F3" w:rsidRDefault="00F80E14" w:rsidP="00467EDD">
      <w:pPr>
        <w:pStyle w:val="Bullet1"/>
        <w:numPr>
          <w:ilvl w:val="0"/>
          <w:numId w:val="103"/>
        </w:numPr>
      </w:pPr>
      <w:r w:rsidRPr="007C48F3">
        <w:t>the ABF refers the good to the ODC, as the permit authority</w:t>
      </w:r>
    </w:p>
    <w:p w14:paraId="5653DAC8" w14:textId="2B9B4730" w:rsidR="00F80E14" w:rsidRPr="007C48F3" w:rsidRDefault="00F80E14" w:rsidP="00467EDD">
      <w:pPr>
        <w:pStyle w:val="Bullet1"/>
        <w:numPr>
          <w:ilvl w:val="0"/>
          <w:numId w:val="103"/>
        </w:numPr>
      </w:pPr>
      <w:r w:rsidRPr="007C48F3">
        <w:t>the ODC writes to the importer requesting that they provide evidence, within a two-week timeframe, that the importation is lawful. The importer will need to provide the necessary documentary evidence to demonstrate a legal right to the good- in this case, a valid permit</w:t>
      </w:r>
    </w:p>
    <w:p w14:paraId="69FD0218" w14:textId="7EFD8791" w:rsidR="00F80E14" w:rsidRPr="007C48F3" w:rsidRDefault="00F80E14" w:rsidP="00467EDD">
      <w:pPr>
        <w:pStyle w:val="Bullet1"/>
        <w:numPr>
          <w:ilvl w:val="0"/>
          <w:numId w:val="103"/>
        </w:numPr>
      </w:pPr>
      <w:r w:rsidRPr="007C48F3">
        <w:t>if the importer provides sufficient evidence to the ODC that the importation is lawful the ODC advises the ABF to release the good</w:t>
      </w:r>
      <w:r w:rsidR="007C48F3">
        <w:t xml:space="preserve"> </w:t>
      </w:r>
      <w:r w:rsidRPr="007C48F3">
        <w:t xml:space="preserve">and advises the importer- usually by email- of this decision. If sufficient evidence is not provided, the ODC provides a letter to the ABF requesting them to seize the good.  </w:t>
      </w:r>
    </w:p>
    <w:p w14:paraId="2A4651F3" w14:textId="73945F93" w:rsidR="00F80E14" w:rsidRDefault="00F80E14" w:rsidP="005D4FD8">
      <w:r>
        <w:t xml:space="preserve">If the ABF is requested to seize the good by the ODC, then the ABF seizure process is followed with the importer able to submit a Claim for Return of Seized Goods (Form B144) or contest the matter in court. Neither avenue is likely to be successful for the importer, as without a valid permit they have no legal right to import nicotine </w:t>
      </w:r>
      <w:r w:rsidR="00E90318">
        <w:t>vapes</w:t>
      </w:r>
      <w:r>
        <w:t xml:space="preserve"> into Australia. This aspect has therefore been excluded from the regulatory burden estimate.</w:t>
      </w:r>
    </w:p>
    <w:p w14:paraId="66C29B16" w14:textId="6EA26BDD" w:rsidR="00F80E14" w:rsidRDefault="00F80E14" w:rsidP="005D4FD8">
      <w:pPr>
        <w:pStyle w:val="Heading5"/>
      </w:pPr>
      <w:r w:rsidRPr="005D4FD8">
        <w:t>Overall</w:t>
      </w:r>
      <w:r>
        <w:t xml:space="preserve"> regulatory burden of the proposed regulatory changes</w:t>
      </w:r>
    </w:p>
    <w:p w14:paraId="52C48397" w14:textId="77777777" w:rsidR="00F80E14" w:rsidRPr="00D83941" w:rsidRDefault="00F80E14" w:rsidP="00963F57">
      <w:pPr>
        <w:pStyle w:val="Heading6"/>
        <w:rPr>
          <w:rFonts w:eastAsia="Batang"/>
          <w:b/>
          <w:bCs w:val="0"/>
        </w:rPr>
      </w:pPr>
      <w:r w:rsidRPr="00D83941">
        <w:rPr>
          <w:rFonts w:eastAsia="Batang"/>
          <w:b/>
          <w:bCs w:val="0"/>
        </w:rPr>
        <w:t>Key assumptions</w:t>
      </w:r>
    </w:p>
    <w:p w14:paraId="57F92793" w14:textId="7F06B920" w:rsidR="00F80E14" w:rsidRPr="007C48F3" w:rsidRDefault="00F80E14" w:rsidP="00467EDD">
      <w:pPr>
        <w:pStyle w:val="Bullet1"/>
        <w:numPr>
          <w:ilvl w:val="0"/>
          <w:numId w:val="104"/>
        </w:numPr>
      </w:pPr>
      <w:r w:rsidRPr="007C48F3">
        <w:t>The ODC will institute a licensing and permit scheme to control the importation of vapes into Australia. Granting of licences will be perpetual and permits will need to be renewed annually or if new products are added to the product range</w:t>
      </w:r>
      <w:r w:rsidR="00633D89">
        <w:t>.</w:t>
      </w:r>
      <w:r w:rsidRPr="007C48F3">
        <w:t xml:space="preserve"> </w:t>
      </w:r>
    </w:p>
    <w:p w14:paraId="0C700594" w14:textId="3FF905C6" w:rsidR="00F80E14" w:rsidRPr="007C48F3" w:rsidRDefault="00F80E14" w:rsidP="00467EDD">
      <w:pPr>
        <w:pStyle w:val="Bullet1"/>
        <w:numPr>
          <w:ilvl w:val="0"/>
          <w:numId w:val="104"/>
        </w:numPr>
      </w:pPr>
      <w:r w:rsidRPr="007C48F3">
        <w:t>Any regulatory activities undertaken by the ODC in relation to vapes will not be subject to cost recovery</w:t>
      </w:r>
      <w:r w:rsidR="00633D89">
        <w:t>.</w:t>
      </w:r>
    </w:p>
    <w:p w14:paraId="4092A3B5" w14:textId="4F5F4E3A" w:rsidR="00F80E14" w:rsidRPr="007C48F3" w:rsidRDefault="00F80E14" w:rsidP="00467EDD">
      <w:pPr>
        <w:pStyle w:val="Bullet1"/>
        <w:numPr>
          <w:ilvl w:val="0"/>
          <w:numId w:val="104"/>
        </w:numPr>
      </w:pPr>
      <w:r w:rsidRPr="007C48F3">
        <w:t>All nicotine vapes (e-liquid and devices) will continue to be manufactured offshore</w:t>
      </w:r>
      <w:r w:rsidR="00633D89">
        <w:t>.</w:t>
      </w:r>
    </w:p>
    <w:p w14:paraId="549F1F49" w14:textId="1648E3FC" w:rsidR="00F80E14" w:rsidRPr="007C48F3" w:rsidRDefault="00F80E14" w:rsidP="00467EDD">
      <w:pPr>
        <w:pStyle w:val="Bullet1"/>
        <w:numPr>
          <w:ilvl w:val="0"/>
          <w:numId w:val="104"/>
        </w:numPr>
      </w:pPr>
      <w:r w:rsidRPr="007C48F3">
        <w:t>Companies involved with the importation of nicotine vapes into Australia are experienced importers</w:t>
      </w:r>
      <w:r w:rsidR="00633D89">
        <w:t>.</w:t>
      </w:r>
    </w:p>
    <w:p w14:paraId="778006C3" w14:textId="055EF705" w:rsidR="00F80E14" w:rsidRPr="007C48F3" w:rsidRDefault="00F80E14" w:rsidP="00467EDD">
      <w:pPr>
        <w:pStyle w:val="Bullet1"/>
        <w:numPr>
          <w:ilvl w:val="0"/>
          <w:numId w:val="104"/>
        </w:numPr>
      </w:pPr>
      <w:r w:rsidRPr="007C48F3">
        <w:t>Each importer will import one consignment per quarter</w:t>
      </w:r>
      <w:r w:rsidR="00633D89">
        <w:t>.</w:t>
      </w:r>
    </w:p>
    <w:p w14:paraId="05905F7A" w14:textId="27371E56" w:rsidR="00F80E14" w:rsidRDefault="00F80E14" w:rsidP="00467EDD">
      <w:pPr>
        <w:pStyle w:val="Bullet1"/>
        <w:numPr>
          <w:ilvl w:val="0"/>
          <w:numId w:val="104"/>
        </w:numPr>
      </w:pPr>
      <w:r w:rsidRPr="007C48F3">
        <w:t>Each sponsor will have four different formulations of vapes (hence 4 permits per year)</w:t>
      </w:r>
      <w:r w:rsidR="00633D89">
        <w:t>.</w:t>
      </w:r>
    </w:p>
    <w:p w14:paraId="42D65EAB" w14:textId="08938078" w:rsidR="007C48F3" w:rsidRPr="007C48F3" w:rsidRDefault="007C48F3" w:rsidP="00467EDD">
      <w:pPr>
        <w:pStyle w:val="Bullet1"/>
        <w:numPr>
          <w:ilvl w:val="0"/>
          <w:numId w:val="104"/>
        </w:numPr>
      </w:pPr>
      <w:r w:rsidRPr="007C48F3">
        <w:t xml:space="preserve">The </w:t>
      </w:r>
      <w:r>
        <w:t>t</w:t>
      </w:r>
      <w:r w:rsidRPr="007C48F3">
        <w:t>ime spent by sponsors to complete licence application</w:t>
      </w:r>
      <w:r>
        <w:t xml:space="preserve"> is considered an upper estimate</w:t>
      </w:r>
      <w:r w:rsidR="00633D89">
        <w:t>.</w:t>
      </w:r>
    </w:p>
    <w:p w14:paraId="0EAB8FE2" w14:textId="1DB42A0D" w:rsidR="00F80E14" w:rsidRPr="007C48F3" w:rsidRDefault="00F80E14" w:rsidP="00467EDD">
      <w:pPr>
        <w:pStyle w:val="Bullet1"/>
        <w:numPr>
          <w:ilvl w:val="0"/>
          <w:numId w:val="104"/>
        </w:numPr>
      </w:pPr>
      <w:r w:rsidRPr="007C48F3">
        <w:t>Over the 10-year period of the regulatory costing, sponsors will update their product range with 3 new products</w:t>
      </w:r>
      <w:r w:rsidR="006B35F1" w:rsidRPr="007C48F3">
        <w:t>,</w:t>
      </w:r>
      <w:r w:rsidRPr="007C48F3">
        <w:t xml:space="preserve"> but these new products will displace existing products and so will not increase the overall number of permits submitted</w:t>
      </w:r>
      <w:r w:rsidR="00633D89">
        <w:t>.</w:t>
      </w:r>
    </w:p>
    <w:p w14:paraId="66BB8C4B" w14:textId="77777777" w:rsidR="00F80E14" w:rsidRPr="00DE5E5C" w:rsidRDefault="00F80E14" w:rsidP="00467EDD">
      <w:pPr>
        <w:pStyle w:val="Bullet1"/>
        <w:numPr>
          <w:ilvl w:val="0"/>
          <w:numId w:val="104"/>
        </w:numPr>
      </w:pPr>
      <w:r w:rsidRPr="007C48F3">
        <w:lastRenderedPageBreak/>
        <w:t>Most current importers of zero-nicotine e-liquids or vaping devices for non-therapeutic use will pursue other markets rather than pursue the therapeutic pathway to supply vapes.</w:t>
      </w:r>
    </w:p>
    <w:p w14:paraId="4402061E" w14:textId="77777777" w:rsidR="00F80E14" w:rsidRPr="00D83941" w:rsidRDefault="00F80E14" w:rsidP="00F80E14">
      <w:pPr>
        <w:pStyle w:val="Heading6"/>
        <w:rPr>
          <w:b/>
          <w:bCs w:val="0"/>
        </w:rPr>
      </w:pPr>
      <w:r w:rsidRPr="00D83941">
        <w:rPr>
          <w:b/>
          <w:bCs w:val="0"/>
        </w:rPr>
        <w:t>Inputs</w:t>
      </w:r>
    </w:p>
    <w:p w14:paraId="1CB183D1" w14:textId="79E03B36" w:rsidR="00F80E14" w:rsidRPr="007C48F3" w:rsidRDefault="00F80E14" w:rsidP="00467EDD">
      <w:pPr>
        <w:pStyle w:val="Bullet1"/>
        <w:numPr>
          <w:ilvl w:val="0"/>
          <w:numId w:val="105"/>
        </w:numPr>
      </w:pPr>
      <w:r w:rsidRPr="007C48F3">
        <w:t>Number of separate sponsors importing nicotine vapes into Australia = 5</w:t>
      </w:r>
      <w:r w:rsidR="0092697F">
        <w:t>.</w:t>
      </w:r>
    </w:p>
    <w:p w14:paraId="611AB760" w14:textId="25A93B1B" w:rsidR="00F80E14" w:rsidRPr="007C48F3" w:rsidRDefault="00F80E14" w:rsidP="00467EDD">
      <w:pPr>
        <w:pStyle w:val="Bullet1"/>
        <w:numPr>
          <w:ilvl w:val="0"/>
          <w:numId w:val="105"/>
        </w:numPr>
      </w:pPr>
      <w:r w:rsidRPr="007C48F3">
        <w:t>Time spent by sponsors to complete licence application = 16 hours (960 minutes)</w:t>
      </w:r>
      <w:r w:rsidR="0092697F">
        <w:t>.</w:t>
      </w:r>
    </w:p>
    <w:p w14:paraId="58F9BE88" w14:textId="72A101AA" w:rsidR="00F80E14" w:rsidRPr="007C48F3" w:rsidRDefault="00F80E14" w:rsidP="00467EDD">
      <w:pPr>
        <w:pStyle w:val="Bullet1"/>
        <w:numPr>
          <w:ilvl w:val="0"/>
          <w:numId w:val="105"/>
        </w:numPr>
      </w:pPr>
      <w:r w:rsidRPr="007C48F3">
        <w:t>Number of permit applications per sponsor per year = 4 (4 x products)</w:t>
      </w:r>
      <w:r w:rsidR="0092697F">
        <w:t>.</w:t>
      </w:r>
    </w:p>
    <w:p w14:paraId="000F4D63" w14:textId="590A3155" w:rsidR="00F80E14" w:rsidRPr="007C48F3" w:rsidRDefault="00F80E14" w:rsidP="00467EDD">
      <w:pPr>
        <w:pStyle w:val="Bullet1"/>
        <w:numPr>
          <w:ilvl w:val="0"/>
          <w:numId w:val="105"/>
        </w:numPr>
      </w:pPr>
      <w:r w:rsidRPr="007C48F3">
        <w:t>Time spent by licence holders to complete a permit application = 30 minutes</w:t>
      </w:r>
    </w:p>
    <w:p w14:paraId="66188A9B" w14:textId="1E69DCB0" w:rsidR="00F80E14" w:rsidRPr="007C48F3" w:rsidRDefault="00F80E14" w:rsidP="00467EDD">
      <w:pPr>
        <w:pStyle w:val="Bullet1"/>
        <w:numPr>
          <w:ilvl w:val="0"/>
          <w:numId w:val="105"/>
        </w:numPr>
      </w:pPr>
      <w:r w:rsidRPr="007C48F3">
        <w:t>Number of consignments per importer per year = 4</w:t>
      </w:r>
      <w:r w:rsidR="0092697F">
        <w:t>.</w:t>
      </w:r>
    </w:p>
    <w:p w14:paraId="568A4CA0" w14:textId="3D068F58" w:rsidR="00F80E14" w:rsidRPr="007C48F3" w:rsidRDefault="00F80E14" w:rsidP="00467EDD">
      <w:pPr>
        <w:pStyle w:val="Bullet1"/>
        <w:numPr>
          <w:ilvl w:val="0"/>
          <w:numId w:val="105"/>
        </w:numPr>
      </w:pPr>
      <w:r w:rsidRPr="007C48F3">
        <w:t>Time spent by licence holders to compile each activity report = 30 minutes</w:t>
      </w:r>
      <w:r w:rsidR="0092697F">
        <w:t>.</w:t>
      </w:r>
    </w:p>
    <w:p w14:paraId="12AA8852" w14:textId="589125CA" w:rsidR="00F80E14" w:rsidRPr="007C48F3" w:rsidRDefault="00F80E14" w:rsidP="00467EDD">
      <w:pPr>
        <w:pStyle w:val="Bullet1"/>
        <w:numPr>
          <w:ilvl w:val="0"/>
          <w:numId w:val="105"/>
        </w:numPr>
      </w:pPr>
      <w:r w:rsidRPr="007C48F3">
        <w:t>Activity reports per year = 4</w:t>
      </w:r>
      <w:r w:rsidR="0092697F">
        <w:t>.</w:t>
      </w:r>
    </w:p>
    <w:p w14:paraId="333C5E5F" w14:textId="520C65C4" w:rsidR="00F80E14" w:rsidRPr="007C48F3" w:rsidRDefault="00F80E14" w:rsidP="00467EDD">
      <w:pPr>
        <w:pStyle w:val="Bullet1"/>
        <w:numPr>
          <w:ilvl w:val="0"/>
          <w:numId w:val="105"/>
        </w:numPr>
      </w:pPr>
      <w:r w:rsidRPr="007C48F3">
        <w:t>Time spent by importers to enter permit information into import declaration and provide a copy of the permit to the ABF (per consignment) = 5 minutes</w:t>
      </w:r>
      <w:r w:rsidR="0092697F">
        <w:t>.</w:t>
      </w:r>
    </w:p>
    <w:p w14:paraId="2DFD3F46" w14:textId="703964F5" w:rsidR="00F80E14" w:rsidRPr="007C48F3" w:rsidRDefault="00F80E14" w:rsidP="00467EDD">
      <w:pPr>
        <w:pStyle w:val="Bullet1"/>
        <w:numPr>
          <w:ilvl w:val="0"/>
          <w:numId w:val="105"/>
        </w:numPr>
      </w:pPr>
      <w:r w:rsidRPr="007C48F3">
        <w:t>Hourly work-related labour cost = $79.63</w:t>
      </w:r>
      <w:r w:rsidR="0092697F">
        <w:t>.</w:t>
      </w:r>
    </w:p>
    <w:p w14:paraId="67713552" w14:textId="77777777" w:rsidR="00F80E14" w:rsidRPr="00183891" w:rsidRDefault="00F80E14" w:rsidP="00F80E14">
      <w:pPr>
        <w:pStyle w:val="Heading6"/>
        <w:rPr>
          <w:rFonts w:eastAsia="Batang"/>
          <w:b/>
        </w:rPr>
      </w:pPr>
      <w:r w:rsidRPr="00183891">
        <w:rPr>
          <w:rFonts w:eastAsia="Batang"/>
          <w:b/>
        </w:rPr>
        <w:t>Future population (importers/sponsors)</w:t>
      </w:r>
    </w:p>
    <w:p w14:paraId="7D178345" w14:textId="77777777" w:rsidR="00F80E14" w:rsidRDefault="00F80E14" w:rsidP="009510B5">
      <w:r>
        <w:t>Note while figures are shown as rounded, the actual rounding occurs only in the final step.</w:t>
      </w:r>
    </w:p>
    <w:p w14:paraId="0A13F145" w14:textId="77777777" w:rsidR="00F80E14" w:rsidRPr="00CA0992" w:rsidRDefault="00F80E14" w:rsidP="009510B5">
      <w:r w:rsidRPr="000C4377">
        <w:t>Step 1</w:t>
      </w:r>
      <w:r w:rsidRPr="00CA0992">
        <w:t>. Calculate total time in minutes to fulfil regulatory requirement:</w:t>
      </w:r>
      <w:r>
        <w:t xml:space="preserve"> </w:t>
      </w:r>
    </w:p>
    <w:p w14:paraId="3A1B99A4" w14:textId="77777777" w:rsidR="00F80E14" w:rsidRPr="007C48F3" w:rsidRDefault="00F80E14" w:rsidP="0087088D">
      <w:pPr>
        <w:pStyle w:val="Bullet1"/>
        <w:ind w:firstLine="360"/>
      </w:pPr>
      <w:r w:rsidRPr="007C48F3">
        <w:t xml:space="preserve">One-off activities: </w:t>
      </w:r>
    </w:p>
    <w:p w14:paraId="4FE1FD8C" w14:textId="503D8E85" w:rsidR="00F80E14" w:rsidRPr="007C48F3" w:rsidRDefault="00F80E14" w:rsidP="00467EDD">
      <w:pPr>
        <w:pStyle w:val="Bullet1"/>
        <w:numPr>
          <w:ilvl w:val="0"/>
          <w:numId w:val="106"/>
        </w:numPr>
      </w:pPr>
      <w:r w:rsidRPr="007C48F3">
        <w:t>Licence application: Apply for licence (960 minutes) x importer population (5) = 4,800 minutes</w:t>
      </w:r>
      <w:r w:rsidR="0092697F">
        <w:t>.</w:t>
      </w:r>
    </w:p>
    <w:p w14:paraId="2BC8BCF3" w14:textId="77777777" w:rsidR="00F80E14" w:rsidRPr="007C48F3" w:rsidRDefault="00F80E14" w:rsidP="00467EDD">
      <w:pPr>
        <w:pStyle w:val="Bullet1"/>
        <w:numPr>
          <w:ilvl w:val="0"/>
          <w:numId w:val="106"/>
        </w:numPr>
      </w:pPr>
      <w:r w:rsidRPr="007C48F3">
        <w:t xml:space="preserve">Annual activities: </w:t>
      </w:r>
    </w:p>
    <w:p w14:paraId="4F058EFE" w14:textId="24492CF0" w:rsidR="00F80E14" w:rsidRPr="007C48F3" w:rsidRDefault="00F80E14" w:rsidP="0087088D">
      <w:pPr>
        <w:pStyle w:val="Bullet1"/>
        <w:numPr>
          <w:ilvl w:val="1"/>
          <w:numId w:val="106"/>
        </w:numPr>
      </w:pPr>
      <w:r w:rsidRPr="007C48F3">
        <w:t>Permit application (annual): apply for permit (30 minutes) x number of permits per importer per year (4) x importer population (5) = 600 minutes</w:t>
      </w:r>
      <w:r w:rsidR="0092697F">
        <w:t>.</w:t>
      </w:r>
    </w:p>
    <w:p w14:paraId="234B8283" w14:textId="4E895B18" w:rsidR="00F80E14" w:rsidRPr="007C48F3" w:rsidRDefault="00F80E14" w:rsidP="0087088D">
      <w:pPr>
        <w:pStyle w:val="Bullet1"/>
        <w:numPr>
          <w:ilvl w:val="1"/>
          <w:numId w:val="106"/>
        </w:numPr>
      </w:pPr>
      <w:r w:rsidRPr="007C48F3">
        <w:t>Border documentation: provide permit details to ABF (5 minutes)) x number of consignments per importer per year (4) x importer population (5) = 100 minutes</w:t>
      </w:r>
      <w:r w:rsidR="0092697F">
        <w:t>.</w:t>
      </w:r>
    </w:p>
    <w:p w14:paraId="22DAA612" w14:textId="310FF3C6" w:rsidR="00F80E14" w:rsidRPr="007C48F3" w:rsidRDefault="00F80E14" w:rsidP="0087088D">
      <w:pPr>
        <w:pStyle w:val="Bullet1"/>
        <w:numPr>
          <w:ilvl w:val="1"/>
          <w:numId w:val="106"/>
        </w:numPr>
      </w:pPr>
      <w:r w:rsidRPr="007C48F3">
        <w:t>Activity reporting: Complete activity report (30 minutes) x number of reports per year (4) x importer population (5) = 600 minutes</w:t>
      </w:r>
      <w:r w:rsidR="0092697F">
        <w:t>.</w:t>
      </w:r>
    </w:p>
    <w:p w14:paraId="3921C925" w14:textId="708F04AF" w:rsidR="00F80E14" w:rsidRPr="007C48F3" w:rsidRDefault="00F80E14" w:rsidP="002506B0">
      <w:pPr>
        <w:pStyle w:val="Bullet1"/>
        <w:ind w:left="720"/>
      </w:pPr>
      <w:r w:rsidRPr="007C48F3">
        <w:rPr>
          <w:b/>
        </w:rPr>
        <w:t>Summary of annual activities</w:t>
      </w:r>
      <w:r w:rsidRPr="007C48F3">
        <w:t>: annual permit application (6</w:t>
      </w:r>
      <w:r w:rsidR="00280B73">
        <w:t>,</w:t>
      </w:r>
      <w:r w:rsidRPr="007C48F3">
        <w:t xml:space="preserve">000 minutes) + border documentation (100 minutes) + activity reporting (600 minutes) = </w:t>
      </w:r>
      <w:r w:rsidRPr="007C48F3">
        <w:rPr>
          <w:b/>
        </w:rPr>
        <w:t>1,300 minutes.</w:t>
      </w:r>
    </w:p>
    <w:p w14:paraId="602E6AA7" w14:textId="77777777" w:rsidR="00F80E14" w:rsidRPr="00CA0992" w:rsidRDefault="00F80E14" w:rsidP="00F80E14">
      <w:pPr>
        <w:shd w:val="clear" w:color="auto" w:fill="FFFFFF" w:themeFill="background1"/>
      </w:pPr>
      <w:r w:rsidRPr="000C4377">
        <w:t>Step 2</w:t>
      </w:r>
      <w:r w:rsidRPr="00CA0992">
        <w:t>. Calculate total time in hours to fulfil regulatory requirement</w:t>
      </w:r>
      <w:r>
        <w:t xml:space="preserve">: </w:t>
      </w:r>
    </w:p>
    <w:p w14:paraId="6FBE7D2E" w14:textId="403AE304" w:rsidR="00F80E14" w:rsidRPr="007C48F3" w:rsidRDefault="00F80E14" w:rsidP="00467EDD">
      <w:pPr>
        <w:pStyle w:val="Bullet1"/>
        <w:numPr>
          <w:ilvl w:val="0"/>
          <w:numId w:val="107"/>
        </w:numPr>
      </w:pPr>
      <w:r w:rsidRPr="007C48F3">
        <w:t>One-off: 4,800/60 = 80 hours</w:t>
      </w:r>
      <w:r w:rsidR="0092697F">
        <w:t>.</w:t>
      </w:r>
    </w:p>
    <w:p w14:paraId="79D538DB" w14:textId="6A788C81" w:rsidR="00F80E14" w:rsidRPr="007C48F3" w:rsidRDefault="00F80E14" w:rsidP="00467EDD">
      <w:pPr>
        <w:pStyle w:val="Bullet1"/>
        <w:numPr>
          <w:ilvl w:val="0"/>
          <w:numId w:val="107"/>
        </w:numPr>
      </w:pPr>
      <w:r w:rsidRPr="007C48F3">
        <w:t>Annual activities: = 1,300/60 = 21.67 hours</w:t>
      </w:r>
      <w:r w:rsidR="0092697F">
        <w:t>.</w:t>
      </w:r>
    </w:p>
    <w:p w14:paraId="03F3202D" w14:textId="5E4F4175" w:rsidR="00F80E14" w:rsidRDefault="00F80E14" w:rsidP="00F80E14">
      <w:r w:rsidRPr="000C4377">
        <w:t>Step 3</w:t>
      </w:r>
      <w:r w:rsidRPr="00CA0992">
        <w:t>. Apply the hourly rate to determine overall regulatory compliance cost:</w:t>
      </w:r>
      <w:r>
        <w:t xml:space="preserve"> </w:t>
      </w:r>
    </w:p>
    <w:p w14:paraId="21260024" w14:textId="3C16501D" w:rsidR="00F80E14" w:rsidRPr="007C48F3" w:rsidRDefault="00F80E14" w:rsidP="00467EDD">
      <w:pPr>
        <w:pStyle w:val="Bullet1"/>
        <w:numPr>
          <w:ilvl w:val="0"/>
          <w:numId w:val="108"/>
        </w:numPr>
      </w:pPr>
      <w:r w:rsidRPr="007C48F3">
        <w:t>One-off: 80 hours x hourly rate ($79.63) = $6,270.40</w:t>
      </w:r>
      <w:r w:rsidR="0092697F">
        <w:t>.</w:t>
      </w:r>
    </w:p>
    <w:p w14:paraId="49E03BD8" w14:textId="43F8360F" w:rsidR="00F80E14" w:rsidRPr="007C48F3" w:rsidRDefault="00F80E14" w:rsidP="00467EDD">
      <w:pPr>
        <w:pStyle w:val="Bullet1"/>
        <w:numPr>
          <w:ilvl w:val="0"/>
          <w:numId w:val="108"/>
        </w:numPr>
      </w:pPr>
      <w:r w:rsidRPr="007C48F3">
        <w:t>Annual activities: 21.67 hours x hourly rate ($79.63) = $1,725.32</w:t>
      </w:r>
      <w:r w:rsidR="0092697F">
        <w:t>.</w:t>
      </w:r>
    </w:p>
    <w:p w14:paraId="3A64B459" w14:textId="77777777" w:rsidR="00F80E14" w:rsidRDefault="00F80E14" w:rsidP="00F80E14">
      <w:pPr>
        <w:pStyle w:val="Bullet1"/>
      </w:pPr>
      <w:r>
        <w:t>Step 4. Determine the average annual cost over the ten-year default period for regulatory changes:</w:t>
      </w:r>
    </w:p>
    <w:p w14:paraId="44677CDE" w14:textId="144AB6C5" w:rsidR="00F80E14" w:rsidRPr="007C48F3" w:rsidRDefault="00F80E14" w:rsidP="00467EDD">
      <w:pPr>
        <w:pStyle w:val="Bullet1"/>
        <w:numPr>
          <w:ilvl w:val="0"/>
          <w:numId w:val="109"/>
        </w:numPr>
      </w:pPr>
      <w:r w:rsidRPr="007C48F3">
        <w:t>$637.04 ($6,270.40/10) (one-off costs) + $1,725.32 (annual costs) = $2,362.36</w:t>
      </w:r>
      <w:r w:rsidR="0092697F">
        <w:t>.</w:t>
      </w:r>
    </w:p>
    <w:p w14:paraId="512E35E0" w14:textId="7DE6C07E" w:rsidR="00F80E14" w:rsidRPr="007C48F3" w:rsidRDefault="00F80E14" w:rsidP="00467EDD">
      <w:pPr>
        <w:pStyle w:val="Bullet1"/>
        <w:numPr>
          <w:ilvl w:val="0"/>
          <w:numId w:val="109"/>
        </w:numPr>
      </w:pPr>
      <w:r w:rsidRPr="007C48F3">
        <w:t>Average annual cost = $2,362.36 or $0.002m</w:t>
      </w:r>
      <w:r w:rsidR="0092697F">
        <w:t>.</w:t>
      </w:r>
    </w:p>
    <w:p w14:paraId="46841166" w14:textId="77777777" w:rsidR="00F80E14" w:rsidRDefault="00F80E14" w:rsidP="00EF4529">
      <w:pPr>
        <w:pStyle w:val="Heading5"/>
      </w:pPr>
      <w:r w:rsidRPr="00915D20">
        <w:lastRenderedPageBreak/>
        <w:t>Require</w:t>
      </w:r>
      <w:r>
        <w:t>ment for</w:t>
      </w:r>
      <w:r w:rsidRPr="00915D20">
        <w:t xml:space="preserve"> a pre-market notification of</w:t>
      </w:r>
      <w:r>
        <w:t xml:space="preserve"> vapes </w:t>
      </w:r>
      <w:r w:rsidRPr="00915D20">
        <w:t xml:space="preserve">to the TGA supported by evidentiary </w:t>
      </w:r>
      <w:r w:rsidRPr="00EF4529">
        <w:t>documentation</w:t>
      </w:r>
    </w:p>
    <w:p w14:paraId="539C56F0" w14:textId="77777777" w:rsidR="00F80E14" w:rsidRDefault="00F80E14" w:rsidP="00EF4529">
      <w:r>
        <w:t xml:space="preserve">It is envisaged that pre-market notification </w:t>
      </w:r>
      <w:r w:rsidRPr="00AD3A89">
        <w:t>will be provided on a paper-based</w:t>
      </w:r>
      <w:r>
        <w:t xml:space="preserve"> form. </w:t>
      </w:r>
      <w:r w:rsidRPr="003843A4">
        <w:t xml:space="preserve">It is intended that the sponsor of </w:t>
      </w:r>
      <w:r>
        <w:t>the vapes</w:t>
      </w:r>
      <w:r w:rsidRPr="003843A4">
        <w:t xml:space="preserve"> will complete a declaration stating that each of their products compl</w:t>
      </w:r>
      <w:r>
        <w:t>ies</w:t>
      </w:r>
      <w:r w:rsidRPr="003843A4">
        <w:t xml:space="preserve"> with all specified matters in </w:t>
      </w:r>
      <w:r>
        <w:t xml:space="preserve">the revised </w:t>
      </w:r>
      <w:r w:rsidRPr="003843A4">
        <w:t>TGO 110</w:t>
      </w:r>
      <w:r>
        <w:t>, including e-liquid composition and device safety and quality requirements</w:t>
      </w:r>
      <w:r w:rsidRPr="003843A4">
        <w:t>. This declaration is therefore likely to be limited to one per sponsor</w:t>
      </w:r>
      <w:r>
        <w:t>, per formulation</w:t>
      </w:r>
      <w:r w:rsidRPr="003843A4">
        <w:t>.</w:t>
      </w:r>
      <w:r>
        <w:t xml:space="preserve"> While notifications are perpetual, new notifications will need to be provided if new formulations are added to the supplier's product range.</w:t>
      </w:r>
      <w:r w:rsidRPr="003843A4">
        <w:t xml:space="preserve"> </w:t>
      </w:r>
      <w:r>
        <w:t xml:space="preserve">Although the notification form has yet to be designed, it is estimated that this form will take 20 minutes to complete and submit. </w:t>
      </w:r>
    </w:p>
    <w:p w14:paraId="2FC009B5" w14:textId="77777777" w:rsidR="00F80E14" w:rsidRDefault="00F80E14" w:rsidP="00EF4529">
      <w:r w:rsidRPr="003843A4">
        <w:t xml:space="preserve">It is a legal requirement that the sponsor </w:t>
      </w:r>
      <w:r>
        <w:t>produce</w:t>
      </w:r>
      <w:r w:rsidRPr="003843A4">
        <w:t xml:space="preserve"> upon demand by the TGA evidence to demonstrate how they have met the matters specified in TG</w:t>
      </w:r>
      <w:r>
        <w:t>O</w:t>
      </w:r>
      <w:r w:rsidRPr="003843A4">
        <w:t xml:space="preserve"> 110.</w:t>
      </w:r>
      <w:r>
        <w:t xml:space="preserve"> It is expected that this evidence is held for each batch of vapes supplied. The testing required on the e-liquid is expected to be equivalent to the current level of testing, but for demonstration of the device components some additional cost is expected, and this has been rolled into the overall costs to meet revised TGO 110 specifications.</w:t>
      </w:r>
    </w:p>
    <w:p w14:paraId="75413A65" w14:textId="77777777" w:rsidR="00F80E14" w:rsidRDefault="00F80E14" w:rsidP="00EF4529">
      <w:r>
        <w:t xml:space="preserve">Although the notification form has yet to be designed, it is estimated that this form will take 20 minutes to complete and submit. </w:t>
      </w:r>
    </w:p>
    <w:p w14:paraId="626A2622" w14:textId="77777777" w:rsidR="00F80E14" w:rsidRDefault="00F80E14" w:rsidP="00EF4529">
      <w:r>
        <w:t>Overall regulatory burden of the proposed regulatory changes</w:t>
      </w:r>
    </w:p>
    <w:p w14:paraId="1D45C07E" w14:textId="77777777" w:rsidR="00F80E14" w:rsidRPr="00D83941" w:rsidRDefault="00F80E14" w:rsidP="00EF4529">
      <w:pPr>
        <w:pStyle w:val="Heading6"/>
        <w:rPr>
          <w:rFonts w:eastAsia="Batang"/>
          <w:b/>
          <w:bCs w:val="0"/>
        </w:rPr>
      </w:pPr>
      <w:r w:rsidRPr="00D83941">
        <w:rPr>
          <w:rFonts w:eastAsia="Batang"/>
          <w:b/>
          <w:bCs w:val="0"/>
        </w:rPr>
        <w:t>Key assumptions</w:t>
      </w:r>
    </w:p>
    <w:p w14:paraId="17F668F5" w14:textId="77777777" w:rsidR="00F80E14" w:rsidRPr="007C48F3" w:rsidRDefault="00F80E14" w:rsidP="00467EDD">
      <w:pPr>
        <w:pStyle w:val="Bullet1"/>
        <w:numPr>
          <w:ilvl w:val="0"/>
          <w:numId w:val="110"/>
        </w:numPr>
      </w:pPr>
      <w:r w:rsidRPr="007C48F3">
        <w:t>Pre-market notifications will be provided on a paper-based form which will be printed, scanned and emailed, rather than online via TGA Business Services (TBS).</w:t>
      </w:r>
    </w:p>
    <w:p w14:paraId="632547E8" w14:textId="77777777" w:rsidR="00F80E14" w:rsidRPr="007C48F3" w:rsidRDefault="00F80E14" w:rsidP="00467EDD">
      <w:pPr>
        <w:pStyle w:val="Bullet1"/>
        <w:numPr>
          <w:ilvl w:val="0"/>
          <w:numId w:val="110"/>
        </w:numPr>
      </w:pPr>
      <w:r w:rsidRPr="007C48F3">
        <w:t>Any regulatory activities undertaken by the TGA in relation to vapes will not be subject to cost recovery.</w:t>
      </w:r>
    </w:p>
    <w:p w14:paraId="2844855F" w14:textId="77777777" w:rsidR="00F80E14" w:rsidRPr="007C48F3" w:rsidRDefault="00F80E14" w:rsidP="00467EDD">
      <w:pPr>
        <w:pStyle w:val="Bullet1"/>
        <w:numPr>
          <w:ilvl w:val="0"/>
          <w:numId w:val="110"/>
        </w:numPr>
      </w:pPr>
      <w:r w:rsidRPr="007C48F3">
        <w:t>Each sponsor will have 4 vape products when they complete the initial round of pre-market notifications.</w:t>
      </w:r>
    </w:p>
    <w:p w14:paraId="67BD4B2D" w14:textId="77777777" w:rsidR="00F80E14" w:rsidRPr="007C48F3" w:rsidRDefault="00F80E14" w:rsidP="00467EDD">
      <w:pPr>
        <w:pStyle w:val="Bullet1"/>
        <w:numPr>
          <w:ilvl w:val="0"/>
          <w:numId w:val="110"/>
        </w:numPr>
      </w:pPr>
      <w:r w:rsidRPr="007C48F3">
        <w:t>Three new products will be added to the vape range per sponsor over a 10-year period.</w:t>
      </w:r>
    </w:p>
    <w:p w14:paraId="63F9E9FE" w14:textId="77777777" w:rsidR="00F80E14" w:rsidRPr="00D83941" w:rsidRDefault="00F80E14" w:rsidP="00EF4529">
      <w:pPr>
        <w:pStyle w:val="Heading6"/>
        <w:rPr>
          <w:b/>
          <w:bCs w:val="0"/>
        </w:rPr>
      </w:pPr>
      <w:r w:rsidRPr="00D83941">
        <w:rPr>
          <w:b/>
          <w:bCs w:val="0"/>
        </w:rPr>
        <w:t>Inputs</w:t>
      </w:r>
    </w:p>
    <w:p w14:paraId="05929DA7" w14:textId="30C46304" w:rsidR="00F80E14" w:rsidRPr="007C48F3" w:rsidRDefault="00F80E14" w:rsidP="00467EDD">
      <w:pPr>
        <w:pStyle w:val="Bullet1"/>
        <w:numPr>
          <w:ilvl w:val="0"/>
          <w:numId w:val="111"/>
        </w:numPr>
      </w:pPr>
      <w:r w:rsidRPr="007C48F3">
        <w:t>Number of sponsors of vapes in Australia = 5</w:t>
      </w:r>
      <w:r w:rsidR="0092697F">
        <w:t>.</w:t>
      </w:r>
    </w:p>
    <w:p w14:paraId="64B6C41E" w14:textId="184768EB" w:rsidR="00F80E14" w:rsidRPr="007C48F3" w:rsidRDefault="00F80E14" w:rsidP="00467EDD">
      <w:pPr>
        <w:pStyle w:val="Bullet1"/>
        <w:numPr>
          <w:ilvl w:val="0"/>
          <w:numId w:val="111"/>
        </w:numPr>
      </w:pPr>
      <w:r w:rsidRPr="007C48F3">
        <w:t>Time spent by importation licence holders to compile pre-market notification = 20 minutes</w:t>
      </w:r>
      <w:r w:rsidR="0092697F">
        <w:t>.</w:t>
      </w:r>
      <w:r w:rsidRPr="007C48F3">
        <w:t xml:space="preserve"> </w:t>
      </w:r>
    </w:p>
    <w:p w14:paraId="528E926E" w14:textId="269E9BBD" w:rsidR="00F80E14" w:rsidRPr="007C48F3" w:rsidRDefault="00F80E14" w:rsidP="00467EDD">
      <w:pPr>
        <w:pStyle w:val="Bullet1"/>
        <w:numPr>
          <w:ilvl w:val="0"/>
          <w:numId w:val="111"/>
        </w:numPr>
      </w:pPr>
      <w:r w:rsidRPr="007C48F3">
        <w:t>Hourly work-related labour cost = $79.63</w:t>
      </w:r>
      <w:r w:rsidR="0092697F">
        <w:t>.</w:t>
      </w:r>
    </w:p>
    <w:p w14:paraId="42947681" w14:textId="77777777" w:rsidR="00F80E14" w:rsidRPr="00183891" w:rsidRDefault="00F80E14" w:rsidP="00EF4529">
      <w:pPr>
        <w:pStyle w:val="Heading6"/>
        <w:rPr>
          <w:rFonts w:eastAsia="Batang"/>
          <w:b/>
        </w:rPr>
      </w:pPr>
      <w:r w:rsidRPr="00183891">
        <w:rPr>
          <w:rFonts w:eastAsia="Batang"/>
          <w:b/>
        </w:rPr>
        <w:t>Future population (importers/sponsors)</w:t>
      </w:r>
    </w:p>
    <w:p w14:paraId="549305F5" w14:textId="77777777" w:rsidR="00F80E14" w:rsidRDefault="00F80E14" w:rsidP="00EF4529">
      <w:r>
        <w:t>Note while figures are shown as rounded, the actual rounding occurs only in the final step.</w:t>
      </w:r>
      <w:r w:rsidRPr="000C4377">
        <w:t xml:space="preserve"> </w:t>
      </w:r>
    </w:p>
    <w:p w14:paraId="275872B4" w14:textId="77777777" w:rsidR="00F80E14" w:rsidRPr="00CA0992" w:rsidRDefault="00F80E14" w:rsidP="00F80E14">
      <w:pPr>
        <w:shd w:val="clear" w:color="auto" w:fill="FFFFFF" w:themeFill="background1"/>
      </w:pPr>
      <w:r w:rsidRPr="000C4377">
        <w:t>Step 1</w:t>
      </w:r>
      <w:r w:rsidRPr="00CA0992">
        <w:t>. Calculate total time in minutes to fulfil regulatory requirement:</w:t>
      </w:r>
      <w:r>
        <w:t xml:space="preserve"> </w:t>
      </w:r>
    </w:p>
    <w:p w14:paraId="0735300C" w14:textId="16DDC4FB" w:rsidR="00F80E14" w:rsidRPr="007C48F3" w:rsidRDefault="00F80E14" w:rsidP="00467EDD">
      <w:pPr>
        <w:pStyle w:val="Bullet1"/>
        <w:numPr>
          <w:ilvl w:val="0"/>
          <w:numId w:val="112"/>
        </w:numPr>
      </w:pPr>
      <w:r w:rsidRPr="007C48F3">
        <w:t xml:space="preserve">Aggregated activities (over a 10-year period): complete pre-market notification (20 minutes) x number of notifications over 10 years ((4 (initial products) +3 (new products)) </w:t>
      </w:r>
      <w:r w:rsidRPr="007C48F3">
        <w:rPr>
          <w:color w:val="000000" w:themeColor="text1"/>
        </w:rPr>
        <w:t>x importer population (5)) = 700 minutes</w:t>
      </w:r>
      <w:r w:rsidR="0092697F">
        <w:rPr>
          <w:color w:val="000000" w:themeColor="text1"/>
        </w:rPr>
        <w:t>.</w:t>
      </w:r>
    </w:p>
    <w:p w14:paraId="1E80E8DF" w14:textId="77777777" w:rsidR="00F80E14" w:rsidRPr="00CA0992" w:rsidRDefault="00F80E14" w:rsidP="00F80E14">
      <w:pPr>
        <w:shd w:val="clear" w:color="auto" w:fill="FFFFFF" w:themeFill="background1"/>
      </w:pPr>
      <w:r w:rsidRPr="000C4377">
        <w:t>Step 2</w:t>
      </w:r>
      <w:r w:rsidRPr="00CA0992">
        <w:t>. Calculate total time in hours to fulfil regulatory requirement</w:t>
      </w:r>
      <w:r>
        <w:t xml:space="preserve">: </w:t>
      </w:r>
    </w:p>
    <w:p w14:paraId="52726271" w14:textId="51B45480" w:rsidR="00F80E14" w:rsidRPr="007C48F3" w:rsidRDefault="00F80E14" w:rsidP="00467EDD">
      <w:pPr>
        <w:pStyle w:val="Bullet1"/>
        <w:numPr>
          <w:ilvl w:val="0"/>
          <w:numId w:val="112"/>
        </w:numPr>
      </w:pPr>
      <w:r w:rsidRPr="007C48F3">
        <w:t>One-off: 700/60 = 11.67 hours</w:t>
      </w:r>
      <w:r w:rsidR="0092697F">
        <w:t>.</w:t>
      </w:r>
    </w:p>
    <w:p w14:paraId="09376212" w14:textId="77777777" w:rsidR="00F80E14" w:rsidRDefault="00F80E14" w:rsidP="00F80E14">
      <w:r w:rsidRPr="000C4377">
        <w:t>Step 3</w:t>
      </w:r>
      <w:r w:rsidRPr="00CA0992">
        <w:t>. Apply the hourly rate to determine overall regulatory compliance cost:</w:t>
      </w:r>
      <w:r>
        <w:t xml:space="preserve"> </w:t>
      </w:r>
    </w:p>
    <w:p w14:paraId="2CB9F7ED" w14:textId="08160182" w:rsidR="00F80E14" w:rsidRPr="007C48F3" w:rsidRDefault="00F80E14" w:rsidP="00467EDD">
      <w:pPr>
        <w:pStyle w:val="Bullet1"/>
        <w:numPr>
          <w:ilvl w:val="0"/>
          <w:numId w:val="112"/>
        </w:numPr>
      </w:pPr>
      <w:r w:rsidRPr="007C48F3">
        <w:t>Aggregated: 11.67 hours x hourly rate ($79.63) = $929.02</w:t>
      </w:r>
      <w:r w:rsidR="0092697F">
        <w:t>.</w:t>
      </w:r>
    </w:p>
    <w:p w14:paraId="7568F917" w14:textId="77777777" w:rsidR="00F80E14" w:rsidRDefault="00F80E14" w:rsidP="00F80E14">
      <w:pPr>
        <w:pStyle w:val="Bullet1"/>
      </w:pPr>
      <w:r>
        <w:t>Step 4. Determine the average annual cost over the ten-year default period for regulatory changes:</w:t>
      </w:r>
    </w:p>
    <w:p w14:paraId="5728D7D2" w14:textId="1E0C2250" w:rsidR="00F80E14" w:rsidRPr="007C48F3" w:rsidRDefault="00F80E14" w:rsidP="00467EDD">
      <w:pPr>
        <w:pStyle w:val="Bullet1"/>
        <w:numPr>
          <w:ilvl w:val="0"/>
          <w:numId w:val="112"/>
        </w:numPr>
      </w:pPr>
      <w:r w:rsidRPr="007C48F3">
        <w:t>$929.02/10 = $92.90</w:t>
      </w:r>
      <w:r w:rsidR="0092697F">
        <w:t>.</w:t>
      </w:r>
      <w:r w:rsidRPr="007C48F3">
        <w:t xml:space="preserve"> </w:t>
      </w:r>
    </w:p>
    <w:p w14:paraId="54EC85DA" w14:textId="250CC0DE" w:rsidR="00F80E14" w:rsidRPr="007C48F3" w:rsidRDefault="00F80E14" w:rsidP="00467EDD">
      <w:pPr>
        <w:pStyle w:val="Bullet1"/>
        <w:numPr>
          <w:ilvl w:val="0"/>
          <w:numId w:val="112"/>
        </w:numPr>
      </w:pPr>
      <w:r w:rsidRPr="007C48F3">
        <w:t>Average annual cost = $92.90 ($93)</w:t>
      </w:r>
      <w:r w:rsidR="0092697F">
        <w:t>.</w:t>
      </w:r>
      <w:r w:rsidRPr="007C48F3">
        <w:t xml:space="preserve">  </w:t>
      </w:r>
    </w:p>
    <w:p w14:paraId="10D7F1FC" w14:textId="77777777" w:rsidR="00F80E14" w:rsidRDefault="00F80E14" w:rsidP="00356009">
      <w:pPr>
        <w:pStyle w:val="Heading5"/>
      </w:pPr>
      <w:r>
        <w:lastRenderedPageBreak/>
        <w:t xml:space="preserve">Meeting revised requirements </w:t>
      </w:r>
      <w:r w:rsidRPr="00356009">
        <w:t>for</w:t>
      </w:r>
      <w:r>
        <w:t xml:space="preserve"> TGO 110</w:t>
      </w:r>
    </w:p>
    <w:p w14:paraId="476B18B4" w14:textId="77777777" w:rsidR="00F80E14" w:rsidRPr="000B0002" w:rsidRDefault="00F80E14" w:rsidP="00356009">
      <w:r>
        <w:t>The supply of vapes will need to accord with the revised TGO 110 (Measure 3) and as such it is anticipated that over the ten-year period of the regulatory costing there will likely be no more than 5 legal importers.</w:t>
      </w:r>
      <w:r>
        <w:rPr>
          <w:rStyle w:val="FootnoteReference"/>
        </w:rPr>
        <w:footnoteReference w:id="121"/>
      </w:r>
      <w:r>
        <w:t xml:space="preserve"> It is assumed that the current importers of vaping devices (without associated nicotine e-liquid) and zero-nicotine e-liquids, as well as the domestic manufacturers of zero-nicotine e-liquid, will exit the market. The underlying rationale for the small number of sponsors is that the impact of the proposed changes to TGO 110, particularly in relation to formulation of the nicotine e-liquid and the safety and quality requirements for vaping devices, will reduce the scope for product and therefore brand differentiation. </w:t>
      </w:r>
    </w:p>
    <w:p w14:paraId="729F8828" w14:textId="77777777" w:rsidR="00F80E14" w:rsidRDefault="00F80E14" w:rsidP="007A79F1">
      <w:r>
        <w:t xml:space="preserve">Collectively, the requirements outlined in TGO 110 are internationally unique, and are likely to require some level of re-formulation and/or packaging specific for the Australian market. Below we have outlined the likely impact for each set of requirements, and these have been costed collectively. This is largely due to the limited availability of data from the sector and large variation of individual costs for each supplier. </w:t>
      </w:r>
    </w:p>
    <w:p w14:paraId="58319F25" w14:textId="77777777" w:rsidR="007C48F3" w:rsidRDefault="00F80E14" w:rsidP="00356009">
      <w:pPr>
        <w:pStyle w:val="Heading5"/>
        <w:rPr>
          <w:b w:val="0"/>
        </w:rPr>
      </w:pPr>
      <w:r>
        <w:t>Pharmaceutical-like packaging</w:t>
      </w:r>
    </w:p>
    <w:p w14:paraId="6D374D68" w14:textId="23BDFFE1" w:rsidR="00F80E14" w:rsidRDefault="00F80E14" w:rsidP="00356009">
      <w:r>
        <w:t>The vast majority of nicotine e-liquids worldwide are not supplied in plain packaging, but pharmaceutical or ‘plain’ packaging is required in Israel and has been proposed but not yet enacted in the Netherlands.</w:t>
      </w:r>
      <w:r>
        <w:rPr>
          <w:rStyle w:val="FootnoteReference"/>
        </w:rPr>
        <w:footnoteReference w:id="122"/>
      </w:r>
      <w:r>
        <w:t xml:space="preserve"> It is noted, however, that some existing nicotine e-liquid suppliers in Australia are going down the pharmaceutical pathway have also moved substantially towards plain packaging, with others being supportive of its introduction. </w:t>
      </w:r>
    </w:p>
    <w:p w14:paraId="7DA177C1" w14:textId="77777777" w:rsidR="00F80E14" w:rsidRDefault="00F80E14" w:rsidP="00356009">
      <w:r>
        <w:t xml:space="preserve">While plain packaging is widespread in the pharmaceutical industry and is becoming more prevalent in the manufacture of traditional tobacco products such as cigarettes, the cross-over of the manufacturing base of these industries and that for vapes is not known at this time. If plain packaging requirements are restricted to cardboard outer packaging, then the switch-over is relatively straightforward, particularly if the implementation period crosses over standard industry rebranding cycles. In this instance, the revised packaging would need to be passed to a graphic designer with the inhouse management/legal team signing-off on the packaging mock-up. The revised design is then forwarded to a commercial printer to produce the outer packaging, which is delivered to the production facility for incorporation into the production run. The incorporation of plain packaging requirements becomes more complicated when applied to the immediate packaging of the therapeutic product. </w:t>
      </w:r>
    </w:p>
    <w:p w14:paraId="367C1363" w14:textId="77777777" w:rsidR="00F80E14" w:rsidRPr="00295B66" w:rsidRDefault="00F80E14" w:rsidP="00356009">
      <w:r>
        <w:t xml:space="preserve">The switch to plain packaging for vapes is likely to entail substantial compliance costs as, at least in the short term, separate production runs would likely need to be set up by overseas manufacturers to specifically provide product for the Australian market, noting that other markets exist for products that accord with the flavour and nicotine concentrations being considered. These costs have not been separately estimated. </w:t>
      </w:r>
    </w:p>
    <w:p w14:paraId="4412489E" w14:textId="77777777" w:rsidR="007C48F3" w:rsidRDefault="00F80E14" w:rsidP="00356009">
      <w:pPr>
        <w:pStyle w:val="Heading5"/>
        <w:rPr>
          <w:b w:val="0"/>
        </w:rPr>
      </w:pPr>
      <w:r>
        <w:t>Restricting other ingredients in the e-liquid</w:t>
      </w:r>
    </w:p>
    <w:p w14:paraId="51008293" w14:textId="7377555A" w:rsidR="00F80E14" w:rsidRPr="00BD75EB" w:rsidRDefault="00F80E14" w:rsidP="00356009">
      <w:pPr>
        <w:rPr>
          <w:b/>
          <w:bCs/>
        </w:rPr>
      </w:pPr>
      <w:r w:rsidRPr="00EF70DB">
        <w:t xml:space="preserve">The current requirements </w:t>
      </w:r>
      <w:r>
        <w:t xml:space="preserve">set out in TGO 110 for the quality of the e-liquid are not changing substantially under these reforms. In fact, the testing requirements to demonstrate compliance are expected to be lower than required by other countries, where the absence of specified prohibited </w:t>
      </w:r>
      <w:r>
        <w:lastRenderedPageBreak/>
        <w:t>ingredients must be demonstrated. It is not expected that formulation changes will need to be made to meet the new requirements.</w:t>
      </w:r>
    </w:p>
    <w:p w14:paraId="7FB7E4E0" w14:textId="77777777" w:rsidR="007C48F3" w:rsidRDefault="00F80E14" w:rsidP="00356009">
      <w:pPr>
        <w:pStyle w:val="Heading5"/>
        <w:rPr>
          <w:b w:val="0"/>
        </w:rPr>
      </w:pPr>
      <w:r>
        <w:t>Flavours</w:t>
      </w:r>
    </w:p>
    <w:p w14:paraId="1B9E116E" w14:textId="76143165" w:rsidR="00F80E14" w:rsidRDefault="00F80E14" w:rsidP="00356009">
      <w:r>
        <w:t xml:space="preserve">As noted in the November 2022 TGA consultation paper, several comparable international regulators have restricted or indicated an intention to restrict flavours. A cursory review of online international vaping retailers reveals that the flavours being considered for nicotine e-liquids are readily available. Additionally, existing nicotine e-liquid suppliers in Australia going down the therapeutic pathway already utilise the likely flavours being considered. However, if the formulation of the flavours is different to the current vapes, such as restricting the amount of menthol present, then there would be a substantial additional regulatory cost to manufacturers. </w:t>
      </w:r>
    </w:p>
    <w:p w14:paraId="6E0F0A4D" w14:textId="77777777" w:rsidR="007C48F3" w:rsidRDefault="00F80E14" w:rsidP="00356009">
      <w:pPr>
        <w:pStyle w:val="Heading5"/>
        <w:rPr>
          <w:b w:val="0"/>
        </w:rPr>
      </w:pPr>
      <w:r>
        <w:t>Nicotine concentration</w:t>
      </w:r>
    </w:p>
    <w:p w14:paraId="1A0F5C24" w14:textId="191FA524" w:rsidR="00F80E14" w:rsidRPr="00F004E8" w:rsidRDefault="00F80E14" w:rsidP="00356009">
      <w:r>
        <w:t>As noted in the November 2022 TGA consultation paper, at least 34 other international regulators, including the UK, Canada, Saudi Arabia and the EU countries, have set maximum freebase nicotine concentrations for nicotine e-liquid. The likely Australian sponsors for vapes should be able to readily obtain e-liquid of the specified maximum concentration from overseas suppliers. Some vapes containing higher concentrations of nicotine may be prohibited, but re-formulation is not expected, hence there would be no direct regulatory cost.</w:t>
      </w:r>
    </w:p>
    <w:p w14:paraId="127BA752" w14:textId="77777777" w:rsidR="007C48F3" w:rsidRDefault="00F80E14" w:rsidP="00356009">
      <w:pPr>
        <w:pStyle w:val="Heading5"/>
        <w:rPr>
          <w:b w:val="0"/>
        </w:rPr>
      </w:pPr>
      <w:r>
        <w:t>M</w:t>
      </w:r>
      <w:r w:rsidRPr="00210C8A">
        <w:t>edical devices considerations</w:t>
      </w:r>
    </w:p>
    <w:p w14:paraId="5A4E86E0" w14:textId="64F47D66" w:rsidR="00F80E14" w:rsidRDefault="00F80E14" w:rsidP="00F80E14">
      <w:r w:rsidRPr="00356009">
        <w:t>The revised TGO 110 will also establish our requirements to address the safety and quality for device components of vapes. Based on feedback from the consultation, most manufacturers of vapes manufacturers stated that they are familiar with international standards (FDA, MHRA and EU) for devices, and all but one meet QMS requirements. Based on this feedback the cost to individual manufacturers of meeting these requirements</w:t>
      </w:r>
      <w:r>
        <w:t xml:space="preserve"> will vary greatly, but it will be substantial for some.</w:t>
      </w:r>
    </w:p>
    <w:p w14:paraId="11992940" w14:textId="77777777" w:rsidR="00F80E14" w:rsidRDefault="00F80E14" w:rsidP="00356009">
      <w:pPr>
        <w:pStyle w:val="Heading5"/>
      </w:pPr>
      <w:r w:rsidRPr="00356009">
        <w:t>Overall</w:t>
      </w:r>
      <w:r>
        <w:t xml:space="preserve"> regulatory burden of the proposed regulatory changes</w:t>
      </w:r>
    </w:p>
    <w:p w14:paraId="3BD048FA" w14:textId="77777777" w:rsidR="00F80E14" w:rsidRPr="00D83941" w:rsidRDefault="00F80E14" w:rsidP="00356009">
      <w:pPr>
        <w:pStyle w:val="Heading6"/>
        <w:rPr>
          <w:rFonts w:eastAsia="Batang"/>
          <w:b/>
          <w:bCs w:val="0"/>
        </w:rPr>
      </w:pPr>
      <w:r w:rsidRPr="00D83941">
        <w:rPr>
          <w:rFonts w:eastAsia="Batang"/>
          <w:b/>
          <w:bCs w:val="0"/>
        </w:rPr>
        <w:t>Key assumptions</w:t>
      </w:r>
    </w:p>
    <w:p w14:paraId="408C78A9" w14:textId="77777777" w:rsidR="00F80E14" w:rsidRPr="007C48F3" w:rsidRDefault="00F80E14" w:rsidP="00467EDD">
      <w:pPr>
        <w:pStyle w:val="Bullet1"/>
        <w:numPr>
          <w:ilvl w:val="0"/>
          <w:numId w:val="113"/>
        </w:numPr>
      </w:pPr>
      <w:r w:rsidRPr="007C48F3">
        <w:t>Any regulatory activities undertaken by the TGA in relation to vapes will not be subject to cost recovery.</w:t>
      </w:r>
    </w:p>
    <w:p w14:paraId="67FDBD10" w14:textId="571E96CC" w:rsidR="00F80E14" w:rsidRPr="007C48F3" w:rsidRDefault="00F80E14" w:rsidP="00467EDD">
      <w:pPr>
        <w:pStyle w:val="Bullet1"/>
        <w:numPr>
          <w:ilvl w:val="0"/>
          <w:numId w:val="113"/>
        </w:numPr>
      </w:pPr>
      <w:r w:rsidRPr="007C48F3">
        <w:t>Assumed cost per sponsor for entire product range for all activities to comply with revised TGO 110 requirements (including product reformulation, changes to packaging, device product measures (including product testing to confirm adherence to device safety and quality requirements) = $1,500,000</w:t>
      </w:r>
      <w:r w:rsidR="00D35FF7">
        <w:t>.</w:t>
      </w:r>
    </w:p>
    <w:p w14:paraId="0C4B0E92" w14:textId="77777777" w:rsidR="00F80E14" w:rsidRPr="00D83941" w:rsidRDefault="00F80E14" w:rsidP="00963F57">
      <w:pPr>
        <w:pStyle w:val="Heading6"/>
        <w:rPr>
          <w:b/>
          <w:bCs w:val="0"/>
        </w:rPr>
      </w:pPr>
      <w:r w:rsidRPr="00D83941">
        <w:rPr>
          <w:b/>
          <w:bCs w:val="0"/>
        </w:rPr>
        <w:t>Inputs</w:t>
      </w:r>
    </w:p>
    <w:p w14:paraId="367A9EE7" w14:textId="5F4EC2E3" w:rsidR="00F80E14" w:rsidRPr="007C48F3" w:rsidRDefault="00F80E14" w:rsidP="00467EDD">
      <w:pPr>
        <w:pStyle w:val="Bullet1"/>
        <w:numPr>
          <w:ilvl w:val="0"/>
          <w:numId w:val="114"/>
        </w:numPr>
      </w:pPr>
      <w:r w:rsidRPr="007C48F3">
        <w:t>Number of sponsors for vapes that meet TGO 110 requirements = 5</w:t>
      </w:r>
      <w:r w:rsidR="0092697F">
        <w:t>.</w:t>
      </w:r>
    </w:p>
    <w:p w14:paraId="192ECFAC" w14:textId="77777777" w:rsidR="00F80E14" w:rsidRPr="007C48F3" w:rsidRDefault="00F80E14" w:rsidP="00467EDD">
      <w:pPr>
        <w:pStyle w:val="Bullet1"/>
        <w:numPr>
          <w:ilvl w:val="0"/>
          <w:numId w:val="114"/>
        </w:numPr>
      </w:pPr>
      <w:r w:rsidRPr="007C48F3">
        <w:t xml:space="preserve">Cost to meet revised TGO 110 requirements = $1,500,000. </w:t>
      </w:r>
    </w:p>
    <w:p w14:paraId="33E1C576" w14:textId="77777777" w:rsidR="00F80E14" w:rsidRPr="00A45C74" w:rsidRDefault="00F80E14" w:rsidP="00356009">
      <w:pPr>
        <w:pStyle w:val="Heading6"/>
        <w:rPr>
          <w:rFonts w:eastAsia="Batang"/>
          <w:b/>
          <w:bCs w:val="0"/>
          <w:i w:val="0"/>
          <w:iCs/>
        </w:rPr>
      </w:pPr>
      <w:r w:rsidRPr="00A45C74">
        <w:rPr>
          <w:rFonts w:eastAsia="Batang"/>
          <w:b/>
          <w:bCs w:val="0"/>
          <w:i w:val="0"/>
          <w:iCs/>
        </w:rPr>
        <w:t>Future population (importers)</w:t>
      </w:r>
    </w:p>
    <w:p w14:paraId="776120BF" w14:textId="77777777" w:rsidR="00F80E14" w:rsidRPr="00D87184" w:rsidRDefault="00F80E14" w:rsidP="00F80E14">
      <w:pPr>
        <w:shd w:val="clear" w:color="auto" w:fill="FFFFFF" w:themeFill="background1"/>
      </w:pPr>
      <w:r w:rsidRPr="000C4377">
        <w:t>Step 1</w:t>
      </w:r>
      <w:r w:rsidRPr="00CA0992">
        <w:t xml:space="preserve">. Calculate </w:t>
      </w:r>
      <w:r>
        <w:t>aggregate cost</w:t>
      </w:r>
      <w:r w:rsidRPr="00CA0992">
        <w:t xml:space="preserve"> to fulfil regulatory requirement</w:t>
      </w:r>
      <w:r>
        <w:t>s</w:t>
      </w:r>
      <w:r w:rsidRPr="00CA0992">
        <w:t>:</w:t>
      </w:r>
      <w:r>
        <w:t xml:space="preserve"> </w:t>
      </w:r>
    </w:p>
    <w:p w14:paraId="64323A44" w14:textId="23900E3F" w:rsidR="00F80E14" w:rsidRPr="007C48F3" w:rsidRDefault="00F80E14" w:rsidP="00467EDD">
      <w:pPr>
        <w:pStyle w:val="Bullet1"/>
        <w:numPr>
          <w:ilvl w:val="0"/>
          <w:numId w:val="115"/>
        </w:numPr>
      </w:pPr>
      <w:r w:rsidRPr="007C48F3">
        <w:t>One-off cost: number of sponsors (5) = x cost to meet revised TGO 110 requirements ($1,500,000) = $7,500,000</w:t>
      </w:r>
      <w:r w:rsidR="0092697F">
        <w:t>.</w:t>
      </w:r>
    </w:p>
    <w:p w14:paraId="75F23EB5" w14:textId="009284C5" w:rsidR="00F80E14" w:rsidRDefault="00F80E14" w:rsidP="00F80E14">
      <w:pPr>
        <w:shd w:val="clear" w:color="auto" w:fill="FFFFFF" w:themeFill="background1"/>
      </w:pPr>
      <w:r w:rsidRPr="000C4377">
        <w:t xml:space="preserve">Step </w:t>
      </w:r>
      <w:r>
        <w:t>2</w:t>
      </w:r>
      <w:r w:rsidRPr="00CA0992">
        <w:t xml:space="preserve">. Calculate </w:t>
      </w:r>
      <w:r>
        <w:t>the average annual cost over the 10-year default period for a regulatory costing</w:t>
      </w:r>
      <w:r w:rsidR="00146A9E">
        <w:t>:</w:t>
      </w:r>
    </w:p>
    <w:p w14:paraId="695C9731" w14:textId="1C8DB852" w:rsidR="00F80E14" w:rsidRPr="007C48F3" w:rsidRDefault="00F80E14" w:rsidP="00467EDD">
      <w:pPr>
        <w:pStyle w:val="Bullet1"/>
        <w:numPr>
          <w:ilvl w:val="0"/>
          <w:numId w:val="115"/>
        </w:numPr>
      </w:pPr>
      <w:r w:rsidRPr="007C48F3">
        <w:t>$7,500,000/10 = $750,000</w:t>
      </w:r>
      <w:r w:rsidR="0092697F">
        <w:t>.</w:t>
      </w:r>
      <w:r w:rsidRPr="007C48F3">
        <w:t xml:space="preserve"> </w:t>
      </w:r>
    </w:p>
    <w:p w14:paraId="2021334E" w14:textId="77777777" w:rsidR="00F80E14" w:rsidRPr="007C48F3" w:rsidRDefault="00F80E14" w:rsidP="00467EDD">
      <w:pPr>
        <w:pStyle w:val="Bullet1"/>
        <w:numPr>
          <w:ilvl w:val="0"/>
          <w:numId w:val="115"/>
        </w:numPr>
      </w:pPr>
      <w:r w:rsidRPr="007C48F3">
        <w:t>Average annual cost = $750,000.</w:t>
      </w:r>
    </w:p>
    <w:p w14:paraId="34B9FE85" w14:textId="77777777" w:rsidR="00F80E14" w:rsidRPr="00230CD3" w:rsidRDefault="00F80E14" w:rsidP="007C48F3">
      <w:pPr>
        <w:pStyle w:val="Bullet1"/>
        <w:pBdr>
          <w:top w:val="single" w:sz="4" w:space="1" w:color="auto"/>
          <w:left w:val="single" w:sz="4" w:space="4" w:color="auto"/>
          <w:bottom w:val="single" w:sz="4" w:space="1" w:color="auto"/>
          <w:right w:val="single" w:sz="4" w:space="4" w:color="auto"/>
        </w:pBdr>
        <w:shd w:val="clear" w:color="auto" w:fill="FFFF00"/>
      </w:pPr>
      <w:r w:rsidRPr="00230CD3">
        <w:lastRenderedPageBreak/>
        <w:t xml:space="preserve">Average cost per year for </w:t>
      </w:r>
      <w:r>
        <w:t>manufacturers and suppliers</w:t>
      </w:r>
      <w:r w:rsidRPr="00230CD3">
        <w:t xml:space="preserve"> (businesses) over the default ten-year period under the regulatory burden framework measurement is</w:t>
      </w:r>
      <w:r w:rsidRPr="00E44014">
        <w:t xml:space="preserve"> $</w:t>
      </w:r>
      <w:r>
        <w:t>2,362</w:t>
      </w:r>
      <w:r w:rsidRPr="00E44014">
        <w:t xml:space="preserve"> (licences and permits) + $</w:t>
      </w:r>
      <w:r>
        <w:t>93</w:t>
      </w:r>
      <w:r w:rsidRPr="00E44014">
        <w:t xml:space="preserve"> (notifications) + $750,000 (compliance with revised TGO 110 requirements) = </w:t>
      </w:r>
      <w:r>
        <w:t xml:space="preserve">$752,515 or </w:t>
      </w:r>
      <w:r w:rsidRPr="007C07A4">
        <w:rPr>
          <w:b/>
          <w:bCs/>
        </w:rPr>
        <w:t>$</w:t>
      </w:r>
      <w:r>
        <w:rPr>
          <w:b/>
          <w:bCs/>
        </w:rPr>
        <w:t>0.75</w:t>
      </w:r>
      <w:r w:rsidRPr="007C07A4">
        <w:rPr>
          <w:b/>
          <w:bCs/>
        </w:rPr>
        <w:t>m</w:t>
      </w:r>
      <w:r>
        <w:t xml:space="preserve"> </w:t>
      </w:r>
    </w:p>
    <w:p w14:paraId="5E65FD38" w14:textId="77777777" w:rsidR="00F80E14" w:rsidRPr="003367E9" w:rsidRDefault="00F80E14" w:rsidP="008C281A">
      <w:pPr>
        <w:pStyle w:val="Heading3"/>
      </w:pPr>
      <w:bookmarkStart w:id="334" w:name="_Toc147384335"/>
      <w:bookmarkStart w:id="335" w:name="_Toc151040434"/>
      <w:r>
        <w:t xml:space="preserve">Impact on </w:t>
      </w:r>
      <w:r w:rsidRPr="003367E9">
        <w:t>retailers</w:t>
      </w:r>
      <w:bookmarkEnd w:id="334"/>
      <w:bookmarkEnd w:id="335"/>
    </w:p>
    <w:p w14:paraId="09B0436F" w14:textId="77777777" w:rsidR="00F80E14" w:rsidRDefault="00F80E14" w:rsidP="00F80E14">
      <w:r w:rsidRPr="008C281A">
        <w:t>Of all the stakeholder group considered in this regulatory burden measurement the greatest impact of the proposed regulatory changes will be borne by specialist vaping retailers. There will no longer be any legal retail</w:t>
      </w:r>
      <w:r>
        <w:t xml:space="preserve"> market for vapes outside pharmacies. In particular,  </w:t>
      </w:r>
    </w:p>
    <w:p w14:paraId="4A17B6FD" w14:textId="77777777" w:rsidR="00F80E14" w:rsidRPr="005C4F98" w:rsidRDefault="00F80E14" w:rsidP="00D35FF7">
      <w:pPr>
        <w:pStyle w:val="Bullet1"/>
        <w:ind w:left="720"/>
      </w:pPr>
      <w:r w:rsidRPr="00D35FF7">
        <w:rPr>
          <w:b/>
        </w:rPr>
        <w:t>Measure 1</w:t>
      </w:r>
      <w:r w:rsidRPr="005C4F98">
        <w:rPr>
          <w:b/>
          <w:bCs/>
        </w:rPr>
        <w:t>.</w:t>
      </w:r>
      <w:r w:rsidRPr="005C4F98">
        <w:t xml:space="preserve"> The restrictions on importation, manufacture, and supply of vapes other than for therapeutic use will prevent any import and supply of vapes by retailers. </w:t>
      </w:r>
    </w:p>
    <w:p w14:paraId="0AD3F48F" w14:textId="77777777" w:rsidR="00F80E14" w:rsidRPr="005C4F98" w:rsidRDefault="00F80E14" w:rsidP="00D35FF7">
      <w:pPr>
        <w:pStyle w:val="Bullet1"/>
        <w:ind w:left="720"/>
      </w:pPr>
      <w:r w:rsidRPr="00D35FF7">
        <w:rPr>
          <w:b/>
        </w:rPr>
        <w:t>Measure 2</w:t>
      </w:r>
      <w:r w:rsidRPr="000620AB">
        <w:rPr>
          <w:i/>
          <w:iCs/>
        </w:rPr>
        <w:t>.</w:t>
      </w:r>
      <w:r w:rsidRPr="005C4F98">
        <w:rPr>
          <w:b/>
          <w:bCs/>
        </w:rPr>
        <w:t xml:space="preserve"> </w:t>
      </w:r>
      <w:r w:rsidRPr="005C4F98">
        <w:t>The measures to change market accessibility requirements for therapeutic vapes will not significantly impact vaping retailers, as these measures relate to the consultation, prescribing and supply pathways for vapes.</w:t>
      </w:r>
    </w:p>
    <w:p w14:paraId="0059D3F7" w14:textId="77777777" w:rsidR="00F80E14" w:rsidRPr="005C4F98" w:rsidRDefault="00F80E14" w:rsidP="00D35FF7">
      <w:pPr>
        <w:pStyle w:val="Bullet1"/>
        <w:ind w:left="720"/>
      </w:pPr>
      <w:r w:rsidRPr="00D35FF7">
        <w:rPr>
          <w:b/>
        </w:rPr>
        <w:t>Measure 3.</w:t>
      </w:r>
      <w:r w:rsidRPr="005C4F98">
        <w:t xml:space="preserve"> The heightened requirements around the quality and safety of both the e-liquid and the device components will not have a significant regulatory impact on vaping retailers.</w:t>
      </w:r>
    </w:p>
    <w:p w14:paraId="11255F2F" w14:textId="77777777" w:rsidR="00F80E14" w:rsidRDefault="00F80E14" w:rsidP="00E81FC2">
      <w:r>
        <w:t xml:space="preserve">The extent of the impact on individual retailers will be dependent on the centrality of vapes to their business model and the duration of the transition period. </w:t>
      </w:r>
    </w:p>
    <w:p w14:paraId="61C1473F" w14:textId="77777777" w:rsidR="00F80E14" w:rsidRPr="005C4F98" w:rsidRDefault="00F80E14" w:rsidP="00E81FC2">
      <w:r w:rsidRPr="005C4F98">
        <w:t>Some retailers, such as convenience stores, will be able to pivot to focus on other product lines:</w:t>
      </w:r>
    </w:p>
    <w:p w14:paraId="4ED7146F" w14:textId="304503EE" w:rsidR="00F80E14" w:rsidRPr="005C4F98" w:rsidRDefault="00F80E14" w:rsidP="00467EDD">
      <w:pPr>
        <w:pStyle w:val="Bullet1"/>
        <w:numPr>
          <w:ilvl w:val="0"/>
          <w:numId w:val="117"/>
        </w:numPr>
      </w:pPr>
      <w:r w:rsidRPr="005C4F98">
        <w:t xml:space="preserve">Specialist tobacconists (many of whom stock vapes) will incur significant reductions to their revenue and profitability speciality vape stores will most likely close. </w:t>
      </w:r>
    </w:p>
    <w:p w14:paraId="2C37BC7E" w14:textId="77777777" w:rsidR="00F80E14" w:rsidRPr="005C4F98" w:rsidRDefault="00F80E14" w:rsidP="00467EDD">
      <w:pPr>
        <w:pStyle w:val="Bullet1"/>
        <w:numPr>
          <w:ilvl w:val="0"/>
          <w:numId w:val="117"/>
        </w:numPr>
      </w:pPr>
      <w:r w:rsidRPr="005C4F98">
        <w:t>A small number of domestic manufacturers of zero-nicotine e-liquids (n=7) will also likely be severely impacted by the proposed regulatory changes and without finding other revenue streams (such producing pharmaceutical-grade nicotine vapes) will struggle to be economically viable.</w:t>
      </w:r>
    </w:p>
    <w:p w14:paraId="71470344" w14:textId="143B6746" w:rsidR="00F80E14" w:rsidRDefault="00F80E14" w:rsidP="00E81FC2">
      <w:r>
        <w:t xml:space="preserve">Noting that the supply of zero-nicotine vapes to those aged 18 years old and over is currently legal in all states with the exception of WA, a transition period of at least a year for the withdrawal from sale of all non-TGO 110 compliant vapes would allow vape retailers to use up existing purchased raw materials and run down stockholdings. Conversely, the impending ban on importation, manufacture and sale of zero-nicotine </w:t>
      </w:r>
      <w:r w:rsidR="00C62618">
        <w:t>vapes</w:t>
      </w:r>
      <w:r>
        <w:t xml:space="preserve"> in Australia is likely to create increased demand among vapers, as they will seek to stock up on vapes prior to them being withdrawn from retail sale. </w:t>
      </w:r>
    </w:p>
    <w:p w14:paraId="4C552B35" w14:textId="0FA4D942" w:rsidR="00F80E14" w:rsidRDefault="00F80E14" w:rsidP="00E81FC2">
      <w:r>
        <w:t xml:space="preserve">Currently, it is estimated that there are 7,171 Australian retailers with 8,775 physical stores selling </w:t>
      </w:r>
      <w:r w:rsidR="00C62618">
        <w:t>vapes</w:t>
      </w:r>
      <w:r>
        <w:t xml:space="preserve"> in Australia. Most (97%) of these retailers are convenience stores where </w:t>
      </w:r>
      <w:r w:rsidR="00C62618">
        <w:t>vapes</w:t>
      </w:r>
      <w:r>
        <w:t xml:space="preserve"> make up a small percentage of their product mix. However, these Australian retailers also include 205 vape specialist stores with a product mix that focuses on </w:t>
      </w:r>
      <w:r w:rsidR="00FC4BC2">
        <w:t>vapes</w:t>
      </w:r>
      <w:r>
        <w:t xml:space="preserve"> and 1,592 tobacconist stores where a significant part of their product mix comprises of </w:t>
      </w:r>
      <w:r w:rsidR="00FC4BC2">
        <w:t>vapes</w:t>
      </w:r>
      <w:r>
        <w:t>. These retailers will be most impacted by the proposed regulatory changes.</w:t>
      </w:r>
    </w:p>
    <w:p w14:paraId="7A67727B" w14:textId="7902298D" w:rsidR="00F80E14" w:rsidRDefault="00F80E14" w:rsidP="00E81FC2">
      <w:r w:rsidRPr="00963F57">
        <w:t>There is no doubt that the proposed regulatory changes will generate significant economic loss and economic hardship for speciality vape stores, many of which business have been built-up over a number of years, have made significant investment in retail fixtures and/or the development of an online marketplace, and have likely entered into long-term financial arrangements, such as property leases. Some owners will likely be bankrupted</w:t>
      </w:r>
      <w:r w:rsidR="00E33BEE" w:rsidRPr="00963F57">
        <w:t>,</w:t>
      </w:r>
      <w:r w:rsidRPr="00963F57">
        <w:t xml:space="preserve"> and employees will most likely lose their jobs. While these indirect costs, defined as costs that may arise due to changes in market structure and competition impacts, are excluded under the RBM framework, the associated impacts are acknowledged. As there is significant variety among vape retailers in relation to investments made, staff numbers and long-term financial arrangements, the overall impact of the closing down of the vape retailer sector cannot be accurately estimated. However, it is reasonable to assume that this will result in several hundred lost jobs (just for vape speciality stores) and probably over $100m in lost investment and additional costs arising from the breaking of long-term financial arrangements, if we assume a financial loss of approximately</w:t>
      </w:r>
      <w:r>
        <w:t xml:space="preserve"> $500,000 per vape specialist store. To these broad impact </w:t>
      </w:r>
      <w:r>
        <w:lastRenderedPageBreak/>
        <w:t>estimates would need to be added the impact on the other Australian vape retailers identified above outside vape specialist stores.</w:t>
      </w:r>
    </w:p>
    <w:p w14:paraId="6D9FDDE7" w14:textId="77777777" w:rsidR="00F80E14" w:rsidRDefault="00F80E14" w:rsidP="00E81FC2">
      <w:r>
        <w:t xml:space="preserve">The proposed reforms are not directly seeking to effect a change in the operation of the market, in the way that actions undertaken by the Australian Government, for example by the Australian Competition and Consumer Commission (ACCC), may seek to address a market failure. Rather the objectives of the proposed regulatory changes are seeking to achieve a public health benefit by removing the supply of vapes outside a therapeutic pathway requiring a prescription and supply by a pharmacy. Vape retailers can choose to stock consumer goods rather than vapes and still operate in the retail market, noting this would require a substantial adjustment to their existing business model for some retailers, and recognising not all would be willing or able to do so. </w:t>
      </w:r>
    </w:p>
    <w:p w14:paraId="64FB7FA7" w14:textId="49893BB3" w:rsidR="0054421F" w:rsidRDefault="00F80E14" w:rsidP="00E81FC2">
      <w:r>
        <w:t>While some vape retailers may have reduced their stockholdings due to the publicity given to the Government’s stated intention to ban the domestic sale of vapes, others might have increased stockholdings in expectation of increased consumer demand driven by the impending ban or in the expectation either that they will be compensated by the Government for economic losses arising from the regulatory changes or that the regulatory changes will not come to pass. As noted earlier, the incurred cost of changing business model would be reduced by a longer transition period for the withdrawal from sale of all non-TGO 110 compliant vapes, to allow vaping retailers to use up existing purchased raw materials and run down stockholdings. In the absence of a transition period, such as should there be immediate prohibition of any vape sales outside a pharmacy, the costs incurred by vape retailers are difficult to quantify in the absence of the relevant market data, but would be much greater, and perhaps over $200</w:t>
      </w:r>
      <w:r w:rsidR="006D2699">
        <w:t xml:space="preserve"> </w:t>
      </w:r>
      <w:r>
        <w:t>million.</w:t>
      </w:r>
      <w:r>
        <w:rPr>
          <w:rStyle w:val="FootnoteReference"/>
        </w:rPr>
        <w:footnoteReference w:id="123"/>
      </w:r>
      <w:r>
        <w:t xml:space="preserve"> This estimation is based on the historical size of the Australian market, noting a portion of these vaping retail sales, perhaps even the majority, would relate to nicotine vapes that since October 2021 can only legally be supplied via a pharmacy. The extent to which this factor would impact on the potential economic cost of shutting down the vaping retail sector cannot be determined at this time.</w:t>
      </w:r>
    </w:p>
    <w:p w14:paraId="6DD379FB" w14:textId="7C72752D" w:rsidR="0054421F" w:rsidRDefault="0054421F" w:rsidP="005C4F98">
      <w:pPr>
        <w:pStyle w:val="Bullet1"/>
        <w:pBdr>
          <w:top w:val="single" w:sz="4" w:space="0" w:color="auto"/>
          <w:left w:val="single" w:sz="4" w:space="4" w:color="auto"/>
          <w:bottom w:val="single" w:sz="4" w:space="1" w:color="auto"/>
          <w:right w:val="single" w:sz="4" w:space="4" w:color="auto"/>
        </w:pBdr>
        <w:shd w:val="clear" w:color="auto" w:fill="FFFF00"/>
      </w:pPr>
      <w:r w:rsidRPr="00525913">
        <w:t xml:space="preserve">Average cost per year for </w:t>
      </w:r>
      <w:r>
        <w:t>stakeholders</w:t>
      </w:r>
      <w:r w:rsidRPr="00525913">
        <w:t xml:space="preserve"> </w:t>
      </w:r>
      <w:r>
        <w:t xml:space="preserve">for all measures captured by Option 3, </w:t>
      </w:r>
      <w:r w:rsidRPr="00525913">
        <w:t xml:space="preserve">over the default ten-year period = </w:t>
      </w:r>
      <w:r w:rsidRPr="00525913">
        <w:rPr>
          <w:b/>
          <w:bCs/>
        </w:rPr>
        <w:t>$59.</w:t>
      </w:r>
      <w:r>
        <w:rPr>
          <w:b/>
          <w:bCs/>
        </w:rPr>
        <w:t>46</w:t>
      </w:r>
      <w:r w:rsidRPr="00525913">
        <w:rPr>
          <w:b/>
          <w:bCs/>
        </w:rPr>
        <w:t>m</w:t>
      </w:r>
      <w:r w:rsidR="00CA6539">
        <w:rPr>
          <w:b/>
          <w:bCs/>
        </w:rPr>
        <w:t xml:space="preserve"> (plus costs on vaping store closure</w:t>
      </w:r>
      <w:r w:rsidR="00BC05EC">
        <w:rPr>
          <w:b/>
          <w:bCs/>
        </w:rPr>
        <w:t>s</w:t>
      </w:r>
      <w:r w:rsidR="00CA6539">
        <w:rPr>
          <w:b/>
          <w:bCs/>
        </w:rPr>
        <w:t>)</w:t>
      </w:r>
    </w:p>
    <w:p w14:paraId="0845E499" w14:textId="77777777" w:rsidR="00F80E14" w:rsidRPr="00E81FC2" w:rsidRDefault="00F80E14" w:rsidP="00E81FC2">
      <w:pPr>
        <w:pStyle w:val="Heading3"/>
      </w:pPr>
      <w:bookmarkStart w:id="336" w:name="_Toc147384336"/>
      <w:bookmarkStart w:id="337" w:name="_Toc151040435"/>
      <w:r>
        <w:t>Option 4</w:t>
      </w:r>
      <w:bookmarkEnd w:id="336"/>
      <w:bookmarkEnd w:id="337"/>
    </w:p>
    <w:p w14:paraId="7C5F8145" w14:textId="77777777" w:rsidR="00F80E14" w:rsidRPr="009B70B7" w:rsidRDefault="00F80E14" w:rsidP="00F80E14">
      <w:r w:rsidRPr="00E81FC2">
        <w:t>Option 4, in which vapes would only be available if they are an approved good on the ARTG, would largely replicate</w:t>
      </w:r>
      <w:r w:rsidRPr="009B70B7">
        <w:t xml:space="preserve"> the arising regulatory burden as for Option 3, except:</w:t>
      </w:r>
    </w:p>
    <w:p w14:paraId="76EF1D0A" w14:textId="77777777" w:rsidR="00F80E14" w:rsidRPr="005C4F98" w:rsidRDefault="00F80E14" w:rsidP="00467EDD">
      <w:pPr>
        <w:pStyle w:val="Bullet1"/>
        <w:numPr>
          <w:ilvl w:val="0"/>
          <w:numId w:val="118"/>
        </w:numPr>
      </w:pPr>
      <w:r w:rsidRPr="005C4F98">
        <w:t>Consumers would have no legal pathway to access vapes unless and until a product is entered on the ARTG, so the costing impacts would be delayed, but other impacts will largely be the same over the 10 years.</w:t>
      </w:r>
    </w:p>
    <w:p w14:paraId="4E39F4E7" w14:textId="77777777" w:rsidR="00F80E14" w:rsidRPr="005C4F98" w:rsidRDefault="00F80E14" w:rsidP="00467EDD">
      <w:pPr>
        <w:pStyle w:val="Bullet1"/>
        <w:numPr>
          <w:ilvl w:val="0"/>
          <w:numId w:val="118"/>
        </w:numPr>
      </w:pPr>
      <w:r w:rsidRPr="005C4F98">
        <w:t>Medical practitioners would initially have less regulatory burden, as there will be a delay in consumers needing prescriptions and then will no longer be a requirement for AP or SAS pathway activities.</w:t>
      </w:r>
    </w:p>
    <w:p w14:paraId="20752DE4" w14:textId="77777777" w:rsidR="00F80E14" w:rsidRPr="005C4F98" w:rsidRDefault="00F80E14" w:rsidP="00467EDD">
      <w:pPr>
        <w:pStyle w:val="Bullet1"/>
        <w:numPr>
          <w:ilvl w:val="0"/>
          <w:numId w:val="118"/>
        </w:numPr>
      </w:pPr>
      <w:r w:rsidRPr="005C4F98">
        <w:t>Pharmacists are likely to be less impacted initially, as consumers are not able to get a prescription until there is an approved product, but the impact will be the same over the 10 years.</w:t>
      </w:r>
    </w:p>
    <w:p w14:paraId="4A6E53DA" w14:textId="77777777" w:rsidR="00F80E14" w:rsidRPr="005C4F98" w:rsidRDefault="00F80E14" w:rsidP="00467EDD">
      <w:pPr>
        <w:pStyle w:val="Bullet1"/>
        <w:numPr>
          <w:ilvl w:val="0"/>
          <w:numId w:val="118"/>
        </w:numPr>
      </w:pPr>
      <w:r w:rsidRPr="005C4F98">
        <w:t xml:space="preserve">For manufacturers and suppliers the impact would be significant, as they would need to upgrade facilities to meet the GMP requirements and collate data to meet the full prescription medicine requirements. There would be no need to obtain a licence or permits (Measure 1 of Option 3), nor notify the TGA of compliance with the specifications of TGO 110 (Measure 2 of </w:t>
      </w:r>
      <w:r w:rsidRPr="005C4F98">
        <w:lastRenderedPageBreak/>
        <w:t>Option 3), so the associated regulatory costs for these regulatory changes have not been take forward into Option 4.</w:t>
      </w:r>
    </w:p>
    <w:p w14:paraId="0593ABBD" w14:textId="77777777" w:rsidR="00F80E14" w:rsidRDefault="00F80E14" w:rsidP="00E81FC2">
      <w:r>
        <w:t>While, a</w:t>
      </w:r>
      <w:r w:rsidRPr="00DA124F">
        <w:t xml:space="preserve">t least in the short term, </w:t>
      </w:r>
      <w:r>
        <w:t>this policy is</w:t>
      </w:r>
      <w:r w:rsidRPr="00DA124F">
        <w:t xml:space="preserve"> likely to further incentivise growth in the black market for sale of nicotine vapes</w:t>
      </w:r>
      <w:r>
        <w:t>,</w:t>
      </w:r>
      <w:r w:rsidRPr="00DA124F">
        <w:t xml:space="preserve"> </w:t>
      </w:r>
      <w:r>
        <w:t>this</w:t>
      </w:r>
      <w:r w:rsidRPr="00DA124F">
        <w:t xml:space="preserve"> is excluded from the regulatory costing. </w:t>
      </w:r>
    </w:p>
    <w:p w14:paraId="0D302776" w14:textId="77777777" w:rsidR="00F80E14" w:rsidRPr="00DA124F" w:rsidRDefault="00F80E14" w:rsidP="00E81FC2">
      <w:r w:rsidRPr="00DA124F">
        <w:t>The impact on vap</w:t>
      </w:r>
      <w:r>
        <w:t>e</w:t>
      </w:r>
      <w:r w:rsidRPr="00DA124F">
        <w:t xml:space="preserve"> retailers would be the same as under Option 3</w:t>
      </w:r>
      <w:r>
        <w:t xml:space="preserve">, in that </w:t>
      </w:r>
      <w:r w:rsidRPr="00DA124F">
        <w:t xml:space="preserve">the sector will cease to exist. </w:t>
      </w:r>
    </w:p>
    <w:p w14:paraId="0B669D62" w14:textId="77777777" w:rsidR="00F80E14" w:rsidRPr="00C329FF" w:rsidRDefault="00F80E14" w:rsidP="00E81FC2">
      <w:r>
        <w:t xml:space="preserve">The costs on manufacturers and sponsors cannot, at this stage, be accurately quantified, but are likely to be at least double those of achieving compliance with the revised TGO 110 specifications (under Measure 3 of Option 3) - so $1.5 x 2 = $3m. </w:t>
      </w:r>
    </w:p>
    <w:p w14:paraId="7AB05EF6" w14:textId="77777777" w:rsidR="00F80E14" w:rsidRDefault="00F80E14" w:rsidP="00E81FC2">
      <w:pPr>
        <w:pStyle w:val="Heading5"/>
      </w:pPr>
      <w:r>
        <w:t xml:space="preserve">Overall </w:t>
      </w:r>
      <w:r w:rsidRPr="00E81FC2">
        <w:t>regulatory</w:t>
      </w:r>
      <w:r>
        <w:t xml:space="preserve"> burden of the proposed regulatory changes</w:t>
      </w:r>
    </w:p>
    <w:p w14:paraId="5B380391" w14:textId="77777777" w:rsidR="00F80E14" w:rsidRPr="00D83941" w:rsidRDefault="00F80E14" w:rsidP="00E81FC2">
      <w:pPr>
        <w:pStyle w:val="Heading6"/>
        <w:rPr>
          <w:rFonts w:eastAsia="Batang"/>
          <w:b/>
          <w:bCs w:val="0"/>
        </w:rPr>
      </w:pPr>
      <w:r w:rsidRPr="00D83941">
        <w:rPr>
          <w:rFonts w:eastAsia="Batang"/>
          <w:b/>
          <w:bCs w:val="0"/>
        </w:rPr>
        <w:t>Key assumptions</w:t>
      </w:r>
    </w:p>
    <w:p w14:paraId="0EEDC9CA" w14:textId="4B0E1555" w:rsidR="00F80E14" w:rsidRPr="00BB49E2" w:rsidRDefault="00F80E14" w:rsidP="00467EDD">
      <w:pPr>
        <w:pStyle w:val="Bullet1"/>
        <w:numPr>
          <w:ilvl w:val="0"/>
          <w:numId w:val="119"/>
        </w:numPr>
      </w:pPr>
      <w:r w:rsidRPr="00BB49E2">
        <w:t>Any regulatory activities undertaken by the TGA in relation to vapes will not be subject to cost recovery</w:t>
      </w:r>
      <w:r w:rsidR="0092697F">
        <w:t>.</w:t>
      </w:r>
    </w:p>
    <w:p w14:paraId="53630460" w14:textId="7655395D" w:rsidR="00F80E14" w:rsidRPr="00BB49E2" w:rsidRDefault="00F80E14" w:rsidP="00467EDD">
      <w:pPr>
        <w:pStyle w:val="Bullet1"/>
        <w:numPr>
          <w:ilvl w:val="0"/>
          <w:numId w:val="119"/>
        </w:numPr>
      </w:pPr>
      <w:r w:rsidRPr="00BB49E2">
        <w:t>The impact on consumers and pharmacists is the same as those costed for Option 3 ($16.14m and $2.57m, respectively)</w:t>
      </w:r>
      <w:r w:rsidR="0092697F">
        <w:t>.</w:t>
      </w:r>
    </w:p>
    <w:p w14:paraId="18ABC758" w14:textId="3E869CAC" w:rsidR="00F80E14" w:rsidRPr="00BB49E2" w:rsidRDefault="00F80E14" w:rsidP="00467EDD">
      <w:pPr>
        <w:pStyle w:val="Bullet1"/>
        <w:numPr>
          <w:ilvl w:val="0"/>
          <w:numId w:val="119"/>
        </w:numPr>
      </w:pPr>
      <w:r w:rsidRPr="00BB49E2">
        <w:t>Assumed cost per sponsor for entire product range for all activities to comply ARTG registration requirements = $3,000,000</w:t>
      </w:r>
      <w:r w:rsidR="0092697F">
        <w:t>.</w:t>
      </w:r>
    </w:p>
    <w:p w14:paraId="110B4719" w14:textId="77777777" w:rsidR="00F80E14" w:rsidRPr="00BB49E2" w:rsidRDefault="00F80E14" w:rsidP="005479FE">
      <w:pPr>
        <w:pStyle w:val="ListParagraph"/>
      </w:pPr>
      <w:r w:rsidRPr="00BB49E2">
        <w:t>These requirements may be too onerous for some manufacturers, who may choose not to seek registration (so the number of potential sponsors has been reduced from 5 to 4).</w:t>
      </w:r>
    </w:p>
    <w:p w14:paraId="78B35289" w14:textId="77777777" w:rsidR="00F80E14" w:rsidRPr="00D83941" w:rsidRDefault="00F80E14" w:rsidP="007523EA">
      <w:pPr>
        <w:pStyle w:val="Heading6"/>
        <w:rPr>
          <w:b/>
          <w:bCs w:val="0"/>
        </w:rPr>
      </w:pPr>
      <w:r w:rsidRPr="00D83941">
        <w:rPr>
          <w:b/>
          <w:bCs w:val="0"/>
        </w:rPr>
        <w:t>Inputs</w:t>
      </w:r>
    </w:p>
    <w:p w14:paraId="1272446A" w14:textId="33CFDFC8" w:rsidR="00F80E14" w:rsidRPr="00BB49E2" w:rsidRDefault="00F80E14" w:rsidP="00467EDD">
      <w:pPr>
        <w:pStyle w:val="Bullet1"/>
        <w:numPr>
          <w:ilvl w:val="0"/>
          <w:numId w:val="120"/>
        </w:numPr>
      </w:pPr>
      <w:r w:rsidRPr="00BB49E2">
        <w:t>Number of sponsors likely to seek registration = 4</w:t>
      </w:r>
      <w:r w:rsidR="0092697F">
        <w:t>.</w:t>
      </w:r>
    </w:p>
    <w:p w14:paraId="44B746B0" w14:textId="77777777" w:rsidR="00F80E14" w:rsidRPr="00BB49E2" w:rsidRDefault="00F80E14" w:rsidP="00467EDD">
      <w:pPr>
        <w:pStyle w:val="Bullet1"/>
        <w:numPr>
          <w:ilvl w:val="0"/>
          <w:numId w:val="120"/>
        </w:numPr>
      </w:pPr>
      <w:r w:rsidRPr="00BB49E2">
        <w:t xml:space="preserve">Cost to meet ARTG registration requirements = $3,000,000. </w:t>
      </w:r>
    </w:p>
    <w:p w14:paraId="461F9FE9" w14:textId="77777777" w:rsidR="00F80E14" w:rsidRPr="00A45C74" w:rsidRDefault="00F80E14" w:rsidP="007523EA">
      <w:pPr>
        <w:pStyle w:val="Heading6"/>
        <w:rPr>
          <w:rFonts w:eastAsia="Batang"/>
          <w:b/>
          <w:bCs w:val="0"/>
          <w:i w:val="0"/>
          <w:iCs/>
        </w:rPr>
      </w:pPr>
      <w:r w:rsidRPr="00A45C74">
        <w:rPr>
          <w:rFonts w:eastAsia="Batang"/>
          <w:b/>
          <w:bCs w:val="0"/>
          <w:i w:val="0"/>
          <w:iCs/>
        </w:rPr>
        <w:t>Future population (importers)</w:t>
      </w:r>
    </w:p>
    <w:p w14:paraId="46467C8B" w14:textId="77777777" w:rsidR="00F80E14" w:rsidRPr="00D87184" w:rsidRDefault="00F80E14" w:rsidP="00F80E14">
      <w:pPr>
        <w:shd w:val="clear" w:color="auto" w:fill="FFFFFF" w:themeFill="background1"/>
      </w:pPr>
      <w:r w:rsidRPr="000C4377">
        <w:t>Step 1</w:t>
      </w:r>
      <w:r w:rsidRPr="00CA0992">
        <w:t xml:space="preserve">. Calculate </w:t>
      </w:r>
      <w:r>
        <w:t>aggregate cost</w:t>
      </w:r>
      <w:r w:rsidRPr="00CA0992">
        <w:t xml:space="preserve"> to fulfil regulatory requirement</w:t>
      </w:r>
      <w:r>
        <w:t>s</w:t>
      </w:r>
      <w:r w:rsidRPr="00CA0992">
        <w:t>:</w:t>
      </w:r>
      <w:r>
        <w:t xml:space="preserve"> </w:t>
      </w:r>
    </w:p>
    <w:p w14:paraId="1924C49A" w14:textId="2A6FCF3F" w:rsidR="00F80E14" w:rsidRPr="00BB49E2" w:rsidRDefault="00F80E14" w:rsidP="00467EDD">
      <w:pPr>
        <w:pStyle w:val="Bullet1"/>
        <w:numPr>
          <w:ilvl w:val="0"/>
          <w:numId w:val="121"/>
        </w:numPr>
      </w:pPr>
      <w:r w:rsidRPr="00BB49E2">
        <w:t>Aggregate cost: number of sponsors (4) = x cost to meet registration requirements ($3,000,000) = $12,000,000</w:t>
      </w:r>
      <w:r w:rsidR="0092697F">
        <w:t>.</w:t>
      </w:r>
    </w:p>
    <w:p w14:paraId="32971533" w14:textId="703E14DC" w:rsidR="00F80E14" w:rsidRDefault="00F80E14" w:rsidP="00F80E14">
      <w:pPr>
        <w:shd w:val="clear" w:color="auto" w:fill="FFFFFF" w:themeFill="background1"/>
      </w:pPr>
      <w:r w:rsidRPr="000C4377">
        <w:t xml:space="preserve">Step </w:t>
      </w:r>
      <w:r>
        <w:t>2</w:t>
      </w:r>
      <w:r w:rsidRPr="00CA0992">
        <w:t xml:space="preserve">. Calculate </w:t>
      </w:r>
      <w:r>
        <w:t>the average annual cost over the 10-year default period for a regulatory costing</w:t>
      </w:r>
      <w:r w:rsidR="00E33BEE">
        <w:t>:</w:t>
      </w:r>
    </w:p>
    <w:p w14:paraId="6915036A" w14:textId="506406BF" w:rsidR="00F80E14" w:rsidRPr="00BB49E2" w:rsidRDefault="00F80E14" w:rsidP="00467EDD">
      <w:pPr>
        <w:pStyle w:val="Bullet1"/>
        <w:numPr>
          <w:ilvl w:val="0"/>
          <w:numId w:val="121"/>
        </w:numPr>
      </w:pPr>
      <w:r w:rsidRPr="00BB49E2">
        <w:t>$12,000,000/10 = $1,200,000</w:t>
      </w:r>
      <w:r w:rsidR="0092697F">
        <w:t>.</w:t>
      </w:r>
      <w:r w:rsidRPr="00BB49E2">
        <w:t xml:space="preserve"> </w:t>
      </w:r>
    </w:p>
    <w:p w14:paraId="6630FB0F" w14:textId="6998C205" w:rsidR="00F80E14" w:rsidRPr="00BB49E2" w:rsidRDefault="00F80E14" w:rsidP="00467EDD">
      <w:pPr>
        <w:pStyle w:val="Bullet1"/>
        <w:numPr>
          <w:ilvl w:val="0"/>
          <w:numId w:val="121"/>
        </w:numPr>
      </w:pPr>
      <w:r w:rsidRPr="00BB49E2">
        <w:t>Average cost per year = $1,200,000</w:t>
      </w:r>
      <w:r w:rsidR="0092697F">
        <w:t>.</w:t>
      </w:r>
    </w:p>
    <w:p w14:paraId="001C4A77" w14:textId="2B2EE6B7" w:rsidR="00F80E14" w:rsidRPr="00F004E8" w:rsidRDefault="00F80E14" w:rsidP="00647288">
      <w:pPr>
        <w:pStyle w:val="Bullet1"/>
        <w:pBdr>
          <w:top w:val="single" w:sz="4" w:space="1" w:color="auto"/>
          <w:left w:val="single" w:sz="4" w:space="4" w:color="auto"/>
          <w:bottom w:val="single" w:sz="4" w:space="1" w:color="auto"/>
          <w:right w:val="single" w:sz="4" w:space="4" w:color="auto"/>
        </w:pBdr>
        <w:shd w:val="clear" w:color="auto" w:fill="FFFF00"/>
        <w:ind w:left="360"/>
      </w:pPr>
      <w:r>
        <w:t xml:space="preserve">Average cost per year for manufacturers and suppliers (businesses) over the default ten-year period under the regulatory burden framework measurement is meet ARTG registration requirements is $1.20m + $52.1m (consumers) + $6.57m (pharmacists) = </w:t>
      </w:r>
      <w:r w:rsidRPr="73A0A461">
        <w:rPr>
          <w:b/>
          <w:bCs/>
        </w:rPr>
        <w:t>$</w:t>
      </w:r>
      <w:r>
        <w:rPr>
          <w:b/>
          <w:bCs/>
        </w:rPr>
        <w:t>59.87</w:t>
      </w:r>
      <w:r w:rsidRPr="73A0A461">
        <w:rPr>
          <w:b/>
          <w:bCs/>
        </w:rPr>
        <w:t>m</w:t>
      </w:r>
      <w:r w:rsidR="002F0C36">
        <w:rPr>
          <w:b/>
          <w:bCs/>
        </w:rPr>
        <w:t xml:space="preserve"> </w:t>
      </w:r>
      <w:r w:rsidR="00BC05EC">
        <w:rPr>
          <w:b/>
          <w:bCs/>
        </w:rPr>
        <w:t>(</w:t>
      </w:r>
      <w:r w:rsidR="002F0C36">
        <w:rPr>
          <w:b/>
          <w:bCs/>
        </w:rPr>
        <w:t xml:space="preserve">plus costs on vaping store </w:t>
      </w:r>
      <w:r w:rsidR="00BC05EC">
        <w:rPr>
          <w:b/>
          <w:bCs/>
        </w:rPr>
        <w:t>closures</w:t>
      </w:r>
      <w:r w:rsidR="002F0C36">
        <w:rPr>
          <w:b/>
          <w:bCs/>
        </w:rPr>
        <w:t>)</w:t>
      </w:r>
    </w:p>
    <w:p w14:paraId="2C97EFCF" w14:textId="77777777" w:rsidR="00F80E14" w:rsidRDefault="00F80E14" w:rsidP="00C858FD">
      <w:pPr>
        <w:pStyle w:val="Heading3"/>
      </w:pPr>
      <w:bookmarkStart w:id="338" w:name="_Toc147384337"/>
      <w:bookmarkStart w:id="339" w:name="_Toc151040436"/>
      <w:r>
        <w:t>Conclusion</w:t>
      </w:r>
      <w:bookmarkEnd w:id="338"/>
      <w:bookmarkEnd w:id="339"/>
    </w:p>
    <w:p w14:paraId="5BD7994F" w14:textId="77777777" w:rsidR="00F80E14" w:rsidRDefault="00F80E14" w:rsidP="00C858FD">
      <w:r w:rsidRPr="004961DF">
        <w:t xml:space="preserve">As per </w:t>
      </w:r>
      <w:r>
        <w:t xml:space="preserve">the Australian Government’s requirements and </w:t>
      </w:r>
      <w:r w:rsidRPr="004961DF">
        <w:t>O</w:t>
      </w:r>
      <w:r>
        <w:t>IA</w:t>
      </w:r>
      <w:r w:rsidRPr="004961DF">
        <w:t xml:space="preserve"> guidance, regulatory costs are projected over a 10-year period and then averaged to arrive at an average annual regulatory cost. </w:t>
      </w:r>
      <w:r w:rsidRPr="002242BE">
        <w:t xml:space="preserve">The following table provides the average estimated regulatory compliance costs arising from the proposed regulatory </w:t>
      </w:r>
      <w:r>
        <w:t>changes.</w:t>
      </w:r>
    </w:p>
    <w:p w14:paraId="792165FB" w14:textId="77777777" w:rsidR="00F80E14" w:rsidRPr="00C858FD" w:rsidRDefault="00F80E14" w:rsidP="00C858FD">
      <w:pPr>
        <w:pStyle w:val="TableCaption"/>
      </w:pPr>
      <w:bookmarkStart w:id="340" w:name="_Toc147759790"/>
      <w:r w:rsidRPr="00C858FD">
        <w:t>Table B3: Summary of estimated regulatory compliance costs</w:t>
      </w:r>
      <w:bookmarkEnd w:id="340"/>
      <w:r w:rsidRPr="00C858FD">
        <w:t xml:space="preserve"> </w:t>
      </w:r>
    </w:p>
    <w:tbl>
      <w:tblPr>
        <w:tblStyle w:val="LightList-Accent1"/>
        <w:tblW w:w="5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3290"/>
        <w:gridCol w:w="1327"/>
        <w:gridCol w:w="1329"/>
        <w:gridCol w:w="1047"/>
      </w:tblGrid>
      <w:tr w:rsidR="00F80E14" w:rsidRPr="00425700" w14:paraId="1A5A22F6" w14:textId="77777777" w:rsidTr="000A07F0">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pct"/>
            <w:gridSpan w:val="5"/>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EEAF6" w:themeFill="accent5" w:themeFillTint="33"/>
            <w:hideMark/>
          </w:tcPr>
          <w:p w14:paraId="115238CF" w14:textId="77777777" w:rsidR="00F80E14" w:rsidRPr="00403B10" w:rsidRDefault="00F80E14" w:rsidP="000A07F0">
            <w:pPr>
              <w:jc w:val="center"/>
              <w:rPr>
                <w:rFonts w:eastAsia="Times New Roman" w:cs="Arial"/>
                <w:color w:val="000000" w:themeColor="text1"/>
                <w:sz w:val="22"/>
                <w:szCs w:val="22"/>
                <w:highlight w:val="yellow"/>
                <w:lang w:eastAsia="en-AU"/>
              </w:rPr>
            </w:pPr>
            <w:r w:rsidRPr="00403B10">
              <w:rPr>
                <w:rFonts w:eastAsia="Cambria"/>
                <w:bCs w:val="0"/>
                <w:color w:val="000000" w:themeColor="text1"/>
                <w:sz w:val="22"/>
                <w:szCs w:val="22"/>
                <w:lang w:eastAsia="en-AU"/>
              </w:rPr>
              <w:t>Average annual regulatory costs (from business as</w:t>
            </w:r>
            <w:r w:rsidRPr="00403B10">
              <w:rPr>
                <w:rFonts w:eastAsia="Times New Roman" w:cs="Arial"/>
                <w:color w:val="000000" w:themeColor="text1"/>
                <w:sz w:val="22"/>
                <w:szCs w:val="22"/>
                <w:lang w:eastAsia="en-AU"/>
              </w:rPr>
              <w:t xml:space="preserve"> usual) ($million)</w:t>
            </w:r>
          </w:p>
        </w:tc>
      </w:tr>
      <w:tr w:rsidR="00F80E14" w:rsidRPr="00425700" w14:paraId="41D35ED4" w14:textId="77777777" w:rsidTr="000A07F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BDD6EE" w:themeFill="accent5" w:themeFillTint="66"/>
            <w:noWrap/>
            <w:hideMark/>
          </w:tcPr>
          <w:p w14:paraId="0EFBEEF8" w14:textId="77777777" w:rsidR="00F80E14" w:rsidRPr="00425700" w:rsidRDefault="00F80E14" w:rsidP="000A07F0">
            <w:pPr>
              <w:pStyle w:val="TableTextNormal"/>
              <w:rPr>
                <w:rFonts w:ascii="Arial" w:hAnsi="Arial" w:cs="Arial"/>
                <w:color w:val="000000"/>
                <w:sz w:val="18"/>
                <w:szCs w:val="18"/>
                <w:lang w:eastAsia="en-AU"/>
              </w:rPr>
            </w:pPr>
            <w:r w:rsidRPr="00425700">
              <w:rPr>
                <w:rFonts w:ascii="Arial" w:eastAsiaTheme="minorHAnsi" w:hAnsi="Arial" w:cs="Arial"/>
                <w:sz w:val="18"/>
                <w:szCs w:val="18"/>
              </w:rPr>
              <w:lastRenderedPageBreak/>
              <w:t>Change in costs</w:t>
            </w:r>
          </w:p>
        </w:tc>
        <w:tc>
          <w:tcPr>
            <w:tcW w:w="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5" w:themeFillTint="66"/>
            <w:noWrap/>
            <w:hideMark/>
          </w:tcPr>
          <w:p w14:paraId="720B4B06" w14:textId="77777777" w:rsidR="00F80E14" w:rsidRPr="00425700"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25700">
              <w:rPr>
                <w:rFonts w:ascii="Arial" w:hAnsi="Arial" w:cs="Arial"/>
                <w:sz w:val="16"/>
                <w:szCs w:val="16"/>
                <w:lang w:eastAsia="en-AU"/>
              </w:rPr>
              <w:t xml:space="preserve">Business </w:t>
            </w:r>
          </w:p>
        </w:tc>
        <w:tc>
          <w:tcPr>
            <w:tcW w:w="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5" w:themeFillTint="66"/>
            <w:noWrap/>
            <w:hideMark/>
          </w:tcPr>
          <w:p w14:paraId="364A2874" w14:textId="77777777" w:rsidR="00F80E14" w:rsidRPr="00425700"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lang w:eastAsia="en-AU"/>
              </w:rPr>
            </w:pPr>
            <w:r w:rsidRPr="00425700">
              <w:rPr>
                <w:rFonts w:ascii="Arial" w:hAnsi="Arial" w:cs="Arial"/>
                <w:sz w:val="16"/>
                <w:szCs w:val="16"/>
                <w:lang w:eastAsia="en-AU"/>
              </w:rPr>
              <w:t xml:space="preserve">Community Organisation </w:t>
            </w:r>
          </w:p>
        </w:tc>
        <w:tc>
          <w:tcPr>
            <w:tcW w:w="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5" w:themeFillTint="66"/>
            <w:noWrap/>
            <w:hideMark/>
          </w:tcPr>
          <w:p w14:paraId="55FECCF8" w14:textId="77777777" w:rsidR="00F80E14" w:rsidRPr="00425700"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25700">
              <w:rPr>
                <w:rFonts w:ascii="Arial" w:hAnsi="Arial" w:cs="Arial"/>
                <w:sz w:val="16"/>
                <w:szCs w:val="16"/>
                <w:lang w:eastAsia="en-AU"/>
              </w:rPr>
              <w:t xml:space="preserve">Individual </w:t>
            </w:r>
          </w:p>
        </w:tc>
        <w:tc>
          <w:tcPr>
            <w:tcW w:w="527"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5" w:themeFillTint="66"/>
            <w:noWrap/>
            <w:hideMark/>
          </w:tcPr>
          <w:p w14:paraId="2B0A3657" w14:textId="77777777" w:rsidR="00F80E14" w:rsidRPr="00425700"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lang w:eastAsia="en-AU"/>
              </w:rPr>
            </w:pPr>
            <w:r w:rsidRPr="00425700">
              <w:rPr>
                <w:rFonts w:ascii="Arial" w:hAnsi="Arial" w:cs="Arial"/>
                <w:sz w:val="16"/>
                <w:szCs w:val="16"/>
                <w:lang w:eastAsia="en-AU"/>
              </w:rPr>
              <w:t>Total change in costs</w:t>
            </w:r>
          </w:p>
        </w:tc>
      </w:tr>
      <w:tr w:rsidR="00F80E14" w:rsidRPr="00425700" w14:paraId="47FE38AC" w14:textId="77777777" w:rsidTr="000A07F0">
        <w:trPr>
          <w:trHeight w:val="265"/>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808080" w:themeColor="background1" w:themeShade="80"/>
              <w:right w:val="single" w:sz="4" w:space="0" w:color="808080" w:themeColor="background1" w:themeShade="80"/>
            </w:tcBorders>
            <w:shd w:val="clear" w:color="auto" w:fill="005487"/>
            <w:hideMark/>
          </w:tcPr>
          <w:p w14:paraId="64E9BFD5" w14:textId="77777777" w:rsidR="00F80E14" w:rsidRPr="00425700" w:rsidRDefault="00F80E14" w:rsidP="000A07F0">
            <w:pPr>
              <w:pStyle w:val="TableTextNormal"/>
              <w:tabs>
                <w:tab w:val="left" w:pos="1320"/>
                <w:tab w:val="center" w:pos="2015"/>
              </w:tabs>
              <w:jc w:val="center"/>
              <w:rPr>
                <w:rFonts w:ascii="Arial" w:hAnsi="Arial" w:cs="Arial"/>
                <w:sz w:val="18"/>
                <w:szCs w:val="18"/>
                <w:lang w:eastAsia="en-AU"/>
              </w:rPr>
            </w:pPr>
            <w:r w:rsidRPr="00425700">
              <w:rPr>
                <w:rFonts w:ascii="Arial" w:hAnsi="Arial" w:cs="Arial"/>
                <w:color w:val="FFFFFF" w:themeColor="background1"/>
                <w:sz w:val="18"/>
                <w:szCs w:val="18"/>
                <w:lang w:eastAsia="en-AU"/>
              </w:rPr>
              <w:t>Option 1</w:t>
            </w:r>
          </w:p>
        </w:tc>
        <w:tc>
          <w:tcPr>
            <w:tcW w:w="1656"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hideMark/>
          </w:tcPr>
          <w:p w14:paraId="76713FE4" w14:textId="77777777" w:rsidR="00F80E14" w:rsidRPr="00425700" w:rsidRDefault="00F80E14" w:rsidP="000A07F0">
            <w:pPr>
              <w:pStyle w:val="TableTextNormal"/>
              <w:jc w:val="right"/>
              <w:cnfStyle w:val="000000000000" w:firstRow="0" w:lastRow="0" w:firstColumn="0" w:lastColumn="0" w:oddVBand="0" w:evenVBand="0" w:oddHBand="0" w:evenHBand="0" w:firstRowFirstColumn="0" w:firstRowLastColumn="0" w:lastRowFirstColumn="0" w:lastRowLastColumn="0"/>
              <w:rPr>
                <w:rFonts w:ascii="Arial" w:hAnsi="Arial" w:cs="Arial"/>
                <w:color w:val="FA7D00"/>
                <w:sz w:val="18"/>
                <w:szCs w:val="18"/>
                <w:lang w:eastAsia="en-AU"/>
              </w:rPr>
            </w:pPr>
          </w:p>
        </w:tc>
        <w:tc>
          <w:tcPr>
            <w:tcW w:w="668"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hideMark/>
          </w:tcPr>
          <w:p w14:paraId="71AD1525" w14:textId="77777777" w:rsidR="00F80E14" w:rsidRPr="00425700" w:rsidRDefault="00F80E14" w:rsidP="000A07F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Theme="minorHAnsi" w:cs="Arial"/>
                <w:bCs/>
                <w:color w:val="FFFFFF" w:themeColor="background1"/>
                <w:sz w:val="18"/>
                <w:szCs w:val="18"/>
              </w:rPr>
            </w:pPr>
          </w:p>
        </w:tc>
        <w:tc>
          <w:tcPr>
            <w:tcW w:w="669"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hideMark/>
          </w:tcPr>
          <w:p w14:paraId="18112E72" w14:textId="77777777" w:rsidR="00F80E14" w:rsidRPr="00425700" w:rsidRDefault="00F80E14" w:rsidP="000A07F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Theme="minorHAnsi" w:cs="Arial"/>
                <w:bCs/>
                <w:color w:val="FFFFFF" w:themeColor="background1"/>
                <w:sz w:val="18"/>
                <w:szCs w:val="18"/>
              </w:rPr>
            </w:pPr>
          </w:p>
        </w:tc>
        <w:tc>
          <w:tcPr>
            <w:tcW w:w="527"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662F8495" w14:textId="77777777" w:rsidR="00F80E14" w:rsidRPr="00425700" w:rsidRDefault="00F80E14" w:rsidP="000A07F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Theme="minorHAnsi" w:cs="Arial"/>
                <w:bCs/>
                <w:color w:val="FFFFFF" w:themeColor="background1"/>
                <w:sz w:val="18"/>
                <w:szCs w:val="18"/>
              </w:rPr>
            </w:pPr>
          </w:p>
        </w:tc>
      </w:tr>
      <w:tr w:rsidR="00F80E14" w:rsidRPr="00425700" w14:paraId="22A54858" w14:textId="77777777" w:rsidTr="000A07F0">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808080" w:themeColor="background1" w:themeShade="80"/>
              <w:right w:val="single" w:sz="4" w:space="0" w:color="808080" w:themeColor="background1" w:themeShade="80"/>
            </w:tcBorders>
            <w:shd w:val="clear" w:color="auto" w:fill="BDD6EE" w:themeFill="accent5" w:themeFillTint="66"/>
            <w:hideMark/>
          </w:tcPr>
          <w:p w14:paraId="7ED0F194" w14:textId="77777777" w:rsidR="00F80E14" w:rsidRPr="00425700" w:rsidRDefault="00F80E14" w:rsidP="000A07F0">
            <w:pPr>
              <w:pStyle w:val="TableTextNormal"/>
              <w:rPr>
                <w:rFonts w:ascii="Arial" w:hAnsi="Arial" w:cs="Arial"/>
                <w:b w:val="0"/>
                <w:bCs w:val="0"/>
                <w:color w:val="000000"/>
                <w:sz w:val="18"/>
                <w:szCs w:val="18"/>
                <w:lang w:eastAsia="en-AU"/>
              </w:rPr>
            </w:pPr>
            <w:r>
              <w:rPr>
                <w:rFonts w:ascii="Arial" w:eastAsiaTheme="minorHAnsi" w:hAnsi="Arial" w:cs="Arial"/>
                <w:sz w:val="18"/>
                <w:szCs w:val="18"/>
              </w:rPr>
              <w:t>Maintain the s</w:t>
            </w:r>
            <w:r w:rsidRPr="00425700">
              <w:rPr>
                <w:rFonts w:ascii="Arial" w:eastAsiaTheme="minorHAnsi" w:hAnsi="Arial" w:cs="Arial"/>
                <w:sz w:val="18"/>
                <w:szCs w:val="18"/>
              </w:rPr>
              <w:t xml:space="preserve">tatus quo: </w:t>
            </w:r>
            <w:r w:rsidRPr="00856412">
              <w:rPr>
                <w:rFonts w:ascii="Arial" w:hAnsi="Arial" w:cs="Arial"/>
                <w:sz w:val="18"/>
                <w:szCs w:val="18"/>
              </w:rPr>
              <w:t xml:space="preserve">Personal Importation Scheme remains as does current complexity of border enforcement activities </w:t>
            </w:r>
          </w:p>
        </w:tc>
        <w:tc>
          <w:tcPr>
            <w:tcW w:w="1656" w:type="pct"/>
            <w:vMerge/>
            <w:vAlign w:val="center"/>
            <w:hideMark/>
          </w:tcPr>
          <w:p w14:paraId="30D0A577"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color w:val="FA7D00"/>
                <w:sz w:val="18"/>
                <w:szCs w:val="18"/>
                <w:lang w:eastAsia="en-AU"/>
              </w:rPr>
            </w:pPr>
          </w:p>
        </w:tc>
        <w:tc>
          <w:tcPr>
            <w:tcW w:w="668" w:type="pct"/>
            <w:vMerge/>
            <w:vAlign w:val="center"/>
            <w:hideMark/>
          </w:tcPr>
          <w:p w14:paraId="4F6892E2"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color w:val="FA7D00"/>
                <w:sz w:val="18"/>
                <w:szCs w:val="18"/>
                <w:lang w:eastAsia="en-AU"/>
              </w:rPr>
            </w:pPr>
          </w:p>
        </w:tc>
        <w:tc>
          <w:tcPr>
            <w:tcW w:w="669" w:type="pct"/>
            <w:vMerge/>
            <w:vAlign w:val="center"/>
            <w:hideMark/>
          </w:tcPr>
          <w:p w14:paraId="79D7BAF8"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color w:val="FA7D00"/>
                <w:sz w:val="18"/>
                <w:szCs w:val="18"/>
                <w:lang w:eastAsia="en-AU"/>
              </w:rPr>
            </w:pPr>
          </w:p>
        </w:tc>
        <w:tc>
          <w:tcPr>
            <w:tcW w:w="527" w:type="pct"/>
            <w:vMerge/>
            <w:vAlign w:val="center"/>
            <w:hideMark/>
          </w:tcPr>
          <w:p w14:paraId="642CB840"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color w:val="FA7D00"/>
                <w:sz w:val="18"/>
                <w:szCs w:val="18"/>
                <w:lang w:eastAsia="en-AU"/>
              </w:rPr>
            </w:pPr>
          </w:p>
        </w:tc>
      </w:tr>
      <w:tr w:rsidR="00F80E14" w:rsidRPr="00425700" w14:paraId="577D59F2" w14:textId="77777777" w:rsidTr="000A07F0">
        <w:trPr>
          <w:trHeight w:val="263"/>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808080" w:themeColor="background1" w:themeShade="80"/>
              <w:right w:val="single" w:sz="4" w:space="0" w:color="808080" w:themeColor="background1" w:themeShade="80"/>
            </w:tcBorders>
            <w:shd w:val="clear" w:color="auto" w:fill="005487"/>
            <w:hideMark/>
          </w:tcPr>
          <w:p w14:paraId="39D50A52" w14:textId="77777777" w:rsidR="00F80E14" w:rsidRPr="00425700" w:rsidRDefault="00F80E14" w:rsidP="000A07F0">
            <w:pPr>
              <w:pStyle w:val="TableTextNormal"/>
              <w:jc w:val="center"/>
              <w:rPr>
                <w:rFonts w:ascii="Arial" w:hAnsi="Arial" w:cs="Arial"/>
                <w:sz w:val="18"/>
                <w:szCs w:val="18"/>
                <w:lang w:eastAsia="en-AU"/>
              </w:rPr>
            </w:pPr>
            <w:r w:rsidRPr="00425700">
              <w:rPr>
                <w:rFonts w:ascii="Arial" w:hAnsi="Arial" w:cs="Arial"/>
                <w:color w:val="FFFFFF" w:themeColor="background1"/>
                <w:sz w:val="18"/>
                <w:szCs w:val="18"/>
                <w:lang w:eastAsia="en-AU"/>
              </w:rPr>
              <w:t>Option 2</w:t>
            </w:r>
          </w:p>
        </w:tc>
        <w:tc>
          <w:tcPr>
            <w:tcW w:w="1656"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3CF9C807" w14:textId="77777777" w:rsidR="00F80E14" w:rsidRPr="00425700" w:rsidRDefault="00F80E14" w:rsidP="000A07F0">
            <w:pPr>
              <w:pStyle w:val="TableTextNormal"/>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668"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557B7F05" w14:textId="77777777" w:rsidR="00F80E14" w:rsidRPr="00425700" w:rsidRDefault="00F80E14" w:rsidP="000A07F0">
            <w:pPr>
              <w:pStyle w:val="TableTextNormal"/>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669"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7DC4D1C8" w14:textId="77777777" w:rsidR="00F80E14" w:rsidRPr="00425700" w:rsidRDefault="00F80E14" w:rsidP="000A07F0">
            <w:pPr>
              <w:pStyle w:val="TableTextNormal"/>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527"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noWrap/>
            <w:vAlign w:val="center"/>
          </w:tcPr>
          <w:p w14:paraId="02B0E63D" w14:textId="77777777" w:rsidR="00F80E14" w:rsidRPr="00425700" w:rsidRDefault="00F80E14" w:rsidP="000A07F0">
            <w:pPr>
              <w:pStyle w:val="TableTextNormal"/>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r>
      <w:tr w:rsidR="00F80E14" w:rsidRPr="00425700" w14:paraId="2BDBDD1D" w14:textId="77777777" w:rsidTr="000A07F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808080" w:themeColor="background1" w:themeShade="80"/>
              <w:right w:val="single" w:sz="4" w:space="0" w:color="808080" w:themeColor="background1" w:themeShade="80"/>
            </w:tcBorders>
            <w:shd w:val="clear" w:color="auto" w:fill="BDD6EE" w:themeFill="accent5" w:themeFillTint="66"/>
            <w:hideMark/>
          </w:tcPr>
          <w:p w14:paraId="7EF0840F" w14:textId="77777777" w:rsidR="00F80E14" w:rsidRPr="00425700" w:rsidRDefault="00F80E14" w:rsidP="000A07F0">
            <w:pPr>
              <w:pStyle w:val="TableTextNormal"/>
              <w:rPr>
                <w:rFonts w:ascii="Arial" w:eastAsiaTheme="minorHAnsi" w:hAnsi="Arial" w:cs="Arial"/>
                <w:b w:val="0"/>
                <w:sz w:val="18"/>
                <w:szCs w:val="18"/>
              </w:rPr>
            </w:pPr>
            <w:r>
              <w:rPr>
                <w:rFonts w:ascii="Arial" w:hAnsi="Arial" w:cs="Arial"/>
                <w:sz w:val="18"/>
                <w:szCs w:val="18"/>
              </w:rPr>
              <w:t>Regulating vapes under a consumer model</w:t>
            </w:r>
            <w:r w:rsidRPr="00856412">
              <w:rPr>
                <w:rFonts w:ascii="Arial" w:hAnsi="Arial" w:cs="Arial"/>
                <w:sz w:val="18"/>
                <w:szCs w:val="18"/>
              </w:rPr>
              <w:t xml:space="preserve"> </w:t>
            </w:r>
          </w:p>
        </w:tc>
        <w:tc>
          <w:tcPr>
            <w:tcW w:w="1656" w:type="pct"/>
            <w:vMerge/>
            <w:vAlign w:val="center"/>
          </w:tcPr>
          <w:p w14:paraId="6C0740E9"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668" w:type="pct"/>
            <w:vMerge/>
            <w:vAlign w:val="center"/>
          </w:tcPr>
          <w:p w14:paraId="6D522872"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669" w:type="pct"/>
            <w:vMerge/>
            <w:vAlign w:val="center"/>
          </w:tcPr>
          <w:p w14:paraId="03E69CB9"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527" w:type="pct"/>
            <w:vMerge/>
            <w:vAlign w:val="center"/>
          </w:tcPr>
          <w:p w14:paraId="411709B3"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r>
      <w:tr w:rsidR="00F80E14" w:rsidRPr="00425700" w14:paraId="1C54FE63" w14:textId="77777777" w:rsidTr="000A07F0">
        <w:trPr>
          <w:trHeight w:val="225"/>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808080" w:themeColor="background1" w:themeShade="80"/>
              <w:right w:val="single" w:sz="4" w:space="0" w:color="808080" w:themeColor="background1" w:themeShade="80"/>
            </w:tcBorders>
            <w:shd w:val="clear" w:color="auto" w:fill="005487"/>
          </w:tcPr>
          <w:p w14:paraId="2CBE6725" w14:textId="77777777" w:rsidR="00F80E14" w:rsidRPr="00425700" w:rsidRDefault="00F80E14" w:rsidP="000A07F0">
            <w:pPr>
              <w:pStyle w:val="TableTextNormal"/>
              <w:jc w:val="center"/>
              <w:rPr>
                <w:rFonts w:ascii="Arial" w:hAnsi="Arial" w:cs="Arial"/>
                <w:sz w:val="18"/>
                <w:szCs w:val="18"/>
                <w:lang w:eastAsia="en-AU"/>
              </w:rPr>
            </w:pPr>
            <w:r w:rsidRPr="00425700">
              <w:rPr>
                <w:rFonts w:ascii="Arial" w:hAnsi="Arial" w:cs="Arial"/>
                <w:color w:val="FFFFFF" w:themeColor="background1"/>
                <w:sz w:val="18"/>
                <w:szCs w:val="18"/>
                <w:lang w:eastAsia="en-AU"/>
              </w:rPr>
              <w:t>Option 3</w:t>
            </w:r>
          </w:p>
        </w:tc>
        <w:tc>
          <w:tcPr>
            <w:tcW w:w="0"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FFFFF" w:themeFill="background1"/>
            <w:vAlign w:val="center"/>
          </w:tcPr>
          <w:p w14:paraId="1F87C678" w14:textId="77777777" w:rsidR="00F80E14"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p w14:paraId="36D59CC5" w14:textId="77777777" w:rsidR="00F80E14"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6.57 (Pharmacists)</w:t>
            </w:r>
          </w:p>
          <w:p w14:paraId="3BEC0DBB" w14:textId="77777777" w:rsidR="00F80E14"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0.002 (Manufacturers and Suppliers)</w:t>
            </w:r>
          </w:p>
          <w:p w14:paraId="69D78271"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Total = 2.57</w:t>
            </w:r>
          </w:p>
        </w:tc>
        <w:tc>
          <w:tcPr>
            <w:tcW w:w="0"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FFFFF" w:themeFill="background1"/>
            <w:vAlign w:val="center"/>
          </w:tcPr>
          <w:p w14:paraId="0BB41C25"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0"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FFFFF" w:themeFill="background1"/>
            <w:vAlign w:val="center"/>
          </w:tcPr>
          <w:p w14:paraId="17A86AEC"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52.1</w:t>
            </w:r>
          </w:p>
        </w:tc>
        <w:tc>
          <w:tcPr>
            <w:tcW w:w="527"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31A8B0B"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58.67</w:t>
            </w:r>
          </w:p>
        </w:tc>
      </w:tr>
      <w:tr w:rsidR="00F80E14" w:rsidRPr="00425700" w14:paraId="09DF4A39" w14:textId="77777777" w:rsidTr="000A07F0">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808080" w:themeColor="background1" w:themeShade="80"/>
              <w:right w:val="single" w:sz="4" w:space="0" w:color="808080" w:themeColor="background1" w:themeShade="80"/>
            </w:tcBorders>
            <w:shd w:val="clear" w:color="auto" w:fill="BDD6EE" w:themeFill="accent5" w:themeFillTint="66"/>
          </w:tcPr>
          <w:p w14:paraId="03AFEA32" w14:textId="77777777" w:rsidR="00F80E14" w:rsidRPr="00856412" w:rsidRDefault="00F80E14" w:rsidP="000A07F0">
            <w:pPr>
              <w:pStyle w:val="TableTextNormal"/>
              <w:rPr>
                <w:rFonts w:ascii="Arial" w:hAnsi="Arial" w:cs="Arial"/>
                <w:sz w:val="18"/>
                <w:szCs w:val="18"/>
                <w:lang w:eastAsia="en-AU"/>
              </w:rPr>
            </w:pPr>
            <w:r>
              <w:rPr>
                <w:rFonts w:ascii="Arial" w:hAnsi="Arial" w:cs="Arial"/>
                <w:sz w:val="18"/>
                <w:szCs w:val="18"/>
              </w:rPr>
              <w:t xml:space="preserve">Measure 1: </w:t>
            </w:r>
            <w:r w:rsidRPr="004B15F2">
              <w:t>Restrictions on importation, manufacture and supply of all vapes</w:t>
            </w:r>
          </w:p>
        </w:tc>
        <w:tc>
          <w:tcPr>
            <w:tcW w:w="1656" w:type="pct"/>
            <w:vMerge/>
            <w:vAlign w:val="center"/>
          </w:tcPr>
          <w:p w14:paraId="0EB8258E"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668" w:type="pct"/>
            <w:vMerge/>
            <w:vAlign w:val="center"/>
          </w:tcPr>
          <w:p w14:paraId="49858490"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669" w:type="pct"/>
            <w:vMerge/>
            <w:vAlign w:val="center"/>
          </w:tcPr>
          <w:p w14:paraId="223B6932"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527" w:type="pct"/>
            <w:vMerge/>
            <w:vAlign w:val="center"/>
          </w:tcPr>
          <w:p w14:paraId="5C3F77AF"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r>
      <w:tr w:rsidR="00F80E14" w:rsidRPr="00425700" w14:paraId="522C4069" w14:textId="77777777" w:rsidTr="000A07F0">
        <w:trPr>
          <w:trHeight w:val="806"/>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808080" w:themeColor="background1" w:themeShade="80"/>
              <w:right w:val="single" w:sz="4" w:space="0" w:color="808080" w:themeColor="background1" w:themeShade="80"/>
            </w:tcBorders>
            <w:shd w:val="clear" w:color="auto" w:fill="BDD6EE" w:themeFill="accent5" w:themeFillTint="66"/>
          </w:tcPr>
          <w:p w14:paraId="562F116C" w14:textId="77777777" w:rsidR="00F80E14" w:rsidRPr="00994013" w:rsidRDefault="00F80E14" w:rsidP="000A07F0">
            <w:pPr>
              <w:pStyle w:val="TableTextNormal"/>
              <w:rPr>
                <w:rFonts w:ascii="Arial" w:hAnsi="Arial" w:cs="Arial"/>
                <w:sz w:val="18"/>
                <w:szCs w:val="18"/>
              </w:rPr>
            </w:pPr>
            <w:r w:rsidRPr="00994013">
              <w:rPr>
                <w:rFonts w:ascii="Arial" w:hAnsi="Arial" w:cs="Arial"/>
                <w:sz w:val="18"/>
                <w:szCs w:val="18"/>
              </w:rPr>
              <w:t xml:space="preserve">Measure 2: </w:t>
            </w:r>
            <w:r w:rsidRPr="00994013">
              <w:t>Changes to market accessibility requirements, including better regulation of device components</w:t>
            </w:r>
          </w:p>
        </w:tc>
        <w:tc>
          <w:tcPr>
            <w:tcW w:w="1656"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6BC3639" w14:textId="77777777" w:rsidR="00F80E14"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 xml:space="preserve">0.035 (Medical Practitioners) </w:t>
            </w:r>
          </w:p>
          <w:p w14:paraId="5D790850" w14:textId="77777777" w:rsidR="00F80E14"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0.0009 (Manufacturers and Suppliers)</w:t>
            </w:r>
          </w:p>
          <w:p w14:paraId="0740DC94"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Total = 0.04</w:t>
            </w:r>
          </w:p>
        </w:tc>
        <w:tc>
          <w:tcPr>
            <w:tcW w:w="668"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E5AC260"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669"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ADFC7F2"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527" w:type="pct"/>
            <w:tcBorders>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6067E68"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0.04</w:t>
            </w:r>
          </w:p>
        </w:tc>
      </w:tr>
      <w:tr w:rsidR="00F80E14" w:rsidRPr="00425700" w14:paraId="68FF6AE2" w14:textId="77777777" w:rsidTr="000A07F0">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808080" w:themeColor="background1" w:themeShade="80"/>
              <w:right w:val="single" w:sz="4" w:space="0" w:color="808080" w:themeColor="background1" w:themeShade="80"/>
            </w:tcBorders>
            <w:shd w:val="clear" w:color="auto" w:fill="BDD6EE" w:themeFill="accent5" w:themeFillTint="66"/>
          </w:tcPr>
          <w:p w14:paraId="06AFD3D1" w14:textId="77777777" w:rsidR="00F80E14" w:rsidRPr="00856412" w:rsidRDefault="00F80E14" w:rsidP="000A07F0">
            <w:pPr>
              <w:pStyle w:val="TableTextNormal"/>
              <w:rPr>
                <w:rFonts w:ascii="Arial" w:hAnsi="Arial" w:cs="Arial"/>
                <w:sz w:val="18"/>
                <w:szCs w:val="18"/>
              </w:rPr>
            </w:pPr>
            <w:r>
              <w:t>Measure 3: Improving quality standards for unapproved (unregistered) vapes</w:t>
            </w:r>
          </w:p>
        </w:tc>
        <w:tc>
          <w:tcPr>
            <w:tcW w:w="1656"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25D99F9"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0.75 (Manufacturers and Suppliers)</w:t>
            </w:r>
          </w:p>
        </w:tc>
        <w:tc>
          <w:tcPr>
            <w:tcW w:w="668"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7BE89CE7"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669"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5D833A5"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527" w:type="pct"/>
            <w:tcBorders>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241FFCE"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0.75</w:t>
            </w:r>
          </w:p>
        </w:tc>
      </w:tr>
      <w:tr w:rsidR="00F80E14" w:rsidRPr="00425700" w14:paraId="0E617150" w14:textId="77777777" w:rsidTr="000A07F0">
        <w:trPr>
          <w:trHeight w:val="504"/>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808080" w:themeColor="background1" w:themeShade="80"/>
              <w:right w:val="single" w:sz="4" w:space="0" w:color="808080" w:themeColor="background1" w:themeShade="80"/>
            </w:tcBorders>
            <w:shd w:val="clear" w:color="auto" w:fill="BDD6EE" w:themeFill="accent5" w:themeFillTint="66"/>
          </w:tcPr>
          <w:p w14:paraId="29B4536B" w14:textId="77777777" w:rsidR="00F80E14" w:rsidRPr="00D6773F" w:rsidRDefault="00F80E14" w:rsidP="000A07F0">
            <w:pPr>
              <w:pStyle w:val="TableTextNormal"/>
            </w:pPr>
            <w:r>
              <w:t>Measure 4. Strengthening domestic compliance and enforcement mechanisms</w:t>
            </w:r>
          </w:p>
        </w:tc>
        <w:tc>
          <w:tcPr>
            <w:tcW w:w="1656"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5F0F841"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668"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8709AED"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669"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2F42A3F"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527" w:type="pct"/>
            <w:tcBorders>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C059CE9"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r>
      <w:tr w:rsidR="00F80E14" w:rsidRPr="00425700" w14:paraId="490C060E" w14:textId="77777777" w:rsidTr="000A07F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808080" w:themeColor="background1" w:themeShade="80"/>
              <w:right w:val="single" w:sz="4" w:space="0" w:color="808080" w:themeColor="background1" w:themeShade="80"/>
            </w:tcBorders>
            <w:shd w:val="clear" w:color="auto" w:fill="BDD6EE" w:themeFill="accent5" w:themeFillTint="66"/>
          </w:tcPr>
          <w:p w14:paraId="4B44B54C" w14:textId="77777777" w:rsidR="00F80E14" w:rsidRDefault="00F80E14" w:rsidP="000A07F0">
            <w:pPr>
              <w:pStyle w:val="TableTextNormal"/>
            </w:pPr>
            <w:r>
              <w:t>Total for Option 3</w:t>
            </w:r>
          </w:p>
        </w:tc>
        <w:tc>
          <w:tcPr>
            <w:tcW w:w="0"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5EBF708"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7.36</w:t>
            </w:r>
          </w:p>
        </w:tc>
        <w:tc>
          <w:tcPr>
            <w:tcW w:w="0"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870C040"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0"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88C48FE"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52.1</w:t>
            </w:r>
          </w:p>
        </w:tc>
        <w:tc>
          <w:tcPr>
            <w:tcW w:w="527" w:type="pct"/>
            <w:tcBorders>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8D907C6" w14:textId="77777777" w:rsidR="00F80E14" w:rsidRPr="00D612BD"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59.46</w:t>
            </w:r>
          </w:p>
        </w:tc>
      </w:tr>
      <w:tr w:rsidR="00F80E14" w:rsidRPr="00425700" w14:paraId="201A6F4D" w14:textId="77777777" w:rsidTr="000A07F0">
        <w:trPr>
          <w:trHeight w:val="307"/>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808080" w:themeColor="background1" w:themeShade="80"/>
              <w:right w:val="single" w:sz="4" w:space="0" w:color="808080" w:themeColor="background1" w:themeShade="80"/>
            </w:tcBorders>
            <w:shd w:val="clear" w:color="auto" w:fill="005487"/>
          </w:tcPr>
          <w:p w14:paraId="6D5119BB" w14:textId="77777777" w:rsidR="00F80E14" w:rsidRPr="00856412" w:rsidRDefault="00F80E14" w:rsidP="000A07F0">
            <w:pPr>
              <w:pStyle w:val="TableTextNormal"/>
              <w:jc w:val="center"/>
              <w:rPr>
                <w:rFonts w:ascii="Arial" w:hAnsi="Arial" w:cs="Arial"/>
                <w:sz w:val="18"/>
                <w:szCs w:val="18"/>
              </w:rPr>
            </w:pPr>
            <w:r w:rsidRPr="00425700">
              <w:rPr>
                <w:rFonts w:ascii="Arial" w:hAnsi="Arial" w:cs="Arial"/>
                <w:color w:val="FFFFFF" w:themeColor="background1"/>
                <w:sz w:val="18"/>
                <w:szCs w:val="18"/>
                <w:lang w:eastAsia="en-AU"/>
              </w:rPr>
              <w:t xml:space="preserve">Option </w:t>
            </w:r>
            <w:r>
              <w:rPr>
                <w:rFonts w:ascii="Arial" w:hAnsi="Arial" w:cs="Arial"/>
                <w:color w:val="FFFFFF" w:themeColor="background1"/>
                <w:sz w:val="18"/>
                <w:szCs w:val="18"/>
                <w:lang w:eastAsia="en-AU"/>
              </w:rPr>
              <w:t>4</w:t>
            </w:r>
          </w:p>
        </w:tc>
        <w:tc>
          <w:tcPr>
            <w:tcW w:w="0" w:type="pct"/>
            <w:vMerge w:val="restar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B55022F" w14:textId="77777777" w:rsidR="00F80E14"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6.57 (Pharmacists)</w:t>
            </w:r>
          </w:p>
          <w:p w14:paraId="6741AA9A"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1.2 (Manufacturers and Suppliers)</w:t>
            </w:r>
          </w:p>
        </w:tc>
        <w:tc>
          <w:tcPr>
            <w:tcW w:w="0" w:type="pct"/>
            <w:vMerge w:val="restar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D3AB481" w14:textId="77777777" w:rsidR="00F80E14" w:rsidRPr="00D612BD" w:rsidRDefault="00F80E14" w:rsidP="000A07F0">
            <w:pPr>
              <w:pStyle w:val="TableTextNormal"/>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tc>
        <w:tc>
          <w:tcPr>
            <w:tcW w:w="0" w:type="pct"/>
            <w:vMerge w:val="restar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02B9B8C"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52.1</w:t>
            </w:r>
          </w:p>
        </w:tc>
        <w:tc>
          <w:tcPr>
            <w:tcW w:w="527" w:type="pct"/>
            <w:vMerge w:val="restart"/>
            <w:tcBorders>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3FB05CE" w14:textId="77777777" w:rsidR="00F80E14" w:rsidRPr="00D612BD" w:rsidRDefault="00F80E14" w:rsidP="000A07F0">
            <w:pPr>
              <w:pStyle w:val="TableTextNormal"/>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59.87</w:t>
            </w:r>
          </w:p>
        </w:tc>
      </w:tr>
      <w:tr w:rsidR="00F80E14" w:rsidRPr="00425700" w14:paraId="049FD3C6" w14:textId="77777777" w:rsidTr="000A07F0">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808080" w:themeColor="background1" w:themeShade="80"/>
              <w:right w:val="single" w:sz="4" w:space="0" w:color="808080" w:themeColor="background1" w:themeShade="80"/>
            </w:tcBorders>
            <w:shd w:val="clear" w:color="auto" w:fill="BDD6EE" w:themeFill="accent5" w:themeFillTint="66"/>
          </w:tcPr>
          <w:p w14:paraId="312CB10B" w14:textId="77777777" w:rsidR="00F80E14" w:rsidRPr="001E2968" w:rsidRDefault="00F80E14" w:rsidP="000A07F0">
            <w:pPr>
              <w:pStyle w:val="TableTextNormal"/>
              <w:rPr>
                <w:rFonts w:ascii="Arial" w:hAnsi="Arial" w:cs="Arial"/>
                <w:color w:val="000000" w:themeColor="text1"/>
                <w:sz w:val="18"/>
                <w:szCs w:val="18"/>
                <w:lang w:eastAsia="en-AU"/>
              </w:rPr>
            </w:pPr>
            <w:r>
              <w:rPr>
                <w:rFonts w:ascii="Arial" w:hAnsi="Arial" w:cs="Arial"/>
                <w:color w:val="000000" w:themeColor="text1"/>
                <w:sz w:val="18"/>
                <w:szCs w:val="18"/>
                <w:lang w:eastAsia="en-AU"/>
              </w:rPr>
              <w:t>Same as for Option 3, except requiring vapes to be registered on the ARTG (and not available as ‘unapproved’ therapeutic goods)</w:t>
            </w:r>
          </w:p>
        </w:tc>
        <w:tc>
          <w:tcPr>
            <w:tcW w:w="0" w:type="pct"/>
            <w:vMerge/>
            <w:vAlign w:val="center"/>
          </w:tcPr>
          <w:p w14:paraId="1A90C532" w14:textId="77777777" w:rsidR="00F80E14" w:rsidRPr="00425700" w:rsidRDefault="00F80E14" w:rsidP="000A07F0">
            <w:pPr>
              <w:pStyle w:val="TableTextNormal"/>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0" w:type="pct"/>
            <w:vMerge/>
            <w:vAlign w:val="center"/>
          </w:tcPr>
          <w:p w14:paraId="3EE9CC9B"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0" w:type="pct"/>
            <w:vMerge/>
            <w:vAlign w:val="center"/>
          </w:tcPr>
          <w:p w14:paraId="2A5B2E0D"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c>
          <w:tcPr>
            <w:tcW w:w="527" w:type="pct"/>
            <w:vMerge/>
            <w:vAlign w:val="center"/>
          </w:tcPr>
          <w:p w14:paraId="0702771A" w14:textId="77777777" w:rsidR="00F80E14" w:rsidRPr="00425700" w:rsidRDefault="00F80E14" w:rsidP="000A07F0">
            <w:pPr>
              <w:pStyle w:val="TableTextNormal"/>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AU"/>
              </w:rPr>
            </w:pPr>
          </w:p>
        </w:tc>
      </w:tr>
    </w:tbl>
    <w:p w14:paraId="028C16AB" w14:textId="77777777" w:rsidR="00F80E14" w:rsidRPr="00EB7E0E" w:rsidRDefault="00F80E14" w:rsidP="00F80E14"/>
    <w:bookmarkEnd w:id="266"/>
    <w:p w14:paraId="05CEC034" w14:textId="77777777" w:rsidR="006704A4" w:rsidRDefault="006704A4" w:rsidP="00192C22">
      <w:pPr>
        <w:spacing w:after="0" w:line="240" w:lineRule="auto"/>
      </w:pPr>
    </w:p>
    <w:p w14:paraId="711B9962" w14:textId="77777777" w:rsidR="006704A4" w:rsidRDefault="006704A4" w:rsidP="00192C22">
      <w:pPr>
        <w:spacing w:after="0" w:line="240" w:lineRule="auto"/>
      </w:pPr>
    </w:p>
    <w:p w14:paraId="65EB638C" w14:textId="77777777" w:rsidR="006704A4" w:rsidRDefault="006704A4" w:rsidP="00192C22">
      <w:pPr>
        <w:spacing w:after="0" w:line="240" w:lineRule="auto"/>
      </w:pPr>
    </w:p>
    <w:p w14:paraId="289A6F23" w14:textId="77777777" w:rsidR="006704A4" w:rsidRDefault="006704A4" w:rsidP="00192C22">
      <w:pPr>
        <w:spacing w:after="0" w:line="240" w:lineRule="auto"/>
      </w:pPr>
    </w:p>
    <w:p w14:paraId="55F1DE56" w14:textId="77777777" w:rsidR="006704A4" w:rsidRDefault="006704A4" w:rsidP="00192C22">
      <w:pPr>
        <w:spacing w:after="0" w:line="240" w:lineRule="auto"/>
      </w:pPr>
    </w:p>
    <w:p w14:paraId="107053A1" w14:textId="47A66808" w:rsidR="006704A4" w:rsidRPr="00215D48" w:rsidRDefault="006704A4" w:rsidP="00192C22">
      <w:pPr>
        <w:spacing w:after="0" w:line="240" w:lineRule="auto"/>
        <w:sectPr w:rsidR="006704A4" w:rsidRPr="00215D48" w:rsidSect="00853309">
          <w:pgSz w:w="11906" w:h="16838" w:code="9"/>
          <w:pgMar w:top="1701" w:right="1440" w:bottom="1440" w:left="1440" w:header="573" w:footer="567" w:gutter="0"/>
          <w:cols w:space="708"/>
          <w:docGrid w:linePitch="360"/>
        </w:sectPr>
      </w:pPr>
    </w:p>
    <w:tbl>
      <w:tblPr>
        <w:tblpPr w:leftFromText="180" w:rightFromText="180" w:vertAnchor="text" w:horzAnchor="margin" w:tblpY="11996"/>
        <w:tblW w:w="9145" w:type="dxa"/>
        <w:tblLayout w:type="fixed"/>
        <w:tblCellMar>
          <w:left w:w="0" w:type="dxa"/>
          <w:right w:w="0" w:type="dxa"/>
        </w:tblCellMar>
        <w:tblLook w:val="04A0" w:firstRow="1" w:lastRow="0" w:firstColumn="1" w:lastColumn="0" w:noHBand="0" w:noVBand="1"/>
      </w:tblPr>
      <w:tblGrid>
        <w:gridCol w:w="9145"/>
      </w:tblGrid>
      <w:tr w:rsidR="000134A2" w:rsidRPr="00215D48" w14:paraId="05A82F06" w14:textId="77777777" w:rsidTr="000134A2">
        <w:trPr>
          <w:trHeight w:hRule="exact" w:val="565"/>
        </w:trPr>
        <w:tc>
          <w:tcPr>
            <w:tcW w:w="9145" w:type="dxa"/>
          </w:tcPr>
          <w:p w14:paraId="78B2FD31" w14:textId="77777777" w:rsidR="000134A2" w:rsidRPr="00215D48" w:rsidRDefault="000134A2" w:rsidP="000134A2">
            <w:pPr>
              <w:pStyle w:val="TGASignoff"/>
            </w:pPr>
            <w:r w:rsidRPr="00215D48">
              <w:lastRenderedPageBreak/>
              <w:t>Therapeutic Goods Administration</w:t>
            </w:r>
          </w:p>
        </w:tc>
      </w:tr>
      <w:tr w:rsidR="000134A2" w:rsidRPr="00215D48" w14:paraId="75FB2F28" w14:textId="77777777" w:rsidTr="000134A2">
        <w:trPr>
          <w:trHeight w:val="963"/>
        </w:trPr>
        <w:tc>
          <w:tcPr>
            <w:tcW w:w="9145" w:type="dxa"/>
            <w:tcMar>
              <w:top w:w="28" w:type="dxa"/>
            </w:tcMar>
          </w:tcPr>
          <w:p w14:paraId="2020B427" w14:textId="77777777" w:rsidR="000134A2" w:rsidRPr="00215D48" w:rsidRDefault="000134A2" w:rsidP="000134A2">
            <w:pPr>
              <w:pStyle w:val="Address"/>
              <w:jc w:val="center"/>
            </w:pPr>
            <w:r w:rsidRPr="00215D48">
              <w:t>PO Box 100 Woden ACT 2606 Australia</w:t>
            </w:r>
          </w:p>
          <w:p w14:paraId="21ABEDC6" w14:textId="77777777" w:rsidR="000134A2" w:rsidRDefault="000134A2" w:rsidP="000134A2">
            <w:pPr>
              <w:pStyle w:val="Address"/>
              <w:jc w:val="center"/>
              <w:rPr>
                <w:sz w:val="22"/>
                <w:szCs w:val="22"/>
              </w:rPr>
            </w:pPr>
            <w:r w:rsidRPr="00215D48">
              <w:t xml:space="preserve">Email: </w:t>
            </w:r>
            <w:hyperlink r:id="rId87" w:history="1">
              <w:r w:rsidRPr="00215D48">
                <w:rPr>
                  <w:rStyle w:val="Hyperlink"/>
                </w:rPr>
                <w:t>info@tga.gov.au</w:t>
              </w:r>
            </w:hyperlink>
            <w:r w:rsidRPr="00215D48">
              <w:t xml:space="preserve">  Phone: 1800 020 653 Fax: </w:t>
            </w:r>
            <w:r w:rsidRPr="00BA0DFC">
              <w:t>02 6203 1605</w:t>
            </w:r>
          </w:p>
          <w:p w14:paraId="5BCD81D8" w14:textId="77777777" w:rsidR="000134A2" w:rsidRPr="00215D48" w:rsidRDefault="007364C4" w:rsidP="000134A2">
            <w:pPr>
              <w:pStyle w:val="Address"/>
              <w:jc w:val="center"/>
              <w:rPr>
                <w:rStyle w:val="Hyperlink"/>
                <w:b/>
                <w:color w:val="auto"/>
                <w:sz w:val="22"/>
              </w:rPr>
            </w:pPr>
            <w:hyperlink r:id="rId88" w:history="1">
              <w:r w:rsidR="000134A2" w:rsidRPr="00C4721A">
                <w:rPr>
                  <w:rStyle w:val="Hyperlink"/>
                  <w:b/>
                </w:rPr>
                <w:t>https://www.tga.gov.au</w:t>
              </w:r>
            </w:hyperlink>
          </w:p>
        </w:tc>
      </w:tr>
      <w:tr w:rsidR="000134A2" w:rsidRPr="00215D48" w14:paraId="64894F41" w14:textId="77777777" w:rsidTr="000134A2">
        <w:trPr>
          <w:trHeight w:val="251"/>
        </w:trPr>
        <w:tc>
          <w:tcPr>
            <w:tcW w:w="9145" w:type="dxa"/>
            <w:tcMar>
              <w:top w:w="28" w:type="dxa"/>
            </w:tcMar>
          </w:tcPr>
          <w:p w14:paraId="404CFCC1" w14:textId="77777777" w:rsidR="000134A2" w:rsidRPr="00215D48" w:rsidRDefault="000134A2" w:rsidP="000134A2">
            <w:pPr>
              <w:pStyle w:val="Address"/>
              <w:jc w:val="center"/>
            </w:pPr>
          </w:p>
        </w:tc>
      </w:tr>
    </w:tbl>
    <w:p w14:paraId="0C0ED79D" w14:textId="77777777" w:rsidR="00192C22" w:rsidRDefault="00192C22"/>
    <w:sectPr w:rsidR="00192C22" w:rsidSect="001F344F">
      <w:headerReference w:type="even" r:id="rId89"/>
      <w:headerReference w:type="default" r:id="rId90"/>
      <w:headerReference w:type="first" r:id="rId91"/>
      <w:footerReference w:type="first" r:id="rId92"/>
      <w:pgSz w:w="11906" w:h="16838" w:code="9"/>
      <w:pgMar w:top="1440" w:right="1440" w:bottom="1440" w:left="1440"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2A932" w14:textId="77777777" w:rsidR="007364C4" w:rsidRDefault="007364C4" w:rsidP="00F02AEC">
      <w:pPr>
        <w:spacing w:after="0" w:line="240" w:lineRule="auto"/>
      </w:pPr>
      <w:r>
        <w:separator/>
      </w:r>
    </w:p>
  </w:endnote>
  <w:endnote w:type="continuationSeparator" w:id="0">
    <w:p w14:paraId="7864F5ED" w14:textId="77777777" w:rsidR="007364C4" w:rsidRDefault="007364C4" w:rsidP="00F02AEC">
      <w:pPr>
        <w:spacing w:after="0" w:line="240" w:lineRule="auto"/>
      </w:pPr>
      <w:r>
        <w:continuationSeparator/>
      </w:r>
    </w:p>
  </w:endnote>
  <w:endnote w:type="continuationNotice" w:id="1">
    <w:p w14:paraId="0A0591B1" w14:textId="77777777" w:rsidR="007364C4" w:rsidRDefault="007364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verpass">
    <w:altName w:val="Calibri"/>
    <w:charset w:val="00"/>
    <w:family w:val="auto"/>
    <w:pitch w:val="variable"/>
    <w:sig w:usb0="00000007" w:usb1="00000020" w:usb2="00000000" w:usb3="00000000" w:csb0="00000093" w:csb1="00000000"/>
  </w:font>
  <w:font w:name="Overpass Heavy">
    <w:altName w:val="Calibri"/>
    <w:charset w:val="00"/>
    <w:family w:val="auto"/>
    <w:pitch w:val="variable"/>
    <w:sig w:usb0="00000007" w:usb1="0000002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Bodoni MT Poster Compressed">
    <w:panose1 w:val="02070706080601050204"/>
    <w:charset w:val="00"/>
    <w:family w:val="roman"/>
    <w:pitch w:val="variable"/>
    <w:sig w:usb0="00000007" w:usb1="00000000"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erriweather Sans">
    <w:altName w:val="Times New Roman"/>
    <w:charset w:val="00"/>
    <w:family w:val="auto"/>
    <w:pitch w:val="variable"/>
    <w:sig w:usb0="00000001" w:usb1="4000207B" w:usb2="00000000" w:usb3="00000000" w:csb0="00000193"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AE60B" w14:textId="77777777" w:rsidR="00F27EB7" w:rsidRDefault="00F27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27EB7" w:rsidRPr="00257138" w14:paraId="35D4E0FC" w14:textId="77777777" w:rsidTr="00192C22">
      <w:trPr>
        <w:trHeight w:val="423"/>
      </w:trPr>
      <w:tc>
        <w:tcPr>
          <w:tcW w:w="4360" w:type="dxa"/>
          <w:tcBorders>
            <w:top w:val="single" w:sz="4" w:space="0" w:color="auto"/>
          </w:tcBorders>
        </w:tcPr>
        <w:p w14:paraId="5E235E0D" w14:textId="773D8293" w:rsidR="00F27EB7" w:rsidRDefault="00F27EB7" w:rsidP="00192C22">
          <w:pPr>
            <w:pStyle w:val="Footer"/>
          </w:pPr>
        </w:p>
        <w:p w14:paraId="0DDC0778" w14:textId="77777777" w:rsidR="00F27EB7" w:rsidRPr="00257138" w:rsidRDefault="00F27EB7" w:rsidP="00192C22">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4D174BE7" w14:textId="77777777" w:rsidR="00F27EB7" w:rsidRDefault="00F27EB7" w:rsidP="00192C22">
              <w:pPr>
                <w:pStyle w:val="Footer"/>
                <w:jc w:val="right"/>
              </w:pPr>
            </w:p>
            <w:p w14:paraId="11C7B76F" w14:textId="5B227502" w:rsidR="00F27EB7" w:rsidRPr="00257138" w:rsidRDefault="00F27EB7" w:rsidP="00192C22">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F27EB7" w:rsidRPr="00257138" w14:paraId="23D02367" w14:textId="77777777" w:rsidTr="00192C22">
      <w:trPr>
        <w:trHeight w:val="263"/>
      </w:trPr>
      <w:tc>
        <w:tcPr>
          <w:tcW w:w="4360" w:type="dxa"/>
        </w:tcPr>
        <w:p w14:paraId="42C7FE36" w14:textId="77777777" w:rsidR="00F27EB7" w:rsidRPr="00257138" w:rsidRDefault="00F27EB7" w:rsidP="00192C22">
          <w:pPr>
            <w:pStyle w:val="Footer"/>
          </w:pPr>
          <w:r w:rsidRPr="00257138">
            <w:t xml:space="preserve">V1.0 </w:t>
          </w:r>
          <w:r>
            <w:t>Month</w:t>
          </w:r>
          <w:r w:rsidRPr="00257138">
            <w:t xml:space="preserve"> 201</w:t>
          </w:r>
          <w:r>
            <w:t>2</w:t>
          </w:r>
        </w:p>
      </w:tc>
      <w:tc>
        <w:tcPr>
          <w:tcW w:w="4360" w:type="dxa"/>
        </w:tcPr>
        <w:p w14:paraId="0D702F38" w14:textId="77777777" w:rsidR="00F27EB7" w:rsidRPr="00257138" w:rsidRDefault="00F27EB7" w:rsidP="00192C22">
          <w:pPr>
            <w:pStyle w:val="Footer"/>
            <w:jc w:val="right"/>
          </w:pPr>
        </w:p>
      </w:tc>
    </w:tr>
  </w:tbl>
  <w:p w14:paraId="02EAF8C5" w14:textId="77777777" w:rsidR="00F27EB7" w:rsidRPr="00826007" w:rsidRDefault="00F27EB7" w:rsidP="00192C22">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54EFB" w14:textId="77777777" w:rsidR="00F27EB7" w:rsidRDefault="00F27EB7" w:rsidP="00192C22">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27EB7" w:rsidRPr="004A3084" w14:paraId="3D9E55A0" w14:textId="77777777" w:rsidTr="00192C22">
      <w:trPr>
        <w:trHeight w:val="423"/>
      </w:trPr>
      <w:tc>
        <w:tcPr>
          <w:tcW w:w="7338" w:type="dxa"/>
          <w:tcBorders>
            <w:top w:val="single" w:sz="4" w:space="0" w:color="auto"/>
          </w:tcBorders>
        </w:tcPr>
        <w:p w14:paraId="0D623F6A" w14:textId="4581A756" w:rsidR="00F27EB7" w:rsidRPr="004A3084" w:rsidRDefault="00F27EB7" w:rsidP="00192C22">
          <w:pPr>
            <w:pStyle w:val="Footer"/>
          </w:pPr>
          <w:r>
            <w:t>Final Vaping Impact Assessment</w:t>
          </w:r>
          <w:r w:rsidRPr="004A3084">
            <w:t xml:space="preserve"> </w:t>
          </w:r>
          <w:r>
            <w:br/>
            <w:t>09 October 2023</w:t>
          </w:r>
        </w:p>
      </w:tc>
      <w:tc>
        <w:tcPr>
          <w:tcW w:w="1734" w:type="dxa"/>
          <w:tcBorders>
            <w:top w:val="single" w:sz="4" w:space="0" w:color="auto"/>
          </w:tcBorders>
        </w:tcPr>
        <w:sdt>
          <w:sdtPr>
            <w:id w:val="11571659"/>
            <w:docPartObj>
              <w:docPartGallery w:val="Page Numbers (Top of Page)"/>
              <w:docPartUnique/>
            </w:docPartObj>
          </w:sdtPr>
          <w:sdtEndPr/>
          <w:sdtContent>
            <w:p w14:paraId="0D27741E" w14:textId="748CDF28" w:rsidR="00F27EB7" w:rsidRPr="004A3084" w:rsidRDefault="00F27EB7" w:rsidP="00192C22">
              <w:pPr>
                <w:pStyle w:val="Footer"/>
                <w:jc w:val="right"/>
              </w:pPr>
              <w:r w:rsidRPr="004A3084">
                <w:t xml:space="preserve">Page </w:t>
              </w:r>
              <w:r>
                <w:fldChar w:fldCharType="begin"/>
              </w:r>
              <w:r>
                <w:instrText xml:space="preserve"> PAGE </w:instrText>
              </w:r>
              <w:r>
                <w:fldChar w:fldCharType="separate"/>
              </w:r>
              <w:r w:rsidR="00075E03">
                <w:rPr>
                  <w:noProof/>
                </w:rPr>
                <w:t>135</w:t>
              </w:r>
              <w:r>
                <w:rPr>
                  <w:noProof/>
                </w:rPr>
                <w:fldChar w:fldCharType="end"/>
              </w:r>
              <w:r w:rsidRPr="004A3084">
                <w:t xml:space="preserve"> of </w:t>
              </w:r>
              <w:r>
                <w:fldChar w:fldCharType="begin"/>
              </w:r>
              <w:r>
                <w:instrText>NUMPAGES</w:instrText>
              </w:r>
              <w:r>
                <w:fldChar w:fldCharType="separate"/>
              </w:r>
              <w:r w:rsidR="00075E03">
                <w:rPr>
                  <w:noProof/>
                </w:rPr>
                <w:t>136</w:t>
              </w:r>
              <w:r>
                <w:fldChar w:fldCharType="end"/>
              </w:r>
            </w:p>
          </w:sdtContent>
        </w:sdt>
      </w:tc>
    </w:tr>
  </w:tbl>
  <w:p w14:paraId="7E47B3D6" w14:textId="77777777" w:rsidR="00F27EB7" w:rsidRPr="00826007" w:rsidRDefault="00F27EB7" w:rsidP="00192C22">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838B4" w14:textId="77777777" w:rsidR="00F27EB7" w:rsidRPr="008E3C43" w:rsidRDefault="00F27EB7" w:rsidP="00192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CAB1B" w14:textId="77777777" w:rsidR="007364C4" w:rsidRDefault="007364C4" w:rsidP="00F02AEC">
      <w:pPr>
        <w:spacing w:after="0" w:line="240" w:lineRule="auto"/>
      </w:pPr>
      <w:r>
        <w:separator/>
      </w:r>
    </w:p>
  </w:footnote>
  <w:footnote w:type="continuationSeparator" w:id="0">
    <w:p w14:paraId="75831CDA" w14:textId="77777777" w:rsidR="007364C4" w:rsidRDefault="007364C4" w:rsidP="00F02AEC">
      <w:pPr>
        <w:spacing w:after="0" w:line="240" w:lineRule="auto"/>
      </w:pPr>
      <w:r>
        <w:continuationSeparator/>
      </w:r>
    </w:p>
  </w:footnote>
  <w:footnote w:type="continuationNotice" w:id="1">
    <w:p w14:paraId="32149F72" w14:textId="77777777" w:rsidR="007364C4" w:rsidRDefault="007364C4">
      <w:pPr>
        <w:spacing w:after="0" w:line="240" w:lineRule="auto"/>
      </w:pPr>
    </w:p>
  </w:footnote>
  <w:footnote w:id="2">
    <w:p w14:paraId="15175F76" w14:textId="77777777" w:rsidR="00F27EB7" w:rsidRPr="00356915" w:rsidRDefault="00F27EB7" w:rsidP="00F712C0">
      <w:pPr>
        <w:pStyle w:val="FootnoteText"/>
        <w:rPr>
          <w:rFonts w:cstheme="majorHAnsi"/>
          <w:szCs w:val="18"/>
        </w:rPr>
      </w:pPr>
      <w:r w:rsidRPr="00356915">
        <w:rPr>
          <w:rStyle w:val="FootnoteReference"/>
          <w:rFonts w:cstheme="majorHAnsi"/>
          <w:szCs w:val="18"/>
        </w:rPr>
        <w:footnoteRef/>
      </w:r>
      <w:r w:rsidRPr="00356915">
        <w:rPr>
          <w:rFonts w:cstheme="majorHAnsi"/>
          <w:szCs w:val="18"/>
        </w:rPr>
        <w:t xml:space="preserve"> </w:t>
      </w:r>
      <w:bookmarkStart w:id="11" w:name="_Hlk146703467"/>
      <w:r w:rsidRPr="00356915">
        <w:rPr>
          <w:rFonts w:cstheme="majorHAnsi"/>
          <w:szCs w:val="18"/>
        </w:rPr>
        <w:t xml:space="preserve">Wakefield, M et al, ‘Current vaping and current smoking in the Australian population aged 14+ years: February 2018-March 2023.’ (2023) Centre for Behavioural Research in Cancer, Cancer Council Victoria: Melbourne, Australia. Data collected from the Roy Morgan Research company and analysed by Cancer Council Victoria for the Department of Health and Aged Care. This data is not nationally representative. It should be considered preliminary until more comprehensive national data is published in 2023-24. Available at: </w:t>
      </w:r>
      <w:hyperlink r:id="rId1" w:history="1">
        <w:r w:rsidRPr="00356915">
          <w:rPr>
            <w:rStyle w:val="Hyperlink"/>
            <w:rFonts w:asciiTheme="majorHAnsi" w:hAnsiTheme="majorHAnsi" w:cstheme="majorHAnsi"/>
            <w:szCs w:val="18"/>
          </w:rPr>
          <w:t>https://www.health.gov.au/resources/publications/current-vaping-and-smoking-in-the-australian-population-aged-14-years-or-older-february-2018-to-march-2023?language=en</w:t>
        </w:r>
      </w:hyperlink>
      <w:bookmarkEnd w:id="11"/>
    </w:p>
  </w:footnote>
  <w:footnote w:id="3">
    <w:p w14:paraId="3CB5F275" w14:textId="77777777" w:rsidR="00F27EB7" w:rsidRPr="00356915" w:rsidRDefault="00F27EB7" w:rsidP="00F712C0">
      <w:pPr>
        <w:pStyle w:val="FootnoteText"/>
        <w:rPr>
          <w:rFonts w:cstheme="majorHAnsi"/>
          <w:szCs w:val="18"/>
        </w:rPr>
      </w:pPr>
      <w:r w:rsidRPr="00356915">
        <w:rPr>
          <w:rStyle w:val="FootnoteReference"/>
          <w:rFonts w:cstheme="majorHAnsi"/>
          <w:szCs w:val="18"/>
        </w:rPr>
        <w:footnoteRef/>
      </w:r>
      <w:r w:rsidRPr="00356915">
        <w:rPr>
          <w:rFonts w:cstheme="majorHAnsi"/>
          <w:szCs w:val="18"/>
        </w:rPr>
        <w:t xml:space="preserve"> Banks, E et al, ‘Electronic cigarettes and health outcomes: systematic review of global evidence’ (2022) Australian National University, National Centre for Epidemiology and Population Health. Available at: </w:t>
      </w:r>
      <w:hyperlink r:id="rId2" w:history="1">
        <w:r w:rsidRPr="00356915">
          <w:rPr>
            <w:rStyle w:val="Hyperlink"/>
            <w:rFonts w:asciiTheme="majorHAnsi" w:hAnsiTheme="majorHAnsi" w:cstheme="majorHAnsi"/>
            <w:szCs w:val="18"/>
          </w:rPr>
          <w:t>https://op</w:t>
        </w:r>
        <w:bookmarkStart w:id="12" w:name="_Hlt146706435"/>
        <w:bookmarkStart w:id="13" w:name="_Hlt146706436"/>
        <w:r w:rsidRPr="00356915">
          <w:rPr>
            <w:rStyle w:val="Hyperlink"/>
            <w:rFonts w:asciiTheme="majorHAnsi" w:hAnsiTheme="majorHAnsi" w:cstheme="majorHAnsi"/>
            <w:szCs w:val="18"/>
          </w:rPr>
          <w:t>e</w:t>
        </w:r>
        <w:bookmarkEnd w:id="12"/>
        <w:bookmarkEnd w:id="13"/>
        <w:r w:rsidRPr="00356915">
          <w:rPr>
            <w:rStyle w:val="Hyperlink"/>
            <w:rFonts w:asciiTheme="majorHAnsi" w:hAnsiTheme="majorHAnsi" w:cstheme="majorHAnsi"/>
            <w:szCs w:val="18"/>
          </w:rPr>
          <w:t>nresearch-repository.anu.edu.au/bitstream/1885/262914/1/Electronic%20cigarettes%20health%20outcomes%20review_2022_WCAG.pdf</w:t>
        </w:r>
      </w:hyperlink>
    </w:p>
  </w:footnote>
  <w:footnote w:id="4">
    <w:p w14:paraId="2B233C03" w14:textId="77777777" w:rsidR="00F27EB7" w:rsidRPr="00356915" w:rsidRDefault="00F27EB7" w:rsidP="00F712C0">
      <w:pPr>
        <w:pStyle w:val="FootnoteText"/>
        <w:rPr>
          <w:rFonts w:cstheme="majorHAnsi"/>
          <w:szCs w:val="18"/>
        </w:rPr>
      </w:pPr>
      <w:r w:rsidRPr="00356915">
        <w:rPr>
          <w:rStyle w:val="FootnoteReference"/>
          <w:rFonts w:cstheme="majorHAnsi"/>
          <w:szCs w:val="18"/>
        </w:rPr>
        <w:footnoteRef/>
      </w:r>
      <w:r w:rsidRPr="00356915">
        <w:rPr>
          <w:rFonts w:cstheme="majorHAnsi"/>
          <w:szCs w:val="18"/>
        </w:rPr>
        <w:t xml:space="preserve"> National Center for Chronic Disease Prevention and Health Promotion (US) Office on Smoking and Health, ‘E-Cigarette Use Among Youth and Young Adults; A Report of the Surgeon General’ (2016) US Department of Health and Human Services, CDC: Atlanta, GA. Available at: </w:t>
      </w:r>
      <w:hyperlink r:id="rId3" w:history="1">
        <w:r w:rsidRPr="00356915">
          <w:rPr>
            <w:rStyle w:val="Hyperlink"/>
            <w:rFonts w:asciiTheme="majorHAnsi" w:hAnsiTheme="majorHAnsi" w:cstheme="majorHAnsi"/>
            <w:szCs w:val="18"/>
          </w:rPr>
          <w:t>https://www.cdc.gov/tobacco/data_statistics/sgr/e-cigarettes/pdfs/2016_sgr_entire_report_508.pdf</w:t>
        </w:r>
      </w:hyperlink>
      <w:r w:rsidRPr="00356915">
        <w:rPr>
          <w:rFonts w:cstheme="majorHAnsi"/>
          <w:szCs w:val="18"/>
        </w:rPr>
        <w:t xml:space="preserve"> </w:t>
      </w:r>
    </w:p>
  </w:footnote>
  <w:footnote w:id="5">
    <w:p w14:paraId="01C1F9D6" w14:textId="2A245609" w:rsidR="00F27EB7" w:rsidRPr="008F5674" w:rsidRDefault="00F27EB7" w:rsidP="00F712C0">
      <w:pPr>
        <w:pStyle w:val="FootnoteText"/>
        <w:rPr>
          <w:rFonts w:cs="Arial"/>
          <w:sz w:val="16"/>
          <w:szCs w:val="16"/>
        </w:rPr>
      </w:pPr>
      <w:r w:rsidRPr="00356915">
        <w:rPr>
          <w:rStyle w:val="FootnoteReference"/>
          <w:rFonts w:cstheme="majorHAnsi"/>
          <w:szCs w:val="18"/>
        </w:rPr>
        <w:footnoteRef/>
      </w:r>
      <w:r w:rsidRPr="00356915">
        <w:rPr>
          <w:rFonts w:cstheme="majorHAnsi"/>
          <w:szCs w:val="18"/>
        </w:rPr>
        <w:t xml:space="preserve"> Doubeni C, Reed G, and Difranza J, ‘Early course of nicotine dependence in adolescent smokers,’ (2010) </w:t>
      </w:r>
      <w:r w:rsidRPr="00356915">
        <w:rPr>
          <w:rFonts w:cstheme="majorHAnsi"/>
          <w:i/>
          <w:szCs w:val="18"/>
        </w:rPr>
        <w:t>Pediatrics</w:t>
      </w:r>
      <w:r w:rsidRPr="00356915">
        <w:rPr>
          <w:rFonts w:cstheme="majorHAnsi"/>
          <w:szCs w:val="18"/>
        </w:rPr>
        <w:t xml:space="preserve"> 125(6) 1127. Available at:</w:t>
      </w:r>
      <w:r>
        <w:rPr>
          <w:rFonts w:cstheme="majorHAnsi"/>
          <w:szCs w:val="18"/>
        </w:rPr>
        <w:t xml:space="preserve"> </w:t>
      </w:r>
      <w:r w:rsidRPr="00FC6DD6">
        <w:rPr>
          <w:rFonts w:cstheme="majorHAnsi"/>
          <w:szCs w:val="18"/>
        </w:rPr>
        <w:t>https://doi.org/10.1542/peds.2009-0238</w:t>
      </w:r>
      <w:r w:rsidRPr="00356915">
        <w:rPr>
          <w:rFonts w:cstheme="majorHAnsi"/>
          <w:szCs w:val="18"/>
        </w:rPr>
        <w:t xml:space="preserve"> </w:t>
      </w:r>
    </w:p>
  </w:footnote>
  <w:footnote w:id="6">
    <w:p w14:paraId="56BD5A33" w14:textId="1BE69AAB" w:rsidR="00F27EB7" w:rsidRPr="00356915" w:rsidRDefault="00F27EB7" w:rsidP="003D2764">
      <w:pPr>
        <w:pStyle w:val="FootnoteText"/>
        <w:rPr>
          <w:rFonts w:cstheme="majorHAnsi"/>
          <w:szCs w:val="18"/>
          <w:lang w:val="en-US"/>
        </w:rPr>
      </w:pPr>
      <w:r w:rsidRPr="00356915">
        <w:rPr>
          <w:rStyle w:val="FootnoteReference"/>
          <w:rFonts w:cstheme="majorHAnsi"/>
          <w:szCs w:val="18"/>
        </w:rPr>
        <w:footnoteRef/>
      </w:r>
      <w:r w:rsidRPr="00356915">
        <w:rPr>
          <w:rFonts w:cstheme="majorHAnsi"/>
          <w:szCs w:val="18"/>
        </w:rPr>
        <w:t>Refillable vapes when referenced in this document refer to vapes with tanks, pods or other systems that are designed to be refilled with e-liquid components; while reusable vapes refer to those with pre-filled disposable pods or cartridges.</w:t>
      </w:r>
    </w:p>
  </w:footnote>
  <w:footnote w:id="7">
    <w:p w14:paraId="32920900" w14:textId="68ABA54C" w:rsidR="00F27EB7" w:rsidRPr="00356915" w:rsidRDefault="00F27EB7" w:rsidP="00C50BBD">
      <w:pPr>
        <w:pStyle w:val="FootnoteText"/>
        <w:rPr>
          <w:rFonts w:cstheme="majorHAnsi"/>
          <w:szCs w:val="18"/>
        </w:rPr>
      </w:pPr>
      <w:r w:rsidRPr="00356915">
        <w:rPr>
          <w:rStyle w:val="FootnoteReference"/>
          <w:rFonts w:cstheme="majorHAnsi"/>
          <w:szCs w:val="18"/>
        </w:rPr>
        <w:footnoteRef/>
      </w:r>
      <w:r w:rsidRPr="00356915">
        <w:rPr>
          <w:rFonts w:cstheme="majorHAnsi"/>
          <w:szCs w:val="18"/>
        </w:rPr>
        <w:t xml:space="preserve"> There are also some other pathways to access unapproved goods that could be utilised to access nicotine vapes, including through extemporaneous compounding or the clinical trial notification scheme.</w:t>
      </w:r>
    </w:p>
  </w:footnote>
  <w:footnote w:id="8">
    <w:p w14:paraId="4E88076E" w14:textId="77777777" w:rsidR="00F27EB7" w:rsidRPr="0009046A" w:rsidRDefault="00F27EB7" w:rsidP="00426085">
      <w:pPr>
        <w:pStyle w:val="FootnoteText"/>
        <w:rPr>
          <w:rFonts w:cstheme="majorHAnsi"/>
          <w:szCs w:val="18"/>
        </w:rPr>
      </w:pPr>
      <w:r w:rsidRPr="0009046A">
        <w:rPr>
          <w:rStyle w:val="FootnoteReference"/>
          <w:rFonts w:cstheme="majorHAnsi"/>
          <w:szCs w:val="18"/>
        </w:rPr>
        <w:footnoteRef/>
      </w:r>
      <w:r w:rsidRPr="0009046A">
        <w:rPr>
          <w:rFonts w:cstheme="majorHAnsi"/>
          <w:szCs w:val="18"/>
        </w:rPr>
        <w:t xml:space="preserve"> Wakefield M. et al, ‘Current vaping and current smoking in the Australian population aged 14+ years: February 2018-March 2023.’ (2023) Centre for Behavioural Research in Cancer, Cancer Council Victoria: Melbourne, Australia. Available at: </w:t>
      </w:r>
      <w:hyperlink r:id="rId4" w:history="1">
        <w:r w:rsidRPr="0009046A">
          <w:rPr>
            <w:rStyle w:val="Hyperlink"/>
            <w:rFonts w:asciiTheme="majorHAnsi" w:hAnsiTheme="majorHAnsi" w:cstheme="majorHAnsi"/>
            <w:szCs w:val="18"/>
          </w:rPr>
          <w:t>https://www.health.gov.au/resources/publications/current-vaping-and-smoking-in-the-australian-population-aged-14-years-or-older-february-2018-to-march-2023?language=en</w:t>
        </w:r>
      </w:hyperlink>
    </w:p>
  </w:footnote>
  <w:footnote w:id="9">
    <w:p w14:paraId="5391D4A9" w14:textId="77777777" w:rsidR="00F27EB7" w:rsidRPr="0009046A" w:rsidRDefault="00F27EB7" w:rsidP="00426085">
      <w:pPr>
        <w:pStyle w:val="FootnoteText"/>
        <w:rPr>
          <w:rFonts w:cstheme="majorHAnsi"/>
          <w:szCs w:val="18"/>
        </w:rPr>
      </w:pPr>
      <w:r w:rsidRPr="0009046A">
        <w:rPr>
          <w:rStyle w:val="FootnoteReference"/>
          <w:rFonts w:cstheme="majorHAnsi"/>
          <w:szCs w:val="18"/>
        </w:rPr>
        <w:footnoteRef/>
      </w:r>
      <w:r w:rsidRPr="0009046A">
        <w:rPr>
          <w:rFonts w:cstheme="majorHAnsi"/>
          <w:szCs w:val="18"/>
        </w:rPr>
        <w:t xml:space="preserve"> Sutherland, R et al., ‘Australian Drug Trends 2022: Key findings from the National Illicit Drug Reporting System (IDRS) Interviews,’ (2022), National Drug and Alcohol Research Centre: UNSW Sydney, Sydney. Available at: </w:t>
      </w:r>
      <w:hyperlink r:id="rId5" w:history="1">
        <w:r w:rsidRPr="0009046A">
          <w:rPr>
            <w:rStyle w:val="Hyperlink"/>
            <w:rFonts w:asciiTheme="majorHAnsi" w:hAnsiTheme="majorHAnsi" w:cstheme="majorHAnsi"/>
            <w:szCs w:val="18"/>
          </w:rPr>
          <w:t>https://ndarc.med.unsw.edu.au/sites/default/files/ndarc/resources/National_IDRS_2022_Report_16.01.23.pdf</w:t>
        </w:r>
      </w:hyperlink>
    </w:p>
  </w:footnote>
  <w:footnote w:id="10">
    <w:p w14:paraId="1C983F19" w14:textId="4F056A4A" w:rsidR="00F27EB7" w:rsidRPr="00BC7F25" w:rsidRDefault="00F27EB7" w:rsidP="00426085">
      <w:pPr>
        <w:pStyle w:val="FootnoteText"/>
        <w:rPr>
          <w:rFonts w:cs="Arial"/>
          <w:sz w:val="16"/>
          <w:szCs w:val="16"/>
        </w:rPr>
      </w:pPr>
      <w:r w:rsidRPr="00BC7F25">
        <w:rPr>
          <w:rStyle w:val="FootnoteReference"/>
          <w:rFonts w:cs="Arial"/>
          <w:sz w:val="16"/>
          <w:szCs w:val="16"/>
        </w:rPr>
        <w:footnoteRef/>
      </w:r>
      <w:r w:rsidRPr="00BC7F25">
        <w:rPr>
          <w:rFonts w:cs="Arial"/>
          <w:sz w:val="16"/>
          <w:szCs w:val="16"/>
        </w:rPr>
        <w:t xml:space="preserve"> </w:t>
      </w:r>
      <w:r w:rsidRPr="00746795">
        <w:rPr>
          <w:rFonts w:cstheme="majorHAnsi"/>
          <w:szCs w:val="18"/>
        </w:rPr>
        <w:t xml:space="preserve">AACS, ‘Nicotine Vaping Product Usage &amp; Change’ (June 2022). Available at: </w:t>
      </w:r>
      <w:hyperlink r:id="rId6" w:history="1">
        <w:r w:rsidRPr="00746795">
          <w:rPr>
            <w:rStyle w:val="Hyperlink"/>
            <w:rFonts w:asciiTheme="majorHAnsi" w:hAnsiTheme="majorHAnsi" w:cstheme="majorHAnsi"/>
            <w:szCs w:val="18"/>
          </w:rPr>
          <w:t>https://aacs.org.au/wp-content/uploads/2022/08/AACS-CMA-Research-Attachment.pdf</w:t>
        </w:r>
      </w:hyperlink>
      <w:r w:rsidRPr="00746795">
        <w:rPr>
          <w:rFonts w:cstheme="majorHAnsi"/>
          <w:szCs w:val="18"/>
        </w:rPr>
        <w:t>. Please note that this survey has not been peer-reviewed. The AACS may also be perceived to have a private interest in this matter, given the commercial value of vapes to the convenien</w:t>
      </w:r>
      <w:r>
        <w:rPr>
          <w:rFonts w:cstheme="majorHAnsi"/>
          <w:szCs w:val="18"/>
        </w:rPr>
        <w:t>ce</w:t>
      </w:r>
      <w:r w:rsidRPr="00746795">
        <w:rPr>
          <w:rFonts w:cstheme="majorHAnsi"/>
          <w:szCs w:val="18"/>
        </w:rPr>
        <w:t xml:space="preserve"> store industry.</w:t>
      </w:r>
    </w:p>
  </w:footnote>
  <w:footnote w:id="11">
    <w:p w14:paraId="3C4BEC57" w14:textId="1DCB7C9D" w:rsidR="00F27EB7" w:rsidRPr="00E47A64" w:rsidRDefault="00F27EB7" w:rsidP="00556179">
      <w:pPr>
        <w:pStyle w:val="FootnoteText"/>
        <w:rPr>
          <w:rFonts w:cstheme="majorHAnsi"/>
          <w:szCs w:val="18"/>
        </w:rPr>
      </w:pPr>
      <w:r w:rsidRPr="00E47A64">
        <w:rPr>
          <w:rStyle w:val="FootnoteReference"/>
          <w:rFonts w:cstheme="majorHAnsi"/>
          <w:szCs w:val="18"/>
        </w:rPr>
        <w:footnoteRef/>
      </w:r>
      <w:r>
        <w:rPr>
          <w:rFonts w:cstheme="majorHAnsi"/>
          <w:szCs w:val="18"/>
        </w:rPr>
        <w:t xml:space="preserve"> Statista, ‘Electronic cigarette and vaping sales value in Australia from 2014 to 2019,’ (November 2020). Available at: </w:t>
      </w:r>
      <w:hyperlink r:id="rId7" w:history="1">
        <w:r w:rsidRPr="001F1AA9">
          <w:rPr>
            <w:rStyle w:val="Hyperlink"/>
            <w:rFonts w:asciiTheme="majorHAnsi" w:hAnsiTheme="majorHAnsi" w:cstheme="majorHAnsi"/>
            <w:szCs w:val="18"/>
          </w:rPr>
          <w:t>https://www.statista.com/statistics/1189066/australia-electronic-cigarette-and-vaping-sales-value/</w:t>
        </w:r>
      </w:hyperlink>
    </w:p>
  </w:footnote>
  <w:footnote w:id="12">
    <w:p w14:paraId="47B6A5E3" w14:textId="77777777" w:rsidR="00F27EB7" w:rsidRPr="004D1E93" w:rsidRDefault="00F27EB7" w:rsidP="00556179">
      <w:pPr>
        <w:pStyle w:val="FootnoteText"/>
        <w:rPr>
          <w:rFonts w:cstheme="majorHAnsi"/>
          <w:szCs w:val="18"/>
        </w:rPr>
      </w:pPr>
      <w:r>
        <w:rPr>
          <w:rStyle w:val="FootnoteReference"/>
        </w:rPr>
        <w:footnoteRef/>
      </w:r>
      <w:r>
        <w:t xml:space="preserve"> </w:t>
      </w:r>
      <w:r w:rsidRPr="004D1E93">
        <w:rPr>
          <w:rFonts w:cstheme="majorHAnsi"/>
          <w:szCs w:val="18"/>
        </w:rPr>
        <w:t>Stakeholder response to the 2023 Consultation on vaping re</w:t>
      </w:r>
      <w:r>
        <w:rPr>
          <w:rFonts w:cstheme="majorHAnsi"/>
          <w:szCs w:val="18"/>
        </w:rPr>
        <w:t>f</w:t>
      </w:r>
      <w:r w:rsidRPr="004D1E93">
        <w:rPr>
          <w:rFonts w:cstheme="majorHAnsi"/>
          <w:szCs w:val="18"/>
        </w:rPr>
        <w:t>orms.</w:t>
      </w:r>
    </w:p>
  </w:footnote>
  <w:footnote w:id="13">
    <w:p w14:paraId="3051E0DD" w14:textId="77777777" w:rsidR="00F27EB7" w:rsidRPr="00AB7A52" w:rsidRDefault="00F27EB7" w:rsidP="00556179">
      <w:pPr>
        <w:pStyle w:val="FootnoteText"/>
        <w:rPr>
          <w:rFonts w:cstheme="majorHAnsi"/>
          <w:szCs w:val="18"/>
          <w:lang w:val="en-US"/>
        </w:rPr>
      </w:pPr>
      <w:r w:rsidRPr="00AB7A52">
        <w:rPr>
          <w:rStyle w:val="FootnoteReference"/>
          <w:rFonts w:cstheme="majorHAnsi"/>
          <w:szCs w:val="18"/>
        </w:rPr>
        <w:footnoteRef/>
      </w:r>
      <w:r w:rsidRPr="00AB7A52">
        <w:rPr>
          <w:rFonts w:cstheme="majorHAnsi"/>
          <w:szCs w:val="18"/>
        </w:rPr>
        <w:t xml:space="preserve"> The TGA publishes a list of APs for nicotine </w:t>
      </w:r>
      <w:r>
        <w:rPr>
          <w:rFonts w:cstheme="majorHAnsi"/>
          <w:szCs w:val="18"/>
        </w:rPr>
        <w:t>vapes</w:t>
      </w:r>
      <w:r w:rsidRPr="00AB7A52">
        <w:rPr>
          <w:rFonts w:cstheme="majorHAnsi"/>
          <w:szCs w:val="18"/>
        </w:rPr>
        <w:t xml:space="preserve"> who have consented to have their names and consulting location published. Approximately 16% of published APs are online only with some of their listed online business names suggesting that they specialise in the provision of nicotine </w:t>
      </w:r>
      <w:r>
        <w:rPr>
          <w:rFonts w:cstheme="majorHAnsi"/>
          <w:szCs w:val="18"/>
        </w:rPr>
        <w:t>vape</w:t>
      </w:r>
      <w:r w:rsidRPr="00AB7A52">
        <w:rPr>
          <w:rFonts w:cstheme="majorHAnsi"/>
          <w:szCs w:val="18"/>
        </w:rPr>
        <w:t xml:space="preserve"> prescriptions.</w:t>
      </w:r>
    </w:p>
  </w:footnote>
  <w:footnote w:id="14">
    <w:p w14:paraId="502C3CB3" w14:textId="27D703C8" w:rsidR="00F27EB7" w:rsidRDefault="00F27EB7" w:rsidP="00556179">
      <w:pPr>
        <w:pStyle w:val="FootnoteText"/>
      </w:pPr>
      <w:r w:rsidRPr="00A6200B">
        <w:rPr>
          <w:rFonts w:cstheme="majorHAnsi"/>
          <w:szCs w:val="18"/>
        </w:rPr>
        <w:t>.</w:t>
      </w:r>
    </w:p>
  </w:footnote>
  <w:footnote w:id="15">
    <w:p w14:paraId="4F92F480" w14:textId="227863CF" w:rsidR="00F27EB7" w:rsidRDefault="00F27EB7" w:rsidP="00A81715">
      <w:pPr>
        <w:pStyle w:val="FootnoteText"/>
      </w:pPr>
      <w:r w:rsidRPr="00834B03">
        <w:rPr>
          <w:rStyle w:val="FootnoteReference"/>
          <w:rFonts w:cstheme="majorHAnsi"/>
          <w:szCs w:val="18"/>
        </w:rPr>
        <w:footnoteRef/>
      </w:r>
      <w:r w:rsidRPr="00834B03">
        <w:rPr>
          <w:rFonts w:cstheme="majorHAnsi"/>
          <w:szCs w:val="18"/>
        </w:rPr>
        <w:t xml:space="preserve"> </w:t>
      </w:r>
      <w:r>
        <w:rPr>
          <w:rFonts w:cstheme="majorHAnsi"/>
          <w:szCs w:val="18"/>
        </w:rPr>
        <w:t xml:space="preserve">AACS, ‘Nicotine Vaping Product Usage &amp; Change’ (June 2022). Available at: </w:t>
      </w:r>
      <w:hyperlink r:id="rId8" w:history="1">
        <w:r w:rsidRPr="004811AD">
          <w:rPr>
            <w:rStyle w:val="Hyperlink"/>
            <w:rFonts w:asciiTheme="majorHAnsi" w:hAnsiTheme="majorHAnsi" w:cstheme="majorHAnsi"/>
            <w:szCs w:val="18"/>
          </w:rPr>
          <w:t>https://aacs.org.au/wp-content/uploads/2022/08/AACS-CMA-Research-Attachment.pdf</w:t>
        </w:r>
      </w:hyperlink>
      <w:r>
        <w:rPr>
          <w:rFonts w:cstheme="majorHAnsi"/>
          <w:szCs w:val="18"/>
        </w:rPr>
        <w:t xml:space="preserve">. </w:t>
      </w:r>
      <w:r w:rsidRPr="00A6200B">
        <w:rPr>
          <w:rFonts w:cstheme="majorHAnsi"/>
          <w:szCs w:val="18"/>
        </w:rPr>
        <w:t>Please note that this survey has not been peer-reviewed. The AACS may also be perceived to have a private interest in this matter, given the commercial value of vapes to the convenien</w:t>
      </w:r>
      <w:r>
        <w:rPr>
          <w:rFonts w:cstheme="majorHAnsi"/>
          <w:szCs w:val="18"/>
        </w:rPr>
        <w:t>ce</w:t>
      </w:r>
      <w:r w:rsidRPr="00A6200B">
        <w:rPr>
          <w:rFonts w:cstheme="majorHAnsi"/>
          <w:szCs w:val="18"/>
        </w:rPr>
        <w:t xml:space="preserve"> store industry.</w:t>
      </w:r>
    </w:p>
  </w:footnote>
  <w:footnote w:id="16">
    <w:p w14:paraId="53BAAB97" w14:textId="77777777" w:rsidR="00F27EB7" w:rsidRPr="00861D96" w:rsidRDefault="00F27EB7" w:rsidP="00A81715">
      <w:pPr>
        <w:pStyle w:val="FootnoteText"/>
        <w:rPr>
          <w:rFonts w:cstheme="majorHAnsi"/>
          <w:szCs w:val="18"/>
        </w:rPr>
      </w:pPr>
      <w:r w:rsidRPr="00861D96">
        <w:rPr>
          <w:rStyle w:val="FootnoteReference"/>
          <w:rFonts w:cstheme="majorHAnsi"/>
          <w:szCs w:val="18"/>
        </w:rPr>
        <w:footnoteRef/>
      </w:r>
      <w:r w:rsidRPr="00861D96">
        <w:rPr>
          <w:rFonts w:cstheme="majorHAnsi"/>
          <w:szCs w:val="18"/>
        </w:rPr>
        <w:t xml:space="preserve"> Department of Healt</w:t>
      </w:r>
      <w:r>
        <w:rPr>
          <w:rFonts w:cstheme="majorHAnsi"/>
          <w:szCs w:val="18"/>
        </w:rPr>
        <w:t xml:space="preserve">h and Aged Care, ‘Large numbers of illegal nicotine vaping products seized in a joint TGA-ACT Health operation,’ (7 December 2021). Available at: </w:t>
      </w:r>
      <w:hyperlink r:id="rId9" w:history="1">
        <w:r w:rsidRPr="001F1AA9">
          <w:rPr>
            <w:rStyle w:val="Hyperlink"/>
            <w:rFonts w:asciiTheme="majorHAnsi" w:hAnsiTheme="majorHAnsi" w:cstheme="majorHAnsi"/>
            <w:szCs w:val="18"/>
          </w:rPr>
          <w:t>https://www.tga.gov.au/news/media-releases/large-numbers-illegal-nicotine-vaping-products-seized-joint-tga-act-health-operation</w:t>
        </w:r>
      </w:hyperlink>
    </w:p>
  </w:footnote>
  <w:footnote w:id="17">
    <w:p w14:paraId="75886DE2" w14:textId="77777777" w:rsidR="00F27EB7" w:rsidRPr="00B426FD" w:rsidRDefault="00F27EB7" w:rsidP="00A81715">
      <w:pPr>
        <w:spacing w:line="240" w:lineRule="auto"/>
        <w:rPr>
          <w:rFonts w:asciiTheme="majorHAnsi" w:hAnsiTheme="majorHAnsi" w:cstheme="majorHAnsi"/>
          <w:sz w:val="18"/>
          <w:szCs w:val="18"/>
        </w:rPr>
      </w:pPr>
      <w:r w:rsidRPr="00B426FD">
        <w:rPr>
          <w:rStyle w:val="FootnoteReference"/>
          <w:rFonts w:asciiTheme="majorHAnsi" w:hAnsiTheme="majorHAnsi" w:cstheme="majorHAnsi"/>
          <w:sz w:val="18"/>
          <w:szCs w:val="18"/>
        </w:rPr>
        <w:footnoteRef/>
      </w:r>
      <w:r w:rsidRPr="00B426FD">
        <w:rPr>
          <w:rFonts w:asciiTheme="majorHAnsi" w:hAnsiTheme="majorHAnsi" w:cstheme="majorHAnsi"/>
          <w:sz w:val="18"/>
          <w:szCs w:val="18"/>
        </w:rPr>
        <w:t xml:space="preserve"> </w:t>
      </w:r>
      <w:r w:rsidRPr="00CE42B0">
        <w:rPr>
          <w:rFonts w:asciiTheme="majorHAnsi" w:hAnsiTheme="majorHAnsi" w:cstheme="majorHAnsi"/>
          <w:sz w:val="18"/>
          <w:szCs w:val="18"/>
        </w:rPr>
        <w:t xml:space="preserve">Dessaix, A, Jardine, E, Freeman, B and Kameron, C, ‘Undermining Australian Controls on electronic nicotine delivery systems: illicit imports and illegal sales,’ (2022) </w:t>
      </w:r>
      <w:r w:rsidRPr="00CE42B0">
        <w:rPr>
          <w:rFonts w:asciiTheme="majorHAnsi" w:hAnsiTheme="majorHAnsi" w:cstheme="majorHAnsi"/>
          <w:i/>
          <w:iCs/>
          <w:sz w:val="18"/>
          <w:szCs w:val="18"/>
        </w:rPr>
        <w:t xml:space="preserve">Tob Control </w:t>
      </w:r>
      <w:r w:rsidRPr="00CE42B0">
        <w:rPr>
          <w:rFonts w:asciiTheme="majorHAnsi" w:hAnsiTheme="majorHAnsi" w:cstheme="majorHAnsi"/>
          <w:sz w:val="18"/>
          <w:szCs w:val="18"/>
        </w:rPr>
        <w:t xml:space="preserve">31(6). Available at: </w:t>
      </w:r>
      <w:hyperlink r:id="rId10" w:history="1">
        <w:r w:rsidRPr="00CE42B0">
          <w:rPr>
            <w:rStyle w:val="Hyperlink"/>
            <w:rFonts w:asciiTheme="majorHAnsi" w:hAnsiTheme="majorHAnsi" w:cstheme="majorHAnsi"/>
            <w:sz w:val="18"/>
            <w:szCs w:val="18"/>
          </w:rPr>
          <w:t>https://tobaccocontrol.bmj.com/content/tobaccocontrol/31/6/689.full.pdf</w:t>
        </w:r>
      </w:hyperlink>
    </w:p>
  </w:footnote>
  <w:footnote w:id="18">
    <w:p w14:paraId="2AAE6566" w14:textId="77777777" w:rsidR="00F27EB7" w:rsidRPr="005353E7" w:rsidRDefault="00F27EB7" w:rsidP="00A81715">
      <w:pPr>
        <w:spacing w:line="240" w:lineRule="auto"/>
        <w:rPr>
          <w:rFonts w:asciiTheme="majorHAnsi" w:hAnsiTheme="majorHAnsi" w:cstheme="majorHAnsi"/>
          <w:sz w:val="18"/>
          <w:szCs w:val="18"/>
        </w:rPr>
      </w:pPr>
      <w:r w:rsidRPr="005353E7">
        <w:rPr>
          <w:rStyle w:val="FootnoteReference"/>
          <w:rFonts w:asciiTheme="majorHAnsi" w:hAnsiTheme="majorHAnsi" w:cstheme="majorHAnsi"/>
          <w:sz w:val="18"/>
          <w:szCs w:val="18"/>
        </w:rPr>
        <w:footnoteRef/>
      </w:r>
      <w:r w:rsidRPr="005353E7">
        <w:rPr>
          <w:rFonts w:asciiTheme="majorHAnsi" w:hAnsiTheme="majorHAnsi" w:cstheme="majorHAnsi"/>
          <w:sz w:val="18"/>
          <w:szCs w:val="18"/>
        </w:rPr>
        <w:t xml:space="preserve"> Duxfield, F, ‘NSW Health Department finds not all e-juices are as nicotine free as they claim,’ (12 June 2018) </w:t>
      </w:r>
      <w:r w:rsidRPr="005353E7">
        <w:rPr>
          <w:rFonts w:asciiTheme="majorHAnsi" w:hAnsiTheme="majorHAnsi" w:cstheme="majorHAnsi"/>
          <w:i/>
          <w:iCs/>
          <w:sz w:val="18"/>
          <w:szCs w:val="18"/>
        </w:rPr>
        <w:t xml:space="preserve">ABC News. </w:t>
      </w:r>
      <w:r w:rsidRPr="005353E7">
        <w:rPr>
          <w:rFonts w:asciiTheme="majorHAnsi" w:hAnsiTheme="majorHAnsi" w:cstheme="majorHAnsi"/>
          <w:sz w:val="18"/>
          <w:szCs w:val="18"/>
        </w:rPr>
        <w:t xml:space="preserve">Available at: </w:t>
      </w:r>
      <w:hyperlink r:id="rId11" w:history="1">
        <w:r w:rsidRPr="005353E7">
          <w:rPr>
            <w:rStyle w:val="Hyperlink"/>
            <w:rFonts w:asciiTheme="majorHAnsi" w:hAnsiTheme="majorHAnsi" w:cstheme="majorHAnsi"/>
            <w:sz w:val="18"/>
            <w:szCs w:val="18"/>
          </w:rPr>
          <w:t>https://www.abc.net.au/news/2018-06-12/not-all-e-juices-are-as-nicotine-free-as-they-claim/9857540</w:t>
        </w:r>
      </w:hyperlink>
      <w:r w:rsidRPr="005353E7">
        <w:rPr>
          <w:rFonts w:asciiTheme="majorHAnsi" w:hAnsiTheme="majorHAnsi" w:cstheme="majorHAnsi"/>
          <w:sz w:val="18"/>
          <w:szCs w:val="18"/>
        </w:rPr>
        <w:t xml:space="preserve"> </w:t>
      </w:r>
    </w:p>
  </w:footnote>
  <w:footnote w:id="19">
    <w:p w14:paraId="7F74BF0F" w14:textId="77777777" w:rsidR="00F27EB7" w:rsidRPr="00484A04" w:rsidRDefault="00F27EB7" w:rsidP="00A81715">
      <w:pPr>
        <w:pStyle w:val="FootnoteText"/>
        <w:spacing w:line="240" w:lineRule="auto"/>
        <w:rPr>
          <w:rFonts w:cstheme="majorHAnsi"/>
          <w:szCs w:val="18"/>
        </w:rPr>
      </w:pPr>
      <w:r w:rsidRPr="00861D96">
        <w:rPr>
          <w:rStyle w:val="FootnoteReference"/>
          <w:rFonts w:cstheme="majorHAnsi"/>
          <w:szCs w:val="18"/>
        </w:rPr>
        <w:footnoteRef/>
      </w:r>
      <w:r w:rsidRPr="00861D96">
        <w:rPr>
          <w:rFonts w:cstheme="majorHAnsi"/>
          <w:szCs w:val="18"/>
        </w:rPr>
        <w:t xml:space="preserve"> </w:t>
      </w:r>
      <w:r>
        <w:rPr>
          <w:rFonts w:cstheme="majorHAnsi"/>
          <w:szCs w:val="18"/>
        </w:rPr>
        <w:t xml:space="preserve">Messenger, A, ‘Toxic chemicals found in vapes seized from NSW schools and retailers,’ (25 September 2023) </w:t>
      </w:r>
      <w:r>
        <w:rPr>
          <w:rFonts w:cstheme="majorHAnsi"/>
          <w:i/>
          <w:iCs/>
          <w:szCs w:val="18"/>
        </w:rPr>
        <w:t xml:space="preserve">The Guardian. </w:t>
      </w:r>
      <w:r>
        <w:rPr>
          <w:rFonts w:cstheme="majorHAnsi"/>
          <w:szCs w:val="18"/>
        </w:rPr>
        <w:t xml:space="preserve">Available at: </w:t>
      </w:r>
      <w:hyperlink r:id="rId12" w:history="1">
        <w:r w:rsidRPr="001F1AA9">
          <w:rPr>
            <w:rStyle w:val="Hyperlink"/>
            <w:rFonts w:asciiTheme="majorHAnsi" w:hAnsiTheme="majorHAnsi" w:cstheme="majorHAnsi"/>
            <w:szCs w:val="18"/>
          </w:rPr>
          <w:t>https://www.theguardian.com/australia-news/2023/sep/25/toxic-chemicals-found-in-vapes-seized-from-nsw-schools-and-retailers</w:t>
        </w:r>
      </w:hyperlink>
    </w:p>
  </w:footnote>
  <w:footnote w:id="20">
    <w:p w14:paraId="3CD2ADD1" w14:textId="0D90D509" w:rsidR="00F27EB7" w:rsidRPr="005353E7" w:rsidRDefault="00F27EB7" w:rsidP="00A81715">
      <w:pPr>
        <w:pStyle w:val="FootnoteText"/>
        <w:spacing w:line="240" w:lineRule="auto"/>
        <w:rPr>
          <w:rFonts w:cstheme="majorHAnsi"/>
          <w:szCs w:val="18"/>
        </w:rPr>
      </w:pPr>
      <w:r w:rsidRPr="005353E7">
        <w:rPr>
          <w:rStyle w:val="FootnoteReference"/>
          <w:rFonts w:cstheme="majorHAnsi"/>
          <w:szCs w:val="18"/>
        </w:rPr>
        <w:footnoteRef/>
      </w:r>
      <w:r w:rsidRPr="005353E7">
        <w:rPr>
          <w:rFonts w:cstheme="majorHAnsi"/>
          <w:szCs w:val="18"/>
        </w:rPr>
        <w:t xml:space="preserve"> </w:t>
      </w:r>
      <w:r w:rsidRPr="00861D96">
        <w:rPr>
          <w:rFonts w:cstheme="majorHAnsi"/>
          <w:szCs w:val="18"/>
        </w:rPr>
        <w:t>Department of Healt</w:t>
      </w:r>
      <w:r>
        <w:rPr>
          <w:rFonts w:cstheme="majorHAnsi"/>
          <w:szCs w:val="18"/>
        </w:rPr>
        <w:t xml:space="preserve">h and Aged Care, ‘Large numbers of illegal nicotine vaping products seized in a joint TGA-ACT Health operation,’ (7 December 2021). Available at: </w:t>
      </w:r>
      <w:hyperlink r:id="rId13" w:history="1">
        <w:r w:rsidRPr="001F1AA9">
          <w:rPr>
            <w:rStyle w:val="Hyperlink"/>
            <w:rFonts w:asciiTheme="majorHAnsi" w:hAnsiTheme="majorHAnsi" w:cstheme="majorHAnsi"/>
            <w:szCs w:val="18"/>
          </w:rPr>
          <w:t>https://www.tga.gov.au/news/media-releases/large-numbers-illegal-nicotine-vaping-products-seized-joint-tga-act-health-operation</w:t>
        </w:r>
      </w:hyperlink>
    </w:p>
  </w:footnote>
  <w:footnote w:id="21">
    <w:p w14:paraId="7962FF11" w14:textId="77777777" w:rsidR="00F27EB7" w:rsidRPr="005353E7" w:rsidRDefault="00F27EB7" w:rsidP="00A81715">
      <w:pPr>
        <w:pStyle w:val="FootnoteText"/>
        <w:spacing w:line="240" w:lineRule="auto"/>
        <w:rPr>
          <w:rFonts w:cstheme="majorHAnsi"/>
          <w:szCs w:val="18"/>
        </w:rPr>
      </w:pPr>
      <w:r w:rsidRPr="005353E7">
        <w:rPr>
          <w:rStyle w:val="FootnoteReference"/>
          <w:rFonts w:cstheme="majorHAnsi"/>
          <w:szCs w:val="18"/>
        </w:rPr>
        <w:footnoteRef/>
      </w:r>
      <w:r>
        <w:rPr>
          <w:rFonts w:cstheme="majorHAnsi"/>
          <w:szCs w:val="18"/>
        </w:rPr>
        <w:t xml:space="preserve"> Chivers, E et al., ‘</w:t>
      </w:r>
      <w:r w:rsidRPr="005C783E">
        <w:rPr>
          <w:rFonts w:cstheme="majorHAnsi"/>
          <w:szCs w:val="18"/>
        </w:rPr>
        <w:t>Nicotine and other potentially harmful compounds in “nicotine-free” e-cigarette liquids in Australia</w:t>
      </w:r>
      <w:r>
        <w:rPr>
          <w:rFonts w:cstheme="majorHAnsi"/>
          <w:szCs w:val="18"/>
        </w:rPr>
        <w:t>,’ (2019)</w:t>
      </w:r>
      <w:r w:rsidRPr="005353E7">
        <w:rPr>
          <w:rFonts w:cstheme="majorHAnsi"/>
          <w:szCs w:val="18"/>
        </w:rPr>
        <w:t xml:space="preserve"> </w:t>
      </w:r>
      <w:r>
        <w:rPr>
          <w:rFonts w:cstheme="majorHAnsi"/>
          <w:i/>
          <w:iCs/>
          <w:szCs w:val="18"/>
        </w:rPr>
        <w:t xml:space="preserve">The Medical Journal of Australia </w:t>
      </w:r>
      <w:r>
        <w:rPr>
          <w:rFonts w:cstheme="majorHAnsi"/>
          <w:szCs w:val="18"/>
        </w:rPr>
        <w:t>210(3). Available at:</w:t>
      </w:r>
      <w:r w:rsidRPr="005353E7">
        <w:rPr>
          <w:rFonts w:cstheme="majorHAnsi"/>
          <w:szCs w:val="18"/>
        </w:rPr>
        <w:t xml:space="preserve"> </w:t>
      </w:r>
      <w:hyperlink r:id="rId14" w:history="1">
        <w:r w:rsidRPr="005353E7">
          <w:rPr>
            <w:rStyle w:val="Hyperlink"/>
            <w:rFonts w:asciiTheme="majorHAnsi" w:hAnsiTheme="majorHAnsi" w:cstheme="majorHAnsi"/>
            <w:szCs w:val="18"/>
          </w:rPr>
          <w:t>https://onlinelibrary.wiley.com/doi/full/10.5694/mja2.12059</w:t>
        </w:r>
      </w:hyperlink>
      <w:r w:rsidRPr="005353E7">
        <w:rPr>
          <w:rFonts w:cstheme="majorHAnsi"/>
          <w:szCs w:val="18"/>
        </w:rPr>
        <w:t xml:space="preserve"> </w:t>
      </w:r>
    </w:p>
  </w:footnote>
  <w:footnote w:id="22">
    <w:p w14:paraId="65E02EB4" w14:textId="77777777" w:rsidR="00F27EB7" w:rsidRPr="005353E7" w:rsidRDefault="00F27EB7" w:rsidP="00A81715">
      <w:pPr>
        <w:pStyle w:val="FootnoteText"/>
        <w:spacing w:line="240" w:lineRule="auto"/>
        <w:rPr>
          <w:rFonts w:cstheme="majorHAnsi"/>
          <w:szCs w:val="18"/>
        </w:rPr>
      </w:pPr>
      <w:r w:rsidRPr="005353E7">
        <w:rPr>
          <w:rStyle w:val="FootnoteReference"/>
          <w:rFonts w:cstheme="majorHAnsi"/>
          <w:szCs w:val="18"/>
        </w:rPr>
        <w:footnoteRef/>
      </w:r>
      <w:r>
        <w:rPr>
          <w:rFonts w:cstheme="majorHAnsi"/>
          <w:szCs w:val="18"/>
        </w:rPr>
        <w:t xml:space="preserve"> Larcombe, A et al., ‘</w:t>
      </w:r>
      <w:r w:rsidRPr="00B03832">
        <w:rPr>
          <w:rFonts w:cstheme="majorHAnsi"/>
          <w:szCs w:val="18"/>
        </w:rPr>
        <w:t>Chemical analysis of fresh and aged Australian e-cigarette liquids</w:t>
      </w:r>
      <w:r>
        <w:rPr>
          <w:rFonts w:cstheme="majorHAnsi"/>
          <w:szCs w:val="18"/>
        </w:rPr>
        <w:t xml:space="preserve">,’ (2021) </w:t>
      </w:r>
      <w:r>
        <w:rPr>
          <w:rFonts w:cstheme="majorHAnsi"/>
          <w:i/>
          <w:iCs/>
          <w:szCs w:val="18"/>
        </w:rPr>
        <w:t xml:space="preserve">The Medical Journal of Australia </w:t>
      </w:r>
      <w:r>
        <w:rPr>
          <w:rFonts w:cstheme="majorHAnsi"/>
          <w:szCs w:val="18"/>
        </w:rPr>
        <w:t>216(1). Available at:</w:t>
      </w:r>
      <w:r w:rsidRPr="005353E7">
        <w:rPr>
          <w:rFonts w:cstheme="majorHAnsi"/>
          <w:szCs w:val="18"/>
        </w:rPr>
        <w:t xml:space="preserve"> </w:t>
      </w:r>
      <w:hyperlink r:id="rId15" w:history="1">
        <w:r w:rsidRPr="005353E7">
          <w:rPr>
            <w:rStyle w:val="Hyperlink"/>
            <w:rFonts w:asciiTheme="majorHAnsi" w:hAnsiTheme="majorHAnsi" w:cstheme="majorHAnsi"/>
            <w:szCs w:val="18"/>
          </w:rPr>
          <w:t>https://onlinelibrary.wiley.com/doi/10.5694/mja2.51280</w:t>
        </w:r>
      </w:hyperlink>
    </w:p>
  </w:footnote>
  <w:footnote w:id="23">
    <w:p w14:paraId="646C8F39" w14:textId="77777777" w:rsidR="00F27EB7" w:rsidRPr="00931363" w:rsidRDefault="00F27EB7" w:rsidP="00A81715">
      <w:pPr>
        <w:pStyle w:val="FootnoteText"/>
        <w:spacing w:line="240" w:lineRule="auto"/>
        <w:rPr>
          <w:rFonts w:cstheme="majorHAnsi"/>
          <w:szCs w:val="18"/>
        </w:rPr>
      </w:pPr>
      <w:r w:rsidRPr="00931363">
        <w:rPr>
          <w:rStyle w:val="FootnoteReference"/>
          <w:rFonts w:cstheme="majorHAnsi"/>
          <w:szCs w:val="18"/>
        </w:rPr>
        <w:footnoteRef/>
      </w:r>
      <w:r w:rsidRPr="00931363">
        <w:rPr>
          <w:rFonts w:cstheme="majorHAnsi"/>
          <w:szCs w:val="18"/>
        </w:rPr>
        <w:t xml:space="preserve"> Bayly, M et al., ‘E-cigarette use and purchasing behaviour among Victorian adults: Findings from the 2018-19 and 2022 Victorian Smoking and Health Surveys,’ (2022) Centre for Behavioural Research in Cancer, Cancer Council Victoria. </w:t>
      </w:r>
      <w:r w:rsidRPr="009010E5">
        <w:rPr>
          <w:rFonts w:cstheme="majorHAnsi"/>
          <w:szCs w:val="18"/>
        </w:rPr>
        <w:t xml:space="preserve">Available at: </w:t>
      </w:r>
      <w:hyperlink r:id="rId16" w:history="1">
        <w:r w:rsidRPr="00412AFD">
          <w:rPr>
            <w:rStyle w:val="Hyperlink"/>
            <w:rFonts w:asciiTheme="majorHAnsi" w:hAnsiTheme="majorHAnsi" w:cstheme="majorHAnsi"/>
            <w:szCs w:val="18"/>
          </w:rPr>
          <w:t>https://www.quit.org.au/facts-evidence/research-evaluation</w:t>
        </w:r>
      </w:hyperlink>
      <w:r>
        <w:rPr>
          <w:rFonts w:cstheme="majorHAnsi"/>
          <w:szCs w:val="18"/>
        </w:rPr>
        <w:t xml:space="preserve"> </w:t>
      </w:r>
    </w:p>
  </w:footnote>
  <w:footnote w:id="24">
    <w:p w14:paraId="33BF63C3" w14:textId="77777777" w:rsidR="00F27EB7" w:rsidRPr="009010E5" w:rsidRDefault="00F27EB7" w:rsidP="00A81715">
      <w:pPr>
        <w:pStyle w:val="FootnoteText"/>
        <w:spacing w:line="240" w:lineRule="auto"/>
        <w:rPr>
          <w:rFonts w:cstheme="majorHAnsi"/>
          <w:szCs w:val="18"/>
        </w:rPr>
      </w:pPr>
      <w:r w:rsidRPr="009010E5">
        <w:rPr>
          <w:rStyle w:val="FootnoteReference"/>
          <w:rFonts w:cstheme="majorHAnsi"/>
          <w:szCs w:val="18"/>
        </w:rPr>
        <w:footnoteRef/>
      </w:r>
      <w:r w:rsidRPr="009010E5">
        <w:rPr>
          <w:rFonts w:cstheme="majorHAnsi"/>
          <w:szCs w:val="18"/>
        </w:rPr>
        <w:t xml:space="preserve"> Cancer Institute NSW, ‘NSW Smoking and Health Survey’ (2021) Available from: </w:t>
      </w:r>
      <w:hyperlink r:id="rId17" w:history="1">
        <w:r w:rsidRPr="009010E5">
          <w:rPr>
            <w:rStyle w:val="Hyperlink"/>
            <w:rFonts w:asciiTheme="majorHAnsi" w:hAnsiTheme="majorHAnsi" w:cstheme="majorHAnsi"/>
            <w:szCs w:val="18"/>
          </w:rPr>
          <w:t>https://www.cancer.nsw.gov.au/about-cancer/document-library/nsw-smoking-health-survey-2021</w:t>
        </w:r>
      </w:hyperlink>
      <w:r w:rsidRPr="009010E5">
        <w:rPr>
          <w:rFonts w:cstheme="majorHAnsi"/>
          <w:szCs w:val="18"/>
        </w:rPr>
        <w:t xml:space="preserve">. </w:t>
      </w:r>
    </w:p>
  </w:footnote>
  <w:footnote w:id="25">
    <w:p w14:paraId="5062F273" w14:textId="77777777" w:rsidR="00F27EB7" w:rsidRDefault="00F27EB7" w:rsidP="00A81715">
      <w:pPr>
        <w:pStyle w:val="FootnoteText"/>
      </w:pPr>
      <w:r w:rsidRPr="009010E5">
        <w:rPr>
          <w:rStyle w:val="FootnoteReference"/>
          <w:rFonts w:cstheme="majorHAnsi"/>
          <w:szCs w:val="18"/>
        </w:rPr>
        <w:footnoteRef/>
      </w:r>
      <w:r w:rsidRPr="009010E5">
        <w:rPr>
          <w:rFonts w:cstheme="majorHAnsi"/>
          <w:szCs w:val="18"/>
        </w:rPr>
        <w:t xml:space="preserve"> Pettigrew S et al, ‘E-cigarette attitudes and use in a sample of Australians aged 15-30 years’ (2023) </w:t>
      </w:r>
      <w:r w:rsidRPr="009010E5">
        <w:rPr>
          <w:rFonts w:cstheme="majorHAnsi"/>
          <w:i/>
          <w:szCs w:val="18"/>
        </w:rPr>
        <w:t>Australian and New Zealand Journal of Public Health</w:t>
      </w:r>
      <w:r w:rsidRPr="009010E5">
        <w:rPr>
          <w:rFonts w:cstheme="majorHAnsi"/>
          <w:szCs w:val="18"/>
        </w:rPr>
        <w:t xml:space="preserve"> 47(2):100035. Available from: </w:t>
      </w:r>
      <w:hyperlink r:id="rId18" w:history="1">
        <w:r w:rsidRPr="009010E5">
          <w:rPr>
            <w:rStyle w:val="Hyperlink"/>
            <w:rFonts w:asciiTheme="majorHAnsi" w:hAnsiTheme="majorHAnsi" w:cstheme="majorHAnsi"/>
            <w:szCs w:val="18"/>
          </w:rPr>
          <w:t>https://www.ncbi.nlm.nih.gov/pubmed/36977623</w:t>
        </w:r>
      </w:hyperlink>
      <w:r>
        <w:t xml:space="preserve"> </w:t>
      </w:r>
    </w:p>
  </w:footnote>
  <w:footnote w:id="26">
    <w:p w14:paraId="49AF8DB0" w14:textId="77777777" w:rsidR="00F27EB7" w:rsidRPr="00AB7A52" w:rsidRDefault="00F27EB7" w:rsidP="00A81715">
      <w:pPr>
        <w:pStyle w:val="FootnoteText"/>
        <w:rPr>
          <w:rFonts w:cstheme="majorHAnsi"/>
          <w:szCs w:val="18"/>
          <w:lang w:val="en-US"/>
        </w:rPr>
      </w:pPr>
      <w:r w:rsidRPr="00AB7A52">
        <w:rPr>
          <w:rStyle w:val="FootnoteReference"/>
          <w:rFonts w:cstheme="majorHAnsi"/>
          <w:szCs w:val="18"/>
        </w:rPr>
        <w:footnoteRef/>
      </w:r>
      <w:r w:rsidRPr="00AB7A52">
        <w:rPr>
          <w:rFonts w:cstheme="majorHAnsi"/>
          <w:szCs w:val="18"/>
        </w:rPr>
        <w:t xml:space="preserve"> </w:t>
      </w:r>
      <w:r w:rsidRPr="00AB7A52">
        <w:rPr>
          <w:rFonts w:cstheme="majorHAnsi"/>
          <w:szCs w:val="18"/>
          <w:lang w:val="en-US"/>
        </w:rPr>
        <w:t xml:space="preserve">Figures in relation to vape specialist stores were sourced through obtaining business trading names on the member directory for the Australian Vaping Association followed by search engine use to investigate information such as, primary operating location via Australian Business Number look up online, physical store locations and online store functions via business online website. </w:t>
      </w:r>
    </w:p>
  </w:footnote>
  <w:footnote w:id="27">
    <w:p w14:paraId="12C77275" w14:textId="77777777" w:rsidR="00F27EB7" w:rsidRPr="00AB7A52" w:rsidRDefault="00F27EB7" w:rsidP="00DC6A63">
      <w:pPr>
        <w:pStyle w:val="FootnoteText"/>
        <w:rPr>
          <w:rFonts w:cstheme="majorHAnsi"/>
          <w:szCs w:val="18"/>
          <w:lang w:val="en-US"/>
        </w:rPr>
      </w:pPr>
      <w:r w:rsidRPr="00AB7A52">
        <w:rPr>
          <w:rStyle w:val="FootnoteReference"/>
          <w:rFonts w:cstheme="majorHAnsi"/>
          <w:szCs w:val="18"/>
        </w:rPr>
        <w:footnoteRef/>
      </w:r>
      <w:r w:rsidRPr="00AB7A52">
        <w:rPr>
          <w:rFonts w:cstheme="majorHAnsi"/>
          <w:szCs w:val="18"/>
        </w:rPr>
        <w:t xml:space="preserve"> </w:t>
      </w:r>
      <w:r w:rsidRPr="00AB7A52">
        <w:rPr>
          <w:rFonts w:cstheme="majorHAnsi"/>
          <w:szCs w:val="18"/>
          <w:lang w:val="en-US"/>
        </w:rPr>
        <w:t>Figure drawn from desktop research exercise conducted July 2023, capturing 84 separate online stores (owned by separate entities) out of 92 vaping specialist business entities.</w:t>
      </w:r>
    </w:p>
  </w:footnote>
  <w:footnote w:id="28">
    <w:p w14:paraId="087EAC0D" w14:textId="77777777" w:rsidR="00F27EB7" w:rsidRDefault="00F27EB7" w:rsidP="00DC6A63">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Businesses in these industry segments adopt a range of business models:</w:t>
      </w:r>
    </w:p>
    <w:p w14:paraId="7E9B3560" w14:textId="77777777" w:rsidR="00F27EB7" w:rsidRDefault="00F27EB7" w:rsidP="00D12EFD">
      <w:pPr>
        <w:pStyle w:val="FootnoteText"/>
        <w:numPr>
          <w:ilvl w:val="0"/>
          <w:numId w:val="17"/>
        </w:numPr>
        <w:rPr>
          <w:rFonts w:cstheme="majorHAnsi"/>
          <w:szCs w:val="18"/>
        </w:rPr>
      </w:pPr>
      <w:r w:rsidRPr="009A7C74">
        <w:rPr>
          <w:rFonts w:cstheme="majorHAnsi"/>
          <w:szCs w:val="18"/>
        </w:rPr>
        <w:t>Brick-and-mortar Stores: refers to a business with a physical presence in a building or infrastructure.</w:t>
      </w:r>
    </w:p>
    <w:p w14:paraId="235BAF18" w14:textId="77777777" w:rsidR="00F27EB7" w:rsidRDefault="00F27EB7" w:rsidP="00D12EFD">
      <w:pPr>
        <w:pStyle w:val="FootnoteText"/>
        <w:numPr>
          <w:ilvl w:val="0"/>
          <w:numId w:val="17"/>
        </w:numPr>
        <w:rPr>
          <w:rFonts w:cstheme="majorHAnsi"/>
          <w:szCs w:val="18"/>
        </w:rPr>
      </w:pPr>
      <w:r w:rsidRPr="009A7C74">
        <w:rPr>
          <w:rFonts w:cstheme="majorHAnsi"/>
          <w:szCs w:val="18"/>
        </w:rPr>
        <w:t>Click-and-mortar Stores: refers to a business that combines both online and physical channels for business operations</w:t>
      </w:r>
    </w:p>
    <w:p w14:paraId="0F58F214" w14:textId="77777777" w:rsidR="00F27EB7" w:rsidRPr="008263B5" w:rsidRDefault="00F27EB7" w:rsidP="00D12EFD">
      <w:pPr>
        <w:pStyle w:val="FootnoteText"/>
        <w:numPr>
          <w:ilvl w:val="0"/>
          <w:numId w:val="17"/>
        </w:numPr>
      </w:pPr>
      <w:r w:rsidRPr="00AD53EC">
        <w:rPr>
          <w:rFonts w:cstheme="majorBidi"/>
          <w:szCs w:val="18"/>
        </w:rPr>
        <w:t>Pure Play eCommerce Stores: refers to a business that only make sales via online storefront. Location of these type of stores are determined by primary location of operation as indicated on the Australian Business Register, available to the public.</w:t>
      </w:r>
    </w:p>
  </w:footnote>
  <w:footnote w:id="29">
    <w:p w14:paraId="624BB23E" w14:textId="79192C18" w:rsidR="00F27EB7" w:rsidRDefault="00F27EB7" w:rsidP="00DC6A63">
      <w:pPr>
        <w:pStyle w:val="FootnoteText"/>
      </w:pPr>
      <w:r>
        <w:rPr>
          <w:rStyle w:val="FootnoteReference"/>
        </w:rPr>
        <w:footnoteRef/>
      </w:r>
      <w:r>
        <w:t xml:space="preserve"> </w:t>
      </w:r>
      <w:r w:rsidRPr="00F76ACD">
        <w:rPr>
          <w:rFonts w:eastAsia="Times New Roman" w:cstheme="majorHAnsi"/>
          <w:color w:val="auto"/>
          <w:szCs w:val="18"/>
          <w:lang w:eastAsia="en-AU"/>
        </w:rPr>
        <w:t>One tobacconist stakeholder indicated in response to the 2023 Consultation that 1-2% of their sales are vapes</w:t>
      </w:r>
      <w:r>
        <w:rPr>
          <w:rFonts w:eastAsia="Times New Roman" w:cstheme="majorHAnsi"/>
          <w:color w:val="auto"/>
          <w:szCs w:val="18"/>
          <w:lang w:eastAsia="en-AU"/>
        </w:rPr>
        <w:t>.</w:t>
      </w:r>
    </w:p>
  </w:footnote>
  <w:footnote w:id="30">
    <w:p w14:paraId="7A87D737" w14:textId="77777777" w:rsidR="00F27EB7" w:rsidRPr="00411885" w:rsidRDefault="00F27EB7" w:rsidP="007967B2">
      <w:pPr>
        <w:pStyle w:val="pf0"/>
        <w:spacing w:before="0" w:beforeAutospacing="0" w:after="0" w:afterAutospacing="0"/>
        <w:rPr>
          <w:rFonts w:asciiTheme="majorHAnsi" w:hAnsiTheme="majorHAnsi" w:cstheme="majorHAnsi"/>
          <w:sz w:val="18"/>
          <w:szCs w:val="18"/>
        </w:rPr>
      </w:pPr>
      <w:r w:rsidRPr="002E424B">
        <w:rPr>
          <w:rStyle w:val="FootnoteReference"/>
          <w:rFonts w:asciiTheme="majorHAnsi" w:hAnsiTheme="majorHAnsi" w:cstheme="majorHAnsi"/>
          <w:sz w:val="18"/>
          <w:szCs w:val="18"/>
        </w:rPr>
        <w:footnoteRef/>
      </w:r>
      <w:r w:rsidRPr="002E424B">
        <w:rPr>
          <w:rFonts w:asciiTheme="majorHAnsi" w:hAnsiTheme="majorHAnsi" w:cstheme="majorHAnsi"/>
          <w:sz w:val="18"/>
          <w:szCs w:val="18"/>
        </w:rPr>
        <w:t xml:space="preserve"> </w:t>
      </w:r>
      <w:r w:rsidRPr="006F1534">
        <w:rPr>
          <w:rFonts w:asciiTheme="majorHAnsi" w:hAnsiTheme="majorHAnsi" w:cstheme="majorHAnsi"/>
          <w:sz w:val="18"/>
          <w:szCs w:val="18"/>
        </w:rPr>
        <w:t xml:space="preserve">Wakefield, M et al, ‘Current vaping and current smoking in the Australian population aged 14+ years: February 2018-March 2023.’ (2023) Centre for Behavioural Research in Cancer, Cancer Council Victoria: Melbourne, Australia. Data collected from the Roy Morgan Research company and analysed by Cancer Council Victoria for the Department of Health and Aged Care. This data is not nationally representative. It should be considered preliminary until more comprehensive national data is published in 2023-24. Available at: </w:t>
      </w:r>
      <w:hyperlink r:id="rId19" w:history="1">
        <w:r w:rsidRPr="006F1534">
          <w:rPr>
            <w:rStyle w:val="Hyperlink"/>
            <w:rFonts w:asciiTheme="majorHAnsi" w:hAnsiTheme="majorHAnsi" w:cstheme="majorHAnsi"/>
            <w:sz w:val="18"/>
            <w:szCs w:val="18"/>
          </w:rPr>
          <w:t>https://www.health.gov.au/resources/publications/current-vaping-and-smoking-in-the-australian-population-aged-14-years-or-older-february-2018-to-march-2023?language=en</w:t>
        </w:r>
      </w:hyperlink>
    </w:p>
  </w:footnote>
  <w:footnote w:id="31">
    <w:p w14:paraId="795324C8" w14:textId="77777777" w:rsidR="00F27EB7" w:rsidRPr="00AB7A52" w:rsidRDefault="00F27EB7" w:rsidP="007967B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Conti CR, ‘Clinical trials and the cost of medical care’ (1999) </w:t>
      </w:r>
      <w:r w:rsidRPr="00AB7A52">
        <w:rPr>
          <w:rFonts w:cstheme="majorHAnsi"/>
          <w:i/>
          <w:iCs/>
          <w:szCs w:val="18"/>
        </w:rPr>
        <w:t>Clin</w:t>
      </w:r>
      <w:r>
        <w:rPr>
          <w:rFonts w:cstheme="majorHAnsi"/>
          <w:i/>
          <w:iCs/>
          <w:szCs w:val="18"/>
        </w:rPr>
        <w:t>ical</w:t>
      </w:r>
      <w:r w:rsidRPr="00AB7A52">
        <w:rPr>
          <w:rFonts w:cstheme="majorHAnsi"/>
          <w:i/>
          <w:iCs/>
          <w:szCs w:val="18"/>
        </w:rPr>
        <w:t xml:space="preserve"> Cardiol</w:t>
      </w:r>
      <w:r>
        <w:rPr>
          <w:rFonts w:cstheme="majorHAnsi"/>
          <w:i/>
          <w:iCs/>
          <w:szCs w:val="18"/>
        </w:rPr>
        <w:t>ogy</w:t>
      </w:r>
      <w:r w:rsidRPr="00AB7A52">
        <w:rPr>
          <w:rFonts w:cstheme="majorHAnsi"/>
          <w:szCs w:val="18"/>
        </w:rPr>
        <w:t xml:space="preserve"> 22(9):549-50. Available at: </w:t>
      </w:r>
    </w:p>
    <w:p w14:paraId="05B707FE" w14:textId="7F99CEB1" w:rsidR="00F27EB7" w:rsidRPr="00AB7A52" w:rsidRDefault="007364C4" w:rsidP="007967B2">
      <w:pPr>
        <w:pStyle w:val="FootnoteText"/>
        <w:rPr>
          <w:rFonts w:cstheme="majorHAnsi"/>
          <w:szCs w:val="18"/>
        </w:rPr>
      </w:pPr>
      <w:hyperlink r:id="rId20" w:history="1">
        <w:r w:rsidR="00F27EB7" w:rsidRPr="00AB7A52">
          <w:rPr>
            <w:rStyle w:val="Hyperlink"/>
            <w:rFonts w:asciiTheme="majorHAnsi" w:hAnsiTheme="majorHAnsi" w:cstheme="majorHAnsi"/>
            <w:szCs w:val="18"/>
            <w:shd w:val="clear" w:color="auto" w:fill="FFFFFF"/>
          </w:rPr>
          <w:t>https://www.ncbi.nlm.nih.gov/pmc/articles/PMC6655516/</w:t>
        </w:r>
      </w:hyperlink>
    </w:p>
  </w:footnote>
  <w:footnote w:id="32">
    <w:p w14:paraId="59BA4E26" w14:textId="4A9B5BFA" w:rsidR="00F27EB7" w:rsidRPr="00AB7A52" w:rsidRDefault="00F27EB7" w:rsidP="007967B2">
      <w:pPr>
        <w:pStyle w:val="FootnoteText"/>
        <w:rPr>
          <w:rStyle w:val="FootnoteReference"/>
          <w:rFonts w:cstheme="majorHAnsi"/>
          <w:szCs w:val="18"/>
        </w:rPr>
      </w:pPr>
      <w:r w:rsidRPr="00AB7A52">
        <w:rPr>
          <w:rStyle w:val="FootnoteReference"/>
          <w:rFonts w:cstheme="majorHAnsi"/>
          <w:szCs w:val="18"/>
        </w:rPr>
        <w:footnoteRef/>
      </w:r>
      <w:r>
        <w:rPr>
          <w:rStyle w:val="Hyperlink"/>
          <w:rFonts w:asciiTheme="majorHAnsi" w:hAnsiTheme="majorHAnsi" w:cstheme="majorHAnsi"/>
          <w:color w:val="006FB0"/>
          <w:szCs w:val="18"/>
          <w:u w:val="none"/>
          <w:shd w:val="clear" w:color="auto" w:fill="FFFFFF"/>
        </w:rPr>
        <w:t xml:space="preserve"> </w:t>
      </w:r>
      <w:r>
        <w:rPr>
          <w:rFonts w:cstheme="majorHAnsi"/>
          <w:szCs w:val="18"/>
        </w:rPr>
        <w:t xml:space="preserve">European Commission, ‘Scientific Committees.’ Available at: </w:t>
      </w:r>
      <w:hyperlink r:id="rId21" w:history="1">
        <w:r w:rsidRPr="00110B65">
          <w:rPr>
            <w:rStyle w:val="Hyperlink"/>
            <w:rFonts w:asciiTheme="majorHAnsi" w:hAnsiTheme="majorHAnsi" w:cstheme="majorHAnsi"/>
            <w:szCs w:val="18"/>
          </w:rPr>
          <w:t>https://health.ec.europa.eu/scientific-committees_en</w:t>
        </w:r>
      </w:hyperlink>
      <w:r>
        <w:rPr>
          <w:rFonts w:cstheme="majorHAnsi"/>
          <w:szCs w:val="18"/>
        </w:rPr>
        <w:t xml:space="preserve"> </w:t>
      </w:r>
    </w:p>
  </w:footnote>
  <w:footnote w:id="33">
    <w:p w14:paraId="5B54EE75" w14:textId="45247371" w:rsidR="00F27EB7" w:rsidRPr="00AB7A52" w:rsidRDefault="00F27EB7" w:rsidP="007967B2">
      <w:pPr>
        <w:pStyle w:val="FootnoteText"/>
        <w:rPr>
          <w:rFonts w:cstheme="majorHAnsi"/>
          <w:szCs w:val="18"/>
        </w:rPr>
      </w:pPr>
      <w:r w:rsidRPr="00AB7A52">
        <w:rPr>
          <w:rStyle w:val="FootnoteReference"/>
          <w:rFonts w:cstheme="majorHAnsi"/>
          <w:szCs w:val="18"/>
        </w:rPr>
        <w:footnoteRef/>
      </w:r>
      <w:r w:rsidRPr="00AB7A52">
        <w:rPr>
          <w:rStyle w:val="FootnoteReference"/>
          <w:rFonts w:cstheme="majorHAnsi"/>
          <w:szCs w:val="18"/>
        </w:rPr>
        <w:t xml:space="preserve"> </w:t>
      </w:r>
      <w:r>
        <w:rPr>
          <w:rFonts w:cstheme="majorHAnsi"/>
          <w:szCs w:val="18"/>
        </w:rPr>
        <w:t xml:space="preserve"> Jankowski M et al, ‘</w:t>
      </w:r>
      <w:r w:rsidRPr="00FC2D43">
        <w:rPr>
          <w:rFonts w:cstheme="majorHAnsi"/>
          <w:szCs w:val="18"/>
        </w:rPr>
        <w:t>E-Cigarettes are More Addictive than Traditional Cigarettes—A Study in Highly Educated Young People</w:t>
      </w:r>
      <w:r>
        <w:rPr>
          <w:rFonts w:cstheme="majorHAnsi"/>
          <w:szCs w:val="18"/>
        </w:rPr>
        <w:t xml:space="preserve">’ (2019) </w:t>
      </w:r>
      <w:r w:rsidRPr="00AB7A52">
        <w:rPr>
          <w:rFonts w:cstheme="majorHAnsi"/>
          <w:i/>
          <w:iCs/>
          <w:szCs w:val="18"/>
        </w:rPr>
        <w:t>International Journal of Environmental Research and Public Health</w:t>
      </w:r>
      <w:r>
        <w:rPr>
          <w:rFonts w:cstheme="majorHAnsi"/>
          <w:szCs w:val="18"/>
        </w:rPr>
        <w:t xml:space="preserve"> </w:t>
      </w:r>
      <w:r w:rsidRPr="00C80C45">
        <w:rPr>
          <w:rStyle w:val="Hyperlink"/>
          <w:rFonts w:asciiTheme="majorHAnsi" w:hAnsiTheme="majorHAnsi" w:cstheme="majorHAnsi"/>
          <w:color w:val="000000" w:themeColor="text1"/>
          <w:szCs w:val="18"/>
          <w:u w:val="none"/>
          <w:shd w:val="clear" w:color="auto" w:fill="FFFFFF"/>
        </w:rPr>
        <w:t>16</w:t>
      </w:r>
      <w:r w:rsidRPr="00C80C45">
        <w:rPr>
          <w:rStyle w:val="Hyperlink"/>
          <w:rFonts w:asciiTheme="majorHAnsi" w:hAnsiTheme="majorHAnsi" w:cstheme="majorHAnsi"/>
          <w:color w:val="333F48"/>
          <w:szCs w:val="18"/>
          <w:u w:val="none"/>
          <w:shd w:val="clear" w:color="auto" w:fill="FFFFFF"/>
        </w:rPr>
        <w:t>(13): 2279. Available at:</w:t>
      </w:r>
      <w:r w:rsidRPr="00C80C45">
        <w:rPr>
          <w:rStyle w:val="Hyperlink"/>
          <w:rFonts w:asciiTheme="majorHAnsi" w:hAnsiTheme="majorHAnsi" w:cstheme="majorHAnsi"/>
          <w:color w:val="333F48"/>
          <w:szCs w:val="18"/>
          <w:shd w:val="clear" w:color="auto" w:fill="FFFFFF"/>
        </w:rPr>
        <w:t xml:space="preserve"> </w:t>
      </w:r>
      <w:hyperlink r:id="rId22" w:history="1">
        <w:r w:rsidRPr="00AB7A52">
          <w:rPr>
            <w:rStyle w:val="Hyperlink"/>
            <w:rFonts w:asciiTheme="majorHAnsi" w:hAnsiTheme="majorHAnsi" w:cstheme="majorHAnsi"/>
            <w:szCs w:val="18"/>
            <w:shd w:val="clear" w:color="auto" w:fill="FFFFFF"/>
          </w:rPr>
          <w:t>https://www.ncbi.nlm.nih.gov/pmc/articles/PMC6651627/</w:t>
        </w:r>
      </w:hyperlink>
    </w:p>
  </w:footnote>
  <w:footnote w:id="34">
    <w:p w14:paraId="644CD27F" w14:textId="77777777" w:rsidR="00F27EB7" w:rsidRPr="00AB7A52" w:rsidRDefault="00F27EB7" w:rsidP="007967B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Pr>
          <w:rFonts w:cstheme="majorHAnsi"/>
          <w:szCs w:val="18"/>
        </w:rPr>
        <w:t>Wood N, ‘</w:t>
      </w:r>
      <w:r w:rsidRPr="00BE48B7">
        <w:rPr>
          <w:rFonts w:cstheme="majorHAnsi"/>
          <w:szCs w:val="18"/>
        </w:rPr>
        <w:t>Charlotte’s accessible web: how West Australian children and adolescents can access e-cigarettes online</w:t>
      </w:r>
      <w:r>
        <w:rPr>
          <w:rFonts w:cstheme="majorHAnsi"/>
          <w:szCs w:val="18"/>
        </w:rPr>
        <w:t xml:space="preserve">’ </w:t>
      </w:r>
      <w:r w:rsidRPr="00667BEF">
        <w:rPr>
          <w:rFonts w:cstheme="majorHAnsi"/>
          <w:szCs w:val="18"/>
        </w:rPr>
        <w:t>Australian and New Zealand Journal of Public Health, 45: 81-82.</w:t>
      </w:r>
      <w:r>
        <w:rPr>
          <w:rFonts w:cstheme="majorHAnsi"/>
          <w:szCs w:val="18"/>
        </w:rPr>
        <w:t xml:space="preserve"> Available at: </w:t>
      </w:r>
      <w:hyperlink r:id="rId23" w:history="1">
        <w:r w:rsidRPr="00274DAE">
          <w:rPr>
            <w:rStyle w:val="Hyperlink"/>
            <w:rFonts w:asciiTheme="majorHAnsi" w:hAnsiTheme="majorHAnsi" w:cstheme="majorHAnsi"/>
            <w:szCs w:val="18"/>
          </w:rPr>
          <w:t>https://onlinelibrary.wiley.com/doi/full/10.1111/1753-6405.13056</w:t>
        </w:r>
      </w:hyperlink>
      <w:r>
        <w:rPr>
          <w:rFonts w:cstheme="majorHAnsi"/>
          <w:szCs w:val="18"/>
        </w:rPr>
        <w:t xml:space="preserve"> </w:t>
      </w:r>
    </w:p>
  </w:footnote>
  <w:footnote w:id="35">
    <w:p w14:paraId="723443BA" w14:textId="77777777" w:rsidR="00F27EB7" w:rsidRPr="00AB7A52" w:rsidRDefault="00F27EB7" w:rsidP="007967B2">
      <w:pPr>
        <w:pStyle w:val="FootnoteText"/>
        <w:rPr>
          <w:rFonts w:cstheme="majorHAnsi"/>
          <w:szCs w:val="18"/>
        </w:rPr>
      </w:pPr>
      <w:r w:rsidRPr="00AB7A52">
        <w:rPr>
          <w:rStyle w:val="FootnoteReference"/>
          <w:rFonts w:cstheme="majorHAnsi"/>
          <w:szCs w:val="18"/>
        </w:rPr>
        <w:footnoteRef/>
      </w:r>
      <w:r>
        <w:rPr>
          <w:rFonts w:cstheme="majorHAnsi"/>
          <w:szCs w:val="18"/>
        </w:rPr>
        <w:t xml:space="preserve"> </w:t>
      </w:r>
      <w:r w:rsidRPr="000B79DD">
        <w:rPr>
          <w:rFonts w:cstheme="majorHAnsi"/>
          <w:szCs w:val="18"/>
        </w:rPr>
        <w:t>Australian Institute of Health and Welfare, ‘National Drug Strategy Household Survey 2019’ (Drug Statistics series no. 32 2020) 8. Available at:</w:t>
      </w:r>
      <w:r w:rsidRPr="00AB7A52">
        <w:rPr>
          <w:rFonts w:cstheme="majorHAnsi"/>
          <w:szCs w:val="18"/>
        </w:rPr>
        <w:t xml:space="preserve"> </w:t>
      </w:r>
      <w:hyperlink r:id="rId24" w:history="1">
        <w:r w:rsidRPr="00274DAE">
          <w:rPr>
            <w:rStyle w:val="Hyperlink"/>
            <w:rFonts w:asciiTheme="majorHAnsi" w:hAnsiTheme="majorHAnsi" w:cstheme="majorHAnsi"/>
            <w:szCs w:val="18"/>
          </w:rPr>
          <w:t>https://www.aihw.gov.au/reports/illicit-use-of-drugs/national-drug-strategy-household-survey-2019/contents/table-of-contents</w:t>
        </w:r>
      </w:hyperlink>
      <w:r>
        <w:rPr>
          <w:rFonts w:cstheme="majorHAnsi"/>
          <w:szCs w:val="18"/>
        </w:rPr>
        <w:t xml:space="preserve"> </w:t>
      </w:r>
    </w:p>
  </w:footnote>
  <w:footnote w:id="36">
    <w:p w14:paraId="5A171E7F" w14:textId="2D018016" w:rsidR="00F27EB7" w:rsidRPr="00C80C45" w:rsidRDefault="00F27EB7" w:rsidP="007967B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Pr>
          <w:rFonts w:cstheme="majorHAnsi"/>
          <w:szCs w:val="18"/>
        </w:rPr>
        <w:t>World Health Organisation, ‘</w:t>
      </w:r>
      <w:r w:rsidRPr="00CB3B84">
        <w:rPr>
          <w:rFonts w:cstheme="majorHAnsi"/>
          <w:szCs w:val="18"/>
        </w:rPr>
        <w:t>Summary results of the global youth tobacco survey in selected countries of the WHO European Region</w:t>
      </w:r>
      <w:r>
        <w:rPr>
          <w:rFonts w:cstheme="majorHAnsi"/>
          <w:szCs w:val="18"/>
        </w:rPr>
        <w:t xml:space="preserve">’ (2021). Available at: </w:t>
      </w:r>
      <w:hyperlink r:id="rId25" w:history="1">
        <w:r w:rsidRPr="00110B65">
          <w:rPr>
            <w:rStyle w:val="Hyperlink"/>
            <w:rFonts w:asciiTheme="majorHAnsi" w:hAnsiTheme="majorHAnsi" w:cstheme="majorHAnsi"/>
            <w:szCs w:val="18"/>
          </w:rPr>
          <w:t>https://www.who.int/europe/publications/i/item/WHO-EURO-2020-1513-41263-56157</w:t>
        </w:r>
      </w:hyperlink>
      <w:r>
        <w:rPr>
          <w:rFonts w:cstheme="majorHAnsi"/>
          <w:szCs w:val="18"/>
        </w:rPr>
        <w:t xml:space="preserve">  </w:t>
      </w:r>
    </w:p>
  </w:footnote>
  <w:footnote w:id="37">
    <w:p w14:paraId="43F9C594" w14:textId="77777777" w:rsidR="00F27EB7" w:rsidRDefault="00F27EB7" w:rsidP="007967B2">
      <w:pPr>
        <w:pStyle w:val="FootnoteText"/>
      </w:pPr>
      <w:r w:rsidRPr="002E424B">
        <w:rPr>
          <w:rStyle w:val="FootnoteReference"/>
          <w:rFonts w:cstheme="majorHAnsi"/>
          <w:szCs w:val="18"/>
        </w:rPr>
        <w:footnoteRef/>
      </w:r>
      <w:r w:rsidRPr="002E424B">
        <w:rPr>
          <w:rFonts w:cstheme="majorHAnsi"/>
          <w:szCs w:val="18"/>
        </w:rPr>
        <w:t xml:space="preserve"> </w:t>
      </w:r>
      <w:r w:rsidRPr="008741DB">
        <w:rPr>
          <w:rFonts w:cstheme="majorHAnsi"/>
          <w:szCs w:val="18"/>
        </w:rPr>
        <w:t>Wakefield</w:t>
      </w:r>
      <w:r>
        <w:rPr>
          <w:rFonts w:cstheme="majorHAnsi"/>
          <w:szCs w:val="18"/>
        </w:rPr>
        <w:t>,</w:t>
      </w:r>
      <w:r w:rsidRPr="008741DB">
        <w:rPr>
          <w:rFonts w:cstheme="majorHAnsi"/>
          <w:szCs w:val="18"/>
        </w:rPr>
        <w:t xml:space="preserve"> M et al, ‘Current vaping and current smoking in the Australian population aged 14+ years: February 2018-March 2023.’ (2023) Centre for Behavioural Research in Cancer, Cancer Council Victoria: Melbourne, Australia. Data collected from the Roy Morgan Research company and analysed by Cancer Council Victoria for the Department of Health and Aged Care. This data is not nationally representative. It should be considered preliminary until more comprehensive national data is published in 2023-24. Available at: </w:t>
      </w:r>
      <w:hyperlink r:id="rId26" w:history="1">
        <w:r w:rsidRPr="001F1AA9">
          <w:rPr>
            <w:rStyle w:val="Hyperlink"/>
            <w:rFonts w:asciiTheme="majorHAnsi" w:hAnsiTheme="majorHAnsi" w:cstheme="majorHAnsi"/>
            <w:szCs w:val="18"/>
          </w:rPr>
          <w:t>https://www.health.gov.au/resources/publications/current-vaping-and-smoking-in-the-australian-population-aged-14-years-or-older-february-2018-to-march-2023?language=en</w:t>
        </w:r>
      </w:hyperlink>
    </w:p>
  </w:footnote>
  <w:footnote w:id="38">
    <w:p w14:paraId="28A75253" w14:textId="2D9B9FC3" w:rsidR="00F27EB7" w:rsidRPr="00C80463" w:rsidRDefault="00F27EB7" w:rsidP="007967B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Pr>
          <w:rFonts w:cstheme="majorHAnsi"/>
          <w:szCs w:val="18"/>
        </w:rPr>
        <w:t>Wakefield M. et al, ‘Current vaping and current smoking in the Australian population aged 14+ years: February 2018-March 2023.’ (2023) Centre for Behavioural Research in Cancer, Cancer Council Victoria: Melbourne, Australia</w:t>
      </w:r>
      <w:r w:rsidRPr="00C80463">
        <w:rPr>
          <w:rFonts w:eastAsia="Calibri" w:cstheme="majorHAnsi"/>
          <w:szCs w:val="18"/>
        </w:rPr>
        <w:t xml:space="preserve">. Available at: </w:t>
      </w:r>
      <w:hyperlink r:id="rId27" w:history="1">
        <w:r w:rsidRPr="00C80463">
          <w:rPr>
            <w:rStyle w:val="Hyperlink"/>
            <w:rFonts w:asciiTheme="majorHAnsi" w:eastAsia="Calibri" w:hAnsiTheme="majorHAnsi" w:cstheme="majorHAnsi"/>
            <w:szCs w:val="18"/>
          </w:rPr>
          <w:t>https://www.health.gov.au/resources/publications/current-vaping-and-smoking-in-the-australian-population-aged-14-years-or-older-february-2018-to-march-2023?language=en</w:t>
        </w:r>
      </w:hyperlink>
    </w:p>
  </w:footnote>
  <w:footnote w:id="39">
    <w:p w14:paraId="6AEBD191" w14:textId="713984F9" w:rsidR="00F27EB7" w:rsidRPr="00AB7A52" w:rsidRDefault="00F27EB7" w:rsidP="00777D73">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sidRPr="00C80463">
        <w:rPr>
          <w:rFonts w:cstheme="majorHAnsi"/>
          <w:szCs w:val="18"/>
        </w:rPr>
        <w:t>Australian Institute of Health and Welfare, ‘National Drug Strategy Household Survey 2019’ (</w:t>
      </w:r>
      <w:r>
        <w:rPr>
          <w:rFonts w:cstheme="majorHAnsi"/>
          <w:szCs w:val="18"/>
        </w:rPr>
        <w:t xml:space="preserve">2020) </w:t>
      </w:r>
      <w:r w:rsidRPr="00C80463">
        <w:rPr>
          <w:rFonts w:cstheme="majorHAnsi"/>
          <w:szCs w:val="18"/>
        </w:rPr>
        <w:t>Drug Statistics series no. 32 2020</w:t>
      </w:r>
      <w:r>
        <w:rPr>
          <w:rFonts w:cstheme="majorHAnsi"/>
          <w:szCs w:val="18"/>
        </w:rPr>
        <w:t>,</w:t>
      </w:r>
      <w:r w:rsidRPr="00C80463">
        <w:rPr>
          <w:rFonts w:cstheme="majorHAnsi"/>
          <w:szCs w:val="18"/>
        </w:rPr>
        <w:t xml:space="preserve"> 8. Available at: </w:t>
      </w:r>
      <w:hyperlink r:id="rId28" w:history="1">
        <w:r w:rsidRPr="009C3D9C">
          <w:rPr>
            <w:rStyle w:val="Hyperlink"/>
            <w:rFonts w:asciiTheme="majorHAnsi" w:hAnsiTheme="majorHAnsi" w:cstheme="majorHAnsi"/>
            <w:szCs w:val="18"/>
          </w:rPr>
          <w:t>https://www.aihw.gov.au/reports/illicit-use-of-drugs/national-drug-strategy-household-survey-2019/contents/table-of-contents</w:t>
        </w:r>
      </w:hyperlink>
      <w:r>
        <w:rPr>
          <w:rFonts w:cstheme="majorHAnsi"/>
          <w:szCs w:val="18"/>
        </w:rPr>
        <w:t xml:space="preserve"> </w:t>
      </w:r>
    </w:p>
  </w:footnote>
  <w:footnote w:id="40">
    <w:p w14:paraId="546F90F6" w14:textId="464CD887" w:rsidR="00F27EB7" w:rsidRDefault="00F27EB7" w:rsidP="007967B2">
      <w:pPr>
        <w:pStyle w:val="FootnoteText"/>
      </w:pPr>
      <w:r w:rsidRPr="00AB7A52">
        <w:rPr>
          <w:rStyle w:val="FootnoteReference"/>
          <w:rFonts w:cstheme="majorHAnsi"/>
          <w:szCs w:val="18"/>
        </w:rPr>
        <w:footnoteRef/>
      </w:r>
      <w:r w:rsidRPr="00AB7A52">
        <w:rPr>
          <w:rFonts w:cstheme="majorHAnsi"/>
          <w:szCs w:val="18"/>
        </w:rPr>
        <w:t xml:space="preserve"> Australian Institute of Health and Welfare,</w:t>
      </w:r>
      <w:r>
        <w:rPr>
          <w:rFonts w:cstheme="majorHAnsi"/>
          <w:szCs w:val="18"/>
        </w:rPr>
        <w:t xml:space="preserve"> </w:t>
      </w:r>
      <w:r w:rsidRPr="00AB7A52">
        <w:rPr>
          <w:rFonts w:cstheme="majorHAnsi"/>
          <w:szCs w:val="18"/>
        </w:rPr>
        <w:t xml:space="preserve">‘Alcohol, tobacco &amp; other drugs in Australia’, updated 14 December 2022. </w:t>
      </w:r>
      <w:r>
        <w:rPr>
          <w:rFonts w:cstheme="majorHAnsi"/>
          <w:szCs w:val="18"/>
        </w:rPr>
        <w:t xml:space="preserve">Available at: </w:t>
      </w:r>
      <w:hyperlink r:id="rId29" w:history="1">
        <w:r w:rsidRPr="00AB7A52">
          <w:rPr>
            <w:rStyle w:val="Hyperlink"/>
            <w:rFonts w:asciiTheme="majorHAnsi" w:hAnsiTheme="majorHAnsi" w:cstheme="majorHAnsi"/>
            <w:szCs w:val="18"/>
          </w:rPr>
          <w:t>https://www.aihw.gov.au/reports/alcohol/alcohol-tobacco-other-drugs-australia/contents/about</w:t>
        </w:r>
      </w:hyperlink>
    </w:p>
  </w:footnote>
  <w:footnote w:id="41">
    <w:p w14:paraId="3AF7E1EC" w14:textId="0D1B80F9" w:rsidR="00F27EB7" w:rsidRPr="00A25622" w:rsidRDefault="00F27EB7" w:rsidP="0014788D">
      <w:pPr>
        <w:pStyle w:val="FootnoteText"/>
        <w:rPr>
          <w:rFonts w:cstheme="majorHAnsi"/>
          <w:szCs w:val="18"/>
        </w:rPr>
      </w:pPr>
      <w:r w:rsidRPr="00A25622">
        <w:rPr>
          <w:rStyle w:val="FootnoteReference"/>
          <w:rFonts w:cstheme="majorHAnsi"/>
          <w:szCs w:val="18"/>
        </w:rPr>
        <w:footnoteRef/>
      </w:r>
      <w:r w:rsidRPr="00A25622">
        <w:rPr>
          <w:rFonts w:cstheme="majorHAnsi"/>
          <w:szCs w:val="18"/>
        </w:rPr>
        <w:t xml:space="preserve">  Wakefield M. et al, ‘Current vaping and current smoking in the Australian population aged 14+ years: February 2018-March 2023.’ (2023) Centre for Behavioural Research in Cancer, Cancer Council Victoria: Melbourne, Australia. Available at: </w:t>
      </w:r>
      <w:hyperlink r:id="rId30" w:history="1">
        <w:r w:rsidRPr="00110B65">
          <w:rPr>
            <w:rStyle w:val="Hyperlink"/>
            <w:rFonts w:asciiTheme="majorHAnsi" w:hAnsiTheme="majorHAnsi" w:cstheme="majorHAnsi"/>
            <w:szCs w:val="18"/>
          </w:rPr>
          <w:t>https://www.health.gov.au/resources/publications/current-vaping-and-smoking-in-the-australian-population-aged-14-years-or-older-february-2018-to-march-2023?language=en</w:t>
        </w:r>
      </w:hyperlink>
      <w:r>
        <w:rPr>
          <w:rFonts w:cstheme="majorHAnsi"/>
          <w:szCs w:val="18"/>
        </w:rPr>
        <w:t xml:space="preserve"> </w:t>
      </w:r>
    </w:p>
  </w:footnote>
  <w:footnote w:id="42">
    <w:p w14:paraId="52A2E9B5" w14:textId="732F8055" w:rsidR="00F27EB7" w:rsidRPr="00AB7A52" w:rsidRDefault="00F27EB7" w:rsidP="0014788D">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sidRPr="00AB7A52">
        <w:rPr>
          <w:rFonts w:cstheme="majorHAnsi"/>
          <w:color w:val="333333"/>
          <w:szCs w:val="18"/>
          <w:shd w:val="clear" w:color="auto" w:fill="FFFFFF"/>
        </w:rPr>
        <w:t>Jongenelis MI, ‘E-cigarette product preferences of Australian adolescent and adult users: a 2022 study’ (2023) </w:t>
      </w:r>
      <w:r w:rsidRPr="00AB7A52">
        <w:rPr>
          <w:rFonts w:cstheme="majorHAnsi"/>
          <w:i/>
          <w:color w:val="333333"/>
          <w:szCs w:val="18"/>
          <w:shd w:val="clear" w:color="auto" w:fill="FFFFFF"/>
        </w:rPr>
        <w:t>BMC Public Health</w:t>
      </w:r>
      <w:r w:rsidRPr="00AB7A52">
        <w:rPr>
          <w:rFonts w:cstheme="majorHAnsi"/>
          <w:color w:val="333333"/>
          <w:szCs w:val="18"/>
          <w:shd w:val="clear" w:color="auto" w:fill="FFFFFF"/>
        </w:rPr>
        <w:t xml:space="preserve"> 23:220. Available at: </w:t>
      </w:r>
      <w:hyperlink r:id="rId31" w:history="1">
        <w:r w:rsidRPr="00274DAE">
          <w:rPr>
            <w:rStyle w:val="Hyperlink"/>
            <w:rFonts w:asciiTheme="majorHAnsi" w:hAnsiTheme="majorHAnsi" w:cstheme="majorHAnsi"/>
            <w:szCs w:val="18"/>
            <w:shd w:val="clear" w:color="auto" w:fill="FFFFFF"/>
          </w:rPr>
          <w:t>https://doi.org/10.1186/s12889-023-15142-8</w:t>
        </w:r>
      </w:hyperlink>
      <w:r>
        <w:rPr>
          <w:rFonts w:cstheme="majorHAnsi"/>
          <w:color w:val="333333"/>
          <w:szCs w:val="18"/>
          <w:shd w:val="clear" w:color="auto" w:fill="FFFFFF"/>
        </w:rPr>
        <w:t xml:space="preserve"> </w:t>
      </w:r>
    </w:p>
  </w:footnote>
  <w:footnote w:id="43">
    <w:p w14:paraId="4EECAFD3" w14:textId="005B3FB5" w:rsidR="00F27EB7" w:rsidRPr="00AB7A52" w:rsidRDefault="00F27EB7" w:rsidP="0014788D">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sidRPr="00AB7A52">
        <w:rPr>
          <w:rFonts w:cstheme="majorHAnsi"/>
          <w:color w:val="auto"/>
          <w:szCs w:val="18"/>
          <w:shd w:val="clear" w:color="auto" w:fill="FFFFFF"/>
        </w:rPr>
        <w:t>Jongenelis MI and Brennan E et al, ‘Differences in use of electronic nicotine delivery systems by smoking status and demographic characteristics among Australian young adults’ (2019) </w:t>
      </w:r>
      <w:r w:rsidRPr="00AB7A52">
        <w:rPr>
          <w:rFonts w:cstheme="majorHAnsi"/>
          <w:i/>
          <w:color w:val="auto"/>
          <w:szCs w:val="18"/>
          <w:shd w:val="clear" w:color="auto" w:fill="FFFFFF"/>
        </w:rPr>
        <w:t>Health Promotion Journal of Australia</w:t>
      </w:r>
      <w:r w:rsidRPr="00AB7A52">
        <w:rPr>
          <w:rFonts w:cstheme="majorHAnsi"/>
          <w:color w:val="auto"/>
          <w:szCs w:val="18"/>
          <w:shd w:val="clear" w:color="auto" w:fill="FFFFFF"/>
        </w:rPr>
        <w:t xml:space="preserve">, 30(2):207-211. Available at: </w:t>
      </w:r>
      <w:hyperlink r:id="rId32" w:history="1">
        <w:r w:rsidRPr="00110B65">
          <w:rPr>
            <w:rStyle w:val="Hyperlink"/>
            <w:rFonts w:asciiTheme="majorHAnsi" w:hAnsiTheme="majorHAnsi" w:cstheme="majorHAnsi"/>
            <w:szCs w:val="18"/>
            <w:shd w:val="clear" w:color="auto" w:fill="FFFFFF"/>
          </w:rPr>
          <w:t>https://doi.org/10.1002/hpja.202</w:t>
        </w:r>
      </w:hyperlink>
      <w:r>
        <w:rPr>
          <w:rFonts w:cstheme="majorHAnsi"/>
          <w:color w:val="auto"/>
          <w:szCs w:val="18"/>
          <w:shd w:val="clear" w:color="auto" w:fill="FFFFFF"/>
        </w:rPr>
        <w:t xml:space="preserve"> </w:t>
      </w:r>
    </w:p>
  </w:footnote>
  <w:footnote w:id="44">
    <w:p w14:paraId="69222125" w14:textId="47A7BBED" w:rsidR="00F27EB7" w:rsidRDefault="00F27EB7" w:rsidP="0014788D">
      <w:pPr>
        <w:pStyle w:val="FootnoteText"/>
      </w:pPr>
      <w:r w:rsidRPr="00D44B6A">
        <w:rPr>
          <w:rStyle w:val="FootnoteReference"/>
          <w:rFonts w:cstheme="majorHAnsi"/>
          <w:szCs w:val="18"/>
        </w:rPr>
        <w:footnoteRef/>
      </w:r>
      <w:r w:rsidRPr="00D44B6A">
        <w:rPr>
          <w:rFonts w:cstheme="majorHAnsi"/>
          <w:szCs w:val="18"/>
        </w:rPr>
        <w:t xml:space="preserve"> </w:t>
      </w:r>
      <w:r w:rsidRPr="00AB7A52">
        <w:rPr>
          <w:rFonts w:cstheme="majorHAnsi"/>
          <w:szCs w:val="18"/>
        </w:rPr>
        <w:t xml:space="preserve">Watts C et al, ‘Vaping product access and use among 14–17-year-olds in New South Wales: a cross-sectional study’ (2022) </w:t>
      </w:r>
      <w:r w:rsidRPr="00AB7A52">
        <w:rPr>
          <w:rFonts w:cstheme="majorHAnsi"/>
          <w:i/>
          <w:szCs w:val="18"/>
        </w:rPr>
        <w:t>Australian and New Zealand Journal of Public Health</w:t>
      </w:r>
      <w:r w:rsidRPr="00AB7A52">
        <w:rPr>
          <w:rFonts w:cstheme="majorHAnsi"/>
          <w:szCs w:val="18"/>
        </w:rPr>
        <w:t xml:space="preserve"> 46(6): 814-20. Available at: </w:t>
      </w:r>
      <w:hyperlink r:id="rId33" w:history="1">
        <w:r w:rsidRPr="00AB7A52">
          <w:rPr>
            <w:rStyle w:val="Hyperlink"/>
            <w:rFonts w:asciiTheme="majorHAnsi" w:hAnsiTheme="majorHAnsi" w:cstheme="majorHAnsi"/>
            <w:szCs w:val="18"/>
          </w:rPr>
          <w:t>https://doi.org/10.1111/1753-6405.13316</w:t>
        </w:r>
      </w:hyperlink>
    </w:p>
  </w:footnote>
  <w:footnote w:id="45">
    <w:p w14:paraId="5D5E6D12" w14:textId="77777777" w:rsidR="00F27EB7" w:rsidRDefault="00F27EB7" w:rsidP="0014788D">
      <w:pPr>
        <w:pStyle w:val="FootnoteText"/>
      </w:pPr>
      <w:r w:rsidRPr="00AB7A52">
        <w:rPr>
          <w:rStyle w:val="FootnoteReference"/>
          <w:rFonts w:cstheme="majorHAnsi"/>
          <w:szCs w:val="18"/>
        </w:rPr>
        <w:footnoteRef/>
      </w:r>
      <w:r w:rsidRPr="00AB7A52">
        <w:rPr>
          <w:rFonts w:cstheme="majorHAnsi"/>
          <w:szCs w:val="18"/>
        </w:rPr>
        <w:t xml:space="preserve"> Watts C et al, ‘Vaping product access and use among 14–17-year-olds in New South Wales: a cross-sectional study’ (2022) </w:t>
      </w:r>
      <w:r w:rsidRPr="00AB7A52">
        <w:rPr>
          <w:rFonts w:cstheme="majorHAnsi"/>
          <w:i/>
          <w:szCs w:val="18"/>
        </w:rPr>
        <w:t>Australian and New Zealand Journal of Public Health</w:t>
      </w:r>
      <w:r w:rsidRPr="00AB7A52">
        <w:rPr>
          <w:rFonts w:cstheme="majorHAnsi"/>
          <w:szCs w:val="18"/>
        </w:rPr>
        <w:t xml:space="preserve"> 46(6): 814-20. Available at: </w:t>
      </w:r>
      <w:hyperlink r:id="rId34" w:history="1">
        <w:r w:rsidRPr="00AB7A52">
          <w:rPr>
            <w:rStyle w:val="Hyperlink"/>
            <w:rFonts w:asciiTheme="majorHAnsi" w:hAnsiTheme="majorHAnsi" w:cstheme="majorHAnsi"/>
            <w:szCs w:val="18"/>
          </w:rPr>
          <w:t>https://doi.org/10.1111/1753-6405.13316</w:t>
        </w:r>
      </w:hyperlink>
      <w:r w:rsidRPr="00AB7A52">
        <w:rPr>
          <w:rFonts w:cstheme="majorHAnsi"/>
          <w:szCs w:val="18"/>
        </w:rPr>
        <w:t>. Submissions to the TGA November 2022 consultation paper noted that disposable vaping products are preferred by youth because of their very low cost and ease of concealment from parental or teacher detection.</w:t>
      </w:r>
    </w:p>
  </w:footnote>
  <w:footnote w:id="46">
    <w:p w14:paraId="3B0E5E46" w14:textId="77777777" w:rsidR="00F27EB7" w:rsidRPr="00AB7A52" w:rsidRDefault="00F27EB7" w:rsidP="00412E0A">
      <w:pPr>
        <w:spacing w:after="0" w:line="240" w:lineRule="auto"/>
        <w:rPr>
          <w:rFonts w:asciiTheme="majorHAnsi" w:hAnsiTheme="majorHAnsi" w:cstheme="majorHAnsi"/>
          <w:sz w:val="18"/>
          <w:szCs w:val="18"/>
        </w:rPr>
      </w:pPr>
      <w:r w:rsidRPr="004424E9">
        <w:rPr>
          <w:rStyle w:val="FootnoteReference"/>
          <w:rFonts w:asciiTheme="majorHAnsi" w:hAnsiTheme="majorHAnsi" w:cstheme="majorHAnsi"/>
          <w:sz w:val="18"/>
          <w:szCs w:val="18"/>
        </w:rPr>
        <w:footnoteRef/>
      </w:r>
      <w:r w:rsidRPr="004424E9">
        <w:rPr>
          <w:rFonts w:asciiTheme="majorHAnsi" w:hAnsiTheme="majorHAnsi" w:cstheme="majorHAnsi"/>
          <w:sz w:val="18"/>
          <w:szCs w:val="18"/>
        </w:rPr>
        <w:t xml:space="preserve"> </w:t>
      </w:r>
      <w:r w:rsidRPr="004424E9">
        <w:rPr>
          <w:rFonts w:asciiTheme="majorHAnsi" w:eastAsia="Arial" w:hAnsiTheme="majorHAnsi" w:cstheme="majorHAnsi"/>
          <w:sz w:val="18"/>
          <w:szCs w:val="18"/>
        </w:rPr>
        <w:t>National Health and Medical Research Council</w:t>
      </w:r>
      <w:r w:rsidRPr="000B4886">
        <w:rPr>
          <w:rFonts w:asciiTheme="majorHAnsi" w:eastAsia="Arial" w:hAnsiTheme="majorHAnsi" w:cstheme="majorHAnsi"/>
          <w:sz w:val="18"/>
          <w:szCs w:val="18"/>
        </w:rPr>
        <w:t>, ‘</w:t>
      </w:r>
      <w:r w:rsidRPr="004424E9">
        <w:rPr>
          <w:rFonts w:asciiTheme="majorHAnsi" w:eastAsia="Arial" w:hAnsiTheme="majorHAnsi" w:cstheme="majorHAnsi"/>
          <w:sz w:val="18"/>
          <w:szCs w:val="18"/>
        </w:rPr>
        <w:t>2022 CEO Statement on Electronic Cigarettes</w:t>
      </w:r>
      <w:r w:rsidRPr="000B4886">
        <w:rPr>
          <w:rFonts w:asciiTheme="majorHAnsi" w:eastAsia="Arial" w:hAnsiTheme="majorHAnsi" w:cstheme="majorHAnsi"/>
          <w:sz w:val="18"/>
          <w:szCs w:val="18"/>
        </w:rPr>
        <w:t>,’</w:t>
      </w:r>
      <w:r w:rsidRPr="004424E9">
        <w:rPr>
          <w:rFonts w:asciiTheme="majorHAnsi" w:eastAsia="Arial" w:hAnsiTheme="majorHAnsi" w:cstheme="majorHAnsi"/>
          <w:sz w:val="18"/>
          <w:szCs w:val="18"/>
        </w:rPr>
        <w:t xml:space="preserve"> (2022). </w:t>
      </w:r>
      <w:r w:rsidRPr="00816385">
        <w:rPr>
          <w:rFonts w:asciiTheme="majorHAnsi" w:eastAsia="Arial" w:hAnsiTheme="majorHAnsi" w:cstheme="majorHAnsi"/>
          <w:sz w:val="18"/>
          <w:szCs w:val="18"/>
        </w:rPr>
        <w:t>Available</w:t>
      </w:r>
      <w:r w:rsidRPr="004424E9">
        <w:rPr>
          <w:rFonts w:asciiTheme="majorHAnsi" w:eastAsia="Arial" w:hAnsiTheme="majorHAnsi" w:cstheme="majorHAnsi"/>
          <w:sz w:val="18"/>
          <w:szCs w:val="18"/>
        </w:rPr>
        <w:t xml:space="preserve"> </w:t>
      </w:r>
      <w:r w:rsidRPr="000B4886">
        <w:rPr>
          <w:rFonts w:asciiTheme="majorHAnsi" w:eastAsia="Arial" w:hAnsiTheme="majorHAnsi" w:cstheme="majorHAnsi"/>
          <w:sz w:val="18"/>
          <w:szCs w:val="18"/>
        </w:rPr>
        <w:t>at</w:t>
      </w:r>
      <w:r w:rsidRPr="004424E9">
        <w:rPr>
          <w:rFonts w:asciiTheme="majorHAnsi" w:eastAsia="Arial" w:hAnsiTheme="majorHAnsi" w:cstheme="majorHAnsi"/>
          <w:color w:val="333F48"/>
          <w:sz w:val="18"/>
          <w:szCs w:val="18"/>
        </w:rPr>
        <w:t xml:space="preserve">: </w:t>
      </w:r>
      <w:hyperlink r:id="rId35">
        <w:r w:rsidRPr="004424E9">
          <w:rPr>
            <w:rStyle w:val="Hyperlink"/>
            <w:rFonts w:asciiTheme="majorHAnsi" w:eastAsia="Arial" w:hAnsiTheme="majorHAnsi" w:cstheme="majorHAnsi"/>
            <w:sz w:val="18"/>
            <w:szCs w:val="18"/>
          </w:rPr>
          <w:t>https://www.nhmrc.gov.au/health-advice/all-topics/electronic-cigarettes/ceo-statement</w:t>
        </w:r>
      </w:hyperlink>
      <w:r w:rsidRPr="004424E9">
        <w:rPr>
          <w:rFonts w:asciiTheme="majorHAnsi" w:eastAsia="Arial" w:hAnsiTheme="majorHAnsi" w:cstheme="majorHAnsi"/>
          <w:color w:val="333F48"/>
          <w:sz w:val="18"/>
          <w:szCs w:val="18"/>
        </w:rPr>
        <w:t xml:space="preserve"> </w:t>
      </w:r>
    </w:p>
  </w:footnote>
  <w:footnote w:id="47">
    <w:p w14:paraId="7968966B" w14:textId="515BDAAC" w:rsidR="00F27EB7" w:rsidRPr="00AB7A52" w:rsidRDefault="00F27EB7" w:rsidP="00B06037">
      <w:pPr>
        <w:pStyle w:val="FootnoteText"/>
        <w:rPr>
          <w:rFonts w:cstheme="majorHAnsi"/>
          <w:szCs w:val="18"/>
        </w:rPr>
      </w:pPr>
      <w:r w:rsidRPr="0037756F">
        <w:rPr>
          <w:rStyle w:val="FootnoteReference"/>
          <w:rFonts w:cstheme="majorHAnsi"/>
          <w:szCs w:val="18"/>
        </w:rPr>
        <w:footnoteRef/>
      </w:r>
      <w:r w:rsidRPr="0037756F">
        <w:rPr>
          <w:rFonts w:cstheme="majorHAnsi"/>
          <w:szCs w:val="18"/>
        </w:rPr>
        <w:t xml:space="preserve"> </w:t>
      </w:r>
      <w:r w:rsidRPr="00AB7A52">
        <w:rPr>
          <w:rFonts w:cstheme="majorHAnsi"/>
          <w:szCs w:val="18"/>
        </w:rPr>
        <w:t>National Academies of Sciences, E</w:t>
      </w:r>
      <w:r>
        <w:rPr>
          <w:rFonts w:cstheme="majorHAnsi"/>
          <w:szCs w:val="18"/>
        </w:rPr>
        <w:t>ngineering</w:t>
      </w:r>
      <w:r w:rsidRPr="00AB7A52">
        <w:rPr>
          <w:rFonts w:cstheme="majorHAnsi"/>
          <w:szCs w:val="18"/>
        </w:rPr>
        <w:t>, and Medicine</w:t>
      </w:r>
      <w:r>
        <w:rPr>
          <w:rFonts w:cstheme="majorHAnsi"/>
          <w:szCs w:val="18"/>
        </w:rPr>
        <w:t>,</w:t>
      </w:r>
      <w:r w:rsidRPr="00AB7A52">
        <w:rPr>
          <w:rFonts w:cstheme="majorHAnsi"/>
          <w:szCs w:val="18"/>
        </w:rPr>
        <w:t xml:space="preserve"> </w:t>
      </w:r>
      <w:r>
        <w:rPr>
          <w:rFonts w:cstheme="majorHAnsi"/>
          <w:szCs w:val="18"/>
        </w:rPr>
        <w:t>‘</w:t>
      </w:r>
      <w:r w:rsidRPr="00AB7A52">
        <w:rPr>
          <w:rFonts w:cstheme="majorHAnsi"/>
          <w:szCs w:val="18"/>
        </w:rPr>
        <w:t>Public Health Consequences of E-Cigarettes</w:t>
      </w:r>
      <w:r>
        <w:rPr>
          <w:rFonts w:cstheme="majorHAnsi"/>
          <w:szCs w:val="18"/>
        </w:rPr>
        <w:t xml:space="preserve">,’ (2018) </w:t>
      </w:r>
      <w:r w:rsidRPr="00AB7A52">
        <w:rPr>
          <w:rFonts w:cstheme="majorHAnsi"/>
          <w:szCs w:val="18"/>
        </w:rPr>
        <w:t>The National Academies Press</w:t>
      </w:r>
      <w:r>
        <w:rPr>
          <w:rFonts w:cstheme="majorHAnsi"/>
          <w:szCs w:val="18"/>
        </w:rPr>
        <w:t>:</w:t>
      </w:r>
      <w:r w:rsidRPr="00AB7A52">
        <w:rPr>
          <w:rFonts w:cstheme="majorHAnsi"/>
          <w:szCs w:val="18"/>
        </w:rPr>
        <w:t xml:space="preserve"> Washington, DC</w:t>
      </w:r>
      <w:r>
        <w:rPr>
          <w:rFonts w:cstheme="majorHAnsi"/>
          <w:szCs w:val="18"/>
        </w:rPr>
        <w:t xml:space="preserve">,. Available at: </w:t>
      </w:r>
      <w:hyperlink r:id="rId36" w:history="1">
        <w:r w:rsidRPr="009C3D9C">
          <w:rPr>
            <w:rStyle w:val="Hyperlink"/>
            <w:rFonts w:asciiTheme="majorHAnsi" w:hAnsiTheme="majorHAnsi" w:cstheme="majorHAnsi"/>
            <w:szCs w:val="18"/>
          </w:rPr>
          <w:t>https://nap.nationalacademies.org/catalog/24952/public-health-consequences-of-e-cigarettes</w:t>
        </w:r>
      </w:hyperlink>
    </w:p>
  </w:footnote>
  <w:footnote w:id="48">
    <w:p w14:paraId="3C5F8A5F" w14:textId="77777777" w:rsidR="00F27EB7" w:rsidRPr="000B4886" w:rsidRDefault="00F27EB7" w:rsidP="00B06037">
      <w:pPr>
        <w:spacing w:after="0" w:line="240" w:lineRule="auto"/>
        <w:rPr>
          <w:rFonts w:asciiTheme="majorHAnsi" w:hAnsiTheme="majorHAnsi" w:cstheme="majorHAnsi"/>
          <w:sz w:val="18"/>
          <w:szCs w:val="18"/>
        </w:rPr>
      </w:pPr>
      <w:r w:rsidRPr="00745600">
        <w:rPr>
          <w:rStyle w:val="FootnoteReference"/>
          <w:rFonts w:asciiTheme="majorHAnsi" w:hAnsiTheme="majorHAnsi"/>
          <w:sz w:val="18"/>
        </w:rPr>
        <w:footnoteRef/>
      </w:r>
      <w:r w:rsidRPr="004424E9">
        <w:rPr>
          <w:rFonts w:asciiTheme="majorHAnsi" w:hAnsiTheme="majorHAnsi" w:cstheme="majorHAnsi"/>
          <w:sz w:val="18"/>
          <w:szCs w:val="18"/>
        </w:rPr>
        <w:t xml:space="preserve"> </w:t>
      </w:r>
      <w:r w:rsidRPr="004424E9">
        <w:rPr>
          <w:rFonts w:asciiTheme="majorHAnsi" w:eastAsia="Arial" w:hAnsiTheme="majorHAnsi" w:cstheme="majorHAnsi"/>
          <w:color w:val="333F48"/>
          <w:sz w:val="18"/>
          <w:szCs w:val="18"/>
        </w:rPr>
        <w:t>Banks</w:t>
      </w:r>
      <w:r w:rsidRPr="004424E9">
        <w:rPr>
          <w:rFonts w:asciiTheme="majorHAnsi" w:hAnsiTheme="majorHAnsi" w:cstheme="majorHAnsi"/>
          <w:sz w:val="18"/>
          <w:szCs w:val="18"/>
        </w:rPr>
        <w:t xml:space="preserve"> E,</w:t>
      </w:r>
      <w:r>
        <w:rPr>
          <w:rFonts w:asciiTheme="majorHAnsi" w:hAnsiTheme="majorHAnsi" w:cstheme="majorHAnsi"/>
          <w:sz w:val="18"/>
          <w:szCs w:val="18"/>
        </w:rPr>
        <w:t xml:space="preserve"> et al</w:t>
      </w:r>
      <w:r w:rsidRPr="004424E9">
        <w:rPr>
          <w:rFonts w:asciiTheme="majorHAnsi" w:hAnsiTheme="majorHAnsi" w:cstheme="majorHAnsi"/>
          <w:sz w:val="18"/>
          <w:szCs w:val="18"/>
        </w:rPr>
        <w:t>.</w:t>
      </w:r>
      <w:r>
        <w:rPr>
          <w:rFonts w:asciiTheme="majorHAnsi" w:hAnsiTheme="majorHAnsi" w:cstheme="majorHAnsi"/>
          <w:sz w:val="18"/>
          <w:szCs w:val="18"/>
        </w:rPr>
        <w:t>,</w:t>
      </w:r>
      <w:r w:rsidRPr="004424E9">
        <w:rPr>
          <w:rFonts w:asciiTheme="majorHAnsi" w:hAnsiTheme="majorHAnsi" w:cstheme="majorHAnsi"/>
          <w:sz w:val="18"/>
          <w:szCs w:val="18"/>
        </w:rPr>
        <w:t xml:space="preserve"> </w:t>
      </w:r>
      <w:r>
        <w:rPr>
          <w:rFonts w:asciiTheme="majorHAnsi" w:hAnsiTheme="majorHAnsi" w:cstheme="majorHAnsi"/>
          <w:sz w:val="18"/>
          <w:szCs w:val="18"/>
        </w:rPr>
        <w:t>‘</w:t>
      </w:r>
      <w:r w:rsidRPr="004424E9">
        <w:rPr>
          <w:rFonts w:asciiTheme="majorHAnsi" w:hAnsiTheme="majorHAnsi" w:cstheme="majorHAnsi"/>
          <w:sz w:val="18"/>
          <w:szCs w:val="18"/>
        </w:rPr>
        <w:t>Electronic cigarettes and health outcomes: systematic review of global evidence.</w:t>
      </w:r>
      <w:r>
        <w:rPr>
          <w:rFonts w:asciiTheme="majorHAnsi" w:hAnsiTheme="majorHAnsi" w:cstheme="majorHAnsi"/>
          <w:sz w:val="18"/>
          <w:szCs w:val="18"/>
        </w:rPr>
        <w:t>’ (April 2022)</w:t>
      </w:r>
      <w:r w:rsidRPr="004424E9">
        <w:rPr>
          <w:rFonts w:asciiTheme="majorHAnsi" w:hAnsiTheme="majorHAnsi" w:cstheme="majorHAnsi"/>
          <w:sz w:val="18"/>
          <w:szCs w:val="18"/>
        </w:rPr>
        <w:t xml:space="preserve"> National Centre for Epidemiology and Population Health</w:t>
      </w:r>
      <w:r>
        <w:rPr>
          <w:rFonts w:asciiTheme="majorHAnsi" w:hAnsiTheme="majorHAnsi" w:cstheme="majorHAnsi"/>
          <w:sz w:val="18"/>
          <w:szCs w:val="18"/>
        </w:rPr>
        <w:t>:</w:t>
      </w:r>
      <w:r w:rsidRPr="004424E9">
        <w:rPr>
          <w:rFonts w:asciiTheme="majorHAnsi" w:hAnsiTheme="majorHAnsi" w:cstheme="majorHAnsi"/>
          <w:sz w:val="18"/>
          <w:szCs w:val="18"/>
        </w:rPr>
        <w:t xml:space="preserve"> Canberra</w:t>
      </w:r>
      <w:r>
        <w:rPr>
          <w:rFonts w:asciiTheme="majorHAnsi" w:hAnsiTheme="majorHAnsi" w:cstheme="majorHAnsi"/>
          <w:sz w:val="18"/>
          <w:szCs w:val="18"/>
        </w:rPr>
        <w:t xml:space="preserve">. </w:t>
      </w:r>
      <w:r w:rsidRPr="004424E9">
        <w:rPr>
          <w:rFonts w:asciiTheme="majorHAnsi" w:hAnsiTheme="majorHAnsi" w:cstheme="majorHAnsi"/>
          <w:sz w:val="18"/>
          <w:szCs w:val="18"/>
        </w:rPr>
        <w:t>Report for the Australian Department of Health.</w:t>
      </w:r>
      <w:r>
        <w:rPr>
          <w:rFonts w:asciiTheme="majorHAnsi" w:hAnsiTheme="majorHAnsi" w:cstheme="majorHAnsi"/>
          <w:sz w:val="18"/>
          <w:szCs w:val="18"/>
        </w:rPr>
        <w:t xml:space="preserve"> Available at: </w:t>
      </w:r>
      <w:hyperlink r:id="rId37" w:history="1">
        <w:r w:rsidRPr="009C3D9C">
          <w:rPr>
            <w:rStyle w:val="Hyperlink"/>
            <w:rFonts w:asciiTheme="majorHAnsi" w:hAnsiTheme="majorHAnsi" w:cstheme="majorHAnsi"/>
            <w:sz w:val="18"/>
            <w:szCs w:val="18"/>
          </w:rPr>
          <w:t>https://openresearch-repository.anu.edu.au/handle/1885/262914</w:t>
        </w:r>
      </w:hyperlink>
    </w:p>
  </w:footnote>
  <w:footnote w:id="49">
    <w:p w14:paraId="442E9D55" w14:textId="77777777" w:rsidR="00F27EB7" w:rsidRPr="00AB7A52" w:rsidRDefault="00F27EB7" w:rsidP="00B06037">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National Centre for Epidemiology and Population Health, ‘Vaping increasing among young Australians, as risks confirmed’, </w:t>
      </w:r>
      <w:r w:rsidRPr="000B4886">
        <w:rPr>
          <w:rFonts w:cstheme="majorHAnsi"/>
          <w:szCs w:val="18"/>
        </w:rPr>
        <w:t>(</w:t>
      </w:r>
      <w:r w:rsidRPr="00AB7A52">
        <w:rPr>
          <w:rFonts w:cstheme="majorHAnsi"/>
          <w:szCs w:val="18"/>
        </w:rPr>
        <w:t>21 March 2023</w:t>
      </w:r>
      <w:r w:rsidRPr="000B4886">
        <w:rPr>
          <w:rFonts w:cstheme="majorHAnsi"/>
          <w:szCs w:val="18"/>
        </w:rPr>
        <w:t>)</w:t>
      </w:r>
      <w:r w:rsidRPr="00AB7A52">
        <w:rPr>
          <w:rFonts w:cstheme="majorHAnsi"/>
          <w:szCs w:val="18"/>
        </w:rPr>
        <w:t>.</w:t>
      </w:r>
      <w:r w:rsidRPr="000B4886">
        <w:rPr>
          <w:rFonts w:cstheme="majorHAnsi"/>
          <w:szCs w:val="18"/>
        </w:rPr>
        <w:t xml:space="preserve"> Available at:</w:t>
      </w:r>
      <w:r w:rsidRPr="00AB7A52">
        <w:rPr>
          <w:rFonts w:cstheme="majorHAnsi"/>
          <w:szCs w:val="18"/>
        </w:rPr>
        <w:t xml:space="preserve"> </w:t>
      </w:r>
      <w:hyperlink r:id="rId38" w:history="1">
        <w:r w:rsidRPr="00AB7A52">
          <w:rPr>
            <w:rStyle w:val="Hyperlink"/>
            <w:rFonts w:asciiTheme="majorHAnsi" w:hAnsiTheme="majorHAnsi" w:cstheme="majorHAnsi"/>
            <w:szCs w:val="18"/>
            <w:shd w:val="clear" w:color="auto" w:fill="FFFFFF"/>
          </w:rPr>
          <w:t>https://www.anu.edu.au/news/all-news/vaping-increasing-among-young-aussies-as-risks-confirmed</w:t>
        </w:r>
      </w:hyperlink>
      <w:r w:rsidRPr="00AB7A52">
        <w:rPr>
          <w:rFonts w:cstheme="majorHAnsi"/>
          <w:color w:val="945F00"/>
          <w:szCs w:val="18"/>
          <w:shd w:val="clear" w:color="auto" w:fill="FFFFFF"/>
        </w:rPr>
        <w:t xml:space="preserve"> </w:t>
      </w:r>
    </w:p>
  </w:footnote>
  <w:footnote w:id="50">
    <w:p w14:paraId="4B56B107" w14:textId="77777777" w:rsidR="00F27EB7" w:rsidRPr="00AB7A52" w:rsidRDefault="00F27EB7" w:rsidP="00B06037">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National Industrial Chemicals Notification and Assessment Scheme (NICNAS)</w:t>
      </w:r>
      <w:r>
        <w:rPr>
          <w:rFonts w:cstheme="majorHAnsi"/>
          <w:szCs w:val="18"/>
        </w:rPr>
        <w:t>,</w:t>
      </w:r>
      <w:r w:rsidRPr="00AB7A52">
        <w:rPr>
          <w:rFonts w:cstheme="majorHAnsi"/>
          <w:i/>
          <w:szCs w:val="18"/>
        </w:rPr>
        <w:t xml:space="preserve"> </w:t>
      </w:r>
      <w:r>
        <w:rPr>
          <w:rFonts w:cstheme="majorHAnsi"/>
          <w:iCs/>
          <w:szCs w:val="18"/>
        </w:rPr>
        <w:t>‘</w:t>
      </w:r>
      <w:r w:rsidRPr="00AB7A52">
        <w:rPr>
          <w:rFonts w:cstheme="majorHAnsi"/>
          <w:iCs/>
          <w:szCs w:val="18"/>
        </w:rPr>
        <w:t>Non-nicotine liquids for e-cigarette devices in Australia: chemistry and health concerns report</w:t>
      </w:r>
      <w:r>
        <w:rPr>
          <w:rFonts w:cstheme="majorHAnsi"/>
          <w:iCs/>
          <w:szCs w:val="18"/>
        </w:rPr>
        <w:t>’,</w:t>
      </w:r>
      <w:r>
        <w:rPr>
          <w:rFonts w:cstheme="majorHAnsi"/>
          <w:i/>
          <w:szCs w:val="18"/>
        </w:rPr>
        <w:t xml:space="preserve"> </w:t>
      </w:r>
      <w:r>
        <w:rPr>
          <w:rFonts w:cstheme="majorHAnsi"/>
          <w:iCs/>
          <w:szCs w:val="18"/>
        </w:rPr>
        <w:t>(</w:t>
      </w:r>
      <w:r w:rsidRPr="00AB7A52">
        <w:rPr>
          <w:rFonts w:cstheme="majorHAnsi"/>
          <w:szCs w:val="18"/>
        </w:rPr>
        <w:t>2019</w:t>
      </w:r>
      <w:r>
        <w:rPr>
          <w:rFonts w:cstheme="majorHAnsi"/>
          <w:szCs w:val="18"/>
        </w:rPr>
        <w:t>) Australian Government Department of Health</w:t>
      </w:r>
      <w:r w:rsidRPr="00AB7A52">
        <w:rPr>
          <w:rFonts w:cstheme="majorHAnsi"/>
          <w:szCs w:val="18"/>
        </w:rPr>
        <w:t>.</w:t>
      </w:r>
      <w:r>
        <w:rPr>
          <w:rFonts w:cstheme="majorHAnsi"/>
          <w:szCs w:val="18"/>
        </w:rPr>
        <w:t xml:space="preserve"> Available at: </w:t>
      </w:r>
      <w:hyperlink r:id="rId39" w:history="1">
        <w:r w:rsidRPr="009C3D9C">
          <w:rPr>
            <w:rStyle w:val="Hyperlink"/>
            <w:rFonts w:asciiTheme="majorHAnsi" w:hAnsiTheme="majorHAnsi" w:cstheme="majorHAnsi"/>
            <w:szCs w:val="18"/>
          </w:rPr>
          <w:t>https://www.health.nsw.gov.au/tobacco/Pages/vaping-evidence-summary.aspx</w:t>
        </w:r>
      </w:hyperlink>
    </w:p>
  </w:footnote>
  <w:footnote w:id="51">
    <w:p w14:paraId="57D229A4" w14:textId="77777777" w:rsidR="00F27EB7" w:rsidRDefault="00F27EB7" w:rsidP="00B06037">
      <w:pPr>
        <w:pStyle w:val="FootnoteText"/>
      </w:pPr>
      <w:r w:rsidRPr="00031039">
        <w:rPr>
          <w:rStyle w:val="FootnoteReference"/>
          <w:szCs w:val="18"/>
        </w:rPr>
        <w:footnoteRef/>
      </w:r>
      <w:r w:rsidRPr="00031039">
        <w:rPr>
          <w:szCs w:val="18"/>
        </w:rPr>
        <w:t xml:space="preserve"> </w:t>
      </w:r>
      <w:r w:rsidRPr="004424E9">
        <w:rPr>
          <w:rFonts w:eastAsia="Arial" w:cstheme="majorHAnsi"/>
          <w:szCs w:val="18"/>
        </w:rPr>
        <w:t>Banks</w:t>
      </w:r>
      <w:r w:rsidRPr="004424E9">
        <w:rPr>
          <w:rFonts w:cstheme="majorHAnsi"/>
          <w:szCs w:val="18"/>
        </w:rPr>
        <w:t xml:space="preserve"> E,</w:t>
      </w:r>
      <w:r>
        <w:rPr>
          <w:rFonts w:cstheme="majorHAnsi"/>
          <w:szCs w:val="18"/>
        </w:rPr>
        <w:t xml:space="preserve"> et al</w:t>
      </w:r>
      <w:r w:rsidRPr="004424E9">
        <w:rPr>
          <w:rFonts w:cstheme="majorHAnsi"/>
          <w:szCs w:val="18"/>
        </w:rPr>
        <w:t>.</w:t>
      </w:r>
      <w:r>
        <w:rPr>
          <w:rFonts w:cstheme="majorHAnsi"/>
          <w:szCs w:val="18"/>
        </w:rPr>
        <w:t>,</w:t>
      </w:r>
      <w:r w:rsidRPr="004424E9">
        <w:rPr>
          <w:rFonts w:cstheme="majorHAnsi"/>
          <w:szCs w:val="18"/>
        </w:rPr>
        <w:t xml:space="preserve"> </w:t>
      </w:r>
      <w:r>
        <w:rPr>
          <w:rFonts w:cstheme="majorHAnsi"/>
          <w:szCs w:val="18"/>
        </w:rPr>
        <w:t>‘</w:t>
      </w:r>
      <w:r w:rsidRPr="004424E9">
        <w:rPr>
          <w:rFonts w:cstheme="majorHAnsi"/>
          <w:szCs w:val="18"/>
        </w:rPr>
        <w:t>Electronic cigarettes and health outcomes: systematic review of global evidence.</w:t>
      </w:r>
      <w:r>
        <w:rPr>
          <w:rFonts w:cstheme="majorHAnsi"/>
          <w:szCs w:val="18"/>
        </w:rPr>
        <w:t>’ (April 2022)</w:t>
      </w:r>
      <w:r w:rsidRPr="004424E9">
        <w:rPr>
          <w:rFonts w:cstheme="majorHAnsi"/>
          <w:szCs w:val="18"/>
        </w:rPr>
        <w:t xml:space="preserve"> National Centre for Epidemiology and Population Health</w:t>
      </w:r>
      <w:r>
        <w:rPr>
          <w:rFonts w:cstheme="majorHAnsi"/>
          <w:szCs w:val="18"/>
        </w:rPr>
        <w:t>:</w:t>
      </w:r>
      <w:r w:rsidRPr="004424E9">
        <w:rPr>
          <w:rFonts w:cstheme="majorHAnsi"/>
          <w:szCs w:val="18"/>
        </w:rPr>
        <w:t xml:space="preserve"> Canberra</w:t>
      </w:r>
      <w:r>
        <w:rPr>
          <w:rFonts w:cstheme="majorHAnsi"/>
          <w:szCs w:val="18"/>
        </w:rPr>
        <w:t xml:space="preserve">. </w:t>
      </w:r>
      <w:r w:rsidRPr="004424E9">
        <w:rPr>
          <w:rFonts w:cstheme="majorHAnsi"/>
          <w:szCs w:val="18"/>
        </w:rPr>
        <w:t>Report for the Australian Department of Health.</w:t>
      </w:r>
      <w:r>
        <w:rPr>
          <w:rFonts w:cstheme="majorHAnsi"/>
          <w:szCs w:val="18"/>
        </w:rPr>
        <w:t xml:space="preserve"> Available at: </w:t>
      </w:r>
      <w:hyperlink r:id="rId40" w:history="1">
        <w:r w:rsidRPr="009C3D9C">
          <w:rPr>
            <w:rStyle w:val="Hyperlink"/>
            <w:rFonts w:asciiTheme="majorHAnsi" w:hAnsiTheme="majorHAnsi" w:cstheme="majorHAnsi"/>
            <w:szCs w:val="18"/>
          </w:rPr>
          <w:t>https://openresearch-repository.anu.edu.au/handle/1885/262914</w:t>
        </w:r>
      </w:hyperlink>
      <w:r>
        <w:rPr>
          <w:rStyle w:val="Hyperlink"/>
          <w:rFonts w:asciiTheme="majorHAnsi" w:hAnsiTheme="majorHAnsi" w:cstheme="majorHAnsi"/>
          <w:szCs w:val="18"/>
        </w:rPr>
        <w:t xml:space="preserve"> </w:t>
      </w:r>
    </w:p>
  </w:footnote>
  <w:footnote w:id="52">
    <w:p w14:paraId="34945916" w14:textId="77777777" w:rsidR="00F27EB7" w:rsidRPr="00AB7A52" w:rsidRDefault="00F27EB7" w:rsidP="00B06037">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National Academies of Sciences, E</w:t>
      </w:r>
      <w:r>
        <w:rPr>
          <w:rFonts w:cstheme="majorHAnsi"/>
          <w:szCs w:val="18"/>
        </w:rPr>
        <w:t>ngineering</w:t>
      </w:r>
      <w:r w:rsidRPr="00AB7A52">
        <w:rPr>
          <w:rFonts w:cstheme="majorHAnsi"/>
          <w:szCs w:val="18"/>
        </w:rPr>
        <w:t>, and Medicine</w:t>
      </w:r>
      <w:r>
        <w:rPr>
          <w:rFonts w:cstheme="majorHAnsi"/>
          <w:szCs w:val="18"/>
        </w:rPr>
        <w:t>,</w:t>
      </w:r>
      <w:r w:rsidRPr="00AB7A52">
        <w:rPr>
          <w:rFonts w:cstheme="majorHAnsi"/>
          <w:szCs w:val="18"/>
        </w:rPr>
        <w:t xml:space="preserve"> </w:t>
      </w:r>
      <w:r>
        <w:rPr>
          <w:rFonts w:cstheme="majorHAnsi"/>
          <w:szCs w:val="18"/>
        </w:rPr>
        <w:t>‘</w:t>
      </w:r>
      <w:r w:rsidRPr="00AB7A52">
        <w:rPr>
          <w:rFonts w:cstheme="majorHAnsi"/>
          <w:szCs w:val="18"/>
        </w:rPr>
        <w:t>Public Health Consequences of E-Cigarettes</w:t>
      </w:r>
      <w:r>
        <w:rPr>
          <w:rFonts w:cstheme="majorHAnsi"/>
          <w:szCs w:val="18"/>
        </w:rPr>
        <w:t xml:space="preserve">,’ (2018) </w:t>
      </w:r>
      <w:r w:rsidRPr="00AB7A52">
        <w:rPr>
          <w:rFonts w:cstheme="majorHAnsi"/>
          <w:szCs w:val="18"/>
        </w:rPr>
        <w:t>The National Academies Press</w:t>
      </w:r>
      <w:r>
        <w:rPr>
          <w:rFonts w:cstheme="majorHAnsi"/>
          <w:szCs w:val="18"/>
        </w:rPr>
        <w:t>:</w:t>
      </w:r>
      <w:r w:rsidRPr="00AB7A52">
        <w:rPr>
          <w:rFonts w:cstheme="majorHAnsi"/>
          <w:szCs w:val="18"/>
        </w:rPr>
        <w:t xml:space="preserve"> Washington, DC</w:t>
      </w:r>
      <w:r>
        <w:rPr>
          <w:rFonts w:cstheme="majorHAnsi"/>
          <w:szCs w:val="18"/>
        </w:rPr>
        <w:t xml:space="preserve">, </w:t>
      </w:r>
      <w:r w:rsidRPr="00AB7A52">
        <w:rPr>
          <w:rFonts w:cstheme="majorHAnsi"/>
          <w:szCs w:val="18"/>
        </w:rPr>
        <w:t>p. 774.</w:t>
      </w:r>
      <w:r>
        <w:rPr>
          <w:rFonts w:cstheme="majorHAnsi"/>
          <w:szCs w:val="18"/>
        </w:rPr>
        <w:t xml:space="preserve"> Available at: </w:t>
      </w:r>
      <w:hyperlink r:id="rId41" w:history="1">
        <w:r w:rsidRPr="009C3D9C">
          <w:rPr>
            <w:rStyle w:val="Hyperlink"/>
            <w:rFonts w:asciiTheme="majorHAnsi" w:hAnsiTheme="majorHAnsi" w:cstheme="majorHAnsi"/>
            <w:szCs w:val="18"/>
          </w:rPr>
          <w:t>https://nap.nationalacademies.org/catalog/24952/public-health-consequences-of-e-cigarettes</w:t>
        </w:r>
      </w:hyperlink>
    </w:p>
  </w:footnote>
  <w:footnote w:id="53">
    <w:p w14:paraId="3A2A7909" w14:textId="77777777" w:rsidR="00F27EB7" w:rsidRPr="00AB7A52" w:rsidRDefault="00F27EB7" w:rsidP="00B06037">
      <w:pPr>
        <w:pStyle w:val="FootnoteText"/>
        <w:rPr>
          <w:rFonts w:cstheme="majorHAnsi"/>
          <w:szCs w:val="18"/>
        </w:rPr>
      </w:pPr>
      <w:r w:rsidRPr="00441402">
        <w:rPr>
          <w:rStyle w:val="FootnoteReference"/>
          <w:rFonts w:cstheme="majorHAnsi"/>
          <w:szCs w:val="18"/>
        </w:rPr>
        <w:footnoteRef/>
      </w:r>
      <w:r w:rsidRPr="00441402">
        <w:rPr>
          <w:rFonts w:cstheme="majorHAnsi"/>
          <w:szCs w:val="18"/>
        </w:rPr>
        <w:t xml:space="preserve"> </w:t>
      </w:r>
      <w:r w:rsidRPr="00AB7A52">
        <w:rPr>
          <w:rFonts w:cstheme="majorHAnsi"/>
          <w:szCs w:val="18"/>
        </w:rPr>
        <w:t>National Health and Medical Research Council</w:t>
      </w:r>
      <w:r>
        <w:rPr>
          <w:rFonts w:cstheme="majorHAnsi"/>
          <w:szCs w:val="18"/>
        </w:rPr>
        <w:t>, ‘</w:t>
      </w:r>
      <w:r w:rsidRPr="00AB7A52">
        <w:rPr>
          <w:rFonts w:cstheme="majorHAnsi"/>
          <w:szCs w:val="18"/>
        </w:rPr>
        <w:t>2022 CEO Statement on Electronic Cigarettes</w:t>
      </w:r>
      <w:r>
        <w:rPr>
          <w:rFonts w:cstheme="majorHAnsi"/>
          <w:szCs w:val="18"/>
        </w:rPr>
        <w:t>,’</w:t>
      </w:r>
      <w:r w:rsidRPr="00AB7A52">
        <w:rPr>
          <w:rFonts w:cstheme="majorHAnsi"/>
          <w:szCs w:val="18"/>
        </w:rPr>
        <w:t xml:space="preserve"> (2022). Available from: </w:t>
      </w:r>
      <w:hyperlink r:id="rId42" w:history="1">
        <w:r w:rsidRPr="00AB7A52">
          <w:rPr>
            <w:rStyle w:val="Hyperlink"/>
            <w:rFonts w:asciiTheme="majorHAnsi" w:hAnsiTheme="majorHAnsi" w:cstheme="majorHAnsi"/>
            <w:szCs w:val="18"/>
          </w:rPr>
          <w:t>https://www.nhmrc.gov.au/health-advice/all-topics/electronic-cigarettes/ceo-statement</w:t>
        </w:r>
      </w:hyperlink>
      <w:r w:rsidRPr="00AB7A52">
        <w:rPr>
          <w:rFonts w:cstheme="majorHAnsi"/>
          <w:szCs w:val="18"/>
        </w:rPr>
        <w:t xml:space="preserve"> </w:t>
      </w:r>
    </w:p>
  </w:footnote>
  <w:footnote w:id="54">
    <w:p w14:paraId="0A721228" w14:textId="08E13D48" w:rsidR="00F27EB7" w:rsidRPr="00087F48" w:rsidRDefault="00F27EB7" w:rsidP="00B06037">
      <w:pPr>
        <w:pStyle w:val="FootnoteText"/>
        <w:rPr>
          <w:rFonts w:cstheme="majorHAnsi"/>
          <w:szCs w:val="18"/>
        </w:rPr>
      </w:pPr>
      <w:r w:rsidRPr="00737AE4">
        <w:rPr>
          <w:rStyle w:val="FootnoteReference"/>
          <w:rFonts w:cstheme="majorHAnsi"/>
          <w:szCs w:val="18"/>
        </w:rPr>
        <w:footnoteRef/>
      </w:r>
      <w:r w:rsidRPr="00737AE4">
        <w:rPr>
          <w:rFonts w:cstheme="majorHAnsi"/>
          <w:szCs w:val="18"/>
        </w:rPr>
        <w:t xml:space="preserve"> </w:t>
      </w:r>
      <w:r>
        <w:rPr>
          <w:rFonts w:cstheme="majorHAnsi"/>
          <w:szCs w:val="18"/>
        </w:rPr>
        <w:t>Morgan J and Kelso C, ‘</w:t>
      </w:r>
      <w:r w:rsidRPr="001E099A">
        <w:rPr>
          <w:rFonts w:cstheme="majorHAnsi"/>
          <w:szCs w:val="18"/>
        </w:rPr>
        <w:t>Nicotine Vaping Product Analysis: Evidence from the University of Wollongong</w:t>
      </w:r>
      <w:r>
        <w:rPr>
          <w:rFonts w:cstheme="majorHAnsi"/>
          <w:szCs w:val="18"/>
        </w:rPr>
        <w:t xml:space="preserve">’ (September 2021). Available at: </w:t>
      </w:r>
      <w:hyperlink r:id="rId43" w:history="1">
        <w:r w:rsidRPr="00AF0056">
          <w:rPr>
            <w:rStyle w:val="Hyperlink"/>
            <w:rFonts w:asciiTheme="majorHAnsi" w:hAnsiTheme="majorHAnsi" w:cstheme="majorHAnsi"/>
            <w:szCs w:val="18"/>
          </w:rPr>
          <w:t>https://www.tga.gov.au/sites/default/files/2022-11/nicotine-vaping-products-analysis-evidence-university-wollongong.pdf</w:t>
        </w:r>
      </w:hyperlink>
      <w:r>
        <w:rPr>
          <w:rFonts w:cstheme="majorHAnsi"/>
          <w:szCs w:val="18"/>
        </w:rPr>
        <w:t xml:space="preserve"> </w:t>
      </w:r>
    </w:p>
  </w:footnote>
  <w:footnote w:id="55">
    <w:p w14:paraId="11A2278C" w14:textId="7D9E7F4A" w:rsidR="00F27EB7" w:rsidRPr="00AB7A52" w:rsidRDefault="00F27EB7" w:rsidP="00B06037">
      <w:pPr>
        <w:pStyle w:val="FootnoteText"/>
        <w:rPr>
          <w:rFonts w:cstheme="majorHAnsi"/>
          <w:szCs w:val="18"/>
        </w:rPr>
      </w:pPr>
      <w:r w:rsidRPr="00807689">
        <w:rPr>
          <w:rStyle w:val="FootnoteReference"/>
          <w:rFonts w:cstheme="majorHAnsi"/>
          <w:szCs w:val="18"/>
        </w:rPr>
        <w:footnoteRef/>
      </w:r>
      <w:r w:rsidRPr="00807689">
        <w:rPr>
          <w:rFonts w:cstheme="majorHAnsi"/>
          <w:szCs w:val="18"/>
        </w:rPr>
        <w:t xml:space="preserve"> S National Industrial Chemicals Notification and Assessment Scheme: Non-nicotine liquids for e-cigarette devices in Australia: chemistry and health concerns. 2 October 2019</w:t>
      </w:r>
      <w:r>
        <w:rPr>
          <w:rFonts w:cstheme="majorHAnsi"/>
          <w:szCs w:val="18"/>
        </w:rPr>
        <w:t xml:space="preserve">. Available at: </w:t>
      </w:r>
      <w:hyperlink r:id="rId44" w:history="1">
        <w:r w:rsidRPr="00110B65">
          <w:rPr>
            <w:rStyle w:val="Hyperlink"/>
            <w:rFonts w:asciiTheme="majorHAnsi" w:hAnsiTheme="majorHAnsi" w:cstheme="majorHAnsi"/>
            <w:szCs w:val="18"/>
          </w:rPr>
          <w:t>https://www.industrialchemicals.gov.au/sites/default/files/2020-08/Non-nicotine%20liquids%20for%20e-cigarette%20devices%20in%20Australia%20chemistry%20and%20health%20concerns%20%5BPDF%201.21%20MB%5D.pdf</w:t>
        </w:r>
      </w:hyperlink>
      <w:r>
        <w:rPr>
          <w:rFonts w:cstheme="majorHAnsi"/>
          <w:szCs w:val="18"/>
        </w:rPr>
        <w:t xml:space="preserve"> </w:t>
      </w:r>
      <w:r w:rsidRPr="00807689" w:rsidDel="009C0A24">
        <w:rPr>
          <w:rFonts w:cstheme="majorHAnsi"/>
          <w:szCs w:val="18"/>
        </w:rPr>
        <w:t xml:space="preserve"> </w:t>
      </w:r>
    </w:p>
  </w:footnote>
  <w:footnote w:id="56">
    <w:p w14:paraId="51BC34BE" w14:textId="43F8AE46" w:rsidR="00F27EB7" w:rsidRPr="00AB7A52" w:rsidRDefault="00F27EB7" w:rsidP="00B06037">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Bozier</w:t>
      </w:r>
      <w:r>
        <w:rPr>
          <w:rFonts w:cstheme="majorHAnsi"/>
          <w:szCs w:val="18"/>
        </w:rPr>
        <w:t>, J</w:t>
      </w:r>
      <w:r w:rsidRPr="00AB7A52">
        <w:rPr>
          <w:rFonts w:cstheme="majorHAnsi"/>
          <w:szCs w:val="18"/>
        </w:rPr>
        <w:t xml:space="preserve"> et al</w:t>
      </w:r>
      <w:r>
        <w:rPr>
          <w:rFonts w:cstheme="majorHAnsi"/>
          <w:szCs w:val="18"/>
        </w:rPr>
        <w:t>, ‘</w:t>
      </w:r>
      <w:r w:rsidRPr="00AB7A52">
        <w:rPr>
          <w:rFonts w:cstheme="majorHAnsi"/>
          <w:szCs w:val="18"/>
        </w:rPr>
        <w:t>The evolving landscape of Electronic Cigarettes: A systematic</w:t>
      </w:r>
      <w:r>
        <w:rPr>
          <w:rFonts w:cstheme="majorHAnsi"/>
          <w:szCs w:val="18"/>
        </w:rPr>
        <w:t xml:space="preserve"> </w:t>
      </w:r>
      <w:r w:rsidRPr="00AB7A52">
        <w:rPr>
          <w:rFonts w:cstheme="majorHAnsi"/>
          <w:szCs w:val="18"/>
        </w:rPr>
        <w:t>review of recent evidence,</w:t>
      </w:r>
      <w:r>
        <w:rPr>
          <w:rFonts w:cstheme="majorHAnsi"/>
          <w:szCs w:val="18"/>
        </w:rPr>
        <w:t>’ (2020)</w:t>
      </w:r>
      <w:r w:rsidRPr="00AB7A52">
        <w:rPr>
          <w:rFonts w:cstheme="majorHAnsi"/>
          <w:szCs w:val="18"/>
        </w:rPr>
        <w:t xml:space="preserve"> </w:t>
      </w:r>
      <w:r w:rsidRPr="00AB7A52">
        <w:rPr>
          <w:rFonts w:cstheme="majorHAnsi"/>
          <w:i/>
          <w:iCs/>
          <w:szCs w:val="18"/>
        </w:rPr>
        <w:t>C</w:t>
      </w:r>
      <w:r>
        <w:rPr>
          <w:rFonts w:cstheme="majorHAnsi"/>
          <w:szCs w:val="18"/>
        </w:rPr>
        <w:t xml:space="preserve">hest </w:t>
      </w:r>
      <w:r w:rsidRPr="00AB7A52">
        <w:rPr>
          <w:rFonts w:cstheme="majorHAnsi"/>
          <w:szCs w:val="18"/>
        </w:rPr>
        <w:t>157(5)</w:t>
      </w:r>
      <w:r>
        <w:rPr>
          <w:rFonts w:cstheme="majorHAnsi"/>
          <w:i/>
          <w:iCs/>
          <w:szCs w:val="18"/>
        </w:rPr>
        <w:t xml:space="preserve"> </w:t>
      </w:r>
      <w:r>
        <w:rPr>
          <w:rFonts w:cstheme="majorHAnsi"/>
          <w:szCs w:val="18"/>
        </w:rPr>
        <w:t>1362</w:t>
      </w:r>
      <w:r w:rsidRPr="00AB7A52">
        <w:rPr>
          <w:rFonts w:cstheme="majorHAnsi"/>
          <w:szCs w:val="18"/>
        </w:rPr>
        <w:t>. Available at:</w:t>
      </w:r>
      <w:r>
        <w:rPr>
          <w:rFonts w:cstheme="majorHAnsi"/>
          <w:szCs w:val="18"/>
        </w:rPr>
        <w:t xml:space="preserve"> </w:t>
      </w:r>
      <w:hyperlink r:id="rId45" w:history="1">
        <w:r w:rsidRPr="006166C7">
          <w:rPr>
            <w:rStyle w:val="Hyperlink"/>
            <w:rFonts w:asciiTheme="majorHAnsi" w:hAnsiTheme="majorHAnsi" w:cstheme="majorHAnsi"/>
            <w:szCs w:val="18"/>
          </w:rPr>
          <w:t>https://pubmed.ncbi.nlm.nih.gov/32006591/</w:t>
        </w:r>
      </w:hyperlink>
      <w:r>
        <w:rPr>
          <w:rFonts w:cstheme="majorHAnsi"/>
          <w:szCs w:val="18"/>
        </w:rPr>
        <w:t xml:space="preserve"> </w:t>
      </w:r>
    </w:p>
  </w:footnote>
  <w:footnote w:id="57">
    <w:p w14:paraId="3C402B2D" w14:textId="77777777" w:rsidR="00F27EB7" w:rsidRPr="00AB7A52" w:rsidRDefault="00F27EB7" w:rsidP="00B06037">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sidRPr="00531B32">
        <w:rPr>
          <w:rFonts w:cstheme="majorHAnsi"/>
          <w:szCs w:val="18"/>
        </w:rPr>
        <w:t>National Industrial Chemicals Notification and Assessment Scheme (NICNAS)</w:t>
      </w:r>
      <w:r>
        <w:rPr>
          <w:rFonts w:cstheme="majorHAnsi"/>
          <w:szCs w:val="18"/>
        </w:rPr>
        <w:t>,</w:t>
      </w:r>
      <w:r w:rsidRPr="00531B32">
        <w:rPr>
          <w:rFonts w:cstheme="majorHAnsi"/>
          <w:i/>
          <w:szCs w:val="18"/>
        </w:rPr>
        <w:t xml:space="preserve"> </w:t>
      </w:r>
      <w:r>
        <w:rPr>
          <w:rFonts w:cstheme="majorHAnsi"/>
          <w:iCs/>
          <w:szCs w:val="18"/>
        </w:rPr>
        <w:t>‘</w:t>
      </w:r>
      <w:r w:rsidRPr="00531B32">
        <w:rPr>
          <w:rFonts w:cstheme="majorHAnsi"/>
          <w:iCs/>
          <w:szCs w:val="18"/>
        </w:rPr>
        <w:t>Non-nicotine liquids for e-cigarette devices in Australia: chemistry and health concerns report</w:t>
      </w:r>
      <w:r>
        <w:rPr>
          <w:rFonts w:cstheme="majorHAnsi"/>
          <w:iCs/>
          <w:szCs w:val="18"/>
        </w:rPr>
        <w:t>’,</w:t>
      </w:r>
      <w:r>
        <w:rPr>
          <w:rFonts w:cstheme="majorHAnsi"/>
          <w:i/>
          <w:szCs w:val="18"/>
        </w:rPr>
        <w:t xml:space="preserve"> </w:t>
      </w:r>
      <w:r>
        <w:rPr>
          <w:rFonts w:cstheme="majorHAnsi"/>
          <w:iCs/>
          <w:szCs w:val="18"/>
        </w:rPr>
        <w:t>(</w:t>
      </w:r>
      <w:r w:rsidRPr="00531B32">
        <w:rPr>
          <w:rFonts w:cstheme="majorHAnsi"/>
          <w:szCs w:val="18"/>
        </w:rPr>
        <w:t>2019</w:t>
      </w:r>
      <w:r>
        <w:rPr>
          <w:rFonts w:cstheme="majorHAnsi"/>
          <w:szCs w:val="18"/>
        </w:rPr>
        <w:t>) Australian Government Department of Health</w:t>
      </w:r>
      <w:r w:rsidRPr="00531B32">
        <w:rPr>
          <w:rFonts w:cstheme="majorHAnsi"/>
          <w:szCs w:val="18"/>
        </w:rPr>
        <w:t>.</w:t>
      </w:r>
      <w:r>
        <w:rPr>
          <w:rFonts w:cstheme="majorHAnsi"/>
          <w:szCs w:val="18"/>
        </w:rPr>
        <w:t xml:space="preserve"> Available at: </w:t>
      </w:r>
      <w:hyperlink r:id="rId46" w:history="1">
        <w:r w:rsidRPr="009C3D9C">
          <w:rPr>
            <w:rStyle w:val="Hyperlink"/>
            <w:rFonts w:asciiTheme="majorHAnsi" w:hAnsiTheme="majorHAnsi" w:cstheme="majorHAnsi"/>
            <w:szCs w:val="18"/>
          </w:rPr>
          <w:t>https://www.health.nsw.gov.au/tobacco/Pages/vaping-evidence-summary.aspx</w:t>
        </w:r>
      </w:hyperlink>
    </w:p>
  </w:footnote>
  <w:footnote w:id="58">
    <w:p w14:paraId="17A90F48" w14:textId="77777777" w:rsidR="00F27EB7" w:rsidRPr="00AB7A52" w:rsidRDefault="00F27EB7" w:rsidP="00773552">
      <w:pPr>
        <w:pStyle w:val="FootnoteText"/>
        <w:rPr>
          <w:rFonts w:cstheme="majorHAnsi"/>
          <w:szCs w:val="18"/>
        </w:rPr>
      </w:pPr>
      <w:r w:rsidRPr="00441402">
        <w:rPr>
          <w:rStyle w:val="FootnoteReference"/>
          <w:rFonts w:cstheme="majorHAnsi"/>
          <w:szCs w:val="18"/>
        </w:rPr>
        <w:footnoteRef/>
      </w:r>
      <w:r w:rsidRPr="00801BB7">
        <w:rPr>
          <w:rFonts w:cstheme="majorHAnsi"/>
          <w:szCs w:val="18"/>
        </w:rPr>
        <w:t xml:space="preserve"> </w:t>
      </w:r>
      <w:r>
        <w:rPr>
          <w:rFonts w:cstheme="majorHAnsi"/>
          <w:szCs w:val="18"/>
        </w:rPr>
        <w:t>Ibid.</w:t>
      </w:r>
    </w:p>
  </w:footnote>
  <w:footnote w:id="59">
    <w:p w14:paraId="4BBBECF6" w14:textId="77777777" w:rsidR="00F27EB7" w:rsidRPr="00AB7A52" w:rsidRDefault="00F27EB7" w:rsidP="0077355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Australian Government Department of Health and Aged Care, </w:t>
      </w:r>
      <w:r>
        <w:rPr>
          <w:rFonts w:cstheme="majorHAnsi"/>
          <w:szCs w:val="18"/>
        </w:rPr>
        <w:t>‘</w:t>
      </w:r>
      <w:r w:rsidRPr="00AB7A52">
        <w:rPr>
          <w:rFonts w:cstheme="majorHAnsi"/>
          <w:szCs w:val="18"/>
        </w:rPr>
        <w:t>About e-cigarettes,</w:t>
      </w:r>
      <w:r>
        <w:rPr>
          <w:rFonts w:cstheme="majorHAnsi"/>
          <w:szCs w:val="18"/>
        </w:rPr>
        <w:t>’ (13 April</w:t>
      </w:r>
      <w:r w:rsidRPr="00AB7A52">
        <w:rPr>
          <w:rFonts w:cstheme="majorHAnsi"/>
          <w:szCs w:val="18"/>
        </w:rPr>
        <w:t xml:space="preserve"> 2023</w:t>
      </w:r>
      <w:r>
        <w:rPr>
          <w:rFonts w:cstheme="majorHAnsi"/>
          <w:szCs w:val="18"/>
        </w:rPr>
        <w:t>). Available at:</w:t>
      </w:r>
      <w:r w:rsidRPr="00AB7A52">
        <w:rPr>
          <w:rFonts w:cstheme="majorHAnsi"/>
          <w:szCs w:val="18"/>
        </w:rPr>
        <w:t xml:space="preserve"> </w:t>
      </w:r>
      <w:hyperlink r:id="rId47" w:history="1">
        <w:r w:rsidRPr="00AB7A52">
          <w:rPr>
            <w:rStyle w:val="Hyperlink"/>
            <w:rFonts w:asciiTheme="majorHAnsi" w:hAnsiTheme="majorHAnsi" w:cstheme="majorHAnsi"/>
            <w:szCs w:val="18"/>
          </w:rPr>
          <w:t>https://www.health.gov.au/topics/smoking-and-tobacco/about-smoking-and-tobacco/about-e-cigarettes</w:t>
        </w:r>
      </w:hyperlink>
      <w:r w:rsidRPr="00AB7A52">
        <w:rPr>
          <w:rFonts w:cstheme="majorHAnsi"/>
          <w:szCs w:val="18"/>
        </w:rPr>
        <w:t xml:space="preserve">. </w:t>
      </w:r>
    </w:p>
  </w:footnote>
  <w:footnote w:id="60">
    <w:p w14:paraId="037E6EDD" w14:textId="77777777" w:rsidR="00F27EB7" w:rsidRPr="00801BB7" w:rsidRDefault="00F27EB7" w:rsidP="00773552">
      <w:pPr>
        <w:pStyle w:val="FootnoteText"/>
        <w:rPr>
          <w:rFonts w:cstheme="majorHAnsi"/>
          <w:szCs w:val="18"/>
        </w:rPr>
      </w:pPr>
      <w:r w:rsidRPr="00801BB7">
        <w:rPr>
          <w:rStyle w:val="FootnoteReference"/>
          <w:rFonts w:cstheme="majorHAnsi"/>
          <w:szCs w:val="18"/>
        </w:rPr>
        <w:footnoteRef/>
      </w:r>
      <w:r w:rsidRPr="00801BB7">
        <w:rPr>
          <w:rFonts w:cstheme="majorHAnsi"/>
          <w:szCs w:val="18"/>
        </w:rPr>
        <w:t xml:space="preserve"> </w:t>
      </w:r>
      <w:r w:rsidRPr="004424E9">
        <w:rPr>
          <w:rFonts w:eastAsia="Arial" w:cstheme="majorHAnsi"/>
          <w:szCs w:val="18"/>
        </w:rPr>
        <w:t>National Health and Medical Research Council</w:t>
      </w:r>
      <w:r w:rsidRPr="000B4886">
        <w:rPr>
          <w:rFonts w:eastAsia="Arial" w:cstheme="majorHAnsi"/>
          <w:szCs w:val="18"/>
        </w:rPr>
        <w:t>, ‘</w:t>
      </w:r>
      <w:r w:rsidRPr="004424E9">
        <w:rPr>
          <w:rFonts w:eastAsia="Arial" w:cstheme="majorHAnsi"/>
          <w:szCs w:val="18"/>
        </w:rPr>
        <w:t>2022 CEO Statement on Electronic Cigarettes</w:t>
      </w:r>
      <w:r w:rsidRPr="000B4886">
        <w:rPr>
          <w:rFonts w:eastAsia="Arial" w:cstheme="majorHAnsi"/>
          <w:szCs w:val="18"/>
        </w:rPr>
        <w:t>,’</w:t>
      </w:r>
      <w:r w:rsidRPr="004424E9">
        <w:rPr>
          <w:rFonts w:eastAsia="Arial" w:cstheme="majorHAnsi"/>
          <w:szCs w:val="18"/>
        </w:rPr>
        <w:t xml:space="preserve"> (2022). Av</w:t>
      </w:r>
      <w:r>
        <w:rPr>
          <w:rFonts w:eastAsia="Arial" w:cstheme="majorHAnsi"/>
          <w:szCs w:val="18"/>
        </w:rPr>
        <w:t>a</w:t>
      </w:r>
      <w:r w:rsidRPr="004424E9">
        <w:rPr>
          <w:rFonts w:eastAsia="Arial" w:cstheme="majorHAnsi"/>
          <w:szCs w:val="18"/>
        </w:rPr>
        <w:t xml:space="preserve">ilable </w:t>
      </w:r>
      <w:r w:rsidRPr="000B4886">
        <w:rPr>
          <w:rFonts w:eastAsia="Arial" w:cstheme="majorHAnsi"/>
          <w:szCs w:val="18"/>
        </w:rPr>
        <w:t>at</w:t>
      </w:r>
      <w:r w:rsidRPr="004424E9">
        <w:rPr>
          <w:rFonts w:eastAsia="Arial" w:cstheme="majorHAnsi"/>
          <w:szCs w:val="18"/>
        </w:rPr>
        <w:t xml:space="preserve">: </w:t>
      </w:r>
      <w:hyperlink r:id="rId48">
        <w:r w:rsidRPr="004424E9">
          <w:rPr>
            <w:rStyle w:val="Hyperlink"/>
            <w:rFonts w:asciiTheme="majorHAnsi" w:eastAsia="Arial" w:hAnsiTheme="majorHAnsi" w:cstheme="majorHAnsi"/>
            <w:szCs w:val="18"/>
          </w:rPr>
          <w:t>https://www.nhmrc.gov.au/health-advice/all-topics/electronic-cigarettes/ceo-statement</w:t>
        </w:r>
      </w:hyperlink>
    </w:p>
  </w:footnote>
  <w:footnote w:id="61">
    <w:p w14:paraId="454B00F8" w14:textId="77777777" w:rsidR="00F27EB7" w:rsidRPr="000B4886" w:rsidRDefault="00F27EB7" w:rsidP="006166C7">
      <w:pPr>
        <w:spacing w:after="0" w:line="240" w:lineRule="auto"/>
        <w:rPr>
          <w:rFonts w:asciiTheme="majorHAnsi" w:hAnsiTheme="majorHAnsi" w:cstheme="majorHAnsi"/>
          <w:sz w:val="18"/>
          <w:szCs w:val="18"/>
        </w:rPr>
      </w:pPr>
      <w:r w:rsidRPr="00745600">
        <w:rPr>
          <w:rStyle w:val="FootnoteReference"/>
          <w:rFonts w:asciiTheme="majorHAnsi" w:hAnsiTheme="majorHAnsi"/>
          <w:sz w:val="18"/>
        </w:rPr>
        <w:footnoteRef/>
      </w:r>
      <w:r w:rsidRPr="004424E9">
        <w:rPr>
          <w:rFonts w:asciiTheme="majorHAnsi" w:hAnsiTheme="majorHAnsi" w:cstheme="majorHAnsi"/>
          <w:sz w:val="18"/>
          <w:szCs w:val="18"/>
        </w:rPr>
        <w:t xml:space="preserve"> </w:t>
      </w:r>
      <w:r w:rsidRPr="004424E9">
        <w:rPr>
          <w:rFonts w:asciiTheme="majorHAnsi" w:eastAsia="Arial" w:hAnsiTheme="majorHAnsi" w:cstheme="majorHAnsi"/>
          <w:color w:val="333F48"/>
          <w:sz w:val="18"/>
          <w:szCs w:val="18"/>
        </w:rPr>
        <w:t>Banks</w:t>
      </w:r>
      <w:r w:rsidRPr="004424E9">
        <w:rPr>
          <w:rFonts w:asciiTheme="majorHAnsi" w:hAnsiTheme="majorHAnsi" w:cstheme="majorHAnsi"/>
          <w:sz w:val="18"/>
          <w:szCs w:val="18"/>
        </w:rPr>
        <w:t xml:space="preserve"> E,</w:t>
      </w:r>
      <w:r>
        <w:rPr>
          <w:rFonts w:asciiTheme="majorHAnsi" w:hAnsiTheme="majorHAnsi" w:cstheme="majorHAnsi"/>
          <w:sz w:val="18"/>
          <w:szCs w:val="18"/>
        </w:rPr>
        <w:t xml:space="preserve"> et al</w:t>
      </w:r>
      <w:r w:rsidRPr="004424E9">
        <w:rPr>
          <w:rFonts w:asciiTheme="majorHAnsi" w:hAnsiTheme="majorHAnsi" w:cstheme="majorHAnsi"/>
          <w:sz w:val="18"/>
          <w:szCs w:val="18"/>
        </w:rPr>
        <w:t>.</w:t>
      </w:r>
      <w:r>
        <w:rPr>
          <w:rFonts w:asciiTheme="majorHAnsi" w:hAnsiTheme="majorHAnsi" w:cstheme="majorHAnsi"/>
          <w:sz w:val="18"/>
          <w:szCs w:val="18"/>
        </w:rPr>
        <w:t>,</w:t>
      </w:r>
      <w:r w:rsidRPr="004424E9">
        <w:rPr>
          <w:rFonts w:asciiTheme="majorHAnsi" w:hAnsiTheme="majorHAnsi" w:cstheme="majorHAnsi"/>
          <w:sz w:val="18"/>
          <w:szCs w:val="18"/>
        </w:rPr>
        <w:t xml:space="preserve"> </w:t>
      </w:r>
      <w:r>
        <w:rPr>
          <w:rFonts w:asciiTheme="majorHAnsi" w:hAnsiTheme="majorHAnsi" w:cstheme="majorHAnsi"/>
          <w:sz w:val="18"/>
          <w:szCs w:val="18"/>
        </w:rPr>
        <w:t>‘</w:t>
      </w:r>
      <w:r w:rsidRPr="004424E9">
        <w:rPr>
          <w:rFonts w:asciiTheme="majorHAnsi" w:hAnsiTheme="majorHAnsi" w:cstheme="majorHAnsi"/>
          <w:sz w:val="18"/>
          <w:szCs w:val="18"/>
        </w:rPr>
        <w:t>Electronic cigarettes and health outcomes: systematic review of global evidence.</w:t>
      </w:r>
      <w:r>
        <w:rPr>
          <w:rFonts w:asciiTheme="majorHAnsi" w:hAnsiTheme="majorHAnsi" w:cstheme="majorHAnsi"/>
          <w:sz w:val="18"/>
          <w:szCs w:val="18"/>
        </w:rPr>
        <w:t>’ (April 2022)</w:t>
      </w:r>
      <w:r w:rsidRPr="004424E9">
        <w:rPr>
          <w:rFonts w:asciiTheme="majorHAnsi" w:hAnsiTheme="majorHAnsi" w:cstheme="majorHAnsi"/>
          <w:sz w:val="18"/>
          <w:szCs w:val="18"/>
        </w:rPr>
        <w:t xml:space="preserve"> National Centre for Epidemiology and Population Health</w:t>
      </w:r>
      <w:r>
        <w:rPr>
          <w:rFonts w:asciiTheme="majorHAnsi" w:hAnsiTheme="majorHAnsi" w:cstheme="majorHAnsi"/>
          <w:sz w:val="18"/>
          <w:szCs w:val="18"/>
        </w:rPr>
        <w:t>:</w:t>
      </w:r>
      <w:r w:rsidRPr="004424E9">
        <w:rPr>
          <w:rFonts w:asciiTheme="majorHAnsi" w:hAnsiTheme="majorHAnsi" w:cstheme="majorHAnsi"/>
          <w:sz w:val="18"/>
          <w:szCs w:val="18"/>
        </w:rPr>
        <w:t xml:space="preserve"> Canberra</w:t>
      </w:r>
      <w:r>
        <w:rPr>
          <w:rFonts w:asciiTheme="majorHAnsi" w:hAnsiTheme="majorHAnsi" w:cstheme="majorHAnsi"/>
          <w:sz w:val="18"/>
          <w:szCs w:val="18"/>
        </w:rPr>
        <w:t xml:space="preserve">. </w:t>
      </w:r>
      <w:r w:rsidRPr="004424E9">
        <w:rPr>
          <w:rFonts w:asciiTheme="majorHAnsi" w:hAnsiTheme="majorHAnsi" w:cstheme="majorHAnsi"/>
          <w:sz w:val="18"/>
          <w:szCs w:val="18"/>
        </w:rPr>
        <w:t>Report for the Australian Department of Health.</w:t>
      </w:r>
      <w:r>
        <w:rPr>
          <w:rFonts w:asciiTheme="majorHAnsi" w:hAnsiTheme="majorHAnsi" w:cstheme="majorHAnsi"/>
          <w:sz w:val="18"/>
          <w:szCs w:val="18"/>
        </w:rPr>
        <w:t xml:space="preserve"> Available at: </w:t>
      </w:r>
      <w:hyperlink r:id="rId49" w:history="1">
        <w:r w:rsidRPr="009C3D9C">
          <w:rPr>
            <w:rStyle w:val="Hyperlink"/>
            <w:rFonts w:asciiTheme="majorHAnsi" w:hAnsiTheme="majorHAnsi" w:cstheme="majorHAnsi"/>
            <w:sz w:val="18"/>
            <w:szCs w:val="18"/>
          </w:rPr>
          <w:t>https://openresearch-repository.anu.edu.au/handle/1885/262914</w:t>
        </w:r>
      </w:hyperlink>
    </w:p>
  </w:footnote>
  <w:footnote w:id="62">
    <w:p w14:paraId="70C224D3" w14:textId="77777777" w:rsidR="00F27EB7" w:rsidRPr="00AB7A52" w:rsidRDefault="00F27EB7" w:rsidP="0077355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sidRPr="00531B32">
        <w:rPr>
          <w:rFonts w:cstheme="majorHAnsi"/>
          <w:szCs w:val="18"/>
        </w:rPr>
        <w:t>National Academies of Sciences, E</w:t>
      </w:r>
      <w:r>
        <w:rPr>
          <w:rFonts w:cstheme="majorHAnsi"/>
          <w:szCs w:val="18"/>
        </w:rPr>
        <w:t>ngineering</w:t>
      </w:r>
      <w:r w:rsidRPr="00531B32">
        <w:rPr>
          <w:rFonts w:cstheme="majorHAnsi"/>
          <w:szCs w:val="18"/>
        </w:rPr>
        <w:t>, and Medicine</w:t>
      </w:r>
      <w:r>
        <w:rPr>
          <w:rFonts w:cstheme="majorHAnsi"/>
          <w:szCs w:val="18"/>
        </w:rPr>
        <w:t>,</w:t>
      </w:r>
      <w:r w:rsidRPr="00531B32">
        <w:rPr>
          <w:rFonts w:cstheme="majorHAnsi"/>
          <w:szCs w:val="18"/>
        </w:rPr>
        <w:t xml:space="preserve"> </w:t>
      </w:r>
      <w:r>
        <w:rPr>
          <w:rFonts w:cstheme="majorHAnsi"/>
          <w:szCs w:val="18"/>
        </w:rPr>
        <w:t>‘</w:t>
      </w:r>
      <w:r w:rsidRPr="00531B32">
        <w:rPr>
          <w:rFonts w:cstheme="majorHAnsi"/>
          <w:szCs w:val="18"/>
        </w:rPr>
        <w:t>Public Health Consequences of E-Cigarettes</w:t>
      </w:r>
      <w:r>
        <w:rPr>
          <w:rFonts w:cstheme="majorHAnsi"/>
          <w:szCs w:val="18"/>
        </w:rPr>
        <w:t xml:space="preserve">,’ (2018) </w:t>
      </w:r>
      <w:r w:rsidRPr="00531B32">
        <w:rPr>
          <w:rFonts w:cstheme="majorHAnsi"/>
          <w:szCs w:val="18"/>
        </w:rPr>
        <w:t>The National Academies Press</w:t>
      </w:r>
      <w:r>
        <w:rPr>
          <w:rFonts w:cstheme="majorHAnsi"/>
          <w:szCs w:val="18"/>
        </w:rPr>
        <w:t>:</w:t>
      </w:r>
      <w:r w:rsidRPr="00531B32">
        <w:rPr>
          <w:rFonts w:cstheme="majorHAnsi"/>
          <w:szCs w:val="18"/>
        </w:rPr>
        <w:t xml:space="preserve"> Washington, DC</w:t>
      </w:r>
      <w:r>
        <w:rPr>
          <w:rFonts w:cstheme="majorHAnsi"/>
          <w:szCs w:val="18"/>
        </w:rPr>
        <w:t xml:space="preserve">, </w:t>
      </w:r>
      <w:r w:rsidRPr="00531B32">
        <w:rPr>
          <w:rFonts w:cstheme="majorHAnsi"/>
          <w:szCs w:val="18"/>
        </w:rPr>
        <w:t>p. 774.</w:t>
      </w:r>
      <w:r>
        <w:rPr>
          <w:rFonts w:cstheme="majorHAnsi"/>
          <w:szCs w:val="18"/>
        </w:rPr>
        <w:t xml:space="preserve"> Available at: </w:t>
      </w:r>
      <w:hyperlink r:id="rId50" w:history="1">
        <w:r w:rsidRPr="009C3D9C">
          <w:rPr>
            <w:rStyle w:val="Hyperlink"/>
            <w:rFonts w:asciiTheme="majorHAnsi" w:hAnsiTheme="majorHAnsi" w:cstheme="majorHAnsi"/>
            <w:szCs w:val="18"/>
          </w:rPr>
          <w:t>https://nap.nationalacademies.org/catalog/24952/public-health-consequences-of-e-cigarettes</w:t>
        </w:r>
      </w:hyperlink>
    </w:p>
  </w:footnote>
  <w:footnote w:id="63">
    <w:p w14:paraId="2B257CF2" w14:textId="77777777" w:rsidR="00F27EB7" w:rsidRPr="00AB7A52" w:rsidRDefault="00F27EB7" w:rsidP="0077355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Professor Brian Oliver, </w:t>
      </w:r>
      <w:r>
        <w:rPr>
          <w:rFonts w:cstheme="majorHAnsi"/>
          <w:szCs w:val="18"/>
        </w:rPr>
        <w:t>‘</w:t>
      </w:r>
      <w:r w:rsidRPr="00AB7A52">
        <w:rPr>
          <w:rFonts w:cstheme="majorHAnsi"/>
          <w:iCs/>
          <w:szCs w:val="18"/>
        </w:rPr>
        <w:t>Navigating the hazards</w:t>
      </w:r>
      <w:r>
        <w:rPr>
          <w:rFonts w:cstheme="majorHAnsi"/>
          <w:iCs/>
          <w:szCs w:val="18"/>
        </w:rPr>
        <w:t>’</w:t>
      </w:r>
      <w:r w:rsidRPr="00AB7A52">
        <w:rPr>
          <w:rFonts w:cstheme="majorHAnsi"/>
          <w:szCs w:val="18"/>
        </w:rPr>
        <w:t>, (12 September 2023)</w:t>
      </w:r>
      <w:r>
        <w:rPr>
          <w:rFonts w:cstheme="majorHAnsi"/>
          <w:szCs w:val="18"/>
        </w:rPr>
        <w:t xml:space="preserve"> University of Technology Sydney</w:t>
      </w:r>
      <w:r w:rsidRPr="00AB7A52">
        <w:rPr>
          <w:rFonts w:cstheme="majorHAnsi"/>
          <w:szCs w:val="18"/>
        </w:rPr>
        <w:t xml:space="preserve">. </w:t>
      </w:r>
      <w:r>
        <w:rPr>
          <w:rFonts w:cstheme="majorHAnsi"/>
          <w:szCs w:val="18"/>
        </w:rPr>
        <w:t xml:space="preserve">Available at: </w:t>
      </w:r>
      <w:hyperlink r:id="rId51" w:history="1">
        <w:r w:rsidRPr="00AB7A52">
          <w:rPr>
            <w:rStyle w:val="Hyperlink"/>
            <w:rFonts w:asciiTheme="majorHAnsi" w:hAnsiTheme="majorHAnsi" w:cstheme="majorHAnsi"/>
            <w:szCs w:val="18"/>
          </w:rPr>
          <w:t>https://www.uts.edu.au/news/health-science/navigating-hazards</w:t>
        </w:r>
      </w:hyperlink>
    </w:p>
  </w:footnote>
  <w:footnote w:id="64">
    <w:p w14:paraId="51A89EAF" w14:textId="77777777" w:rsidR="00F27EB7" w:rsidRPr="008215F1" w:rsidRDefault="00F27EB7" w:rsidP="00773552">
      <w:pPr>
        <w:pStyle w:val="FootnoteText"/>
        <w:rPr>
          <w:rFonts w:cstheme="majorHAnsi"/>
          <w:szCs w:val="18"/>
        </w:rPr>
      </w:pPr>
      <w:r w:rsidRPr="008215F1">
        <w:rPr>
          <w:rStyle w:val="FootnoteReference"/>
          <w:rFonts w:cstheme="majorHAnsi"/>
          <w:szCs w:val="18"/>
        </w:rPr>
        <w:footnoteRef/>
      </w:r>
      <w:r w:rsidRPr="008215F1">
        <w:rPr>
          <w:rFonts w:cstheme="majorHAnsi"/>
          <w:szCs w:val="18"/>
        </w:rPr>
        <w:t xml:space="preserve"> Department of Health and Aged Care, ‘Notice of final decision to amend the current Poisons Standard – nicotine’ (2020) Australian Government. Available at: </w:t>
      </w:r>
      <w:hyperlink r:id="rId52" w:anchor=":~:text=Pursuant%20to%20regulation%2042ZCZR%20of,to%20be%20fitted%20in%20liquid" w:history="1">
        <w:r w:rsidRPr="008215F1">
          <w:rPr>
            <w:rStyle w:val="Hyperlink"/>
            <w:rFonts w:asciiTheme="majorHAnsi" w:hAnsiTheme="majorHAnsi" w:cstheme="majorHAnsi"/>
            <w:szCs w:val="18"/>
          </w:rPr>
          <w:t>https://www.tga.gov.au/resources/publication/scheduling-decisions-final/notice-final-decision-amend-current-poisons-standard-nicotine#:~:text=Pursuant%20to%20regulation%2042ZCZR%20of,to%20be%20fitted%20in%20liquid</w:t>
        </w:r>
      </w:hyperlink>
      <w:r w:rsidRPr="008215F1">
        <w:rPr>
          <w:rFonts w:cstheme="majorHAnsi"/>
          <w:szCs w:val="18"/>
        </w:rPr>
        <w:t xml:space="preserve"> </w:t>
      </w:r>
    </w:p>
  </w:footnote>
  <w:footnote w:id="65">
    <w:p w14:paraId="4CDC755E" w14:textId="77777777" w:rsidR="00F27EB7" w:rsidRPr="004424E9" w:rsidRDefault="00F27EB7" w:rsidP="00773552">
      <w:pPr>
        <w:pStyle w:val="FootnoteText"/>
        <w:rPr>
          <w:rFonts w:cstheme="majorHAnsi"/>
          <w:szCs w:val="18"/>
        </w:rPr>
      </w:pPr>
      <w:r w:rsidRPr="004424E9">
        <w:rPr>
          <w:rStyle w:val="FootnoteReference"/>
          <w:rFonts w:cstheme="majorHAnsi"/>
          <w:szCs w:val="18"/>
        </w:rPr>
        <w:footnoteRef/>
      </w:r>
      <w:r w:rsidRPr="004424E9">
        <w:rPr>
          <w:rFonts w:cstheme="majorHAnsi"/>
          <w:szCs w:val="18"/>
        </w:rPr>
        <w:t xml:space="preserve"> Baenziger ON</w:t>
      </w:r>
      <w:r>
        <w:rPr>
          <w:rFonts w:cstheme="majorHAnsi"/>
          <w:szCs w:val="18"/>
        </w:rPr>
        <w:t xml:space="preserve"> et al</w:t>
      </w:r>
      <w:r w:rsidRPr="004424E9">
        <w:rPr>
          <w:rFonts w:cstheme="majorHAnsi"/>
          <w:szCs w:val="18"/>
        </w:rPr>
        <w:t xml:space="preserve">. </w:t>
      </w:r>
      <w:r>
        <w:rPr>
          <w:rFonts w:cstheme="majorHAnsi"/>
          <w:szCs w:val="18"/>
        </w:rPr>
        <w:t>‘</w:t>
      </w:r>
      <w:r w:rsidRPr="004424E9">
        <w:rPr>
          <w:rFonts w:cstheme="majorHAnsi"/>
          <w:szCs w:val="18"/>
        </w:rPr>
        <w:t>E-cigarette use and combustible tobacco cigarette smoking uptake among non-smokers, including relapse in former smokers: umbrella review, systematic review and meta-analysis</w:t>
      </w:r>
      <w:r>
        <w:rPr>
          <w:rFonts w:cstheme="majorHAnsi"/>
          <w:szCs w:val="18"/>
        </w:rPr>
        <w:t>,’ (2021)</w:t>
      </w:r>
      <w:r w:rsidRPr="004424E9">
        <w:rPr>
          <w:rFonts w:cstheme="majorHAnsi"/>
          <w:szCs w:val="18"/>
        </w:rPr>
        <w:t xml:space="preserve"> </w:t>
      </w:r>
      <w:r w:rsidRPr="00AB7A52">
        <w:rPr>
          <w:rFonts w:cstheme="majorHAnsi"/>
          <w:i/>
          <w:iCs/>
          <w:szCs w:val="18"/>
        </w:rPr>
        <w:t>BMJ Open</w:t>
      </w:r>
      <w:r w:rsidRPr="004424E9">
        <w:rPr>
          <w:rFonts w:cstheme="majorHAnsi"/>
          <w:szCs w:val="18"/>
        </w:rPr>
        <w:t xml:space="preserve"> 11(3</w:t>
      </w:r>
      <w:r>
        <w:rPr>
          <w:rFonts w:cstheme="majorHAnsi"/>
          <w:szCs w:val="18"/>
        </w:rPr>
        <w:t xml:space="preserve">). Available at: </w:t>
      </w:r>
      <w:hyperlink r:id="rId53" w:history="1">
        <w:r w:rsidRPr="009C3D9C">
          <w:rPr>
            <w:rStyle w:val="Hyperlink"/>
            <w:rFonts w:asciiTheme="majorHAnsi" w:hAnsiTheme="majorHAnsi" w:cstheme="majorHAnsi"/>
            <w:szCs w:val="18"/>
          </w:rPr>
          <w:t>https://pubmed.ncbi.nlm.nih.gov/33785493/</w:t>
        </w:r>
      </w:hyperlink>
    </w:p>
  </w:footnote>
  <w:footnote w:id="66">
    <w:p w14:paraId="408F702A" w14:textId="77777777" w:rsidR="00F27EB7" w:rsidRPr="00EC754C" w:rsidRDefault="00F27EB7" w:rsidP="00773552">
      <w:pPr>
        <w:pStyle w:val="FootnoteText"/>
        <w:rPr>
          <w:rFonts w:cstheme="majorHAnsi"/>
          <w:szCs w:val="18"/>
        </w:rPr>
      </w:pPr>
      <w:r w:rsidRPr="00EC754C">
        <w:rPr>
          <w:rStyle w:val="FootnoteReference"/>
          <w:rFonts w:cstheme="majorHAnsi"/>
          <w:szCs w:val="18"/>
        </w:rPr>
        <w:footnoteRef/>
      </w:r>
      <w:r w:rsidRPr="00EC754C">
        <w:rPr>
          <w:rFonts w:cstheme="majorHAnsi"/>
          <w:szCs w:val="18"/>
        </w:rPr>
        <w:t xml:space="preserve"> </w:t>
      </w:r>
      <w:r w:rsidRPr="004424E9">
        <w:rPr>
          <w:rFonts w:eastAsia="Arial" w:cstheme="majorHAnsi"/>
          <w:szCs w:val="18"/>
        </w:rPr>
        <w:t>Banks</w:t>
      </w:r>
      <w:r w:rsidRPr="004424E9">
        <w:rPr>
          <w:rFonts w:cstheme="majorHAnsi"/>
          <w:szCs w:val="18"/>
        </w:rPr>
        <w:t xml:space="preserve"> E,</w:t>
      </w:r>
      <w:r>
        <w:rPr>
          <w:rFonts w:cstheme="majorHAnsi"/>
          <w:szCs w:val="18"/>
        </w:rPr>
        <w:t xml:space="preserve"> et al</w:t>
      </w:r>
      <w:r w:rsidRPr="004424E9">
        <w:rPr>
          <w:rFonts w:cstheme="majorHAnsi"/>
          <w:szCs w:val="18"/>
        </w:rPr>
        <w:t>.</w:t>
      </w:r>
      <w:r>
        <w:rPr>
          <w:rFonts w:cstheme="majorHAnsi"/>
          <w:szCs w:val="18"/>
        </w:rPr>
        <w:t>,</w:t>
      </w:r>
      <w:r w:rsidRPr="004424E9">
        <w:rPr>
          <w:rFonts w:cstheme="majorHAnsi"/>
          <w:szCs w:val="18"/>
        </w:rPr>
        <w:t xml:space="preserve"> </w:t>
      </w:r>
      <w:r>
        <w:rPr>
          <w:rFonts w:cstheme="majorHAnsi"/>
          <w:szCs w:val="18"/>
        </w:rPr>
        <w:t>‘</w:t>
      </w:r>
      <w:r w:rsidRPr="004424E9">
        <w:rPr>
          <w:rFonts w:cstheme="majorHAnsi"/>
          <w:szCs w:val="18"/>
        </w:rPr>
        <w:t>Electronic cigarettes and health outcomes: systematic review of global evidence.</w:t>
      </w:r>
      <w:r>
        <w:rPr>
          <w:rFonts w:cstheme="majorHAnsi"/>
          <w:szCs w:val="18"/>
        </w:rPr>
        <w:t>’ (April 2022)</w:t>
      </w:r>
      <w:r w:rsidRPr="004424E9">
        <w:rPr>
          <w:rFonts w:cstheme="majorHAnsi"/>
          <w:szCs w:val="18"/>
        </w:rPr>
        <w:t xml:space="preserve"> National Centre for Epidemiology and Population Health</w:t>
      </w:r>
      <w:r>
        <w:rPr>
          <w:rFonts w:cstheme="majorHAnsi"/>
          <w:szCs w:val="18"/>
        </w:rPr>
        <w:t>:</w:t>
      </w:r>
      <w:r w:rsidRPr="004424E9">
        <w:rPr>
          <w:rFonts w:cstheme="majorHAnsi"/>
          <w:szCs w:val="18"/>
        </w:rPr>
        <w:t xml:space="preserve"> Canberra</w:t>
      </w:r>
      <w:r>
        <w:rPr>
          <w:rFonts w:cstheme="majorHAnsi"/>
          <w:szCs w:val="18"/>
        </w:rPr>
        <w:t xml:space="preserve">. </w:t>
      </w:r>
      <w:r w:rsidRPr="004424E9">
        <w:rPr>
          <w:rFonts w:cstheme="majorHAnsi"/>
          <w:szCs w:val="18"/>
        </w:rPr>
        <w:t>Report for the Australian Department of Health.</w:t>
      </w:r>
      <w:r>
        <w:rPr>
          <w:rFonts w:cstheme="majorHAnsi"/>
          <w:szCs w:val="18"/>
        </w:rPr>
        <w:t xml:space="preserve"> Available at: </w:t>
      </w:r>
      <w:hyperlink r:id="rId54" w:history="1">
        <w:r w:rsidRPr="009C3D9C">
          <w:rPr>
            <w:rStyle w:val="Hyperlink"/>
            <w:rFonts w:asciiTheme="majorHAnsi" w:hAnsiTheme="majorHAnsi" w:cstheme="majorHAnsi"/>
            <w:szCs w:val="18"/>
          </w:rPr>
          <w:t>https://openresearch-repository.anu.edu.au/handle/1885/262914</w:t>
        </w:r>
      </w:hyperlink>
      <w:r>
        <w:rPr>
          <w:rStyle w:val="Hyperlink"/>
          <w:rFonts w:asciiTheme="majorHAnsi" w:hAnsiTheme="majorHAnsi" w:cstheme="majorHAnsi"/>
          <w:szCs w:val="18"/>
        </w:rPr>
        <w:t xml:space="preserve"> </w:t>
      </w:r>
    </w:p>
  </w:footnote>
  <w:footnote w:id="67">
    <w:p w14:paraId="59CECD01" w14:textId="34012CEB" w:rsidR="00F27EB7" w:rsidRPr="00EC754C" w:rsidRDefault="00F27EB7" w:rsidP="00773552">
      <w:pPr>
        <w:pStyle w:val="FootnoteText"/>
        <w:rPr>
          <w:rFonts w:cstheme="majorHAnsi"/>
          <w:szCs w:val="18"/>
        </w:rPr>
      </w:pPr>
      <w:r w:rsidRPr="008215F1">
        <w:rPr>
          <w:rStyle w:val="FootnoteReference"/>
          <w:rFonts w:cstheme="majorHAnsi"/>
          <w:szCs w:val="18"/>
        </w:rPr>
        <w:footnoteRef/>
      </w:r>
      <w:r w:rsidRPr="008215F1">
        <w:rPr>
          <w:rFonts w:cstheme="majorHAnsi"/>
          <w:szCs w:val="18"/>
        </w:rPr>
        <w:t xml:space="preserve"> National Center for Chronic Disease Prevention and Health Promotion (US) Office on Smoking and Health, ‘E-Cigarette Use Among Youth and Young Adults; A Report of the Surgeon General’ (2016) US Department of Health and Human Services. Available at: </w:t>
      </w:r>
      <w:hyperlink r:id="rId55" w:history="1">
        <w:r w:rsidRPr="008215F1">
          <w:rPr>
            <w:rStyle w:val="Hyperlink"/>
            <w:rFonts w:asciiTheme="majorHAnsi" w:hAnsiTheme="majorHAnsi" w:cstheme="majorHAnsi"/>
            <w:szCs w:val="18"/>
          </w:rPr>
          <w:t>E-Cigarette Use Among Youth and Young Adults: A Report of the Surgeon General—Executive Summary</w:t>
        </w:r>
      </w:hyperlink>
      <w:r w:rsidRPr="008215F1">
        <w:rPr>
          <w:rFonts w:cstheme="majorHAnsi"/>
          <w:szCs w:val="18"/>
        </w:rPr>
        <w:t xml:space="preserve">; E Banks, K Beckwith and G Joshy, ‘Summary report on use of e-cigarettes and relation to tobacco smoking uptake and cessation, relevant to the Australian context’ (2020) Australian National University, Research School of Population Health, National Centre for Epidemiology &amp; Population Health. Available at: </w:t>
      </w:r>
      <w:hyperlink r:id="rId56" w:history="1">
        <w:r w:rsidRPr="00110B65">
          <w:rPr>
            <w:rStyle w:val="Hyperlink"/>
            <w:rFonts w:asciiTheme="majorHAnsi" w:hAnsiTheme="majorHAnsi" w:cstheme="majorHAnsi"/>
            <w:szCs w:val="18"/>
          </w:rPr>
          <w:t>https://openresearch-repository.anu.edu.au/bitstream/1885/211618/3/E-cigarettes%20smoking%20behaviour%20summary%20report%20final%20200924.pdf</w:t>
        </w:r>
      </w:hyperlink>
      <w:r>
        <w:rPr>
          <w:rFonts w:cstheme="majorHAnsi"/>
          <w:szCs w:val="18"/>
        </w:rPr>
        <w:t xml:space="preserve"> </w:t>
      </w:r>
    </w:p>
  </w:footnote>
  <w:footnote w:id="68">
    <w:p w14:paraId="23F79B2C" w14:textId="2C250173" w:rsidR="00F27EB7" w:rsidRPr="00EC754C" w:rsidRDefault="00F27EB7" w:rsidP="00773552">
      <w:pPr>
        <w:pStyle w:val="FootnoteText"/>
        <w:rPr>
          <w:rFonts w:cstheme="majorHAnsi"/>
          <w:szCs w:val="18"/>
        </w:rPr>
      </w:pPr>
      <w:r w:rsidRPr="00EC754C">
        <w:rPr>
          <w:rStyle w:val="FootnoteReference"/>
          <w:rFonts w:cstheme="majorHAnsi"/>
          <w:szCs w:val="18"/>
        </w:rPr>
        <w:footnoteRef/>
      </w:r>
      <w:r w:rsidRPr="00EC754C">
        <w:rPr>
          <w:rFonts w:cstheme="majorHAnsi"/>
          <w:szCs w:val="18"/>
        </w:rPr>
        <w:t xml:space="preserve"> </w:t>
      </w:r>
      <w:r>
        <w:rPr>
          <w:rFonts w:cstheme="majorHAnsi"/>
          <w:szCs w:val="18"/>
        </w:rPr>
        <w:t xml:space="preserve">Department of Health and Aged Care, ‘Notice of final decision to amend the current Poisons Standard </w:t>
      </w:r>
      <w:r w:rsidRPr="008215F1">
        <w:rPr>
          <w:rFonts w:cstheme="majorHAnsi"/>
          <w:szCs w:val="18"/>
        </w:rPr>
        <w:t xml:space="preserve">– nicotine’ (2020) Australian Government. </w:t>
      </w:r>
      <w:r>
        <w:rPr>
          <w:rFonts w:cstheme="majorHAnsi"/>
          <w:szCs w:val="18"/>
        </w:rPr>
        <w:t xml:space="preserve">Available at: </w:t>
      </w:r>
      <w:hyperlink r:id="rId57" w:anchor=":~:text=Pursuant%20to%20regulation%2042ZCZR%20of,to%20be%20fitted%20in%20liquid" w:history="1">
        <w:r w:rsidRPr="008215F1">
          <w:rPr>
            <w:rStyle w:val="Hyperlink"/>
            <w:rFonts w:asciiTheme="majorHAnsi" w:hAnsiTheme="majorHAnsi" w:cstheme="majorHAnsi"/>
            <w:szCs w:val="18"/>
          </w:rPr>
          <w:t>https://www.tga.gov.au/resources/publication/scheduling-decisions-final/notice-final-decision-amend-current-poisons-standard-nicotine#:~:text=Pursuant%20to%20regulation%2042ZCZR%20of,to%20be%20fitted%20in%20liquid</w:t>
        </w:r>
      </w:hyperlink>
      <w:r>
        <w:t xml:space="preserve"> </w:t>
      </w:r>
      <w:r w:rsidRPr="00EC754C">
        <w:rPr>
          <w:rFonts w:cstheme="majorHAnsi"/>
          <w:szCs w:val="18"/>
        </w:rPr>
        <w:t>.</w:t>
      </w:r>
    </w:p>
  </w:footnote>
  <w:footnote w:id="69">
    <w:p w14:paraId="6D08A446" w14:textId="429CE913" w:rsidR="00F27EB7" w:rsidRPr="00EC754C" w:rsidRDefault="00F27EB7" w:rsidP="00773552">
      <w:pPr>
        <w:pStyle w:val="FootnoteText"/>
        <w:rPr>
          <w:rFonts w:cstheme="majorHAnsi"/>
          <w:szCs w:val="18"/>
        </w:rPr>
      </w:pPr>
      <w:r w:rsidRPr="00EC754C">
        <w:rPr>
          <w:rStyle w:val="FootnoteReference"/>
          <w:rFonts w:cstheme="majorHAnsi"/>
          <w:szCs w:val="18"/>
        </w:rPr>
        <w:footnoteRef/>
      </w:r>
      <w:r w:rsidRPr="00EC754C">
        <w:rPr>
          <w:rFonts w:cstheme="majorHAnsi"/>
          <w:szCs w:val="18"/>
        </w:rPr>
        <w:t xml:space="preserve"> </w:t>
      </w:r>
      <w:r>
        <w:rPr>
          <w:rFonts w:cstheme="majorHAnsi"/>
          <w:szCs w:val="18"/>
        </w:rPr>
        <w:t xml:space="preserve">Australian Institute of Health and Welfare, ‘Australian Burden of Disease Study 2018: Interactive data on risk factor burden,’ updated 24 November 2021. Available at: </w:t>
      </w:r>
      <w:hyperlink r:id="rId58" w:history="1">
        <w:r w:rsidRPr="00110B65">
          <w:rPr>
            <w:rStyle w:val="Hyperlink"/>
            <w:rFonts w:asciiTheme="majorHAnsi" w:hAnsiTheme="majorHAnsi" w:cstheme="majorHAnsi"/>
            <w:szCs w:val="18"/>
          </w:rPr>
          <w:t>https://www.aihw.gov.au/reports/burden-of-disease/abds-2018-interactive-data-risk-factors</w:t>
        </w:r>
      </w:hyperlink>
    </w:p>
  </w:footnote>
  <w:footnote w:id="70">
    <w:p w14:paraId="7F930198" w14:textId="77777777" w:rsidR="00F27EB7" w:rsidRPr="004424E9" w:rsidRDefault="00F27EB7" w:rsidP="00773552">
      <w:pPr>
        <w:pStyle w:val="FootnoteText"/>
        <w:rPr>
          <w:rFonts w:eastAsia="Arial" w:cstheme="majorHAnsi"/>
          <w:szCs w:val="18"/>
        </w:rPr>
      </w:pPr>
      <w:r w:rsidRPr="00563602">
        <w:rPr>
          <w:rStyle w:val="FootnoteReference"/>
          <w:rFonts w:cstheme="majorHAnsi"/>
          <w:szCs w:val="18"/>
        </w:rPr>
        <w:footnoteRef/>
      </w:r>
      <w:r w:rsidRPr="00563602">
        <w:rPr>
          <w:rFonts w:cstheme="majorHAnsi"/>
          <w:szCs w:val="18"/>
        </w:rPr>
        <w:t xml:space="preserve"> </w:t>
      </w:r>
      <w:r w:rsidRPr="004424E9">
        <w:rPr>
          <w:rFonts w:eastAsia="Arial" w:cstheme="majorHAnsi"/>
          <w:szCs w:val="18"/>
        </w:rPr>
        <w:t>Hartmann-Boyce J</w:t>
      </w:r>
      <w:r>
        <w:rPr>
          <w:rFonts w:eastAsia="Arial" w:cstheme="majorHAnsi"/>
          <w:szCs w:val="18"/>
        </w:rPr>
        <w:t xml:space="preserve"> et al</w:t>
      </w:r>
      <w:r w:rsidRPr="004424E9">
        <w:rPr>
          <w:rFonts w:eastAsia="Arial" w:cstheme="majorHAnsi"/>
          <w:szCs w:val="18"/>
        </w:rPr>
        <w:t>.</w:t>
      </w:r>
      <w:r>
        <w:rPr>
          <w:rFonts w:eastAsia="Arial" w:cstheme="majorHAnsi"/>
          <w:szCs w:val="18"/>
        </w:rPr>
        <w:t>,</w:t>
      </w:r>
      <w:r w:rsidRPr="004424E9">
        <w:rPr>
          <w:rFonts w:eastAsia="Arial" w:cstheme="majorHAnsi"/>
          <w:szCs w:val="18"/>
        </w:rPr>
        <w:t xml:space="preserve"> </w:t>
      </w:r>
      <w:r>
        <w:rPr>
          <w:rFonts w:eastAsia="Arial" w:cstheme="majorHAnsi"/>
          <w:szCs w:val="18"/>
        </w:rPr>
        <w:t>‘</w:t>
      </w:r>
      <w:r w:rsidRPr="004424E9">
        <w:rPr>
          <w:rFonts w:eastAsia="Arial" w:cstheme="majorHAnsi"/>
          <w:szCs w:val="18"/>
        </w:rPr>
        <w:t>Electronic cigarettes for smoking cessation</w:t>
      </w:r>
      <w:r>
        <w:rPr>
          <w:rFonts w:eastAsia="Arial" w:cstheme="majorHAnsi"/>
          <w:szCs w:val="18"/>
        </w:rPr>
        <w:t>,’</w:t>
      </w:r>
      <w:r w:rsidRPr="004424E9">
        <w:rPr>
          <w:rFonts w:eastAsia="Arial" w:cstheme="majorHAnsi"/>
          <w:szCs w:val="18"/>
        </w:rPr>
        <w:t xml:space="preserve"> </w:t>
      </w:r>
      <w:r>
        <w:rPr>
          <w:rFonts w:eastAsia="Arial" w:cstheme="majorHAnsi"/>
          <w:szCs w:val="18"/>
        </w:rPr>
        <w:t xml:space="preserve">(2022) </w:t>
      </w:r>
      <w:r w:rsidRPr="00AB7A52">
        <w:rPr>
          <w:rFonts w:eastAsia="Arial" w:cstheme="majorHAnsi"/>
          <w:i/>
          <w:szCs w:val="18"/>
        </w:rPr>
        <w:t>Cochrane Database of Systematic Reviews</w:t>
      </w:r>
      <w:r w:rsidRPr="004424E9">
        <w:rPr>
          <w:rFonts w:eastAsia="Arial" w:cstheme="majorHAnsi"/>
          <w:szCs w:val="18"/>
        </w:rPr>
        <w:t xml:space="preserve"> 11. Available </w:t>
      </w:r>
      <w:r>
        <w:rPr>
          <w:rFonts w:eastAsia="Arial" w:cstheme="majorHAnsi"/>
          <w:szCs w:val="18"/>
        </w:rPr>
        <w:t>at</w:t>
      </w:r>
      <w:r w:rsidRPr="004424E9">
        <w:rPr>
          <w:rFonts w:eastAsia="Arial" w:cstheme="majorHAnsi"/>
          <w:szCs w:val="18"/>
        </w:rPr>
        <w:t xml:space="preserve">: </w:t>
      </w:r>
      <w:hyperlink r:id="rId59" w:history="1">
        <w:r w:rsidRPr="004424E9">
          <w:rPr>
            <w:rStyle w:val="Hyperlink"/>
            <w:rFonts w:asciiTheme="majorHAnsi" w:eastAsia="Arial" w:hAnsiTheme="majorHAnsi" w:cstheme="majorHAnsi"/>
            <w:szCs w:val="18"/>
          </w:rPr>
          <w:t>https://www.cochranelibrary.com/cdsr/doi/10.1002/14651858.CD010216.pub7/full</w:t>
        </w:r>
      </w:hyperlink>
    </w:p>
  </w:footnote>
  <w:footnote w:id="71">
    <w:p w14:paraId="020359C3" w14:textId="77777777" w:rsidR="00F27EB7" w:rsidRPr="00AB7A52" w:rsidRDefault="00F27EB7" w:rsidP="0077355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Pr>
          <w:rFonts w:cstheme="majorHAnsi"/>
          <w:szCs w:val="18"/>
        </w:rPr>
        <w:t>I</w:t>
      </w:r>
      <w:r w:rsidRPr="00AB7A52">
        <w:rPr>
          <w:rFonts w:cstheme="majorHAnsi"/>
          <w:szCs w:val="18"/>
        </w:rPr>
        <w:t>bid.</w:t>
      </w:r>
    </w:p>
  </w:footnote>
  <w:footnote w:id="72">
    <w:p w14:paraId="55972F8E" w14:textId="77777777" w:rsidR="00F27EB7" w:rsidRPr="00AB7A52" w:rsidRDefault="00F27EB7" w:rsidP="0077355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w:t>
      </w:r>
      <w:r>
        <w:rPr>
          <w:rFonts w:cstheme="majorHAnsi"/>
          <w:szCs w:val="18"/>
        </w:rPr>
        <w:t>I</w:t>
      </w:r>
      <w:r w:rsidRPr="00AB7A52">
        <w:rPr>
          <w:rFonts w:cstheme="majorHAnsi"/>
          <w:szCs w:val="18"/>
        </w:rPr>
        <w:t>bid.</w:t>
      </w:r>
    </w:p>
  </w:footnote>
  <w:footnote w:id="73">
    <w:p w14:paraId="240850C1" w14:textId="77777777" w:rsidR="00F27EB7" w:rsidRDefault="00F27EB7" w:rsidP="00773552">
      <w:pPr>
        <w:pStyle w:val="FootnoteText"/>
      </w:pPr>
      <w:r>
        <w:rPr>
          <w:rStyle w:val="FootnoteReference"/>
        </w:rPr>
        <w:footnoteRef/>
      </w:r>
      <w:r>
        <w:t xml:space="preserve"> </w:t>
      </w:r>
      <w:r w:rsidRPr="00AB7A52">
        <w:rPr>
          <w:rFonts w:cstheme="majorHAnsi"/>
          <w:szCs w:val="18"/>
        </w:rPr>
        <w:t xml:space="preserve">UK Department of Health and Social Care, </w:t>
      </w:r>
      <w:r>
        <w:rPr>
          <w:rFonts w:cstheme="majorHAnsi"/>
          <w:szCs w:val="18"/>
        </w:rPr>
        <w:t>‘</w:t>
      </w:r>
      <w:r w:rsidRPr="00AB7A52">
        <w:rPr>
          <w:rFonts w:cstheme="majorHAnsi"/>
          <w:szCs w:val="18"/>
        </w:rPr>
        <w:t>Smokers urged to swap cigarettes for vapes in world first scheme,</w:t>
      </w:r>
      <w:r>
        <w:rPr>
          <w:rFonts w:cstheme="majorHAnsi"/>
          <w:szCs w:val="18"/>
        </w:rPr>
        <w:t>’</w:t>
      </w:r>
      <w:r w:rsidRPr="00AB7A52">
        <w:rPr>
          <w:rFonts w:cstheme="majorHAnsi"/>
          <w:szCs w:val="18"/>
        </w:rPr>
        <w:t xml:space="preserve"> </w:t>
      </w:r>
      <w:r>
        <w:rPr>
          <w:rFonts w:cstheme="majorHAnsi"/>
          <w:szCs w:val="18"/>
        </w:rPr>
        <w:t>(</w:t>
      </w:r>
      <w:r w:rsidRPr="00AB7A52">
        <w:rPr>
          <w:rFonts w:cstheme="majorHAnsi"/>
          <w:szCs w:val="18"/>
        </w:rPr>
        <w:t>11 April 2023</w:t>
      </w:r>
      <w:r>
        <w:rPr>
          <w:rFonts w:cstheme="majorHAnsi"/>
          <w:szCs w:val="18"/>
        </w:rPr>
        <w:t xml:space="preserve">). Available at: </w:t>
      </w:r>
      <w:hyperlink r:id="rId60" w:history="1">
        <w:r w:rsidRPr="00AB7A52">
          <w:rPr>
            <w:rStyle w:val="Hyperlink"/>
            <w:rFonts w:asciiTheme="majorHAnsi" w:hAnsiTheme="majorHAnsi" w:cstheme="majorHAnsi"/>
            <w:szCs w:val="18"/>
          </w:rPr>
          <w:t>https://www.gov.uk/government/news/smokers-urged-to-swap-cigarettes-for-vapes-in-world-first-scheme</w:t>
        </w:r>
      </w:hyperlink>
    </w:p>
  </w:footnote>
  <w:footnote w:id="74">
    <w:p w14:paraId="6E0EB163" w14:textId="77777777" w:rsidR="00F27EB7" w:rsidRDefault="00F27EB7" w:rsidP="00773552">
      <w:pPr>
        <w:pStyle w:val="FootnoteText"/>
      </w:pPr>
      <w:r>
        <w:rPr>
          <w:rStyle w:val="FootnoteReference"/>
        </w:rPr>
        <w:footnoteRef/>
      </w:r>
      <w:r>
        <w:t xml:space="preserve"> </w:t>
      </w:r>
      <w:r>
        <w:rPr>
          <w:rFonts w:cstheme="majorHAnsi"/>
          <w:szCs w:val="18"/>
        </w:rPr>
        <w:t>Khan, J</w:t>
      </w:r>
      <w:r w:rsidRPr="00AB7A52">
        <w:rPr>
          <w:rFonts w:cstheme="majorHAnsi"/>
          <w:szCs w:val="18"/>
        </w:rPr>
        <w:t xml:space="preserve">, </w:t>
      </w:r>
      <w:r>
        <w:rPr>
          <w:rFonts w:cstheme="majorHAnsi"/>
          <w:szCs w:val="18"/>
        </w:rPr>
        <w:t>‘</w:t>
      </w:r>
      <w:r w:rsidRPr="00AB7A52">
        <w:rPr>
          <w:rFonts w:cstheme="majorHAnsi"/>
          <w:szCs w:val="18"/>
        </w:rPr>
        <w:t>The Khan review: making smoking obsolete,</w:t>
      </w:r>
      <w:r>
        <w:rPr>
          <w:rFonts w:cstheme="majorHAnsi"/>
          <w:szCs w:val="18"/>
        </w:rPr>
        <w:t>’ (9 June 2022)</w:t>
      </w:r>
      <w:r w:rsidRPr="00AB7A52">
        <w:rPr>
          <w:rFonts w:cstheme="majorHAnsi"/>
          <w:szCs w:val="18"/>
        </w:rPr>
        <w:t xml:space="preserve"> </w:t>
      </w:r>
      <w:r>
        <w:rPr>
          <w:rFonts w:cstheme="majorHAnsi"/>
          <w:szCs w:val="18"/>
        </w:rPr>
        <w:t xml:space="preserve">Available at: </w:t>
      </w:r>
      <w:hyperlink r:id="rId61" w:history="1">
        <w:r w:rsidRPr="00AB7A52">
          <w:rPr>
            <w:rStyle w:val="Hyperlink"/>
            <w:rFonts w:asciiTheme="majorHAnsi" w:hAnsiTheme="majorHAnsi" w:cstheme="majorHAnsi"/>
            <w:szCs w:val="18"/>
          </w:rPr>
          <w:t>https://www.gov.uk/government/publications/the-khan-review-making-smoking-obsolete</w:t>
        </w:r>
      </w:hyperlink>
    </w:p>
  </w:footnote>
  <w:footnote w:id="75">
    <w:p w14:paraId="6241D2F5" w14:textId="7B9E1910" w:rsidR="00F27EB7" w:rsidRDefault="00F27EB7" w:rsidP="00773552">
      <w:pPr>
        <w:pStyle w:val="FootnoteText"/>
      </w:pPr>
      <w:r>
        <w:rPr>
          <w:rStyle w:val="FootnoteReference"/>
        </w:rPr>
        <w:footnoteRef/>
      </w:r>
      <w:r>
        <w:t xml:space="preserve"> </w:t>
      </w:r>
      <w:r>
        <w:rPr>
          <w:rFonts w:cstheme="majorHAnsi"/>
          <w:szCs w:val="18"/>
        </w:rPr>
        <w:t>Ibid.</w:t>
      </w:r>
    </w:p>
  </w:footnote>
  <w:footnote w:id="76">
    <w:p w14:paraId="1246E629" w14:textId="77777777" w:rsidR="00F27EB7" w:rsidRPr="00EB3E64" w:rsidRDefault="00F27EB7" w:rsidP="00773552">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Jongenelis, </w:t>
      </w:r>
      <w:r>
        <w:rPr>
          <w:rFonts w:cstheme="majorHAnsi"/>
          <w:szCs w:val="18"/>
        </w:rPr>
        <w:t>M</w:t>
      </w:r>
      <w:r w:rsidRPr="00AB7A52">
        <w:rPr>
          <w:rFonts w:cstheme="majorHAnsi"/>
          <w:szCs w:val="18"/>
        </w:rPr>
        <w:t xml:space="preserve">I, and White, </w:t>
      </w:r>
      <w:r>
        <w:rPr>
          <w:rFonts w:cstheme="majorHAnsi"/>
          <w:szCs w:val="18"/>
        </w:rPr>
        <w:t>S</w:t>
      </w:r>
      <w:r w:rsidRPr="00AB7A52">
        <w:rPr>
          <w:rFonts w:cstheme="majorHAnsi"/>
          <w:szCs w:val="18"/>
        </w:rPr>
        <w:t xml:space="preserve">, </w:t>
      </w:r>
      <w:r>
        <w:rPr>
          <w:rFonts w:cstheme="majorHAnsi"/>
          <w:szCs w:val="18"/>
        </w:rPr>
        <w:t>‘</w:t>
      </w:r>
      <w:r w:rsidRPr="00AB7A52">
        <w:rPr>
          <w:rFonts w:cstheme="majorHAnsi"/>
          <w:szCs w:val="18"/>
        </w:rPr>
        <w:t>The pros and cons of prescription-only liquid nicotine,</w:t>
      </w:r>
      <w:r>
        <w:rPr>
          <w:rFonts w:cstheme="majorHAnsi"/>
          <w:szCs w:val="18"/>
        </w:rPr>
        <w:t>’</w:t>
      </w:r>
      <w:r w:rsidRPr="00AB7A52">
        <w:rPr>
          <w:rFonts w:cstheme="majorHAnsi"/>
          <w:szCs w:val="18"/>
        </w:rPr>
        <w:t xml:space="preserve"> </w:t>
      </w:r>
      <w:r>
        <w:rPr>
          <w:rFonts w:cstheme="majorHAnsi"/>
          <w:szCs w:val="18"/>
        </w:rPr>
        <w:t>(</w:t>
      </w:r>
      <w:r w:rsidRPr="00AB7A52">
        <w:rPr>
          <w:rFonts w:cstheme="majorHAnsi"/>
          <w:szCs w:val="18"/>
        </w:rPr>
        <w:t>28 September 2021</w:t>
      </w:r>
      <w:r>
        <w:rPr>
          <w:rFonts w:cstheme="majorHAnsi"/>
          <w:szCs w:val="18"/>
        </w:rPr>
        <w:t>). Available at</w:t>
      </w:r>
      <w:r w:rsidRPr="00AB7A52">
        <w:rPr>
          <w:rFonts w:cstheme="majorHAnsi"/>
          <w:szCs w:val="18"/>
        </w:rPr>
        <w:t xml:space="preserve">: </w:t>
      </w:r>
      <w:hyperlink r:id="rId62" w:history="1">
        <w:r w:rsidRPr="00AB7A52">
          <w:rPr>
            <w:rStyle w:val="Hyperlink"/>
            <w:rFonts w:asciiTheme="majorHAnsi" w:hAnsiTheme="majorHAnsi" w:cstheme="majorHAnsi"/>
            <w:szCs w:val="18"/>
          </w:rPr>
          <w:t>https://findanexpert.unimelb.edu.au/news/31387-the-pros-and-cons-of-prescription-only-liquid-nicotine</w:t>
        </w:r>
      </w:hyperlink>
      <w:r w:rsidRPr="00EB3E64">
        <w:rPr>
          <w:rFonts w:cstheme="majorHAnsi"/>
          <w:szCs w:val="18"/>
        </w:rPr>
        <w:t xml:space="preserve"> </w:t>
      </w:r>
    </w:p>
  </w:footnote>
  <w:footnote w:id="77">
    <w:p w14:paraId="753A9B8F" w14:textId="77777777" w:rsidR="00F27EB7" w:rsidRPr="00441402" w:rsidRDefault="00F27EB7" w:rsidP="009E19B4">
      <w:pPr>
        <w:pStyle w:val="FootnoteText"/>
        <w:rPr>
          <w:rFonts w:cstheme="majorHAnsi"/>
          <w:szCs w:val="18"/>
        </w:rPr>
      </w:pPr>
      <w:r w:rsidRPr="00441402">
        <w:rPr>
          <w:rStyle w:val="FootnoteReference"/>
          <w:rFonts w:cstheme="majorHAnsi"/>
          <w:szCs w:val="18"/>
        </w:rPr>
        <w:footnoteRef/>
      </w:r>
      <w:r>
        <w:rPr>
          <w:rFonts w:cstheme="majorHAnsi"/>
          <w:szCs w:val="18"/>
        </w:rPr>
        <w:t xml:space="preserve"> </w:t>
      </w:r>
      <w:r w:rsidRPr="00441402">
        <w:rPr>
          <w:rFonts w:cstheme="majorHAnsi"/>
          <w:szCs w:val="18"/>
        </w:rPr>
        <w:t>Department o</w:t>
      </w:r>
      <w:r>
        <w:rPr>
          <w:rFonts w:cstheme="majorHAnsi"/>
          <w:szCs w:val="18"/>
        </w:rPr>
        <w:t xml:space="preserve">f Health and Aged Care, ‘Notice of final decision to amend the current Poisons Standard – nicotine,’ (21 December 2020). Available at: </w:t>
      </w:r>
      <w:hyperlink r:id="rId63" w:history="1">
        <w:r w:rsidRPr="001F1AA9">
          <w:rPr>
            <w:rStyle w:val="Hyperlink"/>
            <w:rFonts w:asciiTheme="majorHAnsi" w:hAnsiTheme="majorHAnsi" w:cstheme="majorHAnsi"/>
            <w:szCs w:val="18"/>
          </w:rPr>
          <w:t>https://www.tga.gov.au/resources/publication/scheduling-decisions-final/notice-final-decision-amend-current-poisons-standard-nicotine</w:t>
        </w:r>
      </w:hyperlink>
      <w:r>
        <w:rPr>
          <w:rFonts w:cstheme="majorHAnsi"/>
          <w:szCs w:val="18"/>
        </w:rPr>
        <w:t xml:space="preserve"> </w:t>
      </w:r>
    </w:p>
  </w:footnote>
  <w:footnote w:id="78">
    <w:p w14:paraId="646EBA9A" w14:textId="54F6E56B" w:rsidR="00F27EB7" w:rsidRPr="00AF0E31" w:rsidRDefault="00F27EB7" w:rsidP="009E19B4">
      <w:pPr>
        <w:pStyle w:val="FootnoteText"/>
        <w:rPr>
          <w:rFonts w:cstheme="majorHAnsi"/>
          <w:szCs w:val="18"/>
        </w:rPr>
      </w:pPr>
      <w:r w:rsidRPr="00AF0E31">
        <w:rPr>
          <w:rStyle w:val="FootnoteReference"/>
          <w:rFonts w:cstheme="majorHAnsi"/>
          <w:szCs w:val="18"/>
        </w:rPr>
        <w:footnoteRef/>
      </w:r>
      <w:r w:rsidRPr="00AF0E31">
        <w:rPr>
          <w:rFonts w:cstheme="majorHAnsi"/>
          <w:szCs w:val="18"/>
        </w:rPr>
        <w:t xml:space="preserve"> </w:t>
      </w:r>
      <w:r>
        <w:rPr>
          <w:rFonts w:cstheme="majorHAnsi"/>
          <w:szCs w:val="18"/>
        </w:rPr>
        <w:t xml:space="preserve">Royal Australian College of General Practitioners, ‘Supporting Smoking cessation: A guide for health professionals – About this Guideline,’ (29 September 2021). Available at: </w:t>
      </w:r>
      <w:r>
        <w:rPr>
          <w:rFonts w:cstheme="majorHAnsi"/>
          <w:szCs w:val="18"/>
        </w:rPr>
        <w:fldChar w:fldCharType="begin"/>
      </w:r>
      <w:r w:rsidRPr="00EE24DC">
        <w:rPr>
          <w:rFonts w:cstheme="majorHAnsi"/>
          <w:szCs w:val="18"/>
        </w:rPr>
        <w:instrText>https://www.racgp.org.au/clinical-resources/clinical-guidelines/key-racgp-guidelines/view-all-racgp-guidelines/supporting-smoking-cessation/about-this-guideline</w:instrText>
      </w:r>
      <w:r>
        <w:rPr>
          <w:rFonts w:cstheme="majorHAnsi"/>
          <w:szCs w:val="18"/>
        </w:rPr>
        <w:instrText xml:space="preserve">" </w:instrText>
      </w:r>
      <w:r>
        <w:rPr>
          <w:rFonts w:cstheme="majorHAnsi"/>
          <w:szCs w:val="18"/>
        </w:rPr>
        <w:fldChar w:fldCharType="separate"/>
      </w:r>
      <w:r w:rsidRPr="001F1AA9">
        <w:rPr>
          <w:rStyle w:val="Hyperlink"/>
          <w:rFonts w:asciiTheme="majorHAnsi" w:hAnsiTheme="majorHAnsi" w:cstheme="majorHAnsi"/>
          <w:szCs w:val="18"/>
        </w:rPr>
        <w:t>https://www.racgp.org.au/clinical-resources/clinical-guidelines/key-racgp-guidelines/view-all-racgp-guidelines/supporting-smoking-cessation/about-this-guideline</w:t>
      </w:r>
      <w:r>
        <w:rPr>
          <w:rFonts w:cstheme="majorHAnsi"/>
          <w:szCs w:val="18"/>
        </w:rPr>
        <w:fldChar w:fldCharType="end"/>
      </w:r>
      <w:r>
        <w:rPr>
          <w:rFonts w:cstheme="majorHAnsi"/>
          <w:szCs w:val="18"/>
        </w:rPr>
        <w:t xml:space="preserve"> </w:t>
      </w:r>
      <w:hyperlink r:id="rId64" w:history="1">
        <w:r w:rsidRPr="00110B65">
          <w:rPr>
            <w:rStyle w:val="Hyperlink"/>
            <w:rFonts w:asciiTheme="majorHAnsi" w:hAnsiTheme="majorHAnsi" w:cstheme="majorHAnsi"/>
            <w:szCs w:val="18"/>
          </w:rPr>
          <w:t>https://www.racgp.org.au/clinical-resources/clinical-guidelines/key-racgp-guidelines/view-all-racgp-guidelines/supporting-smoking-cessation</w:t>
        </w:r>
      </w:hyperlink>
      <w:r>
        <w:rPr>
          <w:rFonts w:cstheme="majorHAnsi"/>
          <w:szCs w:val="18"/>
        </w:rPr>
        <w:t xml:space="preserve"> </w:t>
      </w:r>
    </w:p>
  </w:footnote>
  <w:footnote w:id="79">
    <w:p w14:paraId="36162BF4" w14:textId="22B55698" w:rsidR="00F27EB7" w:rsidRPr="00D6104A" w:rsidRDefault="00F27EB7" w:rsidP="009E19B4">
      <w:pPr>
        <w:pStyle w:val="FootnoteText"/>
        <w:rPr>
          <w:rFonts w:cstheme="majorHAnsi"/>
          <w:szCs w:val="18"/>
        </w:rPr>
      </w:pPr>
      <w:r w:rsidRPr="00D6104A">
        <w:rPr>
          <w:rStyle w:val="FootnoteReference"/>
          <w:rFonts w:cstheme="majorHAnsi"/>
          <w:szCs w:val="18"/>
        </w:rPr>
        <w:footnoteRef/>
      </w:r>
      <w:r w:rsidRPr="00D6104A">
        <w:rPr>
          <w:rFonts w:cstheme="majorHAnsi"/>
          <w:szCs w:val="18"/>
        </w:rPr>
        <w:t xml:space="preserve"> </w:t>
      </w:r>
      <w:r>
        <w:rPr>
          <w:rFonts w:cstheme="majorHAnsi"/>
          <w:szCs w:val="18"/>
        </w:rPr>
        <w:t xml:space="preserve">VicHealth, ‘Bad Vapefluence Teaching kids to hide vapes from parents &amp; making vaping glamorous,’ (25 September 2023). Available at: </w:t>
      </w:r>
      <w:hyperlink r:id="rId65" w:history="1">
        <w:r w:rsidRPr="00110B65">
          <w:rPr>
            <w:rStyle w:val="Hyperlink"/>
            <w:rFonts w:asciiTheme="majorHAnsi" w:hAnsiTheme="majorHAnsi" w:cstheme="majorHAnsi"/>
            <w:szCs w:val="18"/>
          </w:rPr>
          <w:t>https://www.vichealth.vic.gov.au/news-publications/media-releases/bad-vapefluence</w:t>
        </w:r>
      </w:hyperlink>
      <w:r>
        <w:rPr>
          <w:rFonts w:cstheme="majorHAnsi"/>
          <w:szCs w:val="18"/>
        </w:rPr>
        <w:t xml:space="preserve"> </w:t>
      </w:r>
    </w:p>
  </w:footnote>
  <w:footnote w:id="80">
    <w:p w14:paraId="0975B21B" w14:textId="21C7D971" w:rsidR="00F27EB7" w:rsidRPr="00AB7A52" w:rsidRDefault="00F27EB7" w:rsidP="009477C1">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Clean Up Australia, </w:t>
      </w:r>
      <w:r>
        <w:rPr>
          <w:rFonts w:cstheme="majorHAnsi"/>
          <w:szCs w:val="18"/>
        </w:rPr>
        <w:t>‘</w:t>
      </w:r>
      <w:r w:rsidRPr="00AB7A52">
        <w:rPr>
          <w:rFonts w:cstheme="majorHAnsi"/>
          <w:szCs w:val="18"/>
        </w:rPr>
        <w:t>Rubbish Report 2022</w:t>
      </w:r>
      <w:r>
        <w:rPr>
          <w:rFonts w:cstheme="majorHAnsi"/>
          <w:szCs w:val="18"/>
        </w:rPr>
        <w:t xml:space="preserve">.’ Available at: </w:t>
      </w:r>
      <w:hyperlink r:id="rId66" w:history="1">
        <w:r w:rsidRPr="00AB7A52">
          <w:rPr>
            <w:rStyle w:val="Hyperlink"/>
            <w:rFonts w:asciiTheme="majorHAnsi" w:hAnsiTheme="majorHAnsi" w:cstheme="majorHAnsi"/>
            <w:szCs w:val="18"/>
          </w:rPr>
          <w:t>https://www.cleanup.org.au/rubbish-report</w:t>
        </w:r>
      </w:hyperlink>
    </w:p>
  </w:footnote>
  <w:footnote w:id="81">
    <w:p w14:paraId="033E591B" w14:textId="0AED7DD3" w:rsidR="00F27EB7" w:rsidRPr="00AB7A52" w:rsidRDefault="00F27EB7" w:rsidP="009477C1">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Mellet, </w:t>
      </w:r>
      <w:r>
        <w:rPr>
          <w:rFonts w:cstheme="majorHAnsi"/>
          <w:szCs w:val="18"/>
        </w:rPr>
        <w:t>GB</w:t>
      </w:r>
      <w:r w:rsidRPr="00AB7A52">
        <w:rPr>
          <w:rFonts w:cstheme="majorHAnsi"/>
          <w:szCs w:val="18"/>
        </w:rPr>
        <w:t xml:space="preserve">, </w:t>
      </w:r>
      <w:r>
        <w:rPr>
          <w:rFonts w:cstheme="majorHAnsi"/>
          <w:szCs w:val="18"/>
        </w:rPr>
        <w:t>‘</w:t>
      </w:r>
      <w:r w:rsidRPr="00AB7A52">
        <w:rPr>
          <w:rFonts w:cstheme="majorHAnsi"/>
          <w:szCs w:val="18"/>
        </w:rPr>
        <w:t>Waste experts tip Clean Up Australia Day will be ‘overwhelmed by plastic’ including vapes and e-cigarettes</w:t>
      </w:r>
      <w:r>
        <w:rPr>
          <w:rFonts w:cstheme="majorHAnsi"/>
          <w:szCs w:val="18"/>
        </w:rPr>
        <w:t>,’</w:t>
      </w:r>
      <w:r w:rsidRPr="00AB7A52">
        <w:rPr>
          <w:rFonts w:cstheme="majorHAnsi"/>
          <w:szCs w:val="18"/>
        </w:rPr>
        <w:t xml:space="preserve"> </w:t>
      </w:r>
      <w:r>
        <w:rPr>
          <w:rFonts w:cstheme="majorHAnsi"/>
          <w:szCs w:val="18"/>
        </w:rPr>
        <w:t>(</w:t>
      </w:r>
      <w:r w:rsidRPr="00AB7A52">
        <w:rPr>
          <w:rFonts w:cstheme="majorHAnsi"/>
          <w:szCs w:val="18"/>
        </w:rPr>
        <w:t>2 March 2023)</w:t>
      </w:r>
      <w:r>
        <w:rPr>
          <w:rFonts w:cstheme="majorHAnsi"/>
          <w:szCs w:val="18"/>
        </w:rPr>
        <w:t xml:space="preserve"> </w:t>
      </w:r>
      <w:r w:rsidRPr="00AB7A52">
        <w:rPr>
          <w:rFonts w:cstheme="majorHAnsi"/>
          <w:i/>
          <w:iCs/>
          <w:szCs w:val="18"/>
        </w:rPr>
        <w:t>PerthNow</w:t>
      </w:r>
      <w:r>
        <w:rPr>
          <w:rFonts w:cstheme="majorHAnsi"/>
          <w:szCs w:val="18"/>
        </w:rPr>
        <w:t xml:space="preserve">. Available at: </w:t>
      </w:r>
      <w:hyperlink r:id="rId67" w:history="1">
        <w:r w:rsidRPr="00110B65">
          <w:rPr>
            <w:rStyle w:val="Hyperlink"/>
            <w:rFonts w:asciiTheme="majorHAnsi" w:hAnsiTheme="majorHAnsi" w:cstheme="majorHAnsi"/>
            <w:szCs w:val="18"/>
          </w:rPr>
          <w:t>https://www.perthnow.com.au/local-news/experts-tip-what-this-years-clean-up-australia-day-waste-will-look-like-and-how-to-dispose-of-it-c-9860153</w:t>
        </w:r>
      </w:hyperlink>
      <w:r>
        <w:rPr>
          <w:rFonts w:cstheme="majorHAnsi"/>
          <w:szCs w:val="18"/>
        </w:rPr>
        <w:t xml:space="preserve"> </w:t>
      </w:r>
    </w:p>
  </w:footnote>
  <w:footnote w:id="82">
    <w:p w14:paraId="09ED0321" w14:textId="77777777" w:rsidR="00F27EB7" w:rsidRPr="00AB7A52" w:rsidRDefault="00F27EB7" w:rsidP="009477C1">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Erdiaw-Kwasie</w:t>
      </w:r>
      <w:r>
        <w:rPr>
          <w:rFonts w:cstheme="majorHAnsi"/>
          <w:szCs w:val="18"/>
        </w:rPr>
        <w:t>, MO,</w:t>
      </w:r>
      <w:r w:rsidRPr="00AB7A52">
        <w:rPr>
          <w:rFonts w:cstheme="majorHAnsi"/>
          <w:szCs w:val="18"/>
        </w:rPr>
        <w:t xml:space="preserve"> and Abunyewah, </w:t>
      </w:r>
      <w:r>
        <w:rPr>
          <w:rFonts w:cstheme="majorHAnsi"/>
          <w:szCs w:val="18"/>
        </w:rPr>
        <w:t>M, ‘</w:t>
      </w:r>
      <w:r w:rsidRPr="00AB7A52">
        <w:rPr>
          <w:rFonts w:cstheme="majorHAnsi"/>
          <w:szCs w:val="18"/>
        </w:rPr>
        <w:t>E-cigarettes pose a ‘triple threat’ to the environment, says Clean Up Australia waste report,</w:t>
      </w:r>
      <w:r>
        <w:rPr>
          <w:rFonts w:cstheme="majorHAnsi"/>
          <w:szCs w:val="18"/>
        </w:rPr>
        <w:t>’ (28 February 2023)</w:t>
      </w:r>
      <w:r w:rsidRPr="00AB7A52">
        <w:rPr>
          <w:rFonts w:cstheme="majorHAnsi"/>
          <w:szCs w:val="18"/>
        </w:rPr>
        <w:t xml:space="preserve"> </w:t>
      </w:r>
      <w:r w:rsidRPr="00AB7A52">
        <w:rPr>
          <w:rFonts w:cstheme="majorHAnsi"/>
          <w:i/>
          <w:szCs w:val="18"/>
        </w:rPr>
        <w:t>Australian Geographic</w:t>
      </w:r>
      <w:r>
        <w:rPr>
          <w:rFonts w:cstheme="majorHAnsi"/>
          <w:szCs w:val="18"/>
        </w:rPr>
        <w:t xml:space="preserve">. Available at: </w:t>
      </w:r>
      <w:hyperlink r:id="rId68" w:history="1">
        <w:r w:rsidRPr="00AB7A52">
          <w:rPr>
            <w:rStyle w:val="Hyperlink"/>
            <w:rFonts w:asciiTheme="majorHAnsi" w:hAnsiTheme="majorHAnsi" w:cstheme="majorHAnsi"/>
            <w:szCs w:val="18"/>
          </w:rPr>
          <w:t>https://www.australiangeographic.com.au/news/2023/02/e-cigarettes-pose-a-triple-threat-to-the-environment-says-clean-up-australia-waste-report/</w:t>
        </w:r>
      </w:hyperlink>
    </w:p>
  </w:footnote>
  <w:footnote w:id="83">
    <w:p w14:paraId="649DC3CF" w14:textId="77777777" w:rsidR="00F27EB7" w:rsidRPr="00AB7A52" w:rsidRDefault="00F27EB7" w:rsidP="009477C1">
      <w:pPr>
        <w:pStyle w:val="FootnoteText"/>
        <w:rPr>
          <w:rFonts w:cstheme="majorHAnsi"/>
          <w:szCs w:val="18"/>
        </w:rPr>
      </w:pPr>
      <w:r w:rsidRPr="00AB7A52">
        <w:rPr>
          <w:rStyle w:val="FootnoteReference"/>
          <w:rFonts w:cstheme="majorHAnsi"/>
          <w:szCs w:val="18"/>
        </w:rPr>
        <w:footnoteRef/>
      </w:r>
      <w:r w:rsidRPr="00AB7A52">
        <w:rPr>
          <w:rFonts w:cstheme="majorHAnsi"/>
          <w:szCs w:val="18"/>
        </w:rPr>
        <w:t xml:space="preserve"> Leaver, </w:t>
      </w:r>
      <w:r>
        <w:rPr>
          <w:rFonts w:cstheme="majorHAnsi"/>
          <w:szCs w:val="18"/>
        </w:rPr>
        <w:t>K</w:t>
      </w:r>
      <w:r w:rsidRPr="00AB7A52">
        <w:rPr>
          <w:rFonts w:cstheme="majorHAnsi"/>
          <w:szCs w:val="18"/>
        </w:rPr>
        <w:t xml:space="preserve">, </w:t>
      </w:r>
      <w:r>
        <w:rPr>
          <w:rFonts w:cstheme="majorHAnsi"/>
          <w:szCs w:val="18"/>
        </w:rPr>
        <w:t>‘</w:t>
      </w:r>
      <w:r w:rsidRPr="00AB7A52">
        <w:rPr>
          <w:rFonts w:cstheme="majorHAnsi"/>
          <w:iCs/>
          <w:szCs w:val="18"/>
        </w:rPr>
        <w:t>Growing volume of vape waste a challenge with recycling costly and dangerous</w:t>
      </w:r>
      <w:r w:rsidRPr="00AB7A52">
        <w:rPr>
          <w:rFonts w:cstheme="majorHAnsi"/>
          <w:szCs w:val="18"/>
        </w:rPr>
        <w:t>,</w:t>
      </w:r>
      <w:r>
        <w:rPr>
          <w:rFonts w:cstheme="majorHAnsi"/>
          <w:szCs w:val="18"/>
        </w:rPr>
        <w:t>’ (19 March 2023)</w:t>
      </w:r>
      <w:r w:rsidRPr="00AB7A52">
        <w:rPr>
          <w:rFonts w:cstheme="majorHAnsi"/>
          <w:szCs w:val="18"/>
        </w:rPr>
        <w:t xml:space="preserve"> </w:t>
      </w:r>
      <w:r>
        <w:rPr>
          <w:rFonts w:cstheme="majorHAnsi"/>
          <w:i/>
          <w:iCs/>
          <w:szCs w:val="18"/>
        </w:rPr>
        <w:t xml:space="preserve">ABC Online. </w:t>
      </w:r>
      <w:r>
        <w:rPr>
          <w:rFonts w:cstheme="majorHAnsi"/>
          <w:szCs w:val="18"/>
        </w:rPr>
        <w:t xml:space="preserve">Available at: </w:t>
      </w:r>
      <w:hyperlink r:id="rId69" w:history="1">
        <w:r w:rsidRPr="00347584">
          <w:rPr>
            <w:rStyle w:val="Hyperlink"/>
            <w:rFonts w:asciiTheme="majorHAnsi" w:hAnsiTheme="majorHAnsi" w:cstheme="majorHAnsi"/>
            <w:szCs w:val="18"/>
          </w:rPr>
          <w:t>https://www.abc.net.au/news/2023-03-19/vape-disposal-waste-environment/102104946</w:t>
        </w:r>
      </w:hyperlink>
    </w:p>
  </w:footnote>
  <w:footnote w:id="84">
    <w:p w14:paraId="32970607" w14:textId="54907284" w:rsidR="00F27EB7" w:rsidRPr="00393AB7" w:rsidRDefault="00F27EB7" w:rsidP="00F65817">
      <w:pPr>
        <w:pStyle w:val="FootnoteText"/>
        <w:rPr>
          <w:rFonts w:cstheme="majorHAnsi"/>
          <w:szCs w:val="18"/>
        </w:rPr>
      </w:pPr>
      <w:r w:rsidRPr="00F85621">
        <w:rPr>
          <w:rStyle w:val="FootnoteReference"/>
          <w:rFonts w:cstheme="majorHAnsi"/>
          <w:szCs w:val="18"/>
        </w:rPr>
        <w:footnoteRef/>
      </w:r>
      <w:r w:rsidRPr="00F85621">
        <w:rPr>
          <w:rFonts w:cstheme="majorHAnsi"/>
          <w:szCs w:val="18"/>
        </w:rPr>
        <w:t xml:space="preserve"> </w:t>
      </w:r>
      <w:r>
        <w:rPr>
          <w:rFonts w:cstheme="majorHAnsi"/>
          <w:szCs w:val="18"/>
        </w:rPr>
        <w:t xml:space="preserve">Department of Health and Aged Care, ‘Laboratory test results’. Available at: </w:t>
      </w:r>
      <w:hyperlink r:id="rId70" w:history="1">
        <w:r w:rsidRPr="00BD4A0C">
          <w:rPr>
            <w:rStyle w:val="Hyperlink"/>
            <w:rFonts w:asciiTheme="majorHAnsi" w:hAnsiTheme="majorHAnsi" w:cstheme="majorHAnsi"/>
            <w:szCs w:val="18"/>
          </w:rPr>
          <w:t>https://www.tga.gov.au/resources/lab-test-reports</w:t>
        </w:r>
      </w:hyperlink>
    </w:p>
  </w:footnote>
  <w:footnote w:id="85">
    <w:p w14:paraId="66CEFA74" w14:textId="77777777" w:rsidR="00F27EB7" w:rsidRPr="00F5388E" w:rsidRDefault="00F27EB7" w:rsidP="00F65817">
      <w:pPr>
        <w:pStyle w:val="FootnoteText"/>
        <w:rPr>
          <w:rFonts w:cstheme="majorHAnsi"/>
          <w:szCs w:val="18"/>
        </w:rPr>
      </w:pPr>
      <w:r w:rsidRPr="00F5388E">
        <w:rPr>
          <w:rStyle w:val="FootnoteReference"/>
          <w:rFonts w:cstheme="majorHAnsi"/>
          <w:szCs w:val="18"/>
        </w:rPr>
        <w:footnoteRef/>
      </w:r>
      <w:r w:rsidRPr="00F5388E">
        <w:rPr>
          <w:rFonts w:cstheme="majorHAnsi"/>
          <w:szCs w:val="18"/>
        </w:rPr>
        <w:t xml:space="preserve"> NZ Ministry of Health, ‘About the Smokefree Environments and Regulated Products (Vaping) Amendment Act,’ (7 September 2023). Available at: </w:t>
      </w:r>
      <w:hyperlink r:id="rId71" w:history="1">
        <w:r w:rsidRPr="00F2116F">
          <w:rPr>
            <w:rStyle w:val="Hyperlink"/>
            <w:rFonts w:asciiTheme="majorHAnsi" w:hAnsiTheme="majorHAnsi" w:cstheme="majorHAnsi"/>
            <w:szCs w:val="18"/>
          </w:rPr>
          <w:t>https://www.health.govt.nz/our-work/regulation-health-and-disability-system/vaping-herbal-smoking-and-smokeless-tobacco-products-regulation/about-smokefree-environments-and-regulated-products-vaping-amendment-act</w:t>
        </w:r>
      </w:hyperlink>
      <w:r>
        <w:rPr>
          <w:rFonts w:cstheme="majorHAnsi"/>
          <w:szCs w:val="18"/>
        </w:rPr>
        <w:t xml:space="preserve"> </w:t>
      </w:r>
    </w:p>
  </w:footnote>
  <w:footnote w:id="86">
    <w:p w14:paraId="2D6B3206" w14:textId="77777777" w:rsidR="00F27EB7" w:rsidRPr="006450CE" w:rsidRDefault="00F27EB7" w:rsidP="00F65817">
      <w:pPr>
        <w:pStyle w:val="FootnoteText"/>
        <w:rPr>
          <w:rFonts w:cstheme="majorHAnsi"/>
          <w:szCs w:val="18"/>
        </w:rPr>
      </w:pPr>
      <w:r w:rsidRPr="00F5388E">
        <w:rPr>
          <w:rStyle w:val="FootnoteReference"/>
          <w:rFonts w:cstheme="majorHAnsi"/>
          <w:szCs w:val="18"/>
        </w:rPr>
        <w:footnoteRef/>
      </w:r>
      <w:r w:rsidRPr="00F5388E">
        <w:rPr>
          <w:rFonts w:cstheme="majorHAnsi"/>
          <w:szCs w:val="18"/>
        </w:rPr>
        <w:t xml:space="preserve"> NZ Ministry of Health, ‘Obligations – Notifiable Products,’ (22 September 2023). Available at: </w:t>
      </w:r>
      <w:hyperlink r:id="rId72" w:history="1">
        <w:r w:rsidRPr="00F2116F">
          <w:rPr>
            <w:rStyle w:val="Hyperlink"/>
            <w:rFonts w:asciiTheme="majorHAnsi" w:hAnsiTheme="majorHAnsi" w:cstheme="majorHAnsi"/>
            <w:szCs w:val="18"/>
          </w:rPr>
          <w:t>https://www.health.govt.nz/our-work/regulation-health-and-disability-system/vaping-herbal-smoking-and-smokeless-tobacco-products-regulation/information-retailers-notifiable-products/obligations-notifiable-products</w:t>
        </w:r>
      </w:hyperlink>
      <w:r>
        <w:rPr>
          <w:rFonts w:cstheme="majorHAnsi"/>
          <w:szCs w:val="18"/>
        </w:rPr>
        <w:t xml:space="preserve"> </w:t>
      </w:r>
    </w:p>
  </w:footnote>
  <w:footnote w:id="87">
    <w:p w14:paraId="5663DDC0" w14:textId="254AB534" w:rsidR="00F27EB7" w:rsidRPr="00825CA2" w:rsidRDefault="00F27EB7" w:rsidP="00181F86">
      <w:pPr>
        <w:pStyle w:val="FootnoteText"/>
        <w:rPr>
          <w:rFonts w:cstheme="majorHAnsi"/>
          <w:color w:val="0070C0"/>
          <w:szCs w:val="18"/>
        </w:rPr>
      </w:pPr>
      <w:r w:rsidRPr="00825CA2">
        <w:rPr>
          <w:rStyle w:val="FootnoteReference"/>
          <w:rFonts w:cstheme="majorHAnsi"/>
          <w:color w:val="auto"/>
          <w:szCs w:val="18"/>
        </w:rPr>
        <w:footnoteRef/>
      </w:r>
      <w:r w:rsidRPr="00825CA2">
        <w:t xml:space="preserve"> </w:t>
      </w:r>
      <w:r w:rsidRPr="00D20E99">
        <w:rPr>
          <w:rFonts w:cstheme="majorHAnsi"/>
          <w:szCs w:val="18"/>
        </w:rPr>
        <w:t xml:space="preserve">The evidence on the harms from smoking is outlined in the Impact Analysis for </w:t>
      </w:r>
      <w:r w:rsidRPr="00746795">
        <w:t>Review of Tobacco Control Legislative Framework (Thematic Review) 2023</w:t>
      </w:r>
      <w:r>
        <w:rPr>
          <w:rFonts w:cstheme="majorHAnsi"/>
          <w:szCs w:val="18"/>
        </w:rPr>
        <w:t>A</w:t>
      </w:r>
      <w:r w:rsidRPr="00755ED3">
        <w:rPr>
          <w:rFonts w:cstheme="majorHAnsi"/>
          <w:szCs w:val="18"/>
        </w:rPr>
        <w:t>vailable at</w:t>
      </w:r>
      <w:r w:rsidRPr="00746795">
        <w:rPr>
          <w:rFonts w:cstheme="majorHAnsi"/>
          <w:szCs w:val="18"/>
        </w:rPr>
        <w:t>:</w:t>
      </w:r>
      <w:r>
        <w:rPr>
          <w:rFonts w:cstheme="majorHAnsi"/>
          <w:color w:val="000000" w:themeColor="text1"/>
          <w:szCs w:val="18"/>
        </w:rPr>
        <w:t xml:space="preserve"> </w:t>
      </w:r>
      <w:hyperlink r:id="rId73" w:history="1">
        <w:r w:rsidRPr="00755ED3">
          <w:rPr>
            <w:rStyle w:val="Hyperlink"/>
            <w:rFonts w:asciiTheme="majorHAnsi" w:hAnsiTheme="majorHAnsi" w:cstheme="majorHAnsi"/>
            <w:szCs w:val="18"/>
          </w:rPr>
          <w:t>https://oia.pmc.gov.au/published-impact-analyses-and-reports/review-tobacco-control-legislative-framework-thematic-review</w:t>
        </w:r>
      </w:hyperlink>
      <w:r>
        <w:rPr>
          <w:rFonts w:cstheme="majorHAnsi"/>
          <w:color w:val="000000" w:themeColor="text1"/>
          <w:szCs w:val="18"/>
        </w:rPr>
        <w:t xml:space="preserve"> </w:t>
      </w:r>
    </w:p>
  </w:footnote>
  <w:footnote w:id="88">
    <w:p w14:paraId="503EF686" w14:textId="77777777" w:rsidR="00F27EB7" w:rsidRPr="005B3BE6" w:rsidRDefault="00F27EB7" w:rsidP="00D238B7">
      <w:pPr>
        <w:pStyle w:val="FootnoteText"/>
        <w:rPr>
          <w:rFonts w:cstheme="majorHAnsi"/>
          <w:szCs w:val="18"/>
        </w:rPr>
      </w:pPr>
      <w:r w:rsidRPr="005B3BE6">
        <w:rPr>
          <w:rStyle w:val="FootnoteReference"/>
          <w:rFonts w:cstheme="majorHAnsi"/>
          <w:szCs w:val="18"/>
        </w:rPr>
        <w:footnoteRef/>
      </w:r>
      <w:r w:rsidRPr="005B3BE6">
        <w:rPr>
          <w:rFonts w:cstheme="majorHAnsi"/>
          <w:szCs w:val="18"/>
        </w:rPr>
        <w:t xml:space="preserve"> Suppliers on the internet are abundant and are easy to find with a simple search in any website search engine.</w:t>
      </w:r>
    </w:p>
  </w:footnote>
  <w:footnote w:id="89">
    <w:p w14:paraId="1A84627A" w14:textId="12F38F8D" w:rsidR="00F27EB7" w:rsidRPr="005B3BE6" w:rsidRDefault="00F27EB7" w:rsidP="00D238B7">
      <w:pPr>
        <w:pStyle w:val="FootnoteText"/>
        <w:rPr>
          <w:rFonts w:cstheme="majorHAnsi"/>
          <w:szCs w:val="18"/>
        </w:rPr>
      </w:pPr>
      <w:r w:rsidRPr="005B3BE6">
        <w:rPr>
          <w:rStyle w:val="FootnoteReference"/>
          <w:rFonts w:cstheme="majorHAnsi"/>
          <w:szCs w:val="18"/>
        </w:rPr>
        <w:footnoteRef/>
      </w:r>
      <w:r w:rsidRPr="005B3BE6">
        <w:rPr>
          <w:rStyle w:val="FootnoteReference"/>
          <w:rFonts w:cstheme="majorHAnsi"/>
          <w:szCs w:val="18"/>
        </w:rPr>
        <w:t xml:space="preserve"> </w:t>
      </w:r>
      <w:r>
        <w:rPr>
          <w:rFonts w:cstheme="majorHAnsi"/>
          <w:szCs w:val="18"/>
        </w:rPr>
        <w:t xml:space="preserve">Ministry of Health New Zealand, ‘Smoking status of daily vapers: New Zealand Health Survey 2017/18 to 2021/22,’ (6 June 2023). Available at: </w:t>
      </w:r>
      <w:hyperlink r:id="rId74" w:history="1">
        <w:r w:rsidRPr="00500056">
          <w:rPr>
            <w:rStyle w:val="Hyperlink"/>
            <w:rFonts w:asciiTheme="majorHAnsi" w:hAnsiTheme="majorHAnsi" w:cstheme="majorHAnsi"/>
            <w:szCs w:val="18"/>
          </w:rPr>
          <w:t>https://www.health.govt.nz/publication/smoking-status-daily-vapers-new-zealand-health-survey-2017-18-2021-22</w:t>
        </w:r>
      </w:hyperlink>
      <w:r>
        <w:rPr>
          <w:rFonts w:cstheme="majorHAnsi"/>
          <w:szCs w:val="18"/>
        </w:rPr>
        <w:t xml:space="preserve"> </w:t>
      </w:r>
    </w:p>
  </w:footnote>
  <w:footnote w:id="90">
    <w:p w14:paraId="63C29618" w14:textId="24D6C8E6" w:rsidR="00F27EB7" w:rsidRPr="005B3BE6" w:rsidRDefault="00F27EB7" w:rsidP="00D238B7">
      <w:pPr>
        <w:pStyle w:val="FootnoteText"/>
        <w:rPr>
          <w:rFonts w:cstheme="majorHAnsi"/>
          <w:szCs w:val="18"/>
        </w:rPr>
      </w:pPr>
      <w:r w:rsidRPr="005B3BE6">
        <w:rPr>
          <w:rStyle w:val="FootnoteReference"/>
          <w:rFonts w:cstheme="majorHAnsi"/>
          <w:szCs w:val="18"/>
        </w:rPr>
        <w:footnoteRef/>
      </w:r>
      <w:r w:rsidRPr="005B3BE6">
        <w:rPr>
          <w:rFonts w:cstheme="majorHAnsi"/>
          <w:szCs w:val="18"/>
        </w:rPr>
        <w:t xml:space="preserve"> </w:t>
      </w:r>
      <w:r>
        <w:rPr>
          <w:rFonts w:cstheme="majorHAnsi"/>
          <w:szCs w:val="18"/>
        </w:rPr>
        <w:t xml:space="preserve">Ministry of Health New Zealand, ‘New polices will help reach Smokefree goal and address increase in youth vaping,’ (6 June 2023. Available at: </w:t>
      </w:r>
      <w:r w:rsidRPr="00064D0E">
        <w:rPr>
          <w:rFonts w:cstheme="majorHAnsi"/>
          <w:szCs w:val="18"/>
        </w:rPr>
        <w:t>https://www.health.govt.nz/news-media/news-items/new-policies-will-help-reach-smokefree-goal-and-address-increase-youth-vaping</w:t>
      </w:r>
      <w:r w:rsidDel="00064D0E">
        <w:t xml:space="preserve"> </w:t>
      </w:r>
    </w:p>
  </w:footnote>
  <w:footnote w:id="91">
    <w:p w14:paraId="3B050444" w14:textId="2C877BC3" w:rsidR="00F27EB7" w:rsidRPr="005B3BE6" w:rsidRDefault="00F27EB7" w:rsidP="00D238B7">
      <w:pPr>
        <w:pStyle w:val="FootnoteText"/>
        <w:rPr>
          <w:rFonts w:cstheme="majorHAnsi"/>
          <w:szCs w:val="18"/>
        </w:rPr>
      </w:pPr>
      <w:r w:rsidRPr="005B3BE6">
        <w:rPr>
          <w:rStyle w:val="FootnoteReference"/>
          <w:rFonts w:cstheme="majorHAnsi"/>
          <w:szCs w:val="18"/>
        </w:rPr>
        <w:footnoteRef/>
      </w:r>
      <w:r w:rsidRPr="005B3BE6">
        <w:rPr>
          <w:rFonts w:cstheme="majorHAnsi"/>
          <w:szCs w:val="18"/>
        </w:rPr>
        <w:t xml:space="preserve"> </w:t>
      </w:r>
      <w:r>
        <w:rPr>
          <w:rFonts w:cstheme="majorHAnsi"/>
          <w:szCs w:val="18"/>
        </w:rPr>
        <w:t xml:space="preserve">Office for Health Improvement &amp; Disparities United Kingdom, ‘Youth vaping: call for evidence,’ (4 October 2023). Available at: </w:t>
      </w:r>
      <w:r w:rsidRPr="00064D0E">
        <w:rPr>
          <w:rFonts w:cstheme="majorHAnsi"/>
          <w:szCs w:val="18"/>
        </w:rPr>
        <w:t>https://www.gov.uk/government/calls-for-evidence/youth-vaping-call-for-evidence/youth-vaping-call-for-evidence</w:t>
      </w:r>
      <w:r>
        <w:rPr>
          <w:rFonts w:cstheme="majorHAnsi"/>
          <w:szCs w:val="18"/>
        </w:rPr>
        <w:t xml:space="preserve"> </w:t>
      </w:r>
    </w:p>
  </w:footnote>
  <w:footnote w:id="92">
    <w:p w14:paraId="137D3EBF" w14:textId="1C463FA2" w:rsidR="00F27EB7" w:rsidRDefault="00F27EB7">
      <w:pPr>
        <w:pStyle w:val="FootnoteText"/>
      </w:pPr>
      <w:r>
        <w:rPr>
          <w:rStyle w:val="FootnoteReference"/>
        </w:rPr>
        <w:footnoteRef/>
      </w:r>
      <w:r>
        <w:t xml:space="preserve"> Department of the Prime Minister and Cabinet, ‘Review of Tobacco Control Legislative Framework (Thematic Review) 2023,’ (18 September 2023). Available at: </w:t>
      </w:r>
      <w:hyperlink r:id="rId75" w:history="1">
        <w:r w:rsidRPr="00500056">
          <w:rPr>
            <w:rStyle w:val="Hyperlink"/>
            <w:rFonts w:asciiTheme="majorHAnsi" w:hAnsiTheme="majorHAnsi"/>
          </w:rPr>
          <w:t>https://oia.pmc.gov.au/published-impact-analyses-and-reports/review-tobacco-control-legislative-framework-thematic-reviewhttps://oia.pmc.gov.au/published-impact-analyses-and-reports/review-tobacco-control-legislative-framework-thematic-review</w:t>
        </w:r>
      </w:hyperlink>
      <w:r>
        <w:t xml:space="preserve"> </w:t>
      </w:r>
    </w:p>
  </w:footnote>
  <w:footnote w:id="93">
    <w:p w14:paraId="665EA97C" w14:textId="25289195" w:rsidR="00F27EB7" w:rsidRDefault="00F27EB7">
      <w:pPr>
        <w:pStyle w:val="FootnoteText"/>
      </w:pPr>
      <w:r>
        <w:rPr>
          <w:rStyle w:val="FootnoteReference"/>
        </w:rPr>
        <w:footnoteRef/>
      </w:r>
      <w:r>
        <w:t xml:space="preserve"> Department of the Prime Minister and Cabinet, ‘Review of Tobacco Control Legislative Framework (Thematic Review) 2023,’ (18 September 2023). Available at: </w:t>
      </w:r>
      <w:hyperlink r:id="rId76" w:history="1">
        <w:r w:rsidRPr="00500056">
          <w:rPr>
            <w:rStyle w:val="Hyperlink"/>
            <w:rFonts w:asciiTheme="majorHAnsi" w:hAnsiTheme="majorHAnsi"/>
          </w:rPr>
          <w:t>https://oia.pmc.gov.au/published-impact-analyses-and-reports/review-tobacco-control-legislative-framework-thematic-reviewhttps://oia.pmc.gov.au/published-impact-analyses-and-reports/review-tobacco-control-legislative-framework-thematic-review</w:t>
        </w:r>
      </w:hyperlink>
    </w:p>
  </w:footnote>
  <w:footnote w:id="94">
    <w:p w14:paraId="70FE5291" w14:textId="5EE5EDA1" w:rsidR="00F27EB7" w:rsidRPr="002A408A" w:rsidRDefault="00F27EB7" w:rsidP="00C54D80">
      <w:pPr>
        <w:pStyle w:val="FootnoteText"/>
        <w:rPr>
          <w:rFonts w:cstheme="majorHAnsi"/>
          <w:szCs w:val="18"/>
        </w:rPr>
      </w:pPr>
      <w:r w:rsidRPr="002A408A">
        <w:rPr>
          <w:rStyle w:val="FootnoteReference"/>
          <w:rFonts w:cstheme="majorHAnsi"/>
          <w:szCs w:val="18"/>
        </w:rPr>
        <w:footnoteRef/>
      </w:r>
      <w:r w:rsidRPr="002A408A">
        <w:rPr>
          <w:rFonts w:cstheme="majorHAnsi"/>
          <w:szCs w:val="18"/>
        </w:rPr>
        <w:t xml:space="preserve"> Minister for Health and Aged Care,</w:t>
      </w:r>
      <w:r w:rsidRPr="00746795">
        <w:rPr>
          <w:rStyle w:val="Hyperlink"/>
          <w:rFonts w:asciiTheme="majorHAnsi" w:hAnsiTheme="majorHAnsi" w:cstheme="majorHAnsi"/>
          <w:szCs w:val="18"/>
          <w:u w:val="none"/>
        </w:rPr>
        <w:t xml:space="preserve"> ‘</w:t>
      </w:r>
      <w:r w:rsidRPr="002A408A">
        <w:rPr>
          <w:rFonts w:cstheme="majorHAnsi"/>
          <w:szCs w:val="18"/>
        </w:rPr>
        <w:t xml:space="preserve">Taking action on smoking and vaping’ (2 May 2023), Australian Government. Available at: </w:t>
      </w:r>
      <w:hyperlink r:id="rId77" w:history="1">
        <w:r w:rsidRPr="00500056">
          <w:rPr>
            <w:rStyle w:val="Hyperlink"/>
            <w:rFonts w:asciiTheme="majorHAnsi" w:hAnsiTheme="majorHAnsi" w:cstheme="majorHAnsi"/>
            <w:szCs w:val="18"/>
          </w:rPr>
          <w:t>https://www.health.gov.au/ministers/the-hon-mark-butler-mp/media/taking-action-on-smoking-and-vaping</w:t>
        </w:r>
      </w:hyperlink>
      <w:r>
        <w:rPr>
          <w:rFonts w:cstheme="majorHAnsi"/>
          <w:szCs w:val="18"/>
        </w:rPr>
        <w:t xml:space="preserve"> </w:t>
      </w:r>
      <w:r w:rsidRPr="002A408A">
        <w:rPr>
          <w:rFonts w:cstheme="majorHAnsi"/>
          <w:szCs w:val="18"/>
        </w:rPr>
        <w:t xml:space="preserve"> </w:t>
      </w:r>
    </w:p>
  </w:footnote>
  <w:footnote w:id="95">
    <w:p w14:paraId="6F0C6E57" w14:textId="77777777" w:rsidR="00F27EB7" w:rsidRPr="00D12EFD" w:rsidRDefault="00F27EB7" w:rsidP="003B0B55">
      <w:pPr>
        <w:pStyle w:val="FootnoteText"/>
        <w:rPr>
          <w:rFonts w:cstheme="majorHAnsi"/>
          <w:szCs w:val="18"/>
          <w:lang w:val="en-US"/>
        </w:rPr>
      </w:pPr>
      <w:r w:rsidRPr="00D12EFD">
        <w:rPr>
          <w:rStyle w:val="FootnoteReference"/>
          <w:rFonts w:cstheme="majorHAnsi"/>
          <w:szCs w:val="18"/>
        </w:rPr>
        <w:footnoteRef/>
      </w:r>
      <w:r w:rsidRPr="00D12EFD">
        <w:rPr>
          <w:rFonts w:cstheme="majorHAnsi"/>
          <w:szCs w:val="18"/>
        </w:rPr>
        <w:t xml:space="preserve"> </w:t>
      </w:r>
      <w:r w:rsidRPr="00D12EFD">
        <w:rPr>
          <w:rFonts w:cstheme="majorHAnsi"/>
          <w:szCs w:val="18"/>
          <w:lang w:val="en-US"/>
        </w:rPr>
        <w:t xml:space="preserve">80 out of 283 responses (28%) that completed the consultation paper survey specifically mentioned the growth in the black market for vapes as likely result of the proposed regulatory changes. </w:t>
      </w:r>
    </w:p>
  </w:footnote>
  <w:footnote w:id="96">
    <w:p w14:paraId="4AF1F9F7" w14:textId="62186E58" w:rsidR="00F27EB7" w:rsidRDefault="00F27EB7" w:rsidP="003B0B55">
      <w:pPr>
        <w:pStyle w:val="FootnoteText"/>
      </w:pPr>
      <w:r>
        <w:rPr>
          <w:rStyle w:val="FootnoteReference"/>
        </w:rPr>
        <w:footnoteRef/>
      </w:r>
      <w:r>
        <w:t xml:space="preserve"> </w:t>
      </w:r>
      <w:r>
        <w:rPr>
          <w:sz w:val="16"/>
          <w:szCs w:val="16"/>
        </w:rPr>
        <w:t>W</w:t>
      </w:r>
      <w:r w:rsidRPr="00E34538">
        <w:rPr>
          <w:sz w:val="16"/>
          <w:szCs w:val="16"/>
        </w:rPr>
        <w:t>ithin the scope of Article 5.3 of the WHO F</w:t>
      </w:r>
      <w:r>
        <w:rPr>
          <w:sz w:val="16"/>
          <w:szCs w:val="16"/>
        </w:rPr>
        <w:t xml:space="preserve">ramework </w:t>
      </w:r>
      <w:r w:rsidRPr="00E34538">
        <w:rPr>
          <w:sz w:val="16"/>
          <w:szCs w:val="16"/>
        </w:rPr>
        <w:t>C</w:t>
      </w:r>
      <w:r>
        <w:rPr>
          <w:sz w:val="16"/>
          <w:szCs w:val="16"/>
        </w:rPr>
        <w:t xml:space="preserve">onvention on </w:t>
      </w:r>
      <w:r w:rsidRPr="00E34538">
        <w:rPr>
          <w:sz w:val="16"/>
          <w:szCs w:val="16"/>
        </w:rPr>
        <w:t>T</w:t>
      </w:r>
      <w:r>
        <w:rPr>
          <w:sz w:val="16"/>
          <w:szCs w:val="16"/>
        </w:rPr>
        <w:t xml:space="preserve">obacco </w:t>
      </w:r>
      <w:r w:rsidRPr="00E34538">
        <w:rPr>
          <w:sz w:val="16"/>
          <w:szCs w:val="16"/>
        </w:rPr>
        <w:t>C</w:t>
      </w:r>
      <w:r>
        <w:rPr>
          <w:sz w:val="16"/>
          <w:szCs w:val="16"/>
        </w:rPr>
        <w:t>ontrol.</w:t>
      </w:r>
    </w:p>
  </w:footnote>
  <w:footnote w:id="97">
    <w:p w14:paraId="307C18DA" w14:textId="79029695" w:rsidR="00F27EB7" w:rsidRDefault="00F27EB7" w:rsidP="005E355D">
      <w:pPr>
        <w:pStyle w:val="FootnoteText"/>
      </w:pPr>
      <w:r>
        <w:rPr>
          <w:rStyle w:val="FootnoteReference"/>
        </w:rPr>
        <w:footnoteRef/>
      </w:r>
      <w:r>
        <w:t xml:space="preserve"> </w:t>
      </w:r>
      <w:r w:rsidRPr="00AE0241">
        <w:t>Stated targets are reduce Australia’s daily smoking prevalence to below 10% by 2025 and 5% or less by 2030 and reduce the daily smoking rate among First Nations people to 27% or less by 2030. Department of Health and Aged Care, National Tobacco Strategy</w:t>
      </w:r>
      <w:r>
        <w:t xml:space="preserve"> </w:t>
      </w:r>
      <w:r w:rsidRPr="00AE0241">
        <w:t>2023-2030, p.39.</w:t>
      </w:r>
    </w:p>
  </w:footnote>
  <w:footnote w:id="98">
    <w:p w14:paraId="188AF50E" w14:textId="77777777" w:rsidR="00F27EB7" w:rsidRPr="00F80E14" w:rsidRDefault="00F27EB7" w:rsidP="00F80E14">
      <w:pPr>
        <w:pStyle w:val="FootnoteText"/>
        <w:rPr>
          <w:rFonts w:cstheme="majorHAnsi"/>
          <w:szCs w:val="18"/>
          <w:lang w:val="en-US"/>
        </w:rPr>
      </w:pPr>
      <w:r w:rsidRPr="00F80E14">
        <w:rPr>
          <w:rStyle w:val="FootnoteReference"/>
          <w:rFonts w:cstheme="majorHAnsi"/>
          <w:szCs w:val="18"/>
        </w:rPr>
        <w:footnoteRef/>
      </w:r>
      <w:r w:rsidRPr="00F80E14">
        <w:rPr>
          <w:rFonts w:cstheme="majorHAnsi"/>
          <w:szCs w:val="18"/>
        </w:rPr>
        <w:t xml:space="preserve"> </w:t>
      </w:r>
      <w:r w:rsidRPr="00F80E14">
        <w:rPr>
          <w:rFonts w:cstheme="majorHAnsi"/>
          <w:szCs w:val="18"/>
          <w:lang w:val="en-US"/>
        </w:rPr>
        <w:t xml:space="preserve">While costs of professional services needed to meet regulatory requirements are classified as a substantive compliance cost, the costs of conducting tests, even though likely to be conducted by an accredited testing laboratory to demonstrate compliance against TGA product standards (TGO 110) are classified as an administrative cost. </w:t>
      </w:r>
    </w:p>
  </w:footnote>
  <w:footnote w:id="99">
    <w:p w14:paraId="25E7CE77" w14:textId="77777777" w:rsidR="00F27EB7" w:rsidRPr="00F80E14" w:rsidRDefault="00F27EB7" w:rsidP="00F80E14">
      <w:pPr>
        <w:pStyle w:val="FootnoteText"/>
        <w:rPr>
          <w:rFonts w:cstheme="majorHAnsi"/>
          <w:szCs w:val="18"/>
        </w:rPr>
      </w:pPr>
      <w:r w:rsidRPr="00F80E14">
        <w:rPr>
          <w:rStyle w:val="FootnoteReference"/>
          <w:rFonts w:cstheme="majorHAnsi"/>
          <w:szCs w:val="18"/>
        </w:rPr>
        <w:footnoteRef/>
      </w:r>
      <w:r w:rsidRPr="00F80E14">
        <w:rPr>
          <w:rFonts w:cstheme="majorHAnsi"/>
          <w:szCs w:val="18"/>
        </w:rPr>
        <w:t xml:space="preserve"> Labour rates are generally updated biennially. The next update is scheduled for February 2024.</w:t>
      </w:r>
    </w:p>
  </w:footnote>
  <w:footnote w:id="100">
    <w:p w14:paraId="48E8746F" w14:textId="1FF3D2BE" w:rsidR="00F27EB7" w:rsidRPr="00F80E14" w:rsidRDefault="00F27EB7" w:rsidP="00F80E14">
      <w:pPr>
        <w:pStyle w:val="FootnoteText"/>
        <w:rPr>
          <w:rFonts w:cstheme="majorHAnsi"/>
          <w:szCs w:val="18"/>
        </w:rPr>
      </w:pPr>
      <w:r w:rsidRPr="00F80E14">
        <w:rPr>
          <w:rStyle w:val="FootnoteReference"/>
          <w:rFonts w:cstheme="majorHAnsi"/>
          <w:szCs w:val="18"/>
        </w:rPr>
        <w:footnoteRef/>
      </w:r>
      <w:r w:rsidRPr="00F80E14">
        <w:rPr>
          <w:rFonts w:cstheme="majorHAnsi"/>
          <w:szCs w:val="18"/>
        </w:rPr>
        <w:t xml:space="preserve"> Australian Bureau of Statistics, </w:t>
      </w:r>
      <w:r>
        <w:rPr>
          <w:rFonts w:cstheme="majorHAnsi"/>
          <w:szCs w:val="18"/>
        </w:rPr>
        <w:t>‘</w:t>
      </w:r>
      <w:r w:rsidRPr="00F80E14">
        <w:rPr>
          <w:rFonts w:cstheme="majorHAnsi"/>
          <w:szCs w:val="18"/>
        </w:rPr>
        <w:t>6302.0 - Average Weekly Earnings, Australia, May 2023</w:t>
      </w:r>
      <w:r>
        <w:rPr>
          <w:rFonts w:cstheme="majorHAnsi"/>
          <w:szCs w:val="18"/>
        </w:rPr>
        <w:t xml:space="preserve">,’ (17 August 2023). Available at: </w:t>
      </w:r>
      <w:r w:rsidRPr="00F80E14">
        <w:rPr>
          <w:rFonts w:cstheme="majorHAnsi"/>
          <w:szCs w:val="18"/>
        </w:rPr>
        <w:t xml:space="preserve"> https://www.abs.gov.au/statistics/labour/earnings-and-working-conditions/average-weekly-earnings-australia/latest-release</w:t>
      </w:r>
      <w:r>
        <w:rPr>
          <w:rFonts w:cstheme="majorHAnsi"/>
          <w:szCs w:val="18"/>
        </w:rPr>
        <w:t xml:space="preserve"> </w:t>
      </w:r>
    </w:p>
  </w:footnote>
  <w:footnote w:id="101">
    <w:p w14:paraId="18C7B1ED" w14:textId="71A6C0C3" w:rsidR="00F27EB7" w:rsidRDefault="00F27EB7" w:rsidP="00F80E14">
      <w:pPr>
        <w:pStyle w:val="FootnoteText"/>
      </w:pPr>
      <w:r w:rsidRPr="00F80E14">
        <w:rPr>
          <w:rStyle w:val="FootnoteReference"/>
          <w:rFonts w:cstheme="majorHAnsi"/>
          <w:szCs w:val="18"/>
        </w:rPr>
        <w:footnoteRef/>
      </w:r>
      <w:r w:rsidRPr="00F80E14">
        <w:rPr>
          <w:rFonts w:cstheme="majorHAnsi"/>
          <w:szCs w:val="18"/>
        </w:rPr>
        <w:t xml:space="preserve"> Australian Bureau of Statistics,</w:t>
      </w:r>
      <w:r>
        <w:rPr>
          <w:rFonts w:cstheme="majorHAnsi"/>
          <w:szCs w:val="18"/>
        </w:rPr>
        <w:t>’</w:t>
      </w:r>
      <w:r w:rsidRPr="00F80E14">
        <w:rPr>
          <w:rFonts w:cstheme="majorHAnsi"/>
          <w:szCs w:val="18"/>
        </w:rPr>
        <w:t xml:space="preserve"> 6306.0 - Employee Earnings and Hours, Australia, May 20</w:t>
      </w:r>
      <w:r>
        <w:rPr>
          <w:rFonts w:cstheme="majorHAnsi"/>
          <w:szCs w:val="18"/>
        </w:rPr>
        <w:t>21</w:t>
      </w:r>
      <w:r w:rsidRPr="00F80E14">
        <w:rPr>
          <w:rFonts w:cstheme="majorHAnsi"/>
          <w:szCs w:val="18"/>
        </w:rPr>
        <w:t>,</w:t>
      </w:r>
      <w:r>
        <w:rPr>
          <w:rFonts w:cstheme="majorHAnsi"/>
          <w:szCs w:val="18"/>
        </w:rPr>
        <w:t>’ (19 January 2022). Available at:</w:t>
      </w:r>
      <w:r w:rsidRPr="00F80E14">
        <w:rPr>
          <w:rFonts w:cstheme="majorHAnsi"/>
          <w:szCs w:val="18"/>
        </w:rPr>
        <w:t xml:space="preserve"> </w:t>
      </w:r>
      <w:hyperlink r:id="rId78" w:anchor="data-download" w:history="1">
        <w:r w:rsidRPr="00D20E99">
          <w:rPr>
            <w:rStyle w:val="Hyperlink"/>
            <w:rFonts w:asciiTheme="majorHAnsi" w:hAnsiTheme="majorHAnsi" w:cstheme="majorHAnsi"/>
            <w:szCs w:val="18"/>
          </w:rPr>
          <w:t>https://www.abs.gov.au/statistics/labour/earnings-and-work-hours/employee-earnings-and-hours-australia/latest-release#data-download</w:t>
        </w:r>
      </w:hyperlink>
    </w:p>
  </w:footnote>
  <w:footnote w:id="102">
    <w:p w14:paraId="40017E48" w14:textId="77777777" w:rsidR="00F27EB7" w:rsidRPr="00F80E14" w:rsidRDefault="00F27EB7" w:rsidP="00F80E14">
      <w:pPr>
        <w:pStyle w:val="FootnoteText"/>
        <w:rPr>
          <w:rFonts w:cstheme="majorHAnsi"/>
          <w:szCs w:val="18"/>
          <w:lang w:val="en-US"/>
        </w:rPr>
      </w:pPr>
      <w:r w:rsidRPr="00F80E14">
        <w:rPr>
          <w:rStyle w:val="FootnoteReference"/>
          <w:rFonts w:cstheme="majorHAnsi"/>
          <w:szCs w:val="18"/>
        </w:rPr>
        <w:footnoteRef/>
      </w:r>
      <w:r w:rsidRPr="00F80E14">
        <w:rPr>
          <w:rFonts w:cstheme="majorHAnsi"/>
          <w:szCs w:val="18"/>
        </w:rPr>
        <w:t xml:space="preserve"> </w:t>
      </w:r>
      <w:r w:rsidRPr="00F80E14">
        <w:rPr>
          <w:rFonts w:cstheme="majorHAnsi"/>
          <w:szCs w:val="18"/>
          <w:lang w:val="en-US"/>
        </w:rPr>
        <w:t xml:space="preserve">Responses to the 2021 September consultation paper from vape retailers indicated that they held on average $1m - $2m in stock on hand (included zero-nicotine e-liquids, devices and accessories), Wholesalers reported significantly greater stockholdings, with some currently holding millions of stock units. </w:t>
      </w:r>
    </w:p>
  </w:footnote>
  <w:footnote w:id="103">
    <w:p w14:paraId="145657F1" w14:textId="52C7AC80" w:rsidR="00F27EB7" w:rsidRPr="00F80E14" w:rsidRDefault="00F27EB7" w:rsidP="00F80E14">
      <w:pPr>
        <w:pStyle w:val="FootnoteText"/>
        <w:rPr>
          <w:rFonts w:cstheme="majorHAnsi"/>
          <w:szCs w:val="18"/>
          <w:lang w:val="en-US"/>
        </w:rPr>
      </w:pPr>
      <w:r w:rsidRPr="00F80E14">
        <w:rPr>
          <w:rStyle w:val="FootnoteReference"/>
          <w:rFonts w:cstheme="majorHAnsi"/>
          <w:szCs w:val="18"/>
        </w:rPr>
        <w:footnoteRef/>
      </w:r>
      <w:bookmarkStart w:id="284" w:name="_Hlk150950599"/>
      <w:r w:rsidRPr="003B72EF">
        <w:rPr>
          <w:rFonts w:cstheme="majorHAnsi"/>
          <w:szCs w:val="18"/>
        </w:rPr>
        <w:t>World Self-Medication Industry, Consumer Behaviour Fact Book, March 2015.</w:t>
      </w:r>
      <w:bookmarkEnd w:id="284"/>
      <w:r w:rsidRPr="00F80E14">
        <w:rPr>
          <w:rFonts w:cstheme="majorHAnsi"/>
          <w:szCs w:val="18"/>
        </w:rPr>
        <w:t>.</w:t>
      </w:r>
    </w:p>
  </w:footnote>
  <w:footnote w:id="104">
    <w:p w14:paraId="4F786C7A" w14:textId="77777777" w:rsidR="00F27EB7" w:rsidRPr="00F80E14" w:rsidRDefault="00F27EB7" w:rsidP="00F80E14">
      <w:pPr>
        <w:pStyle w:val="FootnoteText"/>
        <w:rPr>
          <w:rFonts w:cstheme="majorHAnsi"/>
          <w:szCs w:val="18"/>
        </w:rPr>
      </w:pPr>
      <w:r w:rsidRPr="00F80E14">
        <w:rPr>
          <w:rStyle w:val="FootnoteReference"/>
          <w:rFonts w:cstheme="majorHAnsi"/>
          <w:szCs w:val="18"/>
        </w:rPr>
        <w:footnoteRef/>
      </w:r>
      <w:r w:rsidRPr="00F80E14">
        <w:rPr>
          <w:rFonts w:cstheme="majorHAnsi"/>
          <w:szCs w:val="18"/>
        </w:rPr>
        <w:t xml:space="preserve"> It is understood that the Australian Health Practitioner Regulation Agency (AHPRA) may be investigating some of the general practitioners providing these online ‘vaping scripts’ platforms but at the time of writing these platforms are still in operation. </w:t>
      </w:r>
    </w:p>
  </w:footnote>
  <w:footnote w:id="105">
    <w:p w14:paraId="59E65970" w14:textId="77777777" w:rsidR="00F27EB7" w:rsidRPr="00F80E14" w:rsidRDefault="00F27EB7" w:rsidP="00F80E14">
      <w:pPr>
        <w:pStyle w:val="FootnoteText"/>
        <w:rPr>
          <w:rFonts w:cstheme="majorHAnsi"/>
          <w:szCs w:val="18"/>
        </w:rPr>
      </w:pPr>
      <w:r w:rsidRPr="00F80E14">
        <w:rPr>
          <w:rStyle w:val="FootnoteReference"/>
          <w:rFonts w:cstheme="majorHAnsi"/>
          <w:szCs w:val="18"/>
        </w:rPr>
        <w:footnoteRef/>
      </w:r>
      <w:r w:rsidRPr="00F80E14">
        <w:rPr>
          <w:rFonts w:cstheme="majorHAnsi"/>
          <w:szCs w:val="18"/>
        </w:rPr>
        <w:t xml:space="preserve"> Advice from the TGA to Noetic on 21 October 2020 stated that although some future importers/wholesalers/sponsors may wish for e-cigarette nicotine to be included on the PBS, there is a high possibility that applications could be rejected.</w:t>
      </w:r>
    </w:p>
  </w:footnote>
  <w:footnote w:id="106">
    <w:p w14:paraId="750204B6" w14:textId="77777777" w:rsidR="00F27EB7" w:rsidRPr="00FC2057" w:rsidRDefault="00F27EB7" w:rsidP="00F80E14">
      <w:pPr>
        <w:pStyle w:val="FootnoteText"/>
        <w:rPr>
          <w:lang w:val="en-US"/>
        </w:rPr>
      </w:pPr>
      <w:r w:rsidRPr="00F80E14">
        <w:rPr>
          <w:rStyle w:val="FootnoteReference"/>
          <w:rFonts w:cstheme="majorHAnsi"/>
          <w:szCs w:val="18"/>
        </w:rPr>
        <w:footnoteRef/>
      </w:r>
      <w:r w:rsidRPr="00F80E14">
        <w:rPr>
          <w:rFonts w:cstheme="majorHAnsi"/>
          <w:szCs w:val="18"/>
        </w:rPr>
        <w:t xml:space="preserve"> </w:t>
      </w:r>
      <w:r w:rsidRPr="00F80E14">
        <w:rPr>
          <w:rFonts w:cstheme="majorHAnsi"/>
          <w:szCs w:val="18"/>
          <w:lang w:val="en-US"/>
        </w:rPr>
        <w:t>It has been assumed that there is not a meaningful correlation between the number of vapes and overall increases in the Australian population. Thus, the base population has not been adjusted to account for population increases over the 10-year default period for the regulatory costing.</w:t>
      </w:r>
      <w:r>
        <w:rPr>
          <w:lang w:val="en-US"/>
        </w:rPr>
        <w:t xml:space="preserve"> </w:t>
      </w:r>
    </w:p>
  </w:footnote>
  <w:footnote w:id="107">
    <w:p w14:paraId="697BB0F4" w14:textId="77777777" w:rsidR="00F27EB7" w:rsidRPr="00970164" w:rsidRDefault="00F27EB7" w:rsidP="00F80E14">
      <w:pPr>
        <w:pStyle w:val="FootnoteText"/>
        <w:rPr>
          <w:rFonts w:cstheme="majorHAnsi"/>
          <w:szCs w:val="18"/>
        </w:rPr>
      </w:pPr>
      <w:r w:rsidRPr="00970164">
        <w:rPr>
          <w:rStyle w:val="FootnoteReference"/>
          <w:rFonts w:cstheme="majorHAnsi"/>
          <w:szCs w:val="18"/>
        </w:rPr>
        <w:footnoteRef/>
      </w:r>
      <w:r w:rsidRPr="00970164">
        <w:rPr>
          <w:rFonts w:cstheme="majorHAnsi"/>
          <w:szCs w:val="18"/>
        </w:rPr>
        <w:t xml:space="preserve"> Pharmacy Board of Australia, </w:t>
      </w:r>
      <w:r w:rsidRPr="00970164">
        <w:rPr>
          <w:rFonts w:cstheme="majorHAnsi"/>
          <w:i/>
          <w:iCs/>
          <w:szCs w:val="18"/>
        </w:rPr>
        <w:t>Guidelines for Dispensing a Medicines</w:t>
      </w:r>
      <w:r w:rsidRPr="00970164">
        <w:rPr>
          <w:rFonts w:cstheme="majorHAnsi"/>
          <w:szCs w:val="18"/>
        </w:rPr>
        <w:t>, September 2015.</w:t>
      </w:r>
    </w:p>
  </w:footnote>
  <w:footnote w:id="108">
    <w:p w14:paraId="49405DC7" w14:textId="77777777" w:rsidR="00F27EB7" w:rsidRPr="00970164" w:rsidRDefault="00F27EB7" w:rsidP="00F80E14">
      <w:pPr>
        <w:pStyle w:val="FootnoteText"/>
        <w:rPr>
          <w:rFonts w:cstheme="majorHAnsi"/>
          <w:szCs w:val="18"/>
        </w:rPr>
      </w:pPr>
      <w:r w:rsidRPr="00970164">
        <w:rPr>
          <w:rStyle w:val="FootnoteReference"/>
          <w:rFonts w:cstheme="majorHAnsi"/>
          <w:szCs w:val="18"/>
        </w:rPr>
        <w:footnoteRef/>
      </w:r>
      <w:r w:rsidRPr="00970164">
        <w:rPr>
          <w:rFonts w:cstheme="majorHAnsi"/>
          <w:szCs w:val="18"/>
        </w:rPr>
        <w:t xml:space="preserve"> National Drug Research Institute, Curtin University report titled ‘Identifying the Social Costs of Tobacco Use to Australia in 2015/16’, 2019, &lt; https://ndri.curtin.edu.au/NDRI/media/documents/publications/T273.pdf&gt;.</w:t>
      </w:r>
    </w:p>
  </w:footnote>
  <w:footnote w:id="109">
    <w:p w14:paraId="455A6CAA" w14:textId="77777777" w:rsidR="00F27EB7" w:rsidRPr="00970164" w:rsidRDefault="00F27EB7" w:rsidP="00F80E14">
      <w:pPr>
        <w:pStyle w:val="FootnoteText"/>
        <w:rPr>
          <w:rFonts w:cstheme="majorHAnsi"/>
          <w:szCs w:val="18"/>
        </w:rPr>
      </w:pPr>
      <w:r w:rsidRPr="00970164">
        <w:rPr>
          <w:rStyle w:val="FootnoteReference"/>
          <w:rFonts w:cstheme="majorHAnsi"/>
          <w:szCs w:val="18"/>
        </w:rPr>
        <w:footnoteRef/>
      </w:r>
      <w:r w:rsidRPr="00970164">
        <w:rPr>
          <w:rFonts w:cstheme="majorHAnsi"/>
          <w:szCs w:val="18"/>
        </w:rPr>
        <w:t xml:space="preserve"> Special Access Scheme Category A (SAS A) is not applicable as this is limited to patients who are classified on the TGA website as ‘seriously ill’, defined as ‘a condition that is reasonably likely to lead to a person’s death within less than a year or, without early treatment, to the person’s premature death’. </w:t>
      </w:r>
    </w:p>
  </w:footnote>
  <w:footnote w:id="110">
    <w:p w14:paraId="390799A3" w14:textId="77777777" w:rsidR="00F27EB7" w:rsidRPr="00970164" w:rsidRDefault="00F27EB7" w:rsidP="00F80E14">
      <w:pPr>
        <w:pStyle w:val="FootnoteText"/>
        <w:rPr>
          <w:rFonts w:cstheme="majorHAnsi"/>
          <w:szCs w:val="18"/>
          <w:lang w:val="en-US"/>
        </w:rPr>
      </w:pPr>
      <w:r w:rsidRPr="00970164">
        <w:rPr>
          <w:rStyle w:val="FootnoteReference"/>
          <w:rFonts w:cstheme="majorHAnsi"/>
          <w:szCs w:val="18"/>
        </w:rPr>
        <w:footnoteRef/>
      </w:r>
      <w:r w:rsidRPr="00970164">
        <w:rPr>
          <w:rFonts w:cstheme="majorHAnsi"/>
          <w:szCs w:val="18"/>
        </w:rPr>
        <w:t xml:space="preserve"> </w:t>
      </w:r>
      <w:r w:rsidRPr="00970164">
        <w:rPr>
          <w:rFonts w:cstheme="majorHAnsi"/>
          <w:szCs w:val="18"/>
          <w:lang w:val="en-US"/>
        </w:rPr>
        <w:t xml:space="preserve">Note this requirement will no longer be applicable once a vape is entered on the ARTG. </w:t>
      </w:r>
    </w:p>
  </w:footnote>
  <w:footnote w:id="111">
    <w:p w14:paraId="739DE0EC" w14:textId="77777777" w:rsidR="00F27EB7" w:rsidRPr="00970164" w:rsidRDefault="00F27EB7" w:rsidP="00F80E14">
      <w:pPr>
        <w:pStyle w:val="FootnoteText"/>
        <w:rPr>
          <w:rFonts w:cstheme="majorHAnsi"/>
          <w:szCs w:val="18"/>
        </w:rPr>
      </w:pPr>
      <w:r w:rsidRPr="00970164">
        <w:rPr>
          <w:rStyle w:val="FootnoteReference"/>
          <w:rFonts w:cstheme="majorHAnsi"/>
          <w:szCs w:val="18"/>
        </w:rPr>
        <w:footnoteRef/>
      </w:r>
      <w:r w:rsidRPr="00970164">
        <w:rPr>
          <w:rFonts w:cstheme="majorHAnsi"/>
          <w:szCs w:val="18"/>
        </w:rPr>
        <w:t xml:space="preserve"> Such as the Authorised Prescriber user guidance document from the TGA – https://www.tga.gov.au/publication/authorised-prescriber-user-guidance.</w:t>
      </w:r>
    </w:p>
  </w:footnote>
  <w:footnote w:id="112">
    <w:p w14:paraId="0ACAAE5B" w14:textId="7788C2EA" w:rsidR="00F27EB7" w:rsidRPr="00970164" w:rsidRDefault="00F27EB7" w:rsidP="00F80E14">
      <w:pPr>
        <w:pStyle w:val="FootnoteText"/>
        <w:rPr>
          <w:rFonts w:cstheme="majorHAnsi"/>
          <w:szCs w:val="18"/>
        </w:rPr>
      </w:pPr>
      <w:r w:rsidRPr="00970164">
        <w:rPr>
          <w:rStyle w:val="FootnoteReference"/>
          <w:rFonts w:cstheme="majorHAnsi"/>
          <w:szCs w:val="18"/>
        </w:rPr>
        <w:footnoteRef/>
      </w:r>
      <w:r w:rsidRPr="00970164">
        <w:rPr>
          <w:rFonts w:cstheme="majorHAnsi"/>
          <w:szCs w:val="18"/>
        </w:rPr>
        <w:t xml:space="preserve"> This estimated time came from doctors reading material on the TGA website such as </w:t>
      </w:r>
      <w:r>
        <w:rPr>
          <w:rFonts w:cstheme="majorHAnsi"/>
          <w:szCs w:val="18"/>
        </w:rPr>
        <w:t>Access to nicotine-containing e-cigarettes</w:t>
      </w:r>
      <w:r w:rsidRPr="00970164">
        <w:rPr>
          <w:rFonts w:cstheme="majorHAnsi"/>
          <w:szCs w:val="18"/>
        </w:rPr>
        <w:t xml:space="preserve"> –</w:t>
      </w:r>
      <w:r>
        <w:rPr>
          <w:rFonts w:cstheme="majorHAnsi"/>
          <w:szCs w:val="18"/>
        </w:rPr>
        <w:t xml:space="preserve"> </w:t>
      </w:r>
      <w:hyperlink r:id="rId79" w:history="1">
        <w:r w:rsidRPr="00500056">
          <w:rPr>
            <w:rStyle w:val="Hyperlink"/>
            <w:rFonts w:asciiTheme="majorHAnsi" w:hAnsiTheme="majorHAnsi" w:cstheme="majorHAnsi"/>
            <w:szCs w:val="18"/>
          </w:rPr>
          <w:t>https://www.tga.gov.au/news/media-releases/access-nicotine-containing-e-cigarettes</w:t>
        </w:r>
      </w:hyperlink>
      <w:r>
        <w:rPr>
          <w:rFonts w:cstheme="majorHAnsi"/>
          <w:szCs w:val="18"/>
        </w:rPr>
        <w:t>)</w:t>
      </w:r>
      <w:r w:rsidRPr="00970164">
        <w:rPr>
          <w:rFonts w:cstheme="majorHAnsi"/>
          <w:szCs w:val="18"/>
        </w:rPr>
        <w:t xml:space="preserve">, material on the Special Access Scheme page – </w:t>
      </w:r>
      <w:hyperlink r:id="rId80" w:history="1">
        <w:r w:rsidRPr="00970164">
          <w:rPr>
            <w:rStyle w:val="Hyperlink"/>
            <w:rFonts w:asciiTheme="majorHAnsi" w:hAnsiTheme="majorHAnsi" w:cstheme="majorHAnsi"/>
            <w:szCs w:val="18"/>
          </w:rPr>
          <w:t>https://www.tga.gov.au/form/special-access-scheme</w:t>
        </w:r>
      </w:hyperlink>
      <w:r w:rsidRPr="00970164">
        <w:rPr>
          <w:rFonts w:cstheme="majorHAnsi"/>
          <w:szCs w:val="18"/>
        </w:rPr>
        <w:t xml:space="preserve">, and on the Authorised Prescribers page – </w:t>
      </w:r>
      <w:hyperlink r:id="rId81" w:history="1">
        <w:r w:rsidRPr="00970164">
          <w:rPr>
            <w:rStyle w:val="Hyperlink"/>
            <w:rFonts w:asciiTheme="majorHAnsi" w:hAnsiTheme="majorHAnsi" w:cstheme="majorHAnsi"/>
            <w:szCs w:val="18"/>
          </w:rPr>
          <w:t>https://www.tga.gov.au/form/authorised-prescribers</w:t>
        </w:r>
      </w:hyperlink>
      <w:r w:rsidRPr="00970164">
        <w:rPr>
          <w:rFonts w:cstheme="majorHAnsi"/>
          <w:szCs w:val="18"/>
        </w:rPr>
        <w:t xml:space="preserve">. </w:t>
      </w:r>
    </w:p>
  </w:footnote>
  <w:footnote w:id="113">
    <w:p w14:paraId="1C8F8CD6" w14:textId="77777777" w:rsidR="00F27EB7" w:rsidRPr="00970164" w:rsidRDefault="00F27EB7" w:rsidP="00F80E14">
      <w:pPr>
        <w:pStyle w:val="FootnoteText"/>
        <w:rPr>
          <w:rFonts w:cstheme="majorHAnsi"/>
          <w:szCs w:val="18"/>
          <w:lang w:val="en-US"/>
        </w:rPr>
      </w:pPr>
      <w:r w:rsidRPr="00970164">
        <w:rPr>
          <w:rStyle w:val="FootnoteReference"/>
          <w:rFonts w:cstheme="majorHAnsi"/>
          <w:szCs w:val="18"/>
        </w:rPr>
        <w:footnoteRef/>
      </w:r>
      <w:r w:rsidRPr="00970164">
        <w:rPr>
          <w:rFonts w:cstheme="majorHAnsi"/>
          <w:szCs w:val="18"/>
        </w:rPr>
        <w:t xml:space="preserve"> An AP application expires after 5 years. After this time doctors will be required to make a new AP submission for nicotine if they wish to continue prescribing under the scheme.  </w:t>
      </w:r>
    </w:p>
  </w:footnote>
  <w:footnote w:id="114">
    <w:p w14:paraId="4A1AB4EC" w14:textId="15E0EA4B" w:rsidR="00F27EB7" w:rsidRPr="00970164" w:rsidRDefault="00F27EB7" w:rsidP="00F80E14">
      <w:pPr>
        <w:pStyle w:val="FootnoteText"/>
        <w:rPr>
          <w:rFonts w:cstheme="majorHAnsi"/>
          <w:szCs w:val="18"/>
        </w:rPr>
      </w:pPr>
      <w:r w:rsidRPr="00970164">
        <w:rPr>
          <w:rStyle w:val="FootnoteReference"/>
          <w:rFonts w:cstheme="majorHAnsi"/>
          <w:szCs w:val="18"/>
        </w:rPr>
        <w:footnoteRef/>
      </w:r>
      <w:r w:rsidRPr="00970164">
        <w:rPr>
          <w:rFonts w:cstheme="majorHAnsi"/>
          <w:szCs w:val="18"/>
        </w:rPr>
        <w:t xml:space="preserve"> Such as the SAS Online System Guidance document from the TGA </w:t>
      </w:r>
      <w:r>
        <w:rPr>
          <w:rFonts w:cstheme="majorHAnsi"/>
          <w:szCs w:val="18"/>
        </w:rPr>
        <w:t xml:space="preserve">– </w:t>
      </w:r>
      <w:hyperlink r:id="rId82" w:history="1">
        <w:r w:rsidRPr="009C28C6">
          <w:rPr>
            <w:rStyle w:val="Hyperlink"/>
            <w:rFonts w:asciiTheme="majorHAnsi" w:hAnsiTheme="majorHAnsi" w:cstheme="majorHAnsi"/>
            <w:szCs w:val="18"/>
          </w:rPr>
          <w:t>https://www.tga.gov.au/resources/resource/guidance/special-access-scheme-sas-online-system-guidance</w:t>
        </w:r>
      </w:hyperlink>
      <w:r>
        <w:rPr>
          <w:rFonts w:cstheme="majorHAnsi"/>
          <w:szCs w:val="18"/>
        </w:rPr>
        <w:t xml:space="preserve"> </w:t>
      </w:r>
      <w:r w:rsidRPr="00D6462F" w:rsidDel="00D6462F">
        <w:rPr>
          <w:rFonts w:cstheme="majorHAnsi"/>
          <w:szCs w:val="18"/>
        </w:rPr>
        <w:t xml:space="preserve"> </w:t>
      </w:r>
    </w:p>
  </w:footnote>
  <w:footnote w:id="115">
    <w:p w14:paraId="7D9BB100" w14:textId="750B2871" w:rsidR="00F27EB7" w:rsidRPr="00970164" w:rsidRDefault="00F27EB7" w:rsidP="00F80E14">
      <w:pPr>
        <w:pStyle w:val="FootnoteText"/>
        <w:rPr>
          <w:rFonts w:cstheme="majorHAnsi"/>
          <w:szCs w:val="18"/>
          <w:lang w:val="en-US"/>
        </w:rPr>
      </w:pPr>
      <w:r w:rsidRPr="00970164">
        <w:rPr>
          <w:rStyle w:val="FootnoteReference"/>
          <w:rFonts w:cstheme="majorHAnsi"/>
          <w:szCs w:val="18"/>
        </w:rPr>
        <w:footnoteRef/>
      </w:r>
      <w:r w:rsidRPr="00970164">
        <w:rPr>
          <w:rFonts w:cstheme="majorHAnsi"/>
          <w:szCs w:val="18"/>
        </w:rPr>
        <w:t xml:space="preserve"> </w:t>
      </w:r>
      <w:r>
        <w:rPr>
          <w:rFonts w:cstheme="majorHAnsi"/>
          <w:szCs w:val="18"/>
        </w:rPr>
        <w:t>Australian Health Practitioner Regulation Agency, ‘</w:t>
      </w:r>
      <w:r w:rsidRPr="00970164">
        <w:rPr>
          <w:rFonts w:cstheme="majorHAnsi"/>
          <w:szCs w:val="18"/>
          <w:lang w:val="en-US"/>
        </w:rPr>
        <w:t>Nursing and Midwifery Board of Australia – Registrant Data: Reporting period: 1 April 203 to 30 June 2023,</w:t>
      </w:r>
      <w:r>
        <w:rPr>
          <w:rFonts w:cstheme="majorHAnsi"/>
          <w:szCs w:val="18"/>
          <w:lang w:val="en-US"/>
        </w:rPr>
        <w:t xml:space="preserve">’ Available at: </w:t>
      </w:r>
      <w:hyperlink r:id="rId83" w:history="1">
        <w:r w:rsidRPr="00500056">
          <w:rPr>
            <w:rStyle w:val="Hyperlink"/>
            <w:rFonts w:asciiTheme="majorHAnsi" w:hAnsiTheme="majorHAnsi" w:cstheme="majorHAnsi"/>
            <w:szCs w:val="18"/>
            <w:lang w:val="en-US"/>
          </w:rPr>
          <w:t>https://www.nursingmidwiferyboard.gov.au/About/Statistics.aspx</w:t>
        </w:r>
      </w:hyperlink>
    </w:p>
  </w:footnote>
  <w:footnote w:id="116">
    <w:p w14:paraId="58E24316" w14:textId="77777777" w:rsidR="00F27EB7" w:rsidRPr="00970164" w:rsidRDefault="00F27EB7" w:rsidP="00F80E14">
      <w:pPr>
        <w:pStyle w:val="FootnoteText"/>
        <w:rPr>
          <w:rFonts w:cstheme="majorHAnsi"/>
          <w:szCs w:val="18"/>
          <w:lang w:val="en-US"/>
        </w:rPr>
      </w:pPr>
      <w:r w:rsidRPr="00970164">
        <w:rPr>
          <w:rStyle w:val="FootnoteReference"/>
          <w:rFonts w:cstheme="majorHAnsi"/>
          <w:szCs w:val="18"/>
        </w:rPr>
        <w:footnoteRef/>
      </w:r>
      <w:r w:rsidRPr="00970164">
        <w:rPr>
          <w:rFonts w:cstheme="majorHAnsi"/>
          <w:szCs w:val="18"/>
        </w:rPr>
        <w:t xml:space="preserve"> Noting that the current TGO 110 does not have provide any guidance as to the safety and quality aspect requirements for vaping devices (as opposed to the e-liquid).</w:t>
      </w:r>
      <w:r w:rsidRPr="00970164">
        <w:rPr>
          <w:rFonts w:cstheme="majorHAnsi"/>
          <w:szCs w:val="18"/>
          <w:lang w:val="en-US"/>
        </w:rPr>
        <w:t xml:space="preserve"> </w:t>
      </w:r>
    </w:p>
  </w:footnote>
  <w:footnote w:id="117">
    <w:p w14:paraId="7B348705" w14:textId="1710C300" w:rsidR="00F27EB7" w:rsidRPr="00970164" w:rsidRDefault="00F27EB7" w:rsidP="00F80E14">
      <w:pPr>
        <w:pStyle w:val="FootnoteText"/>
        <w:rPr>
          <w:rFonts w:cstheme="majorHAnsi"/>
          <w:szCs w:val="18"/>
        </w:rPr>
      </w:pPr>
      <w:r w:rsidRPr="00970164">
        <w:rPr>
          <w:rStyle w:val="FootnoteReference"/>
          <w:rFonts w:cstheme="majorHAnsi"/>
          <w:szCs w:val="18"/>
        </w:rPr>
        <w:footnoteRef/>
      </w:r>
      <w:r w:rsidRPr="00970164">
        <w:rPr>
          <w:rFonts w:cstheme="majorHAnsi"/>
          <w:szCs w:val="18"/>
        </w:rPr>
        <w:t xml:space="preserve"> </w:t>
      </w:r>
      <w:r>
        <w:rPr>
          <w:rFonts w:cstheme="majorHAnsi"/>
          <w:szCs w:val="18"/>
        </w:rPr>
        <w:t xml:space="preserve">Department of Health and Aged Care, ‘Nicotine vaping products: Information for pharmacists’, (16 March 2022). Available at: </w:t>
      </w:r>
      <w:r w:rsidRPr="00B438CF">
        <w:rPr>
          <w:rFonts w:cstheme="majorHAnsi"/>
          <w:szCs w:val="18"/>
        </w:rPr>
        <w:t>https://www.tga.gov.au/resources/resource/guidance/nicotine-vaping-products-information-pharmacists</w:t>
      </w:r>
      <w:r>
        <w:rPr>
          <w:rFonts w:cstheme="majorHAnsi"/>
          <w:szCs w:val="18"/>
        </w:rPr>
        <w:t xml:space="preserve"> </w:t>
      </w:r>
    </w:p>
  </w:footnote>
  <w:footnote w:id="118">
    <w:p w14:paraId="292CB777" w14:textId="77777777" w:rsidR="00F27EB7" w:rsidRPr="00970164" w:rsidRDefault="00F27EB7" w:rsidP="00F80E14">
      <w:pPr>
        <w:pStyle w:val="FootnoteText"/>
        <w:rPr>
          <w:rFonts w:cstheme="majorHAnsi"/>
          <w:szCs w:val="18"/>
        </w:rPr>
      </w:pPr>
      <w:r w:rsidRPr="00970164">
        <w:rPr>
          <w:rStyle w:val="FootnoteReference"/>
          <w:rFonts w:cstheme="majorHAnsi"/>
          <w:szCs w:val="18"/>
        </w:rPr>
        <w:footnoteRef/>
      </w:r>
      <w:r w:rsidRPr="00970164">
        <w:rPr>
          <w:rFonts w:cstheme="majorHAnsi"/>
          <w:szCs w:val="18"/>
        </w:rPr>
        <w:t xml:space="preserve"> Advice from the Pharmaceutical Society of Australia is that pharmacists should consider importing nicotine e-liquid from countries with regulatory requirements that are similar to TGO 110 (e.g., UK, EU, Canada, US and NZ) and where there is evidence that the imported product complies with the regulatory requirements of that country. See Pharmaceutical Society of Australia, ‘Guidelines for pharmacists providing smoking cessation support’, September 2021.</w:t>
      </w:r>
    </w:p>
  </w:footnote>
  <w:footnote w:id="119">
    <w:p w14:paraId="33871265" w14:textId="4D53DAA0" w:rsidR="00F27EB7" w:rsidRPr="00970164" w:rsidRDefault="00F27EB7" w:rsidP="00F80E14">
      <w:pPr>
        <w:pStyle w:val="FootnoteText"/>
        <w:rPr>
          <w:rFonts w:cstheme="majorHAnsi"/>
          <w:szCs w:val="18"/>
        </w:rPr>
      </w:pPr>
      <w:r w:rsidRPr="00970164">
        <w:rPr>
          <w:rStyle w:val="FootnoteReference"/>
          <w:rFonts w:cstheme="majorHAnsi"/>
          <w:szCs w:val="18"/>
        </w:rPr>
        <w:footnoteRef/>
      </w:r>
      <w:r w:rsidRPr="00970164">
        <w:rPr>
          <w:rFonts w:cstheme="majorHAnsi"/>
          <w:szCs w:val="18"/>
        </w:rPr>
        <w:t xml:space="preserve"> Table 13 (p.18) of the PBS Expenditure and Prescriptions Report 1 July 2021 to 30 June 2022 produced by the Department of Health and Aged Care details that as of 30 June 2022 there were 5,901 community pharmacies as approved suppliers under the PBS. The smokefree webpage (</w:t>
      </w:r>
      <w:hyperlink r:id="rId84" w:history="1">
        <w:r w:rsidRPr="00970164">
          <w:rPr>
            <w:rStyle w:val="Hyperlink"/>
            <w:rFonts w:asciiTheme="majorHAnsi" w:hAnsiTheme="majorHAnsi" w:cstheme="majorHAnsi"/>
            <w:szCs w:val="18"/>
          </w:rPr>
          <w:t>https://smokefreeclinic.com.au/</w:t>
        </w:r>
      </w:hyperlink>
      <w:r w:rsidRPr="00970164">
        <w:rPr>
          <w:rFonts w:cstheme="majorHAnsi"/>
          <w:szCs w:val="18"/>
        </w:rPr>
        <w:t xml:space="preserve">) operated by Telehealth Clinics Australian Pty Ltd details that over 2,200 community pharmacies stock nicotine e-liquid, </w:t>
      </w:r>
      <w:r>
        <w:rPr>
          <w:rFonts w:cstheme="majorHAnsi"/>
          <w:szCs w:val="18"/>
        </w:rPr>
        <w:t>(</w:t>
      </w:r>
      <w:hyperlink r:id="rId85" w:history="1">
        <w:r w:rsidRPr="00431C39">
          <w:rPr>
            <w:rStyle w:val="Hyperlink"/>
            <w:rFonts w:asciiTheme="majorHAnsi" w:hAnsiTheme="majorHAnsi" w:cstheme="majorHAnsi"/>
            <w:szCs w:val="18"/>
          </w:rPr>
          <w:t>https://smokefreeclinic.com.au/nicotine-vapes-australia/</w:t>
        </w:r>
      </w:hyperlink>
      <w:r w:rsidRPr="00970164">
        <w:rPr>
          <w:rFonts w:cstheme="majorHAnsi"/>
          <w:szCs w:val="18"/>
        </w:rPr>
        <w:t>)</w:t>
      </w:r>
    </w:p>
  </w:footnote>
  <w:footnote w:id="120">
    <w:p w14:paraId="5FD96F14" w14:textId="33BC5603" w:rsidR="00F27EB7" w:rsidRPr="00970164" w:rsidRDefault="00F27EB7" w:rsidP="00F80E14">
      <w:pPr>
        <w:pStyle w:val="FootnoteText"/>
        <w:rPr>
          <w:rFonts w:cstheme="majorHAnsi"/>
          <w:szCs w:val="18"/>
          <w:lang w:val="en-US"/>
        </w:rPr>
      </w:pPr>
      <w:r w:rsidRPr="00970164">
        <w:rPr>
          <w:rStyle w:val="FootnoteReference"/>
          <w:rFonts w:cstheme="majorHAnsi"/>
          <w:szCs w:val="18"/>
        </w:rPr>
        <w:footnoteRef/>
      </w:r>
      <w:r w:rsidRPr="00970164">
        <w:rPr>
          <w:rFonts w:cstheme="majorHAnsi"/>
          <w:szCs w:val="18"/>
        </w:rPr>
        <w:t xml:space="preserve"> </w:t>
      </w:r>
      <w:r w:rsidRPr="00970164">
        <w:rPr>
          <w:rFonts w:cstheme="majorHAnsi"/>
          <w:szCs w:val="18"/>
          <w:lang w:val="en-US"/>
        </w:rPr>
        <w:t>Pharmaceutical Society of Australia, ‘Code of Ethics for Pharmacists</w:t>
      </w:r>
      <w:r>
        <w:rPr>
          <w:rFonts w:cstheme="majorHAnsi"/>
          <w:szCs w:val="18"/>
          <w:lang w:val="en-US"/>
        </w:rPr>
        <w:t>,</w:t>
      </w:r>
      <w:r w:rsidRPr="00970164">
        <w:rPr>
          <w:rFonts w:cstheme="majorHAnsi"/>
          <w:szCs w:val="18"/>
          <w:lang w:val="en-US"/>
        </w:rPr>
        <w:t xml:space="preserve">’ </w:t>
      </w:r>
      <w:r>
        <w:rPr>
          <w:rFonts w:cstheme="majorHAnsi"/>
          <w:szCs w:val="18"/>
          <w:lang w:val="en-US"/>
        </w:rPr>
        <w:t xml:space="preserve">(January </w:t>
      </w:r>
      <w:r w:rsidRPr="00970164">
        <w:rPr>
          <w:rFonts w:cstheme="majorHAnsi"/>
          <w:szCs w:val="18"/>
          <w:lang w:val="en-US"/>
        </w:rPr>
        <w:t>2017</w:t>
      </w:r>
      <w:r>
        <w:rPr>
          <w:rFonts w:cstheme="majorHAnsi"/>
          <w:szCs w:val="18"/>
          <w:lang w:val="en-US"/>
        </w:rPr>
        <w:t xml:space="preserve">). Available at: </w:t>
      </w:r>
      <w:hyperlink r:id="rId86" w:anchor=":~:text=These%20values%20reflect%20the%20commitment%20of%20pharmacists%20to,ensure%20fair%20and%20equitable%20allocation%20of%20resources%20%28justice%29" w:history="1">
        <w:r w:rsidRPr="00500056">
          <w:rPr>
            <w:rStyle w:val="Hyperlink"/>
            <w:rFonts w:asciiTheme="majorHAnsi" w:hAnsiTheme="majorHAnsi" w:cstheme="majorHAnsi"/>
            <w:szCs w:val="18"/>
            <w:lang w:val="en-US"/>
          </w:rPr>
          <w:t>https://www.psa.org.au/wp-content/uploads/2018/07/PSA-Code-of-Ethics-2017.pdf#:~:text=These%20values%20reflect%20the%20commitment%20of%20pharmacists%20to,ensure%20fair%20and%20equitable%20allocation%20of%20resources%20%28justice%29</w:t>
        </w:r>
      </w:hyperlink>
      <w:r>
        <w:rPr>
          <w:rFonts w:cstheme="majorHAnsi"/>
          <w:szCs w:val="18"/>
          <w:lang w:val="en-US"/>
        </w:rPr>
        <w:t xml:space="preserve"> </w:t>
      </w:r>
    </w:p>
  </w:footnote>
  <w:footnote w:id="121">
    <w:p w14:paraId="3387298F" w14:textId="2824D648" w:rsidR="00F27EB7" w:rsidRPr="00647288" w:rsidRDefault="00F27EB7" w:rsidP="00F80E14">
      <w:pPr>
        <w:pStyle w:val="FootnoteText"/>
        <w:rPr>
          <w:rFonts w:cstheme="majorHAnsi"/>
          <w:szCs w:val="18"/>
        </w:rPr>
      </w:pPr>
      <w:r w:rsidRPr="00647288">
        <w:rPr>
          <w:rStyle w:val="FootnoteReference"/>
          <w:rFonts w:cstheme="majorHAnsi"/>
          <w:szCs w:val="18"/>
        </w:rPr>
        <w:footnoteRef/>
      </w:r>
      <w:r w:rsidRPr="00647288">
        <w:rPr>
          <w:rFonts w:cstheme="majorHAnsi"/>
          <w:szCs w:val="18"/>
        </w:rPr>
        <w:t xml:space="preserve"> A proxy indicator for the number of sponsors is what would be considered a mature product line for existing NRT products listed on the ARTG (n=103) of which there are only five sponsors (Alphapharm Pty Ltd, Haleon Australian Pty Ltd, Johnson &amp; Johnson Pacific Pty Ltd, Medis Pharma Pty Ltd and Orion Laboratories Pty Ltd trading as Perrigo Australia). The estimation of 5 sponsors also accords with responses to the September 2023 consultation paper, with 4 organisations indicating that they were well advanced in going down this pathway and one other organisation indicting it was under consideration. </w:t>
      </w:r>
    </w:p>
  </w:footnote>
  <w:footnote w:id="122">
    <w:p w14:paraId="63521DE0" w14:textId="77777777" w:rsidR="00F27EB7" w:rsidRPr="00647288" w:rsidRDefault="00F27EB7" w:rsidP="00F80E14">
      <w:pPr>
        <w:pStyle w:val="FootnoteText"/>
        <w:rPr>
          <w:rFonts w:cstheme="majorHAnsi"/>
          <w:szCs w:val="18"/>
        </w:rPr>
      </w:pPr>
      <w:r w:rsidRPr="00647288">
        <w:rPr>
          <w:rStyle w:val="FootnoteReference"/>
          <w:rFonts w:cstheme="majorHAnsi"/>
          <w:szCs w:val="18"/>
        </w:rPr>
        <w:footnoteRef/>
      </w:r>
      <w:r w:rsidRPr="00647288">
        <w:rPr>
          <w:rFonts w:cstheme="majorHAnsi"/>
          <w:szCs w:val="18"/>
        </w:rPr>
        <w:t xml:space="preserve"> Plain packaging of vaping products came into force in the Canadian province of British Columbia on 11 August 2020 but were repealed on 4 April 2022. </w:t>
      </w:r>
    </w:p>
  </w:footnote>
  <w:footnote w:id="123">
    <w:p w14:paraId="60510CCA" w14:textId="77777777" w:rsidR="00F27EB7" w:rsidRPr="00647288" w:rsidRDefault="00F27EB7" w:rsidP="00F80E14">
      <w:pPr>
        <w:pStyle w:val="FootnoteText"/>
        <w:rPr>
          <w:rFonts w:cstheme="majorHAnsi"/>
          <w:szCs w:val="18"/>
          <w:lang w:val="en-US"/>
        </w:rPr>
      </w:pPr>
      <w:r w:rsidRPr="00647288">
        <w:rPr>
          <w:rStyle w:val="FootnoteReference"/>
          <w:rFonts w:cstheme="majorHAnsi"/>
          <w:szCs w:val="18"/>
        </w:rPr>
        <w:footnoteRef/>
      </w:r>
      <w:r w:rsidRPr="00647288">
        <w:rPr>
          <w:rFonts w:cstheme="majorHAnsi"/>
          <w:szCs w:val="18"/>
        </w:rPr>
        <w:t xml:space="preserve"> </w:t>
      </w:r>
      <w:r w:rsidRPr="00647288">
        <w:rPr>
          <w:rFonts w:cstheme="majorHAnsi"/>
          <w:szCs w:val="18"/>
          <w:lang w:val="en-US"/>
        </w:rPr>
        <w:t>The value of the vaping market in Australia was estimated in 2019 to be $125m (USD) = $188m (AUD). The market has had consistent year-on-year growth (since 2014 – the start year for the report) and so would be expected to be significant larger than the 2019 figure, noting the impact of the October 2021 reforms on legal sales of vapes in retail settings would need to be determined. See &lt;</w:t>
      </w:r>
      <w:r w:rsidRPr="00647288">
        <w:rPr>
          <w:rFonts w:cstheme="majorHAnsi"/>
          <w:szCs w:val="18"/>
        </w:rPr>
        <w:t xml:space="preserve"> </w:t>
      </w:r>
      <w:hyperlink r:id="rId87" w:history="1">
        <w:r w:rsidRPr="00647288">
          <w:rPr>
            <w:rStyle w:val="Hyperlink"/>
            <w:rFonts w:asciiTheme="majorHAnsi" w:hAnsiTheme="majorHAnsi" w:cstheme="majorHAnsi"/>
            <w:szCs w:val="18"/>
          </w:rPr>
          <w:t>Australia: e-cigarette and vaping sales value 2019 | Statista</w:t>
        </w:r>
      </w:hyperlink>
      <w:r w:rsidRPr="00647288">
        <w:rPr>
          <w:rFonts w:cstheme="majorHAnsi"/>
          <w:szCs w:val="18"/>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1854D" w14:textId="4AE3B014" w:rsidR="00F27EB7" w:rsidRDefault="00F27EB7">
    <w:pPr>
      <w:pStyle w:val="Header"/>
    </w:pPr>
    <w:r>
      <w:rPr>
        <w:noProof/>
        <w:lang w:eastAsia="en-AU"/>
      </w:rPr>
      <mc:AlternateContent>
        <mc:Choice Requires="wps">
          <w:drawing>
            <wp:anchor distT="0" distB="0" distL="114300" distR="114300" simplePos="0" relativeHeight="251658243" behindDoc="1" locked="0" layoutInCell="0" allowOverlap="1" wp14:anchorId="6F0BD8D9" wp14:editId="5D73BBF3">
              <wp:simplePos x="0" y="0"/>
              <wp:positionH relativeFrom="margin">
                <wp:align>center</wp:align>
              </wp:positionH>
              <wp:positionV relativeFrom="margin">
                <wp:align>center</wp:align>
              </wp:positionV>
              <wp:extent cx="5772150" cy="2308860"/>
              <wp:effectExtent l="0" t="0" r="0" b="0"/>
              <wp:wrapNone/>
              <wp:docPr id="10" name="Text Box 1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ABFAF0"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F0BD8D9" id="_x0000_t202" coordsize="21600,21600" o:spt="202" path="m,l,21600r21600,l21600,xe">
              <v:stroke joinstyle="miter"/>
              <v:path gradientshapeok="t" o:connecttype="rect"/>
            </v:shapetype>
            <v:shape id="Text Box 10" o:spid="_x0000_s1026" type="#_x0000_t202" style="position:absolute;left:0;text-align:left;margin-left:0;margin-top:0;width:454.5pt;height:181.8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" o:allowincell="f" filled="f" stroked="f">
              <v:stroke joinstyle="round"/>
              <o:lock v:ext="edit" rotation="t" aspectratio="t" verticies="t" adjusthandles="t" grouping="t" shapetype="t"/>
              <v:textbox>
                <w:txbxContent>
                  <w:p w14:paraId="6CABFAF0"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E2CB8" w14:textId="01C90AF2" w:rsidR="00F27EB7" w:rsidRPr="00CB0550" w:rsidRDefault="00F27EB7" w:rsidP="00CB0550">
    <w:pPr>
      <w:pStyle w:val="Header"/>
      <w:jc w:val="left"/>
    </w:pPr>
    <w:r>
      <w:rPr>
        <w:noProof/>
        <w:lang w:eastAsia="en-AU"/>
      </w:rPr>
      <mc:AlternateContent>
        <mc:Choice Requires="wps">
          <w:drawing>
            <wp:anchor distT="0" distB="0" distL="114300" distR="114300" simplePos="0" relativeHeight="251658244" behindDoc="1" locked="0" layoutInCell="0" allowOverlap="1" wp14:anchorId="2AEF0E52" wp14:editId="3BFE3B82">
              <wp:simplePos x="0" y="0"/>
              <wp:positionH relativeFrom="margin">
                <wp:align>center</wp:align>
              </wp:positionH>
              <wp:positionV relativeFrom="margin">
                <wp:align>center</wp:align>
              </wp:positionV>
              <wp:extent cx="5772150" cy="2308860"/>
              <wp:effectExtent l="0" t="0" r="0" b="0"/>
              <wp:wrapNone/>
              <wp:docPr id="9" name="Text Box 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B185E"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EF0E52" id="_x0000_t202" coordsize="21600,21600" o:spt="202" path="m,l,21600r21600,l21600,xe">
              <v:stroke joinstyle="miter"/>
              <v:path gradientshapeok="t" o:connecttype="rect"/>
            </v:shapetype>
            <v:shape id="Text Box 9" o:spid="_x0000_s1027" type="#_x0000_t202" style="position:absolute;margin-left:0;margin-top:0;width:454.5pt;height:181.8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" o:allowincell="f" filled="f" stroked="f">
              <v:stroke joinstyle="round"/>
              <o:lock v:ext="edit" rotation="t" aspectratio="t" verticies="t" adjusthandles="t" grouping="t" shapetype="t"/>
              <v:textbox>
                <w:txbxContent>
                  <w:p w14:paraId="790B185E"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27EB7" w:rsidRPr="002B29B2" w14:paraId="018E8F9C" w14:textId="77777777" w:rsidTr="00192C22">
      <w:trPr>
        <w:trHeight w:hRule="exact" w:val="8845"/>
      </w:trPr>
      <w:tc>
        <w:tcPr>
          <w:tcW w:w="11964" w:type="dxa"/>
          <w:vAlign w:val="center"/>
        </w:tcPr>
        <w:p w14:paraId="07451DA2" w14:textId="20A5F8F7" w:rsidR="00F27EB7" w:rsidRPr="002B29B2" w:rsidRDefault="007364C4" w:rsidP="00192C22">
          <w:pPr>
            <w:ind w:left="-57"/>
            <w:rPr>
              <w:noProof/>
            </w:rPr>
          </w:pPr>
          <w:sdt>
            <w:sdtPr>
              <w:rPr>
                <w:noProof/>
              </w:rPr>
              <w:id w:val="1926993388"/>
              <w:picture/>
            </w:sdtPr>
            <w:sdtEndPr/>
            <w:sdtContent>
              <w:r w:rsidR="00F27EB7">
                <w:rPr>
                  <w:noProof/>
                </w:rPr>
                <w:drawing>
                  <wp:inline distT="0" distB="0" distL="0" distR="0" wp14:anchorId="682451A0" wp14:editId="1BAA2285">
                    <wp:extent cx="7515225" cy="5010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10676" name="Picture 2"/>
                            <pic:cNvPicPr>
                              <a:picLocks noChangeAspect="1" noChangeArrowheads="1"/>
                            </pic:cNvPicPr>
                          </pic:nvPicPr>
                          <pic:blipFill>
                            <a:blip r:embed="rId1"/>
                            <a:stretch>
                              <a:fillRect/>
                            </a:stretch>
                          </pic:blipFill>
                          <pic:spPr bwMode="auto">
                            <a:xfrm>
                              <a:off x="0" y="0"/>
                              <a:ext cx="7516167" cy="5010778"/>
                            </a:xfrm>
                            <a:prstGeom prst="rect">
                              <a:avLst/>
                            </a:prstGeom>
                            <a:noFill/>
                            <a:ln>
                              <a:noFill/>
                            </a:ln>
                          </pic:spPr>
                        </pic:pic>
                      </a:graphicData>
                    </a:graphic>
                  </wp:inline>
                </w:drawing>
              </w:r>
            </w:sdtContent>
          </w:sdt>
        </w:p>
      </w:tc>
    </w:tr>
  </w:tbl>
  <w:p w14:paraId="55280DFE" w14:textId="78092F95" w:rsidR="00F27EB7" w:rsidRDefault="00F27EB7" w:rsidP="00192C22">
    <w:pPr>
      <w:rPr>
        <w:noProof/>
      </w:rPr>
    </w:pPr>
    <w:r w:rsidRPr="002B29B2">
      <w:rPr>
        <w:noProof/>
        <w:lang w:eastAsia="en-AU"/>
      </w:rPr>
      <w:drawing>
        <wp:anchor distT="0" distB="0" distL="114300" distR="114300" simplePos="0" relativeHeight="251658241" behindDoc="0" locked="0" layoutInCell="0" allowOverlap="1" wp14:anchorId="2678B539" wp14:editId="2E8E2595">
          <wp:simplePos x="0" y="0"/>
          <wp:positionH relativeFrom="page">
            <wp:posOffset>-76200</wp:posOffset>
          </wp:positionH>
          <wp:positionV relativeFrom="page">
            <wp:posOffset>3378835</wp:posOffset>
          </wp:positionV>
          <wp:extent cx="7553325" cy="4323080"/>
          <wp:effectExtent l="0" t="0" r="9525"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3325" cy="4323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08E954D7" wp14:editId="335449A4">
          <wp:simplePos x="0" y="0"/>
          <wp:positionH relativeFrom="column">
            <wp:posOffset>-400050</wp:posOffset>
          </wp:positionH>
          <wp:positionV relativeFrom="paragraph">
            <wp:posOffset>-116205</wp:posOffset>
          </wp:positionV>
          <wp:extent cx="2676525" cy="621665"/>
          <wp:effectExtent l="0" t="0" r="9525" b="6985"/>
          <wp:wrapTopAndBottom/>
          <wp:docPr id="795433255" name="Picture 79543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61128" w14:textId="0C4E4609" w:rsidR="00F27EB7" w:rsidRDefault="00F27EB7">
    <w:pPr>
      <w:pStyle w:val="Header"/>
    </w:pPr>
    <w:r>
      <w:rPr>
        <w:noProof/>
        <w:lang w:eastAsia="en-AU"/>
      </w:rPr>
      <mc:AlternateContent>
        <mc:Choice Requires="wps">
          <w:drawing>
            <wp:anchor distT="0" distB="0" distL="114300" distR="114300" simplePos="0" relativeHeight="251658246" behindDoc="1" locked="0" layoutInCell="0" allowOverlap="1" wp14:anchorId="7F4B4B9A" wp14:editId="14582930">
              <wp:simplePos x="0" y="0"/>
              <wp:positionH relativeFrom="margin">
                <wp:align>center</wp:align>
              </wp:positionH>
              <wp:positionV relativeFrom="margin">
                <wp:align>center</wp:align>
              </wp:positionV>
              <wp:extent cx="5772150" cy="2308860"/>
              <wp:effectExtent l="0" t="0" r="0" b="0"/>
              <wp:wrapNone/>
              <wp:docPr id="7" name="Text Box 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56E6F0"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4B4B9A" id="_x0000_t202" coordsize="21600,21600" o:spt="202" path="m,l,21600r21600,l21600,xe">
              <v:stroke joinstyle="miter"/>
              <v:path gradientshapeok="t" o:connecttype="rect"/>
            </v:shapetype>
            <v:shape id="Text Box 7" o:spid="_x0000_s1028" type="#_x0000_t202" style="position:absolute;left:0;text-align:left;margin-left:0;margin-top:0;width:454.5pt;height:181.8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" o:allowincell="f" filled="f" stroked="f">
              <v:stroke joinstyle="round"/>
              <o:lock v:ext="edit" rotation="t" aspectratio="t" verticies="t" adjusthandles="t" grouping="t" shapetype="t"/>
              <v:textbox>
                <w:txbxContent>
                  <w:p w14:paraId="6A56E6F0"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7962" w14:textId="2580B5CE" w:rsidR="00F27EB7" w:rsidRDefault="00F27EB7" w:rsidP="00192C22">
    <w:pPr>
      <w:pStyle w:val="Header"/>
    </w:pPr>
    <w:r w:rsidRPr="000F5176">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0B73" w14:textId="35340045" w:rsidR="00F27EB7" w:rsidRDefault="00F27EB7">
    <w:pPr>
      <w:pStyle w:val="Header"/>
    </w:pPr>
    <w:r>
      <w:rPr>
        <w:noProof/>
        <w:lang w:eastAsia="en-AU"/>
      </w:rPr>
      <mc:AlternateContent>
        <mc:Choice Requires="wps">
          <w:drawing>
            <wp:anchor distT="0" distB="0" distL="114300" distR="114300" simplePos="0" relativeHeight="251658245" behindDoc="1" locked="0" layoutInCell="0" allowOverlap="1" wp14:anchorId="27FF474F" wp14:editId="0A8B5585">
              <wp:simplePos x="0" y="0"/>
              <wp:positionH relativeFrom="margin">
                <wp:align>center</wp:align>
              </wp:positionH>
              <wp:positionV relativeFrom="margin">
                <wp:align>center</wp:align>
              </wp:positionV>
              <wp:extent cx="5772150" cy="2308860"/>
              <wp:effectExtent l="0" t="0" r="0" b="0"/>
              <wp:wrapNone/>
              <wp:docPr id="5" name="Text Box 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0A4065"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7FF474F" id="_x0000_t202" coordsize="21600,21600" o:spt="202" path="m,l,21600r21600,l21600,xe">
              <v:stroke joinstyle="miter"/>
              <v:path gradientshapeok="t" o:connecttype="rect"/>
            </v:shapetype>
            <v:shape id="Text Box 5" o:spid="_x0000_s1029" type="#_x0000_t202" style="position:absolute;left:0;text-align:left;margin-left:0;margin-top:0;width:454.5pt;height:181.8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" o:allowincell="f" filled="f" stroked="f">
              <v:stroke joinstyle="round"/>
              <o:lock v:ext="edit" rotation="t" aspectratio="t" verticies="t" adjusthandles="t" grouping="t" shapetype="t"/>
              <v:textbox>
                <w:txbxContent>
                  <w:p w14:paraId="220A4065"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5670" w14:textId="26FB346E" w:rsidR="00F27EB7" w:rsidRDefault="00F27EB7">
    <w:pPr>
      <w:pStyle w:val="Header"/>
    </w:pPr>
    <w:r>
      <w:rPr>
        <w:noProof/>
        <w:lang w:eastAsia="en-AU"/>
      </w:rPr>
      <mc:AlternateContent>
        <mc:Choice Requires="wps">
          <w:drawing>
            <wp:anchor distT="0" distB="0" distL="114300" distR="114300" simplePos="0" relativeHeight="251658248" behindDoc="1" locked="0" layoutInCell="0" allowOverlap="1" wp14:anchorId="16B7CF3F" wp14:editId="1E5C954D">
              <wp:simplePos x="0" y="0"/>
              <wp:positionH relativeFrom="margin">
                <wp:align>center</wp:align>
              </wp:positionH>
              <wp:positionV relativeFrom="margin">
                <wp:align>center</wp:align>
              </wp:positionV>
              <wp:extent cx="5772150" cy="2308860"/>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AA1FA"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6B7CF3F" id="_x0000_t202" coordsize="21600,21600" o:spt="202" path="m,l,21600r21600,l21600,xe">
              <v:stroke joinstyle="miter"/>
              <v:path gradientshapeok="t" o:connecttype="rect"/>
            </v:shapetype>
            <v:shape id="Text Box 4" o:spid="_x0000_s1030" type="#_x0000_t202" style="position:absolute;left:0;text-align:left;margin-left:0;margin-top:0;width:454.5pt;height:181.8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" o:allowincell="f" filled="f" stroked="f">
              <v:stroke joinstyle="round"/>
              <o:lock v:ext="edit" rotation="t" aspectratio="t" verticies="t" adjusthandles="t" grouping="t" shapetype="t"/>
              <v:textbox>
                <w:txbxContent>
                  <w:p w14:paraId="326AA1FA" w14:textId="77777777" w:rsidR="00594E40" w:rsidRDefault="00594E40"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E6D50" w14:textId="0E171FE1" w:rsidR="00F27EB7" w:rsidRDefault="00F27EB7">
    <w:pPr>
      <w:pStyle w:val="Header"/>
    </w:pPr>
    <w:r>
      <w:rPr>
        <w:noProof/>
        <w:lang w:eastAsia="en-AU"/>
      </w:rPr>
      <mc:AlternateContent>
        <mc:Choice Requires="wps">
          <w:drawing>
            <wp:anchor distT="0" distB="0" distL="114300" distR="114300" simplePos="0" relativeHeight="251658249" behindDoc="1" locked="0" layoutInCell="0" allowOverlap="1" wp14:anchorId="3641201C" wp14:editId="60D87779">
              <wp:simplePos x="0" y="0"/>
              <wp:positionH relativeFrom="margin">
                <wp:align>center</wp:align>
              </wp:positionH>
              <wp:positionV relativeFrom="margin">
                <wp:align>center</wp:align>
              </wp:positionV>
              <wp:extent cx="5772150" cy="2308860"/>
              <wp:effectExtent l="0" t="0" r="0" b="0"/>
              <wp:wrapNone/>
              <wp:docPr id="2" name="Text Box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C408DC" w14:textId="77777777" w:rsidR="00F27EB7" w:rsidRDefault="00F27EB7"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641201C" id="_x0000_t202" coordsize="21600,21600" o:spt="202" path="m,l,21600r21600,l21600,xe">
              <v:stroke joinstyle="miter"/>
              <v:path gradientshapeok="t" o:connecttype="rect"/>
            </v:shapetype>
            <v:shape id="Text Box 2" o:spid="_x0000_s1031" type="#_x0000_t202" style="position:absolute;left:0;text-align:left;margin-left:0;margin-top:0;width:454.5pt;height:181.8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" o:allowincell="f" filled="f" stroked="f">
              <v:stroke joinstyle="round"/>
              <o:lock v:ext="edit" rotation="t" aspectratio="t" verticies="t" adjusthandles="t" grouping="t" shapetype="t"/>
              <v:textbox>
                <w:txbxContent>
                  <w:p w14:paraId="5CC408DC" w14:textId="77777777" w:rsidR="00594E40" w:rsidRDefault="00594E40"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4C986" w14:textId="38B5BD43" w:rsidR="00F27EB7" w:rsidRPr="00FE501F" w:rsidRDefault="00F27EB7" w:rsidP="00192C22">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4CA6"/>
    <w:multiLevelType w:val="hybridMultilevel"/>
    <w:tmpl w:val="6464E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645452"/>
    <w:multiLevelType w:val="hybridMultilevel"/>
    <w:tmpl w:val="4B40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9D714D"/>
    <w:multiLevelType w:val="hybridMultilevel"/>
    <w:tmpl w:val="C160F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07E9C"/>
    <w:multiLevelType w:val="hybridMultilevel"/>
    <w:tmpl w:val="F7DC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33451E"/>
    <w:multiLevelType w:val="hybridMultilevel"/>
    <w:tmpl w:val="CA08195E"/>
    <w:lvl w:ilvl="0" w:tplc="E446D430">
      <w:start w:val="1"/>
      <w:numFmt w:val="decimal"/>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466256"/>
    <w:multiLevelType w:val="hybridMultilevel"/>
    <w:tmpl w:val="767AB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DA33CA"/>
    <w:multiLevelType w:val="hybridMultilevel"/>
    <w:tmpl w:val="02BC3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6D0CBB"/>
    <w:multiLevelType w:val="hybridMultilevel"/>
    <w:tmpl w:val="0C090001"/>
    <w:styleLink w:val="BulletsList"/>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DD3384"/>
    <w:multiLevelType w:val="hybridMultilevel"/>
    <w:tmpl w:val="A9A24924"/>
    <w:styleLink w:val="AttachmentNumbers"/>
    <w:lvl w:ilvl="0" w:tplc="29AAD292">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3B31FC"/>
    <w:multiLevelType w:val="hybridMultilevel"/>
    <w:tmpl w:val="A2064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831195"/>
    <w:multiLevelType w:val="hybridMultilevel"/>
    <w:tmpl w:val="62FA9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B6140A"/>
    <w:multiLevelType w:val="hybridMultilevel"/>
    <w:tmpl w:val="F2AE7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044D1A"/>
    <w:multiLevelType w:val="hybridMultilevel"/>
    <w:tmpl w:val="48428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9C0B39"/>
    <w:multiLevelType w:val="hybridMultilevel"/>
    <w:tmpl w:val="575E4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16917B72"/>
    <w:multiLevelType w:val="hybridMultilevel"/>
    <w:tmpl w:val="4A52BD7A"/>
    <w:lvl w:ilvl="0" w:tplc="7D6AAB4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7431BE0"/>
    <w:multiLevelType w:val="hybridMultilevel"/>
    <w:tmpl w:val="26A03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355A2D"/>
    <w:multiLevelType w:val="hybridMultilevel"/>
    <w:tmpl w:val="8F740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801E82"/>
    <w:multiLevelType w:val="hybridMultilevel"/>
    <w:tmpl w:val="2D769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0E64EA"/>
    <w:multiLevelType w:val="hybridMultilevel"/>
    <w:tmpl w:val="442CA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51747E"/>
    <w:multiLevelType w:val="hybridMultilevel"/>
    <w:tmpl w:val="1EA64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AA2077"/>
    <w:multiLevelType w:val="hybridMultilevel"/>
    <w:tmpl w:val="45042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BD69D9"/>
    <w:multiLevelType w:val="hybridMultilevel"/>
    <w:tmpl w:val="F5148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CE6B5C"/>
    <w:multiLevelType w:val="hybridMultilevel"/>
    <w:tmpl w:val="1150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F77833"/>
    <w:multiLevelType w:val="hybridMultilevel"/>
    <w:tmpl w:val="0720D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B86F57"/>
    <w:multiLevelType w:val="hybridMultilevel"/>
    <w:tmpl w:val="5FA22612"/>
    <w:lvl w:ilvl="0" w:tplc="553EC518">
      <w:start w:val="1"/>
      <w:numFmt w:val="decimal"/>
      <w:lvlText w:val="%1."/>
      <w:lvlJc w:val="left"/>
      <w:pPr>
        <w:ind w:left="720" w:hanging="360"/>
      </w:pPr>
      <w:rPr>
        <w:rFonts w:ascii="Arial" w:eastAsia="Cambria"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EF67DA9"/>
    <w:multiLevelType w:val="hybridMultilevel"/>
    <w:tmpl w:val="FAAC4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786814"/>
    <w:multiLevelType w:val="hybridMultilevel"/>
    <w:tmpl w:val="1514FC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1AF63C4"/>
    <w:multiLevelType w:val="hybridMultilevel"/>
    <w:tmpl w:val="4058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DC0CE1"/>
    <w:multiLevelType w:val="hybridMultilevel"/>
    <w:tmpl w:val="FA46FC2A"/>
    <w:styleLink w:val="HeadingsList"/>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3FB1C56"/>
    <w:multiLevelType w:val="multilevel"/>
    <w:tmpl w:val="339EBC96"/>
    <w:styleLink w:val="NumberBullet1"/>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31" w15:restartNumberingAfterBreak="0">
    <w:nsid w:val="25F60D1E"/>
    <w:multiLevelType w:val="hybridMultilevel"/>
    <w:tmpl w:val="F5A2F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5A14CB"/>
    <w:multiLevelType w:val="hybridMultilevel"/>
    <w:tmpl w:val="A47A6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65260F"/>
    <w:multiLevelType w:val="hybridMultilevel"/>
    <w:tmpl w:val="9ACAB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6A68BF"/>
    <w:multiLevelType w:val="hybridMultilevel"/>
    <w:tmpl w:val="234C7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8056F80"/>
    <w:multiLevelType w:val="hybridMultilevel"/>
    <w:tmpl w:val="A8E87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8242057"/>
    <w:multiLevelType w:val="hybridMultilevel"/>
    <w:tmpl w:val="000C2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8F158E1"/>
    <w:multiLevelType w:val="hybridMultilevel"/>
    <w:tmpl w:val="28AEF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96C555B"/>
    <w:multiLevelType w:val="hybridMultilevel"/>
    <w:tmpl w:val="AF1E9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9B40BCE"/>
    <w:multiLevelType w:val="hybridMultilevel"/>
    <w:tmpl w:val="0DEA4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D21B5D"/>
    <w:multiLevelType w:val="hybridMultilevel"/>
    <w:tmpl w:val="1C86C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A4F6248"/>
    <w:multiLevelType w:val="hybridMultilevel"/>
    <w:tmpl w:val="E44259EC"/>
    <w:styleLink w:val="AppendixNumbers"/>
    <w:lvl w:ilvl="0" w:tplc="4A8C74D2">
      <w:start w:val="1"/>
      <w:numFmt w:val="decimal"/>
      <w:lvlText w:val="%1."/>
      <w:lvlJc w:val="left"/>
      <w:pPr>
        <w:ind w:left="720" w:hanging="360"/>
      </w:pPr>
    </w:lvl>
    <w:lvl w:ilvl="1" w:tplc="3CDE9566">
      <w:start w:val="1"/>
      <w:numFmt w:val="decimal"/>
      <w:lvlText w:val="%2."/>
      <w:lvlJc w:val="left"/>
      <w:pPr>
        <w:ind w:left="1440" w:hanging="360"/>
      </w:pPr>
    </w:lvl>
    <w:lvl w:ilvl="2" w:tplc="ED209A30">
      <w:start w:val="1"/>
      <w:numFmt w:val="lowerRoman"/>
      <w:lvlText w:val="%3."/>
      <w:lvlJc w:val="right"/>
      <w:pPr>
        <w:ind w:left="2160" w:hanging="180"/>
      </w:pPr>
    </w:lvl>
    <w:lvl w:ilvl="3" w:tplc="92484B56">
      <w:start w:val="1"/>
      <w:numFmt w:val="decimal"/>
      <w:lvlText w:val="%4."/>
      <w:lvlJc w:val="left"/>
      <w:pPr>
        <w:ind w:left="2880" w:hanging="360"/>
      </w:pPr>
    </w:lvl>
    <w:lvl w:ilvl="4" w:tplc="B7D639A6">
      <w:start w:val="1"/>
      <w:numFmt w:val="lowerLetter"/>
      <w:lvlText w:val="%5."/>
      <w:lvlJc w:val="left"/>
      <w:pPr>
        <w:ind w:left="3600" w:hanging="360"/>
      </w:pPr>
    </w:lvl>
    <w:lvl w:ilvl="5" w:tplc="0C94D7B8">
      <w:start w:val="1"/>
      <w:numFmt w:val="lowerRoman"/>
      <w:lvlText w:val="%6."/>
      <w:lvlJc w:val="right"/>
      <w:pPr>
        <w:ind w:left="4320" w:hanging="180"/>
      </w:pPr>
    </w:lvl>
    <w:lvl w:ilvl="6" w:tplc="4976B5F2">
      <w:start w:val="1"/>
      <w:numFmt w:val="decimal"/>
      <w:lvlText w:val="%7."/>
      <w:lvlJc w:val="left"/>
      <w:pPr>
        <w:ind w:left="5040" w:hanging="360"/>
      </w:pPr>
    </w:lvl>
    <w:lvl w:ilvl="7" w:tplc="B3846C70">
      <w:start w:val="1"/>
      <w:numFmt w:val="lowerLetter"/>
      <w:lvlText w:val="%8."/>
      <w:lvlJc w:val="left"/>
      <w:pPr>
        <w:ind w:left="5760" w:hanging="360"/>
      </w:pPr>
    </w:lvl>
    <w:lvl w:ilvl="8" w:tplc="80A01F24">
      <w:start w:val="1"/>
      <w:numFmt w:val="lowerRoman"/>
      <w:lvlText w:val="%9."/>
      <w:lvlJc w:val="right"/>
      <w:pPr>
        <w:ind w:left="6480" w:hanging="180"/>
      </w:pPr>
    </w:lvl>
  </w:abstractNum>
  <w:abstractNum w:abstractNumId="42" w15:restartNumberingAfterBreak="0">
    <w:nsid w:val="2B27213C"/>
    <w:multiLevelType w:val="hybridMultilevel"/>
    <w:tmpl w:val="50622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BD83509"/>
    <w:multiLevelType w:val="hybridMultilevel"/>
    <w:tmpl w:val="94B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D6E18AA"/>
    <w:multiLevelType w:val="hybridMultilevel"/>
    <w:tmpl w:val="AAFC2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0F8553A"/>
    <w:multiLevelType w:val="hybridMultilevel"/>
    <w:tmpl w:val="B3B48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1815437"/>
    <w:multiLevelType w:val="hybridMultilevel"/>
    <w:tmpl w:val="948889F0"/>
    <w:lvl w:ilvl="0" w:tplc="553EC518">
      <w:start w:val="1"/>
      <w:numFmt w:val="decimal"/>
      <w:lvlText w:val="%1."/>
      <w:lvlJc w:val="left"/>
      <w:pPr>
        <w:ind w:left="720" w:hanging="360"/>
      </w:pPr>
      <w:rPr>
        <w:rFonts w:ascii="Arial" w:eastAsia="Cambria" w:hAnsi="Arial"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2187754"/>
    <w:multiLevelType w:val="hybridMultilevel"/>
    <w:tmpl w:val="699AD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2D54C82"/>
    <w:multiLevelType w:val="hybridMultilevel"/>
    <w:tmpl w:val="9EB29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4FD7D30"/>
    <w:multiLevelType w:val="hybridMultilevel"/>
    <w:tmpl w:val="E4B48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96D40EA"/>
    <w:multiLevelType w:val="hybridMultilevel"/>
    <w:tmpl w:val="3098C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9A8216B"/>
    <w:multiLevelType w:val="hybridMultilevel"/>
    <w:tmpl w:val="6DBEA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A466169"/>
    <w:multiLevelType w:val="hybridMultilevel"/>
    <w:tmpl w:val="7698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C3D25CF"/>
    <w:multiLevelType w:val="hybridMultilevel"/>
    <w:tmpl w:val="CCE40108"/>
    <w:lvl w:ilvl="0" w:tplc="553EC518">
      <w:start w:val="1"/>
      <w:numFmt w:val="decimal"/>
      <w:lvlText w:val="%1."/>
      <w:lvlJc w:val="left"/>
      <w:pPr>
        <w:ind w:left="720" w:hanging="360"/>
      </w:pPr>
      <w:rPr>
        <w:rFonts w:ascii="Arial" w:eastAsia="Cambria"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DCD3302"/>
    <w:multiLevelType w:val="hybridMultilevel"/>
    <w:tmpl w:val="089A5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DE4116D"/>
    <w:multiLevelType w:val="hybridMultilevel"/>
    <w:tmpl w:val="ADFE561E"/>
    <w:styleLink w:val="AnnexLetters"/>
    <w:lvl w:ilvl="0" w:tplc="44BC745E">
      <w:start w:val="1"/>
      <w:numFmt w:val="decimal"/>
      <w:lvlText w:val="%1."/>
      <w:lvlJc w:val="left"/>
      <w:pPr>
        <w:ind w:left="720" w:hanging="360"/>
      </w:pPr>
    </w:lvl>
    <w:lvl w:ilvl="1" w:tplc="D0FAA97C">
      <w:start w:val="1"/>
      <w:numFmt w:val="decimal"/>
      <w:lvlText w:val="%2."/>
      <w:lvlJc w:val="left"/>
      <w:pPr>
        <w:ind w:left="1440" w:hanging="360"/>
      </w:pPr>
    </w:lvl>
    <w:lvl w:ilvl="2" w:tplc="A3081A90">
      <w:start w:val="1"/>
      <w:numFmt w:val="lowerRoman"/>
      <w:lvlText w:val="%3."/>
      <w:lvlJc w:val="right"/>
      <w:pPr>
        <w:ind w:left="2160" w:hanging="180"/>
      </w:pPr>
    </w:lvl>
    <w:lvl w:ilvl="3" w:tplc="73A0651A">
      <w:start w:val="1"/>
      <w:numFmt w:val="decimal"/>
      <w:lvlText w:val="%4."/>
      <w:lvlJc w:val="left"/>
      <w:pPr>
        <w:ind w:left="2880" w:hanging="360"/>
      </w:pPr>
    </w:lvl>
    <w:lvl w:ilvl="4" w:tplc="12267D56">
      <w:start w:val="1"/>
      <w:numFmt w:val="lowerLetter"/>
      <w:lvlText w:val="%5."/>
      <w:lvlJc w:val="left"/>
      <w:pPr>
        <w:ind w:left="3600" w:hanging="360"/>
      </w:pPr>
    </w:lvl>
    <w:lvl w:ilvl="5" w:tplc="AF7C9516">
      <w:start w:val="1"/>
      <w:numFmt w:val="lowerRoman"/>
      <w:lvlText w:val="%6."/>
      <w:lvlJc w:val="right"/>
      <w:pPr>
        <w:ind w:left="4320" w:hanging="180"/>
      </w:pPr>
    </w:lvl>
    <w:lvl w:ilvl="6" w:tplc="12689BAC">
      <w:start w:val="1"/>
      <w:numFmt w:val="decimal"/>
      <w:lvlText w:val="%7."/>
      <w:lvlJc w:val="left"/>
      <w:pPr>
        <w:ind w:left="5040" w:hanging="360"/>
      </w:pPr>
    </w:lvl>
    <w:lvl w:ilvl="7" w:tplc="8042DC2E">
      <w:start w:val="1"/>
      <w:numFmt w:val="lowerLetter"/>
      <w:lvlText w:val="%8."/>
      <w:lvlJc w:val="left"/>
      <w:pPr>
        <w:ind w:left="5760" w:hanging="360"/>
      </w:pPr>
    </w:lvl>
    <w:lvl w:ilvl="8" w:tplc="93FE1060">
      <w:start w:val="1"/>
      <w:numFmt w:val="lowerRoman"/>
      <w:lvlText w:val="%9."/>
      <w:lvlJc w:val="right"/>
      <w:pPr>
        <w:ind w:left="6480" w:hanging="180"/>
      </w:pPr>
    </w:lvl>
  </w:abstractNum>
  <w:abstractNum w:abstractNumId="56" w15:restartNumberingAfterBreak="0">
    <w:nsid w:val="3E3D6CD6"/>
    <w:multiLevelType w:val="hybridMultilevel"/>
    <w:tmpl w:val="20B08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EB73D1E"/>
    <w:multiLevelType w:val="hybridMultilevel"/>
    <w:tmpl w:val="DAB04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F555134"/>
    <w:multiLevelType w:val="hybridMultilevel"/>
    <w:tmpl w:val="EC540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C412BE"/>
    <w:multiLevelType w:val="hybridMultilevel"/>
    <w:tmpl w:val="698EC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09D0BA6"/>
    <w:multiLevelType w:val="hybridMultilevel"/>
    <w:tmpl w:val="1F544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252768E"/>
    <w:multiLevelType w:val="hybridMultilevel"/>
    <w:tmpl w:val="0512C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C7782D"/>
    <w:multiLevelType w:val="hybridMultilevel"/>
    <w:tmpl w:val="58089A10"/>
    <w:styleLink w:val="Bullet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57F58D5"/>
    <w:multiLevelType w:val="hybridMultilevel"/>
    <w:tmpl w:val="6FBC1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5B915A5"/>
    <w:multiLevelType w:val="hybridMultilevel"/>
    <w:tmpl w:val="B2A4C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6C53BCF"/>
    <w:multiLevelType w:val="hybridMultilevel"/>
    <w:tmpl w:val="7BC84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70B3D0F"/>
    <w:multiLevelType w:val="hybridMultilevel"/>
    <w:tmpl w:val="56BE1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7606749"/>
    <w:multiLevelType w:val="hybridMultilevel"/>
    <w:tmpl w:val="3CF63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9022298"/>
    <w:multiLevelType w:val="hybridMultilevel"/>
    <w:tmpl w:val="144063C0"/>
    <w:lvl w:ilvl="0" w:tplc="2EF2511E">
      <w:start w:val="1"/>
      <w:numFmt w:val="decimal"/>
      <w:pStyle w:val="Paragraph1"/>
      <w:lvlText w:val="%1."/>
      <w:lvlJc w:val="left"/>
      <w:pPr>
        <w:ind w:left="720" w:hanging="360"/>
      </w:pPr>
      <w:rPr>
        <w:b w:val="0"/>
        <w:i w:val="0"/>
      </w:rPr>
    </w:lvl>
    <w:lvl w:ilvl="1" w:tplc="4C4EAD0A">
      <w:start w:val="1"/>
      <w:numFmt w:val="lowerLetter"/>
      <w:pStyle w:val="Subparagrapha"/>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A2F27AD"/>
    <w:multiLevelType w:val="hybridMultilevel"/>
    <w:tmpl w:val="8D881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A9F08EA"/>
    <w:multiLevelType w:val="hybridMultilevel"/>
    <w:tmpl w:val="3FF2B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CE826D6"/>
    <w:multiLevelType w:val="hybridMultilevel"/>
    <w:tmpl w:val="21F89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D270D92"/>
    <w:multiLevelType w:val="hybridMultilevel"/>
    <w:tmpl w:val="EDC08D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DA45A5E"/>
    <w:multiLevelType w:val="hybridMultilevel"/>
    <w:tmpl w:val="0F14F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DAB63BE"/>
    <w:multiLevelType w:val="hybridMultilevel"/>
    <w:tmpl w:val="8EA86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DD70193"/>
    <w:multiLevelType w:val="hybridMultilevel"/>
    <w:tmpl w:val="20E0A9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4E235EA3"/>
    <w:multiLevelType w:val="hybridMultilevel"/>
    <w:tmpl w:val="C4D6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EAF51C5"/>
    <w:multiLevelType w:val="hybridMultilevel"/>
    <w:tmpl w:val="893C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9" w15:restartNumberingAfterBreak="0">
    <w:nsid w:val="50336B0D"/>
    <w:multiLevelType w:val="hybridMultilevel"/>
    <w:tmpl w:val="0C090001"/>
    <w:styleLink w:val="ListBullets1"/>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1160064"/>
    <w:multiLevelType w:val="hybridMultilevel"/>
    <w:tmpl w:val="56BE4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3104CAE"/>
    <w:multiLevelType w:val="hybridMultilevel"/>
    <w:tmpl w:val="CB2E5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3315482"/>
    <w:multiLevelType w:val="hybridMultilevel"/>
    <w:tmpl w:val="91002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48703C7"/>
    <w:multiLevelType w:val="hybridMultilevel"/>
    <w:tmpl w:val="1D940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4917922"/>
    <w:multiLevelType w:val="hybridMultilevel"/>
    <w:tmpl w:val="E1A4DB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4BC71C5"/>
    <w:multiLevelType w:val="hybridMultilevel"/>
    <w:tmpl w:val="E6AC0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51140DF"/>
    <w:multiLevelType w:val="hybridMultilevel"/>
    <w:tmpl w:val="C83653EE"/>
    <w:styleLink w:val="FigureTitles"/>
    <w:lvl w:ilvl="0" w:tplc="97F292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52B0786"/>
    <w:multiLevelType w:val="hybridMultilevel"/>
    <w:tmpl w:val="BA12D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5CE0BAD"/>
    <w:multiLevelType w:val="hybridMultilevel"/>
    <w:tmpl w:val="F5EE3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86B4FAB"/>
    <w:multiLevelType w:val="hybridMultilevel"/>
    <w:tmpl w:val="169CD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ACB6034"/>
    <w:multiLevelType w:val="hybridMultilevel"/>
    <w:tmpl w:val="F53A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D19655B"/>
    <w:multiLevelType w:val="hybridMultilevel"/>
    <w:tmpl w:val="5AE46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D2B7AA2"/>
    <w:multiLevelType w:val="hybridMultilevel"/>
    <w:tmpl w:val="C2D267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3" w15:restartNumberingAfterBreak="0">
    <w:nsid w:val="5D6B1943"/>
    <w:multiLevelType w:val="hybridMultilevel"/>
    <w:tmpl w:val="B0042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D804E9F"/>
    <w:multiLevelType w:val="hybridMultilevel"/>
    <w:tmpl w:val="C8C02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DFF3C6E"/>
    <w:multiLevelType w:val="hybridMultilevel"/>
    <w:tmpl w:val="0AB28A36"/>
    <w:lvl w:ilvl="0" w:tplc="DA0C9A46">
      <w:start w:val="1"/>
      <w:numFmt w:val="bullet"/>
      <w:pStyle w:val="Box2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6" w15:restartNumberingAfterBreak="0">
    <w:nsid w:val="5EA12386"/>
    <w:multiLevelType w:val="hybridMultilevel"/>
    <w:tmpl w:val="22BE1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EA357E4"/>
    <w:multiLevelType w:val="hybridMultilevel"/>
    <w:tmpl w:val="FD380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FC12D9C"/>
    <w:multiLevelType w:val="hybridMultilevel"/>
    <w:tmpl w:val="D46CB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01E380E"/>
    <w:multiLevelType w:val="hybridMultilevel"/>
    <w:tmpl w:val="AE00C5A0"/>
    <w:lvl w:ilvl="0" w:tplc="374E2694">
      <w:start w:val="1"/>
      <w:numFmt w:val="bullet"/>
      <w:pStyle w:val="Box1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0" w15:restartNumberingAfterBreak="0">
    <w:nsid w:val="608757CA"/>
    <w:multiLevelType w:val="hybridMultilevel"/>
    <w:tmpl w:val="5B0A2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10004D8"/>
    <w:multiLevelType w:val="hybridMultilevel"/>
    <w:tmpl w:val="F0E4F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18A45A3"/>
    <w:multiLevelType w:val="hybridMultilevel"/>
    <w:tmpl w:val="86866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2982100"/>
    <w:multiLevelType w:val="hybridMultilevel"/>
    <w:tmpl w:val="4C1C6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447339E"/>
    <w:multiLevelType w:val="hybridMultilevel"/>
    <w:tmpl w:val="0214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4915956"/>
    <w:multiLevelType w:val="hybridMultilevel"/>
    <w:tmpl w:val="F4B8C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6453101"/>
    <w:multiLevelType w:val="hybridMultilevel"/>
    <w:tmpl w:val="428EC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7101553"/>
    <w:multiLevelType w:val="hybridMultilevel"/>
    <w:tmpl w:val="0B7CD964"/>
    <w:lvl w:ilvl="0" w:tplc="553EC518">
      <w:start w:val="1"/>
      <w:numFmt w:val="decimal"/>
      <w:lvlText w:val="%1."/>
      <w:lvlJc w:val="left"/>
      <w:pPr>
        <w:ind w:left="720" w:hanging="360"/>
      </w:pPr>
      <w:rPr>
        <w:rFonts w:ascii="Arial" w:eastAsia="Cambria" w:hAnsi="Aria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68252AFD"/>
    <w:multiLevelType w:val="hybridMultilevel"/>
    <w:tmpl w:val="1578F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947065C"/>
    <w:multiLevelType w:val="hybridMultilevel"/>
    <w:tmpl w:val="676C326C"/>
    <w:styleLink w:val="Numberedlist"/>
    <w:lvl w:ilvl="0" w:tplc="FFFFFFFF">
      <w:start w:val="1"/>
      <w:numFmt w:val="decimal"/>
      <w:lvlText w:val="%1."/>
      <w:lvlJc w:val="left"/>
      <w:pPr>
        <w:ind w:left="720" w:hanging="360"/>
      </w:pPr>
      <w:rPr>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A09390D"/>
    <w:multiLevelType w:val="hybridMultilevel"/>
    <w:tmpl w:val="41606A64"/>
    <w:styleLink w:val="TableHeadingNumbers"/>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A8667BF"/>
    <w:multiLevelType w:val="hybridMultilevel"/>
    <w:tmpl w:val="A75E5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B52009E"/>
    <w:multiLevelType w:val="hybridMultilevel"/>
    <w:tmpl w:val="DDFA7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B5D1511"/>
    <w:multiLevelType w:val="hybridMultilevel"/>
    <w:tmpl w:val="BE4ACF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C4D276B"/>
    <w:multiLevelType w:val="hybridMultilevel"/>
    <w:tmpl w:val="8CF66046"/>
    <w:lvl w:ilvl="0" w:tplc="C38A2598">
      <w:start w:val="1"/>
      <w:numFmt w:val="decimal"/>
      <w:lvlText w:val="%1."/>
      <w:lvlJc w:val="lef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C775168"/>
    <w:multiLevelType w:val="hybridMultilevel"/>
    <w:tmpl w:val="A300D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CDF6C77"/>
    <w:multiLevelType w:val="hybridMultilevel"/>
    <w:tmpl w:val="A664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D633789"/>
    <w:multiLevelType w:val="hybridMultilevel"/>
    <w:tmpl w:val="A8348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E632CF8"/>
    <w:multiLevelType w:val="hybridMultilevel"/>
    <w:tmpl w:val="A684B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E660F00"/>
    <w:multiLevelType w:val="hybridMultilevel"/>
    <w:tmpl w:val="54CEF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EEA43C9"/>
    <w:multiLevelType w:val="hybridMultilevel"/>
    <w:tmpl w:val="FCE2F5D8"/>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1" w15:restartNumberingAfterBreak="0">
    <w:nsid w:val="6F067685"/>
    <w:multiLevelType w:val="hybridMultilevel"/>
    <w:tmpl w:val="5DD88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0AB32AF"/>
    <w:multiLevelType w:val="hybridMultilevel"/>
    <w:tmpl w:val="40021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21567FB"/>
    <w:multiLevelType w:val="hybridMultilevel"/>
    <w:tmpl w:val="A6048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44551C9"/>
    <w:multiLevelType w:val="hybridMultilevel"/>
    <w:tmpl w:val="A1C0B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69D48CC"/>
    <w:multiLevelType w:val="hybridMultilevel"/>
    <w:tmpl w:val="0CF2E6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6" w15:restartNumberingAfterBreak="0">
    <w:nsid w:val="78B33B1E"/>
    <w:multiLevelType w:val="hybridMultilevel"/>
    <w:tmpl w:val="5BE4B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9C2586D"/>
    <w:multiLevelType w:val="hybridMultilevel"/>
    <w:tmpl w:val="47EA28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AD93CFB"/>
    <w:multiLevelType w:val="hybridMultilevel"/>
    <w:tmpl w:val="3BF0B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C0239F6"/>
    <w:multiLevelType w:val="hybridMultilevel"/>
    <w:tmpl w:val="966EA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C8975C5"/>
    <w:multiLevelType w:val="hybridMultilevel"/>
    <w:tmpl w:val="220E001C"/>
    <w:lvl w:ilvl="0" w:tplc="7C6EF3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D21374C"/>
    <w:multiLevelType w:val="hybridMultilevel"/>
    <w:tmpl w:val="59A8F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F6E735D"/>
    <w:multiLevelType w:val="hybridMultilevel"/>
    <w:tmpl w:val="12245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79"/>
  </w:num>
  <w:num w:numId="3">
    <w:abstractNumId w:val="30"/>
  </w:num>
  <w:num w:numId="4">
    <w:abstractNumId w:val="78"/>
  </w:num>
  <w:num w:numId="5">
    <w:abstractNumId w:val="55"/>
  </w:num>
  <w:num w:numId="6">
    <w:abstractNumId w:val="41"/>
  </w:num>
  <w:num w:numId="7">
    <w:abstractNumId w:val="99"/>
  </w:num>
  <w:num w:numId="8">
    <w:abstractNumId w:val="95"/>
  </w:num>
  <w:num w:numId="9">
    <w:abstractNumId w:val="68"/>
  </w:num>
  <w:num w:numId="10">
    <w:abstractNumId w:val="8"/>
  </w:num>
  <w:num w:numId="11">
    <w:abstractNumId w:val="7"/>
  </w:num>
  <w:num w:numId="12">
    <w:abstractNumId w:val="109"/>
  </w:num>
  <w:num w:numId="13">
    <w:abstractNumId w:val="62"/>
  </w:num>
  <w:num w:numId="14">
    <w:abstractNumId w:val="86"/>
  </w:num>
  <w:num w:numId="15">
    <w:abstractNumId w:val="29"/>
  </w:num>
  <w:num w:numId="16">
    <w:abstractNumId w:val="110"/>
  </w:num>
  <w:num w:numId="17">
    <w:abstractNumId w:val="48"/>
  </w:num>
  <w:num w:numId="18">
    <w:abstractNumId w:val="27"/>
  </w:num>
  <w:num w:numId="19">
    <w:abstractNumId w:val="19"/>
  </w:num>
  <w:num w:numId="20">
    <w:abstractNumId w:val="31"/>
  </w:num>
  <w:num w:numId="21">
    <w:abstractNumId w:val="81"/>
  </w:num>
  <w:num w:numId="22">
    <w:abstractNumId w:val="122"/>
  </w:num>
  <w:num w:numId="23">
    <w:abstractNumId w:val="3"/>
  </w:num>
  <w:num w:numId="24">
    <w:abstractNumId w:val="98"/>
  </w:num>
  <w:num w:numId="25">
    <w:abstractNumId w:val="126"/>
  </w:num>
  <w:num w:numId="26">
    <w:abstractNumId w:val="112"/>
  </w:num>
  <w:num w:numId="27">
    <w:abstractNumId w:val="75"/>
  </w:num>
  <w:num w:numId="28">
    <w:abstractNumId w:val="59"/>
  </w:num>
  <w:num w:numId="29">
    <w:abstractNumId w:val="103"/>
  </w:num>
  <w:num w:numId="30">
    <w:abstractNumId w:val="101"/>
  </w:num>
  <w:num w:numId="31">
    <w:abstractNumId w:val="28"/>
  </w:num>
  <w:num w:numId="32">
    <w:abstractNumId w:val="49"/>
  </w:num>
  <w:num w:numId="33">
    <w:abstractNumId w:val="50"/>
  </w:num>
  <w:num w:numId="34">
    <w:abstractNumId w:val="11"/>
  </w:num>
  <w:num w:numId="35">
    <w:abstractNumId w:val="100"/>
  </w:num>
  <w:num w:numId="36">
    <w:abstractNumId w:val="131"/>
  </w:num>
  <w:num w:numId="37">
    <w:abstractNumId w:val="46"/>
  </w:num>
  <w:num w:numId="38">
    <w:abstractNumId w:val="15"/>
  </w:num>
  <w:num w:numId="39">
    <w:abstractNumId w:val="127"/>
  </w:num>
  <w:num w:numId="40">
    <w:abstractNumId w:val="64"/>
  </w:num>
  <w:num w:numId="41">
    <w:abstractNumId w:val="23"/>
  </w:num>
  <w:num w:numId="42">
    <w:abstractNumId w:val="80"/>
  </w:num>
  <w:num w:numId="43">
    <w:abstractNumId w:val="74"/>
  </w:num>
  <w:num w:numId="44">
    <w:abstractNumId w:val="105"/>
  </w:num>
  <w:num w:numId="45">
    <w:abstractNumId w:val="111"/>
  </w:num>
  <w:num w:numId="46">
    <w:abstractNumId w:val="1"/>
  </w:num>
  <w:num w:numId="47">
    <w:abstractNumId w:val="42"/>
  </w:num>
  <w:num w:numId="48">
    <w:abstractNumId w:val="73"/>
  </w:num>
  <w:num w:numId="49">
    <w:abstractNumId w:val="119"/>
  </w:num>
  <w:num w:numId="50">
    <w:abstractNumId w:val="60"/>
  </w:num>
  <w:num w:numId="51">
    <w:abstractNumId w:val="132"/>
  </w:num>
  <w:num w:numId="52">
    <w:abstractNumId w:val="52"/>
  </w:num>
  <w:num w:numId="53">
    <w:abstractNumId w:val="40"/>
  </w:num>
  <w:num w:numId="54">
    <w:abstractNumId w:val="67"/>
  </w:num>
  <w:num w:numId="55">
    <w:abstractNumId w:val="57"/>
  </w:num>
  <w:num w:numId="56">
    <w:abstractNumId w:val="10"/>
  </w:num>
  <w:num w:numId="57">
    <w:abstractNumId w:val="54"/>
  </w:num>
  <w:num w:numId="58">
    <w:abstractNumId w:val="124"/>
  </w:num>
  <w:num w:numId="59">
    <w:abstractNumId w:val="72"/>
  </w:num>
  <w:num w:numId="60">
    <w:abstractNumId w:val="66"/>
  </w:num>
  <w:num w:numId="61">
    <w:abstractNumId w:val="90"/>
  </w:num>
  <w:num w:numId="62">
    <w:abstractNumId w:val="5"/>
  </w:num>
  <w:num w:numId="63">
    <w:abstractNumId w:val="76"/>
  </w:num>
  <w:num w:numId="64">
    <w:abstractNumId w:val="9"/>
  </w:num>
  <w:num w:numId="65">
    <w:abstractNumId w:val="61"/>
  </w:num>
  <w:num w:numId="66">
    <w:abstractNumId w:val="32"/>
  </w:num>
  <w:num w:numId="67">
    <w:abstractNumId w:val="0"/>
  </w:num>
  <w:num w:numId="68">
    <w:abstractNumId w:val="87"/>
  </w:num>
  <w:num w:numId="69">
    <w:abstractNumId w:val="39"/>
  </w:num>
  <w:num w:numId="70">
    <w:abstractNumId w:val="118"/>
  </w:num>
  <w:num w:numId="71">
    <w:abstractNumId w:val="84"/>
  </w:num>
  <w:num w:numId="72">
    <w:abstractNumId w:val="92"/>
  </w:num>
  <w:num w:numId="73">
    <w:abstractNumId w:val="120"/>
  </w:num>
  <w:num w:numId="74">
    <w:abstractNumId w:val="125"/>
  </w:num>
  <w:num w:numId="75">
    <w:abstractNumId w:val="24"/>
  </w:num>
  <w:num w:numId="76">
    <w:abstractNumId w:val="89"/>
  </w:num>
  <w:num w:numId="77">
    <w:abstractNumId w:val="94"/>
  </w:num>
  <w:num w:numId="78">
    <w:abstractNumId w:val="20"/>
  </w:num>
  <w:num w:numId="79">
    <w:abstractNumId w:val="63"/>
  </w:num>
  <w:num w:numId="80">
    <w:abstractNumId w:val="45"/>
  </w:num>
  <w:num w:numId="81">
    <w:abstractNumId w:val="65"/>
  </w:num>
  <w:num w:numId="82">
    <w:abstractNumId w:val="69"/>
  </w:num>
  <w:num w:numId="83">
    <w:abstractNumId w:val="12"/>
  </w:num>
  <w:num w:numId="84">
    <w:abstractNumId w:val="43"/>
  </w:num>
  <w:num w:numId="85">
    <w:abstractNumId w:val="47"/>
  </w:num>
  <w:num w:numId="86">
    <w:abstractNumId w:val="93"/>
  </w:num>
  <w:num w:numId="87">
    <w:abstractNumId w:val="117"/>
  </w:num>
  <w:num w:numId="88">
    <w:abstractNumId w:val="34"/>
  </w:num>
  <w:num w:numId="89">
    <w:abstractNumId w:val="2"/>
  </w:num>
  <w:num w:numId="90">
    <w:abstractNumId w:val="96"/>
  </w:num>
  <w:num w:numId="91">
    <w:abstractNumId w:val="26"/>
  </w:num>
  <w:num w:numId="92">
    <w:abstractNumId w:val="13"/>
  </w:num>
  <w:num w:numId="93">
    <w:abstractNumId w:val="102"/>
  </w:num>
  <w:num w:numId="94">
    <w:abstractNumId w:val="123"/>
  </w:num>
  <w:num w:numId="95">
    <w:abstractNumId w:val="108"/>
  </w:num>
  <w:num w:numId="96">
    <w:abstractNumId w:val="129"/>
  </w:num>
  <w:num w:numId="97">
    <w:abstractNumId w:val="116"/>
  </w:num>
  <w:num w:numId="98">
    <w:abstractNumId w:val="91"/>
  </w:num>
  <w:num w:numId="99">
    <w:abstractNumId w:val="88"/>
  </w:num>
  <w:num w:numId="100">
    <w:abstractNumId w:val="83"/>
  </w:num>
  <w:num w:numId="101">
    <w:abstractNumId w:val="130"/>
  </w:num>
  <w:num w:numId="102">
    <w:abstractNumId w:val="6"/>
  </w:num>
  <w:num w:numId="103">
    <w:abstractNumId w:val="71"/>
  </w:num>
  <w:num w:numId="104">
    <w:abstractNumId w:val="35"/>
  </w:num>
  <w:num w:numId="105">
    <w:abstractNumId w:val="104"/>
  </w:num>
  <w:num w:numId="106">
    <w:abstractNumId w:val="115"/>
  </w:num>
  <w:num w:numId="107">
    <w:abstractNumId w:val="56"/>
  </w:num>
  <w:num w:numId="108">
    <w:abstractNumId w:val="97"/>
  </w:num>
  <w:num w:numId="109">
    <w:abstractNumId w:val="70"/>
  </w:num>
  <w:num w:numId="110">
    <w:abstractNumId w:val="17"/>
  </w:num>
  <w:num w:numId="111">
    <w:abstractNumId w:val="18"/>
  </w:num>
  <w:num w:numId="112">
    <w:abstractNumId w:val="37"/>
  </w:num>
  <w:num w:numId="113">
    <w:abstractNumId w:val="58"/>
  </w:num>
  <w:num w:numId="114">
    <w:abstractNumId w:val="77"/>
  </w:num>
  <w:num w:numId="115">
    <w:abstractNumId w:val="36"/>
  </w:num>
  <w:num w:numId="116">
    <w:abstractNumId w:val="106"/>
  </w:num>
  <w:num w:numId="117">
    <w:abstractNumId w:val="16"/>
  </w:num>
  <w:num w:numId="118">
    <w:abstractNumId w:val="51"/>
  </w:num>
  <w:num w:numId="119">
    <w:abstractNumId w:val="21"/>
  </w:num>
  <w:num w:numId="120">
    <w:abstractNumId w:val="128"/>
  </w:num>
  <w:num w:numId="121">
    <w:abstractNumId w:val="22"/>
  </w:num>
  <w:num w:numId="122">
    <w:abstractNumId w:val="44"/>
  </w:num>
  <w:num w:numId="123">
    <w:abstractNumId w:val="107"/>
  </w:num>
  <w:num w:numId="124">
    <w:abstractNumId w:val="25"/>
  </w:num>
  <w:num w:numId="125">
    <w:abstractNumId w:val="38"/>
  </w:num>
  <w:num w:numId="126">
    <w:abstractNumId w:val="33"/>
  </w:num>
  <w:num w:numId="127">
    <w:abstractNumId w:val="4"/>
  </w:num>
  <w:num w:numId="128">
    <w:abstractNumId w:val="113"/>
  </w:num>
  <w:num w:numId="129">
    <w:abstractNumId w:val="121"/>
  </w:num>
  <w:num w:numId="130">
    <w:abstractNumId w:val="82"/>
  </w:num>
  <w:num w:numId="131">
    <w:abstractNumId w:val="85"/>
  </w:num>
  <w:num w:numId="132">
    <w:abstractNumId w:val="53"/>
  </w:num>
  <w:num w:numId="133">
    <w:abstractNumId w:val="11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1F5"/>
    <w:rsid w:val="000001A1"/>
    <w:rsid w:val="00000290"/>
    <w:rsid w:val="00000457"/>
    <w:rsid w:val="000004F6"/>
    <w:rsid w:val="00000680"/>
    <w:rsid w:val="0000075D"/>
    <w:rsid w:val="0000077C"/>
    <w:rsid w:val="00000965"/>
    <w:rsid w:val="00000DBA"/>
    <w:rsid w:val="00000E43"/>
    <w:rsid w:val="00000E8F"/>
    <w:rsid w:val="00000EA6"/>
    <w:rsid w:val="00000F86"/>
    <w:rsid w:val="00001082"/>
    <w:rsid w:val="0000117D"/>
    <w:rsid w:val="00001250"/>
    <w:rsid w:val="000012D5"/>
    <w:rsid w:val="000013BA"/>
    <w:rsid w:val="0000149F"/>
    <w:rsid w:val="000014DB"/>
    <w:rsid w:val="00001686"/>
    <w:rsid w:val="000016E2"/>
    <w:rsid w:val="000018D7"/>
    <w:rsid w:val="00001A96"/>
    <w:rsid w:val="00001C29"/>
    <w:rsid w:val="00001C95"/>
    <w:rsid w:val="00001C97"/>
    <w:rsid w:val="00001CFA"/>
    <w:rsid w:val="00001D4E"/>
    <w:rsid w:val="00002018"/>
    <w:rsid w:val="000021B2"/>
    <w:rsid w:val="0000228F"/>
    <w:rsid w:val="00002301"/>
    <w:rsid w:val="000023A8"/>
    <w:rsid w:val="0000246A"/>
    <w:rsid w:val="00002658"/>
    <w:rsid w:val="000026AD"/>
    <w:rsid w:val="000026B4"/>
    <w:rsid w:val="000027EA"/>
    <w:rsid w:val="00002806"/>
    <w:rsid w:val="000029D8"/>
    <w:rsid w:val="00002A44"/>
    <w:rsid w:val="00002A80"/>
    <w:rsid w:val="00002B0B"/>
    <w:rsid w:val="00002BD9"/>
    <w:rsid w:val="00002C16"/>
    <w:rsid w:val="00002D6B"/>
    <w:rsid w:val="00002E4E"/>
    <w:rsid w:val="00002F58"/>
    <w:rsid w:val="00002FD1"/>
    <w:rsid w:val="00003167"/>
    <w:rsid w:val="000031AB"/>
    <w:rsid w:val="000031F9"/>
    <w:rsid w:val="00003203"/>
    <w:rsid w:val="00003258"/>
    <w:rsid w:val="00003298"/>
    <w:rsid w:val="000033D2"/>
    <w:rsid w:val="0000340B"/>
    <w:rsid w:val="00003448"/>
    <w:rsid w:val="000034F5"/>
    <w:rsid w:val="00003885"/>
    <w:rsid w:val="000038FC"/>
    <w:rsid w:val="00003A34"/>
    <w:rsid w:val="00003A77"/>
    <w:rsid w:val="00003A96"/>
    <w:rsid w:val="00003A9C"/>
    <w:rsid w:val="00003AF2"/>
    <w:rsid w:val="00003AFF"/>
    <w:rsid w:val="00003BA8"/>
    <w:rsid w:val="00003C1E"/>
    <w:rsid w:val="00003DE7"/>
    <w:rsid w:val="00003DF9"/>
    <w:rsid w:val="00003FDC"/>
    <w:rsid w:val="00003FEE"/>
    <w:rsid w:val="00004234"/>
    <w:rsid w:val="00004271"/>
    <w:rsid w:val="00004381"/>
    <w:rsid w:val="000045D3"/>
    <w:rsid w:val="0000465A"/>
    <w:rsid w:val="0000475D"/>
    <w:rsid w:val="00004871"/>
    <w:rsid w:val="000048F9"/>
    <w:rsid w:val="00004900"/>
    <w:rsid w:val="0000494E"/>
    <w:rsid w:val="00004A90"/>
    <w:rsid w:val="00004B58"/>
    <w:rsid w:val="00004DB0"/>
    <w:rsid w:val="00004EF8"/>
    <w:rsid w:val="00004F00"/>
    <w:rsid w:val="00004F01"/>
    <w:rsid w:val="00004F1A"/>
    <w:rsid w:val="0000519E"/>
    <w:rsid w:val="0000523A"/>
    <w:rsid w:val="0000527E"/>
    <w:rsid w:val="0000539B"/>
    <w:rsid w:val="0000540B"/>
    <w:rsid w:val="00005594"/>
    <w:rsid w:val="000055A4"/>
    <w:rsid w:val="000055FA"/>
    <w:rsid w:val="0000576D"/>
    <w:rsid w:val="000057A4"/>
    <w:rsid w:val="000057BA"/>
    <w:rsid w:val="00005807"/>
    <w:rsid w:val="00005956"/>
    <w:rsid w:val="00005A7D"/>
    <w:rsid w:val="00005ACB"/>
    <w:rsid w:val="00005BEE"/>
    <w:rsid w:val="00005D3F"/>
    <w:rsid w:val="00005EC8"/>
    <w:rsid w:val="00005F10"/>
    <w:rsid w:val="00005F11"/>
    <w:rsid w:val="00005F72"/>
    <w:rsid w:val="000060C7"/>
    <w:rsid w:val="000061E2"/>
    <w:rsid w:val="00006201"/>
    <w:rsid w:val="0000622D"/>
    <w:rsid w:val="00006260"/>
    <w:rsid w:val="00006293"/>
    <w:rsid w:val="00006568"/>
    <w:rsid w:val="00006730"/>
    <w:rsid w:val="0000675E"/>
    <w:rsid w:val="000068AC"/>
    <w:rsid w:val="000069E2"/>
    <w:rsid w:val="00006A14"/>
    <w:rsid w:val="00006A4D"/>
    <w:rsid w:val="00006AAE"/>
    <w:rsid w:val="00006B04"/>
    <w:rsid w:val="00006B3C"/>
    <w:rsid w:val="00006B8B"/>
    <w:rsid w:val="00006E2A"/>
    <w:rsid w:val="00006EEB"/>
    <w:rsid w:val="00006FAF"/>
    <w:rsid w:val="00006FD8"/>
    <w:rsid w:val="00007046"/>
    <w:rsid w:val="0000715A"/>
    <w:rsid w:val="000071E9"/>
    <w:rsid w:val="000073E8"/>
    <w:rsid w:val="000077B6"/>
    <w:rsid w:val="000077D5"/>
    <w:rsid w:val="00007812"/>
    <w:rsid w:val="000079AD"/>
    <w:rsid w:val="000079F8"/>
    <w:rsid w:val="00007A2E"/>
    <w:rsid w:val="00007A6F"/>
    <w:rsid w:val="00007D72"/>
    <w:rsid w:val="00007DC6"/>
    <w:rsid w:val="0000D950"/>
    <w:rsid w:val="000100C6"/>
    <w:rsid w:val="000100C7"/>
    <w:rsid w:val="0001013F"/>
    <w:rsid w:val="00010228"/>
    <w:rsid w:val="00010418"/>
    <w:rsid w:val="00010590"/>
    <w:rsid w:val="0001061E"/>
    <w:rsid w:val="0001086D"/>
    <w:rsid w:val="000108CE"/>
    <w:rsid w:val="00010A2B"/>
    <w:rsid w:val="00010AA8"/>
    <w:rsid w:val="00010C06"/>
    <w:rsid w:val="00010D2A"/>
    <w:rsid w:val="00010ED4"/>
    <w:rsid w:val="0001103D"/>
    <w:rsid w:val="00011048"/>
    <w:rsid w:val="00011180"/>
    <w:rsid w:val="000111D9"/>
    <w:rsid w:val="000111F4"/>
    <w:rsid w:val="00011212"/>
    <w:rsid w:val="00011397"/>
    <w:rsid w:val="00011440"/>
    <w:rsid w:val="00011580"/>
    <w:rsid w:val="000115DA"/>
    <w:rsid w:val="0001183E"/>
    <w:rsid w:val="00011857"/>
    <w:rsid w:val="00011989"/>
    <w:rsid w:val="000119E0"/>
    <w:rsid w:val="00011C37"/>
    <w:rsid w:val="00011D42"/>
    <w:rsid w:val="00011D92"/>
    <w:rsid w:val="00011F11"/>
    <w:rsid w:val="0001221C"/>
    <w:rsid w:val="000122FC"/>
    <w:rsid w:val="0001244A"/>
    <w:rsid w:val="000124F7"/>
    <w:rsid w:val="00012543"/>
    <w:rsid w:val="00012572"/>
    <w:rsid w:val="0001259D"/>
    <w:rsid w:val="00012646"/>
    <w:rsid w:val="00012723"/>
    <w:rsid w:val="000128D5"/>
    <w:rsid w:val="00012A2D"/>
    <w:rsid w:val="00012A96"/>
    <w:rsid w:val="00012BC0"/>
    <w:rsid w:val="00012C71"/>
    <w:rsid w:val="00012F69"/>
    <w:rsid w:val="00012F94"/>
    <w:rsid w:val="0001302E"/>
    <w:rsid w:val="00013041"/>
    <w:rsid w:val="000130BB"/>
    <w:rsid w:val="000130D2"/>
    <w:rsid w:val="00013130"/>
    <w:rsid w:val="00013376"/>
    <w:rsid w:val="00013475"/>
    <w:rsid w:val="000134A2"/>
    <w:rsid w:val="00013586"/>
    <w:rsid w:val="000135F8"/>
    <w:rsid w:val="0001365E"/>
    <w:rsid w:val="00013688"/>
    <w:rsid w:val="000136AB"/>
    <w:rsid w:val="000136FB"/>
    <w:rsid w:val="0001380F"/>
    <w:rsid w:val="00013861"/>
    <w:rsid w:val="000138A9"/>
    <w:rsid w:val="00013954"/>
    <w:rsid w:val="0001397D"/>
    <w:rsid w:val="00013B36"/>
    <w:rsid w:val="00013BBA"/>
    <w:rsid w:val="00013BC2"/>
    <w:rsid w:val="00013D3F"/>
    <w:rsid w:val="00013D8E"/>
    <w:rsid w:val="00013DB7"/>
    <w:rsid w:val="00013E56"/>
    <w:rsid w:val="00013E60"/>
    <w:rsid w:val="00014023"/>
    <w:rsid w:val="00014099"/>
    <w:rsid w:val="000140BD"/>
    <w:rsid w:val="000140FA"/>
    <w:rsid w:val="00014161"/>
    <w:rsid w:val="0001418D"/>
    <w:rsid w:val="000141B2"/>
    <w:rsid w:val="00014286"/>
    <w:rsid w:val="000142B8"/>
    <w:rsid w:val="00014346"/>
    <w:rsid w:val="0001446D"/>
    <w:rsid w:val="00014578"/>
    <w:rsid w:val="000145FE"/>
    <w:rsid w:val="0001461D"/>
    <w:rsid w:val="0001464E"/>
    <w:rsid w:val="00014672"/>
    <w:rsid w:val="0001467C"/>
    <w:rsid w:val="0001489E"/>
    <w:rsid w:val="000148EC"/>
    <w:rsid w:val="00014902"/>
    <w:rsid w:val="00014958"/>
    <w:rsid w:val="000149D5"/>
    <w:rsid w:val="00014A9A"/>
    <w:rsid w:val="00014C81"/>
    <w:rsid w:val="00014CFE"/>
    <w:rsid w:val="00014E16"/>
    <w:rsid w:val="00014E59"/>
    <w:rsid w:val="00014EFE"/>
    <w:rsid w:val="000150EB"/>
    <w:rsid w:val="00015225"/>
    <w:rsid w:val="0001533A"/>
    <w:rsid w:val="00015346"/>
    <w:rsid w:val="000156C0"/>
    <w:rsid w:val="000156DE"/>
    <w:rsid w:val="000157E3"/>
    <w:rsid w:val="00015903"/>
    <w:rsid w:val="0001592A"/>
    <w:rsid w:val="00015965"/>
    <w:rsid w:val="00015B1C"/>
    <w:rsid w:val="00015BBB"/>
    <w:rsid w:val="00015D3D"/>
    <w:rsid w:val="00015D5E"/>
    <w:rsid w:val="00015FB2"/>
    <w:rsid w:val="000160D7"/>
    <w:rsid w:val="000161BA"/>
    <w:rsid w:val="000161C9"/>
    <w:rsid w:val="000161D2"/>
    <w:rsid w:val="000161EF"/>
    <w:rsid w:val="00016256"/>
    <w:rsid w:val="000162BD"/>
    <w:rsid w:val="000164CA"/>
    <w:rsid w:val="00016599"/>
    <w:rsid w:val="0001659E"/>
    <w:rsid w:val="000166D1"/>
    <w:rsid w:val="00016804"/>
    <w:rsid w:val="0001683D"/>
    <w:rsid w:val="000169FE"/>
    <w:rsid w:val="00016A02"/>
    <w:rsid w:val="00016A23"/>
    <w:rsid w:val="00016A2D"/>
    <w:rsid w:val="00016AC7"/>
    <w:rsid w:val="00016B2D"/>
    <w:rsid w:val="00016B51"/>
    <w:rsid w:val="00016BBE"/>
    <w:rsid w:val="00016BF9"/>
    <w:rsid w:val="00016C3D"/>
    <w:rsid w:val="00016C60"/>
    <w:rsid w:val="00016C8B"/>
    <w:rsid w:val="00016D26"/>
    <w:rsid w:val="00016E93"/>
    <w:rsid w:val="00016FA8"/>
    <w:rsid w:val="000170CE"/>
    <w:rsid w:val="000170F4"/>
    <w:rsid w:val="0001719A"/>
    <w:rsid w:val="000172B4"/>
    <w:rsid w:val="000172EE"/>
    <w:rsid w:val="0001737E"/>
    <w:rsid w:val="0001738A"/>
    <w:rsid w:val="000173D4"/>
    <w:rsid w:val="0001745C"/>
    <w:rsid w:val="00017486"/>
    <w:rsid w:val="000176A0"/>
    <w:rsid w:val="000176A5"/>
    <w:rsid w:val="000176C0"/>
    <w:rsid w:val="0001771D"/>
    <w:rsid w:val="0001796D"/>
    <w:rsid w:val="00017AFE"/>
    <w:rsid w:val="00017B9E"/>
    <w:rsid w:val="00017D95"/>
    <w:rsid w:val="00017F3B"/>
    <w:rsid w:val="00017F83"/>
    <w:rsid w:val="0001A5F7"/>
    <w:rsid w:val="000201E2"/>
    <w:rsid w:val="00020272"/>
    <w:rsid w:val="000202FE"/>
    <w:rsid w:val="00020652"/>
    <w:rsid w:val="00020739"/>
    <w:rsid w:val="000207FA"/>
    <w:rsid w:val="00020962"/>
    <w:rsid w:val="00020A27"/>
    <w:rsid w:val="00020A8C"/>
    <w:rsid w:val="00020AA7"/>
    <w:rsid w:val="00020C57"/>
    <w:rsid w:val="00020E7F"/>
    <w:rsid w:val="00020F70"/>
    <w:rsid w:val="000210E2"/>
    <w:rsid w:val="00021111"/>
    <w:rsid w:val="000212A4"/>
    <w:rsid w:val="000213CB"/>
    <w:rsid w:val="000213DE"/>
    <w:rsid w:val="0002157C"/>
    <w:rsid w:val="00021828"/>
    <w:rsid w:val="00021882"/>
    <w:rsid w:val="000218FD"/>
    <w:rsid w:val="00021A1F"/>
    <w:rsid w:val="00021A4A"/>
    <w:rsid w:val="00021AD5"/>
    <w:rsid w:val="00021AEB"/>
    <w:rsid w:val="00021B6D"/>
    <w:rsid w:val="00021B7A"/>
    <w:rsid w:val="00021BB0"/>
    <w:rsid w:val="00021C6E"/>
    <w:rsid w:val="00021D6A"/>
    <w:rsid w:val="00021DE5"/>
    <w:rsid w:val="00021E62"/>
    <w:rsid w:val="00021E6E"/>
    <w:rsid w:val="00021F4D"/>
    <w:rsid w:val="000221C8"/>
    <w:rsid w:val="00022251"/>
    <w:rsid w:val="0002249A"/>
    <w:rsid w:val="0002254D"/>
    <w:rsid w:val="00022622"/>
    <w:rsid w:val="000226B2"/>
    <w:rsid w:val="000226BE"/>
    <w:rsid w:val="000228A1"/>
    <w:rsid w:val="00022B81"/>
    <w:rsid w:val="00022BB1"/>
    <w:rsid w:val="00022C82"/>
    <w:rsid w:val="00022EB1"/>
    <w:rsid w:val="00022FA8"/>
    <w:rsid w:val="00022FB7"/>
    <w:rsid w:val="000230F1"/>
    <w:rsid w:val="000230FF"/>
    <w:rsid w:val="000231DF"/>
    <w:rsid w:val="0002325A"/>
    <w:rsid w:val="0002338F"/>
    <w:rsid w:val="000233BA"/>
    <w:rsid w:val="0002341D"/>
    <w:rsid w:val="0002343D"/>
    <w:rsid w:val="000234A9"/>
    <w:rsid w:val="00023537"/>
    <w:rsid w:val="00023726"/>
    <w:rsid w:val="00023951"/>
    <w:rsid w:val="00023987"/>
    <w:rsid w:val="000239AD"/>
    <w:rsid w:val="00023A1E"/>
    <w:rsid w:val="00023A57"/>
    <w:rsid w:val="00023AF4"/>
    <w:rsid w:val="00023B6A"/>
    <w:rsid w:val="00023CD2"/>
    <w:rsid w:val="00023E50"/>
    <w:rsid w:val="00023F57"/>
    <w:rsid w:val="0002401A"/>
    <w:rsid w:val="00024029"/>
    <w:rsid w:val="000241D9"/>
    <w:rsid w:val="0002426C"/>
    <w:rsid w:val="0002427C"/>
    <w:rsid w:val="00024287"/>
    <w:rsid w:val="000242DA"/>
    <w:rsid w:val="000242F9"/>
    <w:rsid w:val="0002433A"/>
    <w:rsid w:val="00024394"/>
    <w:rsid w:val="00024474"/>
    <w:rsid w:val="00024488"/>
    <w:rsid w:val="000244B7"/>
    <w:rsid w:val="000244C0"/>
    <w:rsid w:val="000244E9"/>
    <w:rsid w:val="00024785"/>
    <w:rsid w:val="0002482E"/>
    <w:rsid w:val="00024848"/>
    <w:rsid w:val="000249EA"/>
    <w:rsid w:val="00024A06"/>
    <w:rsid w:val="00024A12"/>
    <w:rsid w:val="00024A94"/>
    <w:rsid w:val="00024ACC"/>
    <w:rsid w:val="00024BC7"/>
    <w:rsid w:val="00024BD3"/>
    <w:rsid w:val="00024C1D"/>
    <w:rsid w:val="00024C75"/>
    <w:rsid w:val="00024DD1"/>
    <w:rsid w:val="00024E31"/>
    <w:rsid w:val="00024E37"/>
    <w:rsid w:val="00024EE5"/>
    <w:rsid w:val="00024F52"/>
    <w:rsid w:val="00025031"/>
    <w:rsid w:val="0002506D"/>
    <w:rsid w:val="0002534A"/>
    <w:rsid w:val="0002536B"/>
    <w:rsid w:val="00025380"/>
    <w:rsid w:val="000254E5"/>
    <w:rsid w:val="0002550F"/>
    <w:rsid w:val="00025541"/>
    <w:rsid w:val="000255A2"/>
    <w:rsid w:val="000256D9"/>
    <w:rsid w:val="00025700"/>
    <w:rsid w:val="00025799"/>
    <w:rsid w:val="000257D4"/>
    <w:rsid w:val="000258CB"/>
    <w:rsid w:val="00025900"/>
    <w:rsid w:val="000259B8"/>
    <w:rsid w:val="000259BB"/>
    <w:rsid w:val="00025B14"/>
    <w:rsid w:val="00025B71"/>
    <w:rsid w:val="00025EC3"/>
    <w:rsid w:val="00025FE3"/>
    <w:rsid w:val="00026173"/>
    <w:rsid w:val="000261B4"/>
    <w:rsid w:val="000263CC"/>
    <w:rsid w:val="0002654A"/>
    <w:rsid w:val="000265D7"/>
    <w:rsid w:val="00026649"/>
    <w:rsid w:val="00026838"/>
    <w:rsid w:val="00026927"/>
    <w:rsid w:val="0002698D"/>
    <w:rsid w:val="00026993"/>
    <w:rsid w:val="000269E8"/>
    <w:rsid w:val="00026B8E"/>
    <w:rsid w:val="00026BA8"/>
    <w:rsid w:val="00026D09"/>
    <w:rsid w:val="00026E72"/>
    <w:rsid w:val="00026F45"/>
    <w:rsid w:val="00026FB2"/>
    <w:rsid w:val="0002708C"/>
    <w:rsid w:val="00027095"/>
    <w:rsid w:val="000271B3"/>
    <w:rsid w:val="00027276"/>
    <w:rsid w:val="00027339"/>
    <w:rsid w:val="0002737F"/>
    <w:rsid w:val="000273F1"/>
    <w:rsid w:val="00027495"/>
    <w:rsid w:val="000274B3"/>
    <w:rsid w:val="00027637"/>
    <w:rsid w:val="0002763F"/>
    <w:rsid w:val="00027690"/>
    <w:rsid w:val="00027712"/>
    <w:rsid w:val="00027937"/>
    <w:rsid w:val="00027A0E"/>
    <w:rsid w:val="00027A6F"/>
    <w:rsid w:val="00027A7D"/>
    <w:rsid w:val="00027B31"/>
    <w:rsid w:val="00027B7F"/>
    <w:rsid w:val="00027C2A"/>
    <w:rsid w:val="00027CDB"/>
    <w:rsid w:val="00027D89"/>
    <w:rsid w:val="00027E55"/>
    <w:rsid w:val="00027E7F"/>
    <w:rsid w:val="00027E85"/>
    <w:rsid w:val="0003001C"/>
    <w:rsid w:val="00030037"/>
    <w:rsid w:val="000300C7"/>
    <w:rsid w:val="0003040F"/>
    <w:rsid w:val="00030611"/>
    <w:rsid w:val="00030675"/>
    <w:rsid w:val="0003067E"/>
    <w:rsid w:val="00030699"/>
    <w:rsid w:val="000306E9"/>
    <w:rsid w:val="0003079B"/>
    <w:rsid w:val="00030819"/>
    <w:rsid w:val="0003090C"/>
    <w:rsid w:val="00030A7F"/>
    <w:rsid w:val="00030AB4"/>
    <w:rsid w:val="00030AC8"/>
    <w:rsid w:val="00030ADA"/>
    <w:rsid w:val="00030CFD"/>
    <w:rsid w:val="00030D18"/>
    <w:rsid w:val="00030D37"/>
    <w:rsid w:val="00030D44"/>
    <w:rsid w:val="00030DA9"/>
    <w:rsid w:val="00030E68"/>
    <w:rsid w:val="00030E85"/>
    <w:rsid w:val="00030F0E"/>
    <w:rsid w:val="00031039"/>
    <w:rsid w:val="00031389"/>
    <w:rsid w:val="00031497"/>
    <w:rsid w:val="00031564"/>
    <w:rsid w:val="000315AD"/>
    <w:rsid w:val="00031690"/>
    <w:rsid w:val="000318D5"/>
    <w:rsid w:val="0003196A"/>
    <w:rsid w:val="00031B34"/>
    <w:rsid w:val="00031B97"/>
    <w:rsid w:val="00031C18"/>
    <w:rsid w:val="00031C48"/>
    <w:rsid w:val="00031C68"/>
    <w:rsid w:val="00031C95"/>
    <w:rsid w:val="00031D3B"/>
    <w:rsid w:val="00031D44"/>
    <w:rsid w:val="00031D93"/>
    <w:rsid w:val="00031D97"/>
    <w:rsid w:val="00031E86"/>
    <w:rsid w:val="00031F8C"/>
    <w:rsid w:val="00032078"/>
    <w:rsid w:val="000320AB"/>
    <w:rsid w:val="000320CA"/>
    <w:rsid w:val="00032149"/>
    <w:rsid w:val="0003216D"/>
    <w:rsid w:val="0003218F"/>
    <w:rsid w:val="0003229D"/>
    <w:rsid w:val="00032386"/>
    <w:rsid w:val="000323A8"/>
    <w:rsid w:val="00032461"/>
    <w:rsid w:val="00032523"/>
    <w:rsid w:val="000325E4"/>
    <w:rsid w:val="000325FA"/>
    <w:rsid w:val="00032636"/>
    <w:rsid w:val="0003270D"/>
    <w:rsid w:val="00032723"/>
    <w:rsid w:val="00032756"/>
    <w:rsid w:val="000327A2"/>
    <w:rsid w:val="000327CD"/>
    <w:rsid w:val="000327D1"/>
    <w:rsid w:val="00032803"/>
    <w:rsid w:val="0003284D"/>
    <w:rsid w:val="00032942"/>
    <w:rsid w:val="000329D1"/>
    <w:rsid w:val="000329F9"/>
    <w:rsid w:val="00032BAD"/>
    <w:rsid w:val="00032D39"/>
    <w:rsid w:val="00032D81"/>
    <w:rsid w:val="00032E82"/>
    <w:rsid w:val="00032E9F"/>
    <w:rsid w:val="00032EE9"/>
    <w:rsid w:val="00032F0A"/>
    <w:rsid w:val="0003337F"/>
    <w:rsid w:val="000333AE"/>
    <w:rsid w:val="0003340B"/>
    <w:rsid w:val="00033420"/>
    <w:rsid w:val="0003343A"/>
    <w:rsid w:val="00033458"/>
    <w:rsid w:val="0003355C"/>
    <w:rsid w:val="000335D1"/>
    <w:rsid w:val="000335E8"/>
    <w:rsid w:val="00033642"/>
    <w:rsid w:val="0003366B"/>
    <w:rsid w:val="000337BE"/>
    <w:rsid w:val="000337DE"/>
    <w:rsid w:val="000338C5"/>
    <w:rsid w:val="000339B6"/>
    <w:rsid w:val="000339F6"/>
    <w:rsid w:val="00033A25"/>
    <w:rsid w:val="00033AB7"/>
    <w:rsid w:val="00033B0B"/>
    <w:rsid w:val="00033B17"/>
    <w:rsid w:val="00033CD2"/>
    <w:rsid w:val="00033D74"/>
    <w:rsid w:val="00033DB6"/>
    <w:rsid w:val="00033DD8"/>
    <w:rsid w:val="00034092"/>
    <w:rsid w:val="00034141"/>
    <w:rsid w:val="00034147"/>
    <w:rsid w:val="00034190"/>
    <w:rsid w:val="0003456B"/>
    <w:rsid w:val="00034673"/>
    <w:rsid w:val="00034678"/>
    <w:rsid w:val="0003483D"/>
    <w:rsid w:val="00034872"/>
    <w:rsid w:val="0003499D"/>
    <w:rsid w:val="00034ACE"/>
    <w:rsid w:val="00034BDB"/>
    <w:rsid w:val="00034C15"/>
    <w:rsid w:val="00034D2D"/>
    <w:rsid w:val="00034DD0"/>
    <w:rsid w:val="00034E76"/>
    <w:rsid w:val="00034FB4"/>
    <w:rsid w:val="0003502C"/>
    <w:rsid w:val="00035077"/>
    <w:rsid w:val="000350F4"/>
    <w:rsid w:val="000352F1"/>
    <w:rsid w:val="00035320"/>
    <w:rsid w:val="00035332"/>
    <w:rsid w:val="00035450"/>
    <w:rsid w:val="000354DA"/>
    <w:rsid w:val="0003550A"/>
    <w:rsid w:val="000357A5"/>
    <w:rsid w:val="000357D9"/>
    <w:rsid w:val="000357E8"/>
    <w:rsid w:val="000357F6"/>
    <w:rsid w:val="000357F8"/>
    <w:rsid w:val="0003589D"/>
    <w:rsid w:val="000358B7"/>
    <w:rsid w:val="000358EA"/>
    <w:rsid w:val="00035AAE"/>
    <w:rsid w:val="00035B09"/>
    <w:rsid w:val="00035C8D"/>
    <w:rsid w:val="00035DFE"/>
    <w:rsid w:val="00035FB3"/>
    <w:rsid w:val="00035FFC"/>
    <w:rsid w:val="0003614C"/>
    <w:rsid w:val="00036212"/>
    <w:rsid w:val="00036250"/>
    <w:rsid w:val="00036306"/>
    <w:rsid w:val="000363A4"/>
    <w:rsid w:val="0003650D"/>
    <w:rsid w:val="00036532"/>
    <w:rsid w:val="000365C6"/>
    <w:rsid w:val="000365C8"/>
    <w:rsid w:val="000365FF"/>
    <w:rsid w:val="00036610"/>
    <w:rsid w:val="00036765"/>
    <w:rsid w:val="00036814"/>
    <w:rsid w:val="000368BF"/>
    <w:rsid w:val="00036918"/>
    <w:rsid w:val="00036B2D"/>
    <w:rsid w:val="00036B34"/>
    <w:rsid w:val="00036BD2"/>
    <w:rsid w:val="00036C3F"/>
    <w:rsid w:val="00036C71"/>
    <w:rsid w:val="00036D0D"/>
    <w:rsid w:val="00036DE6"/>
    <w:rsid w:val="00036E0E"/>
    <w:rsid w:val="00036E6C"/>
    <w:rsid w:val="00036F80"/>
    <w:rsid w:val="0003709A"/>
    <w:rsid w:val="000370EA"/>
    <w:rsid w:val="00037162"/>
    <w:rsid w:val="000371C2"/>
    <w:rsid w:val="00037244"/>
    <w:rsid w:val="00037377"/>
    <w:rsid w:val="00037384"/>
    <w:rsid w:val="00037572"/>
    <w:rsid w:val="00037751"/>
    <w:rsid w:val="0003779E"/>
    <w:rsid w:val="000378AE"/>
    <w:rsid w:val="000378EA"/>
    <w:rsid w:val="000379E0"/>
    <w:rsid w:val="00037B97"/>
    <w:rsid w:val="00037C09"/>
    <w:rsid w:val="00037D21"/>
    <w:rsid w:val="00037E69"/>
    <w:rsid w:val="00037EB6"/>
    <w:rsid w:val="00037ECE"/>
    <w:rsid w:val="00037EFB"/>
    <w:rsid w:val="00037F9C"/>
    <w:rsid w:val="00040115"/>
    <w:rsid w:val="000401A7"/>
    <w:rsid w:val="00040295"/>
    <w:rsid w:val="000402CA"/>
    <w:rsid w:val="0004041C"/>
    <w:rsid w:val="0004043F"/>
    <w:rsid w:val="000404AD"/>
    <w:rsid w:val="0004050D"/>
    <w:rsid w:val="000406C1"/>
    <w:rsid w:val="000406D8"/>
    <w:rsid w:val="0004070D"/>
    <w:rsid w:val="000408A3"/>
    <w:rsid w:val="000408D1"/>
    <w:rsid w:val="0004091F"/>
    <w:rsid w:val="00040B99"/>
    <w:rsid w:val="00040C2B"/>
    <w:rsid w:val="00040D04"/>
    <w:rsid w:val="00040E2D"/>
    <w:rsid w:val="00040F82"/>
    <w:rsid w:val="00040F98"/>
    <w:rsid w:val="0004102B"/>
    <w:rsid w:val="00041061"/>
    <w:rsid w:val="00041189"/>
    <w:rsid w:val="00041389"/>
    <w:rsid w:val="000413B0"/>
    <w:rsid w:val="000413F5"/>
    <w:rsid w:val="0004141A"/>
    <w:rsid w:val="00041530"/>
    <w:rsid w:val="00041A7E"/>
    <w:rsid w:val="00041B0E"/>
    <w:rsid w:val="00041B3B"/>
    <w:rsid w:val="00041C35"/>
    <w:rsid w:val="00041C76"/>
    <w:rsid w:val="00041E2F"/>
    <w:rsid w:val="00041E82"/>
    <w:rsid w:val="00041E97"/>
    <w:rsid w:val="00042015"/>
    <w:rsid w:val="0004214A"/>
    <w:rsid w:val="000423D1"/>
    <w:rsid w:val="0004242F"/>
    <w:rsid w:val="0004243A"/>
    <w:rsid w:val="00042445"/>
    <w:rsid w:val="000424EB"/>
    <w:rsid w:val="00042531"/>
    <w:rsid w:val="000426D3"/>
    <w:rsid w:val="0004276A"/>
    <w:rsid w:val="000427F9"/>
    <w:rsid w:val="00042D46"/>
    <w:rsid w:val="00042DAB"/>
    <w:rsid w:val="00042EBE"/>
    <w:rsid w:val="00042ECF"/>
    <w:rsid w:val="00042F57"/>
    <w:rsid w:val="00042FE5"/>
    <w:rsid w:val="000430A0"/>
    <w:rsid w:val="00043156"/>
    <w:rsid w:val="000431C9"/>
    <w:rsid w:val="000431DF"/>
    <w:rsid w:val="00043417"/>
    <w:rsid w:val="00043465"/>
    <w:rsid w:val="00043495"/>
    <w:rsid w:val="000436BF"/>
    <w:rsid w:val="00043754"/>
    <w:rsid w:val="00043977"/>
    <w:rsid w:val="00043ADA"/>
    <w:rsid w:val="00043AED"/>
    <w:rsid w:val="00043B8D"/>
    <w:rsid w:val="00043CE5"/>
    <w:rsid w:val="00043E08"/>
    <w:rsid w:val="00043E53"/>
    <w:rsid w:val="00043E82"/>
    <w:rsid w:val="00043EC9"/>
    <w:rsid w:val="00043F7C"/>
    <w:rsid w:val="00043FE5"/>
    <w:rsid w:val="000440E9"/>
    <w:rsid w:val="0004419D"/>
    <w:rsid w:val="000441D0"/>
    <w:rsid w:val="000442C9"/>
    <w:rsid w:val="00044502"/>
    <w:rsid w:val="000445DA"/>
    <w:rsid w:val="00044617"/>
    <w:rsid w:val="000446C0"/>
    <w:rsid w:val="000446E6"/>
    <w:rsid w:val="000446ED"/>
    <w:rsid w:val="0004481D"/>
    <w:rsid w:val="0004488C"/>
    <w:rsid w:val="00044954"/>
    <w:rsid w:val="000449CA"/>
    <w:rsid w:val="00044A3E"/>
    <w:rsid w:val="00044AD1"/>
    <w:rsid w:val="00044B22"/>
    <w:rsid w:val="00044B64"/>
    <w:rsid w:val="00044B91"/>
    <w:rsid w:val="00044E77"/>
    <w:rsid w:val="00044E97"/>
    <w:rsid w:val="00044F66"/>
    <w:rsid w:val="00044F7B"/>
    <w:rsid w:val="00044FA4"/>
    <w:rsid w:val="00044FC3"/>
    <w:rsid w:val="000450D1"/>
    <w:rsid w:val="00045268"/>
    <w:rsid w:val="00045666"/>
    <w:rsid w:val="00045676"/>
    <w:rsid w:val="0004594E"/>
    <w:rsid w:val="00045957"/>
    <w:rsid w:val="00045984"/>
    <w:rsid w:val="00045AB8"/>
    <w:rsid w:val="00045B17"/>
    <w:rsid w:val="00045C19"/>
    <w:rsid w:val="00045CCE"/>
    <w:rsid w:val="00045DA3"/>
    <w:rsid w:val="00045FF5"/>
    <w:rsid w:val="00046133"/>
    <w:rsid w:val="0004613D"/>
    <w:rsid w:val="00046179"/>
    <w:rsid w:val="000461E8"/>
    <w:rsid w:val="00046338"/>
    <w:rsid w:val="000465AF"/>
    <w:rsid w:val="00046670"/>
    <w:rsid w:val="000467BF"/>
    <w:rsid w:val="000469F3"/>
    <w:rsid w:val="00046A38"/>
    <w:rsid w:val="00046A49"/>
    <w:rsid w:val="00046CCD"/>
    <w:rsid w:val="00046DA2"/>
    <w:rsid w:val="00046E0B"/>
    <w:rsid w:val="00046EBC"/>
    <w:rsid w:val="00047062"/>
    <w:rsid w:val="00047278"/>
    <w:rsid w:val="00047283"/>
    <w:rsid w:val="0004739D"/>
    <w:rsid w:val="000474C2"/>
    <w:rsid w:val="000474D2"/>
    <w:rsid w:val="000474DD"/>
    <w:rsid w:val="00047555"/>
    <w:rsid w:val="000475C2"/>
    <w:rsid w:val="000477B2"/>
    <w:rsid w:val="00047902"/>
    <w:rsid w:val="00047921"/>
    <w:rsid w:val="00047DF3"/>
    <w:rsid w:val="00047FBB"/>
    <w:rsid w:val="0004E053"/>
    <w:rsid w:val="00050173"/>
    <w:rsid w:val="00050241"/>
    <w:rsid w:val="0005032A"/>
    <w:rsid w:val="00050439"/>
    <w:rsid w:val="00050450"/>
    <w:rsid w:val="00050476"/>
    <w:rsid w:val="00050539"/>
    <w:rsid w:val="0005064F"/>
    <w:rsid w:val="00050685"/>
    <w:rsid w:val="000506F7"/>
    <w:rsid w:val="00050704"/>
    <w:rsid w:val="000509D3"/>
    <w:rsid w:val="00050A64"/>
    <w:rsid w:val="00050AD1"/>
    <w:rsid w:val="00050B65"/>
    <w:rsid w:val="00050BF5"/>
    <w:rsid w:val="00050C0B"/>
    <w:rsid w:val="00050CC5"/>
    <w:rsid w:val="00050D59"/>
    <w:rsid w:val="00050DE1"/>
    <w:rsid w:val="00050F35"/>
    <w:rsid w:val="00050F84"/>
    <w:rsid w:val="000510E3"/>
    <w:rsid w:val="000511AC"/>
    <w:rsid w:val="00051567"/>
    <w:rsid w:val="000515D3"/>
    <w:rsid w:val="000515DE"/>
    <w:rsid w:val="000515DF"/>
    <w:rsid w:val="0005164E"/>
    <w:rsid w:val="000516BD"/>
    <w:rsid w:val="000516F0"/>
    <w:rsid w:val="0005175B"/>
    <w:rsid w:val="00051987"/>
    <w:rsid w:val="00051A35"/>
    <w:rsid w:val="00051ABB"/>
    <w:rsid w:val="00051D60"/>
    <w:rsid w:val="00051E5E"/>
    <w:rsid w:val="00051EB2"/>
    <w:rsid w:val="00051F2A"/>
    <w:rsid w:val="00051FA4"/>
    <w:rsid w:val="00051FC8"/>
    <w:rsid w:val="0005201D"/>
    <w:rsid w:val="000520B1"/>
    <w:rsid w:val="000521DE"/>
    <w:rsid w:val="000521FE"/>
    <w:rsid w:val="00052302"/>
    <w:rsid w:val="0005235E"/>
    <w:rsid w:val="000523ED"/>
    <w:rsid w:val="000526B1"/>
    <w:rsid w:val="000526B3"/>
    <w:rsid w:val="00052707"/>
    <w:rsid w:val="0005281D"/>
    <w:rsid w:val="0005284C"/>
    <w:rsid w:val="00052A18"/>
    <w:rsid w:val="00052AD2"/>
    <w:rsid w:val="00052B33"/>
    <w:rsid w:val="00052B9B"/>
    <w:rsid w:val="00052BBD"/>
    <w:rsid w:val="00052BEA"/>
    <w:rsid w:val="00052C68"/>
    <w:rsid w:val="00052ED4"/>
    <w:rsid w:val="00052F8B"/>
    <w:rsid w:val="00053087"/>
    <w:rsid w:val="00053135"/>
    <w:rsid w:val="00053141"/>
    <w:rsid w:val="0005318B"/>
    <w:rsid w:val="00053279"/>
    <w:rsid w:val="0005331D"/>
    <w:rsid w:val="0005333D"/>
    <w:rsid w:val="000534C5"/>
    <w:rsid w:val="000535FD"/>
    <w:rsid w:val="00053797"/>
    <w:rsid w:val="000537B1"/>
    <w:rsid w:val="000538BA"/>
    <w:rsid w:val="0005391B"/>
    <w:rsid w:val="00053A98"/>
    <w:rsid w:val="00053AC9"/>
    <w:rsid w:val="00053B30"/>
    <w:rsid w:val="00053C4C"/>
    <w:rsid w:val="00053CE5"/>
    <w:rsid w:val="00053D29"/>
    <w:rsid w:val="00053D33"/>
    <w:rsid w:val="00053F13"/>
    <w:rsid w:val="000541E1"/>
    <w:rsid w:val="000541FF"/>
    <w:rsid w:val="00054201"/>
    <w:rsid w:val="00054256"/>
    <w:rsid w:val="00054272"/>
    <w:rsid w:val="00054318"/>
    <w:rsid w:val="00054370"/>
    <w:rsid w:val="0005438E"/>
    <w:rsid w:val="000543F6"/>
    <w:rsid w:val="00054534"/>
    <w:rsid w:val="00054565"/>
    <w:rsid w:val="00054661"/>
    <w:rsid w:val="00054701"/>
    <w:rsid w:val="00054819"/>
    <w:rsid w:val="0005495B"/>
    <w:rsid w:val="00054980"/>
    <w:rsid w:val="000549B0"/>
    <w:rsid w:val="00054A8F"/>
    <w:rsid w:val="00054A91"/>
    <w:rsid w:val="00054B06"/>
    <w:rsid w:val="00054B7D"/>
    <w:rsid w:val="00054BC2"/>
    <w:rsid w:val="00054C6C"/>
    <w:rsid w:val="00054D5F"/>
    <w:rsid w:val="00054D9A"/>
    <w:rsid w:val="00054DE7"/>
    <w:rsid w:val="00054E35"/>
    <w:rsid w:val="00054E8D"/>
    <w:rsid w:val="00054EC8"/>
    <w:rsid w:val="00054F9B"/>
    <w:rsid w:val="0005507B"/>
    <w:rsid w:val="0005515F"/>
    <w:rsid w:val="00055206"/>
    <w:rsid w:val="0005548F"/>
    <w:rsid w:val="000554BB"/>
    <w:rsid w:val="000554C6"/>
    <w:rsid w:val="000554E6"/>
    <w:rsid w:val="00055653"/>
    <w:rsid w:val="00055721"/>
    <w:rsid w:val="00055740"/>
    <w:rsid w:val="00055818"/>
    <w:rsid w:val="00055896"/>
    <w:rsid w:val="000558B2"/>
    <w:rsid w:val="0005591C"/>
    <w:rsid w:val="000559FD"/>
    <w:rsid w:val="00055AD4"/>
    <w:rsid w:val="00055AD5"/>
    <w:rsid w:val="00055AF0"/>
    <w:rsid w:val="00055B48"/>
    <w:rsid w:val="00055C8D"/>
    <w:rsid w:val="00055D0B"/>
    <w:rsid w:val="00055D30"/>
    <w:rsid w:val="00055EE6"/>
    <w:rsid w:val="00055FA7"/>
    <w:rsid w:val="00055FF3"/>
    <w:rsid w:val="000560AC"/>
    <w:rsid w:val="00056123"/>
    <w:rsid w:val="0005619A"/>
    <w:rsid w:val="000561FD"/>
    <w:rsid w:val="00056202"/>
    <w:rsid w:val="0005651B"/>
    <w:rsid w:val="00056553"/>
    <w:rsid w:val="000566C0"/>
    <w:rsid w:val="000566D4"/>
    <w:rsid w:val="00056759"/>
    <w:rsid w:val="00056791"/>
    <w:rsid w:val="000567AF"/>
    <w:rsid w:val="000567C5"/>
    <w:rsid w:val="0005698E"/>
    <w:rsid w:val="000569F9"/>
    <w:rsid w:val="00056AEA"/>
    <w:rsid w:val="00056AED"/>
    <w:rsid w:val="00056BED"/>
    <w:rsid w:val="00056C9E"/>
    <w:rsid w:val="00056CD7"/>
    <w:rsid w:val="00056DD4"/>
    <w:rsid w:val="00056E35"/>
    <w:rsid w:val="00056E74"/>
    <w:rsid w:val="00056F0C"/>
    <w:rsid w:val="00056F9F"/>
    <w:rsid w:val="00056FA8"/>
    <w:rsid w:val="000570B3"/>
    <w:rsid w:val="00057131"/>
    <w:rsid w:val="00057278"/>
    <w:rsid w:val="0005735B"/>
    <w:rsid w:val="00057388"/>
    <w:rsid w:val="0005739B"/>
    <w:rsid w:val="00057493"/>
    <w:rsid w:val="0005754A"/>
    <w:rsid w:val="0005755D"/>
    <w:rsid w:val="0005756C"/>
    <w:rsid w:val="00057596"/>
    <w:rsid w:val="0005769A"/>
    <w:rsid w:val="000576C2"/>
    <w:rsid w:val="000576D9"/>
    <w:rsid w:val="000576F2"/>
    <w:rsid w:val="00057711"/>
    <w:rsid w:val="00057714"/>
    <w:rsid w:val="00057731"/>
    <w:rsid w:val="00057774"/>
    <w:rsid w:val="00057971"/>
    <w:rsid w:val="00057A6C"/>
    <w:rsid w:val="00057A7B"/>
    <w:rsid w:val="00057A9B"/>
    <w:rsid w:val="00057B5C"/>
    <w:rsid w:val="00057B9F"/>
    <w:rsid w:val="00057C8E"/>
    <w:rsid w:val="00057CFA"/>
    <w:rsid w:val="00057D65"/>
    <w:rsid w:val="00057D82"/>
    <w:rsid w:val="00057E11"/>
    <w:rsid w:val="00057E24"/>
    <w:rsid w:val="00057E30"/>
    <w:rsid w:val="00057E88"/>
    <w:rsid w:val="00057F20"/>
    <w:rsid w:val="00057F30"/>
    <w:rsid w:val="00060040"/>
    <w:rsid w:val="000600B2"/>
    <w:rsid w:val="000600B7"/>
    <w:rsid w:val="000600C7"/>
    <w:rsid w:val="00060340"/>
    <w:rsid w:val="00060357"/>
    <w:rsid w:val="00060415"/>
    <w:rsid w:val="00060498"/>
    <w:rsid w:val="00060511"/>
    <w:rsid w:val="0006057A"/>
    <w:rsid w:val="00060586"/>
    <w:rsid w:val="00060690"/>
    <w:rsid w:val="00060785"/>
    <w:rsid w:val="000607A8"/>
    <w:rsid w:val="0006094C"/>
    <w:rsid w:val="0006095B"/>
    <w:rsid w:val="00060977"/>
    <w:rsid w:val="000609E0"/>
    <w:rsid w:val="00060A1A"/>
    <w:rsid w:val="00060A4C"/>
    <w:rsid w:val="00060B6A"/>
    <w:rsid w:val="00060E52"/>
    <w:rsid w:val="000610B6"/>
    <w:rsid w:val="0006116C"/>
    <w:rsid w:val="00061194"/>
    <w:rsid w:val="000612FC"/>
    <w:rsid w:val="0006153D"/>
    <w:rsid w:val="00061556"/>
    <w:rsid w:val="00061564"/>
    <w:rsid w:val="000616BE"/>
    <w:rsid w:val="0006194D"/>
    <w:rsid w:val="00061A72"/>
    <w:rsid w:val="00061ACA"/>
    <w:rsid w:val="00061B02"/>
    <w:rsid w:val="00061BE7"/>
    <w:rsid w:val="00061C4C"/>
    <w:rsid w:val="00061D05"/>
    <w:rsid w:val="00061D38"/>
    <w:rsid w:val="00061E25"/>
    <w:rsid w:val="00061E80"/>
    <w:rsid w:val="00061EA4"/>
    <w:rsid w:val="00061ED8"/>
    <w:rsid w:val="00061F3D"/>
    <w:rsid w:val="00061F6C"/>
    <w:rsid w:val="00062031"/>
    <w:rsid w:val="00062096"/>
    <w:rsid w:val="000620AB"/>
    <w:rsid w:val="000620E8"/>
    <w:rsid w:val="0006213E"/>
    <w:rsid w:val="000622E6"/>
    <w:rsid w:val="00062308"/>
    <w:rsid w:val="00062333"/>
    <w:rsid w:val="000623BA"/>
    <w:rsid w:val="000624AE"/>
    <w:rsid w:val="00062513"/>
    <w:rsid w:val="000625FF"/>
    <w:rsid w:val="000627E4"/>
    <w:rsid w:val="00062860"/>
    <w:rsid w:val="000628FE"/>
    <w:rsid w:val="00062A0E"/>
    <w:rsid w:val="00062BBE"/>
    <w:rsid w:val="00062E64"/>
    <w:rsid w:val="00063034"/>
    <w:rsid w:val="00063058"/>
    <w:rsid w:val="0006307C"/>
    <w:rsid w:val="000630C8"/>
    <w:rsid w:val="00063472"/>
    <w:rsid w:val="00063586"/>
    <w:rsid w:val="00063634"/>
    <w:rsid w:val="0006365F"/>
    <w:rsid w:val="0006371A"/>
    <w:rsid w:val="0006375A"/>
    <w:rsid w:val="00063833"/>
    <w:rsid w:val="0006383B"/>
    <w:rsid w:val="00063894"/>
    <w:rsid w:val="00063A47"/>
    <w:rsid w:val="00063C82"/>
    <w:rsid w:val="00063CC1"/>
    <w:rsid w:val="00063D3E"/>
    <w:rsid w:val="00063F14"/>
    <w:rsid w:val="00063FB1"/>
    <w:rsid w:val="00064022"/>
    <w:rsid w:val="0006407D"/>
    <w:rsid w:val="0006418D"/>
    <w:rsid w:val="000641B4"/>
    <w:rsid w:val="000641E5"/>
    <w:rsid w:val="000641EB"/>
    <w:rsid w:val="000646E0"/>
    <w:rsid w:val="0006478E"/>
    <w:rsid w:val="000648B0"/>
    <w:rsid w:val="00064909"/>
    <w:rsid w:val="000649F6"/>
    <w:rsid w:val="00064ACB"/>
    <w:rsid w:val="00064B77"/>
    <w:rsid w:val="00064BF8"/>
    <w:rsid w:val="00064C68"/>
    <w:rsid w:val="00064CFE"/>
    <w:rsid w:val="00064D0E"/>
    <w:rsid w:val="00064D6B"/>
    <w:rsid w:val="00065014"/>
    <w:rsid w:val="00065190"/>
    <w:rsid w:val="000652EE"/>
    <w:rsid w:val="000653F9"/>
    <w:rsid w:val="000653FD"/>
    <w:rsid w:val="0006554D"/>
    <w:rsid w:val="000655DD"/>
    <w:rsid w:val="000655DF"/>
    <w:rsid w:val="000656D6"/>
    <w:rsid w:val="0006573B"/>
    <w:rsid w:val="000657B4"/>
    <w:rsid w:val="0006583E"/>
    <w:rsid w:val="00065A32"/>
    <w:rsid w:val="00065D06"/>
    <w:rsid w:val="00065DDA"/>
    <w:rsid w:val="00065E64"/>
    <w:rsid w:val="00065F49"/>
    <w:rsid w:val="00065F5B"/>
    <w:rsid w:val="00065FCC"/>
    <w:rsid w:val="000660AA"/>
    <w:rsid w:val="000660C1"/>
    <w:rsid w:val="000661C4"/>
    <w:rsid w:val="0006636E"/>
    <w:rsid w:val="000663D4"/>
    <w:rsid w:val="00066503"/>
    <w:rsid w:val="00066647"/>
    <w:rsid w:val="000666E1"/>
    <w:rsid w:val="00066708"/>
    <w:rsid w:val="00066717"/>
    <w:rsid w:val="00066756"/>
    <w:rsid w:val="00066786"/>
    <w:rsid w:val="000669AE"/>
    <w:rsid w:val="00066ACF"/>
    <w:rsid w:val="00066B64"/>
    <w:rsid w:val="00066CFD"/>
    <w:rsid w:val="00066D21"/>
    <w:rsid w:val="00066E6F"/>
    <w:rsid w:val="00066E72"/>
    <w:rsid w:val="00066F34"/>
    <w:rsid w:val="00066F3B"/>
    <w:rsid w:val="0006703D"/>
    <w:rsid w:val="000670D5"/>
    <w:rsid w:val="000673EC"/>
    <w:rsid w:val="0006756E"/>
    <w:rsid w:val="000675CC"/>
    <w:rsid w:val="00067756"/>
    <w:rsid w:val="000678EB"/>
    <w:rsid w:val="00067B17"/>
    <w:rsid w:val="00067B35"/>
    <w:rsid w:val="00067B37"/>
    <w:rsid w:val="00067C87"/>
    <w:rsid w:val="00067D1E"/>
    <w:rsid w:val="00067D5E"/>
    <w:rsid w:val="00067D8B"/>
    <w:rsid w:val="00067DD1"/>
    <w:rsid w:val="00067DE9"/>
    <w:rsid w:val="00067F11"/>
    <w:rsid w:val="00067F71"/>
    <w:rsid w:val="00067FC7"/>
    <w:rsid w:val="00070089"/>
    <w:rsid w:val="00070131"/>
    <w:rsid w:val="0007013B"/>
    <w:rsid w:val="0007016B"/>
    <w:rsid w:val="00070188"/>
    <w:rsid w:val="000701AD"/>
    <w:rsid w:val="000702B9"/>
    <w:rsid w:val="0007032E"/>
    <w:rsid w:val="00070396"/>
    <w:rsid w:val="000703BD"/>
    <w:rsid w:val="000703D1"/>
    <w:rsid w:val="000703F1"/>
    <w:rsid w:val="00070443"/>
    <w:rsid w:val="00070506"/>
    <w:rsid w:val="0007057B"/>
    <w:rsid w:val="000705CB"/>
    <w:rsid w:val="000705EA"/>
    <w:rsid w:val="00070602"/>
    <w:rsid w:val="00070717"/>
    <w:rsid w:val="000707B9"/>
    <w:rsid w:val="000707EC"/>
    <w:rsid w:val="00070807"/>
    <w:rsid w:val="00070830"/>
    <w:rsid w:val="00070A22"/>
    <w:rsid w:val="00070ADE"/>
    <w:rsid w:val="00070B03"/>
    <w:rsid w:val="00070B4E"/>
    <w:rsid w:val="00070CBA"/>
    <w:rsid w:val="00070D1B"/>
    <w:rsid w:val="00070DD1"/>
    <w:rsid w:val="000710B7"/>
    <w:rsid w:val="00071119"/>
    <w:rsid w:val="00071235"/>
    <w:rsid w:val="000712B8"/>
    <w:rsid w:val="0007130D"/>
    <w:rsid w:val="00071335"/>
    <w:rsid w:val="000713F0"/>
    <w:rsid w:val="000713F1"/>
    <w:rsid w:val="0007143D"/>
    <w:rsid w:val="0007148D"/>
    <w:rsid w:val="0007155A"/>
    <w:rsid w:val="00071607"/>
    <w:rsid w:val="00071608"/>
    <w:rsid w:val="0007164A"/>
    <w:rsid w:val="0007165F"/>
    <w:rsid w:val="00071678"/>
    <w:rsid w:val="000716E4"/>
    <w:rsid w:val="000717EB"/>
    <w:rsid w:val="00071841"/>
    <w:rsid w:val="00071934"/>
    <w:rsid w:val="00071A43"/>
    <w:rsid w:val="00071BB9"/>
    <w:rsid w:val="00071C2F"/>
    <w:rsid w:val="00071C52"/>
    <w:rsid w:val="00071D42"/>
    <w:rsid w:val="00071F54"/>
    <w:rsid w:val="00071F61"/>
    <w:rsid w:val="000720BC"/>
    <w:rsid w:val="0007218F"/>
    <w:rsid w:val="0007222F"/>
    <w:rsid w:val="000722D1"/>
    <w:rsid w:val="00072336"/>
    <w:rsid w:val="00072367"/>
    <w:rsid w:val="000723B0"/>
    <w:rsid w:val="00072433"/>
    <w:rsid w:val="00072458"/>
    <w:rsid w:val="00072475"/>
    <w:rsid w:val="000724AC"/>
    <w:rsid w:val="000724C2"/>
    <w:rsid w:val="00072534"/>
    <w:rsid w:val="000725D4"/>
    <w:rsid w:val="0007275C"/>
    <w:rsid w:val="00072779"/>
    <w:rsid w:val="00072818"/>
    <w:rsid w:val="00072828"/>
    <w:rsid w:val="0007285A"/>
    <w:rsid w:val="000728BC"/>
    <w:rsid w:val="000728E4"/>
    <w:rsid w:val="000728F4"/>
    <w:rsid w:val="000728F9"/>
    <w:rsid w:val="00072B7E"/>
    <w:rsid w:val="00072C24"/>
    <w:rsid w:val="00072C57"/>
    <w:rsid w:val="00072D41"/>
    <w:rsid w:val="00072DBB"/>
    <w:rsid w:val="00072FDE"/>
    <w:rsid w:val="0007306F"/>
    <w:rsid w:val="00073073"/>
    <w:rsid w:val="000730DB"/>
    <w:rsid w:val="00073300"/>
    <w:rsid w:val="000733F4"/>
    <w:rsid w:val="0007348B"/>
    <w:rsid w:val="000735DC"/>
    <w:rsid w:val="00073645"/>
    <w:rsid w:val="00073671"/>
    <w:rsid w:val="000736B7"/>
    <w:rsid w:val="000736C6"/>
    <w:rsid w:val="0007375B"/>
    <w:rsid w:val="00073A91"/>
    <w:rsid w:val="00073B81"/>
    <w:rsid w:val="00073BC3"/>
    <w:rsid w:val="00073BE4"/>
    <w:rsid w:val="00073C3E"/>
    <w:rsid w:val="00073C47"/>
    <w:rsid w:val="00073D5B"/>
    <w:rsid w:val="00073EFE"/>
    <w:rsid w:val="00073F18"/>
    <w:rsid w:val="00073F7C"/>
    <w:rsid w:val="00073F96"/>
    <w:rsid w:val="000740BF"/>
    <w:rsid w:val="00074139"/>
    <w:rsid w:val="000742C7"/>
    <w:rsid w:val="00074308"/>
    <w:rsid w:val="0007436F"/>
    <w:rsid w:val="0007437B"/>
    <w:rsid w:val="000743A9"/>
    <w:rsid w:val="000743CD"/>
    <w:rsid w:val="00074426"/>
    <w:rsid w:val="0007444E"/>
    <w:rsid w:val="0007457D"/>
    <w:rsid w:val="00074591"/>
    <w:rsid w:val="0007466F"/>
    <w:rsid w:val="000746D5"/>
    <w:rsid w:val="0007476E"/>
    <w:rsid w:val="0007476F"/>
    <w:rsid w:val="0007479C"/>
    <w:rsid w:val="000747F7"/>
    <w:rsid w:val="0007489D"/>
    <w:rsid w:val="0007489E"/>
    <w:rsid w:val="000748EA"/>
    <w:rsid w:val="00074B2F"/>
    <w:rsid w:val="00074BD6"/>
    <w:rsid w:val="00074BFE"/>
    <w:rsid w:val="00074C22"/>
    <w:rsid w:val="00074E81"/>
    <w:rsid w:val="00074F14"/>
    <w:rsid w:val="00074F27"/>
    <w:rsid w:val="00075105"/>
    <w:rsid w:val="000751A6"/>
    <w:rsid w:val="00075344"/>
    <w:rsid w:val="000753AF"/>
    <w:rsid w:val="00075408"/>
    <w:rsid w:val="00075457"/>
    <w:rsid w:val="00075537"/>
    <w:rsid w:val="00075554"/>
    <w:rsid w:val="000755B8"/>
    <w:rsid w:val="00075845"/>
    <w:rsid w:val="0007586E"/>
    <w:rsid w:val="00075893"/>
    <w:rsid w:val="0007598D"/>
    <w:rsid w:val="00075AD2"/>
    <w:rsid w:val="00075AF8"/>
    <w:rsid w:val="00075AFD"/>
    <w:rsid w:val="00075B70"/>
    <w:rsid w:val="00075D39"/>
    <w:rsid w:val="00075E03"/>
    <w:rsid w:val="00075E1A"/>
    <w:rsid w:val="00075ED0"/>
    <w:rsid w:val="00076023"/>
    <w:rsid w:val="0007614F"/>
    <w:rsid w:val="00076173"/>
    <w:rsid w:val="00076197"/>
    <w:rsid w:val="00076286"/>
    <w:rsid w:val="00076351"/>
    <w:rsid w:val="0007641B"/>
    <w:rsid w:val="0007673B"/>
    <w:rsid w:val="000767C0"/>
    <w:rsid w:val="000767C5"/>
    <w:rsid w:val="0007683A"/>
    <w:rsid w:val="000768E7"/>
    <w:rsid w:val="000768FC"/>
    <w:rsid w:val="00076931"/>
    <w:rsid w:val="00076A27"/>
    <w:rsid w:val="00076B30"/>
    <w:rsid w:val="00076C86"/>
    <w:rsid w:val="00076D2F"/>
    <w:rsid w:val="00076D92"/>
    <w:rsid w:val="00076E16"/>
    <w:rsid w:val="00076EB6"/>
    <w:rsid w:val="00076F56"/>
    <w:rsid w:val="00077029"/>
    <w:rsid w:val="000771DA"/>
    <w:rsid w:val="000771FE"/>
    <w:rsid w:val="0007732C"/>
    <w:rsid w:val="00077384"/>
    <w:rsid w:val="000773C3"/>
    <w:rsid w:val="00077500"/>
    <w:rsid w:val="000775E6"/>
    <w:rsid w:val="000776C6"/>
    <w:rsid w:val="00077834"/>
    <w:rsid w:val="000778E0"/>
    <w:rsid w:val="00077945"/>
    <w:rsid w:val="00077A21"/>
    <w:rsid w:val="00077A93"/>
    <w:rsid w:val="00077B2B"/>
    <w:rsid w:val="00077C12"/>
    <w:rsid w:val="00077C96"/>
    <w:rsid w:val="00077CDE"/>
    <w:rsid w:val="00077D15"/>
    <w:rsid w:val="00077E2A"/>
    <w:rsid w:val="00077F38"/>
    <w:rsid w:val="00077F78"/>
    <w:rsid w:val="0008008C"/>
    <w:rsid w:val="0008010E"/>
    <w:rsid w:val="0008023B"/>
    <w:rsid w:val="0008031D"/>
    <w:rsid w:val="000803CE"/>
    <w:rsid w:val="0008047C"/>
    <w:rsid w:val="0008053D"/>
    <w:rsid w:val="000805BB"/>
    <w:rsid w:val="000806F4"/>
    <w:rsid w:val="00080850"/>
    <w:rsid w:val="00080877"/>
    <w:rsid w:val="0008097C"/>
    <w:rsid w:val="000809DA"/>
    <w:rsid w:val="00080AA9"/>
    <w:rsid w:val="00080AB7"/>
    <w:rsid w:val="00080C24"/>
    <w:rsid w:val="00080CB1"/>
    <w:rsid w:val="00080D28"/>
    <w:rsid w:val="00080E29"/>
    <w:rsid w:val="00080E3A"/>
    <w:rsid w:val="00080E7E"/>
    <w:rsid w:val="00081142"/>
    <w:rsid w:val="00081181"/>
    <w:rsid w:val="000811B8"/>
    <w:rsid w:val="000812BA"/>
    <w:rsid w:val="0008150A"/>
    <w:rsid w:val="00081698"/>
    <w:rsid w:val="00081735"/>
    <w:rsid w:val="000817A7"/>
    <w:rsid w:val="000817F0"/>
    <w:rsid w:val="00081813"/>
    <w:rsid w:val="00081A42"/>
    <w:rsid w:val="00081A89"/>
    <w:rsid w:val="00081B2F"/>
    <w:rsid w:val="00081B31"/>
    <w:rsid w:val="00081C45"/>
    <w:rsid w:val="00081C97"/>
    <w:rsid w:val="00081E8F"/>
    <w:rsid w:val="00081F94"/>
    <w:rsid w:val="00081FC8"/>
    <w:rsid w:val="0008206C"/>
    <w:rsid w:val="00082079"/>
    <w:rsid w:val="0008218F"/>
    <w:rsid w:val="00082194"/>
    <w:rsid w:val="000821E6"/>
    <w:rsid w:val="00082217"/>
    <w:rsid w:val="000822B3"/>
    <w:rsid w:val="0008232F"/>
    <w:rsid w:val="0008237A"/>
    <w:rsid w:val="0008244C"/>
    <w:rsid w:val="00082663"/>
    <w:rsid w:val="0008267C"/>
    <w:rsid w:val="000826C8"/>
    <w:rsid w:val="00082840"/>
    <w:rsid w:val="00082897"/>
    <w:rsid w:val="000828CF"/>
    <w:rsid w:val="0008290E"/>
    <w:rsid w:val="00082941"/>
    <w:rsid w:val="00082951"/>
    <w:rsid w:val="0008299B"/>
    <w:rsid w:val="00082A3F"/>
    <w:rsid w:val="00082A8B"/>
    <w:rsid w:val="00082A9A"/>
    <w:rsid w:val="00082AFA"/>
    <w:rsid w:val="00082C36"/>
    <w:rsid w:val="00082CCC"/>
    <w:rsid w:val="00082D37"/>
    <w:rsid w:val="00082EF6"/>
    <w:rsid w:val="00082EF8"/>
    <w:rsid w:val="00082FB1"/>
    <w:rsid w:val="00083013"/>
    <w:rsid w:val="000831B9"/>
    <w:rsid w:val="000832E1"/>
    <w:rsid w:val="000833A8"/>
    <w:rsid w:val="000833C6"/>
    <w:rsid w:val="000834D6"/>
    <w:rsid w:val="00083A17"/>
    <w:rsid w:val="00083B7E"/>
    <w:rsid w:val="00083BA7"/>
    <w:rsid w:val="00083BF5"/>
    <w:rsid w:val="00083DFD"/>
    <w:rsid w:val="00083E0E"/>
    <w:rsid w:val="00083E96"/>
    <w:rsid w:val="00083EAA"/>
    <w:rsid w:val="00083F5A"/>
    <w:rsid w:val="00083F7A"/>
    <w:rsid w:val="0008409B"/>
    <w:rsid w:val="00084251"/>
    <w:rsid w:val="00084470"/>
    <w:rsid w:val="000845A5"/>
    <w:rsid w:val="0008463A"/>
    <w:rsid w:val="00084665"/>
    <w:rsid w:val="00084685"/>
    <w:rsid w:val="00084776"/>
    <w:rsid w:val="00084C12"/>
    <w:rsid w:val="00084C6B"/>
    <w:rsid w:val="00084C96"/>
    <w:rsid w:val="00084CB7"/>
    <w:rsid w:val="00084E8B"/>
    <w:rsid w:val="00084EFD"/>
    <w:rsid w:val="00084EFE"/>
    <w:rsid w:val="00084F81"/>
    <w:rsid w:val="00084FBC"/>
    <w:rsid w:val="00084FC6"/>
    <w:rsid w:val="0008502E"/>
    <w:rsid w:val="000850A9"/>
    <w:rsid w:val="0008516E"/>
    <w:rsid w:val="00085304"/>
    <w:rsid w:val="00085315"/>
    <w:rsid w:val="000854D4"/>
    <w:rsid w:val="00085534"/>
    <w:rsid w:val="00085568"/>
    <w:rsid w:val="00085681"/>
    <w:rsid w:val="0008583F"/>
    <w:rsid w:val="00085840"/>
    <w:rsid w:val="000858AB"/>
    <w:rsid w:val="000858BB"/>
    <w:rsid w:val="00085904"/>
    <w:rsid w:val="0008594B"/>
    <w:rsid w:val="0008596C"/>
    <w:rsid w:val="00085A9D"/>
    <w:rsid w:val="00085AB3"/>
    <w:rsid w:val="00085C18"/>
    <w:rsid w:val="00085DF2"/>
    <w:rsid w:val="00085F04"/>
    <w:rsid w:val="00085F6C"/>
    <w:rsid w:val="00085F9B"/>
    <w:rsid w:val="00086061"/>
    <w:rsid w:val="0008617D"/>
    <w:rsid w:val="000861CC"/>
    <w:rsid w:val="00086386"/>
    <w:rsid w:val="00086461"/>
    <w:rsid w:val="000864A8"/>
    <w:rsid w:val="000865C7"/>
    <w:rsid w:val="00086619"/>
    <w:rsid w:val="000867E0"/>
    <w:rsid w:val="00086979"/>
    <w:rsid w:val="00086981"/>
    <w:rsid w:val="00086BA3"/>
    <w:rsid w:val="00086C42"/>
    <w:rsid w:val="00086C61"/>
    <w:rsid w:val="00086D60"/>
    <w:rsid w:val="00086DD0"/>
    <w:rsid w:val="00086DE0"/>
    <w:rsid w:val="00086EEF"/>
    <w:rsid w:val="0008725E"/>
    <w:rsid w:val="0008734E"/>
    <w:rsid w:val="000874A4"/>
    <w:rsid w:val="000874AB"/>
    <w:rsid w:val="0008759A"/>
    <w:rsid w:val="000875D1"/>
    <w:rsid w:val="00087608"/>
    <w:rsid w:val="00087677"/>
    <w:rsid w:val="00087755"/>
    <w:rsid w:val="0008791E"/>
    <w:rsid w:val="00087955"/>
    <w:rsid w:val="00087A55"/>
    <w:rsid w:val="00087A8D"/>
    <w:rsid w:val="00087AB9"/>
    <w:rsid w:val="00087AE2"/>
    <w:rsid w:val="00087C22"/>
    <w:rsid w:val="00087D90"/>
    <w:rsid w:val="00087DAA"/>
    <w:rsid w:val="00087E16"/>
    <w:rsid w:val="00087E44"/>
    <w:rsid w:val="00087E9B"/>
    <w:rsid w:val="00087F39"/>
    <w:rsid w:val="00087F48"/>
    <w:rsid w:val="00087F4F"/>
    <w:rsid w:val="00087F53"/>
    <w:rsid w:val="00090253"/>
    <w:rsid w:val="0009032B"/>
    <w:rsid w:val="00090338"/>
    <w:rsid w:val="00090392"/>
    <w:rsid w:val="000903F2"/>
    <w:rsid w:val="0009046A"/>
    <w:rsid w:val="000904B3"/>
    <w:rsid w:val="000904BC"/>
    <w:rsid w:val="00090544"/>
    <w:rsid w:val="0009059C"/>
    <w:rsid w:val="000906E4"/>
    <w:rsid w:val="000906F6"/>
    <w:rsid w:val="00090A2E"/>
    <w:rsid w:val="00090B8C"/>
    <w:rsid w:val="00090B98"/>
    <w:rsid w:val="00090B9F"/>
    <w:rsid w:val="00090BEB"/>
    <w:rsid w:val="00090D66"/>
    <w:rsid w:val="00090E5C"/>
    <w:rsid w:val="00090EBC"/>
    <w:rsid w:val="00090EDE"/>
    <w:rsid w:val="00090FF1"/>
    <w:rsid w:val="00090FFF"/>
    <w:rsid w:val="0009118E"/>
    <w:rsid w:val="00091227"/>
    <w:rsid w:val="00091480"/>
    <w:rsid w:val="0009161F"/>
    <w:rsid w:val="000916DB"/>
    <w:rsid w:val="00091712"/>
    <w:rsid w:val="00091739"/>
    <w:rsid w:val="000918F5"/>
    <w:rsid w:val="00091A17"/>
    <w:rsid w:val="00091B6C"/>
    <w:rsid w:val="00091B76"/>
    <w:rsid w:val="00091C7B"/>
    <w:rsid w:val="00091CC3"/>
    <w:rsid w:val="00091DB9"/>
    <w:rsid w:val="00091E17"/>
    <w:rsid w:val="00091ED1"/>
    <w:rsid w:val="000920D8"/>
    <w:rsid w:val="00092145"/>
    <w:rsid w:val="00092213"/>
    <w:rsid w:val="00092288"/>
    <w:rsid w:val="00092347"/>
    <w:rsid w:val="000923FA"/>
    <w:rsid w:val="00092493"/>
    <w:rsid w:val="0009254B"/>
    <w:rsid w:val="00092655"/>
    <w:rsid w:val="0009268D"/>
    <w:rsid w:val="00092926"/>
    <w:rsid w:val="00092B2A"/>
    <w:rsid w:val="00092B65"/>
    <w:rsid w:val="00092C70"/>
    <w:rsid w:val="00092CEE"/>
    <w:rsid w:val="00092E5A"/>
    <w:rsid w:val="00092E85"/>
    <w:rsid w:val="00093019"/>
    <w:rsid w:val="00093043"/>
    <w:rsid w:val="00093072"/>
    <w:rsid w:val="00093172"/>
    <w:rsid w:val="0009331D"/>
    <w:rsid w:val="00093581"/>
    <w:rsid w:val="000935BC"/>
    <w:rsid w:val="00093813"/>
    <w:rsid w:val="0009384B"/>
    <w:rsid w:val="0009386B"/>
    <w:rsid w:val="000939AF"/>
    <w:rsid w:val="00093A3E"/>
    <w:rsid w:val="00093BF1"/>
    <w:rsid w:val="00093C8C"/>
    <w:rsid w:val="00093D21"/>
    <w:rsid w:val="00093D67"/>
    <w:rsid w:val="00093EF8"/>
    <w:rsid w:val="00093FBF"/>
    <w:rsid w:val="00094113"/>
    <w:rsid w:val="000941DA"/>
    <w:rsid w:val="000941EB"/>
    <w:rsid w:val="00094234"/>
    <w:rsid w:val="000943E3"/>
    <w:rsid w:val="0009453A"/>
    <w:rsid w:val="000947CC"/>
    <w:rsid w:val="000948BD"/>
    <w:rsid w:val="00094927"/>
    <w:rsid w:val="00094978"/>
    <w:rsid w:val="00094A37"/>
    <w:rsid w:val="00094B01"/>
    <w:rsid w:val="00094B02"/>
    <w:rsid w:val="00094B08"/>
    <w:rsid w:val="00094B81"/>
    <w:rsid w:val="00094BD3"/>
    <w:rsid w:val="00094C05"/>
    <w:rsid w:val="00094CBF"/>
    <w:rsid w:val="00094CFC"/>
    <w:rsid w:val="00094D0B"/>
    <w:rsid w:val="00094D23"/>
    <w:rsid w:val="00094D79"/>
    <w:rsid w:val="00094E59"/>
    <w:rsid w:val="00094E92"/>
    <w:rsid w:val="00094F17"/>
    <w:rsid w:val="00094F40"/>
    <w:rsid w:val="00094F8B"/>
    <w:rsid w:val="000950FB"/>
    <w:rsid w:val="00095149"/>
    <w:rsid w:val="00095182"/>
    <w:rsid w:val="000951D2"/>
    <w:rsid w:val="00095307"/>
    <w:rsid w:val="000955C3"/>
    <w:rsid w:val="000956AA"/>
    <w:rsid w:val="000956D9"/>
    <w:rsid w:val="000956F3"/>
    <w:rsid w:val="00095792"/>
    <w:rsid w:val="0009584A"/>
    <w:rsid w:val="00095933"/>
    <w:rsid w:val="00095B60"/>
    <w:rsid w:val="00095BC3"/>
    <w:rsid w:val="00095C3B"/>
    <w:rsid w:val="00095C59"/>
    <w:rsid w:val="00095D46"/>
    <w:rsid w:val="00095DB5"/>
    <w:rsid w:val="00095DB8"/>
    <w:rsid w:val="00095F37"/>
    <w:rsid w:val="00095F7D"/>
    <w:rsid w:val="00096049"/>
    <w:rsid w:val="00096088"/>
    <w:rsid w:val="000960F0"/>
    <w:rsid w:val="00096185"/>
    <w:rsid w:val="0009629F"/>
    <w:rsid w:val="000962A4"/>
    <w:rsid w:val="000962D1"/>
    <w:rsid w:val="00096383"/>
    <w:rsid w:val="000963A8"/>
    <w:rsid w:val="000963B0"/>
    <w:rsid w:val="0009645C"/>
    <w:rsid w:val="0009647C"/>
    <w:rsid w:val="000964B9"/>
    <w:rsid w:val="00096621"/>
    <w:rsid w:val="00096820"/>
    <w:rsid w:val="0009687D"/>
    <w:rsid w:val="000968DC"/>
    <w:rsid w:val="000969C6"/>
    <w:rsid w:val="00096A32"/>
    <w:rsid w:val="00096AE9"/>
    <w:rsid w:val="00096CE2"/>
    <w:rsid w:val="00096D4A"/>
    <w:rsid w:val="00096F07"/>
    <w:rsid w:val="00096F50"/>
    <w:rsid w:val="00096FB8"/>
    <w:rsid w:val="0009705E"/>
    <w:rsid w:val="000972E2"/>
    <w:rsid w:val="0009736C"/>
    <w:rsid w:val="000973B0"/>
    <w:rsid w:val="0009742F"/>
    <w:rsid w:val="0009747F"/>
    <w:rsid w:val="000975CC"/>
    <w:rsid w:val="00097682"/>
    <w:rsid w:val="000978A2"/>
    <w:rsid w:val="00097957"/>
    <w:rsid w:val="000979FE"/>
    <w:rsid w:val="00097A74"/>
    <w:rsid w:val="00097C6C"/>
    <w:rsid w:val="00097C93"/>
    <w:rsid w:val="00097EA2"/>
    <w:rsid w:val="00097F4D"/>
    <w:rsid w:val="00097FBE"/>
    <w:rsid w:val="0009D4BD"/>
    <w:rsid w:val="000A01B1"/>
    <w:rsid w:val="000A0238"/>
    <w:rsid w:val="000A0454"/>
    <w:rsid w:val="000A04EB"/>
    <w:rsid w:val="000A0515"/>
    <w:rsid w:val="000A0656"/>
    <w:rsid w:val="000A06A3"/>
    <w:rsid w:val="000A0744"/>
    <w:rsid w:val="000A07D2"/>
    <w:rsid w:val="000A07F0"/>
    <w:rsid w:val="000A085E"/>
    <w:rsid w:val="000A09A0"/>
    <w:rsid w:val="000A09DA"/>
    <w:rsid w:val="000A0BD6"/>
    <w:rsid w:val="000A0DEE"/>
    <w:rsid w:val="000A0FFE"/>
    <w:rsid w:val="000A1025"/>
    <w:rsid w:val="000A1153"/>
    <w:rsid w:val="000A1468"/>
    <w:rsid w:val="000A14BF"/>
    <w:rsid w:val="000A151B"/>
    <w:rsid w:val="000A16BD"/>
    <w:rsid w:val="000A1782"/>
    <w:rsid w:val="000A17AB"/>
    <w:rsid w:val="000A19BD"/>
    <w:rsid w:val="000A1A9A"/>
    <w:rsid w:val="000A1B0B"/>
    <w:rsid w:val="000A1B50"/>
    <w:rsid w:val="000A1B77"/>
    <w:rsid w:val="000A1BD9"/>
    <w:rsid w:val="000A1BE9"/>
    <w:rsid w:val="000A1C84"/>
    <w:rsid w:val="000A1CC0"/>
    <w:rsid w:val="000A1CC9"/>
    <w:rsid w:val="000A1CE1"/>
    <w:rsid w:val="000A1D58"/>
    <w:rsid w:val="000A1E61"/>
    <w:rsid w:val="000A1F12"/>
    <w:rsid w:val="000A206D"/>
    <w:rsid w:val="000A20B2"/>
    <w:rsid w:val="000A210D"/>
    <w:rsid w:val="000A2286"/>
    <w:rsid w:val="000A22C4"/>
    <w:rsid w:val="000A24DC"/>
    <w:rsid w:val="000A253F"/>
    <w:rsid w:val="000A27A3"/>
    <w:rsid w:val="000A27BE"/>
    <w:rsid w:val="000A288F"/>
    <w:rsid w:val="000A29D5"/>
    <w:rsid w:val="000A2B2A"/>
    <w:rsid w:val="000A2DFE"/>
    <w:rsid w:val="000A2E13"/>
    <w:rsid w:val="000A2F86"/>
    <w:rsid w:val="000A2FD6"/>
    <w:rsid w:val="000A30A9"/>
    <w:rsid w:val="000A30CF"/>
    <w:rsid w:val="000A31D6"/>
    <w:rsid w:val="000A31E9"/>
    <w:rsid w:val="000A3227"/>
    <w:rsid w:val="000A32F7"/>
    <w:rsid w:val="000A33AD"/>
    <w:rsid w:val="000A3422"/>
    <w:rsid w:val="000A3441"/>
    <w:rsid w:val="000A3450"/>
    <w:rsid w:val="000A3518"/>
    <w:rsid w:val="000A354D"/>
    <w:rsid w:val="000A356A"/>
    <w:rsid w:val="000A35A9"/>
    <w:rsid w:val="000A35C1"/>
    <w:rsid w:val="000A368E"/>
    <w:rsid w:val="000A36F9"/>
    <w:rsid w:val="000A39F0"/>
    <w:rsid w:val="000A3B03"/>
    <w:rsid w:val="000A3BEC"/>
    <w:rsid w:val="000A3CF8"/>
    <w:rsid w:val="000A3D5D"/>
    <w:rsid w:val="000A4087"/>
    <w:rsid w:val="000A42F1"/>
    <w:rsid w:val="000A436E"/>
    <w:rsid w:val="000A43E9"/>
    <w:rsid w:val="000A451F"/>
    <w:rsid w:val="000A458E"/>
    <w:rsid w:val="000A4683"/>
    <w:rsid w:val="000A4872"/>
    <w:rsid w:val="000A4901"/>
    <w:rsid w:val="000A490C"/>
    <w:rsid w:val="000A490D"/>
    <w:rsid w:val="000A4963"/>
    <w:rsid w:val="000A4A02"/>
    <w:rsid w:val="000A4AAE"/>
    <w:rsid w:val="000A4C58"/>
    <w:rsid w:val="000A4E80"/>
    <w:rsid w:val="000A4EE5"/>
    <w:rsid w:val="000A4EFF"/>
    <w:rsid w:val="000A4F07"/>
    <w:rsid w:val="000A50C1"/>
    <w:rsid w:val="000A50F0"/>
    <w:rsid w:val="000A5127"/>
    <w:rsid w:val="000A518F"/>
    <w:rsid w:val="000A51E8"/>
    <w:rsid w:val="000A524C"/>
    <w:rsid w:val="000A5260"/>
    <w:rsid w:val="000A527F"/>
    <w:rsid w:val="000A54E8"/>
    <w:rsid w:val="000A54F2"/>
    <w:rsid w:val="000A5571"/>
    <w:rsid w:val="000A55C2"/>
    <w:rsid w:val="000A5611"/>
    <w:rsid w:val="000A56BF"/>
    <w:rsid w:val="000A5791"/>
    <w:rsid w:val="000A579F"/>
    <w:rsid w:val="000A57AA"/>
    <w:rsid w:val="000A5861"/>
    <w:rsid w:val="000A58CB"/>
    <w:rsid w:val="000A5960"/>
    <w:rsid w:val="000A5AB6"/>
    <w:rsid w:val="000A5AB7"/>
    <w:rsid w:val="000A5B9B"/>
    <w:rsid w:val="000A5BF2"/>
    <w:rsid w:val="000A5C05"/>
    <w:rsid w:val="000A5D4C"/>
    <w:rsid w:val="000A5D76"/>
    <w:rsid w:val="000A5F86"/>
    <w:rsid w:val="000A6001"/>
    <w:rsid w:val="000A60AC"/>
    <w:rsid w:val="000A62C4"/>
    <w:rsid w:val="000A63C3"/>
    <w:rsid w:val="000A648D"/>
    <w:rsid w:val="000A6596"/>
    <w:rsid w:val="000A69BE"/>
    <w:rsid w:val="000A6A1F"/>
    <w:rsid w:val="000A6A7C"/>
    <w:rsid w:val="000A6C1C"/>
    <w:rsid w:val="000A6C43"/>
    <w:rsid w:val="000A6C51"/>
    <w:rsid w:val="000A6CB5"/>
    <w:rsid w:val="000A6E56"/>
    <w:rsid w:val="000A6F12"/>
    <w:rsid w:val="000A6F1A"/>
    <w:rsid w:val="000A6F1D"/>
    <w:rsid w:val="000A6F41"/>
    <w:rsid w:val="000A6F74"/>
    <w:rsid w:val="000A704E"/>
    <w:rsid w:val="000A7181"/>
    <w:rsid w:val="000A7185"/>
    <w:rsid w:val="000A71F6"/>
    <w:rsid w:val="000A725C"/>
    <w:rsid w:val="000A726A"/>
    <w:rsid w:val="000A72B0"/>
    <w:rsid w:val="000A72EA"/>
    <w:rsid w:val="000A7365"/>
    <w:rsid w:val="000A73C1"/>
    <w:rsid w:val="000A73F0"/>
    <w:rsid w:val="000A759E"/>
    <w:rsid w:val="000A78B4"/>
    <w:rsid w:val="000A78E8"/>
    <w:rsid w:val="000A7A76"/>
    <w:rsid w:val="000A7A95"/>
    <w:rsid w:val="000A7AA0"/>
    <w:rsid w:val="000A7B89"/>
    <w:rsid w:val="000A7E5A"/>
    <w:rsid w:val="000A7E9F"/>
    <w:rsid w:val="000A7EBD"/>
    <w:rsid w:val="000A7EDE"/>
    <w:rsid w:val="000B0002"/>
    <w:rsid w:val="000B00BC"/>
    <w:rsid w:val="000B0156"/>
    <w:rsid w:val="000B01E5"/>
    <w:rsid w:val="000B0233"/>
    <w:rsid w:val="000B0264"/>
    <w:rsid w:val="000B02F0"/>
    <w:rsid w:val="000B033A"/>
    <w:rsid w:val="000B03EF"/>
    <w:rsid w:val="000B0413"/>
    <w:rsid w:val="000B04B2"/>
    <w:rsid w:val="000B056A"/>
    <w:rsid w:val="000B057D"/>
    <w:rsid w:val="000B0597"/>
    <w:rsid w:val="000B059E"/>
    <w:rsid w:val="000B0627"/>
    <w:rsid w:val="000B0726"/>
    <w:rsid w:val="000B0A88"/>
    <w:rsid w:val="000B0B35"/>
    <w:rsid w:val="000B0B93"/>
    <w:rsid w:val="000B0D27"/>
    <w:rsid w:val="000B0E40"/>
    <w:rsid w:val="000B0F03"/>
    <w:rsid w:val="000B0F45"/>
    <w:rsid w:val="000B144D"/>
    <w:rsid w:val="000B1469"/>
    <w:rsid w:val="000B15D2"/>
    <w:rsid w:val="000B17EB"/>
    <w:rsid w:val="000B1B7C"/>
    <w:rsid w:val="000B1B91"/>
    <w:rsid w:val="000B1B96"/>
    <w:rsid w:val="000B1BA4"/>
    <w:rsid w:val="000B1C63"/>
    <w:rsid w:val="000B1CB0"/>
    <w:rsid w:val="000B1D58"/>
    <w:rsid w:val="000B1DB3"/>
    <w:rsid w:val="000B1ECB"/>
    <w:rsid w:val="000B1F08"/>
    <w:rsid w:val="000B2047"/>
    <w:rsid w:val="000B20C3"/>
    <w:rsid w:val="000B22B1"/>
    <w:rsid w:val="000B23F7"/>
    <w:rsid w:val="000B2652"/>
    <w:rsid w:val="000B26A5"/>
    <w:rsid w:val="000B2714"/>
    <w:rsid w:val="000B2788"/>
    <w:rsid w:val="000B2832"/>
    <w:rsid w:val="000B29FE"/>
    <w:rsid w:val="000B2AD1"/>
    <w:rsid w:val="000B2B08"/>
    <w:rsid w:val="000B2C85"/>
    <w:rsid w:val="000B2DB4"/>
    <w:rsid w:val="000B2F54"/>
    <w:rsid w:val="000B31A7"/>
    <w:rsid w:val="000B32FB"/>
    <w:rsid w:val="000B345E"/>
    <w:rsid w:val="000B354B"/>
    <w:rsid w:val="000B3566"/>
    <w:rsid w:val="000B359C"/>
    <w:rsid w:val="000B35BA"/>
    <w:rsid w:val="000B36F0"/>
    <w:rsid w:val="000B379B"/>
    <w:rsid w:val="000B37C0"/>
    <w:rsid w:val="000B37E9"/>
    <w:rsid w:val="000B3858"/>
    <w:rsid w:val="000B3920"/>
    <w:rsid w:val="000B39A0"/>
    <w:rsid w:val="000B3C39"/>
    <w:rsid w:val="000B3D75"/>
    <w:rsid w:val="000B3EDB"/>
    <w:rsid w:val="000B3F33"/>
    <w:rsid w:val="000B3F94"/>
    <w:rsid w:val="000B4011"/>
    <w:rsid w:val="000B423E"/>
    <w:rsid w:val="000B434E"/>
    <w:rsid w:val="000B4491"/>
    <w:rsid w:val="000B450B"/>
    <w:rsid w:val="000B45C2"/>
    <w:rsid w:val="000B47C7"/>
    <w:rsid w:val="000B4886"/>
    <w:rsid w:val="000B488E"/>
    <w:rsid w:val="000B4982"/>
    <w:rsid w:val="000B49CD"/>
    <w:rsid w:val="000B4C06"/>
    <w:rsid w:val="000B4F4A"/>
    <w:rsid w:val="000B4F4F"/>
    <w:rsid w:val="000B5087"/>
    <w:rsid w:val="000B50AC"/>
    <w:rsid w:val="000B52BF"/>
    <w:rsid w:val="000B5441"/>
    <w:rsid w:val="000B5488"/>
    <w:rsid w:val="000B5493"/>
    <w:rsid w:val="000B5511"/>
    <w:rsid w:val="000B55A3"/>
    <w:rsid w:val="000B55CA"/>
    <w:rsid w:val="000B5709"/>
    <w:rsid w:val="000B5776"/>
    <w:rsid w:val="000B57C7"/>
    <w:rsid w:val="000B5808"/>
    <w:rsid w:val="000B5924"/>
    <w:rsid w:val="000B5941"/>
    <w:rsid w:val="000B5AFA"/>
    <w:rsid w:val="000B5B39"/>
    <w:rsid w:val="000B5C4F"/>
    <w:rsid w:val="000B5D2F"/>
    <w:rsid w:val="000B5F50"/>
    <w:rsid w:val="000B60E2"/>
    <w:rsid w:val="000B615C"/>
    <w:rsid w:val="000B6286"/>
    <w:rsid w:val="000B6290"/>
    <w:rsid w:val="000B62AE"/>
    <w:rsid w:val="000B64CF"/>
    <w:rsid w:val="000B652B"/>
    <w:rsid w:val="000B6690"/>
    <w:rsid w:val="000B6701"/>
    <w:rsid w:val="000B670B"/>
    <w:rsid w:val="000B6928"/>
    <w:rsid w:val="000B6935"/>
    <w:rsid w:val="000B696B"/>
    <w:rsid w:val="000B69C8"/>
    <w:rsid w:val="000B6AB2"/>
    <w:rsid w:val="000B6B32"/>
    <w:rsid w:val="000B6B50"/>
    <w:rsid w:val="000B6BD6"/>
    <w:rsid w:val="000B6C4B"/>
    <w:rsid w:val="000B6CC4"/>
    <w:rsid w:val="000B6E96"/>
    <w:rsid w:val="000B6F0A"/>
    <w:rsid w:val="000B6F86"/>
    <w:rsid w:val="000B703E"/>
    <w:rsid w:val="000B7148"/>
    <w:rsid w:val="000B7232"/>
    <w:rsid w:val="000B7234"/>
    <w:rsid w:val="000B7313"/>
    <w:rsid w:val="000B7372"/>
    <w:rsid w:val="000B744A"/>
    <w:rsid w:val="000B76EA"/>
    <w:rsid w:val="000B773C"/>
    <w:rsid w:val="000B774E"/>
    <w:rsid w:val="000B779A"/>
    <w:rsid w:val="000B782E"/>
    <w:rsid w:val="000B784B"/>
    <w:rsid w:val="000B78CF"/>
    <w:rsid w:val="000B7978"/>
    <w:rsid w:val="000B79DC"/>
    <w:rsid w:val="000B79DD"/>
    <w:rsid w:val="000B7ABD"/>
    <w:rsid w:val="000B7B1B"/>
    <w:rsid w:val="000B7B22"/>
    <w:rsid w:val="000B7B26"/>
    <w:rsid w:val="000B7B7A"/>
    <w:rsid w:val="000B7C45"/>
    <w:rsid w:val="000B7D25"/>
    <w:rsid w:val="000B7DB0"/>
    <w:rsid w:val="000B7F40"/>
    <w:rsid w:val="000C0082"/>
    <w:rsid w:val="000C01A2"/>
    <w:rsid w:val="000C01F9"/>
    <w:rsid w:val="000C0225"/>
    <w:rsid w:val="000C0257"/>
    <w:rsid w:val="000C0582"/>
    <w:rsid w:val="000C06C9"/>
    <w:rsid w:val="000C086A"/>
    <w:rsid w:val="000C094F"/>
    <w:rsid w:val="000C09DC"/>
    <w:rsid w:val="000C0B19"/>
    <w:rsid w:val="000C0B46"/>
    <w:rsid w:val="000C0C25"/>
    <w:rsid w:val="000C0C6E"/>
    <w:rsid w:val="000C0D5D"/>
    <w:rsid w:val="000C0D65"/>
    <w:rsid w:val="000C0E3B"/>
    <w:rsid w:val="000C0E42"/>
    <w:rsid w:val="000C0E4F"/>
    <w:rsid w:val="000C1055"/>
    <w:rsid w:val="000C1140"/>
    <w:rsid w:val="000C158C"/>
    <w:rsid w:val="000C15B9"/>
    <w:rsid w:val="000C161B"/>
    <w:rsid w:val="000C1707"/>
    <w:rsid w:val="000C1784"/>
    <w:rsid w:val="000C189B"/>
    <w:rsid w:val="000C1BC9"/>
    <w:rsid w:val="000C1BF1"/>
    <w:rsid w:val="000C1C30"/>
    <w:rsid w:val="000C1C8D"/>
    <w:rsid w:val="000C1D4C"/>
    <w:rsid w:val="000C1D52"/>
    <w:rsid w:val="000C1DC0"/>
    <w:rsid w:val="000C1E61"/>
    <w:rsid w:val="000C1EBE"/>
    <w:rsid w:val="000C1F09"/>
    <w:rsid w:val="000C1F90"/>
    <w:rsid w:val="000C1FFA"/>
    <w:rsid w:val="000C216D"/>
    <w:rsid w:val="000C2387"/>
    <w:rsid w:val="000C23CF"/>
    <w:rsid w:val="000C2420"/>
    <w:rsid w:val="000C24CC"/>
    <w:rsid w:val="000C24DE"/>
    <w:rsid w:val="000C25B9"/>
    <w:rsid w:val="000C266C"/>
    <w:rsid w:val="000C26CA"/>
    <w:rsid w:val="000C27F5"/>
    <w:rsid w:val="000C29C7"/>
    <w:rsid w:val="000C29DE"/>
    <w:rsid w:val="000C2A3E"/>
    <w:rsid w:val="000C2ABA"/>
    <w:rsid w:val="000C2ADB"/>
    <w:rsid w:val="000C2D9C"/>
    <w:rsid w:val="000C2FFC"/>
    <w:rsid w:val="000C307F"/>
    <w:rsid w:val="000C30AD"/>
    <w:rsid w:val="000C31E1"/>
    <w:rsid w:val="000C329A"/>
    <w:rsid w:val="000C33DB"/>
    <w:rsid w:val="000C3497"/>
    <w:rsid w:val="000C34B9"/>
    <w:rsid w:val="000C3551"/>
    <w:rsid w:val="000C36B6"/>
    <w:rsid w:val="000C36E7"/>
    <w:rsid w:val="000C3758"/>
    <w:rsid w:val="000C3772"/>
    <w:rsid w:val="000C37DB"/>
    <w:rsid w:val="000C3821"/>
    <w:rsid w:val="000C38E3"/>
    <w:rsid w:val="000C39C0"/>
    <w:rsid w:val="000C3B7A"/>
    <w:rsid w:val="000C3BAD"/>
    <w:rsid w:val="000C3BC1"/>
    <w:rsid w:val="000C3D49"/>
    <w:rsid w:val="000C3DE8"/>
    <w:rsid w:val="000C3EB5"/>
    <w:rsid w:val="000C3EC7"/>
    <w:rsid w:val="000C3F19"/>
    <w:rsid w:val="000C3F61"/>
    <w:rsid w:val="000C3FF6"/>
    <w:rsid w:val="000C406E"/>
    <w:rsid w:val="000C427A"/>
    <w:rsid w:val="000C4288"/>
    <w:rsid w:val="000C4377"/>
    <w:rsid w:val="000C4392"/>
    <w:rsid w:val="000C439C"/>
    <w:rsid w:val="000C43B2"/>
    <w:rsid w:val="000C43D5"/>
    <w:rsid w:val="000C4466"/>
    <w:rsid w:val="000C448A"/>
    <w:rsid w:val="000C4545"/>
    <w:rsid w:val="000C45A2"/>
    <w:rsid w:val="000C48E4"/>
    <w:rsid w:val="000C495F"/>
    <w:rsid w:val="000C4AF6"/>
    <w:rsid w:val="000C4BFD"/>
    <w:rsid w:val="000C4C23"/>
    <w:rsid w:val="000C4C3B"/>
    <w:rsid w:val="000C4CC1"/>
    <w:rsid w:val="000C4D05"/>
    <w:rsid w:val="000C4DE5"/>
    <w:rsid w:val="000C4F3B"/>
    <w:rsid w:val="000C4FF6"/>
    <w:rsid w:val="000C508A"/>
    <w:rsid w:val="000C50CB"/>
    <w:rsid w:val="000C53F8"/>
    <w:rsid w:val="000C54DE"/>
    <w:rsid w:val="000C55B6"/>
    <w:rsid w:val="000C583B"/>
    <w:rsid w:val="000C58BD"/>
    <w:rsid w:val="000C5A14"/>
    <w:rsid w:val="000C5A6D"/>
    <w:rsid w:val="000C5B75"/>
    <w:rsid w:val="000C5BC4"/>
    <w:rsid w:val="000C5BD0"/>
    <w:rsid w:val="000C5C51"/>
    <w:rsid w:val="000C5DAA"/>
    <w:rsid w:val="000C5E93"/>
    <w:rsid w:val="000C5F0B"/>
    <w:rsid w:val="000C5FAF"/>
    <w:rsid w:val="000C6073"/>
    <w:rsid w:val="000C61B2"/>
    <w:rsid w:val="000C61BB"/>
    <w:rsid w:val="000C61CD"/>
    <w:rsid w:val="000C6216"/>
    <w:rsid w:val="000C6219"/>
    <w:rsid w:val="000C62AC"/>
    <w:rsid w:val="000C62C6"/>
    <w:rsid w:val="000C6372"/>
    <w:rsid w:val="000C63B6"/>
    <w:rsid w:val="000C643B"/>
    <w:rsid w:val="000C6471"/>
    <w:rsid w:val="000C6583"/>
    <w:rsid w:val="000C65C7"/>
    <w:rsid w:val="000C66A3"/>
    <w:rsid w:val="000C6774"/>
    <w:rsid w:val="000C6779"/>
    <w:rsid w:val="000C6877"/>
    <w:rsid w:val="000C68F6"/>
    <w:rsid w:val="000C69CD"/>
    <w:rsid w:val="000C6A21"/>
    <w:rsid w:val="000C6B9D"/>
    <w:rsid w:val="000C6C38"/>
    <w:rsid w:val="000C6EC1"/>
    <w:rsid w:val="000C6F0C"/>
    <w:rsid w:val="000C6F78"/>
    <w:rsid w:val="000C701A"/>
    <w:rsid w:val="000C7107"/>
    <w:rsid w:val="000C718C"/>
    <w:rsid w:val="000C72F3"/>
    <w:rsid w:val="000C72F8"/>
    <w:rsid w:val="000C72F9"/>
    <w:rsid w:val="000C7383"/>
    <w:rsid w:val="000C7398"/>
    <w:rsid w:val="000C74E9"/>
    <w:rsid w:val="000C76B6"/>
    <w:rsid w:val="000C770F"/>
    <w:rsid w:val="000C7836"/>
    <w:rsid w:val="000C78EF"/>
    <w:rsid w:val="000C7956"/>
    <w:rsid w:val="000C7A88"/>
    <w:rsid w:val="000C7C3D"/>
    <w:rsid w:val="000C7C56"/>
    <w:rsid w:val="000C7E3D"/>
    <w:rsid w:val="000C7EE9"/>
    <w:rsid w:val="000C7F08"/>
    <w:rsid w:val="000D0152"/>
    <w:rsid w:val="000D01BD"/>
    <w:rsid w:val="000D0203"/>
    <w:rsid w:val="000D03A7"/>
    <w:rsid w:val="000D03C1"/>
    <w:rsid w:val="000D0438"/>
    <w:rsid w:val="000D0467"/>
    <w:rsid w:val="000D047A"/>
    <w:rsid w:val="000D050F"/>
    <w:rsid w:val="000D057A"/>
    <w:rsid w:val="000D05CC"/>
    <w:rsid w:val="000D0630"/>
    <w:rsid w:val="000D084F"/>
    <w:rsid w:val="000D0A66"/>
    <w:rsid w:val="000D0AD3"/>
    <w:rsid w:val="000D0B18"/>
    <w:rsid w:val="000D0CEE"/>
    <w:rsid w:val="000D0D24"/>
    <w:rsid w:val="000D0DEA"/>
    <w:rsid w:val="000D0E54"/>
    <w:rsid w:val="000D0EDC"/>
    <w:rsid w:val="000D0FC2"/>
    <w:rsid w:val="000D0FF9"/>
    <w:rsid w:val="000D104E"/>
    <w:rsid w:val="000D1077"/>
    <w:rsid w:val="000D111C"/>
    <w:rsid w:val="000D11E5"/>
    <w:rsid w:val="000D11E7"/>
    <w:rsid w:val="000D11FD"/>
    <w:rsid w:val="000D12B8"/>
    <w:rsid w:val="000D131C"/>
    <w:rsid w:val="000D13E2"/>
    <w:rsid w:val="000D1417"/>
    <w:rsid w:val="000D1511"/>
    <w:rsid w:val="000D16A9"/>
    <w:rsid w:val="000D1770"/>
    <w:rsid w:val="000D17E2"/>
    <w:rsid w:val="000D1814"/>
    <w:rsid w:val="000D182D"/>
    <w:rsid w:val="000D1847"/>
    <w:rsid w:val="000D1898"/>
    <w:rsid w:val="000D195B"/>
    <w:rsid w:val="000D1997"/>
    <w:rsid w:val="000D1A4E"/>
    <w:rsid w:val="000D1E5F"/>
    <w:rsid w:val="000D1E65"/>
    <w:rsid w:val="000D1F66"/>
    <w:rsid w:val="000D2050"/>
    <w:rsid w:val="000D2208"/>
    <w:rsid w:val="000D2329"/>
    <w:rsid w:val="000D2489"/>
    <w:rsid w:val="000D256F"/>
    <w:rsid w:val="000D25E3"/>
    <w:rsid w:val="000D2611"/>
    <w:rsid w:val="000D27EB"/>
    <w:rsid w:val="000D2898"/>
    <w:rsid w:val="000D28BE"/>
    <w:rsid w:val="000D292E"/>
    <w:rsid w:val="000D2934"/>
    <w:rsid w:val="000D298D"/>
    <w:rsid w:val="000D2998"/>
    <w:rsid w:val="000D2999"/>
    <w:rsid w:val="000D2A37"/>
    <w:rsid w:val="000D2A84"/>
    <w:rsid w:val="000D2AD1"/>
    <w:rsid w:val="000D2C42"/>
    <w:rsid w:val="000D2D5D"/>
    <w:rsid w:val="000D31C0"/>
    <w:rsid w:val="000D3412"/>
    <w:rsid w:val="000D3557"/>
    <w:rsid w:val="000D3A53"/>
    <w:rsid w:val="000D3CD5"/>
    <w:rsid w:val="000D3CDA"/>
    <w:rsid w:val="000D3CE0"/>
    <w:rsid w:val="000D3E81"/>
    <w:rsid w:val="000D3F83"/>
    <w:rsid w:val="000D3F93"/>
    <w:rsid w:val="000D3FB9"/>
    <w:rsid w:val="000D40F9"/>
    <w:rsid w:val="000D43A3"/>
    <w:rsid w:val="000D4424"/>
    <w:rsid w:val="000D44FD"/>
    <w:rsid w:val="000D4510"/>
    <w:rsid w:val="000D4513"/>
    <w:rsid w:val="000D45D4"/>
    <w:rsid w:val="000D4615"/>
    <w:rsid w:val="000D4622"/>
    <w:rsid w:val="000D46A3"/>
    <w:rsid w:val="000D46D2"/>
    <w:rsid w:val="000D46DA"/>
    <w:rsid w:val="000D4701"/>
    <w:rsid w:val="000D4859"/>
    <w:rsid w:val="000D499C"/>
    <w:rsid w:val="000D4A0C"/>
    <w:rsid w:val="000D4A19"/>
    <w:rsid w:val="000D4A9F"/>
    <w:rsid w:val="000D4B17"/>
    <w:rsid w:val="000D4B64"/>
    <w:rsid w:val="000D4BBB"/>
    <w:rsid w:val="000D4C42"/>
    <w:rsid w:val="000D4C97"/>
    <w:rsid w:val="000D4CEA"/>
    <w:rsid w:val="000D4DB9"/>
    <w:rsid w:val="000D4DCC"/>
    <w:rsid w:val="000D5081"/>
    <w:rsid w:val="000D50EB"/>
    <w:rsid w:val="000D5110"/>
    <w:rsid w:val="000D5124"/>
    <w:rsid w:val="000D5205"/>
    <w:rsid w:val="000D520C"/>
    <w:rsid w:val="000D5317"/>
    <w:rsid w:val="000D538F"/>
    <w:rsid w:val="000D53D9"/>
    <w:rsid w:val="000D53F8"/>
    <w:rsid w:val="000D5529"/>
    <w:rsid w:val="000D561D"/>
    <w:rsid w:val="000D57AA"/>
    <w:rsid w:val="000D5992"/>
    <w:rsid w:val="000D5A5A"/>
    <w:rsid w:val="000D5AF2"/>
    <w:rsid w:val="000D5B9F"/>
    <w:rsid w:val="000D5BEE"/>
    <w:rsid w:val="000D5C1D"/>
    <w:rsid w:val="000D5C2B"/>
    <w:rsid w:val="000D5FE3"/>
    <w:rsid w:val="000D6052"/>
    <w:rsid w:val="000D6095"/>
    <w:rsid w:val="000D60EC"/>
    <w:rsid w:val="000D62B7"/>
    <w:rsid w:val="000D6315"/>
    <w:rsid w:val="000D6364"/>
    <w:rsid w:val="000D6519"/>
    <w:rsid w:val="000D656D"/>
    <w:rsid w:val="000D65D2"/>
    <w:rsid w:val="000D6650"/>
    <w:rsid w:val="000D68C1"/>
    <w:rsid w:val="000D69B7"/>
    <w:rsid w:val="000D69CB"/>
    <w:rsid w:val="000D6A13"/>
    <w:rsid w:val="000D6A86"/>
    <w:rsid w:val="000D6B2C"/>
    <w:rsid w:val="000D6CAC"/>
    <w:rsid w:val="000D6D1C"/>
    <w:rsid w:val="000D6F99"/>
    <w:rsid w:val="000D70D0"/>
    <w:rsid w:val="000D718E"/>
    <w:rsid w:val="000D719F"/>
    <w:rsid w:val="000D71D9"/>
    <w:rsid w:val="000D71F4"/>
    <w:rsid w:val="000D72CB"/>
    <w:rsid w:val="000D73D8"/>
    <w:rsid w:val="000D74A8"/>
    <w:rsid w:val="000D74C1"/>
    <w:rsid w:val="000D74EF"/>
    <w:rsid w:val="000D76EE"/>
    <w:rsid w:val="000D77BC"/>
    <w:rsid w:val="000D77F3"/>
    <w:rsid w:val="000D7869"/>
    <w:rsid w:val="000D789F"/>
    <w:rsid w:val="000D7905"/>
    <w:rsid w:val="000D7921"/>
    <w:rsid w:val="000D7930"/>
    <w:rsid w:val="000D79D1"/>
    <w:rsid w:val="000D7A0B"/>
    <w:rsid w:val="000D7AED"/>
    <w:rsid w:val="000D7BB9"/>
    <w:rsid w:val="000D7C2A"/>
    <w:rsid w:val="000D7C2B"/>
    <w:rsid w:val="000D7C48"/>
    <w:rsid w:val="000D7CD9"/>
    <w:rsid w:val="000D7D38"/>
    <w:rsid w:val="000D7D43"/>
    <w:rsid w:val="000D7E63"/>
    <w:rsid w:val="000D7F78"/>
    <w:rsid w:val="000DAAF2"/>
    <w:rsid w:val="000E002F"/>
    <w:rsid w:val="000E02A9"/>
    <w:rsid w:val="000E02DC"/>
    <w:rsid w:val="000E030A"/>
    <w:rsid w:val="000E03DF"/>
    <w:rsid w:val="000E04AC"/>
    <w:rsid w:val="000E04D8"/>
    <w:rsid w:val="000E04DC"/>
    <w:rsid w:val="000E060B"/>
    <w:rsid w:val="000E0617"/>
    <w:rsid w:val="000E0641"/>
    <w:rsid w:val="000E06CA"/>
    <w:rsid w:val="000E0837"/>
    <w:rsid w:val="000E08A4"/>
    <w:rsid w:val="000E08DC"/>
    <w:rsid w:val="000E0950"/>
    <w:rsid w:val="000E09F2"/>
    <w:rsid w:val="000E09F8"/>
    <w:rsid w:val="000E0D16"/>
    <w:rsid w:val="000E0D93"/>
    <w:rsid w:val="000E0E4D"/>
    <w:rsid w:val="000E0FD9"/>
    <w:rsid w:val="000E106A"/>
    <w:rsid w:val="000E10BE"/>
    <w:rsid w:val="000E10F8"/>
    <w:rsid w:val="000E1438"/>
    <w:rsid w:val="000E1479"/>
    <w:rsid w:val="000E148D"/>
    <w:rsid w:val="000E14B2"/>
    <w:rsid w:val="000E1693"/>
    <w:rsid w:val="000E1B45"/>
    <w:rsid w:val="000E1B5A"/>
    <w:rsid w:val="000E1BC5"/>
    <w:rsid w:val="000E1BDC"/>
    <w:rsid w:val="000E1C0F"/>
    <w:rsid w:val="000E1CF1"/>
    <w:rsid w:val="000E1E94"/>
    <w:rsid w:val="000E1F5B"/>
    <w:rsid w:val="000E2146"/>
    <w:rsid w:val="000E21D8"/>
    <w:rsid w:val="000E225C"/>
    <w:rsid w:val="000E225E"/>
    <w:rsid w:val="000E22D3"/>
    <w:rsid w:val="000E235C"/>
    <w:rsid w:val="000E23C8"/>
    <w:rsid w:val="000E2516"/>
    <w:rsid w:val="000E25AA"/>
    <w:rsid w:val="000E2620"/>
    <w:rsid w:val="000E2701"/>
    <w:rsid w:val="000E273E"/>
    <w:rsid w:val="000E2792"/>
    <w:rsid w:val="000E27B2"/>
    <w:rsid w:val="000E281C"/>
    <w:rsid w:val="000E2885"/>
    <w:rsid w:val="000E28D6"/>
    <w:rsid w:val="000E2BC7"/>
    <w:rsid w:val="000E2BCC"/>
    <w:rsid w:val="000E2C30"/>
    <w:rsid w:val="000E2C46"/>
    <w:rsid w:val="000E2CD2"/>
    <w:rsid w:val="000E2CFD"/>
    <w:rsid w:val="000E2D44"/>
    <w:rsid w:val="000E2E66"/>
    <w:rsid w:val="000E2EC1"/>
    <w:rsid w:val="000E2F90"/>
    <w:rsid w:val="000E3099"/>
    <w:rsid w:val="000E30B6"/>
    <w:rsid w:val="000E310C"/>
    <w:rsid w:val="000E3189"/>
    <w:rsid w:val="000E31A3"/>
    <w:rsid w:val="000E31A7"/>
    <w:rsid w:val="000E33AF"/>
    <w:rsid w:val="000E340B"/>
    <w:rsid w:val="000E346C"/>
    <w:rsid w:val="000E34F7"/>
    <w:rsid w:val="000E3508"/>
    <w:rsid w:val="000E35C8"/>
    <w:rsid w:val="000E3699"/>
    <w:rsid w:val="000E3720"/>
    <w:rsid w:val="000E374D"/>
    <w:rsid w:val="000E38D1"/>
    <w:rsid w:val="000E38EB"/>
    <w:rsid w:val="000E392B"/>
    <w:rsid w:val="000E3C0D"/>
    <w:rsid w:val="000E3C17"/>
    <w:rsid w:val="000E3CA7"/>
    <w:rsid w:val="000E3DB0"/>
    <w:rsid w:val="000E3EFD"/>
    <w:rsid w:val="000E3FA8"/>
    <w:rsid w:val="000E3FB8"/>
    <w:rsid w:val="000E4084"/>
    <w:rsid w:val="000E40E2"/>
    <w:rsid w:val="000E418D"/>
    <w:rsid w:val="000E419E"/>
    <w:rsid w:val="000E41D0"/>
    <w:rsid w:val="000E4261"/>
    <w:rsid w:val="000E4281"/>
    <w:rsid w:val="000E43E4"/>
    <w:rsid w:val="000E444B"/>
    <w:rsid w:val="000E449C"/>
    <w:rsid w:val="000E44AD"/>
    <w:rsid w:val="000E44D6"/>
    <w:rsid w:val="000E4586"/>
    <w:rsid w:val="000E45E2"/>
    <w:rsid w:val="000E47B0"/>
    <w:rsid w:val="000E485B"/>
    <w:rsid w:val="000E48B4"/>
    <w:rsid w:val="000E4A67"/>
    <w:rsid w:val="000E4AEB"/>
    <w:rsid w:val="000E4BB5"/>
    <w:rsid w:val="000E4BBE"/>
    <w:rsid w:val="000E4BD9"/>
    <w:rsid w:val="000E4F02"/>
    <w:rsid w:val="000E4F24"/>
    <w:rsid w:val="000E4F46"/>
    <w:rsid w:val="000E5046"/>
    <w:rsid w:val="000E50C5"/>
    <w:rsid w:val="000E511D"/>
    <w:rsid w:val="000E5185"/>
    <w:rsid w:val="000E5276"/>
    <w:rsid w:val="000E529A"/>
    <w:rsid w:val="000E52AB"/>
    <w:rsid w:val="000E5324"/>
    <w:rsid w:val="000E5350"/>
    <w:rsid w:val="000E53B0"/>
    <w:rsid w:val="000E5520"/>
    <w:rsid w:val="000E554E"/>
    <w:rsid w:val="000E55A9"/>
    <w:rsid w:val="000E5677"/>
    <w:rsid w:val="000E567C"/>
    <w:rsid w:val="000E56A0"/>
    <w:rsid w:val="000E5899"/>
    <w:rsid w:val="000E58F0"/>
    <w:rsid w:val="000E590D"/>
    <w:rsid w:val="000E5919"/>
    <w:rsid w:val="000E5936"/>
    <w:rsid w:val="000E595C"/>
    <w:rsid w:val="000E5995"/>
    <w:rsid w:val="000E5B14"/>
    <w:rsid w:val="000E5B25"/>
    <w:rsid w:val="000E5D3B"/>
    <w:rsid w:val="000E5DCD"/>
    <w:rsid w:val="000E5DE6"/>
    <w:rsid w:val="000E5E70"/>
    <w:rsid w:val="000E5FE7"/>
    <w:rsid w:val="000E6009"/>
    <w:rsid w:val="000E619F"/>
    <w:rsid w:val="000E61CE"/>
    <w:rsid w:val="000E6260"/>
    <w:rsid w:val="000E626B"/>
    <w:rsid w:val="000E628E"/>
    <w:rsid w:val="000E631D"/>
    <w:rsid w:val="000E637A"/>
    <w:rsid w:val="000E6396"/>
    <w:rsid w:val="000E6471"/>
    <w:rsid w:val="000E64E3"/>
    <w:rsid w:val="000E6544"/>
    <w:rsid w:val="000E659E"/>
    <w:rsid w:val="000E65E9"/>
    <w:rsid w:val="000E6641"/>
    <w:rsid w:val="000E67D8"/>
    <w:rsid w:val="000E682E"/>
    <w:rsid w:val="000E6848"/>
    <w:rsid w:val="000E6972"/>
    <w:rsid w:val="000E6B20"/>
    <w:rsid w:val="000E6B76"/>
    <w:rsid w:val="000E6C3C"/>
    <w:rsid w:val="000E6CEE"/>
    <w:rsid w:val="000E6D33"/>
    <w:rsid w:val="000E6E0B"/>
    <w:rsid w:val="000E6EF4"/>
    <w:rsid w:val="000E6F02"/>
    <w:rsid w:val="000E6F09"/>
    <w:rsid w:val="000E6F28"/>
    <w:rsid w:val="000E6FA5"/>
    <w:rsid w:val="000E7061"/>
    <w:rsid w:val="000E7104"/>
    <w:rsid w:val="000E7131"/>
    <w:rsid w:val="000E728F"/>
    <w:rsid w:val="000E7313"/>
    <w:rsid w:val="000E7758"/>
    <w:rsid w:val="000E775C"/>
    <w:rsid w:val="000E780F"/>
    <w:rsid w:val="000E7876"/>
    <w:rsid w:val="000E7915"/>
    <w:rsid w:val="000E796B"/>
    <w:rsid w:val="000E79B9"/>
    <w:rsid w:val="000E7B62"/>
    <w:rsid w:val="000E7D0B"/>
    <w:rsid w:val="000E7D99"/>
    <w:rsid w:val="000E7E43"/>
    <w:rsid w:val="000E7EEC"/>
    <w:rsid w:val="000E7EF8"/>
    <w:rsid w:val="000E7F19"/>
    <w:rsid w:val="000E7F85"/>
    <w:rsid w:val="000F00C7"/>
    <w:rsid w:val="000F0249"/>
    <w:rsid w:val="000F02D5"/>
    <w:rsid w:val="000F03C8"/>
    <w:rsid w:val="000F04F8"/>
    <w:rsid w:val="000F05BF"/>
    <w:rsid w:val="000F071C"/>
    <w:rsid w:val="000F0796"/>
    <w:rsid w:val="000F07AD"/>
    <w:rsid w:val="000F091E"/>
    <w:rsid w:val="000F0995"/>
    <w:rsid w:val="000F09CA"/>
    <w:rsid w:val="000F0A0C"/>
    <w:rsid w:val="000F0B57"/>
    <w:rsid w:val="000F0BB6"/>
    <w:rsid w:val="000F0BDD"/>
    <w:rsid w:val="000F0BED"/>
    <w:rsid w:val="000F0CE7"/>
    <w:rsid w:val="000F0DC0"/>
    <w:rsid w:val="000F0E65"/>
    <w:rsid w:val="000F10E0"/>
    <w:rsid w:val="000F12A1"/>
    <w:rsid w:val="000F132F"/>
    <w:rsid w:val="000F13E1"/>
    <w:rsid w:val="000F144A"/>
    <w:rsid w:val="000F1488"/>
    <w:rsid w:val="000F14F3"/>
    <w:rsid w:val="000F17DA"/>
    <w:rsid w:val="000F18A2"/>
    <w:rsid w:val="000F1A33"/>
    <w:rsid w:val="000F1BE8"/>
    <w:rsid w:val="000F1CC9"/>
    <w:rsid w:val="000F1EF7"/>
    <w:rsid w:val="000F1F75"/>
    <w:rsid w:val="000F20E4"/>
    <w:rsid w:val="000F21FE"/>
    <w:rsid w:val="000F2222"/>
    <w:rsid w:val="000F25F2"/>
    <w:rsid w:val="000F2623"/>
    <w:rsid w:val="000F2747"/>
    <w:rsid w:val="000F283F"/>
    <w:rsid w:val="000F2942"/>
    <w:rsid w:val="000F29EE"/>
    <w:rsid w:val="000F2BA9"/>
    <w:rsid w:val="000F2D42"/>
    <w:rsid w:val="000F2E84"/>
    <w:rsid w:val="000F2E90"/>
    <w:rsid w:val="000F2F97"/>
    <w:rsid w:val="000F324F"/>
    <w:rsid w:val="000F339C"/>
    <w:rsid w:val="000F3522"/>
    <w:rsid w:val="000F36FC"/>
    <w:rsid w:val="000F3700"/>
    <w:rsid w:val="000F3738"/>
    <w:rsid w:val="000F37AB"/>
    <w:rsid w:val="000F3953"/>
    <w:rsid w:val="000F399A"/>
    <w:rsid w:val="000F3A74"/>
    <w:rsid w:val="000F3BC8"/>
    <w:rsid w:val="000F3DAF"/>
    <w:rsid w:val="000F4013"/>
    <w:rsid w:val="000F41F8"/>
    <w:rsid w:val="000F4254"/>
    <w:rsid w:val="000F42D2"/>
    <w:rsid w:val="000F44BF"/>
    <w:rsid w:val="000F4656"/>
    <w:rsid w:val="000F4674"/>
    <w:rsid w:val="000F47A0"/>
    <w:rsid w:val="000F4911"/>
    <w:rsid w:val="000F494E"/>
    <w:rsid w:val="000F4969"/>
    <w:rsid w:val="000F4AD4"/>
    <w:rsid w:val="000F4AE4"/>
    <w:rsid w:val="000F4AE8"/>
    <w:rsid w:val="000F4B07"/>
    <w:rsid w:val="000F4B1D"/>
    <w:rsid w:val="000F4B23"/>
    <w:rsid w:val="000F4C5F"/>
    <w:rsid w:val="000F4CE8"/>
    <w:rsid w:val="000F4DA0"/>
    <w:rsid w:val="000F4DDE"/>
    <w:rsid w:val="000F4EF0"/>
    <w:rsid w:val="000F4EF5"/>
    <w:rsid w:val="000F50C6"/>
    <w:rsid w:val="000F51DD"/>
    <w:rsid w:val="000F5365"/>
    <w:rsid w:val="000F5436"/>
    <w:rsid w:val="000F54AD"/>
    <w:rsid w:val="000F54B6"/>
    <w:rsid w:val="000F54F7"/>
    <w:rsid w:val="000F5514"/>
    <w:rsid w:val="000F55B7"/>
    <w:rsid w:val="000F5630"/>
    <w:rsid w:val="000F567D"/>
    <w:rsid w:val="000F56D3"/>
    <w:rsid w:val="000F5803"/>
    <w:rsid w:val="000F58C3"/>
    <w:rsid w:val="000F59CE"/>
    <w:rsid w:val="000F5A5C"/>
    <w:rsid w:val="000F5AAF"/>
    <w:rsid w:val="000F5B77"/>
    <w:rsid w:val="000F5B93"/>
    <w:rsid w:val="000F5E0F"/>
    <w:rsid w:val="000F5E47"/>
    <w:rsid w:val="000F5EF9"/>
    <w:rsid w:val="000F5F1F"/>
    <w:rsid w:val="000F5F6E"/>
    <w:rsid w:val="000F6000"/>
    <w:rsid w:val="000F6006"/>
    <w:rsid w:val="000F60B3"/>
    <w:rsid w:val="000F613C"/>
    <w:rsid w:val="000F6144"/>
    <w:rsid w:val="000F6168"/>
    <w:rsid w:val="000F62D8"/>
    <w:rsid w:val="000F635C"/>
    <w:rsid w:val="000F6372"/>
    <w:rsid w:val="000F6385"/>
    <w:rsid w:val="000F63A6"/>
    <w:rsid w:val="000F63B6"/>
    <w:rsid w:val="000F64A1"/>
    <w:rsid w:val="000F64D5"/>
    <w:rsid w:val="000F651D"/>
    <w:rsid w:val="000F663B"/>
    <w:rsid w:val="000F664F"/>
    <w:rsid w:val="000F676B"/>
    <w:rsid w:val="000F6848"/>
    <w:rsid w:val="000F69F1"/>
    <w:rsid w:val="000F6B31"/>
    <w:rsid w:val="000F6BB0"/>
    <w:rsid w:val="000F6BF7"/>
    <w:rsid w:val="000F6C59"/>
    <w:rsid w:val="000F6CEC"/>
    <w:rsid w:val="000F6D7E"/>
    <w:rsid w:val="000F6D86"/>
    <w:rsid w:val="000F6E7E"/>
    <w:rsid w:val="000F6F2C"/>
    <w:rsid w:val="000F6F4F"/>
    <w:rsid w:val="000F6FB5"/>
    <w:rsid w:val="000F70A6"/>
    <w:rsid w:val="000F7283"/>
    <w:rsid w:val="000F7437"/>
    <w:rsid w:val="000F7582"/>
    <w:rsid w:val="000F7609"/>
    <w:rsid w:val="000F76DE"/>
    <w:rsid w:val="000F7795"/>
    <w:rsid w:val="000F77AF"/>
    <w:rsid w:val="000F7878"/>
    <w:rsid w:val="000F7920"/>
    <w:rsid w:val="000F7A04"/>
    <w:rsid w:val="000F7A57"/>
    <w:rsid w:val="000F7A99"/>
    <w:rsid w:val="000F7BBA"/>
    <w:rsid w:val="000F7C4B"/>
    <w:rsid w:val="000F7CA4"/>
    <w:rsid w:val="000F7E06"/>
    <w:rsid w:val="00100054"/>
    <w:rsid w:val="001000DD"/>
    <w:rsid w:val="00100213"/>
    <w:rsid w:val="001003A1"/>
    <w:rsid w:val="0010042A"/>
    <w:rsid w:val="00100436"/>
    <w:rsid w:val="001004A9"/>
    <w:rsid w:val="001005D8"/>
    <w:rsid w:val="00100898"/>
    <w:rsid w:val="0010095A"/>
    <w:rsid w:val="0010096D"/>
    <w:rsid w:val="001009A7"/>
    <w:rsid w:val="00100BF5"/>
    <w:rsid w:val="00100C1B"/>
    <w:rsid w:val="00100C22"/>
    <w:rsid w:val="00100C4E"/>
    <w:rsid w:val="00100CBA"/>
    <w:rsid w:val="00100E56"/>
    <w:rsid w:val="00100F73"/>
    <w:rsid w:val="0010104A"/>
    <w:rsid w:val="00101066"/>
    <w:rsid w:val="001010A5"/>
    <w:rsid w:val="001010C7"/>
    <w:rsid w:val="0010116F"/>
    <w:rsid w:val="001012FD"/>
    <w:rsid w:val="00101336"/>
    <w:rsid w:val="001013E6"/>
    <w:rsid w:val="0010143C"/>
    <w:rsid w:val="001014B1"/>
    <w:rsid w:val="00101504"/>
    <w:rsid w:val="0010151A"/>
    <w:rsid w:val="001015BD"/>
    <w:rsid w:val="001016F5"/>
    <w:rsid w:val="0010183B"/>
    <w:rsid w:val="0010190D"/>
    <w:rsid w:val="00101A2E"/>
    <w:rsid w:val="00101A9F"/>
    <w:rsid w:val="00101AAB"/>
    <w:rsid w:val="00101B13"/>
    <w:rsid w:val="00101BDF"/>
    <w:rsid w:val="00101CE0"/>
    <w:rsid w:val="00101D37"/>
    <w:rsid w:val="00101DF6"/>
    <w:rsid w:val="00101E4F"/>
    <w:rsid w:val="00101EC3"/>
    <w:rsid w:val="00101EF7"/>
    <w:rsid w:val="00101F4D"/>
    <w:rsid w:val="00101F9B"/>
    <w:rsid w:val="00102133"/>
    <w:rsid w:val="001021B1"/>
    <w:rsid w:val="00102241"/>
    <w:rsid w:val="0010237D"/>
    <w:rsid w:val="001025A1"/>
    <w:rsid w:val="001025A2"/>
    <w:rsid w:val="001025E8"/>
    <w:rsid w:val="0010266D"/>
    <w:rsid w:val="0010277D"/>
    <w:rsid w:val="001027E8"/>
    <w:rsid w:val="001028A9"/>
    <w:rsid w:val="00102A70"/>
    <w:rsid w:val="00102CFD"/>
    <w:rsid w:val="00102D01"/>
    <w:rsid w:val="00102DD1"/>
    <w:rsid w:val="00102E04"/>
    <w:rsid w:val="0010305D"/>
    <w:rsid w:val="0010306A"/>
    <w:rsid w:val="001031D2"/>
    <w:rsid w:val="00103224"/>
    <w:rsid w:val="001032A7"/>
    <w:rsid w:val="001033D1"/>
    <w:rsid w:val="00103442"/>
    <w:rsid w:val="001034D1"/>
    <w:rsid w:val="00103670"/>
    <w:rsid w:val="0010386C"/>
    <w:rsid w:val="001039CD"/>
    <w:rsid w:val="00103A5E"/>
    <w:rsid w:val="00103A6F"/>
    <w:rsid w:val="00103B5E"/>
    <w:rsid w:val="00103D87"/>
    <w:rsid w:val="00103E8E"/>
    <w:rsid w:val="00103F67"/>
    <w:rsid w:val="00103FCF"/>
    <w:rsid w:val="0010400C"/>
    <w:rsid w:val="00104046"/>
    <w:rsid w:val="00104075"/>
    <w:rsid w:val="001041D7"/>
    <w:rsid w:val="00104335"/>
    <w:rsid w:val="0010438D"/>
    <w:rsid w:val="0010443D"/>
    <w:rsid w:val="00104487"/>
    <w:rsid w:val="001044C0"/>
    <w:rsid w:val="0010451E"/>
    <w:rsid w:val="001045BD"/>
    <w:rsid w:val="001045CD"/>
    <w:rsid w:val="00104707"/>
    <w:rsid w:val="001047B1"/>
    <w:rsid w:val="0010490C"/>
    <w:rsid w:val="00104936"/>
    <w:rsid w:val="00104A1B"/>
    <w:rsid w:val="00104CD6"/>
    <w:rsid w:val="00104CF2"/>
    <w:rsid w:val="00104D05"/>
    <w:rsid w:val="00104D11"/>
    <w:rsid w:val="00104D46"/>
    <w:rsid w:val="00104DE1"/>
    <w:rsid w:val="00104EC1"/>
    <w:rsid w:val="00104FA8"/>
    <w:rsid w:val="00104FE1"/>
    <w:rsid w:val="0010504D"/>
    <w:rsid w:val="00105075"/>
    <w:rsid w:val="001050C2"/>
    <w:rsid w:val="00105265"/>
    <w:rsid w:val="001052BC"/>
    <w:rsid w:val="001053AD"/>
    <w:rsid w:val="00105510"/>
    <w:rsid w:val="00105541"/>
    <w:rsid w:val="0010557A"/>
    <w:rsid w:val="0010591F"/>
    <w:rsid w:val="00105A4B"/>
    <w:rsid w:val="00105B23"/>
    <w:rsid w:val="00105B46"/>
    <w:rsid w:val="00105B5D"/>
    <w:rsid w:val="00105DBF"/>
    <w:rsid w:val="00105E6A"/>
    <w:rsid w:val="00105F44"/>
    <w:rsid w:val="001062A3"/>
    <w:rsid w:val="0010644B"/>
    <w:rsid w:val="00106460"/>
    <w:rsid w:val="001066AB"/>
    <w:rsid w:val="00106782"/>
    <w:rsid w:val="00106825"/>
    <w:rsid w:val="00106849"/>
    <w:rsid w:val="001068F1"/>
    <w:rsid w:val="00106A94"/>
    <w:rsid w:val="00106ACA"/>
    <w:rsid w:val="00106B18"/>
    <w:rsid w:val="00106B92"/>
    <w:rsid w:val="00106C21"/>
    <w:rsid w:val="00106C48"/>
    <w:rsid w:val="00106DC5"/>
    <w:rsid w:val="00106E55"/>
    <w:rsid w:val="00106E59"/>
    <w:rsid w:val="00106E81"/>
    <w:rsid w:val="00106EB8"/>
    <w:rsid w:val="00106F3C"/>
    <w:rsid w:val="00106FC2"/>
    <w:rsid w:val="0010703A"/>
    <w:rsid w:val="001070EB"/>
    <w:rsid w:val="001070FF"/>
    <w:rsid w:val="0010718D"/>
    <w:rsid w:val="00107218"/>
    <w:rsid w:val="001072BF"/>
    <w:rsid w:val="00107401"/>
    <w:rsid w:val="0010753E"/>
    <w:rsid w:val="0010765B"/>
    <w:rsid w:val="00107677"/>
    <w:rsid w:val="001077B3"/>
    <w:rsid w:val="001077E5"/>
    <w:rsid w:val="00107858"/>
    <w:rsid w:val="00107915"/>
    <w:rsid w:val="00107997"/>
    <w:rsid w:val="001079D7"/>
    <w:rsid w:val="00107A1F"/>
    <w:rsid w:val="00107A3D"/>
    <w:rsid w:val="00107AD4"/>
    <w:rsid w:val="00107BC7"/>
    <w:rsid w:val="00107D74"/>
    <w:rsid w:val="0011027D"/>
    <w:rsid w:val="0011029D"/>
    <w:rsid w:val="001102C3"/>
    <w:rsid w:val="0011036E"/>
    <w:rsid w:val="00110420"/>
    <w:rsid w:val="001104BD"/>
    <w:rsid w:val="00110513"/>
    <w:rsid w:val="001105DD"/>
    <w:rsid w:val="0011060B"/>
    <w:rsid w:val="00110873"/>
    <w:rsid w:val="00110884"/>
    <w:rsid w:val="001108E6"/>
    <w:rsid w:val="00110AB8"/>
    <w:rsid w:val="00110BAD"/>
    <w:rsid w:val="00110BBA"/>
    <w:rsid w:val="00110BBF"/>
    <w:rsid w:val="00110CD7"/>
    <w:rsid w:val="00110D1F"/>
    <w:rsid w:val="00110F01"/>
    <w:rsid w:val="00110F41"/>
    <w:rsid w:val="00111105"/>
    <w:rsid w:val="001111B9"/>
    <w:rsid w:val="001111CB"/>
    <w:rsid w:val="001113A6"/>
    <w:rsid w:val="0011148B"/>
    <w:rsid w:val="00111708"/>
    <w:rsid w:val="00111873"/>
    <w:rsid w:val="0011196F"/>
    <w:rsid w:val="00111A7B"/>
    <w:rsid w:val="00111AB1"/>
    <w:rsid w:val="00111B57"/>
    <w:rsid w:val="00111D4F"/>
    <w:rsid w:val="00111D8D"/>
    <w:rsid w:val="00111E21"/>
    <w:rsid w:val="00111ECE"/>
    <w:rsid w:val="00111F88"/>
    <w:rsid w:val="00111FAF"/>
    <w:rsid w:val="00112031"/>
    <w:rsid w:val="00112077"/>
    <w:rsid w:val="001120A8"/>
    <w:rsid w:val="001120B9"/>
    <w:rsid w:val="00112145"/>
    <w:rsid w:val="00112166"/>
    <w:rsid w:val="0011223C"/>
    <w:rsid w:val="001122B7"/>
    <w:rsid w:val="001122E1"/>
    <w:rsid w:val="001123C5"/>
    <w:rsid w:val="001123E5"/>
    <w:rsid w:val="00112510"/>
    <w:rsid w:val="0011253F"/>
    <w:rsid w:val="00112646"/>
    <w:rsid w:val="001126DA"/>
    <w:rsid w:val="0011277A"/>
    <w:rsid w:val="001128D1"/>
    <w:rsid w:val="0011291D"/>
    <w:rsid w:val="001129DF"/>
    <w:rsid w:val="00112B85"/>
    <w:rsid w:val="00112CBA"/>
    <w:rsid w:val="00112CC1"/>
    <w:rsid w:val="00112DC5"/>
    <w:rsid w:val="00112E0D"/>
    <w:rsid w:val="00112E54"/>
    <w:rsid w:val="00112EB7"/>
    <w:rsid w:val="00112EEA"/>
    <w:rsid w:val="001130EC"/>
    <w:rsid w:val="001130FE"/>
    <w:rsid w:val="0011313E"/>
    <w:rsid w:val="00113177"/>
    <w:rsid w:val="001131DA"/>
    <w:rsid w:val="001131F2"/>
    <w:rsid w:val="00113236"/>
    <w:rsid w:val="001132E6"/>
    <w:rsid w:val="00113325"/>
    <w:rsid w:val="001133EA"/>
    <w:rsid w:val="00113437"/>
    <w:rsid w:val="00113442"/>
    <w:rsid w:val="001135B9"/>
    <w:rsid w:val="001135D1"/>
    <w:rsid w:val="001135D6"/>
    <w:rsid w:val="001136BE"/>
    <w:rsid w:val="0011372B"/>
    <w:rsid w:val="00113757"/>
    <w:rsid w:val="00113759"/>
    <w:rsid w:val="00113836"/>
    <w:rsid w:val="00113923"/>
    <w:rsid w:val="00113C54"/>
    <w:rsid w:val="00113C6C"/>
    <w:rsid w:val="00113CF2"/>
    <w:rsid w:val="00113EC1"/>
    <w:rsid w:val="0011401A"/>
    <w:rsid w:val="001140B1"/>
    <w:rsid w:val="001140EC"/>
    <w:rsid w:val="0011412D"/>
    <w:rsid w:val="0011414E"/>
    <w:rsid w:val="0011416D"/>
    <w:rsid w:val="001141F5"/>
    <w:rsid w:val="0011423A"/>
    <w:rsid w:val="001147FA"/>
    <w:rsid w:val="0011483C"/>
    <w:rsid w:val="001148DE"/>
    <w:rsid w:val="00114994"/>
    <w:rsid w:val="00114ACA"/>
    <w:rsid w:val="00114AD5"/>
    <w:rsid w:val="00114CFE"/>
    <w:rsid w:val="00114E33"/>
    <w:rsid w:val="00114E80"/>
    <w:rsid w:val="00114FC2"/>
    <w:rsid w:val="00114FE4"/>
    <w:rsid w:val="00115195"/>
    <w:rsid w:val="001151A0"/>
    <w:rsid w:val="00115275"/>
    <w:rsid w:val="001152CA"/>
    <w:rsid w:val="00115361"/>
    <w:rsid w:val="001153F4"/>
    <w:rsid w:val="001153FA"/>
    <w:rsid w:val="001154B1"/>
    <w:rsid w:val="00115544"/>
    <w:rsid w:val="0011558D"/>
    <w:rsid w:val="001155D9"/>
    <w:rsid w:val="00115620"/>
    <w:rsid w:val="0011563E"/>
    <w:rsid w:val="00115681"/>
    <w:rsid w:val="0011573B"/>
    <w:rsid w:val="0011581C"/>
    <w:rsid w:val="0011594D"/>
    <w:rsid w:val="00115DDD"/>
    <w:rsid w:val="00115E20"/>
    <w:rsid w:val="00115F17"/>
    <w:rsid w:val="00115FF3"/>
    <w:rsid w:val="00116044"/>
    <w:rsid w:val="001160A8"/>
    <w:rsid w:val="00116316"/>
    <w:rsid w:val="00116463"/>
    <w:rsid w:val="001165AC"/>
    <w:rsid w:val="0011662B"/>
    <w:rsid w:val="0011669F"/>
    <w:rsid w:val="00116755"/>
    <w:rsid w:val="001167BB"/>
    <w:rsid w:val="0011683C"/>
    <w:rsid w:val="00116880"/>
    <w:rsid w:val="0011690E"/>
    <w:rsid w:val="00116A17"/>
    <w:rsid w:val="00116A6C"/>
    <w:rsid w:val="00116BF5"/>
    <w:rsid w:val="00116C0D"/>
    <w:rsid w:val="00116C8B"/>
    <w:rsid w:val="00116CD7"/>
    <w:rsid w:val="00116D4C"/>
    <w:rsid w:val="00116D99"/>
    <w:rsid w:val="00116E57"/>
    <w:rsid w:val="00116E79"/>
    <w:rsid w:val="00116F34"/>
    <w:rsid w:val="0011714A"/>
    <w:rsid w:val="00117198"/>
    <w:rsid w:val="001171A5"/>
    <w:rsid w:val="0011726B"/>
    <w:rsid w:val="001172BC"/>
    <w:rsid w:val="00117358"/>
    <w:rsid w:val="001173D3"/>
    <w:rsid w:val="001173D4"/>
    <w:rsid w:val="001173DB"/>
    <w:rsid w:val="00117427"/>
    <w:rsid w:val="00117520"/>
    <w:rsid w:val="00117792"/>
    <w:rsid w:val="001177EE"/>
    <w:rsid w:val="00117872"/>
    <w:rsid w:val="00117B32"/>
    <w:rsid w:val="00117C67"/>
    <w:rsid w:val="00117D02"/>
    <w:rsid w:val="00117E3D"/>
    <w:rsid w:val="00117E6B"/>
    <w:rsid w:val="00117E86"/>
    <w:rsid w:val="00117EEE"/>
    <w:rsid w:val="00117F22"/>
    <w:rsid w:val="0011A0A0"/>
    <w:rsid w:val="00120130"/>
    <w:rsid w:val="001201F3"/>
    <w:rsid w:val="0012024F"/>
    <w:rsid w:val="0012036E"/>
    <w:rsid w:val="00120376"/>
    <w:rsid w:val="001203B9"/>
    <w:rsid w:val="001203E1"/>
    <w:rsid w:val="00120476"/>
    <w:rsid w:val="001204ED"/>
    <w:rsid w:val="00120505"/>
    <w:rsid w:val="001205AF"/>
    <w:rsid w:val="001205D5"/>
    <w:rsid w:val="001205D9"/>
    <w:rsid w:val="00120673"/>
    <w:rsid w:val="001206AE"/>
    <w:rsid w:val="001206EF"/>
    <w:rsid w:val="001206F4"/>
    <w:rsid w:val="00120832"/>
    <w:rsid w:val="0012085A"/>
    <w:rsid w:val="00120989"/>
    <w:rsid w:val="001209B7"/>
    <w:rsid w:val="00120A3B"/>
    <w:rsid w:val="00120B74"/>
    <w:rsid w:val="00120BDF"/>
    <w:rsid w:val="00120CA6"/>
    <w:rsid w:val="00120D52"/>
    <w:rsid w:val="00120DA9"/>
    <w:rsid w:val="00120F18"/>
    <w:rsid w:val="00121023"/>
    <w:rsid w:val="00121136"/>
    <w:rsid w:val="001211F5"/>
    <w:rsid w:val="00121226"/>
    <w:rsid w:val="001212D1"/>
    <w:rsid w:val="0012136B"/>
    <w:rsid w:val="00121505"/>
    <w:rsid w:val="00121553"/>
    <w:rsid w:val="00121657"/>
    <w:rsid w:val="001216C3"/>
    <w:rsid w:val="001216E7"/>
    <w:rsid w:val="001217AB"/>
    <w:rsid w:val="001217BB"/>
    <w:rsid w:val="001217C1"/>
    <w:rsid w:val="00121989"/>
    <w:rsid w:val="001219BE"/>
    <w:rsid w:val="00121B81"/>
    <w:rsid w:val="00121C40"/>
    <w:rsid w:val="00121C91"/>
    <w:rsid w:val="00121D56"/>
    <w:rsid w:val="00121D9A"/>
    <w:rsid w:val="00121E09"/>
    <w:rsid w:val="00121E71"/>
    <w:rsid w:val="00121EFC"/>
    <w:rsid w:val="00121F5F"/>
    <w:rsid w:val="00121F86"/>
    <w:rsid w:val="00121FB3"/>
    <w:rsid w:val="0012205F"/>
    <w:rsid w:val="001220C9"/>
    <w:rsid w:val="001220F0"/>
    <w:rsid w:val="00122131"/>
    <w:rsid w:val="00122197"/>
    <w:rsid w:val="001222C2"/>
    <w:rsid w:val="001222DC"/>
    <w:rsid w:val="00122437"/>
    <w:rsid w:val="0012244A"/>
    <w:rsid w:val="0012245D"/>
    <w:rsid w:val="001227A0"/>
    <w:rsid w:val="001227F0"/>
    <w:rsid w:val="001228F2"/>
    <w:rsid w:val="0012296E"/>
    <w:rsid w:val="00122A02"/>
    <w:rsid w:val="00122B81"/>
    <w:rsid w:val="00122E53"/>
    <w:rsid w:val="00122F05"/>
    <w:rsid w:val="00122FE3"/>
    <w:rsid w:val="00123033"/>
    <w:rsid w:val="00123052"/>
    <w:rsid w:val="00123160"/>
    <w:rsid w:val="00123179"/>
    <w:rsid w:val="001231BE"/>
    <w:rsid w:val="001231E0"/>
    <w:rsid w:val="001233D5"/>
    <w:rsid w:val="001233F4"/>
    <w:rsid w:val="0012350A"/>
    <w:rsid w:val="00123536"/>
    <w:rsid w:val="001235D0"/>
    <w:rsid w:val="0012371B"/>
    <w:rsid w:val="0012372F"/>
    <w:rsid w:val="00123777"/>
    <w:rsid w:val="001237B6"/>
    <w:rsid w:val="00123997"/>
    <w:rsid w:val="001239A6"/>
    <w:rsid w:val="001239B8"/>
    <w:rsid w:val="00123A71"/>
    <w:rsid w:val="00123A9E"/>
    <w:rsid w:val="00123BB3"/>
    <w:rsid w:val="00123BDE"/>
    <w:rsid w:val="00123C36"/>
    <w:rsid w:val="00123E45"/>
    <w:rsid w:val="00123FBA"/>
    <w:rsid w:val="00123FBD"/>
    <w:rsid w:val="00124012"/>
    <w:rsid w:val="001240CB"/>
    <w:rsid w:val="00124105"/>
    <w:rsid w:val="0012412C"/>
    <w:rsid w:val="001241AD"/>
    <w:rsid w:val="001241CC"/>
    <w:rsid w:val="001242F9"/>
    <w:rsid w:val="00124337"/>
    <w:rsid w:val="00124342"/>
    <w:rsid w:val="001244CC"/>
    <w:rsid w:val="00124627"/>
    <w:rsid w:val="0012473C"/>
    <w:rsid w:val="0012477C"/>
    <w:rsid w:val="00124790"/>
    <w:rsid w:val="0012484B"/>
    <w:rsid w:val="001248D8"/>
    <w:rsid w:val="001248F1"/>
    <w:rsid w:val="00124935"/>
    <w:rsid w:val="00124AFB"/>
    <w:rsid w:val="00124B75"/>
    <w:rsid w:val="00124BB0"/>
    <w:rsid w:val="00124C4C"/>
    <w:rsid w:val="00124CA8"/>
    <w:rsid w:val="00124CC4"/>
    <w:rsid w:val="00124EE9"/>
    <w:rsid w:val="00124FC4"/>
    <w:rsid w:val="00124FDC"/>
    <w:rsid w:val="00124FF1"/>
    <w:rsid w:val="001250F3"/>
    <w:rsid w:val="00125205"/>
    <w:rsid w:val="00125354"/>
    <w:rsid w:val="00125459"/>
    <w:rsid w:val="001254E8"/>
    <w:rsid w:val="001255F2"/>
    <w:rsid w:val="0012567A"/>
    <w:rsid w:val="00125724"/>
    <w:rsid w:val="0012574F"/>
    <w:rsid w:val="001257D3"/>
    <w:rsid w:val="001258AA"/>
    <w:rsid w:val="00125956"/>
    <w:rsid w:val="001259B8"/>
    <w:rsid w:val="00125B08"/>
    <w:rsid w:val="00125B9B"/>
    <w:rsid w:val="00125BF5"/>
    <w:rsid w:val="00125CC4"/>
    <w:rsid w:val="00125DE1"/>
    <w:rsid w:val="00125E03"/>
    <w:rsid w:val="00125E1F"/>
    <w:rsid w:val="00125E66"/>
    <w:rsid w:val="00125EC8"/>
    <w:rsid w:val="00125FBE"/>
    <w:rsid w:val="00126077"/>
    <w:rsid w:val="0012612C"/>
    <w:rsid w:val="0012616E"/>
    <w:rsid w:val="001261F6"/>
    <w:rsid w:val="00126227"/>
    <w:rsid w:val="00126289"/>
    <w:rsid w:val="001262B5"/>
    <w:rsid w:val="001263B5"/>
    <w:rsid w:val="00126448"/>
    <w:rsid w:val="00126511"/>
    <w:rsid w:val="001265AD"/>
    <w:rsid w:val="00126631"/>
    <w:rsid w:val="001266DA"/>
    <w:rsid w:val="0012675D"/>
    <w:rsid w:val="00126804"/>
    <w:rsid w:val="0012684C"/>
    <w:rsid w:val="0012686F"/>
    <w:rsid w:val="001268E9"/>
    <w:rsid w:val="001269BC"/>
    <w:rsid w:val="00126AF9"/>
    <w:rsid w:val="00126B7A"/>
    <w:rsid w:val="00126BAE"/>
    <w:rsid w:val="00126C2F"/>
    <w:rsid w:val="00126C43"/>
    <w:rsid w:val="00126C78"/>
    <w:rsid w:val="00126D70"/>
    <w:rsid w:val="00126EFC"/>
    <w:rsid w:val="0012708D"/>
    <w:rsid w:val="0012708E"/>
    <w:rsid w:val="00127181"/>
    <w:rsid w:val="0012719F"/>
    <w:rsid w:val="001271AD"/>
    <w:rsid w:val="00127234"/>
    <w:rsid w:val="0012731C"/>
    <w:rsid w:val="001273A5"/>
    <w:rsid w:val="001273D8"/>
    <w:rsid w:val="0012753B"/>
    <w:rsid w:val="0012766A"/>
    <w:rsid w:val="001277A7"/>
    <w:rsid w:val="001277F9"/>
    <w:rsid w:val="001278BE"/>
    <w:rsid w:val="0012792B"/>
    <w:rsid w:val="00127934"/>
    <w:rsid w:val="00127A0E"/>
    <w:rsid w:val="00127A4C"/>
    <w:rsid w:val="00127B63"/>
    <w:rsid w:val="00127BA9"/>
    <w:rsid w:val="00127BBC"/>
    <w:rsid w:val="00127C19"/>
    <w:rsid w:val="00127D53"/>
    <w:rsid w:val="00127E4B"/>
    <w:rsid w:val="00127EBA"/>
    <w:rsid w:val="00127FDA"/>
    <w:rsid w:val="001301C8"/>
    <w:rsid w:val="00130234"/>
    <w:rsid w:val="00130333"/>
    <w:rsid w:val="0013038E"/>
    <w:rsid w:val="00130483"/>
    <w:rsid w:val="001304DE"/>
    <w:rsid w:val="001304F0"/>
    <w:rsid w:val="001304F5"/>
    <w:rsid w:val="0013057C"/>
    <w:rsid w:val="00130751"/>
    <w:rsid w:val="00130A12"/>
    <w:rsid w:val="00130AC5"/>
    <w:rsid w:val="00130AD3"/>
    <w:rsid w:val="00130B18"/>
    <w:rsid w:val="00130BFA"/>
    <w:rsid w:val="00130CA3"/>
    <w:rsid w:val="00130CFD"/>
    <w:rsid w:val="00130E80"/>
    <w:rsid w:val="00130FBE"/>
    <w:rsid w:val="001311BE"/>
    <w:rsid w:val="0013120E"/>
    <w:rsid w:val="001312B3"/>
    <w:rsid w:val="001312F9"/>
    <w:rsid w:val="00131343"/>
    <w:rsid w:val="0013134E"/>
    <w:rsid w:val="0013147B"/>
    <w:rsid w:val="00131543"/>
    <w:rsid w:val="00131606"/>
    <w:rsid w:val="0013160E"/>
    <w:rsid w:val="0013176B"/>
    <w:rsid w:val="0013192A"/>
    <w:rsid w:val="00131A18"/>
    <w:rsid w:val="00131B59"/>
    <w:rsid w:val="00131BD6"/>
    <w:rsid w:val="00131BE9"/>
    <w:rsid w:val="00131D1D"/>
    <w:rsid w:val="00131D1E"/>
    <w:rsid w:val="00131D2D"/>
    <w:rsid w:val="00131E80"/>
    <w:rsid w:val="00131F14"/>
    <w:rsid w:val="00131F1E"/>
    <w:rsid w:val="00131FA5"/>
    <w:rsid w:val="00132095"/>
    <w:rsid w:val="001321F5"/>
    <w:rsid w:val="001322EE"/>
    <w:rsid w:val="00132358"/>
    <w:rsid w:val="00132416"/>
    <w:rsid w:val="00132734"/>
    <w:rsid w:val="00132763"/>
    <w:rsid w:val="0013295B"/>
    <w:rsid w:val="00132A94"/>
    <w:rsid w:val="00132AA5"/>
    <w:rsid w:val="00132B7C"/>
    <w:rsid w:val="00132BD0"/>
    <w:rsid w:val="00132D32"/>
    <w:rsid w:val="00132DCF"/>
    <w:rsid w:val="00132EA8"/>
    <w:rsid w:val="00132F04"/>
    <w:rsid w:val="001330A6"/>
    <w:rsid w:val="0013317D"/>
    <w:rsid w:val="00133334"/>
    <w:rsid w:val="001333E6"/>
    <w:rsid w:val="0013341C"/>
    <w:rsid w:val="00133444"/>
    <w:rsid w:val="001334B3"/>
    <w:rsid w:val="001334D0"/>
    <w:rsid w:val="001334F8"/>
    <w:rsid w:val="001336AA"/>
    <w:rsid w:val="001336F5"/>
    <w:rsid w:val="0013386B"/>
    <w:rsid w:val="001338D2"/>
    <w:rsid w:val="001338FA"/>
    <w:rsid w:val="00133995"/>
    <w:rsid w:val="00133AE8"/>
    <w:rsid w:val="00133B26"/>
    <w:rsid w:val="00133B59"/>
    <w:rsid w:val="00133BF3"/>
    <w:rsid w:val="00133D24"/>
    <w:rsid w:val="00133DA2"/>
    <w:rsid w:val="00133DA9"/>
    <w:rsid w:val="00133F90"/>
    <w:rsid w:val="00134077"/>
    <w:rsid w:val="0013411A"/>
    <w:rsid w:val="00134177"/>
    <w:rsid w:val="001341E6"/>
    <w:rsid w:val="00134283"/>
    <w:rsid w:val="001342B1"/>
    <w:rsid w:val="00134352"/>
    <w:rsid w:val="00134383"/>
    <w:rsid w:val="00134480"/>
    <w:rsid w:val="00134550"/>
    <w:rsid w:val="001345DA"/>
    <w:rsid w:val="00134771"/>
    <w:rsid w:val="001347BA"/>
    <w:rsid w:val="001347E7"/>
    <w:rsid w:val="0013486C"/>
    <w:rsid w:val="00134918"/>
    <w:rsid w:val="0013498D"/>
    <w:rsid w:val="00134A79"/>
    <w:rsid w:val="00134B0F"/>
    <w:rsid w:val="00134BDF"/>
    <w:rsid w:val="00134BE0"/>
    <w:rsid w:val="00134C23"/>
    <w:rsid w:val="00134C98"/>
    <w:rsid w:val="00134CA3"/>
    <w:rsid w:val="00134CC2"/>
    <w:rsid w:val="00134D8A"/>
    <w:rsid w:val="00134E41"/>
    <w:rsid w:val="00135089"/>
    <w:rsid w:val="0013530D"/>
    <w:rsid w:val="0013538C"/>
    <w:rsid w:val="00135462"/>
    <w:rsid w:val="0013566F"/>
    <w:rsid w:val="00135673"/>
    <w:rsid w:val="00135688"/>
    <w:rsid w:val="00135723"/>
    <w:rsid w:val="00135747"/>
    <w:rsid w:val="001358CF"/>
    <w:rsid w:val="0013593F"/>
    <w:rsid w:val="00135BDF"/>
    <w:rsid w:val="00135C05"/>
    <w:rsid w:val="00135C85"/>
    <w:rsid w:val="00135D47"/>
    <w:rsid w:val="00135E2C"/>
    <w:rsid w:val="00135E2E"/>
    <w:rsid w:val="00135E56"/>
    <w:rsid w:val="00135F7D"/>
    <w:rsid w:val="00136007"/>
    <w:rsid w:val="001360C2"/>
    <w:rsid w:val="00136167"/>
    <w:rsid w:val="001361C1"/>
    <w:rsid w:val="001364F8"/>
    <w:rsid w:val="00136554"/>
    <w:rsid w:val="00136593"/>
    <w:rsid w:val="00136608"/>
    <w:rsid w:val="00136778"/>
    <w:rsid w:val="0013680F"/>
    <w:rsid w:val="00136841"/>
    <w:rsid w:val="001369BA"/>
    <w:rsid w:val="00136AEC"/>
    <w:rsid w:val="00136B7D"/>
    <w:rsid w:val="00136C09"/>
    <w:rsid w:val="00136D4A"/>
    <w:rsid w:val="00136D85"/>
    <w:rsid w:val="00136F66"/>
    <w:rsid w:val="00136F84"/>
    <w:rsid w:val="00136F97"/>
    <w:rsid w:val="00137016"/>
    <w:rsid w:val="001370EE"/>
    <w:rsid w:val="001371F4"/>
    <w:rsid w:val="00137669"/>
    <w:rsid w:val="001376CA"/>
    <w:rsid w:val="001377CC"/>
    <w:rsid w:val="001377FC"/>
    <w:rsid w:val="0013796E"/>
    <w:rsid w:val="00137B73"/>
    <w:rsid w:val="00137BDB"/>
    <w:rsid w:val="00137C94"/>
    <w:rsid w:val="00137F1B"/>
    <w:rsid w:val="00137FA0"/>
    <w:rsid w:val="001401E3"/>
    <w:rsid w:val="001401E7"/>
    <w:rsid w:val="00140470"/>
    <w:rsid w:val="001404D2"/>
    <w:rsid w:val="001405F1"/>
    <w:rsid w:val="001405F4"/>
    <w:rsid w:val="0014061F"/>
    <w:rsid w:val="001406F2"/>
    <w:rsid w:val="00140850"/>
    <w:rsid w:val="0014085B"/>
    <w:rsid w:val="001408A5"/>
    <w:rsid w:val="0014093D"/>
    <w:rsid w:val="00140952"/>
    <w:rsid w:val="00140C04"/>
    <w:rsid w:val="00140C46"/>
    <w:rsid w:val="00140CD0"/>
    <w:rsid w:val="00140DB4"/>
    <w:rsid w:val="00140E01"/>
    <w:rsid w:val="00140E15"/>
    <w:rsid w:val="00140E48"/>
    <w:rsid w:val="00141055"/>
    <w:rsid w:val="001410C9"/>
    <w:rsid w:val="00141232"/>
    <w:rsid w:val="00141433"/>
    <w:rsid w:val="0014160B"/>
    <w:rsid w:val="0014161A"/>
    <w:rsid w:val="0014172E"/>
    <w:rsid w:val="00141743"/>
    <w:rsid w:val="001419D4"/>
    <w:rsid w:val="001419FD"/>
    <w:rsid w:val="00141A21"/>
    <w:rsid w:val="00141A5B"/>
    <w:rsid w:val="00141BEC"/>
    <w:rsid w:val="00141CDD"/>
    <w:rsid w:val="00141D3A"/>
    <w:rsid w:val="00141D3E"/>
    <w:rsid w:val="00141EA2"/>
    <w:rsid w:val="00141F7C"/>
    <w:rsid w:val="00141FC0"/>
    <w:rsid w:val="001421E5"/>
    <w:rsid w:val="00142219"/>
    <w:rsid w:val="00142451"/>
    <w:rsid w:val="00142508"/>
    <w:rsid w:val="0014250A"/>
    <w:rsid w:val="00142623"/>
    <w:rsid w:val="001426AF"/>
    <w:rsid w:val="00142766"/>
    <w:rsid w:val="001427A9"/>
    <w:rsid w:val="001427EA"/>
    <w:rsid w:val="001428CD"/>
    <w:rsid w:val="001429BD"/>
    <w:rsid w:val="00142A4A"/>
    <w:rsid w:val="00142B1E"/>
    <w:rsid w:val="00142BEC"/>
    <w:rsid w:val="00142BFB"/>
    <w:rsid w:val="00142C0F"/>
    <w:rsid w:val="001430E9"/>
    <w:rsid w:val="00143177"/>
    <w:rsid w:val="001431BC"/>
    <w:rsid w:val="00143201"/>
    <w:rsid w:val="00143388"/>
    <w:rsid w:val="0014349C"/>
    <w:rsid w:val="0014350D"/>
    <w:rsid w:val="001435A7"/>
    <w:rsid w:val="001435BF"/>
    <w:rsid w:val="00143667"/>
    <w:rsid w:val="0014368E"/>
    <w:rsid w:val="001436F0"/>
    <w:rsid w:val="0014370A"/>
    <w:rsid w:val="00143719"/>
    <w:rsid w:val="0014376D"/>
    <w:rsid w:val="00143882"/>
    <w:rsid w:val="001438D1"/>
    <w:rsid w:val="001438D9"/>
    <w:rsid w:val="00143944"/>
    <w:rsid w:val="001439D7"/>
    <w:rsid w:val="00143B94"/>
    <w:rsid w:val="00143BBA"/>
    <w:rsid w:val="00143C93"/>
    <w:rsid w:val="00143D0B"/>
    <w:rsid w:val="00143D52"/>
    <w:rsid w:val="00143D62"/>
    <w:rsid w:val="00143DEB"/>
    <w:rsid w:val="00143FAB"/>
    <w:rsid w:val="0014404A"/>
    <w:rsid w:val="00144054"/>
    <w:rsid w:val="001440BF"/>
    <w:rsid w:val="001441A6"/>
    <w:rsid w:val="001444B6"/>
    <w:rsid w:val="001445C5"/>
    <w:rsid w:val="00144607"/>
    <w:rsid w:val="00144623"/>
    <w:rsid w:val="00144651"/>
    <w:rsid w:val="0014496F"/>
    <w:rsid w:val="00144A09"/>
    <w:rsid w:val="00144AC5"/>
    <w:rsid w:val="00144B13"/>
    <w:rsid w:val="00144B6F"/>
    <w:rsid w:val="00144EC9"/>
    <w:rsid w:val="00144F63"/>
    <w:rsid w:val="00144FE1"/>
    <w:rsid w:val="00145017"/>
    <w:rsid w:val="00145088"/>
    <w:rsid w:val="0014511B"/>
    <w:rsid w:val="00145184"/>
    <w:rsid w:val="001451C3"/>
    <w:rsid w:val="001451E9"/>
    <w:rsid w:val="00145227"/>
    <w:rsid w:val="001452DA"/>
    <w:rsid w:val="001452F6"/>
    <w:rsid w:val="00145477"/>
    <w:rsid w:val="001455BC"/>
    <w:rsid w:val="0014571D"/>
    <w:rsid w:val="00145817"/>
    <w:rsid w:val="00145878"/>
    <w:rsid w:val="0014589C"/>
    <w:rsid w:val="00145930"/>
    <w:rsid w:val="001459AD"/>
    <w:rsid w:val="00145A8D"/>
    <w:rsid w:val="00145BCA"/>
    <w:rsid w:val="00145C76"/>
    <w:rsid w:val="00145CA8"/>
    <w:rsid w:val="00145E38"/>
    <w:rsid w:val="00145FD0"/>
    <w:rsid w:val="00146037"/>
    <w:rsid w:val="00146041"/>
    <w:rsid w:val="0014605D"/>
    <w:rsid w:val="001460DF"/>
    <w:rsid w:val="00146241"/>
    <w:rsid w:val="00146366"/>
    <w:rsid w:val="0014638F"/>
    <w:rsid w:val="0014643A"/>
    <w:rsid w:val="00146513"/>
    <w:rsid w:val="0014669C"/>
    <w:rsid w:val="001466B1"/>
    <w:rsid w:val="00146712"/>
    <w:rsid w:val="00146753"/>
    <w:rsid w:val="00146795"/>
    <w:rsid w:val="001467DD"/>
    <w:rsid w:val="001468DB"/>
    <w:rsid w:val="001469AC"/>
    <w:rsid w:val="001469F2"/>
    <w:rsid w:val="00146A9E"/>
    <w:rsid w:val="00146B0A"/>
    <w:rsid w:val="00146B2D"/>
    <w:rsid w:val="00146C17"/>
    <w:rsid w:val="00146C70"/>
    <w:rsid w:val="00146C92"/>
    <w:rsid w:val="00146ED2"/>
    <w:rsid w:val="00146F5C"/>
    <w:rsid w:val="00147026"/>
    <w:rsid w:val="001470E3"/>
    <w:rsid w:val="001471F4"/>
    <w:rsid w:val="0014729D"/>
    <w:rsid w:val="001472C1"/>
    <w:rsid w:val="001472D7"/>
    <w:rsid w:val="0014737D"/>
    <w:rsid w:val="001474E4"/>
    <w:rsid w:val="00147515"/>
    <w:rsid w:val="00147592"/>
    <w:rsid w:val="001476C4"/>
    <w:rsid w:val="0014788D"/>
    <w:rsid w:val="00147A85"/>
    <w:rsid w:val="00147AC7"/>
    <w:rsid w:val="00147B64"/>
    <w:rsid w:val="00147BE4"/>
    <w:rsid w:val="00147DE7"/>
    <w:rsid w:val="00147E0D"/>
    <w:rsid w:val="00147E11"/>
    <w:rsid w:val="00147E4F"/>
    <w:rsid w:val="00147E57"/>
    <w:rsid w:val="00147E65"/>
    <w:rsid w:val="00147F0B"/>
    <w:rsid w:val="00147FF7"/>
    <w:rsid w:val="0015013F"/>
    <w:rsid w:val="00150189"/>
    <w:rsid w:val="001501AC"/>
    <w:rsid w:val="0015027B"/>
    <w:rsid w:val="001504FF"/>
    <w:rsid w:val="00150741"/>
    <w:rsid w:val="0015077C"/>
    <w:rsid w:val="00150827"/>
    <w:rsid w:val="00150853"/>
    <w:rsid w:val="0015093B"/>
    <w:rsid w:val="0015098D"/>
    <w:rsid w:val="00150AC6"/>
    <w:rsid w:val="00150AF3"/>
    <w:rsid w:val="00150C03"/>
    <w:rsid w:val="00150D0D"/>
    <w:rsid w:val="00150E02"/>
    <w:rsid w:val="00150FB7"/>
    <w:rsid w:val="00151019"/>
    <w:rsid w:val="0015101A"/>
    <w:rsid w:val="001510BC"/>
    <w:rsid w:val="001512BF"/>
    <w:rsid w:val="0015130F"/>
    <w:rsid w:val="00151408"/>
    <w:rsid w:val="0015154C"/>
    <w:rsid w:val="00151582"/>
    <w:rsid w:val="001516B0"/>
    <w:rsid w:val="00151895"/>
    <w:rsid w:val="00151979"/>
    <w:rsid w:val="001519AD"/>
    <w:rsid w:val="00151A4D"/>
    <w:rsid w:val="00151A55"/>
    <w:rsid w:val="00151A5E"/>
    <w:rsid w:val="00151BF4"/>
    <w:rsid w:val="00151CC9"/>
    <w:rsid w:val="00151CEE"/>
    <w:rsid w:val="00151D20"/>
    <w:rsid w:val="00151E8C"/>
    <w:rsid w:val="00151EF4"/>
    <w:rsid w:val="00152022"/>
    <w:rsid w:val="00152069"/>
    <w:rsid w:val="001520A2"/>
    <w:rsid w:val="0015212A"/>
    <w:rsid w:val="00152158"/>
    <w:rsid w:val="0015229C"/>
    <w:rsid w:val="0015236A"/>
    <w:rsid w:val="00152488"/>
    <w:rsid w:val="001525E0"/>
    <w:rsid w:val="0015260E"/>
    <w:rsid w:val="00152618"/>
    <w:rsid w:val="00152890"/>
    <w:rsid w:val="00152916"/>
    <w:rsid w:val="00152CAD"/>
    <w:rsid w:val="00152D2D"/>
    <w:rsid w:val="00152D3F"/>
    <w:rsid w:val="00152E0D"/>
    <w:rsid w:val="00152E98"/>
    <w:rsid w:val="00152EB2"/>
    <w:rsid w:val="00152F8E"/>
    <w:rsid w:val="0015308F"/>
    <w:rsid w:val="0015313F"/>
    <w:rsid w:val="0015314B"/>
    <w:rsid w:val="001531C9"/>
    <w:rsid w:val="0015326C"/>
    <w:rsid w:val="0015344E"/>
    <w:rsid w:val="00153483"/>
    <w:rsid w:val="00153774"/>
    <w:rsid w:val="00153806"/>
    <w:rsid w:val="00153A47"/>
    <w:rsid w:val="00153AE1"/>
    <w:rsid w:val="00153B8D"/>
    <w:rsid w:val="00153B96"/>
    <w:rsid w:val="00153BA0"/>
    <w:rsid w:val="00153C6D"/>
    <w:rsid w:val="00153CD1"/>
    <w:rsid w:val="00153CD2"/>
    <w:rsid w:val="00153D89"/>
    <w:rsid w:val="00153EC4"/>
    <w:rsid w:val="00153F1D"/>
    <w:rsid w:val="00153F7A"/>
    <w:rsid w:val="00153FF5"/>
    <w:rsid w:val="001541CB"/>
    <w:rsid w:val="0015420E"/>
    <w:rsid w:val="00154272"/>
    <w:rsid w:val="001542D4"/>
    <w:rsid w:val="0015431E"/>
    <w:rsid w:val="0015439E"/>
    <w:rsid w:val="00154420"/>
    <w:rsid w:val="001544B6"/>
    <w:rsid w:val="001544D4"/>
    <w:rsid w:val="0015456F"/>
    <w:rsid w:val="001547B2"/>
    <w:rsid w:val="0015480D"/>
    <w:rsid w:val="00154921"/>
    <w:rsid w:val="00154A55"/>
    <w:rsid w:val="00154B11"/>
    <w:rsid w:val="00154B6B"/>
    <w:rsid w:val="00154B79"/>
    <w:rsid w:val="00154BC8"/>
    <w:rsid w:val="00154BF3"/>
    <w:rsid w:val="00154C82"/>
    <w:rsid w:val="00154C99"/>
    <w:rsid w:val="00154D7A"/>
    <w:rsid w:val="00154DC7"/>
    <w:rsid w:val="00154F06"/>
    <w:rsid w:val="00154F10"/>
    <w:rsid w:val="00154F14"/>
    <w:rsid w:val="00155159"/>
    <w:rsid w:val="0015515C"/>
    <w:rsid w:val="00155160"/>
    <w:rsid w:val="00155216"/>
    <w:rsid w:val="001553C9"/>
    <w:rsid w:val="00155552"/>
    <w:rsid w:val="00155559"/>
    <w:rsid w:val="00155614"/>
    <w:rsid w:val="001556A1"/>
    <w:rsid w:val="00155791"/>
    <w:rsid w:val="0015585E"/>
    <w:rsid w:val="0015585F"/>
    <w:rsid w:val="00155928"/>
    <w:rsid w:val="0015599A"/>
    <w:rsid w:val="00155A15"/>
    <w:rsid w:val="00155AA5"/>
    <w:rsid w:val="00155B8A"/>
    <w:rsid w:val="00155C12"/>
    <w:rsid w:val="00155C2B"/>
    <w:rsid w:val="00155C33"/>
    <w:rsid w:val="00155E34"/>
    <w:rsid w:val="00155E49"/>
    <w:rsid w:val="00155E89"/>
    <w:rsid w:val="00155F82"/>
    <w:rsid w:val="00155FCC"/>
    <w:rsid w:val="00155FFD"/>
    <w:rsid w:val="0015605D"/>
    <w:rsid w:val="00156220"/>
    <w:rsid w:val="001562A3"/>
    <w:rsid w:val="001562E3"/>
    <w:rsid w:val="00156600"/>
    <w:rsid w:val="0015660A"/>
    <w:rsid w:val="00156756"/>
    <w:rsid w:val="00156828"/>
    <w:rsid w:val="00156919"/>
    <w:rsid w:val="001569FE"/>
    <w:rsid w:val="00156AB3"/>
    <w:rsid w:val="00156AE6"/>
    <w:rsid w:val="00156BAD"/>
    <w:rsid w:val="00156CDF"/>
    <w:rsid w:val="00156D10"/>
    <w:rsid w:val="0015729B"/>
    <w:rsid w:val="001572BE"/>
    <w:rsid w:val="0015745B"/>
    <w:rsid w:val="0015748C"/>
    <w:rsid w:val="0015749F"/>
    <w:rsid w:val="001574E2"/>
    <w:rsid w:val="00157565"/>
    <w:rsid w:val="001575C9"/>
    <w:rsid w:val="001575D2"/>
    <w:rsid w:val="0015765D"/>
    <w:rsid w:val="001577F8"/>
    <w:rsid w:val="00157A0D"/>
    <w:rsid w:val="00157A52"/>
    <w:rsid w:val="00157AD6"/>
    <w:rsid w:val="00157B0F"/>
    <w:rsid w:val="00157BB3"/>
    <w:rsid w:val="00157D0C"/>
    <w:rsid w:val="00157FC5"/>
    <w:rsid w:val="001600B7"/>
    <w:rsid w:val="0016016A"/>
    <w:rsid w:val="00160262"/>
    <w:rsid w:val="001602BE"/>
    <w:rsid w:val="00160496"/>
    <w:rsid w:val="001604D0"/>
    <w:rsid w:val="0016058A"/>
    <w:rsid w:val="0016061F"/>
    <w:rsid w:val="00160638"/>
    <w:rsid w:val="00160657"/>
    <w:rsid w:val="00160680"/>
    <w:rsid w:val="001607C9"/>
    <w:rsid w:val="00160803"/>
    <w:rsid w:val="0016081E"/>
    <w:rsid w:val="001608D2"/>
    <w:rsid w:val="001608F0"/>
    <w:rsid w:val="00160A28"/>
    <w:rsid w:val="00160A40"/>
    <w:rsid w:val="00160BF3"/>
    <w:rsid w:val="00160CAB"/>
    <w:rsid w:val="00160D2B"/>
    <w:rsid w:val="00160DC6"/>
    <w:rsid w:val="00160E3F"/>
    <w:rsid w:val="00161020"/>
    <w:rsid w:val="00161102"/>
    <w:rsid w:val="00161207"/>
    <w:rsid w:val="0016144D"/>
    <w:rsid w:val="00161451"/>
    <w:rsid w:val="00161580"/>
    <w:rsid w:val="001615AD"/>
    <w:rsid w:val="001615F3"/>
    <w:rsid w:val="00161605"/>
    <w:rsid w:val="001616A8"/>
    <w:rsid w:val="0016174A"/>
    <w:rsid w:val="001618EA"/>
    <w:rsid w:val="00161914"/>
    <w:rsid w:val="0016192B"/>
    <w:rsid w:val="00161977"/>
    <w:rsid w:val="001619D5"/>
    <w:rsid w:val="00161A70"/>
    <w:rsid w:val="00161B2C"/>
    <w:rsid w:val="00161C5D"/>
    <w:rsid w:val="00161EF8"/>
    <w:rsid w:val="001621B5"/>
    <w:rsid w:val="001621BD"/>
    <w:rsid w:val="001621CD"/>
    <w:rsid w:val="00162390"/>
    <w:rsid w:val="001625DE"/>
    <w:rsid w:val="001625F9"/>
    <w:rsid w:val="00162731"/>
    <w:rsid w:val="00162759"/>
    <w:rsid w:val="0016276F"/>
    <w:rsid w:val="001627CA"/>
    <w:rsid w:val="00162879"/>
    <w:rsid w:val="0016287D"/>
    <w:rsid w:val="00162A36"/>
    <w:rsid w:val="00162A8F"/>
    <w:rsid w:val="00162B58"/>
    <w:rsid w:val="00162B6B"/>
    <w:rsid w:val="00162CCB"/>
    <w:rsid w:val="00162D39"/>
    <w:rsid w:val="00162EBE"/>
    <w:rsid w:val="00162ED1"/>
    <w:rsid w:val="00163043"/>
    <w:rsid w:val="00163046"/>
    <w:rsid w:val="00163085"/>
    <w:rsid w:val="0016328C"/>
    <w:rsid w:val="00163322"/>
    <w:rsid w:val="00163374"/>
    <w:rsid w:val="00163413"/>
    <w:rsid w:val="00163914"/>
    <w:rsid w:val="001639F7"/>
    <w:rsid w:val="00163AEB"/>
    <w:rsid w:val="00163B87"/>
    <w:rsid w:val="00163C58"/>
    <w:rsid w:val="00163E16"/>
    <w:rsid w:val="00163EA9"/>
    <w:rsid w:val="00163F17"/>
    <w:rsid w:val="0016431B"/>
    <w:rsid w:val="0016437A"/>
    <w:rsid w:val="0016438C"/>
    <w:rsid w:val="00164437"/>
    <w:rsid w:val="00164838"/>
    <w:rsid w:val="00164C33"/>
    <w:rsid w:val="00164C79"/>
    <w:rsid w:val="00164ECD"/>
    <w:rsid w:val="00165040"/>
    <w:rsid w:val="00165284"/>
    <w:rsid w:val="001652BB"/>
    <w:rsid w:val="0016532A"/>
    <w:rsid w:val="001653EC"/>
    <w:rsid w:val="001653ED"/>
    <w:rsid w:val="00165452"/>
    <w:rsid w:val="001654B9"/>
    <w:rsid w:val="001654E5"/>
    <w:rsid w:val="001655A7"/>
    <w:rsid w:val="0016562A"/>
    <w:rsid w:val="001656EB"/>
    <w:rsid w:val="0016570A"/>
    <w:rsid w:val="0016578E"/>
    <w:rsid w:val="001657CC"/>
    <w:rsid w:val="00165802"/>
    <w:rsid w:val="001658BA"/>
    <w:rsid w:val="0016595E"/>
    <w:rsid w:val="0016598B"/>
    <w:rsid w:val="001659B2"/>
    <w:rsid w:val="00165C4D"/>
    <w:rsid w:val="00165DBF"/>
    <w:rsid w:val="00165DE0"/>
    <w:rsid w:val="00165E4B"/>
    <w:rsid w:val="00165E84"/>
    <w:rsid w:val="001660E2"/>
    <w:rsid w:val="001663BD"/>
    <w:rsid w:val="001663E8"/>
    <w:rsid w:val="0016641A"/>
    <w:rsid w:val="001664EE"/>
    <w:rsid w:val="00166540"/>
    <w:rsid w:val="001665EE"/>
    <w:rsid w:val="0016672A"/>
    <w:rsid w:val="00166814"/>
    <w:rsid w:val="00166969"/>
    <w:rsid w:val="001669E2"/>
    <w:rsid w:val="00166A73"/>
    <w:rsid w:val="00166AF0"/>
    <w:rsid w:val="00166B43"/>
    <w:rsid w:val="00166C06"/>
    <w:rsid w:val="00166C3F"/>
    <w:rsid w:val="00166C72"/>
    <w:rsid w:val="00166CB8"/>
    <w:rsid w:val="00166D31"/>
    <w:rsid w:val="00166DE7"/>
    <w:rsid w:val="00166E4F"/>
    <w:rsid w:val="00166EB5"/>
    <w:rsid w:val="00166F5C"/>
    <w:rsid w:val="00166F8E"/>
    <w:rsid w:val="00167096"/>
    <w:rsid w:val="00167119"/>
    <w:rsid w:val="00167174"/>
    <w:rsid w:val="001671A2"/>
    <w:rsid w:val="001672BB"/>
    <w:rsid w:val="0016740E"/>
    <w:rsid w:val="001674FB"/>
    <w:rsid w:val="00167516"/>
    <w:rsid w:val="00167575"/>
    <w:rsid w:val="0016757E"/>
    <w:rsid w:val="00167661"/>
    <w:rsid w:val="00167754"/>
    <w:rsid w:val="00167779"/>
    <w:rsid w:val="001677AC"/>
    <w:rsid w:val="0016780B"/>
    <w:rsid w:val="00167E87"/>
    <w:rsid w:val="00167F94"/>
    <w:rsid w:val="00170158"/>
    <w:rsid w:val="00170163"/>
    <w:rsid w:val="001701DC"/>
    <w:rsid w:val="001702AB"/>
    <w:rsid w:val="00170329"/>
    <w:rsid w:val="0017041E"/>
    <w:rsid w:val="0017073D"/>
    <w:rsid w:val="001707EC"/>
    <w:rsid w:val="00170863"/>
    <w:rsid w:val="00170974"/>
    <w:rsid w:val="001709D5"/>
    <w:rsid w:val="00170BE7"/>
    <w:rsid w:val="00170D21"/>
    <w:rsid w:val="00170DDC"/>
    <w:rsid w:val="00170E03"/>
    <w:rsid w:val="00170E72"/>
    <w:rsid w:val="00170EF5"/>
    <w:rsid w:val="00170F14"/>
    <w:rsid w:val="00170F16"/>
    <w:rsid w:val="00170F28"/>
    <w:rsid w:val="001710CA"/>
    <w:rsid w:val="00171176"/>
    <w:rsid w:val="00171303"/>
    <w:rsid w:val="00171486"/>
    <w:rsid w:val="001715FA"/>
    <w:rsid w:val="00171602"/>
    <w:rsid w:val="00171640"/>
    <w:rsid w:val="001716AF"/>
    <w:rsid w:val="00171733"/>
    <w:rsid w:val="00171916"/>
    <w:rsid w:val="001719EE"/>
    <w:rsid w:val="001719FD"/>
    <w:rsid w:val="00171A85"/>
    <w:rsid w:val="00171A8B"/>
    <w:rsid w:val="00171AE0"/>
    <w:rsid w:val="00171AF5"/>
    <w:rsid w:val="00171B24"/>
    <w:rsid w:val="00171B45"/>
    <w:rsid w:val="00171B8E"/>
    <w:rsid w:val="00171FDC"/>
    <w:rsid w:val="00171FFC"/>
    <w:rsid w:val="00172138"/>
    <w:rsid w:val="00172157"/>
    <w:rsid w:val="0017216B"/>
    <w:rsid w:val="001722DE"/>
    <w:rsid w:val="00172300"/>
    <w:rsid w:val="0017237D"/>
    <w:rsid w:val="001723BE"/>
    <w:rsid w:val="00172440"/>
    <w:rsid w:val="00172443"/>
    <w:rsid w:val="00172580"/>
    <w:rsid w:val="001725B2"/>
    <w:rsid w:val="00172670"/>
    <w:rsid w:val="00172704"/>
    <w:rsid w:val="0017273B"/>
    <w:rsid w:val="00172839"/>
    <w:rsid w:val="0017287D"/>
    <w:rsid w:val="00172B3B"/>
    <w:rsid w:val="00172B99"/>
    <w:rsid w:val="00172C7E"/>
    <w:rsid w:val="00172CE6"/>
    <w:rsid w:val="00172D8C"/>
    <w:rsid w:val="00172E9C"/>
    <w:rsid w:val="00172ED3"/>
    <w:rsid w:val="00172FFE"/>
    <w:rsid w:val="00173130"/>
    <w:rsid w:val="001731EB"/>
    <w:rsid w:val="00173291"/>
    <w:rsid w:val="001732E0"/>
    <w:rsid w:val="00173407"/>
    <w:rsid w:val="001736C2"/>
    <w:rsid w:val="00173968"/>
    <w:rsid w:val="001739A8"/>
    <w:rsid w:val="00173A98"/>
    <w:rsid w:val="00173B27"/>
    <w:rsid w:val="00173BAF"/>
    <w:rsid w:val="00173C62"/>
    <w:rsid w:val="00173C64"/>
    <w:rsid w:val="00173E75"/>
    <w:rsid w:val="00173F04"/>
    <w:rsid w:val="00173F67"/>
    <w:rsid w:val="00173F83"/>
    <w:rsid w:val="00173FAD"/>
    <w:rsid w:val="00173FBF"/>
    <w:rsid w:val="00173FF1"/>
    <w:rsid w:val="0017410C"/>
    <w:rsid w:val="001741DA"/>
    <w:rsid w:val="001745D7"/>
    <w:rsid w:val="00174647"/>
    <w:rsid w:val="0017464C"/>
    <w:rsid w:val="00174699"/>
    <w:rsid w:val="001746B2"/>
    <w:rsid w:val="0017481F"/>
    <w:rsid w:val="0017498A"/>
    <w:rsid w:val="00174B75"/>
    <w:rsid w:val="00174BA0"/>
    <w:rsid w:val="00174DC6"/>
    <w:rsid w:val="00174EA2"/>
    <w:rsid w:val="00174F32"/>
    <w:rsid w:val="00174FBE"/>
    <w:rsid w:val="00175294"/>
    <w:rsid w:val="00175372"/>
    <w:rsid w:val="0017551D"/>
    <w:rsid w:val="00175539"/>
    <w:rsid w:val="0017555C"/>
    <w:rsid w:val="00175740"/>
    <w:rsid w:val="00175781"/>
    <w:rsid w:val="0017579A"/>
    <w:rsid w:val="00175816"/>
    <w:rsid w:val="0017587B"/>
    <w:rsid w:val="001758DE"/>
    <w:rsid w:val="00175918"/>
    <w:rsid w:val="001759A4"/>
    <w:rsid w:val="00175A25"/>
    <w:rsid w:val="00175A55"/>
    <w:rsid w:val="00175BA8"/>
    <w:rsid w:val="00175C2B"/>
    <w:rsid w:val="00175CD8"/>
    <w:rsid w:val="00175CE1"/>
    <w:rsid w:val="00175D63"/>
    <w:rsid w:val="00175E59"/>
    <w:rsid w:val="00175EA0"/>
    <w:rsid w:val="00175F30"/>
    <w:rsid w:val="00175F4A"/>
    <w:rsid w:val="00175F8F"/>
    <w:rsid w:val="00175FC0"/>
    <w:rsid w:val="00176053"/>
    <w:rsid w:val="0017607B"/>
    <w:rsid w:val="00176103"/>
    <w:rsid w:val="001762DC"/>
    <w:rsid w:val="00176390"/>
    <w:rsid w:val="00176391"/>
    <w:rsid w:val="0017660B"/>
    <w:rsid w:val="0017673B"/>
    <w:rsid w:val="00176795"/>
    <w:rsid w:val="00176815"/>
    <w:rsid w:val="00176A39"/>
    <w:rsid w:val="00176AEE"/>
    <w:rsid w:val="00176B34"/>
    <w:rsid w:val="00176B95"/>
    <w:rsid w:val="00176BA2"/>
    <w:rsid w:val="00176C36"/>
    <w:rsid w:val="00176DC0"/>
    <w:rsid w:val="00176EBA"/>
    <w:rsid w:val="00177053"/>
    <w:rsid w:val="0017737E"/>
    <w:rsid w:val="001774B4"/>
    <w:rsid w:val="00177526"/>
    <w:rsid w:val="001775A6"/>
    <w:rsid w:val="0017762C"/>
    <w:rsid w:val="00177776"/>
    <w:rsid w:val="00177780"/>
    <w:rsid w:val="0017781C"/>
    <w:rsid w:val="00177937"/>
    <w:rsid w:val="001779BF"/>
    <w:rsid w:val="001779EF"/>
    <w:rsid w:val="00177A1D"/>
    <w:rsid w:val="00177ABC"/>
    <w:rsid w:val="00177B93"/>
    <w:rsid w:val="00177C75"/>
    <w:rsid w:val="00177CE4"/>
    <w:rsid w:val="00177D04"/>
    <w:rsid w:val="00177D66"/>
    <w:rsid w:val="00177D81"/>
    <w:rsid w:val="00177E4B"/>
    <w:rsid w:val="00177EAB"/>
    <w:rsid w:val="00177F30"/>
    <w:rsid w:val="00177F9A"/>
    <w:rsid w:val="0017F641"/>
    <w:rsid w:val="0018005B"/>
    <w:rsid w:val="0018018A"/>
    <w:rsid w:val="001801D8"/>
    <w:rsid w:val="00180203"/>
    <w:rsid w:val="00180242"/>
    <w:rsid w:val="0018033A"/>
    <w:rsid w:val="0018033E"/>
    <w:rsid w:val="00180537"/>
    <w:rsid w:val="001806DB"/>
    <w:rsid w:val="001807A3"/>
    <w:rsid w:val="001807BE"/>
    <w:rsid w:val="00180855"/>
    <w:rsid w:val="00180919"/>
    <w:rsid w:val="00180BE6"/>
    <w:rsid w:val="00180C29"/>
    <w:rsid w:val="00180D3F"/>
    <w:rsid w:val="00180D9C"/>
    <w:rsid w:val="00180E3E"/>
    <w:rsid w:val="00180E54"/>
    <w:rsid w:val="00180FB6"/>
    <w:rsid w:val="00181114"/>
    <w:rsid w:val="0018111E"/>
    <w:rsid w:val="00181134"/>
    <w:rsid w:val="0018113D"/>
    <w:rsid w:val="00181190"/>
    <w:rsid w:val="00181387"/>
    <w:rsid w:val="0018145D"/>
    <w:rsid w:val="00181490"/>
    <w:rsid w:val="001814C5"/>
    <w:rsid w:val="001815B8"/>
    <w:rsid w:val="001815DB"/>
    <w:rsid w:val="001815F1"/>
    <w:rsid w:val="001815FE"/>
    <w:rsid w:val="0018160E"/>
    <w:rsid w:val="00181657"/>
    <w:rsid w:val="0018166E"/>
    <w:rsid w:val="001817AC"/>
    <w:rsid w:val="00181814"/>
    <w:rsid w:val="00181B66"/>
    <w:rsid w:val="00181BD2"/>
    <w:rsid w:val="00181C70"/>
    <w:rsid w:val="00181C90"/>
    <w:rsid w:val="00181CD1"/>
    <w:rsid w:val="00181DE3"/>
    <w:rsid w:val="00181E73"/>
    <w:rsid w:val="00181F86"/>
    <w:rsid w:val="0018203C"/>
    <w:rsid w:val="001820FC"/>
    <w:rsid w:val="00182142"/>
    <w:rsid w:val="001821D5"/>
    <w:rsid w:val="001822F4"/>
    <w:rsid w:val="00182359"/>
    <w:rsid w:val="00182398"/>
    <w:rsid w:val="001823A6"/>
    <w:rsid w:val="001823BC"/>
    <w:rsid w:val="001823C8"/>
    <w:rsid w:val="001823F4"/>
    <w:rsid w:val="0018255F"/>
    <w:rsid w:val="00182580"/>
    <w:rsid w:val="00182786"/>
    <w:rsid w:val="00182831"/>
    <w:rsid w:val="001828BB"/>
    <w:rsid w:val="001828CA"/>
    <w:rsid w:val="001828E5"/>
    <w:rsid w:val="00182969"/>
    <w:rsid w:val="00182982"/>
    <w:rsid w:val="00182A89"/>
    <w:rsid w:val="00182B7A"/>
    <w:rsid w:val="00182BC6"/>
    <w:rsid w:val="00182C0D"/>
    <w:rsid w:val="00182C16"/>
    <w:rsid w:val="00182D29"/>
    <w:rsid w:val="00182EE5"/>
    <w:rsid w:val="00182F5C"/>
    <w:rsid w:val="00183047"/>
    <w:rsid w:val="001830CF"/>
    <w:rsid w:val="001830E3"/>
    <w:rsid w:val="00183103"/>
    <w:rsid w:val="0018320C"/>
    <w:rsid w:val="00183341"/>
    <w:rsid w:val="001834C6"/>
    <w:rsid w:val="001834EC"/>
    <w:rsid w:val="00183566"/>
    <w:rsid w:val="001835EF"/>
    <w:rsid w:val="001836A5"/>
    <w:rsid w:val="00183748"/>
    <w:rsid w:val="0018375E"/>
    <w:rsid w:val="00183781"/>
    <w:rsid w:val="00183800"/>
    <w:rsid w:val="0018380E"/>
    <w:rsid w:val="00183891"/>
    <w:rsid w:val="00183894"/>
    <w:rsid w:val="001838C8"/>
    <w:rsid w:val="001839A5"/>
    <w:rsid w:val="00183AA2"/>
    <w:rsid w:val="00183AE0"/>
    <w:rsid w:val="00183B0A"/>
    <w:rsid w:val="00183B1D"/>
    <w:rsid w:val="00183CEA"/>
    <w:rsid w:val="00183D7D"/>
    <w:rsid w:val="00183E4B"/>
    <w:rsid w:val="001840E1"/>
    <w:rsid w:val="00184169"/>
    <w:rsid w:val="00184347"/>
    <w:rsid w:val="001843B2"/>
    <w:rsid w:val="0018456E"/>
    <w:rsid w:val="001845A2"/>
    <w:rsid w:val="001845AD"/>
    <w:rsid w:val="00184626"/>
    <w:rsid w:val="0018467E"/>
    <w:rsid w:val="001847A2"/>
    <w:rsid w:val="001848AA"/>
    <w:rsid w:val="00184A2E"/>
    <w:rsid w:val="00184B4A"/>
    <w:rsid w:val="00184B7F"/>
    <w:rsid w:val="00184C1A"/>
    <w:rsid w:val="00184CA2"/>
    <w:rsid w:val="00184CFE"/>
    <w:rsid w:val="00184D36"/>
    <w:rsid w:val="00184DC7"/>
    <w:rsid w:val="00184DED"/>
    <w:rsid w:val="00184F70"/>
    <w:rsid w:val="00185309"/>
    <w:rsid w:val="001853B7"/>
    <w:rsid w:val="001854CB"/>
    <w:rsid w:val="001855C7"/>
    <w:rsid w:val="001855E7"/>
    <w:rsid w:val="00185605"/>
    <w:rsid w:val="001857E9"/>
    <w:rsid w:val="00185801"/>
    <w:rsid w:val="0018584F"/>
    <w:rsid w:val="00185921"/>
    <w:rsid w:val="00185992"/>
    <w:rsid w:val="00185BA6"/>
    <w:rsid w:val="00185BAE"/>
    <w:rsid w:val="00185C56"/>
    <w:rsid w:val="00185C74"/>
    <w:rsid w:val="00185D5B"/>
    <w:rsid w:val="00185DF5"/>
    <w:rsid w:val="00185E88"/>
    <w:rsid w:val="00185EEC"/>
    <w:rsid w:val="00185F27"/>
    <w:rsid w:val="00186194"/>
    <w:rsid w:val="00186417"/>
    <w:rsid w:val="00186538"/>
    <w:rsid w:val="0018655D"/>
    <w:rsid w:val="001865E2"/>
    <w:rsid w:val="001866BD"/>
    <w:rsid w:val="001867EB"/>
    <w:rsid w:val="00186834"/>
    <w:rsid w:val="001868AD"/>
    <w:rsid w:val="001868CC"/>
    <w:rsid w:val="001868EE"/>
    <w:rsid w:val="001868F5"/>
    <w:rsid w:val="0018693F"/>
    <w:rsid w:val="001869BD"/>
    <w:rsid w:val="00186B99"/>
    <w:rsid w:val="00186C4A"/>
    <w:rsid w:val="00186E14"/>
    <w:rsid w:val="00186E31"/>
    <w:rsid w:val="00186E8C"/>
    <w:rsid w:val="00186F01"/>
    <w:rsid w:val="00186FA1"/>
    <w:rsid w:val="0018700F"/>
    <w:rsid w:val="0018704C"/>
    <w:rsid w:val="0018717A"/>
    <w:rsid w:val="0018722A"/>
    <w:rsid w:val="001872F2"/>
    <w:rsid w:val="00187314"/>
    <w:rsid w:val="00187355"/>
    <w:rsid w:val="0018757A"/>
    <w:rsid w:val="001876A1"/>
    <w:rsid w:val="001876A6"/>
    <w:rsid w:val="001876E1"/>
    <w:rsid w:val="0018772A"/>
    <w:rsid w:val="001878FE"/>
    <w:rsid w:val="00187BB5"/>
    <w:rsid w:val="00187C7C"/>
    <w:rsid w:val="00187D5F"/>
    <w:rsid w:val="00187D86"/>
    <w:rsid w:val="00187DD2"/>
    <w:rsid w:val="00187F68"/>
    <w:rsid w:val="00190001"/>
    <w:rsid w:val="00190002"/>
    <w:rsid w:val="0019046A"/>
    <w:rsid w:val="0019057E"/>
    <w:rsid w:val="00190685"/>
    <w:rsid w:val="001907FC"/>
    <w:rsid w:val="00190A66"/>
    <w:rsid w:val="00190A7C"/>
    <w:rsid w:val="00190BDF"/>
    <w:rsid w:val="00190C14"/>
    <w:rsid w:val="00190C21"/>
    <w:rsid w:val="00190C23"/>
    <w:rsid w:val="00190C48"/>
    <w:rsid w:val="00190C9E"/>
    <w:rsid w:val="00190DC2"/>
    <w:rsid w:val="00190FEE"/>
    <w:rsid w:val="00191077"/>
    <w:rsid w:val="001910A3"/>
    <w:rsid w:val="001912D4"/>
    <w:rsid w:val="001912F2"/>
    <w:rsid w:val="00191326"/>
    <w:rsid w:val="001913F1"/>
    <w:rsid w:val="00191438"/>
    <w:rsid w:val="0019156A"/>
    <w:rsid w:val="0019165E"/>
    <w:rsid w:val="001917A8"/>
    <w:rsid w:val="001918CF"/>
    <w:rsid w:val="00191949"/>
    <w:rsid w:val="00191A26"/>
    <w:rsid w:val="00191A48"/>
    <w:rsid w:val="00191A83"/>
    <w:rsid w:val="00191AA1"/>
    <w:rsid w:val="00191AA3"/>
    <w:rsid w:val="00191AF1"/>
    <w:rsid w:val="00191B0D"/>
    <w:rsid w:val="00191BD0"/>
    <w:rsid w:val="00191F96"/>
    <w:rsid w:val="00191FE7"/>
    <w:rsid w:val="00192061"/>
    <w:rsid w:val="001921CD"/>
    <w:rsid w:val="001921F7"/>
    <w:rsid w:val="00192207"/>
    <w:rsid w:val="0019227A"/>
    <w:rsid w:val="00192337"/>
    <w:rsid w:val="001924F9"/>
    <w:rsid w:val="0019253D"/>
    <w:rsid w:val="001926CE"/>
    <w:rsid w:val="00192823"/>
    <w:rsid w:val="0019299D"/>
    <w:rsid w:val="00192B18"/>
    <w:rsid w:val="00192BBC"/>
    <w:rsid w:val="00192C22"/>
    <w:rsid w:val="00192D00"/>
    <w:rsid w:val="00192D48"/>
    <w:rsid w:val="00192DAD"/>
    <w:rsid w:val="00192E39"/>
    <w:rsid w:val="00192E3A"/>
    <w:rsid w:val="00193104"/>
    <w:rsid w:val="0019311B"/>
    <w:rsid w:val="00193179"/>
    <w:rsid w:val="001932B5"/>
    <w:rsid w:val="00193320"/>
    <w:rsid w:val="0019338F"/>
    <w:rsid w:val="001934BB"/>
    <w:rsid w:val="0019350D"/>
    <w:rsid w:val="0019351B"/>
    <w:rsid w:val="00193593"/>
    <w:rsid w:val="0019363C"/>
    <w:rsid w:val="00193648"/>
    <w:rsid w:val="00193666"/>
    <w:rsid w:val="0019367C"/>
    <w:rsid w:val="0019374A"/>
    <w:rsid w:val="001937E2"/>
    <w:rsid w:val="001939F5"/>
    <w:rsid w:val="00193B06"/>
    <w:rsid w:val="00193CBC"/>
    <w:rsid w:val="00193E75"/>
    <w:rsid w:val="00193F44"/>
    <w:rsid w:val="00193F86"/>
    <w:rsid w:val="001940B6"/>
    <w:rsid w:val="001941A2"/>
    <w:rsid w:val="00194260"/>
    <w:rsid w:val="001943EA"/>
    <w:rsid w:val="0019442E"/>
    <w:rsid w:val="00194552"/>
    <w:rsid w:val="0019476E"/>
    <w:rsid w:val="0019477B"/>
    <w:rsid w:val="001947DD"/>
    <w:rsid w:val="00194932"/>
    <w:rsid w:val="0019494C"/>
    <w:rsid w:val="00194A6E"/>
    <w:rsid w:val="00194AFD"/>
    <w:rsid w:val="00194C67"/>
    <w:rsid w:val="00194C84"/>
    <w:rsid w:val="00194CA1"/>
    <w:rsid w:val="00194CEA"/>
    <w:rsid w:val="00194DF1"/>
    <w:rsid w:val="00194EFB"/>
    <w:rsid w:val="00194F02"/>
    <w:rsid w:val="00194F54"/>
    <w:rsid w:val="0019502B"/>
    <w:rsid w:val="001950BC"/>
    <w:rsid w:val="00195115"/>
    <w:rsid w:val="0019516D"/>
    <w:rsid w:val="001951A2"/>
    <w:rsid w:val="001954A9"/>
    <w:rsid w:val="00195501"/>
    <w:rsid w:val="001955DD"/>
    <w:rsid w:val="00195665"/>
    <w:rsid w:val="001956BB"/>
    <w:rsid w:val="0019570D"/>
    <w:rsid w:val="0019573E"/>
    <w:rsid w:val="00195934"/>
    <w:rsid w:val="0019594B"/>
    <w:rsid w:val="001959A0"/>
    <w:rsid w:val="00195AB7"/>
    <w:rsid w:val="00195B4A"/>
    <w:rsid w:val="00195BCE"/>
    <w:rsid w:val="00195C17"/>
    <w:rsid w:val="00195C30"/>
    <w:rsid w:val="00195D7E"/>
    <w:rsid w:val="00195F01"/>
    <w:rsid w:val="00195F22"/>
    <w:rsid w:val="00195F99"/>
    <w:rsid w:val="001960B0"/>
    <w:rsid w:val="001962EA"/>
    <w:rsid w:val="00196324"/>
    <w:rsid w:val="001964AB"/>
    <w:rsid w:val="0019659C"/>
    <w:rsid w:val="00196625"/>
    <w:rsid w:val="00196789"/>
    <w:rsid w:val="0019697B"/>
    <w:rsid w:val="00196A55"/>
    <w:rsid w:val="00196B29"/>
    <w:rsid w:val="00196BBC"/>
    <w:rsid w:val="00196E69"/>
    <w:rsid w:val="00196ED1"/>
    <w:rsid w:val="00197021"/>
    <w:rsid w:val="0019702F"/>
    <w:rsid w:val="00197034"/>
    <w:rsid w:val="001970AE"/>
    <w:rsid w:val="00197133"/>
    <w:rsid w:val="0019721C"/>
    <w:rsid w:val="00197310"/>
    <w:rsid w:val="00197423"/>
    <w:rsid w:val="00197444"/>
    <w:rsid w:val="00197453"/>
    <w:rsid w:val="00197527"/>
    <w:rsid w:val="0019754A"/>
    <w:rsid w:val="00197646"/>
    <w:rsid w:val="00197692"/>
    <w:rsid w:val="00197710"/>
    <w:rsid w:val="0019775A"/>
    <w:rsid w:val="00197842"/>
    <w:rsid w:val="001978A9"/>
    <w:rsid w:val="001978DE"/>
    <w:rsid w:val="00197929"/>
    <w:rsid w:val="0019795E"/>
    <w:rsid w:val="00197ACE"/>
    <w:rsid w:val="00197CA3"/>
    <w:rsid w:val="00197CD2"/>
    <w:rsid w:val="00197DE8"/>
    <w:rsid w:val="00197E80"/>
    <w:rsid w:val="00197F50"/>
    <w:rsid w:val="001A01C0"/>
    <w:rsid w:val="001A01E6"/>
    <w:rsid w:val="001A024B"/>
    <w:rsid w:val="001A03A4"/>
    <w:rsid w:val="001A0518"/>
    <w:rsid w:val="001A0575"/>
    <w:rsid w:val="001A05D7"/>
    <w:rsid w:val="001A05E5"/>
    <w:rsid w:val="001A067B"/>
    <w:rsid w:val="001A0746"/>
    <w:rsid w:val="001A0835"/>
    <w:rsid w:val="001A0B7A"/>
    <w:rsid w:val="001A0C79"/>
    <w:rsid w:val="001A0D17"/>
    <w:rsid w:val="001A0D6C"/>
    <w:rsid w:val="001A0E28"/>
    <w:rsid w:val="001A0EB9"/>
    <w:rsid w:val="001A1013"/>
    <w:rsid w:val="001A10BA"/>
    <w:rsid w:val="001A1125"/>
    <w:rsid w:val="001A112F"/>
    <w:rsid w:val="001A126D"/>
    <w:rsid w:val="001A1303"/>
    <w:rsid w:val="001A1392"/>
    <w:rsid w:val="001A1633"/>
    <w:rsid w:val="001A1696"/>
    <w:rsid w:val="001A172A"/>
    <w:rsid w:val="001A1889"/>
    <w:rsid w:val="001A188C"/>
    <w:rsid w:val="001A188D"/>
    <w:rsid w:val="001A198B"/>
    <w:rsid w:val="001A19EA"/>
    <w:rsid w:val="001A1A55"/>
    <w:rsid w:val="001A1A68"/>
    <w:rsid w:val="001A1A7D"/>
    <w:rsid w:val="001A1CE1"/>
    <w:rsid w:val="001A1D00"/>
    <w:rsid w:val="001A1D2B"/>
    <w:rsid w:val="001A1D60"/>
    <w:rsid w:val="001A1EFE"/>
    <w:rsid w:val="001A20BA"/>
    <w:rsid w:val="001A20D0"/>
    <w:rsid w:val="001A22BD"/>
    <w:rsid w:val="001A24E1"/>
    <w:rsid w:val="001A267A"/>
    <w:rsid w:val="001A272F"/>
    <w:rsid w:val="001A274C"/>
    <w:rsid w:val="001A2841"/>
    <w:rsid w:val="001A2925"/>
    <w:rsid w:val="001A2927"/>
    <w:rsid w:val="001A29AB"/>
    <w:rsid w:val="001A2B37"/>
    <w:rsid w:val="001A2CA1"/>
    <w:rsid w:val="001A2CAF"/>
    <w:rsid w:val="001A2D17"/>
    <w:rsid w:val="001A2D2A"/>
    <w:rsid w:val="001A2E9C"/>
    <w:rsid w:val="001A2F5F"/>
    <w:rsid w:val="001A2FEA"/>
    <w:rsid w:val="001A3025"/>
    <w:rsid w:val="001A303F"/>
    <w:rsid w:val="001A3056"/>
    <w:rsid w:val="001A3136"/>
    <w:rsid w:val="001A319F"/>
    <w:rsid w:val="001A31BD"/>
    <w:rsid w:val="001A31F0"/>
    <w:rsid w:val="001A321B"/>
    <w:rsid w:val="001A323B"/>
    <w:rsid w:val="001A3299"/>
    <w:rsid w:val="001A32B2"/>
    <w:rsid w:val="001A33D4"/>
    <w:rsid w:val="001A367A"/>
    <w:rsid w:val="001A3711"/>
    <w:rsid w:val="001A372B"/>
    <w:rsid w:val="001A37D8"/>
    <w:rsid w:val="001A3935"/>
    <w:rsid w:val="001A3B0A"/>
    <w:rsid w:val="001A3CD6"/>
    <w:rsid w:val="001A3D1B"/>
    <w:rsid w:val="001A3D7C"/>
    <w:rsid w:val="001A3EDA"/>
    <w:rsid w:val="001A3EDF"/>
    <w:rsid w:val="001A3EE2"/>
    <w:rsid w:val="001A417F"/>
    <w:rsid w:val="001A4863"/>
    <w:rsid w:val="001A4905"/>
    <w:rsid w:val="001A4A5D"/>
    <w:rsid w:val="001A4A77"/>
    <w:rsid w:val="001A4CEF"/>
    <w:rsid w:val="001A4D48"/>
    <w:rsid w:val="001A4DF8"/>
    <w:rsid w:val="001A4E14"/>
    <w:rsid w:val="001A4EFD"/>
    <w:rsid w:val="001A503B"/>
    <w:rsid w:val="001A5108"/>
    <w:rsid w:val="001A51B4"/>
    <w:rsid w:val="001A51F3"/>
    <w:rsid w:val="001A525C"/>
    <w:rsid w:val="001A5321"/>
    <w:rsid w:val="001A543C"/>
    <w:rsid w:val="001A5535"/>
    <w:rsid w:val="001A56DB"/>
    <w:rsid w:val="001A5805"/>
    <w:rsid w:val="001A58D2"/>
    <w:rsid w:val="001A591C"/>
    <w:rsid w:val="001A5950"/>
    <w:rsid w:val="001A5AD7"/>
    <w:rsid w:val="001A5B94"/>
    <w:rsid w:val="001A5C3F"/>
    <w:rsid w:val="001A5E70"/>
    <w:rsid w:val="001A6166"/>
    <w:rsid w:val="001A6215"/>
    <w:rsid w:val="001A6266"/>
    <w:rsid w:val="001A626C"/>
    <w:rsid w:val="001A636C"/>
    <w:rsid w:val="001A63AF"/>
    <w:rsid w:val="001A6486"/>
    <w:rsid w:val="001A661E"/>
    <w:rsid w:val="001A6777"/>
    <w:rsid w:val="001A68C0"/>
    <w:rsid w:val="001A693F"/>
    <w:rsid w:val="001A6A15"/>
    <w:rsid w:val="001A6C3B"/>
    <w:rsid w:val="001A6E94"/>
    <w:rsid w:val="001A6EAA"/>
    <w:rsid w:val="001A6EE7"/>
    <w:rsid w:val="001A6F3E"/>
    <w:rsid w:val="001A7089"/>
    <w:rsid w:val="001A70B8"/>
    <w:rsid w:val="001A70BB"/>
    <w:rsid w:val="001A715E"/>
    <w:rsid w:val="001A71A7"/>
    <w:rsid w:val="001A72F8"/>
    <w:rsid w:val="001A7322"/>
    <w:rsid w:val="001A751C"/>
    <w:rsid w:val="001A7631"/>
    <w:rsid w:val="001A7711"/>
    <w:rsid w:val="001A7815"/>
    <w:rsid w:val="001A789E"/>
    <w:rsid w:val="001A79C4"/>
    <w:rsid w:val="001A7A11"/>
    <w:rsid w:val="001A7BDA"/>
    <w:rsid w:val="001A7C37"/>
    <w:rsid w:val="001A7DA2"/>
    <w:rsid w:val="001A7DEE"/>
    <w:rsid w:val="001A7E13"/>
    <w:rsid w:val="001A7F33"/>
    <w:rsid w:val="001A7F9A"/>
    <w:rsid w:val="001A7F9E"/>
    <w:rsid w:val="001B0058"/>
    <w:rsid w:val="001B00CE"/>
    <w:rsid w:val="001B013A"/>
    <w:rsid w:val="001B0147"/>
    <w:rsid w:val="001B0223"/>
    <w:rsid w:val="001B024D"/>
    <w:rsid w:val="001B02CD"/>
    <w:rsid w:val="001B03AF"/>
    <w:rsid w:val="001B03D3"/>
    <w:rsid w:val="001B0448"/>
    <w:rsid w:val="001B0490"/>
    <w:rsid w:val="001B04FC"/>
    <w:rsid w:val="001B0618"/>
    <w:rsid w:val="001B06E3"/>
    <w:rsid w:val="001B070E"/>
    <w:rsid w:val="001B0713"/>
    <w:rsid w:val="001B0820"/>
    <w:rsid w:val="001B0932"/>
    <w:rsid w:val="001B098B"/>
    <w:rsid w:val="001B09F8"/>
    <w:rsid w:val="001B0AC2"/>
    <w:rsid w:val="001B0BA0"/>
    <w:rsid w:val="001B0BE3"/>
    <w:rsid w:val="001B0CA5"/>
    <w:rsid w:val="001B0D5F"/>
    <w:rsid w:val="001B0F00"/>
    <w:rsid w:val="001B0FA1"/>
    <w:rsid w:val="001B0FEA"/>
    <w:rsid w:val="001B1121"/>
    <w:rsid w:val="001B125D"/>
    <w:rsid w:val="001B1263"/>
    <w:rsid w:val="001B1280"/>
    <w:rsid w:val="001B12F5"/>
    <w:rsid w:val="001B139A"/>
    <w:rsid w:val="001B1443"/>
    <w:rsid w:val="001B14F4"/>
    <w:rsid w:val="001B175E"/>
    <w:rsid w:val="001B17C7"/>
    <w:rsid w:val="001B18B7"/>
    <w:rsid w:val="001B1961"/>
    <w:rsid w:val="001B1968"/>
    <w:rsid w:val="001B1972"/>
    <w:rsid w:val="001B1AAE"/>
    <w:rsid w:val="001B1BB0"/>
    <w:rsid w:val="001B1BBC"/>
    <w:rsid w:val="001B1BE1"/>
    <w:rsid w:val="001B1C42"/>
    <w:rsid w:val="001B1C46"/>
    <w:rsid w:val="001B1C68"/>
    <w:rsid w:val="001B208F"/>
    <w:rsid w:val="001B20C9"/>
    <w:rsid w:val="001B214D"/>
    <w:rsid w:val="001B22EB"/>
    <w:rsid w:val="001B2302"/>
    <w:rsid w:val="001B232A"/>
    <w:rsid w:val="001B2341"/>
    <w:rsid w:val="001B2350"/>
    <w:rsid w:val="001B2366"/>
    <w:rsid w:val="001B2386"/>
    <w:rsid w:val="001B2409"/>
    <w:rsid w:val="001B241D"/>
    <w:rsid w:val="001B24A4"/>
    <w:rsid w:val="001B25BA"/>
    <w:rsid w:val="001B2604"/>
    <w:rsid w:val="001B2680"/>
    <w:rsid w:val="001B278C"/>
    <w:rsid w:val="001B294C"/>
    <w:rsid w:val="001B29A3"/>
    <w:rsid w:val="001B29B8"/>
    <w:rsid w:val="001B29F7"/>
    <w:rsid w:val="001B2AD1"/>
    <w:rsid w:val="001B2B00"/>
    <w:rsid w:val="001B2B8C"/>
    <w:rsid w:val="001B2C51"/>
    <w:rsid w:val="001B2D48"/>
    <w:rsid w:val="001B2DB9"/>
    <w:rsid w:val="001B2F76"/>
    <w:rsid w:val="001B315F"/>
    <w:rsid w:val="001B3244"/>
    <w:rsid w:val="001B32C5"/>
    <w:rsid w:val="001B32DE"/>
    <w:rsid w:val="001B34D5"/>
    <w:rsid w:val="001B34F8"/>
    <w:rsid w:val="001B353C"/>
    <w:rsid w:val="001B354B"/>
    <w:rsid w:val="001B3607"/>
    <w:rsid w:val="001B36A1"/>
    <w:rsid w:val="001B3703"/>
    <w:rsid w:val="001B382D"/>
    <w:rsid w:val="001B38CE"/>
    <w:rsid w:val="001B3907"/>
    <w:rsid w:val="001B393C"/>
    <w:rsid w:val="001B39AF"/>
    <w:rsid w:val="001B3A86"/>
    <w:rsid w:val="001B3B3C"/>
    <w:rsid w:val="001B3BB7"/>
    <w:rsid w:val="001B3C0A"/>
    <w:rsid w:val="001B3C12"/>
    <w:rsid w:val="001B3C3D"/>
    <w:rsid w:val="001B3C4E"/>
    <w:rsid w:val="001B3D7F"/>
    <w:rsid w:val="001B3D8A"/>
    <w:rsid w:val="001B3E31"/>
    <w:rsid w:val="001B3EFA"/>
    <w:rsid w:val="001B400B"/>
    <w:rsid w:val="001B4288"/>
    <w:rsid w:val="001B428E"/>
    <w:rsid w:val="001B432B"/>
    <w:rsid w:val="001B45C8"/>
    <w:rsid w:val="001B45E5"/>
    <w:rsid w:val="001B45F6"/>
    <w:rsid w:val="001B46B0"/>
    <w:rsid w:val="001B46FD"/>
    <w:rsid w:val="001B4712"/>
    <w:rsid w:val="001B4827"/>
    <w:rsid w:val="001B48FD"/>
    <w:rsid w:val="001B4916"/>
    <w:rsid w:val="001B4925"/>
    <w:rsid w:val="001B49CD"/>
    <w:rsid w:val="001B4A04"/>
    <w:rsid w:val="001B4A11"/>
    <w:rsid w:val="001B4A95"/>
    <w:rsid w:val="001B4AF8"/>
    <w:rsid w:val="001B4B03"/>
    <w:rsid w:val="001B4B41"/>
    <w:rsid w:val="001B4C8A"/>
    <w:rsid w:val="001B4D9F"/>
    <w:rsid w:val="001B4DE0"/>
    <w:rsid w:val="001B4E7E"/>
    <w:rsid w:val="001B4E7F"/>
    <w:rsid w:val="001B4EA3"/>
    <w:rsid w:val="001B5120"/>
    <w:rsid w:val="001B5156"/>
    <w:rsid w:val="001B52BA"/>
    <w:rsid w:val="001B52C5"/>
    <w:rsid w:val="001B53B6"/>
    <w:rsid w:val="001B53D1"/>
    <w:rsid w:val="001B5487"/>
    <w:rsid w:val="001B5514"/>
    <w:rsid w:val="001B552A"/>
    <w:rsid w:val="001B5555"/>
    <w:rsid w:val="001B5597"/>
    <w:rsid w:val="001B57B1"/>
    <w:rsid w:val="001B5809"/>
    <w:rsid w:val="001B58E7"/>
    <w:rsid w:val="001B5A92"/>
    <w:rsid w:val="001B5BBE"/>
    <w:rsid w:val="001B5C32"/>
    <w:rsid w:val="001B5CAF"/>
    <w:rsid w:val="001B5CBB"/>
    <w:rsid w:val="001B5D1A"/>
    <w:rsid w:val="001B5D93"/>
    <w:rsid w:val="001B5DDE"/>
    <w:rsid w:val="001B5DE8"/>
    <w:rsid w:val="001B5E90"/>
    <w:rsid w:val="001B63D2"/>
    <w:rsid w:val="001B65F6"/>
    <w:rsid w:val="001B6651"/>
    <w:rsid w:val="001B6672"/>
    <w:rsid w:val="001B66A2"/>
    <w:rsid w:val="001B6724"/>
    <w:rsid w:val="001B6806"/>
    <w:rsid w:val="001B6977"/>
    <w:rsid w:val="001B6A43"/>
    <w:rsid w:val="001B6BBE"/>
    <w:rsid w:val="001B6C57"/>
    <w:rsid w:val="001B6C82"/>
    <w:rsid w:val="001B6FF7"/>
    <w:rsid w:val="001B7039"/>
    <w:rsid w:val="001B71D2"/>
    <w:rsid w:val="001B71EB"/>
    <w:rsid w:val="001B7244"/>
    <w:rsid w:val="001B72C1"/>
    <w:rsid w:val="001B7314"/>
    <w:rsid w:val="001B73DA"/>
    <w:rsid w:val="001B740B"/>
    <w:rsid w:val="001B747B"/>
    <w:rsid w:val="001B7780"/>
    <w:rsid w:val="001B78B4"/>
    <w:rsid w:val="001B7986"/>
    <w:rsid w:val="001B79C4"/>
    <w:rsid w:val="001B79D2"/>
    <w:rsid w:val="001B7BE6"/>
    <w:rsid w:val="001B7E52"/>
    <w:rsid w:val="001B7E7F"/>
    <w:rsid w:val="001B7E8C"/>
    <w:rsid w:val="001B7FC2"/>
    <w:rsid w:val="001B7FCB"/>
    <w:rsid w:val="001C00EC"/>
    <w:rsid w:val="001C0324"/>
    <w:rsid w:val="001C0353"/>
    <w:rsid w:val="001C038D"/>
    <w:rsid w:val="001C04D3"/>
    <w:rsid w:val="001C0599"/>
    <w:rsid w:val="001C06A7"/>
    <w:rsid w:val="001C0736"/>
    <w:rsid w:val="001C0832"/>
    <w:rsid w:val="001C08BA"/>
    <w:rsid w:val="001C08C0"/>
    <w:rsid w:val="001C0907"/>
    <w:rsid w:val="001C090E"/>
    <w:rsid w:val="001C0A10"/>
    <w:rsid w:val="001C0B95"/>
    <w:rsid w:val="001C0BF3"/>
    <w:rsid w:val="001C0C1D"/>
    <w:rsid w:val="001C0C66"/>
    <w:rsid w:val="001C0C74"/>
    <w:rsid w:val="001C0CA7"/>
    <w:rsid w:val="001C0CE8"/>
    <w:rsid w:val="001C0D42"/>
    <w:rsid w:val="001C0D4A"/>
    <w:rsid w:val="001C0D62"/>
    <w:rsid w:val="001C0FB8"/>
    <w:rsid w:val="001C1126"/>
    <w:rsid w:val="001C123F"/>
    <w:rsid w:val="001C13C3"/>
    <w:rsid w:val="001C1558"/>
    <w:rsid w:val="001C16EA"/>
    <w:rsid w:val="001C1847"/>
    <w:rsid w:val="001C1952"/>
    <w:rsid w:val="001C1972"/>
    <w:rsid w:val="001C19F8"/>
    <w:rsid w:val="001C1A2A"/>
    <w:rsid w:val="001C1C04"/>
    <w:rsid w:val="001C1C9A"/>
    <w:rsid w:val="001C1CBB"/>
    <w:rsid w:val="001C1D3E"/>
    <w:rsid w:val="001C1EE7"/>
    <w:rsid w:val="001C1FF3"/>
    <w:rsid w:val="001C2019"/>
    <w:rsid w:val="001C2065"/>
    <w:rsid w:val="001C209A"/>
    <w:rsid w:val="001C20A9"/>
    <w:rsid w:val="001C20E5"/>
    <w:rsid w:val="001C20F8"/>
    <w:rsid w:val="001C225D"/>
    <w:rsid w:val="001C232D"/>
    <w:rsid w:val="001C2343"/>
    <w:rsid w:val="001C244D"/>
    <w:rsid w:val="001C2562"/>
    <w:rsid w:val="001C264B"/>
    <w:rsid w:val="001C2803"/>
    <w:rsid w:val="001C2951"/>
    <w:rsid w:val="001C2B48"/>
    <w:rsid w:val="001C2C6C"/>
    <w:rsid w:val="001C2E05"/>
    <w:rsid w:val="001C2F7D"/>
    <w:rsid w:val="001C30B8"/>
    <w:rsid w:val="001C312F"/>
    <w:rsid w:val="001C326D"/>
    <w:rsid w:val="001C32DE"/>
    <w:rsid w:val="001C3344"/>
    <w:rsid w:val="001C33FC"/>
    <w:rsid w:val="001C34F4"/>
    <w:rsid w:val="001C3627"/>
    <w:rsid w:val="001C36CA"/>
    <w:rsid w:val="001C375D"/>
    <w:rsid w:val="001C37B5"/>
    <w:rsid w:val="001C37B7"/>
    <w:rsid w:val="001C38CB"/>
    <w:rsid w:val="001C3933"/>
    <w:rsid w:val="001C394F"/>
    <w:rsid w:val="001C3A06"/>
    <w:rsid w:val="001C3B56"/>
    <w:rsid w:val="001C3BD9"/>
    <w:rsid w:val="001C3C2D"/>
    <w:rsid w:val="001C3C8F"/>
    <w:rsid w:val="001C3CC8"/>
    <w:rsid w:val="001C3D17"/>
    <w:rsid w:val="001C3DCA"/>
    <w:rsid w:val="001C3E1F"/>
    <w:rsid w:val="001C3F9B"/>
    <w:rsid w:val="001C3FDC"/>
    <w:rsid w:val="001C401F"/>
    <w:rsid w:val="001C4163"/>
    <w:rsid w:val="001C42A9"/>
    <w:rsid w:val="001C457A"/>
    <w:rsid w:val="001C4619"/>
    <w:rsid w:val="001C4783"/>
    <w:rsid w:val="001C47E6"/>
    <w:rsid w:val="001C49DE"/>
    <w:rsid w:val="001C4B43"/>
    <w:rsid w:val="001C4B50"/>
    <w:rsid w:val="001C4B8E"/>
    <w:rsid w:val="001C4C67"/>
    <w:rsid w:val="001C4C9D"/>
    <w:rsid w:val="001C4D51"/>
    <w:rsid w:val="001C4E81"/>
    <w:rsid w:val="001C4EAF"/>
    <w:rsid w:val="001C4F3D"/>
    <w:rsid w:val="001C4FA3"/>
    <w:rsid w:val="001C4FF5"/>
    <w:rsid w:val="001C503C"/>
    <w:rsid w:val="001C508D"/>
    <w:rsid w:val="001C5128"/>
    <w:rsid w:val="001C5159"/>
    <w:rsid w:val="001C51FA"/>
    <w:rsid w:val="001C5240"/>
    <w:rsid w:val="001C5318"/>
    <w:rsid w:val="001C5350"/>
    <w:rsid w:val="001C557E"/>
    <w:rsid w:val="001C5671"/>
    <w:rsid w:val="001C56B2"/>
    <w:rsid w:val="001C589C"/>
    <w:rsid w:val="001C58B7"/>
    <w:rsid w:val="001C5979"/>
    <w:rsid w:val="001C59E5"/>
    <w:rsid w:val="001C5A64"/>
    <w:rsid w:val="001C5AA4"/>
    <w:rsid w:val="001C5C50"/>
    <w:rsid w:val="001C5DCC"/>
    <w:rsid w:val="001C5E0B"/>
    <w:rsid w:val="001C5EA2"/>
    <w:rsid w:val="001C5EB4"/>
    <w:rsid w:val="001C5F5A"/>
    <w:rsid w:val="001C5F6D"/>
    <w:rsid w:val="001C606D"/>
    <w:rsid w:val="001C608F"/>
    <w:rsid w:val="001C6296"/>
    <w:rsid w:val="001C639A"/>
    <w:rsid w:val="001C63F5"/>
    <w:rsid w:val="001C64BA"/>
    <w:rsid w:val="001C64F1"/>
    <w:rsid w:val="001C654F"/>
    <w:rsid w:val="001C664E"/>
    <w:rsid w:val="001C668C"/>
    <w:rsid w:val="001C66B9"/>
    <w:rsid w:val="001C6784"/>
    <w:rsid w:val="001C6795"/>
    <w:rsid w:val="001C679F"/>
    <w:rsid w:val="001C681D"/>
    <w:rsid w:val="001C6857"/>
    <w:rsid w:val="001C686D"/>
    <w:rsid w:val="001C68F6"/>
    <w:rsid w:val="001C6952"/>
    <w:rsid w:val="001C6A5C"/>
    <w:rsid w:val="001C6AF1"/>
    <w:rsid w:val="001C6B1F"/>
    <w:rsid w:val="001C6B3A"/>
    <w:rsid w:val="001C6BDE"/>
    <w:rsid w:val="001C6C0F"/>
    <w:rsid w:val="001C6D04"/>
    <w:rsid w:val="001C6D57"/>
    <w:rsid w:val="001C70A8"/>
    <w:rsid w:val="001C70C4"/>
    <w:rsid w:val="001C710A"/>
    <w:rsid w:val="001C7324"/>
    <w:rsid w:val="001C74D6"/>
    <w:rsid w:val="001C74FB"/>
    <w:rsid w:val="001C7574"/>
    <w:rsid w:val="001C7588"/>
    <w:rsid w:val="001C7617"/>
    <w:rsid w:val="001C7642"/>
    <w:rsid w:val="001C77EC"/>
    <w:rsid w:val="001C792E"/>
    <w:rsid w:val="001C7B25"/>
    <w:rsid w:val="001C7C8C"/>
    <w:rsid w:val="001C7DFA"/>
    <w:rsid w:val="001C7FD8"/>
    <w:rsid w:val="001CC50F"/>
    <w:rsid w:val="001D000E"/>
    <w:rsid w:val="001D00D0"/>
    <w:rsid w:val="001D02B5"/>
    <w:rsid w:val="001D052E"/>
    <w:rsid w:val="001D0576"/>
    <w:rsid w:val="001D062B"/>
    <w:rsid w:val="001D065B"/>
    <w:rsid w:val="001D06A2"/>
    <w:rsid w:val="001D0909"/>
    <w:rsid w:val="001D096B"/>
    <w:rsid w:val="001D0980"/>
    <w:rsid w:val="001D0984"/>
    <w:rsid w:val="001D09A7"/>
    <w:rsid w:val="001D0A0C"/>
    <w:rsid w:val="001D0A17"/>
    <w:rsid w:val="001D0B40"/>
    <w:rsid w:val="001D0BF3"/>
    <w:rsid w:val="001D0C71"/>
    <w:rsid w:val="001D0F08"/>
    <w:rsid w:val="001D0F23"/>
    <w:rsid w:val="001D105C"/>
    <w:rsid w:val="001D1155"/>
    <w:rsid w:val="001D115A"/>
    <w:rsid w:val="001D1379"/>
    <w:rsid w:val="001D138D"/>
    <w:rsid w:val="001D13B9"/>
    <w:rsid w:val="001D1554"/>
    <w:rsid w:val="001D16E8"/>
    <w:rsid w:val="001D170A"/>
    <w:rsid w:val="001D17F7"/>
    <w:rsid w:val="001D17F8"/>
    <w:rsid w:val="001D180E"/>
    <w:rsid w:val="001D1844"/>
    <w:rsid w:val="001D187F"/>
    <w:rsid w:val="001D1AAF"/>
    <w:rsid w:val="001D1AFF"/>
    <w:rsid w:val="001D1B0A"/>
    <w:rsid w:val="001D1B33"/>
    <w:rsid w:val="001D1C44"/>
    <w:rsid w:val="001D1C4C"/>
    <w:rsid w:val="001D1C81"/>
    <w:rsid w:val="001D1D37"/>
    <w:rsid w:val="001D1D45"/>
    <w:rsid w:val="001D1E2B"/>
    <w:rsid w:val="001D1E7A"/>
    <w:rsid w:val="001D1EC4"/>
    <w:rsid w:val="001D1F61"/>
    <w:rsid w:val="001D2164"/>
    <w:rsid w:val="001D2204"/>
    <w:rsid w:val="001D22E7"/>
    <w:rsid w:val="001D23C7"/>
    <w:rsid w:val="001D2401"/>
    <w:rsid w:val="001D2405"/>
    <w:rsid w:val="001D24F2"/>
    <w:rsid w:val="001D2573"/>
    <w:rsid w:val="001D28A6"/>
    <w:rsid w:val="001D28A7"/>
    <w:rsid w:val="001D2CFC"/>
    <w:rsid w:val="001D2DA1"/>
    <w:rsid w:val="001D2DBF"/>
    <w:rsid w:val="001D2E78"/>
    <w:rsid w:val="001D2EE1"/>
    <w:rsid w:val="001D3007"/>
    <w:rsid w:val="001D3018"/>
    <w:rsid w:val="001D3048"/>
    <w:rsid w:val="001D3264"/>
    <w:rsid w:val="001D331A"/>
    <w:rsid w:val="001D3331"/>
    <w:rsid w:val="001D33FB"/>
    <w:rsid w:val="001D3465"/>
    <w:rsid w:val="001D347C"/>
    <w:rsid w:val="001D34CD"/>
    <w:rsid w:val="001D3592"/>
    <w:rsid w:val="001D369A"/>
    <w:rsid w:val="001D36F0"/>
    <w:rsid w:val="001D38B6"/>
    <w:rsid w:val="001D38D3"/>
    <w:rsid w:val="001D395F"/>
    <w:rsid w:val="001D39F6"/>
    <w:rsid w:val="001D3C36"/>
    <w:rsid w:val="001D3C7A"/>
    <w:rsid w:val="001D3D61"/>
    <w:rsid w:val="001D3ED0"/>
    <w:rsid w:val="001D3F5F"/>
    <w:rsid w:val="001D3FE0"/>
    <w:rsid w:val="001D40A9"/>
    <w:rsid w:val="001D40EE"/>
    <w:rsid w:val="001D4134"/>
    <w:rsid w:val="001D4191"/>
    <w:rsid w:val="001D41AB"/>
    <w:rsid w:val="001D4298"/>
    <w:rsid w:val="001D4420"/>
    <w:rsid w:val="001D454C"/>
    <w:rsid w:val="001D4573"/>
    <w:rsid w:val="001D46BF"/>
    <w:rsid w:val="001D47AE"/>
    <w:rsid w:val="001D4813"/>
    <w:rsid w:val="001D4882"/>
    <w:rsid w:val="001D48D4"/>
    <w:rsid w:val="001D499D"/>
    <w:rsid w:val="001D49AA"/>
    <w:rsid w:val="001D4B73"/>
    <w:rsid w:val="001D4BB7"/>
    <w:rsid w:val="001D4BF1"/>
    <w:rsid w:val="001D4C61"/>
    <w:rsid w:val="001D4D6C"/>
    <w:rsid w:val="001D4DDC"/>
    <w:rsid w:val="001D4F4E"/>
    <w:rsid w:val="001D512D"/>
    <w:rsid w:val="001D5265"/>
    <w:rsid w:val="001D5270"/>
    <w:rsid w:val="001D5350"/>
    <w:rsid w:val="001D5409"/>
    <w:rsid w:val="001D540F"/>
    <w:rsid w:val="001D5704"/>
    <w:rsid w:val="001D5714"/>
    <w:rsid w:val="001D574C"/>
    <w:rsid w:val="001D5822"/>
    <w:rsid w:val="001D585F"/>
    <w:rsid w:val="001D5941"/>
    <w:rsid w:val="001D596E"/>
    <w:rsid w:val="001D5A82"/>
    <w:rsid w:val="001D5B45"/>
    <w:rsid w:val="001D5BC0"/>
    <w:rsid w:val="001D5C27"/>
    <w:rsid w:val="001D5DA3"/>
    <w:rsid w:val="001D5DC0"/>
    <w:rsid w:val="001D5E3D"/>
    <w:rsid w:val="001D5E65"/>
    <w:rsid w:val="001D602D"/>
    <w:rsid w:val="001D60A0"/>
    <w:rsid w:val="001D60D4"/>
    <w:rsid w:val="001D6171"/>
    <w:rsid w:val="001D61D2"/>
    <w:rsid w:val="001D621C"/>
    <w:rsid w:val="001D62AF"/>
    <w:rsid w:val="001D6358"/>
    <w:rsid w:val="001D63D3"/>
    <w:rsid w:val="001D6526"/>
    <w:rsid w:val="001D6663"/>
    <w:rsid w:val="001D668C"/>
    <w:rsid w:val="001D672A"/>
    <w:rsid w:val="001D6813"/>
    <w:rsid w:val="001D68E7"/>
    <w:rsid w:val="001D6A6D"/>
    <w:rsid w:val="001D6B72"/>
    <w:rsid w:val="001D6BB5"/>
    <w:rsid w:val="001D6CC4"/>
    <w:rsid w:val="001D6D7B"/>
    <w:rsid w:val="001D6E0B"/>
    <w:rsid w:val="001D70DC"/>
    <w:rsid w:val="001D7123"/>
    <w:rsid w:val="001D7150"/>
    <w:rsid w:val="001D72A1"/>
    <w:rsid w:val="001D7349"/>
    <w:rsid w:val="001D73BA"/>
    <w:rsid w:val="001D7485"/>
    <w:rsid w:val="001D75D2"/>
    <w:rsid w:val="001D7656"/>
    <w:rsid w:val="001D7730"/>
    <w:rsid w:val="001D7814"/>
    <w:rsid w:val="001D78BB"/>
    <w:rsid w:val="001D79F9"/>
    <w:rsid w:val="001D7AF3"/>
    <w:rsid w:val="001D7B20"/>
    <w:rsid w:val="001D7B3C"/>
    <w:rsid w:val="001D7B86"/>
    <w:rsid w:val="001D7D08"/>
    <w:rsid w:val="001D7D13"/>
    <w:rsid w:val="001D7D4C"/>
    <w:rsid w:val="001D7DEA"/>
    <w:rsid w:val="001D7E12"/>
    <w:rsid w:val="001D7F60"/>
    <w:rsid w:val="001DFA7F"/>
    <w:rsid w:val="001E01BE"/>
    <w:rsid w:val="001E01D6"/>
    <w:rsid w:val="001E01DE"/>
    <w:rsid w:val="001E028D"/>
    <w:rsid w:val="001E02C9"/>
    <w:rsid w:val="001E03E3"/>
    <w:rsid w:val="001E0454"/>
    <w:rsid w:val="001E0464"/>
    <w:rsid w:val="001E068A"/>
    <w:rsid w:val="001E072B"/>
    <w:rsid w:val="001E099A"/>
    <w:rsid w:val="001E09A8"/>
    <w:rsid w:val="001E09F7"/>
    <w:rsid w:val="001E0B87"/>
    <w:rsid w:val="001E0C80"/>
    <w:rsid w:val="001E0CD9"/>
    <w:rsid w:val="001E0D65"/>
    <w:rsid w:val="001E0EBA"/>
    <w:rsid w:val="001E0F74"/>
    <w:rsid w:val="001E0FE6"/>
    <w:rsid w:val="001E103A"/>
    <w:rsid w:val="001E10F2"/>
    <w:rsid w:val="001E1170"/>
    <w:rsid w:val="001E11B2"/>
    <w:rsid w:val="001E126F"/>
    <w:rsid w:val="001E1296"/>
    <w:rsid w:val="001E132F"/>
    <w:rsid w:val="001E13AB"/>
    <w:rsid w:val="001E140C"/>
    <w:rsid w:val="001E14C8"/>
    <w:rsid w:val="001E16C3"/>
    <w:rsid w:val="001E16F4"/>
    <w:rsid w:val="001E1752"/>
    <w:rsid w:val="001E18A8"/>
    <w:rsid w:val="001E1C7E"/>
    <w:rsid w:val="001E1CAA"/>
    <w:rsid w:val="001E1D77"/>
    <w:rsid w:val="001E1F2A"/>
    <w:rsid w:val="001E1F2D"/>
    <w:rsid w:val="001E1F86"/>
    <w:rsid w:val="001E1FC0"/>
    <w:rsid w:val="001E2051"/>
    <w:rsid w:val="001E20FC"/>
    <w:rsid w:val="001E227F"/>
    <w:rsid w:val="001E2682"/>
    <w:rsid w:val="001E272D"/>
    <w:rsid w:val="001E278D"/>
    <w:rsid w:val="001E2791"/>
    <w:rsid w:val="001E27F0"/>
    <w:rsid w:val="001E27F1"/>
    <w:rsid w:val="001E2968"/>
    <w:rsid w:val="001E2B26"/>
    <w:rsid w:val="001E2C12"/>
    <w:rsid w:val="001E2F41"/>
    <w:rsid w:val="001E2F61"/>
    <w:rsid w:val="001E301A"/>
    <w:rsid w:val="001E3035"/>
    <w:rsid w:val="001E311E"/>
    <w:rsid w:val="001E3135"/>
    <w:rsid w:val="001E3152"/>
    <w:rsid w:val="001E31A9"/>
    <w:rsid w:val="001E31CD"/>
    <w:rsid w:val="001E32C0"/>
    <w:rsid w:val="001E338A"/>
    <w:rsid w:val="001E339C"/>
    <w:rsid w:val="001E3440"/>
    <w:rsid w:val="001E3460"/>
    <w:rsid w:val="001E353C"/>
    <w:rsid w:val="001E3556"/>
    <w:rsid w:val="001E35E0"/>
    <w:rsid w:val="001E3645"/>
    <w:rsid w:val="001E374F"/>
    <w:rsid w:val="001E3791"/>
    <w:rsid w:val="001E390D"/>
    <w:rsid w:val="001E3A61"/>
    <w:rsid w:val="001E3A9C"/>
    <w:rsid w:val="001E3AF4"/>
    <w:rsid w:val="001E3BE5"/>
    <w:rsid w:val="001E3BF4"/>
    <w:rsid w:val="001E3CED"/>
    <w:rsid w:val="001E3DBF"/>
    <w:rsid w:val="001E3EFC"/>
    <w:rsid w:val="001E3F76"/>
    <w:rsid w:val="001E3FA0"/>
    <w:rsid w:val="001E40AA"/>
    <w:rsid w:val="001E40EF"/>
    <w:rsid w:val="001E4122"/>
    <w:rsid w:val="001E414B"/>
    <w:rsid w:val="001E41B8"/>
    <w:rsid w:val="001E4207"/>
    <w:rsid w:val="001E433A"/>
    <w:rsid w:val="001E45AC"/>
    <w:rsid w:val="001E4669"/>
    <w:rsid w:val="001E46B0"/>
    <w:rsid w:val="001E473D"/>
    <w:rsid w:val="001E47F2"/>
    <w:rsid w:val="001E4836"/>
    <w:rsid w:val="001E49ED"/>
    <w:rsid w:val="001E4A49"/>
    <w:rsid w:val="001E4A7D"/>
    <w:rsid w:val="001E4AD6"/>
    <w:rsid w:val="001E4AE7"/>
    <w:rsid w:val="001E4B49"/>
    <w:rsid w:val="001E4B5B"/>
    <w:rsid w:val="001E4B7D"/>
    <w:rsid w:val="001E4BBB"/>
    <w:rsid w:val="001E4BBD"/>
    <w:rsid w:val="001E4ED2"/>
    <w:rsid w:val="001E4EEE"/>
    <w:rsid w:val="001E50D0"/>
    <w:rsid w:val="001E50F8"/>
    <w:rsid w:val="001E5173"/>
    <w:rsid w:val="001E51DD"/>
    <w:rsid w:val="001E52DD"/>
    <w:rsid w:val="001E52FE"/>
    <w:rsid w:val="001E5328"/>
    <w:rsid w:val="001E5485"/>
    <w:rsid w:val="001E55F7"/>
    <w:rsid w:val="001E571E"/>
    <w:rsid w:val="001E5793"/>
    <w:rsid w:val="001E57B5"/>
    <w:rsid w:val="001E57E2"/>
    <w:rsid w:val="001E58A3"/>
    <w:rsid w:val="001E5988"/>
    <w:rsid w:val="001E5A3F"/>
    <w:rsid w:val="001E5D43"/>
    <w:rsid w:val="001E5FDE"/>
    <w:rsid w:val="001E5FF0"/>
    <w:rsid w:val="001E604D"/>
    <w:rsid w:val="001E64C5"/>
    <w:rsid w:val="001E6533"/>
    <w:rsid w:val="001E65F6"/>
    <w:rsid w:val="001E6674"/>
    <w:rsid w:val="001E66F7"/>
    <w:rsid w:val="001E680F"/>
    <w:rsid w:val="001E689D"/>
    <w:rsid w:val="001E6A5A"/>
    <w:rsid w:val="001E6B24"/>
    <w:rsid w:val="001E6C00"/>
    <w:rsid w:val="001E6C4D"/>
    <w:rsid w:val="001E6C64"/>
    <w:rsid w:val="001E6C65"/>
    <w:rsid w:val="001E6CCA"/>
    <w:rsid w:val="001E6CE5"/>
    <w:rsid w:val="001E6D41"/>
    <w:rsid w:val="001E6D9C"/>
    <w:rsid w:val="001E6EE0"/>
    <w:rsid w:val="001E6EF0"/>
    <w:rsid w:val="001E71F1"/>
    <w:rsid w:val="001E729D"/>
    <w:rsid w:val="001E735C"/>
    <w:rsid w:val="001E747A"/>
    <w:rsid w:val="001E7604"/>
    <w:rsid w:val="001E76DC"/>
    <w:rsid w:val="001E774E"/>
    <w:rsid w:val="001E78A5"/>
    <w:rsid w:val="001E7962"/>
    <w:rsid w:val="001E79BB"/>
    <w:rsid w:val="001E7B52"/>
    <w:rsid w:val="001E7BB5"/>
    <w:rsid w:val="001E7C7C"/>
    <w:rsid w:val="001E7DFE"/>
    <w:rsid w:val="001E7E04"/>
    <w:rsid w:val="001E7E85"/>
    <w:rsid w:val="001E7EC9"/>
    <w:rsid w:val="001E7ED8"/>
    <w:rsid w:val="001F000A"/>
    <w:rsid w:val="001F00F5"/>
    <w:rsid w:val="001F024A"/>
    <w:rsid w:val="001F024E"/>
    <w:rsid w:val="001F02F7"/>
    <w:rsid w:val="001F0488"/>
    <w:rsid w:val="001F052F"/>
    <w:rsid w:val="001F06CA"/>
    <w:rsid w:val="001F07B0"/>
    <w:rsid w:val="001F0AF2"/>
    <w:rsid w:val="001F0B0F"/>
    <w:rsid w:val="001F0BAC"/>
    <w:rsid w:val="001F0BF8"/>
    <w:rsid w:val="001F0C55"/>
    <w:rsid w:val="001F0C88"/>
    <w:rsid w:val="001F0CE4"/>
    <w:rsid w:val="001F0E19"/>
    <w:rsid w:val="001F0E24"/>
    <w:rsid w:val="001F0E69"/>
    <w:rsid w:val="001F0ECF"/>
    <w:rsid w:val="001F0F30"/>
    <w:rsid w:val="001F0F97"/>
    <w:rsid w:val="001F1005"/>
    <w:rsid w:val="001F1021"/>
    <w:rsid w:val="001F10B0"/>
    <w:rsid w:val="001F12C3"/>
    <w:rsid w:val="001F1407"/>
    <w:rsid w:val="001F1441"/>
    <w:rsid w:val="001F1562"/>
    <w:rsid w:val="001F15E9"/>
    <w:rsid w:val="001F15F3"/>
    <w:rsid w:val="001F162F"/>
    <w:rsid w:val="001F16FE"/>
    <w:rsid w:val="001F1816"/>
    <w:rsid w:val="001F18C1"/>
    <w:rsid w:val="001F1A56"/>
    <w:rsid w:val="001F1B4F"/>
    <w:rsid w:val="001F1B89"/>
    <w:rsid w:val="001F1BFF"/>
    <w:rsid w:val="001F1DB1"/>
    <w:rsid w:val="001F1E2C"/>
    <w:rsid w:val="001F1EDA"/>
    <w:rsid w:val="001F1F49"/>
    <w:rsid w:val="001F1FD0"/>
    <w:rsid w:val="001F2192"/>
    <w:rsid w:val="001F21B0"/>
    <w:rsid w:val="001F231D"/>
    <w:rsid w:val="001F2464"/>
    <w:rsid w:val="001F2597"/>
    <w:rsid w:val="001F26DD"/>
    <w:rsid w:val="001F26F1"/>
    <w:rsid w:val="001F283D"/>
    <w:rsid w:val="001F2874"/>
    <w:rsid w:val="001F28AB"/>
    <w:rsid w:val="001F28DC"/>
    <w:rsid w:val="001F2908"/>
    <w:rsid w:val="001F295F"/>
    <w:rsid w:val="001F29A4"/>
    <w:rsid w:val="001F2A70"/>
    <w:rsid w:val="001F2B8A"/>
    <w:rsid w:val="001F2BF6"/>
    <w:rsid w:val="001F2C83"/>
    <w:rsid w:val="001F2C9F"/>
    <w:rsid w:val="001F2CA3"/>
    <w:rsid w:val="001F2E85"/>
    <w:rsid w:val="001F3205"/>
    <w:rsid w:val="001F33A4"/>
    <w:rsid w:val="001F344E"/>
    <w:rsid w:val="001F344F"/>
    <w:rsid w:val="001F3475"/>
    <w:rsid w:val="001F34A6"/>
    <w:rsid w:val="001F34D7"/>
    <w:rsid w:val="001F3555"/>
    <w:rsid w:val="001F3558"/>
    <w:rsid w:val="001F35C7"/>
    <w:rsid w:val="001F36C2"/>
    <w:rsid w:val="001F375F"/>
    <w:rsid w:val="001F38A2"/>
    <w:rsid w:val="001F390B"/>
    <w:rsid w:val="001F3A88"/>
    <w:rsid w:val="001F3D04"/>
    <w:rsid w:val="001F3D6E"/>
    <w:rsid w:val="001F3DC2"/>
    <w:rsid w:val="001F3DF8"/>
    <w:rsid w:val="001F3E5C"/>
    <w:rsid w:val="001F40BF"/>
    <w:rsid w:val="001F41F2"/>
    <w:rsid w:val="001F421F"/>
    <w:rsid w:val="001F422D"/>
    <w:rsid w:val="001F4247"/>
    <w:rsid w:val="001F44F2"/>
    <w:rsid w:val="001F4694"/>
    <w:rsid w:val="001F4703"/>
    <w:rsid w:val="001F470A"/>
    <w:rsid w:val="001F4BD9"/>
    <w:rsid w:val="001F4C25"/>
    <w:rsid w:val="001F4C4C"/>
    <w:rsid w:val="001F4CB0"/>
    <w:rsid w:val="001F4DB8"/>
    <w:rsid w:val="001F4E56"/>
    <w:rsid w:val="001F4E8B"/>
    <w:rsid w:val="001F4EEE"/>
    <w:rsid w:val="001F5014"/>
    <w:rsid w:val="001F5124"/>
    <w:rsid w:val="001F51E1"/>
    <w:rsid w:val="001F51FD"/>
    <w:rsid w:val="001F5224"/>
    <w:rsid w:val="001F5306"/>
    <w:rsid w:val="001F5389"/>
    <w:rsid w:val="001F53AB"/>
    <w:rsid w:val="001F549C"/>
    <w:rsid w:val="001F54F6"/>
    <w:rsid w:val="001F5517"/>
    <w:rsid w:val="001F55FA"/>
    <w:rsid w:val="001F578B"/>
    <w:rsid w:val="001F5794"/>
    <w:rsid w:val="001F57D9"/>
    <w:rsid w:val="001F57ED"/>
    <w:rsid w:val="001F5853"/>
    <w:rsid w:val="001F58B9"/>
    <w:rsid w:val="001F5A1B"/>
    <w:rsid w:val="001F5A62"/>
    <w:rsid w:val="001F5AAB"/>
    <w:rsid w:val="001F5B5A"/>
    <w:rsid w:val="001F5B92"/>
    <w:rsid w:val="001F5C79"/>
    <w:rsid w:val="001F5E94"/>
    <w:rsid w:val="001F5F20"/>
    <w:rsid w:val="001F5F3D"/>
    <w:rsid w:val="001F5FD0"/>
    <w:rsid w:val="001F5FDA"/>
    <w:rsid w:val="001F6094"/>
    <w:rsid w:val="001F60A6"/>
    <w:rsid w:val="001F6132"/>
    <w:rsid w:val="001F6203"/>
    <w:rsid w:val="001F6343"/>
    <w:rsid w:val="001F6346"/>
    <w:rsid w:val="001F63FB"/>
    <w:rsid w:val="001F63FC"/>
    <w:rsid w:val="001F644D"/>
    <w:rsid w:val="001F64AA"/>
    <w:rsid w:val="001F64F0"/>
    <w:rsid w:val="001F656C"/>
    <w:rsid w:val="001F675D"/>
    <w:rsid w:val="001F676E"/>
    <w:rsid w:val="001F67A0"/>
    <w:rsid w:val="001F68AE"/>
    <w:rsid w:val="001F6950"/>
    <w:rsid w:val="001F6D45"/>
    <w:rsid w:val="001F6D59"/>
    <w:rsid w:val="001F6D8F"/>
    <w:rsid w:val="001F6FA0"/>
    <w:rsid w:val="001F7299"/>
    <w:rsid w:val="001F72B8"/>
    <w:rsid w:val="001F731B"/>
    <w:rsid w:val="001F735C"/>
    <w:rsid w:val="001F736D"/>
    <w:rsid w:val="001F746B"/>
    <w:rsid w:val="001F7488"/>
    <w:rsid w:val="001F74C7"/>
    <w:rsid w:val="001F76F6"/>
    <w:rsid w:val="001F7889"/>
    <w:rsid w:val="001F78B4"/>
    <w:rsid w:val="001F7918"/>
    <w:rsid w:val="001F794C"/>
    <w:rsid w:val="001F79E5"/>
    <w:rsid w:val="001F7A12"/>
    <w:rsid w:val="001F7A79"/>
    <w:rsid w:val="001F7ACC"/>
    <w:rsid w:val="001F7BCE"/>
    <w:rsid w:val="001F7BFE"/>
    <w:rsid w:val="001F7C1F"/>
    <w:rsid w:val="001F7C52"/>
    <w:rsid w:val="001F7CD2"/>
    <w:rsid w:val="001F7CF4"/>
    <w:rsid w:val="001F7CF9"/>
    <w:rsid w:val="001F7D42"/>
    <w:rsid w:val="001F7E7B"/>
    <w:rsid w:val="001F7EB7"/>
    <w:rsid w:val="001F7EE8"/>
    <w:rsid w:val="00200001"/>
    <w:rsid w:val="0020009D"/>
    <w:rsid w:val="00200129"/>
    <w:rsid w:val="00200170"/>
    <w:rsid w:val="002001DA"/>
    <w:rsid w:val="00200221"/>
    <w:rsid w:val="00200229"/>
    <w:rsid w:val="00200378"/>
    <w:rsid w:val="0020040D"/>
    <w:rsid w:val="00200492"/>
    <w:rsid w:val="0020053A"/>
    <w:rsid w:val="0020061B"/>
    <w:rsid w:val="002007C0"/>
    <w:rsid w:val="00200835"/>
    <w:rsid w:val="002008D4"/>
    <w:rsid w:val="00200A42"/>
    <w:rsid w:val="00200B40"/>
    <w:rsid w:val="00200BE0"/>
    <w:rsid w:val="00200D07"/>
    <w:rsid w:val="00200D4E"/>
    <w:rsid w:val="00200DBF"/>
    <w:rsid w:val="00200EBB"/>
    <w:rsid w:val="00200F2C"/>
    <w:rsid w:val="002010CD"/>
    <w:rsid w:val="00201123"/>
    <w:rsid w:val="0020142D"/>
    <w:rsid w:val="00201568"/>
    <w:rsid w:val="0020156E"/>
    <w:rsid w:val="00201614"/>
    <w:rsid w:val="0020162C"/>
    <w:rsid w:val="00201656"/>
    <w:rsid w:val="002016A5"/>
    <w:rsid w:val="002016CE"/>
    <w:rsid w:val="002018EA"/>
    <w:rsid w:val="002019F5"/>
    <w:rsid w:val="00201A63"/>
    <w:rsid w:val="00201ACE"/>
    <w:rsid w:val="00201ACF"/>
    <w:rsid w:val="00201B2A"/>
    <w:rsid w:val="00201C41"/>
    <w:rsid w:val="00201D25"/>
    <w:rsid w:val="00201D8C"/>
    <w:rsid w:val="00201E73"/>
    <w:rsid w:val="00201E7B"/>
    <w:rsid w:val="00201ED9"/>
    <w:rsid w:val="00201F15"/>
    <w:rsid w:val="00202118"/>
    <w:rsid w:val="00202169"/>
    <w:rsid w:val="002022A4"/>
    <w:rsid w:val="002022C1"/>
    <w:rsid w:val="00202486"/>
    <w:rsid w:val="00202488"/>
    <w:rsid w:val="00202838"/>
    <w:rsid w:val="0020284A"/>
    <w:rsid w:val="00202957"/>
    <w:rsid w:val="002029A4"/>
    <w:rsid w:val="00202A0F"/>
    <w:rsid w:val="00202A90"/>
    <w:rsid w:val="00202ABC"/>
    <w:rsid w:val="00202ACC"/>
    <w:rsid w:val="00202BC2"/>
    <w:rsid w:val="00202C34"/>
    <w:rsid w:val="00202CCC"/>
    <w:rsid w:val="00202DAF"/>
    <w:rsid w:val="00202F7D"/>
    <w:rsid w:val="002031D7"/>
    <w:rsid w:val="00203350"/>
    <w:rsid w:val="00203519"/>
    <w:rsid w:val="0020354B"/>
    <w:rsid w:val="00203552"/>
    <w:rsid w:val="0020359E"/>
    <w:rsid w:val="00203840"/>
    <w:rsid w:val="0020388D"/>
    <w:rsid w:val="00203986"/>
    <w:rsid w:val="002039D3"/>
    <w:rsid w:val="00203A59"/>
    <w:rsid w:val="00203CDE"/>
    <w:rsid w:val="00203DBA"/>
    <w:rsid w:val="00203DDE"/>
    <w:rsid w:val="00203F3C"/>
    <w:rsid w:val="00203FA7"/>
    <w:rsid w:val="0020407E"/>
    <w:rsid w:val="0020410F"/>
    <w:rsid w:val="0020413C"/>
    <w:rsid w:val="002042B9"/>
    <w:rsid w:val="002042F0"/>
    <w:rsid w:val="00204388"/>
    <w:rsid w:val="00204521"/>
    <w:rsid w:val="002045F0"/>
    <w:rsid w:val="002046D7"/>
    <w:rsid w:val="002046ED"/>
    <w:rsid w:val="00204768"/>
    <w:rsid w:val="002047B9"/>
    <w:rsid w:val="002048C6"/>
    <w:rsid w:val="002049D9"/>
    <w:rsid w:val="00204BAE"/>
    <w:rsid w:val="00204CB9"/>
    <w:rsid w:val="00204CEB"/>
    <w:rsid w:val="00204D27"/>
    <w:rsid w:val="00204E00"/>
    <w:rsid w:val="00204E59"/>
    <w:rsid w:val="00204E89"/>
    <w:rsid w:val="00204FAE"/>
    <w:rsid w:val="00205001"/>
    <w:rsid w:val="0020504D"/>
    <w:rsid w:val="00205114"/>
    <w:rsid w:val="0020516E"/>
    <w:rsid w:val="00205264"/>
    <w:rsid w:val="002052E1"/>
    <w:rsid w:val="00205306"/>
    <w:rsid w:val="00205361"/>
    <w:rsid w:val="00205381"/>
    <w:rsid w:val="002053BB"/>
    <w:rsid w:val="002053D3"/>
    <w:rsid w:val="0020546C"/>
    <w:rsid w:val="00205491"/>
    <w:rsid w:val="00205502"/>
    <w:rsid w:val="00205639"/>
    <w:rsid w:val="002056A6"/>
    <w:rsid w:val="002056FE"/>
    <w:rsid w:val="00205701"/>
    <w:rsid w:val="00205770"/>
    <w:rsid w:val="002057A8"/>
    <w:rsid w:val="002057F0"/>
    <w:rsid w:val="002058AF"/>
    <w:rsid w:val="00205A10"/>
    <w:rsid w:val="00205B0A"/>
    <w:rsid w:val="00205C1D"/>
    <w:rsid w:val="00205D76"/>
    <w:rsid w:val="00205E20"/>
    <w:rsid w:val="00205E5A"/>
    <w:rsid w:val="00205EAF"/>
    <w:rsid w:val="00205F87"/>
    <w:rsid w:val="00205FEA"/>
    <w:rsid w:val="0020603A"/>
    <w:rsid w:val="0020618A"/>
    <w:rsid w:val="0020619F"/>
    <w:rsid w:val="002063BF"/>
    <w:rsid w:val="002064B4"/>
    <w:rsid w:val="002064BB"/>
    <w:rsid w:val="00206599"/>
    <w:rsid w:val="0020662E"/>
    <w:rsid w:val="002067C0"/>
    <w:rsid w:val="00206803"/>
    <w:rsid w:val="0020693E"/>
    <w:rsid w:val="00206966"/>
    <w:rsid w:val="00206B61"/>
    <w:rsid w:val="00206CA9"/>
    <w:rsid w:val="00206EE0"/>
    <w:rsid w:val="00206F89"/>
    <w:rsid w:val="00206F9A"/>
    <w:rsid w:val="00207109"/>
    <w:rsid w:val="00207128"/>
    <w:rsid w:val="0020713D"/>
    <w:rsid w:val="0020731F"/>
    <w:rsid w:val="00207344"/>
    <w:rsid w:val="002073B2"/>
    <w:rsid w:val="002073DE"/>
    <w:rsid w:val="002073F0"/>
    <w:rsid w:val="00207441"/>
    <w:rsid w:val="00207461"/>
    <w:rsid w:val="0020749F"/>
    <w:rsid w:val="002074C6"/>
    <w:rsid w:val="002074FB"/>
    <w:rsid w:val="002075BB"/>
    <w:rsid w:val="00207641"/>
    <w:rsid w:val="002077F2"/>
    <w:rsid w:val="002079A9"/>
    <w:rsid w:val="00207A50"/>
    <w:rsid w:val="00207C5E"/>
    <w:rsid w:val="00207D56"/>
    <w:rsid w:val="00207D78"/>
    <w:rsid w:val="00207F0B"/>
    <w:rsid w:val="00207F63"/>
    <w:rsid w:val="00207FB6"/>
    <w:rsid w:val="00208FB6"/>
    <w:rsid w:val="00210022"/>
    <w:rsid w:val="0021032C"/>
    <w:rsid w:val="0021041E"/>
    <w:rsid w:val="00210519"/>
    <w:rsid w:val="00210532"/>
    <w:rsid w:val="002105C8"/>
    <w:rsid w:val="002106B7"/>
    <w:rsid w:val="002107DC"/>
    <w:rsid w:val="00210A58"/>
    <w:rsid w:val="00210B65"/>
    <w:rsid w:val="00210B9E"/>
    <w:rsid w:val="00210C8A"/>
    <w:rsid w:val="00210CAE"/>
    <w:rsid w:val="00210CDB"/>
    <w:rsid w:val="00210E04"/>
    <w:rsid w:val="00210EF3"/>
    <w:rsid w:val="00210F5E"/>
    <w:rsid w:val="00210FAA"/>
    <w:rsid w:val="00211009"/>
    <w:rsid w:val="00211154"/>
    <w:rsid w:val="0021122A"/>
    <w:rsid w:val="002112B4"/>
    <w:rsid w:val="00211461"/>
    <w:rsid w:val="002114FF"/>
    <w:rsid w:val="0021155D"/>
    <w:rsid w:val="00211699"/>
    <w:rsid w:val="0021169B"/>
    <w:rsid w:val="002116E4"/>
    <w:rsid w:val="0021183C"/>
    <w:rsid w:val="00211883"/>
    <w:rsid w:val="0021188C"/>
    <w:rsid w:val="002118B0"/>
    <w:rsid w:val="002118ED"/>
    <w:rsid w:val="0021191F"/>
    <w:rsid w:val="002119F6"/>
    <w:rsid w:val="00211A11"/>
    <w:rsid w:val="00211AFC"/>
    <w:rsid w:val="00211B1E"/>
    <w:rsid w:val="00211B72"/>
    <w:rsid w:val="00211C36"/>
    <w:rsid w:val="00211C38"/>
    <w:rsid w:val="00211CA4"/>
    <w:rsid w:val="00211CCE"/>
    <w:rsid w:val="00211D15"/>
    <w:rsid w:val="00211DE9"/>
    <w:rsid w:val="00212012"/>
    <w:rsid w:val="002120D7"/>
    <w:rsid w:val="00212227"/>
    <w:rsid w:val="002125FD"/>
    <w:rsid w:val="00212750"/>
    <w:rsid w:val="0021276A"/>
    <w:rsid w:val="002127C6"/>
    <w:rsid w:val="00212892"/>
    <w:rsid w:val="002128C6"/>
    <w:rsid w:val="002128CE"/>
    <w:rsid w:val="00212ADA"/>
    <w:rsid w:val="00212B30"/>
    <w:rsid w:val="00212CE7"/>
    <w:rsid w:val="00212D93"/>
    <w:rsid w:val="00212E28"/>
    <w:rsid w:val="00212F87"/>
    <w:rsid w:val="00212F9A"/>
    <w:rsid w:val="0021301E"/>
    <w:rsid w:val="002130BB"/>
    <w:rsid w:val="002130D8"/>
    <w:rsid w:val="00213129"/>
    <w:rsid w:val="00213320"/>
    <w:rsid w:val="002133D6"/>
    <w:rsid w:val="0021343A"/>
    <w:rsid w:val="0021349B"/>
    <w:rsid w:val="002135B8"/>
    <w:rsid w:val="00213615"/>
    <w:rsid w:val="002136BE"/>
    <w:rsid w:val="00213731"/>
    <w:rsid w:val="00213736"/>
    <w:rsid w:val="00213775"/>
    <w:rsid w:val="0021390B"/>
    <w:rsid w:val="00213A0B"/>
    <w:rsid w:val="00213A78"/>
    <w:rsid w:val="00213D7D"/>
    <w:rsid w:val="00213E95"/>
    <w:rsid w:val="00213EB3"/>
    <w:rsid w:val="00213F5A"/>
    <w:rsid w:val="00213FB3"/>
    <w:rsid w:val="0021405F"/>
    <w:rsid w:val="00214085"/>
    <w:rsid w:val="002141FD"/>
    <w:rsid w:val="00214213"/>
    <w:rsid w:val="002142AE"/>
    <w:rsid w:val="00214391"/>
    <w:rsid w:val="002149C8"/>
    <w:rsid w:val="00214C3C"/>
    <w:rsid w:val="00214E5B"/>
    <w:rsid w:val="00214EEC"/>
    <w:rsid w:val="00214F54"/>
    <w:rsid w:val="00215043"/>
    <w:rsid w:val="00215198"/>
    <w:rsid w:val="002151FE"/>
    <w:rsid w:val="0021524A"/>
    <w:rsid w:val="00215333"/>
    <w:rsid w:val="00215373"/>
    <w:rsid w:val="002153DF"/>
    <w:rsid w:val="00215460"/>
    <w:rsid w:val="00215538"/>
    <w:rsid w:val="0021566B"/>
    <w:rsid w:val="0021578B"/>
    <w:rsid w:val="002157C0"/>
    <w:rsid w:val="00215814"/>
    <w:rsid w:val="00215821"/>
    <w:rsid w:val="00215826"/>
    <w:rsid w:val="002158F5"/>
    <w:rsid w:val="00215943"/>
    <w:rsid w:val="00215950"/>
    <w:rsid w:val="002159BD"/>
    <w:rsid w:val="00215A79"/>
    <w:rsid w:val="00215AA2"/>
    <w:rsid w:val="00215B75"/>
    <w:rsid w:val="00215C65"/>
    <w:rsid w:val="00215CB9"/>
    <w:rsid w:val="00215CC7"/>
    <w:rsid w:val="00215CCE"/>
    <w:rsid w:val="00215D06"/>
    <w:rsid w:val="00215D3B"/>
    <w:rsid w:val="00215D4A"/>
    <w:rsid w:val="00215D4D"/>
    <w:rsid w:val="00215E56"/>
    <w:rsid w:val="00215EB7"/>
    <w:rsid w:val="00215F0B"/>
    <w:rsid w:val="00216058"/>
    <w:rsid w:val="0021613D"/>
    <w:rsid w:val="002161E1"/>
    <w:rsid w:val="002163ED"/>
    <w:rsid w:val="002163FC"/>
    <w:rsid w:val="00216462"/>
    <w:rsid w:val="002166BD"/>
    <w:rsid w:val="00216780"/>
    <w:rsid w:val="0021682D"/>
    <w:rsid w:val="002168C6"/>
    <w:rsid w:val="0021690C"/>
    <w:rsid w:val="00216943"/>
    <w:rsid w:val="00216A90"/>
    <w:rsid w:val="00216B22"/>
    <w:rsid w:val="00216B55"/>
    <w:rsid w:val="00216DB5"/>
    <w:rsid w:val="00216F09"/>
    <w:rsid w:val="00216F9B"/>
    <w:rsid w:val="00217021"/>
    <w:rsid w:val="00217048"/>
    <w:rsid w:val="00217056"/>
    <w:rsid w:val="002171C0"/>
    <w:rsid w:val="002172F6"/>
    <w:rsid w:val="002172FD"/>
    <w:rsid w:val="002173FE"/>
    <w:rsid w:val="0021748F"/>
    <w:rsid w:val="002174C2"/>
    <w:rsid w:val="0021772D"/>
    <w:rsid w:val="002177DB"/>
    <w:rsid w:val="00217A21"/>
    <w:rsid w:val="00217BFD"/>
    <w:rsid w:val="00217E0B"/>
    <w:rsid w:val="00217E2F"/>
    <w:rsid w:val="00217EBB"/>
    <w:rsid w:val="00220037"/>
    <w:rsid w:val="00220120"/>
    <w:rsid w:val="00220175"/>
    <w:rsid w:val="00220205"/>
    <w:rsid w:val="00220236"/>
    <w:rsid w:val="00220327"/>
    <w:rsid w:val="002205D3"/>
    <w:rsid w:val="00220734"/>
    <w:rsid w:val="002208EA"/>
    <w:rsid w:val="00220A66"/>
    <w:rsid w:val="00220C38"/>
    <w:rsid w:val="00220D2B"/>
    <w:rsid w:val="00220E1C"/>
    <w:rsid w:val="00220E5D"/>
    <w:rsid w:val="00220E7A"/>
    <w:rsid w:val="00220E90"/>
    <w:rsid w:val="00220ED5"/>
    <w:rsid w:val="00221035"/>
    <w:rsid w:val="00221110"/>
    <w:rsid w:val="0022117E"/>
    <w:rsid w:val="002211C3"/>
    <w:rsid w:val="002211D9"/>
    <w:rsid w:val="0022143D"/>
    <w:rsid w:val="00221472"/>
    <w:rsid w:val="00221616"/>
    <w:rsid w:val="002216C2"/>
    <w:rsid w:val="002216E6"/>
    <w:rsid w:val="002216FF"/>
    <w:rsid w:val="00221754"/>
    <w:rsid w:val="0022185C"/>
    <w:rsid w:val="00221969"/>
    <w:rsid w:val="002219E7"/>
    <w:rsid w:val="002219F2"/>
    <w:rsid w:val="00221A7C"/>
    <w:rsid w:val="00221B65"/>
    <w:rsid w:val="00221C10"/>
    <w:rsid w:val="00221C3A"/>
    <w:rsid w:val="00221D80"/>
    <w:rsid w:val="00221F78"/>
    <w:rsid w:val="00221F86"/>
    <w:rsid w:val="00222026"/>
    <w:rsid w:val="00222224"/>
    <w:rsid w:val="002222CB"/>
    <w:rsid w:val="00222448"/>
    <w:rsid w:val="00222472"/>
    <w:rsid w:val="002224EE"/>
    <w:rsid w:val="00222525"/>
    <w:rsid w:val="0022254B"/>
    <w:rsid w:val="002226C4"/>
    <w:rsid w:val="002226E0"/>
    <w:rsid w:val="00222714"/>
    <w:rsid w:val="002227B3"/>
    <w:rsid w:val="00222830"/>
    <w:rsid w:val="002228AC"/>
    <w:rsid w:val="00222977"/>
    <w:rsid w:val="00222A31"/>
    <w:rsid w:val="00222A45"/>
    <w:rsid w:val="00222A46"/>
    <w:rsid w:val="00222B06"/>
    <w:rsid w:val="00222BC1"/>
    <w:rsid w:val="00222BC4"/>
    <w:rsid w:val="00222C28"/>
    <w:rsid w:val="00222CFE"/>
    <w:rsid w:val="00222D27"/>
    <w:rsid w:val="00222D2C"/>
    <w:rsid w:val="00222DD2"/>
    <w:rsid w:val="00222F3E"/>
    <w:rsid w:val="00222FC2"/>
    <w:rsid w:val="00222FD8"/>
    <w:rsid w:val="002230A3"/>
    <w:rsid w:val="00223141"/>
    <w:rsid w:val="00223146"/>
    <w:rsid w:val="002231C1"/>
    <w:rsid w:val="002233F4"/>
    <w:rsid w:val="0022363B"/>
    <w:rsid w:val="002236A8"/>
    <w:rsid w:val="002237D1"/>
    <w:rsid w:val="00223899"/>
    <w:rsid w:val="002238DD"/>
    <w:rsid w:val="00223966"/>
    <w:rsid w:val="002239B5"/>
    <w:rsid w:val="00223A65"/>
    <w:rsid w:val="00223AC4"/>
    <w:rsid w:val="00223B51"/>
    <w:rsid w:val="00223B64"/>
    <w:rsid w:val="00223B8F"/>
    <w:rsid w:val="00223BBF"/>
    <w:rsid w:val="00223D70"/>
    <w:rsid w:val="00223F6A"/>
    <w:rsid w:val="00224036"/>
    <w:rsid w:val="00224120"/>
    <w:rsid w:val="002241A6"/>
    <w:rsid w:val="002241C5"/>
    <w:rsid w:val="0022427B"/>
    <w:rsid w:val="00224298"/>
    <w:rsid w:val="002242FE"/>
    <w:rsid w:val="002243C8"/>
    <w:rsid w:val="00224814"/>
    <w:rsid w:val="00224849"/>
    <w:rsid w:val="002248E2"/>
    <w:rsid w:val="002248F0"/>
    <w:rsid w:val="00224916"/>
    <w:rsid w:val="00224930"/>
    <w:rsid w:val="00224A7A"/>
    <w:rsid w:val="00224AC3"/>
    <w:rsid w:val="00224B51"/>
    <w:rsid w:val="00224BC8"/>
    <w:rsid w:val="00224ED2"/>
    <w:rsid w:val="00224F2E"/>
    <w:rsid w:val="00224F47"/>
    <w:rsid w:val="00224FF2"/>
    <w:rsid w:val="00225082"/>
    <w:rsid w:val="00225441"/>
    <w:rsid w:val="002255A9"/>
    <w:rsid w:val="00225683"/>
    <w:rsid w:val="0022574F"/>
    <w:rsid w:val="00225769"/>
    <w:rsid w:val="002257B2"/>
    <w:rsid w:val="0022594B"/>
    <w:rsid w:val="002259A6"/>
    <w:rsid w:val="002259C3"/>
    <w:rsid w:val="00225AE7"/>
    <w:rsid w:val="00225B2D"/>
    <w:rsid w:val="00225B3C"/>
    <w:rsid w:val="00225C00"/>
    <w:rsid w:val="00225C01"/>
    <w:rsid w:val="00225D62"/>
    <w:rsid w:val="00225D77"/>
    <w:rsid w:val="00225D9B"/>
    <w:rsid w:val="00225DAF"/>
    <w:rsid w:val="00225DD4"/>
    <w:rsid w:val="00225E17"/>
    <w:rsid w:val="00225FA1"/>
    <w:rsid w:val="00226078"/>
    <w:rsid w:val="002260DC"/>
    <w:rsid w:val="00226126"/>
    <w:rsid w:val="00226595"/>
    <w:rsid w:val="002265C6"/>
    <w:rsid w:val="002265E8"/>
    <w:rsid w:val="002266C2"/>
    <w:rsid w:val="0022673F"/>
    <w:rsid w:val="002267E4"/>
    <w:rsid w:val="0022687D"/>
    <w:rsid w:val="00226956"/>
    <w:rsid w:val="00226AF1"/>
    <w:rsid w:val="00226BE4"/>
    <w:rsid w:val="00226DC7"/>
    <w:rsid w:val="00226DCB"/>
    <w:rsid w:val="00226E62"/>
    <w:rsid w:val="00226FDF"/>
    <w:rsid w:val="0022705C"/>
    <w:rsid w:val="0022707A"/>
    <w:rsid w:val="002270D2"/>
    <w:rsid w:val="0022712E"/>
    <w:rsid w:val="002271E1"/>
    <w:rsid w:val="002273AF"/>
    <w:rsid w:val="00227484"/>
    <w:rsid w:val="002274B9"/>
    <w:rsid w:val="0022758B"/>
    <w:rsid w:val="00227596"/>
    <w:rsid w:val="002275F1"/>
    <w:rsid w:val="0022776D"/>
    <w:rsid w:val="0022783E"/>
    <w:rsid w:val="00227962"/>
    <w:rsid w:val="00227A44"/>
    <w:rsid w:val="00227BBB"/>
    <w:rsid w:val="00227C46"/>
    <w:rsid w:val="00227C50"/>
    <w:rsid w:val="00227CF8"/>
    <w:rsid w:val="00227D4B"/>
    <w:rsid w:val="00227EDC"/>
    <w:rsid w:val="00227F03"/>
    <w:rsid w:val="00227F9D"/>
    <w:rsid w:val="00227FC9"/>
    <w:rsid w:val="00230030"/>
    <w:rsid w:val="0023016F"/>
    <w:rsid w:val="00230184"/>
    <w:rsid w:val="00230258"/>
    <w:rsid w:val="0023034B"/>
    <w:rsid w:val="002303BF"/>
    <w:rsid w:val="002304B8"/>
    <w:rsid w:val="00230537"/>
    <w:rsid w:val="002305A6"/>
    <w:rsid w:val="0023064E"/>
    <w:rsid w:val="0023072E"/>
    <w:rsid w:val="002307AE"/>
    <w:rsid w:val="002307CE"/>
    <w:rsid w:val="002309DF"/>
    <w:rsid w:val="00230ACA"/>
    <w:rsid w:val="00230BCD"/>
    <w:rsid w:val="00230C76"/>
    <w:rsid w:val="00230E94"/>
    <w:rsid w:val="00230ED2"/>
    <w:rsid w:val="00230EF9"/>
    <w:rsid w:val="00231043"/>
    <w:rsid w:val="00231080"/>
    <w:rsid w:val="00231296"/>
    <w:rsid w:val="0023173B"/>
    <w:rsid w:val="002317D3"/>
    <w:rsid w:val="00231855"/>
    <w:rsid w:val="00231913"/>
    <w:rsid w:val="0023199D"/>
    <w:rsid w:val="002319D8"/>
    <w:rsid w:val="00231A2E"/>
    <w:rsid w:val="00231B4C"/>
    <w:rsid w:val="00231BF2"/>
    <w:rsid w:val="00231C9D"/>
    <w:rsid w:val="00231D76"/>
    <w:rsid w:val="00231DEE"/>
    <w:rsid w:val="00231EC4"/>
    <w:rsid w:val="00231F44"/>
    <w:rsid w:val="00231FC2"/>
    <w:rsid w:val="002320A9"/>
    <w:rsid w:val="002320D9"/>
    <w:rsid w:val="00232102"/>
    <w:rsid w:val="00232131"/>
    <w:rsid w:val="00232194"/>
    <w:rsid w:val="0023243C"/>
    <w:rsid w:val="00232554"/>
    <w:rsid w:val="00232675"/>
    <w:rsid w:val="00232868"/>
    <w:rsid w:val="00232995"/>
    <w:rsid w:val="00232A37"/>
    <w:rsid w:val="00232B27"/>
    <w:rsid w:val="00232B55"/>
    <w:rsid w:val="00232BA5"/>
    <w:rsid w:val="00232C22"/>
    <w:rsid w:val="00232C24"/>
    <w:rsid w:val="00232CA8"/>
    <w:rsid w:val="00232D46"/>
    <w:rsid w:val="00232D80"/>
    <w:rsid w:val="00232E16"/>
    <w:rsid w:val="00232F9F"/>
    <w:rsid w:val="00233053"/>
    <w:rsid w:val="00233137"/>
    <w:rsid w:val="0023323D"/>
    <w:rsid w:val="00233262"/>
    <w:rsid w:val="002334B2"/>
    <w:rsid w:val="0023350D"/>
    <w:rsid w:val="002335C2"/>
    <w:rsid w:val="00233642"/>
    <w:rsid w:val="002336A6"/>
    <w:rsid w:val="00233751"/>
    <w:rsid w:val="002338D4"/>
    <w:rsid w:val="002338E4"/>
    <w:rsid w:val="0023394F"/>
    <w:rsid w:val="00233C0F"/>
    <w:rsid w:val="00233C92"/>
    <w:rsid w:val="00233CD4"/>
    <w:rsid w:val="00233D65"/>
    <w:rsid w:val="00233D94"/>
    <w:rsid w:val="00233DA5"/>
    <w:rsid w:val="00233E25"/>
    <w:rsid w:val="00233E40"/>
    <w:rsid w:val="00233F7C"/>
    <w:rsid w:val="0023409B"/>
    <w:rsid w:val="00234275"/>
    <w:rsid w:val="00234289"/>
    <w:rsid w:val="002343A7"/>
    <w:rsid w:val="002343B8"/>
    <w:rsid w:val="002344BF"/>
    <w:rsid w:val="002344F9"/>
    <w:rsid w:val="002345C3"/>
    <w:rsid w:val="00234683"/>
    <w:rsid w:val="00234765"/>
    <w:rsid w:val="002348A3"/>
    <w:rsid w:val="00234B8D"/>
    <w:rsid w:val="00234BFB"/>
    <w:rsid w:val="00234D38"/>
    <w:rsid w:val="00234D69"/>
    <w:rsid w:val="00234E26"/>
    <w:rsid w:val="00234E39"/>
    <w:rsid w:val="00234EF6"/>
    <w:rsid w:val="00234F0B"/>
    <w:rsid w:val="00234FF0"/>
    <w:rsid w:val="00235028"/>
    <w:rsid w:val="002351E9"/>
    <w:rsid w:val="0023521E"/>
    <w:rsid w:val="002352E6"/>
    <w:rsid w:val="00235354"/>
    <w:rsid w:val="0023539D"/>
    <w:rsid w:val="0023563B"/>
    <w:rsid w:val="0023566C"/>
    <w:rsid w:val="00235677"/>
    <w:rsid w:val="00235678"/>
    <w:rsid w:val="002356C6"/>
    <w:rsid w:val="002357E8"/>
    <w:rsid w:val="002358CB"/>
    <w:rsid w:val="00235A43"/>
    <w:rsid w:val="00235BAF"/>
    <w:rsid w:val="00235BE0"/>
    <w:rsid w:val="00235C4C"/>
    <w:rsid w:val="00235C4E"/>
    <w:rsid w:val="00235D03"/>
    <w:rsid w:val="00235FCF"/>
    <w:rsid w:val="0023609F"/>
    <w:rsid w:val="002360EF"/>
    <w:rsid w:val="0023634E"/>
    <w:rsid w:val="002363EE"/>
    <w:rsid w:val="0023643B"/>
    <w:rsid w:val="0023652B"/>
    <w:rsid w:val="00236564"/>
    <w:rsid w:val="002365B3"/>
    <w:rsid w:val="0023664D"/>
    <w:rsid w:val="00236669"/>
    <w:rsid w:val="002366E2"/>
    <w:rsid w:val="00236730"/>
    <w:rsid w:val="002369CA"/>
    <w:rsid w:val="002369CD"/>
    <w:rsid w:val="00236BE1"/>
    <w:rsid w:val="00236CB9"/>
    <w:rsid w:val="00236EC0"/>
    <w:rsid w:val="00236EF8"/>
    <w:rsid w:val="00236FE8"/>
    <w:rsid w:val="0023732B"/>
    <w:rsid w:val="00237403"/>
    <w:rsid w:val="0023740A"/>
    <w:rsid w:val="00237436"/>
    <w:rsid w:val="002374E0"/>
    <w:rsid w:val="00237584"/>
    <w:rsid w:val="002375DA"/>
    <w:rsid w:val="00237627"/>
    <w:rsid w:val="00237671"/>
    <w:rsid w:val="002376C0"/>
    <w:rsid w:val="002377DC"/>
    <w:rsid w:val="002379D9"/>
    <w:rsid w:val="00237B4C"/>
    <w:rsid w:val="00237CCF"/>
    <w:rsid w:val="00237D85"/>
    <w:rsid w:val="00237E1A"/>
    <w:rsid w:val="00237EBF"/>
    <w:rsid w:val="00237EC0"/>
    <w:rsid w:val="00237EF4"/>
    <w:rsid w:val="00237F2E"/>
    <w:rsid w:val="00237F61"/>
    <w:rsid w:val="00237F76"/>
    <w:rsid w:val="00240047"/>
    <w:rsid w:val="0024009C"/>
    <w:rsid w:val="002400EB"/>
    <w:rsid w:val="002400F3"/>
    <w:rsid w:val="0024026E"/>
    <w:rsid w:val="002402C3"/>
    <w:rsid w:val="002402C6"/>
    <w:rsid w:val="00240377"/>
    <w:rsid w:val="00240383"/>
    <w:rsid w:val="00240467"/>
    <w:rsid w:val="00240490"/>
    <w:rsid w:val="002404D0"/>
    <w:rsid w:val="00240606"/>
    <w:rsid w:val="0024061E"/>
    <w:rsid w:val="00240731"/>
    <w:rsid w:val="002407B5"/>
    <w:rsid w:val="00240963"/>
    <w:rsid w:val="00240975"/>
    <w:rsid w:val="002409C1"/>
    <w:rsid w:val="002409C7"/>
    <w:rsid w:val="002409FB"/>
    <w:rsid w:val="00240BE9"/>
    <w:rsid w:val="00240C2F"/>
    <w:rsid w:val="00240F2F"/>
    <w:rsid w:val="00241099"/>
    <w:rsid w:val="00241155"/>
    <w:rsid w:val="00241210"/>
    <w:rsid w:val="00241379"/>
    <w:rsid w:val="002413C5"/>
    <w:rsid w:val="0024165B"/>
    <w:rsid w:val="00241671"/>
    <w:rsid w:val="002416D5"/>
    <w:rsid w:val="002417C0"/>
    <w:rsid w:val="002417CF"/>
    <w:rsid w:val="002417FC"/>
    <w:rsid w:val="00241872"/>
    <w:rsid w:val="0024195A"/>
    <w:rsid w:val="00241AC6"/>
    <w:rsid w:val="00241B98"/>
    <w:rsid w:val="00241BBF"/>
    <w:rsid w:val="00241C3F"/>
    <w:rsid w:val="00241DD7"/>
    <w:rsid w:val="00241F15"/>
    <w:rsid w:val="00241FBF"/>
    <w:rsid w:val="00242003"/>
    <w:rsid w:val="00242183"/>
    <w:rsid w:val="0024226D"/>
    <w:rsid w:val="002422A9"/>
    <w:rsid w:val="002422E0"/>
    <w:rsid w:val="00242393"/>
    <w:rsid w:val="002423A1"/>
    <w:rsid w:val="00242620"/>
    <w:rsid w:val="0024279C"/>
    <w:rsid w:val="00242884"/>
    <w:rsid w:val="00242913"/>
    <w:rsid w:val="00242952"/>
    <w:rsid w:val="00242A20"/>
    <w:rsid w:val="00242B28"/>
    <w:rsid w:val="00242D5F"/>
    <w:rsid w:val="00242DFB"/>
    <w:rsid w:val="0024308B"/>
    <w:rsid w:val="00243186"/>
    <w:rsid w:val="002432F7"/>
    <w:rsid w:val="0024379B"/>
    <w:rsid w:val="00243B42"/>
    <w:rsid w:val="00243B76"/>
    <w:rsid w:val="00243BCE"/>
    <w:rsid w:val="00243C09"/>
    <w:rsid w:val="00243CC6"/>
    <w:rsid w:val="00243CE8"/>
    <w:rsid w:val="00243D30"/>
    <w:rsid w:val="00243D91"/>
    <w:rsid w:val="00243E93"/>
    <w:rsid w:val="00243EA2"/>
    <w:rsid w:val="00243F6F"/>
    <w:rsid w:val="00243FE8"/>
    <w:rsid w:val="002440EB"/>
    <w:rsid w:val="0024419D"/>
    <w:rsid w:val="002441C8"/>
    <w:rsid w:val="002442E6"/>
    <w:rsid w:val="0024446C"/>
    <w:rsid w:val="0024447A"/>
    <w:rsid w:val="00244685"/>
    <w:rsid w:val="00244794"/>
    <w:rsid w:val="002447B7"/>
    <w:rsid w:val="00244B69"/>
    <w:rsid w:val="00244BA9"/>
    <w:rsid w:val="00244CFC"/>
    <w:rsid w:val="00244DA1"/>
    <w:rsid w:val="00244DAE"/>
    <w:rsid w:val="00244E15"/>
    <w:rsid w:val="00244EDE"/>
    <w:rsid w:val="0024506A"/>
    <w:rsid w:val="002451E2"/>
    <w:rsid w:val="00245219"/>
    <w:rsid w:val="002452C0"/>
    <w:rsid w:val="00245337"/>
    <w:rsid w:val="00245365"/>
    <w:rsid w:val="0024540B"/>
    <w:rsid w:val="00245488"/>
    <w:rsid w:val="0024567B"/>
    <w:rsid w:val="0024594E"/>
    <w:rsid w:val="00245A86"/>
    <w:rsid w:val="00245C88"/>
    <w:rsid w:val="00245D78"/>
    <w:rsid w:val="00245FA0"/>
    <w:rsid w:val="00245FC9"/>
    <w:rsid w:val="0024630A"/>
    <w:rsid w:val="00246389"/>
    <w:rsid w:val="0024643D"/>
    <w:rsid w:val="00246466"/>
    <w:rsid w:val="0024651E"/>
    <w:rsid w:val="002465D9"/>
    <w:rsid w:val="002465F2"/>
    <w:rsid w:val="00246711"/>
    <w:rsid w:val="0024671A"/>
    <w:rsid w:val="00246807"/>
    <w:rsid w:val="0024680C"/>
    <w:rsid w:val="00246821"/>
    <w:rsid w:val="00246858"/>
    <w:rsid w:val="002468A1"/>
    <w:rsid w:val="002468C5"/>
    <w:rsid w:val="00246BC4"/>
    <w:rsid w:val="00246C26"/>
    <w:rsid w:val="00246C97"/>
    <w:rsid w:val="00246CAA"/>
    <w:rsid w:val="00246E2B"/>
    <w:rsid w:val="00246E39"/>
    <w:rsid w:val="00246EF4"/>
    <w:rsid w:val="00246F8D"/>
    <w:rsid w:val="00246FB1"/>
    <w:rsid w:val="00246FCD"/>
    <w:rsid w:val="002470B1"/>
    <w:rsid w:val="00247224"/>
    <w:rsid w:val="00247243"/>
    <w:rsid w:val="0024739D"/>
    <w:rsid w:val="002474F9"/>
    <w:rsid w:val="0024758B"/>
    <w:rsid w:val="0024761B"/>
    <w:rsid w:val="002476B0"/>
    <w:rsid w:val="002476C3"/>
    <w:rsid w:val="00247955"/>
    <w:rsid w:val="00247A84"/>
    <w:rsid w:val="00247B3E"/>
    <w:rsid w:val="00247B57"/>
    <w:rsid w:val="00247BB8"/>
    <w:rsid w:val="00247C9B"/>
    <w:rsid w:val="00247D07"/>
    <w:rsid w:val="00247DA9"/>
    <w:rsid w:val="00247DB4"/>
    <w:rsid w:val="00247EB9"/>
    <w:rsid w:val="0025007B"/>
    <w:rsid w:val="002501B6"/>
    <w:rsid w:val="0025051F"/>
    <w:rsid w:val="002505C2"/>
    <w:rsid w:val="002505F2"/>
    <w:rsid w:val="0025069D"/>
    <w:rsid w:val="002506B0"/>
    <w:rsid w:val="002506C8"/>
    <w:rsid w:val="002506DB"/>
    <w:rsid w:val="00250842"/>
    <w:rsid w:val="00250931"/>
    <w:rsid w:val="002509A8"/>
    <w:rsid w:val="00250A9D"/>
    <w:rsid w:val="00250B95"/>
    <w:rsid w:val="00250BFC"/>
    <w:rsid w:val="00250C0A"/>
    <w:rsid w:val="00250DDB"/>
    <w:rsid w:val="00250E06"/>
    <w:rsid w:val="00250E6F"/>
    <w:rsid w:val="00250FA8"/>
    <w:rsid w:val="0025108A"/>
    <w:rsid w:val="002510AD"/>
    <w:rsid w:val="00251471"/>
    <w:rsid w:val="00251491"/>
    <w:rsid w:val="002514E1"/>
    <w:rsid w:val="0025161D"/>
    <w:rsid w:val="00251698"/>
    <w:rsid w:val="002519BD"/>
    <w:rsid w:val="00251A65"/>
    <w:rsid w:val="00251AD9"/>
    <w:rsid w:val="00251DE1"/>
    <w:rsid w:val="00251DEA"/>
    <w:rsid w:val="00251F6D"/>
    <w:rsid w:val="00252049"/>
    <w:rsid w:val="002520A2"/>
    <w:rsid w:val="002522D4"/>
    <w:rsid w:val="00252380"/>
    <w:rsid w:val="002525C0"/>
    <w:rsid w:val="00252602"/>
    <w:rsid w:val="0025288D"/>
    <w:rsid w:val="002529EE"/>
    <w:rsid w:val="002529FD"/>
    <w:rsid w:val="00252ABF"/>
    <w:rsid w:val="00252ADF"/>
    <w:rsid w:val="00252BE4"/>
    <w:rsid w:val="00252C76"/>
    <w:rsid w:val="00252D97"/>
    <w:rsid w:val="00252DF7"/>
    <w:rsid w:val="00252EF7"/>
    <w:rsid w:val="00252FA0"/>
    <w:rsid w:val="002530AE"/>
    <w:rsid w:val="002531F0"/>
    <w:rsid w:val="002531F7"/>
    <w:rsid w:val="00253220"/>
    <w:rsid w:val="0025324A"/>
    <w:rsid w:val="002532B0"/>
    <w:rsid w:val="002532D9"/>
    <w:rsid w:val="00253566"/>
    <w:rsid w:val="002535CD"/>
    <w:rsid w:val="00253608"/>
    <w:rsid w:val="00253811"/>
    <w:rsid w:val="002539BB"/>
    <w:rsid w:val="00253AB3"/>
    <w:rsid w:val="00253AF8"/>
    <w:rsid w:val="00253C06"/>
    <w:rsid w:val="00253D1B"/>
    <w:rsid w:val="00253E0F"/>
    <w:rsid w:val="00253EAE"/>
    <w:rsid w:val="00253F5E"/>
    <w:rsid w:val="0025418E"/>
    <w:rsid w:val="002541B0"/>
    <w:rsid w:val="002541E3"/>
    <w:rsid w:val="0025429F"/>
    <w:rsid w:val="00254382"/>
    <w:rsid w:val="00254453"/>
    <w:rsid w:val="0025499F"/>
    <w:rsid w:val="002549F7"/>
    <w:rsid w:val="00254B5A"/>
    <w:rsid w:val="00254B5F"/>
    <w:rsid w:val="00254B80"/>
    <w:rsid w:val="00254C12"/>
    <w:rsid w:val="00254C16"/>
    <w:rsid w:val="00254C2E"/>
    <w:rsid w:val="00254D37"/>
    <w:rsid w:val="00254DCB"/>
    <w:rsid w:val="00254E18"/>
    <w:rsid w:val="002551A2"/>
    <w:rsid w:val="0025532C"/>
    <w:rsid w:val="0025544F"/>
    <w:rsid w:val="002554AF"/>
    <w:rsid w:val="00255729"/>
    <w:rsid w:val="0025591F"/>
    <w:rsid w:val="00255B5E"/>
    <w:rsid w:val="00255BC9"/>
    <w:rsid w:val="00255C73"/>
    <w:rsid w:val="00255DD9"/>
    <w:rsid w:val="00255E85"/>
    <w:rsid w:val="002562E6"/>
    <w:rsid w:val="002562F0"/>
    <w:rsid w:val="00256326"/>
    <w:rsid w:val="00256340"/>
    <w:rsid w:val="002563A7"/>
    <w:rsid w:val="00256722"/>
    <w:rsid w:val="002567FF"/>
    <w:rsid w:val="0025684E"/>
    <w:rsid w:val="00256862"/>
    <w:rsid w:val="0025694E"/>
    <w:rsid w:val="0025699C"/>
    <w:rsid w:val="00256A48"/>
    <w:rsid w:val="00256A78"/>
    <w:rsid w:val="00256AC1"/>
    <w:rsid w:val="00256AE5"/>
    <w:rsid w:val="00256B4B"/>
    <w:rsid w:val="00256BDA"/>
    <w:rsid w:val="00256D28"/>
    <w:rsid w:val="00256E24"/>
    <w:rsid w:val="00256E67"/>
    <w:rsid w:val="00256FF2"/>
    <w:rsid w:val="002570AD"/>
    <w:rsid w:val="002570BC"/>
    <w:rsid w:val="002572E1"/>
    <w:rsid w:val="00257362"/>
    <w:rsid w:val="0025752D"/>
    <w:rsid w:val="0025754F"/>
    <w:rsid w:val="00257630"/>
    <w:rsid w:val="00257697"/>
    <w:rsid w:val="0025769F"/>
    <w:rsid w:val="002577A7"/>
    <w:rsid w:val="002577AE"/>
    <w:rsid w:val="0025785C"/>
    <w:rsid w:val="00257926"/>
    <w:rsid w:val="00257984"/>
    <w:rsid w:val="00257A86"/>
    <w:rsid w:val="00257B5A"/>
    <w:rsid w:val="00257C12"/>
    <w:rsid w:val="00257DBA"/>
    <w:rsid w:val="00257E1C"/>
    <w:rsid w:val="00257E9E"/>
    <w:rsid w:val="00257ECC"/>
    <w:rsid w:val="00257EEF"/>
    <w:rsid w:val="0026005F"/>
    <w:rsid w:val="002601AF"/>
    <w:rsid w:val="002601B5"/>
    <w:rsid w:val="0026022E"/>
    <w:rsid w:val="00260286"/>
    <w:rsid w:val="002602E7"/>
    <w:rsid w:val="00260311"/>
    <w:rsid w:val="002603E0"/>
    <w:rsid w:val="002603ED"/>
    <w:rsid w:val="00260641"/>
    <w:rsid w:val="002606E4"/>
    <w:rsid w:val="0026073C"/>
    <w:rsid w:val="00260873"/>
    <w:rsid w:val="0026088A"/>
    <w:rsid w:val="002608FC"/>
    <w:rsid w:val="00260A0E"/>
    <w:rsid w:val="00260A26"/>
    <w:rsid w:val="00260A93"/>
    <w:rsid w:val="00260C06"/>
    <w:rsid w:val="00260CF9"/>
    <w:rsid w:val="00260E7A"/>
    <w:rsid w:val="00260FB0"/>
    <w:rsid w:val="00261030"/>
    <w:rsid w:val="0026107A"/>
    <w:rsid w:val="002611DB"/>
    <w:rsid w:val="00261213"/>
    <w:rsid w:val="002612AB"/>
    <w:rsid w:val="0026130A"/>
    <w:rsid w:val="0026132D"/>
    <w:rsid w:val="0026135C"/>
    <w:rsid w:val="002613AF"/>
    <w:rsid w:val="002613D2"/>
    <w:rsid w:val="002614CC"/>
    <w:rsid w:val="00261594"/>
    <w:rsid w:val="002615E2"/>
    <w:rsid w:val="0026170B"/>
    <w:rsid w:val="002619C8"/>
    <w:rsid w:val="00261A92"/>
    <w:rsid w:val="00261B41"/>
    <w:rsid w:val="00261B72"/>
    <w:rsid w:val="00261B74"/>
    <w:rsid w:val="00261BD3"/>
    <w:rsid w:val="00261C0E"/>
    <w:rsid w:val="00261C6C"/>
    <w:rsid w:val="00261D92"/>
    <w:rsid w:val="00261E57"/>
    <w:rsid w:val="00261F18"/>
    <w:rsid w:val="00261F5A"/>
    <w:rsid w:val="0026212A"/>
    <w:rsid w:val="0026216E"/>
    <w:rsid w:val="00262233"/>
    <w:rsid w:val="002622D4"/>
    <w:rsid w:val="00262372"/>
    <w:rsid w:val="00262493"/>
    <w:rsid w:val="0026259A"/>
    <w:rsid w:val="00262634"/>
    <w:rsid w:val="00262701"/>
    <w:rsid w:val="0026295B"/>
    <w:rsid w:val="002629F1"/>
    <w:rsid w:val="00262AAF"/>
    <w:rsid w:val="00262AC9"/>
    <w:rsid w:val="00262C1B"/>
    <w:rsid w:val="00262EF1"/>
    <w:rsid w:val="00262FE4"/>
    <w:rsid w:val="0026304A"/>
    <w:rsid w:val="00263156"/>
    <w:rsid w:val="00263312"/>
    <w:rsid w:val="002633B1"/>
    <w:rsid w:val="00263633"/>
    <w:rsid w:val="00263759"/>
    <w:rsid w:val="00263777"/>
    <w:rsid w:val="002638A2"/>
    <w:rsid w:val="00263AFF"/>
    <w:rsid w:val="00263B20"/>
    <w:rsid w:val="00263BC5"/>
    <w:rsid w:val="00263CD8"/>
    <w:rsid w:val="0026400D"/>
    <w:rsid w:val="0026413D"/>
    <w:rsid w:val="002641D5"/>
    <w:rsid w:val="00264328"/>
    <w:rsid w:val="002643B1"/>
    <w:rsid w:val="002643FA"/>
    <w:rsid w:val="0026455B"/>
    <w:rsid w:val="00264671"/>
    <w:rsid w:val="002646D6"/>
    <w:rsid w:val="0026483B"/>
    <w:rsid w:val="00264883"/>
    <w:rsid w:val="002648A7"/>
    <w:rsid w:val="00264A64"/>
    <w:rsid w:val="00264AD8"/>
    <w:rsid w:val="00264AE3"/>
    <w:rsid w:val="00264B18"/>
    <w:rsid w:val="00264BE6"/>
    <w:rsid w:val="00264C45"/>
    <w:rsid w:val="00264C79"/>
    <w:rsid w:val="00264EA0"/>
    <w:rsid w:val="00264EAA"/>
    <w:rsid w:val="00264ECE"/>
    <w:rsid w:val="0026506B"/>
    <w:rsid w:val="00265122"/>
    <w:rsid w:val="0026515C"/>
    <w:rsid w:val="002651A2"/>
    <w:rsid w:val="00265214"/>
    <w:rsid w:val="0026524F"/>
    <w:rsid w:val="002652A2"/>
    <w:rsid w:val="002652E2"/>
    <w:rsid w:val="002652F1"/>
    <w:rsid w:val="002653D7"/>
    <w:rsid w:val="0026549C"/>
    <w:rsid w:val="002654DB"/>
    <w:rsid w:val="002654DE"/>
    <w:rsid w:val="00265764"/>
    <w:rsid w:val="00265780"/>
    <w:rsid w:val="002657B1"/>
    <w:rsid w:val="002657C6"/>
    <w:rsid w:val="0026582A"/>
    <w:rsid w:val="00265868"/>
    <w:rsid w:val="002658A2"/>
    <w:rsid w:val="002658C1"/>
    <w:rsid w:val="002659EA"/>
    <w:rsid w:val="00265A51"/>
    <w:rsid w:val="00265CD0"/>
    <w:rsid w:val="00265F5A"/>
    <w:rsid w:val="0026607F"/>
    <w:rsid w:val="0026615A"/>
    <w:rsid w:val="002661C1"/>
    <w:rsid w:val="00266220"/>
    <w:rsid w:val="0026627C"/>
    <w:rsid w:val="002663BA"/>
    <w:rsid w:val="002663D8"/>
    <w:rsid w:val="002665CC"/>
    <w:rsid w:val="002665DF"/>
    <w:rsid w:val="00266672"/>
    <w:rsid w:val="0026678E"/>
    <w:rsid w:val="002668E6"/>
    <w:rsid w:val="00266940"/>
    <w:rsid w:val="00266A20"/>
    <w:rsid w:val="00266A56"/>
    <w:rsid w:val="00266B2D"/>
    <w:rsid w:val="00266B9E"/>
    <w:rsid w:val="00266BCC"/>
    <w:rsid w:val="00266CAE"/>
    <w:rsid w:val="00266DA9"/>
    <w:rsid w:val="00266F59"/>
    <w:rsid w:val="002670B2"/>
    <w:rsid w:val="002671BA"/>
    <w:rsid w:val="0026722D"/>
    <w:rsid w:val="0026733D"/>
    <w:rsid w:val="002673A8"/>
    <w:rsid w:val="00267436"/>
    <w:rsid w:val="002675BB"/>
    <w:rsid w:val="0026764C"/>
    <w:rsid w:val="00267729"/>
    <w:rsid w:val="002678EE"/>
    <w:rsid w:val="00267994"/>
    <w:rsid w:val="00267995"/>
    <w:rsid w:val="002679C7"/>
    <w:rsid w:val="00267B27"/>
    <w:rsid w:val="00267B87"/>
    <w:rsid w:val="00267C04"/>
    <w:rsid w:val="00267C10"/>
    <w:rsid w:val="00267D8A"/>
    <w:rsid w:val="00267D91"/>
    <w:rsid w:val="00267DBE"/>
    <w:rsid w:val="00267DF3"/>
    <w:rsid w:val="00267F29"/>
    <w:rsid w:val="00267F43"/>
    <w:rsid w:val="00270086"/>
    <w:rsid w:val="0027012C"/>
    <w:rsid w:val="0027027F"/>
    <w:rsid w:val="00270454"/>
    <w:rsid w:val="002704F5"/>
    <w:rsid w:val="0027052B"/>
    <w:rsid w:val="002706B7"/>
    <w:rsid w:val="002707AC"/>
    <w:rsid w:val="00270901"/>
    <w:rsid w:val="00270A5D"/>
    <w:rsid w:val="00270B59"/>
    <w:rsid w:val="00270CA5"/>
    <w:rsid w:val="00270CBD"/>
    <w:rsid w:val="00270DE8"/>
    <w:rsid w:val="00270E1C"/>
    <w:rsid w:val="00270F71"/>
    <w:rsid w:val="00271081"/>
    <w:rsid w:val="002711E7"/>
    <w:rsid w:val="002711F3"/>
    <w:rsid w:val="002712A9"/>
    <w:rsid w:val="002712C2"/>
    <w:rsid w:val="00271693"/>
    <w:rsid w:val="002716AA"/>
    <w:rsid w:val="002716B2"/>
    <w:rsid w:val="002718D6"/>
    <w:rsid w:val="0027192B"/>
    <w:rsid w:val="00271977"/>
    <w:rsid w:val="00271A2F"/>
    <w:rsid w:val="00271A77"/>
    <w:rsid w:val="00271C84"/>
    <w:rsid w:val="00271CFF"/>
    <w:rsid w:val="00271D8D"/>
    <w:rsid w:val="00271E95"/>
    <w:rsid w:val="00271F26"/>
    <w:rsid w:val="00271F6C"/>
    <w:rsid w:val="00271FBB"/>
    <w:rsid w:val="0027202E"/>
    <w:rsid w:val="00272165"/>
    <w:rsid w:val="002721FB"/>
    <w:rsid w:val="00272217"/>
    <w:rsid w:val="00272240"/>
    <w:rsid w:val="00272322"/>
    <w:rsid w:val="00272581"/>
    <w:rsid w:val="00272607"/>
    <w:rsid w:val="0027261C"/>
    <w:rsid w:val="00272724"/>
    <w:rsid w:val="00272A56"/>
    <w:rsid w:val="00272C63"/>
    <w:rsid w:val="00272DAC"/>
    <w:rsid w:val="00272F9F"/>
    <w:rsid w:val="00272FAC"/>
    <w:rsid w:val="0027316A"/>
    <w:rsid w:val="002731C8"/>
    <w:rsid w:val="002731F8"/>
    <w:rsid w:val="0027330D"/>
    <w:rsid w:val="002733A6"/>
    <w:rsid w:val="00273441"/>
    <w:rsid w:val="00273483"/>
    <w:rsid w:val="002735F1"/>
    <w:rsid w:val="00273655"/>
    <w:rsid w:val="00273683"/>
    <w:rsid w:val="00273779"/>
    <w:rsid w:val="00273816"/>
    <w:rsid w:val="00273986"/>
    <w:rsid w:val="002739A9"/>
    <w:rsid w:val="002739FF"/>
    <w:rsid w:val="00273A64"/>
    <w:rsid w:val="00273AE6"/>
    <w:rsid w:val="00273AEB"/>
    <w:rsid w:val="00273B01"/>
    <w:rsid w:val="00273D62"/>
    <w:rsid w:val="00273F09"/>
    <w:rsid w:val="00273FC3"/>
    <w:rsid w:val="00274073"/>
    <w:rsid w:val="00274084"/>
    <w:rsid w:val="002740F6"/>
    <w:rsid w:val="00274111"/>
    <w:rsid w:val="00274223"/>
    <w:rsid w:val="0027431F"/>
    <w:rsid w:val="0027443D"/>
    <w:rsid w:val="002744B2"/>
    <w:rsid w:val="002746BC"/>
    <w:rsid w:val="002747C3"/>
    <w:rsid w:val="00274827"/>
    <w:rsid w:val="0027482A"/>
    <w:rsid w:val="0027493B"/>
    <w:rsid w:val="00274A4D"/>
    <w:rsid w:val="00274B2C"/>
    <w:rsid w:val="00274B62"/>
    <w:rsid w:val="00274B98"/>
    <w:rsid w:val="00274BDB"/>
    <w:rsid w:val="00274C22"/>
    <w:rsid w:val="00274C98"/>
    <w:rsid w:val="00274D9B"/>
    <w:rsid w:val="00274DDE"/>
    <w:rsid w:val="00274E6E"/>
    <w:rsid w:val="00274E91"/>
    <w:rsid w:val="00274EE4"/>
    <w:rsid w:val="00274F51"/>
    <w:rsid w:val="00274FD1"/>
    <w:rsid w:val="00275130"/>
    <w:rsid w:val="002751B9"/>
    <w:rsid w:val="0027538B"/>
    <w:rsid w:val="002753B0"/>
    <w:rsid w:val="002754DB"/>
    <w:rsid w:val="002754FF"/>
    <w:rsid w:val="00275560"/>
    <w:rsid w:val="0027584E"/>
    <w:rsid w:val="00275912"/>
    <w:rsid w:val="00275A15"/>
    <w:rsid w:val="00275A36"/>
    <w:rsid w:val="00275A6C"/>
    <w:rsid w:val="00275A73"/>
    <w:rsid w:val="00275B39"/>
    <w:rsid w:val="00275B7E"/>
    <w:rsid w:val="00275BC4"/>
    <w:rsid w:val="00275D58"/>
    <w:rsid w:val="00275F60"/>
    <w:rsid w:val="00275F94"/>
    <w:rsid w:val="00275FF4"/>
    <w:rsid w:val="00276137"/>
    <w:rsid w:val="0027614E"/>
    <w:rsid w:val="002761BE"/>
    <w:rsid w:val="00276576"/>
    <w:rsid w:val="002765AA"/>
    <w:rsid w:val="00276748"/>
    <w:rsid w:val="00276805"/>
    <w:rsid w:val="002768A8"/>
    <w:rsid w:val="00276999"/>
    <w:rsid w:val="00276C1C"/>
    <w:rsid w:val="00276C78"/>
    <w:rsid w:val="00276C9C"/>
    <w:rsid w:val="00276CFF"/>
    <w:rsid w:val="00276D2D"/>
    <w:rsid w:val="00276D59"/>
    <w:rsid w:val="00276ED3"/>
    <w:rsid w:val="00276F30"/>
    <w:rsid w:val="00276F49"/>
    <w:rsid w:val="00276F5D"/>
    <w:rsid w:val="002770AB"/>
    <w:rsid w:val="00277228"/>
    <w:rsid w:val="002772A2"/>
    <w:rsid w:val="002772E7"/>
    <w:rsid w:val="00277350"/>
    <w:rsid w:val="00277503"/>
    <w:rsid w:val="00277579"/>
    <w:rsid w:val="002775B5"/>
    <w:rsid w:val="002776FD"/>
    <w:rsid w:val="00277834"/>
    <w:rsid w:val="00277852"/>
    <w:rsid w:val="002778EC"/>
    <w:rsid w:val="0027796C"/>
    <w:rsid w:val="002779D8"/>
    <w:rsid w:val="00277A45"/>
    <w:rsid w:val="00277BB0"/>
    <w:rsid w:val="00277C06"/>
    <w:rsid w:val="00277C31"/>
    <w:rsid w:val="00277C39"/>
    <w:rsid w:val="00277C4A"/>
    <w:rsid w:val="00277EC4"/>
    <w:rsid w:val="00277ED7"/>
    <w:rsid w:val="0028001A"/>
    <w:rsid w:val="002801C5"/>
    <w:rsid w:val="0028023B"/>
    <w:rsid w:val="002802A9"/>
    <w:rsid w:val="00280322"/>
    <w:rsid w:val="00280390"/>
    <w:rsid w:val="00280438"/>
    <w:rsid w:val="00280488"/>
    <w:rsid w:val="002804B8"/>
    <w:rsid w:val="00280759"/>
    <w:rsid w:val="002807AD"/>
    <w:rsid w:val="002807BF"/>
    <w:rsid w:val="0028086A"/>
    <w:rsid w:val="00280A24"/>
    <w:rsid w:val="00280B73"/>
    <w:rsid w:val="00280C50"/>
    <w:rsid w:val="00280DB2"/>
    <w:rsid w:val="00280E70"/>
    <w:rsid w:val="00280E81"/>
    <w:rsid w:val="00280F09"/>
    <w:rsid w:val="002810A8"/>
    <w:rsid w:val="00281166"/>
    <w:rsid w:val="002811B2"/>
    <w:rsid w:val="00281238"/>
    <w:rsid w:val="00281239"/>
    <w:rsid w:val="00281313"/>
    <w:rsid w:val="002813FD"/>
    <w:rsid w:val="002814D0"/>
    <w:rsid w:val="0028164E"/>
    <w:rsid w:val="002816AF"/>
    <w:rsid w:val="002816F2"/>
    <w:rsid w:val="00281703"/>
    <w:rsid w:val="00281735"/>
    <w:rsid w:val="00281745"/>
    <w:rsid w:val="0028180E"/>
    <w:rsid w:val="0028187F"/>
    <w:rsid w:val="002818AC"/>
    <w:rsid w:val="0028193D"/>
    <w:rsid w:val="002819D8"/>
    <w:rsid w:val="00281CA5"/>
    <w:rsid w:val="00281E37"/>
    <w:rsid w:val="00281E3C"/>
    <w:rsid w:val="00281E7E"/>
    <w:rsid w:val="00281F61"/>
    <w:rsid w:val="00281FD5"/>
    <w:rsid w:val="0028215F"/>
    <w:rsid w:val="00282206"/>
    <w:rsid w:val="00282244"/>
    <w:rsid w:val="00282399"/>
    <w:rsid w:val="00282413"/>
    <w:rsid w:val="00282451"/>
    <w:rsid w:val="00282501"/>
    <w:rsid w:val="002825B3"/>
    <w:rsid w:val="002826F2"/>
    <w:rsid w:val="00282702"/>
    <w:rsid w:val="00282770"/>
    <w:rsid w:val="0028280A"/>
    <w:rsid w:val="0028288F"/>
    <w:rsid w:val="002828BA"/>
    <w:rsid w:val="00282B49"/>
    <w:rsid w:val="00282CA7"/>
    <w:rsid w:val="00282D16"/>
    <w:rsid w:val="00282DA3"/>
    <w:rsid w:val="00282EDC"/>
    <w:rsid w:val="00282F9C"/>
    <w:rsid w:val="00283166"/>
    <w:rsid w:val="00283320"/>
    <w:rsid w:val="00283785"/>
    <w:rsid w:val="00283837"/>
    <w:rsid w:val="002838B2"/>
    <w:rsid w:val="00283AE3"/>
    <w:rsid w:val="00283B11"/>
    <w:rsid w:val="00283B1B"/>
    <w:rsid w:val="00283B1F"/>
    <w:rsid w:val="00283BC7"/>
    <w:rsid w:val="00283BFE"/>
    <w:rsid w:val="00283D2E"/>
    <w:rsid w:val="00283D3E"/>
    <w:rsid w:val="00283DC3"/>
    <w:rsid w:val="00283F6F"/>
    <w:rsid w:val="00283FFA"/>
    <w:rsid w:val="0028405C"/>
    <w:rsid w:val="00284064"/>
    <w:rsid w:val="00284091"/>
    <w:rsid w:val="002841DB"/>
    <w:rsid w:val="00284218"/>
    <w:rsid w:val="00284399"/>
    <w:rsid w:val="002844D1"/>
    <w:rsid w:val="002844F3"/>
    <w:rsid w:val="00284580"/>
    <w:rsid w:val="00284617"/>
    <w:rsid w:val="00284787"/>
    <w:rsid w:val="002847B9"/>
    <w:rsid w:val="00284821"/>
    <w:rsid w:val="002848D6"/>
    <w:rsid w:val="002848DB"/>
    <w:rsid w:val="002849C3"/>
    <w:rsid w:val="002849D0"/>
    <w:rsid w:val="00284CF8"/>
    <w:rsid w:val="00284D04"/>
    <w:rsid w:val="00284E39"/>
    <w:rsid w:val="00284E3C"/>
    <w:rsid w:val="00284F3C"/>
    <w:rsid w:val="00284F47"/>
    <w:rsid w:val="00284FCE"/>
    <w:rsid w:val="00285093"/>
    <w:rsid w:val="002850A1"/>
    <w:rsid w:val="00285189"/>
    <w:rsid w:val="002851E3"/>
    <w:rsid w:val="00285451"/>
    <w:rsid w:val="0028545D"/>
    <w:rsid w:val="00285536"/>
    <w:rsid w:val="00285539"/>
    <w:rsid w:val="0028562A"/>
    <w:rsid w:val="002856DD"/>
    <w:rsid w:val="002856E6"/>
    <w:rsid w:val="00285716"/>
    <w:rsid w:val="002857A4"/>
    <w:rsid w:val="002858D7"/>
    <w:rsid w:val="002859CD"/>
    <w:rsid w:val="00285A64"/>
    <w:rsid w:val="00285B00"/>
    <w:rsid w:val="00285B78"/>
    <w:rsid w:val="00285BD4"/>
    <w:rsid w:val="00285CF8"/>
    <w:rsid w:val="00285D18"/>
    <w:rsid w:val="00285D75"/>
    <w:rsid w:val="00285DBC"/>
    <w:rsid w:val="00285EBA"/>
    <w:rsid w:val="00285F59"/>
    <w:rsid w:val="0028619A"/>
    <w:rsid w:val="002861AB"/>
    <w:rsid w:val="002861D4"/>
    <w:rsid w:val="0028620E"/>
    <w:rsid w:val="00286247"/>
    <w:rsid w:val="00286255"/>
    <w:rsid w:val="00286395"/>
    <w:rsid w:val="00286617"/>
    <w:rsid w:val="00286678"/>
    <w:rsid w:val="002866A2"/>
    <w:rsid w:val="00286801"/>
    <w:rsid w:val="0028680B"/>
    <w:rsid w:val="00286887"/>
    <w:rsid w:val="00286A6E"/>
    <w:rsid w:val="00286A98"/>
    <w:rsid w:val="00286B38"/>
    <w:rsid w:val="00286C30"/>
    <w:rsid w:val="00286E09"/>
    <w:rsid w:val="00286E4C"/>
    <w:rsid w:val="00286EBD"/>
    <w:rsid w:val="00286ECF"/>
    <w:rsid w:val="00286F7E"/>
    <w:rsid w:val="00287007"/>
    <w:rsid w:val="0028716F"/>
    <w:rsid w:val="002871B4"/>
    <w:rsid w:val="002872FB"/>
    <w:rsid w:val="002873F9"/>
    <w:rsid w:val="00287544"/>
    <w:rsid w:val="00287644"/>
    <w:rsid w:val="00287651"/>
    <w:rsid w:val="00287795"/>
    <w:rsid w:val="002877B5"/>
    <w:rsid w:val="00287831"/>
    <w:rsid w:val="0028786F"/>
    <w:rsid w:val="002878E7"/>
    <w:rsid w:val="002879E4"/>
    <w:rsid w:val="00287C0C"/>
    <w:rsid w:val="00287C80"/>
    <w:rsid w:val="00287CAC"/>
    <w:rsid w:val="00287DCA"/>
    <w:rsid w:val="00287E94"/>
    <w:rsid w:val="00287EF6"/>
    <w:rsid w:val="00287F69"/>
    <w:rsid w:val="0029001E"/>
    <w:rsid w:val="00290070"/>
    <w:rsid w:val="002900FE"/>
    <w:rsid w:val="002901CB"/>
    <w:rsid w:val="00290201"/>
    <w:rsid w:val="0029026E"/>
    <w:rsid w:val="002902FA"/>
    <w:rsid w:val="0029031D"/>
    <w:rsid w:val="00290391"/>
    <w:rsid w:val="00290510"/>
    <w:rsid w:val="00290555"/>
    <w:rsid w:val="0029060B"/>
    <w:rsid w:val="0029082C"/>
    <w:rsid w:val="002908A6"/>
    <w:rsid w:val="002908A7"/>
    <w:rsid w:val="00290904"/>
    <w:rsid w:val="00290982"/>
    <w:rsid w:val="00290991"/>
    <w:rsid w:val="002909F3"/>
    <w:rsid w:val="00290B26"/>
    <w:rsid w:val="00290BB6"/>
    <w:rsid w:val="00290BBD"/>
    <w:rsid w:val="00290C11"/>
    <w:rsid w:val="00290CA6"/>
    <w:rsid w:val="00290D75"/>
    <w:rsid w:val="00290FC8"/>
    <w:rsid w:val="00291011"/>
    <w:rsid w:val="00291120"/>
    <w:rsid w:val="002911B1"/>
    <w:rsid w:val="00291258"/>
    <w:rsid w:val="0029134C"/>
    <w:rsid w:val="002913CE"/>
    <w:rsid w:val="00291403"/>
    <w:rsid w:val="0029142E"/>
    <w:rsid w:val="00291536"/>
    <w:rsid w:val="00291559"/>
    <w:rsid w:val="0029168F"/>
    <w:rsid w:val="00291694"/>
    <w:rsid w:val="002916AD"/>
    <w:rsid w:val="002916E0"/>
    <w:rsid w:val="00291786"/>
    <w:rsid w:val="002919CF"/>
    <w:rsid w:val="00291A82"/>
    <w:rsid w:val="00291B49"/>
    <w:rsid w:val="00291CBA"/>
    <w:rsid w:val="00291CF5"/>
    <w:rsid w:val="00291F3D"/>
    <w:rsid w:val="0029240A"/>
    <w:rsid w:val="00292591"/>
    <w:rsid w:val="0029259C"/>
    <w:rsid w:val="00292681"/>
    <w:rsid w:val="0029276A"/>
    <w:rsid w:val="002927F7"/>
    <w:rsid w:val="00292846"/>
    <w:rsid w:val="0029288E"/>
    <w:rsid w:val="002929EA"/>
    <w:rsid w:val="00292A94"/>
    <w:rsid w:val="00292C51"/>
    <w:rsid w:val="00292CD0"/>
    <w:rsid w:val="00292D4E"/>
    <w:rsid w:val="00292DB4"/>
    <w:rsid w:val="00292DDC"/>
    <w:rsid w:val="00292DF0"/>
    <w:rsid w:val="00292EC5"/>
    <w:rsid w:val="00292EDC"/>
    <w:rsid w:val="00292FCF"/>
    <w:rsid w:val="0029313F"/>
    <w:rsid w:val="00293228"/>
    <w:rsid w:val="00293354"/>
    <w:rsid w:val="00293409"/>
    <w:rsid w:val="00293485"/>
    <w:rsid w:val="002935A1"/>
    <w:rsid w:val="002936B4"/>
    <w:rsid w:val="00293786"/>
    <w:rsid w:val="002937FD"/>
    <w:rsid w:val="002938CD"/>
    <w:rsid w:val="00293B45"/>
    <w:rsid w:val="00293B95"/>
    <w:rsid w:val="00293B9F"/>
    <w:rsid w:val="00293BC2"/>
    <w:rsid w:val="00293BC5"/>
    <w:rsid w:val="00293CC5"/>
    <w:rsid w:val="00293CC8"/>
    <w:rsid w:val="00293DFB"/>
    <w:rsid w:val="00293E01"/>
    <w:rsid w:val="00293E1D"/>
    <w:rsid w:val="00293E4B"/>
    <w:rsid w:val="00293E5A"/>
    <w:rsid w:val="00293E9B"/>
    <w:rsid w:val="00293EC8"/>
    <w:rsid w:val="00293F5E"/>
    <w:rsid w:val="00293F60"/>
    <w:rsid w:val="0029406C"/>
    <w:rsid w:val="002940A5"/>
    <w:rsid w:val="002940CA"/>
    <w:rsid w:val="002940E4"/>
    <w:rsid w:val="00294162"/>
    <w:rsid w:val="0029418E"/>
    <w:rsid w:val="00294253"/>
    <w:rsid w:val="00294261"/>
    <w:rsid w:val="0029427C"/>
    <w:rsid w:val="002942CC"/>
    <w:rsid w:val="00294389"/>
    <w:rsid w:val="0029441A"/>
    <w:rsid w:val="0029446D"/>
    <w:rsid w:val="002945AB"/>
    <w:rsid w:val="0029465A"/>
    <w:rsid w:val="00294670"/>
    <w:rsid w:val="00294672"/>
    <w:rsid w:val="002947CD"/>
    <w:rsid w:val="002947F9"/>
    <w:rsid w:val="00294A63"/>
    <w:rsid w:val="00294ACA"/>
    <w:rsid w:val="00294FD5"/>
    <w:rsid w:val="0029506A"/>
    <w:rsid w:val="00295125"/>
    <w:rsid w:val="0029519B"/>
    <w:rsid w:val="0029544C"/>
    <w:rsid w:val="0029544D"/>
    <w:rsid w:val="002954A9"/>
    <w:rsid w:val="002955AC"/>
    <w:rsid w:val="00295760"/>
    <w:rsid w:val="0029587F"/>
    <w:rsid w:val="00295885"/>
    <w:rsid w:val="002958D6"/>
    <w:rsid w:val="00295A5D"/>
    <w:rsid w:val="00295AAF"/>
    <w:rsid w:val="00295B66"/>
    <w:rsid w:val="00295BE3"/>
    <w:rsid w:val="00295C6F"/>
    <w:rsid w:val="00295CA7"/>
    <w:rsid w:val="00295D60"/>
    <w:rsid w:val="00295D79"/>
    <w:rsid w:val="00295E6D"/>
    <w:rsid w:val="00295F52"/>
    <w:rsid w:val="00296104"/>
    <w:rsid w:val="00296172"/>
    <w:rsid w:val="0029628B"/>
    <w:rsid w:val="002962D2"/>
    <w:rsid w:val="002962DC"/>
    <w:rsid w:val="00296369"/>
    <w:rsid w:val="00296513"/>
    <w:rsid w:val="00296586"/>
    <w:rsid w:val="002969AE"/>
    <w:rsid w:val="00296B82"/>
    <w:rsid w:val="00296BBA"/>
    <w:rsid w:val="00296BC1"/>
    <w:rsid w:val="00296BF4"/>
    <w:rsid w:val="00296CB3"/>
    <w:rsid w:val="00296CB4"/>
    <w:rsid w:val="00296CF8"/>
    <w:rsid w:val="00296D1E"/>
    <w:rsid w:val="00296D63"/>
    <w:rsid w:val="00296D74"/>
    <w:rsid w:val="00296DD4"/>
    <w:rsid w:val="00296E3C"/>
    <w:rsid w:val="00296F23"/>
    <w:rsid w:val="00296F5B"/>
    <w:rsid w:val="00296F69"/>
    <w:rsid w:val="00296FB2"/>
    <w:rsid w:val="00296FC6"/>
    <w:rsid w:val="00297145"/>
    <w:rsid w:val="002971A8"/>
    <w:rsid w:val="00297222"/>
    <w:rsid w:val="0029749D"/>
    <w:rsid w:val="002974A3"/>
    <w:rsid w:val="0029754E"/>
    <w:rsid w:val="0029777F"/>
    <w:rsid w:val="00297780"/>
    <w:rsid w:val="00297814"/>
    <w:rsid w:val="00297834"/>
    <w:rsid w:val="00297856"/>
    <w:rsid w:val="00297952"/>
    <w:rsid w:val="00297BA0"/>
    <w:rsid w:val="00297C95"/>
    <w:rsid w:val="00297CA0"/>
    <w:rsid w:val="00297CD9"/>
    <w:rsid w:val="00297D03"/>
    <w:rsid w:val="00297D48"/>
    <w:rsid w:val="00297DC5"/>
    <w:rsid w:val="00297E39"/>
    <w:rsid w:val="00297E47"/>
    <w:rsid w:val="00297FAA"/>
    <w:rsid w:val="002A011A"/>
    <w:rsid w:val="002A0129"/>
    <w:rsid w:val="002A058F"/>
    <w:rsid w:val="002A05E1"/>
    <w:rsid w:val="002A0678"/>
    <w:rsid w:val="002A0736"/>
    <w:rsid w:val="002A0804"/>
    <w:rsid w:val="002A0806"/>
    <w:rsid w:val="002A096A"/>
    <w:rsid w:val="002A0A23"/>
    <w:rsid w:val="002A0C2F"/>
    <w:rsid w:val="002A0CE0"/>
    <w:rsid w:val="002A0D44"/>
    <w:rsid w:val="002A0DC3"/>
    <w:rsid w:val="002A0E09"/>
    <w:rsid w:val="002A0E0B"/>
    <w:rsid w:val="002A104B"/>
    <w:rsid w:val="002A1079"/>
    <w:rsid w:val="002A10AB"/>
    <w:rsid w:val="002A10C7"/>
    <w:rsid w:val="002A118E"/>
    <w:rsid w:val="002A118F"/>
    <w:rsid w:val="002A122D"/>
    <w:rsid w:val="002A132E"/>
    <w:rsid w:val="002A145B"/>
    <w:rsid w:val="002A1534"/>
    <w:rsid w:val="002A165F"/>
    <w:rsid w:val="002A1672"/>
    <w:rsid w:val="002A17E8"/>
    <w:rsid w:val="002A1846"/>
    <w:rsid w:val="002A18F5"/>
    <w:rsid w:val="002A1AFA"/>
    <w:rsid w:val="002A1BDB"/>
    <w:rsid w:val="002A1C98"/>
    <w:rsid w:val="002A1DAB"/>
    <w:rsid w:val="002A1E0F"/>
    <w:rsid w:val="002A1F20"/>
    <w:rsid w:val="002A204F"/>
    <w:rsid w:val="002A2266"/>
    <w:rsid w:val="002A2325"/>
    <w:rsid w:val="002A2348"/>
    <w:rsid w:val="002A23AB"/>
    <w:rsid w:val="002A2409"/>
    <w:rsid w:val="002A255E"/>
    <w:rsid w:val="002A263F"/>
    <w:rsid w:val="002A26E0"/>
    <w:rsid w:val="002A279F"/>
    <w:rsid w:val="002A28E8"/>
    <w:rsid w:val="002A28F4"/>
    <w:rsid w:val="002A2B2C"/>
    <w:rsid w:val="002A2B78"/>
    <w:rsid w:val="002A2C04"/>
    <w:rsid w:val="002A2D73"/>
    <w:rsid w:val="002A2DC3"/>
    <w:rsid w:val="002A2E43"/>
    <w:rsid w:val="002A2E54"/>
    <w:rsid w:val="002A2ED5"/>
    <w:rsid w:val="002A2ED9"/>
    <w:rsid w:val="002A2FAA"/>
    <w:rsid w:val="002A2FBE"/>
    <w:rsid w:val="002A302C"/>
    <w:rsid w:val="002A30D1"/>
    <w:rsid w:val="002A3169"/>
    <w:rsid w:val="002A3196"/>
    <w:rsid w:val="002A31C9"/>
    <w:rsid w:val="002A321E"/>
    <w:rsid w:val="002A3322"/>
    <w:rsid w:val="002A3465"/>
    <w:rsid w:val="002A35A4"/>
    <w:rsid w:val="002A3648"/>
    <w:rsid w:val="002A3662"/>
    <w:rsid w:val="002A384A"/>
    <w:rsid w:val="002A3852"/>
    <w:rsid w:val="002A38CF"/>
    <w:rsid w:val="002A3936"/>
    <w:rsid w:val="002A399B"/>
    <w:rsid w:val="002A39CD"/>
    <w:rsid w:val="002A3B28"/>
    <w:rsid w:val="002A3C40"/>
    <w:rsid w:val="002A3C99"/>
    <w:rsid w:val="002A3CD0"/>
    <w:rsid w:val="002A3CEF"/>
    <w:rsid w:val="002A3F3B"/>
    <w:rsid w:val="002A408A"/>
    <w:rsid w:val="002A40E7"/>
    <w:rsid w:val="002A413B"/>
    <w:rsid w:val="002A41E1"/>
    <w:rsid w:val="002A4286"/>
    <w:rsid w:val="002A4460"/>
    <w:rsid w:val="002A44E5"/>
    <w:rsid w:val="002A4577"/>
    <w:rsid w:val="002A458F"/>
    <w:rsid w:val="002A4787"/>
    <w:rsid w:val="002A4A18"/>
    <w:rsid w:val="002A4A5F"/>
    <w:rsid w:val="002A4A93"/>
    <w:rsid w:val="002A4B21"/>
    <w:rsid w:val="002A4C2E"/>
    <w:rsid w:val="002A4C45"/>
    <w:rsid w:val="002A4D0C"/>
    <w:rsid w:val="002A4F7C"/>
    <w:rsid w:val="002A4FBE"/>
    <w:rsid w:val="002A5035"/>
    <w:rsid w:val="002A509A"/>
    <w:rsid w:val="002A51B8"/>
    <w:rsid w:val="002A52B7"/>
    <w:rsid w:val="002A541A"/>
    <w:rsid w:val="002A552D"/>
    <w:rsid w:val="002A5612"/>
    <w:rsid w:val="002A56CF"/>
    <w:rsid w:val="002A574F"/>
    <w:rsid w:val="002A5924"/>
    <w:rsid w:val="002A5A21"/>
    <w:rsid w:val="002A5BC5"/>
    <w:rsid w:val="002A5D62"/>
    <w:rsid w:val="002A5D89"/>
    <w:rsid w:val="002A5F7F"/>
    <w:rsid w:val="002A606E"/>
    <w:rsid w:val="002A616D"/>
    <w:rsid w:val="002A61E5"/>
    <w:rsid w:val="002A6258"/>
    <w:rsid w:val="002A62D6"/>
    <w:rsid w:val="002A6559"/>
    <w:rsid w:val="002A66A6"/>
    <w:rsid w:val="002A66B2"/>
    <w:rsid w:val="002A670E"/>
    <w:rsid w:val="002A686E"/>
    <w:rsid w:val="002A6903"/>
    <w:rsid w:val="002A6A54"/>
    <w:rsid w:val="002A6BC4"/>
    <w:rsid w:val="002A6DBE"/>
    <w:rsid w:val="002A6E08"/>
    <w:rsid w:val="002A6E6A"/>
    <w:rsid w:val="002A6FB6"/>
    <w:rsid w:val="002A704D"/>
    <w:rsid w:val="002A7117"/>
    <w:rsid w:val="002A7130"/>
    <w:rsid w:val="002A7232"/>
    <w:rsid w:val="002A7281"/>
    <w:rsid w:val="002A73B0"/>
    <w:rsid w:val="002A745E"/>
    <w:rsid w:val="002A76AB"/>
    <w:rsid w:val="002A76AF"/>
    <w:rsid w:val="002A76C4"/>
    <w:rsid w:val="002A76C5"/>
    <w:rsid w:val="002A7796"/>
    <w:rsid w:val="002A7816"/>
    <w:rsid w:val="002A7854"/>
    <w:rsid w:val="002A798E"/>
    <w:rsid w:val="002A79FE"/>
    <w:rsid w:val="002A7C4A"/>
    <w:rsid w:val="002A7D8F"/>
    <w:rsid w:val="002A7DE3"/>
    <w:rsid w:val="002A7E64"/>
    <w:rsid w:val="002A7F1C"/>
    <w:rsid w:val="002A7F3B"/>
    <w:rsid w:val="002B0309"/>
    <w:rsid w:val="002B0347"/>
    <w:rsid w:val="002B03A0"/>
    <w:rsid w:val="002B06A0"/>
    <w:rsid w:val="002B076A"/>
    <w:rsid w:val="002B09F4"/>
    <w:rsid w:val="002B0B32"/>
    <w:rsid w:val="002B0BD4"/>
    <w:rsid w:val="002B0CAA"/>
    <w:rsid w:val="002B0CDC"/>
    <w:rsid w:val="002B0CFF"/>
    <w:rsid w:val="002B0D3C"/>
    <w:rsid w:val="002B1000"/>
    <w:rsid w:val="002B102F"/>
    <w:rsid w:val="002B123F"/>
    <w:rsid w:val="002B1298"/>
    <w:rsid w:val="002B13D8"/>
    <w:rsid w:val="002B141F"/>
    <w:rsid w:val="002B14BB"/>
    <w:rsid w:val="002B1550"/>
    <w:rsid w:val="002B1577"/>
    <w:rsid w:val="002B157F"/>
    <w:rsid w:val="002B1611"/>
    <w:rsid w:val="002B1652"/>
    <w:rsid w:val="002B17FE"/>
    <w:rsid w:val="002B19AB"/>
    <w:rsid w:val="002B19E6"/>
    <w:rsid w:val="002B1A24"/>
    <w:rsid w:val="002B1A2D"/>
    <w:rsid w:val="002B1B34"/>
    <w:rsid w:val="002B1B58"/>
    <w:rsid w:val="002B1BC9"/>
    <w:rsid w:val="002B1CF9"/>
    <w:rsid w:val="002B1DE9"/>
    <w:rsid w:val="002B1E35"/>
    <w:rsid w:val="002B1F7F"/>
    <w:rsid w:val="002B1FB4"/>
    <w:rsid w:val="002B2285"/>
    <w:rsid w:val="002B22A6"/>
    <w:rsid w:val="002B22EF"/>
    <w:rsid w:val="002B23E7"/>
    <w:rsid w:val="002B24BC"/>
    <w:rsid w:val="002B24F4"/>
    <w:rsid w:val="002B24F6"/>
    <w:rsid w:val="002B25DC"/>
    <w:rsid w:val="002B2661"/>
    <w:rsid w:val="002B26B1"/>
    <w:rsid w:val="002B28D7"/>
    <w:rsid w:val="002B28F1"/>
    <w:rsid w:val="002B2908"/>
    <w:rsid w:val="002B2965"/>
    <w:rsid w:val="002B2A15"/>
    <w:rsid w:val="002B2AC0"/>
    <w:rsid w:val="002B2ADA"/>
    <w:rsid w:val="002B2B3F"/>
    <w:rsid w:val="002B2BF4"/>
    <w:rsid w:val="002B2C5B"/>
    <w:rsid w:val="002B2C5E"/>
    <w:rsid w:val="002B2CAC"/>
    <w:rsid w:val="002B2D30"/>
    <w:rsid w:val="002B2D54"/>
    <w:rsid w:val="002B2D77"/>
    <w:rsid w:val="002B2F29"/>
    <w:rsid w:val="002B2F82"/>
    <w:rsid w:val="002B3085"/>
    <w:rsid w:val="002B3150"/>
    <w:rsid w:val="002B3265"/>
    <w:rsid w:val="002B328D"/>
    <w:rsid w:val="002B3410"/>
    <w:rsid w:val="002B3439"/>
    <w:rsid w:val="002B34E7"/>
    <w:rsid w:val="002B352E"/>
    <w:rsid w:val="002B35C8"/>
    <w:rsid w:val="002B3634"/>
    <w:rsid w:val="002B365C"/>
    <w:rsid w:val="002B3763"/>
    <w:rsid w:val="002B3784"/>
    <w:rsid w:val="002B38BE"/>
    <w:rsid w:val="002B38C8"/>
    <w:rsid w:val="002B38CE"/>
    <w:rsid w:val="002B39F2"/>
    <w:rsid w:val="002B3B9E"/>
    <w:rsid w:val="002B3BDA"/>
    <w:rsid w:val="002B3CC8"/>
    <w:rsid w:val="002B3D2E"/>
    <w:rsid w:val="002B3E40"/>
    <w:rsid w:val="002B3E8D"/>
    <w:rsid w:val="002B41AA"/>
    <w:rsid w:val="002B4217"/>
    <w:rsid w:val="002B427B"/>
    <w:rsid w:val="002B42D3"/>
    <w:rsid w:val="002B43BF"/>
    <w:rsid w:val="002B43FF"/>
    <w:rsid w:val="002B443F"/>
    <w:rsid w:val="002B44DE"/>
    <w:rsid w:val="002B45D9"/>
    <w:rsid w:val="002B469E"/>
    <w:rsid w:val="002B46D2"/>
    <w:rsid w:val="002B48F7"/>
    <w:rsid w:val="002B4926"/>
    <w:rsid w:val="002B4A4F"/>
    <w:rsid w:val="002B4AB5"/>
    <w:rsid w:val="002B4BED"/>
    <w:rsid w:val="002B4C17"/>
    <w:rsid w:val="002B4C5B"/>
    <w:rsid w:val="002B4C90"/>
    <w:rsid w:val="002B4DC6"/>
    <w:rsid w:val="002B4F53"/>
    <w:rsid w:val="002B4F9F"/>
    <w:rsid w:val="002B4FAD"/>
    <w:rsid w:val="002B5112"/>
    <w:rsid w:val="002B511D"/>
    <w:rsid w:val="002B515F"/>
    <w:rsid w:val="002B517B"/>
    <w:rsid w:val="002B51B5"/>
    <w:rsid w:val="002B5217"/>
    <w:rsid w:val="002B52F7"/>
    <w:rsid w:val="002B5421"/>
    <w:rsid w:val="002B5557"/>
    <w:rsid w:val="002B578F"/>
    <w:rsid w:val="002B5797"/>
    <w:rsid w:val="002B58B7"/>
    <w:rsid w:val="002B59A0"/>
    <w:rsid w:val="002B5B10"/>
    <w:rsid w:val="002B5B7B"/>
    <w:rsid w:val="002B5B91"/>
    <w:rsid w:val="002B5C2F"/>
    <w:rsid w:val="002B5C42"/>
    <w:rsid w:val="002B5D7E"/>
    <w:rsid w:val="002B5D9E"/>
    <w:rsid w:val="002B5E1E"/>
    <w:rsid w:val="002B5EB9"/>
    <w:rsid w:val="002B5EF7"/>
    <w:rsid w:val="002B5F35"/>
    <w:rsid w:val="002B5F4C"/>
    <w:rsid w:val="002B6169"/>
    <w:rsid w:val="002B62CE"/>
    <w:rsid w:val="002B63C3"/>
    <w:rsid w:val="002B6423"/>
    <w:rsid w:val="002B6517"/>
    <w:rsid w:val="002B6559"/>
    <w:rsid w:val="002B6676"/>
    <w:rsid w:val="002B67B6"/>
    <w:rsid w:val="002B69A7"/>
    <w:rsid w:val="002B6A23"/>
    <w:rsid w:val="002B6A64"/>
    <w:rsid w:val="002B6B26"/>
    <w:rsid w:val="002B6B74"/>
    <w:rsid w:val="002B6B75"/>
    <w:rsid w:val="002B6B8C"/>
    <w:rsid w:val="002B6C65"/>
    <w:rsid w:val="002B6D1A"/>
    <w:rsid w:val="002B6D97"/>
    <w:rsid w:val="002B6E76"/>
    <w:rsid w:val="002B6E89"/>
    <w:rsid w:val="002B7017"/>
    <w:rsid w:val="002B704B"/>
    <w:rsid w:val="002B7063"/>
    <w:rsid w:val="002B708E"/>
    <w:rsid w:val="002B720A"/>
    <w:rsid w:val="002B730E"/>
    <w:rsid w:val="002B7468"/>
    <w:rsid w:val="002B7470"/>
    <w:rsid w:val="002B7541"/>
    <w:rsid w:val="002B75D8"/>
    <w:rsid w:val="002B76EB"/>
    <w:rsid w:val="002B7707"/>
    <w:rsid w:val="002B7779"/>
    <w:rsid w:val="002B77D7"/>
    <w:rsid w:val="002B781E"/>
    <w:rsid w:val="002B78DC"/>
    <w:rsid w:val="002B7982"/>
    <w:rsid w:val="002B798C"/>
    <w:rsid w:val="002B79D8"/>
    <w:rsid w:val="002B7B23"/>
    <w:rsid w:val="002B7CA4"/>
    <w:rsid w:val="002B7E5F"/>
    <w:rsid w:val="002B7ED9"/>
    <w:rsid w:val="002C001F"/>
    <w:rsid w:val="002C00C1"/>
    <w:rsid w:val="002C02C2"/>
    <w:rsid w:val="002C02DB"/>
    <w:rsid w:val="002C02E4"/>
    <w:rsid w:val="002C03FC"/>
    <w:rsid w:val="002C0630"/>
    <w:rsid w:val="002C0653"/>
    <w:rsid w:val="002C06F2"/>
    <w:rsid w:val="002C07BA"/>
    <w:rsid w:val="002C07DC"/>
    <w:rsid w:val="002C0874"/>
    <w:rsid w:val="002C0979"/>
    <w:rsid w:val="002C09A5"/>
    <w:rsid w:val="002C0AD0"/>
    <w:rsid w:val="002C0B2B"/>
    <w:rsid w:val="002C0B41"/>
    <w:rsid w:val="002C0B79"/>
    <w:rsid w:val="002C0BBD"/>
    <w:rsid w:val="002C0C0F"/>
    <w:rsid w:val="002C0C87"/>
    <w:rsid w:val="002C0D8A"/>
    <w:rsid w:val="002C0E02"/>
    <w:rsid w:val="002C102B"/>
    <w:rsid w:val="002C10FE"/>
    <w:rsid w:val="002C1104"/>
    <w:rsid w:val="002C1169"/>
    <w:rsid w:val="002C1287"/>
    <w:rsid w:val="002C12E4"/>
    <w:rsid w:val="002C133F"/>
    <w:rsid w:val="002C134E"/>
    <w:rsid w:val="002C160E"/>
    <w:rsid w:val="002C169D"/>
    <w:rsid w:val="002C16C7"/>
    <w:rsid w:val="002C17C5"/>
    <w:rsid w:val="002C17FA"/>
    <w:rsid w:val="002C183A"/>
    <w:rsid w:val="002C1875"/>
    <w:rsid w:val="002C19CC"/>
    <w:rsid w:val="002C19D3"/>
    <w:rsid w:val="002C1ACE"/>
    <w:rsid w:val="002C1CA2"/>
    <w:rsid w:val="002C1DAA"/>
    <w:rsid w:val="002C1E0C"/>
    <w:rsid w:val="002C1EAF"/>
    <w:rsid w:val="002C1F20"/>
    <w:rsid w:val="002C202D"/>
    <w:rsid w:val="002C2071"/>
    <w:rsid w:val="002C209E"/>
    <w:rsid w:val="002C2100"/>
    <w:rsid w:val="002C2147"/>
    <w:rsid w:val="002C21A1"/>
    <w:rsid w:val="002C253E"/>
    <w:rsid w:val="002C258D"/>
    <w:rsid w:val="002C25D7"/>
    <w:rsid w:val="002C2786"/>
    <w:rsid w:val="002C2878"/>
    <w:rsid w:val="002C29B7"/>
    <w:rsid w:val="002C2A2A"/>
    <w:rsid w:val="002C2A46"/>
    <w:rsid w:val="002C2AFE"/>
    <w:rsid w:val="002C2B31"/>
    <w:rsid w:val="002C2C58"/>
    <w:rsid w:val="002C2D60"/>
    <w:rsid w:val="002C2D84"/>
    <w:rsid w:val="002C2E1F"/>
    <w:rsid w:val="002C2EE8"/>
    <w:rsid w:val="002C3046"/>
    <w:rsid w:val="002C30BC"/>
    <w:rsid w:val="002C3177"/>
    <w:rsid w:val="002C31B0"/>
    <w:rsid w:val="002C3248"/>
    <w:rsid w:val="002C3291"/>
    <w:rsid w:val="002C32D8"/>
    <w:rsid w:val="002C3687"/>
    <w:rsid w:val="002C36AB"/>
    <w:rsid w:val="002C3768"/>
    <w:rsid w:val="002C37E6"/>
    <w:rsid w:val="002C382E"/>
    <w:rsid w:val="002C38E9"/>
    <w:rsid w:val="002C3923"/>
    <w:rsid w:val="002C3952"/>
    <w:rsid w:val="002C39B7"/>
    <w:rsid w:val="002C3B03"/>
    <w:rsid w:val="002C3B5C"/>
    <w:rsid w:val="002C3BBA"/>
    <w:rsid w:val="002C3EA6"/>
    <w:rsid w:val="002C3F0B"/>
    <w:rsid w:val="002C3F6A"/>
    <w:rsid w:val="002C3F7A"/>
    <w:rsid w:val="002C404C"/>
    <w:rsid w:val="002C41FC"/>
    <w:rsid w:val="002C42A3"/>
    <w:rsid w:val="002C4307"/>
    <w:rsid w:val="002C43A4"/>
    <w:rsid w:val="002C43E6"/>
    <w:rsid w:val="002C4496"/>
    <w:rsid w:val="002C44E2"/>
    <w:rsid w:val="002C4563"/>
    <w:rsid w:val="002C460D"/>
    <w:rsid w:val="002C467A"/>
    <w:rsid w:val="002C48C0"/>
    <w:rsid w:val="002C49C4"/>
    <w:rsid w:val="002C4ADC"/>
    <w:rsid w:val="002C4BC4"/>
    <w:rsid w:val="002C4C00"/>
    <w:rsid w:val="002C4C7A"/>
    <w:rsid w:val="002C4D4A"/>
    <w:rsid w:val="002C4DCE"/>
    <w:rsid w:val="002C4E2F"/>
    <w:rsid w:val="002C4EFA"/>
    <w:rsid w:val="002C4F11"/>
    <w:rsid w:val="002C511A"/>
    <w:rsid w:val="002C51A8"/>
    <w:rsid w:val="002C524A"/>
    <w:rsid w:val="002C52C7"/>
    <w:rsid w:val="002C5327"/>
    <w:rsid w:val="002C5427"/>
    <w:rsid w:val="002C54BA"/>
    <w:rsid w:val="002C556E"/>
    <w:rsid w:val="002C55E2"/>
    <w:rsid w:val="002C567C"/>
    <w:rsid w:val="002C56ED"/>
    <w:rsid w:val="002C5717"/>
    <w:rsid w:val="002C5741"/>
    <w:rsid w:val="002C5864"/>
    <w:rsid w:val="002C587E"/>
    <w:rsid w:val="002C591F"/>
    <w:rsid w:val="002C5AD8"/>
    <w:rsid w:val="002C5B77"/>
    <w:rsid w:val="002C5C76"/>
    <w:rsid w:val="002C5CC8"/>
    <w:rsid w:val="002C5D0E"/>
    <w:rsid w:val="002C5D2B"/>
    <w:rsid w:val="002C5E76"/>
    <w:rsid w:val="002C5F11"/>
    <w:rsid w:val="002C604D"/>
    <w:rsid w:val="002C605E"/>
    <w:rsid w:val="002C6063"/>
    <w:rsid w:val="002C6095"/>
    <w:rsid w:val="002C60D6"/>
    <w:rsid w:val="002C60E2"/>
    <w:rsid w:val="002C611A"/>
    <w:rsid w:val="002C618F"/>
    <w:rsid w:val="002C6195"/>
    <w:rsid w:val="002C626B"/>
    <w:rsid w:val="002C62E1"/>
    <w:rsid w:val="002C6367"/>
    <w:rsid w:val="002C63B8"/>
    <w:rsid w:val="002C652B"/>
    <w:rsid w:val="002C6536"/>
    <w:rsid w:val="002C6537"/>
    <w:rsid w:val="002C6681"/>
    <w:rsid w:val="002C680B"/>
    <w:rsid w:val="002C6935"/>
    <w:rsid w:val="002C6ACD"/>
    <w:rsid w:val="002C6B83"/>
    <w:rsid w:val="002C6B9A"/>
    <w:rsid w:val="002C6C97"/>
    <w:rsid w:val="002C6CC1"/>
    <w:rsid w:val="002C70B5"/>
    <w:rsid w:val="002C7192"/>
    <w:rsid w:val="002C72FA"/>
    <w:rsid w:val="002C756A"/>
    <w:rsid w:val="002C767F"/>
    <w:rsid w:val="002C7A1E"/>
    <w:rsid w:val="002C7A20"/>
    <w:rsid w:val="002C7CC3"/>
    <w:rsid w:val="002C7D03"/>
    <w:rsid w:val="002C7D3D"/>
    <w:rsid w:val="002C7F4B"/>
    <w:rsid w:val="002C7FD7"/>
    <w:rsid w:val="002D00CB"/>
    <w:rsid w:val="002D02AF"/>
    <w:rsid w:val="002D03A4"/>
    <w:rsid w:val="002D03B5"/>
    <w:rsid w:val="002D051A"/>
    <w:rsid w:val="002D0611"/>
    <w:rsid w:val="002D064A"/>
    <w:rsid w:val="002D0656"/>
    <w:rsid w:val="002D06D3"/>
    <w:rsid w:val="002D0869"/>
    <w:rsid w:val="002D089C"/>
    <w:rsid w:val="002D08F7"/>
    <w:rsid w:val="002D0963"/>
    <w:rsid w:val="002D098B"/>
    <w:rsid w:val="002D0A01"/>
    <w:rsid w:val="002D0A7A"/>
    <w:rsid w:val="002D0B4A"/>
    <w:rsid w:val="002D0B59"/>
    <w:rsid w:val="002D0BA5"/>
    <w:rsid w:val="002D0BB9"/>
    <w:rsid w:val="002D0D70"/>
    <w:rsid w:val="002D0E31"/>
    <w:rsid w:val="002D0ECC"/>
    <w:rsid w:val="002D0FD9"/>
    <w:rsid w:val="002D0FEC"/>
    <w:rsid w:val="002D0FED"/>
    <w:rsid w:val="002D106C"/>
    <w:rsid w:val="002D123C"/>
    <w:rsid w:val="002D1300"/>
    <w:rsid w:val="002D1486"/>
    <w:rsid w:val="002D1726"/>
    <w:rsid w:val="002D1884"/>
    <w:rsid w:val="002D190D"/>
    <w:rsid w:val="002D1974"/>
    <w:rsid w:val="002D1982"/>
    <w:rsid w:val="002D19DE"/>
    <w:rsid w:val="002D1B9A"/>
    <w:rsid w:val="002D1C4B"/>
    <w:rsid w:val="002D1E04"/>
    <w:rsid w:val="002D1E87"/>
    <w:rsid w:val="002D1F1A"/>
    <w:rsid w:val="002D1FC1"/>
    <w:rsid w:val="002D2022"/>
    <w:rsid w:val="002D206C"/>
    <w:rsid w:val="002D2083"/>
    <w:rsid w:val="002D20C6"/>
    <w:rsid w:val="002D20EA"/>
    <w:rsid w:val="002D2130"/>
    <w:rsid w:val="002D2163"/>
    <w:rsid w:val="002D247B"/>
    <w:rsid w:val="002D266A"/>
    <w:rsid w:val="002D279D"/>
    <w:rsid w:val="002D27DA"/>
    <w:rsid w:val="002D2836"/>
    <w:rsid w:val="002D2867"/>
    <w:rsid w:val="002D2937"/>
    <w:rsid w:val="002D2A73"/>
    <w:rsid w:val="002D2C0A"/>
    <w:rsid w:val="002D2CCD"/>
    <w:rsid w:val="002D2F65"/>
    <w:rsid w:val="002D33CC"/>
    <w:rsid w:val="002D3407"/>
    <w:rsid w:val="002D3504"/>
    <w:rsid w:val="002D3525"/>
    <w:rsid w:val="002D3742"/>
    <w:rsid w:val="002D3774"/>
    <w:rsid w:val="002D377B"/>
    <w:rsid w:val="002D378D"/>
    <w:rsid w:val="002D37D1"/>
    <w:rsid w:val="002D3995"/>
    <w:rsid w:val="002D3A21"/>
    <w:rsid w:val="002D3A48"/>
    <w:rsid w:val="002D3ABF"/>
    <w:rsid w:val="002D3BDD"/>
    <w:rsid w:val="002D3CA2"/>
    <w:rsid w:val="002D3D2D"/>
    <w:rsid w:val="002D3D6D"/>
    <w:rsid w:val="002D3E44"/>
    <w:rsid w:val="002D3E57"/>
    <w:rsid w:val="002D3F09"/>
    <w:rsid w:val="002D3FB4"/>
    <w:rsid w:val="002D3FF4"/>
    <w:rsid w:val="002D4263"/>
    <w:rsid w:val="002D435E"/>
    <w:rsid w:val="002D439B"/>
    <w:rsid w:val="002D43D1"/>
    <w:rsid w:val="002D43F0"/>
    <w:rsid w:val="002D447B"/>
    <w:rsid w:val="002D44CC"/>
    <w:rsid w:val="002D44FB"/>
    <w:rsid w:val="002D45BF"/>
    <w:rsid w:val="002D463C"/>
    <w:rsid w:val="002D469B"/>
    <w:rsid w:val="002D46C7"/>
    <w:rsid w:val="002D4730"/>
    <w:rsid w:val="002D4806"/>
    <w:rsid w:val="002D4838"/>
    <w:rsid w:val="002D483D"/>
    <w:rsid w:val="002D48D9"/>
    <w:rsid w:val="002D48E7"/>
    <w:rsid w:val="002D4993"/>
    <w:rsid w:val="002D499F"/>
    <w:rsid w:val="002D49B6"/>
    <w:rsid w:val="002D49CE"/>
    <w:rsid w:val="002D4B29"/>
    <w:rsid w:val="002D4D93"/>
    <w:rsid w:val="002D4E66"/>
    <w:rsid w:val="002D4EE8"/>
    <w:rsid w:val="002D4F98"/>
    <w:rsid w:val="002D50DB"/>
    <w:rsid w:val="002D5113"/>
    <w:rsid w:val="002D5294"/>
    <w:rsid w:val="002D52EB"/>
    <w:rsid w:val="002D53BA"/>
    <w:rsid w:val="002D5484"/>
    <w:rsid w:val="002D5572"/>
    <w:rsid w:val="002D56F4"/>
    <w:rsid w:val="002D57AC"/>
    <w:rsid w:val="002D57C6"/>
    <w:rsid w:val="002D591D"/>
    <w:rsid w:val="002D5987"/>
    <w:rsid w:val="002D5B4D"/>
    <w:rsid w:val="002D5CC4"/>
    <w:rsid w:val="002D5D8E"/>
    <w:rsid w:val="002D5DCA"/>
    <w:rsid w:val="002D5E0A"/>
    <w:rsid w:val="002D5E20"/>
    <w:rsid w:val="002D5E2D"/>
    <w:rsid w:val="002D5EDF"/>
    <w:rsid w:val="002D5F94"/>
    <w:rsid w:val="002D603B"/>
    <w:rsid w:val="002D606C"/>
    <w:rsid w:val="002D628A"/>
    <w:rsid w:val="002D6334"/>
    <w:rsid w:val="002D6338"/>
    <w:rsid w:val="002D635E"/>
    <w:rsid w:val="002D63B1"/>
    <w:rsid w:val="002D63BF"/>
    <w:rsid w:val="002D644B"/>
    <w:rsid w:val="002D66AE"/>
    <w:rsid w:val="002D671C"/>
    <w:rsid w:val="002D673E"/>
    <w:rsid w:val="002D67AB"/>
    <w:rsid w:val="002D68BB"/>
    <w:rsid w:val="002D698F"/>
    <w:rsid w:val="002D6E48"/>
    <w:rsid w:val="002D6EB0"/>
    <w:rsid w:val="002D7072"/>
    <w:rsid w:val="002D7128"/>
    <w:rsid w:val="002D7232"/>
    <w:rsid w:val="002D735F"/>
    <w:rsid w:val="002D7398"/>
    <w:rsid w:val="002D7419"/>
    <w:rsid w:val="002D74FE"/>
    <w:rsid w:val="002D757C"/>
    <w:rsid w:val="002D75A4"/>
    <w:rsid w:val="002D75DD"/>
    <w:rsid w:val="002D7636"/>
    <w:rsid w:val="002D77B8"/>
    <w:rsid w:val="002D78E1"/>
    <w:rsid w:val="002D793F"/>
    <w:rsid w:val="002D79EA"/>
    <w:rsid w:val="002D7A99"/>
    <w:rsid w:val="002D7B23"/>
    <w:rsid w:val="002D7B84"/>
    <w:rsid w:val="002D7BD6"/>
    <w:rsid w:val="002D7BDD"/>
    <w:rsid w:val="002D7C79"/>
    <w:rsid w:val="002D7C89"/>
    <w:rsid w:val="002D7D75"/>
    <w:rsid w:val="002D7D88"/>
    <w:rsid w:val="002D7F7F"/>
    <w:rsid w:val="002E01FD"/>
    <w:rsid w:val="002E0222"/>
    <w:rsid w:val="002E0249"/>
    <w:rsid w:val="002E0289"/>
    <w:rsid w:val="002E02A8"/>
    <w:rsid w:val="002E0394"/>
    <w:rsid w:val="002E0632"/>
    <w:rsid w:val="002E078F"/>
    <w:rsid w:val="002E07E3"/>
    <w:rsid w:val="002E07FF"/>
    <w:rsid w:val="002E088E"/>
    <w:rsid w:val="002E08E5"/>
    <w:rsid w:val="002E091A"/>
    <w:rsid w:val="002E097A"/>
    <w:rsid w:val="002E0A04"/>
    <w:rsid w:val="002E0C56"/>
    <w:rsid w:val="002E0E5E"/>
    <w:rsid w:val="002E103B"/>
    <w:rsid w:val="002E1046"/>
    <w:rsid w:val="002E1084"/>
    <w:rsid w:val="002E1189"/>
    <w:rsid w:val="002E11FF"/>
    <w:rsid w:val="002E1200"/>
    <w:rsid w:val="002E1265"/>
    <w:rsid w:val="002E1276"/>
    <w:rsid w:val="002E1449"/>
    <w:rsid w:val="002E16D2"/>
    <w:rsid w:val="002E176B"/>
    <w:rsid w:val="002E19A6"/>
    <w:rsid w:val="002E1A78"/>
    <w:rsid w:val="002E1AE7"/>
    <w:rsid w:val="002E1BA0"/>
    <w:rsid w:val="002E1C51"/>
    <w:rsid w:val="002E1C75"/>
    <w:rsid w:val="002E1C9C"/>
    <w:rsid w:val="002E1CE2"/>
    <w:rsid w:val="002E1EEC"/>
    <w:rsid w:val="002E1F2D"/>
    <w:rsid w:val="002E2023"/>
    <w:rsid w:val="002E2084"/>
    <w:rsid w:val="002E2119"/>
    <w:rsid w:val="002E2185"/>
    <w:rsid w:val="002E21AD"/>
    <w:rsid w:val="002E238D"/>
    <w:rsid w:val="002E23F6"/>
    <w:rsid w:val="002E2503"/>
    <w:rsid w:val="002E2561"/>
    <w:rsid w:val="002E26B5"/>
    <w:rsid w:val="002E2816"/>
    <w:rsid w:val="002E2957"/>
    <w:rsid w:val="002E29ED"/>
    <w:rsid w:val="002E2A31"/>
    <w:rsid w:val="002E2A85"/>
    <w:rsid w:val="002E2AA7"/>
    <w:rsid w:val="002E2ADA"/>
    <w:rsid w:val="002E2B01"/>
    <w:rsid w:val="002E2B8E"/>
    <w:rsid w:val="002E2B99"/>
    <w:rsid w:val="002E2C07"/>
    <w:rsid w:val="002E2DC7"/>
    <w:rsid w:val="002E2F5B"/>
    <w:rsid w:val="002E303B"/>
    <w:rsid w:val="002E31A5"/>
    <w:rsid w:val="002E31D2"/>
    <w:rsid w:val="002E3247"/>
    <w:rsid w:val="002E347B"/>
    <w:rsid w:val="002E35FC"/>
    <w:rsid w:val="002E3747"/>
    <w:rsid w:val="002E3765"/>
    <w:rsid w:val="002E383A"/>
    <w:rsid w:val="002E3B74"/>
    <w:rsid w:val="002E3BF8"/>
    <w:rsid w:val="002E3C59"/>
    <w:rsid w:val="002E3C7F"/>
    <w:rsid w:val="002E3C90"/>
    <w:rsid w:val="002E3CE4"/>
    <w:rsid w:val="002E3D03"/>
    <w:rsid w:val="002E3DCE"/>
    <w:rsid w:val="002E3DE9"/>
    <w:rsid w:val="002E3F04"/>
    <w:rsid w:val="002E401F"/>
    <w:rsid w:val="002E40AF"/>
    <w:rsid w:val="002E41CB"/>
    <w:rsid w:val="002E4237"/>
    <w:rsid w:val="002E424B"/>
    <w:rsid w:val="002E4294"/>
    <w:rsid w:val="002E430F"/>
    <w:rsid w:val="002E435E"/>
    <w:rsid w:val="002E440F"/>
    <w:rsid w:val="002E44A2"/>
    <w:rsid w:val="002E45A9"/>
    <w:rsid w:val="002E45B4"/>
    <w:rsid w:val="002E4887"/>
    <w:rsid w:val="002E49DD"/>
    <w:rsid w:val="002E49FF"/>
    <w:rsid w:val="002E4A52"/>
    <w:rsid w:val="002E4B62"/>
    <w:rsid w:val="002E4B7B"/>
    <w:rsid w:val="002E4CE3"/>
    <w:rsid w:val="002E4D41"/>
    <w:rsid w:val="002E4D49"/>
    <w:rsid w:val="002E4E01"/>
    <w:rsid w:val="002E4E09"/>
    <w:rsid w:val="002E4E1D"/>
    <w:rsid w:val="002E4FC4"/>
    <w:rsid w:val="002E5001"/>
    <w:rsid w:val="002E500B"/>
    <w:rsid w:val="002E5088"/>
    <w:rsid w:val="002E508E"/>
    <w:rsid w:val="002E50EB"/>
    <w:rsid w:val="002E525D"/>
    <w:rsid w:val="002E542D"/>
    <w:rsid w:val="002E5581"/>
    <w:rsid w:val="002E55A2"/>
    <w:rsid w:val="002E55D0"/>
    <w:rsid w:val="002E5753"/>
    <w:rsid w:val="002E5851"/>
    <w:rsid w:val="002E589F"/>
    <w:rsid w:val="002E59DE"/>
    <w:rsid w:val="002E59EB"/>
    <w:rsid w:val="002E5ADA"/>
    <w:rsid w:val="002E5E66"/>
    <w:rsid w:val="002E5F5A"/>
    <w:rsid w:val="002E5FB7"/>
    <w:rsid w:val="002E60D8"/>
    <w:rsid w:val="002E6126"/>
    <w:rsid w:val="002E61AE"/>
    <w:rsid w:val="002E61BE"/>
    <w:rsid w:val="002E622D"/>
    <w:rsid w:val="002E6266"/>
    <w:rsid w:val="002E6460"/>
    <w:rsid w:val="002E6469"/>
    <w:rsid w:val="002E66E0"/>
    <w:rsid w:val="002E675E"/>
    <w:rsid w:val="002E67C3"/>
    <w:rsid w:val="002E6952"/>
    <w:rsid w:val="002E69DA"/>
    <w:rsid w:val="002E69F4"/>
    <w:rsid w:val="002E6A11"/>
    <w:rsid w:val="002E6CF8"/>
    <w:rsid w:val="002E6D3F"/>
    <w:rsid w:val="002E6D7D"/>
    <w:rsid w:val="002E6DA3"/>
    <w:rsid w:val="002E6EC6"/>
    <w:rsid w:val="002E6F2F"/>
    <w:rsid w:val="002E706C"/>
    <w:rsid w:val="002E7290"/>
    <w:rsid w:val="002E73EB"/>
    <w:rsid w:val="002E7506"/>
    <w:rsid w:val="002E7509"/>
    <w:rsid w:val="002E763A"/>
    <w:rsid w:val="002E76EF"/>
    <w:rsid w:val="002E792B"/>
    <w:rsid w:val="002E7983"/>
    <w:rsid w:val="002E7AFB"/>
    <w:rsid w:val="002E7B83"/>
    <w:rsid w:val="002E7BC6"/>
    <w:rsid w:val="002E7C52"/>
    <w:rsid w:val="002E7C55"/>
    <w:rsid w:val="002E7D2E"/>
    <w:rsid w:val="002E7DB7"/>
    <w:rsid w:val="002E7F44"/>
    <w:rsid w:val="002F004A"/>
    <w:rsid w:val="002F00E6"/>
    <w:rsid w:val="002F01BA"/>
    <w:rsid w:val="002F0515"/>
    <w:rsid w:val="002F055D"/>
    <w:rsid w:val="002F0568"/>
    <w:rsid w:val="002F0664"/>
    <w:rsid w:val="002F0679"/>
    <w:rsid w:val="002F0728"/>
    <w:rsid w:val="002F09F3"/>
    <w:rsid w:val="002F09FD"/>
    <w:rsid w:val="002F0C36"/>
    <w:rsid w:val="002F0CDD"/>
    <w:rsid w:val="002F0D66"/>
    <w:rsid w:val="002F100A"/>
    <w:rsid w:val="002F1015"/>
    <w:rsid w:val="002F1142"/>
    <w:rsid w:val="002F1169"/>
    <w:rsid w:val="002F1276"/>
    <w:rsid w:val="002F14B5"/>
    <w:rsid w:val="002F15D3"/>
    <w:rsid w:val="002F1603"/>
    <w:rsid w:val="002F1804"/>
    <w:rsid w:val="002F18A8"/>
    <w:rsid w:val="002F19B8"/>
    <w:rsid w:val="002F1A0B"/>
    <w:rsid w:val="002F1A0D"/>
    <w:rsid w:val="002F1A2C"/>
    <w:rsid w:val="002F1B27"/>
    <w:rsid w:val="002F1BE8"/>
    <w:rsid w:val="002F1CE2"/>
    <w:rsid w:val="002F1D8F"/>
    <w:rsid w:val="002F1E7B"/>
    <w:rsid w:val="002F1F06"/>
    <w:rsid w:val="002F244E"/>
    <w:rsid w:val="002F246F"/>
    <w:rsid w:val="002F24EB"/>
    <w:rsid w:val="002F2525"/>
    <w:rsid w:val="002F2565"/>
    <w:rsid w:val="002F25EE"/>
    <w:rsid w:val="002F25F9"/>
    <w:rsid w:val="002F2820"/>
    <w:rsid w:val="002F2865"/>
    <w:rsid w:val="002F286E"/>
    <w:rsid w:val="002F288B"/>
    <w:rsid w:val="002F2AA8"/>
    <w:rsid w:val="002F2AD6"/>
    <w:rsid w:val="002F2AFC"/>
    <w:rsid w:val="002F2B95"/>
    <w:rsid w:val="002F2BDB"/>
    <w:rsid w:val="002F2CC0"/>
    <w:rsid w:val="002F2D1C"/>
    <w:rsid w:val="002F300D"/>
    <w:rsid w:val="002F315D"/>
    <w:rsid w:val="002F3168"/>
    <w:rsid w:val="002F3251"/>
    <w:rsid w:val="002F32B8"/>
    <w:rsid w:val="002F330D"/>
    <w:rsid w:val="002F33EF"/>
    <w:rsid w:val="002F3604"/>
    <w:rsid w:val="002F3652"/>
    <w:rsid w:val="002F3670"/>
    <w:rsid w:val="002F3703"/>
    <w:rsid w:val="002F373B"/>
    <w:rsid w:val="002F3AA5"/>
    <w:rsid w:val="002F3BA6"/>
    <w:rsid w:val="002F3CFF"/>
    <w:rsid w:val="002F3D40"/>
    <w:rsid w:val="002F3DA5"/>
    <w:rsid w:val="002F3F73"/>
    <w:rsid w:val="002F40C4"/>
    <w:rsid w:val="002F40D7"/>
    <w:rsid w:val="002F463E"/>
    <w:rsid w:val="002F46DA"/>
    <w:rsid w:val="002F479C"/>
    <w:rsid w:val="002F4AB4"/>
    <w:rsid w:val="002F4B0D"/>
    <w:rsid w:val="002F4BC7"/>
    <w:rsid w:val="002F4C1B"/>
    <w:rsid w:val="002F4C3E"/>
    <w:rsid w:val="002F4C6F"/>
    <w:rsid w:val="002F4D23"/>
    <w:rsid w:val="002F4D55"/>
    <w:rsid w:val="002F4DA0"/>
    <w:rsid w:val="002F4F4D"/>
    <w:rsid w:val="002F4FCA"/>
    <w:rsid w:val="002F5017"/>
    <w:rsid w:val="002F50DE"/>
    <w:rsid w:val="002F53A8"/>
    <w:rsid w:val="002F5471"/>
    <w:rsid w:val="002F5505"/>
    <w:rsid w:val="002F564A"/>
    <w:rsid w:val="002F569B"/>
    <w:rsid w:val="002F57D9"/>
    <w:rsid w:val="002F590C"/>
    <w:rsid w:val="002F59B9"/>
    <w:rsid w:val="002F5A1D"/>
    <w:rsid w:val="002F5A4F"/>
    <w:rsid w:val="002F5AB8"/>
    <w:rsid w:val="002F5B25"/>
    <w:rsid w:val="002F5D22"/>
    <w:rsid w:val="002F5DAC"/>
    <w:rsid w:val="002F5DBA"/>
    <w:rsid w:val="002F5DDE"/>
    <w:rsid w:val="002F5E59"/>
    <w:rsid w:val="002F5F1B"/>
    <w:rsid w:val="002F5F25"/>
    <w:rsid w:val="002F5F6E"/>
    <w:rsid w:val="002F60F6"/>
    <w:rsid w:val="002F611E"/>
    <w:rsid w:val="002F618A"/>
    <w:rsid w:val="002F6228"/>
    <w:rsid w:val="002F6251"/>
    <w:rsid w:val="002F627D"/>
    <w:rsid w:val="002F6295"/>
    <w:rsid w:val="002F62A4"/>
    <w:rsid w:val="002F630B"/>
    <w:rsid w:val="002F6402"/>
    <w:rsid w:val="002F64FB"/>
    <w:rsid w:val="002F6527"/>
    <w:rsid w:val="002F6595"/>
    <w:rsid w:val="002F6706"/>
    <w:rsid w:val="002F6792"/>
    <w:rsid w:val="002F67B4"/>
    <w:rsid w:val="002F67BE"/>
    <w:rsid w:val="002F6939"/>
    <w:rsid w:val="002F69DE"/>
    <w:rsid w:val="002F6C24"/>
    <w:rsid w:val="002F6C4C"/>
    <w:rsid w:val="002F6D51"/>
    <w:rsid w:val="002F6E29"/>
    <w:rsid w:val="002F6FF9"/>
    <w:rsid w:val="002F7011"/>
    <w:rsid w:val="002F70CB"/>
    <w:rsid w:val="002F7189"/>
    <w:rsid w:val="002F72BB"/>
    <w:rsid w:val="002F72ED"/>
    <w:rsid w:val="002F734A"/>
    <w:rsid w:val="002F7407"/>
    <w:rsid w:val="002F742E"/>
    <w:rsid w:val="002F7461"/>
    <w:rsid w:val="002F747D"/>
    <w:rsid w:val="002F75CF"/>
    <w:rsid w:val="002F75F8"/>
    <w:rsid w:val="002F7700"/>
    <w:rsid w:val="002F7930"/>
    <w:rsid w:val="002F79B0"/>
    <w:rsid w:val="002F7A1E"/>
    <w:rsid w:val="002F7A52"/>
    <w:rsid w:val="002F7A7C"/>
    <w:rsid w:val="002F7B7B"/>
    <w:rsid w:val="002F7C66"/>
    <w:rsid w:val="002F7C7C"/>
    <w:rsid w:val="002F7D69"/>
    <w:rsid w:val="002F7EB8"/>
    <w:rsid w:val="0030001B"/>
    <w:rsid w:val="0030003F"/>
    <w:rsid w:val="00300102"/>
    <w:rsid w:val="0030015E"/>
    <w:rsid w:val="003001AF"/>
    <w:rsid w:val="00300354"/>
    <w:rsid w:val="00300362"/>
    <w:rsid w:val="00300406"/>
    <w:rsid w:val="00300413"/>
    <w:rsid w:val="00300462"/>
    <w:rsid w:val="003004ED"/>
    <w:rsid w:val="00300509"/>
    <w:rsid w:val="0030057B"/>
    <w:rsid w:val="003005C8"/>
    <w:rsid w:val="0030067A"/>
    <w:rsid w:val="0030067C"/>
    <w:rsid w:val="003007FF"/>
    <w:rsid w:val="00300808"/>
    <w:rsid w:val="003008D8"/>
    <w:rsid w:val="003008DE"/>
    <w:rsid w:val="00300ACB"/>
    <w:rsid w:val="00300B35"/>
    <w:rsid w:val="00300B46"/>
    <w:rsid w:val="00300D8C"/>
    <w:rsid w:val="00300E9F"/>
    <w:rsid w:val="00301072"/>
    <w:rsid w:val="0030112B"/>
    <w:rsid w:val="003011CB"/>
    <w:rsid w:val="00301214"/>
    <w:rsid w:val="00301277"/>
    <w:rsid w:val="00301312"/>
    <w:rsid w:val="003013FB"/>
    <w:rsid w:val="003014F8"/>
    <w:rsid w:val="00301522"/>
    <w:rsid w:val="003015E3"/>
    <w:rsid w:val="003016B2"/>
    <w:rsid w:val="003017CD"/>
    <w:rsid w:val="003019E2"/>
    <w:rsid w:val="00301A1F"/>
    <w:rsid w:val="00301AB4"/>
    <w:rsid w:val="00301B75"/>
    <w:rsid w:val="00301C7E"/>
    <w:rsid w:val="00301F5E"/>
    <w:rsid w:val="00302051"/>
    <w:rsid w:val="003021B4"/>
    <w:rsid w:val="00302400"/>
    <w:rsid w:val="00302466"/>
    <w:rsid w:val="00302481"/>
    <w:rsid w:val="003024FA"/>
    <w:rsid w:val="00302642"/>
    <w:rsid w:val="003028EE"/>
    <w:rsid w:val="00302969"/>
    <w:rsid w:val="00302BA7"/>
    <w:rsid w:val="00302BB3"/>
    <w:rsid w:val="00302CB0"/>
    <w:rsid w:val="00302D70"/>
    <w:rsid w:val="00302F99"/>
    <w:rsid w:val="00302FCB"/>
    <w:rsid w:val="00302FEF"/>
    <w:rsid w:val="003031AE"/>
    <w:rsid w:val="00303365"/>
    <w:rsid w:val="00303436"/>
    <w:rsid w:val="003034DB"/>
    <w:rsid w:val="0030364C"/>
    <w:rsid w:val="003036B3"/>
    <w:rsid w:val="003037E5"/>
    <w:rsid w:val="0030383A"/>
    <w:rsid w:val="00303958"/>
    <w:rsid w:val="003039A8"/>
    <w:rsid w:val="003039C7"/>
    <w:rsid w:val="00303A97"/>
    <w:rsid w:val="00303B0F"/>
    <w:rsid w:val="00303C33"/>
    <w:rsid w:val="00303D0B"/>
    <w:rsid w:val="00303D94"/>
    <w:rsid w:val="00303E19"/>
    <w:rsid w:val="00303E95"/>
    <w:rsid w:val="00303F8C"/>
    <w:rsid w:val="003040EF"/>
    <w:rsid w:val="003041E9"/>
    <w:rsid w:val="00304227"/>
    <w:rsid w:val="00304381"/>
    <w:rsid w:val="0030439D"/>
    <w:rsid w:val="003043A2"/>
    <w:rsid w:val="00304698"/>
    <w:rsid w:val="003046D1"/>
    <w:rsid w:val="00304738"/>
    <w:rsid w:val="00304744"/>
    <w:rsid w:val="0030477B"/>
    <w:rsid w:val="003047D7"/>
    <w:rsid w:val="003047FF"/>
    <w:rsid w:val="00304873"/>
    <w:rsid w:val="00304994"/>
    <w:rsid w:val="00304A59"/>
    <w:rsid w:val="00304AD0"/>
    <w:rsid w:val="00304B82"/>
    <w:rsid w:val="00304C36"/>
    <w:rsid w:val="00304CE2"/>
    <w:rsid w:val="00304D5C"/>
    <w:rsid w:val="00304D91"/>
    <w:rsid w:val="00304DA1"/>
    <w:rsid w:val="00304DD4"/>
    <w:rsid w:val="00304E9D"/>
    <w:rsid w:val="00304EFB"/>
    <w:rsid w:val="00304F24"/>
    <w:rsid w:val="00304FC4"/>
    <w:rsid w:val="003050E7"/>
    <w:rsid w:val="0030522D"/>
    <w:rsid w:val="003052BD"/>
    <w:rsid w:val="003052D9"/>
    <w:rsid w:val="0030539B"/>
    <w:rsid w:val="003053CB"/>
    <w:rsid w:val="003054A0"/>
    <w:rsid w:val="003054FE"/>
    <w:rsid w:val="00305597"/>
    <w:rsid w:val="00305648"/>
    <w:rsid w:val="00305653"/>
    <w:rsid w:val="003059E4"/>
    <w:rsid w:val="00305A15"/>
    <w:rsid w:val="00305A35"/>
    <w:rsid w:val="00305A96"/>
    <w:rsid w:val="00305AD1"/>
    <w:rsid w:val="00305B6F"/>
    <w:rsid w:val="00305B97"/>
    <w:rsid w:val="00305BA5"/>
    <w:rsid w:val="00305C56"/>
    <w:rsid w:val="00305CD9"/>
    <w:rsid w:val="00305DD0"/>
    <w:rsid w:val="00305F62"/>
    <w:rsid w:val="0030615E"/>
    <w:rsid w:val="003061BE"/>
    <w:rsid w:val="003062FE"/>
    <w:rsid w:val="0030630A"/>
    <w:rsid w:val="0030635D"/>
    <w:rsid w:val="00306447"/>
    <w:rsid w:val="00306496"/>
    <w:rsid w:val="003064C1"/>
    <w:rsid w:val="00306580"/>
    <w:rsid w:val="003065B5"/>
    <w:rsid w:val="00306728"/>
    <w:rsid w:val="00306799"/>
    <w:rsid w:val="003068C1"/>
    <w:rsid w:val="0030691A"/>
    <w:rsid w:val="00306945"/>
    <w:rsid w:val="00306954"/>
    <w:rsid w:val="00306978"/>
    <w:rsid w:val="0030699E"/>
    <w:rsid w:val="003069FE"/>
    <w:rsid w:val="00306A38"/>
    <w:rsid w:val="00306B35"/>
    <w:rsid w:val="00306D60"/>
    <w:rsid w:val="00306D62"/>
    <w:rsid w:val="00306EAE"/>
    <w:rsid w:val="00306F98"/>
    <w:rsid w:val="00306FBA"/>
    <w:rsid w:val="00306FE7"/>
    <w:rsid w:val="00307002"/>
    <w:rsid w:val="003071AD"/>
    <w:rsid w:val="00307228"/>
    <w:rsid w:val="0030727E"/>
    <w:rsid w:val="003073DD"/>
    <w:rsid w:val="0030748A"/>
    <w:rsid w:val="0030754D"/>
    <w:rsid w:val="00307874"/>
    <w:rsid w:val="0030795E"/>
    <w:rsid w:val="00307BDA"/>
    <w:rsid w:val="00307BE8"/>
    <w:rsid w:val="00307C0E"/>
    <w:rsid w:val="00307DCD"/>
    <w:rsid w:val="00307E02"/>
    <w:rsid w:val="00307E93"/>
    <w:rsid w:val="00307EAF"/>
    <w:rsid w:val="00310054"/>
    <w:rsid w:val="0031007A"/>
    <w:rsid w:val="003100B5"/>
    <w:rsid w:val="00310296"/>
    <w:rsid w:val="00310317"/>
    <w:rsid w:val="0031039E"/>
    <w:rsid w:val="00310467"/>
    <w:rsid w:val="00310504"/>
    <w:rsid w:val="003106EB"/>
    <w:rsid w:val="0031087C"/>
    <w:rsid w:val="003108D6"/>
    <w:rsid w:val="0031096E"/>
    <w:rsid w:val="0031099A"/>
    <w:rsid w:val="00310AFB"/>
    <w:rsid w:val="00310B3B"/>
    <w:rsid w:val="00310C81"/>
    <w:rsid w:val="00310DBF"/>
    <w:rsid w:val="00310DFA"/>
    <w:rsid w:val="00310F03"/>
    <w:rsid w:val="00310FCB"/>
    <w:rsid w:val="00310FE6"/>
    <w:rsid w:val="00311010"/>
    <w:rsid w:val="00311055"/>
    <w:rsid w:val="003113A0"/>
    <w:rsid w:val="003113A8"/>
    <w:rsid w:val="00311422"/>
    <w:rsid w:val="0031155F"/>
    <w:rsid w:val="00311682"/>
    <w:rsid w:val="003117E0"/>
    <w:rsid w:val="0031195E"/>
    <w:rsid w:val="0031196E"/>
    <w:rsid w:val="00311971"/>
    <w:rsid w:val="00311ABA"/>
    <w:rsid w:val="00311B0F"/>
    <w:rsid w:val="00311B26"/>
    <w:rsid w:val="00311C22"/>
    <w:rsid w:val="00311CD3"/>
    <w:rsid w:val="00311E09"/>
    <w:rsid w:val="00311EDA"/>
    <w:rsid w:val="00311F13"/>
    <w:rsid w:val="00311F77"/>
    <w:rsid w:val="003120E8"/>
    <w:rsid w:val="00312154"/>
    <w:rsid w:val="00312269"/>
    <w:rsid w:val="0031228B"/>
    <w:rsid w:val="0031229B"/>
    <w:rsid w:val="0031237E"/>
    <w:rsid w:val="00312380"/>
    <w:rsid w:val="00312438"/>
    <w:rsid w:val="00312482"/>
    <w:rsid w:val="003125DF"/>
    <w:rsid w:val="003126D8"/>
    <w:rsid w:val="003127B1"/>
    <w:rsid w:val="003127D1"/>
    <w:rsid w:val="00312890"/>
    <w:rsid w:val="00312958"/>
    <w:rsid w:val="003129BC"/>
    <w:rsid w:val="00312BB4"/>
    <w:rsid w:val="00312C3D"/>
    <w:rsid w:val="00312C68"/>
    <w:rsid w:val="00312E20"/>
    <w:rsid w:val="00312E7B"/>
    <w:rsid w:val="00312F05"/>
    <w:rsid w:val="00312F12"/>
    <w:rsid w:val="00312F4E"/>
    <w:rsid w:val="00312F59"/>
    <w:rsid w:val="00312F5B"/>
    <w:rsid w:val="00312FF6"/>
    <w:rsid w:val="0031305F"/>
    <w:rsid w:val="00313290"/>
    <w:rsid w:val="003132BD"/>
    <w:rsid w:val="0031338E"/>
    <w:rsid w:val="003133B5"/>
    <w:rsid w:val="003133E2"/>
    <w:rsid w:val="00313580"/>
    <w:rsid w:val="003136B9"/>
    <w:rsid w:val="003136BE"/>
    <w:rsid w:val="003136E0"/>
    <w:rsid w:val="003137DC"/>
    <w:rsid w:val="0031381F"/>
    <w:rsid w:val="00313B33"/>
    <w:rsid w:val="00313C24"/>
    <w:rsid w:val="00313C9E"/>
    <w:rsid w:val="00313D61"/>
    <w:rsid w:val="00313DDE"/>
    <w:rsid w:val="00313DFD"/>
    <w:rsid w:val="00313E3B"/>
    <w:rsid w:val="00313FE7"/>
    <w:rsid w:val="0031401E"/>
    <w:rsid w:val="0031405C"/>
    <w:rsid w:val="00314086"/>
    <w:rsid w:val="0031414F"/>
    <w:rsid w:val="003141F6"/>
    <w:rsid w:val="00314297"/>
    <w:rsid w:val="003142D1"/>
    <w:rsid w:val="00314308"/>
    <w:rsid w:val="003143DD"/>
    <w:rsid w:val="00314450"/>
    <w:rsid w:val="00314740"/>
    <w:rsid w:val="00314758"/>
    <w:rsid w:val="00314822"/>
    <w:rsid w:val="00314832"/>
    <w:rsid w:val="003148F7"/>
    <w:rsid w:val="003149A8"/>
    <w:rsid w:val="00314A0F"/>
    <w:rsid w:val="00314BBF"/>
    <w:rsid w:val="00314C65"/>
    <w:rsid w:val="00314EC4"/>
    <w:rsid w:val="00314F4C"/>
    <w:rsid w:val="00314FA9"/>
    <w:rsid w:val="00314FED"/>
    <w:rsid w:val="00315097"/>
    <w:rsid w:val="003150ED"/>
    <w:rsid w:val="00315196"/>
    <w:rsid w:val="0031522B"/>
    <w:rsid w:val="0031537C"/>
    <w:rsid w:val="003153BF"/>
    <w:rsid w:val="003153FC"/>
    <w:rsid w:val="0031545E"/>
    <w:rsid w:val="003154D7"/>
    <w:rsid w:val="003154EE"/>
    <w:rsid w:val="003155CF"/>
    <w:rsid w:val="0031560B"/>
    <w:rsid w:val="00315670"/>
    <w:rsid w:val="003156F2"/>
    <w:rsid w:val="00315911"/>
    <w:rsid w:val="00315ABF"/>
    <w:rsid w:val="00315B01"/>
    <w:rsid w:val="00315C5C"/>
    <w:rsid w:val="00315CE6"/>
    <w:rsid w:val="00315E1F"/>
    <w:rsid w:val="00315F34"/>
    <w:rsid w:val="00315FE0"/>
    <w:rsid w:val="0031613B"/>
    <w:rsid w:val="00316343"/>
    <w:rsid w:val="00316380"/>
    <w:rsid w:val="0031639D"/>
    <w:rsid w:val="0031639F"/>
    <w:rsid w:val="003163BA"/>
    <w:rsid w:val="0031647E"/>
    <w:rsid w:val="003165DF"/>
    <w:rsid w:val="003166BF"/>
    <w:rsid w:val="003167BF"/>
    <w:rsid w:val="003167E1"/>
    <w:rsid w:val="0031694A"/>
    <w:rsid w:val="0031695A"/>
    <w:rsid w:val="00316A39"/>
    <w:rsid w:val="00316B90"/>
    <w:rsid w:val="00316BB4"/>
    <w:rsid w:val="00316BD1"/>
    <w:rsid w:val="00316C41"/>
    <w:rsid w:val="00316D46"/>
    <w:rsid w:val="00316F70"/>
    <w:rsid w:val="00316FB9"/>
    <w:rsid w:val="00316FF7"/>
    <w:rsid w:val="00317135"/>
    <w:rsid w:val="00317149"/>
    <w:rsid w:val="003172AB"/>
    <w:rsid w:val="003174CB"/>
    <w:rsid w:val="0031752E"/>
    <w:rsid w:val="0031762F"/>
    <w:rsid w:val="003176A1"/>
    <w:rsid w:val="003176CD"/>
    <w:rsid w:val="0031774E"/>
    <w:rsid w:val="003177D7"/>
    <w:rsid w:val="00317843"/>
    <w:rsid w:val="00317A73"/>
    <w:rsid w:val="00317B2B"/>
    <w:rsid w:val="00317B6B"/>
    <w:rsid w:val="00317C0E"/>
    <w:rsid w:val="00317C45"/>
    <w:rsid w:val="00317C51"/>
    <w:rsid w:val="00317DCD"/>
    <w:rsid w:val="00317E79"/>
    <w:rsid w:val="00317FAF"/>
    <w:rsid w:val="00317FDC"/>
    <w:rsid w:val="0031FC40"/>
    <w:rsid w:val="0032008B"/>
    <w:rsid w:val="003200CA"/>
    <w:rsid w:val="003202A1"/>
    <w:rsid w:val="00320318"/>
    <w:rsid w:val="0032033F"/>
    <w:rsid w:val="003203AD"/>
    <w:rsid w:val="0032042E"/>
    <w:rsid w:val="00320524"/>
    <w:rsid w:val="00320551"/>
    <w:rsid w:val="00320582"/>
    <w:rsid w:val="00320666"/>
    <w:rsid w:val="003206CA"/>
    <w:rsid w:val="00320809"/>
    <w:rsid w:val="00320991"/>
    <w:rsid w:val="003209D2"/>
    <w:rsid w:val="00320A54"/>
    <w:rsid w:val="00320AFB"/>
    <w:rsid w:val="00320B7B"/>
    <w:rsid w:val="00320CC7"/>
    <w:rsid w:val="00320CC9"/>
    <w:rsid w:val="00320DD1"/>
    <w:rsid w:val="00320E33"/>
    <w:rsid w:val="00320FAF"/>
    <w:rsid w:val="00321025"/>
    <w:rsid w:val="003211A3"/>
    <w:rsid w:val="003211A5"/>
    <w:rsid w:val="003211C8"/>
    <w:rsid w:val="003211CE"/>
    <w:rsid w:val="00321278"/>
    <w:rsid w:val="003212CE"/>
    <w:rsid w:val="0032133C"/>
    <w:rsid w:val="00321361"/>
    <w:rsid w:val="003213D1"/>
    <w:rsid w:val="00321451"/>
    <w:rsid w:val="00321631"/>
    <w:rsid w:val="00321790"/>
    <w:rsid w:val="0032198E"/>
    <w:rsid w:val="00321998"/>
    <w:rsid w:val="003219EF"/>
    <w:rsid w:val="00321AA2"/>
    <w:rsid w:val="00321CCF"/>
    <w:rsid w:val="00321EAF"/>
    <w:rsid w:val="00321EFB"/>
    <w:rsid w:val="00321EFE"/>
    <w:rsid w:val="00321F1A"/>
    <w:rsid w:val="0032210D"/>
    <w:rsid w:val="0032229C"/>
    <w:rsid w:val="003223DB"/>
    <w:rsid w:val="00322403"/>
    <w:rsid w:val="00322445"/>
    <w:rsid w:val="003224A1"/>
    <w:rsid w:val="0032255B"/>
    <w:rsid w:val="00322787"/>
    <w:rsid w:val="003227B0"/>
    <w:rsid w:val="003227BB"/>
    <w:rsid w:val="00322893"/>
    <w:rsid w:val="0032292F"/>
    <w:rsid w:val="00322C00"/>
    <w:rsid w:val="00322C5A"/>
    <w:rsid w:val="00322C7C"/>
    <w:rsid w:val="00322CA7"/>
    <w:rsid w:val="00322DCD"/>
    <w:rsid w:val="00322E25"/>
    <w:rsid w:val="00322E7F"/>
    <w:rsid w:val="00322F9C"/>
    <w:rsid w:val="00322FA0"/>
    <w:rsid w:val="00322FA2"/>
    <w:rsid w:val="00323051"/>
    <w:rsid w:val="00323183"/>
    <w:rsid w:val="00323262"/>
    <w:rsid w:val="00323288"/>
    <w:rsid w:val="003232B0"/>
    <w:rsid w:val="003232D5"/>
    <w:rsid w:val="0032333C"/>
    <w:rsid w:val="00323356"/>
    <w:rsid w:val="0032337D"/>
    <w:rsid w:val="003234FA"/>
    <w:rsid w:val="00323513"/>
    <w:rsid w:val="003235EF"/>
    <w:rsid w:val="0032360A"/>
    <w:rsid w:val="003236D5"/>
    <w:rsid w:val="003236F1"/>
    <w:rsid w:val="00323850"/>
    <w:rsid w:val="003238FC"/>
    <w:rsid w:val="00323B76"/>
    <w:rsid w:val="00323B77"/>
    <w:rsid w:val="00323C42"/>
    <w:rsid w:val="00323D91"/>
    <w:rsid w:val="00323DAA"/>
    <w:rsid w:val="00323E46"/>
    <w:rsid w:val="00323EB0"/>
    <w:rsid w:val="00323F72"/>
    <w:rsid w:val="00324012"/>
    <w:rsid w:val="00324233"/>
    <w:rsid w:val="00324362"/>
    <w:rsid w:val="003243C8"/>
    <w:rsid w:val="00324454"/>
    <w:rsid w:val="00324477"/>
    <w:rsid w:val="00324563"/>
    <w:rsid w:val="003245ED"/>
    <w:rsid w:val="0032460A"/>
    <w:rsid w:val="0032470D"/>
    <w:rsid w:val="003247A2"/>
    <w:rsid w:val="003247B5"/>
    <w:rsid w:val="003247CE"/>
    <w:rsid w:val="003248A8"/>
    <w:rsid w:val="00324918"/>
    <w:rsid w:val="0032493C"/>
    <w:rsid w:val="003249AE"/>
    <w:rsid w:val="00324A22"/>
    <w:rsid w:val="00324B17"/>
    <w:rsid w:val="00324BCF"/>
    <w:rsid w:val="00324C1C"/>
    <w:rsid w:val="00324CCE"/>
    <w:rsid w:val="00324D7B"/>
    <w:rsid w:val="00324E72"/>
    <w:rsid w:val="00324E9D"/>
    <w:rsid w:val="00325027"/>
    <w:rsid w:val="003252A6"/>
    <w:rsid w:val="00325313"/>
    <w:rsid w:val="003254D3"/>
    <w:rsid w:val="00325538"/>
    <w:rsid w:val="003255FC"/>
    <w:rsid w:val="003256C5"/>
    <w:rsid w:val="003257DC"/>
    <w:rsid w:val="00325CD9"/>
    <w:rsid w:val="00325D14"/>
    <w:rsid w:val="00325E46"/>
    <w:rsid w:val="00325EA6"/>
    <w:rsid w:val="00325EAD"/>
    <w:rsid w:val="00325F98"/>
    <w:rsid w:val="00325F9E"/>
    <w:rsid w:val="0032600D"/>
    <w:rsid w:val="003260B6"/>
    <w:rsid w:val="003261E7"/>
    <w:rsid w:val="00326227"/>
    <w:rsid w:val="00326300"/>
    <w:rsid w:val="00326322"/>
    <w:rsid w:val="0032635B"/>
    <w:rsid w:val="003263DA"/>
    <w:rsid w:val="00326447"/>
    <w:rsid w:val="0032645A"/>
    <w:rsid w:val="00326623"/>
    <w:rsid w:val="003266C4"/>
    <w:rsid w:val="0032673E"/>
    <w:rsid w:val="003267E2"/>
    <w:rsid w:val="003268EF"/>
    <w:rsid w:val="003269AD"/>
    <w:rsid w:val="00326BC3"/>
    <w:rsid w:val="00326C7F"/>
    <w:rsid w:val="00326CE0"/>
    <w:rsid w:val="00326DF3"/>
    <w:rsid w:val="0032709C"/>
    <w:rsid w:val="003270F1"/>
    <w:rsid w:val="00327192"/>
    <w:rsid w:val="0032721B"/>
    <w:rsid w:val="00327254"/>
    <w:rsid w:val="00327275"/>
    <w:rsid w:val="00327312"/>
    <w:rsid w:val="00327334"/>
    <w:rsid w:val="003273D8"/>
    <w:rsid w:val="00327505"/>
    <w:rsid w:val="0032770F"/>
    <w:rsid w:val="003279E8"/>
    <w:rsid w:val="00327B6D"/>
    <w:rsid w:val="00327BC5"/>
    <w:rsid w:val="00327BF0"/>
    <w:rsid w:val="00327CF9"/>
    <w:rsid w:val="00327D03"/>
    <w:rsid w:val="00327D63"/>
    <w:rsid w:val="00327D67"/>
    <w:rsid w:val="00327E40"/>
    <w:rsid w:val="00327E56"/>
    <w:rsid w:val="00327EC5"/>
    <w:rsid w:val="00327FA5"/>
    <w:rsid w:val="00327FEB"/>
    <w:rsid w:val="0033001F"/>
    <w:rsid w:val="003300B0"/>
    <w:rsid w:val="00330111"/>
    <w:rsid w:val="00330119"/>
    <w:rsid w:val="00330190"/>
    <w:rsid w:val="00330191"/>
    <w:rsid w:val="0033029C"/>
    <w:rsid w:val="003304C5"/>
    <w:rsid w:val="003304CB"/>
    <w:rsid w:val="003304E5"/>
    <w:rsid w:val="003305BB"/>
    <w:rsid w:val="003305E5"/>
    <w:rsid w:val="0033075C"/>
    <w:rsid w:val="0033082C"/>
    <w:rsid w:val="00330945"/>
    <w:rsid w:val="00330A79"/>
    <w:rsid w:val="00330B24"/>
    <w:rsid w:val="00330B6A"/>
    <w:rsid w:val="00330D38"/>
    <w:rsid w:val="00330E32"/>
    <w:rsid w:val="00330E62"/>
    <w:rsid w:val="00330EE6"/>
    <w:rsid w:val="00330EFD"/>
    <w:rsid w:val="00330EFF"/>
    <w:rsid w:val="00330F90"/>
    <w:rsid w:val="003310E4"/>
    <w:rsid w:val="003310FA"/>
    <w:rsid w:val="0033141C"/>
    <w:rsid w:val="0033143F"/>
    <w:rsid w:val="00331452"/>
    <w:rsid w:val="0033149A"/>
    <w:rsid w:val="003314C5"/>
    <w:rsid w:val="003315F3"/>
    <w:rsid w:val="003317AA"/>
    <w:rsid w:val="003318BF"/>
    <w:rsid w:val="003318E5"/>
    <w:rsid w:val="003319F4"/>
    <w:rsid w:val="00331A13"/>
    <w:rsid w:val="00331A2E"/>
    <w:rsid w:val="00331A93"/>
    <w:rsid w:val="00331C17"/>
    <w:rsid w:val="00331CE5"/>
    <w:rsid w:val="00331D1E"/>
    <w:rsid w:val="00331D60"/>
    <w:rsid w:val="00331D9E"/>
    <w:rsid w:val="00331DC4"/>
    <w:rsid w:val="00331E2D"/>
    <w:rsid w:val="00331EC5"/>
    <w:rsid w:val="00331F6A"/>
    <w:rsid w:val="00331FD5"/>
    <w:rsid w:val="00332036"/>
    <w:rsid w:val="003320DA"/>
    <w:rsid w:val="003321E2"/>
    <w:rsid w:val="003321E9"/>
    <w:rsid w:val="00332222"/>
    <w:rsid w:val="003322A9"/>
    <w:rsid w:val="003322D2"/>
    <w:rsid w:val="0033232B"/>
    <w:rsid w:val="003324B7"/>
    <w:rsid w:val="003325C0"/>
    <w:rsid w:val="003325FA"/>
    <w:rsid w:val="00332623"/>
    <w:rsid w:val="00332782"/>
    <w:rsid w:val="003327EE"/>
    <w:rsid w:val="0033295B"/>
    <w:rsid w:val="003329BE"/>
    <w:rsid w:val="00332BB0"/>
    <w:rsid w:val="00332C4A"/>
    <w:rsid w:val="00332CA6"/>
    <w:rsid w:val="00332CC4"/>
    <w:rsid w:val="00332D15"/>
    <w:rsid w:val="00332D7F"/>
    <w:rsid w:val="00332DE4"/>
    <w:rsid w:val="00332DF2"/>
    <w:rsid w:val="00332F38"/>
    <w:rsid w:val="00332F68"/>
    <w:rsid w:val="00332F77"/>
    <w:rsid w:val="00332FA7"/>
    <w:rsid w:val="00332FDE"/>
    <w:rsid w:val="00333192"/>
    <w:rsid w:val="003331A6"/>
    <w:rsid w:val="003331EA"/>
    <w:rsid w:val="00333297"/>
    <w:rsid w:val="003332E2"/>
    <w:rsid w:val="0033331F"/>
    <w:rsid w:val="003333DF"/>
    <w:rsid w:val="003333ED"/>
    <w:rsid w:val="0033341F"/>
    <w:rsid w:val="0033349A"/>
    <w:rsid w:val="003334F3"/>
    <w:rsid w:val="00333599"/>
    <w:rsid w:val="003335F5"/>
    <w:rsid w:val="0033360F"/>
    <w:rsid w:val="003336A9"/>
    <w:rsid w:val="003336F8"/>
    <w:rsid w:val="00333739"/>
    <w:rsid w:val="003338FA"/>
    <w:rsid w:val="003339F8"/>
    <w:rsid w:val="00333AB6"/>
    <w:rsid w:val="00333B46"/>
    <w:rsid w:val="00333D21"/>
    <w:rsid w:val="00333D4B"/>
    <w:rsid w:val="00333D7A"/>
    <w:rsid w:val="00333F79"/>
    <w:rsid w:val="00333FE4"/>
    <w:rsid w:val="003340EE"/>
    <w:rsid w:val="0033413D"/>
    <w:rsid w:val="00334189"/>
    <w:rsid w:val="00334196"/>
    <w:rsid w:val="003342B7"/>
    <w:rsid w:val="003342B9"/>
    <w:rsid w:val="00334346"/>
    <w:rsid w:val="00334537"/>
    <w:rsid w:val="003345A6"/>
    <w:rsid w:val="003346BB"/>
    <w:rsid w:val="0033474B"/>
    <w:rsid w:val="00334768"/>
    <w:rsid w:val="00334787"/>
    <w:rsid w:val="003347EC"/>
    <w:rsid w:val="003348B6"/>
    <w:rsid w:val="00334904"/>
    <w:rsid w:val="003349E6"/>
    <w:rsid w:val="003349F3"/>
    <w:rsid w:val="00334D12"/>
    <w:rsid w:val="00334D94"/>
    <w:rsid w:val="00334DEE"/>
    <w:rsid w:val="00334F1D"/>
    <w:rsid w:val="00334F92"/>
    <w:rsid w:val="00334FA5"/>
    <w:rsid w:val="0033500D"/>
    <w:rsid w:val="0033510E"/>
    <w:rsid w:val="0033518C"/>
    <w:rsid w:val="00335204"/>
    <w:rsid w:val="003352F7"/>
    <w:rsid w:val="0033540A"/>
    <w:rsid w:val="003355D7"/>
    <w:rsid w:val="00335639"/>
    <w:rsid w:val="003356BE"/>
    <w:rsid w:val="003357C2"/>
    <w:rsid w:val="003357CC"/>
    <w:rsid w:val="003358AA"/>
    <w:rsid w:val="003358C4"/>
    <w:rsid w:val="003358C5"/>
    <w:rsid w:val="00335948"/>
    <w:rsid w:val="00335958"/>
    <w:rsid w:val="003359E3"/>
    <w:rsid w:val="00335B84"/>
    <w:rsid w:val="00335B8F"/>
    <w:rsid w:val="00335BDB"/>
    <w:rsid w:val="00335CDC"/>
    <w:rsid w:val="00335D61"/>
    <w:rsid w:val="00335D7E"/>
    <w:rsid w:val="00335DA0"/>
    <w:rsid w:val="00335DC3"/>
    <w:rsid w:val="00335EEE"/>
    <w:rsid w:val="00335FC8"/>
    <w:rsid w:val="0033624F"/>
    <w:rsid w:val="003362BF"/>
    <w:rsid w:val="00336310"/>
    <w:rsid w:val="003364EA"/>
    <w:rsid w:val="00336536"/>
    <w:rsid w:val="00336583"/>
    <w:rsid w:val="00336624"/>
    <w:rsid w:val="0033669A"/>
    <w:rsid w:val="0033679F"/>
    <w:rsid w:val="003367BC"/>
    <w:rsid w:val="00336804"/>
    <w:rsid w:val="00336866"/>
    <w:rsid w:val="003368D8"/>
    <w:rsid w:val="00336904"/>
    <w:rsid w:val="003369B2"/>
    <w:rsid w:val="003369F9"/>
    <w:rsid w:val="00336A31"/>
    <w:rsid w:val="00336C37"/>
    <w:rsid w:val="00336D0D"/>
    <w:rsid w:val="00336E27"/>
    <w:rsid w:val="00336EB2"/>
    <w:rsid w:val="00336F12"/>
    <w:rsid w:val="00337033"/>
    <w:rsid w:val="0033706D"/>
    <w:rsid w:val="003371AC"/>
    <w:rsid w:val="00337381"/>
    <w:rsid w:val="003374B7"/>
    <w:rsid w:val="003374F2"/>
    <w:rsid w:val="00337671"/>
    <w:rsid w:val="003376F7"/>
    <w:rsid w:val="00337705"/>
    <w:rsid w:val="003377CE"/>
    <w:rsid w:val="00337864"/>
    <w:rsid w:val="003378EC"/>
    <w:rsid w:val="003378F7"/>
    <w:rsid w:val="00337937"/>
    <w:rsid w:val="003379BE"/>
    <w:rsid w:val="00337A9F"/>
    <w:rsid w:val="00337C70"/>
    <w:rsid w:val="00337D06"/>
    <w:rsid w:val="00337D77"/>
    <w:rsid w:val="00337DD4"/>
    <w:rsid w:val="00337DD9"/>
    <w:rsid w:val="00337E70"/>
    <w:rsid w:val="00337FC3"/>
    <w:rsid w:val="00340040"/>
    <w:rsid w:val="0034012F"/>
    <w:rsid w:val="00340182"/>
    <w:rsid w:val="0034021C"/>
    <w:rsid w:val="0034021D"/>
    <w:rsid w:val="00340356"/>
    <w:rsid w:val="003403D8"/>
    <w:rsid w:val="003403E6"/>
    <w:rsid w:val="003404DB"/>
    <w:rsid w:val="00340658"/>
    <w:rsid w:val="0034071C"/>
    <w:rsid w:val="0034082F"/>
    <w:rsid w:val="00340945"/>
    <w:rsid w:val="00340B06"/>
    <w:rsid w:val="00340B28"/>
    <w:rsid w:val="00340BA1"/>
    <w:rsid w:val="00340BC0"/>
    <w:rsid w:val="00340C35"/>
    <w:rsid w:val="00340C96"/>
    <w:rsid w:val="00340EFA"/>
    <w:rsid w:val="00340F2F"/>
    <w:rsid w:val="00341264"/>
    <w:rsid w:val="003412E5"/>
    <w:rsid w:val="0034134C"/>
    <w:rsid w:val="00341359"/>
    <w:rsid w:val="00341520"/>
    <w:rsid w:val="00341924"/>
    <w:rsid w:val="0034192C"/>
    <w:rsid w:val="00341AD5"/>
    <w:rsid w:val="00341DCA"/>
    <w:rsid w:val="00341E7C"/>
    <w:rsid w:val="00342045"/>
    <w:rsid w:val="00342069"/>
    <w:rsid w:val="00342095"/>
    <w:rsid w:val="003420AE"/>
    <w:rsid w:val="00342145"/>
    <w:rsid w:val="003421AD"/>
    <w:rsid w:val="0034227B"/>
    <w:rsid w:val="003422B6"/>
    <w:rsid w:val="00342422"/>
    <w:rsid w:val="0034243F"/>
    <w:rsid w:val="00342530"/>
    <w:rsid w:val="00342586"/>
    <w:rsid w:val="003425F1"/>
    <w:rsid w:val="0034265E"/>
    <w:rsid w:val="003427E6"/>
    <w:rsid w:val="00342A38"/>
    <w:rsid w:val="00342B34"/>
    <w:rsid w:val="00342B48"/>
    <w:rsid w:val="00342B57"/>
    <w:rsid w:val="00342C53"/>
    <w:rsid w:val="00342D17"/>
    <w:rsid w:val="00342D77"/>
    <w:rsid w:val="00342DC0"/>
    <w:rsid w:val="00342F87"/>
    <w:rsid w:val="00342FE8"/>
    <w:rsid w:val="00343013"/>
    <w:rsid w:val="003430B0"/>
    <w:rsid w:val="003430FF"/>
    <w:rsid w:val="003431B4"/>
    <w:rsid w:val="003431F4"/>
    <w:rsid w:val="00343232"/>
    <w:rsid w:val="00343251"/>
    <w:rsid w:val="0034338C"/>
    <w:rsid w:val="00343787"/>
    <w:rsid w:val="00343983"/>
    <w:rsid w:val="003439D9"/>
    <w:rsid w:val="00343A0E"/>
    <w:rsid w:val="00343B49"/>
    <w:rsid w:val="00343BFA"/>
    <w:rsid w:val="00343C33"/>
    <w:rsid w:val="00343DA7"/>
    <w:rsid w:val="00343E00"/>
    <w:rsid w:val="00343F1E"/>
    <w:rsid w:val="00344045"/>
    <w:rsid w:val="0034404C"/>
    <w:rsid w:val="003441E0"/>
    <w:rsid w:val="00344210"/>
    <w:rsid w:val="00344450"/>
    <w:rsid w:val="00344550"/>
    <w:rsid w:val="003447DF"/>
    <w:rsid w:val="00344849"/>
    <w:rsid w:val="003448BD"/>
    <w:rsid w:val="003448DE"/>
    <w:rsid w:val="0034493F"/>
    <w:rsid w:val="00344950"/>
    <w:rsid w:val="00344A85"/>
    <w:rsid w:val="00344AE3"/>
    <w:rsid w:val="00344B5B"/>
    <w:rsid w:val="00344B80"/>
    <w:rsid w:val="00344BCE"/>
    <w:rsid w:val="00344C3B"/>
    <w:rsid w:val="00344C59"/>
    <w:rsid w:val="00344DD9"/>
    <w:rsid w:val="00344E22"/>
    <w:rsid w:val="00344E83"/>
    <w:rsid w:val="00344EC1"/>
    <w:rsid w:val="00344F33"/>
    <w:rsid w:val="00344F58"/>
    <w:rsid w:val="00344F93"/>
    <w:rsid w:val="00344FDF"/>
    <w:rsid w:val="00344FE4"/>
    <w:rsid w:val="00344FE5"/>
    <w:rsid w:val="00344FF0"/>
    <w:rsid w:val="003451D3"/>
    <w:rsid w:val="0034523B"/>
    <w:rsid w:val="003453B4"/>
    <w:rsid w:val="003453DB"/>
    <w:rsid w:val="003454BC"/>
    <w:rsid w:val="00345546"/>
    <w:rsid w:val="003456C8"/>
    <w:rsid w:val="00345820"/>
    <w:rsid w:val="00345830"/>
    <w:rsid w:val="003458A6"/>
    <w:rsid w:val="003458D6"/>
    <w:rsid w:val="003459C1"/>
    <w:rsid w:val="003459ED"/>
    <w:rsid w:val="00345A0F"/>
    <w:rsid w:val="00345A30"/>
    <w:rsid w:val="00345A43"/>
    <w:rsid w:val="00345C85"/>
    <w:rsid w:val="00345D9F"/>
    <w:rsid w:val="00345E89"/>
    <w:rsid w:val="00345EA7"/>
    <w:rsid w:val="00345EF8"/>
    <w:rsid w:val="00345F6A"/>
    <w:rsid w:val="00345F91"/>
    <w:rsid w:val="00345F92"/>
    <w:rsid w:val="0034605E"/>
    <w:rsid w:val="003460A9"/>
    <w:rsid w:val="00346183"/>
    <w:rsid w:val="0034631F"/>
    <w:rsid w:val="0034642D"/>
    <w:rsid w:val="003465E4"/>
    <w:rsid w:val="003465F6"/>
    <w:rsid w:val="00346760"/>
    <w:rsid w:val="003468A4"/>
    <w:rsid w:val="003469EB"/>
    <w:rsid w:val="00346AB1"/>
    <w:rsid w:val="00346AB8"/>
    <w:rsid w:val="00346BD3"/>
    <w:rsid w:val="00346CB5"/>
    <w:rsid w:val="00346D14"/>
    <w:rsid w:val="00346D2C"/>
    <w:rsid w:val="00346E06"/>
    <w:rsid w:val="00346E98"/>
    <w:rsid w:val="00346F3A"/>
    <w:rsid w:val="00346F47"/>
    <w:rsid w:val="00346FAE"/>
    <w:rsid w:val="00347111"/>
    <w:rsid w:val="003471A2"/>
    <w:rsid w:val="003471AC"/>
    <w:rsid w:val="00347232"/>
    <w:rsid w:val="00347265"/>
    <w:rsid w:val="00347266"/>
    <w:rsid w:val="003472DF"/>
    <w:rsid w:val="00347354"/>
    <w:rsid w:val="003473B1"/>
    <w:rsid w:val="003473F8"/>
    <w:rsid w:val="0034740C"/>
    <w:rsid w:val="003474EE"/>
    <w:rsid w:val="003474F1"/>
    <w:rsid w:val="0034754B"/>
    <w:rsid w:val="0034763B"/>
    <w:rsid w:val="00347696"/>
    <w:rsid w:val="00347727"/>
    <w:rsid w:val="003477BC"/>
    <w:rsid w:val="00347959"/>
    <w:rsid w:val="00347A0A"/>
    <w:rsid w:val="00347A3E"/>
    <w:rsid w:val="00347A4F"/>
    <w:rsid w:val="00347C01"/>
    <w:rsid w:val="00347C45"/>
    <w:rsid w:val="00347D78"/>
    <w:rsid w:val="00350147"/>
    <w:rsid w:val="0035018A"/>
    <w:rsid w:val="003501EE"/>
    <w:rsid w:val="003502A8"/>
    <w:rsid w:val="003502B5"/>
    <w:rsid w:val="0035033D"/>
    <w:rsid w:val="0035043A"/>
    <w:rsid w:val="00350478"/>
    <w:rsid w:val="0035048E"/>
    <w:rsid w:val="00350490"/>
    <w:rsid w:val="003505A4"/>
    <w:rsid w:val="00350604"/>
    <w:rsid w:val="003506CB"/>
    <w:rsid w:val="003506EA"/>
    <w:rsid w:val="0035075D"/>
    <w:rsid w:val="00350864"/>
    <w:rsid w:val="00350A5C"/>
    <w:rsid w:val="00350ACB"/>
    <w:rsid w:val="00350C5C"/>
    <w:rsid w:val="00350CE6"/>
    <w:rsid w:val="00350D73"/>
    <w:rsid w:val="00351024"/>
    <w:rsid w:val="0035106C"/>
    <w:rsid w:val="003510AE"/>
    <w:rsid w:val="0035112F"/>
    <w:rsid w:val="0035129F"/>
    <w:rsid w:val="0035143C"/>
    <w:rsid w:val="0035144A"/>
    <w:rsid w:val="0035145C"/>
    <w:rsid w:val="00351499"/>
    <w:rsid w:val="00351517"/>
    <w:rsid w:val="003515F0"/>
    <w:rsid w:val="003515FA"/>
    <w:rsid w:val="003516FA"/>
    <w:rsid w:val="00351792"/>
    <w:rsid w:val="003517EF"/>
    <w:rsid w:val="0035189C"/>
    <w:rsid w:val="003519E1"/>
    <w:rsid w:val="00351B7C"/>
    <w:rsid w:val="00351CCC"/>
    <w:rsid w:val="00351D2C"/>
    <w:rsid w:val="00351D89"/>
    <w:rsid w:val="00351D96"/>
    <w:rsid w:val="00351E68"/>
    <w:rsid w:val="00351EE0"/>
    <w:rsid w:val="00351FA4"/>
    <w:rsid w:val="00352020"/>
    <w:rsid w:val="00352093"/>
    <w:rsid w:val="003520DC"/>
    <w:rsid w:val="0035221F"/>
    <w:rsid w:val="0035233D"/>
    <w:rsid w:val="00352391"/>
    <w:rsid w:val="0035241A"/>
    <w:rsid w:val="0035254D"/>
    <w:rsid w:val="0035256E"/>
    <w:rsid w:val="00352682"/>
    <w:rsid w:val="003526C6"/>
    <w:rsid w:val="003526CF"/>
    <w:rsid w:val="00352702"/>
    <w:rsid w:val="003527CD"/>
    <w:rsid w:val="003528B7"/>
    <w:rsid w:val="003529C8"/>
    <w:rsid w:val="00352C3B"/>
    <w:rsid w:val="00352CF2"/>
    <w:rsid w:val="003530D1"/>
    <w:rsid w:val="00353130"/>
    <w:rsid w:val="00353206"/>
    <w:rsid w:val="0035327A"/>
    <w:rsid w:val="003532AF"/>
    <w:rsid w:val="00353344"/>
    <w:rsid w:val="00353457"/>
    <w:rsid w:val="003534D7"/>
    <w:rsid w:val="003536B5"/>
    <w:rsid w:val="00353766"/>
    <w:rsid w:val="00353867"/>
    <w:rsid w:val="00353932"/>
    <w:rsid w:val="00353A3B"/>
    <w:rsid w:val="00353ADC"/>
    <w:rsid w:val="00353AE7"/>
    <w:rsid w:val="00353B35"/>
    <w:rsid w:val="00353CFF"/>
    <w:rsid w:val="00353D23"/>
    <w:rsid w:val="00353DEA"/>
    <w:rsid w:val="00353E50"/>
    <w:rsid w:val="00353E8C"/>
    <w:rsid w:val="00353EBA"/>
    <w:rsid w:val="00353FC6"/>
    <w:rsid w:val="00353FFE"/>
    <w:rsid w:val="0035408B"/>
    <w:rsid w:val="003540CB"/>
    <w:rsid w:val="003540D3"/>
    <w:rsid w:val="00354116"/>
    <w:rsid w:val="00354284"/>
    <w:rsid w:val="003542C4"/>
    <w:rsid w:val="003543A1"/>
    <w:rsid w:val="0035444D"/>
    <w:rsid w:val="00354497"/>
    <w:rsid w:val="003544F7"/>
    <w:rsid w:val="0035456B"/>
    <w:rsid w:val="00354608"/>
    <w:rsid w:val="0035461E"/>
    <w:rsid w:val="003546BB"/>
    <w:rsid w:val="0035472A"/>
    <w:rsid w:val="0035476C"/>
    <w:rsid w:val="00354871"/>
    <w:rsid w:val="0035488D"/>
    <w:rsid w:val="00354941"/>
    <w:rsid w:val="003549B4"/>
    <w:rsid w:val="00354A43"/>
    <w:rsid w:val="00354B75"/>
    <w:rsid w:val="00354BC3"/>
    <w:rsid w:val="00354D8F"/>
    <w:rsid w:val="00354DB5"/>
    <w:rsid w:val="00354E26"/>
    <w:rsid w:val="00354E56"/>
    <w:rsid w:val="00354F16"/>
    <w:rsid w:val="00354FC0"/>
    <w:rsid w:val="00355041"/>
    <w:rsid w:val="0035512A"/>
    <w:rsid w:val="003551C9"/>
    <w:rsid w:val="003551E7"/>
    <w:rsid w:val="0035522E"/>
    <w:rsid w:val="0035527A"/>
    <w:rsid w:val="003552F9"/>
    <w:rsid w:val="00355308"/>
    <w:rsid w:val="003553AD"/>
    <w:rsid w:val="003553E2"/>
    <w:rsid w:val="00355434"/>
    <w:rsid w:val="0035554B"/>
    <w:rsid w:val="00355563"/>
    <w:rsid w:val="0035567F"/>
    <w:rsid w:val="003556D4"/>
    <w:rsid w:val="00355810"/>
    <w:rsid w:val="00355818"/>
    <w:rsid w:val="00355C20"/>
    <w:rsid w:val="00355D0B"/>
    <w:rsid w:val="00355D2B"/>
    <w:rsid w:val="00355DE4"/>
    <w:rsid w:val="00355E38"/>
    <w:rsid w:val="00355EA4"/>
    <w:rsid w:val="00355EFC"/>
    <w:rsid w:val="00355F21"/>
    <w:rsid w:val="00356009"/>
    <w:rsid w:val="00356026"/>
    <w:rsid w:val="00356073"/>
    <w:rsid w:val="0035619C"/>
    <w:rsid w:val="003561AC"/>
    <w:rsid w:val="00356231"/>
    <w:rsid w:val="00356270"/>
    <w:rsid w:val="00356444"/>
    <w:rsid w:val="00356470"/>
    <w:rsid w:val="0035666C"/>
    <w:rsid w:val="0035669F"/>
    <w:rsid w:val="0035672A"/>
    <w:rsid w:val="0035674A"/>
    <w:rsid w:val="00356869"/>
    <w:rsid w:val="00356893"/>
    <w:rsid w:val="00356915"/>
    <w:rsid w:val="00356A07"/>
    <w:rsid w:val="00356AAA"/>
    <w:rsid w:val="00356B08"/>
    <w:rsid w:val="00356B0C"/>
    <w:rsid w:val="00356B81"/>
    <w:rsid w:val="00356C8E"/>
    <w:rsid w:val="00356CD2"/>
    <w:rsid w:val="00356F00"/>
    <w:rsid w:val="003570E0"/>
    <w:rsid w:val="0035716E"/>
    <w:rsid w:val="00357174"/>
    <w:rsid w:val="00357183"/>
    <w:rsid w:val="00357281"/>
    <w:rsid w:val="003573B2"/>
    <w:rsid w:val="00357465"/>
    <w:rsid w:val="0035756D"/>
    <w:rsid w:val="00357604"/>
    <w:rsid w:val="00357621"/>
    <w:rsid w:val="00357745"/>
    <w:rsid w:val="0035779B"/>
    <w:rsid w:val="003577DF"/>
    <w:rsid w:val="00357A4E"/>
    <w:rsid w:val="00357ACE"/>
    <w:rsid w:val="00357B55"/>
    <w:rsid w:val="00357DF1"/>
    <w:rsid w:val="00357F67"/>
    <w:rsid w:val="00357FEE"/>
    <w:rsid w:val="003601D3"/>
    <w:rsid w:val="00360444"/>
    <w:rsid w:val="00360495"/>
    <w:rsid w:val="00360636"/>
    <w:rsid w:val="00360678"/>
    <w:rsid w:val="00360A87"/>
    <w:rsid w:val="00360AB3"/>
    <w:rsid w:val="00360B7E"/>
    <w:rsid w:val="00360BA1"/>
    <w:rsid w:val="00360BB0"/>
    <w:rsid w:val="00360CA6"/>
    <w:rsid w:val="00360D56"/>
    <w:rsid w:val="00361187"/>
    <w:rsid w:val="00361333"/>
    <w:rsid w:val="00361372"/>
    <w:rsid w:val="003613F7"/>
    <w:rsid w:val="003614F6"/>
    <w:rsid w:val="00361538"/>
    <w:rsid w:val="0036173F"/>
    <w:rsid w:val="00361796"/>
    <w:rsid w:val="00361879"/>
    <w:rsid w:val="00361958"/>
    <w:rsid w:val="003619E8"/>
    <w:rsid w:val="00361A07"/>
    <w:rsid w:val="00361A36"/>
    <w:rsid w:val="00361A5D"/>
    <w:rsid w:val="00361AA7"/>
    <w:rsid w:val="00361B3E"/>
    <w:rsid w:val="00361EA9"/>
    <w:rsid w:val="00361F96"/>
    <w:rsid w:val="00361FFD"/>
    <w:rsid w:val="00362278"/>
    <w:rsid w:val="0036230C"/>
    <w:rsid w:val="0036240B"/>
    <w:rsid w:val="00362502"/>
    <w:rsid w:val="00362503"/>
    <w:rsid w:val="003625C7"/>
    <w:rsid w:val="00362677"/>
    <w:rsid w:val="00362692"/>
    <w:rsid w:val="003626B5"/>
    <w:rsid w:val="00362702"/>
    <w:rsid w:val="003627E1"/>
    <w:rsid w:val="00362923"/>
    <w:rsid w:val="00362980"/>
    <w:rsid w:val="00362A5B"/>
    <w:rsid w:val="00362B08"/>
    <w:rsid w:val="00362C59"/>
    <w:rsid w:val="00362C62"/>
    <w:rsid w:val="00362C7C"/>
    <w:rsid w:val="00362C94"/>
    <w:rsid w:val="00362D7C"/>
    <w:rsid w:val="00362D7F"/>
    <w:rsid w:val="00362D94"/>
    <w:rsid w:val="00362D99"/>
    <w:rsid w:val="00362E5F"/>
    <w:rsid w:val="00362EB3"/>
    <w:rsid w:val="00362EEE"/>
    <w:rsid w:val="00362FD4"/>
    <w:rsid w:val="00363055"/>
    <w:rsid w:val="0036308D"/>
    <w:rsid w:val="003630D0"/>
    <w:rsid w:val="0036327F"/>
    <w:rsid w:val="00363390"/>
    <w:rsid w:val="00363628"/>
    <w:rsid w:val="00363682"/>
    <w:rsid w:val="00363734"/>
    <w:rsid w:val="0036383F"/>
    <w:rsid w:val="003638C1"/>
    <w:rsid w:val="003638DC"/>
    <w:rsid w:val="0036395E"/>
    <w:rsid w:val="00363A17"/>
    <w:rsid w:val="00363ABD"/>
    <w:rsid w:val="00363B34"/>
    <w:rsid w:val="00363B41"/>
    <w:rsid w:val="00363BD3"/>
    <w:rsid w:val="00363D47"/>
    <w:rsid w:val="00363E69"/>
    <w:rsid w:val="00363F93"/>
    <w:rsid w:val="00364001"/>
    <w:rsid w:val="00364061"/>
    <w:rsid w:val="0036411F"/>
    <w:rsid w:val="0036418F"/>
    <w:rsid w:val="003642AF"/>
    <w:rsid w:val="0036430B"/>
    <w:rsid w:val="0036433D"/>
    <w:rsid w:val="0036435F"/>
    <w:rsid w:val="003643C3"/>
    <w:rsid w:val="0036446A"/>
    <w:rsid w:val="0036456C"/>
    <w:rsid w:val="003645E4"/>
    <w:rsid w:val="00364614"/>
    <w:rsid w:val="003646AB"/>
    <w:rsid w:val="003646B4"/>
    <w:rsid w:val="00364776"/>
    <w:rsid w:val="00364792"/>
    <w:rsid w:val="003648C4"/>
    <w:rsid w:val="003649DB"/>
    <w:rsid w:val="003649DD"/>
    <w:rsid w:val="00364A6F"/>
    <w:rsid w:val="00364AC5"/>
    <w:rsid w:val="00364B5A"/>
    <w:rsid w:val="00364C94"/>
    <w:rsid w:val="00364D62"/>
    <w:rsid w:val="00364DE7"/>
    <w:rsid w:val="00364E07"/>
    <w:rsid w:val="00364E2C"/>
    <w:rsid w:val="00364EB1"/>
    <w:rsid w:val="00364EE0"/>
    <w:rsid w:val="00364F8E"/>
    <w:rsid w:val="00364FA3"/>
    <w:rsid w:val="00364FA8"/>
    <w:rsid w:val="00364FD1"/>
    <w:rsid w:val="00365088"/>
    <w:rsid w:val="003651DF"/>
    <w:rsid w:val="003652FA"/>
    <w:rsid w:val="003654C9"/>
    <w:rsid w:val="0036562B"/>
    <w:rsid w:val="0036562D"/>
    <w:rsid w:val="00365809"/>
    <w:rsid w:val="00365875"/>
    <w:rsid w:val="0036590F"/>
    <w:rsid w:val="00365B66"/>
    <w:rsid w:val="00365B7E"/>
    <w:rsid w:val="00365D36"/>
    <w:rsid w:val="00365D88"/>
    <w:rsid w:val="00365E08"/>
    <w:rsid w:val="00365E12"/>
    <w:rsid w:val="00365F04"/>
    <w:rsid w:val="00365FA7"/>
    <w:rsid w:val="00365FD8"/>
    <w:rsid w:val="00366084"/>
    <w:rsid w:val="003660E8"/>
    <w:rsid w:val="003660FD"/>
    <w:rsid w:val="003661AD"/>
    <w:rsid w:val="0036639C"/>
    <w:rsid w:val="003664CF"/>
    <w:rsid w:val="00366500"/>
    <w:rsid w:val="0036654C"/>
    <w:rsid w:val="00366604"/>
    <w:rsid w:val="00366627"/>
    <w:rsid w:val="00366659"/>
    <w:rsid w:val="003666F6"/>
    <w:rsid w:val="0036672A"/>
    <w:rsid w:val="0036673A"/>
    <w:rsid w:val="0036674D"/>
    <w:rsid w:val="003667E6"/>
    <w:rsid w:val="00366830"/>
    <w:rsid w:val="0036695A"/>
    <w:rsid w:val="00366A89"/>
    <w:rsid w:val="00366AC9"/>
    <w:rsid w:val="00366C81"/>
    <w:rsid w:val="00366D13"/>
    <w:rsid w:val="00366EC5"/>
    <w:rsid w:val="00366F10"/>
    <w:rsid w:val="00367111"/>
    <w:rsid w:val="003671E1"/>
    <w:rsid w:val="00367209"/>
    <w:rsid w:val="0036733B"/>
    <w:rsid w:val="003673EA"/>
    <w:rsid w:val="00367462"/>
    <w:rsid w:val="00367524"/>
    <w:rsid w:val="00367932"/>
    <w:rsid w:val="003679A8"/>
    <w:rsid w:val="00367A9C"/>
    <w:rsid w:val="00367BEF"/>
    <w:rsid w:val="00367CCB"/>
    <w:rsid w:val="00367CE5"/>
    <w:rsid w:val="00367CE8"/>
    <w:rsid w:val="00367D29"/>
    <w:rsid w:val="003700C2"/>
    <w:rsid w:val="003702D1"/>
    <w:rsid w:val="003703CD"/>
    <w:rsid w:val="00370584"/>
    <w:rsid w:val="00370656"/>
    <w:rsid w:val="00370661"/>
    <w:rsid w:val="00370690"/>
    <w:rsid w:val="003707BF"/>
    <w:rsid w:val="0037080C"/>
    <w:rsid w:val="003709BA"/>
    <w:rsid w:val="003709F0"/>
    <w:rsid w:val="00370A28"/>
    <w:rsid w:val="00370B8E"/>
    <w:rsid w:val="00370C06"/>
    <w:rsid w:val="00370C50"/>
    <w:rsid w:val="00370F32"/>
    <w:rsid w:val="00370FEB"/>
    <w:rsid w:val="003711CE"/>
    <w:rsid w:val="003712C0"/>
    <w:rsid w:val="00371425"/>
    <w:rsid w:val="0037146F"/>
    <w:rsid w:val="003715FF"/>
    <w:rsid w:val="00371760"/>
    <w:rsid w:val="003717FB"/>
    <w:rsid w:val="0037194C"/>
    <w:rsid w:val="00371A2F"/>
    <w:rsid w:val="00371AFA"/>
    <w:rsid w:val="00371C05"/>
    <w:rsid w:val="00371E8E"/>
    <w:rsid w:val="00371F4B"/>
    <w:rsid w:val="00371FF9"/>
    <w:rsid w:val="00372032"/>
    <w:rsid w:val="003720C1"/>
    <w:rsid w:val="00372172"/>
    <w:rsid w:val="00372233"/>
    <w:rsid w:val="003722A2"/>
    <w:rsid w:val="003722F8"/>
    <w:rsid w:val="0037254F"/>
    <w:rsid w:val="0037255D"/>
    <w:rsid w:val="003725CC"/>
    <w:rsid w:val="003726C5"/>
    <w:rsid w:val="00372723"/>
    <w:rsid w:val="00372741"/>
    <w:rsid w:val="0037279C"/>
    <w:rsid w:val="003727CD"/>
    <w:rsid w:val="003728C2"/>
    <w:rsid w:val="00372956"/>
    <w:rsid w:val="0037295C"/>
    <w:rsid w:val="003729B3"/>
    <w:rsid w:val="00372B17"/>
    <w:rsid w:val="00372B42"/>
    <w:rsid w:val="00372BD5"/>
    <w:rsid w:val="00372BEA"/>
    <w:rsid w:val="00372C44"/>
    <w:rsid w:val="00372CD2"/>
    <w:rsid w:val="00372D0B"/>
    <w:rsid w:val="00372D1D"/>
    <w:rsid w:val="00372E8E"/>
    <w:rsid w:val="00372F7B"/>
    <w:rsid w:val="00372F9D"/>
    <w:rsid w:val="00372FCA"/>
    <w:rsid w:val="00372FD9"/>
    <w:rsid w:val="00373058"/>
    <w:rsid w:val="003731A1"/>
    <w:rsid w:val="003731B9"/>
    <w:rsid w:val="00373268"/>
    <w:rsid w:val="003733C6"/>
    <w:rsid w:val="00373545"/>
    <w:rsid w:val="0037365F"/>
    <w:rsid w:val="00373713"/>
    <w:rsid w:val="0037374C"/>
    <w:rsid w:val="003737DF"/>
    <w:rsid w:val="003737FA"/>
    <w:rsid w:val="00373836"/>
    <w:rsid w:val="00373898"/>
    <w:rsid w:val="003738B9"/>
    <w:rsid w:val="003738C2"/>
    <w:rsid w:val="0037395F"/>
    <w:rsid w:val="0037396A"/>
    <w:rsid w:val="00373BA6"/>
    <w:rsid w:val="00373BFD"/>
    <w:rsid w:val="00373C42"/>
    <w:rsid w:val="00373D2F"/>
    <w:rsid w:val="00373D47"/>
    <w:rsid w:val="00373DC4"/>
    <w:rsid w:val="00373E69"/>
    <w:rsid w:val="00373EA8"/>
    <w:rsid w:val="0037407C"/>
    <w:rsid w:val="00374091"/>
    <w:rsid w:val="003741FE"/>
    <w:rsid w:val="0037429C"/>
    <w:rsid w:val="00374378"/>
    <w:rsid w:val="00374562"/>
    <w:rsid w:val="0037458D"/>
    <w:rsid w:val="003745A8"/>
    <w:rsid w:val="003745C9"/>
    <w:rsid w:val="003745F2"/>
    <w:rsid w:val="0037466C"/>
    <w:rsid w:val="0037470F"/>
    <w:rsid w:val="00374739"/>
    <w:rsid w:val="003747B5"/>
    <w:rsid w:val="003749D3"/>
    <w:rsid w:val="00374A7E"/>
    <w:rsid w:val="00374A8E"/>
    <w:rsid w:val="00374AA8"/>
    <w:rsid w:val="00374C45"/>
    <w:rsid w:val="00374CDA"/>
    <w:rsid w:val="00374E22"/>
    <w:rsid w:val="00374E27"/>
    <w:rsid w:val="00374E64"/>
    <w:rsid w:val="00374FFE"/>
    <w:rsid w:val="00375027"/>
    <w:rsid w:val="003750C3"/>
    <w:rsid w:val="00375101"/>
    <w:rsid w:val="00375159"/>
    <w:rsid w:val="003751A9"/>
    <w:rsid w:val="003751FF"/>
    <w:rsid w:val="003752AE"/>
    <w:rsid w:val="003752D7"/>
    <w:rsid w:val="0037531F"/>
    <w:rsid w:val="00375372"/>
    <w:rsid w:val="003753A5"/>
    <w:rsid w:val="003753FB"/>
    <w:rsid w:val="00375411"/>
    <w:rsid w:val="0037558C"/>
    <w:rsid w:val="00375654"/>
    <w:rsid w:val="0037571C"/>
    <w:rsid w:val="003757CF"/>
    <w:rsid w:val="00375821"/>
    <w:rsid w:val="00375896"/>
    <w:rsid w:val="00375996"/>
    <w:rsid w:val="00375A19"/>
    <w:rsid w:val="00375ABA"/>
    <w:rsid w:val="00375B09"/>
    <w:rsid w:val="00375B51"/>
    <w:rsid w:val="00375C1C"/>
    <w:rsid w:val="00375EEC"/>
    <w:rsid w:val="00375F1B"/>
    <w:rsid w:val="00375F20"/>
    <w:rsid w:val="00375F37"/>
    <w:rsid w:val="00375FA8"/>
    <w:rsid w:val="00375FD1"/>
    <w:rsid w:val="003760D2"/>
    <w:rsid w:val="00376123"/>
    <w:rsid w:val="003761CE"/>
    <w:rsid w:val="003762D4"/>
    <w:rsid w:val="003762E0"/>
    <w:rsid w:val="0037647A"/>
    <w:rsid w:val="00376487"/>
    <w:rsid w:val="0037653A"/>
    <w:rsid w:val="00376555"/>
    <w:rsid w:val="003766AE"/>
    <w:rsid w:val="00376703"/>
    <w:rsid w:val="00376714"/>
    <w:rsid w:val="00376753"/>
    <w:rsid w:val="0037675D"/>
    <w:rsid w:val="00376932"/>
    <w:rsid w:val="003769CD"/>
    <w:rsid w:val="003769E1"/>
    <w:rsid w:val="00376B5E"/>
    <w:rsid w:val="00376B6B"/>
    <w:rsid w:val="00376C22"/>
    <w:rsid w:val="00376C83"/>
    <w:rsid w:val="00376CC9"/>
    <w:rsid w:val="00376E8C"/>
    <w:rsid w:val="00376EC9"/>
    <w:rsid w:val="00376EDE"/>
    <w:rsid w:val="00376FA7"/>
    <w:rsid w:val="00376FAE"/>
    <w:rsid w:val="003770C8"/>
    <w:rsid w:val="003771C6"/>
    <w:rsid w:val="0037729B"/>
    <w:rsid w:val="003772A4"/>
    <w:rsid w:val="003772D9"/>
    <w:rsid w:val="00377393"/>
    <w:rsid w:val="00377398"/>
    <w:rsid w:val="0037756F"/>
    <w:rsid w:val="0037763D"/>
    <w:rsid w:val="00377686"/>
    <w:rsid w:val="003776A6"/>
    <w:rsid w:val="003776CB"/>
    <w:rsid w:val="00377720"/>
    <w:rsid w:val="00377A84"/>
    <w:rsid w:val="00377AA8"/>
    <w:rsid w:val="00377B07"/>
    <w:rsid w:val="00377C6B"/>
    <w:rsid w:val="00377D24"/>
    <w:rsid w:val="00377E21"/>
    <w:rsid w:val="00377FCB"/>
    <w:rsid w:val="0037A7E5"/>
    <w:rsid w:val="0037BD56"/>
    <w:rsid w:val="003801D6"/>
    <w:rsid w:val="003801DF"/>
    <w:rsid w:val="0038033A"/>
    <w:rsid w:val="0038034B"/>
    <w:rsid w:val="00380361"/>
    <w:rsid w:val="00380370"/>
    <w:rsid w:val="00380388"/>
    <w:rsid w:val="00380412"/>
    <w:rsid w:val="003805E8"/>
    <w:rsid w:val="00380607"/>
    <w:rsid w:val="00380647"/>
    <w:rsid w:val="00380804"/>
    <w:rsid w:val="0038082E"/>
    <w:rsid w:val="00380847"/>
    <w:rsid w:val="00380ADA"/>
    <w:rsid w:val="00380C96"/>
    <w:rsid w:val="00380CCC"/>
    <w:rsid w:val="00380D63"/>
    <w:rsid w:val="00380D7A"/>
    <w:rsid w:val="00380F13"/>
    <w:rsid w:val="00380FCA"/>
    <w:rsid w:val="00380FEA"/>
    <w:rsid w:val="0038108E"/>
    <w:rsid w:val="00381120"/>
    <w:rsid w:val="00381403"/>
    <w:rsid w:val="0038142B"/>
    <w:rsid w:val="00381446"/>
    <w:rsid w:val="00381541"/>
    <w:rsid w:val="00381563"/>
    <w:rsid w:val="00381566"/>
    <w:rsid w:val="003816DE"/>
    <w:rsid w:val="003816E7"/>
    <w:rsid w:val="003817FB"/>
    <w:rsid w:val="0038184B"/>
    <w:rsid w:val="00381856"/>
    <w:rsid w:val="003818DD"/>
    <w:rsid w:val="003819B0"/>
    <w:rsid w:val="00381A29"/>
    <w:rsid w:val="00381A49"/>
    <w:rsid w:val="00381A66"/>
    <w:rsid w:val="00381A7B"/>
    <w:rsid w:val="00381A9A"/>
    <w:rsid w:val="00381BAB"/>
    <w:rsid w:val="00381CB4"/>
    <w:rsid w:val="00381F4E"/>
    <w:rsid w:val="00381FBE"/>
    <w:rsid w:val="00382021"/>
    <w:rsid w:val="0038219D"/>
    <w:rsid w:val="003821DA"/>
    <w:rsid w:val="003821EF"/>
    <w:rsid w:val="00382249"/>
    <w:rsid w:val="00382558"/>
    <w:rsid w:val="00382563"/>
    <w:rsid w:val="003825AF"/>
    <w:rsid w:val="0038278C"/>
    <w:rsid w:val="003827A0"/>
    <w:rsid w:val="00382845"/>
    <w:rsid w:val="00382A63"/>
    <w:rsid w:val="00382BA2"/>
    <w:rsid w:val="00382C14"/>
    <w:rsid w:val="00382C2C"/>
    <w:rsid w:val="00382CCE"/>
    <w:rsid w:val="00382CE2"/>
    <w:rsid w:val="00382D9C"/>
    <w:rsid w:val="00382ECD"/>
    <w:rsid w:val="00382F2E"/>
    <w:rsid w:val="00382FF3"/>
    <w:rsid w:val="0038303C"/>
    <w:rsid w:val="003830C2"/>
    <w:rsid w:val="003830E5"/>
    <w:rsid w:val="0038314E"/>
    <w:rsid w:val="003831BB"/>
    <w:rsid w:val="00383373"/>
    <w:rsid w:val="00383467"/>
    <w:rsid w:val="00383536"/>
    <w:rsid w:val="003836A2"/>
    <w:rsid w:val="00383768"/>
    <w:rsid w:val="003837B5"/>
    <w:rsid w:val="0038381A"/>
    <w:rsid w:val="00383AB2"/>
    <w:rsid w:val="00383AB4"/>
    <w:rsid w:val="00383B1A"/>
    <w:rsid w:val="00383B77"/>
    <w:rsid w:val="00383F96"/>
    <w:rsid w:val="003840D1"/>
    <w:rsid w:val="00384144"/>
    <w:rsid w:val="003842DB"/>
    <w:rsid w:val="003843A4"/>
    <w:rsid w:val="003844DD"/>
    <w:rsid w:val="003846B2"/>
    <w:rsid w:val="003846DC"/>
    <w:rsid w:val="00384A17"/>
    <w:rsid w:val="00384CD6"/>
    <w:rsid w:val="00384D0F"/>
    <w:rsid w:val="0038505C"/>
    <w:rsid w:val="00385123"/>
    <w:rsid w:val="0038514C"/>
    <w:rsid w:val="003851DB"/>
    <w:rsid w:val="003852E5"/>
    <w:rsid w:val="003852F0"/>
    <w:rsid w:val="003854B6"/>
    <w:rsid w:val="0038561A"/>
    <w:rsid w:val="00385629"/>
    <w:rsid w:val="003856EC"/>
    <w:rsid w:val="0038587A"/>
    <w:rsid w:val="003858E7"/>
    <w:rsid w:val="0038590B"/>
    <w:rsid w:val="0038594D"/>
    <w:rsid w:val="00385A5F"/>
    <w:rsid w:val="00385A60"/>
    <w:rsid w:val="00385B55"/>
    <w:rsid w:val="00385BB3"/>
    <w:rsid w:val="00385C46"/>
    <w:rsid w:val="00385CA7"/>
    <w:rsid w:val="00385D44"/>
    <w:rsid w:val="00385E14"/>
    <w:rsid w:val="00385E82"/>
    <w:rsid w:val="0038604F"/>
    <w:rsid w:val="0038605F"/>
    <w:rsid w:val="0038609B"/>
    <w:rsid w:val="003860B7"/>
    <w:rsid w:val="00386105"/>
    <w:rsid w:val="0038614C"/>
    <w:rsid w:val="00386205"/>
    <w:rsid w:val="0038628F"/>
    <w:rsid w:val="00386346"/>
    <w:rsid w:val="003865D6"/>
    <w:rsid w:val="003866C1"/>
    <w:rsid w:val="003866CD"/>
    <w:rsid w:val="003866D6"/>
    <w:rsid w:val="003866F7"/>
    <w:rsid w:val="00386726"/>
    <w:rsid w:val="0038677E"/>
    <w:rsid w:val="003868F8"/>
    <w:rsid w:val="00386936"/>
    <w:rsid w:val="00386947"/>
    <w:rsid w:val="00386990"/>
    <w:rsid w:val="003869B0"/>
    <w:rsid w:val="00386A3D"/>
    <w:rsid w:val="00386A7F"/>
    <w:rsid w:val="00386B58"/>
    <w:rsid w:val="00386BC9"/>
    <w:rsid w:val="00386C89"/>
    <w:rsid w:val="00386DC2"/>
    <w:rsid w:val="00386ECB"/>
    <w:rsid w:val="00387015"/>
    <w:rsid w:val="0038725C"/>
    <w:rsid w:val="0038732F"/>
    <w:rsid w:val="003873AA"/>
    <w:rsid w:val="0038741F"/>
    <w:rsid w:val="00387442"/>
    <w:rsid w:val="0038749E"/>
    <w:rsid w:val="003875C1"/>
    <w:rsid w:val="0038761E"/>
    <w:rsid w:val="00387644"/>
    <w:rsid w:val="00387667"/>
    <w:rsid w:val="00387724"/>
    <w:rsid w:val="00387787"/>
    <w:rsid w:val="003877AE"/>
    <w:rsid w:val="003878F5"/>
    <w:rsid w:val="003878F9"/>
    <w:rsid w:val="003879B6"/>
    <w:rsid w:val="003879C5"/>
    <w:rsid w:val="003879CA"/>
    <w:rsid w:val="00387A5C"/>
    <w:rsid w:val="00387B0F"/>
    <w:rsid w:val="00387BDE"/>
    <w:rsid w:val="00387C4D"/>
    <w:rsid w:val="00387C84"/>
    <w:rsid w:val="00387E3E"/>
    <w:rsid w:val="00387E4A"/>
    <w:rsid w:val="00387EDF"/>
    <w:rsid w:val="00387FF3"/>
    <w:rsid w:val="0039011E"/>
    <w:rsid w:val="00390427"/>
    <w:rsid w:val="003904BF"/>
    <w:rsid w:val="00390630"/>
    <w:rsid w:val="003906D5"/>
    <w:rsid w:val="00390780"/>
    <w:rsid w:val="003907CF"/>
    <w:rsid w:val="00390962"/>
    <w:rsid w:val="00390A51"/>
    <w:rsid w:val="00390B14"/>
    <w:rsid w:val="00390BD2"/>
    <w:rsid w:val="00390BF8"/>
    <w:rsid w:val="00390C17"/>
    <w:rsid w:val="00390D9A"/>
    <w:rsid w:val="00390FB4"/>
    <w:rsid w:val="00390FE1"/>
    <w:rsid w:val="0039108C"/>
    <w:rsid w:val="0039114F"/>
    <w:rsid w:val="00391166"/>
    <w:rsid w:val="00391216"/>
    <w:rsid w:val="00391405"/>
    <w:rsid w:val="0039146B"/>
    <w:rsid w:val="00391485"/>
    <w:rsid w:val="003914A9"/>
    <w:rsid w:val="003914CD"/>
    <w:rsid w:val="0039158E"/>
    <w:rsid w:val="00391595"/>
    <w:rsid w:val="003917D1"/>
    <w:rsid w:val="003917E7"/>
    <w:rsid w:val="00391801"/>
    <w:rsid w:val="00391832"/>
    <w:rsid w:val="0039186E"/>
    <w:rsid w:val="00391930"/>
    <w:rsid w:val="0039193F"/>
    <w:rsid w:val="0039196A"/>
    <w:rsid w:val="00391A42"/>
    <w:rsid w:val="00391A79"/>
    <w:rsid w:val="00391AD8"/>
    <w:rsid w:val="00391AD9"/>
    <w:rsid w:val="00391BEA"/>
    <w:rsid w:val="00391DA7"/>
    <w:rsid w:val="00391E3D"/>
    <w:rsid w:val="00391F82"/>
    <w:rsid w:val="0039206B"/>
    <w:rsid w:val="0039216E"/>
    <w:rsid w:val="003921DD"/>
    <w:rsid w:val="0039229C"/>
    <w:rsid w:val="003922D2"/>
    <w:rsid w:val="003922E6"/>
    <w:rsid w:val="003923AA"/>
    <w:rsid w:val="003923C4"/>
    <w:rsid w:val="00392407"/>
    <w:rsid w:val="0039246C"/>
    <w:rsid w:val="003925F8"/>
    <w:rsid w:val="00392682"/>
    <w:rsid w:val="003926D9"/>
    <w:rsid w:val="003928CD"/>
    <w:rsid w:val="003928EE"/>
    <w:rsid w:val="00392961"/>
    <w:rsid w:val="00392A29"/>
    <w:rsid w:val="00392CF0"/>
    <w:rsid w:val="00392E35"/>
    <w:rsid w:val="00392F12"/>
    <w:rsid w:val="003930EE"/>
    <w:rsid w:val="00393143"/>
    <w:rsid w:val="00393203"/>
    <w:rsid w:val="00393221"/>
    <w:rsid w:val="003932F8"/>
    <w:rsid w:val="0039335D"/>
    <w:rsid w:val="0039339F"/>
    <w:rsid w:val="003934F0"/>
    <w:rsid w:val="00393513"/>
    <w:rsid w:val="00393702"/>
    <w:rsid w:val="00393720"/>
    <w:rsid w:val="003938C9"/>
    <w:rsid w:val="00393AB7"/>
    <w:rsid w:val="00393B73"/>
    <w:rsid w:val="00393B83"/>
    <w:rsid w:val="00393C4C"/>
    <w:rsid w:val="00393D00"/>
    <w:rsid w:val="00393E5A"/>
    <w:rsid w:val="00393E96"/>
    <w:rsid w:val="00393F43"/>
    <w:rsid w:val="00393F69"/>
    <w:rsid w:val="00393F86"/>
    <w:rsid w:val="00393FFD"/>
    <w:rsid w:val="0039424B"/>
    <w:rsid w:val="00394295"/>
    <w:rsid w:val="003943DF"/>
    <w:rsid w:val="00394405"/>
    <w:rsid w:val="00394615"/>
    <w:rsid w:val="00394668"/>
    <w:rsid w:val="003947C8"/>
    <w:rsid w:val="00394804"/>
    <w:rsid w:val="00394995"/>
    <w:rsid w:val="003949E5"/>
    <w:rsid w:val="00394AC1"/>
    <w:rsid w:val="00394B52"/>
    <w:rsid w:val="00394BA3"/>
    <w:rsid w:val="00394BED"/>
    <w:rsid w:val="00394C41"/>
    <w:rsid w:val="00394D5A"/>
    <w:rsid w:val="00394D75"/>
    <w:rsid w:val="00394DE5"/>
    <w:rsid w:val="00394EC7"/>
    <w:rsid w:val="00394F9F"/>
    <w:rsid w:val="0039502A"/>
    <w:rsid w:val="00395114"/>
    <w:rsid w:val="003951EB"/>
    <w:rsid w:val="003951EE"/>
    <w:rsid w:val="00395238"/>
    <w:rsid w:val="00395345"/>
    <w:rsid w:val="0039536E"/>
    <w:rsid w:val="003954CD"/>
    <w:rsid w:val="00395761"/>
    <w:rsid w:val="003957CC"/>
    <w:rsid w:val="0039581C"/>
    <w:rsid w:val="003959B4"/>
    <w:rsid w:val="00395B4B"/>
    <w:rsid w:val="00395B61"/>
    <w:rsid w:val="00395B7F"/>
    <w:rsid w:val="00395C44"/>
    <w:rsid w:val="00395CCC"/>
    <w:rsid w:val="00395CF9"/>
    <w:rsid w:val="00395D4E"/>
    <w:rsid w:val="00395E49"/>
    <w:rsid w:val="00395E9E"/>
    <w:rsid w:val="00395F1E"/>
    <w:rsid w:val="00395F26"/>
    <w:rsid w:val="0039604F"/>
    <w:rsid w:val="0039618E"/>
    <w:rsid w:val="00396273"/>
    <w:rsid w:val="003962DC"/>
    <w:rsid w:val="003963CB"/>
    <w:rsid w:val="003963E1"/>
    <w:rsid w:val="0039643E"/>
    <w:rsid w:val="00396652"/>
    <w:rsid w:val="0039665B"/>
    <w:rsid w:val="00396723"/>
    <w:rsid w:val="003968F3"/>
    <w:rsid w:val="00396927"/>
    <w:rsid w:val="00396A68"/>
    <w:rsid w:val="00396AAA"/>
    <w:rsid w:val="00396BA9"/>
    <w:rsid w:val="00396C1F"/>
    <w:rsid w:val="00396E07"/>
    <w:rsid w:val="00397026"/>
    <w:rsid w:val="003970A4"/>
    <w:rsid w:val="003970B6"/>
    <w:rsid w:val="003970F2"/>
    <w:rsid w:val="00397279"/>
    <w:rsid w:val="00397299"/>
    <w:rsid w:val="00397316"/>
    <w:rsid w:val="003973A8"/>
    <w:rsid w:val="00397633"/>
    <w:rsid w:val="003976BE"/>
    <w:rsid w:val="00397873"/>
    <w:rsid w:val="003979BB"/>
    <w:rsid w:val="003979FA"/>
    <w:rsid w:val="00397A57"/>
    <w:rsid w:val="00397A80"/>
    <w:rsid w:val="00397AE3"/>
    <w:rsid w:val="00397C08"/>
    <w:rsid w:val="00397C5A"/>
    <w:rsid w:val="00397D11"/>
    <w:rsid w:val="00397DE1"/>
    <w:rsid w:val="00397E21"/>
    <w:rsid w:val="00397E3B"/>
    <w:rsid w:val="00397EEB"/>
    <w:rsid w:val="00397F01"/>
    <w:rsid w:val="003A009F"/>
    <w:rsid w:val="003A00C6"/>
    <w:rsid w:val="003A00CE"/>
    <w:rsid w:val="003A01BA"/>
    <w:rsid w:val="003A01ED"/>
    <w:rsid w:val="003A05BF"/>
    <w:rsid w:val="003A0670"/>
    <w:rsid w:val="003A0688"/>
    <w:rsid w:val="003A06ED"/>
    <w:rsid w:val="003A071B"/>
    <w:rsid w:val="003A07A4"/>
    <w:rsid w:val="003A0814"/>
    <w:rsid w:val="003A0881"/>
    <w:rsid w:val="003A0948"/>
    <w:rsid w:val="003A09EE"/>
    <w:rsid w:val="003A0D8F"/>
    <w:rsid w:val="003A0E33"/>
    <w:rsid w:val="003A0EC4"/>
    <w:rsid w:val="003A0F8B"/>
    <w:rsid w:val="003A0FC2"/>
    <w:rsid w:val="003A1185"/>
    <w:rsid w:val="003A11F4"/>
    <w:rsid w:val="003A13D8"/>
    <w:rsid w:val="003A14C6"/>
    <w:rsid w:val="003A159D"/>
    <w:rsid w:val="003A15EF"/>
    <w:rsid w:val="003A1619"/>
    <w:rsid w:val="003A17DA"/>
    <w:rsid w:val="003A1890"/>
    <w:rsid w:val="003A191E"/>
    <w:rsid w:val="003A1A43"/>
    <w:rsid w:val="003A1BBF"/>
    <w:rsid w:val="003A1BCD"/>
    <w:rsid w:val="003A1BE2"/>
    <w:rsid w:val="003A1DE0"/>
    <w:rsid w:val="003A2045"/>
    <w:rsid w:val="003A2047"/>
    <w:rsid w:val="003A21B9"/>
    <w:rsid w:val="003A228A"/>
    <w:rsid w:val="003A22CA"/>
    <w:rsid w:val="003A231D"/>
    <w:rsid w:val="003A2379"/>
    <w:rsid w:val="003A24E8"/>
    <w:rsid w:val="003A25D1"/>
    <w:rsid w:val="003A2714"/>
    <w:rsid w:val="003A273D"/>
    <w:rsid w:val="003A27CB"/>
    <w:rsid w:val="003A287A"/>
    <w:rsid w:val="003A290D"/>
    <w:rsid w:val="003A293C"/>
    <w:rsid w:val="003A29AD"/>
    <w:rsid w:val="003A2C8C"/>
    <w:rsid w:val="003A2CAB"/>
    <w:rsid w:val="003A2E88"/>
    <w:rsid w:val="003A2F5B"/>
    <w:rsid w:val="003A2F92"/>
    <w:rsid w:val="003A30E5"/>
    <w:rsid w:val="003A31FD"/>
    <w:rsid w:val="003A326D"/>
    <w:rsid w:val="003A32CE"/>
    <w:rsid w:val="003A32D2"/>
    <w:rsid w:val="003A3668"/>
    <w:rsid w:val="003A366E"/>
    <w:rsid w:val="003A38DA"/>
    <w:rsid w:val="003A3905"/>
    <w:rsid w:val="003A3B59"/>
    <w:rsid w:val="003A3CB4"/>
    <w:rsid w:val="003A3E81"/>
    <w:rsid w:val="003A4101"/>
    <w:rsid w:val="003A417B"/>
    <w:rsid w:val="003A417D"/>
    <w:rsid w:val="003A42CD"/>
    <w:rsid w:val="003A43B9"/>
    <w:rsid w:val="003A441F"/>
    <w:rsid w:val="003A44D4"/>
    <w:rsid w:val="003A44EC"/>
    <w:rsid w:val="003A4523"/>
    <w:rsid w:val="003A4650"/>
    <w:rsid w:val="003A467D"/>
    <w:rsid w:val="003A472B"/>
    <w:rsid w:val="003A4824"/>
    <w:rsid w:val="003A4A75"/>
    <w:rsid w:val="003A4D9C"/>
    <w:rsid w:val="003A4DF2"/>
    <w:rsid w:val="003A4E3E"/>
    <w:rsid w:val="003A4EBB"/>
    <w:rsid w:val="003A4EDB"/>
    <w:rsid w:val="003A4F79"/>
    <w:rsid w:val="003A4FA8"/>
    <w:rsid w:val="003A4FE9"/>
    <w:rsid w:val="003A5108"/>
    <w:rsid w:val="003A520D"/>
    <w:rsid w:val="003A5250"/>
    <w:rsid w:val="003A5280"/>
    <w:rsid w:val="003A532D"/>
    <w:rsid w:val="003A543D"/>
    <w:rsid w:val="003A54EA"/>
    <w:rsid w:val="003A5518"/>
    <w:rsid w:val="003A5525"/>
    <w:rsid w:val="003A5555"/>
    <w:rsid w:val="003A5724"/>
    <w:rsid w:val="003A574E"/>
    <w:rsid w:val="003A57F8"/>
    <w:rsid w:val="003A5802"/>
    <w:rsid w:val="003A5860"/>
    <w:rsid w:val="003A595A"/>
    <w:rsid w:val="003A5965"/>
    <w:rsid w:val="003A5BB7"/>
    <w:rsid w:val="003A5BC2"/>
    <w:rsid w:val="003A5E9C"/>
    <w:rsid w:val="003A5F5E"/>
    <w:rsid w:val="003A5FC9"/>
    <w:rsid w:val="003A60E9"/>
    <w:rsid w:val="003A61BE"/>
    <w:rsid w:val="003A620B"/>
    <w:rsid w:val="003A6490"/>
    <w:rsid w:val="003A675F"/>
    <w:rsid w:val="003A68C7"/>
    <w:rsid w:val="003A69E5"/>
    <w:rsid w:val="003A6A40"/>
    <w:rsid w:val="003A6B07"/>
    <w:rsid w:val="003A6C25"/>
    <w:rsid w:val="003A6CEE"/>
    <w:rsid w:val="003A6D38"/>
    <w:rsid w:val="003A6DA6"/>
    <w:rsid w:val="003A700C"/>
    <w:rsid w:val="003A703B"/>
    <w:rsid w:val="003A70E8"/>
    <w:rsid w:val="003A7178"/>
    <w:rsid w:val="003A723F"/>
    <w:rsid w:val="003A72BE"/>
    <w:rsid w:val="003A72D2"/>
    <w:rsid w:val="003A7551"/>
    <w:rsid w:val="003A7721"/>
    <w:rsid w:val="003A7744"/>
    <w:rsid w:val="003A782C"/>
    <w:rsid w:val="003A7A02"/>
    <w:rsid w:val="003A7DD1"/>
    <w:rsid w:val="003A7EA5"/>
    <w:rsid w:val="003A9AD0"/>
    <w:rsid w:val="003AA23E"/>
    <w:rsid w:val="003B01D4"/>
    <w:rsid w:val="003B0245"/>
    <w:rsid w:val="003B02D1"/>
    <w:rsid w:val="003B032C"/>
    <w:rsid w:val="003B061E"/>
    <w:rsid w:val="003B070B"/>
    <w:rsid w:val="003B0785"/>
    <w:rsid w:val="003B0829"/>
    <w:rsid w:val="003B09C2"/>
    <w:rsid w:val="003B0A3C"/>
    <w:rsid w:val="003B0A56"/>
    <w:rsid w:val="003B0B55"/>
    <w:rsid w:val="003B0B79"/>
    <w:rsid w:val="003B0C0C"/>
    <w:rsid w:val="003B0D43"/>
    <w:rsid w:val="003B0EF5"/>
    <w:rsid w:val="003B104D"/>
    <w:rsid w:val="003B105F"/>
    <w:rsid w:val="003B10CF"/>
    <w:rsid w:val="003B10E3"/>
    <w:rsid w:val="003B10F4"/>
    <w:rsid w:val="003B1234"/>
    <w:rsid w:val="003B12A2"/>
    <w:rsid w:val="003B1369"/>
    <w:rsid w:val="003B140F"/>
    <w:rsid w:val="003B1464"/>
    <w:rsid w:val="003B14C4"/>
    <w:rsid w:val="003B175D"/>
    <w:rsid w:val="003B188C"/>
    <w:rsid w:val="003B1A43"/>
    <w:rsid w:val="003B1A79"/>
    <w:rsid w:val="003B1AEC"/>
    <w:rsid w:val="003B1BE2"/>
    <w:rsid w:val="003B1C4F"/>
    <w:rsid w:val="003B1C5A"/>
    <w:rsid w:val="003B1C5E"/>
    <w:rsid w:val="003B1C8B"/>
    <w:rsid w:val="003B1DBA"/>
    <w:rsid w:val="003B1DCD"/>
    <w:rsid w:val="003B1DF0"/>
    <w:rsid w:val="003B1EC5"/>
    <w:rsid w:val="003B1ECE"/>
    <w:rsid w:val="003B1F7B"/>
    <w:rsid w:val="003B20C0"/>
    <w:rsid w:val="003B2121"/>
    <w:rsid w:val="003B2149"/>
    <w:rsid w:val="003B21F2"/>
    <w:rsid w:val="003B2339"/>
    <w:rsid w:val="003B23DD"/>
    <w:rsid w:val="003B24BB"/>
    <w:rsid w:val="003B25A2"/>
    <w:rsid w:val="003B2795"/>
    <w:rsid w:val="003B27A7"/>
    <w:rsid w:val="003B285A"/>
    <w:rsid w:val="003B2870"/>
    <w:rsid w:val="003B2933"/>
    <w:rsid w:val="003B2AA2"/>
    <w:rsid w:val="003B2AC2"/>
    <w:rsid w:val="003B2B96"/>
    <w:rsid w:val="003B2BA4"/>
    <w:rsid w:val="003B2C05"/>
    <w:rsid w:val="003B2D5F"/>
    <w:rsid w:val="003B2EAC"/>
    <w:rsid w:val="003B2EB5"/>
    <w:rsid w:val="003B2ED8"/>
    <w:rsid w:val="003B2FC4"/>
    <w:rsid w:val="003B2FEC"/>
    <w:rsid w:val="003B3212"/>
    <w:rsid w:val="003B32E0"/>
    <w:rsid w:val="003B339A"/>
    <w:rsid w:val="003B33F7"/>
    <w:rsid w:val="003B3429"/>
    <w:rsid w:val="003B34F7"/>
    <w:rsid w:val="003B354A"/>
    <w:rsid w:val="003B3628"/>
    <w:rsid w:val="003B36F4"/>
    <w:rsid w:val="003B375B"/>
    <w:rsid w:val="003B3912"/>
    <w:rsid w:val="003B396A"/>
    <w:rsid w:val="003B3976"/>
    <w:rsid w:val="003B39AE"/>
    <w:rsid w:val="003B3A1D"/>
    <w:rsid w:val="003B3A68"/>
    <w:rsid w:val="003B3B29"/>
    <w:rsid w:val="003B3B79"/>
    <w:rsid w:val="003B3C52"/>
    <w:rsid w:val="003B3C92"/>
    <w:rsid w:val="003B3D9B"/>
    <w:rsid w:val="003B3DD3"/>
    <w:rsid w:val="003B3DD9"/>
    <w:rsid w:val="003B3E6B"/>
    <w:rsid w:val="003B3EB9"/>
    <w:rsid w:val="003B3F99"/>
    <w:rsid w:val="003B3FE5"/>
    <w:rsid w:val="003B408E"/>
    <w:rsid w:val="003B4097"/>
    <w:rsid w:val="003B40BB"/>
    <w:rsid w:val="003B4225"/>
    <w:rsid w:val="003B42C9"/>
    <w:rsid w:val="003B4394"/>
    <w:rsid w:val="003B43D9"/>
    <w:rsid w:val="003B43F5"/>
    <w:rsid w:val="003B4574"/>
    <w:rsid w:val="003B4581"/>
    <w:rsid w:val="003B4595"/>
    <w:rsid w:val="003B4599"/>
    <w:rsid w:val="003B45CE"/>
    <w:rsid w:val="003B45FA"/>
    <w:rsid w:val="003B46A9"/>
    <w:rsid w:val="003B46C8"/>
    <w:rsid w:val="003B4757"/>
    <w:rsid w:val="003B478B"/>
    <w:rsid w:val="003B47DB"/>
    <w:rsid w:val="003B484D"/>
    <w:rsid w:val="003B49B1"/>
    <w:rsid w:val="003B49D5"/>
    <w:rsid w:val="003B4AC5"/>
    <w:rsid w:val="003B4BC8"/>
    <w:rsid w:val="003B4C73"/>
    <w:rsid w:val="003B4D6D"/>
    <w:rsid w:val="003B4E2B"/>
    <w:rsid w:val="003B4FAA"/>
    <w:rsid w:val="003B50C9"/>
    <w:rsid w:val="003B5164"/>
    <w:rsid w:val="003B52FC"/>
    <w:rsid w:val="003B5349"/>
    <w:rsid w:val="003B54C4"/>
    <w:rsid w:val="003B553A"/>
    <w:rsid w:val="003B5582"/>
    <w:rsid w:val="003B56CB"/>
    <w:rsid w:val="003B571B"/>
    <w:rsid w:val="003B5774"/>
    <w:rsid w:val="003B578E"/>
    <w:rsid w:val="003B57DB"/>
    <w:rsid w:val="003B581E"/>
    <w:rsid w:val="003B58B2"/>
    <w:rsid w:val="003B58E7"/>
    <w:rsid w:val="003B5934"/>
    <w:rsid w:val="003B5A83"/>
    <w:rsid w:val="003B5A94"/>
    <w:rsid w:val="003B5ACF"/>
    <w:rsid w:val="003B5B58"/>
    <w:rsid w:val="003B5BB6"/>
    <w:rsid w:val="003B5CA7"/>
    <w:rsid w:val="003B5D01"/>
    <w:rsid w:val="003B5DF5"/>
    <w:rsid w:val="003B5E3F"/>
    <w:rsid w:val="003B5E51"/>
    <w:rsid w:val="003B5F31"/>
    <w:rsid w:val="003B5FCF"/>
    <w:rsid w:val="003B6153"/>
    <w:rsid w:val="003B6208"/>
    <w:rsid w:val="003B6258"/>
    <w:rsid w:val="003B6287"/>
    <w:rsid w:val="003B66B0"/>
    <w:rsid w:val="003B6742"/>
    <w:rsid w:val="003B6746"/>
    <w:rsid w:val="003B676D"/>
    <w:rsid w:val="003B6808"/>
    <w:rsid w:val="003B685A"/>
    <w:rsid w:val="003B68A3"/>
    <w:rsid w:val="003B69AF"/>
    <w:rsid w:val="003B6AC7"/>
    <w:rsid w:val="003B6C2B"/>
    <w:rsid w:val="003B6C53"/>
    <w:rsid w:val="003B6CF4"/>
    <w:rsid w:val="003B6D33"/>
    <w:rsid w:val="003B6D73"/>
    <w:rsid w:val="003B6E5E"/>
    <w:rsid w:val="003B6EF4"/>
    <w:rsid w:val="003B72EF"/>
    <w:rsid w:val="003B7354"/>
    <w:rsid w:val="003B737F"/>
    <w:rsid w:val="003B74A8"/>
    <w:rsid w:val="003B7569"/>
    <w:rsid w:val="003B7589"/>
    <w:rsid w:val="003B75C5"/>
    <w:rsid w:val="003B7855"/>
    <w:rsid w:val="003B7DF6"/>
    <w:rsid w:val="003C00D0"/>
    <w:rsid w:val="003C0348"/>
    <w:rsid w:val="003C0375"/>
    <w:rsid w:val="003C0391"/>
    <w:rsid w:val="003C0588"/>
    <w:rsid w:val="003C05B3"/>
    <w:rsid w:val="003C0A38"/>
    <w:rsid w:val="003C0A7E"/>
    <w:rsid w:val="003C0AC1"/>
    <w:rsid w:val="003C0B9A"/>
    <w:rsid w:val="003C0BE9"/>
    <w:rsid w:val="003C0C12"/>
    <w:rsid w:val="003C0E4F"/>
    <w:rsid w:val="003C0F3D"/>
    <w:rsid w:val="003C0F93"/>
    <w:rsid w:val="003C117E"/>
    <w:rsid w:val="003C126E"/>
    <w:rsid w:val="003C13A2"/>
    <w:rsid w:val="003C1412"/>
    <w:rsid w:val="003C15B7"/>
    <w:rsid w:val="003C1752"/>
    <w:rsid w:val="003C1967"/>
    <w:rsid w:val="003C1AE4"/>
    <w:rsid w:val="003C1BCE"/>
    <w:rsid w:val="003C1C6A"/>
    <w:rsid w:val="003C1C9D"/>
    <w:rsid w:val="003C1E39"/>
    <w:rsid w:val="003C1E9A"/>
    <w:rsid w:val="003C1F35"/>
    <w:rsid w:val="003C2063"/>
    <w:rsid w:val="003C20AD"/>
    <w:rsid w:val="003C20D0"/>
    <w:rsid w:val="003C20D3"/>
    <w:rsid w:val="003C2186"/>
    <w:rsid w:val="003C21A4"/>
    <w:rsid w:val="003C21AF"/>
    <w:rsid w:val="003C2277"/>
    <w:rsid w:val="003C2365"/>
    <w:rsid w:val="003C243E"/>
    <w:rsid w:val="003C246F"/>
    <w:rsid w:val="003C258D"/>
    <w:rsid w:val="003C2596"/>
    <w:rsid w:val="003C260E"/>
    <w:rsid w:val="003C2617"/>
    <w:rsid w:val="003C269F"/>
    <w:rsid w:val="003C26E5"/>
    <w:rsid w:val="003C2775"/>
    <w:rsid w:val="003C2780"/>
    <w:rsid w:val="003C28F5"/>
    <w:rsid w:val="003C294E"/>
    <w:rsid w:val="003C2978"/>
    <w:rsid w:val="003C2A52"/>
    <w:rsid w:val="003C2B8F"/>
    <w:rsid w:val="003C2BC3"/>
    <w:rsid w:val="003C2C63"/>
    <w:rsid w:val="003C2C68"/>
    <w:rsid w:val="003C2CA6"/>
    <w:rsid w:val="003C2E8C"/>
    <w:rsid w:val="003C2E9E"/>
    <w:rsid w:val="003C2EC1"/>
    <w:rsid w:val="003C2F4F"/>
    <w:rsid w:val="003C2FAD"/>
    <w:rsid w:val="003C31E1"/>
    <w:rsid w:val="003C320E"/>
    <w:rsid w:val="003C32F8"/>
    <w:rsid w:val="003C3326"/>
    <w:rsid w:val="003C3382"/>
    <w:rsid w:val="003C33A3"/>
    <w:rsid w:val="003C33EA"/>
    <w:rsid w:val="003C3462"/>
    <w:rsid w:val="003C346D"/>
    <w:rsid w:val="003C348E"/>
    <w:rsid w:val="003C351A"/>
    <w:rsid w:val="003C353F"/>
    <w:rsid w:val="003C358A"/>
    <w:rsid w:val="003C35D4"/>
    <w:rsid w:val="003C35F9"/>
    <w:rsid w:val="003C3625"/>
    <w:rsid w:val="003C36F2"/>
    <w:rsid w:val="003C3708"/>
    <w:rsid w:val="003C37A8"/>
    <w:rsid w:val="003C3835"/>
    <w:rsid w:val="003C3859"/>
    <w:rsid w:val="003C38CD"/>
    <w:rsid w:val="003C3C3C"/>
    <w:rsid w:val="003C3C8D"/>
    <w:rsid w:val="003C3D80"/>
    <w:rsid w:val="003C3E2F"/>
    <w:rsid w:val="003C3F3D"/>
    <w:rsid w:val="003C438B"/>
    <w:rsid w:val="003C43DD"/>
    <w:rsid w:val="003C443A"/>
    <w:rsid w:val="003C4461"/>
    <w:rsid w:val="003C4946"/>
    <w:rsid w:val="003C4C2C"/>
    <w:rsid w:val="003C4CE0"/>
    <w:rsid w:val="003C4D97"/>
    <w:rsid w:val="003C4E99"/>
    <w:rsid w:val="003C4F66"/>
    <w:rsid w:val="003C5000"/>
    <w:rsid w:val="003C502A"/>
    <w:rsid w:val="003C5054"/>
    <w:rsid w:val="003C5106"/>
    <w:rsid w:val="003C510B"/>
    <w:rsid w:val="003C5139"/>
    <w:rsid w:val="003C5179"/>
    <w:rsid w:val="003C5192"/>
    <w:rsid w:val="003C51EC"/>
    <w:rsid w:val="003C5213"/>
    <w:rsid w:val="003C5240"/>
    <w:rsid w:val="003C52A9"/>
    <w:rsid w:val="003C5343"/>
    <w:rsid w:val="003C54D9"/>
    <w:rsid w:val="003C5752"/>
    <w:rsid w:val="003C580D"/>
    <w:rsid w:val="003C58E1"/>
    <w:rsid w:val="003C5C5D"/>
    <w:rsid w:val="003C5D38"/>
    <w:rsid w:val="003C5DBA"/>
    <w:rsid w:val="003C5DEF"/>
    <w:rsid w:val="003C5DF7"/>
    <w:rsid w:val="003C5EA3"/>
    <w:rsid w:val="003C602C"/>
    <w:rsid w:val="003C6091"/>
    <w:rsid w:val="003C610B"/>
    <w:rsid w:val="003C61D7"/>
    <w:rsid w:val="003C6253"/>
    <w:rsid w:val="003C63C6"/>
    <w:rsid w:val="003C64EC"/>
    <w:rsid w:val="003C655B"/>
    <w:rsid w:val="003C6573"/>
    <w:rsid w:val="003C65E5"/>
    <w:rsid w:val="003C6611"/>
    <w:rsid w:val="003C681E"/>
    <w:rsid w:val="003C683F"/>
    <w:rsid w:val="003C6855"/>
    <w:rsid w:val="003C687E"/>
    <w:rsid w:val="003C6885"/>
    <w:rsid w:val="003C6CF6"/>
    <w:rsid w:val="003C6D78"/>
    <w:rsid w:val="003C6E26"/>
    <w:rsid w:val="003C6E78"/>
    <w:rsid w:val="003C6E97"/>
    <w:rsid w:val="003C6ECC"/>
    <w:rsid w:val="003C6F49"/>
    <w:rsid w:val="003C6FD6"/>
    <w:rsid w:val="003C7011"/>
    <w:rsid w:val="003C71FA"/>
    <w:rsid w:val="003C738F"/>
    <w:rsid w:val="003C7558"/>
    <w:rsid w:val="003C755C"/>
    <w:rsid w:val="003C7629"/>
    <w:rsid w:val="003C773D"/>
    <w:rsid w:val="003C7789"/>
    <w:rsid w:val="003C787C"/>
    <w:rsid w:val="003C78C0"/>
    <w:rsid w:val="003C78CD"/>
    <w:rsid w:val="003C78EA"/>
    <w:rsid w:val="003C79C3"/>
    <w:rsid w:val="003C7A24"/>
    <w:rsid w:val="003C7B1D"/>
    <w:rsid w:val="003C7B33"/>
    <w:rsid w:val="003C7D47"/>
    <w:rsid w:val="003C7D7F"/>
    <w:rsid w:val="003C7E51"/>
    <w:rsid w:val="003C7F11"/>
    <w:rsid w:val="003C7F77"/>
    <w:rsid w:val="003D0131"/>
    <w:rsid w:val="003D017D"/>
    <w:rsid w:val="003D02A2"/>
    <w:rsid w:val="003D02AC"/>
    <w:rsid w:val="003D02EB"/>
    <w:rsid w:val="003D0505"/>
    <w:rsid w:val="003D05CF"/>
    <w:rsid w:val="003D0600"/>
    <w:rsid w:val="003D073A"/>
    <w:rsid w:val="003D078D"/>
    <w:rsid w:val="003D07DB"/>
    <w:rsid w:val="003D092C"/>
    <w:rsid w:val="003D09F1"/>
    <w:rsid w:val="003D0BD7"/>
    <w:rsid w:val="003D0C24"/>
    <w:rsid w:val="003D0CE5"/>
    <w:rsid w:val="003D0DC5"/>
    <w:rsid w:val="003D0DDA"/>
    <w:rsid w:val="003D0E03"/>
    <w:rsid w:val="003D0E06"/>
    <w:rsid w:val="003D0EC7"/>
    <w:rsid w:val="003D0F29"/>
    <w:rsid w:val="003D0FF6"/>
    <w:rsid w:val="003D10DF"/>
    <w:rsid w:val="003D10F6"/>
    <w:rsid w:val="003D110D"/>
    <w:rsid w:val="003D12C5"/>
    <w:rsid w:val="003D1379"/>
    <w:rsid w:val="003D1472"/>
    <w:rsid w:val="003D151E"/>
    <w:rsid w:val="003D1553"/>
    <w:rsid w:val="003D1569"/>
    <w:rsid w:val="003D190C"/>
    <w:rsid w:val="003D1AAE"/>
    <w:rsid w:val="003D1AF7"/>
    <w:rsid w:val="003D1BCF"/>
    <w:rsid w:val="003D1C87"/>
    <w:rsid w:val="003D1CFD"/>
    <w:rsid w:val="003D1E71"/>
    <w:rsid w:val="003D1EB5"/>
    <w:rsid w:val="003D1EF8"/>
    <w:rsid w:val="003D1F53"/>
    <w:rsid w:val="003D1FFB"/>
    <w:rsid w:val="003D2037"/>
    <w:rsid w:val="003D2057"/>
    <w:rsid w:val="003D2273"/>
    <w:rsid w:val="003D22ED"/>
    <w:rsid w:val="003D23EE"/>
    <w:rsid w:val="003D24B5"/>
    <w:rsid w:val="003D266E"/>
    <w:rsid w:val="003D2764"/>
    <w:rsid w:val="003D2937"/>
    <w:rsid w:val="003D2938"/>
    <w:rsid w:val="003D2946"/>
    <w:rsid w:val="003D2A70"/>
    <w:rsid w:val="003D2AED"/>
    <w:rsid w:val="003D2CC4"/>
    <w:rsid w:val="003D2CD9"/>
    <w:rsid w:val="003D2D3D"/>
    <w:rsid w:val="003D2D5B"/>
    <w:rsid w:val="003D2D8E"/>
    <w:rsid w:val="003D2E07"/>
    <w:rsid w:val="003D2E09"/>
    <w:rsid w:val="003D2E9B"/>
    <w:rsid w:val="003D2EC8"/>
    <w:rsid w:val="003D3092"/>
    <w:rsid w:val="003D3184"/>
    <w:rsid w:val="003D318D"/>
    <w:rsid w:val="003D31A3"/>
    <w:rsid w:val="003D3220"/>
    <w:rsid w:val="003D3261"/>
    <w:rsid w:val="003D3390"/>
    <w:rsid w:val="003D34A9"/>
    <w:rsid w:val="003D3763"/>
    <w:rsid w:val="003D389F"/>
    <w:rsid w:val="003D38FD"/>
    <w:rsid w:val="003D3927"/>
    <w:rsid w:val="003D3974"/>
    <w:rsid w:val="003D39D0"/>
    <w:rsid w:val="003D3A48"/>
    <w:rsid w:val="003D3C17"/>
    <w:rsid w:val="003D3CB7"/>
    <w:rsid w:val="003D3CBA"/>
    <w:rsid w:val="003D3DF6"/>
    <w:rsid w:val="003D3E18"/>
    <w:rsid w:val="003D3F24"/>
    <w:rsid w:val="003D3FF0"/>
    <w:rsid w:val="003D4010"/>
    <w:rsid w:val="003D40A5"/>
    <w:rsid w:val="003D4121"/>
    <w:rsid w:val="003D4144"/>
    <w:rsid w:val="003D4147"/>
    <w:rsid w:val="003D419E"/>
    <w:rsid w:val="003D4289"/>
    <w:rsid w:val="003D428E"/>
    <w:rsid w:val="003D431D"/>
    <w:rsid w:val="003D4397"/>
    <w:rsid w:val="003D4408"/>
    <w:rsid w:val="003D4479"/>
    <w:rsid w:val="003D47E3"/>
    <w:rsid w:val="003D484B"/>
    <w:rsid w:val="003D4990"/>
    <w:rsid w:val="003D4A93"/>
    <w:rsid w:val="003D4AC7"/>
    <w:rsid w:val="003D4B15"/>
    <w:rsid w:val="003D4B5E"/>
    <w:rsid w:val="003D4C58"/>
    <w:rsid w:val="003D4CDD"/>
    <w:rsid w:val="003D4D00"/>
    <w:rsid w:val="003D4D34"/>
    <w:rsid w:val="003D4D55"/>
    <w:rsid w:val="003D4D5A"/>
    <w:rsid w:val="003D4EAC"/>
    <w:rsid w:val="003D4FA6"/>
    <w:rsid w:val="003D512E"/>
    <w:rsid w:val="003D5177"/>
    <w:rsid w:val="003D5299"/>
    <w:rsid w:val="003D52E3"/>
    <w:rsid w:val="003D5307"/>
    <w:rsid w:val="003D5455"/>
    <w:rsid w:val="003D54E7"/>
    <w:rsid w:val="003D56F9"/>
    <w:rsid w:val="003D571F"/>
    <w:rsid w:val="003D5776"/>
    <w:rsid w:val="003D5826"/>
    <w:rsid w:val="003D5895"/>
    <w:rsid w:val="003D58C5"/>
    <w:rsid w:val="003D597D"/>
    <w:rsid w:val="003D59B4"/>
    <w:rsid w:val="003D5AFA"/>
    <w:rsid w:val="003D5B04"/>
    <w:rsid w:val="003D5B1A"/>
    <w:rsid w:val="003D5BAE"/>
    <w:rsid w:val="003D5D75"/>
    <w:rsid w:val="003D5DC0"/>
    <w:rsid w:val="003D5E19"/>
    <w:rsid w:val="003D5E7A"/>
    <w:rsid w:val="003D60CD"/>
    <w:rsid w:val="003D6184"/>
    <w:rsid w:val="003D61A2"/>
    <w:rsid w:val="003D6209"/>
    <w:rsid w:val="003D6361"/>
    <w:rsid w:val="003D63A3"/>
    <w:rsid w:val="003D65BF"/>
    <w:rsid w:val="003D6601"/>
    <w:rsid w:val="003D66AB"/>
    <w:rsid w:val="003D674A"/>
    <w:rsid w:val="003D6899"/>
    <w:rsid w:val="003D69FF"/>
    <w:rsid w:val="003D6A08"/>
    <w:rsid w:val="003D6A2F"/>
    <w:rsid w:val="003D6AAC"/>
    <w:rsid w:val="003D6B0C"/>
    <w:rsid w:val="003D6B0E"/>
    <w:rsid w:val="003D6B2F"/>
    <w:rsid w:val="003D6B68"/>
    <w:rsid w:val="003D6BB8"/>
    <w:rsid w:val="003D6C3C"/>
    <w:rsid w:val="003D6DFF"/>
    <w:rsid w:val="003D6E04"/>
    <w:rsid w:val="003D6E0E"/>
    <w:rsid w:val="003D6E89"/>
    <w:rsid w:val="003D6F62"/>
    <w:rsid w:val="003D6FC6"/>
    <w:rsid w:val="003D7019"/>
    <w:rsid w:val="003D7201"/>
    <w:rsid w:val="003D7356"/>
    <w:rsid w:val="003D74E6"/>
    <w:rsid w:val="003D7516"/>
    <w:rsid w:val="003D7607"/>
    <w:rsid w:val="003D7623"/>
    <w:rsid w:val="003D77FE"/>
    <w:rsid w:val="003D785E"/>
    <w:rsid w:val="003D7883"/>
    <w:rsid w:val="003D78A9"/>
    <w:rsid w:val="003D791F"/>
    <w:rsid w:val="003D793A"/>
    <w:rsid w:val="003D7AA5"/>
    <w:rsid w:val="003D7BB0"/>
    <w:rsid w:val="003D7BE9"/>
    <w:rsid w:val="003D7D3B"/>
    <w:rsid w:val="003D7DE2"/>
    <w:rsid w:val="003D7E93"/>
    <w:rsid w:val="003D7EA3"/>
    <w:rsid w:val="003D7EB8"/>
    <w:rsid w:val="003D7ECB"/>
    <w:rsid w:val="003E072E"/>
    <w:rsid w:val="003E0980"/>
    <w:rsid w:val="003E09FD"/>
    <w:rsid w:val="003E0A03"/>
    <w:rsid w:val="003E0B65"/>
    <w:rsid w:val="003E0B7E"/>
    <w:rsid w:val="003E0C11"/>
    <w:rsid w:val="003E0C55"/>
    <w:rsid w:val="003E0D13"/>
    <w:rsid w:val="003E0D4B"/>
    <w:rsid w:val="003E0E9A"/>
    <w:rsid w:val="003E0F0B"/>
    <w:rsid w:val="003E0FBD"/>
    <w:rsid w:val="003E10F1"/>
    <w:rsid w:val="003E116B"/>
    <w:rsid w:val="003E1198"/>
    <w:rsid w:val="003E12A6"/>
    <w:rsid w:val="003E12FE"/>
    <w:rsid w:val="003E13CB"/>
    <w:rsid w:val="003E14D5"/>
    <w:rsid w:val="003E15FC"/>
    <w:rsid w:val="003E1646"/>
    <w:rsid w:val="003E1677"/>
    <w:rsid w:val="003E1B90"/>
    <w:rsid w:val="003E1CE3"/>
    <w:rsid w:val="003E1D82"/>
    <w:rsid w:val="003E1DAB"/>
    <w:rsid w:val="003E200B"/>
    <w:rsid w:val="003E2057"/>
    <w:rsid w:val="003E217C"/>
    <w:rsid w:val="003E2189"/>
    <w:rsid w:val="003E220B"/>
    <w:rsid w:val="003E2221"/>
    <w:rsid w:val="003E22C0"/>
    <w:rsid w:val="003E2357"/>
    <w:rsid w:val="003E23CA"/>
    <w:rsid w:val="003E24AF"/>
    <w:rsid w:val="003E2571"/>
    <w:rsid w:val="003E25C6"/>
    <w:rsid w:val="003E2653"/>
    <w:rsid w:val="003E267F"/>
    <w:rsid w:val="003E2751"/>
    <w:rsid w:val="003E2764"/>
    <w:rsid w:val="003E2884"/>
    <w:rsid w:val="003E2991"/>
    <w:rsid w:val="003E2A6A"/>
    <w:rsid w:val="003E2B74"/>
    <w:rsid w:val="003E2C40"/>
    <w:rsid w:val="003E2C52"/>
    <w:rsid w:val="003E2E0D"/>
    <w:rsid w:val="003E2EE8"/>
    <w:rsid w:val="003E2F3D"/>
    <w:rsid w:val="003E302C"/>
    <w:rsid w:val="003E3137"/>
    <w:rsid w:val="003E336F"/>
    <w:rsid w:val="003E346C"/>
    <w:rsid w:val="003E354C"/>
    <w:rsid w:val="003E3558"/>
    <w:rsid w:val="003E35C8"/>
    <w:rsid w:val="003E3628"/>
    <w:rsid w:val="003E362C"/>
    <w:rsid w:val="003E3659"/>
    <w:rsid w:val="003E3685"/>
    <w:rsid w:val="003E378D"/>
    <w:rsid w:val="003E3934"/>
    <w:rsid w:val="003E39BE"/>
    <w:rsid w:val="003E3B53"/>
    <w:rsid w:val="003E3BC3"/>
    <w:rsid w:val="003E3C3A"/>
    <w:rsid w:val="003E3C5B"/>
    <w:rsid w:val="003E3C9C"/>
    <w:rsid w:val="003E3D7D"/>
    <w:rsid w:val="003E3DA3"/>
    <w:rsid w:val="003E3DEF"/>
    <w:rsid w:val="003E3EED"/>
    <w:rsid w:val="003E4106"/>
    <w:rsid w:val="003E4116"/>
    <w:rsid w:val="003E4692"/>
    <w:rsid w:val="003E4732"/>
    <w:rsid w:val="003E4784"/>
    <w:rsid w:val="003E47B0"/>
    <w:rsid w:val="003E49E6"/>
    <w:rsid w:val="003E4AD4"/>
    <w:rsid w:val="003E4C8B"/>
    <w:rsid w:val="003E4CC0"/>
    <w:rsid w:val="003E4CDB"/>
    <w:rsid w:val="003E4D11"/>
    <w:rsid w:val="003E4EE6"/>
    <w:rsid w:val="003E4F47"/>
    <w:rsid w:val="003E5181"/>
    <w:rsid w:val="003E51D4"/>
    <w:rsid w:val="003E52BB"/>
    <w:rsid w:val="003E5360"/>
    <w:rsid w:val="003E559E"/>
    <w:rsid w:val="003E56C4"/>
    <w:rsid w:val="003E570E"/>
    <w:rsid w:val="003E5797"/>
    <w:rsid w:val="003E58D9"/>
    <w:rsid w:val="003E5ABA"/>
    <w:rsid w:val="003E5B93"/>
    <w:rsid w:val="003E5C31"/>
    <w:rsid w:val="003E5EA2"/>
    <w:rsid w:val="003E617F"/>
    <w:rsid w:val="003E63F5"/>
    <w:rsid w:val="003E63F7"/>
    <w:rsid w:val="003E642C"/>
    <w:rsid w:val="003E6509"/>
    <w:rsid w:val="003E654B"/>
    <w:rsid w:val="003E666E"/>
    <w:rsid w:val="003E678E"/>
    <w:rsid w:val="003E682B"/>
    <w:rsid w:val="003E6856"/>
    <w:rsid w:val="003E6871"/>
    <w:rsid w:val="003E68FE"/>
    <w:rsid w:val="003E6906"/>
    <w:rsid w:val="003E696D"/>
    <w:rsid w:val="003E6A36"/>
    <w:rsid w:val="003E6AC7"/>
    <w:rsid w:val="003E6B17"/>
    <w:rsid w:val="003E6C11"/>
    <w:rsid w:val="003E6E8C"/>
    <w:rsid w:val="003E6EC9"/>
    <w:rsid w:val="003E6F78"/>
    <w:rsid w:val="003E7136"/>
    <w:rsid w:val="003E71BA"/>
    <w:rsid w:val="003E72FE"/>
    <w:rsid w:val="003E7357"/>
    <w:rsid w:val="003E76D7"/>
    <w:rsid w:val="003E791D"/>
    <w:rsid w:val="003E798F"/>
    <w:rsid w:val="003E79C5"/>
    <w:rsid w:val="003E79DD"/>
    <w:rsid w:val="003E7A3E"/>
    <w:rsid w:val="003E7C11"/>
    <w:rsid w:val="003E7C21"/>
    <w:rsid w:val="003E7F48"/>
    <w:rsid w:val="003E7F98"/>
    <w:rsid w:val="003E7FB4"/>
    <w:rsid w:val="003F0188"/>
    <w:rsid w:val="003F031D"/>
    <w:rsid w:val="003F04DE"/>
    <w:rsid w:val="003F0675"/>
    <w:rsid w:val="003F07B1"/>
    <w:rsid w:val="003F07E8"/>
    <w:rsid w:val="003F097F"/>
    <w:rsid w:val="003F09E8"/>
    <w:rsid w:val="003F0A1D"/>
    <w:rsid w:val="003F0A65"/>
    <w:rsid w:val="003F0A8B"/>
    <w:rsid w:val="003F0BE5"/>
    <w:rsid w:val="003F0E55"/>
    <w:rsid w:val="003F0FC5"/>
    <w:rsid w:val="003F11D5"/>
    <w:rsid w:val="003F122D"/>
    <w:rsid w:val="003F1272"/>
    <w:rsid w:val="003F127B"/>
    <w:rsid w:val="003F12F2"/>
    <w:rsid w:val="003F1315"/>
    <w:rsid w:val="003F161D"/>
    <w:rsid w:val="003F189C"/>
    <w:rsid w:val="003F193F"/>
    <w:rsid w:val="003F19BA"/>
    <w:rsid w:val="003F1BCB"/>
    <w:rsid w:val="003F1C70"/>
    <w:rsid w:val="003F1CE5"/>
    <w:rsid w:val="003F1E40"/>
    <w:rsid w:val="003F1F14"/>
    <w:rsid w:val="003F1F8D"/>
    <w:rsid w:val="003F1FE6"/>
    <w:rsid w:val="003F2003"/>
    <w:rsid w:val="003F2078"/>
    <w:rsid w:val="003F21E1"/>
    <w:rsid w:val="003F22AF"/>
    <w:rsid w:val="003F22DE"/>
    <w:rsid w:val="003F22F0"/>
    <w:rsid w:val="003F2458"/>
    <w:rsid w:val="003F2681"/>
    <w:rsid w:val="003F2734"/>
    <w:rsid w:val="003F27D1"/>
    <w:rsid w:val="003F29C7"/>
    <w:rsid w:val="003F2AD7"/>
    <w:rsid w:val="003F2B30"/>
    <w:rsid w:val="003F2B3E"/>
    <w:rsid w:val="003F2C06"/>
    <w:rsid w:val="003F2C21"/>
    <w:rsid w:val="003F2C3E"/>
    <w:rsid w:val="003F2C67"/>
    <w:rsid w:val="003F2CDC"/>
    <w:rsid w:val="003F2D0A"/>
    <w:rsid w:val="003F2D20"/>
    <w:rsid w:val="003F2DFB"/>
    <w:rsid w:val="003F2FA0"/>
    <w:rsid w:val="003F3016"/>
    <w:rsid w:val="003F314A"/>
    <w:rsid w:val="003F31D8"/>
    <w:rsid w:val="003F322F"/>
    <w:rsid w:val="003F323B"/>
    <w:rsid w:val="003F3328"/>
    <w:rsid w:val="003F33FA"/>
    <w:rsid w:val="003F345F"/>
    <w:rsid w:val="003F3494"/>
    <w:rsid w:val="003F34DD"/>
    <w:rsid w:val="003F3968"/>
    <w:rsid w:val="003F39FD"/>
    <w:rsid w:val="003F3B9C"/>
    <w:rsid w:val="003F3BE5"/>
    <w:rsid w:val="003F3CC8"/>
    <w:rsid w:val="003F3CDC"/>
    <w:rsid w:val="003F3D00"/>
    <w:rsid w:val="003F3D99"/>
    <w:rsid w:val="003F3DFE"/>
    <w:rsid w:val="003F3E00"/>
    <w:rsid w:val="003F3F2C"/>
    <w:rsid w:val="003F4070"/>
    <w:rsid w:val="003F423F"/>
    <w:rsid w:val="003F436E"/>
    <w:rsid w:val="003F4429"/>
    <w:rsid w:val="003F48B0"/>
    <w:rsid w:val="003F48E3"/>
    <w:rsid w:val="003F4B5F"/>
    <w:rsid w:val="003F4D71"/>
    <w:rsid w:val="003F4F88"/>
    <w:rsid w:val="003F511F"/>
    <w:rsid w:val="003F5185"/>
    <w:rsid w:val="003F519B"/>
    <w:rsid w:val="003F527B"/>
    <w:rsid w:val="003F547C"/>
    <w:rsid w:val="003F548B"/>
    <w:rsid w:val="003F5539"/>
    <w:rsid w:val="003F5699"/>
    <w:rsid w:val="003F5750"/>
    <w:rsid w:val="003F578A"/>
    <w:rsid w:val="003F58D9"/>
    <w:rsid w:val="003F5958"/>
    <w:rsid w:val="003F5A2C"/>
    <w:rsid w:val="003F5AB9"/>
    <w:rsid w:val="003F5ABB"/>
    <w:rsid w:val="003F5BAE"/>
    <w:rsid w:val="003F5C7A"/>
    <w:rsid w:val="003F5EB2"/>
    <w:rsid w:val="003F5F3A"/>
    <w:rsid w:val="003F5F40"/>
    <w:rsid w:val="003F5FB7"/>
    <w:rsid w:val="003F5FF2"/>
    <w:rsid w:val="003F6053"/>
    <w:rsid w:val="003F60B7"/>
    <w:rsid w:val="003F60D9"/>
    <w:rsid w:val="003F629F"/>
    <w:rsid w:val="003F64B2"/>
    <w:rsid w:val="003F657F"/>
    <w:rsid w:val="003F65B5"/>
    <w:rsid w:val="003F65D2"/>
    <w:rsid w:val="003F6648"/>
    <w:rsid w:val="003F6661"/>
    <w:rsid w:val="003F677D"/>
    <w:rsid w:val="003F684D"/>
    <w:rsid w:val="003F6AA6"/>
    <w:rsid w:val="003F6B9F"/>
    <w:rsid w:val="003F6C77"/>
    <w:rsid w:val="003F6CA0"/>
    <w:rsid w:val="003F6D0B"/>
    <w:rsid w:val="003F6EF5"/>
    <w:rsid w:val="003F6FC4"/>
    <w:rsid w:val="003F70A4"/>
    <w:rsid w:val="003F7146"/>
    <w:rsid w:val="003F7222"/>
    <w:rsid w:val="003F7270"/>
    <w:rsid w:val="003F729E"/>
    <w:rsid w:val="003F72BF"/>
    <w:rsid w:val="003F7328"/>
    <w:rsid w:val="003F7360"/>
    <w:rsid w:val="003F73A1"/>
    <w:rsid w:val="003F7454"/>
    <w:rsid w:val="003F7470"/>
    <w:rsid w:val="003F7576"/>
    <w:rsid w:val="003F75E1"/>
    <w:rsid w:val="003F77CD"/>
    <w:rsid w:val="003F77D3"/>
    <w:rsid w:val="003F786C"/>
    <w:rsid w:val="003F78AC"/>
    <w:rsid w:val="003F79DA"/>
    <w:rsid w:val="003F7A1D"/>
    <w:rsid w:val="003F7BD1"/>
    <w:rsid w:val="003F7E45"/>
    <w:rsid w:val="003F7F1F"/>
    <w:rsid w:val="003F7F50"/>
    <w:rsid w:val="00400120"/>
    <w:rsid w:val="004002AD"/>
    <w:rsid w:val="004004D0"/>
    <w:rsid w:val="00400557"/>
    <w:rsid w:val="0040067C"/>
    <w:rsid w:val="004006D1"/>
    <w:rsid w:val="004007A1"/>
    <w:rsid w:val="004007DA"/>
    <w:rsid w:val="00400839"/>
    <w:rsid w:val="00400874"/>
    <w:rsid w:val="004008EE"/>
    <w:rsid w:val="0040091B"/>
    <w:rsid w:val="0040096A"/>
    <w:rsid w:val="00400981"/>
    <w:rsid w:val="00400B08"/>
    <w:rsid w:val="00400D22"/>
    <w:rsid w:val="00400D28"/>
    <w:rsid w:val="00400DE3"/>
    <w:rsid w:val="00400FF3"/>
    <w:rsid w:val="004012D8"/>
    <w:rsid w:val="00401356"/>
    <w:rsid w:val="004013CF"/>
    <w:rsid w:val="0040142D"/>
    <w:rsid w:val="00401445"/>
    <w:rsid w:val="00401488"/>
    <w:rsid w:val="0040160B"/>
    <w:rsid w:val="00401854"/>
    <w:rsid w:val="00401929"/>
    <w:rsid w:val="0040195C"/>
    <w:rsid w:val="00401A26"/>
    <w:rsid w:val="00401A91"/>
    <w:rsid w:val="00401C65"/>
    <w:rsid w:val="00401DB0"/>
    <w:rsid w:val="00401DFF"/>
    <w:rsid w:val="00401F00"/>
    <w:rsid w:val="00401F17"/>
    <w:rsid w:val="00401FC4"/>
    <w:rsid w:val="00402158"/>
    <w:rsid w:val="00402239"/>
    <w:rsid w:val="00402410"/>
    <w:rsid w:val="0040242F"/>
    <w:rsid w:val="00402447"/>
    <w:rsid w:val="00402566"/>
    <w:rsid w:val="004028A2"/>
    <w:rsid w:val="004028C6"/>
    <w:rsid w:val="004028D6"/>
    <w:rsid w:val="00402925"/>
    <w:rsid w:val="00402A22"/>
    <w:rsid w:val="00402BE6"/>
    <w:rsid w:val="00402BFE"/>
    <w:rsid w:val="00402C3B"/>
    <w:rsid w:val="00402D17"/>
    <w:rsid w:val="00402D62"/>
    <w:rsid w:val="00402E73"/>
    <w:rsid w:val="00402FAD"/>
    <w:rsid w:val="00403000"/>
    <w:rsid w:val="00403108"/>
    <w:rsid w:val="00403139"/>
    <w:rsid w:val="00403212"/>
    <w:rsid w:val="00403265"/>
    <w:rsid w:val="004032B5"/>
    <w:rsid w:val="004032DD"/>
    <w:rsid w:val="004032F6"/>
    <w:rsid w:val="004032FD"/>
    <w:rsid w:val="00403329"/>
    <w:rsid w:val="0040342A"/>
    <w:rsid w:val="00403592"/>
    <w:rsid w:val="004036B5"/>
    <w:rsid w:val="00403700"/>
    <w:rsid w:val="00403718"/>
    <w:rsid w:val="00403751"/>
    <w:rsid w:val="004037BE"/>
    <w:rsid w:val="004038B4"/>
    <w:rsid w:val="004038B7"/>
    <w:rsid w:val="00403A51"/>
    <w:rsid w:val="00403AAD"/>
    <w:rsid w:val="00403B10"/>
    <w:rsid w:val="00403B2D"/>
    <w:rsid w:val="00403B3F"/>
    <w:rsid w:val="00403F2B"/>
    <w:rsid w:val="00403F34"/>
    <w:rsid w:val="0040424E"/>
    <w:rsid w:val="004043EB"/>
    <w:rsid w:val="004043F8"/>
    <w:rsid w:val="004044A6"/>
    <w:rsid w:val="004044D2"/>
    <w:rsid w:val="00404545"/>
    <w:rsid w:val="00404555"/>
    <w:rsid w:val="00404596"/>
    <w:rsid w:val="004045E3"/>
    <w:rsid w:val="00404643"/>
    <w:rsid w:val="0040466A"/>
    <w:rsid w:val="00404693"/>
    <w:rsid w:val="00404770"/>
    <w:rsid w:val="004049A2"/>
    <w:rsid w:val="004049D8"/>
    <w:rsid w:val="00404C40"/>
    <w:rsid w:val="00404D57"/>
    <w:rsid w:val="0040501E"/>
    <w:rsid w:val="0040515F"/>
    <w:rsid w:val="0040522C"/>
    <w:rsid w:val="004052A8"/>
    <w:rsid w:val="00405367"/>
    <w:rsid w:val="0040566D"/>
    <w:rsid w:val="0040567E"/>
    <w:rsid w:val="00405692"/>
    <w:rsid w:val="0040570A"/>
    <w:rsid w:val="0040585C"/>
    <w:rsid w:val="00405880"/>
    <w:rsid w:val="0040590D"/>
    <w:rsid w:val="00405966"/>
    <w:rsid w:val="00405A43"/>
    <w:rsid w:val="00405A47"/>
    <w:rsid w:val="00405A5A"/>
    <w:rsid w:val="00405A6F"/>
    <w:rsid w:val="00405B73"/>
    <w:rsid w:val="00405E0D"/>
    <w:rsid w:val="00405F18"/>
    <w:rsid w:val="00405FC8"/>
    <w:rsid w:val="00405FFC"/>
    <w:rsid w:val="004062B0"/>
    <w:rsid w:val="00406336"/>
    <w:rsid w:val="004063E9"/>
    <w:rsid w:val="00406414"/>
    <w:rsid w:val="00406416"/>
    <w:rsid w:val="004064C3"/>
    <w:rsid w:val="004065B2"/>
    <w:rsid w:val="00406735"/>
    <w:rsid w:val="00406802"/>
    <w:rsid w:val="00406822"/>
    <w:rsid w:val="00406883"/>
    <w:rsid w:val="004068CA"/>
    <w:rsid w:val="00406A51"/>
    <w:rsid w:val="00406C57"/>
    <w:rsid w:val="00406D57"/>
    <w:rsid w:val="00406E37"/>
    <w:rsid w:val="00406EE6"/>
    <w:rsid w:val="00406F35"/>
    <w:rsid w:val="00406F57"/>
    <w:rsid w:val="00406F9D"/>
    <w:rsid w:val="00406FC8"/>
    <w:rsid w:val="0040701C"/>
    <w:rsid w:val="0040704E"/>
    <w:rsid w:val="0040713D"/>
    <w:rsid w:val="00407143"/>
    <w:rsid w:val="004072AF"/>
    <w:rsid w:val="00407426"/>
    <w:rsid w:val="00407432"/>
    <w:rsid w:val="00407493"/>
    <w:rsid w:val="004074C1"/>
    <w:rsid w:val="004074C3"/>
    <w:rsid w:val="004074C6"/>
    <w:rsid w:val="00407635"/>
    <w:rsid w:val="004076B9"/>
    <w:rsid w:val="004076C7"/>
    <w:rsid w:val="004076D6"/>
    <w:rsid w:val="00407772"/>
    <w:rsid w:val="00407875"/>
    <w:rsid w:val="00407963"/>
    <w:rsid w:val="00407A7D"/>
    <w:rsid w:val="00407BFB"/>
    <w:rsid w:val="00407D3E"/>
    <w:rsid w:val="00407E36"/>
    <w:rsid w:val="00407E66"/>
    <w:rsid w:val="00407FC5"/>
    <w:rsid w:val="0041005A"/>
    <w:rsid w:val="0041010A"/>
    <w:rsid w:val="0041011F"/>
    <w:rsid w:val="0041015A"/>
    <w:rsid w:val="004101BC"/>
    <w:rsid w:val="004101C4"/>
    <w:rsid w:val="0041024A"/>
    <w:rsid w:val="0041024D"/>
    <w:rsid w:val="00410359"/>
    <w:rsid w:val="0041037A"/>
    <w:rsid w:val="004103B5"/>
    <w:rsid w:val="004103B7"/>
    <w:rsid w:val="00410483"/>
    <w:rsid w:val="00410602"/>
    <w:rsid w:val="00410766"/>
    <w:rsid w:val="004107F6"/>
    <w:rsid w:val="0041089F"/>
    <w:rsid w:val="004108FD"/>
    <w:rsid w:val="00410A6B"/>
    <w:rsid w:val="00410AD8"/>
    <w:rsid w:val="00410BB5"/>
    <w:rsid w:val="00410CC4"/>
    <w:rsid w:val="00410D18"/>
    <w:rsid w:val="00410DCD"/>
    <w:rsid w:val="00410DDC"/>
    <w:rsid w:val="00410DF8"/>
    <w:rsid w:val="00410E25"/>
    <w:rsid w:val="00410E31"/>
    <w:rsid w:val="00410EB4"/>
    <w:rsid w:val="00410ECF"/>
    <w:rsid w:val="00410F85"/>
    <w:rsid w:val="0041101D"/>
    <w:rsid w:val="0041105C"/>
    <w:rsid w:val="0041105D"/>
    <w:rsid w:val="004110E0"/>
    <w:rsid w:val="00411109"/>
    <w:rsid w:val="0041110F"/>
    <w:rsid w:val="004111D7"/>
    <w:rsid w:val="004112B6"/>
    <w:rsid w:val="0041137A"/>
    <w:rsid w:val="00411413"/>
    <w:rsid w:val="004114F5"/>
    <w:rsid w:val="0041155C"/>
    <w:rsid w:val="0041161A"/>
    <w:rsid w:val="00411634"/>
    <w:rsid w:val="00411857"/>
    <w:rsid w:val="00411885"/>
    <w:rsid w:val="00411B23"/>
    <w:rsid w:val="00411BFF"/>
    <w:rsid w:val="00411C9B"/>
    <w:rsid w:val="00411DF9"/>
    <w:rsid w:val="00411EF0"/>
    <w:rsid w:val="004122AB"/>
    <w:rsid w:val="00412341"/>
    <w:rsid w:val="0041262D"/>
    <w:rsid w:val="00412811"/>
    <w:rsid w:val="00412833"/>
    <w:rsid w:val="00412915"/>
    <w:rsid w:val="00412961"/>
    <w:rsid w:val="00412A80"/>
    <w:rsid w:val="00412ACD"/>
    <w:rsid w:val="00412B85"/>
    <w:rsid w:val="00412C17"/>
    <w:rsid w:val="00412CB1"/>
    <w:rsid w:val="00412E0A"/>
    <w:rsid w:val="00412EB8"/>
    <w:rsid w:val="00412F6A"/>
    <w:rsid w:val="00412FBB"/>
    <w:rsid w:val="004130F7"/>
    <w:rsid w:val="004131AC"/>
    <w:rsid w:val="00413256"/>
    <w:rsid w:val="0041332A"/>
    <w:rsid w:val="0041366D"/>
    <w:rsid w:val="00413797"/>
    <w:rsid w:val="004138C8"/>
    <w:rsid w:val="0041391C"/>
    <w:rsid w:val="0041397B"/>
    <w:rsid w:val="004139BF"/>
    <w:rsid w:val="004139D0"/>
    <w:rsid w:val="00413B46"/>
    <w:rsid w:val="00413B86"/>
    <w:rsid w:val="00413E43"/>
    <w:rsid w:val="00413E70"/>
    <w:rsid w:val="00413E84"/>
    <w:rsid w:val="00413F2A"/>
    <w:rsid w:val="00413F32"/>
    <w:rsid w:val="00414233"/>
    <w:rsid w:val="00414293"/>
    <w:rsid w:val="00414316"/>
    <w:rsid w:val="00414333"/>
    <w:rsid w:val="0041434B"/>
    <w:rsid w:val="00414380"/>
    <w:rsid w:val="0041438B"/>
    <w:rsid w:val="004143D6"/>
    <w:rsid w:val="004143F5"/>
    <w:rsid w:val="00414455"/>
    <w:rsid w:val="0041446E"/>
    <w:rsid w:val="004145E2"/>
    <w:rsid w:val="004145FF"/>
    <w:rsid w:val="00414654"/>
    <w:rsid w:val="004146B6"/>
    <w:rsid w:val="004147A1"/>
    <w:rsid w:val="00414849"/>
    <w:rsid w:val="0041495E"/>
    <w:rsid w:val="00414AA4"/>
    <w:rsid w:val="00414AF1"/>
    <w:rsid w:val="00414BE3"/>
    <w:rsid w:val="00414D88"/>
    <w:rsid w:val="00414F5D"/>
    <w:rsid w:val="00415156"/>
    <w:rsid w:val="004151E0"/>
    <w:rsid w:val="0041524D"/>
    <w:rsid w:val="0041525E"/>
    <w:rsid w:val="00415264"/>
    <w:rsid w:val="00415275"/>
    <w:rsid w:val="0041533F"/>
    <w:rsid w:val="00415480"/>
    <w:rsid w:val="00415489"/>
    <w:rsid w:val="00415517"/>
    <w:rsid w:val="004155A5"/>
    <w:rsid w:val="004155CA"/>
    <w:rsid w:val="00415825"/>
    <w:rsid w:val="0041592A"/>
    <w:rsid w:val="00415958"/>
    <w:rsid w:val="00415988"/>
    <w:rsid w:val="00415989"/>
    <w:rsid w:val="00415A9D"/>
    <w:rsid w:val="00415B29"/>
    <w:rsid w:val="00415B6A"/>
    <w:rsid w:val="00415BD5"/>
    <w:rsid w:val="00415E2D"/>
    <w:rsid w:val="00415E6C"/>
    <w:rsid w:val="00415F24"/>
    <w:rsid w:val="00415F6E"/>
    <w:rsid w:val="00415F71"/>
    <w:rsid w:val="004160BB"/>
    <w:rsid w:val="0041613B"/>
    <w:rsid w:val="004161D6"/>
    <w:rsid w:val="004161EB"/>
    <w:rsid w:val="0041621A"/>
    <w:rsid w:val="00416416"/>
    <w:rsid w:val="004165DE"/>
    <w:rsid w:val="00416636"/>
    <w:rsid w:val="00416933"/>
    <w:rsid w:val="00416983"/>
    <w:rsid w:val="00416D33"/>
    <w:rsid w:val="00416D46"/>
    <w:rsid w:val="00416E21"/>
    <w:rsid w:val="00416F3B"/>
    <w:rsid w:val="00417022"/>
    <w:rsid w:val="004170C4"/>
    <w:rsid w:val="004171A4"/>
    <w:rsid w:val="004172A5"/>
    <w:rsid w:val="004172D4"/>
    <w:rsid w:val="00417420"/>
    <w:rsid w:val="004175CD"/>
    <w:rsid w:val="004176E8"/>
    <w:rsid w:val="00417851"/>
    <w:rsid w:val="004178AE"/>
    <w:rsid w:val="00417926"/>
    <w:rsid w:val="00417928"/>
    <w:rsid w:val="00417954"/>
    <w:rsid w:val="004179B3"/>
    <w:rsid w:val="00417AB7"/>
    <w:rsid w:val="00417B7F"/>
    <w:rsid w:val="00417E0B"/>
    <w:rsid w:val="00417EB4"/>
    <w:rsid w:val="00417F1C"/>
    <w:rsid w:val="00417F72"/>
    <w:rsid w:val="004200B6"/>
    <w:rsid w:val="004200BB"/>
    <w:rsid w:val="00420149"/>
    <w:rsid w:val="00420181"/>
    <w:rsid w:val="004201C7"/>
    <w:rsid w:val="004202E2"/>
    <w:rsid w:val="00420450"/>
    <w:rsid w:val="00420622"/>
    <w:rsid w:val="004206A2"/>
    <w:rsid w:val="0042074D"/>
    <w:rsid w:val="00420782"/>
    <w:rsid w:val="004207F3"/>
    <w:rsid w:val="0042081A"/>
    <w:rsid w:val="00420861"/>
    <w:rsid w:val="004208ED"/>
    <w:rsid w:val="00420A0A"/>
    <w:rsid w:val="00420ABA"/>
    <w:rsid w:val="00420AE8"/>
    <w:rsid w:val="00420B8C"/>
    <w:rsid w:val="00420C12"/>
    <w:rsid w:val="00420C13"/>
    <w:rsid w:val="00420C60"/>
    <w:rsid w:val="00420CED"/>
    <w:rsid w:val="00420D13"/>
    <w:rsid w:val="00420EE8"/>
    <w:rsid w:val="00420F49"/>
    <w:rsid w:val="0042100A"/>
    <w:rsid w:val="00421120"/>
    <w:rsid w:val="00421190"/>
    <w:rsid w:val="0042122A"/>
    <w:rsid w:val="00421259"/>
    <w:rsid w:val="00421381"/>
    <w:rsid w:val="00421449"/>
    <w:rsid w:val="004214C2"/>
    <w:rsid w:val="004214EC"/>
    <w:rsid w:val="004215D7"/>
    <w:rsid w:val="004215FF"/>
    <w:rsid w:val="004216BD"/>
    <w:rsid w:val="00421905"/>
    <w:rsid w:val="00421953"/>
    <w:rsid w:val="00421960"/>
    <w:rsid w:val="0042197E"/>
    <w:rsid w:val="004219E0"/>
    <w:rsid w:val="00421A01"/>
    <w:rsid w:val="00421A55"/>
    <w:rsid w:val="00421A9D"/>
    <w:rsid w:val="00421ADC"/>
    <w:rsid w:val="00421B73"/>
    <w:rsid w:val="00421BED"/>
    <w:rsid w:val="00421C32"/>
    <w:rsid w:val="00421CB9"/>
    <w:rsid w:val="00421CF0"/>
    <w:rsid w:val="00421D00"/>
    <w:rsid w:val="00421DC5"/>
    <w:rsid w:val="00421E40"/>
    <w:rsid w:val="00421F11"/>
    <w:rsid w:val="0042201C"/>
    <w:rsid w:val="00422067"/>
    <w:rsid w:val="0042207E"/>
    <w:rsid w:val="0042208D"/>
    <w:rsid w:val="00422136"/>
    <w:rsid w:val="004221F3"/>
    <w:rsid w:val="00422301"/>
    <w:rsid w:val="00422584"/>
    <w:rsid w:val="004225CA"/>
    <w:rsid w:val="004225DC"/>
    <w:rsid w:val="00422896"/>
    <w:rsid w:val="004228E0"/>
    <w:rsid w:val="00422910"/>
    <w:rsid w:val="0042297C"/>
    <w:rsid w:val="00422A03"/>
    <w:rsid w:val="00422A22"/>
    <w:rsid w:val="00422B64"/>
    <w:rsid w:val="00422C12"/>
    <w:rsid w:val="00422C33"/>
    <w:rsid w:val="00422E15"/>
    <w:rsid w:val="00422E1C"/>
    <w:rsid w:val="00422E41"/>
    <w:rsid w:val="00422E8A"/>
    <w:rsid w:val="00422EBD"/>
    <w:rsid w:val="00422F1F"/>
    <w:rsid w:val="00422F36"/>
    <w:rsid w:val="00423017"/>
    <w:rsid w:val="004232E7"/>
    <w:rsid w:val="004234B8"/>
    <w:rsid w:val="004234CC"/>
    <w:rsid w:val="004234ED"/>
    <w:rsid w:val="0042395A"/>
    <w:rsid w:val="00423B9B"/>
    <w:rsid w:val="00423C50"/>
    <w:rsid w:val="00423C8E"/>
    <w:rsid w:val="00423D74"/>
    <w:rsid w:val="00423EAD"/>
    <w:rsid w:val="00423FE4"/>
    <w:rsid w:val="00424134"/>
    <w:rsid w:val="00424156"/>
    <w:rsid w:val="0042418B"/>
    <w:rsid w:val="00424201"/>
    <w:rsid w:val="00424204"/>
    <w:rsid w:val="00424293"/>
    <w:rsid w:val="004242C8"/>
    <w:rsid w:val="0042445C"/>
    <w:rsid w:val="004244E4"/>
    <w:rsid w:val="004245DD"/>
    <w:rsid w:val="00424612"/>
    <w:rsid w:val="0042461A"/>
    <w:rsid w:val="004246B8"/>
    <w:rsid w:val="004248A5"/>
    <w:rsid w:val="004248D8"/>
    <w:rsid w:val="004248E4"/>
    <w:rsid w:val="00424A6D"/>
    <w:rsid w:val="00424AB4"/>
    <w:rsid w:val="00424D08"/>
    <w:rsid w:val="00424D84"/>
    <w:rsid w:val="00424DC8"/>
    <w:rsid w:val="00424E11"/>
    <w:rsid w:val="00424F28"/>
    <w:rsid w:val="00424FDF"/>
    <w:rsid w:val="00425081"/>
    <w:rsid w:val="00425096"/>
    <w:rsid w:val="004250FA"/>
    <w:rsid w:val="004252F5"/>
    <w:rsid w:val="0042533D"/>
    <w:rsid w:val="00425443"/>
    <w:rsid w:val="00425456"/>
    <w:rsid w:val="0042549F"/>
    <w:rsid w:val="00425544"/>
    <w:rsid w:val="00425700"/>
    <w:rsid w:val="00425729"/>
    <w:rsid w:val="00425752"/>
    <w:rsid w:val="00425933"/>
    <w:rsid w:val="00425BD5"/>
    <w:rsid w:val="00425BE4"/>
    <w:rsid w:val="00425C1C"/>
    <w:rsid w:val="00425C9E"/>
    <w:rsid w:val="00425CFB"/>
    <w:rsid w:val="00425D17"/>
    <w:rsid w:val="00425D62"/>
    <w:rsid w:val="00425E15"/>
    <w:rsid w:val="00425E17"/>
    <w:rsid w:val="00425EF3"/>
    <w:rsid w:val="00426085"/>
    <w:rsid w:val="004260AF"/>
    <w:rsid w:val="00426175"/>
    <w:rsid w:val="0042626D"/>
    <w:rsid w:val="00426287"/>
    <w:rsid w:val="0042628A"/>
    <w:rsid w:val="00426331"/>
    <w:rsid w:val="004263F7"/>
    <w:rsid w:val="004264C8"/>
    <w:rsid w:val="004265F4"/>
    <w:rsid w:val="00426690"/>
    <w:rsid w:val="004266A8"/>
    <w:rsid w:val="0042690E"/>
    <w:rsid w:val="00426957"/>
    <w:rsid w:val="004269D4"/>
    <w:rsid w:val="00426AC5"/>
    <w:rsid w:val="00426B2B"/>
    <w:rsid w:val="00426B7E"/>
    <w:rsid w:val="00426BBE"/>
    <w:rsid w:val="00426D33"/>
    <w:rsid w:val="00426D7F"/>
    <w:rsid w:val="00426E89"/>
    <w:rsid w:val="00426EBA"/>
    <w:rsid w:val="00426EEE"/>
    <w:rsid w:val="00426F64"/>
    <w:rsid w:val="00426F68"/>
    <w:rsid w:val="00426FD1"/>
    <w:rsid w:val="004270FC"/>
    <w:rsid w:val="00427210"/>
    <w:rsid w:val="0042725D"/>
    <w:rsid w:val="00427293"/>
    <w:rsid w:val="004272BA"/>
    <w:rsid w:val="0042757B"/>
    <w:rsid w:val="00427593"/>
    <w:rsid w:val="00427B1D"/>
    <w:rsid w:val="00427B39"/>
    <w:rsid w:val="00427B62"/>
    <w:rsid w:val="00427C55"/>
    <w:rsid w:val="00427C64"/>
    <w:rsid w:val="00427DB6"/>
    <w:rsid w:val="00427E80"/>
    <w:rsid w:val="00427EA4"/>
    <w:rsid w:val="0043002F"/>
    <w:rsid w:val="00430371"/>
    <w:rsid w:val="004303C0"/>
    <w:rsid w:val="004305E2"/>
    <w:rsid w:val="00430604"/>
    <w:rsid w:val="0043066B"/>
    <w:rsid w:val="004306F3"/>
    <w:rsid w:val="00430A3A"/>
    <w:rsid w:val="00430A52"/>
    <w:rsid w:val="00430C24"/>
    <w:rsid w:val="00430D66"/>
    <w:rsid w:val="00430D82"/>
    <w:rsid w:val="00430FF8"/>
    <w:rsid w:val="00431027"/>
    <w:rsid w:val="004310AE"/>
    <w:rsid w:val="004310C0"/>
    <w:rsid w:val="0043121E"/>
    <w:rsid w:val="00431277"/>
    <w:rsid w:val="004312E6"/>
    <w:rsid w:val="0043137D"/>
    <w:rsid w:val="00431506"/>
    <w:rsid w:val="00431544"/>
    <w:rsid w:val="00431551"/>
    <w:rsid w:val="0043156D"/>
    <w:rsid w:val="004315A7"/>
    <w:rsid w:val="0043184D"/>
    <w:rsid w:val="0043184E"/>
    <w:rsid w:val="00431A2A"/>
    <w:rsid w:val="00431B10"/>
    <w:rsid w:val="00431C17"/>
    <w:rsid w:val="00431C39"/>
    <w:rsid w:val="00431CBC"/>
    <w:rsid w:val="00431CF1"/>
    <w:rsid w:val="00431CF8"/>
    <w:rsid w:val="00431DCE"/>
    <w:rsid w:val="00431E79"/>
    <w:rsid w:val="00431E8F"/>
    <w:rsid w:val="00432028"/>
    <w:rsid w:val="004320CB"/>
    <w:rsid w:val="004321B9"/>
    <w:rsid w:val="00432240"/>
    <w:rsid w:val="0043228A"/>
    <w:rsid w:val="004323C1"/>
    <w:rsid w:val="0043245D"/>
    <w:rsid w:val="00432502"/>
    <w:rsid w:val="00432505"/>
    <w:rsid w:val="00432595"/>
    <w:rsid w:val="004325A8"/>
    <w:rsid w:val="004325FB"/>
    <w:rsid w:val="0043261A"/>
    <w:rsid w:val="0043261E"/>
    <w:rsid w:val="004326D6"/>
    <w:rsid w:val="00432706"/>
    <w:rsid w:val="0043271C"/>
    <w:rsid w:val="004328CA"/>
    <w:rsid w:val="004328FA"/>
    <w:rsid w:val="00432948"/>
    <w:rsid w:val="00432988"/>
    <w:rsid w:val="004329E5"/>
    <w:rsid w:val="00432A7C"/>
    <w:rsid w:val="00432B49"/>
    <w:rsid w:val="00432B86"/>
    <w:rsid w:val="00432BDF"/>
    <w:rsid w:val="00432D53"/>
    <w:rsid w:val="00432F86"/>
    <w:rsid w:val="00432FBE"/>
    <w:rsid w:val="0043302D"/>
    <w:rsid w:val="00433093"/>
    <w:rsid w:val="004330AA"/>
    <w:rsid w:val="004331B3"/>
    <w:rsid w:val="00433203"/>
    <w:rsid w:val="00433250"/>
    <w:rsid w:val="004333F8"/>
    <w:rsid w:val="0043362A"/>
    <w:rsid w:val="0043380E"/>
    <w:rsid w:val="00433887"/>
    <w:rsid w:val="00433B9D"/>
    <w:rsid w:val="00433EEB"/>
    <w:rsid w:val="00433EFA"/>
    <w:rsid w:val="00434067"/>
    <w:rsid w:val="004341C1"/>
    <w:rsid w:val="004341C7"/>
    <w:rsid w:val="004341E8"/>
    <w:rsid w:val="0043425E"/>
    <w:rsid w:val="00434421"/>
    <w:rsid w:val="004345FD"/>
    <w:rsid w:val="004346C7"/>
    <w:rsid w:val="004346FF"/>
    <w:rsid w:val="00434910"/>
    <w:rsid w:val="00434A08"/>
    <w:rsid w:val="00434A74"/>
    <w:rsid w:val="00434B9D"/>
    <w:rsid w:val="00434BE0"/>
    <w:rsid w:val="00434C2A"/>
    <w:rsid w:val="00434CE3"/>
    <w:rsid w:val="00434D9D"/>
    <w:rsid w:val="00434E6D"/>
    <w:rsid w:val="00434EDF"/>
    <w:rsid w:val="00434FE5"/>
    <w:rsid w:val="00435084"/>
    <w:rsid w:val="004351BF"/>
    <w:rsid w:val="0043523B"/>
    <w:rsid w:val="0043523E"/>
    <w:rsid w:val="0043545B"/>
    <w:rsid w:val="00435481"/>
    <w:rsid w:val="004355A4"/>
    <w:rsid w:val="0043566D"/>
    <w:rsid w:val="0043599A"/>
    <w:rsid w:val="004359CF"/>
    <w:rsid w:val="00435C05"/>
    <w:rsid w:val="00435C0A"/>
    <w:rsid w:val="00435C46"/>
    <w:rsid w:val="00435D3B"/>
    <w:rsid w:val="00435DF7"/>
    <w:rsid w:val="00435E40"/>
    <w:rsid w:val="00435F49"/>
    <w:rsid w:val="00436014"/>
    <w:rsid w:val="00436212"/>
    <w:rsid w:val="00436292"/>
    <w:rsid w:val="004362B6"/>
    <w:rsid w:val="00436435"/>
    <w:rsid w:val="00436455"/>
    <w:rsid w:val="0043647F"/>
    <w:rsid w:val="004364BB"/>
    <w:rsid w:val="004365A7"/>
    <w:rsid w:val="0043673E"/>
    <w:rsid w:val="0043675D"/>
    <w:rsid w:val="00436802"/>
    <w:rsid w:val="00436A97"/>
    <w:rsid w:val="00436E33"/>
    <w:rsid w:val="00436EDF"/>
    <w:rsid w:val="00436FAC"/>
    <w:rsid w:val="00437033"/>
    <w:rsid w:val="00437091"/>
    <w:rsid w:val="004370B6"/>
    <w:rsid w:val="00437106"/>
    <w:rsid w:val="004371EB"/>
    <w:rsid w:val="0043732D"/>
    <w:rsid w:val="00437351"/>
    <w:rsid w:val="0043736B"/>
    <w:rsid w:val="0043738C"/>
    <w:rsid w:val="00437597"/>
    <w:rsid w:val="004375DF"/>
    <w:rsid w:val="004376E9"/>
    <w:rsid w:val="004377A8"/>
    <w:rsid w:val="004377ED"/>
    <w:rsid w:val="00437813"/>
    <w:rsid w:val="004378CD"/>
    <w:rsid w:val="004379B5"/>
    <w:rsid w:val="00437AEC"/>
    <w:rsid w:val="00437B4D"/>
    <w:rsid w:val="00437B4E"/>
    <w:rsid w:val="00437B85"/>
    <w:rsid w:val="00437BBE"/>
    <w:rsid w:val="00437CEE"/>
    <w:rsid w:val="00437E56"/>
    <w:rsid w:val="0043EC2A"/>
    <w:rsid w:val="004400CC"/>
    <w:rsid w:val="004400E1"/>
    <w:rsid w:val="004400EB"/>
    <w:rsid w:val="004401BA"/>
    <w:rsid w:val="00440342"/>
    <w:rsid w:val="00440372"/>
    <w:rsid w:val="0044042B"/>
    <w:rsid w:val="00440580"/>
    <w:rsid w:val="00440673"/>
    <w:rsid w:val="00440704"/>
    <w:rsid w:val="0044074F"/>
    <w:rsid w:val="00440818"/>
    <w:rsid w:val="00440830"/>
    <w:rsid w:val="004408DF"/>
    <w:rsid w:val="00440988"/>
    <w:rsid w:val="004409E8"/>
    <w:rsid w:val="00440AB6"/>
    <w:rsid w:val="00440ADF"/>
    <w:rsid w:val="00440D01"/>
    <w:rsid w:val="00440D31"/>
    <w:rsid w:val="00440E26"/>
    <w:rsid w:val="00440EB3"/>
    <w:rsid w:val="00440F84"/>
    <w:rsid w:val="00440FD8"/>
    <w:rsid w:val="00440FFB"/>
    <w:rsid w:val="004411C6"/>
    <w:rsid w:val="0044138A"/>
    <w:rsid w:val="00441394"/>
    <w:rsid w:val="00441402"/>
    <w:rsid w:val="004414ED"/>
    <w:rsid w:val="004416CD"/>
    <w:rsid w:val="00441739"/>
    <w:rsid w:val="004417BB"/>
    <w:rsid w:val="00441858"/>
    <w:rsid w:val="00441B2A"/>
    <w:rsid w:val="00441C14"/>
    <w:rsid w:val="00441D6B"/>
    <w:rsid w:val="00441D7D"/>
    <w:rsid w:val="00441D8D"/>
    <w:rsid w:val="00441EC6"/>
    <w:rsid w:val="00441FDF"/>
    <w:rsid w:val="004420D6"/>
    <w:rsid w:val="004420E9"/>
    <w:rsid w:val="00442108"/>
    <w:rsid w:val="0044220D"/>
    <w:rsid w:val="004422A4"/>
    <w:rsid w:val="004422B5"/>
    <w:rsid w:val="004422DE"/>
    <w:rsid w:val="00442347"/>
    <w:rsid w:val="004423E3"/>
    <w:rsid w:val="00442460"/>
    <w:rsid w:val="00442509"/>
    <w:rsid w:val="00442512"/>
    <w:rsid w:val="004426DD"/>
    <w:rsid w:val="00442787"/>
    <w:rsid w:val="0044281D"/>
    <w:rsid w:val="00442850"/>
    <w:rsid w:val="004428A3"/>
    <w:rsid w:val="004428E5"/>
    <w:rsid w:val="004428EF"/>
    <w:rsid w:val="00442963"/>
    <w:rsid w:val="00442A25"/>
    <w:rsid w:val="00442B11"/>
    <w:rsid w:val="00442B2F"/>
    <w:rsid w:val="00442D1D"/>
    <w:rsid w:val="00442EDB"/>
    <w:rsid w:val="004430AB"/>
    <w:rsid w:val="00443157"/>
    <w:rsid w:val="0044315E"/>
    <w:rsid w:val="004431C2"/>
    <w:rsid w:val="004432D7"/>
    <w:rsid w:val="004432FD"/>
    <w:rsid w:val="004434E9"/>
    <w:rsid w:val="004434EE"/>
    <w:rsid w:val="004435D0"/>
    <w:rsid w:val="0044369F"/>
    <w:rsid w:val="004437DC"/>
    <w:rsid w:val="0044389C"/>
    <w:rsid w:val="0044389E"/>
    <w:rsid w:val="0044394A"/>
    <w:rsid w:val="0044396C"/>
    <w:rsid w:val="004439E9"/>
    <w:rsid w:val="00443A9F"/>
    <w:rsid w:val="00443AF2"/>
    <w:rsid w:val="00443BC1"/>
    <w:rsid w:val="00443BF2"/>
    <w:rsid w:val="00443C1E"/>
    <w:rsid w:val="00443C67"/>
    <w:rsid w:val="00443DAB"/>
    <w:rsid w:val="00443DD1"/>
    <w:rsid w:val="00443ECA"/>
    <w:rsid w:val="00443FA7"/>
    <w:rsid w:val="00444037"/>
    <w:rsid w:val="00444061"/>
    <w:rsid w:val="00444102"/>
    <w:rsid w:val="004441F3"/>
    <w:rsid w:val="004442B9"/>
    <w:rsid w:val="004443C6"/>
    <w:rsid w:val="00444517"/>
    <w:rsid w:val="00444528"/>
    <w:rsid w:val="004449EB"/>
    <w:rsid w:val="00444A02"/>
    <w:rsid w:val="00444B65"/>
    <w:rsid w:val="00444BAB"/>
    <w:rsid w:val="00444D78"/>
    <w:rsid w:val="00444DE3"/>
    <w:rsid w:val="00444E5C"/>
    <w:rsid w:val="00444E6D"/>
    <w:rsid w:val="00444E84"/>
    <w:rsid w:val="00444EB1"/>
    <w:rsid w:val="00444F98"/>
    <w:rsid w:val="0044500D"/>
    <w:rsid w:val="00445012"/>
    <w:rsid w:val="004450D9"/>
    <w:rsid w:val="00445103"/>
    <w:rsid w:val="004451B8"/>
    <w:rsid w:val="0044525B"/>
    <w:rsid w:val="004454ED"/>
    <w:rsid w:val="0044552A"/>
    <w:rsid w:val="004455F9"/>
    <w:rsid w:val="00445653"/>
    <w:rsid w:val="004456A5"/>
    <w:rsid w:val="00445832"/>
    <w:rsid w:val="0044585B"/>
    <w:rsid w:val="00445865"/>
    <w:rsid w:val="0044596F"/>
    <w:rsid w:val="00445C8F"/>
    <w:rsid w:val="00445D70"/>
    <w:rsid w:val="00445E77"/>
    <w:rsid w:val="00445E7B"/>
    <w:rsid w:val="00445E8E"/>
    <w:rsid w:val="00446068"/>
    <w:rsid w:val="00446090"/>
    <w:rsid w:val="004461CD"/>
    <w:rsid w:val="0044653D"/>
    <w:rsid w:val="00446542"/>
    <w:rsid w:val="0044686E"/>
    <w:rsid w:val="00446874"/>
    <w:rsid w:val="00446AE0"/>
    <w:rsid w:val="00446D7C"/>
    <w:rsid w:val="00446E00"/>
    <w:rsid w:val="00446E2E"/>
    <w:rsid w:val="00446F18"/>
    <w:rsid w:val="00446F73"/>
    <w:rsid w:val="00447169"/>
    <w:rsid w:val="00447174"/>
    <w:rsid w:val="004475A4"/>
    <w:rsid w:val="0044767C"/>
    <w:rsid w:val="004477C8"/>
    <w:rsid w:val="0044784D"/>
    <w:rsid w:val="004478A2"/>
    <w:rsid w:val="00447993"/>
    <w:rsid w:val="00447A9C"/>
    <w:rsid w:val="00447D42"/>
    <w:rsid w:val="00447D87"/>
    <w:rsid w:val="00447DD8"/>
    <w:rsid w:val="00447ED0"/>
    <w:rsid w:val="00447F94"/>
    <w:rsid w:val="00447FD2"/>
    <w:rsid w:val="00450010"/>
    <w:rsid w:val="00450042"/>
    <w:rsid w:val="0045031A"/>
    <w:rsid w:val="004503D0"/>
    <w:rsid w:val="00450694"/>
    <w:rsid w:val="00450882"/>
    <w:rsid w:val="00450921"/>
    <w:rsid w:val="0045095E"/>
    <w:rsid w:val="004509E6"/>
    <w:rsid w:val="00450AE3"/>
    <w:rsid w:val="00450B22"/>
    <w:rsid w:val="00450C36"/>
    <w:rsid w:val="00450CE4"/>
    <w:rsid w:val="00450DFB"/>
    <w:rsid w:val="00450E93"/>
    <w:rsid w:val="00451157"/>
    <w:rsid w:val="0045118E"/>
    <w:rsid w:val="0045127B"/>
    <w:rsid w:val="004512F7"/>
    <w:rsid w:val="00451381"/>
    <w:rsid w:val="004513CE"/>
    <w:rsid w:val="004513F2"/>
    <w:rsid w:val="00451487"/>
    <w:rsid w:val="004514B6"/>
    <w:rsid w:val="00451646"/>
    <w:rsid w:val="004516D6"/>
    <w:rsid w:val="004517B5"/>
    <w:rsid w:val="004517C7"/>
    <w:rsid w:val="00451906"/>
    <w:rsid w:val="00451A84"/>
    <w:rsid w:val="00451A8A"/>
    <w:rsid w:val="00451B3D"/>
    <w:rsid w:val="00451BB6"/>
    <w:rsid w:val="00451C94"/>
    <w:rsid w:val="00451CC7"/>
    <w:rsid w:val="00451D2F"/>
    <w:rsid w:val="00451D46"/>
    <w:rsid w:val="00451DE2"/>
    <w:rsid w:val="00451E6B"/>
    <w:rsid w:val="00451E8B"/>
    <w:rsid w:val="00451EB7"/>
    <w:rsid w:val="004520EB"/>
    <w:rsid w:val="0045218F"/>
    <w:rsid w:val="004521C1"/>
    <w:rsid w:val="004521E9"/>
    <w:rsid w:val="0045223E"/>
    <w:rsid w:val="0045257B"/>
    <w:rsid w:val="0045258A"/>
    <w:rsid w:val="00452840"/>
    <w:rsid w:val="00452873"/>
    <w:rsid w:val="00452899"/>
    <w:rsid w:val="0045294B"/>
    <w:rsid w:val="00452A3A"/>
    <w:rsid w:val="00452A3E"/>
    <w:rsid w:val="00452A97"/>
    <w:rsid w:val="00452B63"/>
    <w:rsid w:val="00452B89"/>
    <w:rsid w:val="00452BA9"/>
    <w:rsid w:val="00452BF1"/>
    <w:rsid w:val="00452F46"/>
    <w:rsid w:val="00452FF9"/>
    <w:rsid w:val="004531E5"/>
    <w:rsid w:val="004536B1"/>
    <w:rsid w:val="0045380C"/>
    <w:rsid w:val="004538B9"/>
    <w:rsid w:val="004538E9"/>
    <w:rsid w:val="0045392E"/>
    <w:rsid w:val="00453AAB"/>
    <w:rsid w:val="00453AD7"/>
    <w:rsid w:val="00453B6E"/>
    <w:rsid w:val="00453B78"/>
    <w:rsid w:val="00453BBC"/>
    <w:rsid w:val="00453D3C"/>
    <w:rsid w:val="00453E92"/>
    <w:rsid w:val="00453EDC"/>
    <w:rsid w:val="00453EE5"/>
    <w:rsid w:val="00453FE1"/>
    <w:rsid w:val="00454047"/>
    <w:rsid w:val="00454065"/>
    <w:rsid w:val="0045414D"/>
    <w:rsid w:val="004541A6"/>
    <w:rsid w:val="00454236"/>
    <w:rsid w:val="00454374"/>
    <w:rsid w:val="004543CE"/>
    <w:rsid w:val="004544F0"/>
    <w:rsid w:val="004546FB"/>
    <w:rsid w:val="0045482C"/>
    <w:rsid w:val="0045487E"/>
    <w:rsid w:val="004549B0"/>
    <w:rsid w:val="004549EC"/>
    <w:rsid w:val="004549F9"/>
    <w:rsid w:val="004549FA"/>
    <w:rsid w:val="00454A40"/>
    <w:rsid w:val="00454BBD"/>
    <w:rsid w:val="00454C46"/>
    <w:rsid w:val="00454C9A"/>
    <w:rsid w:val="00454DA2"/>
    <w:rsid w:val="00454DD8"/>
    <w:rsid w:val="00454FCC"/>
    <w:rsid w:val="00455048"/>
    <w:rsid w:val="004550CB"/>
    <w:rsid w:val="00455368"/>
    <w:rsid w:val="004553ED"/>
    <w:rsid w:val="0045542F"/>
    <w:rsid w:val="00455460"/>
    <w:rsid w:val="00455478"/>
    <w:rsid w:val="00455563"/>
    <w:rsid w:val="00455696"/>
    <w:rsid w:val="0045573A"/>
    <w:rsid w:val="004557C9"/>
    <w:rsid w:val="004557F6"/>
    <w:rsid w:val="0045586C"/>
    <w:rsid w:val="00455898"/>
    <w:rsid w:val="004558B3"/>
    <w:rsid w:val="0045596D"/>
    <w:rsid w:val="004559A0"/>
    <w:rsid w:val="00455A50"/>
    <w:rsid w:val="00455ABF"/>
    <w:rsid w:val="00455B39"/>
    <w:rsid w:val="00455B8C"/>
    <w:rsid w:val="00455BAF"/>
    <w:rsid w:val="00455D21"/>
    <w:rsid w:val="00455DFF"/>
    <w:rsid w:val="00455E10"/>
    <w:rsid w:val="00455EC1"/>
    <w:rsid w:val="00455F69"/>
    <w:rsid w:val="004560A5"/>
    <w:rsid w:val="00456153"/>
    <w:rsid w:val="00456189"/>
    <w:rsid w:val="0045628D"/>
    <w:rsid w:val="004562C9"/>
    <w:rsid w:val="004564A6"/>
    <w:rsid w:val="00456560"/>
    <w:rsid w:val="0045673C"/>
    <w:rsid w:val="0045679D"/>
    <w:rsid w:val="004567E9"/>
    <w:rsid w:val="00456947"/>
    <w:rsid w:val="00456B15"/>
    <w:rsid w:val="00456B1A"/>
    <w:rsid w:val="00456C06"/>
    <w:rsid w:val="00456C1C"/>
    <w:rsid w:val="00456C65"/>
    <w:rsid w:val="00456D51"/>
    <w:rsid w:val="00456DCF"/>
    <w:rsid w:val="00456F14"/>
    <w:rsid w:val="00456FAD"/>
    <w:rsid w:val="00456FAF"/>
    <w:rsid w:val="004571AA"/>
    <w:rsid w:val="00457229"/>
    <w:rsid w:val="00457242"/>
    <w:rsid w:val="004572A2"/>
    <w:rsid w:val="00457318"/>
    <w:rsid w:val="00457489"/>
    <w:rsid w:val="004574A5"/>
    <w:rsid w:val="004576EB"/>
    <w:rsid w:val="00457721"/>
    <w:rsid w:val="0045789B"/>
    <w:rsid w:val="0045792B"/>
    <w:rsid w:val="00457AA5"/>
    <w:rsid w:val="00457AC9"/>
    <w:rsid w:val="00457AFF"/>
    <w:rsid w:val="00457BA7"/>
    <w:rsid w:val="00457C0D"/>
    <w:rsid w:val="00457C2A"/>
    <w:rsid w:val="00457C7D"/>
    <w:rsid w:val="00457E79"/>
    <w:rsid w:val="00457FAD"/>
    <w:rsid w:val="004600DA"/>
    <w:rsid w:val="00460253"/>
    <w:rsid w:val="004604A7"/>
    <w:rsid w:val="00460517"/>
    <w:rsid w:val="00460620"/>
    <w:rsid w:val="00460675"/>
    <w:rsid w:val="00460695"/>
    <w:rsid w:val="00460804"/>
    <w:rsid w:val="004608B7"/>
    <w:rsid w:val="004608DA"/>
    <w:rsid w:val="004609AE"/>
    <w:rsid w:val="00460A7C"/>
    <w:rsid w:val="00460B2C"/>
    <w:rsid w:val="00460B91"/>
    <w:rsid w:val="00460BDB"/>
    <w:rsid w:val="00460D84"/>
    <w:rsid w:val="00460EDC"/>
    <w:rsid w:val="004610A2"/>
    <w:rsid w:val="00461105"/>
    <w:rsid w:val="0046117A"/>
    <w:rsid w:val="00461197"/>
    <w:rsid w:val="00461329"/>
    <w:rsid w:val="0046135B"/>
    <w:rsid w:val="00461415"/>
    <w:rsid w:val="004615A0"/>
    <w:rsid w:val="00461637"/>
    <w:rsid w:val="0046165F"/>
    <w:rsid w:val="0046172F"/>
    <w:rsid w:val="00461734"/>
    <w:rsid w:val="00461895"/>
    <w:rsid w:val="00461927"/>
    <w:rsid w:val="00461A76"/>
    <w:rsid w:val="00461B4E"/>
    <w:rsid w:val="00461C89"/>
    <w:rsid w:val="00461CDD"/>
    <w:rsid w:val="00461DD7"/>
    <w:rsid w:val="00462053"/>
    <w:rsid w:val="0046210B"/>
    <w:rsid w:val="004621E6"/>
    <w:rsid w:val="00462206"/>
    <w:rsid w:val="0046231F"/>
    <w:rsid w:val="004624EC"/>
    <w:rsid w:val="004625DB"/>
    <w:rsid w:val="00462657"/>
    <w:rsid w:val="004626B9"/>
    <w:rsid w:val="0046275C"/>
    <w:rsid w:val="0046291B"/>
    <w:rsid w:val="00462938"/>
    <w:rsid w:val="00462945"/>
    <w:rsid w:val="004629A1"/>
    <w:rsid w:val="00462A4A"/>
    <w:rsid w:val="00462A7A"/>
    <w:rsid w:val="00462AD6"/>
    <w:rsid w:val="00462AE0"/>
    <w:rsid w:val="00462B93"/>
    <w:rsid w:val="00462E50"/>
    <w:rsid w:val="004630F2"/>
    <w:rsid w:val="00463134"/>
    <w:rsid w:val="0046324F"/>
    <w:rsid w:val="004633BD"/>
    <w:rsid w:val="004633DA"/>
    <w:rsid w:val="004633E1"/>
    <w:rsid w:val="00463484"/>
    <w:rsid w:val="004634BC"/>
    <w:rsid w:val="0046359B"/>
    <w:rsid w:val="004635E0"/>
    <w:rsid w:val="00463614"/>
    <w:rsid w:val="00463785"/>
    <w:rsid w:val="00463800"/>
    <w:rsid w:val="004638FE"/>
    <w:rsid w:val="00463A46"/>
    <w:rsid w:val="00463AB2"/>
    <w:rsid w:val="00463B21"/>
    <w:rsid w:val="00463B7A"/>
    <w:rsid w:val="00463CF8"/>
    <w:rsid w:val="00463E2F"/>
    <w:rsid w:val="00463EF7"/>
    <w:rsid w:val="00463EFE"/>
    <w:rsid w:val="0046436D"/>
    <w:rsid w:val="00464710"/>
    <w:rsid w:val="00464777"/>
    <w:rsid w:val="0046479B"/>
    <w:rsid w:val="004647E3"/>
    <w:rsid w:val="00464899"/>
    <w:rsid w:val="00464A1D"/>
    <w:rsid w:val="00464AC6"/>
    <w:rsid w:val="00464DCE"/>
    <w:rsid w:val="00464E2F"/>
    <w:rsid w:val="00464E91"/>
    <w:rsid w:val="00464FBB"/>
    <w:rsid w:val="0046508E"/>
    <w:rsid w:val="004650B0"/>
    <w:rsid w:val="004650DA"/>
    <w:rsid w:val="00465149"/>
    <w:rsid w:val="004651F9"/>
    <w:rsid w:val="00465217"/>
    <w:rsid w:val="00465285"/>
    <w:rsid w:val="004653D2"/>
    <w:rsid w:val="004653F5"/>
    <w:rsid w:val="00465434"/>
    <w:rsid w:val="004656DB"/>
    <w:rsid w:val="00465720"/>
    <w:rsid w:val="004657DB"/>
    <w:rsid w:val="00465A70"/>
    <w:rsid w:val="00465A71"/>
    <w:rsid w:val="00465D73"/>
    <w:rsid w:val="00465F15"/>
    <w:rsid w:val="00465F91"/>
    <w:rsid w:val="004660A6"/>
    <w:rsid w:val="004660B3"/>
    <w:rsid w:val="00466118"/>
    <w:rsid w:val="00466208"/>
    <w:rsid w:val="004663A1"/>
    <w:rsid w:val="0046640C"/>
    <w:rsid w:val="0046653A"/>
    <w:rsid w:val="0046654C"/>
    <w:rsid w:val="00466600"/>
    <w:rsid w:val="004666A9"/>
    <w:rsid w:val="00466795"/>
    <w:rsid w:val="004668D0"/>
    <w:rsid w:val="00466ADF"/>
    <w:rsid w:val="00466B6F"/>
    <w:rsid w:val="00466BC7"/>
    <w:rsid w:val="00466DA9"/>
    <w:rsid w:val="00466E13"/>
    <w:rsid w:val="00466EDB"/>
    <w:rsid w:val="00466EED"/>
    <w:rsid w:val="00466F63"/>
    <w:rsid w:val="00466FE4"/>
    <w:rsid w:val="004670F7"/>
    <w:rsid w:val="0046720C"/>
    <w:rsid w:val="0046722B"/>
    <w:rsid w:val="00467340"/>
    <w:rsid w:val="00467341"/>
    <w:rsid w:val="0046736B"/>
    <w:rsid w:val="00467382"/>
    <w:rsid w:val="00467885"/>
    <w:rsid w:val="00467903"/>
    <w:rsid w:val="0046791D"/>
    <w:rsid w:val="0046794C"/>
    <w:rsid w:val="004679DB"/>
    <w:rsid w:val="00467A30"/>
    <w:rsid w:val="00467AD2"/>
    <w:rsid w:val="00467BB9"/>
    <w:rsid w:val="00467BC4"/>
    <w:rsid w:val="00467C82"/>
    <w:rsid w:val="00467D1A"/>
    <w:rsid w:val="00467E5B"/>
    <w:rsid w:val="00467E66"/>
    <w:rsid w:val="00467E94"/>
    <w:rsid w:val="00467EDD"/>
    <w:rsid w:val="00467EF8"/>
    <w:rsid w:val="0047008A"/>
    <w:rsid w:val="00470158"/>
    <w:rsid w:val="00470244"/>
    <w:rsid w:val="00470257"/>
    <w:rsid w:val="00470289"/>
    <w:rsid w:val="004702B0"/>
    <w:rsid w:val="0047032F"/>
    <w:rsid w:val="004704C3"/>
    <w:rsid w:val="00470640"/>
    <w:rsid w:val="004706AA"/>
    <w:rsid w:val="004706AE"/>
    <w:rsid w:val="004706E8"/>
    <w:rsid w:val="004706FA"/>
    <w:rsid w:val="0047082A"/>
    <w:rsid w:val="00470971"/>
    <w:rsid w:val="004709B3"/>
    <w:rsid w:val="00470B05"/>
    <w:rsid w:val="00470B68"/>
    <w:rsid w:val="00470BA6"/>
    <w:rsid w:val="00470C32"/>
    <w:rsid w:val="00470F19"/>
    <w:rsid w:val="00471464"/>
    <w:rsid w:val="00471632"/>
    <w:rsid w:val="004716FA"/>
    <w:rsid w:val="00471780"/>
    <w:rsid w:val="00471B4D"/>
    <w:rsid w:val="00471D26"/>
    <w:rsid w:val="00471DE4"/>
    <w:rsid w:val="00471E1C"/>
    <w:rsid w:val="00471E62"/>
    <w:rsid w:val="00471F88"/>
    <w:rsid w:val="00472247"/>
    <w:rsid w:val="0047234A"/>
    <w:rsid w:val="004723AB"/>
    <w:rsid w:val="00472413"/>
    <w:rsid w:val="0047245F"/>
    <w:rsid w:val="00472692"/>
    <w:rsid w:val="004726A0"/>
    <w:rsid w:val="004726AD"/>
    <w:rsid w:val="004726CD"/>
    <w:rsid w:val="004726ED"/>
    <w:rsid w:val="00472723"/>
    <w:rsid w:val="00472768"/>
    <w:rsid w:val="0047287E"/>
    <w:rsid w:val="0047290F"/>
    <w:rsid w:val="00472923"/>
    <w:rsid w:val="00472937"/>
    <w:rsid w:val="00472A37"/>
    <w:rsid w:val="00472A4D"/>
    <w:rsid w:val="00472C49"/>
    <w:rsid w:val="00472D4D"/>
    <w:rsid w:val="00472E66"/>
    <w:rsid w:val="00472EEE"/>
    <w:rsid w:val="004730D0"/>
    <w:rsid w:val="0047312F"/>
    <w:rsid w:val="00473157"/>
    <w:rsid w:val="0047315B"/>
    <w:rsid w:val="0047321C"/>
    <w:rsid w:val="00473244"/>
    <w:rsid w:val="0047337A"/>
    <w:rsid w:val="0047340E"/>
    <w:rsid w:val="00473433"/>
    <w:rsid w:val="00473444"/>
    <w:rsid w:val="004734B6"/>
    <w:rsid w:val="00473529"/>
    <w:rsid w:val="004735B8"/>
    <w:rsid w:val="0047372E"/>
    <w:rsid w:val="00473758"/>
    <w:rsid w:val="00473828"/>
    <w:rsid w:val="00473A1A"/>
    <w:rsid w:val="00473A2B"/>
    <w:rsid w:val="00473B25"/>
    <w:rsid w:val="00473CDF"/>
    <w:rsid w:val="00473E04"/>
    <w:rsid w:val="00473E36"/>
    <w:rsid w:val="00473E56"/>
    <w:rsid w:val="00473E61"/>
    <w:rsid w:val="00473E64"/>
    <w:rsid w:val="00473E6A"/>
    <w:rsid w:val="00473F71"/>
    <w:rsid w:val="004740BA"/>
    <w:rsid w:val="004740DE"/>
    <w:rsid w:val="004741AB"/>
    <w:rsid w:val="0047424B"/>
    <w:rsid w:val="00474491"/>
    <w:rsid w:val="0047449A"/>
    <w:rsid w:val="004744B7"/>
    <w:rsid w:val="004746CC"/>
    <w:rsid w:val="004747A7"/>
    <w:rsid w:val="004747F7"/>
    <w:rsid w:val="0047487F"/>
    <w:rsid w:val="0047490C"/>
    <w:rsid w:val="00474917"/>
    <w:rsid w:val="0047491A"/>
    <w:rsid w:val="00474A03"/>
    <w:rsid w:val="00474A54"/>
    <w:rsid w:val="00474B4C"/>
    <w:rsid w:val="00474B67"/>
    <w:rsid w:val="00474CAB"/>
    <w:rsid w:val="00474EA3"/>
    <w:rsid w:val="00474FB5"/>
    <w:rsid w:val="00475034"/>
    <w:rsid w:val="004750BE"/>
    <w:rsid w:val="00475121"/>
    <w:rsid w:val="0047519B"/>
    <w:rsid w:val="00475392"/>
    <w:rsid w:val="004753C7"/>
    <w:rsid w:val="004754DC"/>
    <w:rsid w:val="00475560"/>
    <w:rsid w:val="00475745"/>
    <w:rsid w:val="00475860"/>
    <w:rsid w:val="004759AD"/>
    <w:rsid w:val="00475A4C"/>
    <w:rsid w:val="00475A9C"/>
    <w:rsid w:val="00475B04"/>
    <w:rsid w:val="00475B67"/>
    <w:rsid w:val="00475BB7"/>
    <w:rsid w:val="00475C89"/>
    <w:rsid w:val="00475CAF"/>
    <w:rsid w:val="00475D7D"/>
    <w:rsid w:val="00475DA2"/>
    <w:rsid w:val="0047623E"/>
    <w:rsid w:val="0047626E"/>
    <w:rsid w:val="0047631A"/>
    <w:rsid w:val="00476362"/>
    <w:rsid w:val="004763C9"/>
    <w:rsid w:val="00476402"/>
    <w:rsid w:val="00476456"/>
    <w:rsid w:val="004764D7"/>
    <w:rsid w:val="0047652A"/>
    <w:rsid w:val="004765CF"/>
    <w:rsid w:val="0047676E"/>
    <w:rsid w:val="00476866"/>
    <w:rsid w:val="00476896"/>
    <w:rsid w:val="004768B4"/>
    <w:rsid w:val="004769E0"/>
    <w:rsid w:val="00476A56"/>
    <w:rsid w:val="00476AB4"/>
    <w:rsid w:val="00476B59"/>
    <w:rsid w:val="00476C47"/>
    <w:rsid w:val="00476E38"/>
    <w:rsid w:val="00476F27"/>
    <w:rsid w:val="00476FED"/>
    <w:rsid w:val="0047700A"/>
    <w:rsid w:val="00477041"/>
    <w:rsid w:val="00477094"/>
    <w:rsid w:val="0047711A"/>
    <w:rsid w:val="00477253"/>
    <w:rsid w:val="00477277"/>
    <w:rsid w:val="00477480"/>
    <w:rsid w:val="00477528"/>
    <w:rsid w:val="0047753C"/>
    <w:rsid w:val="0047753D"/>
    <w:rsid w:val="00477557"/>
    <w:rsid w:val="00477668"/>
    <w:rsid w:val="00477683"/>
    <w:rsid w:val="0047772D"/>
    <w:rsid w:val="0047773A"/>
    <w:rsid w:val="0047777F"/>
    <w:rsid w:val="004777BC"/>
    <w:rsid w:val="004777FB"/>
    <w:rsid w:val="00477803"/>
    <w:rsid w:val="00477930"/>
    <w:rsid w:val="0047796E"/>
    <w:rsid w:val="004779B9"/>
    <w:rsid w:val="00477A3D"/>
    <w:rsid w:val="00477B38"/>
    <w:rsid w:val="00477B3F"/>
    <w:rsid w:val="00477C55"/>
    <w:rsid w:val="00477C80"/>
    <w:rsid w:val="00477D14"/>
    <w:rsid w:val="00477D8F"/>
    <w:rsid w:val="00477E1B"/>
    <w:rsid w:val="00477E54"/>
    <w:rsid w:val="00477EFA"/>
    <w:rsid w:val="00477F98"/>
    <w:rsid w:val="00477FD0"/>
    <w:rsid w:val="004800B2"/>
    <w:rsid w:val="004800B9"/>
    <w:rsid w:val="0048020C"/>
    <w:rsid w:val="00480356"/>
    <w:rsid w:val="00480481"/>
    <w:rsid w:val="00480605"/>
    <w:rsid w:val="004807AE"/>
    <w:rsid w:val="0048092E"/>
    <w:rsid w:val="00480C33"/>
    <w:rsid w:val="00480C36"/>
    <w:rsid w:val="00480CE5"/>
    <w:rsid w:val="00480D5A"/>
    <w:rsid w:val="00480DAF"/>
    <w:rsid w:val="00480EDA"/>
    <w:rsid w:val="00481041"/>
    <w:rsid w:val="0048124E"/>
    <w:rsid w:val="0048125C"/>
    <w:rsid w:val="00481367"/>
    <w:rsid w:val="0048136C"/>
    <w:rsid w:val="00481415"/>
    <w:rsid w:val="0048141C"/>
    <w:rsid w:val="004814AC"/>
    <w:rsid w:val="004815B1"/>
    <w:rsid w:val="0048166C"/>
    <w:rsid w:val="00481806"/>
    <w:rsid w:val="00481839"/>
    <w:rsid w:val="00481852"/>
    <w:rsid w:val="004818C7"/>
    <w:rsid w:val="004818FC"/>
    <w:rsid w:val="0048192B"/>
    <w:rsid w:val="0048192F"/>
    <w:rsid w:val="0048196D"/>
    <w:rsid w:val="00481A2A"/>
    <w:rsid w:val="00481ABB"/>
    <w:rsid w:val="00481AE8"/>
    <w:rsid w:val="00481B4F"/>
    <w:rsid w:val="00481B91"/>
    <w:rsid w:val="00481D12"/>
    <w:rsid w:val="00481D8B"/>
    <w:rsid w:val="00481FA4"/>
    <w:rsid w:val="004821E7"/>
    <w:rsid w:val="004821F0"/>
    <w:rsid w:val="004824D8"/>
    <w:rsid w:val="004824F8"/>
    <w:rsid w:val="00482533"/>
    <w:rsid w:val="00482553"/>
    <w:rsid w:val="004825A6"/>
    <w:rsid w:val="00482654"/>
    <w:rsid w:val="0048274C"/>
    <w:rsid w:val="004829FA"/>
    <w:rsid w:val="00482ADA"/>
    <w:rsid w:val="00482C39"/>
    <w:rsid w:val="00482C3F"/>
    <w:rsid w:val="00482CBA"/>
    <w:rsid w:val="00482D32"/>
    <w:rsid w:val="00482D8D"/>
    <w:rsid w:val="00482DA5"/>
    <w:rsid w:val="00482DB6"/>
    <w:rsid w:val="00482E23"/>
    <w:rsid w:val="00482E43"/>
    <w:rsid w:val="00482EBC"/>
    <w:rsid w:val="00482ECB"/>
    <w:rsid w:val="00482F73"/>
    <w:rsid w:val="00483013"/>
    <w:rsid w:val="0048303E"/>
    <w:rsid w:val="0048309E"/>
    <w:rsid w:val="004830D2"/>
    <w:rsid w:val="004830DF"/>
    <w:rsid w:val="00483142"/>
    <w:rsid w:val="00483220"/>
    <w:rsid w:val="00483243"/>
    <w:rsid w:val="00483283"/>
    <w:rsid w:val="004832BC"/>
    <w:rsid w:val="004832C2"/>
    <w:rsid w:val="0048337A"/>
    <w:rsid w:val="00483385"/>
    <w:rsid w:val="00483437"/>
    <w:rsid w:val="004837B5"/>
    <w:rsid w:val="0048390F"/>
    <w:rsid w:val="00483942"/>
    <w:rsid w:val="0048398E"/>
    <w:rsid w:val="00483A10"/>
    <w:rsid w:val="00483A8E"/>
    <w:rsid w:val="00483AB9"/>
    <w:rsid w:val="00483BC9"/>
    <w:rsid w:val="00483E53"/>
    <w:rsid w:val="00483F9D"/>
    <w:rsid w:val="00484000"/>
    <w:rsid w:val="00484069"/>
    <w:rsid w:val="0048406D"/>
    <w:rsid w:val="0048407B"/>
    <w:rsid w:val="004840F9"/>
    <w:rsid w:val="004841EC"/>
    <w:rsid w:val="00484334"/>
    <w:rsid w:val="0048434D"/>
    <w:rsid w:val="00484581"/>
    <w:rsid w:val="004845C2"/>
    <w:rsid w:val="00484628"/>
    <w:rsid w:val="0048464E"/>
    <w:rsid w:val="0048478D"/>
    <w:rsid w:val="00484792"/>
    <w:rsid w:val="0048489D"/>
    <w:rsid w:val="00484986"/>
    <w:rsid w:val="00484A04"/>
    <w:rsid w:val="00484B2D"/>
    <w:rsid w:val="00484B6B"/>
    <w:rsid w:val="00484C29"/>
    <w:rsid w:val="00484C81"/>
    <w:rsid w:val="00484C84"/>
    <w:rsid w:val="00484C8B"/>
    <w:rsid w:val="00484D1B"/>
    <w:rsid w:val="00484E95"/>
    <w:rsid w:val="00484F5C"/>
    <w:rsid w:val="00484F5D"/>
    <w:rsid w:val="00484F8F"/>
    <w:rsid w:val="00485132"/>
    <w:rsid w:val="004851B4"/>
    <w:rsid w:val="00485259"/>
    <w:rsid w:val="0048532F"/>
    <w:rsid w:val="004853B6"/>
    <w:rsid w:val="0048553D"/>
    <w:rsid w:val="00485561"/>
    <w:rsid w:val="00485587"/>
    <w:rsid w:val="004855EB"/>
    <w:rsid w:val="004856EE"/>
    <w:rsid w:val="004858F9"/>
    <w:rsid w:val="00485A1C"/>
    <w:rsid w:val="00485A86"/>
    <w:rsid w:val="00485C86"/>
    <w:rsid w:val="00485C8F"/>
    <w:rsid w:val="00485DBC"/>
    <w:rsid w:val="00485E24"/>
    <w:rsid w:val="00485E7E"/>
    <w:rsid w:val="00485EC9"/>
    <w:rsid w:val="00485F58"/>
    <w:rsid w:val="00485FAC"/>
    <w:rsid w:val="00485FB1"/>
    <w:rsid w:val="00485FEA"/>
    <w:rsid w:val="00486086"/>
    <w:rsid w:val="004860BD"/>
    <w:rsid w:val="0048627D"/>
    <w:rsid w:val="004862A1"/>
    <w:rsid w:val="0048644B"/>
    <w:rsid w:val="004864D4"/>
    <w:rsid w:val="00486553"/>
    <w:rsid w:val="00486567"/>
    <w:rsid w:val="0048659D"/>
    <w:rsid w:val="004865FB"/>
    <w:rsid w:val="00486631"/>
    <w:rsid w:val="0048666C"/>
    <w:rsid w:val="0048672A"/>
    <w:rsid w:val="00486AC5"/>
    <w:rsid w:val="00486B06"/>
    <w:rsid w:val="00486B97"/>
    <w:rsid w:val="00486C36"/>
    <w:rsid w:val="00486D61"/>
    <w:rsid w:val="00486E1F"/>
    <w:rsid w:val="004870EF"/>
    <w:rsid w:val="0048713E"/>
    <w:rsid w:val="00487141"/>
    <w:rsid w:val="00487198"/>
    <w:rsid w:val="004872A5"/>
    <w:rsid w:val="0048732E"/>
    <w:rsid w:val="0048738D"/>
    <w:rsid w:val="00487390"/>
    <w:rsid w:val="004874B0"/>
    <w:rsid w:val="0048750C"/>
    <w:rsid w:val="00487544"/>
    <w:rsid w:val="00487555"/>
    <w:rsid w:val="00487773"/>
    <w:rsid w:val="00487791"/>
    <w:rsid w:val="004877E1"/>
    <w:rsid w:val="004878DC"/>
    <w:rsid w:val="004879DA"/>
    <w:rsid w:val="00487ADE"/>
    <w:rsid w:val="00487B9E"/>
    <w:rsid w:val="00487C7C"/>
    <w:rsid w:val="00487E46"/>
    <w:rsid w:val="00487E89"/>
    <w:rsid w:val="00487F2D"/>
    <w:rsid w:val="00487FCB"/>
    <w:rsid w:val="004900A8"/>
    <w:rsid w:val="004900AC"/>
    <w:rsid w:val="004901A6"/>
    <w:rsid w:val="004901D8"/>
    <w:rsid w:val="0049022E"/>
    <w:rsid w:val="00490248"/>
    <w:rsid w:val="00490357"/>
    <w:rsid w:val="00490468"/>
    <w:rsid w:val="0049058A"/>
    <w:rsid w:val="0049083C"/>
    <w:rsid w:val="00490840"/>
    <w:rsid w:val="004909D8"/>
    <w:rsid w:val="004909F4"/>
    <w:rsid w:val="00490B2C"/>
    <w:rsid w:val="00490C02"/>
    <w:rsid w:val="00490DA5"/>
    <w:rsid w:val="00490DB9"/>
    <w:rsid w:val="00490F82"/>
    <w:rsid w:val="00490FDE"/>
    <w:rsid w:val="00491175"/>
    <w:rsid w:val="00491279"/>
    <w:rsid w:val="004912F0"/>
    <w:rsid w:val="004912FC"/>
    <w:rsid w:val="004913B2"/>
    <w:rsid w:val="0049141A"/>
    <w:rsid w:val="004914BC"/>
    <w:rsid w:val="00491551"/>
    <w:rsid w:val="0049156F"/>
    <w:rsid w:val="0049157D"/>
    <w:rsid w:val="004915FA"/>
    <w:rsid w:val="0049165F"/>
    <w:rsid w:val="00491752"/>
    <w:rsid w:val="00491798"/>
    <w:rsid w:val="00491800"/>
    <w:rsid w:val="00491909"/>
    <w:rsid w:val="00491912"/>
    <w:rsid w:val="00491A82"/>
    <w:rsid w:val="00491ABD"/>
    <w:rsid w:val="00491B16"/>
    <w:rsid w:val="00491BFE"/>
    <w:rsid w:val="00491CA1"/>
    <w:rsid w:val="00491EF8"/>
    <w:rsid w:val="00492094"/>
    <w:rsid w:val="00492219"/>
    <w:rsid w:val="004923A8"/>
    <w:rsid w:val="00492A4C"/>
    <w:rsid w:val="00492A55"/>
    <w:rsid w:val="00492B35"/>
    <w:rsid w:val="00492B6A"/>
    <w:rsid w:val="00492BB3"/>
    <w:rsid w:val="00492C5E"/>
    <w:rsid w:val="00492C8B"/>
    <w:rsid w:val="00492DD0"/>
    <w:rsid w:val="00492E15"/>
    <w:rsid w:val="00492E3F"/>
    <w:rsid w:val="00492E60"/>
    <w:rsid w:val="00492E82"/>
    <w:rsid w:val="00493044"/>
    <w:rsid w:val="004931A6"/>
    <w:rsid w:val="004932A8"/>
    <w:rsid w:val="00493363"/>
    <w:rsid w:val="004934EB"/>
    <w:rsid w:val="00493601"/>
    <w:rsid w:val="0049360B"/>
    <w:rsid w:val="0049369B"/>
    <w:rsid w:val="00493847"/>
    <w:rsid w:val="00493978"/>
    <w:rsid w:val="00493A54"/>
    <w:rsid w:val="00493A73"/>
    <w:rsid w:val="00493BBF"/>
    <w:rsid w:val="00493D0E"/>
    <w:rsid w:val="00493D2C"/>
    <w:rsid w:val="00493E75"/>
    <w:rsid w:val="0049402C"/>
    <w:rsid w:val="004940B5"/>
    <w:rsid w:val="004940C3"/>
    <w:rsid w:val="00494186"/>
    <w:rsid w:val="00494197"/>
    <w:rsid w:val="004941E1"/>
    <w:rsid w:val="004942CB"/>
    <w:rsid w:val="00494362"/>
    <w:rsid w:val="004943D1"/>
    <w:rsid w:val="004943EB"/>
    <w:rsid w:val="004944E7"/>
    <w:rsid w:val="00494779"/>
    <w:rsid w:val="0049483C"/>
    <w:rsid w:val="004948AD"/>
    <w:rsid w:val="00494949"/>
    <w:rsid w:val="00494ADC"/>
    <w:rsid w:val="00494B12"/>
    <w:rsid w:val="00494B95"/>
    <w:rsid w:val="00494C4A"/>
    <w:rsid w:val="00494F63"/>
    <w:rsid w:val="004951EF"/>
    <w:rsid w:val="0049523E"/>
    <w:rsid w:val="004952AB"/>
    <w:rsid w:val="00495380"/>
    <w:rsid w:val="0049540F"/>
    <w:rsid w:val="0049541A"/>
    <w:rsid w:val="00495465"/>
    <w:rsid w:val="00495515"/>
    <w:rsid w:val="0049555C"/>
    <w:rsid w:val="00495830"/>
    <w:rsid w:val="004958A1"/>
    <w:rsid w:val="004958CA"/>
    <w:rsid w:val="0049594A"/>
    <w:rsid w:val="004959FC"/>
    <w:rsid w:val="00495AB6"/>
    <w:rsid w:val="00495CD7"/>
    <w:rsid w:val="00495D89"/>
    <w:rsid w:val="00495E8F"/>
    <w:rsid w:val="00495F33"/>
    <w:rsid w:val="00495F45"/>
    <w:rsid w:val="00496008"/>
    <w:rsid w:val="00496154"/>
    <w:rsid w:val="00496256"/>
    <w:rsid w:val="004962F6"/>
    <w:rsid w:val="004964A6"/>
    <w:rsid w:val="00496546"/>
    <w:rsid w:val="00496586"/>
    <w:rsid w:val="00496587"/>
    <w:rsid w:val="004966C3"/>
    <w:rsid w:val="004967BF"/>
    <w:rsid w:val="004969A5"/>
    <w:rsid w:val="004969BF"/>
    <w:rsid w:val="00496A46"/>
    <w:rsid w:val="00496C8F"/>
    <w:rsid w:val="00496CCB"/>
    <w:rsid w:val="0049704D"/>
    <w:rsid w:val="0049725F"/>
    <w:rsid w:val="00497291"/>
    <w:rsid w:val="004972DE"/>
    <w:rsid w:val="004972F3"/>
    <w:rsid w:val="004974AB"/>
    <w:rsid w:val="004974F9"/>
    <w:rsid w:val="004975FA"/>
    <w:rsid w:val="004976D8"/>
    <w:rsid w:val="00497701"/>
    <w:rsid w:val="004977E7"/>
    <w:rsid w:val="004977FD"/>
    <w:rsid w:val="00497901"/>
    <w:rsid w:val="004979A2"/>
    <w:rsid w:val="00497A2C"/>
    <w:rsid w:val="00497AA1"/>
    <w:rsid w:val="00497AFF"/>
    <w:rsid w:val="00497B4F"/>
    <w:rsid w:val="00497B7C"/>
    <w:rsid w:val="00497BB9"/>
    <w:rsid w:val="00497C6E"/>
    <w:rsid w:val="00497CB3"/>
    <w:rsid w:val="00497CBF"/>
    <w:rsid w:val="00497E2C"/>
    <w:rsid w:val="00497FA9"/>
    <w:rsid w:val="00497FEC"/>
    <w:rsid w:val="004A00C6"/>
    <w:rsid w:val="004A0124"/>
    <w:rsid w:val="004A0211"/>
    <w:rsid w:val="004A024E"/>
    <w:rsid w:val="004A029C"/>
    <w:rsid w:val="004A039E"/>
    <w:rsid w:val="004A04B0"/>
    <w:rsid w:val="004A0592"/>
    <w:rsid w:val="004A0596"/>
    <w:rsid w:val="004A05B3"/>
    <w:rsid w:val="004A05F6"/>
    <w:rsid w:val="004A067A"/>
    <w:rsid w:val="004A06E4"/>
    <w:rsid w:val="004A0765"/>
    <w:rsid w:val="004A0834"/>
    <w:rsid w:val="004A0837"/>
    <w:rsid w:val="004A0856"/>
    <w:rsid w:val="004A0A29"/>
    <w:rsid w:val="004A0EBF"/>
    <w:rsid w:val="004A0F5E"/>
    <w:rsid w:val="004A0FBF"/>
    <w:rsid w:val="004A10E6"/>
    <w:rsid w:val="004A11BA"/>
    <w:rsid w:val="004A11F6"/>
    <w:rsid w:val="004A1227"/>
    <w:rsid w:val="004A12AB"/>
    <w:rsid w:val="004A1520"/>
    <w:rsid w:val="004A1548"/>
    <w:rsid w:val="004A1682"/>
    <w:rsid w:val="004A1687"/>
    <w:rsid w:val="004A16BB"/>
    <w:rsid w:val="004A181A"/>
    <w:rsid w:val="004A1D5E"/>
    <w:rsid w:val="004A1D87"/>
    <w:rsid w:val="004A1EFC"/>
    <w:rsid w:val="004A2001"/>
    <w:rsid w:val="004A21AF"/>
    <w:rsid w:val="004A2350"/>
    <w:rsid w:val="004A24AA"/>
    <w:rsid w:val="004A2521"/>
    <w:rsid w:val="004A2534"/>
    <w:rsid w:val="004A2655"/>
    <w:rsid w:val="004A2699"/>
    <w:rsid w:val="004A2704"/>
    <w:rsid w:val="004A2717"/>
    <w:rsid w:val="004A2A08"/>
    <w:rsid w:val="004A2AD2"/>
    <w:rsid w:val="004A2AE1"/>
    <w:rsid w:val="004A2E33"/>
    <w:rsid w:val="004A2F39"/>
    <w:rsid w:val="004A2F47"/>
    <w:rsid w:val="004A2F76"/>
    <w:rsid w:val="004A3092"/>
    <w:rsid w:val="004A3273"/>
    <w:rsid w:val="004A3367"/>
    <w:rsid w:val="004A3388"/>
    <w:rsid w:val="004A33FB"/>
    <w:rsid w:val="004A3450"/>
    <w:rsid w:val="004A3546"/>
    <w:rsid w:val="004A3766"/>
    <w:rsid w:val="004A37A4"/>
    <w:rsid w:val="004A37AE"/>
    <w:rsid w:val="004A3804"/>
    <w:rsid w:val="004A3993"/>
    <w:rsid w:val="004A3996"/>
    <w:rsid w:val="004A39D8"/>
    <w:rsid w:val="004A3A36"/>
    <w:rsid w:val="004A3B33"/>
    <w:rsid w:val="004A3CDA"/>
    <w:rsid w:val="004A3D86"/>
    <w:rsid w:val="004A3DBE"/>
    <w:rsid w:val="004A3F10"/>
    <w:rsid w:val="004A3F7D"/>
    <w:rsid w:val="004A40A9"/>
    <w:rsid w:val="004A4143"/>
    <w:rsid w:val="004A41D0"/>
    <w:rsid w:val="004A4211"/>
    <w:rsid w:val="004A43EC"/>
    <w:rsid w:val="004A446A"/>
    <w:rsid w:val="004A4484"/>
    <w:rsid w:val="004A448A"/>
    <w:rsid w:val="004A4715"/>
    <w:rsid w:val="004A49B5"/>
    <w:rsid w:val="004A4BFA"/>
    <w:rsid w:val="004A4CCD"/>
    <w:rsid w:val="004A4CCE"/>
    <w:rsid w:val="004A4D76"/>
    <w:rsid w:val="004A4D90"/>
    <w:rsid w:val="004A4DAE"/>
    <w:rsid w:val="004A4DED"/>
    <w:rsid w:val="004A4EB0"/>
    <w:rsid w:val="004A4F2F"/>
    <w:rsid w:val="004A51CC"/>
    <w:rsid w:val="004A5260"/>
    <w:rsid w:val="004A5294"/>
    <w:rsid w:val="004A529B"/>
    <w:rsid w:val="004A5328"/>
    <w:rsid w:val="004A532C"/>
    <w:rsid w:val="004A552D"/>
    <w:rsid w:val="004A558C"/>
    <w:rsid w:val="004A57E8"/>
    <w:rsid w:val="004A5845"/>
    <w:rsid w:val="004A5938"/>
    <w:rsid w:val="004A5A6F"/>
    <w:rsid w:val="004A5B0E"/>
    <w:rsid w:val="004A5C6A"/>
    <w:rsid w:val="004A5E69"/>
    <w:rsid w:val="004A5EAF"/>
    <w:rsid w:val="004A5EB0"/>
    <w:rsid w:val="004A5F33"/>
    <w:rsid w:val="004A63B3"/>
    <w:rsid w:val="004A63D3"/>
    <w:rsid w:val="004A65CC"/>
    <w:rsid w:val="004A65ED"/>
    <w:rsid w:val="004A66C7"/>
    <w:rsid w:val="004A66D2"/>
    <w:rsid w:val="004A670E"/>
    <w:rsid w:val="004A6741"/>
    <w:rsid w:val="004A6795"/>
    <w:rsid w:val="004A6865"/>
    <w:rsid w:val="004A6A9A"/>
    <w:rsid w:val="004A6ABB"/>
    <w:rsid w:val="004A6B10"/>
    <w:rsid w:val="004A6B53"/>
    <w:rsid w:val="004A6C10"/>
    <w:rsid w:val="004A6CD6"/>
    <w:rsid w:val="004A6EE4"/>
    <w:rsid w:val="004A6FD8"/>
    <w:rsid w:val="004A7323"/>
    <w:rsid w:val="004A73CA"/>
    <w:rsid w:val="004A7501"/>
    <w:rsid w:val="004A75BC"/>
    <w:rsid w:val="004A75DE"/>
    <w:rsid w:val="004A7673"/>
    <w:rsid w:val="004A78D3"/>
    <w:rsid w:val="004A78FD"/>
    <w:rsid w:val="004A7A05"/>
    <w:rsid w:val="004A7A9F"/>
    <w:rsid w:val="004A7DBD"/>
    <w:rsid w:val="004A7E13"/>
    <w:rsid w:val="004A7EAE"/>
    <w:rsid w:val="004A7F27"/>
    <w:rsid w:val="004B007B"/>
    <w:rsid w:val="004B021C"/>
    <w:rsid w:val="004B021F"/>
    <w:rsid w:val="004B02C7"/>
    <w:rsid w:val="004B0314"/>
    <w:rsid w:val="004B031F"/>
    <w:rsid w:val="004B0340"/>
    <w:rsid w:val="004B04B6"/>
    <w:rsid w:val="004B04EE"/>
    <w:rsid w:val="004B0566"/>
    <w:rsid w:val="004B05B4"/>
    <w:rsid w:val="004B0670"/>
    <w:rsid w:val="004B0672"/>
    <w:rsid w:val="004B07C6"/>
    <w:rsid w:val="004B093F"/>
    <w:rsid w:val="004B094F"/>
    <w:rsid w:val="004B0A33"/>
    <w:rsid w:val="004B0B7E"/>
    <w:rsid w:val="004B0C34"/>
    <w:rsid w:val="004B0D33"/>
    <w:rsid w:val="004B0D46"/>
    <w:rsid w:val="004B0D85"/>
    <w:rsid w:val="004B0F99"/>
    <w:rsid w:val="004B113D"/>
    <w:rsid w:val="004B15F2"/>
    <w:rsid w:val="004B171D"/>
    <w:rsid w:val="004B1780"/>
    <w:rsid w:val="004B17B3"/>
    <w:rsid w:val="004B1903"/>
    <w:rsid w:val="004B1C81"/>
    <w:rsid w:val="004B1CA3"/>
    <w:rsid w:val="004B1CE6"/>
    <w:rsid w:val="004B1D84"/>
    <w:rsid w:val="004B1E04"/>
    <w:rsid w:val="004B1E6D"/>
    <w:rsid w:val="004B1E97"/>
    <w:rsid w:val="004B1ED7"/>
    <w:rsid w:val="004B2116"/>
    <w:rsid w:val="004B21D7"/>
    <w:rsid w:val="004B23A0"/>
    <w:rsid w:val="004B2624"/>
    <w:rsid w:val="004B267E"/>
    <w:rsid w:val="004B26F0"/>
    <w:rsid w:val="004B2715"/>
    <w:rsid w:val="004B274F"/>
    <w:rsid w:val="004B280D"/>
    <w:rsid w:val="004B283A"/>
    <w:rsid w:val="004B28C1"/>
    <w:rsid w:val="004B298F"/>
    <w:rsid w:val="004B2A64"/>
    <w:rsid w:val="004B2B93"/>
    <w:rsid w:val="004B2C2A"/>
    <w:rsid w:val="004B2C2E"/>
    <w:rsid w:val="004B2DE2"/>
    <w:rsid w:val="004B2EF3"/>
    <w:rsid w:val="004B2F80"/>
    <w:rsid w:val="004B3185"/>
    <w:rsid w:val="004B3206"/>
    <w:rsid w:val="004B3228"/>
    <w:rsid w:val="004B3229"/>
    <w:rsid w:val="004B3404"/>
    <w:rsid w:val="004B3511"/>
    <w:rsid w:val="004B352B"/>
    <w:rsid w:val="004B3784"/>
    <w:rsid w:val="004B379E"/>
    <w:rsid w:val="004B37D2"/>
    <w:rsid w:val="004B3940"/>
    <w:rsid w:val="004B3B27"/>
    <w:rsid w:val="004B3BE5"/>
    <w:rsid w:val="004B3CA8"/>
    <w:rsid w:val="004B3CBB"/>
    <w:rsid w:val="004B3D56"/>
    <w:rsid w:val="004B3D90"/>
    <w:rsid w:val="004B3E26"/>
    <w:rsid w:val="004B3E93"/>
    <w:rsid w:val="004B3F48"/>
    <w:rsid w:val="004B3F99"/>
    <w:rsid w:val="004B3FAE"/>
    <w:rsid w:val="004B415E"/>
    <w:rsid w:val="004B428B"/>
    <w:rsid w:val="004B42BE"/>
    <w:rsid w:val="004B42F3"/>
    <w:rsid w:val="004B444A"/>
    <w:rsid w:val="004B450A"/>
    <w:rsid w:val="004B4674"/>
    <w:rsid w:val="004B4790"/>
    <w:rsid w:val="004B47C6"/>
    <w:rsid w:val="004B48C3"/>
    <w:rsid w:val="004B491B"/>
    <w:rsid w:val="004B495B"/>
    <w:rsid w:val="004B4A6E"/>
    <w:rsid w:val="004B4A77"/>
    <w:rsid w:val="004B4AC0"/>
    <w:rsid w:val="004B4B64"/>
    <w:rsid w:val="004B4C65"/>
    <w:rsid w:val="004B4E1B"/>
    <w:rsid w:val="004B4E3C"/>
    <w:rsid w:val="004B4F28"/>
    <w:rsid w:val="004B508B"/>
    <w:rsid w:val="004B5112"/>
    <w:rsid w:val="004B5149"/>
    <w:rsid w:val="004B535F"/>
    <w:rsid w:val="004B55FC"/>
    <w:rsid w:val="004B567C"/>
    <w:rsid w:val="004B573E"/>
    <w:rsid w:val="004B576D"/>
    <w:rsid w:val="004B57B9"/>
    <w:rsid w:val="004B58FD"/>
    <w:rsid w:val="004B59B1"/>
    <w:rsid w:val="004B5AA9"/>
    <w:rsid w:val="004B5BF5"/>
    <w:rsid w:val="004B5C8F"/>
    <w:rsid w:val="004B5D31"/>
    <w:rsid w:val="004B5E48"/>
    <w:rsid w:val="004B5E63"/>
    <w:rsid w:val="004B5EE4"/>
    <w:rsid w:val="004B5F14"/>
    <w:rsid w:val="004B5F91"/>
    <w:rsid w:val="004B6056"/>
    <w:rsid w:val="004B61C0"/>
    <w:rsid w:val="004B6291"/>
    <w:rsid w:val="004B631C"/>
    <w:rsid w:val="004B6343"/>
    <w:rsid w:val="004B636E"/>
    <w:rsid w:val="004B64E5"/>
    <w:rsid w:val="004B65D5"/>
    <w:rsid w:val="004B6609"/>
    <w:rsid w:val="004B661D"/>
    <w:rsid w:val="004B6684"/>
    <w:rsid w:val="004B679D"/>
    <w:rsid w:val="004B68F7"/>
    <w:rsid w:val="004B6937"/>
    <w:rsid w:val="004B6987"/>
    <w:rsid w:val="004B6A1B"/>
    <w:rsid w:val="004B6B54"/>
    <w:rsid w:val="004B6EAC"/>
    <w:rsid w:val="004B6F4B"/>
    <w:rsid w:val="004B6F72"/>
    <w:rsid w:val="004B6F9C"/>
    <w:rsid w:val="004B6FE4"/>
    <w:rsid w:val="004B7080"/>
    <w:rsid w:val="004B7329"/>
    <w:rsid w:val="004B7330"/>
    <w:rsid w:val="004B733B"/>
    <w:rsid w:val="004B736A"/>
    <w:rsid w:val="004B74DA"/>
    <w:rsid w:val="004B7534"/>
    <w:rsid w:val="004B7635"/>
    <w:rsid w:val="004B7861"/>
    <w:rsid w:val="004B78C9"/>
    <w:rsid w:val="004B78D0"/>
    <w:rsid w:val="004B78F4"/>
    <w:rsid w:val="004B7951"/>
    <w:rsid w:val="004B796F"/>
    <w:rsid w:val="004B7A14"/>
    <w:rsid w:val="004B7A7F"/>
    <w:rsid w:val="004B7BF9"/>
    <w:rsid w:val="004B7C27"/>
    <w:rsid w:val="004B7C2D"/>
    <w:rsid w:val="004B7CDE"/>
    <w:rsid w:val="004B7E1C"/>
    <w:rsid w:val="004B7E25"/>
    <w:rsid w:val="004B7EF9"/>
    <w:rsid w:val="004B7F0F"/>
    <w:rsid w:val="004C0444"/>
    <w:rsid w:val="004C046C"/>
    <w:rsid w:val="004C0470"/>
    <w:rsid w:val="004C0610"/>
    <w:rsid w:val="004C0758"/>
    <w:rsid w:val="004C07E5"/>
    <w:rsid w:val="004C098E"/>
    <w:rsid w:val="004C0990"/>
    <w:rsid w:val="004C0A78"/>
    <w:rsid w:val="004C0A8C"/>
    <w:rsid w:val="004C0A9A"/>
    <w:rsid w:val="004C0AD9"/>
    <w:rsid w:val="004C0B5E"/>
    <w:rsid w:val="004C0B85"/>
    <w:rsid w:val="004C0B8B"/>
    <w:rsid w:val="004C0CFC"/>
    <w:rsid w:val="004C0D3D"/>
    <w:rsid w:val="004C0D75"/>
    <w:rsid w:val="004C0DD2"/>
    <w:rsid w:val="004C0E1D"/>
    <w:rsid w:val="004C0E4A"/>
    <w:rsid w:val="004C0E7A"/>
    <w:rsid w:val="004C0F51"/>
    <w:rsid w:val="004C0FDB"/>
    <w:rsid w:val="004C101A"/>
    <w:rsid w:val="004C10C4"/>
    <w:rsid w:val="004C10CB"/>
    <w:rsid w:val="004C11A1"/>
    <w:rsid w:val="004C1325"/>
    <w:rsid w:val="004C14D9"/>
    <w:rsid w:val="004C1646"/>
    <w:rsid w:val="004C1658"/>
    <w:rsid w:val="004C1665"/>
    <w:rsid w:val="004C1729"/>
    <w:rsid w:val="004C179A"/>
    <w:rsid w:val="004C192E"/>
    <w:rsid w:val="004C1994"/>
    <w:rsid w:val="004C1A7D"/>
    <w:rsid w:val="004C1AD5"/>
    <w:rsid w:val="004C1AE4"/>
    <w:rsid w:val="004C1BE3"/>
    <w:rsid w:val="004C1DC4"/>
    <w:rsid w:val="004C1EF7"/>
    <w:rsid w:val="004C1F5D"/>
    <w:rsid w:val="004C1F90"/>
    <w:rsid w:val="004C2069"/>
    <w:rsid w:val="004C2094"/>
    <w:rsid w:val="004C2222"/>
    <w:rsid w:val="004C229D"/>
    <w:rsid w:val="004C24D9"/>
    <w:rsid w:val="004C25BE"/>
    <w:rsid w:val="004C2633"/>
    <w:rsid w:val="004C2734"/>
    <w:rsid w:val="004C286C"/>
    <w:rsid w:val="004C28F9"/>
    <w:rsid w:val="004C2999"/>
    <w:rsid w:val="004C2A39"/>
    <w:rsid w:val="004C2A72"/>
    <w:rsid w:val="004C2B45"/>
    <w:rsid w:val="004C2B5E"/>
    <w:rsid w:val="004C2B87"/>
    <w:rsid w:val="004C2C55"/>
    <w:rsid w:val="004C2C72"/>
    <w:rsid w:val="004C2CD6"/>
    <w:rsid w:val="004C2D0A"/>
    <w:rsid w:val="004C2D4C"/>
    <w:rsid w:val="004C2D7C"/>
    <w:rsid w:val="004C2D80"/>
    <w:rsid w:val="004C2D98"/>
    <w:rsid w:val="004C308B"/>
    <w:rsid w:val="004C311A"/>
    <w:rsid w:val="004C31A7"/>
    <w:rsid w:val="004C31BD"/>
    <w:rsid w:val="004C33A6"/>
    <w:rsid w:val="004C357D"/>
    <w:rsid w:val="004C3636"/>
    <w:rsid w:val="004C37E8"/>
    <w:rsid w:val="004C3841"/>
    <w:rsid w:val="004C387C"/>
    <w:rsid w:val="004C38ED"/>
    <w:rsid w:val="004C38FB"/>
    <w:rsid w:val="004C38FF"/>
    <w:rsid w:val="004C3A6F"/>
    <w:rsid w:val="004C3AE5"/>
    <w:rsid w:val="004C3B1D"/>
    <w:rsid w:val="004C3B3C"/>
    <w:rsid w:val="004C3B71"/>
    <w:rsid w:val="004C3BAC"/>
    <w:rsid w:val="004C3C14"/>
    <w:rsid w:val="004C3C2C"/>
    <w:rsid w:val="004C3C72"/>
    <w:rsid w:val="004C3CCE"/>
    <w:rsid w:val="004C3D4B"/>
    <w:rsid w:val="004C3FAB"/>
    <w:rsid w:val="004C3FE8"/>
    <w:rsid w:val="004C40F2"/>
    <w:rsid w:val="004C40F9"/>
    <w:rsid w:val="004C415C"/>
    <w:rsid w:val="004C4208"/>
    <w:rsid w:val="004C423C"/>
    <w:rsid w:val="004C4395"/>
    <w:rsid w:val="004C4587"/>
    <w:rsid w:val="004C48FD"/>
    <w:rsid w:val="004C4921"/>
    <w:rsid w:val="004C499C"/>
    <w:rsid w:val="004C4A0D"/>
    <w:rsid w:val="004C4A40"/>
    <w:rsid w:val="004C4BB9"/>
    <w:rsid w:val="004C4D82"/>
    <w:rsid w:val="004C4D95"/>
    <w:rsid w:val="004C4D9A"/>
    <w:rsid w:val="004C4EE1"/>
    <w:rsid w:val="004C50E2"/>
    <w:rsid w:val="004C510D"/>
    <w:rsid w:val="004C518E"/>
    <w:rsid w:val="004C5201"/>
    <w:rsid w:val="004C52A6"/>
    <w:rsid w:val="004C52B0"/>
    <w:rsid w:val="004C52C0"/>
    <w:rsid w:val="004C52C9"/>
    <w:rsid w:val="004C553E"/>
    <w:rsid w:val="004C5562"/>
    <w:rsid w:val="004C57D7"/>
    <w:rsid w:val="004C584A"/>
    <w:rsid w:val="004C590E"/>
    <w:rsid w:val="004C594B"/>
    <w:rsid w:val="004C5A19"/>
    <w:rsid w:val="004C5B25"/>
    <w:rsid w:val="004C5C3B"/>
    <w:rsid w:val="004C5D67"/>
    <w:rsid w:val="004C61CD"/>
    <w:rsid w:val="004C62E5"/>
    <w:rsid w:val="004C63BA"/>
    <w:rsid w:val="004C6470"/>
    <w:rsid w:val="004C6485"/>
    <w:rsid w:val="004C656A"/>
    <w:rsid w:val="004C65AC"/>
    <w:rsid w:val="004C6613"/>
    <w:rsid w:val="004C6628"/>
    <w:rsid w:val="004C666E"/>
    <w:rsid w:val="004C6694"/>
    <w:rsid w:val="004C66C9"/>
    <w:rsid w:val="004C68C3"/>
    <w:rsid w:val="004C6926"/>
    <w:rsid w:val="004C6945"/>
    <w:rsid w:val="004C6971"/>
    <w:rsid w:val="004C6C37"/>
    <w:rsid w:val="004C6C61"/>
    <w:rsid w:val="004C6C94"/>
    <w:rsid w:val="004C6D90"/>
    <w:rsid w:val="004C6ECF"/>
    <w:rsid w:val="004C6EDF"/>
    <w:rsid w:val="004C6F80"/>
    <w:rsid w:val="004C7102"/>
    <w:rsid w:val="004C71FB"/>
    <w:rsid w:val="004C7388"/>
    <w:rsid w:val="004C7548"/>
    <w:rsid w:val="004C756D"/>
    <w:rsid w:val="004C763A"/>
    <w:rsid w:val="004C767D"/>
    <w:rsid w:val="004C7698"/>
    <w:rsid w:val="004C76BC"/>
    <w:rsid w:val="004C779F"/>
    <w:rsid w:val="004C7871"/>
    <w:rsid w:val="004C7879"/>
    <w:rsid w:val="004C7894"/>
    <w:rsid w:val="004C7939"/>
    <w:rsid w:val="004C79D4"/>
    <w:rsid w:val="004C7B16"/>
    <w:rsid w:val="004C7B61"/>
    <w:rsid w:val="004C7B98"/>
    <w:rsid w:val="004C7C9B"/>
    <w:rsid w:val="004C7D08"/>
    <w:rsid w:val="004C7D2A"/>
    <w:rsid w:val="004C7D2C"/>
    <w:rsid w:val="004C7EE2"/>
    <w:rsid w:val="004C97AE"/>
    <w:rsid w:val="004D0058"/>
    <w:rsid w:val="004D00E2"/>
    <w:rsid w:val="004D01EE"/>
    <w:rsid w:val="004D0274"/>
    <w:rsid w:val="004D031E"/>
    <w:rsid w:val="004D032D"/>
    <w:rsid w:val="004D03DD"/>
    <w:rsid w:val="004D042B"/>
    <w:rsid w:val="004D0655"/>
    <w:rsid w:val="004D06ED"/>
    <w:rsid w:val="004D083A"/>
    <w:rsid w:val="004D0887"/>
    <w:rsid w:val="004D0899"/>
    <w:rsid w:val="004D0D50"/>
    <w:rsid w:val="004D0F3C"/>
    <w:rsid w:val="004D0FCD"/>
    <w:rsid w:val="004D1148"/>
    <w:rsid w:val="004D1254"/>
    <w:rsid w:val="004D126C"/>
    <w:rsid w:val="004D1306"/>
    <w:rsid w:val="004D15A1"/>
    <w:rsid w:val="004D1689"/>
    <w:rsid w:val="004D1713"/>
    <w:rsid w:val="004D1720"/>
    <w:rsid w:val="004D178F"/>
    <w:rsid w:val="004D17C1"/>
    <w:rsid w:val="004D188D"/>
    <w:rsid w:val="004D18D4"/>
    <w:rsid w:val="004D1951"/>
    <w:rsid w:val="004D19E8"/>
    <w:rsid w:val="004D1A2A"/>
    <w:rsid w:val="004D1AAE"/>
    <w:rsid w:val="004D1C26"/>
    <w:rsid w:val="004D1D7D"/>
    <w:rsid w:val="004D1E06"/>
    <w:rsid w:val="004D1E50"/>
    <w:rsid w:val="004D1E8D"/>
    <w:rsid w:val="004D1E93"/>
    <w:rsid w:val="004D1EFE"/>
    <w:rsid w:val="004D1FEC"/>
    <w:rsid w:val="004D202B"/>
    <w:rsid w:val="004D2076"/>
    <w:rsid w:val="004D2095"/>
    <w:rsid w:val="004D20A6"/>
    <w:rsid w:val="004D20E5"/>
    <w:rsid w:val="004D2146"/>
    <w:rsid w:val="004D228C"/>
    <w:rsid w:val="004D22BC"/>
    <w:rsid w:val="004D237F"/>
    <w:rsid w:val="004D23B8"/>
    <w:rsid w:val="004D23C7"/>
    <w:rsid w:val="004D2468"/>
    <w:rsid w:val="004D2531"/>
    <w:rsid w:val="004D2591"/>
    <w:rsid w:val="004D2703"/>
    <w:rsid w:val="004D2760"/>
    <w:rsid w:val="004D27B6"/>
    <w:rsid w:val="004D286B"/>
    <w:rsid w:val="004D2A10"/>
    <w:rsid w:val="004D2A31"/>
    <w:rsid w:val="004D2B90"/>
    <w:rsid w:val="004D2C6B"/>
    <w:rsid w:val="004D2CF2"/>
    <w:rsid w:val="004D2D9E"/>
    <w:rsid w:val="004D2E0A"/>
    <w:rsid w:val="004D2E51"/>
    <w:rsid w:val="004D2FBB"/>
    <w:rsid w:val="004D30F6"/>
    <w:rsid w:val="004D339D"/>
    <w:rsid w:val="004D344A"/>
    <w:rsid w:val="004D349C"/>
    <w:rsid w:val="004D35AA"/>
    <w:rsid w:val="004D3612"/>
    <w:rsid w:val="004D368E"/>
    <w:rsid w:val="004D377B"/>
    <w:rsid w:val="004D378C"/>
    <w:rsid w:val="004D37A9"/>
    <w:rsid w:val="004D38C4"/>
    <w:rsid w:val="004D3A82"/>
    <w:rsid w:val="004D3AC5"/>
    <w:rsid w:val="004D3C87"/>
    <w:rsid w:val="004D3CA5"/>
    <w:rsid w:val="004D3CED"/>
    <w:rsid w:val="004D3E05"/>
    <w:rsid w:val="004D3EDA"/>
    <w:rsid w:val="004D3F84"/>
    <w:rsid w:val="004D422D"/>
    <w:rsid w:val="004D42D1"/>
    <w:rsid w:val="004D4469"/>
    <w:rsid w:val="004D44CB"/>
    <w:rsid w:val="004D4772"/>
    <w:rsid w:val="004D47A5"/>
    <w:rsid w:val="004D48A7"/>
    <w:rsid w:val="004D4C28"/>
    <w:rsid w:val="004D4C35"/>
    <w:rsid w:val="004D4CF8"/>
    <w:rsid w:val="004D4D37"/>
    <w:rsid w:val="004D4E91"/>
    <w:rsid w:val="004D4EA9"/>
    <w:rsid w:val="004D50D3"/>
    <w:rsid w:val="004D5405"/>
    <w:rsid w:val="004D5499"/>
    <w:rsid w:val="004D549E"/>
    <w:rsid w:val="004D550C"/>
    <w:rsid w:val="004D55BC"/>
    <w:rsid w:val="004D572E"/>
    <w:rsid w:val="004D5B41"/>
    <w:rsid w:val="004D5C7F"/>
    <w:rsid w:val="004D5CCA"/>
    <w:rsid w:val="004D5DA6"/>
    <w:rsid w:val="004D5DD7"/>
    <w:rsid w:val="004D5E29"/>
    <w:rsid w:val="004D5F21"/>
    <w:rsid w:val="004D5FD4"/>
    <w:rsid w:val="004D5FE0"/>
    <w:rsid w:val="004D6090"/>
    <w:rsid w:val="004D60BA"/>
    <w:rsid w:val="004D60BC"/>
    <w:rsid w:val="004D60CF"/>
    <w:rsid w:val="004D617F"/>
    <w:rsid w:val="004D61C4"/>
    <w:rsid w:val="004D625E"/>
    <w:rsid w:val="004D62E2"/>
    <w:rsid w:val="004D6373"/>
    <w:rsid w:val="004D6432"/>
    <w:rsid w:val="004D64A7"/>
    <w:rsid w:val="004D6579"/>
    <w:rsid w:val="004D660A"/>
    <w:rsid w:val="004D69BA"/>
    <w:rsid w:val="004D69BD"/>
    <w:rsid w:val="004D69FD"/>
    <w:rsid w:val="004D6A85"/>
    <w:rsid w:val="004D6AB1"/>
    <w:rsid w:val="004D6AB4"/>
    <w:rsid w:val="004D6ABC"/>
    <w:rsid w:val="004D6C3B"/>
    <w:rsid w:val="004D6F39"/>
    <w:rsid w:val="004D6F4E"/>
    <w:rsid w:val="004D6F9A"/>
    <w:rsid w:val="004D7021"/>
    <w:rsid w:val="004D71E8"/>
    <w:rsid w:val="004D733E"/>
    <w:rsid w:val="004D743A"/>
    <w:rsid w:val="004D7456"/>
    <w:rsid w:val="004D74D2"/>
    <w:rsid w:val="004D7540"/>
    <w:rsid w:val="004D758C"/>
    <w:rsid w:val="004D7684"/>
    <w:rsid w:val="004D778A"/>
    <w:rsid w:val="004D77C5"/>
    <w:rsid w:val="004D7919"/>
    <w:rsid w:val="004D799B"/>
    <w:rsid w:val="004D7A26"/>
    <w:rsid w:val="004D7B4B"/>
    <w:rsid w:val="004D7BAD"/>
    <w:rsid w:val="004D7BBA"/>
    <w:rsid w:val="004D7C7C"/>
    <w:rsid w:val="004D7CED"/>
    <w:rsid w:val="004D7F42"/>
    <w:rsid w:val="004D7F90"/>
    <w:rsid w:val="004D7F9D"/>
    <w:rsid w:val="004DB0C7"/>
    <w:rsid w:val="004E0217"/>
    <w:rsid w:val="004E027D"/>
    <w:rsid w:val="004E02B5"/>
    <w:rsid w:val="004E03B6"/>
    <w:rsid w:val="004E03C5"/>
    <w:rsid w:val="004E0417"/>
    <w:rsid w:val="004E0435"/>
    <w:rsid w:val="004E05C2"/>
    <w:rsid w:val="004E06C2"/>
    <w:rsid w:val="004E07DE"/>
    <w:rsid w:val="004E0958"/>
    <w:rsid w:val="004E0A01"/>
    <w:rsid w:val="004E0ADD"/>
    <w:rsid w:val="004E0B9F"/>
    <w:rsid w:val="004E0C62"/>
    <w:rsid w:val="004E0DB4"/>
    <w:rsid w:val="004E0E92"/>
    <w:rsid w:val="004E0F77"/>
    <w:rsid w:val="004E10B9"/>
    <w:rsid w:val="004E1147"/>
    <w:rsid w:val="004E11E4"/>
    <w:rsid w:val="004E11E7"/>
    <w:rsid w:val="004E148F"/>
    <w:rsid w:val="004E14D8"/>
    <w:rsid w:val="004E151E"/>
    <w:rsid w:val="004E15B1"/>
    <w:rsid w:val="004E186C"/>
    <w:rsid w:val="004E1907"/>
    <w:rsid w:val="004E1918"/>
    <w:rsid w:val="004E195F"/>
    <w:rsid w:val="004E19FC"/>
    <w:rsid w:val="004E1A89"/>
    <w:rsid w:val="004E1C6F"/>
    <w:rsid w:val="004E1CF6"/>
    <w:rsid w:val="004E1E1E"/>
    <w:rsid w:val="004E1E48"/>
    <w:rsid w:val="004E2058"/>
    <w:rsid w:val="004E2098"/>
    <w:rsid w:val="004E2258"/>
    <w:rsid w:val="004E22C9"/>
    <w:rsid w:val="004E22D6"/>
    <w:rsid w:val="004E234F"/>
    <w:rsid w:val="004E24D4"/>
    <w:rsid w:val="004E2553"/>
    <w:rsid w:val="004E25A8"/>
    <w:rsid w:val="004E2768"/>
    <w:rsid w:val="004E27A4"/>
    <w:rsid w:val="004E27F0"/>
    <w:rsid w:val="004E281E"/>
    <w:rsid w:val="004E2867"/>
    <w:rsid w:val="004E287F"/>
    <w:rsid w:val="004E29A0"/>
    <w:rsid w:val="004E29B8"/>
    <w:rsid w:val="004E2A76"/>
    <w:rsid w:val="004E2BE9"/>
    <w:rsid w:val="004E2C35"/>
    <w:rsid w:val="004E2C41"/>
    <w:rsid w:val="004E2C53"/>
    <w:rsid w:val="004E2C8B"/>
    <w:rsid w:val="004E2C91"/>
    <w:rsid w:val="004E2DED"/>
    <w:rsid w:val="004E2F1C"/>
    <w:rsid w:val="004E2F36"/>
    <w:rsid w:val="004E2FA9"/>
    <w:rsid w:val="004E339D"/>
    <w:rsid w:val="004E3413"/>
    <w:rsid w:val="004E3489"/>
    <w:rsid w:val="004E359F"/>
    <w:rsid w:val="004E3617"/>
    <w:rsid w:val="004E3902"/>
    <w:rsid w:val="004E3956"/>
    <w:rsid w:val="004E3B45"/>
    <w:rsid w:val="004E3B93"/>
    <w:rsid w:val="004E3BA2"/>
    <w:rsid w:val="004E3C4B"/>
    <w:rsid w:val="004E3D62"/>
    <w:rsid w:val="004E3E55"/>
    <w:rsid w:val="004E3F41"/>
    <w:rsid w:val="004E4005"/>
    <w:rsid w:val="004E401E"/>
    <w:rsid w:val="004E403F"/>
    <w:rsid w:val="004E406D"/>
    <w:rsid w:val="004E41C8"/>
    <w:rsid w:val="004E4265"/>
    <w:rsid w:val="004E42E4"/>
    <w:rsid w:val="004E4416"/>
    <w:rsid w:val="004E4437"/>
    <w:rsid w:val="004E44FE"/>
    <w:rsid w:val="004E4612"/>
    <w:rsid w:val="004E47C4"/>
    <w:rsid w:val="004E48BD"/>
    <w:rsid w:val="004E4A25"/>
    <w:rsid w:val="004E4A27"/>
    <w:rsid w:val="004E4B31"/>
    <w:rsid w:val="004E4B5D"/>
    <w:rsid w:val="004E4C1E"/>
    <w:rsid w:val="004E4C99"/>
    <w:rsid w:val="004E4CD1"/>
    <w:rsid w:val="004E4DD2"/>
    <w:rsid w:val="004E4DE7"/>
    <w:rsid w:val="004E4E75"/>
    <w:rsid w:val="004E4E76"/>
    <w:rsid w:val="004E4F2D"/>
    <w:rsid w:val="004E4F85"/>
    <w:rsid w:val="004E511E"/>
    <w:rsid w:val="004E5167"/>
    <w:rsid w:val="004E51B4"/>
    <w:rsid w:val="004E51BB"/>
    <w:rsid w:val="004E52A6"/>
    <w:rsid w:val="004E52FA"/>
    <w:rsid w:val="004E54A4"/>
    <w:rsid w:val="004E54F4"/>
    <w:rsid w:val="004E5524"/>
    <w:rsid w:val="004E5526"/>
    <w:rsid w:val="004E56E8"/>
    <w:rsid w:val="004E5DCD"/>
    <w:rsid w:val="004E5EAA"/>
    <w:rsid w:val="004E5F97"/>
    <w:rsid w:val="004E603D"/>
    <w:rsid w:val="004E6063"/>
    <w:rsid w:val="004E623B"/>
    <w:rsid w:val="004E623D"/>
    <w:rsid w:val="004E634C"/>
    <w:rsid w:val="004E636A"/>
    <w:rsid w:val="004E63D3"/>
    <w:rsid w:val="004E6465"/>
    <w:rsid w:val="004E647F"/>
    <w:rsid w:val="004E6768"/>
    <w:rsid w:val="004E694D"/>
    <w:rsid w:val="004E69B8"/>
    <w:rsid w:val="004E69E8"/>
    <w:rsid w:val="004E6A2F"/>
    <w:rsid w:val="004E6A3B"/>
    <w:rsid w:val="004E6A85"/>
    <w:rsid w:val="004E6AB5"/>
    <w:rsid w:val="004E6C26"/>
    <w:rsid w:val="004E6C55"/>
    <w:rsid w:val="004E6C7B"/>
    <w:rsid w:val="004E6F16"/>
    <w:rsid w:val="004E6FCC"/>
    <w:rsid w:val="004E7383"/>
    <w:rsid w:val="004E749D"/>
    <w:rsid w:val="004E792B"/>
    <w:rsid w:val="004E79B2"/>
    <w:rsid w:val="004E7A3C"/>
    <w:rsid w:val="004E7A49"/>
    <w:rsid w:val="004E7A50"/>
    <w:rsid w:val="004E7B2A"/>
    <w:rsid w:val="004E7B60"/>
    <w:rsid w:val="004E7BCA"/>
    <w:rsid w:val="004E7BD1"/>
    <w:rsid w:val="004E7C27"/>
    <w:rsid w:val="004E7C45"/>
    <w:rsid w:val="004E7C50"/>
    <w:rsid w:val="004E7C51"/>
    <w:rsid w:val="004E7E0E"/>
    <w:rsid w:val="004E7F6D"/>
    <w:rsid w:val="004F007C"/>
    <w:rsid w:val="004F00E4"/>
    <w:rsid w:val="004F0103"/>
    <w:rsid w:val="004F0143"/>
    <w:rsid w:val="004F014A"/>
    <w:rsid w:val="004F01F8"/>
    <w:rsid w:val="004F0209"/>
    <w:rsid w:val="004F029D"/>
    <w:rsid w:val="004F0505"/>
    <w:rsid w:val="004F06C9"/>
    <w:rsid w:val="004F06EE"/>
    <w:rsid w:val="004F070E"/>
    <w:rsid w:val="004F082C"/>
    <w:rsid w:val="004F08D2"/>
    <w:rsid w:val="004F0922"/>
    <w:rsid w:val="004F0952"/>
    <w:rsid w:val="004F095D"/>
    <w:rsid w:val="004F0A67"/>
    <w:rsid w:val="004F0A88"/>
    <w:rsid w:val="004F0AA0"/>
    <w:rsid w:val="004F0B09"/>
    <w:rsid w:val="004F0B49"/>
    <w:rsid w:val="004F0D16"/>
    <w:rsid w:val="004F0DB3"/>
    <w:rsid w:val="004F0E71"/>
    <w:rsid w:val="004F0FFE"/>
    <w:rsid w:val="004F1017"/>
    <w:rsid w:val="004F106C"/>
    <w:rsid w:val="004F10E3"/>
    <w:rsid w:val="004F10FA"/>
    <w:rsid w:val="004F11EC"/>
    <w:rsid w:val="004F12D8"/>
    <w:rsid w:val="004F12E8"/>
    <w:rsid w:val="004F13C1"/>
    <w:rsid w:val="004F13DB"/>
    <w:rsid w:val="004F13E6"/>
    <w:rsid w:val="004F1444"/>
    <w:rsid w:val="004F151E"/>
    <w:rsid w:val="004F199B"/>
    <w:rsid w:val="004F1AC6"/>
    <w:rsid w:val="004F1ADA"/>
    <w:rsid w:val="004F1C1C"/>
    <w:rsid w:val="004F1CAF"/>
    <w:rsid w:val="004F1E7D"/>
    <w:rsid w:val="004F1E89"/>
    <w:rsid w:val="004F1ED5"/>
    <w:rsid w:val="004F1F19"/>
    <w:rsid w:val="004F1F73"/>
    <w:rsid w:val="004F206A"/>
    <w:rsid w:val="004F20BD"/>
    <w:rsid w:val="004F2112"/>
    <w:rsid w:val="004F21B6"/>
    <w:rsid w:val="004F2201"/>
    <w:rsid w:val="004F2273"/>
    <w:rsid w:val="004F2349"/>
    <w:rsid w:val="004F2354"/>
    <w:rsid w:val="004F2505"/>
    <w:rsid w:val="004F2679"/>
    <w:rsid w:val="004F2774"/>
    <w:rsid w:val="004F281C"/>
    <w:rsid w:val="004F289C"/>
    <w:rsid w:val="004F2AC1"/>
    <w:rsid w:val="004F2C8C"/>
    <w:rsid w:val="004F2CE6"/>
    <w:rsid w:val="004F2E5B"/>
    <w:rsid w:val="004F2F2E"/>
    <w:rsid w:val="004F3490"/>
    <w:rsid w:val="004F365C"/>
    <w:rsid w:val="004F366E"/>
    <w:rsid w:val="004F3769"/>
    <w:rsid w:val="004F37B2"/>
    <w:rsid w:val="004F3892"/>
    <w:rsid w:val="004F38BA"/>
    <w:rsid w:val="004F39D1"/>
    <w:rsid w:val="004F3A64"/>
    <w:rsid w:val="004F3A72"/>
    <w:rsid w:val="004F3A82"/>
    <w:rsid w:val="004F3AD3"/>
    <w:rsid w:val="004F3B16"/>
    <w:rsid w:val="004F3B7F"/>
    <w:rsid w:val="004F3C93"/>
    <w:rsid w:val="004F3D43"/>
    <w:rsid w:val="004F3DD8"/>
    <w:rsid w:val="004F4203"/>
    <w:rsid w:val="004F423D"/>
    <w:rsid w:val="004F42BB"/>
    <w:rsid w:val="004F42D4"/>
    <w:rsid w:val="004F4317"/>
    <w:rsid w:val="004F43EB"/>
    <w:rsid w:val="004F4475"/>
    <w:rsid w:val="004F45A5"/>
    <w:rsid w:val="004F46B0"/>
    <w:rsid w:val="004F4743"/>
    <w:rsid w:val="004F4768"/>
    <w:rsid w:val="004F476E"/>
    <w:rsid w:val="004F47DF"/>
    <w:rsid w:val="004F4803"/>
    <w:rsid w:val="004F481E"/>
    <w:rsid w:val="004F4827"/>
    <w:rsid w:val="004F4950"/>
    <w:rsid w:val="004F4A51"/>
    <w:rsid w:val="004F4C23"/>
    <w:rsid w:val="004F4C80"/>
    <w:rsid w:val="004F4D7A"/>
    <w:rsid w:val="004F4F47"/>
    <w:rsid w:val="004F519A"/>
    <w:rsid w:val="004F5329"/>
    <w:rsid w:val="004F54DF"/>
    <w:rsid w:val="004F55CC"/>
    <w:rsid w:val="004F5687"/>
    <w:rsid w:val="004F5892"/>
    <w:rsid w:val="004F5BA0"/>
    <w:rsid w:val="004F5BC7"/>
    <w:rsid w:val="004F5BDD"/>
    <w:rsid w:val="004F5C54"/>
    <w:rsid w:val="004F5D10"/>
    <w:rsid w:val="004F5DB7"/>
    <w:rsid w:val="004F5E4D"/>
    <w:rsid w:val="004F5EDB"/>
    <w:rsid w:val="004F5F38"/>
    <w:rsid w:val="004F605E"/>
    <w:rsid w:val="004F60B8"/>
    <w:rsid w:val="004F60CA"/>
    <w:rsid w:val="004F6169"/>
    <w:rsid w:val="004F61BE"/>
    <w:rsid w:val="004F6320"/>
    <w:rsid w:val="004F6333"/>
    <w:rsid w:val="004F642C"/>
    <w:rsid w:val="004F6437"/>
    <w:rsid w:val="004F64A8"/>
    <w:rsid w:val="004F64F9"/>
    <w:rsid w:val="004F65BB"/>
    <w:rsid w:val="004F65E3"/>
    <w:rsid w:val="004F679A"/>
    <w:rsid w:val="004F67BA"/>
    <w:rsid w:val="004F67C8"/>
    <w:rsid w:val="004F686E"/>
    <w:rsid w:val="004F6A26"/>
    <w:rsid w:val="004F6B02"/>
    <w:rsid w:val="004F6CB4"/>
    <w:rsid w:val="004F6F1D"/>
    <w:rsid w:val="004F705C"/>
    <w:rsid w:val="004F7164"/>
    <w:rsid w:val="004F72AE"/>
    <w:rsid w:val="004F7328"/>
    <w:rsid w:val="004F738D"/>
    <w:rsid w:val="004F73D6"/>
    <w:rsid w:val="004F7412"/>
    <w:rsid w:val="004F7585"/>
    <w:rsid w:val="004F758B"/>
    <w:rsid w:val="004F7769"/>
    <w:rsid w:val="004F79CA"/>
    <w:rsid w:val="004F7B2D"/>
    <w:rsid w:val="004F7B94"/>
    <w:rsid w:val="004F7C06"/>
    <w:rsid w:val="004F7C3C"/>
    <w:rsid w:val="004F7CFE"/>
    <w:rsid w:val="004F7D68"/>
    <w:rsid w:val="004F7DB0"/>
    <w:rsid w:val="00500075"/>
    <w:rsid w:val="005001E6"/>
    <w:rsid w:val="005004D7"/>
    <w:rsid w:val="0050060C"/>
    <w:rsid w:val="005007AE"/>
    <w:rsid w:val="00500946"/>
    <w:rsid w:val="00500978"/>
    <w:rsid w:val="00500AD6"/>
    <w:rsid w:val="00500C93"/>
    <w:rsid w:val="00500D43"/>
    <w:rsid w:val="00500EC2"/>
    <w:rsid w:val="00500EDB"/>
    <w:rsid w:val="00500FDB"/>
    <w:rsid w:val="00500FDD"/>
    <w:rsid w:val="0050107C"/>
    <w:rsid w:val="005010AD"/>
    <w:rsid w:val="005010BC"/>
    <w:rsid w:val="005010D0"/>
    <w:rsid w:val="0050114B"/>
    <w:rsid w:val="005011A5"/>
    <w:rsid w:val="005011D0"/>
    <w:rsid w:val="0050122A"/>
    <w:rsid w:val="00501304"/>
    <w:rsid w:val="005013F3"/>
    <w:rsid w:val="00501781"/>
    <w:rsid w:val="00501838"/>
    <w:rsid w:val="005019E2"/>
    <w:rsid w:val="005019E9"/>
    <w:rsid w:val="00501AA6"/>
    <w:rsid w:val="00501B01"/>
    <w:rsid w:val="00501D5A"/>
    <w:rsid w:val="00501DA6"/>
    <w:rsid w:val="00501E96"/>
    <w:rsid w:val="00501E9E"/>
    <w:rsid w:val="00501EBA"/>
    <w:rsid w:val="00501FE0"/>
    <w:rsid w:val="0050207E"/>
    <w:rsid w:val="00502082"/>
    <w:rsid w:val="0050229C"/>
    <w:rsid w:val="00502306"/>
    <w:rsid w:val="00502454"/>
    <w:rsid w:val="005024AC"/>
    <w:rsid w:val="005024B8"/>
    <w:rsid w:val="005025E1"/>
    <w:rsid w:val="0050267D"/>
    <w:rsid w:val="0050273B"/>
    <w:rsid w:val="005027CC"/>
    <w:rsid w:val="0050287E"/>
    <w:rsid w:val="005028A4"/>
    <w:rsid w:val="0050290F"/>
    <w:rsid w:val="0050296E"/>
    <w:rsid w:val="00502987"/>
    <w:rsid w:val="00502992"/>
    <w:rsid w:val="005029CE"/>
    <w:rsid w:val="00502A87"/>
    <w:rsid w:val="00502A96"/>
    <w:rsid w:val="00502ACA"/>
    <w:rsid w:val="00502B5E"/>
    <w:rsid w:val="00502D64"/>
    <w:rsid w:val="00502EED"/>
    <w:rsid w:val="00502F52"/>
    <w:rsid w:val="00503083"/>
    <w:rsid w:val="005030B7"/>
    <w:rsid w:val="0050317C"/>
    <w:rsid w:val="00503191"/>
    <w:rsid w:val="005032FE"/>
    <w:rsid w:val="00503354"/>
    <w:rsid w:val="00503375"/>
    <w:rsid w:val="00503393"/>
    <w:rsid w:val="005033C3"/>
    <w:rsid w:val="00503433"/>
    <w:rsid w:val="00503508"/>
    <w:rsid w:val="005035EC"/>
    <w:rsid w:val="005035F8"/>
    <w:rsid w:val="00503632"/>
    <w:rsid w:val="00503664"/>
    <w:rsid w:val="0050369F"/>
    <w:rsid w:val="005036B9"/>
    <w:rsid w:val="0050380E"/>
    <w:rsid w:val="00503909"/>
    <w:rsid w:val="00503AB7"/>
    <w:rsid w:val="00503AC9"/>
    <w:rsid w:val="00503AF8"/>
    <w:rsid w:val="00503B2D"/>
    <w:rsid w:val="00503B87"/>
    <w:rsid w:val="00503BA5"/>
    <w:rsid w:val="00503C3F"/>
    <w:rsid w:val="00503C40"/>
    <w:rsid w:val="00503CA3"/>
    <w:rsid w:val="00503EFE"/>
    <w:rsid w:val="00503F27"/>
    <w:rsid w:val="005040A7"/>
    <w:rsid w:val="005040CD"/>
    <w:rsid w:val="00504129"/>
    <w:rsid w:val="0050442F"/>
    <w:rsid w:val="00504698"/>
    <w:rsid w:val="005047FD"/>
    <w:rsid w:val="00504881"/>
    <w:rsid w:val="005049BE"/>
    <w:rsid w:val="005049CD"/>
    <w:rsid w:val="00504C4D"/>
    <w:rsid w:val="00504C58"/>
    <w:rsid w:val="00504C9F"/>
    <w:rsid w:val="00504D0E"/>
    <w:rsid w:val="00504D20"/>
    <w:rsid w:val="00504E31"/>
    <w:rsid w:val="00504EC2"/>
    <w:rsid w:val="00504FC3"/>
    <w:rsid w:val="0050501F"/>
    <w:rsid w:val="0050528D"/>
    <w:rsid w:val="005052E0"/>
    <w:rsid w:val="00505351"/>
    <w:rsid w:val="005053AB"/>
    <w:rsid w:val="005053CD"/>
    <w:rsid w:val="005054AA"/>
    <w:rsid w:val="005054FA"/>
    <w:rsid w:val="0050552C"/>
    <w:rsid w:val="00505694"/>
    <w:rsid w:val="00505725"/>
    <w:rsid w:val="0050572F"/>
    <w:rsid w:val="00505771"/>
    <w:rsid w:val="0050577C"/>
    <w:rsid w:val="005057E8"/>
    <w:rsid w:val="005058CA"/>
    <w:rsid w:val="005059C1"/>
    <w:rsid w:val="00505AC2"/>
    <w:rsid w:val="00505C72"/>
    <w:rsid w:val="00505D67"/>
    <w:rsid w:val="00505D6D"/>
    <w:rsid w:val="00505DBB"/>
    <w:rsid w:val="00505EF2"/>
    <w:rsid w:val="00506032"/>
    <w:rsid w:val="00506145"/>
    <w:rsid w:val="0050614D"/>
    <w:rsid w:val="00506219"/>
    <w:rsid w:val="0050621E"/>
    <w:rsid w:val="00506235"/>
    <w:rsid w:val="00506239"/>
    <w:rsid w:val="00506280"/>
    <w:rsid w:val="00506299"/>
    <w:rsid w:val="005062A7"/>
    <w:rsid w:val="00506430"/>
    <w:rsid w:val="00506648"/>
    <w:rsid w:val="005066B1"/>
    <w:rsid w:val="005066CE"/>
    <w:rsid w:val="005066D6"/>
    <w:rsid w:val="0050678D"/>
    <w:rsid w:val="00506799"/>
    <w:rsid w:val="005067C7"/>
    <w:rsid w:val="00506889"/>
    <w:rsid w:val="00506926"/>
    <w:rsid w:val="0050698E"/>
    <w:rsid w:val="005069F3"/>
    <w:rsid w:val="00506C2A"/>
    <w:rsid w:val="00506DDE"/>
    <w:rsid w:val="005070E6"/>
    <w:rsid w:val="0050729C"/>
    <w:rsid w:val="005072DA"/>
    <w:rsid w:val="0050733A"/>
    <w:rsid w:val="0050739B"/>
    <w:rsid w:val="00507413"/>
    <w:rsid w:val="00507482"/>
    <w:rsid w:val="005074C5"/>
    <w:rsid w:val="005074CA"/>
    <w:rsid w:val="005074CF"/>
    <w:rsid w:val="0050752D"/>
    <w:rsid w:val="0050753A"/>
    <w:rsid w:val="005076AC"/>
    <w:rsid w:val="005076C5"/>
    <w:rsid w:val="00507731"/>
    <w:rsid w:val="005077DF"/>
    <w:rsid w:val="00507849"/>
    <w:rsid w:val="005078F0"/>
    <w:rsid w:val="00507DAD"/>
    <w:rsid w:val="00507DF9"/>
    <w:rsid w:val="00507E26"/>
    <w:rsid w:val="00507EC4"/>
    <w:rsid w:val="00507FA3"/>
    <w:rsid w:val="005100B6"/>
    <w:rsid w:val="00510151"/>
    <w:rsid w:val="0051021B"/>
    <w:rsid w:val="005102A3"/>
    <w:rsid w:val="005103B5"/>
    <w:rsid w:val="00510981"/>
    <w:rsid w:val="005109F6"/>
    <w:rsid w:val="00510A0C"/>
    <w:rsid w:val="00510A11"/>
    <w:rsid w:val="00510AAE"/>
    <w:rsid w:val="00510C02"/>
    <w:rsid w:val="00510CE7"/>
    <w:rsid w:val="00510DD0"/>
    <w:rsid w:val="00510EA1"/>
    <w:rsid w:val="00510FD8"/>
    <w:rsid w:val="005110F9"/>
    <w:rsid w:val="005114D3"/>
    <w:rsid w:val="0051164D"/>
    <w:rsid w:val="005116E1"/>
    <w:rsid w:val="0051181B"/>
    <w:rsid w:val="005118D0"/>
    <w:rsid w:val="00511906"/>
    <w:rsid w:val="005119C8"/>
    <w:rsid w:val="00511A66"/>
    <w:rsid w:val="00511AC3"/>
    <w:rsid w:val="00511CC7"/>
    <w:rsid w:val="00511D68"/>
    <w:rsid w:val="00511E46"/>
    <w:rsid w:val="00511E93"/>
    <w:rsid w:val="00511F71"/>
    <w:rsid w:val="00512001"/>
    <w:rsid w:val="00512095"/>
    <w:rsid w:val="005121EC"/>
    <w:rsid w:val="00512363"/>
    <w:rsid w:val="005123EB"/>
    <w:rsid w:val="00512440"/>
    <w:rsid w:val="005124E9"/>
    <w:rsid w:val="005124FB"/>
    <w:rsid w:val="00512753"/>
    <w:rsid w:val="005128DD"/>
    <w:rsid w:val="0051293A"/>
    <w:rsid w:val="00512944"/>
    <w:rsid w:val="00512A6A"/>
    <w:rsid w:val="00512B38"/>
    <w:rsid w:val="00512B68"/>
    <w:rsid w:val="00512C24"/>
    <w:rsid w:val="00512C29"/>
    <w:rsid w:val="00512CF0"/>
    <w:rsid w:val="00512D0B"/>
    <w:rsid w:val="00512EE6"/>
    <w:rsid w:val="00512F1A"/>
    <w:rsid w:val="00512F32"/>
    <w:rsid w:val="00512F71"/>
    <w:rsid w:val="00512FB0"/>
    <w:rsid w:val="00513007"/>
    <w:rsid w:val="00513027"/>
    <w:rsid w:val="005130E8"/>
    <w:rsid w:val="005131C4"/>
    <w:rsid w:val="0051321C"/>
    <w:rsid w:val="00513243"/>
    <w:rsid w:val="005132B0"/>
    <w:rsid w:val="0051339A"/>
    <w:rsid w:val="005133B6"/>
    <w:rsid w:val="005133E6"/>
    <w:rsid w:val="005134AA"/>
    <w:rsid w:val="005136A8"/>
    <w:rsid w:val="0051374F"/>
    <w:rsid w:val="00513810"/>
    <w:rsid w:val="005138DD"/>
    <w:rsid w:val="00513937"/>
    <w:rsid w:val="00513A56"/>
    <w:rsid w:val="00513AD6"/>
    <w:rsid w:val="00513C10"/>
    <w:rsid w:val="00513C9D"/>
    <w:rsid w:val="00513CC7"/>
    <w:rsid w:val="00513E2B"/>
    <w:rsid w:val="00513E8B"/>
    <w:rsid w:val="00513EA1"/>
    <w:rsid w:val="00513EC3"/>
    <w:rsid w:val="00513EF0"/>
    <w:rsid w:val="00513F40"/>
    <w:rsid w:val="00513FC7"/>
    <w:rsid w:val="00514047"/>
    <w:rsid w:val="00514099"/>
    <w:rsid w:val="005140BE"/>
    <w:rsid w:val="0051413F"/>
    <w:rsid w:val="00514197"/>
    <w:rsid w:val="005141DD"/>
    <w:rsid w:val="005141EA"/>
    <w:rsid w:val="00514209"/>
    <w:rsid w:val="00514239"/>
    <w:rsid w:val="00514279"/>
    <w:rsid w:val="005143F3"/>
    <w:rsid w:val="005145A2"/>
    <w:rsid w:val="005148DE"/>
    <w:rsid w:val="00514911"/>
    <w:rsid w:val="0051491C"/>
    <w:rsid w:val="00514941"/>
    <w:rsid w:val="005149FB"/>
    <w:rsid w:val="00514AD1"/>
    <w:rsid w:val="00514B17"/>
    <w:rsid w:val="00514B3E"/>
    <w:rsid w:val="00514D5C"/>
    <w:rsid w:val="00514D65"/>
    <w:rsid w:val="00514DBC"/>
    <w:rsid w:val="00514EBA"/>
    <w:rsid w:val="0051507C"/>
    <w:rsid w:val="00515349"/>
    <w:rsid w:val="00515358"/>
    <w:rsid w:val="0051537D"/>
    <w:rsid w:val="0051549D"/>
    <w:rsid w:val="005154ED"/>
    <w:rsid w:val="0051561E"/>
    <w:rsid w:val="00515985"/>
    <w:rsid w:val="005159E5"/>
    <w:rsid w:val="00515B48"/>
    <w:rsid w:val="00515E32"/>
    <w:rsid w:val="00515ED6"/>
    <w:rsid w:val="00515EEC"/>
    <w:rsid w:val="005160AF"/>
    <w:rsid w:val="00516121"/>
    <w:rsid w:val="00516147"/>
    <w:rsid w:val="005161BC"/>
    <w:rsid w:val="00516200"/>
    <w:rsid w:val="0051628A"/>
    <w:rsid w:val="00516296"/>
    <w:rsid w:val="005163AC"/>
    <w:rsid w:val="00516810"/>
    <w:rsid w:val="00516864"/>
    <w:rsid w:val="0051688E"/>
    <w:rsid w:val="005168C6"/>
    <w:rsid w:val="005169A6"/>
    <w:rsid w:val="00516A09"/>
    <w:rsid w:val="00516A7D"/>
    <w:rsid w:val="00516C35"/>
    <w:rsid w:val="00516E63"/>
    <w:rsid w:val="00516E9B"/>
    <w:rsid w:val="00516EDF"/>
    <w:rsid w:val="00516F86"/>
    <w:rsid w:val="00516FA7"/>
    <w:rsid w:val="0051714D"/>
    <w:rsid w:val="0051723F"/>
    <w:rsid w:val="005172BE"/>
    <w:rsid w:val="005172DE"/>
    <w:rsid w:val="005172E3"/>
    <w:rsid w:val="005173C4"/>
    <w:rsid w:val="00517520"/>
    <w:rsid w:val="00517752"/>
    <w:rsid w:val="005177D0"/>
    <w:rsid w:val="0051790C"/>
    <w:rsid w:val="00517A4B"/>
    <w:rsid w:val="00517A9A"/>
    <w:rsid w:val="00517AAB"/>
    <w:rsid w:val="00517AFB"/>
    <w:rsid w:val="00517B74"/>
    <w:rsid w:val="00517BE9"/>
    <w:rsid w:val="00517C25"/>
    <w:rsid w:val="00517F63"/>
    <w:rsid w:val="00517F8C"/>
    <w:rsid w:val="00517FD9"/>
    <w:rsid w:val="005194AB"/>
    <w:rsid w:val="0052001A"/>
    <w:rsid w:val="00520050"/>
    <w:rsid w:val="005201F5"/>
    <w:rsid w:val="0052027E"/>
    <w:rsid w:val="00520308"/>
    <w:rsid w:val="005205AA"/>
    <w:rsid w:val="00520638"/>
    <w:rsid w:val="005206F1"/>
    <w:rsid w:val="00520725"/>
    <w:rsid w:val="00520737"/>
    <w:rsid w:val="00520755"/>
    <w:rsid w:val="0052075C"/>
    <w:rsid w:val="00520940"/>
    <w:rsid w:val="00520A59"/>
    <w:rsid w:val="00520AF6"/>
    <w:rsid w:val="00520CE2"/>
    <w:rsid w:val="00520DBF"/>
    <w:rsid w:val="00520DDD"/>
    <w:rsid w:val="00520F2E"/>
    <w:rsid w:val="00521066"/>
    <w:rsid w:val="00521076"/>
    <w:rsid w:val="005210AF"/>
    <w:rsid w:val="0052115A"/>
    <w:rsid w:val="005212E6"/>
    <w:rsid w:val="0052136E"/>
    <w:rsid w:val="005213BD"/>
    <w:rsid w:val="0052149E"/>
    <w:rsid w:val="00521629"/>
    <w:rsid w:val="00521672"/>
    <w:rsid w:val="00521679"/>
    <w:rsid w:val="005216D1"/>
    <w:rsid w:val="005217EC"/>
    <w:rsid w:val="005218C2"/>
    <w:rsid w:val="005218CF"/>
    <w:rsid w:val="00521A40"/>
    <w:rsid w:val="00521A44"/>
    <w:rsid w:val="00521C6C"/>
    <w:rsid w:val="00521CF4"/>
    <w:rsid w:val="00521D53"/>
    <w:rsid w:val="00521E05"/>
    <w:rsid w:val="00521F66"/>
    <w:rsid w:val="0052212F"/>
    <w:rsid w:val="005228B4"/>
    <w:rsid w:val="005228C4"/>
    <w:rsid w:val="005228F1"/>
    <w:rsid w:val="00522A3A"/>
    <w:rsid w:val="00522A3F"/>
    <w:rsid w:val="00522AD0"/>
    <w:rsid w:val="00522BAD"/>
    <w:rsid w:val="00522BC8"/>
    <w:rsid w:val="00522BEF"/>
    <w:rsid w:val="00522C94"/>
    <w:rsid w:val="00522E9A"/>
    <w:rsid w:val="005233BE"/>
    <w:rsid w:val="005234F5"/>
    <w:rsid w:val="005234F6"/>
    <w:rsid w:val="0052355B"/>
    <w:rsid w:val="00523593"/>
    <w:rsid w:val="005235FE"/>
    <w:rsid w:val="00523A9C"/>
    <w:rsid w:val="00523B02"/>
    <w:rsid w:val="00523CC5"/>
    <w:rsid w:val="00523E95"/>
    <w:rsid w:val="00523EF2"/>
    <w:rsid w:val="00524092"/>
    <w:rsid w:val="0052409D"/>
    <w:rsid w:val="0052433F"/>
    <w:rsid w:val="005244C1"/>
    <w:rsid w:val="005245C3"/>
    <w:rsid w:val="00524B65"/>
    <w:rsid w:val="00524CD9"/>
    <w:rsid w:val="00524D5A"/>
    <w:rsid w:val="00524D79"/>
    <w:rsid w:val="00524E9D"/>
    <w:rsid w:val="00524F0D"/>
    <w:rsid w:val="00524F79"/>
    <w:rsid w:val="00524FE7"/>
    <w:rsid w:val="0052501A"/>
    <w:rsid w:val="0052501D"/>
    <w:rsid w:val="0052503A"/>
    <w:rsid w:val="0052515F"/>
    <w:rsid w:val="00525204"/>
    <w:rsid w:val="0052524C"/>
    <w:rsid w:val="0052530F"/>
    <w:rsid w:val="005253BC"/>
    <w:rsid w:val="00525431"/>
    <w:rsid w:val="005254B8"/>
    <w:rsid w:val="00525535"/>
    <w:rsid w:val="00525571"/>
    <w:rsid w:val="005256CE"/>
    <w:rsid w:val="005257B0"/>
    <w:rsid w:val="005257C9"/>
    <w:rsid w:val="005257F7"/>
    <w:rsid w:val="00525913"/>
    <w:rsid w:val="00525A17"/>
    <w:rsid w:val="00525A42"/>
    <w:rsid w:val="00525BAA"/>
    <w:rsid w:val="00525BC2"/>
    <w:rsid w:val="00525C21"/>
    <w:rsid w:val="00525CB6"/>
    <w:rsid w:val="00525CD3"/>
    <w:rsid w:val="00525D15"/>
    <w:rsid w:val="00525DE1"/>
    <w:rsid w:val="00525E42"/>
    <w:rsid w:val="00525F63"/>
    <w:rsid w:val="00525FE1"/>
    <w:rsid w:val="00526034"/>
    <w:rsid w:val="0052609C"/>
    <w:rsid w:val="0052617F"/>
    <w:rsid w:val="005261DF"/>
    <w:rsid w:val="0052622D"/>
    <w:rsid w:val="0052626B"/>
    <w:rsid w:val="005262F4"/>
    <w:rsid w:val="00526339"/>
    <w:rsid w:val="0052645C"/>
    <w:rsid w:val="00526460"/>
    <w:rsid w:val="005264A5"/>
    <w:rsid w:val="00526529"/>
    <w:rsid w:val="00526551"/>
    <w:rsid w:val="00526673"/>
    <w:rsid w:val="005266F1"/>
    <w:rsid w:val="0052670B"/>
    <w:rsid w:val="0052677D"/>
    <w:rsid w:val="005268C8"/>
    <w:rsid w:val="00526913"/>
    <w:rsid w:val="00526996"/>
    <w:rsid w:val="005269E8"/>
    <w:rsid w:val="00526A62"/>
    <w:rsid w:val="00526B7F"/>
    <w:rsid w:val="00526B85"/>
    <w:rsid w:val="00526C17"/>
    <w:rsid w:val="00526D13"/>
    <w:rsid w:val="00526DED"/>
    <w:rsid w:val="00526E7E"/>
    <w:rsid w:val="0052700A"/>
    <w:rsid w:val="0052724E"/>
    <w:rsid w:val="00527269"/>
    <w:rsid w:val="005273A1"/>
    <w:rsid w:val="0052743E"/>
    <w:rsid w:val="00527444"/>
    <w:rsid w:val="005274E7"/>
    <w:rsid w:val="005274F3"/>
    <w:rsid w:val="0052764C"/>
    <w:rsid w:val="005276D3"/>
    <w:rsid w:val="00527777"/>
    <w:rsid w:val="005277A4"/>
    <w:rsid w:val="00527833"/>
    <w:rsid w:val="0052788F"/>
    <w:rsid w:val="00527966"/>
    <w:rsid w:val="00527AE5"/>
    <w:rsid w:val="00527AF0"/>
    <w:rsid w:val="00527B0D"/>
    <w:rsid w:val="00527C00"/>
    <w:rsid w:val="00527D2D"/>
    <w:rsid w:val="00527E63"/>
    <w:rsid w:val="00527EF9"/>
    <w:rsid w:val="005300F3"/>
    <w:rsid w:val="005302B3"/>
    <w:rsid w:val="00530363"/>
    <w:rsid w:val="00530370"/>
    <w:rsid w:val="005303F0"/>
    <w:rsid w:val="005304BC"/>
    <w:rsid w:val="00530770"/>
    <w:rsid w:val="00530787"/>
    <w:rsid w:val="0053087F"/>
    <w:rsid w:val="005309CE"/>
    <w:rsid w:val="00530B7D"/>
    <w:rsid w:val="00530CBC"/>
    <w:rsid w:val="00530F9F"/>
    <w:rsid w:val="00530FEE"/>
    <w:rsid w:val="005310B6"/>
    <w:rsid w:val="0053115A"/>
    <w:rsid w:val="0053120B"/>
    <w:rsid w:val="005312A3"/>
    <w:rsid w:val="005312A5"/>
    <w:rsid w:val="0053154A"/>
    <w:rsid w:val="0053154E"/>
    <w:rsid w:val="005316F3"/>
    <w:rsid w:val="0053181B"/>
    <w:rsid w:val="005318CE"/>
    <w:rsid w:val="0053190A"/>
    <w:rsid w:val="0053194B"/>
    <w:rsid w:val="00531C19"/>
    <w:rsid w:val="00531E0D"/>
    <w:rsid w:val="00531E20"/>
    <w:rsid w:val="00531E32"/>
    <w:rsid w:val="00532175"/>
    <w:rsid w:val="00532267"/>
    <w:rsid w:val="005322D2"/>
    <w:rsid w:val="00532318"/>
    <w:rsid w:val="00532373"/>
    <w:rsid w:val="0053244E"/>
    <w:rsid w:val="005325E8"/>
    <w:rsid w:val="0053264F"/>
    <w:rsid w:val="005326A8"/>
    <w:rsid w:val="0053276A"/>
    <w:rsid w:val="005327CA"/>
    <w:rsid w:val="0053282A"/>
    <w:rsid w:val="0053288F"/>
    <w:rsid w:val="005328A7"/>
    <w:rsid w:val="0053296C"/>
    <w:rsid w:val="005329AD"/>
    <w:rsid w:val="005329EC"/>
    <w:rsid w:val="00532A39"/>
    <w:rsid w:val="00532D46"/>
    <w:rsid w:val="00532ED4"/>
    <w:rsid w:val="00532FEE"/>
    <w:rsid w:val="00533017"/>
    <w:rsid w:val="00533105"/>
    <w:rsid w:val="00533184"/>
    <w:rsid w:val="005331B5"/>
    <w:rsid w:val="00533362"/>
    <w:rsid w:val="00533406"/>
    <w:rsid w:val="0053346A"/>
    <w:rsid w:val="005335D9"/>
    <w:rsid w:val="0053373F"/>
    <w:rsid w:val="005338DE"/>
    <w:rsid w:val="00533962"/>
    <w:rsid w:val="005339ED"/>
    <w:rsid w:val="00533A6C"/>
    <w:rsid w:val="00533AEF"/>
    <w:rsid w:val="00533BC7"/>
    <w:rsid w:val="00533BF8"/>
    <w:rsid w:val="00533C1E"/>
    <w:rsid w:val="00533D08"/>
    <w:rsid w:val="00533E6F"/>
    <w:rsid w:val="00534047"/>
    <w:rsid w:val="005340C5"/>
    <w:rsid w:val="005340DF"/>
    <w:rsid w:val="005341E3"/>
    <w:rsid w:val="0053427F"/>
    <w:rsid w:val="0053428D"/>
    <w:rsid w:val="005343D0"/>
    <w:rsid w:val="00534516"/>
    <w:rsid w:val="00534771"/>
    <w:rsid w:val="005347F8"/>
    <w:rsid w:val="005348A5"/>
    <w:rsid w:val="005348C0"/>
    <w:rsid w:val="005348F1"/>
    <w:rsid w:val="0053507F"/>
    <w:rsid w:val="00535105"/>
    <w:rsid w:val="00535144"/>
    <w:rsid w:val="00535242"/>
    <w:rsid w:val="005353E7"/>
    <w:rsid w:val="00535423"/>
    <w:rsid w:val="00535538"/>
    <w:rsid w:val="0053564A"/>
    <w:rsid w:val="00535791"/>
    <w:rsid w:val="005357C3"/>
    <w:rsid w:val="00535803"/>
    <w:rsid w:val="00535804"/>
    <w:rsid w:val="00535892"/>
    <w:rsid w:val="0053592A"/>
    <w:rsid w:val="00535947"/>
    <w:rsid w:val="005359DA"/>
    <w:rsid w:val="00535CAB"/>
    <w:rsid w:val="00535D2E"/>
    <w:rsid w:val="00535DE1"/>
    <w:rsid w:val="00535DE5"/>
    <w:rsid w:val="00535FD0"/>
    <w:rsid w:val="00535FEC"/>
    <w:rsid w:val="005360F1"/>
    <w:rsid w:val="005361F8"/>
    <w:rsid w:val="00536307"/>
    <w:rsid w:val="00536404"/>
    <w:rsid w:val="00536491"/>
    <w:rsid w:val="005364C6"/>
    <w:rsid w:val="005364DB"/>
    <w:rsid w:val="00536500"/>
    <w:rsid w:val="00536506"/>
    <w:rsid w:val="00536561"/>
    <w:rsid w:val="00536762"/>
    <w:rsid w:val="0053685C"/>
    <w:rsid w:val="005368E2"/>
    <w:rsid w:val="00536998"/>
    <w:rsid w:val="00536B62"/>
    <w:rsid w:val="00536BD0"/>
    <w:rsid w:val="00536DF0"/>
    <w:rsid w:val="00536ED4"/>
    <w:rsid w:val="00536FA4"/>
    <w:rsid w:val="0053701A"/>
    <w:rsid w:val="0053702F"/>
    <w:rsid w:val="005371D9"/>
    <w:rsid w:val="00537237"/>
    <w:rsid w:val="0053725F"/>
    <w:rsid w:val="00537265"/>
    <w:rsid w:val="00537293"/>
    <w:rsid w:val="0053742B"/>
    <w:rsid w:val="005374F7"/>
    <w:rsid w:val="0053761F"/>
    <w:rsid w:val="0053763B"/>
    <w:rsid w:val="00537669"/>
    <w:rsid w:val="005376CB"/>
    <w:rsid w:val="00537958"/>
    <w:rsid w:val="00537A1C"/>
    <w:rsid w:val="00537B41"/>
    <w:rsid w:val="00537B92"/>
    <w:rsid w:val="00537D2A"/>
    <w:rsid w:val="00537D58"/>
    <w:rsid w:val="00537F91"/>
    <w:rsid w:val="00540053"/>
    <w:rsid w:val="00540257"/>
    <w:rsid w:val="005402C6"/>
    <w:rsid w:val="00540506"/>
    <w:rsid w:val="0054050A"/>
    <w:rsid w:val="00540547"/>
    <w:rsid w:val="00540574"/>
    <w:rsid w:val="005405DE"/>
    <w:rsid w:val="00540701"/>
    <w:rsid w:val="00540760"/>
    <w:rsid w:val="005407AC"/>
    <w:rsid w:val="005407B3"/>
    <w:rsid w:val="00540821"/>
    <w:rsid w:val="005408E9"/>
    <w:rsid w:val="005409D1"/>
    <w:rsid w:val="005409DD"/>
    <w:rsid w:val="00540A2C"/>
    <w:rsid w:val="00540A4A"/>
    <w:rsid w:val="00540ACE"/>
    <w:rsid w:val="00540C15"/>
    <w:rsid w:val="00540C45"/>
    <w:rsid w:val="00540D2E"/>
    <w:rsid w:val="0054116F"/>
    <w:rsid w:val="005411D3"/>
    <w:rsid w:val="00541224"/>
    <w:rsid w:val="005412EB"/>
    <w:rsid w:val="00541584"/>
    <w:rsid w:val="0054160F"/>
    <w:rsid w:val="005417E6"/>
    <w:rsid w:val="00541908"/>
    <w:rsid w:val="00541AB0"/>
    <w:rsid w:val="00541AC5"/>
    <w:rsid w:val="00541B01"/>
    <w:rsid w:val="00541C1F"/>
    <w:rsid w:val="00541C97"/>
    <w:rsid w:val="00541DD4"/>
    <w:rsid w:val="00541E19"/>
    <w:rsid w:val="00541F53"/>
    <w:rsid w:val="00542060"/>
    <w:rsid w:val="0054215D"/>
    <w:rsid w:val="005421DC"/>
    <w:rsid w:val="00542209"/>
    <w:rsid w:val="005422AC"/>
    <w:rsid w:val="005424CF"/>
    <w:rsid w:val="005425B1"/>
    <w:rsid w:val="00542606"/>
    <w:rsid w:val="00542682"/>
    <w:rsid w:val="00542779"/>
    <w:rsid w:val="005427A1"/>
    <w:rsid w:val="00542875"/>
    <w:rsid w:val="00542882"/>
    <w:rsid w:val="0054290A"/>
    <w:rsid w:val="005429EA"/>
    <w:rsid w:val="00542A4F"/>
    <w:rsid w:val="00542B67"/>
    <w:rsid w:val="00542D4C"/>
    <w:rsid w:val="00542F34"/>
    <w:rsid w:val="00542F63"/>
    <w:rsid w:val="00543276"/>
    <w:rsid w:val="00543313"/>
    <w:rsid w:val="0054335A"/>
    <w:rsid w:val="005434A3"/>
    <w:rsid w:val="005434D7"/>
    <w:rsid w:val="005435C6"/>
    <w:rsid w:val="005435D8"/>
    <w:rsid w:val="0054375F"/>
    <w:rsid w:val="005437E8"/>
    <w:rsid w:val="00543809"/>
    <w:rsid w:val="005438E7"/>
    <w:rsid w:val="00543966"/>
    <w:rsid w:val="00543978"/>
    <w:rsid w:val="00543A3A"/>
    <w:rsid w:val="00543A8C"/>
    <w:rsid w:val="00543A91"/>
    <w:rsid w:val="00543B46"/>
    <w:rsid w:val="00543BD9"/>
    <w:rsid w:val="00543C04"/>
    <w:rsid w:val="00543CCC"/>
    <w:rsid w:val="00543D6A"/>
    <w:rsid w:val="00543D9F"/>
    <w:rsid w:val="00543DDF"/>
    <w:rsid w:val="00543EF5"/>
    <w:rsid w:val="00543F96"/>
    <w:rsid w:val="0054405D"/>
    <w:rsid w:val="0054421F"/>
    <w:rsid w:val="00544319"/>
    <w:rsid w:val="00544424"/>
    <w:rsid w:val="0054446E"/>
    <w:rsid w:val="0054468E"/>
    <w:rsid w:val="00544709"/>
    <w:rsid w:val="0054484C"/>
    <w:rsid w:val="0054487C"/>
    <w:rsid w:val="005448F5"/>
    <w:rsid w:val="00544958"/>
    <w:rsid w:val="005449A5"/>
    <w:rsid w:val="00544C34"/>
    <w:rsid w:val="00544CC0"/>
    <w:rsid w:val="00544CD4"/>
    <w:rsid w:val="00544E0F"/>
    <w:rsid w:val="00544E26"/>
    <w:rsid w:val="00544E4E"/>
    <w:rsid w:val="00544E52"/>
    <w:rsid w:val="00544EDD"/>
    <w:rsid w:val="00544F1E"/>
    <w:rsid w:val="00544F26"/>
    <w:rsid w:val="00544F2A"/>
    <w:rsid w:val="00545012"/>
    <w:rsid w:val="005450AB"/>
    <w:rsid w:val="005450F8"/>
    <w:rsid w:val="005453C0"/>
    <w:rsid w:val="005455F6"/>
    <w:rsid w:val="005458CB"/>
    <w:rsid w:val="00545928"/>
    <w:rsid w:val="00545BB0"/>
    <w:rsid w:val="00545C05"/>
    <w:rsid w:val="00545EFD"/>
    <w:rsid w:val="00545F30"/>
    <w:rsid w:val="00546075"/>
    <w:rsid w:val="00546291"/>
    <w:rsid w:val="005462D2"/>
    <w:rsid w:val="00546314"/>
    <w:rsid w:val="00546406"/>
    <w:rsid w:val="005464DF"/>
    <w:rsid w:val="0054658C"/>
    <w:rsid w:val="005465F8"/>
    <w:rsid w:val="0054673B"/>
    <w:rsid w:val="00546767"/>
    <w:rsid w:val="0054689A"/>
    <w:rsid w:val="005468F8"/>
    <w:rsid w:val="00546940"/>
    <w:rsid w:val="00546984"/>
    <w:rsid w:val="005469EB"/>
    <w:rsid w:val="00546CC2"/>
    <w:rsid w:val="00546CD1"/>
    <w:rsid w:val="00546CD9"/>
    <w:rsid w:val="00546D11"/>
    <w:rsid w:val="00546DB7"/>
    <w:rsid w:val="0054703E"/>
    <w:rsid w:val="00547072"/>
    <w:rsid w:val="005470B9"/>
    <w:rsid w:val="0054719F"/>
    <w:rsid w:val="0054752A"/>
    <w:rsid w:val="005475F6"/>
    <w:rsid w:val="00547720"/>
    <w:rsid w:val="00547923"/>
    <w:rsid w:val="00547982"/>
    <w:rsid w:val="00547992"/>
    <w:rsid w:val="005479FE"/>
    <w:rsid w:val="00547A99"/>
    <w:rsid w:val="00547ABB"/>
    <w:rsid w:val="00547B0E"/>
    <w:rsid w:val="00547B59"/>
    <w:rsid w:val="00547B5C"/>
    <w:rsid w:val="00547B80"/>
    <w:rsid w:val="00547D4D"/>
    <w:rsid w:val="00547E19"/>
    <w:rsid w:val="00547F39"/>
    <w:rsid w:val="00550044"/>
    <w:rsid w:val="005500A6"/>
    <w:rsid w:val="005501BA"/>
    <w:rsid w:val="005501EF"/>
    <w:rsid w:val="00550206"/>
    <w:rsid w:val="0055029A"/>
    <w:rsid w:val="0055035D"/>
    <w:rsid w:val="005503BF"/>
    <w:rsid w:val="0055042A"/>
    <w:rsid w:val="005505D5"/>
    <w:rsid w:val="005505ED"/>
    <w:rsid w:val="005508BC"/>
    <w:rsid w:val="00550996"/>
    <w:rsid w:val="00550DA7"/>
    <w:rsid w:val="00550E05"/>
    <w:rsid w:val="00550EE2"/>
    <w:rsid w:val="00551304"/>
    <w:rsid w:val="00551423"/>
    <w:rsid w:val="005514E0"/>
    <w:rsid w:val="005515E4"/>
    <w:rsid w:val="00551773"/>
    <w:rsid w:val="00551852"/>
    <w:rsid w:val="005518EC"/>
    <w:rsid w:val="00551CA9"/>
    <w:rsid w:val="00551CEB"/>
    <w:rsid w:val="00551CF0"/>
    <w:rsid w:val="00551D03"/>
    <w:rsid w:val="00551D64"/>
    <w:rsid w:val="00551DA6"/>
    <w:rsid w:val="00551DCC"/>
    <w:rsid w:val="00551F4B"/>
    <w:rsid w:val="00551FF6"/>
    <w:rsid w:val="005521B3"/>
    <w:rsid w:val="00552321"/>
    <w:rsid w:val="005523ED"/>
    <w:rsid w:val="0055242A"/>
    <w:rsid w:val="005525ED"/>
    <w:rsid w:val="00552613"/>
    <w:rsid w:val="00552639"/>
    <w:rsid w:val="00552647"/>
    <w:rsid w:val="00552682"/>
    <w:rsid w:val="00552730"/>
    <w:rsid w:val="00552780"/>
    <w:rsid w:val="0055280E"/>
    <w:rsid w:val="0055291E"/>
    <w:rsid w:val="005529F1"/>
    <w:rsid w:val="00552BC2"/>
    <w:rsid w:val="00552BE3"/>
    <w:rsid w:val="00552D58"/>
    <w:rsid w:val="00552DF6"/>
    <w:rsid w:val="00552E59"/>
    <w:rsid w:val="00552F74"/>
    <w:rsid w:val="0055308D"/>
    <w:rsid w:val="00553280"/>
    <w:rsid w:val="00553297"/>
    <w:rsid w:val="00553306"/>
    <w:rsid w:val="00553311"/>
    <w:rsid w:val="00553344"/>
    <w:rsid w:val="005534B5"/>
    <w:rsid w:val="0055357D"/>
    <w:rsid w:val="00553609"/>
    <w:rsid w:val="00553651"/>
    <w:rsid w:val="005536B1"/>
    <w:rsid w:val="00553893"/>
    <w:rsid w:val="00553903"/>
    <w:rsid w:val="00553A60"/>
    <w:rsid w:val="00553B4B"/>
    <w:rsid w:val="00553BB1"/>
    <w:rsid w:val="00553C87"/>
    <w:rsid w:val="00553CC9"/>
    <w:rsid w:val="00553CE6"/>
    <w:rsid w:val="00553CFA"/>
    <w:rsid w:val="00553D08"/>
    <w:rsid w:val="00553D16"/>
    <w:rsid w:val="00553F2C"/>
    <w:rsid w:val="00553F52"/>
    <w:rsid w:val="005541E3"/>
    <w:rsid w:val="00554210"/>
    <w:rsid w:val="005542F7"/>
    <w:rsid w:val="00554347"/>
    <w:rsid w:val="005544F6"/>
    <w:rsid w:val="0055466B"/>
    <w:rsid w:val="0055466C"/>
    <w:rsid w:val="005546D8"/>
    <w:rsid w:val="0055487F"/>
    <w:rsid w:val="00554935"/>
    <w:rsid w:val="00554A55"/>
    <w:rsid w:val="00554C7F"/>
    <w:rsid w:val="00554D10"/>
    <w:rsid w:val="00554D40"/>
    <w:rsid w:val="00554D7E"/>
    <w:rsid w:val="00554EB9"/>
    <w:rsid w:val="00554F74"/>
    <w:rsid w:val="0055516C"/>
    <w:rsid w:val="00555205"/>
    <w:rsid w:val="00555273"/>
    <w:rsid w:val="0055537B"/>
    <w:rsid w:val="005553D1"/>
    <w:rsid w:val="005554B0"/>
    <w:rsid w:val="0055560A"/>
    <w:rsid w:val="00555720"/>
    <w:rsid w:val="0055577D"/>
    <w:rsid w:val="00555782"/>
    <w:rsid w:val="005559CC"/>
    <w:rsid w:val="00555AA4"/>
    <w:rsid w:val="00555B27"/>
    <w:rsid w:val="00555B62"/>
    <w:rsid w:val="00555B86"/>
    <w:rsid w:val="00555C99"/>
    <w:rsid w:val="0055601C"/>
    <w:rsid w:val="00556179"/>
    <w:rsid w:val="0055621E"/>
    <w:rsid w:val="00556383"/>
    <w:rsid w:val="0055638C"/>
    <w:rsid w:val="005565CE"/>
    <w:rsid w:val="005565D1"/>
    <w:rsid w:val="00556AB3"/>
    <w:rsid w:val="00556C1C"/>
    <w:rsid w:val="00556E7C"/>
    <w:rsid w:val="00556EF6"/>
    <w:rsid w:val="0055700F"/>
    <w:rsid w:val="00557063"/>
    <w:rsid w:val="005570AB"/>
    <w:rsid w:val="005571A7"/>
    <w:rsid w:val="005571FF"/>
    <w:rsid w:val="00557299"/>
    <w:rsid w:val="005572BC"/>
    <w:rsid w:val="005572DE"/>
    <w:rsid w:val="00557320"/>
    <w:rsid w:val="00557332"/>
    <w:rsid w:val="00557393"/>
    <w:rsid w:val="005574EE"/>
    <w:rsid w:val="00557524"/>
    <w:rsid w:val="00557618"/>
    <w:rsid w:val="00557622"/>
    <w:rsid w:val="005576F7"/>
    <w:rsid w:val="00557860"/>
    <w:rsid w:val="00557906"/>
    <w:rsid w:val="005579A0"/>
    <w:rsid w:val="00557BAF"/>
    <w:rsid w:val="00557BDE"/>
    <w:rsid w:val="00557D24"/>
    <w:rsid w:val="00557D74"/>
    <w:rsid w:val="00557DD3"/>
    <w:rsid w:val="00557EA5"/>
    <w:rsid w:val="00557F47"/>
    <w:rsid w:val="00560045"/>
    <w:rsid w:val="00560106"/>
    <w:rsid w:val="00560136"/>
    <w:rsid w:val="0056018E"/>
    <w:rsid w:val="00560194"/>
    <w:rsid w:val="0056019E"/>
    <w:rsid w:val="005601FF"/>
    <w:rsid w:val="00560276"/>
    <w:rsid w:val="0056029E"/>
    <w:rsid w:val="005603DC"/>
    <w:rsid w:val="00560641"/>
    <w:rsid w:val="0056065D"/>
    <w:rsid w:val="00560791"/>
    <w:rsid w:val="0056084D"/>
    <w:rsid w:val="0056098E"/>
    <w:rsid w:val="005609C1"/>
    <w:rsid w:val="00560A5B"/>
    <w:rsid w:val="00560AAF"/>
    <w:rsid w:val="00560ABF"/>
    <w:rsid w:val="00560D7E"/>
    <w:rsid w:val="00560DFC"/>
    <w:rsid w:val="00560F3E"/>
    <w:rsid w:val="00560FAF"/>
    <w:rsid w:val="005610C7"/>
    <w:rsid w:val="0056122D"/>
    <w:rsid w:val="00561274"/>
    <w:rsid w:val="0056129E"/>
    <w:rsid w:val="00561397"/>
    <w:rsid w:val="005614E2"/>
    <w:rsid w:val="0056163B"/>
    <w:rsid w:val="005616B4"/>
    <w:rsid w:val="0056184A"/>
    <w:rsid w:val="00561945"/>
    <w:rsid w:val="00561E2D"/>
    <w:rsid w:val="00561E51"/>
    <w:rsid w:val="00561E61"/>
    <w:rsid w:val="0056204E"/>
    <w:rsid w:val="005620F5"/>
    <w:rsid w:val="0056216E"/>
    <w:rsid w:val="0056223B"/>
    <w:rsid w:val="00562287"/>
    <w:rsid w:val="0056237A"/>
    <w:rsid w:val="005623D5"/>
    <w:rsid w:val="0056248E"/>
    <w:rsid w:val="005625DF"/>
    <w:rsid w:val="0056263E"/>
    <w:rsid w:val="00562668"/>
    <w:rsid w:val="005626FE"/>
    <w:rsid w:val="00562744"/>
    <w:rsid w:val="0056277B"/>
    <w:rsid w:val="0056279C"/>
    <w:rsid w:val="00562862"/>
    <w:rsid w:val="005629DF"/>
    <w:rsid w:val="00562A45"/>
    <w:rsid w:val="00562A96"/>
    <w:rsid w:val="00562AAF"/>
    <w:rsid w:val="00562C05"/>
    <w:rsid w:val="00562C37"/>
    <w:rsid w:val="00562C6E"/>
    <w:rsid w:val="00562C71"/>
    <w:rsid w:val="00562C96"/>
    <w:rsid w:val="00562D7A"/>
    <w:rsid w:val="00562DD2"/>
    <w:rsid w:val="00562DFB"/>
    <w:rsid w:val="00562E2A"/>
    <w:rsid w:val="00562E5A"/>
    <w:rsid w:val="00562EE1"/>
    <w:rsid w:val="0056305F"/>
    <w:rsid w:val="00563117"/>
    <w:rsid w:val="00563161"/>
    <w:rsid w:val="00563164"/>
    <w:rsid w:val="005631E5"/>
    <w:rsid w:val="005632E2"/>
    <w:rsid w:val="0056338C"/>
    <w:rsid w:val="005633AC"/>
    <w:rsid w:val="005633EC"/>
    <w:rsid w:val="00563415"/>
    <w:rsid w:val="005635BC"/>
    <w:rsid w:val="00563602"/>
    <w:rsid w:val="005636D9"/>
    <w:rsid w:val="0056371D"/>
    <w:rsid w:val="005637E8"/>
    <w:rsid w:val="005638D7"/>
    <w:rsid w:val="00563923"/>
    <w:rsid w:val="00563C3C"/>
    <w:rsid w:val="00563C81"/>
    <w:rsid w:val="00563CE1"/>
    <w:rsid w:val="00563CF9"/>
    <w:rsid w:val="00563DEA"/>
    <w:rsid w:val="00563ECF"/>
    <w:rsid w:val="00563EEB"/>
    <w:rsid w:val="00563FB2"/>
    <w:rsid w:val="00563FFB"/>
    <w:rsid w:val="00564256"/>
    <w:rsid w:val="005642B6"/>
    <w:rsid w:val="0056448E"/>
    <w:rsid w:val="005644A8"/>
    <w:rsid w:val="005644D4"/>
    <w:rsid w:val="005644EF"/>
    <w:rsid w:val="00564506"/>
    <w:rsid w:val="005645A9"/>
    <w:rsid w:val="00564613"/>
    <w:rsid w:val="0056468A"/>
    <w:rsid w:val="005646D6"/>
    <w:rsid w:val="00564712"/>
    <w:rsid w:val="005647B1"/>
    <w:rsid w:val="005649BB"/>
    <w:rsid w:val="00564C1D"/>
    <w:rsid w:val="00564C72"/>
    <w:rsid w:val="00564D25"/>
    <w:rsid w:val="00564E47"/>
    <w:rsid w:val="00564EC4"/>
    <w:rsid w:val="00564EF4"/>
    <w:rsid w:val="00564F86"/>
    <w:rsid w:val="00564FA0"/>
    <w:rsid w:val="00564FD3"/>
    <w:rsid w:val="0056520C"/>
    <w:rsid w:val="00565348"/>
    <w:rsid w:val="00565363"/>
    <w:rsid w:val="00565467"/>
    <w:rsid w:val="0056547C"/>
    <w:rsid w:val="0056554C"/>
    <w:rsid w:val="00565567"/>
    <w:rsid w:val="00565B4A"/>
    <w:rsid w:val="00565C99"/>
    <w:rsid w:val="00565C9B"/>
    <w:rsid w:val="00565E86"/>
    <w:rsid w:val="00565EBD"/>
    <w:rsid w:val="0056603C"/>
    <w:rsid w:val="00566072"/>
    <w:rsid w:val="0056619B"/>
    <w:rsid w:val="005661AF"/>
    <w:rsid w:val="005662A0"/>
    <w:rsid w:val="00566305"/>
    <w:rsid w:val="005663DC"/>
    <w:rsid w:val="00566438"/>
    <w:rsid w:val="005664C5"/>
    <w:rsid w:val="005664FE"/>
    <w:rsid w:val="00566507"/>
    <w:rsid w:val="0056657E"/>
    <w:rsid w:val="005665C0"/>
    <w:rsid w:val="0056663A"/>
    <w:rsid w:val="00566684"/>
    <w:rsid w:val="00566988"/>
    <w:rsid w:val="005669F1"/>
    <w:rsid w:val="00566A18"/>
    <w:rsid w:val="00566A82"/>
    <w:rsid w:val="00566B1D"/>
    <w:rsid w:val="00566CA9"/>
    <w:rsid w:val="00566D42"/>
    <w:rsid w:val="00566D8E"/>
    <w:rsid w:val="00566EF0"/>
    <w:rsid w:val="00566F03"/>
    <w:rsid w:val="00566F57"/>
    <w:rsid w:val="00566F82"/>
    <w:rsid w:val="00566FD7"/>
    <w:rsid w:val="005671A6"/>
    <w:rsid w:val="00567275"/>
    <w:rsid w:val="005672D1"/>
    <w:rsid w:val="00567320"/>
    <w:rsid w:val="0056740B"/>
    <w:rsid w:val="005674D6"/>
    <w:rsid w:val="0056754A"/>
    <w:rsid w:val="00567593"/>
    <w:rsid w:val="005676A8"/>
    <w:rsid w:val="005676F6"/>
    <w:rsid w:val="00567763"/>
    <w:rsid w:val="00567885"/>
    <w:rsid w:val="005678A6"/>
    <w:rsid w:val="005679CB"/>
    <w:rsid w:val="00567A84"/>
    <w:rsid w:val="00567ADD"/>
    <w:rsid w:val="00567B3D"/>
    <w:rsid w:val="00567C32"/>
    <w:rsid w:val="00567C93"/>
    <w:rsid w:val="00567D25"/>
    <w:rsid w:val="00567D7C"/>
    <w:rsid w:val="00567EC0"/>
    <w:rsid w:val="00567F08"/>
    <w:rsid w:val="00567F79"/>
    <w:rsid w:val="00567FC9"/>
    <w:rsid w:val="00567FEF"/>
    <w:rsid w:val="0057006A"/>
    <w:rsid w:val="005700D8"/>
    <w:rsid w:val="0057025B"/>
    <w:rsid w:val="005702B9"/>
    <w:rsid w:val="005702CB"/>
    <w:rsid w:val="005702F7"/>
    <w:rsid w:val="00570526"/>
    <w:rsid w:val="00570531"/>
    <w:rsid w:val="005705D5"/>
    <w:rsid w:val="00570668"/>
    <w:rsid w:val="005706CB"/>
    <w:rsid w:val="00570724"/>
    <w:rsid w:val="005707DA"/>
    <w:rsid w:val="00570876"/>
    <w:rsid w:val="0057089A"/>
    <w:rsid w:val="005708C1"/>
    <w:rsid w:val="00570C2A"/>
    <w:rsid w:val="00570EB1"/>
    <w:rsid w:val="00570EEC"/>
    <w:rsid w:val="00570F3F"/>
    <w:rsid w:val="0057106B"/>
    <w:rsid w:val="0057117E"/>
    <w:rsid w:val="00571218"/>
    <w:rsid w:val="005712A1"/>
    <w:rsid w:val="00571439"/>
    <w:rsid w:val="00571447"/>
    <w:rsid w:val="005715D3"/>
    <w:rsid w:val="005718B3"/>
    <w:rsid w:val="005718C5"/>
    <w:rsid w:val="005719A0"/>
    <w:rsid w:val="005719D3"/>
    <w:rsid w:val="005719F4"/>
    <w:rsid w:val="00571B67"/>
    <w:rsid w:val="00571B9C"/>
    <w:rsid w:val="00571BF5"/>
    <w:rsid w:val="00571C01"/>
    <w:rsid w:val="00571C5E"/>
    <w:rsid w:val="00571D53"/>
    <w:rsid w:val="00571DDC"/>
    <w:rsid w:val="00572129"/>
    <w:rsid w:val="00572188"/>
    <w:rsid w:val="005721B6"/>
    <w:rsid w:val="005722DB"/>
    <w:rsid w:val="00572323"/>
    <w:rsid w:val="00572427"/>
    <w:rsid w:val="00572576"/>
    <w:rsid w:val="005725C0"/>
    <w:rsid w:val="005725DB"/>
    <w:rsid w:val="005726F9"/>
    <w:rsid w:val="005728D6"/>
    <w:rsid w:val="00572AF6"/>
    <w:rsid w:val="00572B95"/>
    <w:rsid w:val="00572CA2"/>
    <w:rsid w:val="00572CB0"/>
    <w:rsid w:val="00572D04"/>
    <w:rsid w:val="00572D06"/>
    <w:rsid w:val="00572D37"/>
    <w:rsid w:val="00572EB5"/>
    <w:rsid w:val="005730AC"/>
    <w:rsid w:val="005730DE"/>
    <w:rsid w:val="00573127"/>
    <w:rsid w:val="0057318B"/>
    <w:rsid w:val="005731F5"/>
    <w:rsid w:val="005735F6"/>
    <w:rsid w:val="00573620"/>
    <w:rsid w:val="00573666"/>
    <w:rsid w:val="0057366D"/>
    <w:rsid w:val="00573732"/>
    <w:rsid w:val="00573820"/>
    <w:rsid w:val="0057387E"/>
    <w:rsid w:val="00573A91"/>
    <w:rsid w:val="00573BDA"/>
    <w:rsid w:val="00573C27"/>
    <w:rsid w:val="00573C62"/>
    <w:rsid w:val="00573D9B"/>
    <w:rsid w:val="00573ED6"/>
    <w:rsid w:val="00573F89"/>
    <w:rsid w:val="00574016"/>
    <w:rsid w:val="0057405F"/>
    <w:rsid w:val="00574258"/>
    <w:rsid w:val="005743E5"/>
    <w:rsid w:val="00574465"/>
    <w:rsid w:val="00574478"/>
    <w:rsid w:val="00574532"/>
    <w:rsid w:val="0057462C"/>
    <w:rsid w:val="005746DC"/>
    <w:rsid w:val="005747A5"/>
    <w:rsid w:val="005748B4"/>
    <w:rsid w:val="005748B7"/>
    <w:rsid w:val="005748DB"/>
    <w:rsid w:val="00574950"/>
    <w:rsid w:val="005749BA"/>
    <w:rsid w:val="00574A69"/>
    <w:rsid w:val="00574AFE"/>
    <w:rsid w:val="00574B7C"/>
    <w:rsid w:val="00574C86"/>
    <w:rsid w:val="00574D4E"/>
    <w:rsid w:val="00574D66"/>
    <w:rsid w:val="0057500D"/>
    <w:rsid w:val="005751BE"/>
    <w:rsid w:val="005752B8"/>
    <w:rsid w:val="005754FA"/>
    <w:rsid w:val="00575618"/>
    <w:rsid w:val="00575637"/>
    <w:rsid w:val="00575857"/>
    <w:rsid w:val="005758D9"/>
    <w:rsid w:val="0057596E"/>
    <w:rsid w:val="005759B1"/>
    <w:rsid w:val="00575AEC"/>
    <w:rsid w:val="00575B3F"/>
    <w:rsid w:val="00575BE5"/>
    <w:rsid w:val="00575C17"/>
    <w:rsid w:val="00575E65"/>
    <w:rsid w:val="00575E71"/>
    <w:rsid w:val="00575FA8"/>
    <w:rsid w:val="0057600D"/>
    <w:rsid w:val="00576147"/>
    <w:rsid w:val="005761AC"/>
    <w:rsid w:val="0057637C"/>
    <w:rsid w:val="00576511"/>
    <w:rsid w:val="0057667E"/>
    <w:rsid w:val="0057677C"/>
    <w:rsid w:val="0057682C"/>
    <w:rsid w:val="00576883"/>
    <w:rsid w:val="00576A8D"/>
    <w:rsid w:val="00576ADD"/>
    <w:rsid w:val="00576C49"/>
    <w:rsid w:val="00576CBB"/>
    <w:rsid w:val="00576DF7"/>
    <w:rsid w:val="00576E90"/>
    <w:rsid w:val="00576EB0"/>
    <w:rsid w:val="00576F38"/>
    <w:rsid w:val="005770B0"/>
    <w:rsid w:val="005770E4"/>
    <w:rsid w:val="0057710E"/>
    <w:rsid w:val="005771A0"/>
    <w:rsid w:val="005772E3"/>
    <w:rsid w:val="005773D6"/>
    <w:rsid w:val="0057769C"/>
    <w:rsid w:val="0057772B"/>
    <w:rsid w:val="00577A6D"/>
    <w:rsid w:val="00577B67"/>
    <w:rsid w:val="00577BFE"/>
    <w:rsid w:val="00577C96"/>
    <w:rsid w:val="00577CE4"/>
    <w:rsid w:val="00577DE1"/>
    <w:rsid w:val="00577E02"/>
    <w:rsid w:val="00580085"/>
    <w:rsid w:val="005801B2"/>
    <w:rsid w:val="005801CD"/>
    <w:rsid w:val="00580267"/>
    <w:rsid w:val="00580320"/>
    <w:rsid w:val="0058032D"/>
    <w:rsid w:val="00580354"/>
    <w:rsid w:val="005804E6"/>
    <w:rsid w:val="00580589"/>
    <w:rsid w:val="005806B6"/>
    <w:rsid w:val="005807E1"/>
    <w:rsid w:val="0058088B"/>
    <w:rsid w:val="005808A8"/>
    <w:rsid w:val="0058093F"/>
    <w:rsid w:val="005809FE"/>
    <w:rsid w:val="00580B95"/>
    <w:rsid w:val="00580C21"/>
    <w:rsid w:val="00580C5A"/>
    <w:rsid w:val="00580CEB"/>
    <w:rsid w:val="00580D1B"/>
    <w:rsid w:val="00580D2D"/>
    <w:rsid w:val="00580E88"/>
    <w:rsid w:val="00580EF7"/>
    <w:rsid w:val="00580FD6"/>
    <w:rsid w:val="00581075"/>
    <w:rsid w:val="00581131"/>
    <w:rsid w:val="0058116C"/>
    <w:rsid w:val="005812E2"/>
    <w:rsid w:val="00581320"/>
    <w:rsid w:val="00581339"/>
    <w:rsid w:val="00581421"/>
    <w:rsid w:val="00581476"/>
    <w:rsid w:val="0058188B"/>
    <w:rsid w:val="00581965"/>
    <w:rsid w:val="005819D1"/>
    <w:rsid w:val="00581B4C"/>
    <w:rsid w:val="00581C6D"/>
    <w:rsid w:val="00581DBE"/>
    <w:rsid w:val="00581F4B"/>
    <w:rsid w:val="00581F83"/>
    <w:rsid w:val="00581FDF"/>
    <w:rsid w:val="0058221B"/>
    <w:rsid w:val="005822A0"/>
    <w:rsid w:val="005822DA"/>
    <w:rsid w:val="00582375"/>
    <w:rsid w:val="0058239F"/>
    <w:rsid w:val="00582488"/>
    <w:rsid w:val="0058249F"/>
    <w:rsid w:val="00582771"/>
    <w:rsid w:val="00582786"/>
    <w:rsid w:val="005827F9"/>
    <w:rsid w:val="0058285A"/>
    <w:rsid w:val="00582956"/>
    <w:rsid w:val="0058299A"/>
    <w:rsid w:val="00582A1F"/>
    <w:rsid w:val="00582A3A"/>
    <w:rsid w:val="00582A44"/>
    <w:rsid w:val="00582AC9"/>
    <w:rsid w:val="00582B31"/>
    <w:rsid w:val="00582B9B"/>
    <w:rsid w:val="00582C26"/>
    <w:rsid w:val="00582E44"/>
    <w:rsid w:val="00582E4F"/>
    <w:rsid w:val="00582F73"/>
    <w:rsid w:val="00582F78"/>
    <w:rsid w:val="00582FA4"/>
    <w:rsid w:val="00582FA7"/>
    <w:rsid w:val="0058306B"/>
    <w:rsid w:val="0058309A"/>
    <w:rsid w:val="0058312F"/>
    <w:rsid w:val="005831C6"/>
    <w:rsid w:val="005833A6"/>
    <w:rsid w:val="0058340B"/>
    <w:rsid w:val="005834DB"/>
    <w:rsid w:val="0058380D"/>
    <w:rsid w:val="0058382D"/>
    <w:rsid w:val="005838E7"/>
    <w:rsid w:val="0058390D"/>
    <w:rsid w:val="00583975"/>
    <w:rsid w:val="00583AEA"/>
    <w:rsid w:val="00583B67"/>
    <w:rsid w:val="00583BB3"/>
    <w:rsid w:val="00583BC0"/>
    <w:rsid w:val="00583BD4"/>
    <w:rsid w:val="00583C32"/>
    <w:rsid w:val="00583C8E"/>
    <w:rsid w:val="00583CB9"/>
    <w:rsid w:val="00583CC9"/>
    <w:rsid w:val="00583D0D"/>
    <w:rsid w:val="00583D28"/>
    <w:rsid w:val="00583DD5"/>
    <w:rsid w:val="00584070"/>
    <w:rsid w:val="005840F1"/>
    <w:rsid w:val="0058415E"/>
    <w:rsid w:val="00584200"/>
    <w:rsid w:val="00584246"/>
    <w:rsid w:val="00584283"/>
    <w:rsid w:val="00584322"/>
    <w:rsid w:val="00584332"/>
    <w:rsid w:val="005843BB"/>
    <w:rsid w:val="00584431"/>
    <w:rsid w:val="00584463"/>
    <w:rsid w:val="005844F9"/>
    <w:rsid w:val="00584654"/>
    <w:rsid w:val="005846A5"/>
    <w:rsid w:val="005846D7"/>
    <w:rsid w:val="00584785"/>
    <w:rsid w:val="0058478C"/>
    <w:rsid w:val="00584800"/>
    <w:rsid w:val="005848B1"/>
    <w:rsid w:val="00584AD2"/>
    <w:rsid w:val="00584B80"/>
    <w:rsid w:val="00584BDF"/>
    <w:rsid w:val="00584C16"/>
    <w:rsid w:val="00584C34"/>
    <w:rsid w:val="00584CD4"/>
    <w:rsid w:val="00584D35"/>
    <w:rsid w:val="00584D9B"/>
    <w:rsid w:val="00584FB8"/>
    <w:rsid w:val="00584FFE"/>
    <w:rsid w:val="00584FFF"/>
    <w:rsid w:val="005850AD"/>
    <w:rsid w:val="00585125"/>
    <w:rsid w:val="00585274"/>
    <w:rsid w:val="00585335"/>
    <w:rsid w:val="00585346"/>
    <w:rsid w:val="00585447"/>
    <w:rsid w:val="00585448"/>
    <w:rsid w:val="005854BA"/>
    <w:rsid w:val="00585589"/>
    <w:rsid w:val="0058570A"/>
    <w:rsid w:val="0058575E"/>
    <w:rsid w:val="00585791"/>
    <w:rsid w:val="005857CA"/>
    <w:rsid w:val="005859E8"/>
    <w:rsid w:val="00585C6E"/>
    <w:rsid w:val="00585CA4"/>
    <w:rsid w:val="00585CC6"/>
    <w:rsid w:val="00585CD6"/>
    <w:rsid w:val="00585D35"/>
    <w:rsid w:val="00585E63"/>
    <w:rsid w:val="00585E90"/>
    <w:rsid w:val="00585EA4"/>
    <w:rsid w:val="00585F52"/>
    <w:rsid w:val="00585F59"/>
    <w:rsid w:val="0058600B"/>
    <w:rsid w:val="00586087"/>
    <w:rsid w:val="0058614D"/>
    <w:rsid w:val="0058619F"/>
    <w:rsid w:val="005862D1"/>
    <w:rsid w:val="00586347"/>
    <w:rsid w:val="00586351"/>
    <w:rsid w:val="0058650A"/>
    <w:rsid w:val="00586534"/>
    <w:rsid w:val="0058665F"/>
    <w:rsid w:val="005866AF"/>
    <w:rsid w:val="00586778"/>
    <w:rsid w:val="0058696A"/>
    <w:rsid w:val="005869FA"/>
    <w:rsid w:val="00586A40"/>
    <w:rsid w:val="00586AAB"/>
    <w:rsid w:val="00586B13"/>
    <w:rsid w:val="00586B2F"/>
    <w:rsid w:val="00586B9E"/>
    <w:rsid w:val="00586BB7"/>
    <w:rsid w:val="00586BED"/>
    <w:rsid w:val="00586C93"/>
    <w:rsid w:val="00586CBA"/>
    <w:rsid w:val="00586CE8"/>
    <w:rsid w:val="00586E04"/>
    <w:rsid w:val="00586E62"/>
    <w:rsid w:val="00587067"/>
    <w:rsid w:val="00587276"/>
    <w:rsid w:val="0058730C"/>
    <w:rsid w:val="005873C9"/>
    <w:rsid w:val="0058742C"/>
    <w:rsid w:val="00587559"/>
    <w:rsid w:val="005875D8"/>
    <w:rsid w:val="0058760D"/>
    <w:rsid w:val="005876E5"/>
    <w:rsid w:val="005877A2"/>
    <w:rsid w:val="005877BF"/>
    <w:rsid w:val="005878A5"/>
    <w:rsid w:val="00587923"/>
    <w:rsid w:val="005879BB"/>
    <w:rsid w:val="00587B54"/>
    <w:rsid w:val="00587BEA"/>
    <w:rsid w:val="00587CFE"/>
    <w:rsid w:val="00587F31"/>
    <w:rsid w:val="00587F52"/>
    <w:rsid w:val="00587FA0"/>
    <w:rsid w:val="00590006"/>
    <w:rsid w:val="005900DD"/>
    <w:rsid w:val="00590159"/>
    <w:rsid w:val="00590189"/>
    <w:rsid w:val="00590248"/>
    <w:rsid w:val="00590452"/>
    <w:rsid w:val="005905CC"/>
    <w:rsid w:val="005906B4"/>
    <w:rsid w:val="005906F3"/>
    <w:rsid w:val="0059071E"/>
    <w:rsid w:val="00590755"/>
    <w:rsid w:val="005907BD"/>
    <w:rsid w:val="005908CE"/>
    <w:rsid w:val="00590921"/>
    <w:rsid w:val="00590947"/>
    <w:rsid w:val="00590CC3"/>
    <w:rsid w:val="00590CE1"/>
    <w:rsid w:val="00590E2C"/>
    <w:rsid w:val="00590EB3"/>
    <w:rsid w:val="00590F71"/>
    <w:rsid w:val="0059102F"/>
    <w:rsid w:val="00591032"/>
    <w:rsid w:val="00591643"/>
    <w:rsid w:val="00591669"/>
    <w:rsid w:val="0059169C"/>
    <w:rsid w:val="005916A0"/>
    <w:rsid w:val="00591739"/>
    <w:rsid w:val="005918B4"/>
    <w:rsid w:val="005919F6"/>
    <w:rsid w:val="00591AE4"/>
    <w:rsid w:val="00591B59"/>
    <w:rsid w:val="00591BEB"/>
    <w:rsid w:val="00591C71"/>
    <w:rsid w:val="00591F4A"/>
    <w:rsid w:val="00592059"/>
    <w:rsid w:val="005922BB"/>
    <w:rsid w:val="00592392"/>
    <w:rsid w:val="005923D6"/>
    <w:rsid w:val="00592565"/>
    <w:rsid w:val="00592583"/>
    <w:rsid w:val="005925C5"/>
    <w:rsid w:val="005926E6"/>
    <w:rsid w:val="0059272B"/>
    <w:rsid w:val="00592738"/>
    <w:rsid w:val="005927E4"/>
    <w:rsid w:val="005928ED"/>
    <w:rsid w:val="00592A67"/>
    <w:rsid w:val="00592CE6"/>
    <w:rsid w:val="00592D67"/>
    <w:rsid w:val="00592E5B"/>
    <w:rsid w:val="00592E94"/>
    <w:rsid w:val="0059304A"/>
    <w:rsid w:val="005930AB"/>
    <w:rsid w:val="0059323F"/>
    <w:rsid w:val="005932E4"/>
    <w:rsid w:val="00593392"/>
    <w:rsid w:val="005934CD"/>
    <w:rsid w:val="005934E2"/>
    <w:rsid w:val="00593578"/>
    <w:rsid w:val="00593710"/>
    <w:rsid w:val="00593821"/>
    <w:rsid w:val="00593833"/>
    <w:rsid w:val="00593890"/>
    <w:rsid w:val="005938B2"/>
    <w:rsid w:val="005938CA"/>
    <w:rsid w:val="005938EA"/>
    <w:rsid w:val="0059392D"/>
    <w:rsid w:val="00593954"/>
    <w:rsid w:val="005939FF"/>
    <w:rsid w:val="00593B6D"/>
    <w:rsid w:val="00593DB2"/>
    <w:rsid w:val="00593E2D"/>
    <w:rsid w:val="00593EA0"/>
    <w:rsid w:val="00594056"/>
    <w:rsid w:val="00594166"/>
    <w:rsid w:val="00594233"/>
    <w:rsid w:val="00594284"/>
    <w:rsid w:val="00594373"/>
    <w:rsid w:val="005943A4"/>
    <w:rsid w:val="0059459D"/>
    <w:rsid w:val="0059468F"/>
    <w:rsid w:val="005947EE"/>
    <w:rsid w:val="005948C2"/>
    <w:rsid w:val="00594B41"/>
    <w:rsid w:val="00594C3F"/>
    <w:rsid w:val="00594D63"/>
    <w:rsid w:val="00594E3F"/>
    <w:rsid w:val="00594E40"/>
    <w:rsid w:val="00594F45"/>
    <w:rsid w:val="00594F90"/>
    <w:rsid w:val="00595035"/>
    <w:rsid w:val="005950A5"/>
    <w:rsid w:val="005950B2"/>
    <w:rsid w:val="005951CF"/>
    <w:rsid w:val="0059521F"/>
    <w:rsid w:val="0059529C"/>
    <w:rsid w:val="0059532B"/>
    <w:rsid w:val="0059542C"/>
    <w:rsid w:val="0059542E"/>
    <w:rsid w:val="0059555A"/>
    <w:rsid w:val="005955DA"/>
    <w:rsid w:val="00595625"/>
    <w:rsid w:val="00595700"/>
    <w:rsid w:val="005957A7"/>
    <w:rsid w:val="0059583A"/>
    <w:rsid w:val="005958AA"/>
    <w:rsid w:val="005958BF"/>
    <w:rsid w:val="0059590A"/>
    <w:rsid w:val="0059598B"/>
    <w:rsid w:val="005959F4"/>
    <w:rsid w:val="00595BB5"/>
    <w:rsid w:val="00595C46"/>
    <w:rsid w:val="00595CD6"/>
    <w:rsid w:val="00595D4A"/>
    <w:rsid w:val="00595F42"/>
    <w:rsid w:val="00595FA3"/>
    <w:rsid w:val="00596018"/>
    <w:rsid w:val="00596097"/>
    <w:rsid w:val="00596191"/>
    <w:rsid w:val="005962AA"/>
    <w:rsid w:val="005963FF"/>
    <w:rsid w:val="005964D8"/>
    <w:rsid w:val="005965B5"/>
    <w:rsid w:val="005965F6"/>
    <w:rsid w:val="00596673"/>
    <w:rsid w:val="0059672F"/>
    <w:rsid w:val="005967CE"/>
    <w:rsid w:val="005967F8"/>
    <w:rsid w:val="005968B4"/>
    <w:rsid w:val="005968CF"/>
    <w:rsid w:val="005968E9"/>
    <w:rsid w:val="0059698C"/>
    <w:rsid w:val="005969CA"/>
    <w:rsid w:val="00596A4B"/>
    <w:rsid w:val="00596B47"/>
    <w:rsid w:val="00596BFD"/>
    <w:rsid w:val="00596C44"/>
    <w:rsid w:val="00596C77"/>
    <w:rsid w:val="00596CC5"/>
    <w:rsid w:val="00596E31"/>
    <w:rsid w:val="005970A7"/>
    <w:rsid w:val="00597145"/>
    <w:rsid w:val="00597165"/>
    <w:rsid w:val="005971FE"/>
    <w:rsid w:val="00597233"/>
    <w:rsid w:val="00597264"/>
    <w:rsid w:val="005974A9"/>
    <w:rsid w:val="005974BB"/>
    <w:rsid w:val="00597514"/>
    <w:rsid w:val="00597528"/>
    <w:rsid w:val="00597594"/>
    <w:rsid w:val="005975AB"/>
    <w:rsid w:val="005976B6"/>
    <w:rsid w:val="0059778A"/>
    <w:rsid w:val="0059781F"/>
    <w:rsid w:val="0059791C"/>
    <w:rsid w:val="005979B0"/>
    <w:rsid w:val="00597A6D"/>
    <w:rsid w:val="00597A8F"/>
    <w:rsid w:val="00597C90"/>
    <w:rsid w:val="00597E70"/>
    <w:rsid w:val="00597F28"/>
    <w:rsid w:val="00597F32"/>
    <w:rsid w:val="005A008F"/>
    <w:rsid w:val="005A00C3"/>
    <w:rsid w:val="005A00EA"/>
    <w:rsid w:val="005A01B0"/>
    <w:rsid w:val="005A03B8"/>
    <w:rsid w:val="005A0570"/>
    <w:rsid w:val="005A0613"/>
    <w:rsid w:val="005A07B2"/>
    <w:rsid w:val="005A0863"/>
    <w:rsid w:val="005A0A9B"/>
    <w:rsid w:val="005A0A9D"/>
    <w:rsid w:val="005A0C7A"/>
    <w:rsid w:val="005A0CCC"/>
    <w:rsid w:val="005A0F15"/>
    <w:rsid w:val="005A0F9E"/>
    <w:rsid w:val="005A0FCA"/>
    <w:rsid w:val="005A1169"/>
    <w:rsid w:val="005A11E0"/>
    <w:rsid w:val="005A1470"/>
    <w:rsid w:val="005A1670"/>
    <w:rsid w:val="005A171F"/>
    <w:rsid w:val="005A17F6"/>
    <w:rsid w:val="005A18E0"/>
    <w:rsid w:val="005A1912"/>
    <w:rsid w:val="005A1967"/>
    <w:rsid w:val="005A1B38"/>
    <w:rsid w:val="005A1B6C"/>
    <w:rsid w:val="005A1BCE"/>
    <w:rsid w:val="005A1CE1"/>
    <w:rsid w:val="005A1D6E"/>
    <w:rsid w:val="005A1E5D"/>
    <w:rsid w:val="005A1F02"/>
    <w:rsid w:val="005A2018"/>
    <w:rsid w:val="005A207E"/>
    <w:rsid w:val="005A2190"/>
    <w:rsid w:val="005A21BB"/>
    <w:rsid w:val="005A22C7"/>
    <w:rsid w:val="005A23E1"/>
    <w:rsid w:val="005A23F2"/>
    <w:rsid w:val="005A2473"/>
    <w:rsid w:val="005A2761"/>
    <w:rsid w:val="005A279D"/>
    <w:rsid w:val="005A2845"/>
    <w:rsid w:val="005A28B3"/>
    <w:rsid w:val="005A295D"/>
    <w:rsid w:val="005A2989"/>
    <w:rsid w:val="005A29A8"/>
    <w:rsid w:val="005A29CE"/>
    <w:rsid w:val="005A2A8B"/>
    <w:rsid w:val="005A2A90"/>
    <w:rsid w:val="005A2B06"/>
    <w:rsid w:val="005A2B20"/>
    <w:rsid w:val="005A2BD1"/>
    <w:rsid w:val="005A2CD6"/>
    <w:rsid w:val="005A2E15"/>
    <w:rsid w:val="005A2E60"/>
    <w:rsid w:val="005A2E9C"/>
    <w:rsid w:val="005A2EFB"/>
    <w:rsid w:val="005A3034"/>
    <w:rsid w:val="005A30CB"/>
    <w:rsid w:val="005A3274"/>
    <w:rsid w:val="005A3275"/>
    <w:rsid w:val="005A3419"/>
    <w:rsid w:val="005A3445"/>
    <w:rsid w:val="005A356C"/>
    <w:rsid w:val="005A36C6"/>
    <w:rsid w:val="005A3754"/>
    <w:rsid w:val="005A37B5"/>
    <w:rsid w:val="005A3849"/>
    <w:rsid w:val="005A3A0D"/>
    <w:rsid w:val="005A3A31"/>
    <w:rsid w:val="005A3A77"/>
    <w:rsid w:val="005A3BAF"/>
    <w:rsid w:val="005A3CD8"/>
    <w:rsid w:val="005A3DB3"/>
    <w:rsid w:val="005A4041"/>
    <w:rsid w:val="005A404B"/>
    <w:rsid w:val="005A410E"/>
    <w:rsid w:val="005A41B9"/>
    <w:rsid w:val="005A4226"/>
    <w:rsid w:val="005A4410"/>
    <w:rsid w:val="005A4496"/>
    <w:rsid w:val="005A44FE"/>
    <w:rsid w:val="005A4746"/>
    <w:rsid w:val="005A4827"/>
    <w:rsid w:val="005A49B0"/>
    <w:rsid w:val="005A4A33"/>
    <w:rsid w:val="005A4AA8"/>
    <w:rsid w:val="005A4B41"/>
    <w:rsid w:val="005A4CB2"/>
    <w:rsid w:val="005A4DA0"/>
    <w:rsid w:val="005A4DEB"/>
    <w:rsid w:val="005A4E59"/>
    <w:rsid w:val="005A4F8B"/>
    <w:rsid w:val="005A507E"/>
    <w:rsid w:val="005A5284"/>
    <w:rsid w:val="005A5473"/>
    <w:rsid w:val="005A5511"/>
    <w:rsid w:val="005A5585"/>
    <w:rsid w:val="005A55C7"/>
    <w:rsid w:val="005A55DD"/>
    <w:rsid w:val="005A561B"/>
    <w:rsid w:val="005A5702"/>
    <w:rsid w:val="005A571C"/>
    <w:rsid w:val="005A579E"/>
    <w:rsid w:val="005A586C"/>
    <w:rsid w:val="005A58DB"/>
    <w:rsid w:val="005A5909"/>
    <w:rsid w:val="005A5913"/>
    <w:rsid w:val="005A5946"/>
    <w:rsid w:val="005A59CC"/>
    <w:rsid w:val="005A59D4"/>
    <w:rsid w:val="005A5B4A"/>
    <w:rsid w:val="005A5BF1"/>
    <w:rsid w:val="005A5C4D"/>
    <w:rsid w:val="005A5C9B"/>
    <w:rsid w:val="005A5D48"/>
    <w:rsid w:val="005A5D7C"/>
    <w:rsid w:val="005A5DD0"/>
    <w:rsid w:val="005A5E25"/>
    <w:rsid w:val="005A5FB0"/>
    <w:rsid w:val="005A6107"/>
    <w:rsid w:val="005A646B"/>
    <w:rsid w:val="005A64F9"/>
    <w:rsid w:val="005A65FA"/>
    <w:rsid w:val="005A6624"/>
    <w:rsid w:val="005A6690"/>
    <w:rsid w:val="005A66CD"/>
    <w:rsid w:val="005A673B"/>
    <w:rsid w:val="005A67CE"/>
    <w:rsid w:val="005A69F9"/>
    <w:rsid w:val="005A6BA5"/>
    <w:rsid w:val="005A6CF7"/>
    <w:rsid w:val="005A6DE6"/>
    <w:rsid w:val="005A6DF1"/>
    <w:rsid w:val="005A6E41"/>
    <w:rsid w:val="005A6FE6"/>
    <w:rsid w:val="005A700F"/>
    <w:rsid w:val="005A712D"/>
    <w:rsid w:val="005A71A7"/>
    <w:rsid w:val="005A731A"/>
    <w:rsid w:val="005A7325"/>
    <w:rsid w:val="005A7360"/>
    <w:rsid w:val="005A73ED"/>
    <w:rsid w:val="005A7453"/>
    <w:rsid w:val="005A7488"/>
    <w:rsid w:val="005A7505"/>
    <w:rsid w:val="005A7516"/>
    <w:rsid w:val="005A759D"/>
    <w:rsid w:val="005A75F5"/>
    <w:rsid w:val="005A7901"/>
    <w:rsid w:val="005A793B"/>
    <w:rsid w:val="005A796E"/>
    <w:rsid w:val="005A7A09"/>
    <w:rsid w:val="005A7AB4"/>
    <w:rsid w:val="005A7AF5"/>
    <w:rsid w:val="005A7B5A"/>
    <w:rsid w:val="005A7C41"/>
    <w:rsid w:val="005A7C9F"/>
    <w:rsid w:val="005A7EFB"/>
    <w:rsid w:val="005A7F00"/>
    <w:rsid w:val="005A7FB5"/>
    <w:rsid w:val="005B0082"/>
    <w:rsid w:val="005B011D"/>
    <w:rsid w:val="005B0359"/>
    <w:rsid w:val="005B046D"/>
    <w:rsid w:val="005B05D0"/>
    <w:rsid w:val="005B07BA"/>
    <w:rsid w:val="005B0825"/>
    <w:rsid w:val="005B090D"/>
    <w:rsid w:val="005B0A22"/>
    <w:rsid w:val="005B0AB9"/>
    <w:rsid w:val="005B0ADA"/>
    <w:rsid w:val="005B0AE9"/>
    <w:rsid w:val="005B0BFD"/>
    <w:rsid w:val="005B0CC2"/>
    <w:rsid w:val="005B0D86"/>
    <w:rsid w:val="005B0F01"/>
    <w:rsid w:val="005B1012"/>
    <w:rsid w:val="005B10B3"/>
    <w:rsid w:val="005B128B"/>
    <w:rsid w:val="005B12B8"/>
    <w:rsid w:val="005B12F5"/>
    <w:rsid w:val="005B136A"/>
    <w:rsid w:val="005B13D8"/>
    <w:rsid w:val="005B141A"/>
    <w:rsid w:val="005B151A"/>
    <w:rsid w:val="005B1581"/>
    <w:rsid w:val="005B15C8"/>
    <w:rsid w:val="005B1684"/>
    <w:rsid w:val="005B16C6"/>
    <w:rsid w:val="005B16D5"/>
    <w:rsid w:val="005B18F6"/>
    <w:rsid w:val="005B1926"/>
    <w:rsid w:val="005B199A"/>
    <w:rsid w:val="005B1A0A"/>
    <w:rsid w:val="005B1AEA"/>
    <w:rsid w:val="005B1AFD"/>
    <w:rsid w:val="005B1C43"/>
    <w:rsid w:val="005B1C55"/>
    <w:rsid w:val="005B1DCB"/>
    <w:rsid w:val="005B1E66"/>
    <w:rsid w:val="005B1E70"/>
    <w:rsid w:val="005B1EBB"/>
    <w:rsid w:val="005B1F4E"/>
    <w:rsid w:val="005B1F97"/>
    <w:rsid w:val="005B1FC6"/>
    <w:rsid w:val="005B2055"/>
    <w:rsid w:val="005B206D"/>
    <w:rsid w:val="005B21C1"/>
    <w:rsid w:val="005B245C"/>
    <w:rsid w:val="005B247C"/>
    <w:rsid w:val="005B255D"/>
    <w:rsid w:val="005B2600"/>
    <w:rsid w:val="005B268D"/>
    <w:rsid w:val="005B2697"/>
    <w:rsid w:val="005B26AB"/>
    <w:rsid w:val="005B2709"/>
    <w:rsid w:val="005B2726"/>
    <w:rsid w:val="005B27FF"/>
    <w:rsid w:val="005B2870"/>
    <w:rsid w:val="005B2882"/>
    <w:rsid w:val="005B2A98"/>
    <w:rsid w:val="005B2B1A"/>
    <w:rsid w:val="005B2B58"/>
    <w:rsid w:val="005B2C64"/>
    <w:rsid w:val="005B2E22"/>
    <w:rsid w:val="005B2ED4"/>
    <w:rsid w:val="005B3037"/>
    <w:rsid w:val="005B30AB"/>
    <w:rsid w:val="005B33B3"/>
    <w:rsid w:val="005B35A5"/>
    <w:rsid w:val="005B35F6"/>
    <w:rsid w:val="005B3684"/>
    <w:rsid w:val="005B368B"/>
    <w:rsid w:val="005B36CD"/>
    <w:rsid w:val="005B36D3"/>
    <w:rsid w:val="005B3769"/>
    <w:rsid w:val="005B37B9"/>
    <w:rsid w:val="005B37ED"/>
    <w:rsid w:val="005B38EE"/>
    <w:rsid w:val="005B3984"/>
    <w:rsid w:val="005B39E8"/>
    <w:rsid w:val="005B3AB8"/>
    <w:rsid w:val="005B3AD7"/>
    <w:rsid w:val="005B3ADC"/>
    <w:rsid w:val="005B3BA6"/>
    <w:rsid w:val="005B3BE6"/>
    <w:rsid w:val="005B3C45"/>
    <w:rsid w:val="005B3D59"/>
    <w:rsid w:val="005B3DBC"/>
    <w:rsid w:val="005B3E05"/>
    <w:rsid w:val="005B3EAE"/>
    <w:rsid w:val="005B3F62"/>
    <w:rsid w:val="005B409E"/>
    <w:rsid w:val="005B40CD"/>
    <w:rsid w:val="005B42EA"/>
    <w:rsid w:val="005B4501"/>
    <w:rsid w:val="005B458C"/>
    <w:rsid w:val="005B4600"/>
    <w:rsid w:val="005B465A"/>
    <w:rsid w:val="005B46F1"/>
    <w:rsid w:val="005B4742"/>
    <w:rsid w:val="005B4794"/>
    <w:rsid w:val="005B4883"/>
    <w:rsid w:val="005B4907"/>
    <w:rsid w:val="005B497B"/>
    <w:rsid w:val="005B4A2B"/>
    <w:rsid w:val="005B4A48"/>
    <w:rsid w:val="005B4A85"/>
    <w:rsid w:val="005B4AE5"/>
    <w:rsid w:val="005B4B51"/>
    <w:rsid w:val="005B4B8E"/>
    <w:rsid w:val="005B4EDE"/>
    <w:rsid w:val="005B51E4"/>
    <w:rsid w:val="005B5228"/>
    <w:rsid w:val="005B5263"/>
    <w:rsid w:val="005B52A3"/>
    <w:rsid w:val="005B53D6"/>
    <w:rsid w:val="005B5489"/>
    <w:rsid w:val="005B54E5"/>
    <w:rsid w:val="005B556E"/>
    <w:rsid w:val="005B55D9"/>
    <w:rsid w:val="005B56B3"/>
    <w:rsid w:val="005B5807"/>
    <w:rsid w:val="005B5A8E"/>
    <w:rsid w:val="005B5AA2"/>
    <w:rsid w:val="005B5BB9"/>
    <w:rsid w:val="005B5BEB"/>
    <w:rsid w:val="005B5DE0"/>
    <w:rsid w:val="005B5E2F"/>
    <w:rsid w:val="005B5EF3"/>
    <w:rsid w:val="005B5FCC"/>
    <w:rsid w:val="005B5FF5"/>
    <w:rsid w:val="005B60C2"/>
    <w:rsid w:val="005B61E7"/>
    <w:rsid w:val="005B61FB"/>
    <w:rsid w:val="005B6281"/>
    <w:rsid w:val="005B62FF"/>
    <w:rsid w:val="005B6330"/>
    <w:rsid w:val="005B63FF"/>
    <w:rsid w:val="005B6420"/>
    <w:rsid w:val="005B646F"/>
    <w:rsid w:val="005B652B"/>
    <w:rsid w:val="005B6698"/>
    <w:rsid w:val="005B66D6"/>
    <w:rsid w:val="005B6730"/>
    <w:rsid w:val="005B673B"/>
    <w:rsid w:val="005B67A0"/>
    <w:rsid w:val="005B69BA"/>
    <w:rsid w:val="005B6A6A"/>
    <w:rsid w:val="005B6B2E"/>
    <w:rsid w:val="005B6BAB"/>
    <w:rsid w:val="005B6E3D"/>
    <w:rsid w:val="005B6EFF"/>
    <w:rsid w:val="005B6F65"/>
    <w:rsid w:val="005B7003"/>
    <w:rsid w:val="005B71DA"/>
    <w:rsid w:val="005B72DD"/>
    <w:rsid w:val="005B73C0"/>
    <w:rsid w:val="005B7550"/>
    <w:rsid w:val="005B759F"/>
    <w:rsid w:val="005B7600"/>
    <w:rsid w:val="005B772D"/>
    <w:rsid w:val="005B78E3"/>
    <w:rsid w:val="005B7905"/>
    <w:rsid w:val="005B7994"/>
    <w:rsid w:val="005B7A05"/>
    <w:rsid w:val="005B7A73"/>
    <w:rsid w:val="005B7C3B"/>
    <w:rsid w:val="005B7C64"/>
    <w:rsid w:val="005B7CF4"/>
    <w:rsid w:val="005B7DA0"/>
    <w:rsid w:val="005B7DA2"/>
    <w:rsid w:val="005B7EBB"/>
    <w:rsid w:val="005B7EDF"/>
    <w:rsid w:val="005B7F96"/>
    <w:rsid w:val="005C007D"/>
    <w:rsid w:val="005C0196"/>
    <w:rsid w:val="005C0267"/>
    <w:rsid w:val="005C02C7"/>
    <w:rsid w:val="005C033E"/>
    <w:rsid w:val="005C057D"/>
    <w:rsid w:val="005C0643"/>
    <w:rsid w:val="005C0769"/>
    <w:rsid w:val="005C07CB"/>
    <w:rsid w:val="005C0A87"/>
    <w:rsid w:val="005C0B3F"/>
    <w:rsid w:val="005C0B52"/>
    <w:rsid w:val="005C0F53"/>
    <w:rsid w:val="005C0FA3"/>
    <w:rsid w:val="005C109C"/>
    <w:rsid w:val="005C1255"/>
    <w:rsid w:val="005C1423"/>
    <w:rsid w:val="005C146C"/>
    <w:rsid w:val="005C15AA"/>
    <w:rsid w:val="005C16BF"/>
    <w:rsid w:val="005C1872"/>
    <w:rsid w:val="005C18AF"/>
    <w:rsid w:val="005C1901"/>
    <w:rsid w:val="005C1AD9"/>
    <w:rsid w:val="005C1B03"/>
    <w:rsid w:val="005C1DC6"/>
    <w:rsid w:val="005C1E4A"/>
    <w:rsid w:val="005C1FAC"/>
    <w:rsid w:val="005C20F6"/>
    <w:rsid w:val="005C238A"/>
    <w:rsid w:val="005C242D"/>
    <w:rsid w:val="005C24F2"/>
    <w:rsid w:val="005C2516"/>
    <w:rsid w:val="005C2594"/>
    <w:rsid w:val="005C25BB"/>
    <w:rsid w:val="005C25E6"/>
    <w:rsid w:val="005C25F6"/>
    <w:rsid w:val="005C27AC"/>
    <w:rsid w:val="005C29CF"/>
    <w:rsid w:val="005C2A17"/>
    <w:rsid w:val="005C2A50"/>
    <w:rsid w:val="005C2AA8"/>
    <w:rsid w:val="005C2C2D"/>
    <w:rsid w:val="005C2CA7"/>
    <w:rsid w:val="005C2D45"/>
    <w:rsid w:val="005C3081"/>
    <w:rsid w:val="005C30C3"/>
    <w:rsid w:val="005C30C7"/>
    <w:rsid w:val="005C3120"/>
    <w:rsid w:val="005C316D"/>
    <w:rsid w:val="005C31C3"/>
    <w:rsid w:val="005C352B"/>
    <w:rsid w:val="005C355E"/>
    <w:rsid w:val="005C3589"/>
    <w:rsid w:val="005C3614"/>
    <w:rsid w:val="005C3620"/>
    <w:rsid w:val="005C3728"/>
    <w:rsid w:val="005C3769"/>
    <w:rsid w:val="005C37C6"/>
    <w:rsid w:val="005C37D3"/>
    <w:rsid w:val="005C38D7"/>
    <w:rsid w:val="005C39B2"/>
    <w:rsid w:val="005C39DE"/>
    <w:rsid w:val="005C3A34"/>
    <w:rsid w:val="005C3AD2"/>
    <w:rsid w:val="005C3B7F"/>
    <w:rsid w:val="005C3C5D"/>
    <w:rsid w:val="005C3C95"/>
    <w:rsid w:val="005C3CEF"/>
    <w:rsid w:val="005C3D64"/>
    <w:rsid w:val="005C3EC6"/>
    <w:rsid w:val="005C3F8C"/>
    <w:rsid w:val="005C3FBC"/>
    <w:rsid w:val="005C407B"/>
    <w:rsid w:val="005C41AA"/>
    <w:rsid w:val="005C41FC"/>
    <w:rsid w:val="005C440C"/>
    <w:rsid w:val="005C441C"/>
    <w:rsid w:val="005C4487"/>
    <w:rsid w:val="005C457A"/>
    <w:rsid w:val="005C45EE"/>
    <w:rsid w:val="005C462B"/>
    <w:rsid w:val="005C479E"/>
    <w:rsid w:val="005C4871"/>
    <w:rsid w:val="005C4955"/>
    <w:rsid w:val="005C4ABE"/>
    <w:rsid w:val="005C4C33"/>
    <w:rsid w:val="005C4DDD"/>
    <w:rsid w:val="005C4E26"/>
    <w:rsid w:val="005C4F53"/>
    <w:rsid w:val="005C4F98"/>
    <w:rsid w:val="005C4FA7"/>
    <w:rsid w:val="005C51A7"/>
    <w:rsid w:val="005C5290"/>
    <w:rsid w:val="005C52B4"/>
    <w:rsid w:val="005C52DA"/>
    <w:rsid w:val="005C52F6"/>
    <w:rsid w:val="005C5443"/>
    <w:rsid w:val="005C54E1"/>
    <w:rsid w:val="005C54E7"/>
    <w:rsid w:val="005C54F7"/>
    <w:rsid w:val="005C5518"/>
    <w:rsid w:val="005C55EC"/>
    <w:rsid w:val="005C5624"/>
    <w:rsid w:val="005C5816"/>
    <w:rsid w:val="005C5841"/>
    <w:rsid w:val="005C585C"/>
    <w:rsid w:val="005C58B0"/>
    <w:rsid w:val="005C594E"/>
    <w:rsid w:val="005C599C"/>
    <w:rsid w:val="005C5E4A"/>
    <w:rsid w:val="005C5FEA"/>
    <w:rsid w:val="005C6073"/>
    <w:rsid w:val="005C60A1"/>
    <w:rsid w:val="005C615F"/>
    <w:rsid w:val="005C63C1"/>
    <w:rsid w:val="005C6444"/>
    <w:rsid w:val="005C6550"/>
    <w:rsid w:val="005C655B"/>
    <w:rsid w:val="005C65CB"/>
    <w:rsid w:val="005C65D7"/>
    <w:rsid w:val="005C6636"/>
    <w:rsid w:val="005C66DF"/>
    <w:rsid w:val="005C6786"/>
    <w:rsid w:val="005C679C"/>
    <w:rsid w:val="005C67BC"/>
    <w:rsid w:val="005C6849"/>
    <w:rsid w:val="005C69E1"/>
    <w:rsid w:val="005C6A22"/>
    <w:rsid w:val="005C6B4A"/>
    <w:rsid w:val="005C6BC7"/>
    <w:rsid w:val="005C6C41"/>
    <w:rsid w:val="005C6CFD"/>
    <w:rsid w:val="005C6E86"/>
    <w:rsid w:val="005C7012"/>
    <w:rsid w:val="005C7055"/>
    <w:rsid w:val="005C70D4"/>
    <w:rsid w:val="005C718C"/>
    <w:rsid w:val="005C728A"/>
    <w:rsid w:val="005C731D"/>
    <w:rsid w:val="005C731E"/>
    <w:rsid w:val="005C7426"/>
    <w:rsid w:val="005C74C4"/>
    <w:rsid w:val="005C75F5"/>
    <w:rsid w:val="005C7657"/>
    <w:rsid w:val="005C7711"/>
    <w:rsid w:val="005C7793"/>
    <w:rsid w:val="005C77B3"/>
    <w:rsid w:val="005C783E"/>
    <w:rsid w:val="005C78A2"/>
    <w:rsid w:val="005C7A27"/>
    <w:rsid w:val="005C7A71"/>
    <w:rsid w:val="005C7AD8"/>
    <w:rsid w:val="005C7B40"/>
    <w:rsid w:val="005C7E07"/>
    <w:rsid w:val="005C7E16"/>
    <w:rsid w:val="005C7EC8"/>
    <w:rsid w:val="005C7FBA"/>
    <w:rsid w:val="005D0268"/>
    <w:rsid w:val="005D051C"/>
    <w:rsid w:val="005D063D"/>
    <w:rsid w:val="005D06AA"/>
    <w:rsid w:val="005D0736"/>
    <w:rsid w:val="005D0A4F"/>
    <w:rsid w:val="005D0A75"/>
    <w:rsid w:val="005D0A7F"/>
    <w:rsid w:val="005D0ADF"/>
    <w:rsid w:val="005D0B8D"/>
    <w:rsid w:val="005D0C6D"/>
    <w:rsid w:val="005D0CB3"/>
    <w:rsid w:val="005D0E8A"/>
    <w:rsid w:val="005D0EB8"/>
    <w:rsid w:val="005D0EF4"/>
    <w:rsid w:val="005D0F0F"/>
    <w:rsid w:val="005D110F"/>
    <w:rsid w:val="005D1195"/>
    <w:rsid w:val="005D11B0"/>
    <w:rsid w:val="005D12B9"/>
    <w:rsid w:val="005D12BB"/>
    <w:rsid w:val="005D12BF"/>
    <w:rsid w:val="005D1327"/>
    <w:rsid w:val="005D1405"/>
    <w:rsid w:val="005D1588"/>
    <w:rsid w:val="005D15F9"/>
    <w:rsid w:val="005D160A"/>
    <w:rsid w:val="005D1651"/>
    <w:rsid w:val="005D1858"/>
    <w:rsid w:val="005D1AFC"/>
    <w:rsid w:val="005D1C7C"/>
    <w:rsid w:val="005D1CDA"/>
    <w:rsid w:val="005D1D02"/>
    <w:rsid w:val="005D1DAB"/>
    <w:rsid w:val="005D1E31"/>
    <w:rsid w:val="005D20D7"/>
    <w:rsid w:val="005D21AA"/>
    <w:rsid w:val="005D22A6"/>
    <w:rsid w:val="005D2433"/>
    <w:rsid w:val="005D254A"/>
    <w:rsid w:val="005D2560"/>
    <w:rsid w:val="005D2719"/>
    <w:rsid w:val="005D279F"/>
    <w:rsid w:val="005D28EF"/>
    <w:rsid w:val="005D2960"/>
    <w:rsid w:val="005D29EE"/>
    <w:rsid w:val="005D2A33"/>
    <w:rsid w:val="005D2A46"/>
    <w:rsid w:val="005D2A7C"/>
    <w:rsid w:val="005D2B40"/>
    <w:rsid w:val="005D2B82"/>
    <w:rsid w:val="005D2C9B"/>
    <w:rsid w:val="005D2C9E"/>
    <w:rsid w:val="005D2CEA"/>
    <w:rsid w:val="005D2D56"/>
    <w:rsid w:val="005D2DF7"/>
    <w:rsid w:val="005D2E71"/>
    <w:rsid w:val="005D2E8B"/>
    <w:rsid w:val="005D2EAA"/>
    <w:rsid w:val="005D2ED0"/>
    <w:rsid w:val="005D3050"/>
    <w:rsid w:val="005D30C6"/>
    <w:rsid w:val="005D30E1"/>
    <w:rsid w:val="005D3103"/>
    <w:rsid w:val="005D323B"/>
    <w:rsid w:val="005D323E"/>
    <w:rsid w:val="005D3420"/>
    <w:rsid w:val="005D3499"/>
    <w:rsid w:val="005D356D"/>
    <w:rsid w:val="005D36AC"/>
    <w:rsid w:val="005D3739"/>
    <w:rsid w:val="005D37EB"/>
    <w:rsid w:val="005D3847"/>
    <w:rsid w:val="005D3892"/>
    <w:rsid w:val="005D391D"/>
    <w:rsid w:val="005D39CC"/>
    <w:rsid w:val="005D3A9B"/>
    <w:rsid w:val="005D3AD3"/>
    <w:rsid w:val="005D3B4F"/>
    <w:rsid w:val="005D3B80"/>
    <w:rsid w:val="005D3CD5"/>
    <w:rsid w:val="005D3D5A"/>
    <w:rsid w:val="005D3D6A"/>
    <w:rsid w:val="005D3DD9"/>
    <w:rsid w:val="005D3E31"/>
    <w:rsid w:val="005D3F43"/>
    <w:rsid w:val="005D3F4A"/>
    <w:rsid w:val="005D3FBD"/>
    <w:rsid w:val="005D3FD5"/>
    <w:rsid w:val="005D4145"/>
    <w:rsid w:val="005D41FC"/>
    <w:rsid w:val="005D4243"/>
    <w:rsid w:val="005D43CB"/>
    <w:rsid w:val="005D445B"/>
    <w:rsid w:val="005D452C"/>
    <w:rsid w:val="005D45EE"/>
    <w:rsid w:val="005D461E"/>
    <w:rsid w:val="005D4666"/>
    <w:rsid w:val="005D46A2"/>
    <w:rsid w:val="005D46D0"/>
    <w:rsid w:val="005D46DE"/>
    <w:rsid w:val="005D46F9"/>
    <w:rsid w:val="005D4708"/>
    <w:rsid w:val="005D471A"/>
    <w:rsid w:val="005D472A"/>
    <w:rsid w:val="005D4813"/>
    <w:rsid w:val="005D4880"/>
    <w:rsid w:val="005D493E"/>
    <w:rsid w:val="005D497D"/>
    <w:rsid w:val="005D4BB9"/>
    <w:rsid w:val="005D4BC1"/>
    <w:rsid w:val="005D4C7D"/>
    <w:rsid w:val="005D4D61"/>
    <w:rsid w:val="005D4EC5"/>
    <w:rsid w:val="005D4ED0"/>
    <w:rsid w:val="005D4FD8"/>
    <w:rsid w:val="005D50B5"/>
    <w:rsid w:val="005D50EB"/>
    <w:rsid w:val="005D510C"/>
    <w:rsid w:val="005D51F0"/>
    <w:rsid w:val="005D54D0"/>
    <w:rsid w:val="005D54D9"/>
    <w:rsid w:val="005D569B"/>
    <w:rsid w:val="005D5757"/>
    <w:rsid w:val="005D5808"/>
    <w:rsid w:val="005D582D"/>
    <w:rsid w:val="005D5926"/>
    <w:rsid w:val="005D5A89"/>
    <w:rsid w:val="005D5B23"/>
    <w:rsid w:val="005D5B7C"/>
    <w:rsid w:val="005D5C4D"/>
    <w:rsid w:val="005D5C7D"/>
    <w:rsid w:val="005D5CBA"/>
    <w:rsid w:val="005D5ECE"/>
    <w:rsid w:val="005D5F86"/>
    <w:rsid w:val="005D5F93"/>
    <w:rsid w:val="005D6084"/>
    <w:rsid w:val="005D60CB"/>
    <w:rsid w:val="005D6177"/>
    <w:rsid w:val="005D619C"/>
    <w:rsid w:val="005D621B"/>
    <w:rsid w:val="005D62FD"/>
    <w:rsid w:val="005D6672"/>
    <w:rsid w:val="005D66DB"/>
    <w:rsid w:val="005D6836"/>
    <w:rsid w:val="005D68BD"/>
    <w:rsid w:val="005D696D"/>
    <w:rsid w:val="005D6999"/>
    <w:rsid w:val="005D6A02"/>
    <w:rsid w:val="005D6ACF"/>
    <w:rsid w:val="005D6DBD"/>
    <w:rsid w:val="005D6DE4"/>
    <w:rsid w:val="005D708A"/>
    <w:rsid w:val="005D71B3"/>
    <w:rsid w:val="005D71E6"/>
    <w:rsid w:val="005D71FF"/>
    <w:rsid w:val="005D7200"/>
    <w:rsid w:val="005D7264"/>
    <w:rsid w:val="005D7289"/>
    <w:rsid w:val="005D728C"/>
    <w:rsid w:val="005D729F"/>
    <w:rsid w:val="005D72C1"/>
    <w:rsid w:val="005D74C2"/>
    <w:rsid w:val="005D7512"/>
    <w:rsid w:val="005D75BC"/>
    <w:rsid w:val="005D763B"/>
    <w:rsid w:val="005D76EB"/>
    <w:rsid w:val="005D788A"/>
    <w:rsid w:val="005D7A72"/>
    <w:rsid w:val="005D7ADF"/>
    <w:rsid w:val="005D7BA1"/>
    <w:rsid w:val="005D7BC4"/>
    <w:rsid w:val="005D7C63"/>
    <w:rsid w:val="005D7CED"/>
    <w:rsid w:val="005D7D45"/>
    <w:rsid w:val="005D7DC4"/>
    <w:rsid w:val="005D7EE4"/>
    <w:rsid w:val="005D7F80"/>
    <w:rsid w:val="005E0094"/>
    <w:rsid w:val="005E039D"/>
    <w:rsid w:val="005E0487"/>
    <w:rsid w:val="005E04D2"/>
    <w:rsid w:val="005E0612"/>
    <w:rsid w:val="005E0653"/>
    <w:rsid w:val="005E0875"/>
    <w:rsid w:val="005E09AA"/>
    <w:rsid w:val="005E0C09"/>
    <w:rsid w:val="005E0C32"/>
    <w:rsid w:val="005E0C92"/>
    <w:rsid w:val="005E0CA4"/>
    <w:rsid w:val="005E0CA6"/>
    <w:rsid w:val="005E0D66"/>
    <w:rsid w:val="005E0DE9"/>
    <w:rsid w:val="005E0E2A"/>
    <w:rsid w:val="005E0E69"/>
    <w:rsid w:val="005E0FA0"/>
    <w:rsid w:val="005E1027"/>
    <w:rsid w:val="005E104D"/>
    <w:rsid w:val="005E1102"/>
    <w:rsid w:val="005E113D"/>
    <w:rsid w:val="005E114D"/>
    <w:rsid w:val="005E1199"/>
    <w:rsid w:val="005E1229"/>
    <w:rsid w:val="005E12C4"/>
    <w:rsid w:val="005E1389"/>
    <w:rsid w:val="005E13F7"/>
    <w:rsid w:val="005E141D"/>
    <w:rsid w:val="005E1909"/>
    <w:rsid w:val="005E196D"/>
    <w:rsid w:val="005E19C1"/>
    <w:rsid w:val="005E1A2F"/>
    <w:rsid w:val="005E1B1E"/>
    <w:rsid w:val="005E1B5B"/>
    <w:rsid w:val="005E1BAB"/>
    <w:rsid w:val="005E1C6B"/>
    <w:rsid w:val="005E1DFA"/>
    <w:rsid w:val="005E1EA5"/>
    <w:rsid w:val="005E1EBD"/>
    <w:rsid w:val="005E2003"/>
    <w:rsid w:val="005E203F"/>
    <w:rsid w:val="005E2208"/>
    <w:rsid w:val="005E2314"/>
    <w:rsid w:val="005E231F"/>
    <w:rsid w:val="005E2381"/>
    <w:rsid w:val="005E23B1"/>
    <w:rsid w:val="005E240C"/>
    <w:rsid w:val="005E2480"/>
    <w:rsid w:val="005E24B3"/>
    <w:rsid w:val="005E24D9"/>
    <w:rsid w:val="005E24F6"/>
    <w:rsid w:val="005E24FA"/>
    <w:rsid w:val="005E2520"/>
    <w:rsid w:val="005E2521"/>
    <w:rsid w:val="005E256B"/>
    <w:rsid w:val="005E25A0"/>
    <w:rsid w:val="005E2685"/>
    <w:rsid w:val="005E268E"/>
    <w:rsid w:val="005E2705"/>
    <w:rsid w:val="005E2723"/>
    <w:rsid w:val="005E2735"/>
    <w:rsid w:val="005E2745"/>
    <w:rsid w:val="005E27B8"/>
    <w:rsid w:val="005E27C4"/>
    <w:rsid w:val="005E28F3"/>
    <w:rsid w:val="005E2947"/>
    <w:rsid w:val="005E2A36"/>
    <w:rsid w:val="005E2A65"/>
    <w:rsid w:val="005E2B4F"/>
    <w:rsid w:val="005E2B8B"/>
    <w:rsid w:val="005E2C96"/>
    <w:rsid w:val="005E2CAF"/>
    <w:rsid w:val="005E2D04"/>
    <w:rsid w:val="005E2E1C"/>
    <w:rsid w:val="005E2F0C"/>
    <w:rsid w:val="005E2FA5"/>
    <w:rsid w:val="005E3057"/>
    <w:rsid w:val="005E30CE"/>
    <w:rsid w:val="005E30D2"/>
    <w:rsid w:val="005E3205"/>
    <w:rsid w:val="005E3238"/>
    <w:rsid w:val="005E32B6"/>
    <w:rsid w:val="005E3338"/>
    <w:rsid w:val="005E3384"/>
    <w:rsid w:val="005E339E"/>
    <w:rsid w:val="005E33FC"/>
    <w:rsid w:val="005E355D"/>
    <w:rsid w:val="005E35BF"/>
    <w:rsid w:val="005E36B0"/>
    <w:rsid w:val="005E3761"/>
    <w:rsid w:val="005E3796"/>
    <w:rsid w:val="005E37EF"/>
    <w:rsid w:val="005E3807"/>
    <w:rsid w:val="005E3967"/>
    <w:rsid w:val="005E39F4"/>
    <w:rsid w:val="005E3A92"/>
    <w:rsid w:val="005E3ACD"/>
    <w:rsid w:val="005E3C45"/>
    <w:rsid w:val="005E3D3C"/>
    <w:rsid w:val="005E3D8E"/>
    <w:rsid w:val="005E3EC0"/>
    <w:rsid w:val="005E3EFF"/>
    <w:rsid w:val="005E3F41"/>
    <w:rsid w:val="005E412C"/>
    <w:rsid w:val="005E4343"/>
    <w:rsid w:val="005E4352"/>
    <w:rsid w:val="005E43EC"/>
    <w:rsid w:val="005E443F"/>
    <w:rsid w:val="005E44D4"/>
    <w:rsid w:val="005E4531"/>
    <w:rsid w:val="005E45C6"/>
    <w:rsid w:val="005E46E9"/>
    <w:rsid w:val="005E4765"/>
    <w:rsid w:val="005E4788"/>
    <w:rsid w:val="005E4895"/>
    <w:rsid w:val="005E48BA"/>
    <w:rsid w:val="005E492A"/>
    <w:rsid w:val="005E4B2A"/>
    <w:rsid w:val="005E4C0F"/>
    <w:rsid w:val="005E4CA2"/>
    <w:rsid w:val="005E4D4B"/>
    <w:rsid w:val="005E4D5A"/>
    <w:rsid w:val="005E4D96"/>
    <w:rsid w:val="005E4E2F"/>
    <w:rsid w:val="005E5070"/>
    <w:rsid w:val="005E5142"/>
    <w:rsid w:val="005E51D4"/>
    <w:rsid w:val="005E51E8"/>
    <w:rsid w:val="005E5202"/>
    <w:rsid w:val="005E5480"/>
    <w:rsid w:val="005E5582"/>
    <w:rsid w:val="005E55B7"/>
    <w:rsid w:val="005E56D6"/>
    <w:rsid w:val="005E57CB"/>
    <w:rsid w:val="005E57D2"/>
    <w:rsid w:val="005E5886"/>
    <w:rsid w:val="005E59C4"/>
    <w:rsid w:val="005E5AC1"/>
    <w:rsid w:val="005E5AE6"/>
    <w:rsid w:val="005E5AE8"/>
    <w:rsid w:val="005E5D43"/>
    <w:rsid w:val="005E5EAB"/>
    <w:rsid w:val="005E5ECA"/>
    <w:rsid w:val="005E5ED3"/>
    <w:rsid w:val="005E5F55"/>
    <w:rsid w:val="005E5F9B"/>
    <w:rsid w:val="005E615C"/>
    <w:rsid w:val="005E6475"/>
    <w:rsid w:val="005E6478"/>
    <w:rsid w:val="005E651F"/>
    <w:rsid w:val="005E66A6"/>
    <w:rsid w:val="005E66E9"/>
    <w:rsid w:val="005E66F4"/>
    <w:rsid w:val="005E6959"/>
    <w:rsid w:val="005E6A11"/>
    <w:rsid w:val="005E6AA1"/>
    <w:rsid w:val="005E6B2C"/>
    <w:rsid w:val="005E6B6D"/>
    <w:rsid w:val="005E6C76"/>
    <w:rsid w:val="005E7137"/>
    <w:rsid w:val="005E7234"/>
    <w:rsid w:val="005E7298"/>
    <w:rsid w:val="005E735A"/>
    <w:rsid w:val="005E737B"/>
    <w:rsid w:val="005E7461"/>
    <w:rsid w:val="005E7512"/>
    <w:rsid w:val="005E75D2"/>
    <w:rsid w:val="005E768D"/>
    <w:rsid w:val="005E7693"/>
    <w:rsid w:val="005E7795"/>
    <w:rsid w:val="005E77AA"/>
    <w:rsid w:val="005E77C7"/>
    <w:rsid w:val="005E7802"/>
    <w:rsid w:val="005E78AE"/>
    <w:rsid w:val="005E7A74"/>
    <w:rsid w:val="005E7C8E"/>
    <w:rsid w:val="005E7E1B"/>
    <w:rsid w:val="005E7E42"/>
    <w:rsid w:val="005F0010"/>
    <w:rsid w:val="005F0062"/>
    <w:rsid w:val="005F0182"/>
    <w:rsid w:val="005F02E1"/>
    <w:rsid w:val="005F0449"/>
    <w:rsid w:val="005F04D8"/>
    <w:rsid w:val="005F050C"/>
    <w:rsid w:val="005F053D"/>
    <w:rsid w:val="005F06BA"/>
    <w:rsid w:val="005F0995"/>
    <w:rsid w:val="005F0A49"/>
    <w:rsid w:val="005F0A5A"/>
    <w:rsid w:val="005F0BB3"/>
    <w:rsid w:val="005F0CE6"/>
    <w:rsid w:val="005F0D8D"/>
    <w:rsid w:val="005F0DCA"/>
    <w:rsid w:val="005F0DD7"/>
    <w:rsid w:val="005F0E3D"/>
    <w:rsid w:val="005F0F51"/>
    <w:rsid w:val="005F0FAD"/>
    <w:rsid w:val="005F1009"/>
    <w:rsid w:val="005F1058"/>
    <w:rsid w:val="005F1085"/>
    <w:rsid w:val="005F10FC"/>
    <w:rsid w:val="005F1218"/>
    <w:rsid w:val="005F1328"/>
    <w:rsid w:val="005F1366"/>
    <w:rsid w:val="005F13C1"/>
    <w:rsid w:val="005F1515"/>
    <w:rsid w:val="005F15B8"/>
    <w:rsid w:val="005F162E"/>
    <w:rsid w:val="005F184D"/>
    <w:rsid w:val="005F18A5"/>
    <w:rsid w:val="005F1973"/>
    <w:rsid w:val="005F197E"/>
    <w:rsid w:val="005F19A0"/>
    <w:rsid w:val="005F1A91"/>
    <w:rsid w:val="005F1A96"/>
    <w:rsid w:val="005F1ADE"/>
    <w:rsid w:val="005F1AFD"/>
    <w:rsid w:val="005F1B20"/>
    <w:rsid w:val="005F1D8F"/>
    <w:rsid w:val="005F1D9D"/>
    <w:rsid w:val="005F2030"/>
    <w:rsid w:val="005F2092"/>
    <w:rsid w:val="005F20AF"/>
    <w:rsid w:val="005F20C9"/>
    <w:rsid w:val="005F2139"/>
    <w:rsid w:val="005F2179"/>
    <w:rsid w:val="005F2203"/>
    <w:rsid w:val="005F222E"/>
    <w:rsid w:val="005F2267"/>
    <w:rsid w:val="005F23AB"/>
    <w:rsid w:val="005F23BD"/>
    <w:rsid w:val="005F2473"/>
    <w:rsid w:val="005F24C8"/>
    <w:rsid w:val="005F260D"/>
    <w:rsid w:val="005F26E2"/>
    <w:rsid w:val="005F2803"/>
    <w:rsid w:val="005F28CE"/>
    <w:rsid w:val="005F296A"/>
    <w:rsid w:val="005F2A07"/>
    <w:rsid w:val="005F2ADA"/>
    <w:rsid w:val="005F2B54"/>
    <w:rsid w:val="005F2BD6"/>
    <w:rsid w:val="005F2D5D"/>
    <w:rsid w:val="005F2E03"/>
    <w:rsid w:val="005F2E4F"/>
    <w:rsid w:val="005F2FD0"/>
    <w:rsid w:val="005F307B"/>
    <w:rsid w:val="005F30C7"/>
    <w:rsid w:val="005F310B"/>
    <w:rsid w:val="005F3207"/>
    <w:rsid w:val="005F3277"/>
    <w:rsid w:val="005F3389"/>
    <w:rsid w:val="005F349B"/>
    <w:rsid w:val="005F34FA"/>
    <w:rsid w:val="005F367B"/>
    <w:rsid w:val="005F3693"/>
    <w:rsid w:val="005F36DD"/>
    <w:rsid w:val="005F37C6"/>
    <w:rsid w:val="005F3A4E"/>
    <w:rsid w:val="005F3BE2"/>
    <w:rsid w:val="005F3E49"/>
    <w:rsid w:val="005F3EA6"/>
    <w:rsid w:val="005F4120"/>
    <w:rsid w:val="005F413C"/>
    <w:rsid w:val="005F4144"/>
    <w:rsid w:val="005F41F3"/>
    <w:rsid w:val="005F4205"/>
    <w:rsid w:val="005F4454"/>
    <w:rsid w:val="005F4469"/>
    <w:rsid w:val="005F44C5"/>
    <w:rsid w:val="005F46FA"/>
    <w:rsid w:val="005F4771"/>
    <w:rsid w:val="005F482D"/>
    <w:rsid w:val="005F4888"/>
    <w:rsid w:val="005F4AD2"/>
    <w:rsid w:val="005F4C85"/>
    <w:rsid w:val="005F4CA2"/>
    <w:rsid w:val="005F4D7A"/>
    <w:rsid w:val="005F4D7B"/>
    <w:rsid w:val="005F4DCE"/>
    <w:rsid w:val="005F4ED2"/>
    <w:rsid w:val="005F4F29"/>
    <w:rsid w:val="005F4FA6"/>
    <w:rsid w:val="005F510D"/>
    <w:rsid w:val="005F51B9"/>
    <w:rsid w:val="005F51FB"/>
    <w:rsid w:val="005F52D6"/>
    <w:rsid w:val="005F53FC"/>
    <w:rsid w:val="005F540E"/>
    <w:rsid w:val="005F547F"/>
    <w:rsid w:val="005F5512"/>
    <w:rsid w:val="005F551C"/>
    <w:rsid w:val="005F55E4"/>
    <w:rsid w:val="005F55F2"/>
    <w:rsid w:val="005F5767"/>
    <w:rsid w:val="005F577C"/>
    <w:rsid w:val="005F578E"/>
    <w:rsid w:val="005F58B6"/>
    <w:rsid w:val="005F59FE"/>
    <w:rsid w:val="005F5AA9"/>
    <w:rsid w:val="005F5B25"/>
    <w:rsid w:val="005F5C06"/>
    <w:rsid w:val="005F5CF5"/>
    <w:rsid w:val="005F5D02"/>
    <w:rsid w:val="005F5D73"/>
    <w:rsid w:val="005F5DE5"/>
    <w:rsid w:val="005F5E4C"/>
    <w:rsid w:val="005F5E4F"/>
    <w:rsid w:val="005F5F6F"/>
    <w:rsid w:val="005F6373"/>
    <w:rsid w:val="005F641F"/>
    <w:rsid w:val="005F673E"/>
    <w:rsid w:val="005F67E9"/>
    <w:rsid w:val="005F67EE"/>
    <w:rsid w:val="005F6847"/>
    <w:rsid w:val="005F6974"/>
    <w:rsid w:val="005F6AE7"/>
    <w:rsid w:val="005F6B37"/>
    <w:rsid w:val="005F6BDB"/>
    <w:rsid w:val="005F6BF8"/>
    <w:rsid w:val="005F6CBA"/>
    <w:rsid w:val="005F6D18"/>
    <w:rsid w:val="005F6DD2"/>
    <w:rsid w:val="005F6F6A"/>
    <w:rsid w:val="005F70DA"/>
    <w:rsid w:val="005F7143"/>
    <w:rsid w:val="005F72A3"/>
    <w:rsid w:val="005F72C5"/>
    <w:rsid w:val="005F732E"/>
    <w:rsid w:val="005F74BF"/>
    <w:rsid w:val="005F74D0"/>
    <w:rsid w:val="005F779F"/>
    <w:rsid w:val="005F77F6"/>
    <w:rsid w:val="005F7858"/>
    <w:rsid w:val="005F789E"/>
    <w:rsid w:val="005F79B1"/>
    <w:rsid w:val="005F7A06"/>
    <w:rsid w:val="005F7BA3"/>
    <w:rsid w:val="005F7C4C"/>
    <w:rsid w:val="005F7C7E"/>
    <w:rsid w:val="005F7C83"/>
    <w:rsid w:val="005F7E48"/>
    <w:rsid w:val="005F7F63"/>
    <w:rsid w:val="0060002E"/>
    <w:rsid w:val="0060015D"/>
    <w:rsid w:val="006001B2"/>
    <w:rsid w:val="0060025A"/>
    <w:rsid w:val="0060040E"/>
    <w:rsid w:val="006004C1"/>
    <w:rsid w:val="006006F7"/>
    <w:rsid w:val="00600756"/>
    <w:rsid w:val="0060079E"/>
    <w:rsid w:val="0060085C"/>
    <w:rsid w:val="006008D2"/>
    <w:rsid w:val="0060092B"/>
    <w:rsid w:val="006009E8"/>
    <w:rsid w:val="00600A59"/>
    <w:rsid w:val="00600BDA"/>
    <w:rsid w:val="00600F45"/>
    <w:rsid w:val="00600F4E"/>
    <w:rsid w:val="00601075"/>
    <w:rsid w:val="00601092"/>
    <w:rsid w:val="0060115F"/>
    <w:rsid w:val="006011A6"/>
    <w:rsid w:val="006012AF"/>
    <w:rsid w:val="006014F7"/>
    <w:rsid w:val="006016B2"/>
    <w:rsid w:val="006016B8"/>
    <w:rsid w:val="00601714"/>
    <w:rsid w:val="006017D0"/>
    <w:rsid w:val="0060180C"/>
    <w:rsid w:val="006018BD"/>
    <w:rsid w:val="006018FC"/>
    <w:rsid w:val="00601A03"/>
    <w:rsid w:val="00601A0E"/>
    <w:rsid w:val="00601BB6"/>
    <w:rsid w:val="00601CAB"/>
    <w:rsid w:val="00601EE4"/>
    <w:rsid w:val="00601F00"/>
    <w:rsid w:val="00602012"/>
    <w:rsid w:val="00602070"/>
    <w:rsid w:val="006020CF"/>
    <w:rsid w:val="006023FA"/>
    <w:rsid w:val="0060252F"/>
    <w:rsid w:val="006025C1"/>
    <w:rsid w:val="006026FC"/>
    <w:rsid w:val="00602721"/>
    <w:rsid w:val="00602792"/>
    <w:rsid w:val="00602800"/>
    <w:rsid w:val="0060294F"/>
    <w:rsid w:val="00602A3C"/>
    <w:rsid w:val="00602ACA"/>
    <w:rsid w:val="00602B5D"/>
    <w:rsid w:val="00602BB3"/>
    <w:rsid w:val="00602C7C"/>
    <w:rsid w:val="00602E83"/>
    <w:rsid w:val="00602EB1"/>
    <w:rsid w:val="006030E6"/>
    <w:rsid w:val="006031B1"/>
    <w:rsid w:val="006032F4"/>
    <w:rsid w:val="006033DE"/>
    <w:rsid w:val="0060345C"/>
    <w:rsid w:val="00603478"/>
    <w:rsid w:val="006035FA"/>
    <w:rsid w:val="006037A4"/>
    <w:rsid w:val="00603890"/>
    <w:rsid w:val="00603899"/>
    <w:rsid w:val="006038A6"/>
    <w:rsid w:val="0060397B"/>
    <w:rsid w:val="00603982"/>
    <w:rsid w:val="00603A9A"/>
    <w:rsid w:val="00603ABF"/>
    <w:rsid w:val="00603B35"/>
    <w:rsid w:val="00603BF6"/>
    <w:rsid w:val="00603DF5"/>
    <w:rsid w:val="00603E8F"/>
    <w:rsid w:val="006041BF"/>
    <w:rsid w:val="00604211"/>
    <w:rsid w:val="006042AC"/>
    <w:rsid w:val="0060432A"/>
    <w:rsid w:val="006043F5"/>
    <w:rsid w:val="00604483"/>
    <w:rsid w:val="006044AD"/>
    <w:rsid w:val="006045AF"/>
    <w:rsid w:val="00604606"/>
    <w:rsid w:val="00604610"/>
    <w:rsid w:val="00604637"/>
    <w:rsid w:val="00604716"/>
    <w:rsid w:val="00604795"/>
    <w:rsid w:val="00604A3B"/>
    <w:rsid w:val="00604C74"/>
    <w:rsid w:val="00605078"/>
    <w:rsid w:val="0060515B"/>
    <w:rsid w:val="00605196"/>
    <w:rsid w:val="0060524C"/>
    <w:rsid w:val="006053B5"/>
    <w:rsid w:val="0060544F"/>
    <w:rsid w:val="0060558D"/>
    <w:rsid w:val="0060559B"/>
    <w:rsid w:val="006057FE"/>
    <w:rsid w:val="0060589E"/>
    <w:rsid w:val="0060593B"/>
    <w:rsid w:val="00605B61"/>
    <w:rsid w:val="00605BED"/>
    <w:rsid w:val="00605C67"/>
    <w:rsid w:val="00605C76"/>
    <w:rsid w:val="00605CC3"/>
    <w:rsid w:val="00605D85"/>
    <w:rsid w:val="00605E05"/>
    <w:rsid w:val="00606029"/>
    <w:rsid w:val="00606033"/>
    <w:rsid w:val="00606214"/>
    <w:rsid w:val="006063B8"/>
    <w:rsid w:val="00606416"/>
    <w:rsid w:val="006064DE"/>
    <w:rsid w:val="00606515"/>
    <w:rsid w:val="0060658F"/>
    <w:rsid w:val="006065CF"/>
    <w:rsid w:val="006066F7"/>
    <w:rsid w:val="00606749"/>
    <w:rsid w:val="00606776"/>
    <w:rsid w:val="006067E5"/>
    <w:rsid w:val="006069FE"/>
    <w:rsid w:val="00606A53"/>
    <w:rsid w:val="00606B10"/>
    <w:rsid w:val="00606B24"/>
    <w:rsid w:val="00606C4D"/>
    <w:rsid w:val="00606D02"/>
    <w:rsid w:val="00606D19"/>
    <w:rsid w:val="00606D2C"/>
    <w:rsid w:val="00606D69"/>
    <w:rsid w:val="00606EC2"/>
    <w:rsid w:val="00606F02"/>
    <w:rsid w:val="00606FD2"/>
    <w:rsid w:val="0060729D"/>
    <w:rsid w:val="006072A9"/>
    <w:rsid w:val="00607330"/>
    <w:rsid w:val="00607434"/>
    <w:rsid w:val="006075C3"/>
    <w:rsid w:val="0060761A"/>
    <w:rsid w:val="0060761C"/>
    <w:rsid w:val="00607809"/>
    <w:rsid w:val="0060796D"/>
    <w:rsid w:val="00607A01"/>
    <w:rsid w:val="00607A0B"/>
    <w:rsid w:val="00607A85"/>
    <w:rsid w:val="00607A8C"/>
    <w:rsid w:val="00607AA3"/>
    <w:rsid w:val="00607B8E"/>
    <w:rsid w:val="00607DD5"/>
    <w:rsid w:val="00607E24"/>
    <w:rsid w:val="006100F0"/>
    <w:rsid w:val="006100F8"/>
    <w:rsid w:val="0061015E"/>
    <w:rsid w:val="0061016A"/>
    <w:rsid w:val="00610178"/>
    <w:rsid w:val="00610286"/>
    <w:rsid w:val="0061028A"/>
    <w:rsid w:val="00610320"/>
    <w:rsid w:val="0061034F"/>
    <w:rsid w:val="0061050B"/>
    <w:rsid w:val="00610553"/>
    <w:rsid w:val="00610557"/>
    <w:rsid w:val="0061061F"/>
    <w:rsid w:val="0061072E"/>
    <w:rsid w:val="006107C4"/>
    <w:rsid w:val="006107E3"/>
    <w:rsid w:val="0061080A"/>
    <w:rsid w:val="00610841"/>
    <w:rsid w:val="00610887"/>
    <w:rsid w:val="006108E9"/>
    <w:rsid w:val="006109C8"/>
    <w:rsid w:val="006109DE"/>
    <w:rsid w:val="006109FD"/>
    <w:rsid w:val="00610A3D"/>
    <w:rsid w:val="00610BDF"/>
    <w:rsid w:val="00610C35"/>
    <w:rsid w:val="00610C41"/>
    <w:rsid w:val="00610DCF"/>
    <w:rsid w:val="00610F26"/>
    <w:rsid w:val="0061112E"/>
    <w:rsid w:val="0061120B"/>
    <w:rsid w:val="00611217"/>
    <w:rsid w:val="00611278"/>
    <w:rsid w:val="006112A2"/>
    <w:rsid w:val="006112A4"/>
    <w:rsid w:val="006112D8"/>
    <w:rsid w:val="00611379"/>
    <w:rsid w:val="0061149E"/>
    <w:rsid w:val="0061150D"/>
    <w:rsid w:val="0061156A"/>
    <w:rsid w:val="006115D5"/>
    <w:rsid w:val="006117C6"/>
    <w:rsid w:val="006117CA"/>
    <w:rsid w:val="006119F4"/>
    <w:rsid w:val="00611A78"/>
    <w:rsid w:val="00611B23"/>
    <w:rsid w:val="00611B7E"/>
    <w:rsid w:val="00611C16"/>
    <w:rsid w:val="00611C7F"/>
    <w:rsid w:val="00611D08"/>
    <w:rsid w:val="00611E4B"/>
    <w:rsid w:val="00611F03"/>
    <w:rsid w:val="00612023"/>
    <w:rsid w:val="00612077"/>
    <w:rsid w:val="006120F7"/>
    <w:rsid w:val="0061231E"/>
    <w:rsid w:val="00612362"/>
    <w:rsid w:val="00612546"/>
    <w:rsid w:val="006125D7"/>
    <w:rsid w:val="0061263C"/>
    <w:rsid w:val="006126F4"/>
    <w:rsid w:val="006128E2"/>
    <w:rsid w:val="00612993"/>
    <w:rsid w:val="006129A7"/>
    <w:rsid w:val="00612A2E"/>
    <w:rsid w:val="00612AC6"/>
    <w:rsid w:val="00612AEA"/>
    <w:rsid w:val="00612B15"/>
    <w:rsid w:val="00612B9A"/>
    <w:rsid w:val="00612BF0"/>
    <w:rsid w:val="00612C01"/>
    <w:rsid w:val="00612D07"/>
    <w:rsid w:val="00612FE2"/>
    <w:rsid w:val="00613019"/>
    <w:rsid w:val="0061305D"/>
    <w:rsid w:val="00613193"/>
    <w:rsid w:val="006131CC"/>
    <w:rsid w:val="00613210"/>
    <w:rsid w:val="006132CF"/>
    <w:rsid w:val="006133C0"/>
    <w:rsid w:val="006133D9"/>
    <w:rsid w:val="00613407"/>
    <w:rsid w:val="00613704"/>
    <w:rsid w:val="00613731"/>
    <w:rsid w:val="00613912"/>
    <w:rsid w:val="006139A1"/>
    <w:rsid w:val="006139A2"/>
    <w:rsid w:val="00613AF5"/>
    <w:rsid w:val="00613B5E"/>
    <w:rsid w:val="00613BBD"/>
    <w:rsid w:val="00613D04"/>
    <w:rsid w:val="00613D77"/>
    <w:rsid w:val="00613DD4"/>
    <w:rsid w:val="00614015"/>
    <w:rsid w:val="0061416B"/>
    <w:rsid w:val="0061418A"/>
    <w:rsid w:val="00614259"/>
    <w:rsid w:val="00614327"/>
    <w:rsid w:val="00614343"/>
    <w:rsid w:val="0061436F"/>
    <w:rsid w:val="006145CC"/>
    <w:rsid w:val="00614870"/>
    <w:rsid w:val="00614896"/>
    <w:rsid w:val="0061494F"/>
    <w:rsid w:val="00614996"/>
    <w:rsid w:val="006149B1"/>
    <w:rsid w:val="00614AAA"/>
    <w:rsid w:val="00614B20"/>
    <w:rsid w:val="00614BA2"/>
    <w:rsid w:val="00614C19"/>
    <w:rsid w:val="00614ED8"/>
    <w:rsid w:val="00614EF4"/>
    <w:rsid w:val="00614F6E"/>
    <w:rsid w:val="00614F85"/>
    <w:rsid w:val="00614F8C"/>
    <w:rsid w:val="00614FAA"/>
    <w:rsid w:val="00614FEB"/>
    <w:rsid w:val="00615149"/>
    <w:rsid w:val="00615204"/>
    <w:rsid w:val="00615226"/>
    <w:rsid w:val="0061534A"/>
    <w:rsid w:val="00615367"/>
    <w:rsid w:val="0061539B"/>
    <w:rsid w:val="006153DF"/>
    <w:rsid w:val="0061544C"/>
    <w:rsid w:val="00615493"/>
    <w:rsid w:val="0061550D"/>
    <w:rsid w:val="00615570"/>
    <w:rsid w:val="006156BE"/>
    <w:rsid w:val="00615779"/>
    <w:rsid w:val="0061581B"/>
    <w:rsid w:val="00615823"/>
    <w:rsid w:val="006158CE"/>
    <w:rsid w:val="00615986"/>
    <w:rsid w:val="00615A39"/>
    <w:rsid w:val="00615C4A"/>
    <w:rsid w:val="00615D67"/>
    <w:rsid w:val="00615E97"/>
    <w:rsid w:val="00615FB2"/>
    <w:rsid w:val="00616030"/>
    <w:rsid w:val="0061610F"/>
    <w:rsid w:val="00616179"/>
    <w:rsid w:val="00616261"/>
    <w:rsid w:val="0061626C"/>
    <w:rsid w:val="0061633E"/>
    <w:rsid w:val="00616348"/>
    <w:rsid w:val="00616397"/>
    <w:rsid w:val="00616471"/>
    <w:rsid w:val="00616484"/>
    <w:rsid w:val="00616571"/>
    <w:rsid w:val="006165BD"/>
    <w:rsid w:val="00616636"/>
    <w:rsid w:val="00616639"/>
    <w:rsid w:val="006166C7"/>
    <w:rsid w:val="006168E7"/>
    <w:rsid w:val="00616944"/>
    <w:rsid w:val="006169DA"/>
    <w:rsid w:val="00616A5B"/>
    <w:rsid w:val="00616BF9"/>
    <w:rsid w:val="00616D8B"/>
    <w:rsid w:val="00616DB4"/>
    <w:rsid w:val="00616E62"/>
    <w:rsid w:val="00616F1C"/>
    <w:rsid w:val="00616F36"/>
    <w:rsid w:val="00616FB1"/>
    <w:rsid w:val="006170FE"/>
    <w:rsid w:val="00617200"/>
    <w:rsid w:val="0061733A"/>
    <w:rsid w:val="006178CD"/>
    <w:rsid w:val="0061791D"/>
    <w:rsid w:val="006179A6"/>
    <w:rsid w:val="00617A4D"/>
    <w:rsid w:val="00617BB9"/>
    <w:rsid w:val="00617CED"/>
    <w:rsid w:val="00617CEF"/>
    <w:rsid w:val="00617D3F"/>
    <w:rsid w:val="00617D97"/>
    <w:rsid w:val="00617D9B"/>
    <w:rsid w:val="00617DF5"/>
    <w:rsid w:val="006200C0"/>
    <w:rsid w:val="006200DA"/>
    <w:rsid w:val="00620140"/>
    <w:rsid w:val="00620180"/>
    <w:rsid w:val="00620239"/>
    <w:rsid w:val="00620302"/>
    <w:rsid w:val="006204B8"/>
    <w:rsid w:val="00620550"/>
    <w:rsid w:val="0062066E"/>
    <w:rsid w:val="00620716"/>
    <w:rsid w:val="006207EF"/>
    <w:rsid w:val="00620854"/>
    <w:rsid w:val="006208A4"/>
    <w:rsid w:val="006208B5"/>
    <w:rsid w:val="0062094F"/>
    <w:rsid w:val="00620A2F"/>
    <w:rsid w:val="00620AB3"/>
    <w:rsid w:val="00620AC6"/>
    <w:rsid w:val="00620BED"/>
    <w:rsid w:val="00620EA9"/>
    <w:rsid w:val="00620EED"/>
    <w:rsid w:val="00620FCE"/>
    <w:rsid w:val="006210BE"/>
    <w:rsid w:val="00621144"/>
    <w:rsid w:val="00621460"/>
    <w:rsid w:val="006215AF"/>
    <w:rsid w:val="0062169B"/>
    <w:rsid w:val="006216AB"/>
    <w:rsid w:val="00621991"/>
    <w:rsid w:val="0062199A"/>
    <w:rsid w:val="00621A1B"/>
    <w:rsid w:val="00621AED"/>
    <w:rsid w:val="00621B17"/>
    <w:rsid w:val="00621CDC"/>
    <w:rsid w:val="00621D51"/>
    <w:rsid w:val="00621D76"/>
    <w:rsid w:val="00621E0A"/>
    <w:rsid w:val="00621EFE"/>
    <w:rsid w:val="00621FAA"/>
    <w:rsid w:val="00621FFA"/>
    <w:rsid w:val="0062201E"/>
    <w:rsid w:val="00622170"/>
    <w:rsid w:val="0062228E"/>
    <w:rsid w:val="006222EB"/>
    <w:rsid w:val="00622445"/>
    <w:rsid w:val="006224F6"/>
    <w:rsid w:val="0062254C"/>
    <w:rsid w:val="00622608"/>
    <w:rsid w:val="00622635"/>
    <w:rsid w:val="0062272E"/>
    <w:rsid w:val="00622832"/>
    <w:rsid w:val="00622934"/>
    <w:rsid w:val="006229D0"/>
    <w:rsid w:val="00622B9F"/>
    <w:rsid w:val="00622BAF"/>
    <w:rsid w:val="00622DAF"/>
    <w:rsid w:val="00622E29"/>
    <w:rsid w:val="00622ECB"/>
    <w:rsid w:val="00622EE6"/>
    <w:rsid w:val="00622FC1"/>
    <w:rsid w:val="00623044"/>
    <w:rsid w:val="0062308E"/>
    <w:rsid w:val="006230A1"/>
    <w:rsid w:val="0062319A"/>
    <w:rsid w:val="00623238"/>
    <w:rsid w:val="006234BF"/>
    <w:rsid w:val="006235F8"/>
    <w:rsid w:val="0062361F"/>
    <w:rsid w:val="00623712"/>
    <w:rsid w:val="00623A5C"/>
    <w:rsid w:val="00623A6F"/>
    <w:rsid w:val="00623B4B"/>
    <w:rsid w:val="00623EC1"/>
    <w:rsid w:val="00623F55"/>
    <w:rsid w:val="00623FC2"/>
    <w:rsid w:val="0062405F"/>
    <w:rsid w:val="006242CD"/>
    <w:rsid w:val="00624373"/>
    <w:rsid w:val="0062443F"/>
    <w:rsid w:val="0062460F"/>
    <w:rsid w:val="0062494F"/>
    <w:rsid w:val="00624A41"/>
    <w:rsid w:val="00624B36"/>
    <w:rsid w:val="00624B75"/>
    <w:rsid w:val="00624C72"/>
    <w:rsid w:val="00624C94"/>
    <w:rsid w:val="00624CF6"/>
    <w:rsid w:val="00624D17"/>
    <w:rsid w:val="00624D8C"/>
    <w:rsid w:val="00624DB7"/>
    <w:rsid w:val="00624E11"/>
    <w:rsid w:val="00624EDA"/>
    <w:rsid w:val="00625275"/>
    <w:rsid w:val="006252BE"/>
    <w:rsid w:val="00625595"/>
    <w:rsid w:val="006255A6"/>
    <w:rsid w:val="006255C0"/>
    <w:rsid w:val="0062571F"/>
    <w:rsid w:val="006257C8"/>
    <w:rsid w:val="006257EF"/>
    <w:rsid w:val="0062593D"/>
    <w:rsid w:val="006259AD"/>
    <w:rsid w:val="006259FA"/>
    <w:rsid w:val="00625A2F"/>
    <w:rsid w:val="00625A6F"/>
    <w:rsid w:val="00625D0E"/>
    <w:rsid w:val="00625D3F"/>
    <w:rsid w:val="00625D8D"/>
    <w:rsid w:val="00625DA3"/>
    <w:rsid w:val="00625DF9"/>
    <w:rsid w:val="006262BB"/>
    <w:rsid w:val="00626372"/>
    <w:rsid w:val="00626398"/>
    <w:rsid w:val="00626537"/>
    <w:rsid w:val="006265A8"/>
    <w:rsid w:val="0062664E"/>
    <w:rsid w:val="0062678B"/>
    <w:rsid w:val="00626B65"/>
    <w:rsid w:val="00626C03"/>
    <w:rsid w:val="00626C37"/>
    <w:rsid w:val="00626C5D"/>
    <w:rsid w:val="00626CC5"/>
    <w:rsid w:val="00626D3D"/>
    <w:rsid w:val="00626D92"/>
    <w:rsid w:val="00626E4E"/>
    <w:rsid w:val="00626ED1"/>
    <w:rsid w:val="00626EF8"/>
    <w:rsid w:val="00626FE4"/>
    <w:rsid w:val="00626FFC"/>
    <w:rsid w:val="0062704C"/>
    <w:rsid w:val="0062704F"/>
    <w:rsid w:val="00627066"/>
    <w:rsid w:val="00627081"/>
    <w:rsid w:val="00627206"/>
    <w:rsid w:val="00627301"/>
    <w:rsid w:val="0062730F"/>
    <w:rsid w:val="006275E8"/>
    <w:rsid w:val="0062764A"/>
    <w:rsid w:val="00627651"/>
    <w:rsid w:val="006276B9"/>
    <w:rsid w:val="006277B2"/>
    <w:rsid w:val="006277B8"/>
    <w:rsid w:val="00627880"/>
    <w:rsid w:val="006278E3"/>
    <w:rsid w:val="006278F9"/>
    <w:rsid w:val="00627988"/>
    <w:rsid w:val="00627B20"/>
    <w:rsid w:val="00627BA7"/>
    <w:rsid w:val="00627CEF"/>
    <w:rsid w:val="00627F41"/>
    <w:rsid w:val="00627F5A"/>
    <w:rsid w:val="0062E92D"/>
    <w:rsid w:val="00630136"/>
    <w:rsid w:val="0063027B"/>
    <w:rsid w:val="00630471"/>
    <w:rsid w:val="00630476"/>
    <w:rsid w:val="006304F8"/>
    <w:rsid w:val="0063050A"/>
    <w:rsid w:val="00630551"/>
    <w:rsid w:val="006305B6"/>
    <w:rsid w:val="006305BC"/>
    <w:rsid w:val="006305CE"/>
    <w:rsid w:val="00630605"/>
    <w:rsid w:val="00630852"/>
    <w:rsid w:val="00630942"/>
    <w:rsid w:val="006309B5"/>
    <w:rsid w:val="00630AF2"/>
    <w:rsid w:val="00630AF7"/>
    <w:rsid w:val="00630B14"/>
    <w:rsid w:val="00630B6D"/>
    <w:rsid w:val="00630B7A"/>
    <w:rsid w:val="00630E2B"/>
    <w:rsid w:val="00630FB3"/>
    <w:rsid w:val="00630FB4"/>
    <w:rsid w:val="0063116E"/>
    <w:rsid w:val="006311CB"/>
    <w:rsid w:val="00631218"/>
    <w:rsid w:val="00631219"/>
    <w:rsid w:val="006312BC"/>
    <w:rsid w:val="006313FA"/>
    <w:rsid w:val="00631428"/>
    <w:rsid w:val="00631917"/>
    <w:rsid w:val="00631AEC"/>
    <w:rsid w:val="00631B17"/>
    <w:rsid w:val="00631B30"/>
    <w:rsid w:val="00631BF9"/>
    <w:rsid w:val="00631CF8"/>
    <w:rsid w:val="00631D0B"/>
    <w:rsid w:val="00631D83"/>
    <w:rsid w:val="00631E01"/>
    <w:rsid w:val="00631EEA"/>
    <w:rsid w:val="0063201A"/>
    <w:rsid w:val="0063202D"/>
    <w:rsid w:val="00632059"/>
    <w:rsid w:val="0063208B"/>
    <w:rsid w:val="0063213C"/>
    <w:rsid w:val="006321C7"/>
    <w:rsid w:val="0063262E"/>
    <w:rsid w:val="0063266B"/>
    <w:rsid w:val="00632683"/>
    <w:rsid w:val="006326D0"/>
    <w:rsid w:val="00632754"/>
    <w:rsid w:val="0063289E"/>
    <w:rsid w:val="00632978"/>
    <w:rsid w:val="0063297A"/>
    <w:rsid w:val="006329A9"/>
    <w:rsid w:val="00632A19"/>
    <w:rsid w:val="00632A74"/>
    <w:rsid w:val="00632B9B"/>
    <w:rsid w:val="00632BC6"/>
    <w:rsid w:val="00632C75"/>
    <w:rsid w:val="00632D52"/>
    <w:rsid w:val="00632EC3"/>
    <w:rsid w:val="0063311A"/>
    <w:rsid w:val="006331C8"/>
    <w:rsid w:val="00633266"/>
    <w:rsid w:val="00633277"/>
    <w:rsid w:val="006332E3"/>
    <w:rsid w:val="006332F8"/>
    <w:rsid w:val="006333D3"/>
    <w:rsid w:val="006334EB"/>
    <w:rsid w:val="006334FC"/>
    <w:rsid w:val="0063351C"/>
    <w:rsid w:val="006335C1"/>
    <w:rsid w:val="00633633"/>
    <w:rsid w:val="006336E6"/>
    <w:rsid w:val="006338A0"/>
    <w:rsid w:val="00633919"/>
    <w:rsid w:val="006339A6"/>
    <w:rsid w:val="00633A52"/>
    <w:rsid w:val="00633A6F"/>
    <w:rsid w:val="00633AD5"/>
    <w:rsid w:val="00633B16"/>
    <w:rsid w:val="00633C7B"/>
    <w:rsid w:val="00633D4F"/>
    <w:rsid w:val="00633D83"/>
    <w:rsid w:val="00633D89"/>
    <w:rsid w:val="00633DC6"/>
    <w:rsid w:val="00633DF0"/>
    <w:rsid w:val="00633EE4"/>
    <w:rsid w:val="00633F02"/>
    <w:rsid w:val="00633F87"/>
    <w:rsid w:val="0063401D"/>
    <w:rsid w:val="006340B0"/>
    <w:rsid w:val="0063416D"/>
    <w:rsid w:val="0063419D"/>
    <w:rsid w:val="006341C8"/>
    <w:rsid w:val="006343A7"/>
    <w:rsid w:val="006343E1"/>
    <w:rsid w:val="006346FE"/>
    <w:rsid w:val="00634731"/>
    <w:rsid w:val="00634952"/>
    <w:rsid w:val="006349DB"/>
    <w:rsid w:val="00634B36"/>
    <w:rsid w:val="00634B6A"/>
    <w:rsid w:val="00634B98"/>
    <w:rsid w:val="00634D8F"/>
    <w:rsid w:val="00634EBA"/>
    <w:rsid w:val="00634ED5"/>
    <w:rsid w:val="00635029"/>
    <w:rsid w:val="00635329"/>
    <w:rsid w:val="0063536A"/>
    <w:rsid w:val="006354F9"/>
    <w:rsid w:val="00635510"/>
    <w:rsid w:val="00635575"/>
    <w:rsid w:val="006355E0"/>
    <w:rsid w:val="006356B7"/>
    <w:rsid w:val="0063573E"/>
    <w:rsid w:val="006358C0"/>
    <w:rsid w:val="00635925"/>
    <w:rsid w:val="0063593B"/>
    <w:rsid w:val="006359AB"/>
    <w:rsid w:val="00635A8B"/>
    <w:rsid w:val="00635D02"/>
    <w:rsid w:val="00635D08"/>
    <w:rsid w:val="00635E1F"/>
    <w:rsid w:val="00635ED2"/>
    <w:rsid w:val="00635ED9"/>
    <w:rsid w:val="00635F25"/>
    <w:rsid w:val="00635F44"/>
    <w:rsid w:val="00635F7D"/>
    <w:rsid w:val="00635FB8"/>
    <w:rsid w:val="0063608B"/>
    <w:rsid w:val="00636268"/>
    <w:rsid w:val="00636276"/>
    <w:rsid w:val="00636278"/>
    <w:rsid w:val="0063636A"/>
    <w:rsid w:val="0063636D"/>
    <w:rsid w:val="00636454"/>
    <w:rsid w:val="006364D1"/>
    <w:rsid w:val="00636647"/>
    <w:rsid w:val="00636661"/>
    <w:rsid w:val="00636787"/>
    <w:rsid w:val="0063678D"/>
    <w:rsid w:val="006367B0"/>
    <w:rsid w:val="006367EC"/>
    <w:rsid w:val="00636880"/>
    <w:rsid w:val="00636894"/>
    <w:rsid w:val="006369EF"/>
    <w:rsid w:val="00636C3F"/>
    <w:rsid w:val="00636D47"/>
    <w:rsid w:val="00636D81"/>
    <w:rsid w:val="00636E46"/>
    <w:rsid w:val="00636F30"/>
    <w:rsid w:val="00637050"/>
    <w:rsid w:val="006370AC"/>
    <w:rsid w:val="006370AE"/>
    <w:rsid w:val="0063727F"/>
    <w:rsid w:val="006373D7"/>
    <w:rsid w:val="006373F5"/>
    <w:rsid w:val="0063746A"/>
    <w:rsid w:val="00637497"/>
    <w:rsid w:val="0063762D"/>
    <w:rsid w:val="00637674"/>
    <w:rsid w:val="00637758"/>
    <w:rsid w:val="00637800"/>
    <w:rsid w:val="0063780D"/>
    <w:rsid w:val="006378EB"/>
    <w:rsid w:val="006378F8"/>
    <w:rsid w:val="00637B02"/>
    <w:rsid w:val="00637B91"/>
    <w:rsid w:val="00637B92"/>
    <w:rsid w:val="00637CD7"/>
    <w:rsid w:val="00637D3D"/>
    <w:rsid w:val="00637E5D"/>
    <w:rsid w:val="00637E7E"/>
    <w:rsid w:val="00637FC1"/>
    <w:rsid w:val="00640036"/>
    <w:rsid w:val="006400C6"/>
    <w:rsid w:val="006400E7"/>
    <w:rsid w:val="00640447"/>
    <w:rsid w:val="0064053C"/>
    <w:rsid w:val="00640568"/>
    <w:rsid w:val="00640690"/>
    <w:rsid w:val="00640743"/>
    <w:rsid w:val="0064081E"/>
    <w:rsid w:val="0064097A"/>
    <w:rsid w:val="006409D6"/>
    <w:rsid w:val="006409F2"/>
    <w:rsid w:val="00640A58"/>
    <w:rsid w:val="00640AC2"/>
    <w:rsid w:val="00640E5D"/>
    <w:rsid w:val="00640EA9"/>
    <w:rsid w:val="00640EC9"/>
    <w:rsid w:val="00640F29"/>
    <w:rsid w:val="006411D5"/>
    <w:rsid w:val="006411DB"/>
    <w:rsid w:val="006411EB"/>
    <w:rsid w:val="00641227"/>
    <w:rsid w:val="0064134D"/>
    <w:rsid w:val="006413B7"/>
    <w:rsid w:val="006413C3"/>
    <w:rsid w:val="0064153A"/>
    <w:rsid w:val="006415D2"/>
    <w:rsid w:val="006416AD"/>
    <w:rsid w:val="006416D8"/>
    <w:rsid w:val="00641702"/>
    <w:rsid w:val="0064191A"/>
    <w:rsid w:val="0064192E"/>
    <w:rsid w:val="00641970"/>
    <w:rsid w:val="006419DF"/>
    <w:rsid w:val="00641AF6"/>
    <w:rsid w:val="00641C20"/>
    <w:rsid w:val="00641CC2"/>
    <w:rsid w:val="00641CEC"/>
    <w:rsid w:val="00641D57"/>
    <w:rsid w:val="00641D82"/>
    <w:rsid w:val="00641ECD"/>
    <w:rsid w:val="00641EDD"/>
    <w:rsid w:val="00641FA2"/>
    <w:rsid w:val="00641FB4"/>
    <w:rsid w:val="006420BE"/>
    <w:rsid w:val="006421C7"/>
    <w:rsid w:val="006422FC"/>
    <w:rsid w:val="00642320"/>
    <w:rsid w:val="006423F0"/>
    <w:rsid w:val="006424AA"/>
    <w:rsid w:val="00642886"/>
    <w:rsid w:val="00642A90"/>
    <w:rsid w:val="00642B26"/>
    <w:rsid w:val="00642BA5"/>
    <w:rsid w:val="00642DD9"/>
    <w:rsid w:val="00642DDB"/>
    <w:rsid w:val="00643037"/>
    <w:rsid w:val="00643047"/>
    <w:rsid w:val="0064305E"/>
    <w:rsid w:val="0064319C"/>
    <w:rsid w:val="006431B3"/>
    <w:rsid w:val="006431C2"/>
    <w:rsid w:val="0064333C"/>
    <w:rsid w:val="00643384"/>
    <w:rsid w:val="00643391"/>
    <w:rsid w:val="00643468"/>
    <w:rsid w:val="00643508"/>
    <w:rsid w:val="006435C6"/>
    <w:rsid w:val="00643790"/>
    <w:rsid w:val="0064387A"/>
    <w:rsid w:val="00643B33"/>
    <w:rsid w:val="00643B56"/>
    <w:rsid w:val="00643B70"/>
    <w:rsid w:val="00643BAC"/>
    <w:rsid w:val="00643BC1"/>
    <w:rsid w:val="00643CB2"/>
    <w:rsid w:val="00643CBB"/>
    <w:rsid w:val="00643D76"/>
    <w:rsid w:val="00643DD1"/>
    <w:rsid w:val="00643DEC"/>
    <w:rsid w:val="00643EA0"/>
    <w:rsid w:val="00643EFB"/>
    <w:rsid w:val="00643F5E"/>
    <w:rsid w:val="0064402A"/>
    <w:rsid w:val="0064405E"/>
    <w:rsid w:val="006440DE"/>
    <w:rsid w:val="0064426B"/>
    <w:rsid w:val="006444DC"/>
    <w:rsid w:val="006446DE"/>
    <w:rsid w:val="00644808"/>
    <w:rsid w:val="0064480E"/>
    <w:rsid w:val="00644907"/>
    <w:rsid w:val="00644A77"/>
    <w:rsid w:val="00644ACD"/>
    <w:rsid w:val="00644B1E"/>
    <w:rsid w:val="00644BAC"/>
    <w:rsid w:val="00644BE5"/>
    <w:rsid w:val="00644C2E"/>
    <w:rsid w:val="00644C3C"/>
    <w:rsid w:val="00644CA4"/>
    <w:rsid w:val="00644D46"/>
    <w:rsid w:val="00644E04"/>
    <w:rsid w:val="00644FEF"/>
    <w:rsid w:val="006450CE"/>
    <w:rsid w:val="0064514B"/>
    <w:rsid w:val="00645181"/>
    <w:rsid w:val="006451C1"/>
    <w:rsid w:val="006451F2"/>
    <w:rsid w:val="006452BC"/>
    <w:rsid w:val="0064547A"/>
    <w:rsid w:val="006456AF"/>
    <w:rsid w:val="00645774"/>
    <w:rsid w:val="00645A27"/>
    <w:rsid w:val="00645B51"/>
    <w:rsid w:val="00645D1A"/>
    <w:rsid w:val="00645D91"/>
    <w:rsid w:val="00645DEE"/>
    <w:rsid w:val="00645E42"/>
    <w:rsid w:val="00645F54"/>
    <w:rsid w:val="00646064"/>
    <w:rsid w:val="006461B9"/>
    <w:rsid w:val="0064627F"/>
    <w:rsid w:val="00646295"/>
    <w:rsid w:val="006462D0"/>
    <w:rsid w:val="0064646B"/>
    <w:rsid w:val="00646493"/>
    <w:rsid w:val="00646558"/>
    <w:rsid w:val="00646583"/>
    <w:rsid w:val="00646686"/>
    <w:rsid w:val="00646701"/>
    <w:rsid w:val="006467F9"/>
    <w:rsid w:val="00646909"/>
    <w:rsid w:val="006469E3"/>
    <w:rsid w:val="00646E23"/>
    <w:rsid w:val="00646ED1"/>
    <w:rsid w:val="00647117"/>
    <w:rsid w:val="00647213"/>
    <w:rsid w:val="00647288"/>
    <w:rsid w:val="00647448"/>
    <w:rsid w:val="00647489"/>
    <w:rsid w:val="00647598"/>
    <w:rsid w:val="00647645"/>
    <w:rsid w:val="0064765C"/>
    <w:rsid w:val="006476FB"/>
    <w:rsid w:val="0064778B"/>
    <w:rsid w:val="00647977"/>
    <w:rsid w:val="00647A00"/>
    <w:rsid w:val="00647A54"/>
    <w:rsid w:val="00647B43"/>
    <w:rsid w:val="00647DA1"/>
    <w:rsid w:val="00647E4B"/>
    <w:rsid w:val="00647FCC"/>
    <w:rsid w:val="0065002D"/>
    <w:rsid w:val="006501EE"/>
    <w:rsid w:val="0065027B"/>
    <w:rsid w:val="006502BD"/>
    <w:rsid w:val="00650375"/>
    <w:rsid w:val="006503A2"/>
    <w:rsid w:val="00650461"/>
    <w:rsid w:val="0065056E"/>
    <w:rsid w:val="00650594"/>
    <w:rsid w:val="00650633"/>
    <w:rsid w:val="00650647"/>
    <w:rsid w:val="00650755"/>
    <w:rsid w:val="00650924"/>
    <w:rsid w:val="00650957"/>
    <w:rsid w:val="00650A1E"/>
    <w:rsid w:val="00650A5F"/>
    <w:rsid w:val="00650B37"/>
    <w:rsid w:val="00650E2C"/>
    <w:rsid w:val="00650F01"/>
    <w:rsid w:val="00650F5F"/>
    <w:rsid w:val="00651018"/>
    <w:rsid w:val="0065103F"/>
    <w:rsid w:val="006510DB"/>
    <w:rsid w:val="0065122D"/>
    <w:rsid w:val="00651352"/>
    <w:rsid w:val="006513C1"/>
    <w:rsid w:val="00651400"/>
    <w:rsid w:val="00651493"/>
    <w:rsid w:val="006514E8"/>
    <w:rsid w:val="006514EE"/>
    <w:rsid w:val="00651553"/>
    <w:rsid w:val="00651642"/>
    <w:rsid w:val="006516BB"/>
    <w:rsid w:val="00651711"/>
    <w:rsid w:val="00651784"/>
    <w:rsid w:val="00651789"/>
    <w:rsid w:val="00651915"/>
    <w:rsid w:val="0065198E"/>
    <w:rsid w:val="006519B8"/>
    <w:rsid w:val="006519E8"/>
    <w:rsid w:val="006519F0"/>
    <w:rsid w:val="006519FF"/>
    <w:rsid w:val="00651B16"/>
    <w:rsid w:val="00651B6E"/>
    <w:rsid w:val="00651BB4"/>
    <w:rsid w:val="00651BD3"/>
    <w:rsid w:val="00651BD9"/>
    <w:rsid w:val="00651C33"/>
    <w:rsid w:val="00651C93"/>
    <w:rsid w:val="00651CC1"/>
    <w:rsid w:val="00651CED"/>
    <w:rsid w:val="00651D69"/>
    <w:rsid w:val="00651DB9"/>
    <w:rsid w:val="00651E71"/>
    <w:rsid w:val="00651F89"/>
    <w:rsid w:val="00652083"/>
    <w:rsid w:val="00652088"/>
    <w:rsid w:val="006520E8"/>
    <w:rsid w:val="0065227F"/>
    <w:rsid w:val="00652502"/>
    <w:rsid w:val="00652503"/>
    <w:rsid w:val="0065259B"/>
    <w:rsid w:val="00652735"/>
    <w:rsid w:val="00652786"/>
    <w:rsid w:val="006527BD"/>
    <w:rsid w:val="00652830"/>
    <w:rsid w:val="006528DA"/>
    <w:rsid w:val="006528F5"/>
    <w:rsid w:val="006529B6"/>
    <w:rsid w:val="006529DA"/>
    <w:rsid w:val="00652A59"/>
    <w:rsid w:val="00652B31"/>
    <w:rsid w:val="00652BE1"/>
    <w:rsid w:val="00652C7F"/>
    <w:rsid w:val="00652D77"/>
    <w:rsid w:val="00652E34"/>
    <w:rsid w:val="00652F5F"/>
    <w:rsid w:val="00652FE2"/>
    <w:rsid w:val="006530AB"/>
    <w:rsid w:val="0065321E"/>
    <w:rsid w:val="006532ED"/>
    <w:rsid w:val="0065331E"/>
    <w:rsid w:val="00653361"/>
    <w:rsid w:val="006535C9"/>
    <w:rsid w:val="006535DD"/>
    <w:rsid w:val="0065364C"/>
    <w:rsid w:val="006537EC"/>
    <w:rsid w:val="00653852"/>
    <w:rsid w:val="00653894"/>
    <w:rsid w:val="006538CB"/>
    <w:rsid w:val="00653914"/>
    <w:rsid w:val="006539E2"/>
    <w:rsid w:val="00653A7C"/>
    <w:rsid w:val="00653ADE"/>
    <w:rsid w:val="00653B0C"/>
    <w:rsid w:val="00653B1C"/>
    <w:rsid w:val="00653BF2"/>
    <w:rsid w:val="00653C90"/>
    <w:rsid w:val="00653D00"/>
    <w:rsid w:val="00653DD2"/>
    <w:rsid w:val="00653DDC"/>
    <w:rsid w:val="00653F88"/>
    <w:rsid w:val="00654064"/>
    <w:rsid w:val="00654159"/>
    <w:rsid w:val="006541C9"/>
    <w:rsid w:val="0065429E"/>
    <w:rsid w:val="00654340"/>
    <w:rsid w:val="0065439F"/>
    <w:rsid w:val="006543EF"/>
    <w:rsid w:val="0065454B"/>
    <w:rsid w:val="006545F7"/>
    <w:rsid w:val="006546FC"/>
    <w:rsid w:val="00654744"/>
    <w:rsid w:val="00654783"/>
    <w:rsid w:val="006548ED"/>
    <w:rsid w:val="00654904"/>
    <w:rsid w:val="006549EA"/>
    <w:rsid w:val="00654A09"/>
    <w:rsid w:val="00654BD1"/>
    <w:rsid w:val="00654D44"/>
    <w:rsid w:val="00654DAD"/>
    <w:rsid w:val="00654E83"/>
    <w:rsid w:val="00654EC2"/>
    <w:rsid w:val="00654EDA"/>
    <w:rsid w:val="00654F02"/>
    <w:rsid w:val="00654F8D"/>
    <w:rsid w:val="0065500B"/>
    <w:rsid w:val="00655090"/>
    <w:rsid w:val="006550C4"/>
    <w:rsid w:val="006550F4"/>
    <w:rsid w:val="0065510E"/>
    <w:rsid w:val="00655117"/>
    <w:rsid w:val="00655385"/>
    <w:rsid w:val="00655467"/>
    <w:rsid w:val="00655598"/>
    <w:rsid w:val="006555B7"/>
    <w:rsid w:val="00655661"/>
    <w:rsid w:val="006556E8"/>
    <w:rsid w:val="006556F8"/>
    <w:rsid w:val="0065573E"/>
    <w:rsid w:val="0065578B"/>
    <w:rsid w:val="006557AD"/>
    <w:rsid w:val="00655876"/>
    <w:rsid w:val="006558C6"/>
    <w:rsid w:val="00655989"/>
    <w:rsid w:val="006559A5"/>
    <w:rsid w:val="006559C7"/>
    <w:rsid w:val="00655A16"/>
    <w:rsid w:val="00655AB6"/>
    <w:rsid w:val="00655AD0"/>
    <w:rsid w:val="00655AFD"/>
    <w:rsid w:val="00655B0D"/>
    <w:rsid w:val="00655B62"/>
    <w:rsid w:val="00655BB1"/>
    <w:rsid w:val="00655C8E"/>
    <w:rsid w:val="00655CFE"/>
    <w:rsid w:val="00655F0C"/>
    <w:rsid w:val="00655F1F"/>
    <w:rsid w:val="006560CA"/>
    <w:rsid w:val="00656148"/>
    <w:rsid w:val="00656289"/>
    <w:rsid w:val="006562C4"/>
    <w:rsid w:val="0065633F"/>
    <w:rsid w:val="00656355"/>
    <w:rsid w:val="0065650D"/>
    <w:rsid w:val="0065662D"/>
    <w:rsid w:val="006567D6"/>
    <w:rsid w:val="006567E1"/>
    <w:rsid w:val="00656800"/>
    <w:rsid w:val="0065683B"/>
    <w:rsid w:val="00656862"/>
    <w:rsid w:val="006568EA"/>
    <w:rsid w:val="00656958"/>
    <w:rsid w:val="00656CC9"/>
    <w:rsid w:val="00656E89"/>
    <w:rsid w:val="00656F0F"/>
    <w:rsid w:val="00656F41"/>
    <w:rsid w:val="00656FF7"/>
    <w:rsid w:val="00657068"/>
    <w:rsid w:val="006571F2"/>
    <w:rsid w:val="0065727D"/>
    <w:rsid w:val="0065738D"/>
    <w:rsid w:val="006573BA"/>
    <w:rsid w:val="00657433"/>
    <w:rsid w:val="0065746C"/>
    <w:rsid w:val="00657579"/>
    <w:rsid w:val="006576A5"/>
    <w:rsid w:val="006576DD"/>
    <w:rsid w:val="006576DE"/>
    <w:rsid w:val="00657733"/>
    <w:rsid w:val="00657864"/>
    <w:rsid w:val="00657866"/>
    <w:rsid w:val="006578B6"/>
    <w:rsid w:val="006578FC"/>
    <w:rsid w:val="00657911"/>
    <w:rsid w:val="006579AB"/>
    <w:rsid w:val="006579B1"/>
    <w:rsid w:val="00657A3C"/>
    <w:rsid w:val="00657A3D"/>
    <w:rsid w:val="00657AA3"/>
    <w:rsid w:val="00657AD1"/>
    <w:rsid w:val="00657C2A"/>
    <w:rsid w:val="00657D75"/>
    <w:rsid w:val="00657DB5"/>
    <w:rsid w:val="0066001C"/>
    <w:rsid w:val="006600F9"/>
    <w:rsid w:val="00660151"/>
    <w:rsid w:val="00660367"/>
    <w:rsid w:val="00660590"/>
    <w:rsid w:val="0066086B"/>
    <w:rsid w:val="00660A41"/>
    <w:rsid w:val="00660A5B"/>
    <w:rsid w:val="00660B0C"/>
    <w:rsid w:val="00660B35"/>
    <w:rsid w:val="00660C3C"/>
    <w:rsid w:val="00660E3D"/>
    <w:rsid w:val="00660E78"/>
    <w:rsid w:val="00660ED9"/>
    <w:rsid w:val="00660F1D"/>
    <w:rsid w:val="00660F5E"/>
    <w:rsid w:val="00660F75"/>
    <w:rsid w:val="00660F9B"/>
    <w:rsid w:val="0066116A"/>
    <w:rsid w:val="0066117C"/>
    <w:rsid w:val="006611CA"/>
    <w:rsid w:val="0066138F"/>
    <w:rsid w:val="006614BF"/>
    <w:rsid w:val="006614C8"/>
    <w:rsid w:val="00661524"/>
    <w:rsid w:val="00661536"/>
    <w:rsid w:val="0066154E"/>
    <w:rsid w:val="006615B3"/>
    <w:rsid w:val="006615CC"/>
    <w:rsid w:val="00661681"/>
    <w:rsid w:val="006616C1"/>
    <w:rsid w:val="00661767"/>
    <w:rsid w:val="00661894"/>
    <w:rsid w:val="0066195C"/>
    <w:rsid w:val="006619B0"/>
    <w:rsid w:val="00661BC4"/>
    <w:rsid w:val="00661C70"/>
    <w:rsid w:val="00661C96"/>
    <w:rsid w:val="00661CD0"/>
    <w:rsid w:val="00661E03"/>
    <w:rsid w:val="00661E22"/>
    <w:rsid w:val="00661E62"/>
    <w:rsid w:val="00661E80"/>
    <w:rsid w:val="00661EED"/>
    <w:rsid w:val="006620FE"/>
    <w:rsid w:val="006621A9"/>
    <w:rsid w:val="006622B5"/>
    <w:rsid w:val="006622D4"/>
    <w:rsid w:val="0066236F"/>
    <w:rsid w:val="0066243E"/>
    <w:rsid w:val="006625DF"/>
    <w:rsid w:val="00662655"/>
    <w:rsid w:val="0066279A"/>
    <w:rsid w:val="006627EF"/>
    <w:rsid w:val="006628B1"/>
    <w:rsid w:val="006629A0"/>
    <w:rsid w:val="00662B68"/>
    <w:rsid w:val="00662B8D"/>
    <w:rsid w:val="00662B91"/>
    <w:rsid w:val="00662B97"/>
    <w:rsid w:val="00662C3D"/>
    <w:rsid w:val="00662C72"/>
    <w:rsid w:val="00662CCF"/>
    <w:rsid w:val="00662E41"/>
    <w:rsid w:val="00662FAB"/>
    <w:rsid w:val="00663007"/>
    <w:rsid w:val="00663087"/>
    <w:rsid w:val="0066312E"/>
    <w:rsid w:val="006631B6"/>
    <w:rsid w:val="006632CB"/>
    <w:rsid w:val="006632F9"/>
    <w:rsid w:val="0066337F"/>
    <w:rsid w:val="0066344F"/>
    <w:rsid w:val="006634DA"/>
    <w:rsid w:val="0066352B"/>
    <w:rsid w:val="00663547"/>
    <w:rsid w:val="006635B8"/>
    <w:rsid w:val="00663D07"/>
    <w:rsid w:val="00663DFE"/>
    <w:rsid w:val="00663E36"/>
    <w:rsid w:val="00663F52"/>
    <w:rsid w:val="00664031"/>
    <w:rsid w:val="00664125"/>
    <w:rsid w:val="0066413D"/>
    <w:rsid w:val="00664143"/>
    <w:rsid w:val="00664160"/>
    <w:rsid w:val="00664202"/>
    <w:rsid w:val="006642C2"/>
    <w:rsid w:val="006642EE"/>
    <w:rsid w:val="00664371"/>
    <w:rsid w:val="00664377"/>
    <w:rsid w:val="006644A4"/>
    <w:rsid w:val="006646F0"/>
    <w:rsid w:val="006647C6"/>
    <w:rsid w:val="00664962"/>
    <w:rsid w:val="00664977"/>
    <w:rsid w:val="006649D7"/>
    <w:rsid w:val="00664A4A"/>
    <w:rsid w:val="00664ACD"/>
    <w:rsid w:val="00664ADA"/>
    <w:rsid w:val="00664EEE"/>
    <w:rsid w:val="006650A7"/>
    <w:rsid w:val="00665163"/>
    <w:rsid w:val="00665254"/>
    <w:rsid w:val="006652E5"/>
    <w:rsid w:val="006652EE"/>
    <w:rsid w:val="00665470"/>
    <w:rsid w:val="006654C3"/>
    <w:rsid w:val="00665579"/>
    <w:rsid w:val="00665585"/>
    <w:rsid w:val="00665644"/>
    <w:rsid w:val="0066565C"/>
    <w:rsid w:val="006656DE"/>
    <w:rsid w:val="006657A7"/>
    <w:rsid w:val="00665985"/>
    <w:rsid w:val="00665A2F"/>
    <w:rsid w:val="00665C1B"/>
    <w:rsid w:val="00665C38"/>
    <w:rsid w:val="00665CEA"/>
    <w:rsid w:val="00665D13"/>
    <w:rsid w:val="00665E10"/>
    <w:rsid w:val="00665E6A"/>
    <w:rsid w:val="00665F18"/>
    <w:rsid w:val="00665FB2"/>
    <w:rsid w:val="0066605A"/>
    <w:rsid w:val="006660B3"/>
    <w:rsid w:val="00666233"/>
    <w:rsid w:val="006662FE"/>
    <w:rsid w:val="00666489"/>
    <w:rsid w:val="006664D7"/>
    <w:rsid w:val="006665C8"/>
    <w:rsid w:val="00666838"/>
    <w:rsid w:val="006668F2"/>
    <w:rsid w:val="006668F7"/>
    <w:rsid w:val="00666930"/>
    <w:rsid w:val="00666932"/>
    <w:rsid w:val="00666A22"/>
    <w:rsid w:val="00666A4E"/>
    <w:rsid w:val="00666A91"/>
    <w:rsid w:val="00666C38"/>
    <w:rsid w:val="00666E0B"/>
    <w:rsid w:val="00666EDD"/>
    <w:rsid w:val="00666EE3"/>
    <w:rsid w:val="00666EF1"/>
    <w:rsid w:val="00666FFC"/>
    <w:rsid w:val="0066720C"/>
    <w:rsid w:val="0066728F"/>
    <w:rsid w:val="006672BE"/>
    <w:rsid w:val="00667446"/>
    <w:rsid w:val="006674BD"/>
    <w:rsid w:val="00667548"/>
    <w:rsid w:val="0066764A"/>
    <w:rsid w:val="00667694"/>
    <w:rsid w:val="006677CB"/>
    <w:rsid w:val="00667838"/>
    <w:rsid w:val="006678D7"/>
    <w:rsid w:val="006678E4"/>
    <w:rsid w:val="00667B0B"/>
    <w:rsid w:val="00667BEF"/>
    <w:rsid w:val="00667C13"/>
    <w:rsid w:val="00667CE3"/>
    <w:rsid w:val="00667D6B"/>
    <w:rsid w:val="00667D8F"/>
    <w:rsid w:val="00667DEC"/>
    <w:rsid w:val="00667E7A"/>
    <w:rsid w:val="00667F51"/>
    <w:rsid w:val="006701C0"/>
    <w:rsid w:val="00670418"/>
    <w:rsid w:val="0067048E"/>
    <w:rsid w:val="006704A4"/>
    <w:rsid w:val="006704DA"/>
    <w:rsid w:val="006705C6"/>
    <w:rsid w:val="006705EC"/>
    <w:rsid w:val="00670613"/>
    <w:rsid w:val="0067072B"/>
    <w:rsid w:val="006707D6"/>
    <w:rsid w:val="00670814"/>
    <w:rsid w:val="006708F5"/>
    <w:rsid w:val="00670A58"/>
    <w:rsid w:val="00670AC0"/>
    <w:rsid w:val="00670AC5"/>
    <w:rsid w:val="00670AD5"/>
    <w:rsid w:val="00670C84"/>
    <w:rsid w:val="00670D49"/>
    <w:rsid w:val="00670D4F"/>
    <w:rsid w:val="00670D5D"/>
    <w:rsid w:val="00670DA5"/>
    <w:rsid w:val="00670E6D"/>
    <w:rsid w:val="00670EE5"/>
    <w:rsid w:val="006710AE"/>
    <w:rsid w:val="00671253"/>
    <w:rsid w:val="006712BC"/>
    <w:rsid w:val="006713E3"/>
    <w:rsid w:val="006714C0"/>
    <w:rsid w:val="00671599"/>
    <w:rsid w:val="0067159F"/>
    <w:rsid w:val="0067165B"/>
    <w:rsid w:val="00671713"/>
    <w:rsid w:val="0067178C"/>
    <w:rsid w:val="00671827"/>
    <w:rsid w:val="00671953"/>
    <w:rsid w:val="00671A17"/>
    <w:rsid w:val="00671A75"/>
    <w:rsid w:val="00671B56"/>
    <w:rsid w:val="00671B67"/>
    <w:rsid w:val="00671C2A"/>
    <w:rsid w:val="00671D05"/>
    <w:rsid w:val="00671DF0"/>
    <w:rsid w:val="00671E19"/>
    <w:rsid w:val="00671E29"/>
    <w:rsid w:val="00671E33"/>
    <w:rsid w:val="00671F7F"/>
    <w:rsid w:val="00671FB9"/>
    <w:rsid w:val="00672001"/>
    <w:rsid w:val="00672087"/>
    <w:rsid w:val="00672170"/>
    <w:rsid w:val="00672246"/>
    <w:rsid w:val="0067224E"/>
    <w:rsid w:val="00672352"/>
    <w:rsid w:val="00672376"/>
    <w:rsid w:val="006723A0"/>
    <w:rsid w:val="00672409"/>
    <w:rsid w:val="006724D9"/>
    <w:rsid w:val="0067263B"/>
    <w:rsid w:val="0067264A"/>
    <w:rsid w:val="00672693"/>
    <w:rsid w:val="006727E0"/>
    <w:rsid w:val="006728B7"/>
    <w:rsid w:val="00672924"/>
    <w:rsid w:val="006729BD"/>
    <w:rsid w:val="00672A8E"/>
    <w:rsid w:val="00672BDF"/>
    <w:rsid w:val="00672BE1"/>
    <w:rsid w:val="00672C60"/>
    <w:rsid w:val="00672CA4"/>
    <w:rsid w:val="00672CD4"/>
    <w:rsid w:val="00672D17"/>
    <w:rsid w:val="00672D26"/>
    <w:rsid w:val="00672D71"/>
    <w:rsid w:val="00672E30"/>
    <w:rsid w:val="00672F22"/>
    <w:rsid w:val="00672FC3"/>
    <w:rsid w:val="00673057"/>
    <w:rsid w:val="00673188"/>
    <w:rsid w:val="00673278"/>
    <w:rsid w:val="0067340B"/>
    <w:rsid w:val="00673443"/>
    <w:rsid w:val="00673740"/>
    <w:rsid w:val="006737C5"/>
    <w:rsid w:val="00673801"/>
    <w:rsid w:val="00673A6B"/>
    <w:rsid w:val="00673A90"/>
    <w:rsid w:val="00673B63"/>
    <w:rsid w:val="00673BF5"/>
    <w:rsid w:val="00673D09"/>
    <w:rsid w:val="00673D17"/>
    <w:rsid w:val="00673E28"/>
    <w:rsid w:val="00673F70"/>
    <w:rsid w:val="0067409E"/>
    <w:rsid w:val="006741EF"/>
    <w:rsid w:val="006741F4"/>
    <w:rsid w:val="00674310"/>
    <w:rsid w:val="0067438D"/>
    <w:rsid w:val="00674460"/>
    <w:rsid w:val="0067449A"/>
    <w:rsid w:val="00674600"/>
    <w:rsid w:val="00674754"/>
    <w:rsid w:val="006747A4"/>
    <w:rsid w:val="00674813"/>
    <w:rsid w:val="00674920"/>
    <w:rsid w:val="00674A91"/>
    <w:rsid w:val="00674A9D"/>
    <w:rsid w:val="00674BFB"/>
    <w:rsid w:val="00674CB5"/>
    <w:rsid w:val="00674CF6"/>
    <w:rsid w:val="00674E44"/>
    <w:rsid w:val="00674E8B"/>
    <w:rsid w:val="00674EA8"/>
    <w:rsid w:val="00674ECE"/>
    <w:rsid w:val="00674FCA"/>
    <w:rsid w:val="0067522D"/>
    <w:rsid w:val="006752EC"/>
    <w:rsid w:val="00675416"/>
    <w:rsid w:val="0067548A"/>
    <w:rsid w:val="0067553A"/>
    <w:rsid w:val="00675618"/>
    <w:rsid w:val="00675642"/>
    <w:rsid w:val="00675678"/>
    <w:rsid w:val="0067574D"/>
    <w:rsid w:val="006757E8"/>
    <w:rsid w:val="006757F6"/>
    <w:rsid w:val="0067588D"/>
    <w:rsid w:val="006758E2"/>
    <w:rsid w:val="00675902"/>
    <w:rsid w:val="00675911"/>
    <w:rsid w:val="00675918"/>
    <w:rsid w:val="00675936"/>
    <w:rsid w:val="0067595E"/>
    <w:rsid w:val="00675A3E"/>
    <w:rsid w:val="00675AB5"/>
    <w:rsid w:val="00675ACC"/>
    <w:rsid w:val="00675EAD"/>
    <w:rsid w:val="00675EBE"/>
    <w:rsid w:val="00675EC1"/>
    <w:rsid w:val="00675F3B"/>
    <w:rsid w:val="00675F7E"/>
    <w:rsid w:val="0067600F"/>
    <w:rsid w:val="00676016"/>
    <w:rsid w:val="00676140"/>
    <w:rsid w:val="00676177"/>
    <w:rsid w:val="00676179"/>
    <w:rsid w:val="0067628C"/>
    <w:rsid w:val="00676449"/>
    <w:rsid w:val="00676475"/>
    <w:rsid w:val="006764A2"/>
    <w:rsid w:val="00676524"/>
    <w:rsid w:val="0067652E"/>
    <w:rsid w:val="00676579"/>
    <w:rsid w:val="0067663C"/>
    <w:rsid w:val="0067690A"/>
    <w:rsid w:val="0067693B"/>
    <w:rsid w:val="00676998"/>
    <w:rsid w:val="00676ADA"/>
    <w:rsid w:val="00676BC2"/>
    <w:rsid w:val="00676DBE"/>
    <w:rsid w:val="00676E42"/>
    <w:rsid w:val="00676EC7"/>
    <w:rsid w:val="00676EFB"/>
    <w:rsid w:val="00676FE4"/>
    <w:rsid w:val="006770E7"/>
    <w:rsid w:val="006770FE"/>
    <w:rsid w:val="006771F4"/>
    <w:rsid w:val="00677200"/>
    <w:rsid w:val="0067720F"/>
    <w:rsid w:val="006772E3"/>
    <w:rsid w:val="00677307"/>
    <w:rsid w:val="0067730E"/>
    <w:rsid w:val="0067731D"/>
    <w:rsid w:val="00677333"/>
    <w:rsid w:val="006773CD"/>
    <w:rsid w:val="00677698"/>
    <w:rsid w:val="006776FA"/>
    <w:rsid w:val="0067770B"/>
    <w:rsid w:val="0067772F"/>
    <w:rsid w:val="00677740"/>
    <w:rsid w:val="00677A7E"/>
    <w:rsid w:val="00677B48"/>
    <w:rsid w:val="00677C09"/>
    <w:rsid w:val="00677DF6"/>
    <w:rsid w:val="00677F3C"/>
    <w:rsid w:val="00677FAD"/>
    <w:rsid w:val="0068013E"/>
    <w:rsid w:val="0068016E"/>
    <w:rsid w:val="00680198"/>
    <w:rsid w:val="00680366"/>
    <w:rsid w:val="006804FB"/>
    <w:rsid w:val="00680592"/>
    <w:rsid w:val="006805B7"/>
    <w:rsid w:val="006806B6"/>
    <w:rsid w:val="006806C7"/>
    <w:rsid w:val="006806CA"/>
    <w:rsid w:val="00680747"/>
    <w:rsid w:val="006807BC"/>
    <w:rsid w:val="00680800"/>
    <w:rsid w:val="006809E7"/>
    <w:rsid w:val="00680A6D"/>
    <w:rsid w:val="00680AAE"/>
    <w:rsid w:val="00680C32"/>
    <w:rsid w:val="00680CFE"/>
    <w:rsid w:val="00680DA5"/>
    <w:rsid w:val="00680E0A"/>
    <w:rsid w:val="006810C1"/>
    <w:rsid w:val="006811CD"/>
    <w:rsid w:val="006812D1"/>
    <w:rsid w:val="006812F1"/>
    <w:rsid w:val="00681351"/>
    <w:rsid w:val="00681379"/>
    <w:rsid w:val="006814A5"/>
    <w:rsid w:val="006814C5"/>
    <w:rsid w:val="006814E6"/>
    <w:rsid w:val="00681536"/>
    <w:rsid w:val="00681629"/>
    <w:rsid w:val="006816D4"/>
    <w:rsid w:val="00681736"/>
    <w:rsid w:val="006817AA"/>
    <w:rsid w:val="006817D4"/>
    <w:rsid w:val="00681824"/>
    <w:rsid w:val="0068185D"/>
    <w:rsid w:val="00681B98"/>
    <w:rsid w:val="00681BBE"/>
    <w:rsid w:val="00681BF5"/>
    <w:rsid w:val="00681CF3"/>
    <w:rsid w:val="00681D54"/>
    <w:rsid w:val="00681D79"/>
    <w:rsid w:val="00681DFD"/>
    <w:rsid w:val="00681E33"/>
    <w:rsid w:val="00681E41"/>
    <w:rsid w:val="00681EBD"/>
    <w:rsid w:val="00681FC2"/>
    <w:rsid w:val="00682095"/>
    <w:rsid w:val="00682182"/>
    <w:rsid w:val="006821D7"/>
    <w:rsid w:val="006821EA"/>
    <w:rsid w:val="006822F4"/>
    <w:rsid w:val="006822F7"/>
    <w:rsid w:val="0068240A"/>
    <w:rsid w:val="0068258C"/>
    <w:rsid w:val="0068282D"/>
    <w:rsid w:val="0068283B"/>
    <w:rsid w:val="006828F5"/>
    <w:rsid w:val="00682915"/>
    <w:rsid w:val="0068291E"/>
    <w:rsid w:val="00682ADC"/>
    <w:rsid w:val="00682B5F"/>
    <w:rsid w:val="00682B6A"/>
    <w:rsid w:val="00682BCE"/>
    <w:rsid w:val="00682C15"/>
    <w:rsid w:val="00682CCF"/>
    <w:rsid w:val="00682CF9"/>
    <w:rsid w:val="00682D1C"/>
    <w:rsid w:val="00682D43"/>
    <w:rsid w:val="00682E45"/>
    <w:rsid w:val="00682E5C"/>
    <w:rsid w:val="00682FEB"/>
    <w:rsid w:val="00683046"/>
    <w:rsid w:val="0068304A"/>
    <w:rsid w:val="00683052"/>
    <w:rsid w:val="00683221"/>
    <w:rsid w:val="0068324B"/>
    <w:rsid w:val="006832A8"/>
    <w:rsid w:val="00683314"/>
    <w:rsid w:val="0068332A"/>
    <w:rsid w:val="0068334E"/>
    <w:rsid w:val="006833C3"/>
    <w:rsid w:val="006835AE"/>
    <w:rsid w:val="006836E6"/>
    <w:rsid w:val="00683775"/>
    <w:rsid w:val="006837D8"/>
    <w:rsid w:val="0068380D"/>
    <w:rsid w:val="0068386D"/>
    <w:rsid w:val="006838FB"/>
    <w:rsid w:val="00683979"/>
    <w:rsid w:val="00683AAF"/>
    <w:rsid w:val="00683AE4"/>
    <w:rsid w:val="00683B3E"/>
    <w:rsid w:val="00683B6E"/>
    <w:rsid w:val="00683B7B"/>
    <w:rsid w:val="00683B99"/>
    <w:rsid w:val="00683F8F"/>
    <w:rsid w:val="006840D9"/>
    <w:rsid w:val="00684123"/>
    <w:rsid w:val="006841E2"/>
    <w:rsid w:val="006842BF"/>
    <w:rsid w:val="006843CA"/>
    <w:rsid w:val="00684460"/>
    <w:rsid w:val="006844A5"/>
    <w:rsid w:val="006844B5"/>
    <w:rsid w:val="006844D4"/>
    <w:rsid w:val="00684550"/>
    <w:rsid w:val="006845EC"/>
    <w:rsid w:val="00684638"/>
    <w:rsid w:val="00684694"/>
    <w:rsid w:val="00684727"/>
    <w:rsid w:val="00684776"/>
    <w:rsid w:val="00684813"/>
    <w:rsid w:val="006848D1"/>
    <w:rsid w:val="006849A2"/>
    <w:rsid w:val="00684A73"/>
    <w:rsid w:val="00684AB3"/>
    <w:rsid w:val="00684B6F"/>
    <w:rsid w:val="00684C43"/>
    <w:rsid w:val="00684C65"/>
    <w:rsid w:val="00684CCF"/>
    <w:rsid w:val="00684DFE"/>
    <w:rsid w:val="00684E5B"/>
    <w:rsid w:val="00684FA0"/>
    <w:rsid w:val="0068512B"/>
    <w:rsid w:val="006851BB"/>
    <w:rsid w:val="006852F0"/>
    <w:rsid w:val="006853E5"/>
    <w:rsid w:val="006854C8"/>
    <w:rsid w:val="006854CB"/>
    <w:rsid w:val="0068551F"/>
    <w:rsid w:val="0068554F"/>
    <w:rsid w:val="006855F9"/>
    <w:rsid w:val="0068569C"/>
    <w:rsid w:val="006857D5"/>
    <w:rsid w:val="0068581C"/>
    <w:rsid w:val="00685953"/>
    <w:rsid w:val="0068596D"/>
    <w:rsid w:val="00685978"/>
    <w:rsid w:val="00685C04"/>
    <w:rsid w:val="00685CBE"/>
    <w:rsid w:val="00685F40"/>
    <w:rsid w:val="0068611F"/>
    <w:rsid w:val="006861B3"/>
    <w:rsid w:val="006861C0"/>
    <w:rsid w:val="006862E3"/>
    <w:rsid w:val="0068632D"/>
    <w:rsid w:val="006864DA"/>
    <w:rsid w:val="006864DB"/>
    <w:rsid w:val="0068651F"/>
    <w:rsid w:val="00686600"/>
    <w:rsid w:val="00686674"/>
    <w:rsid w:val="00686737"/>
    <w:rsid w:val="00686775"/>
    <w:rsid w:val="0068683A"/>
    <w:rsid w:val="006869F4"/>
    <w:rsid w:val="00686B45"/>
    <w:rsid w:val="00686C38"/>
    <w:rsid w:val="00686C96"/>
    <w:rsid w:val="00686D87"/>
    <w:rsid w:val="00686E16"/>
    <w:rsid w:val="00686EB4"/>
    <w:rsid w:val="00686F30"/>
    <w:rsid w:val="00686F35"/>
    <w:rsid w:val="00687036"/>
    <w:rsid w:val="0068706F"/>
    <w:rsid w:val="006870E6"/>
    <w:rsid w:val="0068711F"/>
    <w:rsid w:val="0068740E"/>
    <w:rsid w:val="006874F3"/>
    <w:rsid w:val="00687543"/>
    <w:rsid w:val="00687686"/>
    <w:rsid w:val="00687723"/>
    <w:rsid w:val="0068789F"/>
    <w:rsid w:val="00687961"/>
    <w:rsid w:val="00687968"/>
    <w:rsid w:val="006879D2"/>
    <w:rsid w:val="00687B9B"/>
    <w:rsid w:val="00687D52"/>
    <w:rsid w:val="00687EAA"/>
    <w:rsid w:val="00687EB3"/>
    <w:rsid w:val="0068ACC8"/>
    <w:rsid w:val="0069006A"/>
    <w:rsid w:val="006900C7"/>
    <w:rsid w:val="00690109"/>
    <w:rsid w:val="006901D7"/>
    <w:rsid w:val="006901EC"/>
    <w:rsid w:val="0069021F"/>
    <w:rsid w:val="0069026E"/>
    <w:rsid w:val="0069036D"/>
    <w:rsid w:val="006903DC"/>
    <w:rsid w:val="006903FC"/>
    <w:rsid w:val="00690403"/>
    <w:rsid w:val="00690492"/>
    <w:rsid w:val="006904E1"/>
    <w:rsid w:val="006905A7"/>
    <w:rsid w:val="00690687"/>
    <w:rsid w:val="006906F8"/>
    <w:rsid w:val="00690706"/>
    <w:rsid w:val="0069077E"/>
    <w:rsid w:val="006907C8"/>
    <w:rsid w:val="0069087F"/>
    <w:rsid w:val="0069094E"/>
    <w:rsid w:val="006909C8"/>
    <w:rsid w:val="006909DB"/>
    <w:rsid w:val="00690AF1"/>
    <w:rsid w:val="00690B21"/>
    <w:rsid w:val="00690B65"/>
    <w:rsid w:val="00690CA5"/>
    <w:rsid w:val="00690D78"/>
    <w:rsid w:val="00690D7A"/>
    <w:rsid w:val="00690DCE"/>
    <w:rsid w:val="00690FE4"/>
    <w:rsid w:val="00691047"/>
    <w:rsid w:val="0069132C"/>
    <w:rsid w:val="00691347"/>
    <w:rsid w:val="00691409"/>
    <w:rsid w:val="00691449"/>
    <w:rsid w:val="00691569"/>
    <w:rsid w:val="00691791"/>
    <w:rsid w:val="006917ED"/>
    <w:rsid w:val="00691957"/>
    <w:rsid w:val="00691975"/>
    <w:rsid w:val="00691A4D"/>
    <w:rsid w:val="00691B56"/>
    <w:rsid w:val="00691C47"/>
    <w:rsid w:val="00691DFC"/>
    <w:rsid w:val="006920A7"/>
    <w:rsid w:val="0069217A"/>
    <w:rsid w:val="006921D2"/>
    <w:rsid w:val="00692291"/>
    <w:rsid w:val="006923DA"/>
    <w:rsid w:val="006923FA"/>
    <w:rsid w:val="00692445"/>
    <w:rsid w:val="00692485"/>
    <w:rsid w:val="006924BA"/>
    <w:rsid w:val="00692597"/>
    <w:rsid w:val="006925D1"/>
    <w:rsid w:val="006925E3"/>
    <w:rsid w:val="006926E2"/>
    <w:rsid w:val="006926F7"/>
    <w:rsid w:val="00692745"/>
    <w:rsid w:val="00692789"/>
    <w:rsid w:val="006927C5"/>
    <w:rsid w:val="006927DC"/>
    <w:rsid w:val="006928BD"/>
    <w:rsid w:val="0069295C"/>
    <w:rsid w:val="00692BA1"/>
    <w:rsid w:val="00692D4D"/>
    <w:rsid w:val="00692E19"/>
    <w:rsid w:val="00692E2F"/>
    <w:rsid w:val="00692E50"/>
    <w:rsid w:val="00692EAA"/>
    <w:rsid w:val="00693096"/>
    <w:rsid w:val="0069311E"/>
    <w:rsid w:val="00693151"/>
    <w:rsid w:val="00693369"/>
    <w:rsid w:val="006934F1"/>
    <w:rsid w:val="0069351B"/>
    <w:rsid w:val="006936AC"/>
    <w:rsid w:val="006936D7"/>
    <w:rsid w:val="0069388B"/>
    <w:rsid w:val="00693931"/>
    <w:rsid w:val="006939CA"/>
    <w:rsid w:val="00693B58"/>
    <w:rsid w:val="00693C40"/>
    <w:rsid w:val="00693C5C"/>
    <w:rsid w:val="00693DD1"/>
    <w:rsid w:val="00694029"/>
    <w:rsid w:val="0069402F"/>
    <w:rsid w:val="006940D9"/>
    <w:rsid w:val="0069423C"/>
    <w:rsid w:val="00694339"/>
    <w:rsid w:val="0069441F"/>
    <w:rsid w:val="0069448C"/>
    <w:rsid w:val="006944AB"/>
    <w:rsid w:val="006944B6"/>
    <w:rsid w:val="006945A5"/>
    <w:rsid w:val="006945BB"/>
    <w:rsid w:val="006945E6"/>
    <w:rsid w:val="0069479F"/>
    <w:rsid w:val="006948D4"/>
    <w:rsid w:val="00694AFD"/>
    <w:rsid w:val="00694B3C"/>
    <w:rsid w:val="00694DBB"/>
    <w:rsid w:val="00694E10"/>
    <w:rsid w:val="00694F24"/>
    <w:rsid w:val="00694F5F"/>
    <w:rsid w:val="00694FB3"/>
    <w:rsid w:val="006950D7"/>
    <w:rsid w:val="006950DC"/>
    <w:rsid w:val="00695145"/>
    <w:rsid w:val="00695220"/>
    <w:rsid w:val="0069523C"/>
    <w:rsid w:val="00695403"/>
    <w:rsid w:val="00695619"/>
    <w:rsid w:val="00695630"/>
    <w:rsid w:val="00695666"/>
    <w:rsid w:val="006956C3"/>
    <w:rsid w:val="006957D0"/>
    <w:rsid w:val="0069593B"/>
    <w:rsid w:val="006959F4"/>
    <w:rsid w:val="00695AAC"/>
    <w:rsid w:val="00695EE0"/>
    <w:rsid w:val="0069602C"/>
    <w:rsid w:val="006960AC"/>
    <w:rsid w:val="0069610B"/>
    <w:rsid w:val="00696135"/>
    <w:rsid w:val="006962AB"/>
    <w:rsid w:val="006963AB"/>
    <w:rsid w:val="006963DB"/>
    <w:rsid w:val="0069641A"/>
    <w:rsid w:val="0069645C"/>
    <w:rsid w:val="0069652A"/>
    <w:rsid w:val="00696580"/>
    <w:rsid w:val="006967A4"/>
    <w:rsid w:val="0069680C"/>
    <w:rsid w:val="00696839"/>
    <w:rsid w:val="00696A07"/>
    <w:rsid w:val="00696BA7"/>
    <w:rsid w:val="00696C1B"/>
    <w:rsid w:val="00696C60"/>
    <w:rsid w:val="00696C6C"/>
    <w:rsid w:val="00696E1C"/>
    <w:rsid w:val="006970CB"/>
    <w:rsid w:val="0069722E"/>
    <w:rsid w:val="006972A2"/>
    <w:rsid w:val="0069755B"/>
    <w:rsid w:val="0069770C"/>
    <w:rsid w:val="006977F0"/>
    <w:rsid w:val="00697838"/>
    <w:rsid w:val="00697AE1"/>
    <w:rsid w:val="00697BA5"/>
    <w:rsid w:val="00697CA4"/>
    <w:rsid w:val="00697DB4"/>
    <w:rsid w:val="006A0032"/>
    <w:rsid w:val="006A007A"/>
    <w:rsid w:val="006A0313"/>
    <w:rsid w:val="006A035D"/>
    <w:rsid w:val="006A0368"/>
    <w:rsid w:val="006A037D"/>
    <w:rsid w:val="006A0437"/>
    <w:rsid w:val="006A057A"/>
    <w:rsid w:val="006A05C0"/>
    <w:rsid w:val="006A06DE"/>
    <w:rsid w:val="006A0AD6"/>
    <w:rsid w:val="006A0BC2"/>
    <w:rsid w:val="006A0BD7"/>
    <w:rsid w:val="006A0C1C"/>
    <w:rsid w:val="006A0C3F"/>
    <w:rsid w:val="006A0E16"/>
    <w:rsid w:val="006A0E26"/>
    <w:rsid w:val="006A0EE1"/>
    <w:rsid w:val="006A0F0B"/>
    <w:rsid w:val="006A10F6"/>
    <w:rsid w:val="006A1145"/>
    <w:rsid w:val="006A117D"/>
    <w:rsid w:val="006A1194"/>
    <w:rsid w:val="006A1462"/>
    <w:rsid w:val="006A1539"/>
    <w:rsid w:val="006A159C"/>
    <w:rsid w:val="006A15A9"/>
    <w:rsid w:val="006A1634"/>
    <w:rsid w:val="006A16F0"/>
    <w:rsid w:val="006A1793"/>
    <w:rsid w:val="006A179C"/>
    <w:rsid w:val="006A1814"/>
    <w:rsid w:val="006A19F5"/>
    <w:rsid w:val="006A1A6E"/>
    <w:rsid w:val="006A1B08"/>
    <w:rsid w:val="006A1BB7"/>
    <w:rsid w:val="006A1BBB"/>
    <w:rsid w:val="006A1C74"/>
    <w:rsid w:val="006A1CEA"/>
    <w:rsid w:val="006A1D56"/>
    <w:rsid w:val="006A1E1D"/>
    <w:rsid w:val="006A1F0B"/>
    <w:rsid w:val="006A1F10"/>
    <w:rsid w:val="006A1F56"/>
    <w:rsid w:val="006A2143"/>
    <w:rsid w:val="006A219E"/>
    <w:rsid w:val="006A21B2"/>
    <w:rsid w:val="006A22AD"/>
    <w:rsid w:val="006A231B"/>
    <w:rsid w:val="006A23B0"/>
    <w:rsid w:val="006A245F"/>
    <w:rsid w:val="006A24D2"/>
    <w:rsid w:val="006A253B"/>
    <w:rsid w:val="006A2623"/>
    <w:rsid w:val="006A2751"/>
    <w:rsid w:val="006A2A18"/>
    <w:rsid w:val="006A2AF4"/>
    <w:rsid w:val="006A2AF5"/>
    <w:rsid w:val="006A2B20"/>
    <w:rsid w:val="006A2C17"/>
    <w:rsid w:val="006A2C50"/>
    <w:rsid w:val="006A2CFB"/>
    <w:rsid w:val="006A2D1B"/>
    <w:rsid w:val="006A2E65"/>
    <w:rsid w:val="006A2E7A"/>
    <w:rsid w:val="006A2ED2"/>
    <w:rsid w:val="006A2EEF"/>
    <w:rsid w:val="006A30FD"/>
    <w:rsid w:val="006A3171"/>
    <w:rsid w:val="006A31B8"/>
    <w:rsid w:val="006A330A"/>
    <w:rsid w:val="006A333D"/>
    <w:rsid w:val="006A36B1"/>
    <w:rsid w:val="006A38A3"/>
    <w:rsid w:val="006A3ADA"/>
    <w:rsid w:val="006A3BEA"/>
    <w:rsid w:val="006A3C63"/>
    <w:rsid w:val="006A4029"/>
    <w:rsid w:val="006A40AC"/>
    <w:rsid w:val="006A40C0"/>
    <w:rsid w:val="006A4318"/>
    <w:rsid w:val="006A43D7"/>
    <w:rsid w:val="006A445B"/>
    <w:rsid w:val="006A450E"/>
    <w:rsid w:val="006A4521"/>
    <w:rsid w:val="006A45A0"/>
    <w:rsid w:val="006A4621"/>
    <w:rsid w:val="006A46EF"/>
    <w:rsid w:val="006A4736"/>
    <w:rsid w:val="006A47A7"/>
    <w:rsid w:val="006A48E5"/>
    <w:rsid w:val="006A49BF"/>
    <w:rsid w:val="006A4ABC"/>
    <w:rsid w:val="006A4B03"/>
    <w:rsid w:val="006A4BBD"/>
    <w:rsid w:val="006A4C75"/>
    <w:rsid w:val="006A4CD9"/>
    <w:rsid w:val="006A4CE7"/>
    <w:rsid w:val="006A4D20"/>
    <w:rsid w:val="006A4DCD"/>
    <w:rsid w:val="006A4F43"/>
    <w:rsid w:val="006A4F4C"/>
    <w:rsid w:val="006A4F4D"/>
    <w:rsid w:val="006A4F98"/>
    <w:rsid w:val="006A515B"/>
    <w:rsid w:val="006A536F"/>
    <w:rsid w:val="006A5488"/>
    <w:rsid w:val="006A54CA"/>
    <w:rsid w:val="006A557A"/>
    <w:rsid w:val="006A562F"/>
    <w:rsid w:val="006A56AE"/>
    <w:rsid w:val="006A5978"/>
    <w:rsid w:val="006A5A20"/>
    <w:rsid w:val="006A5A87"/>
    <w:rsid w:val="006A5B21"/>
    <w:rsid w:val="006A5C3F"/>
    <w:rsid w:val="006A5C99"/>
    <w:rsid w:val="006A5CF1"/>
    <w:rsid w:val="006A5D77"/>
    <w:rsid w:val="006A5DCF"/>
    <w:rsid w:val="006A5E2E"/>
    <w:rsid w:val="006A5E73"/>
    <w:rsid w:val="006A5E8D"/>
    <w:rsid w:val="006A603A"/>
    <w:rsid w:val="006A6198"/>
    <w:rsid w:val="006A6215"/>
    <w:rsid w:val="006A6361"/>
    <w:rsid w:val="006A64F3"/>
    <w:rsid w:val="006A653F"/>
    <w:rsid w:val="006A655E"/>
    <w:rsid w:val="006A6755"/>
    <w:rsid w:val="006A682B"/>
    <w:rsid w:val="006A6B6B"/>
    <w:rsid w:val="006A6B95"/>
    <w:rsid w:val="006A6BE8"/>
    <w:rsid w:val="006A6BFB"/>
    <w:rsid w:val="006A6CD7"/>
    <w:rsid w:val="006A6DD7"/>
    <w:rsid w:val="006A7029"/>
    <w:rsid w:val="006A711F"/>
    <w:rsid w:val="006A71C6"/>
    <w:rsid w:val="006A7219"/>
    <w:rsid w:val="006A7268"/>
    <w:rsid w:val="006A731E"/>
    <w:rsid w:val="006A7362"/>
    <w:rsid w:val="006A739A"/>
    <w:rsid w:val="006A759C"/>
    <w:rsid w:val="006A7717"/>
    <w:rsid w:val="006A783B"/>
    <w:rsid w:val="006A785D"/>
    <w:rsid w:val="006A786C"/>
    <w:rsid w:val="006A78AD"/>
    <w:rsid w:val="006A79F5"/>
    <w:rsid w:val="006A7A82"/>
    <w:rsid w:val="006A7AE8"/>
    <w:rsid w:val="006A7AF0"/>
    <w:rsid w:val="006A7DE4"/>
    <w:rsid w:val="006A7E09"/>
    <w:rsid w:val="006A7EBA"/>
    <w:rsid w:val="006A7F5D"/>
    <w:rsid w:val="006B000A"/>
    <w:rsid w:val="006B000E"/>
    <w:rsid w:val="006B00CB"/>
    <w:rsid w:val="006B00D7"/>
    <w:rsid w:val="006B014B"/>
    <w:rsid w:val="006B014F"/>
    <w:rsid w:val="006B025A"/>
    <w:rsid w:val="006B0313"/>
    <w:rsid w:val="006B0353"/>
    <w:rsid w:val="006B03D9"/>
    <w:rsid w:val="006B04AF"/>
    <w:rsid w:val="006B04D4"/>
    <w:rsid w:val="006B04EE"/>
    <w:rsid w:val="006B054F"/>
    <w:rsid w:val="006B0589"/>
    <w:rsid w:val="006B0769"/>
    <w:rsid w:val="006B08A9"/>
    <w:rsid w:val="006B0AB2"/>
    <w:rsid w:val="006B0BB0"/>
    <w:rsid w:val="006B0C4E"/>
    <w:rsid w:val="006B0C67"/>
    <w:rsid w:val="006B0CC7"/>
    <w:rsid w:val="006B0D6B"/>
    <w:rsid w:val="006B0F1B"/>
    <w:rsid w:val="006B0F92"/>
    <w:rsid w:val="006B1004"/>
    <w:rsid w:val="006B12EE"/>
    <w:rsid w:val="006B1435"/>
    <w:rsid w:val="006B1539"/>
    <w:rsid w:val="006B1664"/>
    <w:rsid w:val="006B1674"/>
    <w:rsid w:val="006B16EF"/>
    <w:rsid w:val="006B16F3"/>
    <w:rsid w:val="006B1739"/>
    <w:rsid w:val="006B1869"/>
    <w:rsid w:val="006B1876"/>
    <w:rsid w:val="006B1896"/>
    <w:rsid w:val="006B18F2"/>
    <w:rsid w:val="006B1929"/>
    <w:rsid w:val="006B19A8"/>
    <w:rsid w:val="006B1A46"/>
    <w:rsid w:val="006B1A5E"/>
    <w:rsid w:val="006B1BA9"/>
    <w:rsid w:val="006B1BAC"/>
    <w:rsid w:val="006B1C7D"/>
    <w:rsid w:val="006B1DB1"/>
    <w:rsid w:val="006B1DBD"/>
    <w:rsid w:val="006B21B5"/>
    <w:rsid w:val="006B22FF"/>
    <w:rsid w:val="006B23D0"/>
    <w:rsid w:val="006B257D"/>
    <w:rsid w:val="006B25F3"/>
    <w:rsid w:val="006B266E"/>
    <w:rsid w:val="006B27C1"/>
    <w:rsid w:val="006B29BE"/>
    <w:rsid w:val="006B29F5"/>
    <w:rsid w:val="006B2D51"/>
    <w:rsid w:val="006B2D9D"/>
    <w:rsid w:val="006B2EE6"/>
    <w:rsid w:val="006B2F1F"/>
    <w:rsid w:val="006B2F3E"/>
    <w:rsid w:val="006B30CC"/>
    <w:rsid w:val="006B3224"/>
    <w:rsid w:val="006B32B2"/>
    <w:rsid w:val="006B3345"/>
    <w:rsid w:val="006B342D"/>
    <w:rsid w:val="006B34BC"/>
    <w:rsid w:val="006B3514"/>
    <w:rsid w:val="006B351C"/>
    <w:rsid w:val="006B3537"/>
    <w:rsid w:val="006B3547"/>
    <w:rsid w:val="006B35A0"/>
    <w:rsid w:val="006B35F1"/>
    <w:rsid w:val="006B3658"/>
    <w:rsid w:val="006B36E4"/>
    <w:rsid w:val="006B378D"/>
    <w:rsid w:val="006B37D9"/>
    <w:rsid w:val="006B37FB"/>
    <w:rsid w:val="006B3A06"/>
    <w:rsid w:val="006B3AAB"/>
    <w:rsid w:val="006B3B00"/>
    <w:rsid w:val="006B3B3F"/>
    <w:rsid w:val="006B3BA0"/>
    <w:rsid w:val="006B3BCF"/>
    <w:rsid w:val="006B3BF9"/>
    <w:rsid w:val="006B3C76"/>
    <w:rsid w:val="006B3C93"/>
    <w:rsid w:val="006B3E7F"/>
    <w:rsid w:val="006B3EEE"/>
    <w:rsid w:val="006B3F0F"/>
    <w:rsid w:val="006B3F3E"/>
    <w:rsid w:val="006B3F70"/>
    <w:rsid w:val="006B3FB6"/>
    <w:rsid w:val="006B3FCF"/>
    <w:rsid w:val="006B4056"/>
    <w:rsid w:val="006B406C"/>
    <w:rsid w:val="006B4190"/>
    <w:rsid w:val="006B42A1"/>
    <w:rsid w:val="006B434D"/>
    <w:rsid w:val="006B44C1"/>
    <w:rsid w:val="006B44C3"/>
    <w:rsid w:val="006B44DD"/>
    <w:rsid w:val="006B4508"/>
    <w:rsid w:val="006B4671"/>
    <w:rsid w:val="006B46A5"/>
    <w:rsid w:val="006B46FD"/>
    <w:rsid w:val="006B4723"/>
    <w:rsid w:val="006B4799"/>
    <w:rsid w:val="006B47A7"/>
    <w:rsid w:val="006B4812"/>
    <w:rsid w:val="006B4921"/>
    <w:rsid w:val="006B4943"/>
    <w:rsid w:val="006B4959"/>
    <w:rsid w:val="006B4960"/>
    <w:rsid w:val="006B49B9"/>
    <w:rsid w:val="006B49C4"/>
    <w:rsid w:val="006B4DAF"/>
    <w:rsid w:val="006B4E0C"/>
    <w:rsid w:val="006B4EB4"/>
    <w:rsid w:val="006B4F8D"/>
    <w:rsid w:val="006B4FAE"/>
    <w:rsid w:val="006B50A2"/>
    <w:rsid w:val="006B5242"/>
    <w:rsid w:val="006B52AC"/>
    <w:rsid w:val="006B534F"/>
    <w:rsid w:val="006B5356"/>
    <w:rsid w:val="006B53AE"/>
    <w:rsid w:val="006B53F5"/>
    <w:rsid w:val="006B55A8"/>
    <w:rsid w:val="006B5673"/>
    <w:rsid w:val="006B5706"/>
    <w:rsid w:val="006B57D4"/>
    <w:rsid w:val="006B5901"/>
    <w:rsid w:val="006B5B7A"/>
    <w:rsid w:val="006B5B80"/>
    <w:rsid w:val="006B5C5E"/>
    <w:rsid w:val="006B5CD5"/>
    <w:rsid w:val="006B5D1F"/>
    <w:rsid w:val="006B5E5D"/>
    <w:rsid w:val="006B5E72"/>
    <w:rsid w:val="006B5EA6"/>
    <w:rsid w:val="006B5F3D"/>
    <w:rsid w:val="006B6052"/>
    <w:rsid w:val="006B60BE"/>
    <w:rsid w:val="006B610A"/>
    <w:rsid w:val="006B6182"/>
    <w:rsid w:val="006B62D2"/>
    <w:rsid w:val="006B6345"/>
    <w:rsid w:val="006B649C"/>
    <w:rsid w:val="006B64FC"/>
    <w:rsid w:val="006B653C"/>
    <w:rsid w:val="006B65F3"/>
    <w:rsid w:val="006B6603"/>
    <w:rsid w:val="006B66E3"/>
    <w:rsid w:val="006B66FD"/>
    <w:rsid w:val="006B672A"/>
    <w:rsid w:val="006B6A47"/>
    <w:rsid w:val="006B6DD4"/>
    <w:rsid w:val="006B6DF6"/>
    <w:rsid w:val="006B6FC1"/>
    <w:rsid w:val="006B70D5"/>
    <w:rsid w:val="006B7177"/>
    <w:rsid w:val="006B7341"/>
    <w:rsid w:val="006B737E"/>
    <w:rsid w:val="006B743D"/>
    <w:rsid w:val="006B758E"/>
    <w:rsid w:val="006B75A8"/>
    <w:rsid w:val="006B7616"/>
    <w:rsid w:val="006B7758"/>
    <w:rsid w:val="006B77B2"/>
    <w:rsid w:val="006B77E5"/>
    <w:rsid w:val="006B78E5"/>
    <w:rsid w:val="006B798B"/>
    <w:rsid w:val="006B79EB"/>
    <w:rsid w:val="006B7A66"/>
    <w:rsid w:val="006B7AD4"/>
    <w:rsid w:val="006B7B28"/>
    <w:rsid w:val="006B7BF9"/>
    <w:rsid w:val="006B7F3B"/>
    <w:rsid w:val="006B7FAA"/>
    <w:rsid w:val="006C0020"/>
    <w:rsid w:val="006C0029"/>
    <w:rsid w:val="006C0157"/>
    <w:rsid w:val="006C03A6"/>
    <w:rsid w:val="006C0457"/>
    <w:rsid w:val="006C06BB"/>
    <w:rsid w:val="006C07E8"/>
    <w:rsid w:val="006C0997"/>
    <w:rsid w:val="006C09EF"/>
    <w:rsid w:val="006C0AB6"/>
    <w:rsid w:val="006C0AC3"/>
    <w:rsid w:val="006C0B3A"/>
    <w:rsid w:val="006C0B9F"/>
    <w:rsid w:val="006C0BBD"/>
    <w:rsid w:val="006C0CA3"/>
    <w:rsid w:val="006C0F32"/>
    <w:rsid w:val="006C106C"/>
    <w:rsid w:val="006C12EC"/>
    <w:rsid w:val="006C135D"/>
    <w:rsid w:val="006C1381"/>
    <w:rsid w:val="006C14A3"/>
    <w:rsid w:val="006C15DC"/>
    <w:rsid w:val="006C1624"/>
    <w:rsid w:val="006C1689"/>
    <w:rsid w:val="006C16A5"/>
    <w:rsid w:val="006C16A6"/>
    <w:rsid w:val="006C16F6"/>
    <w:rsid w:val="006C175B"/>
    <w:rsid w:val="006C179B"/>
    <w:rsid w:val="006C19A2"/>
    <w:rsid w:val="006C1C02"/>
    <w:rsid w:val="006C1DB7"/>
    <w:rsid w:val="006C1E78"/>
    <w:rsid w:val="006C1E81"/>
    <w:rsid w:val="006C2051"/>
    <w:rsid w:val="006C20BE"/>
    <w:rsid w:val="006C221B"/>
    <w:rsid w:val="006C2259"/>
    <w:rsid w:val="006C22BB"/>
    <w:rsid w:val="006C22CF"/>
    <w:rsid w:val="006C22DD"/>
    <w:rsid w:val="006C2367"/>
    <w:rsid w:val="006C23B7"/>
    <w:rsid w:val="006C2408"/>
    <w:rsid w:val="006C25C1"/>
    <w:rsid w:val="006C2688"/>
    <w:rsid w:val="006C279F"/>
    <w:rsid w:val="006C2843"/>
    <w:rsid w:val="006C285C"/>
    <w:rsid w:val="006C2985"/>
    <w:rsid w:val="006C2BEB"/>
    <w:rsid w:val="006C2C85"/>
    <w:rsid w:val="006C2D13"/>
    <w:rsid w:val="006C2E34"/>
    <w:rsid w:val="006C2E8A"/>
    <w:rsid w:val="006C2EF9"/>
    <w:rsid w:val="006C2F8E"/>
    <w:rsid w:val="006C2F9B"/>
    <w:rsid w:val="006C305B"/>
    <w:rsid w:val="006C3131"/>
    <w:rsid w:val="006C3247"/>
    <w:rsid w:val="006C32D8"/>
    <w:rsid w:val="006C3334"/>
    <w:rsid w:val="006C347E"/>
    <w:rsid w:val="006C34E7"/>
    <w:rsid w:val="006C354C"/>
    <w:rsid w:val="006C363C"/>
    <w:rsid w:val="006C3804"/>
    <w:rsid w:val="006C392A"/>
    <w:rsid w:val="006C395F"/>
    <w:rsid w:val="006C3ABE"/>
    <w:rsid w:val="006C3B1B"/>
    <w:rsid w:val="006C3C02"/>
    <w:rsid w:val="006C3DFF"/>
    <w:rsid w:val="006C3E3E"/>
    <w:rsid w:val="006C3E71"/>
    <w:rsid w:val="006C3EDE"/>
    <w:rsid w:val="006C41BF"/>
    <w:rsid w:val="006C41F6"/>
    <w:rsid w:val="006C42B9"/>
    <w:rsid w:val="006C42C6"/>
    <w:rsid w:val="006C42DD"/>
    <w:rsid w:val="006C430A"/>
    <w:rsid w:val="006C437A"/>
    <w:rsid w:val="006C4612"/>
    <w:rsid w:val="006C4705"/>
    <w:rsid w:val="006C484F"/>
    <w:rsid w:val="006C4AF6"/>
    <w:rsid w:val="006C4D26"/>
    <w:rsid w:val="006C4E41"/>
    <w:rsid w:val="006C50C6"/>
    <w:rsid w:val="006C50E5"/>
    <w:rsid w:val="006C5248"/>
    <w:rsid w:val="006C525C"/>
    <w:rsid w:val="006C53FE"/>
    <w:rsid w:val="006C5432"/>
    <w:rsid w:val="006C543F"/>
    <w:rsid w:val="006C5538"/>
    <w:rsid w:val="006C5573"/>
    <w:rsid w:val="006C5592"/>
    <w:rsid w:val="006C55F5"/>
    <w:rsid w:val="006C566C"/>
    <w:rsid w:val="006C56FC"/>
    <w:rsid w:val="006C576A"/>
    <w:rsid w:val="006C5813"/>
    <w:rsid w:val="006C589F"/>
    <w:rsid w:val="006C5AB8"/>
    <w:rsid w:val="006C5B1B"/>
    <w:rsid w:val="006C5B43"/>
    <w:rsid w:val="006C5BF0"/>
    <w:rsid w:val="006C5C37"/>
    <w:rsid w:val="006C5CC9"/>
    <w:rsid w:val="006C5CEE"/>
    <w:rsid w:val="006C5D20"/>
    <w:rsid w:val="006C5FB3"/>
    <w:rsid w:val="006C604B"/>
    <w:rsid w:val="006C607F"/>
    <w:rsid w:val="006C613B"/>
    <w:rsid w:val="006C61DF"/>
    <w:rsid w:val="006C61F0"/>
    <w:rsid w:val="006C6297"/>
    <w:rsid w:val="006C6336"/>
    <w:rsid w:val="006C63D8"/>
    <w:rsid w:val="006C6617"/>
    <w:rsid w:val="006C683E"/>
    <w:rsid w:val="006C6873"/>
    <w:rsid w:val="006C6ACD"/>
    <w:rsid w:val="006C6BE8"/>
    <w:rsid w:val="006C6C00"/>
    <w:rsid w:val="006C6C1B"/>
    <w:rsid w:val="006C6C2C"/>
    <w:rsid w:val="006C6DBD"/>
    <w:rsid w:val="006C6DF6"/>
    <w:rsid w:val="006C6DFC"/>
    <w:rsid w:val="006C6E19"/>
    <w:rsid w:val="006C6EEE"/>
    <w:rsid w:val="006C6FFE"/>
    <w:rsid w:val="006C7017"/>
    <w:rsid w:val="006C714B"/>
    <w:rsid w:val="006C71A7"/>
    <w:rsid w:val="006C727B"/>
    <w:rsid w:val="006C72B6"/>
    <w:rsid w:val="006C72C2"/>
    <w:rsid w:val="006C74DF"/>
    <w:rsid w:val="006C751C"/>
    <w:rsid w:val="006C753D"/>
    <w:rsid w:val="006C7661"/>
    <w:rsid w:val="006C7B85"/>
    <w:rsid w:val="006C7BC7"/>
    <w:rsid w:val="006C7BF0"/>
    <w:rsid w:val="006C7CA3"/>
    <w:rsid w:val="006C7CD5"/>
    <w:rsid w:val="006C7FED"/>
    <w:rsid w:val="006D0045"/>
    <w:rsid w:val="006D0050"/>
    <w:rsid w:val="006D017F"/>
    <w:rsid w:val="006D01A3"/>
    <w:rsid w:val="006D028B"/>
    <w:rsid w:val="006D02F6"/>
    <w:rsid w:val="006D05F4"/>
    <w:rsid w:val="006D061E"/>
    <w:rsid w:val="006D065C"/>
    <w:rsid w:val="006D0673"/>
    <w:rsid w:val="006D0695"/>
    <w:rsid w:val="006D077F"/>
    <w:rsid w:val="006D081D"/>
    <w:rsid w:val="006D0833"/>
    <w:rsid w:val="006D0877"/>
    <w:rsid w:val="006D0889"/>
    <w:rsid w:val="006D0A32"/>
    <w:rsid w:val="006D0A47"/>
    <w:rsid w:val="006D0B12"/>
    <w:rsid w:val="006D0C68"/>
    <w:rsid w:val="006D0CB7"/>
    <w:rsid w:val="006D0EFA"/>
    <w:rsid w:val="006D0F2E"/>
    <w:rsid w:val="006D119A"/>
    <w:rsid w:val="006D1353"/>
    <w:rsid w:val="006D13BB"/>
    <w:rsid w:val="006D1417"/>
    <w:rsid w:val="006D142F"/>
    <w:rsid w:val="006D152A"/>
    <w:rsid w:val="006D156F"/>
    <w:rsid w:val="006D158B"/>
    <w:rsid w:val="006D166D"/>
    <w:rsid w:val="006D172A"/>
    <w:rsid w:val="006D1790"/>
    <w:rsid w:val="006D1850"/>
    <w:rsid w:val="006D186E"/>
    <w:rsid w:val="006D1A09"/>
    <w:rsid w:val="006D1A3B"/>
    <w:rsid w:val="006D1BA0"/>
    <w:rsid w:val="006D1BF2"/>
    <w:rsid w:val="006D1CDA"/>
    <w:rsid w:val="006D1D17"/>
    <w:rsid w:val="006D1DE7"/>
    <w:rsid w:val="006D1E4E"/>
    <w:rsid w:val="006D1F1A"/>
    <w:rsid w:val="006D1F67"/>
    <w:rsid w:val="006D1FE8"/>
    <w:rsid w:val="006D2140"/>
    <w:rsid w:val="006D22BD"/>
    <w:rsid w:val="006D22DE"/>
    <w:rsid w:val="006D235E"/>
    <w:rsid w:val="006D2488"/>
    <w:rsid w:val="006D252C"/>
    <w:rsid w:val="006D254B"/>
    <w:rsid w:val="006D2579"/>
    <w:rsid w:val="006D25C6"/>
    <w:rsid w:val="006D25DE"/>
    <w:rsid w:val="006D2699"/>
    <w:rsid w:val="006D2A1E"/>
    <w:rsid w:val="006D2B26"/>
    <w:rsid w:val="006D2B82"/>
    <w:rsid w:val="006D2BC2"/>
    <w:rsid w:val="006D2C1F"/>
    <w:rsid w:val="006D2C5F"/>
    <w:rsid w:val="006D2CD4"/>
    <w:rsid w:val="006D2DF7"/>
    <w:rsid w:val="006D2EC8"/>
    <w:rsid w:val="006D2EF5"/>
    <w:rsid w:val="006D2F48"/>
    <w:rsid w:val="006D301F"/>
    <w:rsid w:val="006D3104"/>
    <w:rsid w:val="006D32BA"/>
    <w:rsid w:val="006D32EF"/>
    <w:rsid w:val="006D33D9"/>
    <w:rsid w:val="006D342D"/>
    <w:rsid w:val="006D3437"/>
    <w:rsid w:val="006D345E"/>
    <w:rsid w:val="006D35D9"/>
    <w:rsid w:val="006D36D8"/>
    <w:rsid w:val="006D3AB3"/>
    <w:rsid w:val="006D3B3C"/>
    <w:rsid w:val="006D3B8B"/>
    <w:rsid w:val="006D3C84"/>
    <w:rsid w:val="006D3D33"/>
    <w:rsid w:val="006D3E66"/>
    <w:rsid w:val="006D3F31"/>
    <w:rsid w:val="006D3FEC"/>
    <w:rsid w:val="006D4010"/>
    <w:rsid w:val="006D401F"/>
    <w:rsid w:val="006D4053"/>
    <w:rsid w:val="006D4083"/>
    <w:rsid w:val="006D40A8"/>
    <w:rsid w:val="006D4113"/>
    <w:rsid w:val="006D41EE"/>
    <w:rsid w:val="006D440B"/>
    <w:rsid w:val="006D44A9"/>
    <w:rsid w:val="006D44CD"/>
    <w:rsid w:val="006D474B"/>
    <w:rsid w:val="006D47DD"/>
    <w:rsid w:val="006D495A"/>
    <w:rsid w:val="006D49E8"/>
    <w:rsid w:val="006D4B67"/>
    <w:rsid w:val="006D4BB0"/>
    <w:rsid w:val="006D4D2D"/>
    <w:rsid w:val="006D4DD5"/>
    <w:rsid w:val="006D4DDE"/>
    <w:rsid w:val="006D4E3E"/>
    <w:rsid w:val="006D4E70"/>
    <w:rsid w:val="006D4EA7"/>
    <w:rsid w:val="006D4EBA"/>
    <w:rsid w:val="006D4ECD"/>
    <w:rsid w:val="006D4F1E"/>
    <w:rsid w:val="006D4F6A"/>
    <w:rsid w:val="006D507C"/>
    <w:rsid w:val="006D52AB"/>
    <w:rsid w:val="006D5304"/>
    <w:rsid w:val="006D5309"/>
    <w:rsid w:val="006D53A6"/>
    <w:rsid w:val="006D53FE"/>
    <w:rsid w:val="006D544F"/>
    <w:rsid w:val="006D54D8"/>
    <w:rsid w:val="006D55AC"/>
    <w:rsid w:val="006D56FC"/>
    <w:rsid w:val="006D576E"/>
    <w:rsid w:val="006D5774"/>
    <w:rsid w:val="006D5A63"/>
    <w:rsid w:val="006D5B82"/>
    <w:rsid w:val="006D5C95"/>
    <w:rsid w:val="006D5E70"/>
    <w:rsid w:val="006D605F"/>
    <w:rsid w:val="006D614E"/>
    <w:rsid w:val="006D6168"/>
    <w:rsid w:val="006D6241"/>
    <w:rsid w:val="006D63DB"/>
    <w:rsid w:val="006D6484"/>
    <w:rsid w:val="006D654D"/>
    <w:rsid w:val="006D66C0"/>
    <w:rsid w:val="006D67AE"/>
    <w:rsid w:val="006D6833"/>
    <w:rsid w:val="006D68EF"/>
    <w:rsid w:val="006D6A96"/>
    <w:rsid w:val="006D6CBC"/>
    <w:rsid w:val="006D6D77"/>
    <w:rsid w:val="006D6DD4"/>
    <w:rsid w:val="006D6E60"/>
    <w:rsid w:val="006D6EAE"/>
    <w:rsid w:val="006D6F3E"/>
    <w:rsid w:val="006D6FE6"/>
    <w:rsid w:val="006D70EE"/>
    <w:rsid w:val="006D7132"/>
    <w:rsid w:val="006D7179"/>
    <w:rsid w:val="006D71B6"/>
    <w:rsid w:val="006D71E3"/>
    <w:rsid w:val="006D73FE"/>
    <w:rsid w:val="006D7424"/>
    <w:rsid w:val="006D7484"/>
    <w:rsid w:val="006D75B9"/>
    <w:rsid w:val="006D766F"/>
    <w:rsid w:val="006D76A4"/>
    <w:rsid w:val="006D76DD"/>
    <w:rsid w:val="006D7909"/>
    <w:rsid w:val="006D7940"/>
    <w:rsid w:val="006D7963"/>
    <w:rsid w:val="006D7A3D"/>
    <w:rsid w:val="006D7AB3"/>
    <w:rsid w:val="006D7AE7"/>
    <w:rsid w:val="006D7AF1"/>
    <w:rsid w:val="006D7CCA"/>
    <w:rsid w:val="006E0070"/>
    <w:rsid w:val="006E025A"/>
    <w:rsid w:val="006E04D3"/>
    <w:rsid w:val="006E0513"/>
    <w:rsid w:val="006E0673"/>
    <w:rsid w:val="006E08DB"/>
    <w:rsid w:val="006E0920"/>
    <w:rsid w:val="006E0AF3"/>
    <w:rsid w:val="006E0B44"/>
    <w:rsid w:val="006E0B81"/>
    <w:rsid w:val="006E0C19"/>
    <w:rsid w:val="006E0D4B"/>
    <w:rsid w:val="006E0E34"/>
    <w:rsid w:val="006E0E76"/>
    <w:rsid w:val="006E0ECE"/>
    <w:rsid w:val="006E0F2D"/>
    <w:rsid w:val="006E0F9D"/>
    <w:rsid w:val="006E1083"/>
    <w:rsid w:val="006E1127"/>
    <w:rsid w:val="006E1231"/>
    <w:rsid w:val="006E12DD"/>
    <w:rsid w:val="006E13D1"/>
    <w:rsid w:val="006E1425"/>
    <w:rsid w:val="006E150C"/>
    <w:rsid w:val="006E152B"/>
    <w:rsid w:val="006E154E"/>
    <w:rsid w:val="006E1631"/>
    <w:rsid w:val="006E1650"/>
    <w:rsid w:val="006E1794"/>
    <w:rsid w:val="006E19A8"/>
    <w:rsid w:val="006E19D1"/>
    <w:rsid w:val="006E1A3E"/>
    <w:rsid w:val="006E1A48"/>
    <w:rsid w:val="006E1AAE"/>
    <w:rsid w:val="006E1AC8"/>
    <w:rsid w:val="006E1B4F"/>
    <w:rsid w:val="006E1CC0"/>
    <w:rsid w:val="006E1CE8"/>
    <w:rsid w:val="006E1E20"/>
    <w:rsid w:val="006E1F58"/>
    <w:rsid w:val="006E205D"/>
    <w:rsid w:val="006E208B"/>
    <w:rsid w:val="006E2156"/>
    <w:rsid w:val="006E223C"/>
    <w:rsid w:val="006E230B"/>
    <w:rsid w:val="006E2463"/>
    <w:rsid w:val="006E24AA"/>
    <w:rsid w:val="006E25BD"/>
    <w:rsid w:val="006E2665"/>
    <w:rsid w:val="006E26C8"/>
    <w:rsid w:val="006E270D"/>
    <w:rsid w:val="006E2797"/>
    <w:rsid w:val="006E2799"/>
    <w:rsid w:val="006E2861"/>
    <w:rsid w:val="006E2958"/>
    <w:rsid w:val="006E2ABF"/>
    <w:rsid w:val="006E2AEE"/>
    <w:rsid w:val="006E2B8C"/>
    <w:rsid w:val="006E2C9B"/>
    <w:rsid w:val="006E2CE1"/>
    <w:rsid w:val="006E2D52"/>
    <w:rsid w:val="006E2EEA"/>
    <w:rsid w:val="006E2F29"/>
    <w:rsid w:val="006E2F7D"/>
    <w:rsid w:val="006E2FFB"/>
    <w:rsid w:val="006E3016"/>
    <w:rsid w:val="006E3131"/>
    <w:rsid w:val="006E32E3"/>
    <w:rsid w:val="006E3309"/>
    <w:rsid w:val="006E3311"/>
    <w:rsid w:val="006E3387"/>
    <w:rsid w:val="006E3394"/>
    <w:rsid w:val="006E3465"/>
    <w:rsid w:val="006E372B"/>
    <w:rsid w:val="006E3753"/>
    <w:rsid w:val="006E381A"/>
    <w:rsid w:val="006E3A0C"/>
    <w:rsid w:val="006E3A3D"/>
    <w:rsid w:val="006E3A40"/>
    <w:rsid w:val="006E3BA0"/>
    <w:rsid w:val="006E3C31"/>
    <w:rsid w:val="006E3F69"/>
    <w:rsid w:val="006E3F9E"/>
    <w:rsid w:val="006E4014"/>
    <w:rsid w:val="006E405F"/>
    <w:rsid w:val="006E40BF"/>
    <w:rsid w:val="006E40C1"/>
    <w:rsid w:val="006E412E"/>
    <w:rsid w:val="006E4145"/>
    <w:rsid w:val="006E414C"/>
    <w:rsid w:val="006E41CD"/>
    <w:rsid w:val="006E41F6"/>
    <w:rsid w:val="006E4200"/>
    <w:rsid w:val="006E4271"/>
    <w:rsid w:val="006E4310"/>
    <w:rsid w:val="006E44BA"/>
    <w:rsid w:val="006E455B"/>
    <w:rsid w:val="006E45A3"/>
    <w:rsid w:val="006E4651"/>
    <w:rsid w:val="006E471D"/>
    <w:rsid w:val="006E4798"/>
    <w:rsid w:val="006E47C1"/>
    <w:rsid w:val="006E499A"/>
    <w:rsid w:val="006E49B5"/>
    <w:rsid w:val="006E49B8"/>
    <w:rsid w:val="006E4A40"/>
    <w:rsid w:val="006E4B23"/>
    <w:rsid w:val="006E4BE9"/>
    <w:rsid w:val="006E4CF0"/>
    <w:rsid w:val="006E4EED"/>
    <w:rsid w:val="006E4EEF"/>
    <w:rsid w:val="006E50D4"/>
    <w:rsid w:val="006E5427"/>
    <w:rsid w:val="006E5495"/>
    <w:rsid w:val="006E550F"/>
    <w:rsid w:val="006E5582"/>
    <w:rsid w:val="006E559C"/>
    <w:rsid w:val="006E55A0"/>
    <w:rsid w:val="006E55B5"/>
    <w:rsid w:val="006E55EB"/>
    <w:rsid w:val="006E561D"/>
    <w:rsid w:val="006E5654"/>
    <w:rsid w:val="006E5699"/>
    <w:rsid w:val="006E5867"/>
    <w:rsid w:val="006E58AA"/>
    <w:rsid w:val="006E5D06"/>
    <w:rsid w:val="006E5D32"/>
    <w:rsid w:val="006E5D91"/>
    <w:rsid w:val="006E5DE7"/>
    <w:rsid w:val="006E5EBD"/>
    <w:rsid w:val="006E624A"/>
    <w:rsid w:val="006E62E0"/>
    <w:rsid w:val="006E6342"/>
    <w:rsid w:val="006E63DA"/>
    <w:rsid w:val="006E65DA"/>
    <w:rsid w:val="006E6720"/>
    <w:rsid w:val="006E6738"/>
    <w:rsid w:val="006E6740"/>
    <w:rsid w:val="006E67B0"/>
    <w:rsid w:val="006E68D3"/>
    <w:rsid w:val="006E68D6"/>
    <w:rsid w:val="006E6900"/>
    <w:rsid w:val="006E6A84"/>
    <w:rsid w:val="006E6C9B"/>
    <w:rsid w:val="006E6DD1"/>
    <w:rsid w:val="006E7091"/>
    <w:rsid w:val="006E70D7"/>
    <w:rsid w:val="006E722D"/>
    <w:rsid w:val="006E737A"/>
    <w:rsid w:val="006E737E"/>
    <w:rsid w:val="006E7443"/>
    <w:rsid w:val="006E7682"/>
    <w:rsid w:val="006E7774"/>
    <w:rsid w:val="006E7893"/>
    <w:rsid w:val="006E7A63"/>
    <w:rsid w:val="006E7AC7"/>
    <w:rsid w:val="006E7BE3"/>
    <w:rsid w:val="006E7C0A"/>
    <w:rsid w:val="006E7C12"/>
    <w:rsid w:val="006E7D04"/>
    <w:rsid w:val="006E7D54"/>
    <w:rsid w:val="006E7D7F"/>
    <w:rsid w:val="006E7E80"/>
    <w:rsid w:val="006E7EB9"/>
    <w:rsid w:val="006E7EF1"/>
    <w:rsid w:val="006E7EFA"/>
    <w:rsid w:val="006E7F18"/>
    <w:rsid w:val="006E7F5F"/>
    <w:rsid w:val="006E7FAB"/>
    <w:rsid w:val="006F00C3"/>
    <w:rsid w:val="006F0207"/>
    <w:rsid w:val="006F0229"/>
    <w:rsid w:val="006F0272"/>
    <w:rsid w:val="006F041A"/>
    <w:rsid w:val="006F0565"/>
    <w:rsid w:val="006F063F"/>
    <w:rsid w:val="006F07B7"/>
    <w:rsid w:val="006F0AC4"/>
    <w:rsid w:val="006F0BE9"/>
    <w:rsid w:val="006F0C19"/>
    <w:rsid w:val="006F0D1A"/>
    <w:rsid w:val="006F0D41"/>
    <w:rsid w:val="006F0DAC"/>
    <w:rsid w:val="006F0DF5"/>
    <w:rsid w:val="006F0F5F"/>
    <w:rsid w:val="006F0FC7"/>
    <w:rsid w:val="006F10EF"/>
    <w:rsid w:val="006F11D2"/>
    <w:rsid w:val="006F128C"/>
    <w:rsid w:val="006F13A5"/>
    <w:rsid w:val="006F1498"/>
    <w:rsid w:val="006F14DD"/>
    <w:rsid w:val="006F1522"/>
    <w:rsid w:val="006F1534"/>
    <w:rsid w:val="006F156C"/>
    <w:rsid w:val="006F16A7"/>
    <w:rsid w:val="006F184B"/>
    <w:rsid w:val="006F19E4"/>
    <w:rsid w:val="006F19EA"/>
    <w:rsid w:val="006F1AD1"/>
    <w:rsid w:val="006F1C42"/>
    <w:rsid w:val="006F1D38"/>
    <w:rsid w:val="006F1E01"/>
    <w:rsid w:val="006F1E64"/>
    <w:rsid w:val="006F1F69"/>
    <w:rsid w:val="006F1F7E"/>
    <w:rsid w:val="006F206F"/>
    <w:rsid w:val="006F2145"/>
    <w:rsid w:val="006F22D6"/>
    <w:rsid w:val="006F22FB"/>
    <w:rsid w:val="006F2371"/>
    <w:rsid w:val="006F23B3"/>
    <w:rsid w:val="006F2499"/>
    <w:rsid w:val="006F25CA"/>
    <w:rsid w:val="006F261E"/>
    <w:rsid w:val="006F26D2"/>
    <w:rsid w:val="006F276A"/>
    <w:rsid w:val="006F28F1"/>
    <w:rsid w:val="006F2900"/>
    <w:rsid w:val="006F29B9"/>
    <w:rsid w:val="006F29D9"/>
    <w:rsid w:val="006F29FE"/>
    <w:rsid w:val="006F2C01"/>
    <w:rsid w:val="006F2C40"/>
    <w:rsid w:val="006F2C48"/>
    <w:rsid w:val="006F2E4A"/>
    <w:rsid w:val="006F2EFD"/>
    <w:rsid w:val="006F3132"/>
    <w:rsid w:val="006F31B7"/>
    <w:rsid w:val="006F322E"/>
    <w:rsid w:val="006F32A8"/>
    <w:rsid w:val="006F32AC"/>
    <w:rsid w:val="006F33D5"/>
    <w:rsid w:val="006F369D"/>
    <w:rsid w:val="006F36A1"/>
    <w:rsid w:val="006F3730"/>
    <w:rsid w:val="006F38DD"/>
    <w:rsid w:val="006F394A"/>
    <w:rsid w:val="006F3AF2"/>
    <w:rsid w:val="006F3DA2"/>
    <w:rsid w:val="006F3E66"/>
    <w:rsid w:val="006F3E78"/>
    <w:rsid w:val="006F3EB3"/>
    <w:rsid w:val="006F3F00"/>
    <w:rsid w:val="006F3F02"/>
    <w:rsid w:val="006F3FE6"/>
    <w:rsid w:val="006F40AB"/>
    <w:rsid w:val="006F4173"/>
    <w:rsid w:val="006F417D"/>
    <w:rsid w:val="006F4188"/>
    <w:rsid w:val="006F41F1"/>
    <w:rsid w:val="006F41F7"/>
    <w:rsid w:val="006F4455"/>
    <w:rsid w:val="006F44AC"/>
    <w:rsid w:val="006F4646"/>
    <w:rsid w:val="006F46EB"/>
    <w:rsid w:val="006F4830"/>
    <w:rsid w:val="006F4886"/>
    <w:rsid w:val="006F4A91"/>
    <w:rsid w:val="006F4AE2"/>
    <w:rsid w:val="006F4C8D"/>
    <w:rsid w:val="006F4D10"/>
    <w:rsid w:val="006F4D54"/>
    <w:rsid w:val="006F4E95"/>
    <w:rsid w:val="006F4F32"/>
    <w:rsid w:val="006F4F75"/>
    <w:rsid w:val="006F5048"/>
    <w:rsid w:val="006F50CB"/>
    <w:rsid w:val="006F5152"/>
    <w:rsid w:val="006F5262"/>
    <w:rsid w:val="006F537A"/>
    <w:rsid w:val="006F56CD"/>
    <w:rsid w:val="006F575D"/>
    <w:rsid w:val="006F58B4"/>
    <w:rsid w:val="006F5947"/>
    <w:rsid w:val="006F599C"/>
    <w:rsid w:val="006F59D5"/>
    <w:rsid w:val="006F5ABA"/>
    <w:rsid w:val="006F5B54"/>
    <w:rsid w:val="006F5B5B"/>
    <w:rsid w:val="006F5CBF"/>
    <w:rsid w:val="006F5CCC"/>
    <w:rsid w:val="006F5D41"/>
    <w:rsid w:val="006F5D94"/>
    <w:rsid w:val="006F5DB6"/>
    <w:rsid w:val="006F5DE0"/>
    <w:rsid w:val="006F5EC1"/>
    <w:rsid w:val="006F5F1C"/>
    <w:rsid w:val="006F5FDF"/>
    <w:rsid w:val="006F6082"/>
    <w:rsid w:val="006F62A9"/>
    <w:rsid w:val="006F6430"/>
    <w:rsid w:val="006F6522"/>
    <w:rsid w:val="006F6585"/>
    <w:rsid w:val="006F65A5"/>
    <w:rsid w:val="006F65D6"/>
    <w:rsid w:val="006F6600"/>
    <w:rsid w:val="006F66F2"/>
    <w:rsid w:val="006F66FD"/>
    <w:rsid w:val="006F675A"/>
    <w:rsid w:val="006F6775"/>
    <w:rsid w:val="006F67BD"/>
    <w:rsid w:val="006F684D"/>
    <w:rsid w:val="006F6AB9"/>
    <w:rsid w:val="006F6ED1"/>
    <w:rsid w:val="006F6F30"/>
    <w:rsid w:val="006F6F5F"/>
    <w:rsid w:val="006F6FF3"/>
    <w:rsid w:val="006F72D2"/>
    <w:rsid w:val="006F730D"/>
    <w:rsid w:val="006F734A"/>
    <w:rsid w:val="006F7452"/>
    <w:rsid w:val="006F745D"/>
    <w:rsid w:val="006F74A7"/>
    <w:rsid w:val="006F74CC"/>
    <w:rsid w:val="006F74FD"/>
    <w:rsid w:val="006F7557"/>
    <w:rsid w:val="006F76F7"/>
    <w:rsid w:val="006F772E"/>
    <w:rsid w:val="006F7815"/>
    <w:rsid w:val="006F782E"/>
    <w:rsid w:val="006F7836"/>
    <w:rsid w:val="006F7911"/>
    <w:rsid w:val="006F7988"/>
    <w:rsid w:val="006F7A11"/>
    <w:rsid w:val="006F7A29"/>
    <w:rsid w:val="006F7C06"/>
    <w:rsid w:val="006F7CDF"/>
    <w:rsid w:val="006F7DB4"/>
    <w:rsid w:val="006F7E34"/>
    <w:rsid w:val="006F7E86"/>
    <w:rsid w:val="006F7F22"/>
    <w:rsid w:val="0070001D"/>
    <w:rsid w:val="00700069"/>
    <w:rsid w:val="00700170"/>
    <w:rsid w:val="007001B8"/>
    <w:rsid w:val="007002F4"/>
    <w:rsid w:val="00700330"/>
    <w:rsid w:val="007003C1"/>
    <w:rsid w:val="007004B0"/>
    <w:rsid w:val="0070058A"/>
    <w:rsid w:val="007005CA"/>
    <w:rsid w:val="00700603"/>
    <w:rsid w:val="00700646"/>
    <w:rsid w:val="00700662"/>
    <w:rsid w:val="007008A3"/>
    <w:rsid w:val="00700936"/>
    <w:rsid w:val="00700A94"/>
    <w:rsid w:val="00700B07"/>
    <w:rsid w:val="00700B1D"/>
    <w:rsid w:val="00700B23"/>
    <w:rsid w:val="00700B30"/>
    <w:rsid w:val="00700C93"/>
    <w:rsid w:val="00700F0A"/>
    <w:rsid w:val="00701053"/>
    <w:rsid w:val="007010AA"/>
    <w:rsid w:val="007010EB"/>
    <w:rsid w:val="00701237"/>
    <w:rsid w:val="00701328"/>
    <w:rsid w:val="007013DD"/>
    <w:rsid w:val="0070174B"/>
    <w:rsid w:val="0070188F"/>
    <w:rsid w:val="00701AE9"/>
    <w:rsid w:val="00701C14"/>
    <w:rsid w:val="00701DBD"/>
    <w:rsid w:val="00701DC9"/>
    <w:rsid w:val="00701DD1"/>
    <w:rsid w:val="00701FAE"/>
    <w:rsid w:val="00702090"/>
    <w:rsid w:val="007020AE"/>
    <w:rsid w:val="0070223A"/>
    <w:rsid w:val="0070234F"/>
    <w:rsid w:val="00702454"/>
    <w:rsid w:val="00702498"/>
    <w:rsid w:val="00702505"/>
    <w:rsid w:val="00702768"/>
    <w:rsid w:val="00702779"/>
    <w:rsid w:val="007027EC"/>
    <w:rsid w:val="00702BE2"/>
    <w:rsid w:val="00702BFC"/>
    <w:rsid w:val="00702C5E"/>
    <w:rsid w:val="00702DB2"/>
    <w:rsid w:val="00702DC0"/>
    <w:rsid w:val="00702DFA"/>
    <w:rsid w:val="00702E7C"/>
    <w:rsid w:val="007030C1"/>
    <w:rsid w:val="007031A6"/>
    <w:rsid w:val="0070331B"/>
    <w:rsid w:val="007033D8"/>
    <w:rsid w:val="0070342D"/>
    <w:rsid w:val="00703437"/>
    <w:rsid w:val="00703518"/>
    <w:rsid w:val="0070357F"/>
    <w:rsid w:val="0070358E"/>
    <w:rsid w:val="00703689"/>
    <w:rsid w:val="007036D6"/>
    <w:rsid w:val="007036F1"/>
    <w:rsid w:val="0070370B"/>
    <w:rsid w:val="007037F1"/>
    <w:rsid w:val="00703926"/>
    <w:rsid w:val="00703AF1"/>
    <w:rsid w:val="00703BE7"/>
    <w:rsid w:val="00703CBA"/>
    <w:rsid w:val="00703D6D"/>
    <w:rsid w:val="00703E2B"/>
    <w:rsid w:val="00703E7E"/>
    <w:rsid w:val="00703ED0"/>
    <w:rsid w:val="00703ED5"/>
    <w:rsid w:val="00703EE5"/>
    <w:rsid w:val="00703EED"/>
    <w:rsid w:val="00703F52"/>
    <w:rsid w:val="007040BA"/>
    <w:rsid w:val="007041AC"/>
    <w:rsid w:val="00704260"/>
    <w:rsid w:val="00704321"/>
    <w:rsid w:val="007045B1"/>
    <w:rsid w:val="007046C5"/>
    <w:rsid w:val="0070473E"/>
    <w:rsid w:val="007047B2"/>
    <w:rsid w:val="007048F0"/>
    <w:rsid w:val="00704A10"/>
    <w:rsid w:val="00704AFD"/>
    <w:rsid w:val="00704B12"/>
    <w:rsid w:val="00704BE7"/>
    <w:rsid w:val="00704C7D"/>
    <w:rsid w:val="00704C80"/>
    <w:rsid w:val="00704D35"/>
    <w:rsid w:val="00704D54"/>
    <w:rsid w:val="00704DDE"/>
    <w:rsid w:val="00704F12"/>
    <w:rsid w:val="007051B4"/>
    <w:rsid w:val="00705233"/>
    <w:rsid w:val="00705372"/>
    <w:rsid w:val="0070547A"/>
    <w:rsid w:val="007054CB"/>
    <w:rsid w:val="007054DD"/>
    <w:rsid w:val="00705569"/>
    <w:rsid w:val="007056A8"/>
    <w:rsid w:val="0070572C"/>
    <w:rsid w:val="0070583A"/>
    <w:rsid w:val="0070593A"/>
    <w:rsid w:val="00705C3C"/>
    <w:rsid w:val="00705D1A"/>
    <w:rsid w:val="00705DE8"/>
    <w:rsid w:val="00705F12"/>
    <w:rsid w:val="007060B8"/>
    <w:rsid w:val="007060F8"/>
    <w:rsid w:val="00706212"/>
    <w:rsid w:val="007064CD"/>
    <w:rsid w:val="007064DA"/>
    <w:rsid w:val="0070651A"/>
    <w:rsid w:val="00706555"/>
    <w:rsid w:val="00706756"/>
    <w:rsid w:val="007067FE"/>
    <w:rsid w:val="00706805"/>
    <w:rsid w:val="0070683D"/>
    <w:rsid w:val="0070684D"/>
    <w:rsid w:val="007068C8"/>
    <w:rsid w:val="007068D6"/>
    <w:rsid w:val="00706934"/>
    <w:rsid w:val="007069A9"/>
    <w:rsid w:val="007069C9"/>
    <w:rsid w:val="00706A7E"/>
    <w:rsid w:val="00706B04"/>
    <w:rsid w:val="00706B40"/>
    <w:rsid w:val="00706BF0"/>
    <w:rsid w:val="00706C08"/>
    <w:rsid w:val="00706C8D"/>
    <w:rsid w:val="0070700F"/>
    <w:rsid w:val="00707170"/>
    <w:rsid w:val="007071CB"/>
    <w:rsid w:val="0070722A"/>
    <w:rsid w:val="0070744E"/>
    <w:rsid w:val="00707468"/>
    <w:rsid w:val="00707618"/>
    <w:rsid w:val="00707696"/>
    <w:rsid w:val="00707776"/>
    <w:rsid w:val="0070779D"/>
    <w:rsid w:val="00707852"/>
    <w:rsid w:val="007078D3"/>
    <w:rsid w:val="0070793E"/>
    <w:rsid w:val="00707962"/>
    <w:rsid w:val="0070796F"/>
    <w:rsid w:val="00707A4C"/>
    <w:rsid w:val="00707B3A"/>
    <w:rsid w:val="00707CC3"/>
    <w:rsid w:val="00707D19"/>
    <w:rsid w:val="00707D3A"/>
    <w:rsid w:val="00707DED"/>
    <w:rsid w:val="00707E8D"/>
    <w:rsid w:val="00707FAD"/>
    <w:rsid w:val="00710091"/>
    <w:rsid w:val="007100B1"/>
    <w:rsid w:val="007101A0"/>
    <w:rsid w:val="00710202"/>
    <w:rsid w:val="007102A1"/>
    <w:rsid w:val="007104A2"/>
    <w:rsid w:val="00710542"/>
    <w:rsid w:val="00710543"/>
    <w:rsid w:val="00710544"/>
    <w:rsid w:val="0071054C"/>
    <w:rsid w:val="007105C0"/>
    <w:rsid w:val="00710661"/>
    <w:rsid w:val="0071087B"/>
    <w:rsid w:val="007108D3"/>
    <w:rsid w:val="0071096F"/>
    <w:rsid w:val="007109D3"/>
    <w:rsid w:val="00710AEC"/>
    <w:rsid w:val="00710B13"/>
    <w:rsid w:val="00710B84"/>
    <w:rsid w:val="00710D83"/>
    <w:rsid w:val="00710F2C"/>
    <w:rsid w:val="00710F46"/>
    <w:rsid w:val="00711004"/>
    <w:rsid w:val="00711017"/>
    <w:rsid w:val="007110B2"/>
    <w:rsid w:val="00711135"/>
    <w:rsid w:val="007111CF"/>
    <w:rsid w:val="007111FF"/>
    <w:rsid w:val="00711412"/>
    <w:rsid w:val="0071146A"/>
    <w:rsid w:val="0071157A"/>
    <w:rsid w:val="00711673"/>
    <w:rsid w:val="007116BE"/>
    <w:rsid w:val="007116C6"/>
    <w:rsid w:val="0071175F"/>
    <w:rsid w:val="00711771"/>
    <w:rsid w:val="00711A56"/>
    <w:rsid w:val="00711AED"/>
    <w:rsid w:val="00711BB0"/>
    <w:rsid w:val="00711CAD"/>
    <w:rsid w:val="00711E02"/>
    <w:rsid w:val="00711E19"/>
    <w:rsid w:val="00711F4A"/>
    <w:rsid w:val="007120F2"/>
    <w:rsid w:val="00712120"/>
    <w:rsid w:val="00712315"/>
    <w:rsid w:val="007123A8"/>
    <w:rsid w:val="00712489"/>
    <w:rsid w:val="00712575"/>
    <w:rsid w:val="007125F9"/>
    <w:rsid w:val="00712694"/>
    <w:rsid w:val="007127D5"/>
    <w:rsid w:val="0071286C"/>
    <w:rsid w:val="00712874"/>
    <w:rsid w:val="0071289D"/>
    <w:rsid w:val="007128CB"/>
    <w:rsid w:val="00712911"/>
    <w:rsid w:val="00712929"/>
    <w:rsid w:val="00712B23"/>
    <w:rsid w:val="00712BAB"/>
    <w:rsid w:val="00712C28"/>
    <w:rsid w:val="00712D18"/>
    <w:rsid w:val="00713181"/>
    <w:rsid w:val="00713191"/>
    <w:rsid w:val="00713299"/>
    <w:rsid w:val="007132DB"/>
    <w:rsid w:val="007133D0"/>
    <w:rsid w:val="007134AB"/>
    <w:rsid w:val="0071353A"/>
    <w:rsid w:val="007135E4"/>
    <w:rsid w:val="007137A7"/>
    <w:rsid w:val="007137AB"/>
    <w:rsid w:val="00713A20"/>
    <w:rsid w:val="00713B85"/>
    <w:rsid w:val="00713BAE"/>
    <w:rsid w:val="00713C70"/>
    <w:rsid w:val="00713C98"/>
    <w:rsid w:val="00713D8C"/>
    <w:rsid w:val="00713FCF"/>
    <w:rsid w:val="00714069"/>
    <w:rsid w:val="007140EC"/>
    <w:rsid w:val="007140ED"/>
    <w:rsid w:val="007141EF"/>
    <w:rsid w:val="00714206"/>
    <w:rsid w:val="00714210"/>
    <w:rsid w:val="007142E2"/>
    <w:rsid w:val="0071439D"/>
    <w:rsid w:val="0071461B"/>
    <w:rsid w:val="007146AC"/>
    <w:rsid w:val="007146EB"/>
    <w:rsid w:val="0071470E"/>
    <w:rsid w:val="00714950"/>
    <w:rsid w:val="00714979"/>
    <w:rsid w:val="00714A80"/>
    <w:rsid w:val="00714AA4"/>
    <w:rsid w:val="00714DEE"/>
    <w:rsid w:val="00714E23"/>
    <w:rsid w:val="007150E1"/>
    <w:rsid w:val="00715166"/>
    <w:rsid w:val="007151C5"/>
    <w:rsid w:val="0071520A"/>
    <w:rsid w:val="00715433"/>
    <w:rsid w:val="007154DB"/>
    <w:rsid w:val="00715557"/>
    <w:rsid w:val="0071560A"/>
    <w:rsid w:val="00715651"/>
    <w:rsid w:val="007156CA"/>
    <w:rsid w:val="00715941"/>
    <w:rsid w:val="00715943"/>
    <w:rsid w:val="00715A4F"/>
    <w:rsid w:val="00715A91"/>
    <w:rsid w:val="00715C1A"/>
    <w:rsid w:val="00715C70"/>
    <w:rsid w:val="00715D0A"/>
    <w:rsid w:val="00715D29"/>
    <w:rsid w:val="00715DA5"/>
    <w:rsid w:val="00715DCC"/>
    <w:rsid w:val="0071602C"/>
    <w:rsid w:val="007160E5"/>
    <w:rsid w:val="007161C4"/>
    <w:rsid w:val="00716216"/>
    <w:rsid w:val="007163A1"/>
    <w:rsid w:val="007163E2"/>
    <w:rsid w:val="00716401"/>
    <w:rsid w:val="007164FB"/>
    <w:rsid w:val="007165CD"/>
    <w:rsid w:val="0071661B"/>
    <w:rsid w:val="007167E8"/>
    <w:rsid w:val="00716864"/>
    <w:rsid w:val="007168A5"/>
    <w:rsid w:val="007168D7"/>
    <w:rsid w:val="0071690B"/>
    <w:rsid w:val="00716946"/>
    <w:rsid w:val="00716986"/>
    <w:rsid w:val="00716BA8"/>
    <w:rsid w:val="00716C83"/>
    <w:rsid w:val="00716CF4"/>
    <w:rsid w:val="00716D31"/>
    <w:rsid w:val="00716F65"/>
    <w:rsid w:val="00717004"/>
    <w:rsid w:val="00717014"/>
    <w:rsid w:val="007172EE"/>
    <w:rsid w:val="0071736F"/>
    <w:rsid w:val="007173A0"/>
    <w:rsid w:val="007173AA"/>
    <w:rsid w:val="007173E5"/>
    <w:rsid w:val="007174EE"/>
    <w:rsid w:val="00717588"/>
    <w:rsid w:val="0071765D"/>
    <w:rsid w:val="00717717"/>
    <w:rsid w:val="0071775F"/>
    <w:rsid w:val="00717795"/>
    <w:rsid w:val="007178B2"/>
    <w:rsid w:val="007178E6"/>
    <w:rsid w:val="0071794F"/>
    <w:rsid w:val="00717A32"/>
    <w:rsid w:val="00717CD5"/>
    <w:rsid w:val="00717DAA"/>
    <w:rsid w:val="00717DBF"/>
    <w:rsid w:val="00717DCD"/>
    <w:rsid w:val="00717F4B"/>
    <w:rsid w:val="00717F52"/>
    <w:rsid w:val="00717F8E"/>
    <w:rsid w:val="00717FDA"/>
    <w:rsid w:val="00720039"/>
    <w:rsid w:val="0072007F"/>
    <w:rsid w:val="0072008E"/>
    <w:rsid w:val="007200C1"/>
    <w:rsid w:val="0072019D"/>
    <w:rsid w:val="0072029F"/>
    <w:rsid w:val="007202BB"/>
    <w:rsid w:val="007202EB"/>
    <w:rsid w:val="007202F2"/>
    <w:rsid w:val="00720342"/>
    <w:rsid w:val="007203AE"/>
    <w:rsid w:val="007204D9"/>
    <w:rsid w:val="00720532"/>
    <w:rsid w:val="0072061B"/>
    <w:rsid w:val="00720644"/>
    <w:rsid w:val="0072075B"/>
    <w:rsid w:val="00720774"/>
    <w:rsid w:val="007207BB"/>
    <w:rsid w:val="007208CA"/>
    <w:rsid w:val="0072098C"/>
    <w:rsid w:val="00720B1B"/>
    <w:rsid w:val="00720B97"/>
    <w:rsid w:val="00720BC6"/>
    <w:rsid w:val="00720E7A"/>
    <w:rsid w:val="00720EF1"/>
    <w:rsid w:val="0072115E"/>
    <w:rsid w:val="00721181"/>
    <w:rsid w:val="0072124B"/>
    <w:rsid w:val="007212A5"/>
    <w:rsid w:val="0072146D"/>
    <w:rsid w:val="007214D8"/>
    <w:rsid w:val="00721502"/>
    <w:rsid w:val="00721641"/>
    <w:rsid w:val="00721652"/>
    <w:rsid w:val="007217F2"/>
    <w:rsid w:val="0072184F"/>
    <w:rsid w:val="00721854"/>
    <w:rsid w:val="007219F8"/>
    <w:rsid w:val="00721AA7"/>
    <w:rsid w:val="00721B41"/>
    <w:rsid w:val="00721B67"/>
    <w:rsid w:val="00721BF6"/>
    <w:rsid w:val="00721D18"/>
    <w:rsid w:val="00721DDA"/>
    <w:rsid w:val="00721DDF"/>
    <w:rsid w:val="00721F04"/>
    <w:rsid w:val="00721FEB"/>
    <w:rsid w:val="00722062"/>
    <w:rsid w:val="0072206E"/>
    <w:rsid w:val="0072217F"/>
    <w:rsid w:val="007221FE"/>
    <w:rsid w:val="00722288"/>
    <w:rsid w:val="00722296"/>
    <w:rsid w:val="007222A6"/>
    <w:rsid w:val="007224E4"/>
    <w:rsid w:val="00722500"/>
    <w:rsid w:val="00722628"/>
    <w:rsid w:val="0072263A"/>
    <w:rsid w:val="00722710"/>
    <w:rsid w:val="00722773"/>
    <w:rsid w:val="007227DB"/>
    <w:rsid w:val="00722929"/>
    <w:rsid w:val="00722A3F"/>
    <w:rsid w:val="00722B20"/>
    <w:rsid w:val="00722CAE"/>
    <w:rsid w:val="00722D59"/>
    <w:rsid w:val="00722E21"/>
    <w:rsid w:val="00722E76"/>
    <w:rsid w:val="00722ED5"/>
    <w:rsid w:val="00722FF5"/>
    <w:rsid w:val="0072307D"/>
    <w:rsid w:val="00723131"/>
    <w:rsid w:val="00723255"/>
    <w:rsid w:val="007232C3"/>
    <w:rsid w:val="00723371"/>
    <w:rsid w:val="00723439"/>
    <w:rsid w:val="0072346D"/>
    <w:rsid w:val="007234B5"/>
    <w:rsid w:val="0072352B"/>
    <w:rsid w:val="007236DD"/>
    <w:rsid w:val="00723737"/>
    <w:rsid w:val="0072382E"/>
    <w:rsid w:val="00723944"/>
    <w:rsid w:val="00723965"/>
    <w:rsid w:val="0072397C"/>
    <w:rsid w:val="00723A8F"/>
    <w:rsid w:val="00723D4E"/>
    <w:rsid w:val="00723DB0"/>
    <w:rsid w:val="00723F77"/>
    <w:rsid w:val="00723F8C"/>
    <w:rsid w:val="007240E8"/>
    <w:rsid w:val="0072410A"/>
    <w:rsid w:val="00724194"/>
    <w:rsid w:val="00724233"/>
    <w:rsid w:val="0072427E"/>
    <w:rsid w:val="00724423"/>
    <w:rsid w:val="00724460"/>
    <w:rsid w:val="0072464B"/>
    <w:rsid w:val="00724686"/>
    <w:rsid w:val="0072471F"/>
    <w:rsid w:val="007247C3"/>
    <w:rsid w:val="007247F3"/>
    <w:rsid w:val="007247FE"/>
    <w:rsid w:val="007248B9"/>
    <w:rsid w:val="007248CB"/>
    <w:rsid w:val="00724958"/>
    <w:rsid w:val="00724A5E"/>
    <w:rsid w:val="00724A9E"/>
    <w:rsid w:val="00724B55"/>
    <w:rsid w:val="00724C71"/>
    <w:rsid w:val="00724CCB"/>
    <w:rsid w:val="00724D25"/>
    <w:rsid w:val="00724DB9"/>
    <w:rsid w:val="00725003"/>
    <w:rsid w:val="0072501D"/>
    <w:rsid w:val="00725147"/>
    <w:rsid w:val="00725168"/>
    <w:rsid w:val="0072550F"/>
    <w:rsid w:val="00725529"/>
    <w:rsid w:val="007255AA"/>
    <w:rsid w:val="007255E1"/>
    <w:rsid w:val="00725638"/>
    <w:rsid w:val="007257A6"/>
    <w:rsid w:val="007259A8"/>
    <w:rsid w:val="00725A45"/>
    <w:rsid w:val="00725B38"/>
    <w:rsid w:val="00725B8B"/>
    <w:rsid w:val="00725D5B"/>
    <w:rsid w:val="00725E39"/>
    <w:rsid w:val="00725E56"/>
    <w:rsid w:val="00725E6C"/>
    <w:rsid w:val="007262A7"/>
    <w:rsid w:val="00726302"/>
    <w:rsid w:val="007265DB"/>
    <w:rsid w:val="007266C5"/>
    <w:rsid w:val="0072671A"/>
    <w:rsid w:val="007267A2"/>
    <w:rsid w:val="007267ED"/>
    <w:rsid w:val="0072683B"/>
    <w:rsid w:val="007268A2"/>
    <w:rsid w:val="00726A08"/>
    <w:rsid w:val="00726AB3"/>
    <w:rsid w:val="00726AC7"/>
    <w:rsid w:val="00726AD7"/>
    <w:rsid w:val="00726B36"/>
    <w:rsid w:val="00726B86"/>
    <w:rsid w:val="00726BFE"/>
    <w:rsid w:val="00726CA9"/>
    <w:rsid w:val="00726CEA"/>
    <w:rsid w:val="00726EDD"/>
    <w:rsid w:val="00726EF3"/>
    <w:rsid w:val="00726FA3"/>
    <w:rsid w:val="007271B9"/>
    <w:rsid w:val="00727312"/>
    <w:rsid w:val="0072739F"/>
    <w:rsid w:val="007273C7"/>
    <w:rsid w:val="0072744F"/>
    <w:rsid w:val="00727539"/>
    <w:rsid w:val="007275B4"/>
    <w:rsid w:val="00727623"/>
    <w:rsid w:val="007278E2"/>
    <w:rsid w:val="00727904"/>
    <w:rsid w:val="0072798B"/>
    <w:rsid w:val="00727A3B"/>
    <w:rsid w:val="00727AF7"/>
    <w:rsid w:val="00727BBE"/>
    <w:rsid w:val="00727BCB"/>
    <w:rsid w:val="00727C95"/>
    <w:rsid w:val="00727D86"/>
    <w:rsid w:val="00727EB2"/>
    <w:rsid w:val="00727FCE"/>
    <w:rsid w:val="00727FF3"/>
    <w:rsid w:val="00730068"/>
    <w:rsid w:val="007300DB"/>
    <w:rsid w:val="00730284"/>
    <w:rsid w:val="00730422"/>
    <w:rsid w:val="00730800"/>
    <w:rsid w:val="00730835"/>
    <w:rsid w:val="00730890"/>
    <w:rsid w:val="00730982"/>
    <w:rsid w:val="00730A14"/>
    <w:rsid w:val="00730B7F"/>
    <w:rsid w:val="00730ECE"/>
    <w:rsid w:val="00730EF5"/>
    <w:rsid w:val="007310AF"/>
    <w:rsid w:val="007311CA"/>
    <w:rsid w:val="007313BD"/>
    <w:rsid w:val="007314C3"/>
    <w:rsid w:val="00731639"/>
    <w:rsid w:val="00731828"/>
    <w:rsid w:val="0073182A"/>
    <w:rsid w:val="00731927"/>
    <w:rsid w:val="00731956"/>
    <w:rsid w:val="00731B12"/>
    <w:rsid w:val="00731C7B"/>
    <w:rsid w:val="00731CDE"/>
    <w:rsid w:val="00731DAB"/>
    <w:rsid w:val="00731E04"/>
    <w:rsid w:val="00731E4C"/>
    <w:rsid w:val="00731E9B"/>
    <w:rsid w:val="00731EC7"/>
    <w:rsid w:val="00731EFB"/>
    <w:rsid w:val="00731F1E"/>
    <w:rsid w:val="00731F61"/>
    <w:rsid w:val="00731FF3"/>
    <w:rsid w:val="007320D2"/>
    <w:rsid w:val="00732180"/>
    <w:rsid w:val="007323C0"/>
    <w:rsid w:val="007323E2"/>
    <w:rsid w:val="00732402"/>
    <w:rsid w:val="00732422"/>
    <w:rsid w:val="007324E0"/>
    <w:rsid w:val="007324F6"/>
    <w:rsid w:val="0073253F"/>
    <w:rsid w:val="00732548"/>
    <w:rsid w:val="007328B5"/>
    <w:rsid w:val="00732925"/>
    <w:rsid w:val="007329A3"/>
    <w:rsid w:val="007329EA"/>
    <w:rsid w:val="00732AAE"/>
    <w:rsid w:val="00732AB6"/>
    <w:rsid w:val="00732CF4"/>
    <w:rsid w:val="00732D77"/>
    <w:rsid w:val="00732E5F"/>
    <w:rsid w:val="00732E74"/>
    <w:rsid w:val="00732F8D"/>
    <w:rsid w:val="00733396"/>
    <w:rsid w:val="00733400"/>
    <w:rsid w:val="0073347E"/>
    <w:rsid w:val="007337DD"/>
    <w:rsid w:val="007337DE"/>
    <w:rsid w:val="007338DB"/>
    <w:rsid w:val="007339B6"/>
    <w:rsid w:val="00733ADB"/>
    <w:rsid w:val="00733B20"/>
    <w:rsid w:val="00733B50"/>
    <w:rsid w:val="00733B61"/>
    <w:rsid w:val="00733BE8"/>
    <w:rsid w:val="00733C8B"/>
    <w:rsid w:val="00733C96"/>
    <w:rsid w:val="00733D3E"/>
    <w:rsid w:val="00733F57"/>
    <w:rsid w:val="00733FA4"/>
    <w:rsid w:val="0073418A"/>
    <w:rsid w:val="0073426B"/>
    <w:rsid w:val="007342FC"/>
    <w:rsid w:val="00734312"/>
    <w:rsid w:val="00734385"/>
    <w:rsid w:val="007343A6"/>
    <w:rsid w:val="007344F8"/>
    <w:rsid w:val="00734546"/>
    <w:rsid w:val="0073459A"/>
    <w:rsid w:val="007345E1"/>
    <w:rsid w:val="007345FD"/>
    <w:rsid w:val="00734924"/>
    <w:rsid w:val="00734A59"/>
    <w:rsid w:val="00734BAD"/>
    <w:rsid w:val="00734C9A"/>
    <w:rsid w:val="00734D46"/>
    <w:rsid w:val="00734DD5"/>
    <w:rsid w:val="00734FAB"/>
    <w:rsid w:val="007350F4"/>
    <w:rsid w:val="00735104"/>
    <w:rsid w:val="00735198"/>
    <w:rsid w:val="00735219"/>
    <w:rsid w:val="00735223"/>
    <w:rsid w:val="00735279"/>
    <w:rsid w:val="00735304"/>
    <w:rsid w:val="00735368"/>
    <w:rsid w:val="00735493"/>
    <w:rsid w:val="00735605"/>
    <w:rsid w:val="00735621"/>
    <w:rsid w:val="007356C6"/>
    <w:rsid w:val="007357FE"/>
    <w:rsid w:val="0073591E"/>
    <w:rsid w:val="00735A3E"/>
    <w:rsid w:val="00735AAA"/>
    <w:rsid w:val="00735B28"/>
    <w:rsid w:val="00735CFD"/>
    <w:rsid w:val="00735DD2"/>
    <w:rsid w:val="00735E09"/>
    <w:rsid w:val="00735EFA"/>
    <w:rsid w:val="00735F39"/>
    <w:rsid w:val="00735FF9"/>
    <w:rsid w:val="00736006"/>
    <w:rsid w:val="0073607C"/>
    <w:rsid w:val="00736089"/>
    <w:rsid w:val="0073609B"/>
    <w:rsid w:val="00736225"/>
    <w:rsid w:val="00736300"/>
    <w:rsid w:val="0073636B"/>
    <w:rsid w:val="007363BF"/>
    <w:rsid w:val="007363D4"/>
    <w:rsid w:val="0073643E"/>
    <w:rsid w:val="007364C4"/>
    <w:rsid w:val="0073667D"/>
    <w:rsid w:val="007366A9"/>
    <w:rsid w:val="007367B7"/>
    <w:rsid w:val="0073687C"/>
    <w:rsid w:val="0073692E"/>
    <w:rsid w:val="00736996"/>
    <w:rsid w:val="00736A32"/>
    <w:rsid w:val="00736A91"/>
    <w:rsid w:val="00736AC5"/>
    <w:rsid w:val="00736B17"/>
    <w:rsid w:val="00736D04"/>
    <w:rsid w:val="00736D70"/>
    <w:rsid w:val="00737077"/>
    <w:rsid w:val="0073708D"/>
    <w:rsid w:val="007370A1"/>
    <w:rsid w:val="007370DE"/>
    <w:rsid w:val="0073713D"/>
    <w:rsid w:val="0073714F"/>
    <w:rsid w:val="00737207"/>
    <w:rsid w:val="00737248"/>
    <w:rsid w:val="00737273"/>
    <w:rsid w:val="00737409"/>
    <w:rsid w:val="00737714"/>
    <w:rsid w:val="007377F2"/>
    <w:rsid w:val="0073784D"/>
    <w:rsid w:val="00737903"/>
    <w:rsid w:val="007379A7"/>
    <w:rsid w:val="007379FC"/>
    <w:rsid w:val="00737A3C"/>
    <w:rsid w:val="00737A79"/>
    <w:rsid w:val="00737AC2"/>
    <w:rsid w:val="00737ACA"/>
    <w:rsid w:val="00737AE4"/>
    <w:rsid w:val="00737B38"/>
    <w:rsid w:val="00737B6F"/>
    <w:rsid w:val="00737C69"/>
    <w:rsid w:val="00737CA2"/>
    <w:rsid w:val="00737DD1"/>
    <w:rsid w:val="00737DDA"/>
    <w:rsid w:val="00737DFD"/>
    <w:rsid w:val="00737EC1"/>
    <w:rsid w:val="00737F7F"/>
    <w:rsid w:val="007400DD"/>
    <w:rsid w:val="007400E6"/>
    <w:rsid w:val="007400FF"/>
    <w:rsid w:val="007401A7"/>
    <w:rsid w:val="007403D8"/>
    <w:rsid w:val="0074043D"/>
    <w:rsid w:val="00740491"/>
    <w:rsid w:val="00740536"/>
    <w:rsid w:val="00740565"/>
    <w:rsid w:val="00740566"/>
    <w:rsid w:val="00740574"/>
    <w:rsid w:val="00740575"/>
    <w:rsid w:val="00740652"/>
    <w:rsid w:val="00740685"/>
    <w:rsid w:val="007407DD"/>
    <w:rsid w:val="00740836"/>
    <w:rsid w:val="00740970"/>
    <w:rsid w:val="00740A7F"/>
    <w:rsid w:val="00740AF9"/>
    <w:rsid w:val="00740C31"/>
    <w:rsid w:val="00740CD7"/>
    <w:rsid w:val="00740D62"/>
    <w:rsid w:val="00740F72"/>
    <w:rsid w:val="00740F74"/>
    <w:rsid w:val="007411FA"/>
    <w:rsid w:val="00741321"/>
    <w:rsid w:val="007413A5"/>
    <w:rsid w:val="00741413"/>
    <w:rsid w:val="00741525"/>
    <w:rsid w:val="007415F0"/>
    <w:rsid w:val="00741690"/>
    <w:rsid w:val="0074179A"/>
    <w:rsid w:val="007417EB"/>
    <w:rsid w:val="0074184C"/>
    <w:rsid w:val="007418D5"/>
    <w:rsid w:val="00741923"/>
    <w:rsid w:val="00741959"/>
    <w:rsid w:val="007419F9"/>
    <w:rsid w:val="00741AA7"/>
    <w:rsid w:val="00741B65"/>
    <w:rsid w:val="00741BD5"/>
    <w:rsid w:val="00741C8F"/>
    <w:rsid w:val="00741D74"/>
    <w:rsid w:val="00741ED6"/>
    <w:rsid w:val="00741FB6"/>
    <w:rsid w:val="00741FEC"/>
    <w:rsid w:val="00742309"/>
    <w:rsid w:val="0074244B"/>
    <w:rsid w:val="007424D4"/>
    <w:rsid w:val="00742581"/>
    <w:rsid w:val="00742634"/>
    <w:rsid w:val="0074263A"/>
    <w:rsid w:val="0074268E"/>
    <w:rsid w:val="0074272F"/>
    <w:rsid w:val="00742843"/>
    <w:rsid w:val="007428D7"/>
    <w:rsid w:val="00742ABF"/>
    <w:rsid w:val="00742AD0"/>
    <w:rsid w:val="00742B5F"/>
    <w:rsid w:val="00742BEC"/>
    <w:rsid w:val="00742E19"/>
    <w:rsid w:val="00742F5D"/>
    <w:rsid w:val="00742FAC"/>
    <w:rsid w:val="00743130"/>
    <w:rsid w:val="00743195"/>
    <w:rsid w:val="007431BF"/>
    <w:rsid w:val="007431FF"/>
    <w:rsid w:val="00743310"/>
    <w:rsid w:val="007433C0"/>
    <w:rsid w:val="007435DC"/>
    <w:rsid w:val="00743608"/>
    <w:rsid w:val="0074360D"/>
    <w:rsid w:val="0074369E"/>
    <w:rsid w:val="00743B9E"/>
    <w:rsid w:val="00743BF1"/>
    <w:rsid w:val="00743E65"/>
    <w:rsid w:val="00743EDB"/>
    <w:rsid w:val="00743F58"/>
    <w:rsid w:val="00744022"/>
    <w:rsid w:val="007440EC"/>
    <w:rsid w:val="00744114"/>
    <w:rsid w:val="0074415A"/>
    <w:rsid w:val="007442D9"/>
    <w:rsid w:val="00744476"/>
    <w:rsid w:val="00744495"/>
    <w:rsid w:val="00744695"/>
    <w:rsid w:val="007446D1"/>
    <w:rsid w:val="00744760"/>
    <w:rsid w:val="00744799"/>
    <w:rsid w:val="007447BE"/>
    <w:rsid w:val="0074484E"/>
    <w:rsid w:val="0074489D"/>
    <w:rsid w:val="0074491B"/>
    <w:rsid w:val="0074494F"/>
    <w:rsid w:val="00744B30"/>
    <w:rsid w:val="00744BE3"/>
    <w:rsid w:val="00744DA8"/>
    <w:rsid w:val="00744DEE"/>
    <w:rsid w:val="00744E0D"/>
    <w:rsid w:val="00744E9A"/>
    <w:rsid w:val="00744F09"/>
    <w:rsid w:val="00744F91"/>
    <w:rsid w:val="00745087"/>
    <w:rsid w:val="0074513B"/>
    <w:rsid w:val="007451D3"/>
    <w:rsid w:val="00745273"/>
    <w:rsid w:val="007452C1"/>
    <w:rsid w:val="0074547A"/>
    <w:rsid w:val="00745575"/>
    <w:rsid w:val="00745690"/>
    <w:rsid w:val="00745717"/>
    <w:rsid w:val="0074571D"/>
    <w:rsid w:val="00745771"/>
    <w:rsid w:val="007458B0"/>
    <w:rsid w:val="007459A3"/>
    <w:rsid w:val="007459B2"/>
    <w:rsid w:val="007459F2"/>
    <w:rsid w:val="00745AED"/>
    <w:rsid w:val="00745B2C"/>
    <w:rsid w:val="00745B57"/>
    <w:rsid w:val="00745C89"/>
    <w:rsid w:val="00745CAE"/>
    <w:rsid w:val="00745CC3"/>
    <w:rsid w:val="00745CF6"/>
    <w:rsid w:val="00745DE9"/>
    <w:rsid w:val="00745E1C"/>
    <w:rsid w:val="00745E2C"/>
    <w:rsid w:val="00745E60"/>
    <w:rsid w:val="00745F0F"/>
    <w:rsid w:val="00745F16"/>
    <w:rsid w:val="00745F24"/>
    <w:rsid w:val="00746277"/>
    <w:rsid w:val="007462A2"/>
    <w:rsid w:val="007462A8"/>
    <w:rsid w:val="0074635D"/>
    <w:rsid w:val="00746528"/>
    <w:rsid w:val="00746543"/>
    <w:rsid w:val="00746562"/>
    <w:rsid w:val="00746592"/>
    <w:rsid w:val="0074671A"/>
    <w:rsid w:val="00746795"/>
    <w:rsid w:val="007468A7"/>
    <w:rsid w:val="007468F3"/>
    <w:rsid w:val="00746990"/>
    <w:rsid w:val="007469D5"/>
    <w:rsid w:val="007469F5"/>
    <w:rsid w:val="00746A04"/>
    <w:rsid w:val="00746AAA"/>
    <w:rsid w:val="00746C9B"/>
    <w:rsid w:val="00746DEA"/>
    <w:rsid w:val="00746E0C"/>
    <w:rsid w:val="00746E2B"/>
    <w:rsid w:val="00746E4D"/>
    <w:rsid w:val="00746FA1"/>
    <w:rsid w:val="00746FD3"/>
    <w:rsid w:val="00747078"/>
    <w:rsid w:val="00747184"/>
    <w:rsid w:val="007471FD"/>
    <w:rsid w:val="00747218"/>
    <w:rsid w:val="00747374"/>
    <w:rsid w:val="007474C2"/>
    <w:rsid w:val="007476B2"/>
    <w:rsid w:val="00747859"/>
    <w:rsid w:val="007478A6"/>
    <w:rsid w:val="0074799F"/>
    <w:rsid w:val="007479EB"/>
    <w:rsid w:val="00747B13"/>
    <w:rsid w:val="00747B48"/>
    <w:rsid w:val="00747C58"/>
    <w:rsid w:val="00747C71"/>
    <w:rsid w:val="00747CA8"/>
    <w:rsid w:val="00747DE2"/>
    <w:rsid w:val="00747EA0"/>
    <w:rsid w:val="00747EC1"/>
    <w:rsid w:val="0075004A"/>
    <w:rsid w:val="00750054"/>
    <w:rsid w:val="007501B2"/>
    <w:rsid w:val="00750256"/>
    <w:rsid w:val="0075027A"/>
    <w:rsid w:val="0075027F"/>
    <w:rsid w:val="0075035C"/>
    <w:rsid w:val="00750367"/>
    <w:rsid w:val="007503F0"/>
    <w:rsid w:val="007504FA"/>
    <w:rsid w:val="0075056B"/>
    <w:rsid w:val="007505BC"/>
    <w:rsid w:val="007506B5"/>
    <w:rsid w:val="007506F9"/>
    <w:rsid w:val="00750794"/>
    <w:rsid w:val="007507B0"/>
    <w:rsid w:val="00750840"/>
    <w:rsid w:val="00750974"/>
    <w:rsid w:val="007509C1"/>
    <w:rsid w:val="00750ADC"/>
    <w:rsid w:val="00750B16"/>
    <w:rsid w:val="00750C44"/>
    <w:rsid w:val="00750C8B"/>
    <w:rsid w:val="00750E78"/>
    <w:rsid w:val="00750F83"/>
    <w:rsid w:val="00751034"/>
    <w:rsid w:val="00751036"/>
    <w:rsid w:val="00751227"/>
    <w:rsid w:val="00751302"/>
    <w:rsid w:val="0075138A"/>
    <w:rsid w:val="00751398"/>
    <w:rsid w:val="00751417"/>
    <w:rsid w:val="00751439"/>
    <w:rsid w:val="007514BF"/>
    <w:rsid w:val="007514DE"/>
    <w:rsid w:val="00751505"/>
    <w:rsid w:val="007515D7"/>
    <w:rsid w:val="007516AE"/>
    <w:rsid w:val="00751736"/>
    <w:rsid w:val="007517A2"/>
    <w:rsid w:val="007518C5"/>
    <w:rsid w:val="007518F3"/>
    <w:rsid w:val="007519E0"/>
    <w:rsid w:val="00751A43"/>
    <w:rsid w:val="00751B69"/>
    <w:rsid w:val="00751C96"/>
    <w:rsid w:val="00751E2E"/>
    <w:rsid w:val="00751F6E"/>
    <w:rsid w:val="00751F72"/>
    <w:rsid w:val="007521BB"/>
    <w:rsid w:val="007522F8"/>
    <w:rsid w:val="00752397"/>
    <w:rsid w:val="007523EA"/>
    <w:rsid w:val="0075240E"/>
    <w:rsid w:val="007525E6"/>
    <w:rsid w:val="0075281E"/>
    <w:rsid w:val="0075283C"/>
    <w:rsid w:val="007528EF"/>
    <w:rsid w:val="007529EB"/>
    <w:rsid w:val="00752A0C"/>
    <w:rsid w:val="00752B02"/>
    <w:rsid w:val="00752D91"/>
    <w:rsid w:val="00752EF4"/>
    <w:rsid w:val="00752F8A"/>
    <w:rsid w:val="00752FA9"/>
    <w:rsid w:val="007530C9"/>
    <w:rsid w:val="0075312A"/>
    <w:rsid w:val="007532CA"/>
    <w:rsid w:val="00753351"/>
    <w:rsid w:val="007533CF"/>
    <w:rsid w:val="00753455"/>
    <w:rsid w:val="0075377E"/>
    <w:rsid w:val="0075377F"/>
    <w:rsid w:val="007537B4"/>
    <w:rsid w:val="007537EA"/>
    <w:rsid w:val="00753A44"/>
    <w:rsid w:val="00753AE8"/>
    <w:rsid w:val="00753AF0"/>
    <w:rsid w:val="00753CE5"/>
    <w:rsid w:val="00753D62"/>
    <w:rsid w:val="00753DA2"/>
    <w:rsid w:val="00753DF6"/>
    <w:rsid w:val="00753EA0"/>
    <w:rsid w:val="00753EC5"/>
    <w:rsid w:val="00753EEF"/>
    <w:rsid w:val="00753F69"/>
    <w:rsid w:val="00753FD6"/>
    <w:rsid w:val="00753FF4"/>
    <w:rsid w:val="00754265"/>
    <w:rsid w:val="007542AF"/>
    <w:rsid w:val="00754317"/>
    <w:rsid w:val="00754385"/>
    <w:rsid w:val="0075438F"/>
    <w:rsid w:val="007543E1"/>
    <w:rsid w:val="00754456"/>
    <w:rsid w:val="007544D6"/>
    <w:rsid w:val="0075450E"/>
    <w:rsid w:val="00754525"/>
    <w:rsid w:val="0075468C"/>
    <w:rsid w:val="00754692"/>
    <w:rsid w:val="007546A3"/>
    <w:rsid w:val="00754726"/>
    <w:rsid w:val="00754745"/>
    <w:rsid w:val="007547CD"/>
    <w:rsid w:val="007547EB"/>
    <w:rsid w:val="0075483C"/>
    <w:rsid w:val="007548D6"/>
    <w:rsid w:val="00754909"/>
    <w:rsid w:val="00754947"/>
    <w:rsid w:val="007549FC"/>
    <w:rsid w:val="00754B46"/>
    <w:rsid w:val="00754CEE"/>
    <w:rsid w:val="00754D31"/>
    <w:rsid w:val="00754E31"/>
    <w:rsid w:val="00754E8E"/>
    <w:rsid w:val="00754F05"/>
    <w:rsid w:val="00755005"/>
    <w:rsid w:val="007551C2"/>
    <w:rsid w:val="0075537C"/>
    <w:rsid w:val="00755542"/>
    <w:rsid w:val="007555AF"/>
    <w:rsid w:val="00755681"/>
    <w:rsid w:val="007558C7"/>
    <w:rsid w:val="00755A14"/>
    <w:rsid w:val="00755A73"/>
    <w:rsid w:val="00755AA6"/>
    <w:rsid w:val="00755C65"/>
    <w:rsid w:val="00755D02"/>
    <w:rsid w:val="00755D5C"/>
    <w:rsid w:val="00755D71"/>
    <w:rsid w:val="00755D97"/>
    <w:rsid w:val="00755DBB"/>
    <w:rsid w:val="00755E0A"/>
    <w:rsid w:val="00755E1F"/>
    <w:rsid w:val="00755E74"/>
    <w:rsid w:val="00755E98"/>
    <w:rsid w:val="00755ED3"/>
    <w:rsid w:val="00755F19"/>
    <w:rsid w:val="00755FEE"/>
    <w:rsid w:val="0075609D"/>
    <w:rsid w:val="007562E2"/>
    <w:rsid w:val="007562FC"/>
    <w:rsid w:val="00756355"/>
    <w:rsid w:val="007563E6"/>
    <w:rsid w:val="0075659B"/>
    <w:rsid w:val="007565E4"/>
    <w:rsid w:val="007565F1"/>
    <w:rsid w:val="00756663"/>
    <w:rsid w:val="00756673"/>
    <w:rsid w:val="007566CB"/>
    <w:rsid w:val="0075672E"/>
    <w:rsid w:val="00756766"/>
    <w:rsid w:val="00756792"/>
    <w:rsid w:val="007568CD"/>
    <w:rsid w:val="00756AD2"/>
    <w:rsid w:val="00756C14"/>
    <w:rsid w:val="00756C68"/>
    <w:rsid w:val="00756E1F"/>
    <w:rsid w:val="00756E45"/>
    <w:rsid w:val="00756EAA"/>
    <w:rsid w:val="00756FE5"/>
    <w:rsid w:val="00757046"/>
    <w:rsid w:val="00757194"/>
    <w:rsid w:val="007571BF"/>
    <w:rsid w:val="007574C3"/>
    <w:rsid w:val="007575B5"/>
    <w:rsid w:val="0075766D"/>
    <w:rsid w:val="007576DA"/>
    <w:rsid w:val="007577D4"/>
    <w:rsid w:val="00757862"/>
    <w:rsid w:val="007579E8"/>
    <w:rsid w:val="00757ACF"/>
    <w:rsid w:val="00757AD0"/>
    <w:rsid w:val="00757AE9"/>
    <w:rsid w:val="00757BE8"/>
    <w:rsid w:val="00757E5A"/>
    <w:rsid w:val="00757ED2"/>
    <w:rsid w:val="00757F09"/>
    <w:rsid w:val="00757F99"/>
    <w:rsid w:val="00757FAF"/>
    <w:rsid w:val="00760051"/>
    <w:rsid w:val="0076011B"/>
    <w:rsid w:val="00760643"/>
    <w:rsid w:val="007606A7"/>
    <w:rsid w:val="007606DF"/>
    <w:rsid w:val="00760820"/>
    <w:rsid w:val="007608C5"/>
    <w:rsid w:val="00760AD5"/>
    <w:rsid w:val="00760B82"/>
    <w:rsid w:val="00760C0C"/>
    <w:rsid w:val="00760CB4"/>
    <w:rsid w:val="00760CB9"/>
    <w:rsid w:val="00760CF1"/>
    <w:rsid w:val="00760D12"/>
    <w:rsid w:val="00760F14"/>
    <w:rsid w:val="00760F1D"/>
    <w:rsid w:val="00760FD0"/>
    <w:rsid w:val="00760FD1"/>
    <w:rsid w:val="00761013"/>
    <w:rsid w:val="007610FD"/>
    <w:rsid w:val="007612AF"/>
    <w:rsid w:val="0076130B"/>
    <w:rsid w:val="00761476"/>
    <w:rsid w:val="00761616"/>
    <w:rsid w:val="007616CB"/>
    <w:rsid w:val="00761708"/>
    <w:rsid w:val="00761737"/>
    <w:rsid w:val="00761754"/>
    <w:rsid w:val="007617F0"/>
    <w:rsid w:val="00761915"/>
    <w:rsid w:val="00761937"/>
    <w:rsid w:val="00761940"/>
    <w:rsid w:val="00761967"/>
    <w:rsid w:val="00761B19"/>
    <w:rsid w:val="00761BA8"/>
    <w:rsid w:val="00761BAF"/>
    <w:rsid w:val="00761C35"/>
    <w:rsid w:val="00761CCC"/>
    <w:rsid w:val="00761D5D"/>
    <w:rsid w:val="00761DD5"/>
    <w:rsid w:val="00761E36"/>
    <w:rsid w:val="00761E5C"/>
    <w:rsid w:val="00761F45"/>
    <w:rsid w:val="00761FFC"/>
    <w:rsid w:val="0076209D"/>
    <w:rsid w:val="00762209"/>
    <w:rsid w:val="007622B3"/>
    <w:rsid w:val="007622BB"/>
    <w:rsid w:val="007622BC"/>
    <w:rsid w:val="00762434"/>
    <w:rsid w:val="00762710"/>
    <w:rsid w:val="007627ED"/>
    <w:rsid w:val="0076284F"/>
    <w:rsid w:val="007628B3"/>
    <w:rsid w:val="00762931"/>
    <w:rsid w:val="007629C4"/>
    <w:rsid w:val="007629EE"/>
    <w:rsid w:val="007629F4"/>
    <w:rsid w:val="00762AD1"/>
    <w:rsid w:val="00762BEB"/>
    <w:rsid w:val="00762C09"/>
    <w:rsid w:val="00762C6B"/>
    <w:rsid w:val="00762C97"/>
    <w:rsid w:val="00762CA1"/>
    <w:rsid w:val="00762E41"/>
    <w:rsid w:val="00762ED2"/>
    <w:rsid w:val="00762EF5"/>
    <w:rsid w:val="00762F2C"/>
    <w:rsid w:val="00763031"/>
    <w:rsid w:val="00763156"/>
    <w:rsid w:val="00763240"/>
    <w:rsid w:val="007633CA"/>
    <w:rsid w:val="007633FB"/>
    <w:rsid w:val="00763442"/>
    <w:rsid w:val="00763540"/>
    <w:rsid w:val="0076378C"/>
    <w:rsid w:val="007637BF"/>
    <w:rsid w:val="0076388F"/>
    <w:rsid w:val="00763943"/>
    <w:rsid w:val="00763A66"/>
    <w:rsid w:val="00763AEE"/>
    <w:rsid w:val="00763B90"/>
    <w:rsid w:val="00763B9F"/>
    <w:rsid w:val="00763BCC"/>
    <w:rsid w:val="00763CBB"/>
    <w:rsid w:val="00763D71"/>
    <w:rsid w:val="00763DF1"/>
    <w:rsid w:val="00763F41"/>
    <w:rsid w:val="00763F8D"/>
    <w:rsid w:val="00764212"/>
    <w:rsid w:val="00764271"/>
    <w:rsid w:val="0076435B"/>
    <w:rsid w:val="00764360"/>
    <w:rsid w:val="007643E2"/>
    <w:rsid w:val="0076444B"/>
    <w:rsid w:val="0076445A"/>
    <w:rsid w:val="007644F4"/>
    <w:rsid w:val="00764541"/>
    <w:rsid w:val="0076485B"/>
    <w:rsid w:val="00764898"/>
    <w:rsid w:val="007648BE"/>
    <w:rsid w:val="007648C8"/>
    <w:rsid w:val="007648D2"/>
    <w:rsid w:val="007649E8"/>
    <w:rsid w:val="007649F0"/>
    <w:rsid w:val="00764A0B"/>
    <w:rsid w:val="00764A25"/>
    <w:rsid w:val="00764C00"/>
    <w:rsid w:val="00764C93"/>
    <w:rsid w:val="00764DDC"/>
    <w:rsid w:val="00764E03"/>
    <w:rsid w:val="00764EF3"/>
    <w:rsid w:val="00765020"/>
    <w:rsid w:val="00765084"/>
    <w:rsid w:val="0076508D"/>
    <w:rsid w:val="0076514E"/>
    <w:rsid w:val="0076519D"/>
    <w:rsid w:val="007652AC"/>
    <w:rsid w:val="00765560"/>
    <w:rsid w:val="00765576"/>
    <w:rsid w:val="007656A9"/>
    <w:rsid w:val="007656B0"/>
    <w:rsid w:val="007656EF"/>
    <w:rsid w:val="007656FB"/>
    <w:rsid w:val="007658BD"/>
    <w:rsid w:val="007658D7"/>
    <w:rsid w:val="0076590F"/>
    <w:rsid w:val="007659DE"/>
    <w:rsid w:val="00765C2C"/>
    <w:rsid w:val="00765CB3"/>
    <w:rsid w:val="00765D21"/>
    <w:rsid w:val="00765DE4"/>
    <w:rsid w:val="00765F3A"/>
    <w:rsid w:val="00765F67"/>
    <w:rsid w:val="0076600E"/>
    <w:rsid w:val="0076606B"/>
    <w:rsid w:val="007660B1"/>
    <w:rsid w:val="0076615C"/>
    <w:rsid w:val="007662D3"/>
    <w:rsid w:val="007662F7"/>
    <w:rsid w:val="00766306"/>
    <w:rsid w:val="0076636C"/>
    <w:rsid w:val="00766425"/>
    <w:rsid w:val="0076648F"/>
    <w:rsid w:val="007664D2"/>
    <w:rsid w:val="0076672F"/>
    <w:rsid w:val="007668BC"/>
    <w:rsid w:val="007668C1"/>
    <w:rsid w:val="007668F7"/>
    <w:rsid w:val="007669FA"/>
    <w:rsid w:val="00766A61"/>
    <w:rsid w:val="00766AB2"/>
    <w:rsid w:val="00766AD1"/>
    <w:rsid w:val="00766AF6"/>
    <w:rsid w:val="00766C30"/>
    <w:rsid w:val="00766DC1"/>
    <w:rsid w:val="00766E06"/>
    <w:rsid w:val="00766EC3"/>
    <w:rsid w:val="00766F9E"/>
    <w:rsid w:val="00766FC8"/>
    <w:rsid w:val="0076700C"/>
    <w:rsid w:val="00767087"/>
    <w:rsid w:val="00767106"/>
    <w:rsid w:val="007672A4"/>
    <w:rsid w:val="007672B9"/>
    <w:rsid w:val="00767302"/>
    <w:rsid w:val="007673AB"/>
    <w:rsid w:val="007673AD"/>
    <w:rsid w:val="007673AF"/>
    <w:rsid w:val="007674CF"/>
    <w:rsid w:val="00767503"/>
    <w:rsid w:val="007675DF"/>
    <w:rsid w:val="007675F3"/>
    <w:rsid w:val="00767758"/>
    <w:rsid w:val="00767835"/>
    <w:rsid w:val="00767912"/>
    <w:rsid w:val="00767945"/>
    <w:rsid w:val="00767977"/>
    <w:rsid w:val="007679B6"/>
    <w:rsid w:val="00767A63"/>
    <w:rsid w:val="00767BCD"/>
    <w:rsid w:val="00767CA7"/>
    <w:rsid w:val="00767CFF"/>
    <w:rsid w:val="00767D80"/>
    <w:rsid w:val="00767DCE"/>
    <w:rsid w:val="00767E90"/>
    <w:rsid w:val="00767F24"/>
    <w:rsid w:val="0077021C"/>
    <w:rsid w:val="007702C4"/>
    <w:rsid w:val="00770426"/>
    <w:rsid w:val="00770553"/>
    <w:rsid w:val="007705FE"/>
    <w:rsid w:val="007706AE"/>
    <w:rsid w:val="00770785"/>
    <w:rsid w:val="007707F5"/>
    <w:rsid w:val="00770A56"/>
    <w:rsid w:val="00770A66"/>
    <w:rsid w:val="00770B05"/>
    <w:rsid w:val="00770B12"/>
    <w:rsid w:val="00770B16"/>
    <w:rsid w:val="00770BA1"/>
    <w:rsid w:val="00770C72"/>
    <w:rsid w:val="00770FF1"/>
    <w:rsid w:val="0077118E"/>
    <w:rsid w:val="007711E1"/>
    <w:rsid w:val="007712F4"/>
    <w:rsid w:val="0077139A"/>
    <w:rsid w:val="007713FC"/>
    <w:rsid w:val="00771422"/>
    <w:rsid w:val="0077146F"/>
    <w:rsid w:val="0077148D"/>
    <w:rsid w:val="007714C4"/>
    <w:rsid w:val="0077154A"/>
    <w:rsid w:val="007715D8"/>
    <w:rsid w:val="007716BF"/>
    <w:rsid w:val="007716CA"/>
    <w:rsid w:val="007716EF"/>
    <w:rsid w:val="00771712"/>
    <w:rsid w:val="007717E8"/>
    <w:rsid w:val="0077183D"/>
    <w:rsid w:val="007718E7"/>
    <w:rsid w:val="00771AE3"/>
    <w:rsid w:val="00771B0C"/>
    <w:rsid w:val="00771C9D"/>
    <w:rsid w:val="00771CDA"/>
    <w:rsid w:val="00771D4F"/>
    <w:rsid w:val="00771FF1"/>
    <w:rsid w:val="0077205F"/>
    <w:rsid w:val="007720BC"/>
    <w:rsid w:val="00772190"/>
    <w:rsid w:val="007721F5"/>
    <w:rsid w:val="00772271"/>
    <w:rsid w:val="00772379"/>
    <w:rsid w:val="007723E3"/>
    <w:rsid w:val="0077242B"/>
    <w:rsid w:val="0077284E"/>
    <w:rsid w:val="007728CB"/>
    <w:rsid w:val="00772A50"/>
    <w:rsid w:val="00772CE7"/>
    <w:rsid w:val="00772E67"/>
    <w:rsid w:val="00772EC5"/>
    <w:rsid w:val="00772FE9"/>
    <w:rsid w:val="00772FED"/>
    <w:rsid w:val="0077312B"/>
    <w:rsid w:val="0077314A"/>
    <w:rsid w:val="007731CD"/>
    <w:rsid w:val="00773214"/>
    <w:rsid w:val="0077323F"/>
    <w:rsid w:val="0077326C"/>
    <w:rsid w:val="0077337E"/>
    <w:rsid w:val="00773496"/>
    <w:rsid w:val="007734D1"/>
    <w:rsid w:val="0077354B"/>
    <w:rsid w:val="00773552"/>
    <w:rsid w:val="007735BB"/>
    <w:rsid w:val="007735D8"/>
    <w:rsid w:val="00773622"/>
    <w:rsid w:val="0077366D"/>
    <w:rsid w:val="007736E0"/>
    <w:rsid w:val="0077375B"/>
    <w:rsid w:val="00773AD6"/>
    <w:rsid w:val="00773BA6"/>
    <w:rsid w:val="00773CC4"/>
    <w:rsid w:val="00773DB0"/>
    <w:rsid w:val="00773E94"/>
    <w:rsid w:val="00773F2E"/>
    <w:rsid w:val="00773F64"/>
    <w:rsid w:val="00774091"/>
    <w:rsid w:val="00774274"/>
    <w:rsid w:val="00774406"/>
    <w:rsid w:val="00774462"/>
    <w:rsid w:val="00774515"/>
    <w:rsid w:val="007746A5"/>
    <w:rsid w:val="00774732"/>
    <w:rsid w:val="0077479F"/>
    <w:rsid w:val="00774871"/>
    <w:rsid w:val="00774910"/>
    <w:rsid w:val="00774A95"/>
    <w:rsid w:val="00774B25"/>
    <w:rsid w:val="00774BAF"/>
    <w:rsid w:val="00774C41"/>
    <w:rsid w:val="00774C4C"/>
    <w:rsid w:val="00774DBC"/>
    <w:rsid w:val="00774FF0"/>
    <w:rsid w:val="00775001"/>
    <w:rsid w:val="00775055"/>
    <w:rsid w:val="00775060"/>
    <w:rsid w:val="0077511E"/>
    <w:rsid w:val="00775220"/>
    <w:rsid w:val="0077527F"/>
    <w:rsid w:val="00775320"/>
    <w:rsid w:val="00775384"/>
    <w:rsid w:val="00775433"/>
    <w:rsid w:val="0077549B"/>
    <w:rsid w:val="00775537"/>
    <w:rsid w:val="00775539"/>
    <w:rsid w:val="007755EE"/>
    <w:rsid w:val="007755F2"/>
    <w:rsid w:val="007755F3"/>
    <w:rsid w:val="0077565F"/>
    <w:rsid w:val="0077585F"/>
    <w:rsid w:val="0077589A"/>
    <w:rsid w:val="00775906"/>
    <w:rsid w:val="007759A3"/>
    <w:rsid w:val="007759CD"/>
    <w:rsid w:val="007759F3"/>
    <w:rsid w:val="00775BAA"/>
    <w:rsid w:val="00775C7E"/>
    <w:rsid w:val="00775C85"/>
    <w:rsid w:val="00775CF0"/>
    <w:rsid w:val="00775CF2"/>
    <w:rsid w:val="00775D30"/>
    <w:rsid w:val="00775E8E"/>
    <w:rsid w:val="00776255"/>
    <w:rsid w:val="0077629D"/>
    <w:rsid w:val="007762D8"/>
    <w:rsid w:val="007764CD"/>
    <w:rsid w:val="00776579"/>
    <w:rsid w:val="00776A0D"/>
    <w:rsid w:val="00776AD7"/>
    <w:rsid w:val="00776D2A"/>
    <w:rsid w:val="00776DCA"/>
    <w:rsid w:val="00776DD6"/>
    <w:rsid w:val="00776DE8"/>
    <w:rsid w:val="00776F47"/>
    <w:rsid w:val="00777044"/>
    <w:rsid w:val="007771B6"/>
    <w:rsid w:val="007771FB"/>
    <w:rsid w:val="007772AD"/>
    <w:rsid w:val="00777331"/>
    <w:rsid w:val="00777557"/>
    <w:rsid w:val="0077762F"/>
    <w:rsid w:val="007776D8"/>
    <w:rsid w:val="007776E5"/>
    <w:rsid w:val="00777759"/>
    <w:rsid w:val="007779A5"/>
    <w:rsid w:val="00777A23"/>
    <w:rsid w:val="00777A3B"/>
    <w:rsid w:val="00777B2E"/>
    <w:rsid w:val="00777B5E"/>
    <w:rsid w:val="00777C05"/>
    <w:rsid w:val="00777C61"/>
    <w:rsid w:val="00777CDE"/>
    <w:rsid w:val="00777D13"/>
    <w:rsid w:val="00777D1D"/>
    <w:rsid w:val="00777D73"/>
    <w:rsid w:val="00777E80"/>
    <w:rsid w:val="00777F23"/>
    <w:rsid w:val="00777F57"/>
    <w:rsid w:val="007800F9"/>
    <w:rsid w:val="00780146"/>
    <w:rsid w:val="0078015D"/>
    <w:rsid w:val="00780166"/>
    <w:rsid w:val="0078023B"/>
    <w:rsid w:val="007803E9"/>
    <w:rsid w:val="0078041C"/>
    <w:rsid w:val="007805BA"/>
    <w:rsid w:val="0078065E"/>
    <w:rsid w:val="00780667"/>
    <w:rsid w:val="0078071B"/>
    <w:rsid w:val="00780726"/>
    <w:rsid w:val="00780762"/>
    <w:rsid w:val="0078082D"/>
    <w:rsid w:val="00780A6E"/>
    <w:rsid w:val="00780ABD"/>
    <w:rsid w:val="00780B1A"/>
    <w:rsid w:val="00780BB1"/>
    <w:rsid w:val="00780CF6"/>
    <w:rsid w:val="00780E52"/>
    <w:rsid w:val="00780EA7"/>
    <w:rsid w:val="00780EBF"/>
    <w:rsid w:val="00780EE8"/>
    <w:rsid w:val="00780F8E"/>
    <w:rsid w:val="00780FD8"/>
    <w:rsid w:val="0078101E"/>
    <w:rsid w:val="0078112F"/>
    <w:rsid w:val="00781143"/>
    <w:rsid w:val="007811F9"/>
    <w:rsid w:val="00781240"/>
    <w:rsid w:val="0078135C"/>
    <w:rsid w:val="00781461"/>
    <w:rsid w:val="00781482"/>
    <w:rsid w:val="00781646"/>
    <w:rsid w:val="00781664"/>
    <w:rsid w:val="00781796"/>
    <w:rsid w:val="007817F0"/>
    <w:rsid w:val="00781827"/>
    <w:rsid w:val="00781A3B"/>
    <w:rsid w:val="00781AFE"/>
    <w:rsid w:val="00781BB1"/>
    <w:rsid w:val="00781C96"/>
    <w:rsid w:val="00781CA8"/>
    <w:rsid w:val="00781F52"/>
    <w:rsid w:val="007821E0"/>
    <w:rsid w:val="0078229D"/>
    <w:rsid w:val="0078232D"/>
    <w:rsid w:val="007823A3"/>
    <w:rsid w:val="00782454"/>
    <w:rsid w:val="007825CB"/>
    <w:rsid w:val="00782860"/>
    <w:rsid w:val="00782877"/>
    <w:rsid w:val="00782946"/>
    <w:rsid w:val="0078299D"/>
    <w:rsid w:val="00782A47"/>
    <w:rsid w:val="00782C1A"/>
    <w:rsid w:val="00782D89"/>
    <w:rsid w:val="00782FBB"/>
    <w:rsid w:val="00783024"/>
    <w:rsid w:val="00783086"/>
    <w:rsid w:val="007830F7"/>
    <w:rsid w:val="007831E6"/>
    <w:rsid w:val="00783207"/>
    <w:rsid w:val="0078336C"/>
    <w:rsid w:val="00783490"/>
    <w:rsid w:val="007834A7"/>
    <w:rsid w:val="007835A3"/>
    <w:rsid w:val="007835E6"/>
    <w:rsid w:val="00783600"/>
    <w:rsid w:val="00783629"/>
    <w:rsid w:val="00783640"/>
    <w:rsid w:val="00783659"/>
    <w:rsid w:val="0078371A"/>
    <w:rsid w:val="0078377A"/>
    <w:rsid w:val="007837CF"/>
    <w:rsid w:val="007837E9"/>
    <w:rsid w:val="007837FF"/>
    <w:rsid w:val="00783892"/>
    <w:rsid w:val="00783925"/>
    <w:rsid w:val="00783A76"/>
    <w:rsid w:val="00783ADD"/>
    <w:rsid w:val="00783B37"/>
    <w:rsid w:val="00783B40"/>
    <w:rsid w:val="00783D8C"/>
    <w:rsid w:val="00783E07"/>
    <w:rsid w:val="00783F04"/>
    <w:rsid w:val="00783F73"/>
    <w:rsid w:val="0078411F"/>
    <w:rsid w:val="0078413B"/>
    <w:rsid w:val="00784154"/>
    <w:rsid w:val="00784159"/>
    <w:rsid w:val="00784173"/>
    <w:rsid w:val="007842F9"/>
    <w:rsid w:val="00784306"/>
    <w:rsid w:val="00784500"/>
    <w:rsid w:val="00784576"/>
    <w:rsid w:val="00784683"/>
    <w:rsid w:val="007846FF"/>
    <w:rsid w:val="007848EF"/>
    <w:rsid w:val="0078490B"/>
    <w:rsid w:val="00784920"/>
    <w:rsid w:val="00784930"/>
    <w:rsid w:val="007849D1"/>
    <w:rsid w:val="00784A78"/>
    <w:rsid w:val="00784B0E"/>
    <w:rsid w:val="00784DAA"/>
    <w:rsid w:val="00784DE0"/>
    <w:rsid w:val="00784E3B"/>
    <w:rsid w:val="00784FCF"/>
    <w:rsid w:val="007850B4"/>
    <w:rsid w:val="007851F0"/>
    <w:rsid w:val="007852E1"/>
    <w:rsid w:val="007853BD"/>
    <w:rsid w:val="0078544F"/>
    <w:rsid w:val="007854BE"/>
    <w:rsid w:val="007854E5"/>
    <w:rsid w:val="00785501"/>
    <w:rsid w:val="00785521"/>
    <w:rsid w:val="0078552C"/>
    <w:rsid w:val="0078557B"/>
    <w:rsid w:val="007856A4"/>
    <w:rsid w:val="007856B0"/>
    <w:rsid w:val="0078572A"/>
    <w:rsid w:val="007858F5"/>
    <w:rsid w:val="00785958"/>
    <w:rsid w:val="0078596A"/>
    <w:rsid w:val="00785978"/>
    <w:rsid w:val="007859CF"/>
    <w:rsid w:val="00785B15"/>
    <w:rsid w:val="00785D6E"/>
    <w:rsid w:val="00785ED6"/>
    <w:rsid w:val="00785F35"/>
    <w:rsid w:val="007861E1"/>
    <w:rsid w:val="00786255"/>
    <w:rsid w:val="007863B1"/>
    <w:rsid w:val="0078641B"/>
    <w:rsid w:val="007865C1"/>
    <w:rsid w:val="007865CA"/>
    <w:rsid w:val="007865D5"/>
    <w:rsid w:val="00786727"/>
    <w:rsid w:val="00786A17"/>
    <w:rsid w:val="00786B72"/>
    <w:rsid w:val="00786B85"/>
    <w:rsid w:val="00786B88"/>
    <w:rsid w:val="00786C0A"/>
    <w:rsid w:val="00786C2D"/>
    <w:rsid w:val="00786DD3"/>
    <w:rsid w:val="00786DEA"/>
    <w:rsid w:val="00786E40"/>
    <w:rsid w:val="00786E75"/>
    <w:rsid w:val="00786EA4"/>
    <w:rsid w:val="00786F39"/>
    <w:rsid w:val="00786FBA"/>
    <w:rsid w:val="007870C7"/>
    <w:rsid w:val="007870CF"/>
    <w:rsid w:val="00787265"/>
    <w:rsid w:val="0078727E"/>
    <w:rsid w:val="00787313"/>
    <w:rsid w:val="0078736A"/>
    <w:rsid w:val="00787378"/>
    <w:rsid w:val="00787485"/>
    <w:rsid w:val="007874BB"/>
    <w:rsid w:val="00787708"/>
    <w:rsid w:val="00787872"/>
    <w:rsid w:val="00787961"/>
    <w:rsid w:val="0078797D"/>
    <w:rsid w:val="007879D6"/>
    <w:rsid w:val="00787AEC"/>
    <w:rsid w:val="00787C1A"/>
    <w:rsid w:val="0079004E"/>
    <w:rsid w:val="00790178"/>
    <w:rsid w:val="0079034F"/>
    <w:rsid w:val="0079038A"/>
    <w:rsid w:val="007905B0"/>
    <w:rsid w:val="0079070A"/>
    <w:rsid w:val="0079072D"/>
    <w:rsid w:val="007907EB"/>
    <w:rsid w:val="00790B00"/>
    <w:rsid w:val="00790B14"/>
    <w:rsid w:val="00790BCB"/>
    <w:rsid w:val="00790C8D"/>
    <w:rsid w:val="00790DBD"/>
    <w:rsid w:val="00790FCB"/>
    <w:rsid w:val="00791038"/>
    <w:rsid w:val="0079105D"/>
    <w:rsid w:val="007911B2"/>
    <w:rsid w:val="007911BF"/>
    <w:rsid w:val="0079124B"/>
    <w:rsid w:val="0079125C"/>
    <w:rsid w:val="00791290"/>
    <w:rsid w:val="0079132B"/>
    <w:rsid w:val="00791473"/>
    <w:rsid w:val="007914BF"/>
    <w:rsid w:val="007914C5"/>
    <w:rsid w:val="00791508"/>
    <w:rsid w:val="0079150A"/>
    <w:rsid w:val="00791517"/>
    <w:rsid w:val="0079165F"/>
    <w:rsid w:val="007918AE"/>
    <w:rsid w:val="00791A62"/>
    <w:rsid w:val="00791BD6"/>
    <w:rsid w:val="00791DB3"/>
    <w:rsid w:val="00791E0C"/>
    <w:rsid w:val="00791E29"/>
    <w:rsid w:val="00791E32"/>
    <w:rsid w:val="00791EE7"/>
    <w:rsid w:val="00791F28"/>
    <w:rsid w:val="00791FBF"/>
    <w:rsid w:val="00791FF6"/>
    <w:rsid w:val="00791FFB"/>
    <w:rsid w:val="00792083"/>
    <w:rsid w:val="0079229C"/>
    <w:rsid w:val="007922D1"/>
    <w:rsid w:val="0079243F"/>
    <w:rsid w:val="00792481"/>
    <w:rsid w:val="007927A6"/>
    <w:rsid w:val="007927E1"/>
    <w:rsid w:val="0079285E"/>
    <w:rsid w:val="00792A15"/>
    <w:rsid w:val="00792A97"/>
    <w:rsid w:val="00792B21"/>
    <w:rsid w:val="00792BC1"/>
    <w:rsid w:val="00792BED"/>
    <w:rsid w:val="00792C7C"/>
    <w:rsid w:val="00792C80"/>
    <w:rsid w:val="00792CF1"/>
    <w:rsid w:val="00792D00"/>
    <w:rsid w:val="00792D62"/>
    <w:rsid w:val="00792D9C"/>
    <w:rsid w:val="00792E29"/>
    <w:rsid w:val="00792E58"/>
    <w:rsid w:val="00792E94"/>
    <w:rsid w:val="00792E99"/>
    <w:rsid w:val="00792F7E"/>
    <w:rsid w:val="00793172"/>
    <w:rsid w:val="00793398"/>
    <w:rsid w:val="00793481"/>
    <w:rsid w:val="007934DF"/>
    <w:rsid w:val="0079363A"/>
    <w:rsid w:val="0079372D"/>
    <w:rsid w:val="007937A3"/>
    <w:rsid w:val="007939EA"/>
    <w:rsid w:val="00793A83"/>
    <w:rsid w:val="00793A98"/>
    <w:rsid w:val="00793AE7"/>
    <w:rsid w:val="00793B31"/>
    <w:rsid w:val="00793BB6"/>
    <w:rsid w:val="00793BEA"/>
    <w:rsid w:val="00793E7B"/>
    <w:rsid w:val="00793FB4"/>
    <w:rsid w:val="00793FE5"/>
    <w:rsid w:val="0079405D"/>
    <w:rsid w:val="0079406C"/>
    <w:rsid w:val="0079406D"/>
    <w:rsid w:val="00794133"/>
    <w:rsid w:val="00794367"/>
    <w:rsid w:val="0079446D"/>
    <w:rsid w:val="00794611"/>
    <w:rsid w:val="0079469F"/>
    <w:rsid w:val="007946BE"/>
    <w:rsid w:val="0079474A"/>
    <w:rsid w:val="0079476B"/>
    <w:rsid w:val="00794902"/>
    <w:rsid w:val="0079497E"/>
    <w:rsid w:val="007949C0"/>
    <w:rsid w:val="00794A26"/>
    <w:rsid w:val="00794A40"/>
    <w:rsid w:val="00794AA0"/>
    <w:rsid w:val="00794AE0"/>
    <w:rsid w:val="00794C1D"/>
    <w:rsid w:val="00794D3D"/>
    <w:rsid w:val="00794DBC"/>
    <w:rsid w:val="00794E06"/>
    <w:rsid w:val="00794F5D"/>
    <w:rsid w:val="00794F60"/>
    <w:rsid w:val="00795203"/>
    <w:rsid w:val="007953C1"/>
    <w:rsid w:val="00795627"/>
    <w:rsid w:val="007957F0"/>
    <w:rsid w:val="00795846"/>
    <w:rsid w:val="0079596C"/>
    <w:rsid w:val="00795A9D"/>
    <w:rsid w:val="00795BB0"/>
    <w:rsid w:val="00795BC0"/>
    <w:rsid w:val="00795DE5"/>
    <w:rsid w:val="00795E89"/>
    <w:rsid w:val="0079616D"/>
    <w:rsid w:val="0079652A"/>
    <w:rsid w:val="00796531"/>
    <w:rsid w:val="0079661B"/>
    <w:rsid w:val="007966C9"/>
    <w:rsid w:val="00796703"/>
    <w:rsid w:val="007967B2"/>
    <w:rsid w:val="00796896"/>
    <w:rsid w:val="00796993"/>
    <w:rsid w:val="00796A6D"/>
    <w:rsid w:val="00796C96"/>
    <w:rsid w:val="00796CB2"/>
    <w:rsid w:val="00796D2A"/>
    <w:rsid w:val="00796E5E"/>
    <w:rsid w:val="00796F4C"/>
    <w:rsid w:val="00797047"/>
    <w:rsid w:val="00797154"/>
    <w:rsid w:val="007972AE"/>
    <w:rsid w:val="00797352"/>
    <w:rsid w:val="00797379"/>
    <w:rsid w:val="00797622"/>
    <w:rsid w:val="00797792"/>
    <w:rsid w:val="0079785C"/>
    <w:rsid w:val="007978A6"/>
    <w:rsid w:val="00797966"/>
    <w:rsid w:val="007979AC"/>
    <w:rsid w:val="00797AB4"/>
    <w:rsid w:val="00797ADF"/>
    <w:rsid w:val="00797B68"/>
    <w:rsid w:val="00797B70"/>
    <w:rsid w:val="00797BDF"/>
    <w:rsid w:val="00797CF6"/>
    <w:rsid w:val="00797D32"/>
    <w:rsid w:val="00797D34"/>
    <w:rsid w:val="00797E25"/>
    <w:rsid w:val="00797FDC"/>
    <w:rsid w:val="007A00F4"/>
    <w:rsid w:val="007A0169"/>
    <w:rsid w:val="007A019F"/>
    <w:rsid w:val="007A01C5"/>
    <w:rsid w:val="007A021F"/>
    <w:rsid w:val="007A0266"/>
    <w:rsid w:val="007A0338"/>
    <w:rsid w:val="007A034B"/>
    <w:rsid w:val="007A03AE"/>
    <w:rsid w:val="007A03D2"/>
    <w:rsid w:val="007A03E1"/>
    <w:rsid w:val="007A0407"/>
    <w:rsid w:val="007A0580"/>
    <w:rsid w:val="007A05EA"/>
    <w:rsid w:val="007A0634"/>
    <w:rsid w:val="007A0649"/>
    <w:rsid w:val="007A06BC"/>
    <w:rsid w:val="007A06DA"/>
    <w:rsid w:val="007A06E7"/>
    <w:rsid w:val="007A0765"/>
    <w:rsid w:val="007A07FA"/>
    <w:rsid w:val="007A08BF"/>
    <w:rsid w:val="007A08E6"/>
    <w:rsid w:val="007A0968"/>
    <w:rsid w:val="007A0982"/>
    <w:rsid w:val="007A0A24"/>
    <w:rsid w:val="007A0A6A"/>
    <w:rsid w:val="007A0A7E"/>
    <w:rsid w:val="007A0D0B"/>
    <w:rsid w:val="007A0EB0"/>
    <w:rsid w:val="007A0F8E"/>
    <w:rsid w:val="007A117E"/>
    <w:rsid w:val="007A1199"/>
    <w:rsid w:val="007A11E1"/>
    <w:rsid w:val="007A1306"/>
    <w:rsid w:val="007A15E0"/>
    <w:rsid w:val="007A1633"/>
    <w:rsid w:val="007A16C4"/>
    <w:rsid w:val="007A16C7"/>
    <w:rsid w:val="007A1800"/>
    <w:rsid w:val="007A1885"/>
    <w:rsid w:val="007A190A"/>
    <w:rsid w:val="007A1AE7"/>
    <w:rsid w:val="007A1B7B"/>
    <w:rsid w:val="007A1B7E"/>
    <w:rsid w:val="007A1BF4"/>
    <w:rsid w:val="007A1D1B"/>
    <w:rsid w:val="007A1D9F"/>
    <w:rsid w:val="007A217E"/>
    <w:rsid w:val="007A249F"/>
    <w:rsid w:val="007A2561"/>
    <w:rsid w:val="007A25B5"/>
    <w:rsid w:val="007A25CD"/>
    <w:rsid w:val="007A25FB"/>
    <w:rsid w:val="007A2630"/>
    <w:rsid w:val="007A26D0"/>
    <w:rsid w:val="007A2719"/>
    <w:rsid w:val="007A294E"/>
    <w:rsid w:val="007A29A6"/>
    <w:rsid w:val="007A2B38"/>
    <w:rsid w:val="007A2B3D"/>
    <w:rsid w:val="007A2B6A"/>
    <w:rsid w:val="007A2B9D"/>
    <w:rsid w:val="007A2C0A"/>
    <w:rsid w:val="007A2CC2"/>
    <w:rsid w:val="007A2CFF"/>
    <w:rsid w:val="007A2D5E"/>
    <w:rsid w:val="007A2D93"/>
    <w:rsid w:val="007A2DC2"/>
    <w:rsid w:val="007A2E1D"/>
    <w:rsid w:val="007A2E7E"/>
    <w:rsid w:val="007A2FFB"/>
    <w:rsid w:val="007A3008"/>
    <w:rsid w:val="007A3032"/>
    <w:rsid w:val="007A3034"/>
    <w:rsid w:val="007A311F"/>
    <w:rsid w:val="007A3131"/>
    <w:rsid w:val="007A334F"/>
    <w:rsid w:val="007A34D5"/>
    <w:rsid w:val="007A364D"/>
    <w:rsid w:val="007A37C8"/>
    <w:rsid w:val="007A391E"/>
    <w:rsid w:val="007A39B1"/>
    <w:rsid w:val="007A39D3"/>
    <w:rsid w:val="007A3BC2"/>
    <w:rsid w:val="007A3BEE"/>
    <w:rsid w:val="007A3C02"/>
    <w:rsid w:val="007A3C27"/>
    <w:rsid w:val="007A3D3D"/>
    <w:rsid w:val="007A3D71"/>
    <w:rsid w:val="007A3E66"/>
    <w:rsid w:val="007A3F02"/>
    <w:rsid w:val="007A4015"/>
    <w:rsid w:val="007A40AD"/>
    <w:rsid w:val="007A4136"/>
    <w:rsid w:val="007A41E4"/>
    <w:rsid w:val="007A4211"/>
    <w:rsid w:val="007A4299"/>
    <w:rsid w:val="007A43C1"/>
    <w:rsid w:val="007A43E7"/>
    <w:rsid w:val="007A48B4"/>
    <w:rsid w:val="007A48F0"/>
    <w:rsid w:val="007A4930"/>
    <w:rsid w:val="007A4999"/>
    <w:rsid w:val="007A4A18"/>
    <w:rsid w:val="007A4BE6"/>
    <w:rsid w:val="007A4D4A"/>
    <w:rsid w:val="007A4D7F"/>
    <w:rsid w:val="007A4DE7"/>
    <w:rsid w:val="007A4ECA"/>
    <w:rsid w:val="007A4F7E"/>
    <w:rsid w:val="007A5062"/>
    <w:rsid w:val="007A506F"/>
    <w:rsid w:val="007A50F9"/>
    <w:rsid w:val="007A51AB"/>
    <w:rsid w:val="007A51E1"/>
    <w:rsid w:val="007A5255"/>
    <w:rsid w:val="007A530D"/>
    <w:rsid w:val="007A534D"/>
    <w:rsid w:val="007A535B"/>
    <w:rsid w:val="007A543C"/>
    <w:rsid w:val="007A54F7"/>
    <w:rsid w:val="007A553F"/>
    <w:rsid w:val="007A575F"/>
    <w:rsid w:val="007A591E"/>
    <w:rsid w:val="007A5945"/>
    <w:rsid w:val="007A5979"/>
    <w:rsid w:val="007A5996"/>
    <w:rsid w:val="007A59E3"/>
    <w:rsid w:val="007A5A18"/>
    <w:rsid w:val="007A5B9F"/>
    <w:rsid w:val="007A5BA2"/>
    <w:rsid w:val="007A5C41"/>
    <w:rsid w:val="007A5D05"/>
    <w:rsid w:val="007A5DAE"/>
    <w:rsid w:val="007A5DE4"/>
    <w:rsid w:val="007A5E43"/>
    <w:rsid w:val="007A5EC6"/>
    <w:rsid w:val="007A5F2F"/>
    <w:rsid w:val="007A5F54"/>
    <w:rsid w:val="007A603D"/>
    <w:rsid w:val="007A6061"/>
    <w:rsid w:val="007A6162"/>
    <w:rsid w:val="007A622D"/>
    <w:rsid w:val="007A63C0"/>
    <w:rsid w:val="007A63F4"/>
    <w:rsid w:val="007A642D"/>
    <w:rsid w:val="007A6635"/>
    <w:rsid w:val="007A6699"/>
    <w:rsid w:val="007A675C"/>
    <w:rsid w:val="007A67BB"/>
    <w:rsid w:val="007A697D"/>
    <w:rsid w:val="007A69A3"/>
    <w:rsid w:val="007A69A8"/>
    <w:rsid w:val="007A69C2"/>
    <w:rsid w:val="007A69E6"/>
    <w:rsid w:val="007A6D15"/>
    <w:rsid w:val="007A6D33"/>
    <w:rsid w:val="007A6D5A"/>
    <w:rsid w:val="007A707A"/>
    <w:rsid w:val="007A70A5"/>
    <w:rsid w:val="007A7241"/>
    <w:rsid w:val="007A72BF"/>
    <w:rsid w:val="007A73E8"/>
    <w:rsid w:val="007A7510"/>
    <w:rsid w:val="007A753E"/>
    <w:rsid w:val="007A7540"/>
    <w:rsid w:val="007A776E"/>
    <w:rsid w:val="007A77B0"/>
    <w:rsid w:val="007A77CE"/>
    <w:rsid w:val="007A7891"/>
    <w:rsid w:val="007A79F1"/>
    <w:rsid w:val="007A7A76"/>
    <w:rsid w:val="007A7C48"/>
    <w:rsid w:val="007A7CCF"/>
    <w:rsid w:val="007A7DDC"/>
    <w:rsid w:val="007A7E12"/>
    <w:rsid w:val="007A7FBB"/>
    <w:rsid w:val="007B007E"/>
    <w:rsid w:val="007B009A"/>
    <w:rsid w:val="007B00CE"/>
    <w:rsid w:val="007B00DF"/>
    <w:rsid w:val="007B0133"/>
    <w:rsid w:val="007B0159"/>
    <w:rsid w:val="007B0379"/>
    <w:rsid w:val="007B039D"/>
    <w:rsid w:val="007B0610"/>
    <w:rsid w:val="007B0611"/>
    <w:rsid w:val="007B0696"/>
    <w:rsid w:val="007B071A"/>
    <w:rsid w:val="007B075E"/>
    <w:rsid w:val="007B088E"/>
    <w:rsid w:val="007B08A0"/>
    <w:rsid w:val="007B0A1F"/>
    <w:rsid w:val="007B0C6D"/>
    <w:rsid w:val="007B0D7B"/>
    <w:rsid w:val="007B0EEC"/>
    <w:rsid w:val="007B0F18"/>
    <w:rsid w:val="007B0FA0"/>
    <w:rsid w:val="007B1010"/>
    <w:rsid w:val="007B11EA"/>
    <w:rsid w:val="007B12B8"/>
    <w:rsid w:val="007B1379"/>
    <w:rsid w:val="007B14DD"/>
    <w:rsid w:val="007B1520"/>
    <w:rsid w:val="007B1784"/>
    <w:rsid w:val="007B17AB"/>
    <w:rsid w:val="007B183A"/>
    <w:rsid w:val="007B18CD"/>
    <w:rsid w:val="007B18EA"/>
    <w:rsid w:val="007B1908"/>
    <w:rsid w:val="007B1940"/>
    <w:rsid w:val="007B19FD"/>
    <w:rsid w:val="007B1A5D"/>
    <w:rsid w:val="007B1CA3"/>
    <w:rsid w:val="007B1DBC"/>
    <w:rsid w:val="007B1E16"/>
    <w:rsid w:val="007B1E5E"/>
    <w:rsid w:val="007B1F42"/>
    <w:rsid w:val="007B1F8E"/>
    <w:rsid w:val="007B207C"/>
    <w:rsid w:val="007B2086"/>
    <w:rsid w:val="007B20E9"/>
    <w:rsid w:val="007B21F3"/>
    <w:rsid w:val="007B22F8"/>
    <w:rsid w:val="007B231D"/>
    <w:rsid w:val="007B2320"/>
    <w:rsid w:val="007B2344"/>
    <w:rsid w:val="007B2400"/>
    <w:rsid w:val="007B2547"/>
    <w:rsid w:val="007B25D4"/>
    <w:rsid w:val="007B264C"/>
    <w:rsid w:val="007B2679"/>
    <w:rsid w:val="007B2987"/>
    <w:rsid w:val="007B2AD0"/>
    <w:rsid w:val="007B2B83"/>
    <w:rsid w:val="007B2C01"/>
    <w:rsid w:val="007B2DE2"/>
    <w:rsid w:val="007B2EF9"/>
    <w:rsid w:val="007B312C"/>
    <w:rsid w:val="007B31A7"/>
    <w:rsid w:val="007B31C8"/>
    <w:rsid w:val="007B321D"/>
    <w:rsid w:val="007B3247"/>
    <w:rsid w:val="007B3289"/>
    <w:rsid w:val="007B3317"/>
    <w:rsid w:val="007B3369"/>
    <w:rsid w:val="007B34BC"/>
    <w:rsid w:val="007B361E"/>
    <w:rsid w:val="007B36E9"/>
    <w:rsid w:val="007B3767"/>
    <w:rsid w:val="007B3853"/>
    <w:rsid w:val="007B38CB"/>
    <w:rsid w:val="007B39F9"/>
    <w:rsid w:val="007B3A37"/>
    <w:rsid w:val="007B3A5C"/>
    <w:rsid w:val="007B3BFE"/>
    <w:rsid w:val="007B3C89"/>
    <w:rsid w:val="007B3D18"/>
    <w:rsid w:val="007B3ECC"/>
    <w:rsid w:val="007B3FFE"/>
    <w:rsid w:val="007B4017"/>
    <w:rsid w:val="007B4165"/>
    <w:rsid w:val="007B4258"/>
    <w:rsid w:val="007B4262"/>
    <w:rsid w:val="007B426B"/>
    <w:rsid w:val="007B4296"/>
    <w:rsid w:val="007B42DD"/>
    <w:rsid w:val="007B42E3"/>
    <w:rsid w:val="007B4333"/>
    <w:rsid w:val="007B44CC"/>
    <w:rsid w:val="007B4568"/>
    <w:rsid w:val="007B46BC"/>
    <w:rsid w:val="007B47AD"/>
    <w:rsid w:val="007B48D8"/>
    <w:rsid w:val="007B4995"/>
    <w:rsid w:val="007B4A2F"/>
    <w:rsid w:val="007B4B5B"/>
    <w:rsid w:val="007B4B69"/>
    <w:rsid w:val="007B4C7E"/>
    <w:rsid w:val="007B4D50"/>
    <w:rsid w:val="007B4D84"/>
    <w:rsid w:val="007B4DCF"/>
    <w:rsid w:val="007B4FD9"/>
    <w:rsid w:val="007B5127"/>
    <w:rsid w:val="007B5265"/>
    <w:rsid w:val="007B5299"/>
    <w:rsid w:val="007B529D"/>
    <w:rsid w:val="007B54CA"/>
    <w:rsid w:val="007B55FA"/>
    <w:rsid w:val="007B586B"/>
    <w:rsid w:val="007B59EF"/>
    <w:rsid w:val="007B5A1D"/>
    <w:rsid w:val="007B5A26"/>
    <w:rsid w:val="007B5ACD"/>
    <w:rsid w:val="007B5AD6"/>
    <w:rsid w:val="007B5B2E"/>
    <w:rsid w:val="007B5C4C"/>
    <w:rsid w:val="007B5C64"/>
    <w:rsid w:val="007B5CB9"/>
    <w:rsid w:val="007B5D53"/>
    <w:rsid w:val="007B5FCE"/>
    <w:rsid w:val="007B5FF6"/>
    <w:rsid w:val="007B6040"/>
    <w:rsid w:val="007B6074"/>
    <w:rsid w:val="007B6104"/>
    <w:rsid w:val="007B615E"/>
    <w:rsid w:val="007B61D1"/>
    <w:rsid w:val="007B61EA"/>
    <w:rsid w:val="007B649D"/>
    <w:rsid w:val="007B64C4"/>
    <w:rsid w:val="007B658E"/>
    <w:rsid w:val="007B66A7"/>
    <w:rsid w:val="007B66E6"/>
    <w:rsid w:val="007B67D1"/>
    <w:rsid w:val="007B6B9E"/>
    <w:rsid w:val="007B6D1C"/>
    <w:rsid w:val="007B6DA7"/>
    <w:rsid w:val="007B6E6C"/>
    <w:rsid w:val="007B6F69"/>
    <w:rsid w:val="007B7023"/>
    <w:rsid w:val="007B705A"/>
    <w:rsid w:val="007B7098"/>
    <w:rsid w:val="007B715A"/>
    <w:rsid w:val="007B7240"/>
    <w:rsid w:val="007B72F7"/>
    <w:rsid w:val="007B738F"/>
    <w:rsid w:val="007B7473"/>
    <w:rsid w:val="007B7474"/>
    <w:rsid w:val="007B75C4"/>
    <w:rsid w:val="007B75C8"/>
    <w:rsid w:val="007B7689"/>
    <w:rsid w:val="007B76C6"/>
    <w:rsid w:val="007B771F"/>
    <w:rsid w:val="007B7766"/>
    <w:rsid w:val="007B7A9E"/>
    <w:rsid w:val="007B7ADB"/>
    <w:rsid w:val="007B7AF7"/>
    <w:rsid w:val="007B7B3D"/>
    <w:rsid w:val="007B7BAE"/>
    <w:rsid w:val="007B7DC0"/>
    <w:rsid w:val="007B7DCA"/>
    <w:rsid w:val="007B7E26"/>
    <w:rsid w:val="007B7F47"/>
    <w:rsid w:val="007B7FDD"/>
    <w:rsid w:val="007C0015"/>
    <w:rsid w:val="007C009F"/>
    <w:rsid w:val="007C0184"/>
    <w:rsid w:val="007C01B5"/>
    <w:rsid w:val="007C0203"/>
    <w:rsid w:val="007C0247"/>
    <w:rsid w:val="007C026D"/>
    <w:rsid w:val="007C02B2"/>
    <w:rsid w:val="007C037B"/>
    <w:rsid w:val="007C037F"/>
    <w:rsid w:val="007C0494"/>
    <w:rsid w:val="007C055E"/>
    <w:rsid w:val="007C06E5"/>
    <w:rsid w:val="007C0813"/>
    <w:rsid w:val="007C0939"/>
    <w:rsid w:val="007C0952"/>
    <w:rsid w:val="007C0973"/>
    <w:rsid w:val="007C0AE8"/>
    <w:rsid w:val="007C0BC2"/>
    <w:rsid w:val="007C0C31"/>
    <w:rsid w:val="007C0D74"/>
    <w:rsid w:val="007C0DA6"/>
    <w:rsid w:val="007C0F2D"/>
    <w:rsid w:val="007C0FCB"/>
    <w:rsid w:val="007C0FCC"/>
    <w:rsid w:val="007C10D1"/>
    <w:rsid w:val="007C1170"/>
    <w:rsid w:val="007C12AA"/>
    <w:rsid w:val="007C1312"/>
    <w:rsid w:val="007C13ED"/>
    <w:rsid w:val="007C15B2"/>
    <w:rsid w:val="007C16F5"/>
    <w:rsid w:val="007C17CE"/>
    <w:rsid w:val="007C1855"/>
    <w:rsid w:val="007C19A7"/>
    <w:rsid w:val="007C19AC"/>
    <w:rsid w:val="007C19E0"/>
    <w:rsid w:val="007C19FA"/>
    <w:rsid w:val="007C1A55"/>
    <w:rsid w:val="007C1D3E"/>
    <w:rsid w:val="007C1E38"/>
    <w:rsid w:val="007C1E4D"/>
    <w:rsid w:val="007C1E8B"/>
    <w:rsid w:val="007C1E9B"/>
    <w:rsid w:val="007C1EA7"/>
    <w:rsid w:val="007C1EAE"/>
    <w:rsid w:val="007C1EBB"/>
    <w:rsid w:val="007C1EBE"/>
    <w:rsid w:val="007C1EE5"/>
    <w:rsid w:val="007C1F49"/>
    <w:rsid w:val="007C2181"/>
    <w:rsid w:val="007C2255"/>
    <w:rsid w:val="007C2344"/>
    <w:rsid w:val="007C2448"/>
    <w:rsid w:val="007C24C9"/>
    <w:rsid w:val="007C262C"/>
    <w:rsid w:val="007C2803"/>
    <w:rsid w:val="007C289D"/>
    <w:rsid w:val="007C29D9"/>
    <w:rsid w:val="007C2A18"/>
    <w:rsid w:val="007C2A39"/>
    <w:rsid w:val="007C2A53"/>
    <w:rsid w:val="007C2B1B"/>
    <w:rsid w:val="007C2D85"/>
    <w:rsid w:val="007C2F47"/>
    <w:rsid w:val="007C3048"/>
    <w:rsid w:val="007C30B9"/>
    <w:rsid w:val="007C30F5"/>
    <w:rsid w:val="007C324D"/>
    <w:rsid w:val="007C329D"/>
    <w:rsid w:val="007C33BD"/>
    <w:rsid w:val="007C341D"/>
    <w:rsid w:val="007C3441"/>
    <w:rsid w:val="007C34D7"/>
    <w:rsid w:val="007C352C"/>
    <w:rsid w:val="007C3545"/>
    <w:rsid w:val="007C372B"/>
    <w:rsid w:val="007C385F"/>
    <w:rsid w:val="007C38A3"/>
    <w:rsid w:val="007C38C8"/>
    <w:rsid w:val="007C3A46"/>
    <w:rsid w:val="007C3A8E"/>
    <w:rsid w:val="007C3AAA"/>
    <w:rsid w:val="007C3B33"/>
    <w:rsid w:val="007C3E20"/>
    <w:rsid w:val="007C3EC4"/>
    <w:rsid w:val="007C3F7E"/>
    <w:rsid w:val="007C3FDA"/>
    <w:rsid w:val="007C408F"/>
    <w:rsid w:val="007C40DD"/>
    <w:rsid w:val="007C411C"/>
    <w:rsid w:val="007C41DB"/>
    <w:rsid w:val="007C4202"/>
    <w:rsid w:val="007C4231"/>
    <w:rsid w:val="007C424F"/>
    <w:rsid w:val="007C42BF"/>
    <w:rsid w:val="007C42ED"/>
    <w:rsid w:val="007C4509"/>
    <w:rsid w:val="007C45EC"/>
    <w:rsid w:val="007C47A9"/>
    <w:rsid w:val="007C4849"/>
    <w:rsid w:val="007C4868"/>
    <w:rsid w:val="007C48F3"/>
    <w:rsid w:val="007C498A"/>
    <w:rsid w:val="007C49D0"/>
    <w:rsid w:val="007C4A90"/>
    <w:rsid w:val="007C4ABD"/>
    <w:rsid w:val="007C4AE3"/>
    <w:rsid w:val="007C4B9F"/>
    <w:rsid w:val="007C4D3B"/>
    <w:rsid w:val="007C4E30"/>
    <w:rsid w:val="007C4EEC"/>
    <w:rsid w:val="007C4FCB"/>
    <w:rsid w:val="007C501B"/>
    <w:rsid w:val="007C511D"/>
    <w:rsid w:val="007C5359"/>
    <w:rsid w:val="007C53DA"/>
    <w:rsid w:val="007C55E6"/>
    <w:rsid w:val="007C560A"/>
    <w:rsid w:val="007C5727"/>
    <w:rsid w:val="007C57A2"/>
    <w:rsid w:val="007C58A9"/>
    <w:rsid w:val="007C58EF"/>
    <w:rsid w:val="007C58F4"/>
    <w:rsid w:val="007C5BB1"/>
    <w:rsid w:val="007C5BCE"/>
    <w:rsid w:val="007C5CD0"/>
    <w:rsid w:val="007C5F1B"/>
    <w:rsid w:val="007C607E"/>
    <w:rsid w:val="007C61BA"/>
    <w:rsid w:val="007C626F"/>
    <w:rsid w:val="007C6270"/>
    <w:rsid w:val="007C65A1"/>
    <w:rsid w:val="007C65B4"/>
    <w:rsid w:val="007C66B6"/>
    <w:rsid w:val="007C6707"/>
    <w:rsid w:val="007C678B"/>
    <w:rsid w:val="007C67F8"/>
    <w:rsid w:val="007C6817"/>
    <w:rsid w:val="007C68BA"/>
    <w:rsid w:val="007C68CC"/>
    <w:rsid w:val="007C6AA9"/>
    <w:rsid w:val="007C6CB3"/>
    <w:rsid w:val="007C6EAF"/>
    <w:rsid w:val="007C6EED"/>
    <w:rsid w:val="007C6F2F"/>
    <w:rsid w:val="007C6F8E"/>
    <w:rsid w:val="007C6FE4"/>
    <w:rsid w:val="007C7028"/>
    <w:rsid w:val="007C70C6"/>
    <w:rsid w:val="007C70E3"/>
    <w:rsid w:val="007C711B"/>
    <w:rsid w:val="007C7124"/>
    <w:rsid w:val="007C71B8"/>
    <w:rsid w:val="007C72DA"/>
    <w:rsid w:val="007C72DC"/>
    <w:rsid w:val="007C738B"/>
    <w:rsid w:val="007C7409"/>
    <w:rsid w:val="007C7454"/>
    <w:rsid w:val="007C753B"/>
    <w:rsid w:val="007C758C"/>
    <w:rsid w:val="007C7785"/>
    <w:rsid w:val="007C779C"/>
    <w:rsid w:val="007C7923"/>
    <w:rsid w:val="007C7929"/>
    <w:rsid w:val="007C7970"/>
    <w:rsid w:val="007C7AC5"/>
    <w:rsid w:val="007C7B02"/>
    <w:rsid w:val="007C7C31"/>
    <w:rsid w:val="007C7C79"/>
    <w:rsid w:val="007C7CF9"/>
    <w:rsid w:val="007C7E2C"/>
    <w:rsid w:val="007C7EDC"/>
    <w:rsid w:val="007C7F41"/>
    <w:rsid w:val="007C7FC5"/>
    <w:rsid w:val="007CB7D1"/>
    <w:rsid w:val="007D013B"/>
    <w:rsid w:val="007D01B7"/>
    <w:rsid w:val="007D0286"/>
    <w:rsid w:val="007D02A2"/>
    <w:rsid w:val="007D0340"/>
    <w:rsid w:val="007D0398"/>
    <w:rsid w:val="007D03A7"/>
    <w:rsid w:val="007D04C4"/>
    <w:rsid w:val="007D0539"/>
    <w:rsid w:val="007D0557"/>
    <w:rsid w:val="007D06CF"/>
    <w:rsid w:val="007D07A7"/>
    <w:rsid w:val="007D08E8"/>
    <w:rsid w:val="007D097B"/>
    <w:rsid w:val="007D0992"/>
    <w:rsid w:val="007D09D8"/>
    <w:rsid w:val="007D0A12"/>
    <w:rsid w:val="007D0A99"/>
    <w:rsid w:val="007D0AA9"/>
    <w:rsid w:val="007D0B16"/>
    <w:rsid w:val="007D0D66"/>
    <w:rsid w:val="007D0E0A"/>
    <w:rsid w:val="007D0E97"/>
    <w:rsid w:val="007D0FAD"/>
    <w:rsid w:val="007D118B"/>
    <w:rsid w:val="007D118F"/>
    <w:rsid w:val="007D11A1"/>
    <w:rsid w:val="007D12F2"/>
    <w:rsid w:val="007D1409"/>
    <w:rsid w:val="007D1572"/>
    <w:rsid w:val="007D157C"/>
    <w:rsid w:val="007D1632"/>
    <w:rsid w:val="007D1822"/>
    <w:rsid w:val="007D18B7"/>
    <w:rsid w:val="007D1914"/>
    <w:rsid w:val="007D1972"/>
    <w:rsid w:val="007D19A1"/>
    <w:rsid w:val="007D19C0"/>
    <w:rsid w:val="007D19E8"/>
    <w:rsid w:val="007D1A22"/>
    <w:rsid w:val="007D1B11"/>
    <w:rsid w:val="007D1BDB"/>
    <w:rsid w:val="007D1C51"/>
    <w:rsid w:val="007D1CFF"/>
    <w:rsid w:val="007D1D18"/>
    <w:rsid w:val="007D1E03"/>
    <w:rsid w:val="007D1E6B"/>
    <w:rsid w:val="007D1F88"/>
    <w:rsid w:val="007D20BD"/>
    <w:rsid w:val="007D213B"/>
    <w:rsid w:val="007D2275"/>
    <w:rsid w:val="007D2411"/>
    <w:rsid w:val="007D2460"/>
    <w:rsid w:val="007D25DB"/>
    <w:rsid w:val="007D262D"/>
    <w:rsid w:val="007D275E"/>
    <w:rsid w:val="007D289A"/>
    <w:rsid w:val="007D28C4"/>
    <w:rsid w:val="007D2973"/>
    <w:rsid w:val="007D29FC"/>
    <w:rsid w:val="007D2A73"/>
    <w:rsid w:val="007D2AD3"/>
    <w:rsid w:val="007D2B10"/>
    <w:rsid w:val="007D2B99"/>
    <w:rsid w:val="007D2C17"/>
    <w:rsid w:val="007D2C66"/>
    <w:rsid w:val="007D2E1B"/>
    <w:rsid w:val="007D2F2D"/>
    <w:rsid w:val="007D3035"/>
    <w:rsid w:val="007D3073"/>
    <w:rsid w:val="007D31B6"/>
    <w:rsid w:val="007D31D7"/>
    <w:rsid w:val="007D32ED"/>
    <w:rsid w:val="007D3502"/>
    <w:rsid w:val="007D35D8"/>
    <w:rsid w:val="007D3669"/>
    <w:rsid w:val="007D3671"/>
    <w:rsid w:val="007D37B0"/>
    <w:rsid w:val="007D37B2"/>
    <w:rsid w:val="007D3888"/>
    <w:rsid w:val="007D399A"/>
    <w:rsid w:val="007D3A66"/>
    <w:rsid w:val="007D3B0F"/>
    <w:rsid w:val="007D3D12"/>
    <w:rsid w:val="007D3D58"/>
    <w:rsid w:val="007D3DA4"/>
    <w:rsid w:val="007D3DCB"/>
    <w:rsid w:val="007D3E04"/>
    <w:rsid w:val="007D3E6C"/>
    <w:rsid w:val="007D3E9C"/>
    <w:rsid w:val="007D3EFF"/>
    <w:rsid w:val="007D415A"/>
    <w:rsid w:val="007D41DF"/>
    <w:rsid w:val="007D429E"/>
    <w:rsid w:val="007D42CE"/>
    <w:rsid w:val="007D4393"/>
    <w:rsid w:val="007D44B7"/>
    <w:rsid w:val="007D4505"/>
    <w:rsid w:val="007D4515"/>
    <w:rsid w:val="007D459B"/>
    <w:rsid w:val="007D45E8"/>
    <w:rsid w:val="007D4695"/>
    <w:rsid w:val="007D46B9"/>
    <w:rsid w:val="007D476C"/>
    <w:rsid w:val="007D47FB"/>
    <w:rsid w:val="007D4872"/>
    <w:rsid w:val="007D4A45"/>
    <w:rsid w:val="007D4AA8"/>
    <w:rsid w:val="007D4B80"/>
    <w:rsid w:val="007D4C75"/>
    <w:rsid w:val="007D4CC1"/>
    <w:rsid w:val="007D4D83"/>
    <w:rsid w:val="007D4E87"/>
    <w:rsid w:val="007D504A"/>
    <w:rsid w:val="007D506A"/>
    <w:rsid w:val="007D51AA"/>
    <w:rsid w:val="007D5340"/>
    <w:rsid w:val="007D54ED"/>
    <w:rsid w:val="007D565F"/>
    <w:rsid w:val="007D57BD"/>
    <w:rsid w:val="007D593B"/>
    <w:rsid w:val="007D598A"/>
    <w:rsid w:val="007D5B9F"/>
    <w:rsid w:val="007D5C60"/>
    <w:rsid w:val="007D5D78"/>
    <w:rsid w:val="007D5E84"/>
    <w:rsid w:val="007D5E93"/>
    <w:rsid w:val="007D5FEB"/>
    <w:rsid w:val="007D6049"/>
    <w:rsid w:val="007D6070"/>
    <w:rsid w:val="007D60F8"/>
    <w:rsid w:val="007D64A1"/>
    <w:rsid w:val="007D64E2"/>
    <w:rsid w:val="007D650F"/>
    <w:rsid w:val="007D666F"/>
    <w:rsid w:val="007D6819"/>
    <w:rsid w:val="007D68A8"/>
    <w:rsid w:val="007D68E6"/>
    <w:rsid w:val="007D6937"/>
    <w:rsid w:val="007D6A5E"/>
    <w:rsid w:val="007D6B06"/>
    <w:rsid w:val="007D6B1D"/>
    <w:rsid w:val="007D6C2A"/>
    <w:rsid w:val="007D6C4D"/>
    <w:rsid w:val="007D6DA9"/>
    <w:rsid w:val="007D6DBF"/>
    <w:rsid w:val="007D6E0D"/>
    <w:rsid w:val="007D6E25"/>
    <w:rsid w:val="007D6E8F"/>
    <w:rsid w:val="007D6F1E"/>
    <w:rsid w:val="007D6F99"/>
    <w:rsid w:val="007D7081"/>
    <w:rsid w:val="007D70F5"/>
    <w:rsid w:val="007D7100"/>
    <w:rsid w:val="007D7256"/>
    <w:rsid w:val="007D7300"/>
    <w:rsid w:val="007D7479"/>
    <w:rsid w:val="007D7528"/>
    <w:rsid w:val="007D7807"/>
    <w:rsid w:val="007D788E"/>
    <w:rsid w:val="007D78AB"/>
    <w:rsid w:val="007D79F7"/>
    <w:rsid w:val="007D7BFE"/>
    <w:rsid w:val="007D7C2C"/>
    <w:rsid w:val="007D7C8C"/>
    <w:rsid w:val="007D7CC2"/>
    <w:rsid w:val="007D7D10"/>
    <w:rsid w:val="007D7E2A"/>
    <w:rsid w:val="007D7E52"/>
    <w:rsid w:val="007D7E7A"/>
    <w:rsid w:val="007D7E93"/>
    <w:rsid w:val="007D7EAA"/>
    <w:rsid w:val="007D7EE4"/>
    <w:rsid w:val="007D7F30"/>
    <w:rsid w:val="007E00A7"/>
    <w:rsid w:val="007E00B9"/>
    <w:rsid w:val="007E0115"/>
    <w:rsid w:val="007E0123"/>
    <w:rsid w:val="007E0267"/>
    <w:rsid w:val="007E035A"/>
    <w:rsid w:val="007E038C"/>
    <w:rsid w:val="007E0469"/>
    <w:rsid w:val="007E04AE"/>
    <w:rsid w:val="007E059C"/>
    <w:rsid w:val="007E05CF"/>
    <w:rsid w:val="007E06AA"/>
    <w:rsid w:val="007E0754"/>
    <w:rsid w:val="007E0964"/>
    <w:rsid w:val="007E0B38"/>
    <w:rsid w:val="007E0B87"/>
    <w:rsid w:val="007E0BB4"/>
    <w:rsid w:val="007E0C7E"/>
    <w:rsid w:val="007E0CF2"/>
    <w:rsid w:val="007E0E77"/>
    <w:rsid w:val="007E0E8F"/>
    <w:rsid w:val="007E0F39"/>
    <w:rsid w:val="007E0FCB"/>
    <w:rsid w:val="007E1025"/>
    <w:rsid w:val="007E1091"/>
    <w:rsid w:val="007E11FF"/>
    <w:rsid w:val="007E1242"/>
    <w:rsid w:val="007E1450"/>
    <w:rsid w:val="007E1501"/>
    <w:rsid w:val="007E159B"/>
    <w:rsid w:val="007E16DB"/>
    <w:rsid w:val="007E1779"/>
    <w:rsid w:val="007E180D"/>
    <w:rsid w:val="007E1825"/>
    <w:rsid w:val="007E183F"/>
    <w:rsid w:val="007E195B"/>
    <w:rsid w:val="007E1984"/>
    <w:rsid w:val="007E1AE8"/>
    <w:rsid w:val="007E1C86"/>
    <w:rsid w:val="007E1CB0"/>
    <w:rsid w:val="007E1CBE"/>
    <w:rsid w:val="007E1DFB"/>
    <w:rsid w:val="007E1E50"/>
    <w:rsid w:val="007E1E67"/>
    <w:rsid w:val="007E1EE8"/>
    <w:rsid w:val="007E1F66"/>
    <w:rsid w:val="007E202E"/>
    <w:rsid w:val="007E20BF"/>
    <w:rsid w:val="007E2195"/>
    <w:rsid w:val="007E22B3"/>
    <w:rsid w:val="007E2365"/>
    <w:rsid w:val="007E2403"/>
    <w:rsid w:val="007E25C9"/>
    <w:rsid w:val="007E26C2"/>
    <w:rsid w:val="007E2855"/>
    <w:rsid w:val="007E2860"/>
    <w:rsid w:val="007E29BA"/>
    <w:rsid w:val="007E2A11"/>
    <w:rsid w:val="007E2A98"/>
    <w:rsid w:val="007E2BD1"/>
    <w:rsid w:val="007E2C34"/>
    <w:rsid w:val="007E2E13"/>
    <w:rsid w:val="007E2E3D"/>
    <w:rsid w:val="007E2F40"/>
    <w:rsid w:val="007E2F62"/>
    <w:rsid w:val="007E300D"/>
    <w:rsid w:val="007E3029"/>
    <w:rsid w:val="007E3062"/>
    <w:rsid w:val="007E3133"/>
    <w:rsid w:val="007E31FF"/>
    <w:rsid w:val="007E321F"/>
    <w:rsid w:val="007E329E"/>
    <w:rsid w:val="007E32DC"/>
    <w:rsid w:val="007E330E"/>
    <w:rsid w:val="007E333B"/>
    <w:rsid w:val="007E3573"/>
    <w:rsid w:val="007E3777"/>
    <w:rsid w:val="007E38DC"/>
    <w:rsid w:val="007E39D6"/>
    <w:rsid w:val="007E3A32"/>
    <w:rsid w:val="007E3AA5"/>
    <w:rsid w:val="007E3B34"/>
    <w:rsid w:val="007E3CD3"/>
    <w:rsid w:val="007E3CED"/>
    <w:rsid w:val="007E3D08"/>
    <w:rsid w:val="007E3F21"/>
    <w:rsid w:val="007E4049"/>
    <w:rsid w:val="007E409A"/>
    <w:rsid w:val="007E413C"/>
    <w:rsid w:val="007E4156"/>
    <w:rsid w:val="007E4214"/>
    <w:rsid w:val="007E42F9"/>
    <w:rsid w:val="007E439F"/>
    <w:rsid w:val="007E440E"/>
    <w:rsid w:val="007E44F1"/>
    <w:rsid w:val="007E451D"/>
    <w:rsid w:val="007E4537"/>
    <w:rsid w:val="007E460B"/>
    <w:rsid w:val="007E46FB"/>
    <w:rsid w:val="007E4767"/>
    <w:rsid w:val="007E4803"/>
    <w:rsid w:val="007E486E"/>
    <w:rsid w:val="007E48BE"/>
    <w:rsid w:val="007E4ACF"/>
    <w:rsid w:val="007E4CFB"/>
    <w:rsid w:val="007E4D2F"/>
    <w:rsid w:val="007E4DCC"/>
    <w:rsid w:val="007E4DFC"/>
    <w:rsid w:val="007E4E18"/>
    <w:rsid w:val="007E512C"/>
    <w:rsid w:val="007E51CF"/>
    <w:rsid w:val="007E52B1"/>
    <w:rsid w:val="007E5384"/>
    <w:rsid w:val="007E54D0"/>
    <w:rsid w:val="007E5562"/>
    <w:rsid w:val="007E574A"/>
    <w:rsid w:val="007E5758"/>
    <w:rsid w:val="007E5879"/>
    <w:rsid w:val="007E5A36"/>
    <w:rsid w:val="007E5ABC"/>
    <w:rsid w:val="007E5B1E"/>
    <w:rsid w:val="007E5B4A"/>
    <w:rsid w:val="007E5B90"/>
    <w:rsid w:val="007E5D73"/>
    <w:rsid w:val="007E5D79"/>
    <w:rsid w:val="007E5D87"/>
    <w:rsid w:val="007E5E9A"/>
    <w:rsid w:val="007E5EB2"/>
    <w:rsid w:val="007E5ECD"/>
    <w:rsid w:val="007E5F51"/>
    <w:rsid w:val="007E5FD8"/>
    <w:rsid w:val="007E6233"/>
    <w:rsid w:val="007E6361"/>
    <w:rsid w:val="007E63E1"/>
    <w:rsid w:val="007E6447"/>
    <w:rsid w:val="007E648A"/>
    <w:rsid w:val="007E663E"/>
    <w:rsid w:val="007E665B"/>
    <w:rsid w:val="007E67DD"/>
    <w:rsid w:val="007E68F0"/>
    <w:rsid w:val="007E6932"/>
    <w:rsid w:val="007E6A5C"/>
    <w:rsid w:val="007E6AB8"/>
    <w:rsid w:val="007E6AF7"/>
    <w:rsid w:val="007E6B9B"/>
    <w:rsid w:val="007E6C68"/>
    <w:rsid w:val="007E6C7B"/>
    <w:rsid w:val="007E6CBD"/>
    <w:rsid w:val="007E6CBE"/>
    <w:rsid w:val="007E6DCF"/>
    <w:rsid w:val="007E6F9C"/>
    <w:rsid w:val="007E6FB1"/>
    <w:rsid w:val="007E6FF2"/>
    <w:rsid w:val="007E7031"/>
    <w:rsid w:val="007E7191"/>
    <w:rsid w:val="007E739E"/>
    <w:rsid w:val="007E740C"/>
    <w:rsid w:val="007E751D"/>
    <w:rsid w:val="007E7583"/>
    <w:rsid w:val="007E7737"/>
    <w:rsid w:val="007E7817"/>
    <w:rsid w:val="007E7844"/>
    <w:rsid w:val="007E789E"/>
    <w:rsid w:val="007E78A3"/>
    <w:rsid w:val="007E78BC"/>
    <w:rsid w:val="007E7908"/>
    <w:rsid w:val="007E7960"/>
    <w:rsid w:val="007E79A9"/>
    <w:rsid w:val="007E7A68"/>
    <w:rsid w:val="007E7B9D"/>
    <w:rsid w:val="007E7BCD"/>
    <w:rsid w:val="007E7BDE"/>
    <w:rsid w:val="007E7C47"/>
    <w:rsid w:val="007E7D8E"/>
    <w:rsid w:val="007E7EC0"/>
    <w:rsid w:val="007E7FD4"/>
    <w:rsid w:val="007F0238"/>
    <w:rsid w:val="007F036E"/>
    <w:rsid w:val="007F03A9"/>
    <w:rsid w:val="007F0593"/>
    <w:rsid w:val="007F05B5"/>
    <w:rsid w:val="007F06B4"/>
    <w:rsid w:val="007F06ED"/>
    <w:rsid w:val="007F07C8"/>
    <w:rsid w:val="007F07D9"/>
    <w:rsid w:val="007F07E5"/>
    <w:rsid w:val="007F084C"/>
    <w:rsid w:val="007F0929"/>
    <w:rsid w:val="007F0A33"/>
    <w:rsid w:val="007F0A77"/>
    <w:rsid w:val="007F0AD9"/>
    <w:rsid w:val="007F0C50"/>
    <w:rsid w:val="007F0DFD"/>
    <w:rsid w:val="007F0FD9"/>
    <w:rsid w:val="007F1097"/>
    <w:rsid w:val="007F10A5"/>
    <w:rsid w:val="007F128B"/>
    <w:rsid w:val="007F129B"/>
    <w:rsid w:val="007F12EE"/>
    <w:rsid w:val="007F1347"/>
    <w:rsid w:val="007F13E5"/>
    <w:rsid w:val="007F1513"/>
    <w:rsid w:val="007F156D"/>
    <w:rsid w:val="007F1610"/>
    <w:rsid w:val="007F1613"/>
    <w:rsid w:val="007F178C"/>
    <w:rsid w:val="007F18F2"/>
    <w:rsid w:val="007F1998"/>
    <w:rsid w:val="007F1A29"/>
    <w:rsid w:val="007F1B5E"/>
    <w:rsid w:val="007F1C3A"/>
    <w:rsid w:val="007F1D26"/>
    <w:rsid w:val="007F1EA1"/>
    <w:rsid w:val="007F1F93"/>
    <w:rsid w:val="007F1F9F"/>
    <w:rsid w:val="007F1FA0"/>
    <w:rsid w:val="007F1FE2"/>
    <w:rsid w:val="007F202B"/>
    <w:rsid w:val="007F203E"/>
    <w:rsid w:val="007F20CB"/>
    <w:rsid w:val="007F2206"/>
    <w:rsid w:val="007F2220"/>
    <w:rsid w:val="007F2402"/>
    <w:rsid w:val="007F247F"/>
    <w:rsid w:val="007F257A"/>
    <w:rsid w:val="007F26AC"/>
    <w:rsid w:val="007F26E9"/>
    <w:rsid w:val="007F276F"/>
    <w:rsid w:val="007F287C"/>
    <w:rsid w:val="007F2975"/>
    <w:rsid w:val="007F2A1C"/>
    <w:rsid w:val="007F2AD7"/>
    <w:rsid w:val="007F2BB1"/>
    <w:rsid w:val="007F2CCB"/>
    <w:rsid w:val="007F2CCE"/>
    <w:rsid w:val="007F2D1D"/>
    <w:rsid w:val="007F2D60"/>
    <w:rsid w:val="007F2E3B"/>
    <w:rsid w:val="007F2F7A"/>
    <w:rsid w:val="007F2FCE"/>
    <w:rsid w:val="007F3067"/>
    <w:rsid w:val="007F3129"/>
    <w:rsid w:val="007F3195"/>
    <w:rsid w:val="007F33FC"/>
    <w:rsid w:val="007F3400"/>
    <w:rsid w:val="007F35B1"/>
    <w:rsid w:val="007F35FE"/>
    <w:rsid w:val="007F36EA"/>
    <w:rsid w:val="007F37CF"/>
    <w:rsid w:val="007F3989"/>
    <w:rsid w:val="007F3A38"/>
    <w:rsid w:val="007F3A3F"/>
    <w:rsid w:val="007F3A81"/>
    <w:rsid w:val="007F3C42"/>
    <w:rsid w:val="007F3D12"/>
    <w:rsid w:val="007F3D28"/>
    <w:rsid w:val="007F3D46"/>
    <w:rsid w:val="007F3DFE"/>
    <w:rsid w:val="007F415C"/>
    <w:rsid w:val="007F41B3"/>
    <w:rsid w:val="007F41C3"/>
    <w:rsid w:val="007F4283"/>
    <w:rsid w:val="007F42A4"/>
    <w:rsid w:val="007F42E2"/>
    <w:rsid w:val="007F4376"/>
    <w:rsid w:val="007F4429"/>
    <w:rsid w:val="007F444F"/>
    <w:rsid w:val="007F4554"/>
    <w:rsid w:val="007F4606"/>
    <w:rsid w:val="007F4664"/>
    <w:rsid w:val="007F46E2"/>
    <w:rsid w:val="007F4780"/>
    <w:rsid w:val="007F4827"/>
    <w:rsid w:val="007F482B"/>
    <w:rsid w:val="007F4A5F"/>
    <w:rsid w:val="007F4BA0"/>
    <w:rsid w:val="007F4C7E"/>
    <w:rsid w:val="007F50A9"/>
    <w:rsid w:val="007F50C5"/>
    <w:rsid w:val="007F513B"/>
    <w:rsid w:val="007F52D0"/>
    <w:rsid w:val="007F5309"/>
    <w:rsid w:val="007F53CF"/>
    <w:rsid w:val="007F559B"/>
    <w:rsid w:val="007F55B9"/>
    <w:rsid w:val="007F56AF"/>
    <w:rsid w:val="007F57BE"/>
    <w:rsid w:val="007F5B76"/>
    <w:rsid w:val="007F5DCE"/>
    <w:rsid w:val="007F5E29"/>
    <w:rsid w:val="007F5E3B"/>
    <w:rsid w:val="007F5EE2"/>
    <w:rsid w:val="007F6044"/>
    <w:rsid w:val="007F60BE"/>
    <w:rsid w:val="007F61A7"/>
    <w:rsid w:val="007F61A9"/>
    <w:rsid w:val="007F61F8"/>
    <w:rsid w:val="007F61FA"/>
    <w:rsid w:val="007F6281"/>
    <w:rsid w:val="007F63AD"/>
    <w:rsid w:val="007F63C2"/>
    <w:rsid w:val="007F646B"/>
    <w:rsid w:val="007F64CA"/>
    <w:rsid w:val="007F65DF"/>
    <w:rsid w:val="007F6617"/>
    <w:rsid w:val="007F6643"/>
    <w:rsid w:val="007F6700"/>
    <w:rsid w:val="007F6718"/>
    <w:rsid w:val="007F67B4"/>
    <w:rsid w:val="007F6952"/>
    <w:rsid w:val="007F6B0D"/>
    <w:rsid w:val="007F6BCD"/>
    <w:rsid w:val="007F6C6E"/>
    <w:rsid w:val="007F6C71"/>
    <w:rsid w:val="007F6CCB"/>
    <w:rsid w:val="007F6DAA"/>
    <w:rsid w:val="007F6DD6"/>
    <w:rsid w:val="007F6DF1"/>
    <w:rsid w:val="007F6F18"/>
    <w:rsid w:val="007F7015"/>
    <w:rsid w:val="007F7075"/>
    <w:rsid w:val="007F709D"/>
    <w:rsid w:val="007F70C1"/>
    <w:rsid w:val="007F70EE"/>
    <w:rsid w:val="007F713C"/>
    <w:rsid w:val="007F715C"/>
    <w:rsid w:val="007F717E"/>
    <w:rsid w:val="007F717F"/>
    <w:rsid w:val="007F7246"/>
    <w:rsid w:val="007F7407"/>
    <w:rsid w:val="007F748F"/>
    <w:rsid w:val="007F74D7"/>
    <w:rsid w:val="007F758C"/>
    <w:rsid w:val="007F75E7"/>
    <w:rsid w:val="007F762F"/>
    <w:rsid w:val="007F76B8"/>
    <w:rsid w:val="007F76DB"/>
    <w:rsid w:val="007F77A6"/>
    <w:rsid w:val="007F784B"/>
    <w:rsid w:val="007F785D"/>
    <w:rsid w:val="007F7976"/>
    <w:rsid w:val="007F7B4B"/>
    <w:rsid w:val="007F7CAF"/>
    <w:rsid w:val="007F7D75"/>
    <w:rsid w:val="007F7DA5"/>
    <w:rsid w:val="007F7DD2"/>
    <w:rsid w:val="007F7E74"/>
    <w:rsid w:val="007F7E93"/>
    <w:rsid w:val="007F7E9D"/>
    <w:rsid w:val="007F7EB9"/>
    <w:rsid w:val="007F7F10"/>
    <w:rsid w:val="007F7F2D"/>
    <w:rsid w:val="007F7F79"/>
    <w:rsid w:val="007F7FF3"/>
    <w:rsid w:val="008000B5"/>
    <w:rsid w:val="00800197"/>
    <w:rsid w:val="008001D4"/>
    <w:rsid w:val="0080028C"/>
    <w:rsid w:val="0080031C"/>
    <w:rsid w:val="008003BC"/>
    <w:rsid w:val="0080055A"/>
    <w:rsid w:val="00800651"/>
    <w:rsid w:val="0080072D"/>
    <w:rsid w:val="008007C9"/>
    <w:rsid w:val="0080099C"/>
    <w:rsid w:val="00800AA3"/>
    <w:rsid w:val="00800B1D"/>
    <w:rsid w:val="00800BA0"/>
    <w:rsid w:val="00800BB9"/>
    <w:rsid w:val="00800DFF"/>
    <w:rsid w:val="00800E77"/>
    <w:rsid w:val="00800EE9"/>
    <w:rsid w:val="00801069"/>
    <w:rsid w:val="00801077"/>
    <w:rsid w:val="00801086"/>
    <w:rsid w:val="0080110A"/>
    <w:rsid w:val="00801122"/>
    <w:rsid w:val="00801186"/>
    <w:rsid w:val="008011A0"/>
    <w:rsid w:val="008011B7"/>
    <w:rsid w:val="008011BC"/>
    <w:rsid w:val="008011E9"/>
    <w:rsid w:val="00801217"/>
    <w:rsid w:val="008012BA"/>
    <w:rsid w:val="0080133B"/>
    <w:rsid w:val="00801394"/>
    <w:rsid w:val="008014B8"/>
    <w:rsid w:val="0080158F"/>
    <w:rsid w:val="00801806"/>
    <w:rsid w:val="00801869"/>
    <w:rsid w:val="00801908"/>
    <w:rsid w:val="00801A3B"/>
    <w:rsid w:val="00801AFD"/>
    <w:rsid w:val="00801B12"/>
    <w:rsid w:val="00801BB7"/>
    <w:rsid w:val="00801C26"/>
    <w:rsid w:val="00801CB1"/>
    <w:rsid w:val="00801CC5"/>
    <w:rsid w:val="00801D5A"/>
    <w:rsid w:val="00801DC5"/>
    <w:rsid w:val="00801DF2"/>
    <w:rsid w:val="00801DFD"/>
    <w:rsid w:val="00801E05"/>
    <w:rsid w:val="00801E58"/>
    <w:rsid w:val="00801E83"/>
    <w:rsid w:val="00801EC3"/>
    <w:rsid w:val="00801F1E"/>
    <w:rsid w:val="00802011"/>
    <w:rsid w:val="0080201B"/>
    <w:rsid w:val="0080203C"/>
    <w:rsid w:val="00802111"/>
    <w:rsid w:val="0080215C"/>
    <w:rsid w:val="008021DD"/>
    <w:rsid w:val="0080222C"/>
    <w:rsid w:val="008022EF"/>
    <w:rsid w:val="0080232A"/>
    <w:rsid w:val="00802383"/>
    <w:rsid w:val="00802470"/>
    <w:rsid w:val="00802634"/>
    <w:rsid w:val="00802658"/>
    <w:rsid w:val="008027C6"/>
    <w:rsid w:val="00802B6A"/>
    <w:rsid w:val="00802D2E"/>
    <w:rsid w:val="00802F26"/>
    <w:rsid w:val="00803112"/>
    <w:rsid w:val="008031B9"/>
    <w:rsid w:val="00803403"/>
    <w:rsid w:val="00803493"/>
    <w:rsid w:val="0080366A"/>
    <w:rsid w:val="00803816"/>
    <w:rsid w:val="0080398B"/>
    <w:rsid w:val="00803996"/>
    <w:rsid w:val="00803A25"/>
    <w:rsid w:val="00803BD0"/>
    <w:rsid w:val="00803C3D"/>
    <w:rsid w:val="00803D73"/>
    <w:rsid w:val="00803D8E"/>
    <w:rsid w:val="00803DCD"/>
    <w:rsid w:val="00803EA5"/>
    <w:rsid w:val="00803F18"/>
    <w:rsid w:val="00803FF9"/>
    <w:rsid w:val="008040BC"/>
    <w:rsid w:val="00804118"/>
    <w:rsid w:val="00804228"/>
    <w:rsid w:val="008042A0"/>
    <w:rsid w:val="00804343"/>
    <w:rsid w:val="008043E8"/>
    <w:rsid w:val="00804426"/>
    <w:rsid w:val="00804441"/>
    <w:rsid w:val="008044F0"/>
    <w:rsid w:val="0080466A"/>
    <w:rsid w:val="00804679"/>
    <w:rsid w:val="008046DB"/>
    <w:rsid w:val="008046EC"/>
    <w:rsid w:val="008047C0"/>
    <w:rsid w:val="0080493B"/>
    <w:rsid w:val="008049FE"/>
    <w:rsid w:val="00804A11"/>
    <w:rsid w:val="00804A8C"/>
    <w:rsid w:val="00804BFE"/>
    <w:rsid w:val="00804C97"/>
    <w:rsid w:val="00804EC6"/>
    <w:rsid w:val="00804F3D"/>
    <w:rsid w:val="00804FC0"/>
    <w:rsid w:val="00805050"/>
    <w:rsid w:val="00805053"/>
    <w:rsid w:val="008050A2"/>
    <w:rsid w:val="00805253"/>
    <w:rsid w:val="00805323"/>
    <w:rsid w:val="0080537B"/>
    <w:rsid w:val="00805383"/>
    <w:rsid w:val="008055E9"/>
    <w:rsid w:val="00805629"/>
    <w:rsid w:val="00805630"/>
    <w:rsid w:val="00805633"/>
    <w:rsid w:val="00805790"/>
    <w:rsid w:val="00805846"/>
    <w:rsid w:val="0080593F"/>
    <w:rsid w:val="008059A3"/>
    <w:rsid w:val="00805B1F"/>
    <w:rsid w:val="00805B2F"/>
    <w:rsid w:val="00805BA8"/>
    <w:rsid w:val="00805C6B"/>
    <w:rsid w:val="00805CD5"/>
    <w:rsid w:val="00805D71"/>
    <w:rsid w:val="00805E21"/>
    <w:rsid w:val="00805E41"/>
    <w:rsid w:val="00805F25"/>
    <w:rsid w:val="00806045"/>
    <w:rsid w:val="00806129"/>
    <w:rsid w:val="008061FB"/>
    <w:rsid w:val="00806215"/>
    <w:rsid w:val="0080623A"/>
    <w:rsid w:val="0080634E"/>
    <w:rsid w:val="008063AD"/>
    <w:rsid w:val="0080645E"/>
    <w:rsid w:val="00806491"/>
    <w:rsid w:val="008064D2"/>
    <w:rsid w:val="008064D5"/>
    <w:rsid w:val="008065C8"/>
    <w:rsid w:val="0080668D"/>
    <w:rsid w:val="00806714"/>
    <w:rsid w:val="00806795"/>
    <w:rsid w:val="0080679F"/>
    <w:rsid w:val="008067A6"/>
    <w:rsid w:val="008067F5"/>
    <w:rsid w:val="00806814"/>
    <w:rsid w:val="0080686C"/>
    <w:rsid w:val="008069F7"/>
    <w:rsid w:val="00806C01"/>
    <w:rsid w:val="00806C71"/>
    <w:rsid w:val="00806CB5"/>
    <w:rsid w:val="00806ED5"/>
    <w:rsid w:val="00807108"/>
    <w:rsid w:val="008072B4"/>
    <w:rsid w:val="008072DD"/>
    <w:rsid w:val="00807463"/>
    <w:rsid w:val="0080746A"/>
    <w:rsid w:val="00807689"/>
    <w:rsid w:val="00807703"/>
    <w:rsid w:val="00807775"/>
    <w:rsid w:val="008077A3"/>
    <w:rsid w:val="00807900"/>
    <w:rsid w:val="00807A9C"/>
    <w:rsid w:val="00807B57"/>
    <w:rsid w:val="00807B70"/>
    <w:rsid w:val="00807BE5"/>
    <w:rsid w:val="00807DB1"/>
    <w:rsid w:val="00807F58"/>
    <w:rsid w:val="0080E61D"/>
    <w:rsid w:val="008100C1"/>
    <w:rsid w:val="0081024A"/>
    <w:rsid w:val="008102A2"/>
    <w:rsid w:val="008102D7"/>
    <w:rsid w:val="00810432"/>
    <w:rsid w:val="0081070D"/>
    <w:rsid w:val="008109E8"/>
    <w:rsid w:val="00810A3D"/>
    <w:rsid w:val="00810ADB"/>
    <w:rsid w:val="00810C74"/>
    <w:rsid w:val="00810D66"/>
    <w:rsid w:val="00810EA0"/>
    <w:rsid w:val="00810F73"/>
    <w:rsid w:val="00810F8A"/>
    <w:rsid w:val="0081101B"/>
    <w:rsid w:val="0081106F"/>
    <w:rsid w:val="008110C7"/>
    <w:rsid w:val="0081111D"/>
    <w:rsid w:val="0081127A"/>
    <w:rsid w:val="0081137B"/>
    <w:rsid w:val="00811413"/>
    <w:rsid w:val="0081145B"/>
    <w:rsid w:val="008115B2"/>
    <w:rsid w:val="0081162F"/>
    <w:rsid w:val="008116D5"/>
    <w:rsid w:val="0081179F"/>
    <w:rsid w:val="008118C9"/>
    <w:rsid w:val="0081190A"/>
    <w:rsid w:val="00811A4D"/>
    <w:rsid w:val="00811A87"/>
    <w:rsid w:val="00811BF4"/>
    <w:rsid w:val="00811C88"/>
    <w:rsid w:val="00811CA8"/>
    <w:rsid w:val="00811D74"/>
    <w:rsid w:val="00811E15"/>
    <w:rsid w:val="00811F31"/>
    <w:rsid w:val="00811F93"/>
    <w:rsid w:val="00811FFA"/>
    <w:rsid w:val="008121CE"/>
    <w:rsid w:val="00812219"/>
    <w:rsid w:val="0081221E"/>
    <w:rsid w:val="00812275"/>
    <w:rsid w:val="00812767"/>
    <w:rsid w:val="008127C4"/>
    <w:rsid w:val="0081287C"/>
    <w:rsid w:val="0081292B"/>
    <w:rsid w:val="00812B8B"/>
    <w:rsid w:val="00812BA2"/>
    <w:rsid w:val="00812CCF"/>
    <w:rsid w:val="00812D7A"/>
    <w:rsid w:val="00812DF9"/>
    <w:rsid w:val="00812EE0"/>
    <w:rsid w:val="00812FAC"/>
    <w:rsid w:val="00812FD2"/>
    <w:rsid w:val="008130A0"/>
    <w:rsid w:val="008130BD"/>
    <w:rsid w:val="008130CF"/>
    <w:rsid w:val="008130E7"/>
    <w:rsid w:val="008131C4"/>
    <w:rsid w:val="00813229"/>
    <w:rsid w:val="0081327D"/>
    <w:rsid w:val="00813378"/>
    <w:rsid w:val="00813388"/>
    <w:rsid w:val="008134D1"/>
    <w:rsid w:val="0081363B"/>
    <w:rsid w:val="00813664"/>
    <w:rsid w:val="00813996"/>
    <w:rsid w:val="00813A92"/>
    <w:rsid w:val="00813B58"/>
    <w:rsid w:val="00813C3D"/>
    <w:rsid w:val="00813CB6"/>
    <w:rsid w:val="00813DD0"/>
    <w:rsid w:val="00813E2A"/>
    <w:rsid w:val="00813E8F"/>
    <w:rsid w:val="00813EAD"/>
    <w:rsid w:val="00813EB8"/>
    <w:rsid w:val="00813EF4"/>
    <w:rsid w:val="00813FE6"/>
    <w:rsid w:val="0081406E"/>
    <w:rsid w:val="008140EF"/>
    <w:rsid w:val="0081421C"/>
    <w:rsid w:val="00814347"/>
    <w:rsid w:val="00814472"/>
    <w:rsid w:val="0081466A"/>
    <w:rsid w:val="00814691"/>
    <w:rsid w:val="008146BB"/>
    <w:rsid w:val="00814711"/>
    <w:rsid w:val="0081483A"/>
    <w:rsid w:val="0081490E"/>
    <w:rsid w:val="00814919"/>
    <w:rsid w:val="00814953"/>
    <w:rsid w:val="00814993"/>
    <w:rsid w:val="008149C0"/>
    <w:rsid w:val="00814A2D"/>
    <w:rsid w:val="00814BC4"/>
    <w:rsid w:val="00814BF5"/>
    <w:rsid w:val="00814C20"/>
    <w:rsid w:val="00814CF4"/>
    <w:rsid w:val="00814DBC"/>
    <w:rsid w:val="00814ED5"/>
    <w:rsid w:val="00815215"/>
    <w:rsid w:val="00815307"/>
    <w:rsid w:val="00815358"/>
    <w:rsid w:val="008153CC"/>
    <w:rsid w:val="008154C1"/>
    <w:rsid w:val="008155DB"/>
    <w:rsid w:val="0081578F"/>
    <w:rsid w:val="0081580D"/>
    <w:rsid w:val="00815827"/>
    <w:rsid w:val="008158D0"/>
    <w:rsid w:val="0081592D"/>
    <w:rsid w:val="008159CE"/>
    <w:rsid w:val="00815A1E"/>
    <w:rsid w:val="00815A4F"/>
    <w:rsid w:val="00815AD3"/>
    <w:rsid w:val="00815B60"/>
    <w:rsid w:val="00815C23"/>
    <w:rsid w:val="00815D16"/>
    <w:rsid w:val="00815F60"/>
    <w:rsid w:val="00816030"/>
    <w:rsid w:val="0081623C"/>
    <w:rsid w:val="0081629A"/>
    <w:rsid w:val="00816385"/>
    <w:rsid w:val="00816390"/>
    <w:rsid w:val="00816491"/>
    <w:rsid w:val="00816501"/>
    <w:rsid w:val="00816721"/>
    <w:rsid w:val="0081673C"/>
    <w:rsid w:val="0081680C"/>
    <w:rsid w:val="00816AE9"/>
    <w:rsid w:val="00816C7B"/>
    <w:rsid w:val="00816D09"/>
    <w:rsid w:val="00816D37"/>
    <w:rsid w:val="008170F5"/>
    <w:rsid w:val="00817147"/>
    <w:rsid w:val="00817435"/>
    <w:rsid w:val="008174D3"/>
    <w:rsid w:val="00817678"/>
    <w:rsid w:val="008176E9"/>
    <w:rsid w:val="008177FB"/>
    <w:rsid w:val="00817824"/>
    <w:rsid w:val="00817847"/>
    <w:rsid w:val="008178DB"/>
    <w:rsid w:val="00817919"/>
    <w:rsid w:val="00817AF7"/>
    <w:rsid w:val="00817DC7"/>
    <w:rsid w:val="00817E0C"/>
    <w:rsid w:val="00817E61"/>
    <w:rsid w:val="008200BD"/>
    <w:rsid w:val="00820188"/>
    <w:rsid w:val="008201D4"/>
    <w:rsid w:val="00820359"/>
    <w:rsid w:val="008203F5"/>
    <w:rsid w:val="00820543"/>
    <w:rsid w:val="0082055F"/>
    <w:rsid w:val="0082058B"/>
    <w:rsid w:val="008205BC"/>
    <w:rsid w:val="008205D1"/>
    <w:rsid w:val="00820703"/>
    <w:rsid w:val="0082078C"/>
    <w:rsid w:val="0082094E"/>
    <w:rsid w:val="008209CA"/>
    <w:rsid w:val="00820B7C"/>
    <w:rsid w:val="00820C27"/>
    <w:rsid w:val="00820C3E"/>
    <w:rsid w:val="00820D1C"/>
    <w:rsid w:val="00820DB5"/>
    <w:rsid w:val="00820DD6"/>
    <w:rsid w:val="00820E7E"/>
    <w:rsid w:val="00820EE6"/>
    <w:rsid w:val="00821023"/>
    <w:rsid w:val="00821196"/>
    <w:rsid w:val="0082130B"/>
    <w:rsid w:val="008215F1"/>
    <w:rsid w:val="0082171F"/>
    <w:rsid w:val="00821785"/>
    <w:rsid w:val="00821847"/>
    <w:rsid w:val="00821878"/>
    <w:rsid w:val="00821925"/>
    <w:rsid w:val="00821950"/>
    <w:rsid w:val="0082196C"/>
    <w:rsid w:val="0082197F"/>
    <w:rsid w:val="00821981"/>
    <w:rsid w:val="00821991"/>
    <w:rsid w:val="00821A20"/>
    <w:rsid w:val="00821C4D"/>
    <w:rsid w:val="00821C68"/>
    <w:rsid w:val="00821CDA"/>
    <w:rsid w:val="00821CF8"/>
    <w:rsid w:val="00821DC7"/>
    <w:rsid w:val="00821E3B"/>
    <w:rsid w:val="00821EBA"/>
    <w:rsid w:val="00821F7E"/>
    <w:rsid w:val="00821F82"/>
    <w:rsid w:val="00822165"/>
    <w:rsid w:val="00822239"/>
    <w:rsid w:val="0082229C"/>
    <w:rsid w:val="008222C5"/>
    <w:rsid w:val="008222E1"/>
    <w:rsid w:val="008223F4"/>
    <w:rsid w:val="008224B4"/>
    <w:rsid w:val="0082256B"/>
    <w:rsid w:val="00822648"/>
    <w:rsid w:val="008227EA"/>
    <w:rsid w:val="00822879"/>
    <w:rsid w:val="008228A7"/>
    <w:rsid w:val="00822928"/>
    <w:rsid w:val="0082294C"/>
    <w:rsid w:val="0082296F"/>
    <w:rsid w:val="0082297B"/>
    <w:rsid w:val="008229E4"/>
    <w:rsid w:val="00822AA2"/>
    <w:rsid w:val="00822ACB"/>
    <w:rsid w:val="00822BAA"/>
    <w:rsid w:val="00822D03"/>
    <w:rsid w:val="00822D3B"/>
    <w:rsid w:val="00822D6A"/>
    <w:rsid w:val="00822D7D"/>
    <w:rsid w:val="00822DBB"/>
    <w:rsid w:val="00822E56"/>
    <w:rsid w:val="00822E6E"/>
    <w:rsid w:val="00822F05"/>
    <w:rsid w:val="00823037"/>
    <w:rsid w:val="008232D8"/>
    <w:rsid w:val="0082330A"/>
    <w:rsid w:val="0082346D"/>
    <w:rsid w:val="0082359D"/>
    <w:rsid w:val="0082362C"/>
    <w:rsid w:val="00823653"/>
    <w:rsid w:val="00823669"/>
    <w:rsid w:val="0082373E"/>
    <w:rsid w:val="00823856"/>
    <w:rsid w:val="00823859"/>
    <w:rsid w:val="008239C4"/>
    <w:rsid w:val="00823A6C"/>
    <w:rsid w:val="00823AD1"/>
    <w:rsid w:val="00823B41"/>
    <w:rsid w:val="00823BBA"/>
    <w:rsid w:val="00823D71"/>
    <w:rsid w:val="008241F7"/>
    <w:rsid w:val="008242ED"/>
    <w:rsid w:val="0082434E"/>
    <w:rsid w:val="00824463"/>
    <w:rsid w:val="008244AC"/>
    <w:rsid w:val="008244DB"/>
    <w:rsid w:val="008244E2"/>
    <w:rsid w:val="008244F4"/>
    <w:rsid w:val="0082466B"/>
    <w:rsid w:val="00824765"/>
    <w:rsid w:val="00824A43"/>
    <w:rsid w:val="00824A49"/>
    <w:rsid w:val="00824AE7"/>
    <w:rsid w:val="00824CDA"/>
    <w:rsid w:val="00824CFC"/>
    <w:rsid w:val="00824D24"/>
    <w:rsid w:val="00824E0B"/>
    <w:rsid w:val="00824E84"/>
    <w:rsid w:val="00824EAB"/>
    <w:rsid w:val="00824F82"/>
    <w:rsid w:val="00824F98"/>
    <w:rsid w:val="00825081"/>
    <w:rsid w:val="00825106"/>
    <w:rsid w:val="00825181"/>
    <w:rsid w:val="008251FA"/>
    <w:rsid w:val="008253CA"/>
    <w:rsid w:val="0082559B"/>
    <w:rsid w:val="008256BA"/>
    <w:rsid w:val="008256C6"/>
    <w:rsid w:val="008257B2"/>
    <w:rsid w:val="008258B0"/>
    <w:rsid w:val="00825926"/>
    <w:rsid w:val="0082592F"/>
    <w:rsid w:val="00825995"/>
    <w:rsid w:val="00825CA2"/>
    <w:rsid w:val="00825F88"/>
    <w:rsid w:val="00825FB9"/>
    <w:rsid w:val="0082617F"/>
    <w:rsid w:val="008261B1"/>
    <w:rsid w:val="008262B7"/>
    <w:rsid w:val="008263B5"/>
    <w:rsid w:val="008263BB"/>
    <w:rsid w:val="008264F2"/>
    <w:rsid w:val="00826563"/>
    <w:rsid w:val="0082658F"/>
    <w:rsid w:val="00826899"/>
    <w:rsid w:val="008268C4"/>
    <w:rsid w:val="00826965"/>
    <w:rsid w:val="00826C3E"/>
    <w:rsid w:val="00826DAB"/>
    <w:rsid w:val="0082701E"/>
    <w:rsid w:val="00827280"/>
    <w:rsid w:val="00827356"/>
    <w:rsid w:val="008273BB"/>
    <w:rsid w:val="008273DF"/>
    <w:rsid w:val="00827457"/>
    <w:rsid w:val="0082758E"/>
    <w:rsid w:val="008276EB"/>
    <w:rsid w:val="0082771E"/>
    <w:rsid w:val="0082786F"/>
    <w:rsid w:val="0082788B"/>
    <w:rsid w:val="0082788F"/>
    <w:rsid w:val="008279CE"/>
    <w:rsid w:val="00827A62"/>
    <w:rsid w:val="00827B71"/>
    <w:rsid w:val="00827BB5"/>
    <w:rsid w:val="00827C5A"/>
    <w:rsid w:val="00827C77"/>
    <w:rsid w:val="00827D38"/>
    <w:rsid w:val="0083005A"/>
    <w:rsid w:val="008300F5"/>
    <w:rsid w:val="008301FC"/>
    <w:rsid w:val="00830500"/>
    <w:rsid w:val="008306A4"/>
    <w:rsid w:val="008306DD"/>
    <w:rsid w:val="0083074B"/>
    <w:rsid w:val="00830816"/>
    <w:rsid w:val="008309A4"/>
    <w:rsid w:val="00830E03"/>
    <w:rsid w:val="00830ECF"/>
    <w:rsid w:val="00830F0D"/>
    <w:rsid w:val="00830F86"/>
    <w:rsid w:val="008312A2"/>
    <w:rsid w:val="008312F5"/>
    <w:rsid w:val="008313CD"/>
    <w:rsid w:val="00831410"/>
    <w:rsid w:val="008315FA"/>
    <w:rsid w:val="008316B0"/>
    <w:rsid w:val="008316D2"/>
    <w:rsid w:val="008316E6"/>
    <w:rsid w:val="008317C8"/>
    <w:rsid w:val="00831851"/>
    <w:rsid w:val="008318E9"/>
    <w:rsid w:val="008318F3"/>
    <w:rsid w:val="00831984"/>
    <w:rsid w:val="00831A33"/>
    <w:rsid w:val="00831BB4"/>
    <w:rsid w:val="00831BFF"/>
    <w:rsid w:val="00831C08"/>
    <w:rsid w:val="00831C12"/>
    <w:rsid w:val="00831C8F"/>
    <w:rsid w:val="00831EF9"/>
    <w:rsid w:val="00831F94"/>
    <w:rsid w:val="00831FFE"/>
    <w:rsid w:val="00832031"/>
    <w:rsid w:val="00832286"/>
    <w:rsid w:val="00832381"/>
    <w:rsid w:val="00832610"/>
    <w:rsid w:val="0083265D"/>
    <w:rsid w:val="00832683"/>
    <w:rsid w:val="008326F8"/>
    <w:rsid w:val="00832827"/>
    <w:rsid w:val="00832868"/>
    <w:rsid w:val="008328A2"/>
    <w:rsid w:val="008329DB"/>
    <w:rsid w:val="008329E6"/>
    <w:rsid w:val="00832C0B"/>
    <w:rsid w:val="00832D5B"/>
    <w:rsid w:val="00832E58"/>
    <w:rsid w:val="00832EF9"/>
    <w:rsid w:val="00833030"/>
    <w:rsid w:val="00833058"/>
    <w:rsid w:val="008330A0"/>
    <w:rsid w:val="008331EF"/>
    <w:rsid w:val="0083325F"/>
    <w:rsid w:val="0083329B"/>
    <w:rsid w:val="00833349"/>
    <w:rsid w:val="008333B1"/>
    <w:rsid w:val="00833462"/>
    <w:rsid w:val="0083357F"/>
    <w:rsid w:val="008335F0"/>
    <w:rsid w:val="0083364C"/>
    <w:rsid w:val="008336BC"/>
    <w:rsid w:val="008337D6"/>
    <w:rsid w:val="008337E4"/>
    <w:rsid w:val="00833859"/>
    <w:rsid w:val="00833B24"/>
    <w:rsid w:val="00833B50"/>
    <w:rsid w:val="00833CFE"/>
    <w:rsid w:val="00833D3D"/>
    <w:rsid w:val="00833D4D"/>
    <w:rsid w:val="00833D85"/>
    <w:rsid w:val="00833DC3"/>
    <w:rsid w:val="00833DD5"/>
    <w:rsid w:val="00833F23"/>
    <w:rsid w:val="00833F75"/>
    <w:rsid w:val="00833F83"/>
    <w:rsid w:val="00833FA6"/>
    <w:rsid w:val="00834049"/>
    <w:rsid w:val="00834069"/>
    <w:rsid w:val="00834070"/>
    <w:rsid w:val="008340CB"/>
    <w:rsid w:val="0083410C"/>
    <w:rsid w:val="008341C5"/>
    <w:rsid w:val="00834335"/>
    <w:rsid w:val="00834402"/>
    <w:rsid w:val="008345E3"/>
    <w:rsid w:val="00834678"/>
    <w:rsid w:val="00834692"/>
    <w:rsid w:val="00834698"/>
    <w:rsid w:val="008346CF"/>
    <w:rsid w:val="008346E7"/>
    <w:rsid w:val="008347C1"/>
    <w:rsid w:val="008347DF"/>
    <w:rsid w:val="00834932"/>
    <w:rsid w:val="008349A2"/>
    <w:rsid w:val="00834B03"/>
    <w:rsid w:val="00834CD3"/>
    <w:rsid w:val="00834F02"/>
    <w:rsid w:val="00834F9E"/>
    <w:rsid w:val="00834FF7"/>
    <w:rsid w:val="008351E0"/>
    <w:rsid w:val="0083532F"/>
    <w:rsid w:val="00835557"/>
    <w:rsid w:val="008355EF"/>
    <w:rsid w:val="00835727"/>
    <w:rsid w:val="0083579E"/>
    <w:rsid w:val="008358B2"/>
    <w:rsid w:val="00835B51"/>
    <w:rsid w:val="00835BD6"/>
    <w:rsid w:val="00835CC7"/>
    <w:rsid w:val="00835D18"/>
    <w:rsid w:val="00835D2C"/>
    <w:rsid w:val="00835DA3"/>
    <w:rsid w:val="00835DF3"/>
    <w:rsid w:val="00835F76"/>
    <w:rsid w:val="00836003"/>
    <w:rsid w:val="008360D4"/>
    <w:rsid w:val="00836153"/>
    <w:rsid w:val="00836233"/>
    <w:rsid w:val="00836314"/>
    <w:rsid w:val="00836356"/>
    <w:rsid w:val="008363DD"/>
    <w:rsid w:val="00836434"/>
    <w:rsid w:val="00836440"/>
    <w:rsid w:val="00836639"/>
    <w:rsid w:val="00836842"/>
    <w:rsid w:val="0083696B"/>
    <w:rsid w:val="00836AA9"/>
    <w:rsid w:val="00836ADA"/>
    <w:rsid w:val="00836BD3"/>
    <w:rsid w:val="00836C1F"/>
    <w:rsid w:val="00836C4A"/>
    <w:rsid w:val="00836C6D"/>
    <w:rsid w:val="00836C73"/>
    <w:rsid w:val="00836CDB"/>
    <w:rsid w:val="00836D06"/>
    <w:rsid w:val="00837009"/>
    <w:rsid w:val="00837015"/>
    <w:rsid w:val="00837101"/>
    <w:rsid w:val="008371FE"/>
    <w:rsid w:val="00837243"/>
    <w:rsid w:val="00837374"/>
    <w:rsid w:val="008373F0"/>
    <w:rsid w:val="00837444"/>
    <w:rsid w:val="0083744C"/>
    <w:rsid w:val="00837472"/>
    <w:rsid w:val="008375A0"/>
    <w:rsid w:val="0083760D"/>
    <w:rsid w:val="00837680"/>
    <w:rsid w:val="008376DE"/>
    <w:rsid w:val="0083778D"/>
    <w:rsid w:val="008377A3"/>
    <w:rsid w:val="0083780B"/>
    <w:rsid w:val="00837836"/>
    <w:rsid w:val="008378E1"/>
    <w:rsid w:val="00837A52"/>
    <w:rsid w:val="00837A9C"/>
    <w:rsid w:val="00837BD5"/>
    <w:rsid w:val="00837BEA"/>
    <w:rsid w:val="00837C0B"/>
    <w:rsid w:val="00837C7E"/>
    <w:rsid w:val="00837D94"/>
    <w:rsid w:val="00837DF6"/>
    <w:rsid w:val="00837F41"/>
    <w:rsid w:val="00837F50"/>
    <w:rsid w:val="008400D1"/>
    <w:rsid w:val="008400E9"/>
    <w:rsid w:val="00840141"/>
    <w:rsid w:val="00840153"/>
    <w:rsid w:val="008402E6"/>
    <w:rsid w:val="00840483"/>
    <w:rsid w:val="008404D5"/>
    <w:rsid w:val="00840673"/>
    <w:rsid w:val="008406A6"/>
    <w:rsid w:val="00840895"/>
    <w:rsid w:val="0084089C"/>
    <w:rsid w:val="008408CC"/>
    <w:rsid w:val="00840A17"/>
    <w:rsid w:val="00840A18"/>
    <w:rsid w:val="00840B07"/>
    <w:rsid w:val="00840C8F"/>
    <w:rsid w:val="00840D7B"/>
    <w:rsid w:val="00840EF9"/>
    <w:rsid w:val="00840F6D"/>
    <w:rsid w:val="0084100C"/>
    <w:rsid w:val="008411AA"/>
    <w:rsid w:val="008411FC"/>
    <w:rsid w:val="00841254"/>
    <w:rsid w:val="0084139B"/>
    <w:rsid w:val="008413B7"/>
    <w:rsid w:val="008414A5"/>
    <w:rsid w:val="008417ED"/>
    <w:rsid w:val="0084196A"/>
    <w:rsid w:val="008419BC"/>
    <w:rsid w:val="00841A28"/>
    <w:rsid w:val="00841AD7"/>
    <w:rsid w:val="00841B6A"/>
    <w:rsid w:val="00841BE0"/>
    <w:rsid w:val="00841CCE"/>
    <w:rsid w:val="00841D0C"/>
    <w:rsid w:val="00841D16"/>
    <w:rsid w:val="00841DC2"/>
    <w:rsid w:val="00841DF8"/>
    <w:rsid w:val="00841E3F"/>
    <w:rsid w:val="00841E67"/>
    <w:rsid w:val="00841E6C"/>
    <w:rsid w:val="00841FE8"/>
    <w:rsid w:val="00842046"/>
    <w:rsid w:val="00842062"/>
    <w:rsid w:val="008421B8"/>
    <w:rsid w:val="00842215"/>
    <w:rsid w:val="008422B1"/>
    <w:rsid w:val="008422BF"/>
    <w:rsid w:val="008423FA"/>
    <w:rsid w:val="00842403"/>
    <w:rsid w:val="008424AC"/>
    <w:rsid w:val="008424F2"/>
    <w:rsid w:val="00842569"/>
    <w:rsid w:val="008425A6"/>
    <w:rsid w:val="0084279F"/>
    <w:rsid w:val="00842A19"/>
    <w:rsid w:val="00842A90"/>
    <w:rsid w:val="00842B30"/>
    <w:rsid w:val="00842BAD"/>
    <w:rsid w:val="00842E14"/>
    <w:rsid w:val="00842F7E"/>
    <w:rsid w:val="00843016"/>
    <w:rsid w:val="0084318E"/>
    <w:rsid w:val="0084327F"/>
    <w:rsid w:val="0084338E"/>
    <w:rsid w:val="008433BB"/>
    <w:rsid w:val="008436F6"/>
    <w:rsid w:val="00843815"/>
    <w:rsid w:val="00843829"/>
    <w:rsid w:val="00843961"/>
    <w:rsid w:val="008439C4"/>
    <w:rsid w:val="00843A0D"/>
    <w:rsid w:val="00843B6C"/>
    <w:rsid w:val="00843E2F"/>
    <w:rsid w:val="00843E6C"/>
    <w:rsid w:val="00843F41"/>
    <w:rsid w:val="00843F4D"/>
    <w:rsid w:val="00843FAD"/>
    <w:rsid w:val="0084409D"/>
    <w:rsid w:val="00844231"/>
    <w:rsid w:val="008442B4"/>
    <w:rsid w:val="0084432B"/>
    <w:rsid w:val="008444AB"/>
    <w:rsid w:val="008445A7"/>
    <w:rsid w:val="008445CF"/>
    <w:rsid w:val="00844603"/>
    <w:rsid w:val="0084464D"/>
    <w:rsid w:val="00844C1B"/>
    <w:rsid w:val="00844CA7"/>
    <w:rsid w:val="00844D20"/>
    <w:rsid w:val="00844E5B"/>
    <w:rsid w:val="00844FD5"/>
    <w:rsid w:val="00844FF7"/>
    <w:rsid w:val="0084501B"/>
    <w:rsid w:val="00845030"/>
    <w:rsid w:val="0084503A"/>
    <w:rsid w:val="008450CA"/>
    <w:rsid w:val="0084511D"/>
    <w:rsid w:val="00845216"/>
    <w:rsid w:val="00845224"/>
    <w:rsid w:val="008452D8"/>
    <w:rsid w:val="0084536E"/>
    <w:rsid w:val="008453D4"/>
    <w:rsid w:val="008453DA"/>
    <w:rsid w:val="008455F6"/>
    <w:rsid w:val="00845723"/>
    <w:rsid w:val="00845912"/>
    <w:rsid w:val="00845A1C"/>
    <w:rsid w:val="00845B26"/>
    <w:rsid w:val="00845B6D"/>
    <w:rsid w:val="00845B86"/>
    <w:rsid w:val="00845CB8"/>
    <w:rsid w:val="00845D54"/>
    <w:rsid w:val="00845E4C"/>
    <w:rsid w:val="00845E4F"/>
    <w:rsid w:val="00845E9C"/>
    <w:rsid w:val="00845F43"/>
    <w:rsid w:val="00845F55"/>
    <w:rsid w:val="00845F7E"/>
    <w:rsid w:val="00845F88"/>
    <w:rsid w:val="00845F99"/>
    <w:rsid w:val="00845FF0"/>
    <w:rsid w:val="00846012"/>
    <w:rsid w:val="00846235"/>
    <w:rsid w:val="008463A3"/>
    <w:rsid w:val="008463F1"/>
    <w:rsid w:val="00846628"/>
    <w:rsid w:val="00846646"/>
    <w:rsid w:val="008466CE"/>
    <w:rsid w:val="0084677D"/>
    <w:rsid w:val="008468EE"/>
    <w:rsid w:val="008468F5"/>
    <w:rsid w:val="00846994"/>
    <w:rsid w:val="008469A8"/>
    <w:rsid w:val="00846B24"/>
    <w:rsid w:val="00846C0D"/>
    <w:rsid w:val="00846C5D"/>
    <w:rsid w:val="00846DED"/>
    <w:rsid w:val="00846EE6"/>
    <w:rsid w:val="0084707D"/>
    <w:rsid w:val="00847104"/>
    <w:rsid w:val="00847176"/>
    <w:rsid w:val="008471BB"/>
    <w:rsid w:val="008472B3"/>
    <w:rsid w:val="0084730D"/>
    <w:rsid w:val="00847512"/>
    <w:rsid w:val="00847828"/>
    <w:rsid w:val="00847837"/>
    <w:rsid w:val="008478B8"/>
    <w:rsid w:val="008478D7"/>
    <w:rsid w:val="00847BCE"/>
    <w:rsid w:val="00847BF2"/>
    <w:rsid w:val="00847DB9"/>
    <w:rsid w:val="00847EBE"/>
    <w:rsid w:val="00847ED6"/>
    <w:rsid w:val="00847F30"/>
    <w:rsid w:val="00847F75"/>
    <w:rsid w:val="00847FDD"/>
    <w:rsid w:val="0084AF67"/>
    <w:rsid w:val="0085000B"/>
    <w:rsid w:val="0085009B"/>
    <w:rsid w:val="00850111"/>
    <w:rsid w:val="008501C9"/>
    <w:rsid w:val="008502C3"/>
    <w:rsid w:val="00850330"/>
    <w:rsid w:val="00850351"/>
    <w:rsid w:val="008504A2"/>
    <w:rsid w:val="008504EB"/>
    <w:rsid w:val="0085052E"/>
    <w:rsid w:val="0085061E"/>
    <w:rsid w:val="008506D5"/>
    <w:rsid w:val="008507D0"/>
    <w:rsid w:val="00850803"/>
    <w:rsid w:val="0085091D"/>
    <w:rsid w:val="00850A6A"/>
    <w:rsid w:val="00850B93"/>
    <w:rsid w:val="00850C51"/>
    <w:rsid w:val="00850C6F"/>
    <w:rsid w:val="00850C72"/>
    <w:rsid w:val="00850D31"/>
    <w:rsid w:val="00850D95"/>
    <w:rsid w:val="00850E93"/>
    <w:rsid w:val="00850EBA"/>
    <w:rsid w:val="00851137"/>
    <w:rsid w:val="00851189"/>
    <w:rsid w:val="008511C1"/>
    <w:rsid w:val="00851222"/>
    <w:rsid w:val="00851295"/>
    <w:rsid w:val="0085145B"/>
    <w:rsid w:val="008514A5"/>
    <w:rsid w:val="008515C0"/>
    <w:rsid w:val="00851642"/>
    <w:rsid w:val="00851657"/>
    <w:rsid w:val="00851660"/>
    <w:rsid w:val="008516EB"/>
    <w:rsid w:val="00851757"/>
    <w:rsid w:val="00851880"/>
    <w:rsid w:val="008518EC"/>
    <w:rsid w:val="008519C9"/>
    <w:rsid w:val="00851AB0"/>
    <w:rsid w:val="00851ADD"/>
    <w:rsid w:val="00851B3F"/>
    <w:rsid w:val="00851CF7"/>
    <w:rsid w:val="00851ED2"/>
    <w:rsid w:val="00851EED"/>
    <w:rsid w:val="0085208A"/>
    <w:rsid w:val="00852171"/>
    <w:rsid w:val="0085218D"/>
    <w:rsid w:val="0085224F"/>
    <w:rsid w:val="00852294"/>
    <w:rsid w:val="008522D7"/>
    <w:rsid w:val="0085231B"/>
    <w:rsid w:val="00852338"/>
    <w:rsid w:val="0085237F"/>
    <w:rsid w:val="008523ED"/>
    <w:rsid w:val="00852462"/>
    <w:rsid w:val="008524A5"/>
    <w:rsid w:val="0085293D"/>
    <w:rsid w:val="00852A01"/>
    <w:rsid w:val="00852A58"/>
    <w:rsid w:val="00852A75"/>
    <w:rsid w:val="00852A9C"/>
    <w:rsid w:val="00852ADB"/>
    <w:rsid w:val="00852B4A"/>
    <w:rsid w:val="00852B56"/>
    <w:rsid w:val="00852C57"/>
    <w:rsid w:val="00852D1C"/>
    <w:rsid w:val="00852DC2"/>
    <w:rsid w:val="00852F35"/>
    <w:rsid w:val="00853110"/>
    <w:rsid w:val="008531D7"/>
    <w:rsid w:val="008531EA"/>
    <w:rsid w:val="00853231"/>
    <w:rsid w:val="00853309"/>
    <w:rsid w:val="008533FA"/>
    <w:rsid w:val="00853511"/>
    <w:rsid w:val="00853626"/>
    <w:rsid w:val="00853660"/>
    <w:rsid w:val="008536A5"/>
    <w:rsid w:val="008536B3"/>
    <w:rsid w:val="008536D0"/>
    <w:rsid w:val="00853728"/>
    <w:rsid w:val="00853738"/>
    <w:rsid w:val="00853874"/>
    <w:rsid w:val="008538AA"/>
    <w:rsid w:val="008538B2"/>
    <w:rsid w:val="00853A13"/>
    <w:rsid w:val="00853AE2"/>
    <w:rsid w:val="00853C7A"/>
    <w:rsid w:val="00853D51"/>
    <w:rsid w:val="00853EC5"/>
    <w:rsid w:val="00853F84"/>
    <w:rsid w:val="00853FB7"/>
    <w:rsid w:val="00853FE8"/>
    <w:rsid w:val="008540E7"/>
    <w:rsid w:val="008541AF"/>
    <w:rsid w:val="0085420E"/>
    <w:rsid w:val="0085423D"/>
    <w:rsid w:val="008544E9"/>
    <w:rsid w:val="008546D7"/>
    <w:rsid w:val="00854710"/>
    <w:rsid w:val="008547CF"/>
    <w:rsid w:val="008547DB"/>
    <w:rsid w:val="00854846"/>
    <w:rsid w:val="00854901"/>
    <w:rsid w:val="00854B16"/>
    <w:rsid w:val="00854D28"/>
    <w:rsid w:val="00854DA6"/>
    <w:rsid w:val="00854E8F"/>
    <w:rsid w:val="00855038"/>
    <w:rsid w:val="00855083"/>
    <w:rsid w:val="008550AC"/>
    <w:rsid w:val="008550B8"/>
    <w:rsid w:val="008551A4"/>
    <w:rsid w:val="008551C4"/>
    <w:rsid w:val="008551FA"/>
    <w:rsid w:val="00855250"/>
    <w:rsid w:val="00855361"/>
    <w:rsid w:val="00855366"/>
    <w:rsid w:val="00855390"/>
    <w:rsid w:val="00855415"/>
    <w:rsid w:val="008554FC"/>
    <w:rsid w:val="0085550C"/>
    <w:rsid w:val="008556B1"/>
    <w:rsid w:val="00855894"/>
    <w:rsid w:val="00855898"/>
    <w:rsid w:val="008558D6"/>
    <w:rsid w:val="0085595D"/>
    <w:rsid w:val="00855B5D"/>
    <w:rsid w:val="00855C6B"/>
    <w:rsid w:val="00855D2C"/>
    <w:rsid w:val="00855D84"/>
    <w:rsid w:val="00855E60"/>
    <w:rsid w:val="00855E6A"/>
    <w:rsid w:val="00855ED3"/>
    <w:rsid w:val="00855F88"/>
    <w:rsid w:val="00855F90"/>
    <w:rsid w:val="00855FA3"/>
    <w:rsid w:val="00856095"/>
    <w:rsid w:val="008560AC"/>
    <w:rsid w:val="008560BD"/>
    <w:rsid w:val="00856118"/>
    <w:rsid w:val="008561E8"/>
    <w:rsid w:val="008561F0"/>
    <w:rsid w:val="008563B2"/>
    <w:rsid w:val="00856412"/>
    <w:rsid w:val="008564C2"/>
    <w:rsid w:val="0085655D"/>
    <w:rsid w:val="008565EB"/>
    <w:rsid w:val="008566F4"/>
    <w:rsid w:val="008567BD"/>
    <w:rsid w:val="008567E6"/>
    <w:rsid w:val="00856845"/>
    <w:rsid w:val="00856947"/>
    <w:rsid w:val="00856A26"/>
    <w:rsid w:val="00856A73"/>
    <w:rsid w:val="00856AC3"/>
    <w:rsid w:val="00856AD7"/>
    <w:rsid w:val="00856ADF"/>
    <w:rsid w:val="00856AE0"/>
    <w:rsid w:val="00856BA7"/>
    <w:rsid w:val="00856C18"/>
    <w:rsid w:val="00856C99"/>
    <w:rsid w:val="00856D62"/>
    <w:rsid w:val="00856E88"/>
    <w:rsid w:val="00856EE6"/>
    <w:rsid w:val="00857045"/>
    <w:rsid w:val="00857193"/>
    <w:rsid w:val="008571EF"/>
    <w:rsid w:val="00857461"/>
    <w:rsid w:val="00857487"/>
    <w:rsid w:val="00857596"/>
    <w:rsid w:val="008576D1"/>
    <w:rsid w:val="00857706"/>
    <w:rsid w:val="008577E4"/>
    <w:rsid w:val="00857831"/>
    <w:rsid w:val="0085783C"/>
    <w:rsid w:val="008579D7"/>
    <w:rsid w:val="00857A9D"/>
    <w:rsid w:val="00857B26"/>
    <w:rsid w:val="00857B3C"/>
    <w:rsid w:val="00857C19"/>
    <w:rsid w:val="00857C5D"/>
    <w:rsid w:val="00857D8D"/>
    <w:rsid w:val="00857E56"/>
    <w:rsid w:val="00857E83"/>
    <w:rsid w:val="00857F1F"/>
    <w:rsid w:val="00857F2F"/>
    <w:rsid w:val="00860117"/>
    <w:rsid w:val="00860182"/>
    <w:rsid w:val="008601A7"/>
    <w:rsid w:val="00860239"/>
    <w:rsid w:val="00860340"/>
    <w:rsid w:val="00860461"/>
    <w:rsid w:val="008604BB"/>
    <w:rsid w:val="00860505"/>
    <w:rsid w:val="0086055A"/>
    <w:rsid w:val="008605F9"/>
    <w:rsid w:val="008606E8"/>
    <w:rsid w:val="00860712"/>
    <w:rsid w:val="00860717"/>
    <w:rsid w:val="0086074E"/>
    <w:rsid w:val="008607B8"/>
    <w:rsid w:val="008607E8"/>
    <w:rsid w:val="00860897"/>
    <w:rsid w:val="0086099F"/>
    <w:rsid w:val="008609FF"/>
    <w:rsid w:val="00860A39"/>
    <w:rsid w:val="00860B30"/>
    <w:rsid w:val="00860B9A"/>
    <w:rsid w:val="00860CDF"/>
    <w:rsid w:val="00860E07"/>
    <w:rsid w:val="008610D0"/>
    <w:rsid w:val="008611DE"/>
    <w:rsid w:val="008613C3"/>
    <w:rsid w:val="00861450"/>
    <w:rsid w:val="008614C8"/>
    <w:rsid w:val="00861507"/>
    <w:rsid w:val="00861520"/>
    <w:rsid w:val="008615E0"/>
    <w:rsid w:val="008616EC"/>
    <w:rsid w:val="00861815"/>
    <w:rsid w:val="0086185B"/>
    <w:rsid w:val="0086189C"/>
    <w:rsid w:val="00861941"/>
    <w:rsid w:val="00861994"/>
    <w:rsid w:val="008619AB"/>
    <w:rsid w:val="008619B3"/>
    <w:rsid w:val="00861D6C"/>
    <w:rsid w:val="00861D92"/>
    <w:rsid w:val="00861D96"/>
    <w:rsid w:val="00861E0C"/>
    <w:rsid w:val="00861F86"/>
    <w:rsid w:val="00861FF4"/>
    <w:rsid w:val="008621DB"/>
    <w:rsid w:val="008621F0"/>
    <w:rsid w:val="00862204"/>
    <w:rsid w:val="00862205"/>
    <w:rsid w:val="00862297"/>
    <w:rsid w:val="00862300"/>
    <w:rsid w:val="00862397"/>
    <w:rsid w:val="008623D2"/>
    <w:rsid w:val="008624A4"/>
    <w:rsid w:val="008624C0"/>
    <w:rsid w:val="00862696"/>
    <w:rsid w:val="008626CD"/>
    <w:rsid w:val="0086277C"/>
    <w:rsid w:val="008627D2"/>
    <w:rsid w:val="008628A9"/>
    <w:rsid w:val="00862913"/>
    <w:rsid w:val="00862949"/>
    <w:rsid w:val="00862956"/>
    <w:rsid w:val="00862A53"/>
    <w:rsid w:val="00862AC3"/>
    <w:rsid w:val="00862AD3"/>
    <w:rsid w:val="00862C42"/>
    <w:rsid w:val="00862F28"/>
    <w:rsid w:val="00862F33"/>
    <w:rsid w:val="00862F7C"/>
    <w:rsid w:val="00862F9B"/>
    <w:rsid w:val="00862FB0"/>
    <w:rsid w:val="00862FE3"/>
    <w:rsid w:val="0086303D"/>
    <w:rsid w:val="0086305E"/>
    <w:rsid w:val="00863093"/>
    <w:rsid w:val="00863108"/>
    <w:rsid w:val="0086315B"/>
    <w:rsid w:val="008631CD"/>
    <w:rsid w:val="00863246"/>
    <w:rsid w:val="00863256"/>
    <w:rsid w:val="008632CD"/>
    <w:rsid w:val="008632F1"/>
    <w:rsid w:val="00863341"/>
    <w:rsid w:val="00863421"/>
    <w:rsid w:val="0086348D"/>
    <w:rsid w:val="00863772"/>
    <w:rsid w:val="0086378E"/>
    <w:rsid w:val="00863855"/>
    <w:rsid w:val="008638C4"/>
    <w:rsid w:val="00863939"/>
    <w:rsid w:val="00863BB7"/>
    <w:rsid w:val="00863C1F"/>
    <w:rsid w:val="00863C8B"/>
    <w:rsid w:val="00863CA4"/>
    <w:rsid w:val="00863D22"/>
    <w:rsid w:val="00863DA0"/>
    <w:rsid w:val="00863EA5"/>
    <w:rsid w:val="00863EAA"/>
    <w:rsid w:val="00863EE7"/>
    <w:rsid w:val="00863EF4"/>
    <w:rsid w:val="00863FFF"/>
    <w:rsid w:val="00864030"/>
    <w:rsid w:val="008640B3"/>
    <w:rsid w:val="008640C2"/>
    <w:rsid w:val="0086416D"/>
    <w:rsid w:val="00864327"/>
    <w:rsid w:val="00864381"/>
    <w:rsid w:val="00864382"/>
    <w:rsid w:val="008643C8"/>
    <w:rsid w:val="0086441E"/>
    <w:rsid w:val="0086446C"/>
    <w:rsid w:val="00864554"/>
    <w:rsid w:val="00864883"/>
    <w:rsid w:val="0086493B"/>
    <w:rsid w:val="0086496B"/>
    <w:rsid w:val="008649D4"/>
    <w:rsid w:val="00864AEE"/>
    <w:rsid w:val="00864B11"/>
    <w:rsid w:val="00864BF8"/>
    <w:rsid w:val="00864C55"/>
    <w:rsid w:val="00864CCD"/>
    <w:rsid w:val="00864D99"/>
    <w:rsid w:val="00864D9E"/>
    <w:rsid w:val="00864F1C"/>
    <w:rsid w:val="00864F8E"/>
    <w:rsid w:val="00864FB0"/>
    <w:rsid w:val="008650A4"/>
    <w:rsid w:val="00865119"/>
    <w:rsid w:val="00865208"/>
    <w:rsid w:val="008652E1"/>
    <w:rsid w:val="00865305"/>
    <w:rsid w:val="00865330"/>
    <w:rsid w:val="00865337"/>
    <w:rsid w:val="008653BC"/>
    <w:rsid w:val="008653D2"/>
    <w:rsid w:val="00865512"/>
    <w:rsid w:val="0086564E"/>
    <w:rsid w:val="008656C6"/>
    <w:rsid w:val="008656F5"/>
    <w:rsid w:val="0086572C"/>
    <w:rsid w:val="00865807"/>
    <w:rsid w:val="008658BB"/>
    <w:rsid w:val="0086598B"/>
    <w:rsid w:val="00865A57"/>
    <w:rsid w:val="00865B55"/>
    <w:rsid w:val="00865B7D"/>
    <w:rsid w:val="00865C01"/>
    <w:rsid w:val="00865CE8"/>
    <w:rsid w:val="00865D52"/>
    <w:rsid w:val="00865DF8"/>
    <w:rsid w:val="00865F9C"/>
    <w:rsid w:val="00866141"/>
    <w:rsid w:val="008662C8"/>
    <w:rsid w:val="008662CB"/>
    <w:rsid w:val="00866349"/>
    <w:rsid w:val="00866356"/>
    <w:rsid w:val="008663BF"/>
    <w:rsid w:val="0086646C"/>
    <w:rsid w:val="008665D6"/>
    <w:rsid w:val="00866632"/>
    <w:rsid w:val="00866803"/>
    <w:rsid w:val="00866981"/>
    <w:rsid w:val="00866B99"/>
    <w:rsid w:val="00866D84"/>
    <w:rsid w:val="00866E85"/>
    <w:rsid w:val="00866F3A"/>
    <w:rsid w:val="0086701D"/>
    <w:rsid w:val="0086703E"/>
    <w:rsid w:val="00867156"/>
    <w:rsid w:val="008671F9"/>
    <w:rsid w:val="0086724C"/>
    <w:rsid w:val="008673AD"/>
    <w:rsid w:val="008673FE"/>
    <w:rsid w:val="008673FF"/>
    <w:rsid w:val="00867438"/>
    <w:rsid w:val="00867443"/>
    <w:rsid w:val="0086747E"/>
    <w:rsid w:val="0086754B"/>
    <w:rsid w:val="00867820"/>
    <w:rsid w:val="00867982"/>
    <w:rsid w:val="00867ABE"/>
    <w:rsid w:val="00867B4D"/>
    <w:rsid w:val="00867C19"/>
    <w:rsid w:val="00867C2A"/>
    <w:rsid w:val="00867C2B"/>
    <w:rsid w:val="00867E60"/>
    <w:rsid w:val="00867E7A"/>
    <w:rsid w:val="00867ECF"/>
    <w:rsid w:val="00867F03"/>
    <w:rsid w:val="00867F50"/>
    <w:rsid w:val="00867F68"/>
    <w:rsid w:val="00868B62"/>
    <w:rsid w:val="0087003B"/>
    <w:rsid w:val="00870119"/>
    <w:rsid w:val="00870239"/>
    <w:rsid w:val="0087026A"/>
    <w:rsid w:val="008702C3"/>
    <w:rsid w:val="0087038B"/>
    <w:rsid w:val="008703BA"/>
    <w:rsid w:val="00870462"/>
    <w:rsid w:val="0087050E"/>
    <w:rsid w:val="00870535"/>
    <w:rsid w:val="00870581"/>
    <w:rsid w:val="008705D1"/>
    <w:rsid w:val="00870618"/>
    <w:rsid w:val="0087073E"/>
    <w:rsid w:val="00870820"/>
    <w:rsid w:val="0087088D"/>
    <w:rsid w:val="00870912"/>
    <w:rsid w:val="008709E0"/>
    <w:rsid w:val="00870AA1"/>
    <w:rsid w:val="00870C06"/>
    <w:rsid w:val="00870CB6"/>
    <w:rsid w:val="00870F1C"/>
    <w:rsid w:val="00870FCD"/>
    <w:rsid w:val="008710EE"/>
    <w:rsid w:val="008711F2"/>
    <w:rsid w:val="008712CE"/>
    <w:rsid w:val="0087133E"/>
    <w:rsid w:val="0087135B"/>
    <w:rsid w:val="0087137D"/>
    <w:rsid w:val="008716C3"/>
    <w:rsid w:val="00871708"/>
    <w:rsid w:val="00871797"/>
    <w:rsid w:val="008717F8"/>
    <w:rsid w:val="008718AC"/>
    <w:rsid w:val="00871908"/>
    <w:rsid w:val="00871A71"/>
    <w:rsid w:val="00871A95"/>
    <w:rsid w:val="00871B80"/>
    <w:rsid w:val="00871EB6"/>
    <w:rsid w:val="00871EFD"/>
    <w:rsid w:val="00872127"/>
    <w:rsid w:val="00872226"/>
    <w:rsid w:val="0087248C"/>
    <w:rsid w:val="00872616"/>
    <w:rsid w:val="00872781"/>
    <w:rsid w:val="008727A5"/>
    <w:rsid w:val="0087282B"/>
    <w:rsid w:val="008728AA"/>
    <w:rsid w:val="008729FF"/>
    <w:rsid w:val="00872A07"/>
    <w:rsid w:val="00872A0D"/>
    <w:rsid w:val="00872B3A"/>
    <w:rsid w:val="00872B78"/>
    <w:rsid w:val="00872C54"/>
    <w:rsid w:val="00872D17"/>
    <w:rsid w:val="00872DCE"/>
    <w:rsid w:val="008730EC"/>
    <w:rsid w:val="008731A9"/>
    <w:rsid w:val="008732BF"/>
    <w:rsid w:val="008733A7"/>
    <w:rsid w:val="0087352C"/>
    <w:rsid w:val="008735CD"/>
    <w:rsid w:val="008735D2"/>
    <w:rsid w:val="008735DB"/>
    <w:rsid w:val="0087363A"/>
    <w:rsid w:val="0087384C"/>
    <w:rsid w:val="00873946"/>
    <w:rsid w:val="00873997"/>
    <w:rsid w:val="008739FD"/>
    <w:rsid w:val="00873B89"/>
    <w:rsid w:val="00873BCB"/>
    <w:rsid w:val="00873C48"/>
    <w:rsid w:val="00873CF5"/>
    <w:rsid w:val="00873E38"/>
    <w:rsid w:val="00874134"/>
    <w:rsid w:val="0087415D"/>
    <w:rsid w:val="008741DB"/>
    <w:rsid w:val="008741DD"/>
    <w:rsid w:val="00874200"/>
    <w:rsid w:val="0087422D"/>
    <w:rsid w:val="00874242"/>
    <w:rsid w:val="00874269"/>
    <w:rsid w:val="00874469"/>
    <w:rsid w:val="00874534"/>
    <w:rsid w:val="008745DF"/>
    <w:rsid w:val="008746AD"/>
    <w:rsid w:val="00874944"/>
    <w:rsid w:val="00874ABB"/>
    <w:rsid w:val="00874B05"/>
    <w:rsid w:val="00874B08"/>
    <w:rsid w:val="00874D4C"/>
    <w:rsid w:val="00874D91"/>
    <w:rsid w:val="00874DD8"/>
    <w:rsid w:val="00874DF2"/>
    <w:rsid w:val="00874EE2"/>
    <w:rsid w:val="00874F6E"/>
    <w:rsid w:val="00874F79"/>
    <w:rsid w:val="00875055"/>
    <w:rsid w:val="008750D5"/>
    <w:rsid w:val="008751BB"/>
    <w:rsid w:val="00875265"/>
    <w:rsid w:val="00875271"/>
    <w:rsid w:val="008752B4"/>
    <w:rsid w:val="008754C0"/>
    <w:rsid w:val="0087560E"/>
    <w:rsid w:val="00875668"/>
    <w:rsid w:val="0087568B"/>
    <w:rsid w:val="008758AA"/>
    <w:rsid w:val="00875934"/>
    <w:rsid w:val="0087596E"/>
    <w:rsid w:val="00875A93"/>
    <w:rsid w:val="00875B07"/>
    <w:rsid w:val="00875B08"/>
    <w:rsid w:val="00875B60"/>
    <w:rsid w:val="00875BF3"/>
    <w:rsid w:val="00875E2C"/>
    <w:rsid w:val="00875EFD"/>
    <w:rsid w:val="00875F3C"/>
    <w:rsid w:val="00875F60"/>
    <w:rsid w:val="00875FD1"/>
    <w:rsid w:val="00875FF9"/>
    <w:rsid w:val="00876075"/>
    <w:rsid w:val="008761E8"/>
    <w:rsid w:val="008763A2"/>
    <w:rsid w:val="008763D4"/>
    <w:rsid w:val="008763E1"/>
    <w:rsid w:val="008765EB"/>
    <w:rsid w:val="00876720"/>
    <w:rsid w:val="00876812"/>
    <w:rsid w:val="0087685A"/>
    <w:rsid w:val="00876C2A"/>
    <w:rsid w:val="00876C6B"/>
    <w:rsid w:val="00876D71"/>
    <w:rsid w:val="00876E05"/>
    <w:rsid w:val="00876E69"/>
    <w:rsid w:val="00876E70"/>
    <w:rsid w:val="00876F54"/>
    <w:rsid w:val="00876FA3"/>
    <w:rsid w:val="00876FB5"/>
    <w:rsid w:val="00876FB9"/>
    <w:rsid w:val="00877044"/>
    <w:rsid w:val="0087706D"/>
    <w:rsid w:val="008770D5"/>
    <w:rsid w:val="008771DC"/>
    <w:rsid w:val="00877464"/>
    <w:rsid w:val="008774D0"/>
    <w:rsid w:val="00877589"/>
    <w:rsid w:val="008775F1"/>
    <w:rsid w:val="0087776C"/>
    <w:rsid w:val="008777D7"/>
    <w:rsid w:val="008778EB"/>
    <w:rsid w:val="00877A32"/>
    <w:rsid w:val="00877B24"/>
    <w:rsid w:val="00877B63"/>
    <w:rsid w:val="00877C49"/>
    <w:rsid w:val="00877C53"/>
    <w:rsid w:val="00877D5F"/>
    <w:rsid w:val="00877D80"/>
    <w:rsid w:val="00877D8C"/>
    <w:rsid w:val="00877DAD"/>
    <w:rsid w:val="00877DC6"/>
    <w:rsid w:val="00877EBC"/>
    <w:rsid w:val="00877ED1"/>
    <w:rsid w:val="0088002B"/>
    <w:rsid w:val="0088003C"/>
    <w:rsid w:val="008801F1"/>
    <w:rsid w:val="0088020E"/>
    <w:rsid w:val="00880269"/>
    <w:rsid w:val="0088027F"/>
    <w:rsid w:val="008803A5"/>
    <w:rsid w:val="00880518"/>
    <w:rsid w:val="0088059B"/>
    <w:rsid w:val="008805B6"/>
    <w:rsid w:val="0088076F"/>
    <w:rsid w:val="00880811"/>
    <w:rsid w:val="008808C7"/>
    <w:rsid w:val="00880903"/>
    <w:rsid w:val="0088090E"/>
    <w:rsid w:val="008809AD"/>
    <w:rsid w:val="00880A79"/>
    <w:rsid w:val="00880CFA"/>
    <w:rsid w:val="00880ED5"/>
    <w:rsid w:val="00880F25"/>
    <w:rsid w:val="00880F3F"/>
    <w:rsid w:val="0088107A"/>
    <w:rsid w:val="00881081"/>
    <w:rsid w:val="008812B3"/>
    <w:rsid w:val="008812F8"/>
    <w:rsid w:val="00881343"/>
    <w:rsid w:val="00881352"/>
    <w:rsid w:val="008813AD"/>
    <w:rsid w:val="00881423"/>
    <w:rsid w:val="00881550"/>
    <w:rsid w:val="008815CC"/>
    <w:rsid w:val="00881612"/>
    <w:rsid w:val="00881658"/>
    <w:rsid w:val="0088173F"/>
    <w:rsid w:val="008817B1"/>
    <w:rsid w:val="0088190D"/>
    <w:rsid w:val="00881920"/>
    <w:rsid w:val="008819E6"/>
    <w:rsid w:val="00881AFF"/>
    <w:rsid w:val="00881B44"/>
    <w:rsid w:val="00881B64"/>
    <w:rsid w:val="00881E10"/>
    <w:rsid w:val="00881F0F"/>
    <w:rsid w:val="00881F44"/>
    <w:rsid w:val="00881FB0"/>
    <w:rsid w:val="00882017"/>
    <w:rsid w:val="0088201C"/>
    <w:rsid w:val="008820E8"/>
    <w:rsid w:val="008821CD"/>
    <w:rsid w:val="00882237"/>
    <w:rsid w:val="008823A4"/>
    <w:rsid w:val="0088246E"/>
    <w:rsid w:val="008827EE"/>
    <w:rsid w:val="00882937"/>
    <w:rsid w:val="00882A19"/>
    <w:rsid w:val="00882B42"/>
    <w:rsid w:val="00882B7E"/>
    <w:rsid w:val="00882BFA"/>
    <w:rsid w:val="00882C6E"/>
    <w:rsid w:val="00882DA1"/>
    <w:rsid w:val="00883002"/>
    <w:rsid w:val="008830B6"/>
    <w:rsid w:val="008831AF"/>
    <w:rsid w:val="008832C3"/>
    <w:rsid w:val="00883384"/>
    <w:rsid w:val="0088340A"/>
    <w:rsid w:val="0088357D"/>
    <w:rsid w:val="0088359C"/>
    <w:rsid w:val="008835A4"/>
    <w:rsid w:val="008836B2"/>
    <w:rsid w:val="00883797"/>
    <w:rsid w:val="008837EB"/>
    <w:rsid w:val="008838AA"/>
    <w:rsid w:val="00883918"/>
    <w:rsid w:val="0088396E"/>
    <w:rsid w:val="00883A6A"/>
    <w:rsid w:val="00883AB5"/>
    <w:rsid w:val="00883B21"/>
    <w:rsid w:val="00883B3D"/>
    <w:rsid w:val="00883B7B"/>
    <w:rsid w:val="00883BF8"/>
    <w:rsid w:val="00883C1B"/>
    <w:rsid w:val="00883C81"/>
    <w:rsid w:val="00883C86"/>
    <w:rsid w:val="00883E24"/>
    <w:rsid w:val="00883E8C"/>
    <w:rsid w:val="00883EA6"/>
    <w:rsid w:val="00883EE3"/>
    <w:rsid w:val="0088409C"/>
    <w:rsid w:val="008843FD"/>
    <w:rsid w:val="00884446"/>
    <w:rsid w:val="008845EB"/>
    <w:rsid w:val="008845F1"/>
    <w:rsid w:val="00884624"/>
    <w:rsid w:val="008846B5"/>
    <w:rsid w:val="008847E9"/>
    <w:rsid w:val="008848E6"/>
    <w:rsid w:val="00884939"/>
    <w:rsid w:val="00884945"/>
    <w:rsid w:val="0088498B"/>
    <w:rsid w:val="00884AF6"/>
    <w:rsid w:val="00884B8E"/>
    <w:rsid w:val="00884B9B"/>
    <w:rsid w:val="00884B9E"/>
    <w:rsid w:val="00884CA5"/>
    <w:rsid w:val="00884CE8"/>
    <w:rsid w:val="00884E2C"/>
    <w:rsid w:val="00884F11"/>
    <w:rsid w:val="008851BE"/>
    <w:rsid w:val="008852B5"/>
    <w:rsid w:val="008852EC"/>
    <w:rsid w:val="00885377"/>
    <w:rsid w:val="00885402"/>
    <w:rsid w:val="00885470"/>
    <w:rsid w:val="0088568E"/>
    <w:rsid w:val="00885692"/>
    <w:rsid w:val="008856BE"/>
    <w:rsid w:val="0088579E"/>
    <w:rsid w:val="008857F8"/>
    <w:rsid w:val="00885853"/>
    <w:rsid w:val="0088596A"/>
    <w:rsid w:val="00885A40"/>
    <w:rsid w:val="00885ACD"/>
    <w:rsid w:val="00885AF6"/>
    <w:rsid w:val="00885AFC"/>
    <w:rsid w:val="00885B00"/>
    <w:rsid w:val="00885B1E"/>
    <w:rsid w:val="00885BB0"/>
    <w:rsid w:val="00885C8A"/>
    <w:rsid w:val="00885DAB"/>
    <w:rsid w:val="00885DE8"/>
    <w:rsid w:val="00885DF0"/>
    <w:rsid w:val="00885E5C"/>
    <w:rsid w:val="00886033"/>
    <w:rsid w:val="00886067"/>
    <w:rsid w:val="00886151"/>
    <w:rsid w:val="00886287"/>
    <w:rsid w:val="008862E4"/>
    <w:rsid w:val="00886427"/>
    <w:rsid w:val="008864CA"/>
    <w:rsid w:val="0088654F"/>
    <w:rsid w:val="00886737"/>
    <w:rsid w:val="008867E5"/>
    <w:rsid w:val="00886871"/>
    <w:rsid w:val="00886897"/>
    <w:rsid w:val="008868B1"/>
    <w:rsid w:val="008869B6"/>
    <w:rsid w:val="00886A3E"/>
    <w:rsid w:val="00886AA5"/>
    <w:rsid w:val="00886AC4"/>
    <w:rsid w:val="00886AC9"/>
    <w:rsid w:val="00886B5B"/>
    <w:rsid w:val="00886B77"/>
    <w:rsid w:val="00886CCA"/>
    <w:rsid w:val="00886DB8"/>
    <w:rsid w:val="00886E9F"/>
    <w:rsid w:val="00886EC0"/>
    <w:rsid w:val="00886EE7"/>
    <w:rsid w:val="00886EFE"/>
    <w:rsid w:val="00886F36"/>
    <w:rsid w:val="00886F3C"/>
    <w:rsid w:val="00886F74"/>
    <w:rsid w:val="008870EF"/>
    <w:rsid w:val="00887182"/>
    <w:rsid w:val="00887449"/>
    <w:rsid w:val="00887683"/>
    <w:rsid w:val="00887744"/>
    <w:rsid w:val="0088776E"/>
    <w:rsid w:val="008877BA"/>
    <w:rsid w:val="008877C5"/>
    <w:rsid w:val="0088786E"/>
    <w:rsid w:val="00887989"/>
    <w:rsid w:val="00887995"/>
    <w:rsid w:val="008879E8"/>
    <w:rsid w:val="00887B37"/>
    <w:rsid w:val="00887BA4"/>
    <w:rsid w:val="00887D4E"/>
    <w:rsid w:val="00887EC0"/>
    <w:rsid w:val="0089004B"/>
    <w:rsid w:val="0089008B"/>
    <w:rsid w:val="0089008D"/>
    <w:rsid w:val="00890114"/>
    <w:rsid w:val="00890550"/>
    <w:rsid w:val="00890561"/>
    <w:rsid w:val="008905AB"/>
    <w:rsid w:val="00890803"/>
    <w:rsid w:val="008908F7"/>
    <w:rsid w:val="00890AC5"/>
    <w:rsid w:val="00890B18"/>
    <w:rsid w:val="00890D12"/>
    <w:rsid w:val="00890D16"/>
    <w:rsid w:val="00890DA4"/>
    <w:rsid w:val="00890F23"/>
    <w:rsid w:val="00890F78"/>
    <w:rsid w:val="00890FB9"/>
    <w:rsid w:val="00891015"/>
    <w:rsid w:val="00891346"/>
    <w:rsid w:val="00891520"/>
    <w:rsid w:val="0089155B"/>
    <w:rsid w:val="00891661"/>
    <w:rsid w:val="0089168A"/>
    <w:rsid w:val="00891726"/>
    <w:rsid w:val="00891796"/>
    <w:rsid w:val="0089187F"/>
    <w:rsid w:val="008919C6"/>
    <w:rsid w:val="00891CAE"/>
    <w:rsid w:val="00891E08"/>
    <w:rsid w:val="00891E76"/>
    <w:rsid w:val="00891FBA"/>
    <w:rsid w:val="00891FF8"/>
    <w:rsid w:val="00892066"/>
    <w:rsid w:val="008920F3"/>
    <w:rsid w:val="008921FE"/>
    <w:rsid w:val="0089224F"/>
    <w:rsid w:val="008922D1"/>
    <w:rsid w:val="00892333"/>
    <w:rsid w:val="008923AA"/>
    <w:rsid w:val="008923FE"/>
    <w:rsid w:val="0089243E"/>
    <w:rsid w:val="008924D2"/>
    <w:rsid w:val="00892534"/>
    <w:rsid w:val="00892569"/>
    <w:rsid w:val="008926CC"/>
    <w:rsid w:val="008927FE"/>
    <w:rsid w:val="008928CB"/>
    <w:rsid w:val="00892932"/>
    <w:rsid w:val="00892AB6"/>
    <w:rsid w:val="00892B3B"/>
    <w:rsid w:val="00892C1B"/>
    <w:rsid w:val="00892D2E"/>
    <w:rsid w:val="00892D58"/>
    <w:rsid w:val="00892DCC"/>
    <w:rsid w:val="00892DCD"/>
    <w:rsid w:val="00892EB1"/>
    <w:rsid w:val="00892F25"/>
    <w:rsid w:val="00892FB5"/>
    <w:rsid w:val="00893024"/>
    <w:rsid w:val="008930B6"/>
    <w:rsid w:val="00893106"/>
    <w:rsid w:val="008931A9"/>
    <w:rsid w:val="008931D4"/>
    <w:rsid w:val="00893213"/>
    <w:rsid w:val="008932AB"/>
    <w:rsid w:val="008933A4"/>
    <w:rsid w:val="0089345F"/>
    <w:rsid w:val="00893548"/>
    <w:rsid w:val="00893555"/>
    <w:rsid w:val="0089355B"/>
    <w:rsid w:val="0089356A"/>
    <w:rsid w:val="008935CB"/>
    <w:rsid w:val="0089369E"/>
    <w:rsid w:val="00893814"/>
    <w:rsid w:val="008938D8"/>
    <w:rsid w:val="0089396E"/>
    <w:rsid w:val="008939F1"/>
    <w:rsid w:val="00893A9B"/>
    <w:rsid w:val="00893AB8"/>
    <w:rsid w:val="00893B6D"/>
    <w:rsid w:val="00893B88"/>
    <w:rsid w:val="00893BB8"/>
    <w:rsid w:val="00893E0B"/>
    <w:rsid w:val="00893EFC"/>
    <w:rsid w:val="00894020"/>
    <w:rsid w:val="008940DB"/>
    <w:rsid w:val="0089418B"/>
    <w:rsid w:val="008942D0"/>
    <w:rsid w:val="008943B7"/>
    <w:rsid w:val="00894538"/>
    <w:rsid w:val="008946EA"/>
    <w:rsid w:val="008946EB"/>
    <w:rsid w:val="008946F7"/>
    <w:rsid w:val="00894791"/>
    <w:rsid w:val="008947EF"/>
    <w:rsid w:val="008949B3"/>
    <w:rsid w:val="00894BB8"/>
    <w:rsid w:val="00894BC5"/>
    <w:rsid w:val="00894D5C"/>
    <w:rsid w:val="00894F04"/>
    <w:rsid w:val="00894F86"/>
    <w:rsid w:val="00894F8B"/>
    <w:rsid w:val="00894F9A"/>
    <w:rsid w:val="008950D0"/>
    <w:rsid w:val="00895112"/>
    <w:rsid w:val="0089514F"/>
    <w:rsid w:val="0089522E"/>
    <w:rsid w:val="00895287"/>
    <w:rsid w:val="008952AC"/>
    <w:rsid w:val="0089532B"/>
    <w:rsid w:val="008954FC"/>
    <w:rsid w:val="008955C7"/>
    <w:rsid w:val="00895724"/>
    <w:rsid w:val="008958EA"/>
    <w:rsid w:val="0089599A"/>
    <w:rsid w:val="00895A25"/>
    <w:rsid w:val="00895AA3"/>
    <w:rsid w:val="00895B8F"/>
    <w:rsid w:val="00895C5E"/>
    <w:rsid w:val="00895CA7"/>
    <w:rsid w:val="00895E53"/>
    <w:rsid w:val="00895E5E"/>
    <w:rsid w:val="00895EE4"/>
    <w:rsid w:val="00895F21"/>
    <w:rsid w:val="0089609D"/>
    <w:rsid w:val="00896475"/>
    <w:rsid w:val="008964C3"/>
    <w:rsid w:val="00896619"/>
    <w:rsid w:val="0089663E"/>
    <w:rsid w:val="00896747"/>
    <w:rsid w:val="00896870"/>
    <w:rsid w:val="00896917"/>
    <w:rsid w:val="00896927"/>
    <w:rsid w:val="00896A32"/>
    <w:rsid w:val="00896C46"/>
    <w:rsid w:val="00896D60"/>
    <w:rsid w:val="00896DCC"/>
    <w:rsid w:val="00896EAF"/>
    <w:rsid w:val="00896EF0"/>
    <w:rsid w:val="00896FCC"/>
    <w:rsid w:val="00897097"/>
    <w:rsid w:val="00897131"/>
    <w:rsid w:val="00897364"/>
    <w:rsid w:val="008974E4"/>
    <w:rsid w:val="00897665"/>
    <w:rsid w:val="0089770B"/>
    <w:rsid w:val="00897828"/>
    <w:rsid w:val="008978C1"/>
    <w:rsid w:val="00897955"/>
    <w:rsid w:val="00897B50"/>
    <w:rsid w:val="00897BC8"/>
    <w:rsid w:val="00897D7E"/>
    <w:rsid w:val="00897DBF"/>
    <w:rsid w:val="00897E04"/>
    <w:rsid w:val="00897E13"/>
    <w:rsid w:val="008A01CF"/>
    <w:rsid w:val="008A053F"/>
    <w:rsid w:val="008A05AE"/>
    <w:rsid w:val="008A0624"/>
    <w:rsid w:val="008A06BF"/>
    <w:rsid w:val="008A0742"/>
    <w:rsid w:val="008A0771"/>
    <w:rsid w:val="008A078E"/>
    <w:rsid w:val="008A0919"/>
    <w:rsid w:val="008A0A6E"/>
    <w:rsid w:val="008A0AD1"/>
    <w:rsid w:val="008A0DD0"/>
    <w:rsid w:val="008A0ED3"/>
    <w:rsid w:val="008A0FC5"/>
    <w:rsid w:val="008A0FFE"/>
    <w:rsid w:val="008A1033"/>
    <w:rsid w:val="008A10CE"/>
    <w:rsid w:val="008A11D4"/>
    <w:rsid w:val="008A1238"/>
    <w:rsid w:val="008A127D"/>
    <w:rsid w:val="008A12F3"/>
    <w:rsid w:val="008A1432"/>
    <w:rsid w:val="008A1442"/>
    <w:rsid w:val="008A1474"/>
    <w:rsid w:val="008A149E"/>
    <w:rsid w:val="008A167F"/>
    <w:rsid w:val="008A1785"/>
    <w:rsid w:val="008A18A7"/>
    <w:rsid w:val="008A1931"/>
    <w:rsid w:val="008A1A3D"/>
    <w:rsid w:val="008A1AAF"/>
    <w:rsid w:val="008A1AB4"/>
    <w:rsid w:val="008A1B3F"/>
    <w:rsid w:val="008A1C28"/>
    <w:rsid w:val="008A1C58"/>
    <w:rsid w:val="008A205A"/>
    <w:rsid w:val="008A20E9"/>
    <w:rsid w:val="008A2174"/>
    <w:rsid w:val="008A21E3"/>
    <w:rsid w:val="008A232F"/>
    <w:rsid w:val="008A2334"/>
    <w:rsid w:val="008A25D2"/>
    <w:rsid w:val="008A26AD"/>
    <w:rsid w:val="008A26C3"/>
    <w:rsid w:val="008A2859"/>
    <w:rsid w:val="008A28C6"/>
    <w:rsid w:val="008A29BE"/>
    <w:rsid w:val="008A2AFF"/>
    <w:rsid w:val="008A2CEC"/>
    <w:rsid w:val="008A2DD9"/>
    <w:rsid w:val="008A2E96"/>
    <w:rsid w:val="008A2F47"/>
    <w:rsid w:val="008A30F3"/>
    <w:rsid w:val="008A3186"/>
    <w:rsid w:val="008A3311"/>
    <w:rsid w:val="008A333F"/>
    <w:rsid w:val="008A33EB"/>
    <w:rsid w:val="008A34A0"/>
    <w:rsid w:val="008A351D"/>
    <w:rsid w:val="008A354E"/>
    <w:rsid w:val="008A358A"/>
    <w:rsid w:val="008A3667"/>
    <w:rsid w:val="008A36C0"/>
    <w:rsid w:val="008A3928"/>
    <w:rsid w:val="008A393A"/>
    <w:rsid w:val="008A394A"/>
    <w:rsid w:val="008A39AE"/>
    <w:rsid w:val="008A39B1"/>
    <w:rsid w:val="008A3A41"/>
    <w:rsid w:val="008A3B6C"/>
    <w:rsid w:val="008A3B8B"/>
    <w:rsid w:val="008A3C5D"/>
    <w:rsid w:val="008A3D7C"/>
    <w:rsid w:val="008A3E19"/>
    <w:rsid w:val="008A3E6F"/>
    <w:rsid w:val="008A4038"/>
    <w:rsid w:val="008A40E4"/>
    <w:rsid w:val="008A410C"/>
    <w:rsid w:val="008A419C"/>
    <w:rsid w:val="008A431E"/>
    <w:rsid w:val="008A432D"/>
    <w:rsid w:val="008A432F"/>
    <w:rsid w:val="008A4397"/>
    <w:rsid w:val="008A4471"/>
    <w:rsid w:val="008A454C"/>
    <w:rsid w:val="008A46B0"/>
    <w:rsid w:val="008A46F5"/>
    <w:rsid w:val="008A4737"/>
    <w:rsid w:val="008A4903"/>
    <w:rsid w:val="008A494E"/>
    <w:rsid w:val="008A4A1F"/>
    <w:rsid w:val="008A4A7D"/>
    <w:rsid w:val="008A4B63"/>
    <w:rsid w:val="008A4BFF"/>
    <w:rsid w:val="008A4E8D"/>
    <w:rsid w:val="008A4FD9"/>
    <w:rsid w:val="008A4FFB"/>
    <w:rsid w:val="008A50FB"/>
    <w:rsid w:val="008A5143"/>
    <w:rsid w:val="008A51F7"/>
    <w:rsid w:val="008A52A2"/>
    <w:rsid w:val="008A5377"/>
    <w:rsid w:val="008A5441"/>
    <w:rsid w:val="008A54A5"/>
    <w:rsid w:val="008A5637"/>
    <w:rsid w:val="008A5671"/>
    <w:rsid w:val="008A5699"/>
    <w:rsid w:val="008A570E"/>
    <w:rsid w:val="008A5746"/>
    <w:rsid w:val="008A57D3"/>
    <w:rsid w:val="008A5858"/>
    <w:rsid w:val="008A590F"/>
    <w:rsid w:val="008A5920"/>
    <w:rsid w:val="008A599E"/>
    <w:rsid w:val="008A5A37"/>
    <w:rsid w:val="008A5AE7"/>
    <w:rsid w:val="008A5B10"/>
    <w:rsid w:val="008A5B47"/>
    <w:rsid w:val="008A5E6D"/>
    <w:rsid w:val="008A5F96"/>
    <w:rsid w:val="008A607A"/>
    <w:rsid w:val="008A61CB"/>
    <w:rsid w:val="008A6333"/>
    <w:rsid w:val="008A639B"/>
    <w:rsid w:val="008A63A2"/>
    <w:rsid w:val="008A6458"/>
    <w:rsid w:val="008A651C"/>
    <w:rsid w:val="008A6592"/>
    <w:rsid w:val="008A66D3"/>
    <w:rsid w:val="008A6745"/>
    <w:rsid w:val="008A6787"/>
    <w:rsid w:val="008A6819"/>
    <w:rsid w:val="008A6AEF"/>
    <w:rsid w:val="008A6AF2"/>
    <w:rsid w:val="008A6CA2"/>
    <w:rsid w:val="008A6CF2"/>
    <w:rsid w:val="008A6E56"/>
    <w:rsid w:val="008A70C7"/>
    <w:rsid w:val="008A70E9"/>
    <w:rsid w:val="008A70F5"/>
    <w:rsid w:val="008A7138"/>
    <w:rsid w:val="008A71C2"/>
    <w:rsid w:val="008A725E"/>
    <w:rsid w:val="008A749C"/>
    <w:rsid w:val="008A7679"/>
    <w:rsid w:val="008A77BA"/>
    <w:rsid w:val="008A79FE"/>
    <w:rsid w:val="008A79FF"/>
    <w:rsid w:val="008A7A26"/>
    <w:rsid w:val="008A7B53"/>
    <w:rsid w:val="008A7B77"/>
    <w:rsid w:val="008A7BA4"/>
    <w:rsid w:val="008A7CA3"/>
    <w:rsid w:val="008A7CEC"/>
    <w:rsid w:val="008A7DCC"/>
    <w:rsid w:val="008AB176"/>
    <w:rsid w:val="008B0082"/>
    <w:rsid w:val="008B0262"/>
    <w:rsid w:val="008B0287"/>
    <w:rsid w:val="008B0293"/>
    <w:rsid w:val="008B02FB"/>
    <w:rsid w:val="008B042B"/>
    <w:rsid w:val="008B0436"/>
    <w:rsid w:val="008B053B"/>
    <w:rsid w:val="008B0632"/>
    <w:rsid w:val="008B0653"/>
    <w:rsid w:val="008B0689"/>
    <w:rsid w:val="008B08E0"/>
    <w:rsid w:val="008B0908"/>
    <w:rsid w:val="008B0919"/>
    <w:rsid w:val="008B09D5"/>
    <w:rsid w:val="008B0A7C"/>
    <w:rsid w:val="008B0ABC"/>
    <w:rsid w:val="008B0C7A"/>
    <w:rsid w:val="008B0E78"/>
    <w:rsid w:val="008B0E96"/>
    <w:rsid w:val="008B1043"/>
    <w:rsid w:val="008B1168"/>
    <w:rsid w:val="008B11D6"/>
    <w:rsid w:val="008B1225"/>
    <w:rsid w:val="008B1298"/>
    <w:rsid w:val="008B1357"/>
    <w:rsid w:val="008B13BE"/>
    <w:rsid w:val="008B13EE"/>
    <w:rsid w:val="008B1498"/>
    <w:rsid w:val="008B1657"/>
    <w:rsid w:val="008B173B"/>
    <w:rsid w:val="008B18A4"/>
    <w:rsid w:val="008B18A5"/>
    <w:rsid w:val="008B19C1"/>
    <w:rsid w:val="008B1AB4"/>
    <w:rsid w:val="008B1B2B"/>
    <w:rsid w:val="008B1B30"/>
    <w:rsid w:val="008B1B6A"/>
    <w:rsid w:val="008B1C95"/>
    <w:rsid w:val="008B1D1C"/>
    <w:rsid w:val="008B1D2A"/>
    <w:rsid w:val="008B1DE0"/>
    <w:rsid w:val="008B1DFA"/>
    <w:rsid w:val="008B1E2A"/>
    <w:rsid w:val="008B1E49"/>
    <w:rsid w:val="008B208C"/>
    <w:rsid w:val="008B20E6"/>
    <w:rsid w:val="008B210A"/>
    <w:rsid w:val="008B2193"/>
    <w:rsid w:val="008B22B9"/>
    <w:rsid w:val="008B237B"/>
    <w:rsid w:val="008B2446"/>
    <w:rsid w:val="008B244F"/>
    <w:rsid w:val="008B2490"/>
    <w:rsid w:val="008B25AD"/>
    <w:rsid w:val="008B274C"/>
    <w:rsid w:val="008B28CA"/>
    <w:rsid w:val="008B293F"/>
    <w:rsid w:val="008B29D5"/>
    <w:rsid w:val="008B2A72"/>
    <w:rsid w:val="008B2A92"/>
    <w:rsid w:val="008B2AB3"/>
    <w:rsid w:val="008B2AC9"/>
    <w:rsid w:val="008B2BAE"/>
    <w:rsid w:val="008B2BC2"/>
    <w:rsid w:val="008B2CA2"/>
    <w:rsid w:val="008B2CB3"/>
    <w:rsid w:val="008B2CFA"/>
    <w:rsid w:val="008B2D88"/>
    <w:rsid w:val="008B2DFC"/>
    <w:rsid w:val="008B2E5B"/>
    <w:rsid w:val="008B2E70"/>
    <w:rsid w:val="008B3065"/>
    <w:rsid w:val="008B3129"/>
    <w:rsid w:val="008B3325"/>
    <w:rsid w:val="008B34D7"/>
    <w:rsid w:val="008B3598"/>
    <w:rsid w:val="008B37A7"/>
    <w:rsid w:val="008B3925"/>
    <w:rsid w:val="008B3A02"/>
    <w:rsid w:val="008B3A8E"/>
    <w:rsid w:val="008B3B0B"/>
    <w:rsid w:val="008B3E4E"/>
    <w:rsid w:val="008B3EBE"/>
    <w:rsid w:val="008B40C0"/>
    <w:rsid w:val="008B413E"/>
    <w:rsid w:val="008B415A"/>
    <w:rsid w:val="008B41F9"/>
    <w:rsid w:val="008B422F"/>
    <w:rsid w:val="008B43A6"/>
    <w:rsid w:val="008B4475"/>
    <w:rsid w:val="008B4487"/>
    <w:rsid w:val="008B44C4"/>
    <w:rsid w:val="008B45EC"/>
    <w:rsid w:val="008B463A"/>
    <w:rsid w:val="008B465C"/>
    <w:rsid w:val="008B4752"/>
    <w:rsid w:val="008B4864"/>
    <w:rsid w:val="008B4884"/>
    <w:rsid w:val="008B490E"/>
    <w:rsid w:val="008B4CAA"/>
    <w:rsid w:val="008B4CB2"/>
    <w:rsid w:val="008B4CC6"/>
    <w:rsid w:val="008B4D23"/>
    <w:rsid w:val="008B4E02"/>
    <w:rsid w:val="008B4F1B"/>
    <w:rsid w:val="008B4F2F"/>
    <w:rsid w:val="008B4F31"/>
    <w:rsid w:val="008B520E"/>
    <w:rsid w:val="008B5327"/>
    <w:rsid w:val="008B53CF"/>
    <w:rsid w:val="008B543A"/>
    <w:rsid w:val="008B545D"/>
    <w:rsid w:val="008B5479"/>
    <w:rsid w:val="008B5497"/>
    <w:rsid w:val="008B568B"/>
    <w:rsid w:val="008B56F7"/>
    <w:rsid w:val="008B57EB"/>
    <w:rsid w:val="008B5876"/>
    <w:rsid w:val="008B58B9"/>
    <w:rsid w:val="008B58CD"/>
    <w:rsid w:val="008B5900"/>
    <w:rsid w:val="008B5957"/>
    <w:rsid w:val="008B59CD"/>
    <w:rsid w:val="008B5A5D"/>
    <w:rsid w:val="008B5A62"/>
    <w:rsid w:val="008B5C04"/>
    <w:rsid w:val="008B5DB8"/>
    <w:rsid w:val="008B607E"/>
    <w:rsid w:val="008B611D"/>
    <w:rsid w:val="008B6207"/>
    <w:rsid w:val="008B623C"/>
    <w:rsid w:val="008B64D2"/>
    <w:rsid w:val="008B6511"/>
    <w:rsid w:val="008B6652"/>
    <w:rsid w:val="008B67D6"/>
    <w:rsid w:val="008B6815"/>
    <w:rsid w:val="008B694D"/>
    <w:rsid w:val="008B6998"/>
    <w:rsid w:val="008B69A7"/>
    <w:rsid w:val="008B6AE8"/>
    <w:rsid w:val="008B6B41"/>
    <w:rsid w:val="008B6B70"/>
    <w:rsid w:val="008B6BC2"/>
    <w:rsid w:val="008B6CAE"/>
    <w:rsid w:val="008B6CCD"/>
    <w:rsid w:val="008B6D39"/>
    <w:rsid w:val="008B6D5B"/>
    <w:rsid w:val="008B6D62"/>
    <w:rsid w:val="008B6DE6"/>
    <w:rsid w:val="008B6EA5"/>
    <w:rsid w:val="008B6EEB"/>
    <w:rsid w:val="008B6EFD"/>
    <w:rsid w:val="008B6FD3"/>
    <w:rsid w:val="008B6FF4"/>
    <w:rsid w:val="008B705F"/>
    <w:rsid w:val="008B7184"/>
    <w:rsid w:val="008B735E"/>
    <w:rsid w:val="008B7379"/>
    <w:rsid w:val="008B7387"/>
    <w:rsid w:val="008B746B"/>
    <w:rsid w:val="008B76F1"/>
    <w:rsid w:val="008B7720"/>
    <w:rsid w:val="008B7955"/>
    <w:rsid w:val="008B7A2D"/>
    <w:rsid w:val="008B7ABB"/>
    <w:rsid w:val="008B7ACA"/>
    <w:rsid w:val="008B7B92"/>
    <w:rsid w:val="008B7B9A"/>
    <w:rsid w:val="008B7D58"/>
    <w:rsid w:val="008B7D89"/>
    <w:rsid w:val="008B7D92"/>
    <w:rsid w:val="008B7F8A"/>
    <w:rsid w:val="008C0012"/>
    <w:rsid w:val="008C0045"/>
    <w:rsid w:val="008C00FD"/>
    <w:rsid w:val="008C0107"/>
    <w:rsid w:val="008C01B7"/>
    <w:rsid w:val="008C034E"/>
    <w:rsid w:val="008C03C1"/>
    <w:rsid w:val="008C08B6"/>
    <w:rsid w:val="008C090D"/>
    <w:rsid w:val="008C0962"/>
    <w:rsid w:val="008C096F"/>
    <w:rsid w:val="008C09A9"/>
    <w:rsid w:val="008C0A2E"/>
    <w:rsid w:val="008C0ABA"/>
    <w:rsid w:val="008C0B24"/>
    <w:rsid w:val="008C0B6A"/>
    <w:rsid w:val="008C0BE7"/>
    <w:rsid w:val="008C0C57"/>
    <w:rsid w:val="008C0C5B"/>
    <w:rsid w:val="008C0CD8"/>
    <w:rsid w:val="008C0D13"/>
    <w:rsid w:val="008C0D15"/>
    <w:rsid w:val="008C0D4A"/>
    <w:rsid w:val="008C0DB8"/>
    <w:rsid w:val="008C0DC0"/>
    <w:rsid w:val="008C0E0F"/>
    <w:rsid w:val="008C0E15"/>
    <w:rsid w:val="008C0E36"/>
    <w:rsid w:val="008C0E88"/>
    <w:rsid w:val="008C0EAB"/>
    <w:rsid w:val="008C104A"/>
    <w:rsid w:val="008C104C"/>
    <w:rsid w:val="008C1229"/>
    <w:rsid w:val="008C12AE"/>
    <w:rsid w:val="008C1574"/>
    <w:rsid w:val="008C158F"/>
    <w:rsid w:val="008C171A"/>
    <w:rsid w:val="008C171C"/>
    <w:rsid w:val="008C17B0"/>
    <w:rsid w:val="008C18A7"/>
    <w:rsid w:val="008C1915"/>
    <w:rsid w:val="008C19BD"/>
    <w:rsid w:val="008C1A34"/>
    <w:rsid w:val="008C1A5A"/>
    <w:rsid w:val="008C1B26"/>
    <w:rsid w:val="008C1B4C"/>
    <w:rsid w:val="008C1C2F"/>
    <w:rsid w:val="008C1CA7"/>
    <w:rsid w:val="008C1D09"/>
    <w:rsid w:val="008C1E2F"/>
    <w:rsid w:val="008C1ED3"/>
    <w:rsid w:val="008C1F21"/>
    <w:rsid w:val="008C1F4B"/>
    <w:rsid w:val="008C2061"/>
    <w:rsid w:val="008C227D"/>
    <w:rsid w:val="008C22A1"/>
    <w:rsid w:val="008C2368"/>
    <w:rsid w:val="008C24B7"/>
    <w:rsid w:val="008C256A"/>
    <w:rsid w:val="008C2634"/>
    <w:rsid w:val="008C26EE"/>
    <w:rsid w:val="008C275E"/>
    <w:rsid w:val="008C2789"/>
    <w:rsid w:val="008C27C5"/>
    <w:rsid w:val="008C27D6"/>
    <w:rsid w:val="008C2802"/>
    <w:rsid w:val="008C281A"/>
    <w:rsid w:val="008C2959"/>
    <w:rsid w:val="008C2B75"/>
    <w:rsid w:val="008C2BB9"/>
    <w:rsid w:val="008C2BCE"/>
    <w:rsid w:val="008C2EAB"/>
    <w:rsid w:val="008C2FA4"/>
    <w:rsid w:val="008C3006"/>
    <w:rsid w:val="008C337C"/>
    <w:rsid w:val="008C33E2"/>
    <w:rsid w:val="008C33F0"/>
    <w:rsid w:val="008C3424"/>
    <w:rsid w:val="008C3494"/>
    <w:rsid w:val="008C34FE"/>
    <w:rsid w:val="008C35C1"/>
    <w:rsid w:val="008C35E5"/>
    <w:rsid w:val="008C373B"/>
    <w:rsid w:val="008C374B"/>
    <w:rsid w:val="008C37B9"/>
    <w:rsid w:val="008C383B"/>
    <w:rsid w:val="008C38F4"/>
    <w:rsid w:val="008C3923"/>
    <w:rsid w:val="008C39FB"/>
    <w:rsid w:val="008C3A80"/>
    <w:rsid w:val="008C3ABD"/>
    <w:rsid w:val="008C3AD7"/>
    <w:rsid w:val="008C3AF1"/>
    <w:rsid w:val="008C3BFE"/>
    <w:rsid w:val="008C3CA6"/>
    <w:rsid w:val="008C3CAC"/>
    <w:rsid w:val="008C3CD3"/>
    <w:rsid w:val="008C402E"/>
    <w:rsid w:val="008C40E4"/>
    <w:rsid w:val="008C4105"/>
    <w:rsid w:val="008C42EE"/>
    <w:rsid w:val="008C4361"/>
    <w:rsid w:val="008C44F6"/>
    <w:rsid w:val="008C4593"/>
    <w:rsid w:val="008C473D"/>
    <w:rsid w:val="008C4750"/>
    <w:rsid w:val="008C486B"/>
    <w:rsid w:val="008C48E1"/>
    <w:rsid w:val="008C4A66"/>
    <w:rsid w:val="008C4AB1"/>
    <w:rsid w:val="008C4B57"/>
    <w:rsid w:val="008C4BA7"/>
    <w:rsid w:val="008C4BDE"/>
    <w:rsid w:val="008C4C6D"/>
    <w:rsid w:val="008C4CC3"/>
    <w:rsid w:val="008C4DB8"/>
    <w:rsid w:val="008C4EF5"/>
    <w:rsid w:val="008C4F5C"/>
    <w:rsid w:val="008C4F86"/>
    <w:rsid w:val="008C500D"/>
    <w:rsid w:val="008C50BC"/>
    <w:rsid w:val="008C5121"/>
    <w:rsid w:val="008C5144"/>
    <w:rsid w:val="008C5178"/>
    <w:rsid w:val="008C5425"/>
    <w:rsid w:val="008C543C"/>
    <w:rsid w:val="008C553E"/>
    <w:rsid w:val="008C55C7"/>
    <w:rsid w:val="008C5712"/>
    <w:rsid w:val="008C5746"/>
    <w:rsid w:val="008C5822"/>
    <w:rsid w:val="008C58ED"/>
    <w:rsid w:val="008C58F3"/>
    <w:rsid w:val="008C59D9"/>
    <w:rsid w:val="008C5A38"/>
    <w:rsid w:val="008C5B6D"/>
    <w:rsid w:val="008C5C15"/>
    <w:rsid w:val="008C5ECA"/>
    <w:rsid w:val="008C5F13"/>
    <w:rsid w:val="008C603A"/>
    <w:rsid w:val="008C615E"/>
    <w:rsid w:val="008C61ED"/>
    <w:rsid w:val="008C6201"/>
    <w:rsid w:val="008C623D"/>
    <w:rsid w:val="008C625C"/>
    <w:rsid w:val="008C6265"/>
    <w:rsid w:val="008C626F"/>
    <w:rsid w:val="008C6318"/>
    <w:rsid w:val="008C6571"/>
    <w:rsid w:val="008C65F1"/>
    <w:rsid w:val="008C6720"/>
    <w:rsid w:val="008C68FB"/>
    <w:rsid w:val="008C6916"/>
    <w:rsid w:val="008C6AFE"/>
    <w:rsid w:val="008C6BBC"/>
    <w:rsid w:val="008C6D7C"/>
    <w:rsid w:val="008C6EEB"/>
    <w:rsid w:val="008C701D"/>
    <w:rsid w:val="008C7090"/>
    <w:rsid w:val="008C71A3"/>
    <w:rsid w:val="008C72D5"/>
    <w:rsid w:val="008C744A"/>
    <w:rsid w:val="008C7495"/>
    <w:rsid w:val="008C74BF"/>
    <w:rsid w:val="008C75B7"/>
    <w:rsid w:val="008C75C6"/>
    <w:rsid w:val="008C76E1"/>
    <w:rsid w:val="008C776D"/>
    <w:rsid w:val="008C789B"/>
    <w:rsid w:val="008C7942"/>
    <w:rsid w:val="008C7B30"/>
    <w:rsid w:val="008C7C28"/>
    <w:rsid w:val="008C7C6C"/>
    <w:rsid w:val="008C7D22"/>
    <w:rsid w:val="008C7D95"/>
    <w:rsid w:val="008C7DF3"/>
    <w:rsid w:val="008C7E92"/>
    <w:rsid w:val="008C7F32"/>
    <w:rsid w:val="008D007C"/>
    <w:rsid w:val="008D0091"/>
    <w:rsid w:val="008D00CF"/>
    <w:rsid w:val="008D0120"/>
    <w:rsid w:val="008D0205"/>
    <w:rsid w:val="008D0244"/>
    <w:rsid w:val="008D02DF"/>
    <w:rsid w:val="008D0533"/>
    <w:rsid w:val="008D073E"/>
    <w:rsid w:val="008D0824"/>
    <w:rsid w:val="008D082E"/>
    <w:rsid w:val="008D086C"/>
    <w:rsid w:val="008D08C3"/>
    <w:rsid w:val="008D09E4"/>
    <w:rsid w:val="008D0A4A"/>
    <w:rsid w:val="008D0B3A"/>
    <w:rsid w:val="008D0CF6"/>
    <w:rsid w:val="008D0D42"/>
    <w:rsid w:val="008D0D9C"/>
    <w:rsid w:val="008D0E03"/>
    <w:rsid w:val="008D0E51"/>
    <w:rsid w:val="008D0E93"/>
    <w:rsid w:val="008D0EE6"/>
    <w:rsid w:val="008D0F2F"/>
    <w:rsid w:val="008D0FF4"/>
    <w:rsid w:val="008D125A"/>
    <w:rsid w:val="008D1360"/>
    <w:rsid w:val="008D1435"/>
    <w:rsid w:val="008D14F8"/>
    <w:rsid w:val="008D157A"/>
    <w:rsid w:val="008D15AF"/>
    <w:rsid w:val="008D16F9"/>
    <w:rsid w:val="008D175A"/>
    <w:rsid w:val="008D17BE"/>
    <w:rsid w:val="008D1824"/>
    <w:rsid w:val="008D1867"/>
    <w:rsid w:val="008D1AFC"/>
    <w:rsid w:val="008D1C71"/>
    <w:rsid w:val="008D1CCB"/>
    <w:rsid w:val="008D1D75"/>
    <w:rsid w:val="008D217F"/>
    <w:rsid w:val="008D228C"/>
    <w:rsid w:val="008D2464"/>
    <w:rsid w:val="008D249D"/>
    <w:rsid w:val="008D24A2"/>
    <w:rsid w:val="008D2519"/>
    <w:rsid w:val="008D2636"/>
    <w:rsid w:val="008D26AD"/>
    <w:rsid w:val="008D26EA"/>
    <w:rsid w:val="008D2779"/>
    <w:rsid w:val="008D2793"/>
    <w:rsid w:val="008D279B"/>
    <w:rsid w:val="008D2819"/>
    <w:rsid w:val="008D2895"/>
    <w:rsid w:val="008D289B"/>
    <w:rsid w:val="008D295C"/>
    <w:rsid w:val="008D2D73"/>
    <w:rsid w:val="008D2DB3"/>
    <w:rsid w:val="008D2DBA"/>
    <w:rsid w:val="008D2E02"/>
    <w:rsid w:val="008D2E4E"/>
    <w:rsid w:val="008D2F8D"/>
    <w:rsid w:val="008D2FB6"/>
    <w:rsid w:val="008D3002"/>
    <w:rsid w:val="008D30A1"/>
    <w:rsid w:val="008D32C2"/>
    <w:rsid w:val="008D3604"/>
    <w:rsid w:val="008D36EC"/>
    <w:rsid w:val="008D37AE"/>
    <w:rsid w:val="008D37B9"/>
    <w:rsid w:val="008D37C8"/>
    <w:rsid w:val="008D387C"/>
    <w:rsid w:val="008D38A7"/>
    <w:rsid w:val="008D393D"/>
    <w:rsid w:val="008D3995"/>
    <w:rsid w:val="008D3BC7"/>
    <w:rsid w:val="008D3BCC"/>
    <w:rsid w:val="008D3D0F"/>
    <w:rsid w:val="008D3D74"/>
    <w:rsid w:val="008D3F06"/>
    <w:rsid w:val="008D3FF2"/>
    <w:rsid w:val="008D409B"/>
    <w:rsid w:val="008D419D"/>
    <w:rsid w:val="008D419E"/>
    <w:rsid w:val="008D41FD"/>
    <w:rsid w:val="008D4234"/>
    <w:rsid w:val="008D4263"/>
    <w:rsid w:val="008D4277"/>
    <w:rsid w:val="008D433E"/>
    <w:rsid w:val="008D43DF"/>
    <w:rsid w:val="008D446D"/>
    <w:rsid w:val="008D44D0"/>
    <w:rsid w:val="008D4538"/>
    <w:rsid w:val="008D4595"/>
    <w:rsid w:val="008D45B0"/>
    <w:rsid w:val="008D4854"/>
    <w:rsid w:val="008D4978"/>
    <w:rsid w:val="008D4A60"/>
    <w:rsid w:val="008D4AF5"/>
    <w:rsid w:val="008D4B3C"/>
    <w:rsid w:val="008D4E56"/>
    <w:rsid w:val="008D4EF4"/>
    <w:rsid w:val="008D4F98"/>
    <w:rsid w:val="008D4FCA"/>
    <w:rsid w:val="008D5128"/>
    <w:rsid w:val="008D512B"/>
    <w:rsid w:val="008D51C9"/>
    <w:rsid w:val="008D51D7"/>
    <w:rsid w:val="008D5445"/>
    <w:rsid w:val="008D545D"/>
    <w:rsid w:val="008D557D"/>
    <w:rsid w:val="008D55A0"/>
    <w:rsid w:val="008D56A1"/>
    <w:rsid w:val="008D570F"/>
    <w:rsid w:val="008D59A8"/>
    <w:rsid w:val="008D59EC"/>
    <w:rsid w:val="008D5A10"/>
    <w:rsid w:val="008D5A1A"/>
    <w:rsid w:val="008D5A8A"/>
    <w:rsid w:val="008D5A91"/>
    <w:rsid w:val="008D5C8D"/>
    <w:rsid w:val="008D5DC9"/>
    <w:rsid w:val="008D5DD6"/>
    <w:rsid w:val="008D5DFA"/>
    <w:rsid w:val="008D5F07"/>
    <w:rsid w:val="008D5FAA"/>
    <w:rsid w:val="008D61D7"/>
    <w:rsid w:val="008D61EB"/>
    <w:rsid w:val="008D6218"/>
    <w:rsid w:val="008D621C"/>
    <w:rsid w:val="008D624F"/>
    <w:rsid w:val="008D64B1"/>
    <w:rsid w:val="008D65AD"/>
    <w:rsid w:val="008D6630"/>
    <w:rsid w:val="008D67CA"/>
    <w:rsid w:val="008D67E9"/>
    <w:rsid w:val="008D690E"/>
    <w:rsid w:val="008D6917"/>
    <w:rsid w:val="008D696A"/>
    <w:rsid w:val="008D6977"/>
    <w:rsid w:val="008D6A57"/>
    <w:rsid w:val="008D6BAB"/>
    <w:rsid w:val="008D6D9B"/>
    <w:rsid w:val="008D6DAB"/>
    <w:rsid w:val="008D6DC4"/>
    <w:rsid w:val="008D6E29"/>
    <w:rsid w:val="008D6E9D"/>
    <w:rsid w:val="008D6FB4"/>
    <w:rsid w:val="008D6FD0"/>
    <w:rsid w:val="008D7043"/>
    <w:rsid w:val="008D719D"/>
    <w:rsid w:val="008D7223"/>
    <w:rsid w:val="008D724A"/>
    <w:rsid w:val="008D72DB"/>
    <w:rsid w:val="008D73B3"/>
    <w:rsid w:val="008D7662"/>
    <w:rsid w:val="008D77CC"/>
    <w:rsid w:val="008D78A4"/>
    <w:rsid w:val="008D7918"/>
    <w:rsid w:val="008D795E"/>
    <w:rsid w:val="008D7A68"/>
    <w:rsid w:val="008D7A76"/>
    <w:rsid w:val="008D7AEA"/>
    <w:rsid w:val="008D7B24"/>
    <w:rsid w:val="008D7C48"/>
    <w:rsid w:val="008D7E51"/>
    <w:rsid w:val="008D7EA8"/>
    <w:rsid w:val="008D7F39"/>
    <w:rsid w:val="008E0104"/>
    <w:rsid w:val="008E0186"/>
    <w:rsid w:val="008E0243"/>
    <w:rsid w:val="008E0422"/>
    <w:rsid w:val="008E0441"/>
    <w:rsid w:val="008E0475"/>
    <w:rsid w:val="008E04FD"/>
    <w:rsid w:val="008E0514"/>
    <w:rsid w:val="008E065F"/>
    <w:rsid w:val="008E0731"/>
    <w:rsid w:val="008E075B"/>
    <w:rsid w:val="008E07C9"/>
    <w:rsid w:val="008E08BA"/>
    <w:rsid w:val="008E0955"/>
    <w:rsid w:val="008E0995"/>
    <w:rsid w:val="008E0A61"/>
    <w:rsid w:val="008E0DA1"/>
    <w:rsid w:val="008E0E93"/>
    <w:rsid w:val="008E0EBB"/>
    <w:rsid w:val="008E0F26"/>
    <w:rsid w:val="008E0F41"/>
    <w:rsid w:val="008E0F7A"/>
    <w:rsid w:val="008E0FF3"/>
    <w:rsid w:val="008E1022"/>
    <w:rsid w:val="008E105E"/>
    <w:rsid w:val="008E11DE"/>
    <w:rsid w:val="008E1429"/>
    <w:rsid w:val="008E1459"/>
    <w:rsid w:val="008E15D3"/>
    <w:rsid w:val="008E15EA"/>
    <w:rsid w:val="008E1662"/>
    <w:rsid w:val="008E166F"/>
    <w:rsid w:val="008E185F"/>
    <w:rsid w:val="008E1928"/>
    <w:rsid w:val="008E1A3D"/>
    <w:rsid w:val="008E1AC8"/>
    <w:rsid w:val="008E1B4B"/>
    <w:rsid w:val="008E1B63"/>
    <w:rsid w:val="008E1C59"/>
    <w:rsid w:val="008E1CE1"/>
    <w:rsid w:val="008E1E23"/>
    <w:rsid w:val="008E1E5B"/>
    <w:rsid w:val="008E1F3F"/>
    <w:rsid w:val="008E1F81"/>
    <w:rsid w:val="008E1F99"/>
    <w:rsid w:val="008E204A"/>
    <w:rsid w:val="008E208C"/>
    <w:rsid w:val="008E22C6"/>
    <w:rsid w:val="008E2352"/>
    <w:rsid w:val="008E23A8"/>
    <w:rsid w:val="008E2535"/>
    <w:rsid w:val="008E26CB"/>
    <w:rsid w:val="008E27F5"/>
    <w:rsid w:val="008E2844"/>
    <w:rsid w:val="008E29A8"/>
    <w:rsid w:val="008E2A78"/>
    <w:rsid w:val="008E2AC8"/>
    <w:rsid w:val="008E2BB6"/>
    <w:rsid w:val="008E2C27"/>
    <w:rsid w:val="008E2C38"/>
    <w:rsid w:val="008E2C4D"/>
    <w:rsid w:val="008E2D36"/>
    <w:rsid w:val="008E2DC1"/>
    <w:rsid w:val="008E2DE6"/>
    <w:rsid w:val="008E2E12"/>
    <w:rsid w:val="008E2E72"/>
    <w:rsid w:val="008E2F05"/>
    <w:rsid w:val="008E2F2C"/>
    <w:rsid w:val="008E319F"/>
    <w:rsid w:val="008E3265"/>
    <w:rsid w:val="008E336A"/>
    <w:rsid w:val="008E355D"/>
    <w:rsid w:val="008E3622"/>
    <w:rsid w:val="008E364D"/>
    <w:rsid w:val="008E36B8"/>
    <w:rsid w:val="008E3702"/>
    <w:rsid w:val="008E37DA"/>
    <w:rsid w:val="008E3844"/>
    <w:rsid w:val="008E38A3"/>
    <w:rsid w:val="008E3BF1"/>
    <w:rsid w:val="008E3C6A"/>
    <w:rsid w:val="008E3D0C"/>
    <w:rsid w:val="008E3E1E"/>
    <w:rsid w:val="008E3E52"/>
    <w:rsid w:val="008E3E67"/>
    <w:rsid w:val="008E3F43"/>
    <w:rsid w:val="008E3FBE"/>
    <w:rsid w:val="008E3FFE"/>
    <w:rsid w:val="008E40FE"/>
    <w:rsid w:val="008E414C"/>
    <w:rsid w:val="008E41CD"/>
    <w:rsid w:val="008E4363"/>
    <w:rsid w:val="008E4436"/>
    <w:rsid w:val="008E445A"/>
    <w:rsid w:val="008E44EC"/>
    <w:rsid w:val="008E45C6"/>
    <w:rsid w:val="008E4693"/>
    <w:rsid w:val="008E4700"/>
    <w:rsid w:val="008E47D8"/>
    <w:rsid w:val="008E487C"/>
    <w:rsid w:val="008E4977"/>
    <w:rsid w:val="008E4A55"/>
    <w:rsid w:val="008E4A93"/>
    <w:rsid w:val="008E4AD1"/>
    <w:rsid w:val="008E4C04"/>
    <w:rsid w:val="008E4C11"/>
    <w:rsid w:val="008E4DDF"/>
    <w:rsid w:val="008E4E65"/>
    <w:rsid w:val="008E4E85"/>
    <w:rsid w:val="008E4EC0"/>
    <w:rsid w:val="008E4ECA"/>
    <w:rsid w:val="008E4FE9"/>
    <w:rsid w:val="008E5081"/>
    <w:rsid w:val="008E527B"/>
    <w:rsid w:val="008E5329"/>
    <w:rsid w:val="008E5330"/>
    <w:rsid w:val="008E53AC"/>
    <w:rsid w:val="008E53CE"/>
    <w:rsid w:val="008E55F7"/>
    <w:rsid w:val="008E573A"/>
    <w:rsid w:val="008E57B4"/>
    <w:rsid w:val="008E57E6"/>
    <w:rsid w:val="008E5800"/>
    <w:rsid w:val="008E598F"/>
    <w:rsid w:val="008E5AA9"/>
    <w:rsid w:val="008E5AC9"/>
    <w:rsid w:val="008E5B26"/>
    <w:rsid w:val="008E5E45"/>
    <w:rsid w:val="008E5F02"/>
    <w:rsid w:val="008E5F97"/>
    <w:rsid w:val="008E5FA0"/>
    <w:rsid w:val="008E6008"/>
    <w:rsid w:val="008E6038"/>
    <w:rsid w:val="008E6082"/>
    <w:rsid w:val="008E60B8"/>
    <w:rsid w:val="008E611F"/>
    <w:rsid w:val="008E6159"/>
    <w:rsid w:val="008E6268"/>
    <w:rsid w:val="008E62BE"/>
    <w:rsid w:val="008E62C1"/>
    <w:rsid w:val="008E6300"/>
    <w:rsid w:val="008E64CA"/>
    <w:rsid w:val="008E64E0"/>
    <w:rsid w:val="008E64FC"/>
    <w:rsid w:val="008E653B"/>
    <w:rsid w:val="008E66B4"/>
    <w:rsid w:val="008E6995"/>
    <w:rsid w:val="008E6A10"/>
    <w:rsid w:val="008E6A3F"/>
    <w:rsid w:val="008E6A45"/>
    <w:rsid w:val="008E6C7A"/>
    <w:rsid w:val="008E6DCE"/>
    <w:rsid w:val="008E6E6D"/>
    <w:rsid w:val="008E6E7C"/>
    <w:rsid w:val="008E6F58"/>
    <w:rsid w:val="008E6F78"/>
    <w:rsid w:val="008E6FB1"/>
    <w:rsid w:val="008E6FB5"/>
    <w:rsid w:val="008E705A"/>
    <w:rsid w:val="008E70D1"/>
    <w:rsid w:val="008E70F8"/>
    <w:rsid w:val="008E711D"/>
    <w:rsid w:val="008E71CC"/>
    <w:rsid w:val="008E7220"/>
    <w:rsid w:val="008E7241"/>
    <w:rsid w:val="008E736F"/>
    <w:rsid w:val="008E73E4"/>
    <w:rsid w:val="008E7429"/>
    <w:rsid w:val="008E7501"/>
    <w:rsid w:val="008E7611"/>
    <w:rsid w:val="008E767F"/>
    <w:rsid w:val="008E769C"/>
    <w:rsid w:val="008E77A9"/>
    <w:rsid w:val="008E7947"/>
    <w:rsid w:val="008E7BD6"/>
    <w:rsid w:val="008E7CEE"/>
    <w:rsid w:val="008E7D09"/>
    <w:rsid w:val="008E7D17"/>
    <w:rsid w:val="008E7D54"/>
    <w:rsid w:val="008E7E54"/>
    <w:rsid w:val="008E7EDF"/>
    <w:rsid w:val="008E7EFC"/>
    <w:rsid w:val="008E7F25"/>
    <w:rsid w:val="008E7FB7"/>
    <w:rsid w:val="008E9156"/>
    <w:rsid w:val="008F0095"/>
    <w:rsid w:val="008F00CE"/>
    <w:rsid w:val="008F00ED"/>
    <w:rsid w:val="008F016C"/>
    <w:rsid w:val="008F01BD"/>
    <w:rsid w:val="008F02E6"/>
    <w:rsid w:val="008F03A6"/>
    <w:rsid w:val="008F0412"/>
    <w:rsid w:val="008F048C"/>
    <w:rsid w:val="008F050C"/>
    <w:rsid w:val="008F0615"/>
    <w:rsid w:val="008F07B1"/>
    <w:rsid w:val="008F08F4"/>
    <w:rsid w:val="008F0944"/>
    <w:rsid w:val="008F0960"/>
    <w:rsid w:val="008F09F0"/>
    <w:rsid w:val="008F0A55"/>
    <w:rsid w:val="008F0AF8"/>
    <w:rsid w:val="008F0BF1"/>
    <w:rsid w:val="008F0E03"/>
    <w:rsid w:val="008F0E13"/>
    <w:rsid w:val="008F0E23"/>
    <w:rsid w:val="008F0EEA"/>
    <w:rsid w:val="008F0F41"/>
    <w:rsid w:val="008F1023"/>
    <w:rsid w:val="008F1054"/>
    <w:rsid w:val="008F10FD"/>
    <w:rsid w:val="008F117D"/>
    <w:rsid w:val="008F1428"/>
    <w:rsid w:val="008F16F8"/>
    <w:rsid w:val="008F1752"/>
    <w:rsid w:val="008F1787"/>
    <w:rsid w:val="008F1879"/>
    <w:rsid w:val="008F1BF9"/>
    <w:rsid w:val="008F1C2D"/>
    <w:rsid w:val="008F1C8A"/>
    <w:rsid w:val="008F1FC1"/>
    <w:rsid w:val="008F2205"/>
    <w:rsid w:val="008F257F"/>
    <w:rsid w:val="008F270E"/>
    <w:rsid w:val="008F28AA"/>
    <w:rsid w:val="008F294D"/>
    <w:rsid w:val="008F2A1C"/>
    <w:rsid w:val="008F2A60"/>
    <w:rsid w:val="008F2A72"/>
    <w:rsid w:val="008F2B9A"/>
    <w:rsid w:val="008F2C3F"/>
    <w:rsid w:val="008F2DC1"/>
    <w:rsid w:val="008F30E4"/>
    <w:rsid w:val="008F314A"/>
    <w:rsid w:val="008F3194"/>
    <w:rsid w:val="008F31B9"/>
    <w:rsid w:val="008F329A"/>
    <w:rsid w:val="008F32BA"/>
    <w:rsid w:val="008F32BB"/>
    <w:rsid w:val="008F33DE"/>
    <w:rsid w:val="008F3408"/>
    <w:rsid w:val="008F3586"/>
    <w:rsid w:val="008F3593"/>
    <w:rsid w:val="008F3691"/>
    <w:rsid w:val="008F369F"/>
    <w:rsid w:val="008F36C1"/>
    <w:rsid w:val="008F37A3"/>
    <w:rsid w:val="008F3987"/>
    <w:rsid w:val="008F3AB0"/>
    <w:rsid w:val="008F3B0E"/>
    <w:rsid w:val="008F3C00"/>
    <w:rsid w:val="008F3DC3"/>
    <w:rsid w:val="008F3FEB"/>
    <w:rsid w:val="008F3FEE"/>
    <w:rsid w:val="008F4058"/>
    <w:rsid w:val="008F4123"/>
    <w:rsid w:val="008F4275"/>
    <w:rsid w:val="008F42F8"/>
    <w:rsid w:val="008F4396"/>
    <w:rsid w:val="008F439B"/>
    <w:rsid w:val="008F43CA"/>
    <w:rsid w:val="008F43F9"/>
    <w:rsid w:val="008F4463"/>
    <w:rsid w:val="008F448C"/>
    <w:rsid w:val="008F4536"/>
    <w:rsid w:val="008F4548"/>
    <w:rsid w:val="008F45CA"/>
    <w:rsid w:val="008F4600"/>
    <w:rsid w:val="008F475E"/>
    <w:rsid w:val="008F4792"/>
    <w:rsid w:val="008F48A2"/>
    <w:rsid w:val="008F4B9B"/>
    <w:rsid w:val="008F4C16"/>
    <w:rsid w:val="008F4C6E"/>
    <w:rsid w:val="008F4D22"/>
    <w:rsid w:val="008F4D5E"/>
    <w:rsid w:val="008F4DA3"/>
    <w:rsid w:val="008F4E63"/>
    <w:rsid w:val="008F4F10"/>
    <w:rsid w:val="008F5091"/>
    <w:rsid w:val="008F50B7"/>
    <w:rsid w:val="008F510E"/>
    <w:rsid w:val="008F523F"/>
    <w:rsid w:val="008F537A"/>
    <w:rsid w:val="008F544B"/>
    <w:rsid w:val="008F546C"/>
    <w:rsid w:val="008F54BE"/>
    <w:rsid w:val="008F5674"/>
    <w:rsid w:val="008F5775"/>
    <w:rsid w:val="008F58D9"/>
    <w:rsid w:val="008F59A3"/>
    <w:rsid w:val="008F5A06"/>
    <w:rsid w:val="008F5AD7"/>
    <w:rsid w:val="008F5DFF"/>
    <w:rsid w:val="008F5E31"/>
    <w:rsid w:val="008F5EBA"/>
    <w:rsid w:val="008F5F67"/>
    <w:rsid w:val="008F6016"/>
    <w:rsid w:val="008F60EA"/>
    <w:rsid w:val="008F6246"/>
    <w:rsid w:val="008F6255"/>
    <w:rsid w:val="008F6278"/>
    <w:rsid w:val="008F62B4"/>
    <w:rsid w:val="008F62B7"/>
    <w:rsid w:val="008F6349"/>
    <w:rsid w:val="008F6379"/>
    <w:rsid w:val="008F650F"/>
    <w:rsid w:val="008F66BE"/>
    <w:rsid w:val="008F66D1"/>
    <w:rsid w:val="008F690A"/>
    <w:rsid w:val="008F698D"/>
    <w:rsid w:val="008F6995"/>
    <w:rsid w:val="008F6B55"/>
    <w:rsid w:val="008F6BBA"/>
    <w:rsid w:val="008F6BBB"/>
    <w:rsid w:val="008F6C2E"/>
    <w:rsid w:val="008F6CAD"/>
    <w:rsid w:val="008F6CC3"/>
    <w:rsid w:val="008F6D26"/>
    <w:rsid w:val="008F6E4A"/>
    <w:rsid w:val="008F6E87"/>
    <w:rsid w:val="008F7008"/>
    <w:rsid w:val="008F70A0"/>
    <w:rsid w:val="008F7500"/>
    <w:rsid w:val="008F755C"/>
    <w:rsid w:val="008F76C9"/>
    <w:rsid w:val="008F770E"/>
    <w:rsid w:val="008F7A66"/>
    <w:rsid w:val="008F7A7C"/>
    <w:rsid w:val="008F7AA8"/>
    <w:rsid w:val="008F7F34"/>
    <w:rsid w:val="008F7F46"/>
    <w:rsid w:val="008F7FE3"/>
    <w:rsid w:val="0090029F"/>
    <w:rsid w:val="009002B2"/>
    <w:rsid w:val="00900365"/>
    <w:rsid w:val="0090042E"/>
    <w:rsid w:val="009005AB"/>
    <w:rsid w:val="00900608"/>
    <w:rsid w:val="00900628"/>
    <w:rsid w:val="00900761"/>
    <w:rsid w:val="009007D7"/>
    <w:rsid w:val="0090087B"/>
    <w:rsid w:val="009008E3"/>
    <w:rsid w:val="0090093C"/>
    <w:rsid w:val="009009BB"/>
    <w:rsid w:val="009009E6"/>
    <w:rsid w:val="00900A98"/>
    <w:rsid w:val="00900AF4"/>
    <w:rsid w:val="00900C6F"/>
    <w:rsid w:val="00900CC8"/>
    <w:rsid w:val="00900D97"/>
    <w:rsid w:val="00900DCF"/>
    <w:rsid w:val="00900FC7"/>
    <w:rsid w:val="00901026"/>
    <w:rsid w:val="00901092"/>
    <w:rsid w:val="009010E5"/>
    <w:rsid w:val="009011B9"/>
    <w:rsid w:val="00901296"/>
    <w:rsid w:val="00901B17"/>
    <w:rsid w:val="00901B91"/>
    <w:rsid w:val="00901BA6"/>
    <w:rsid w:val="00901BE4"/>
    <w:rsid w:val="00901CBB"/>
    <w:rsid w:val="00901CE7"/>
    <w:rsid w:val="00901ECC"/>
    <w:rsid w:val="00901EE0"/>
    <w:rsid w:val="0090204F"/>
    <w:rsid w:val="009020A7"/>
    <w:rsid w:val="009020F6"/>
    <w:rsid w:val="0090213D"/>
    <w:rsid w:val="009021D3"/>
    <w:rsid w:val="009021D8"/>
    <w:rsid w:val="009021D9"/>
    <w:rsid w:val="0090232B"/>
    <w:rsid w:val="009024BE"/>
    <w:rsid w:val="00902512"/>
    <w:rsid w:val="009025B4"/>
    <w:rsid w:val="00902613"/>
    <w:rsid w:val="00902635"/>
    <w:rsid w:val="00902661"/>
    <w:rsid w:val="00902795"/>
    <w:rsid w:val="009027A8"/>
    <w:rsid w:val="009027FB"/>
    <w:rsid w:val="00902807"/>
    <w:rsid w:val="009028AB"/>
    <w:rsid w:val="009028CA"/>
    <w:rsid w:val="009028E1"/>
    <w:rsid w:val="009029BA"/>
    <w:rsid w:val="00902AB3"/>
    <w:rsid w:val="00902BB0"/>
    <w:rsid w:val="00902C01"/>
    <w:rsid w:val="00902E30"/>
    <w:rsid w:val="00902E34"/>
    <w:rsid w:val="00902E5F"/>
    <w:rsid w:val="00902EE0"/>
    <w:rsid w:val="00902F43"/>
    <w:rsid w:val="00902FD7"/>
    <w:rsid w:val="00902FDF"/>
    <w:rsid w:val="00902FFC"/>
    <w:rsid w:val="00903094"/>
    <w:rsid w:val="009030AE"/>
    <w:rsid w:val="009031B0"/>
    <w:rsid w:val="009031EE"/>
    <w:rsid w:val="00903267"/>
    <w:rsid w:val="00903302"/>
    <w:rsid w:val="00903333"/>
    <w:rsid w:val="0090334B"/>
    <w:rsid w:val="0090338D"/>
    <w:rsid w:val="009033A8"/>
    <w:rsid w:val="0090346F"/>
    <w:rsid w:val="009035C5"/>
    <w:rsid w:val="009036C9"/>
    <w:rsid w:val="0090389D"/>
    <w:rsid w:val="0090397E"/>
    <w:rsid w:val="0090398C"/>
    <w:rsid w:val="00903AD5"/>
    <w:rsid w:val="00903B4F"/>
    <w:rsid w:val="00903BE6"/>
    <w:rsid w:val="00903D62"/>
    <w:rsid w:val="00903E8A"/>
    <w:rsid w:val="00903F22"/>
    <w:rsid w:val="009040F5"/>
    <w:rsid w:val="0090415C"/>
    <w:rsid w:val="009044AF"/>
    <w:rsid w:val="00904509"/>
    <w:rsid w:val="00904592"/>
    <w:rsid w:val="009045A5"/>
    <w:rsid w:val="0090460B"/>
    <w:rsid w:val="009046D0"/>
    <w:rsid w:val="00904725"/>
    <w:rsid w:val="00904958"/>
    <w:rsid w:val="00904A17"/>
    <w:rsid w:val="00904CB2"/>
    <w:rsid w:val="00904D41"/>
    <w:rsid w:val="00904D79"/>
    <w:rsid w:val="00904E18"/>
    <w:rsid w:val="00904E90"/>
    <w:rsid w:val="00904E95"/>
    <w:rsid w:val="009050BB"/>
    <w:rsid w:val="00905225"/>
    <w:rsid w:val="0090522A"/>
    <w:rsid w:val="009053D9"/>
    <w:rsid w:val="00905401"/>
    <w:rsid w:val="009055E3"/>
    <w:rsid w:val="00905706"/>
    <w:rsid w:val="00905729"/>
    <w:rsid w:val="0090572A"/>
    <w:rsid w:val="00905786"/>
    <w:rsid w:val="00905813"/>
    <w:rsid w:val="009059D2"/>
    <w:rsid w:val="00905A20"/>
    <w:rsid w:val="00905A44"/>
    <w:rsid w:val="00905BD2"/>
    <w:rsid w:val="00905C8F"/>
    <w:rsid w:val="00905E0C"/>
    <w:rsid w:val="00905F33"/>
    <w:rsid w:val="00905FAE"/>
    <w:rsid w:val="00905FD3"/>
    <w:rsid w:val="0090600A"/>
    <w:rsid w:val="009061EA"/>
    <w:rsid w:val="00906212"/>
    <w:rsid w:val="0090622C"/>
    <w:rsid w:val="00906334"/>
    <w:rsid w:val="00906435"/>
    <w:rsid w:val="00906472"/>
    <w:rsid w:val="0090647C"/>
    <w:rsid w:val="009065A5"/>
    <w:rsid w:val="009065FA"/>
    <w:rsid w:val="00906619"/>
    <w:rsid w:val="00906667"/>
    <w:rsid w:val="0090668D"/>
    <w:rsid w:val="009066E9"/>
    <w:rsid w:val="009067B6"/>
    <w:rsid w:val="009067C1"/>
    <w:rsid w:val="00906954"/>
    <w:rsid w:val="0090697B"/>
    <w:rsid w:val="009069CB"/>
    <w:rsid w:val="009069D9"/>
    <w:rsid w:val="00906A1D"/>
    <w:rsid w:val="00906A5A"/>
    <w:rsid w:val="00906BE5"/>
    <w:rsid w:val="00906C4C"/>
    <w:rsid w:val="00906D30"/>
    <w:rsid w:val="00906D72"/>
    <w:rsid w:val="00906D82"/>
    <w:rsid w:val="00906DA7"/>
    <w:rsid w:val="00906EEF"/>
    <w:rsid w:val="00906F12"/>
    <w:rsid w:val="009071D2"/>
    <w:rsid w:val="009072A4"/>
    <w:rsid w:val="00907322"/>
    <w:rsid w:val="0090742F"/>
    <w:rsid w:val="009075D5"/>
    <w:rsid w:val="0090763D"/>
    <w:rsid w:val="009077C8"/>
    <w:rsid w:val="009077DF"/>
    <w:rsid w:val="009077E2"/>
    <w:rsid w:val="009077EA"/>
    <w:rsid w:val="009078BA"/>
    <w:rsid w:val="00907959"/>
    <w:rsid w:val="009079F8"/>
    <w:rsid w:val="00907A61"/>
    <w:rsid w:val="00907BEC"/>
    <w:rsid w:val="00907C53"/>
    <w:rsid w:val="00907CB3"/>
    <w:rsid w:val="00907F02"/>
    <w:rsid w:val="00907FFD"/>
    <w:rsid w:val="00910245"/>
    <w:rsid w:val="0091049D"/>
    <w:rsid w:val="0091051B"/>
    <w:rsid w:val="0091055A"/>
    <w:rsid w:val="009105B8"/>
    <w:rsid w:val="009107ED"/>
    <w:rsid w:val="00910810"/>
    <w:rsid w:val="00910831"/>
    <w:rsid w:val="00910854"/>
    <w:rsid w:val="00910882"/>
    <w:rsid w:val="00910920"/>
    <w:rsid w:val="00910AB3"/>
    <w:rsid w:val="00910BFE"/>
    <w:rsid w:val="00910D31"/>
    <w:rsid w:val="00910E39"/>
    <w:rsid w:val="00910EFB"/>
    <w:rsid w:val="0091105A"/>
    <w:rsid w:val="009110B9"/>
    <w:rsid w:val="00911217"/>
    <w:rsid w:val="00911231"/>
    <w:rsid w:val="00911311"/>
    <w:rsid w:val="00911362"/>
    <w:rsid w:val="00911385"/>
    <w:rsid w:val="009113AB"/>
    <w:rsid w:val="009113CB"/>
    <w:rsid w:val="00911403"/>
    <w:rsid w:val="00911442"/>
    <w:rsid w:val="00911528"/>
    <w:rsid w:val="009115F2"/>
    <w:rsid w:val="009115FB"/>
    <w:rsid w:val="00911601"/>
    <w:rsid w:val="0091160E"/>
    <w:rsid w:val="00911697"/>
    <w:rsid w:val="00911726"/>
    <w:rsid w:val="009117BF"/>
    <w:rsid w:val="0091188B"/>
    <w:rsid w:val="009119BB"/>
    <w:rsid w:val="009119FF"/>
    <w:rsid w:val="00911A30"/>
    <w:rsid w:val="00911B67"/>
    <w:rsid w:val="00911C44"/>
    <w:rsid w:val="00911D08"/>
    <w:rsid w:val="00911D49"/>
    <w:rsid w:val="00911DA4"/>
    <w:rsid w:val="00911E24"/>
    <w:rsid w:val="00911E4E"/>
    <w:rsid w:val="00911F42"/>
    <w:rsid w:val="00911FF4"/>
    <w:rsid w:val="0091203F"/>
    <w:rsid w:val="0091219B"/>
    <w:rsid w:val="009121B5"/>
    <w:rsid w:val="0091226A"/>
    <w:rsid w:val="00912303"/>
    <w:rsid w:val="00912353"/>
    <w:rsid w:val="00912603"/>
    <w:rsid w:val="00912690"/>
    <w:rsid w:val="00912739"/>
    <w:rsid w:val="0091279F"/>
    <w:rsid w:val="009127DD"/>
    <w:rsid w:val="0091286A"/>
    <w:rsid w:val="0091296F"/>
    <w:rsid w:val="00912976"/>
    <w:rsid w:val="009129E1"/>
    <w:rsid w:val="00912A4D"/>
    <w:rsid w:val="00912A53"/>
    <w:rsid w:val="00912AB8"/>
    <w:rsid w:val="00912AD5"/>
    <w:rsid w:val="00912B91"/>
    <w:rsid w:val="00912BB6"/>
    <w:rsid w:val="00912D17"/>
    <w:rsid w:val="00912F4F"/>
    <w:rsid w:val="0091303F"/>
    <w:rsid w:val="00913054"/>
    <w:rsid w:val="0091309E"/>
    <w:rsid w:val="009130D3"/>
    <w:rsid w:val="00913151"/>
    <w:rsid w:val="009131D3"/>
    <w:rsid w:val="009132D7"/>
    <w:rsid w:val="009133A0"/>
    <w:rsid w:val="009133C1"/>
    <w:rsid w:val="009133E0"/>
    <w:rsid w:val="009134AF"/>
    <w:rsid w:val="009134D8"/>
    <w:rsid w:val="0091354A"/>
    <w:rsid w:val="00913643"/>
    <w:rsid w:val="0091365B"/>
    <w:rsid w:val="00913770"/>
    <w:rsid w:val="009137AA"/>
    <w:rsid w:val="009137C2"/>
    <w:rsid w:val="009137CF"/>
    <w:rsid w:val="009137F6"/>
    <w:rsid w:val="009138D6"/>
    <w:rsid w:val="009138DA"/>
    <w:rsid w:val="009138F2"/>
    <w:rsid w:val="0091394F"/>
    <w:rsid w:val="009139C7"/>
    <w:rsid w:val="00913B06"/>
    <w:rsid w:val="00913B6C"/>
    <w:rsid w:val="00913B9D"/>
    <w:rsid w:val="00913C77"/>
    <w:rsid w:val="00913E59"/>
    <w:rsid w:val="00913F83"/>
    <w:rsid w:val="0091411C"/>
    <w:rsid w:val="009141AC"/>
    <w:rsid w:val="00914264"/>
    <w:rsid w:val="009143C0"/>
    <w:rsid w:val="0091441F"/>
    <w:rsid w:val="00914425"/>
    <w:rsid w:val="009145E0"/>
    <w:rsid w:val="0091461B"/>
    <w:rsid w:val="009146E6"/>
    <w:rsid w:val="00914730"/>
    <w:rsid w:val="009147FC"/>
    <w:rsid w:val="00914811"/>
    <w:rsid w:val="0091486F"/>
    <w:rsid w:val="0091491C"/>
    <w:rsid w:val="009149A5"/>
    <w:rsid w:val="00914B42"/>
    <w:rsid w:val="00914BB3"/>
    <w:rsid w:val="00914C29"/>
    <w:rsid w:val="00914C3B"/>
    <w:rsid w:val="00914C9A"/>
    <w:rsid w:val="00914E2F"/>
    <w:rsid w:val="00914EB3"/>
    <w:rsid w:val="00914F0C"/>
    <w:rsid w:val="00915035"/>
    <w:rsid w:val="009155E8"/>
    <w:rsid w:val="00915602"/>
    <w:rsid w:val="00915641"/>
    <w:rsid w:val="0091564E"/>
    <w:rsid w:val="0091578E"/>
    <w:rsid w:val="009157CE"/>
    <w:rsid w:val="00915926"/>
    <w:rsid w:val="00915A03"/>
    <w:rsid w:val="00915BBA"/>
    <w:rsid w:val="00915BEF"/>
    <w:rsid w:val="00915CFF"/>
    <w:rsid w:val="00915D20"/>
    <w:rsid w:val="00915D35"/>
    <w:rsid w:val="00915F7A"/>
    <w:rsid w:val="00915FD7"/>
    <w:rsid w:val="00916090"/>
    <w:rsid w:val="00916092"/>
    <w:rsid w:val="0091628E"/>
    <w:rsid w:val="009162BC"/>
    <w:rsid w:val="009162CD"/>
    <w:rsid w:val="00916417"/>
    <w:rsid w:val="009164F5"/>
    <w:rsid w:val="0091657A"/>
    <w:rsid w:val="0091657C"/>
    <w:rsid w:val="0091666E"/>
    <w:rsid w:val="009166E8"/>
    <w:rsid w:val="00916815"/>
    <w:rsid w:val="00916911"/>
    <w:rsid w:val="00916B6E"/>
    <w:rsid w:val="00916BC0"/>
    <w:rsid w:val="00916C63"/>
    <w:rsid w:val="00916E2A"/>
    <w:rsid w:val="00916E69"/>
    <w:rsid w:val="00916F2C"/>
    <w:rsid w:val="00916FEA"/>
    <w:rsid w:val="0091702E"/>
    <w:rsid w:val="009170ED"/>
    <w:rsid w:val="0091713B"/>
    <w:rsid w:val="0091716B"/>
    <w:rsid w:val="00917325"/>
    <w:rsid w:val="009173A5"/>
    <w:rsid w:val="009173C8"/>
    <w:rsid w:val="009173D5"/>
    <w:rsid w:val="0091754C"/>
    <w:rsid w:val="009175E2"/>
    <w:rsid w:val="009176E4"/>
    <w:rsid w:val="00917779"/>
    <w:rsid w:val="0091796A"/>
    <w:rsid w:val="009179B4"/>
    <w:rsid w:val="00917AC2"/>
    <w:rsid w:val="00917B03"/>
    <w:rsid w:val="00917C7C"/>
    <w:rsid w:val="00917D1E"/>
    <w:rsid w:val="00917D27"/>
    <w:rsid w:val="00917D47"/>
    <w:rsid w:val="00917F89"/>
    <w:rsid w:val="00920118"/>
    <w:rsid w:val="0092013C"/>
    <w:rsid w:val="00920188"/>
    <w:rsid w:val="009201AD"/>
    <w:rsid w:val="0092048D"/>
    <w:rsid w:val="0092050E"/>
    <w:rsid w:val="0092066B"/>
    <w:rsid w:val="009206B1"/>
    <w:rsid w:val="00920708"/>
    <w:rsid w:val="0092096B"/>
    <w:rsid w:val="009209CC"/>
    <w:rsid w:val="009209F6"/>
    <w:rsid w:val="00920AC3"/>
    <w:rsid w:val="00920B90"/>
    <w:rsid w:val="00920C29"/>
    <w:rsid w:val="00920E5C"/>
    <w:rsid w:val="00920E6E"/>
    <w:rsid w:val="00920E6F"/>
    <w:rsid w:val="00920FC7"/>
    <w:rsid w:val="00921003"/>
    <w:rsid w:val="009210C5"/>
    <w:rsid w:val="00921111"/>
    <w:rsid w:val="00921188"/>
    <w:rsid w:val="009212B3"/>
    <w:rsid w:val="009212D2"/>
    <w:rsid w:val="0092131E"/>
    <w:rsid w:val="00921502"/>
    <w:rsid w:val="00921505"/>
    <w:rsid w:val="0092158C"/>
    <w:rsid w:val="0092180F"/>
    <w:rsid w:val="009218FE"/>
    <w:rsid w:val="00921960"/>
    <w:rsid w:val="00921983"/>
    <w:rsid w:val="00921A3B"/>
    <w:rsid w:val="00921AB4"/>
    <w:rsid w:val="00921B90"/>
    <w:rsid w:val="00921CBC"/>
    <w:rsid w:val="00921CBD"/>
    <w:rsid w:val="00921CBE"/>
    <w:rsid w:val="00921CC5"/>
    <w:rsid w:val="00921D1A"/>
    <w:rsid w:val="00921D9B"/>
    <w:rsid w:val="00921ED0"/>
    <w:rsid w:val="00921F81"/>
    <w:rsid w:val="00921FFC"/>
    <w:rsid w:val="0092208F"/>
    <w:rsid w:val="009222FE"/>
    <w:rsid w:val="00922361"/>
    <w:rsid w:val="009223A5"/>
    <w:rsid w:val="009223D8"/>
    <w:rsid w:val="009225E7"/>
    <w:rsid w:val="00922616"/>
    <w:rsid w:val="00922652"/>
    <w:rsid w:val="0092284E"/>
    <w:rsid w:val="00922A82"/>
    <w:rsid w:val="00922C35"/>
    <w:rsid w:val="00922DC4"/>
    <w:rsid w:val="00922F4A"/>
    <w:rsid w:val="00922F8E"/>
    <w:rsid w:val="00922FA0"/>
    <w:rsid w:val="00922FED"/>
    <w:rsid w:val="0092301F"/>
    <w:rsid w:val="00923101"/>
    <w:rsid w:val="0092318F"/>
    <w:rsid w:val="00923190"/>
    <w:rsid w:val="00923287"/>
    <w:rsid w:val="009232BB"/>
    <w:rsid w:val="009232DE"/>
    <w:rsid w:val="009233A4"/>
    <w:rsid w:val="009233B6"/>
    <w:rsid w:val="009233FB"/>
    <w:rsid w:val="00923453"/>
    <w:rsid w:val="00923533"/>
    <w:rsid w:val="0092358A"/>
    <w:rsid w:val="009235A0"/>
    <w:rsid w:val="00923622"/>
    <w:rsid w:val="009237D2"/>
    <w:rsid w:val="00923825"/>
    <w:rsid w:val="0092385C"/>
    <w:rsid w:val="009238E5"/>
    <w:rsid w:val="00923980"/>
    <w:rsid w:val="00923A7D"/>
    <w:rsid w:val="00923B3D"/>
    <w:rsid w:val="00923CFC"/>
    <w:rsid w:val="00923DA6"/>
    <w:rsid w:val="00923EC7"/>
    <w:rsid w:val="00923F17"/>
    <w:rsid w:val="00923FE1"/>
    <w:rsid w:val="0092409B"/>
    <w:rsid w:val="00924110"/>
    <w:rsid w:val="00924146"/>
    <w:rsid w:val="009241E5"/>
    <w:rsid w:val="00924200"/>
    <w:rsid w:val="009242AB"/>
    <w:rsid w:val="009242DD"/>
    <w:rsid w:val="0092432E"/>
    <w:rsid w:val="00924353"/>
    <w:rsid w:val="009243FB"/>
    <w:rsid w:val="00924498"/>
    <w:rsid w:val="009244BB"/>
    <w:rsid w:val="009244D5"/>
    <w:rsid w:val="009244F8"/>
    <w:rsid w:val="00924514"/>
    <w:rsid w:val="009245C9"/>
    <w:rsid w:val="0092461D"/>
    <w:rsid w:val="0092464A"/>
    <w:rsid w:val="0092473F"/>
    <w:rsid w:val="0092488F"/>
    <w:rsid w:val="00924930"/>
    <w:rsid w:val="00924937"/>
    <w:rsid w:val="00924939"/>
    <w:rsid w:val="0092499C"/>
    <w:rsid w:val="00924E15"/>
    <w:rsid w:val="00924E9B"/>
    <w:rsid w:val="00924EA0"/>
    <w:rsid w:val="00924ECD"/>
    <w:rsid w:val="00924FAC"/>
    <w:rsid w:val="00924FB0"/>
    <w:rsid w:val="00925129"/>
    <w:rsid w:val="009251D2"/>
    <w:rsid w:val="009251D8"/>
    <w:rsid w:val="00925280"/>
    <w:rsid w:val="00925304"/>
    <w:rsid w:val="00925339"/>
    <w:rsid w:val="00925398"/>
    <w:rsid w:val="009253E2"/>
    <w:rsid w:val="00925480"/>
    <w:rsid w:val="009254C0"/>
    <w:rsid w:val="009254DA"/>
    <w:rsid w:val="0092550A"/>
    <w:rsid w:val="009256C0"/>
    <w:rsid w:val="009257EB"/>
    <w:rsid w:val="00925871"/>
    <w:rsid w:val="009258B1"/>
    <w:rsid w:val="009259A0"/>
    <w:rsid w:val="00925A06"/>
    <w:rsid w:val="00925A93"/>
    <w:rsid w:val="00925AD7"/>
    <w:rsid w:val="00925BE2"/>
    <w:rsid w:val="00925D08"/>
    <w:rsid w:val="00925D5B"/>
    <w:rsid w:val="00925EF4"/>
    <w:rsid w:val="00925F77"/>
    <w:rsid w:val="00925F91"/>
    <w:rsid w:val="009260B2"/>
    <w:rsid w:val="00926176"/>
    <w:rsid w:val="00926272"/>
    <w:rsid w:val="009262F5"/>
    <w:rsid w:val="009263DC"/>
    <w:rsid w:val="00926406"/>
    <w:rsid w:val="00926507"/>
    <w:rsid w:val="00926613"/>
    <w:rsid w:val="00926674"/>
    <w:rsid w:val="009267C5"/>
    <w:rsid w:val="009268FE"/>
    <w:rsid w:val="00926945"/>
    <w:rsid w:val="0092697F"/>
    <w:rsid w:val="00926B4E"/>
    <w:rsid w:val="00926CEE"/>
    <w:rsid w:val="00926E7B"/>
    <w:rsid w:val="00926EA9"/>
    <w:rsid w:val="00926EE2"/>
    <w:rsid w:val="00926EF5"/>
    <w:rsid w:val="00926F30"/>
    <w:rsid w:val="00926F92"/>
    <w:rsid w:val="00926FCF"/>
    <w:rsid w:val="00927218"/>
    <w:rsid w:val="009272CA"/>
    <w:rsid w:val="009272D3"/>
    <w:rsid w:val="009272F5"/>
    <w:rsid w:val="009273DD"/>
    <w:rsid w:val="0092756E"/>
    <w:rsid w:val="0092772A"/>
    <w:rsid w:val="00927768"/>
    <w:rsid w:val="0092787F"/>
    <w:rsid w:val="00927965"/>
    <w:rsid w:val="00927A3A"/>
    <w:rsid w:val="00927A3E"/>
    <w:rsid w:val="00927B2E"/>
    <w:rsid w:val="00927DEB"/>
    <w:rsid w:val="00927EE0"/>
    <w:rsid w:val="00927F46"/>
    <w:rsid w:val="00927F79"/>
    <w:rsid w:val="00927FB9"/>
    <w:rsid w:val="0093013F"/>
    <w:rsid w:val="00930233"/>
    <w:rsid w:val="009302BC"/>
    <w:rsid w:val="009302CB"/>
    <w:rsid w:val="009302FA"/>
    <w:rsid w:val="009303BB"/>
    <w:rsid w:val="00930409"/>
    <w:rsid w:val="00930458"/>
    <w:rsid w:val="00930532"/>
    <w:rsid w:val="0093056F"/>
    <w:rsid w:val="009305F4"/>
    <w:rsid w:val="0093067B"/>
    <w:rsid w:val="009307CC"/>
    <w:rsid w:val="0093091E"/>
    <w:rsid w:val="009309E3"/>
    <w:rsid w:val="00930A7B"/>
    <w:rsid w:val="00930B55"/>
    <w:rsid w:val="00930B92"/>
    <w:rsid w:val="00930C87"/>
    <w:rsid w:val="00930D58"/>
    <w:rsid w:val="00930D61"/>
    <w:rsid w:val="00930D6A"/>
    <w:rsid w:val="00930DB9"/>
    <w:rsid w:val="00930F94"/>
    <w:rsid w:val="00931094"/>
    <w:rsid w:val="009310F1"/>
    <w:rsid w:val="00931100"/>
    <w:rsid w:val="009311B8"/>
    <w:rsid w:val="009311DC"/>
    <w:rsid w:val="009311F3"/>
    <w:rsid w:val="0093125A"/>
    <w:rsid w:val="00931262"/>
    <w:rsid w:val="009312C4"/>
    <w:rsid w:val="009312ED"/>
    <w:rsid w:val="00931363"/>
    <w:rsid w:val="009314E4"/>
    <w:rsid w:val="009314FF"/>
    <w:rsid w:val="009315D4"/>
    <w:rsid w:val="00931684"/>
    <w:rsid w:val="00931767"/>
    <w:rsid w:val="0093185B"/>
    <w:rsid w:val="009318B6"/>
    <w:rsid w:val="009319FA"/>
    <w:rsid w:val="00931A9A"/>
    <w:rsid w:val="00931AC0"/>
    <w:rsid w:val="00931DD8"/>
    <w:rsid w:val="00931F01"/>
    <w:rsid w:val="00931F0A"/>
    <w:rsid w:val="00931F62"/>
    <w:rsid w:val="0093203A"/>
    <w:rsid w:val="009322C4"/>
    <w:rsid w:val="0093230E"/>
    <w:rsid w:val="0093251C"/>
    <w:rsid w:val="009325FF"/>
    <w:rsid w:val="0093279C"/>
    <w:rsid w:val="00932831"/>
    <w:rsid w:val="00932862"/>
    <w:rsid w:val="00932931"/>
    <w:rsid w:val="0093295C"/>
    <w:rsid w:val="00932969"/>
    <w:rsid w:val="009329AE"/>
    <w:rsid w:val="00932CD7"/>
    <w:rsid w:val="00932CDD"/>
    <w:rsid w:val="00932D95"/>
    <w:rsid w:val="00932DB7"/>
    <w:rsid w:val="00932F13"/>
    <w:rsid w:val="00933017"/>
    <w:rsid w:val="00933102"/>
    <w:rsid w:val="00933148"/>
    <w:rsid w:val="00933177"/>
    <w:rsid w:val="009331C1"/>
    <w:rsid w:val="009331C2"/>
    <w:rsid w:val="0093339F"/>
    <w:rsid w:val="009333D4"/>
    <w:rsid w:val="00933470"/>
    <w:rsid w:val="009334A6"/>
    <w:rsid w:val="009335B5"/>
    <w:rsid w:val="009335FF"/>
    <w:rsid w:val="009338B0"/>
    <w:rsid w:val="009338F2"/>
    <w:rsid w:val="0093390C"/>
    <w:rsid w:val="00933911"/>
    <w:rsid w:val="00933941"/>
    <w:rsid w:val="00933B1C"/>
    <w:rsid w:val="00933B92"/>
    <w:rsid w:val="00933C62"/>
    <w:rsid w:val="00933FD9"/>
    <w:rsid w:val="00934045"/>
    <w:rsid w:val="00934143"/>
    <w:rsid w:val="009341E5"/>
    <w:rsid w:val="0093423C"/>
    <w:rsid w:val="0093423F"/>
    <w:rsid w:val="009342B0"/>
    <w:rsid w:val="00934344"/>
    <w:rsid w:val="00934351"/>
    <w:rsid w:val="009344F3"/>
    <w:rsid w:val="00934531"/>
    <w:rsid w:val="00934580"/>
    <w:rsid w:val="00934777"/>
    <w:rsid w:val="0093481D"/>
    <w:rsid w:val="0093482D"/>
    <w:rsid w:val="009348B5"/>
    <w:rsid w:val="009348BC"/>
    <w:rsid w:val="00934916"/>
    <w:rsid w:val="00934B4F"/>
    <w:rsid w:val="00934C41"/>
    <w:rsid w:val="00934EB7"/>
    <w:rsid w:val="00934EBB"/>
    <w:rsid w:val="00934F73"/>
    <w:rsid w:val="009350CC"/>
    <w:rsid w:val="00935141"/>
    <w:rsid w:val="00935201"/>
    <w:rsid w:val="00935213"/>
    <w:rsid w:val="00935317"/>
    <w:rsid w:val="00935342"/>
    <w:rsid w:val="00935590"/>
    <w:rsid w:val="0093568A"/>
    <w:rsid w:val="00935980"/>
    <w:rsid w:val="00935985"/>
    <w:rsid w:val="00935A7B"/>
    <w:rsid w:val="00935B9B"/>
    <w:rsid w:val="00935BCF"/>
    <w:rsid w:val="00935C2E"/>
    <w:rsid w:val="00935CDD"/>
    <w:rsid w:val="00935DF3"/>
    <w:rsid w:val="00935E7D"/>
    <w:rsid w:val="00935EF6"/>
    <w:rsid w:val="00935FB1"/>
    <w:rsid w:val="00935FF7"/>
    <w:rsid w:val="009360E5"/>
    <w:rsid w:val="00936123"/>
    <w:rsid w:val="00936133"/>
    <w:rsid w:val="0093613E"/>
    <w:rsid w:val="0093617A"/>
    <w:rsid w:val="0093623F"/>
    <w:rsid w:val="00936310"/>
    <w:rsid w:val="009363BF"/>
    <w:rsid w:val="00936406"/>
    <w:rsid w:val="00936436"/>
    <w:rsid w:val="009366B0"/>
    <w:rsid w:val="0093671B"/>
    <w:rsid w:val="00936987"/>
    <w:rsid w:val="009369A6"/>
    <w:rsid w:val="00936A2D"/>
    <w:rsid w:val="00936B4B"/>
    <w:rsid w:val="00936C0F"/>
    <w:rsid w:val="00936CA4"/>
    <w:rsid w:val="00936CC7"/>
    <w:rsid w:val="00936DD6"/>
    <w:rsid w:val="00936F05"/>
    <w:rsid w:val="00936F88"/>
    <w:rsid w:val="00937091"/>
    <w:rsid w:val="0093718C"/>
    <w:rsid w:val="0093722D"/>
    <w:rsid w:val="0093724E"/>
    <w:rsid w:val="00937509"/>
    <w:rsid w:val="0093759E"/>
    <w:rsid w:val="009375C4"/>
    <w:rsid w:val="00937658"/>
    <w:rsid w:val="0093770F"/>
    <w:rsid w:val="00937776"/>
    <w:rsid w:val="009378EB"/>
    <w:rsid w:val="00937978"/>
    <w:rsid w:val="00937A97"/>
    <w:rsid w:val="00937B32"/>
    <w:rsid w:val="00937D44"/>
    <w:rsid w:val="00937DAA"/>
    <w:rsid w:val="00937DB8"/>
    <w:rsid w:val="00937E04"/>
    <w:rsid w:val="00937E0E"/>
    <w:rsid w:val="00937E67"/>
    <w:rsid w:val="00940145"/>
    <w:rsid w:val="0094021E"/>
    <w:rsid w:val="009402C3"/>
    <w:rsid w:val="009402F1"/>
    <w:rsid w:val="009402FA"/>
    <w:rsid w:val="009402FC"/>
    <w:rsid w:val="00940458"/>
    <w:rsid w:val="009404A9"/>
    <w:rsid w:val="009404AE"/>
    <w:rsid w:val="009404E0"/>
    <w:rsid w:val="009404EC"/>
    <w:rsid w:val="00940608"/>
    <w:rsid w:val="00940665"/>
    <w:rsid w:val="0094075D"/>
    <w:rsid w:val="00940768"/>
    <w:rsid w:val="009408A9"/>
    <w:rsid w:val="00940BB8"/>
    <w:rsid w:val="00940EAC"/>
    <w:rsid w:val="00940FEC"/>
    <w:rsid w:val="00941157"/>
    <w:rsid w:val="00941191"/>
    <w:rsid w:val="0094119E"/>
    <w:rsid w:val="0094123C"/>
    <w:rsid w:val="00941265"/>
    <w:rsid w:val="009412AB"/>
    <w:rsid w:val="009412AD"/>
    <w:rsid w:val="00941300"/>
    <w:rsid w:val="0094140E"/>
    <w:rsid w:val="00941424"/>
    <w:rsid w:val="00941B35"/>
    <w:rsid w:val="00941B4D"/>
    <w:rsid w:val="00941BD2"/>
    <w:rsid w:val="00941C18"/>
    <w:rsid w:val="00941DA4"/>
    <w:rsid w:val="00941EF3"/>
    <w:rsid w:val="00941F06"/>
    <w:rsid w:val="00941F34"/>
    <w:rsid w:val="00942101"/>
    <w:rsid w:val="0094216A"/>
    <w:rsid w:val="00942392"/>
    <w:rsid w:val="00942433"/>
    <w:rsid w:val="00942498"/>
    <w:rsid w:val="009424BC"/>
    <w:rsid w:val="009424DA"/>
    <w:rsid w:val="0094251A"/>
    <w:rsid w:val="00942530"/>
    <w:rsid w:val="00942752"/>
    <w:rsid w:val="009427A4"/>
    <w:rsid w:val="009428CB"/>
    <w:rsid w:val="00942A95"/>
    <w:rsid w:val="00942AB7"/>
    <w:rsid w:val="00942BB1"/>
    <w:rsid w:val="00942CD2"/>
    <w:rsid w:val="00942EDF"/>
    <w:rsid w:val="00942F6E"/>
    <w:rsid w:val="00942F9A"/>
    <w:rsid w:val="00943013"/>
    <w:rsid w:val="0094309B"/>
    <w:rsid w:val="0094318D"/>
    <w:rsid w:val="009431A1"/>
    <w:rsid w:val="009431AD"/>
    <w:rsid w:val="00943222"/>
    <w:rsid w:val="009432E1"/>
    <w:rsid w:val="009433BD"/>
    <w:rsid w:val="00943423"/>
    <w:rsid w:val="00943762"/>
    <w:rsid w:val="00943890"/>
    <w:rsid w:val="009438D1"/>
    <w:rsid w:val="00943ADE"/>
    <w:rsid w:val="00943AEA"/>
    <w:rsid w:val="00943B13"/>
    <w:rsid w:val="00943D14"/>
    <w:rsid w:val="00943D1A"/>
    <w:rsid w:val="00943DB8"/>
    <w:rsid w:val="00943E3F"/>
    <w:rsid w:val="00943EC8"/>
    <w:rsid w:val="00943EC9"/>
    <w:rsid w:val="00943ECC"/>
    <w:rsid w:val="00943EDC"/>
    <w:rsid w:val="00943F62"/>
    <w:rsid w:val="00943FF3"/>
    <w:rsid w:val="0094408E"/>
    <w:rsid w:val="009441A8"/>
    <w:rsid w:val="009443EC"/>
    <w:rsid w:val="00944404"/>
    <w:rsid w:val="009444D8"/>
    <w:rsid w:val="009446BA"/>
    <w:rsid w:val="00944703"/>
    <w:rsid w:val="0094477B"/>
    <w:rsid w:val="0094482D"/>
    <w:rsid w:val="00944878"/>
    <w:rsid w:val="00944896"/>
    <w:rsid w:val="009448CE"/>
    <w:rsid w:val="009448D5"/>
    <w:rsid w:val="00944927"/>
    <w:rsid w:val="0094493B"/>
    <w:rsid w:val="00944950"/>
    <w:rsid w:val="00944D8A"/>
    <w:rsid w:val="00944D91"/>
    <w:rsid w:val="00944DD9"/>
    <w:rsid w:val="00944EBC"/>
    <w:rsid w:val="009450E5"/>
    <w:rsid w:val="009452F1"/>
    <w:rsid w:val="009452FF"/>
    <w:rsid w:val="0094533F"/>
    <w:rsid w:val="009453DD"/>
    <w:rsid w:val="009455B3"/>
    <w:rsid w:val="009456AB"/>
    <w:rsid w:val="00945761"/>
    <w:rsid w:val="009458FC"/>
    <w:rsid w:val="00945984"/>
    <w:rsid w:val="00945AE1"/>
    <w:rsid w:val="00945AFF"/>
    <w:rsid w:val="00945B84"/>
    <w:rsid w:val="00945BC4"/>
    <w:rsid w:val="00945CA8"/>
    <w:rsid w:val="00945CBD"/>
    <w:rsid w:val="00945CDE"/>
    <w:rsid w:val="00945D67"/>
    <w:rsid w:val="00945D68"/>
    <w:rsid w:val="00945E02"/>
    <w:rsid w:val="00945E87"/>
    <w:rsid w:val="00945F55"/>
    <w:rsid w:val="00946055"/>
    <w:rsid w:val="009460C1"/>
    <w:rsid w:val="009460E6"/>
    <w:rsid w:val="0094620B"/>
    <w:rsid w:val="00946268"/>
    <w:rsid w:val="00946412"/>
    <w:rsid w:val="00946447"/>
    <w:rsid w:val="00946551"/>
    <w:rsid w:val="009465AB"/>
    <w:rsid w:val="00946701"/>
    <w:rsid w:val="0094672B"/>
    <w:rsid w:val="00946793"/>
    <w:rsid w:val="009467B3"/>
    <w:rsid w:val="0094684A"/>
    <w:rsid w:val="00946946"/>
    <w:rsid w:val="0094699E"/>
    <w:rsid w:val="00946F53"/>
    <w:rsid w:val="00946F55"/>
    <w:rsid w:val="00946F93"/>
    <w:rsid w:val="00946FE7"/>
    <w:rsid w:val="00947006"/>
    <w:rsid w:val="00947020"/>
    <w:rsid w:val="0094709C"/>
    <w:rsid w:val="00947366"/>
    <w:rsid w:val="00947378"/>
    <w:rsid w:val="0094738A"/>
    <w:rsid w:val="0094738D"/>
    <w:rsid w:val="00947517"/>
    <w:rsid w:val="0094768B"/>
    <w:rsid w:val="0094774C"/>
    <w:rsid w:val="009477A5"/>
    <w:rsid w:val="009477C1"/>
    <w:rsid w:val="00947811"/>
    <w:rsid w:val="00947867"/>
    <w:rsid w:val="00947A14"/>
    <w:rsid w:val="00947B01"/>
    <w:rsid w:val="00947D3B"/>
    <w:rsid w:val="00947D5B"/>
    <w:rsid w:val="00947D63"/>
    <w:rsid w:val="00947D8A"/>
    <w:rsid w:val="00947DAA"/>
    <w:rsid w:val="00947E4B"/>
    <w:rsid w:val="0094B6B0"/>
    <w:rsid w:val="0095002C"/>
    <w:rsid w:val="009500DA"/>
    <w:rsid w:val="00950166"/>
    <w:rsid w:val="00950216"/>
    <w:rsid w:val="009502FE"/>
    <w:rsid w:val="00950331"/>
    <w:rsid w:val="00950390"/>
    <w:rsid w:val="009503A9"/>
    <w:rsid w:val="009503D5"/>
    <w:rsid w:val="0095045C"/>
    <w:rsid w:val="00950501"/>
    <w:rsid w:val="00950595"/>
    <w:rsid w:val="009506DE"/>
    <w:rsid w:val="009506F4"/>
    <w:rsid w:val="009507D8"/>
    <w:rsid w:val="0095085B"/>
    <w:rsid w:val="009508C7"/>
    <w:rsid w:val="009508CA"/>
    <w:rsid w:val="0095091E"/>
    <w:rsid w:val="0095096E"/>
    <w:rsid w:val="009509C5"/>
    <w:rsid w:val="009509F5"/>
    <w:rsid w:val="00950AA7"/>
    <w:rsid w:val="00950B3A"/>
    <w:rsid w:val="00950D05"/>
    <w:rsid w:val="00951044"/>
    <w:rsid w:val="009510B5"/>
    <w:rsid w:val="009510C5"/>
    <w:rsid w:val="009511D6"/>
    <w:rsid w:val="00951317"/>
    <w:rsid w:val="0095134A"/>
    <w:rsid w:val="009513DA"/>
    <w:rsid w:val="00951425"/>
    <w:rsid w:val="00951716"/>
    <w:rsid w:val="00951783"/>
    <w:rsid w:val="0095182A"/>
    <w:rsid w:val="009518A0"/>
    <w:rsid w:val="009518A3"/>
    <w:rsid w:val="009518AC"/>
    <w:rsid w:val="0095190F"/>
    <w:rsid w:val="00951980"/>
    <w:rsid w:val="009519DE"/>
    <w:rsid w:val="00951A93"/>
    <w:rsid w:val="00951AD3"/>
    <w:rsid w:val="00951B78"/>
    <w:rsid w:val="00951ECF"/>
    <w:rsid w:val="00951EE6"/>
    <w:rsid w:val="00951F58"/>
    <w:rsid w:val="00951F70"/>
    <w:rsid w:val="00951FA9"/>
    <w:rsid w:val="009521AD"/>
    <w:rsid w:val="0095232A"/>
    <w:rsid w:val="009523BF"/>
    <w:rsid w:val="00952457"/>
    <w:rsid w:val="0095247E"/>
    <w:rsid w:val="009524BE"/>
    <w:rsid w:val="009524FA"/>
    <w:rsid w:val="0095257D"/>
    <w:rsid w:val="00952698"/>
    <w:rsid w:val="0095277E"/>
    <w:rsid w:val="009527F6"/>
    <w:rsid w:val="00952986"/>
    <w:rsid w:val="00952BDC"/>
    <w:rsid w:val="00952C87"/>
    <w:rsid w:val="00952CBA"/>
    <w:rsid w:val="00952CDF"/>
    <w:rsid w:val="00952DA3"/>
    <w:rsid w:val="00952DAA"/>
    <w:rsid w:val="00952DDA"/>
    <w:rsid w:val="00952E29"/>
    <w:rsid w:val="009530B9"/>
    <w:rsid w:val="009530DD"/>
    <w:rsid w:val="009531A1"/>
    <w:rsid w:val="009531D6"/>
    <w:rsid w:val="00953203"/>
    <w:rsid w:val="0095327B"/>
    <w:rsid w:val="009533A9"/>
    <w:rsid w:val="00953603"/>
    <w:rsid w:val="00953696"/>
    <w:rsid w:val="0095369A"/>
    <w:rsid w:val="009536D5"/>
    <w:rsid w:val="00953816"/>
    <w:rsid w:val="00953874"/>
    <w:rsid w:val="009539DF"/>
    <w:rsid w:val="00953B1F"/>
    <w:rsid w:val="00953B6D"/>
    <w:rsid w:val="00953C31"/>
    <w:rsid w:val="00953CF9"/>
    <w:rsid w:val="00953D76"/>
    <w:rsid w:val="00953DD8"/>
    <w:rsid w:val="00953E16"/>
    <w:rsid w:val="00953F7B"/>
    <w:rsid w:val="00953FB8"/>
    <w:rsid w:val="00954156"/>
    <w:rsid w:val="009541C7"/>
    <w:rsid w:val="00954301"/>
    <w:rsid w:val="009543AE"/>
    <w:rsid w:val="009544A2"/>
    <w:rsid w:val="009547CF"/>
    <w:rsid w:val="0095482E"/>
    <w:rsid w:val="0095489B"/>
    <w:rsid w:val="009549C1"/>
    <w:rsid w:val="00954AAE"/>
    <w:rsid w:val="00954B7D"/>
    <w:rsid w:val="00954E7E"/>
    <w:rsid w:val="00954F33"/>
    <w:rsid w:val="0095508E"/>
    <w:rsid w:val="009550AF"/>
    <w:rsid w:val="009551E0"/>
    <w:rsid w:val="00955268"/>
    <w:rsid w:val="00955341"/>
    <w:rsid w:val="009553B7"/>
    <w:rsid w:val="009553B9"/>
    <w:rsid w:val="009556A1"/>
    <w:rsid w:val="009557E7"/>
    <w:rsid w:val="00955841"/>
    <w:rsid w:val="00955865"/>
    <w:rsid w:val="00955951"/>
    <w:rsid w:val="0095597D"/>
    <w:rsid w:val="00955A8B"/>
    <w:rsid w:val="00955B36"/>
    <w:rsid w:val="00955BA2"/>
    <w:rsid w:val="00955C6C"/>
    <w:rsid w:val="00955CEA"/>
    <w:rsid w:val="00955CEE"/>
    <w:rsid w:val="00955FC5"/>
    <w:rsid w:val="00956011"/>
    <w:rsid w:val="0095624D"/>
    <w:rsid w:val="00956384"/>
    <w:rsid w:val="0095638A"/>
    <w:rsid w:val="009564E8"/>
    <w:rsid w:val="0095667B"/>
    <w:rsid w:val="009566C3"/>
    <w:rsid w:val="009566CD"/>
    <w:rsid w:val="009567BF"/>
    <w:rsid w:val="009567E5"/>
    <w:rsid w:val="00956A2A"/>
    <w:rsid w:val="00956AF8"/>
    <w:rsid w:val="00956B96"/>
    <w:rsid w:val="00956D1F"/>
    <w:rsid w:val="00956E19"/>
    <w:rsid w:val="00956E8B"/>
    <w:rsid w:val="00956EFE"/>
    <w:rsid w:val="00956F2B"/>
    <w:rsid w:val="00956F89"/>
    <w:rsid w:val="0095707B"/>
    <w:rsid w:val="0095723E"/>
    <w:rsid w:val="0095736D"/>
    <w:rsid w:val="009573EF"/>
    <w:rsid w:val="00957452"/>
    <w:rsid w:val="0095756C"/>
    <w:rsid w:val="009575E7"/>
    <w:rsid w:val="009577DC"/>
    <w:rsid w:val="009578C7"/>
    <w:rsid w:val="00957956"/>
    <w:rsid w:val="009579F5"/>
    <w:rsid w:val="00957A34"/>
    <w:rsid w:val="00957ACB"/>
    <w:rsid w:val="00957ADD"/>
    <w:rsid w:val="00957BD1"/>
    <w:rsid w:val="00957BE0"/>
    <w:rsid w:val="00957C23"/>
    <w:rsid w:val="00957E4C"/>
    <w:rsid w:val="00957E80"/>
    <w:rsid w:val="00957ED4"/>
    <w:rsid w:val="00957EFB"/>
    <w:rsid w:val="009601C9"/>
    <w:rsid w:val="0096029F"/>
    <w:rsid w:val="00960305"/>
    <w:rsid w:val="009603AF"/>
    <w:rsid w:val="009604F2"/>
    <w:rsid w:val="00960576"/>
    <w:rsid w:val="0096076D"/>
    <w:rsid w:val="009607D2"/>
    <w:rsid w:val="00960827"/>
    <w:rsid w:val="009608A0"/>
    <w:rsid w:val="009609E7"/>
    <w:rsid w:val="00960B00"/>
    <w:rsid w:val="00960B82"/>
    <w:rsid w:val="00960EE3"/>
    <w:rsid w:val="00960FE8"/>
    <w:rsid w:val="00961002"/>
    <w:rsid w:val="009610BB"/>
    <w:rsid w:val="0096125D"/>
    <w:rsid w:val="009612E5"/>
    <w:rsid w:val="0096135B"/>
    <w:rsid w:val="00961445"/>
    <w:rsid w:val="00961447"/>
    <w:rsid w:val="0096156E"/>
    <w:rsid w:val="00961649"/>
    <w:rsid w:val="009616E3"/>
    <w:rsid w:val="00961748"/>
    <w:rsid w:val="00961775"/>
    <w:rsid w:val="009617C7"/>
    <w:rsid w:val="00961820"/>
    <w:rsid w:val="0096191F"/>
    <w:rsid w:val="0096195B"/>
    <w:rsid w:val="00961AA0"/>
    <w:rsid w:val="00961AD1"/>
    <w:rsid w:val="00961B62"/>
    <w:rsid w:val="00961BAA"/>
    <w:rsid w:val="00961BBF"/>
    <w:rsid w:val="00961C73"/>
    <w:rsid w:val="00961D6C"/>
    <w:rsid w:val="00961D78"/>
    <w:rsid w:val="00961EB8"/>
    <w:rsid w:val="00961F67"/>
    <w:rsid w:val="00962000"/>
    <w:rsid w:val="0096203C"/>
    <w:rsid w:val="00962074"/>
    <w:rsid w:val="0096220A"/>
    <w:rsid w:val="00962360"/>
    <w:rsid w:val="009623E5"/>
    <w:rsid w:val="00962445"/>
    <w:rsid w:val="0096256A"/>
    <w:rsid w:val="00962618"/>
    <w:rsid w:val="009627A4"/>
    <w:rsid w:val="0096283C"/>
    <w:rsid w:val="009629B1"/>
    <w:rsid w:val="00962A32"/>
    <w:rsid w:val="00962BE6"/>
    <w:rsid w:val="00962C35"/>
    <w:rsid w:val="00962CDF"/>
    <w:rsid w:val="00962D09"/>
    <w:rsid w:val="00962E6E"/>
    <w:rsid w:val="0096300C"/>
    <w:rsid w:val="0096312B"/>
    <w:rsid w:val="0096315C"/>
    <w:rsid w:val="00963164"/>
    <w:rsid w:val="009632F7"/>
    <w:rsid w:val="00963315"/>
    <w:rsid w:val="0096332B"/>
    <w:rsid w:val="0096343A"/>
    <w:rsid w:val="0096346D"/>
    <w:rsid w:val="00963511"/>
    <w:rsid w:val="00963548"/>
    <w:rsid w:val="00963617"/>
    <w:rsid w:val="009636D4"/>
    <w:rsid w:val="00963722"/>
    <w:rsid w:val="0096379B"/>
    <w:rsid w:val="009637C6"/>
    <w:rsid w:val="00963903"/>
    <w:rsid w:val="00963917"/>
    <w:rsid w:val="009639E6"/>
    <w:rsid w:val="009639FB"/>
    <w:rsid w:val="00963B43"/>
    <w:rsid w:val="00963B8B"/>
    <w:rsid w:val="00963C38"/>
    <w:rsid w:val="00963C3C"/>
    <w:rsid w:val="00963D3C"/>
    <w:rsid w:val="00963D8B"/>
    <w:rsid w:val="00963E0B"/>
    <w:rsid w:val="00963F57"/>
    <w:rsid w:val="00963FC4"/>
    <w:rsid w:val="0096402F"/>
    <w:rsid w:val="00964271"/>
    <w:rsid w:val="009642A5"/>
    <w:rsid w:val="009642D2"/>
    <w:rsid w:val="009642D9"/>
    <w:rsid w:val="00964301"/>
    <w:rsid w:val="00964368"/>
    <w:rsid w:val="009643AF"/>
    <w:rsid w:val="0096442F"/>
    <w:rsid w:val="009644B6"/>
    <w:rsid w:val="00964582"/>
    <w:rsid w:val="009645FA"/>
    <w:rsid w:val="0096464E"/>
    <w:rsid w:val="0096466C"/>
    <w:rsid w:val="009646E7"/>
    <w:rsid w:val="00964867"/>
    <w:rsid w:val="0096487B"/>
    <w:rsid w:val="0096498B"/>
    <w:rsid w:val="00964ACB"/>
    <w:rsid w:val="00964B93"/>
    <w:rsid w:val="00964BC1"/>
    <w:rsid w:val="00964C17"/>
    <w:rsid w:val="00964D50"/>
    <w:rsid w:val="00964DCF"/>
    <w:rsid w:val="00964E96"/>
    <w:rsid w:val="00965026"/>
    <w:rsid w:val="0096506A"/>
    <w:rsid w:val="009650B2"/>
    <w:rsid w:val="009650CA"/>
    <w:rsid w:val="0096515C"/>
    <w:rsid w:val="0096516A"/>
    <w:rsid w:val="009651D3"/>
    <w:rsid w:val="00965324"/>
    <w:rsid w:val="0096536E"/>
    <w:rsid w:val="00965496"/>
    <w:rsid w:val="009654A8"/>
    <w:rsid w:val="0096556E"/>
    <w:rsid w:val="0096561D"/>
    <w:rsid w:val="00965769"/>
    <w:rsid w:val="009657F4"/>
    <w:rsid w:val="0096583D"/>
    <w:rsid w:val="00965AE8"/>
    <w:rsid w:val="00965D1B"/>
    <w:rsid w:val="00965DC5"/>
    <w:rsid w:val="00965E2C"/>
    <w:rsid w:val="00965E75"/>
    <w:rsid w:val="00965EAA"/>
    <w:rsid w:val="00965F3A"/>
    <w:rsid w:val="00965F88"/>
    <w:rsid w:val="00966078"/>
    <w:rsid w:val="009660F1"/>
    <w:rsid w:val="0096623B"/>
    <w:rsid w:val="009663B5"/>
    <w:rsid w:val="00966434"/>
    <w:rsid w:val="00966535"/>
    <w:rsid w:val="0096669B"/>
    <w:rsid w:val="0096673B"/>
    <w:rsid w:val="00966796"/>
    <w:rsid w:val="00966A2F"/>
    <w:rsid w:val="00966AB9"/>
    <w:rsid w:val="00966BC7"/>
    <w:rsid w:val="00966E8A"/>
    <w:rsid w:val="00966E95"/>
    <w:rsid w:val="00966EF8"/>
    <w:rsid w:val="00966F63"/>
    <w:rsid w:val="00967017"/>
    <w:rsid w:val="00967056"/>
    <w:rsid w:val="00967093"/>
    <w:rsid w:val="00967107"/>
    <w:rsid w:val="009671E2"/>
    <w:rsid w:val="009673F4"/>
    <w:rsid w:val="009673FB"/>
    <w:rsid w:val="00967501"/>
    <w:rsid w:val="00967515"/>
    <w:rsid w:val="0096753F"/>
    <w:rsid w:val="00967671"/>
    <w:rsid w:val="00967692"/>
    <w:rsid w:val="009676EA"/>
    <w:rsid w:val="0096791B"/>
    <w:rsid w:val="00967947"/>
    <w:rsid w:val="00967A9D"/>
    <w:rsid w:val="00967B97"/>
    <w:rsid w:val="00967CBA"/>
    <w:rsid w:val="00967CBF"/>
    <w:rsid w:val="00967D20"/>
    <w:rsid w:val="00967E16"/>
    <w:rsid w:val="00967EA5"/>
    <w:rsid w:val="00967ED5"/>
    <w:rsid w:val="00967F75"/>
    <w:rsid w:val="0097005F"/>
    <w:rsid w:val="00970164"/>
    <w:rsid w:val="009701CC"/>
    <w:rsid w:val="009701F2"/>
    <w:rsid w:val="00970204"/>
    <w:rsid w:val="0097024E"/>
    <w:rsid w:val="0097026F"/>
    <w:rsid w:val="00970290"/>
    <w:rsid w:val="009702E9"/>
    <w:rsid w:val="0097033D"/>
    <w:rsid w:val="00970391"/>
    <w:rsid w:val="009703CA"/>
    <w:rsid w:val="0097059C"/>
    <w:rsid w:val="009705D7"/>
    <w:rsid w:val="009706B1"/>
    <w:rsid w:val="009706F8"/>
    <w:rsid w:val="00970763"/>
    <w:rsid w:val="0097088A"/>
    <w:rsid w:val="009709A2"/>
    <w:rsid w:val="00970AFA"/>
    <w:rsid w:val="00970B46"/>
    <w:rsid w:val="00970B75"/>
    <w:rsid w:val="00970B78"/>
    <w:rsid w:val="00970BB5"/>
    <w:rsid w:val="00970C7F"/>
    <w:rsid w:val="00970D96"/>
    <w:rsid w:val="00970E87"/>
    <w:rsid w:val="00970FA6"/>
    <w:rsid w:val="00971048"/>
    <w:rsid w:val="0097121F"/>
    <w:rsid w:val="00971267"/>
    <w:rsid w:val="009713D8"/>
    <w:rsid w:val="0097144E"/>
    <w:rsid w:val="009714C6"/>
    <w:rsid w:val="00971501"/>
    <w:rsid w:val="0097157C"/>
    <w:rsid w:val="009717F0"/>
    <w:rsid w:val="00971B08"/>
    <w:rsid w:val="00971BB0"/>
    <w:rsid w:val="00971CAA"/>
    <w:rsid w:val="00971FA2"/>
    <w:rsid w:val="00972142"/>
    <w:rsid w:val="00972183"/>
    <w:rsid w:val="0097222C"/>
    <w:rsid w:val="0097234F"/>
    <w:rsid w:val="0097236B"/>
    <w:rsid w:val="00972487"/>
    <w:rsid w:val="009724F0"/>
    <w:rsid w:val="009725EA"/>
    <w:rsid w:val="00972618"/>
    <w:rsid w:val="009727B1"/>
    <w:rsid w:val="0097291F"/>
    <w:rsid w:val="00972997"/>
    <w:rsid w:val="00972AA7"/>
    <w:rsid w:val="00972B0E"/>
    <w:rsid w:val="00972BC8"/>
    <w:rsid w:val="00972C40"/>
    <w:rsid w:val="00972CA6"/>
    <w:rsid w:val="00972D45"/>
    <w:rsid w:val="00972DFB"/>
    <w:rsid w:val="00972DFE"/>
    <w:rsid w:val="00972E97"/>
    <w:rsid w:val="00972F34"/>
    <w:rsid w:val="00972F88"/>
    <w:rsid w:val="0097300E"/>
    <w:rsid w:val="0097307D"/>
    <w:rsid w:val="009730D2"/>
    <w:rsid w:val="009730D5"/>
    <w:rsid w:val="00973285"/>
    <w:rsid w:val="009733EE"/>
    <w:rsid w:val="009734B3"/>
    <w:rsid w:val="009734E4"/>
    <w:rsid w:val="00973566"/>
    <w:rsid w:val="009735F7"/>
    <w:rsid w:val="00973675"/>
    <w:rsid w:val="00973698"/>
    <w:rsid w:val="00973766"/>
    <w:rsid w:val="009737AD"/>
    <w:rsid w:val="00973811"/>
    <w:rsid w:val="00973829"/>
    <w:rsid w:val="00973838"/>
    <w:rsid w:val="0097383A"/>
    <w:rsid w:val="00973861"/>
    <w:rsid w:val="009739ED"/>
    <w:rsid w:val="00973A30"/>
    <w:rsid w:val="00973AD2"/>
    <w:rsid w:val="00973B83"/>
    <w:rsid w:val="00973BC9"/>
    <w:rsid w:val="00973C54"/>
    <w:rsid w:val="00973C55"/>
    <w:rsid w:val="00973D56"/>
    <w:rsid w:val="00973D72"/>
    <w:rsid w:val="00973E3C"/>
    <w:rsid w:val="00973E4E"/>
    <w:rsid w:val="00973F0F"/>
    <w:rsid w:val="00973F9A"/>
    <w:rsid w:val="00974088"/>
    <w:rsid w:val="00974112"/>
    <w:rsid w:val="00974355"/>
    <w:rsid w:val="0097442B"/>
    <w:rsid w:val="00974447"/>
    <w:rsid w:val="00974687"/>
    <w:rsid w:val="009747A8"/>
    <w:rsid w:val="009748E2"/>
    <w:rsid w:val="009749A6"/>
    <w:rsid w:val="00974AA8"/>
    <w:rsid w:val="00974C8C"/>
    <w:rsid w:val="00974D98"/>
    <w:rsid w:val="00974E28"/>
    <w:rsid w:val="00974EE4"/>
    <w:rsid w:val="00974F3D"/>
    <w:rsid w:val="00974F4C"/>
    <w:rsid w:val="00974FA5"/>
    <w:rsid w:val="0097522B"/>
    <w:rsid w:val="00975414"/>
    <w:rsid w:val="0097544D"/>
    <w:rsid w:val="009754B2"/>
    <w:rsid w:val="00975543"/>
    <w:rsid w:val="009755FB"/>
    <w:rsid w:val="0097565B"/>
    <w:rsid w:val="0097570B"/>
    <w:rsid w:val="009757A7"/>
    <w:rsid w:val="00975A89"/>
    <w:rsid w:val="00975AA2"/>
    <w:rsid w:val="00975AAD"/>
    <w:rsid w:val="00975B16"/>
    <w:rsid w:val="00975B85"/>
    <w:rsid w:val="00975C26"/>
    <w:rsid w:val="00975C55"/>
    <w:rsid w:val="00975CF4"/>
    <w:rsid w:val="00975D27"/>
    <w:rsid w:val="00975D33"/>
    <w:rsid w:val="00975D66"/>
    <w:rsid w:val="00975EE6"/>
    <w:rsid w:val="00975F62"/>
    <w:rsid w:val="0097615B"/>
    <w:rsid w:val="009761A7"/>
    <w:rsid w:val="00976267"/>
    <w:rsid w:val="00976361"/>
    <w:rsid w:val="009765EE"/>
    <w:rsid w:val="00976966"/>
    <w:rsid w:val="00976AC8"/>
    <w:rsid w:val="00976BFC"/>
    <w:rsid w:val="00976D34"/>
    <w:rsid w:val="00976DA7"/>
    <w:rsid w:val="00976E04"/>
    <w:rsid w:val="00976E65"/>
    <w:rsid w:val="009771A6"/>
    <w:rsid w:val="009771BD"/>
    <w:rsid w:val="0097721A"/>
    <w:rsid w:val="009773B2"/>
    <w:rsid w:val="009775CD"/>
    <w:rsid w:val="009775D7"/>
    <w:rsid w:val="00977695"/>
    <w:rsid w:val="00977890"/>
    <w:rsid w:val="0097789D"/>
    <w:rsid w:val="009778D5"/>
    <w:rsid w:val="00977937"/>
    <w:rsid w:val="009779D7"/>
    <w:rsid w:val="00977A3D"/>
    <w:rsid w:val="00977A3F"/>
    <w:rsid w:val="00977A53"/>
    <w:rsid w:val="00977AE3"/>
    <w:rsid w:val="00977C2A"/>
    <w:rsid w:val="00977CDA"/>
    <w:rsid w:val="00977E4C"/>
    <w:rsid w:val="00977F52"/>
    <w:rsid w:val="0098003E"/>
    <w:rsid w:val="00980050"/>
    <w:rsid w:val="00980072"/>
    <w:rsid w:val="009800A7"/>
    <w:rsid w:val="0098026D"/>
    <w:rsid w:val="00980340"/>
    <w:rsid w:val="0098048B"/>
    <w:rsid w:val="009804EB"/>
    <w:rsid w:val="00980520"/>
    <w:rsid w:val="009807D1"/>
    <w:rsid w:val="00980966"/>
    <w:rsid w:val="00980AAB"/>
    <w:rsid w:val="00980AB0"/>
    <w:rsid w:val="00980BDB"/>
    <w:rsid w:val="00980C44"/>
    <w:rsid w:val="00980C97"/>
    <w:rsid w:val="00980CD9"/>
    <w:rsid w:val="00980D36"/>
    <w:rsid w:val="00980D5C"/>
    <w:rsid w:val="00980DC2"/>
    <w:rsid w:val="00980FB8"/>
    <w:rsid w:val="00981102"/>
    <w:rsid w:val="00981122"/>
    <w:rsid w:val="0098118A"/>
    <w:rsid w:val="00981356"/>
    <w:rsid w:val="0098139E"/>
    <w:rsid w:val="009815B8"/>
    <w:rsid w:val="009815E2"/>
    <w:rsid w:val="00981606"/>
    <w:rsid w:val="009817E2"/>
    <w:rsid w:val="00981830"/>
    <w:rsid w:val="0098184D"/>
    <w:rsid w:val="009818B2"/>
    <w:rsid w:val="00981A15"/>
    <w:rsid w:val="00981A58"/>
    <w:rsid w:val="00981A9B"/>
    <w:rsid w:val="00981B5A"/>
    <w:rsid w:val="00981B7C"/>
    <w:rsid w:val="00981C66"/>
    <w:rsid w:val="00981D1B"/>
    <w:rsid w:val="00981DB5"/>
    <w:rsid w:val="00981E1A"/>
    <w:rsid w:val="00981F15"/>
    <w:rsid w:val="00981FB7"/>
    <w:rsid w:val="00982015"/>
    <w:rsid w:val="0098218E"/>
    <w:rsid w:val="009823EB"/>
    <w:rsid w:val="00982534"/>
    <w:rsid w:val="009825AC"/>
    <w:rsid w:val="00982611"/>
    <w:rsid w:val="00982648"/>
    <w:rsid w:val="00982674"/>
    <w:rsid w:val="009826AB"/>
    <w:rsid w:val="00982757"/>
    <w:rsid w:val="0098277B"/>
    <w:rsid w:val="009827D2"/>
    <w:rsid w:val="00982824"/>
    <w:rsid w:val="00982B60"/>
    <w:rsid w:val="00982C11"/>
    <w:rsid w:val="00982C1A"/>
    <w:rsid w:val="00982C9A"/>
    <w:rsid w:val="00982F12"/>
    <w:rsid w:val="00982FF5"/>
    <w:rsid w:val="00983002"/>
    <w:rsid w:val="00983032"/>
    <w:rsid w:val="00983080"/>
    <w:rsid w:val="0098320C"/>
    <w:rsid w:val="009832DB"/>
    <w:rsid w:val="00983403"/>
    <w:rsid w:val="00983554"/>
    <w:rsid w:val="0098358B"/>
    <w:rsid w:val="0098371F"/>
    <w:rsid w:val="009837E8"/>
    <w:rsid w:val="00983B93"/>
    <w:rsid w:val="00983C1B"/>
    <w:rsid w:val="00983D5B"/>
    <w:rsid w:val="00983DC2"/>
    <w:rsid w:val="00983E23"/>
    <w:rsid w:val="00983E57"/>
    <w:rsid w:val="00983F84"/>
    <w:rsid w:val="00983FE7"/>
    <w:rsid w:val="00984034"/>
    <w:rsid w:val="00984052"/>
    <w:rsid w:val="00984212"/>
    <w:rsid w:val="00984238"/>
    <w:rsid w:val="00984340"/>
    <w:rsid w:val="00984486"/>
    <w:rsid w:val="009844DD"/>
    <w:rsid w:val="0098459F"/>
    <w:rsid w:val="0098460D"/>
    <w:rsid w:val="00984726"/>
    <w:rsid w:val="009848D7"/>
    <w:rsid w:val="009849A8"/>
    <w:rsid w:val="00984A7C"/>
    <w:rsid w:val="00984D93"/>
    <w:rsid w:val="00984E19"/>
    <w:rsid w:val="00984E36"/>
    <w:rsid w:val="00984F8F"/>
    <w:rsid w:val="00984FED"/>
    <w:rsid w:val="009850A4"/>
    <w:rsid w:val="00985282"/>
    <w:rsid w:val="0098553B"/>
    <w:rsid w:val="00985779"/>
    <w:rsid w:val="009859DE"/>
    <w:rsid w:val="009859EF"/>
    <w:rsid w:val="00985A31"/>
    <w:rsid w:val="00985AB9"/>
    <w:rsid w:val="00985C38"/>
    <w:rsid w:val="00985C66"/>
    <w:rsid w:val="00985C94"/>
    <w:rsid w:val="00985DFC"/>
    <w:rsid w:val="00985F53"/>
    <w:rsid w:val="009860E8"/>
    <w:rsid w:val="009862E3"/>
    <w:rsid w:val="00986417"/>
    <w:rsid w:val="0098644C"/>
    <w:rsid w:val="0098673B"/>
    <w:rsid w:val="00986853"/>
    <w:rsid w:val="00986995"/>
    <w:rsid w:val="009869E8"/>
    <w:rsid w:val="00986AD2"/>
    <w:rsid w:val="00986B19"/>
    <w:rsid w:val="00986C83"/>
    <w:rsid w:val="00986D1D"/>
    <w:rsid w:val="00986F38"/>
    <w:rsid w:val="00987077"/>
    <w:rsid w:val="0098721B"/>
    <w:rsid w:val="0098722C"/>
    <w:rsid w:val="009872EF"/>
    <w:rsid w:val="00987340"/>
    <w:rsid w:val="0098736B"/>
    <w:rsid w:val="00987656"/>
    <w:rsid w:val="00987797"/>
    <w:rsid w:val="00987845"/>
    <w:rsid w:val="0098786F"/>
    <w:rsid w:val="00987A67"/>
    <w:rsid w:val="00987B42"/>
    <w:rsid w:val="00987BA0"/>
    <w:rsid w:val="00987C8E"/>
    <w:rsid w:val="00987C95"/>
    <w:rsid w:val="00987D1A"/>
    <w:rsid w:val="00987D93"/>
    <w:rsid w:val="00987DF5"/>
    <w:rsid w:val="00987E96"/>
    <w:rsid w:val="00987F98"/>
    <w:rsid w:val="00990015"/>
    <w:rsid w:val="0099002E"/>
    <w:rsid w:val="009900FC"/>
    <w:rsid w:val="00990114"/>
    <w:rsid w:val="00990241"/>
    <w:rsid w:val="009902CB"/>
    <w:rsid w:val="00990397"/>
    <w:rsid w:val="009904FD"/>
    <w:rsid w:val="0099055A"/>
    <w:rsid w:val="009906A1"/>
    <w:rsid w:val="00990A12"/>
    <w:rsid w:val="00990A34"/>
    <w:rsid w:val="00990AD4"/>
    <w:rsid w:val="00990B6A"/>
    <w:rsid w:val="00990BF3"/>
    <w:rsid w:val="00990D48"/>
    <w:rsid w:val="00990E47"/>
    <w:rsid w:val="00990FA0"/>
    <w:rsid w:val="009910BC"/>
    <w:rsid w:val="009910C6"/>
    <w:rsid w:val="009910F8"/>
    <w:rsid w:val="00991149"/>
    <w:rsid w:val="009911B6"/>
    <w:rsid w:val="00991288"/>
    <w:rsid w:val="009912F4"/>
    <w:rsid w:val="00991483"/>
    <w:rsid w:val="0099157D"/>
    <w:rsid w:val="009915B3"/>
    <w:rsid w:val="00991685"/>
    <w:rsid w:val="009918FC"/>
    <w:rsid w:val="0099190E"/>
    <w:rsid w:val="0099196D"/>
    <w:rsid w:val="009919BB"/>
    <w:rsid w:val="00991ABF"/>
    <w:rsid w:val="00991C93"/>
    <w:rsid w:val="00991D89"/>
    <w:rsid w:val="00991DAE"/>
    <w:rsid w:val="00991DB4"/>
    <w:rsid w:val="00991E35"/>
    <w:rsid w:val="00991E62"/>
    <w:rsid w:val="00991E80"/>
    <w:rsid w:val="009920D5"/>
    <w:rsid w:val="009920EF"/>
    <w:rsid w:val="009921F3"/>
    <w:rsid w:val="00992216"/>
    <w:rsid w:val="00992333"/>
    <w:rsid w:val="00992371"/>
    <w:rsid w:val="00992372"/>
    <w:rsid w:val="009923C4"/>
    <w:rsid w:val="009924F1"/>
    <w:rsid w:val="009924F2"/>
    <w:rsid w:val="0099282D"/>
    <w:rsid w:val="00992830"/>
    <w:rsid w:val="00992833"/>
    <w:rsid w:val="0099287D"/>
    <w:rsid w:val="00992890"/>
    <w:rsid w:val="0099289B"/>
    <w:rsid w:val="009928B4"/>
    <w:rsid w:val="00992975"/>
    <w:rsid w:val="00992A7B"/>
    <w:rsid w:val="00992ADD"/>
    <w:rsid w:val="00992CB8"/>
    <w:rsid w:val="00992E81"/>
    <w:rsid w:val="00992EA9"/>
    <w:rsid w:val="00992FFF"/>
    <w:rsid w:val="00993027"/>
    <w:rsid w:val="0099312B"/>
    <w:rsid w:val="0099331D"/>
    <w:rsid w:val="009933D4"/>
    <w:rsid w:val="0099361A"/>
    <w:rsid w:val="009936E7"/>
    <w:rsid w:val="0099379C"/>
    <w:rsid w:val="009937F4"/>
    <w:rsid w:val="00993828"/>
    <w:rsid w:val="009938CA"/>
    <w:rsid w:val="009938D9"/>
    <w:rsid w:val="00993A3E"/>
    <w:rsid w:val="00993A60"/>
    <w:rsid w:val="00993B2E"/>
    <w:rsid w:val="00993D6E"/>
    <w:rsid w:val="00993D98"/>
    <w:rsid w:val="00993E26"/>
    <w:rsid w:val="00993E8E"/>
    <w:rsid w:val="00994036"/>
    <w:rsid w:val="009941E9"/>
    <w:rsid w:val="00994257"/>
    <w:rsid w:val="009942AE"/>
    <w:rsid w:val="009943CA"/>
    <w:rsid w:val="009944DC"/>
    <w:rsid w:val="009945FA"/>
    <w:rsid w:val="00994690"/>
    <w:rsid w:val="009948AC"/>
    <w:rsid w:val="009948E2"/>
    <w:rsid w:val="0099499F"/>
    <w:rsid w:val="00994A0A"/>
    <w:rsid w:val="00994AF3"/>
    <w:rsid w:val="00994B09"/>
    <w:rsid w:val="00994B3C"/>
    <w:rsid w:val="00994BCA"/>
    <w:rsid w:val="00994D58"/>
    <w:rsid w:val="00994E34"/>
    <w:rsid w:val="00994F6A"/>
    <w:rsid w:val="00994F96"/>
    <w:rsid w:val="00995017"/>
    <w:rsid w:val="00995089"/>
    <w:rsid w:val="00995190"/>
    <w:rsid w:val="009951C3"/>
    <w:rsid w:val="009951EB"/>
    <w:rsid w:val="00995279"/>
    <w:rsid w:val="0099537E"/>
    <w:rsid w:val="00995549"/>
    <w:rsid w:val="0099559E"/>
    <w:rsid w:val="009956C1"/>
    <w:rsid w:val="00995725"/>
    <w:rsid w:val="00995777"/>
    <w:rsid w:val="009958C1"/>
    <w:rsid w:val="00995A96"/>
    <w:rsid w:val="00995B47"/>
    <w:rsid w:val="00995C5B"/>
    <w:rsid w:val="00995DE6"/>
    <w:rsid w:val="00995E01"/>
    <w:rsid w:val="00995EE0"/>
    <w:rsid w:val="009960D1"/>
    <w:rsid w:val="00996133"/>
    <w:rsid w:val="009961E8"/>
    <w:rsid w:val="00996261"/>
    <w:rsid w:val="0099651C"/>
    <w:rsid w:val="0099665B"/>
    <w:rsid w:val="0099668C"/>
    <w:rsid w:val="009967E3"/>
    <w:rsid w:val="00996814"/>
    <w:rsid w:val="0099684B"/>
    <w:rsid w:val="00996887"/>
    <w:rsid w:val="00996916"/>
    <w:rsid w:val="00996952"/>
    <w:rsid w:val="00996A10"/>
    <w:rsid w:val="00996A40"/>
    <w:rsid w:val="00996A99"/>
    <w:rsid w:val="00996BB1"/>
    <w:rsid w:val="00996C1E"/>
    <w:rsid w:val="00996DA3"/>
    <w:rsid w:val="00996DE2"/>
    <w:rsid w:val="00996E7C"/>
    <w:rsid w:val="00996FFF"/>
    <w:rsid w:val="00997308"/>
    <w:rsid w:val="00997490"/>
    <w:rsid w:val="00997499"/>
    <w:rsid w:val="009975FA"/>
    <w:rsid w:val="00997747"/>
    <w:rsid w:val="00997906"/>
    <w:rsid w:val="00997944"/>
    <w:rsid w:val="00997A5D"/>
    <w:rsid w:val="00997AE1"/>
    <w:rsid w:val="00997B95"/>
    <w:rsid w:val="00997C36"/>
    <w:rsid w:val="00997C42"/>
    <w:rsid w:val="00997C89"/>
    <w:rsid w:val="00997D92"/>
    <w:rsid w:val="00997DAC"/>
    <w:rsid w:val="00997E07"/>
    <w:rsid w:val="00997E38"/>
    <w:rsid w:val="00997EE8"/>
    <w:rsid w:val="00997FC7"/>
    <w:rsid w:val="009A0108"/>
    <w:rsid w:val="009A01D6"/>
    <w:rsid w:val="009A03D9"/>
    <w:rsid w:val="009A0437"/>
    <w:rsid w:val="009A04D4"/>
    <w:rsid w:val="009A0740"/>
    <w:rsid w:val="009A0795"/>
    <w:rsid w:val="009A07D2"/>
    <w:rsid w:val="009A0806"/>
    <w:rsid w:val="009A0842"/>
    <w:rsid w:val="009A0914"/>
    <w:rsid w:val="009A091F"/>
    <w:rsid w:val="009A0A30"/>
    <w:rsid w:val="009A0A6A"/>
    <w:rsid w:val="009A0AB5"/>
    <w:rsid w:val="009A0AB6"/>
    <w:rsid w:val="009A0AE3"/>
    <w:rsid w:val="009A0B39"/>
    <w:rsid w:val="009A0B55"/>
    <w:rsid w:val="009A0B57"/>
    <w:rsid w:val="009A0B6B"/>
    <w:rsid w:val="009A0B97"/>
    <w:rsid w:val="009A0E8F"/>
    <w:rsid w:val="009A0F76"/>
    <w:rsid w:val="009A0F8D"/>
    <w:rsid w:val="009A10AA"/>
    <w:rsid w:val="009A10D5"/>
    <w:rsid w:val="009A1128"/>
    <w:rsid w:val="009A12B2"/>
    <w:rsid w:val="009A13C7"/>
    <w:rsid w:val="009A1400"/>
    <w:rsid w:val="009A152A"/>
    <w:rsid w:val="009A16AE"/>
    <w:rsid w:val="009A188C"/>
    <w:rsid w:val="009A18A6"/>
    <w:rsid w:val="009A19F3"/>
    <w:rsid w:val="009A1A91"/>
    <w:rsid w:val="009A1C04"/>
    <w:rsid w:val="009A1C50"/>
    <w:rsid w:val="009A1CA6"/>
    <w:rsid w:val="009A1CAD"/>
    <w:rsid w:val="009A1D96"/>
    <w:rsid w:val="009A2035"/>
    <w:rsid w:val="009A2090"/>
    <w:rsid w:val="009A20C5"/>
    <w:rsid w:val="009A20E7"/>
    <w:rsid w:val="009A21C7"/>
    <w:rsid w:val="009A22DD"/>
    <w:rsid w:val="009A23D2"/>
    <w:rsid w:val="009A2452"/>
    <w:rsid w:val="009A2466"/>
    <w:rsid w:val="009A2547"/>
    <w:rsid w:val="009A2699"/>
    <w:rsid w:val="009A26DF"/>
    <w:rsid w:val="009A2BFE"/>
    <w:rsid w:val="009A2C1F"/>
    <w:rsid w:val="009A2E34"/>
    <w:rsid w:val="009A2FF2"/>
    <w:rsid w:val="009A30B6"/>
    <w:rsid w:val="009A3103"/>
    <w:rsid w:val="009A3172"/>
    <w:rsid w:val="009A3197"/>
    <w:rsid w:val="009A3250"/>
    <w:rsid w:val="009A32EE"/>
    <w:rsid w:val="009A3315"/>
    <w:rsid w:val="009A3429"/>
    <w:rsid w:val="009A34C8"/>
    <w:rsid w:val="009A356A"/>
    <w:rsid w:val="009A35CA"/>
    <w:rsid w:val="009A385D"/>
    <w:rsid w:val="009A3921"/>
    <w:rsid w:val="009A394A"/>
    <w:rsid w:val="009A3A19"/>
    <w:rsid w:val="009A3A33"/>
    <w:rsid w:val="009A3C04"/>
    <w:rsid w:val="009A3C16"/>
    <w:rsid w:val="009A3C3D"/>
    <w:rsid w:val="009A3CD3"/>
    <w:rsid w:val="009A3D68"/>
    <w:rsid w:val="009A3ECF"/>
    <w:rsid w:val="009A407A"/>
    <w:rsid w:val="009A40DF"/>
    <w:rsid w:val="009A4216"/>
    <w:rsid w:val="009A426E"/>
    <w:rsid w:val="009A439F"/>
    <w:rsid w:val="009A43AA"/>
    <w:rsid w:val="009A4416"/>
    <w:rsid w:val="009A454B"/>
    <w:rsid w:val="009A4556"/>
    <w:rsid w:val="009A45F9"/>
    <w:rsid w:val="009A461E"/>
    <w:rsid w:val="009A466E"/>
    <w:rsid w:val="009A46D1"/>
    <w:rsid w:val="009A47D3"/>
    <w:rsid w:val="009A486E"/>
    <w:rsid w:val="009A4893"/>
    <w:rsid w:val="009A4894"/>
    <w:rsid w:val="009A49AA"/>
    <w:rsid w:val="009A49E5"/>
    <w:rsid w:val="009A4C01"/>
    <w:rsid w:val="009A4C1F"/>
    <w:rsid w:val="009A4C20"/>
    <w:rsid w:val="009A4CD9"/>
    <w:rsid w:val="009A4D8B"/>
    <w:rsid w:val="009A4F72"/>
    <w:rsid w:val="009A50B6"/>
    <w:rsid w:val="009A514B"/>
    <w:rsid w:val="009A51CC"/>
    <w:rsid w:val="009A5294"/>
    <w:rsid w:val="009A52D5"/>
    <w:rsid w:val="009A52EB"/>
    <w:rsid w:val="009A5476"/>
    <w:rsid w:val="009A561B"/>
    <w:rsid w:val="009A5739"/>
    <w:rsid w:val="009A5787"/>
    <w:rsid w:val="009A586E"/>
    <w:rsid w:val="009A58B1"/>
    <w:rsid w:val="009A58D0"/>
    <w:rsid w:val="009A5A83"/>
    <w:rsid w:val="009A5B3D"/>
    <w:rsid w:val="009A5D60"/>
    <w:rsid w:val="009A5F81"/>
    <w:rsid w:val="009A60A1"/>
    <w:rsid w:val="009A6101"/>
    <w:rsid w:val="009A6123"/>
    <w:rsid w:val="009A61F5"/>
    <w:rsid w:val="009A62A1"/>
    <w:rsid w:val="009A630A"/>
    <w:rsid w:val="009A6445"/>
    <w:rsid w:val="009A65CD"/>
    <w:rsid w:val="009A676C"/>
    <w:rsid w:val="009A678B"/>
    <w:rsid w:val="009A67CA"/>
    <w:rsid w:val="009A6AC5"/>
    <w:rsid w:val="009A6AEC"/>
    <w:rsid w:val="009A6DA2"/>
    <w:rsid w:val="009A6F1A"/>
    <w:rsid w:val="009A6FBE"/>
    <w:rsid w:val="009A7150"/>
    <w:rsid w:val="009A72AF"/>
    <w:rsid w:val="009A73E8"/>
    <w:rsid w:val="009A758C"/>
    <w:rsid w:val="009A7796"/>
    <w:rsid w:val="009A77FF"/>
    <w:rsid w:val="009A7822"/>
    <w:rsid w:val="009A7889"/>
    <w:rsid w:val="009A7B28"/>
    <w:rsid w:val="009A7B2E"/>
    <w:rsid w:val="009A7C3A"/>
    <w:rsid w:val="009A7C6A"/>
    <w:rsid w:val="009A7C74"/>
    <w:rsid w:val="009A7CCF"/>
    <w:rsid w:val="009A7DA4"/>
    <w:rsid w:val="009A7DC9"/>
    <w:rsid w:val="009A7DF4"/>
    <w:rsid w:val="009A7EB5"/>
    <w:rsid w:val="009A7F6A"/>
    <w:rsid w:val="009A7F79"/>
    <w:rsid w:val="009A7F99"/>
    <w:rsid w:val="009A7FAD"/>
    <w:rsid w:val="009B0006"/>
    <w:rsid w:val="009B0025"/>
    <w:rsid w:val="009B005D"/>
    <w:rsid w:val="009B0072"/>
    <w:rsid w:val="009B00BA"/>
    <w:rsid w:val="009B0116"/>
    <w:rsid w:val="009B0128"/>
    <w:rsid w:val="009B03CB"/>
    <w:rsid w:val="009B04CF"/>
    <w:rsid w:val="009B0550"/>
    <w:rsid w:val="009B05F6"/>
    <w:rsid w:val="009B0619"/>
    <w:rsid w:val="009B0797"/>
    <w:rsid w:val="009B07C1"/>
    <w:rsid w:val="009B083E"/>
    <w:rsid w:val="009B0866"/>
    <w:rsid w:val="009B08C2"/>
    <w:rsid w:val="009B09D2"/>
    <w:rsid w:val="009B09F7"/>
    <w:rsid w:val="009B0ADA"/>
    <w:rsid w:val="009B0B04"/>
    <w:rsid w:val="009B0FFA"/>
    <w:rsid w:val="009B102F"/>
    <w:rsid w:val="009B10E1"/>
    <w:rsid w:val="009B133B"/>
    <w:rsid w:val="009B13C7"/>
    <w:rsid w:val="009B13C8"/>
    <w:rsid w:val="009B1407"/>
    <w:rsid w:val="009B1646"/>
    <w:rsid w:val="009B16CE"/>
    <w:rsid w:val="009B1949"/>
    <w:rsid w:val="009B1977"/>
    <w:rsid w:val="009B1A9C"/>
    <w:rsid w:val="009B1AA0"/>
    <w:rsid w:val="009B1AB5"/>
    <w:rsid w:val="009B1AEB"/>
    <w:rsid w:val="009B1BD2"/>
    <w:rsid w:val="009B1CC3"/>
    <w:rsid w:val="009B1E5E"/>
    <w:rsid w:val="009B1E72"/>
    <w:rsid w:val="009B1EAD"/>
    <w:rsid w:val="009B1F26"/>
    <w:rsid w:val="009B1F6A"/>
    <w:rsid w:val="009B1FFC"/>
    <w:rsid w:val="009B21CF"/>
    <w:rsid w:val="009B22E5"/>
    <w:rsid w:val="009B237A"/>
    <w:rsid w:val="009B244B"/>
    <w:rsid w:val="009B247E"/>
    <w:rsid w:val="009B24D4"/>
    <w:rsid w:val="009B258A"/>
    <w:rsid w:val="009B25B5"/>
    <w:rsid w:val="009B2754"/>
    <w:rsid w:val="009B285B"/>
    <w:rsid w:val="009B294F"/>
    <w:rsid w:val="009B296E"/>
    <w:rsid w:val="009B29F1"/>
    <w:rsid w:val="009B2A5D"/>
    <w:rsid w:val="009B2A9E"/>
    <w:rsid w:val="009B2B55"/>
    <w:rsid w:val="009B2BC4"/>
    <w:rsid w:val="009B2C2F"/>
    <w:rsid w:val="009B2C42"/>
    <w:rsid w:val="009B2C55"/>
    <w:rsid w:val="009B2CEB"/>
    <w:rsid w:val="009B2DB6"/>
    <w:rsid w:val="009B2E13"/>
    <w:rsid w:val="009B2F10"/>
    <w:rsid w:val="009B2F73"/>
    <w:rsid w:val="009B2FBE"/>
    <w:rsid w:val="009B3098"/>
    <w:rsid w:val="009B30CF"/>
    <w:rsid w:val="009B30E6"/>
    <w:rsid w:val="009B3166"/>
    <w:rsid w:val="009B3204"/>
    <w:rsid w:val="009B322A"/>
    <w:rsid w:val="009B325B"/>
    <w:rsid w:val="009B32C7"/>
    <w:rsid w:val="009B330F"/>
    <w:rsid w:val="009B3407"/>
    <w:rsid w:val="009B3420"/>
    <w:rsid w:val="009B3462"/>
    <w:rsid w:val="009B3476"/>
    <w:rsid w:val="009B347E"/>
    <w:rsid w:val="009B34A6"/>
    <w:rsid w:val="009B34C7"/>
    <w:rsid w:val="009B3506"/>
    <w:rsid w:val="009B3518"/>
    <w:rsid w:val="009B3585"/>
    <w:rsid w:val="009B38DC"/>
    <w:rsid w:val="009B39F9"/>
    <w:rsid w:val="009B3A6B"/>
    <w:rsid w:val="009B3AB0"/>
    <w:rsid w:val="009B3B1E"/>
    <w:rsid w:val="009B3B48"/>
    <w:rsid w:val="009B3DAE"/>
    <w:rsid w:val="009B3DB3"/>
    <w:rsid w:val="009B3E52"/>
    <w:rsid w:val="009B3ED1"/>
    <w:rsid w:val="009B3F20"/>
    <w:rsid w:val="009B3FD7"/>
    <w:rsid w:val="009B4123"/>
    <w:rsid w:val="009B4154"/>
    <w:rsid w:val="009B415C"/>
    <w:rsid w:val="009B4160"/>
    <w:rsid w:val="009B4260"/>
    <w:rsid w:val="009B42F2"/>
    <w:rsid w:val="009B43AB"/>
    <w:rsid w:val="009B43B4"/>
    <w:rsid w:val="009B445E"/>
    <w:rsid w:val="009B458B"/>
    <w:rsid w:val="009B45B9"/>
    <w:rsid w:val="009B461F"/>
    <w:rsid w:val="009B47B0"/>
    <w:rsid w:val="009B4970"/>
    <w:rsid w:val="009B498A"/>
    <w:rsid w:val="009B4A2F"/>
    <w:rsid w:val="009B4A76"/>
    <w:rsid w:val="009B4AF7"/>
    <w:rsid w:val="009B4C2E"/>
    <w:rsid w:val="009B4C76"/>
    <w:rsid w:val="009B4E4B"/>
    <w:rsid w:val="009B4E64"/>
    <w:rsid w:val="009B4F82"/>
    <w:rsid w:val="009B4FB6"/>
    <w:rsid w:val="009B51BC"/>
    <w:rsid w:val="009B5287"/>
    <w:rsid w:val="009B5413"/>
    <w:rsid w:val="009B5439"/>
    <w:rsid w:val="009B556B"/>
    <w:rsid w:val="009B5616"/>
    <w:rsid w:val="009B598F"/>
    <w:rsid w:val="009B59F3"/>
    <w:rsid w:val="009B5A2E"/>
    <w:rsid w:val="009B5E96"/>
    <w:rsid w:val="009B5F09"/>
    <w:rsid w:val="009B5F20"/>
    <w:rsid w:val="009B5FFB"/>
    <w:rsid w:val="009B60B6"/>
    <w:rsid w:val="009B60BA"/>
    <w:rsid w:val="009B624B"/>
    <w:rsid w:val="009B62F4"/>
    <w:rsid w:val="009B6403"/>
    <w:rsid w:val="009B6416"/>
    <w:rsid w:val="009B64CC"/>
    <w:rsid w:val="009B658E"/>
    <w:rsid w:val="009B677A"/>
    <w:rsid w:val="009B6788"/>
    <w:rsid w:val="009B67CB"/>
    <w:rsid w:val="009B6891"/>
    <w:rsid w:val="009B6973"/>
    <w:rsid w:val="009B69D1"/>
    <w:rsid w:val="009B6A7A"/>
    <w:rsid w:val="009B6AC0"/>
    <w:rsid w:val="009B6BEE"/>
    <w:rsid w:val="009B6C8A"/>
    <w:rsid w:val="009B6CA3"/>
    <w:rsid w:val="009B6E45"/>
    <w:rsid w:val="009B6E62"/>
    <w:rsid w:val="009B6F44"/>
    <w:rsid w:val="009B7064"/>
    <w:rsid w:val="009B7082"/>
    <w:rsid w:val="009B70A9"/>
    <w:rsid w:val="009B70B7"/>
    <w:rsid w:val="009B71B8"/>
    <w:rsid w:val="009B7259"/>
    <w:rsid w:val="009B72A8"/>
    <w:rsid w:val="009B734C"/>
    <w:rsid w:val="009B736B"/>
    <w:rsid w:val="009B73AA"/>
    <w:rsid w:val="009B7513"/>
    <w:rsid w:val="009B765F"/>
    <w:rsid w:val="009B7684"/>
    <w:rsid w:val="009B76F7"/>
    <w:rsid w:val="009B77E7"/>
    <w:rsid w:val="009B7948"/>
    <w:rsid w:val="009B7A27"/>
    <w:rsid w:val="009B7A3C"/>
    <w:rsid w:val="009B7A62"/>
    <w:rsid w:val="009B7B16"/>
    <w:rsid w:val="009B7B4D"/>
    <w:rsid w:val="009B7DCB"/>
    <w:rsid w:val="009B7EFF"/>
    <w:rsid w:val="009B7F13"/>
    <w:rsid w:val="009C008D"/>
    <w:rsid w:val="009C00EC"/>
    <w:rsid w:val="009C0396"/>
    <w:rsid w:val="009C0505"/>
    <w:rsid w:val="009C061F"/>
    <w:rsid w:val="009C0702"/>
    <w:rsid w:val="009C0863"/>
    <w:rsid w:val="009C08A4"/>
    <w:rsid w:val="009C0924"/>
    <w:rsid w:val="009C0A24"/>
    <w:rsid w:val="009C0A45"/>
    <w:rsid w:val="009C0A9B"/>
    <w:rsid w:val="009C0B0B"/>
    <w:rsid w:val="009C0BFD"/>
    <w:rsid w:val="009C0C84"/>
    <w:rsid w:val="009C0D62"/>
    <w:rsid w:val="009C0E7D"/>
    <w:rsid w:val="009C0F61"/>
    <w:rsid w:val="009C1041"/>
    <w:rsid w:val="009C1055"/>
    <w:rsid w:val="009C10AC"/>
    <w:rsid w:val="009C11A2"/>
    <w:rsid w:val="009C1224"/>
    <w:rsid w:val="009C1258"/>
    <w:rsid w:val="009C139D"/>
    <w:rsid w:val="009C13E5"/>
    <w:rsid w:val="009C150F"/>
    <w:rsid w:val="009C1653"/>
    <w:rsid w:val="009C1675"/>
    <w:rsid w:val="009C16F3"/>
    <w:rsid w:val="009C18A3"/>
    <w:rsid w:val="009C1913"/>
    <w:rsid w:val="009C197D"/>
    <w:rsid w:val="009C1A3D"/>
    <w:rsid w:val="009C1B1B"/>
    <w:rsid w:val="009C1B53"/>
    <w:rsid w:val="009C1B9F"/>
    <w:rsid w:val="009C1CE1"/>
    <w:rsid w:val="009C1D2F"/>
    <w:rsid w:val="009C1D9A"/>
    <w:rsid w:val="009C1E99"/>
    <w:rsid w:val="009C1FC4"/>
    <w:rsid w:val="009C1FDB"/>
    <w:rsid w:val="009C1FFF"/>
    <w:rsid w:val="009C22BB"/>
    <w:rsid w:val="009C237F"/>
    <w:rsid w:val="009C2394"/>
    <w:rsid w:val="009C2403"/>
    <w:rsid w:val="009C2596"/>
    <w:rsid w:val="009C25FA"/>
    <w:rsid w:val="009C2608"/>
    <w:rsid w:val="009C269A"/>
    <w:rsid w:val="009C2811"/>
    <w:rsid w:val="009C281A"/>
    <w:rsid w:val="009C2876"/>
    <w:rsid w:val="009C2975"/>
    <w:rsid w:val="009C2A40"/>
    <w:rsid w:val="009C2A4E"/>
    <w:rsid w:val="009C2AFE"/>
    <w:rsid w:val="009C2B07"/>
    <w:rsid w:val="009C2D1D"/>
    <w:rsid w:val="009C2E3A"/>
    <w:rsid w:val="009C2F51"/>
    <w:rsid w:val="009C2F57"/>
    <w:rsid w:val="009C307D"/>
    <w:rsid w:val="009C3188"/>
    <w:rsid w:val="009C31F6"/>
    <w:rsid w:val="009C3258"/>
    <w:rsid w:val="009C329C"/>
    <w:rsid w:val="009C338B"/>
    <w:rsid w:val="009C33C5"/>
    <w:rsid w:val="009C33F1"/>
    <w:rsid w:val="009C371A"/>
    <w:rsid w:val="009C37BA"/>
    <w:rsid w:val="009C37EB"/>
    <w:rsid w:val="009C3876"/>
    <w:rsid w:val="009C39BC"/>
    <w:rsid w:val="009C3AA2"/>
    <w:rsid w:val="009C3AB2"/>
    <w:rsid w:val="009C3D6D"/>
    <w:rsid w:val="009C3D9E"/>
    <w:rsid w:val="009C3EC5"/>
    <w:rsid w:val="009C3F5E"/>
    <w:rsid w:val="009C3F92"/>
    <w:rsid w:val="009C4095"/>
    <w:rsid w:val="009C4121"/>
    <w:rsid w:val="009C4286"/>
    <w:rsid w:val="009C4297"/>
    <w:rsid w:val="009C45A6"/>
    <w:rsid w:val="009C4657"/>
    <w:rsid w:val="009C4665"/>
    <w:rsid w:val="009C47FC"/>
    <w:rsid w:val="009C48B1"/>
    <w:rsid w:val="009C4981"/>
    <w:rsid w:val="009C4C35"/>
    <w:rsid w:val="009C4D27"/>
    <w:rsid w:val="009C4D8C"/>
    <w:rsid w:val="009C4DAF"/>
    <w:rsid w:val="009C4E45"/>
    <w:rsid w:val="009C4E5B"/>
    <w:rsid w:val="009C4E60"/>
    <w:rsid w:val="009C500B"/>
    <w:rsid w:val="009C5018"/>
    <w:rsid w:val="009C5023"/>
    <w:rsid w:val="009C5094"/>
    <w:rsid w:val="009C510B"/>
    <w:rsid w:val="009C511A"/>
    <w:rsid w:val="009C51CA"/>
    <w:rsid w:val="009C5287"/>
    <w:rsid w:val="009C52B1"/>
    <w:rsid w:val="009C55D8"/>
    <w:rsid w:val="009C5635"/>
    <w:rsid w:val="009C565A"/>
    <w:rsid w:val="009C5673"/>
    <w:rsid w:val="009C56B7"/>
    <w:rsid w:val="009C56BB"/>
    <w:rsid w:val="009C5745"/>
    <w:rsid w:val="009C5805"/>
    <w:rsid w:val="009C58D3"/>
    <w:rsid w:val="009C5958"/>
    <w:rsid w:val="009C5B15"/>
    <w:rsid w:val="009C5BCA"/>
    <w:rsid w:val="009C5BDE"/>
    <w:rsid w:val="009C5C25"/>
    <w:rsid w:val="009C5CB4"/>
    <w:rsid w:val="009C5D76"/>
    <w:rsid w:val="009C5E1B"/>
    <w:rsid w:val="009C5E22"/>
    <w:rsid w:val="009C60C3"/>
    <w:rsid w:val="009C6156"/>
    <w:rsid w:val="009C633E"/>
    <w:rsid w:val="009C670B"/>
    <w:rsid w:val="009C67FD"/>
    <w:rsid w:val="009C6816"/>
    <w:rsid w:val="009C6854"/>
    <w:rsid w:val="009C68AA"/>
    <w:rsid w:val="009C68AF"/>
    <w:rsid w:val="009C69AD"/>
    <w:rsid w:val="009C6A9C"/>
    <w:rsid w:val="009C6B19"/>
    <w:rsid w:val="009C6B3D"/>
    <w:rsid w:val="009C6B78"/>
    <w:rsid w:val="009C6EC1"/>
    <w:rsid w:val="009C7039"/>
    <w:rsid w:val="009C703A"/>
    <w:rsid w:val="009C7084"/>
    <w:rsid w:val="009C70AB"/>
    <w:rsid w:val="009C7115"/>
    <w:rsid w:val="009C71E1"/>
    <w:rsid w:val="009C726F"/>
    <w:rsid w:val="009C74A0"/>
    <w:rsid w:val="009C7634"/>
    <w:rsid w:val="009C76B1"/>
    <w:rsid w:val="009C7705"/>
    <w:rsid w:val="009C7707"/>
    <w:rsid w:val="009C7708"/>
    <w:rsid w:val="009C7794"/>
    <w:rsid w:val="009C77C4"/>
    <w:rsid w:val="009C7800"/>
    <w:rsid w:val="009C7904"/>
    <w:rsid w:val="009C79EE"/>
    <w:rsid w:val="009C7D6B"/>
    <w:rsid w:val="009C7DD7"/>
    <w:rsid w:val="009C7ED0"/>
    <w:rsid w:val="009C7F6C"/>
    <w:rsid w:val="009C7FA2"/>
    <w:rsid w:val="009C7FCA"/>
    <w:rsid w:val="009D0144"/>
    <w:rsid w:val="009D015A"/>
    <w:rsid w:val="009D0248"/>
    <w:rsid w:val="009D02A8"/>
    <w:rsid w:val="009D06F4"/>
    <w:rsid w:val="009D0788"/>
    <w:rsid w:val="009D08D6"/>
    <w:rsid w:val="009D094F"/>
    <w:rsid w:val="009D0962"/>
    <w:rsid w:val="009D09C9"/>
    <w:rsid w:val="009D0A55"/>
    <w:rsid w:val="009D0AF8"/>
    <w:rsid w:val="009D0B60"/>
    <w:rsid w:val="009D0BF4"/>
    <w:rsid w:val="009D0C1D"/>
    <w:rsid w:val="009D0C5D"/>
    <w:rsid w:val="009D0D2E"/>
    <w:rsid w:val="009D1118"/>
    <w:rsid w:val="009D1258"/>
    <w:rsid w:val="009D1282"/>
    <w:rsid w:val="009D149E"/>
    <w:rsid w:val="009D14BF"/>
    <w:rsid w:val="009D14ED"/>
    <w:rsid w:val="009D151E"/>
    <w:rsid w:val="009D1552"/>
    <w:rsid w:val="009D15FE"/>
    <w:rsid w:val="009D167A"/>
    <w:rsid w:val="009D16F4"/>
    <w:rsid w:val="009D18BF"/>
    <w:rsid w:val="009D190D"/>
    <w:rsid w:val="009D19CD"/>
    <w:rsid w:val="009D1A5D"/>
    <w:rsid w:val="009D1A8A"/>
    <w:rsid w:val="009D1AB2"/>
    <w:rsid w:val="009D1B61"/>
    <w:rsid w:val="009D1CE0"/>
    <w:rsid w:val="009D1D74"/>
    <w:rsid w:val="009D1E03"/>
    <w:rsid w:val="009D1E84"/>
    <w:rsid w:val="009D203F"/>
    <w:rsid w:val="009D2142"/>
    <w:rsid w:val="009D21C1"/>
    <w:rsid w:val="009D21C4"/>
    <w:rsid w:val="009D2214"/>
    <w:rsid w:val="009D2250"/>
    <w:rsid w:val="009D232C"/>
    <w:rsid w:val="009D2380"/>
    <w:rsid w:val="009D248F"/>
    <w:rsid w:val="009D24F0"/>
    <w:rsid w:val="009D24F6"/>
    <w:rsid w:val="009D26E4"/>
    <w:rsid w:val="009D280E"/>
    <w:rsid w:val="009D2A34"/>
    <w:rsid w:val="009D2A49"/>
    <w:rsid w:val="009D2A58"/>
    <w:rsid w:val="009D2BA1"/>
    <w:rsid w:val="009D2BD3"/>
    <w:rsid w:val="009D2CB6"/>
    <w:rsid w:val="009D2CCE"/>
    <w:rsid w:val="009D2D57"/>
    <w:rsid w:val="009D2F34"/>
    <w:rsid w:val="009D2FEA"/>
    <w:rsid w:val="009D3068"/>
    <w:rsid w:val="009D30B7"/>
    <w:rsid w:val="009D3219"/>
    <w:rsid w:val="009D32FC"/>
    <w:rsid w:val="009D3322"/>
    <w:rsid w:val="009D3348"/>
    <w:rsid w:val="009D3357"/>
    <w:rsid w:val="009D33AD"/>
    <w:rsid w:val="009D345B"/>
    <w:rsid w:val="009D34D9"/>
    <w:rsid w:val="009D34DE"/>
    <w:rsid w:val="009D34FB"/>
    <w:rsid w:val="009D35C0"/>
    <w:rsid w:val="009D3650"/>
    <w:rsid w:val="009D3699"/>
    <w:rsid w:val="009D3779"/>
    <w:rsid w:val="009D379A"/>
    <w:rsid w:val="009D37F8"/>
    <w:rsid w:val="009D3897"/>
    <w:rsid w:val="009D3942"/>
    <w:rsid w:val="009D3B3D"/>
    <w:rsid w:val="009D3D58"/>
    <w:rsid w:val="009D3DBE"/>
    <w:rsid w:val="009D3E08"/>
    <w:rsid w:val="009D3FA1"/>
    <w:rsid w:val="009D40E3"/>
    <w:rsid w:val="009D417D"/>
    <w:rsid w:val="009D41F9"/>
    <w:rsid w:val="009D422F"/>
    <w:rsid w:val="009D427D"/>
    <w:rsid w:val="009D444C"/>
    <w:rsid w:val="009D445A"/>
    <w:rsid w:val="009D449E"/>
    <w:rsid w:val="009D44B1"/>
    <w:rsid w:val="009D44D4"/>
    <w:rsid w:val="009D4509"/>
    <w:rsid w:val="009D4640"/>
    <w:rsid w:val="009D4664"/>
    <w:rsid w:val="009D476C"/>
    <w:rsid w:val="009D477D"/>
    <w:rsid w:val="009D47D9"/>
    <w:rsid w:val="009D48B9"/>
    <w:rsid w:val="009D49C8"/>
    <w:rsid w:val="009D49F7"/>
    <w:rsid w:val="009D4A62"/>
    <w:rsid w:val="009D4A74"/>
    <w:rsid w:val="009D4BA3"/>
    <w:rsid w:val="009D4D33"/>
    <w:rsid w:val="009D4E54"/>
    <w:rsid w:val="009D4F32"/>
    <w:rsid w:val="009D4FB7"/>
    <w:rsid w:val="009D5178"/>
    <w:rsid w:val="009D53FA"/>
    <w:rsid w:val="009D5406"/>
    <w:rsid w:val="009D554A"/>
    <w:rsid w:val="009D560D"/>
    <w:rsid w:val="009D5707"/>
    <w:rsid w:val="009D5739"/>
    <w:rsid w:val="009D577E"/>
    <w:rsid w:val="009D596B"/>
    <w:rsid w:val="009D59AC"/>
    <w:rsid w:val="009D59C4"/>
    <w:rsid w:val="009D5BDD"/>
    <w:rsid w:val="009D5C17"/>
    <w:rsid w:val="009D5CD1"/>
    <w:rsid w:val="009D5CF7"/>
    <w:rsid w:val="009D5D05"/>
    <w:rsid w:val="009D5D12"/>
    <w:rsid w:val="009D5E1B"/>
    <w:rsid w:val="009D5F18"/>
    <w:rsid w:val="009D6027"/>
    <w:rsid w:val="009D60C9"/>
    <w:rsid w:val="009D6294"/>
    <w:rsid w:val="009D63BA"/>
    <w:rsid w:val="009D63E2"/>
    <w:rsid w:val="009D647D"/>
    <w:rsid w:val="009D647E"/>
    <w:rsid w:val="009D6536"/>
    <w:rsid w:val="009D655D"/>
    <w:rsid w:val="009D65DE"/>
    <w:rsid w:val="009D6787"/>
    <w:rsid w:val="009D6A22"/>
    <w:rsid w:val="009D6A7D"/>
    <w:rsid w:val="009D6AC3"/>
    <w:rsid w:val="009D6BF7"/>
    <w:rsid w:val="009D6C60"/>
    <w:rsid w:val="009D6C78"/>
    <w:rsid w:val="009D6C7D"/>
    <w:rsid w:val="009D6DC1"/>
    <w:rsid w:val="009D6E4C"/>
    <w:rsid w:val="009D6FD2"/>
    <w:rsid w:val="009D7049"/>
    <w:rsid w:val="009D7066"/>
    <w:rsid w:val="009D707F"/>
    <w:rsid w:val="009D70B9"/>
    <w:rsid w:val="009D71CB"/>
    <w:rsid w:val="009D720B"/>
    <w:rsid w:val="009D72CA"/>
    <w:rsid w:val="009D7316"/>
    <w:rsid w:val="009D739E"/>
    <w:rsid w:val="009D73A0"/>
    <w:rsid w:val="009D745A"/>
    <w:rsid w:val="009D7718"/>
    <w:rsid w:val="009D7999"/>
    <w:rsid w:val="009D79EF"/>
    <w:rsid w:val="009D7AA2"/>
    <w:rsid w:val="009D7B44"/>
    <w:rsid w:val="009D7C0A"/>
    <w:rsid w:val="009D7D85"/>
    <w:rsid w:val="009D7F0A"/>
    <w:rsid w:val="009E01DA"/>
    <w:rsid w:val="009E01FB"/>
    <w:rsid w:val="009E0203"/>
    <w:rsid w:val="009E0220"/>
    <w:rsid w:val="009E0245"/>
    <w:rsid w:val="009E02F3"/>
    <w:rsid w:val="009E0442"/>
    <w:rsid w:val="009E0554"/>
    <w:rsid w:val="009E0576"/>
    <w:rsid w:val="009E059C"/>
    <w:rsid w:val="009E05EB"/>
    <w:rsid w:val="009E0647"/>
    <w:rsid w:val="009E064F"/>
    <w:rsid w:val="009E0681"/>
    <w:rsid w:val="009E0698"/>
    <w:rsid w:val="009E06CB"/>
    <w:rsid w:val="009E0777"/>
    <w:rsid w:val="009E07B9"/>
    <w:rsid w:val="009E07E3"/>
    <w:rsid w:val="009E094A"/>
    <w:rsid w:val="009E0C8F"/>
    <w:rsid w:val="009E0ED4"/>
    <w:rsid w:val="009E101E"/>
    <w:rsid w:val="009E11B7"/>
    <w:rsid w:val="009E11CC"/>
    <w:rsid w:val="009E12C0"/>
    <w:rsid w:val="009E1311"/>
    <w:rsid w:val="009E136D"/>
    <w:rsid w:val="009E1452"/>
    <w:rsid w:val="009E1545"/>
    <w:rsid w:val="009E1584"/>
    <w:rsid w:val="009E1811"/>
    <w:rsid w:val="009E1958"/>
    <w:rsid w:val="009E19B4"/>
    <w:rsid w:val="009E1A05"/>
    <w:rsid w:val="009E1A8C"/>
    <w:rsid w:val="009E1AFA"/>
    <w:rsid w:val="009E1B73"/>
    <w:rsid w:val="009E1C04"/>
    <w:rsid w:val="009E1ECD"/>
    <w:rsid w:val="009E2037"/>
    <w:rsid w:val="009E206F"/>
    <w:rsid w:val="009E210F"/>
    <w:rsid w:val="009E2168"/>
    <w:rsid w:val="009E2297"/>
    <w:rsid w:val="009E2340"/>
    <w:rsid w:val="009E2429"/>
    <w:rsid w:val="009E24AC"/>
    <w:rsid w:val="009E2537"/>
    <w:rsid w:val="009E25B6"/>
    <w:rsid w:val="009E2727"/>
    <w:rsid w:val="009E28A7"/>
    <w:rsid w:val="009E28C0"/>
    <w:rsid w:val="009E29F4"/>
    <w:rsid w:val="009E2B5F"/>
    <w:rsid w:val="009E2BE3"/>
    <w:rsid w:val="009E2CCE"/>
    <w:rsid w:val="009E2CD1"/>
    <w:rsid w:val="009E2D75"/>
    <w:rsid w:val="009E2EA7"/>
    <w:rsid w:val="009E2FD9"/>
    <w:rsid w:val="009E3050"/>
    <w:rsid w:val="009E315A"/>
    <w:rsid w:val="009E3351"/>
    <w:rsid w:val="009E33CE"/>
    <w:rsid w:val="009E34AF"/>
    <w:rsid w:val="009E3548"/>
    <w:rsid w:val="009E3583"/>
    <w:rsid w:val="009E36E9"/>
    <w:rsid w:val="009E3C8A"/>
    <w:rsid w:val="009E3CAC"/>
    <w:rsid w:val="009E3D51"/>
    <w:rsid w:val="009E3D9B"/>
    <w:rsid w:val="009E3E98"/>
    <w:rsid w:val="009E3F62"/>
    <w:rsid w:val="009E4014"/>
    <w:rsid w:val="009E4184"/>
    <w:rsid w:val="009E41FC"/>
    <w:rsid w:val="009E4267"/>
    <w:rsid w:val="009E4273"/>
    <w:rsid w:val="009E42F2"/>
    <w:rsid w:val="009E4341"/>
    <w:rsid w:val="009E43B9"/>
    <w:rsid w:val="009E43DC"/>
    <w:rsid w:val="009E440C"/>
    <w:rsid w:val="009E4456"/>
    <w:rsid w:val="009E445C"/>
    <w:rsid w:val="009E4470"/>
    <w:rsid w:val="009E4514"/>
    <w:rsid w:val="009E4543"/>
    <w:rsid w:val="009E45B7"/>
    <w:rsid w:val="009E469F"/>
    <w:rsid w:val="009E46C7"/>
    <w:rsid w:val="009E487D"/>
    <w:rsid w:val="009E498B"/>
    <w:rsid w:val="009E4B63"/>
    <w:rsid w:val="009E4DB4"/>
    <w:rsid w:val="009E4E26"/>
    <w:rsid w:val="009E4E9A"/>
    <w:rsid w:val="009E4F35"/>
    <w:rsid w:val="009E507C"/>
    <w:rsid w:val="009E5118"/>
    <w:rsid w:val="009E51A5"/>
    <w:rsid w:val="009E533B"/>
    <w:rsid w:val="009E53F3"/>
    <w:rsid w:val="009E5467"/>
    <w:rsid w:val="009E5479"/>
    <w:rsid w:val="009E552B"/>
    <w:rsid w:val="009E58A6"/>
    <w:rsid w:val="009E5B92"/>
    <w:rsid w:val="009E5D84"/>
    <w:rsid w:val="009E5D9D"/>
    <w:rsid w:val="009E5E57"/>
    <w:rsid w:val="009E5E86"/>
    <w:rsid w:val="009E5F3D"/>
    <w:rsid w:val="009E6047"/>
    <w:rsid w:val="009E607E"/>
    <w:rsid w:val="009E61AE"/>
    <w:rsid w:val="009E6378"/>
    <w:rsid w:val="009E637D"/>
    <w:rsid w:val="009E63F0"/>
    <w:rsid w:val="009E65A2"/>
    <w:rsid w:val="009E6691"/>
    <w:rsid w:val="009E68A4"/>
    <w:rsid w:val="009E6946"/>
    <w:rsid w:val="009E6CAF"/>
    <w:rsid w:val="009E6D10"/>
    <w:rsid w:val="009E6DBB"/>
    <w:rsid w:val="009E6E10"/>
    <w:rsid w:val="009E6E5D"/>
    <w:rsid w:val="009E6F7D"/>
    <w:rsid w:val="009E6FD7"/>
    <w:rsid w:val="009E715C"/>
    <w:rsid w:val="009E7259"/>
    <w:rsid w:val="009E72D1"/>
    <w:rsid w:val="009E72FF"/>
    <w:rsid w:val="009E7570"/>
    <w:rsid w:val="009E75AA"/>
    <w:rsid w:val="009E7690"/>
    <w:rsid w:val="009E7702"/>
    <w:rsid w:val="009E77D4"/>
    <w:rsid w:val="009E7929"/>
    <w:rsid w:val="009E79D4"/>
    <w:rsid w:val="009E7A46"/>
    <w:rsid w:val="009E7C2F"/>
    <w:rsid w:val="009E7C46"/>
    <w:rsid w:val="009E7DB7"/>
    <w:rsid w:val="009E7DBC"/>
    <w:rsid w:val="009E7DBE"/>
    <w:rsid w:val="009E7F47"/>
    <w:rsid w:val="009E7F82"/>
    <w:rsid w:val="009E7FD3"/>
    <w:rsid w:val="009F027E"/>
    <w:rsid w:val="009F033F"/>
    <w:rsid w:val="009F034C"/>
    <w:rsid w:val="009F03BA"/>
    <w:rsid w:val="009F03ED"/>
    <w:rsid w:val="009F04DF"/>
    <w:rsid w:val="009F0549"/>
    <w:rsid w:val="009F06C1"/>
    <w:rsid w:val="009F0895"/>
    <w:rsid w:val="009F08A9"/>
    <w:rsid w:val="009F08E9"/>
    <w:rsid w:val="009F0B06"/>
    <w:rsid w:val="009F0B4B"/>
    <w:rsid w:val="009F0DB0"/>
    <w:rsid w:val="009F103B"/>
    <w:rsid w:val="009F1353"/>
    <w:rsid w:val="009F1356"/>
    <w:rsid w:val="009F13A4"/>
    <w:rsid w:val="009F14A9"/>
    <w:rsid w:val="009F14E1"/>
    <w:rsid w:val="009F1542"/>
    <w:rsid w:val="009F15B4"/>
    <w:rsid w:val="009F15D2"/>
    <w:rsid w:val="009F15FB"/>
    <w:rsid w:val="009F163D"/>
    <w:rsid w:val="009F16EC"/>
    <w:rsid w:val="009F1721"/>
    <w:rsid w:val="009F1870"/>
    <w:rsid w:val="009F1896"/>
    <w:rsid w:val="009F1B38"/>
    <w:rsid w:val="009F1CDC"/>
    <w:rsid w:val="009F1CDE"/>
    <w:rsid w:val="009F1E9A"/>
    <w:rsid w:val="009F1FA4"/>
    <w:rsid w:val="009F20DA"/>
    <w:rsid w:val="009F2194"/>
    <w:rsid w:val="009F21DD"/>
    <w:rsid w:val="009F21E2"/>
    <w:rsid w:val="009F224E"/>
    <w:rsid w:val="009F2256"/>
    <w:rsid w:val="009F227C"/>
    <w:rsid w:val="009F232D"/>
    <w:rsid w:val="009F2565"/>
    <w:rsid w:val="009F25DC"/>
    <w:rsid w:val="009F2764"/>
    <w:rsid w:val="009F276D"/>
    <w:rsid w:val="009F2995"/>
    <w:rsid w:val="009F2A24"/>
    <w:rsid w:val="009F2B41"/>
    <w:rsid w:val="009F2C64"/>
    <w:rsid w:val="009F2CD5"/>
    <w:rsid w:val="009F30FE"/>
    <w:rsid w:val="009F31F0"/>
    <w:rsid w:val="009F3244"/>
    <w:rsid w:val="009F3262"/>
    <w:rsid w:val="009F32A1"/>
    <w:rsid w:val="009F333F"/>
    <w:rsid w:val="009F3375"/>
    <w:rsid w:val="009F33DF"/>
    <w:rsid w:val="009F343D"/>
    <w:rsid w:val="009F344A"/>
    <w:rsid w:val="009F348B"/>
    <w:rsid w:val="009F372F"/>
    <w:rsid w:val="009F3733"/>
    <w:rsid w:val="009F37B1"/>
    <w:rsid w:val="009F3888"/>
    <w:rsid w:val="009F39B1"/>
    <w:rsid w:val="009F3BB3"/>
    <w:rsid w:val="009F3C07"/>
    <w:rsid w:val="009F3C3F"/>
    <w:rsid w:val="009F3D85"/>
    <w:rsid w:val="009F3E23"/>
    <w:rsid w:val="009F3E66"/>
    <w:rsid w:val="009F3E6E"/>
    <w:rsid w:val="009F3EAB"/>
    <w:rsid w:val="009F3EC8"/>
    <w:rsid w:val="009F3F02"/>
    <w:rsid w:val="009F3FBE"/>
    <w:rsid w:val="009F421A"/>
    <w:rsid w:val="009F437C"/>
    <w:rsid w:val="009F4450"/>
    <w:rsid w:val="009F4470"/>
    <w:rsid w:val="009F448B"/>
    <w:rsid w:val="009F44BD"/>
    <w:rsid w:val="009F4621"/>
    <w:rsid w:val="009F4717"/>
    <w:rsid w:val="009F487C"/>
    <w:rsid w:val="009F4A75"/>
    <w:rsid w:val="009F4AE3"/>
    <w:rsid w:val="009F4CFE"/>
    <w:rsid w:val="009F4DC8"/>
    <w:rsid w:val="009F4DD0"/>
    <w:rsid w:val="009F4E7D"/>
    <w:rsid w:val="009F4ED7"/>
    <w:rsid w:val="009F4EEE"/>
    <w:rsid w:val="009F4F02"/>
    <w:rsid w:val="009F4FC9"/>
    <w:rsid w:val="009F5059"/>
    <w:rsid w:val="009F507D"/>
    <w:rsid w:val="009F5085"/>
    <w:rsid w:val="009F52A4"/>
    <w:rsid w:val="009F53FB"/>
    <w:rsid w:val="009F540F"/>
    <w:rsid w:val="009F54B3"/>
    <w:rsid w:val="009F550F"/>
    <w:rsid w:val="009F55A1"/>
    <w:rsid w:val="009F56ED"/>
    <w:rsid w:val="009F57D2"/>
    <w:rsid w:val="009F5881"/>
    <w:rsid w:val="009F5894"/>
    <w:rsid w:val="009F5943"/>
    <w:rsid w:val="009F59A0"/>
    <w:rsid w:val="009F5A58"/>
    <w:rsid w:val="009F5B2E"/>
    <w:rsid w:val="009F5B5E"/>
    <w:rsid w:val="009F5C6B"/>
    <w:rsid w:val="009F5E15"/>
    <w:rsid w:val="009F5E20"/>
    <w:rsid w:val="009F5E8A"/>
    <w:rsid w:val="009F5F74"/>
    <w:rsid w:val="009F606F"/>
    <w:rsid w:val="009F6071"/>
    <w:rsid w:val="009F60E5"/>
    <w:rsid w:val="009F60E8"/>
    <w:rsid w:val="009F613C"/>
    <w:rsid w:val="009F6160"/>
    <w:rsid w:val="009F61DB"/>
    <w:rsid w:val="009F61ED"/>
    <w:rsid w:val="009F6215"/>
    <w:rsid w:val="009F62D2"/>
    <w:rsid w:val="009F637B"/>
    <w:rsid w:val="009F6502"/>
    <w:rsid w:val="009F657E"/>
    <w:rsid w:val="009F6661"/>
    <w:rsid w:val="009F66D5"/>
    <w:rsid w:val="009F6710"/>
    <w:rsid w:val="009F683F"/>
    <w:rsid w:val="009F68AD"/>
    <w:rsid w:val="009F6928"/>
    <w:rsid w:val="009F69D2"/>
    <w:rsid w:val="009F6C76"/>
    <w:rsid w:val="009F6EBA"/>
    <w:rsid w:val="009F6F81"/>
    <w:rsid w:val="009F6FBF"/>
    <w:rsid w:val="009F6FDA"/>
    <w:rsid w:val="009F702D"/>
    <w:rsid w:val="009F70FB"/>
    <w:rsid w:val="009F72EF"/>
    <w:rsid w:val="009F7395"/>
    <w:rsid w:val="009F7828"/>
    <w:rsid w:val="009F7874"/>
    <w:rsid w:val="009F78F8"/>
    <w:rsid w:val="009F79D0"/>
    <w:rsid w:val="009F79D9"/>
    <w:rsid w:val="009F7BCA"/>
    <w:rsid w:val="009F7C2B"/>
    <w:rsid w:val="009F7CA3"/>
    <w:rsid w:val="009F7D90"/>
    <w:rsid w:val="009F7F4C"/>
    <w:rsid w:val="00A00060"/>
    <w:rsid w:val="00A00112"/>
    <w:rsid w:val="00A0016B"/>
    <w:rsid w:val="00A00189"/>
    <w:rsid w:val="00A00198"/>
    <w:rsid w:val="00A001DA"/>
    <w:rsid w:val="00A00280"/>
    <w:rsid w:val="00A002AA"/>
    <w:rsid w:val="00A002AC"/>
    <w:rsid w:val="00A003FA"/>
    <w:rsid w:val="00A00547"/>
    <w:rsid w:val="00A006FD"/>
    <w:rsid w:val="00A00713"/>
    <w:rsid w:val="00A0076C"/>
    <w:rsid w:val="00A00BF9"/>
    <w:rsid w:val="00A00C45"/>
    <w:rsid w:val="00A00C48"/>
    <w:rsid w:val="00A00CF0"/>
    <w:rsid w:val="00A00E09"/>
    <w:rsid w:val="00A00FAA"/>
    <w:rsid w:val="00A00FAF"/>
    <w:rsid w:val="00A01188"/>
    <w:rsid w:val="00A011EA"/>
    <w:rsid w:val="00A0123E"/>
    <w:rsid w:val="00A012CD"/>
    <w:rsid w:val="00A0133C"/>
    <w:rsid w:val="00A013CA"/>
    <w:rsid w:val="00A0142D"/>
    <w:rsid w:val="00A01446"/>
    <w:rsid w:val="00A0151A"/>
    <w:rsid w:val="00A01583"/>
    <w:rsid w:val="00A015B7"/>
    <w:rsid w:val="00A015EF"/>
    <w:rsid w:val="00A0171A"/>
    <w:rsid w:val="00A018E2"/>
    <w:rsid w:val="00A0194B"/>
    <w:rsid w:val="00A01A29"/>
    <w:rsid w:val="00A01B2C"/>
    <w:rsid w:val="00A01C0F"/>
    <w:rsid w:val="00A01C40"/>
    <w:rsid w:val="00A01C9B"/>
    <w:rsid w:val="00A01D0D"/>
    <w:rsid w:val="00A01DA7"/>
    <w:rsid w:val="00A01EA1"/>
    <w:rsid w:val="00A01F41"/>
    <w:rsid w:val="00A01F52"/>
    <w:rsid w:val="00A01F5C"/>
    <w:rsid w:val="00A02049"/>
    <w:rsid w:val="00A02060"/>
    <w:rsid w:val="00A021EF"/>
    <w:rsid w:val="00A02394"/>
    <w:rsid w:val="00A023D2"/>
    <w:rsid w:val="00A023D5"/>
    <w:rsid w:val="00A02526"/>
    <w:rsid w:val="00A02566"/>
    <w:rsid w:val="00A027F8"/>
    <w:rsid w:val="00A0286D"/>
    <w:rsid w:val="00A02894"/>
    <w:rsid w:val="00A028C8"/>
    <w:rsid w:val="00A02AB9"/>
    <w:rsid w:val="00A02B1F"/>
    <w:rsid w:val="00A02B45"/>
    <w:rsid w:val="00A02BF9"/>
    <w:rsid w:val="00A02CDE"/>
    <w:rsid w:val="00A02DD9"/>
    <w:rsid w:val="00A02FF0"/>
    <w:rsid w:val="00A030E8"/>
    <w:rsid w:val="00A03201"/>
    <w:rsid w:val="00A03277"/>
    <w:rsid w:val="00A032BE"/>
    <w:rsid w:val="00A03340"/>
    <w:rsid w:val="00A0339A"/>
    <w:rsid w:val="00A033A7"/>
    <w:rsid w:val="00A03406"/>
    <w:rsid w:val="00A03445"/>
    <w:rsid w:val="00A0348B"/>
    <w:rsid w:val="00A0370B"/>
    <w:rsid w:val="00A03772"/>
    <w:rsid w:val="00A037B2"/>
    <w:rsid w:val="00A03810"/>
    <w:rsid w:val="00A03861"/>
    <w:rsid w:val="00A0398A"/>
    <w:rsid w:val="00A03998"/>
    <w:rsid w:val="00A03AD5"/>
    <w:rsid w:val="00A03AEC"/>
    <w:rsid w:val="00A03B06"/>
    <w:rsid w:val="00A03C52"/>
    <w:rsid w:val="00A03E9A"/>
    <w:rsid w:val="00A04063"/>
    <w:rsid w:val="00A041CF"/>
    <w:rsid w:val="00A04498"/>
    <w:rsid w:val="00A0453F"/>
    <w:rsid w:val="00A045DA"/>
    <w:rsid w:val="00A047A7"/>
    <w:rsid w:val="00A0483D"/>
    <w:rsid w:val="00A0484A"/>
    <w:rsid w:val="00A0491B"/>
    <w:rsid w:val="00A04969"/>
    <w:rsid w:val="00A049E2"/>
    <w:rsid w:val="00A04D5E"/>
    <w:rsid w:val="00A04FE4"/>
    <w:rsid w:val="00A050BE"/>
    <w:rsid w:val="00A05155"/>
    <w:rsid w:val="00A051F4"/>
    <w:rsid w:val="00A05208"/>
    <w:rsid w:val="00A0524D"/>
    <w:rsid w:val="00A05364"/>
    <w:rsid w:val="00A05425"/>
    <w:rsid w:val="00A0549D"/>
    <w:rsid w:val="00A054D3"/>
    <w:rsid w:val="00A055D8"/>
    <w:rsid w:val="00A05646"/>
    <w:rsid w:val="00A05887"/>
    <w:rsid w:val="00A05A65"/>
    <w:rsid w:val="00A05A69"/>
    <w:rsid w:val="00A05A76"/>
    <w:rsid w:val="00A05A8F"/>
    <w:rsid w:val="00A05B67"/>
    <w:rsid w:val="00A05B7A"/>
    <w:rsid w:val="00A05E2D"/>
    <w:rsid w:val="00A05F8A"/>
    <w:rsid w:val="00A05FE6"/>
    <w:rsid w:val="00A0622C"/>
    <w:rsid w:val="00A0627A"/>
    <w:rsid w:val="00A064EB"/>
    <w:rsid w:val="00A06562"/>
    <w:rsid w:val="00A065B1"/>
    <w:rsid w:val="00A0661A"/>
    <w:rsid w:val="00A066F9"/>
    <w:rsid w:val="00A06965"/>
    <w:rsid w:val="00A0698C"/>
    <w:rsid w:val="00A06A0A"/>
    <w:rsid w:val="00A06A4A"/>
    <w:rsid w:val="00A06CE4"/>
    <w:rsid w:val="00A06ECE"/>
    <w:rsid w:val="00A06FC4"/>
    <w:rsid w:val="00A07090"/>
    <w:rsid w:val="00A07162"/>
    <w:rsid w:val="00A07195"/>
    <w:rsid w:val="00A071BF"/>
    <w:rsid w:val="00A071E1"/>
    <w:rsid w:val="00A071E7"/>
    <w:rsid w:val="00A07420"/>
    <w:rsid w:val="00A07425"/>
    <w:rsid w:val="00A0761C"/>
    <w:rsid w:val="00A0762C"/>
    <w:rsid w:val="00A07638"/>
    <w:rsid w:val="00A0765C"/>
    <w:rsid w:val="00A0790B"/>
    <w:rsid w:val="00A07A0B"/>
    <w:rsid w:val="00A07AEE"/>
    <w:rsid w:val="00A07C2A"/>
    <w:rsid w:val="00A07CDE"/>
    <w:rsid w:val="00A07D5D"/>
    <w:rsid w:val="00A07E64"/>
    <w:rsid w:val="00A07E91"/>
    <w:rsid w:val="00A07EB6"/>
    <w:rsid w:val="00A07FF2"/>
    <w:rsid w:val="00A0BA1F"/>
    <w:rsid w:val="00A0F2E4"/>
    <w:rsid w:val="00A10283"/>
    <w:rsid w:val="00A1056A"/>
    <w:rsid w:val="00A10792"/>
    <w:rsid w:val="00A10842"/>
    <w:rsid w:val="00A10905"/>
    <w:rsid w:val="00A109CA"/>
    <w:rsid w:val="00A109DA"/>
    <w:rsid w:val="00A10A36"/>
    <w:rsid w:val="00A10D04"/>
    <w:rsid w:val="00A10D50"/>
    <w:rsid w:val="00A10D58"/>
    <w:rsid w:val="00A10D9C"/>
    <w:rsid w:val="00A10DEE"/>
    <w:rsid w:val="00A10E36"/>
    <w:rsid w:val="00A10ED0"/>
    <w:rsid w:val="00A10FEF"/>
    <w:rsid w:val="00A11035"/>
    <w:rsid w:val="00A1104A"/>
    <w:rsid w:val="00A110FA"/>
    <w:rsid w:val="00A11121"/>
    <w:rsid w:val="00A111D1"/>
    <w:rsid w:val="00A1139F"/>
    <w:rsid w:val="00A113A9"/>
    <w:rsid w:val="00A113FC"/>
    <w:rsid w:val="00A114C0"/>
    <w:rsid w:val="00A114D6"/>
    <w:rsid w:val="00A11553"/>
    <w:rsid w:val="00A1157D"/>
    <w:rsid w:val="00A11623"/>
    <w:rsid w:val="00A1163E"/>
    <w:rsid w:val="00A11651"/>
    <w:rsid w:val="00A11654"/>
    <w:rsid w:val="00A116DC"/>
    <w:rsid w:val="00A11883"/>
    <w:rsid w:val="00A118A3"/>
    <w:rsid w:val="00A118F4"/>
    <w:rsid w:val="00A118F6"/>
    <w:rsid w:val="00A11959"/>
    <w:rsid w:val="00A11985"/>
    <w:rsid w:val="00A11B09"/>
    <w:rsid w:val="00A11D9E"/>
    <w:rsid w:val="00A11DD5"/>
    <w:rsid w:val="00A11EB2"/>
    <w:rsid w:val="00A1216B"/>
    <w:rsid w:val="00A12193"/>
    <w:rsid w:val="00A121EE"/>
    <w:rsid w:val="00A1222E"/>
    <w:rsid w:val="00A12350"/>
    <w:rsid w:val="00A12407"/>
    <w:rsid w:val="00A124E6"/>
    <w:rsid w:val="00A12543"/>
    <w:rsid w:val="00A125B8"/>
    <w:rsid w:val="00A125F1"/>
    <w:rsid w:val="00A12710"/>
    <w:rsid w:val="00A1271E"/>
    <w:rsid w:val="00A12922"/>
    <w:rsid w:val="00A12A7B"/>
    <w:rsid w:val="00A12ADC"/>
    <w:rsid w:val="00A12D0C"/>
    <w:rsid w:val="00A12F0D"/>
    <w:rsid w:val="00A12F4A"/>
    <w:rsid w:val="00A12F97"/>
    <w:rsid w:val="00A131DF"/>
    <w:rsid w:val="00A13346"/>
    <w:rsid w:val="00A1347D"/>
    <w:rsid w:val="00A136A5"/>
    <w:rsid w:val="00A136CF"/>
    <w:rsid w:val="00A1381A"/>
    <w:rsid w:val="00A138EF"/>
    <w:rsid w:val="00A1390A"/>
    <w:rsid w:val="00A139DD"/>
    <w:rsid w:val="00A13A2D"/>
    <w:rsid w:val="00A13B87"/>
    <w:rsid w:val="00A13B9C"/>
    <w:rsid w:val="00A13BBD"/>
    <w:rsid w:val="00A13C6A"/>
    <w:rsid w:val="00A13C99"/>
    <w:rsid w:val="00A13C9C"/>
    <w:rsid w:val="00A13CE9"/>
    <w:rsid w:val="00A13D23"/>
    <w:rsid w:val="00A13D50"/>
    <w:rsid w:val="00A13D93"/>
    <w:rsid w:val="00A13EEC"/>
    <w:rsid w:val="00A13F6F"/>
    <w:rsid w:val="00A14177"/>
    <w:rsid w:val="00A14187"/>
    <w:rsid w:val="00A14249"/>
    <w:rsid w:val="00A1441A"/>
    <w:rsid w:val="00A14443"/>
    <w:rsid w:val="00A14513"/>
    <w:rsid w:val="00A14661"/>
    <w:rsid w:val="00A1472C"/>
    <w:rsid w:val="00A1478B"/>
    <w:rsid w:val="00A14793"/>
    <w:rsid w:val="00A1480A"/>
    <w:rsid w:val="00A14974"/>
    <w:rsid w:val="00A14989"/>
    <w:rsid w:val="00A14996"/>
    <w:rsid w:val="00A149B7"/>
    <w:rsid w:val="00A14B8A"/>
    <w:rsid w:val="00A14BDD"/>
    <w:rsid w:val="00A14BEC"/>
    <w:rsid w:val="00A14C3C"/>
    <w:rsid w:val="00A14C99"/>
    <w:rsid w:val="00A14D1E"/>
    <w:rsid w:val="00A14D65"/>
    <w:rsid w:val="00A14D88"/>
    <w:rsid w:val="00A14E5A"/>
    <w:rsid w:val="00A14EB0"/>
    <w:rsid w:val="00A14F55"/>
    <w:rsid w:val="00A15069"/>
    <w:rsid w:val="00A15205"/>
    <w:rsid w:val="00A15429"/>
    <w:rsid w:val="00A154FA"/>
    <w:rsid w:val="00A1560A"/>
    <w:rsid w:val="00A15611"/>
    <w:rsid w:val="00A15724"/>
    <w:rsid w:val="00A15729"/>
    <w:rsid w:val="00A1577B"/>
    <w:rsid w:val="00A15A3B"/>
    <w:rsid w:val="00A15A43"/>
    <w:rsid w:val="00A15A44"/>
    <w:rsid w:val="00A15AFA"/>
    <w:rsid w:val="00A15BF0"/>
    <w:rsid w:val="00A15CFE"/>
    <w:rsid w:val="00A15D51"/>
    <w:rsid w:val="00A15FB8"/>
    <w:rsid w:val="00A1606D"/>
    <w:rsid w:val="00A160CE"/>
    <w:rsid w:val="00A1631D"/>
    <w:rsid w:val="00A16353"/>
    <w:rsid w:val="00A16383"/>
    <w:rsid w:val="00A16541"/>
    <w:rsid w:val="00A165AE"/>
    <w:rsid w:val="00A1661A"/>
    <w:rsid w:val="00A16693"/>
    <w:rsid w:val="00A1670A"/>
    <w:rsid w:val="00A16747"/>
    <w:rsid w:val="00A16876"/>
    <w:rsid w:val="00A16920"/>
    <w:rsid w:val="00A169B6"/>
    <w:rsid w:val="00A169DC"/>
    <w:rsid w:val="00A169FC"/>
    <w:rsid w:val="00A16A5E"/>
    <w:rsid w:val="00A16A87"/>
    <w:rsid w:val="00A16DC6"/>
    <w:rsid w:val="00A16F23"/>
    <w:rsid w:val="00A16F24"/>
    <w:rsid w:val="00A16FCD"/>
    <w:rsid w:val="00A16FD2"/>
    <w:rsid w:val="00A170C9"/>
    <w:rsid w:val="00A175A3"/>
    <w:rsid w:val="00A17664"/>
    <w:rsid w:val="00A176F3"/>
    <w:rsid w:val="00A177BE"/>
    <w:rsid w:val="00A178C8"/>
    <w:rsid w:val="00A178F9"/>
    <w:rsid w:val="00A17955"/>
    <w:rsid w:val="00A17A52"/>
    <w:rsid w:val="00A17B00"/>
    <w:rsid w:val="00A17B6E"/>
    <w:rsid w:val="00A17B7E"/>
    <w:rsid w:val="00A17BC5"/>
    <w:rsid w:val="00A17C13"/>
    <w:rsid w:val="00A17C40"/>
    <w:rsid w:val="00A17DF8"/>
    <w:rsid w:val="00A17E1C"/>
    <w:rsid w:val="00A17E58"/>
    <w:rsid w:val="00A17F63"/>
    <w:rsid w:val="00A2002E"/>
    <w:rsid w:val="00A200E2"/>
    <w:rsid w:val="00A201C8"/>
    <w:rsid w:val="00A202B8"/>
    <w:rsid w:val="00A20591"/>
    <w:rsid w:val="00A205C6"/>
    <w:rsid w:val="00A20629"/>
    <w:rsid w:val="00A2062B"/>
    <w:rsid w:val="00A20944"/>
    <w:rsid w:val="00A20979"/>
    <w:rsid w:val="00A209A5"/>
    <w:rsid w:val="00A20AD0"/>
    <w:rsid w:val="00A20BB9"/>
    <w:rsid w:val="00A20BD5"/>
    <w:rsid w:val="00A20D47"/>
    <w:rsid w:val="00A20D6B"/>
    <w:rsid w:val="00A20E17"/>
    <w:rsid w:val="00A20E61"/>
    <w:rsid w:val="00A2101A"/>
    <w:rsid w:val="00A21023"/>
    <w:rsid w:val="00A211A9"/>
    <w:rsid w:val="00A21206"/>
    <w:rsid w:val="00A212A5"/>
    <w:rsid w:val="00A2146C"/>
    <w:rsid w:val="00A2151C"/>
    <w:rsid w:val="00A215AD"/>
    <w:rsid w:val="00A215E1"/>
    <w:rsid w:val="00A2161C"/>
    <w:rsid w:val="00A2169C"/>
    <w:rsid w:val="00A216F8"/>
    <w:rsid w:val="00A21722"/>
    <w:rsid w:val="00A21753"/>
    <w:rsid w:val="00A21785"/>
    <w:rsid w:val="00A217C1"/>
    <w:rsid w:val="00A21895"/>
    <w:rsid w:val="00A218DE"/>
    <w:rsid w:val="00A2191B"/>
    <w:rsid w:val="00A219D5"/>
    <w:rsid w:val="00A21AD9"/>
    <w:rsid w:val="00A21BFF"/>
    <w:rsid w:val="00A21CB8"/>
    <w:rsid w:val="00A21CE4"/>
    <w:rsid w:val="00A21D4E"/>
    <w:rsid w:val="00A21DCD"/>
    <w:rsid w:val="00A21E0C"/>
    <w:rsid w:val="00A21E3B"/>
    <w:rsid w:val="00A2200E"/>
    <w:rsid w:val="00A22095"/>
    <w:rsid w:val="00A220D3"/>
    <w:rsid w:val="00A22117"/>
    <w:rsid w:val="00A22194"/>
    <w:rsid w:val="00A22268"/>
    <w:rsid w:val="00A222C6"/>
    <w:rsid w:val="00A222D8"/>
    <w:rsid w:val="00A22304"/>
    <w:rsid w:val="00A2235E"/>
    <w:rsid w:val="00A22364"/>
    <w:rsid w:val="00A223A4"/>
    <w:rsid w:val="00A2268A"/>
    <w:rsid w:val="00A22692"/>
    <w:rsid w:val="00A22942"/>
    <w:rsid w:val="00A22B5E"/>
    <w:rsid w:val="00A22BF0"/>
    <w:rsid w:val="00A22D2B"/>
    <w:rsid w:val="00A22DA6"/>
    <w:rsid w:val="00A22E05"/>
    <w:rsid w:val="00A22E29"/>
    <w:rsid w:val="00A22FD1"/>
    <w:rsid w:val="00A23035"/>
    <w:rsid w:val="00A23096"/>
    <w:rsid w:val="00A230ED"/>
    <w:rsid w:val="00A2335A"/>
    <w:rsid w:val="00A233C3"/>
    <w:rsid w:val="00A234CF"/>
    <w:rsid w:val="00A235DC"/>
    <w:rsid w:val="00A23721"/>
    <w:rsid w:val="00A2375D"/>
    <w:rsid w:val="00A2386C"/>
    <w:rsid w:val="00A23A9B"/>
    <w:rsid w:val="00A23AB0"/>
    <w:rsid w:val="00A23AB8"/>
    <w:rsid w:val="00A23AE4"/>
    <w:rsid w:val="00A23CF9"/>
    <w:rsid w:val="00A23D98"/>
    <w:rsid w:val="00A23E32"/>
    <w:rsid w:val="00A23EEC"/>
    <w:rsid w:val="00A23F40"/>
    <w:rsid w:val="00A23F89"/>
    <w:rsid w:val="00A24005"/>
    <w:rsid w:val="00A240ED"/>
    <w:rsid w:val="00A24104"/>
    <w:rsid w:val="00A2416E"/>
    <w:rsid w:val="00A241AD"/>
    <w:rsid w:val="00A242FB"/>
    <w:rsid w:val="00A24490"/>
    <w:rsid w:val="00A24491"/>
    <w:rsid w:val="00A2466F"/>
    <w:rsid w:val="00A246E0"/>
    <w:rsid w:val="00A24726"/>
    <w:rsid w:val="00A2472E"/>
    <w:rsid w:val="00A2487F"/>
    <w:rsid w:val="00A249BC"/>
    <w:rsid w:val="00A24B35"/>
    <w:rsid w:val="00A24BDE"/>
    <w:rsid w:val="00A24C1F"/>
    <w:rsid w:val="00A24C3E"/>
    <w:rsid w:val="00A24C94"/>
    <w:rsid w:val="00A24C9B"/>
    <w:rsid w:val="00A24CFA"/>
    <w:rsid w:val="00A24D8D"/>
    <w:rsid w:val="00A24E63"/>
    <w:rsid w:val="00A24EFD"/>
    <w:rsid w:val="00A24F6D"/>
    <w:rsid w:val="00A25044"/>
    <w:rsid w:val="00A250FF"/>
    <w:rsid w:val="00A25137"/>
    <w:rsid w:val="00A25196"/>
    <w:rsid w:val="00A251D3"/>
    <w:rsid w:val="00A25208"/>
    <w:rsid w:val="00A2532E"/>
    <w:rsid w:val="00A25504"/>
    <w:rsid w:val="00A25564"/>
    <w:rsid w:val="00A25622"/>
    <w:rsid w:val="00A25884"/>
    <w:rsid w:val="00A2588A"/>
    <w:rsid w:val="00A25890"/>
    <w:rsid w:val="00A25A7B"/>
    <w:rsid w:val="00A25B52"/>
    <w:rsid w:val="00A25CA9"/>
    <w:rsid w:val="00A2602B"/>
    <w:rsid w:val="00A261DD"/>
    <w:rsid w:val="00A26234"/>
    <w:rsid w:val="00A262BE"/>
    <w:rsid w:val="00A26378"/>
    <w:rsid w:val="00A2645A"/>
    <w:rsid w:val="00A2653F"/>
    <w:rsid w:val="00A265BF"/>
    <w:rsid w:val="00A265E0"/>
    <w:rsid w:val="00A265EC"/>
    <w:rsid w:val="00A265FC"/>
    <w:rsid w:val="00A266DC"/>
    <w:rsid w:val="00A266DD"/>
    <w:rsid w:val="00A266FC"/>
    <w:rsid w:val="00A2672A"/>
    <w:rsid w:val="00A26734"/>
    <w:rsid w:val="00A268AF"/>
    <w:rsid w:val="00A26943"/>
    <w:rsid w:val="00A269C6"/>
    <w:rsid w:val="00A26A4D"/>
    <w:rsid w:val="00A26A54"/>
    <w:rsid w:val="00A26A73"/>
    <w:rsid w:val="00A26B36"/>
    <w:rsid w:val="00A26B4F"/>
    <w:rsid w:val="00A26BFC"/>
    <w:rsid w:val="00A26C87"/>
    <w:rsid w:val="00A26CD7"/>
    <w:rsid w:val="00A26CF8"/>
    <w:rsid w:val="00A26F6A"/>
    <w:rsid w:val="00A26FCA"/>
    <w:rsid w:val="00A2701C"/>
    <w:rsid w:val="00A27274"/>
    <w:rsid w:val="00A272C6"/>
    <w:rsid w:val="00A27435"/>
    <w:rsid w:val="00A27441"/>
    <w:rsid w:val="00A274CE"/>
    <w:rsid w:val="00A27624"/>
    <w:rsid w:val="00A27909"/>
    <w:rsid w:val="00A2791C"/>
    <w:rsid w:val="00A279C2"/>
    <w:rsid w:val="00A279DA"/>
    <w:rsid w:val="00A279F2"/>
    <w:rsid w:val="00A27AB6"/>
    <w:rsid w:val="00A27BB4"/>
    <w:rsid w:val="00A27CCF"/>
    <w:rsid w:val="00A27CF4"/>
    <w:rsid w:val="00A27DC0"/>
    <w:rsid w:val="00A27E53"/>
    <w:rsid w:val="00A27EC8"/>
    <w:rsid w:val="00A27EFE"/>
    <w:rsid w:val="00A2FA53"/>
    <w:rsid w:val="00A30007"/>
    <w:rsid w:val="00A3006B"/>
    <w:rsid w:val="00A3024E"/>
    <w:rsid w:val="00A3032C"/>
    <w:rsid w:val="00A303EE"/>
    <w:rsid w:val="00A303FA"/>
    <w:rsid w:val="00A30421"/>
    <w:rsid w:val="00A30458"/>
    <w:rsid w:val="00A30472"/>
    <w:rsid w:val="00A304FF"/>
    <w:rsid w:val="00A30505"/>
    <w:rsid w:val="00A306A6"/>
    <w:rsid w:val="00A306AC"/>
    <w:rsid w:val="00A308A0"/>
    <w:rsid w:val="00A30976"/>
    <w:rsid w:val="00A30B18"/>
    <w:rsid w:val="00A30B5A"/>
    <w:rsid w:val="00A30B5E"/>
    <w:rsid w:val="00A30C4C"/>
    <w:rsid w:val="00A30DAF"/>
    <w:rsid w:val="00A30DF4"/>
    <w:rsid w:val="00A30E78"/>
    <w:rsid w:val="00A30F4E"/>
    <w:rsid w:val="00A31074"/>
    <w:rsid w:val="00A310FC"/>
    <w:rsid w:val="00A3110B"/>
    <w:rsid w:val="00A31148"/>
    <w:rsid w:val="00A3129E"/>
    <w:rsid w:val="00A312AD"/>
    <w:rsid w:val="00A312D0"/>
    <w:rsid w:val="00A313B8"/>
    <w:rsid w:val="00A313D0"/>
    <w:rsid w:val="00A31622"/>
    <w:rsid w:val="00A31779"/>
    <w:rsid w:val="00A318C6"/>
    <w:rsid w:val="00A31927"/>
    <w:rsid w:val="00A319C7"/>
    <w:rsid w:val="00A31BDE"/>
    <w:rsid w:val="00A31C43"/>
    <w:rsid w:val="00A31C64"/>
    <w:rsid w:val="00A31E06"/>
    <w:rsid w:val="00A31E22"/>
    <w:rsid w:val="00A31EB0"/>
    <w:rsid w:val="00A31FCD"/>
    <w:rsid w:val="00A32067"/>
    <w:rsid w:val="00A320B7"/>
    <w:rsid w:val="00A3212D"/>
    <w:rsid w:val="00A321F7"/>
    <w:rsid w:val="00A3235D"/>
    <w:rsid w:val="00A32364"/>
    <w:rsid w:val="00A323F3"/>
    <w:rsid w:val="00A324FE"/>
    <w:rsid w:val="00A32504"/>
    <w:rsid w:val="00A32621"/>
    <w:rsid w:val="00A326A4"/>
    <w:rsid w:val="00A326B8"/>
    <w:rsid w:val="00A3272C"/>
    <w:rsid w:val="00A32754"/>
    <w:rsid w:val="00A32761"/>
    <w:rsid w:val="00A3277C"/>
    <w:rsid w:val="00A327F1"/>
    <w:rsid w:val="00A328C8"/>
    <w:rsid w:val="00A328D2"/>
    <w:rsid w:val="00A328FB"/>
    <w:rsid w:val="00A32942"/>
    <w:rsid w:val="00A329CE"/>
    <w:rsid w:val="00A32A45"/>
    <w:rsid w:val="00A32A6F"/>
    <w:rsid w:val="00A32B42"/>
    <w:rsid w:val="00A32B49"/>
    <w:rsid w:val="00A32C0A"/>
    <w:rsid w:val="00A32C36"/>
    <w:rsid w:val="00A32C7A"/>
    <w:rsid w:val="00A32F71"/>
    <w:rsid w:val="00A33017"/>
    <w:rsid w:val="00A33152"/>
    <w:rsid w:val="00A331B3"/>
    <w:rsid w:val="00A331EF"/>
    <w:rsid w:val="00A3324B"/>
    <w:rsid w:val="00A33298"/>
    <w:rsid w:val="00A333AA"/>
    <w:rsid w:val="00A3340B"/>
    <w:rsid w:val="00A334F0"/>
    <w:rsid w:val="00A3350E"/>
    <w:rsid w:val="00A33626"/>
    <w:rsid w:val="00A336F6"/>
    <w:rsid w:val="00A337D6"/>
    <w:rsid w:val="00A337FD"/>
    <w:rsid w:val="00A33827"/>
    <w:rsid w:val="00A338BF"/>
    <w:rsid w:val="00A339CD"/>
    <w:rsid w:val="00A33D71"/>
    <w:rsid w:val="00A33D72"/>
    <w:rsid w:val="00A33E20"/>
    <w:rsid w:val="00A33EED"/>
    <w:rsid w:val="00A33EF5"/>
    <w:rsid w:val="00A33F09"/>
    <w:rsid w:val="00A33FCB"/>
    <w:rsid w:val="00A34049"/>
    <w:rsid w:val="00A340D7"/>
    <w:rsid w:val="00A34281"/>
    <w:rsid w:val="00A342F6"/>
    <w:rsid w:val="00A34384"/>
    <w:rsid w:val="00A343F5"/>
    <w:rsid w:val="00A3456A"/>
    <w:rsid w:val="00A3459B"/>
    <w:rsid w:val="00A346D8"/>
    <w:rsid w:val="00A347ED"/>
    <w:rsid w:val="00A34885"/>
    <w:rsid w:val="00A34892"/>
    <w:rsid w:val="00A34926"/>
    <w:rsid w:val="00A349FA"/>
    <w:rsid w:val="00A34AC8"/>
    <w:rsid w:val="00A34B07"/>
    <w:rsid w:val="00A34BB2"/>
    <w:rsid w:val="00A34C65"/>
    <w:rsid w:val="00A34E60"/>
    <w:rsid w:val="00A34EAA"/>
    <w:rsid w:val="00A34EB0"/>
    <w:rsid w:val="00A34F61"/>
    <w:rsid w:val="00A34FE1"/>
    <w:rsid w:val="00A3519B"/>
    <w:rsid w:val="00A35317"/>
    <w:rsid w:val="00A353C4"/>
    <w:rsid w:val="00A353FF"/>
    <w:rsid w:val="00A35451"/>
    <w:rsid w:val="00A356B5"/>
    <w:rsid w:val="00A35702"/>
    <w:rsid w:val="00A3583D"/>
    <w:rsid w:val="00A358A9"/>
    <w:rsid w:val="00A358EB"/>
    <w:rsid w:val="00A359B2"/>
    <w:rsid w:val="00A35A4D"/>
    <w:rsid w:val="00A35A96"/>
    <w:rsid w:val="00A35AB0"/>
    <w:rsid w:val="00A35AB6"/>
    <w:rsid w:val="00A35B8F"/>
    <w:rsid w:val="00A35B91"/>
    <w:rsid w:val="00A35B9A"/>
    <w:rsid w:val="00A35D0C"/>
    <w:rsid w:val="00A35D1E"/>
    <w:rsid w:val="00A35D73"/>
    <w:rsid w:val="00A35E39"/>
    <w:rsid w:val="00A35E50"/>
    <w:rsid w:val="00A35FC7"/>
    <w:rsid w:val="00A36013"/>
    <w:rsid w:val="00A36053"/>
    <w:rsid w:val="00A36238"/>
    <w:rsid w:val="00A362A1"/>
    <w:rsid w:val="00A36348"/>
    <w:rsid w:val="00A3639A"/>
    <w:rsid w:val="00A36475"/>
    <w:rsid w:val="00A36502"/>
    <w:rsid w:val="00A36689"/>
    <w:rsid w:val="00A3670C"/>
    <w:rsid w:val="00A36713"/>
    <w:rsid w:val="00A36752"/>
    <w:rsid w:val="00A367BC"/>
    <w:rsid w:val="00A368EF"/>
    <w:rsid w:val="00A36917"/>
    <w:rsid w:val="00A36B86"/>
    <w:rsid w:val="00A36CFF"/>
    <w:rsid w:val="00A36DB0"/>
    <w:rsid w:val="00A36F41"/>
    <w:rsid w:val="00A37060"/>
    <w:rsid w:val="00A37065"/>
    <w:rsid w:val="00A37104"/>
    <w:rsid w:val="00A3720D"/>
    <w:rsid w:val="00A3724E"/>
    <w:rsid w:val="00A372A4"/>
    <w:rsid w:val="00A372B2"/>
    <w:rsid w:val="00A37342"/>
    <w:rsid w:val="00A37356"/>
    <w:rsid w:val="00A3748C"/>
    <w:rsid w:val="00A3754A"/>
    <w:rsid w:val="00A375E8"/>
    <w:rsid w:val="00A3785B"/>
    <w:rsid w:val="00A378A5"/>
    <w:rsid w:val="00A378AB"/>
    <w:rsid w:val="00A379E6"/>
    <w:rsid w:val="00A37AE6"/>
    <w:rsid w:val="00A37AEA"/>
    <w:rsid w:val="00A37C18"/>
    <w:rsid w:val="00A37DBC"/>
    <w:rsid w:val="00A37F9B"/>
    <w:rsid w:val="00A40183"/>
    <w:rsid w:val="00A402EC"/>
    <w:rsid w:val="00A4031A"/>
    <w:rsid w:val="00A4043C"/>
    <w:rsid w:val="00A40453"/>
    <w:rsid w:val="00A40480"/>
    <w:rsid w:val="00A40552"/>
    <w:rsid w:val="00A40562"/>
    <w:rsid w:val="00A406B4"/>
    <w:rsid w:val="00A406DD"/>
    <w:rsid w:val="00A40869"/>
    <w:rsid w:val="00A408CC"/>
    <w:rsid w:val="00A4096E"/>
    <w:rsid w:val="00A40999"/>
    <w:rsid w:val="00A409CD"/>
    <w:rsid w:val="00A40BE7"/>
    <w:rsid w:val="00A40C7C"/>
    <w:rsid w:val="00A40DEE"/>
    <w:rsid w:val="00A40EB9"/>
    <w:rsid w:val="00A40FC5"/>
    <w:rsid w:val="00A40FFE"/>
    <w:rsid w:val="00A4106B"/>
    <w:rsid w:val="00A41110"/>
    <w:rsid w:val="00A41192"/>
    <w:rsid w:val="00A412EE"/>
    <w:rsid w:val="00A4136A"/>
    <w:rsid w:val="00A4152F"/>
    <w:rsid w:val="00A4160F"/>
    <w:rsid w:val="00A41694"/>
    <w:rsid w:val="00A416E5"/>
    <w:rsid w:val="00A41792"/>
    <w:rsid w:val="00A4186B"/>
    <w:rsid w:val="00A41A4D"/>
    <w:rsid w:val="00A41AE3"/>
    <w:rsid w:val="00A41D01"/>
    <w:rsid w:val="00A41D20"/>
    <w:rsid w:val="00A41D30"/>
    <w:rsid w:val="00A41E1E"/>
    <w:rsid w:val="00A4202C"/>
    <w:rsid w:val="00A42064"/>
    <w:rsid w:val="00A420D3"/>
    <w:rsid w:val="00A420F3"/>
    <w:rsid w:val="00A42181"/>
    <w:rsid w:val="00A42215"/>
    <w:rsid w:val="00A422BF"/>
    <w:rsid w:val="00A42319"/>
    <w:rsid w:val="00A42333"/>
    <w:rsid w:val="00A4243D"/>
    <w:rsid w:val="00A424CF"/>
    <w:rsid w:val="00A424DB"/>
    <w:rsid w:val="00A42596"/>
    <w:rsid w:val="00A4268F"/>
    <w:rsid w:val="00A426D3"/>
    <w:rsid w:val="00A426F1"/>
    <w:rsid w:val="00A4282C"/>
    <w:rsid w:val="00A42851"/>
    <w:rsid w:val="00A4289B"/>
    <w:rsid w:val="00A428E0"/>
    <w:rsid w:val="00A42983"/>
    <w:rsid w:val="00A429B0"/>
    <w:rsid w:val="00A429F5"/>
    <w:rsid w:val="00A42A19"/>
    <w:rsid w:val="00A42A5E"/>
    <w:rsid w:val="00A42A69"/>
    <w:rsid w:val="00A42B47"/>
    <w:rsid w:val="00A42BC3"/>
    <w:rsid w:val="00A42BE9"/>
    <w:rsid w:val="00A42C0B"/>
    <w:rsid w:val="00A42E72"/>
    <w:rsid w:val="00A42F08"/>
    <w:rsid w:val="00A42F84"/>
    <w:rsid w:val="00A42FEA"/>
    <w:rsid w:val="00A430E0"/>
    <w:rsid w:val="00A43188"/>
    <w:rsid w:val="00A43202"/>
    <w:rsid w:val="00A43244"/>
    <w:rsid w:val="00A4331D"/>
    <w:rsid w:val="00A4339D"/>
    <w:rsid w:val="00A433A6"/>
    <w:rsid w:val="00A433B0"/>
    <w:rsid w:val="00A433FA"/>
    <w:rsid w:val="00A4342B"/>
    <w:rsid w:val="00A4364B"/>
    <w:rsid w:val="00A43652"/>
    <w:rsid w:val="00A4376E"/>
    <w:rsid w:val="00A437DF"/>
    <w:rsid w:val="00A43812"/>
    <w:rsid w:val="00A4381B"/>
    <w:rsid w:val="00A43830"/>
    <w:rsid w:val="00A43850"/>
    <w:rsid w:val="00A439F0"/>
    <w:rsid w:val="00A43B5F"/>
    <w:rsid w:val="00A43B92"/>
    <w:rsid w:val="00A43BA7"/>
    <w:rsid w:val="00A43BBE"/>
    <w:rsid w:val="00A43BFE"/>
    <w:rsid w:val="00A43D47"/>
    <w:rsid w:val="00A43E4C"/>
    <w:rsid w:val="00A43E84"/>
    <w:rsid w:val="00A43EC7"/>
    <w:rsid w:val="00A43F4F"/>
    <w:rsid w:val="00A43F92"/>
    <w:rsid w:val="00A43F9B"/>
    <w:rsid w:val="00A43FEF"/>
    <w:rsid w:val="00A43FF0"/>
    <w:rsid w:val="00A44133"/>
    <w:rsid w:val="00A441F8"/>
    <w:rsid w:val="00A4451D"/>
    <w:rsid w:val="00A44584"/>
    <w:rsid w:val="00A445EB"/>
    <w:rsid w:val="00A44B85"/>
    <w:rsid w:val="00A44BBD"/>
    <w:rsid w:val="00A44DEF"/>
    <w:rsid w:val="00A44E18"/>
    <w:rsid w:val="00A44EE6"/>
    <w:rsid w:val="00A45150"/>
    <w:rsid w:val="00A4518F"/>
    <w:rsid w:val="00A45271"/>
    <w:rsid w:val="00A45387"/>
    <w:rsid w:val="00A45425"/>
    <w:rsid w:val="00A454A0"/>
    <w:rsid w:val="00A4551B"/>
    <w:rsid w:val="00A4559F"/>
    <w:rsid w:val="00A455B9"/>
    <w:rsid w:val="00A4563E"/>
    <w:rsid w:val="00A4574D"/>
    <w:rsid w:val="00A457CE"/>
    <w:rsid w:val="00A457FF"/>
    <w:rsid w:val="00A45811"/>
    <w:rsid w:val="00A45819"/>
    <w:rsid w:val="00A45905"/>
    <w:rsid w:val="00A45969"/>
    <w:rsid w:val="00A459A3"/>
    <w:rsid w:val="00A459B7"/>
    <w:rsid w:val="00A459D1"/>
    <w:rsid w:val="00A45A43"/>
    <w:rsid w:val="00A45C0D"/>
    <w:rsid w:val="00A45C74"/>
    <w:rsid w:val="00A45CB5"/>
    <w:rsid w:val="00A45CC0"/>
    <w:rsid w:val="00A45D09"/>
    <w:rsid w:val="00A45E01"/>
    <w:rsid w:val="00A45FD4"/>
    <w:rsid w:val="00A46073"/>
    <w:rsid w:val="00A460D2"/>
    <w:rsid w:val="00A4612E"/>
    <w:rsid w:val="00A4619C"/>
    <w:rsid w:val="00A462FE"/>
    <w:rsid w:val="00A4637B"/>
    <w:rsid w:val="00A4639A"/>
    <w:rsid w:val="00A4643A"/>
    <w:rsid w:val="00A466BA"/>
    <w:rsid w:val="00A467AA"/>
    <w:rsid w:val="00A467E0"/>
    <w:rsid w:val="00A468B8"/>
    <w:rsid w:val="00A46914"/>
    <w:rsid w:val="00A46A40"/>
    <w:rsid w:val="00A46A6C"/>
    <w:rsid w:val="00A46AA2"/>
    <w:rsid w:val="00A46AA3"/>
    <w:rsid w:val="00A46AA5"/>
    <w:rsid w:val="00A46BA1"/>
    <w:rsid w:val="00A46BB0"/>
    <w:rsid w:val="00A46D20"/>
    <w:rsid w:val="00A46E15"/>
    <w:rsid w:val="00A46E1A"/>
    <w:rsid w:val="00A46E84"/>
    <w:rsid w:val="00A46ED8"/>
    <w:rsid w:val="00A46F61"/>
    <w:rsid w:val="00A47129"/>
    <w:rsid w:val="00A4718D"/>
    <w:rsid w:val="00A4727B"/>
    <w:rsid w:val="00A4730A"/>
    <w:rsid w:val="00A4740B"/>
    <w:rsid w:val="00A474FB"/>
    <w:rsid w:val="00A4753E"/>
    <w:rsid w:val="00A47544"/>
    <w:rsid w:val="00A475EF"/>
    <w:rsid w:val="00A47708"/>
    <w:rsid w:val="00A47713"/>
    <w:rsid w:val="00A47781"/>
    <w:rsid w:val="00A47A30"/>
    <w:rsid w:val="00A47A49"/>
    <w:rsid w:val="00A47E0A"/>
    <w:rsid w:val="00A47E4B"/>
    <w:rsid w:val="00A47F23"/>
    <w:rsid w:val="00A47F8B"/>
    <w:rsid w:val="00A47F95"/>
    <w:rsid w:val="00A50026"/>
    <w:rsid w:val="00A50305"/>
    <w:rsid w:val="00A50387"/>
    <w:rsid w:val="00A5057E"/>
    <w:rsid w:val="00A506F2"/>
    <w:rsid w:val="00A506F5"/>
    <w:rsid w:val="00A50725"/>
    <w:rsid w:val="00A50827"/>
    <w:rsid w:val="00A5083F"/>
    <w:rsid w:val="00A50892"/>
    <w:rsid w:val="00A508A7"/>
    <w:rsid w:val="00A5094B"/>
    <w:rsid w:val="00A50AD0"/>
    <w:rsid w:val="00A50AFC"/>
    <w:rsid w:val="00A50AFF"/>
    <w:rsid w:val="00A50B25"/>
    <w:rsid w:val="00A50C3F"/>
    <w:rsid w:val="00A50C58"/>
    <w:rsid w:val="00A50CB8"/>
    <w:rsid w:val="00A50D3F"/>
    <w:rsid w:val="00A50EEF"/>
    <w:rsid w:val="00A50F52"/>
    <w:rsid w:val="00A50FB9"/>
    <w:rsid w:val="00A510D1"/>
    <w:rsid w:val="00A510E1"/>
    <w:rsid w:val="00A51226"/>
    <w:rsid w:val="00A512AF"/>
    <w:rsid w:val="00A5138E"/>
    <w:rsid w:val="00A513AA"/>
    <w:rsid w:val="00A514C2"/>
    <w:rsid w:val="00A515A8"/>
    <w:rsid w:val="00A518DC"/>
    <w:rsid w:val="00A5199A"/>
    <w:rsid w:val="00A51A07"/>
    <w:rsid w:val="00A51A70"/>
    <w:rsid w:val="00A51BE2"/>
    <w:rsid w:val="00A51BF2"/>
    <w:rsid w:val="00A51C81"/>
    <w:rsid w:val="00A51CD9"/>
    <w:rsid w:val="00A51D10"/>
    <w:rsid w:val="00A51FA2"/>
    <w:rsid w:val="00A52035"/>
    <w:rsid w:val="00A5209E"/>
    <w:rsid w:val="00A520D5"/>
    <w:rsid w:val="00A52103"/>
    <w:rsid w:val="00A5217F"/>
    <w:rsid w:val="00A522BD"/>
    <w:rsid w:val="00A522CA"/>
    <w:rsid w:val="00A52348"/>
    <w:rsid w:val="00A5235C"/>
    <w:rsid w:val="00A5235E"/>
    <w:rsid w:val="00A5242E"/>
    <w:rsid w:val="00A52442"/>
    <w:rsid w:val="00A52469"/>
    <w:rsid w:val="00A52490"/>
    <w:rsid w:val="00A52515"/>
    <w:rsid w:val="00A525E3"/>
    <w:rsid w:val="00A525F5"/>
    <w:rsid w:val="00A52677"/>
    <w:rsid w:val="00A5281A"/>
    <w:rsid w:val="00A52956"/>
    <w:rsid w:val="00A52A43"/>
    <w:rsid w:val="00A52A62"/>
    <w:rsid w:val="00A52CE6"/>
    <w:rsid w:val="00A52E1B"/>
    <w:rsid w:val="00A52E8B"/>
    <w:rsid w:val="00A52ED6"/>
    <w:rsid w:val="00A52F3E"/>
    <w:rsid w:val="00A53147"/>
    <w:rsid w:val="00A53391"/>
    <w:rsid w:val="00A533BF"/>
    <w:rsid w:val="00A533C5"/>
    <w:rsid w:val="00A53402"/>
    <w:rsid w:val="00A534D5"/>
    <w:rsid w:val="00A534F9"/>
    <w:rsid w:val="00A53529"/>
    <w:rsid w:val="00A5352E"/>
    <w:rsid w:val="00A53579"/>
    <w:rsid w:val="00A536D0"/>
    <w:rsid w:val="00A53767"/>
    <w:rsid w:val="00A537CD"/>
    <w:rsid w:val="00A53889"/>
    <w:rsid w:val="00A538A8"/>
    <w:rsid w:val="00A538D2"/>
    <w:rsid w:val="00A539AB"/>
    <w:rsid w:val="00A539F9"/>
    <w:rsid w:val="00A53A67"/>
    <w:rsid w:val="00A53A74"/>
    <w:rsid w:val="00A53C55"/>
    <w:rsid w:val="00A53CA7"/>
    <w:rsid w:val="00A53CBC"/>
    <w:rsid w:val="00A53CDA"/>
    <w:rsid w:val="00A53E87"/>
    <w:rsid w:val="00A53E9A"/>
    <w:rsid w:val="00A53F57"/>
    <w:rsid w:val="00A53F72"/>
    <w:rsid w:val="00A53FF7"/>
    <w:rsid w:val="00A540D5"/>
    <w:rsid w:val="00A54158"/>
    <w:rsid w:val="00A54178"/>
    <w:rsid w:val="00A541DA"/>
    <w:rsid w:val="00A5425B"/>
    <w:rsid w:val="00A54305"/>
    <w:rsid w:val="00A54314"/>
    <w:rsid w:val="00A5436B"/>
    <w:rsid w:val="00A54490"/>
    <w:rsid w:val="00A5449C"/>
    <w:rsid w:val="00A54690"/>
    <w:rsid w:val="00A54963"/>
    <w:rsid w:val="00A54B0E"/>
    <w:rsid w:val="00A54B31"/>
    <w:rsid w:val="00A54BA5"/>
    <w:rsid w:val="00A54BE2"/>
    <w:rsid w:val="00A54C01"/>
    <w:rsid w:val="00A54CA2"/>
    <w:rsid w:val="00A54CB6"/>
    <w:rsid w:val="00A54D6E"/>
    <w:rsid w:val="00A54E53"/>
    <w:rsid w:val="00A54F46"/>
    <w:rsid w:val="00A54FD0"/>
    <w:rsid w:val="00A550AA"/>
    <w:rsid w:val="00A55114"/>
    <w:rsid w:val="00A551BE"/>
    <w:rsid w:val="00A55278"/>
    <w:rsid w:val="00A55438"/>
    <w:rsid w:val="00A5551C"/>
    <w:rsid w:val="00A557CB"/>
    <w:rsid w:val="00A55819"/>
    <w:rsid w:val="00A55829"/>
    <w:rsid w:val="00A5588F"/>
    <w:rsid w:val="00A55965"/>
    <w:rsid w:val="00A55A59"/>
    <w:rsid w:val="00A55B29"/>
    <w:rsid w:val="00A55BBB"/>
    <w:rsid w:val="00A55C12"/>
    <w:rsid w:val="00A55C29"/>
    <w:rsid w:val="00A55CFA"/>
    <w:rsid w:val="00A55D39"/>
    <w:rsid w:val="00A55DC2"/>
    <w:rsid w:val="00A55E59"/>
    <w:rsid w:val="00A55EB4"/>
    <w:rsid w:val="00A55EF2"/>
    <w:rsid w:val="00A55F14"/>
    <w:rsid w:val="00A55F42"/>
    <w:rsid w:val="00A56072"/>
    <w:rsid w:val="00A5607B"/>
    <w:rsid w:val="00A5612E"/>
    <w:rsid w:val="00A56156"/>
    <w:rsid w:val="00A56169"/>
    <w:rsid w:val="00A56175"/>
    <w:rsid w:val="00A56315"/>
    <w:rsid w:val="00A5633B"/>
    <w:rsid w:val="00A56575"/>
    <w:rsid w:val="00A565F0"/>
    <w:rsid w:val="00A566E8"/>
    <w:rsid w:val="00A56822"/>
    <w:rsid w:val="00A56AC2"/>
    <w:rsid w:val="00A56ACF"/>
    <w:rsid w:val="00A56AD1"/>
    <w:rsid w:val="00A56AE4"/>
    <w:rsid w:val="00A56B34"/>
    <w:rsid w:val="00A56BA9"/>
    <w:rsid w:val="00A56C4B"/>
    <w:rsid w:val="00A56CDC"/>
    <w:rsid w:val="00A56CF4"/>
    <w:rsid w:val="00A56D4B"/>
    <w:rsid w:val="00A57151"/>
    <w:rsid w:val="00A571C2"/>
    <w:rsid w:val="00A572C1"/>
    <w:rsid w:val="00A577A7"/>
    <w:rsid w:val="00A577F2"/>
    <w:rsid w:val="00A5784F"/>
    <w:rsid w:val="00A578D0"/>
    <w:rsid w:val="00A578E3"/>
    <w:rsid w:val="00A579D0"/>
    <w:rsid w:val="00A57C75"/>
    <w:rsid w:val="00A57DF3"/>
    <w:rsid w:val="00A57EFB"/>
    <w:rsid w:val="00A57F4B"/>
    <w:rsid w:val="00A57F75"/>
    <w:rsid w:val="00A57FD7"/>
    <w:rsid w:val="00A602A8"/>
    <w:rsid w:val="00A603AF"/>
    <w:rsid w:val="00A60453"/>
    <w:rsid w:val="00A6053D"/>
    <w:rsid w:val="00A60577"/>
    <w:rsid w:val="00A606ED"/>
    <w:rsid w:val="00A60757"/>
    <w:rsid w:val="00A6089F"/>
    <w:rsid w:val="00A609A1"/>
    <w:rsid w:val="00A60BB7"/>
    <w:rsid w:val="00A60C6F"/>
    <w:rsid w:val="00A60E4E"/>
    <w:rsid w:val="00A6100B"/>
    <w:rsid w:val="00A6106E"/>
    <w:rsid w:val="00A61137"/>
    <w:rsid w:val="00A61193"/>
    <w:rsid w:val="00A6127F"/>
    <w:rsid w:val="00A61431"/>
    <w:rsid w:val="00A61768"/>
    <w:rsid w:val="00A617C5"/>
    <w:rsid w:val="00A617EA"/>
    <w:rsid w:val="00A619C7"/>
    <w:rsid w:val="00A61CE2"/>
    <w:rsid w:val="00A61D57"/>
    <w:rsid w:val="00A61EA4"/>
    <w:rsid w:val="00A61FD1"/>
    <w:rsid w:val="00A6200B"/>
    <w:rsid w:val="00A62035"/>
    <w:rsid w:val="00A6206C"/>
    <w:rsid w:val="00A62122"/>
    <w:rsid w:val="00A621FB"/>
    <w:rsid w:val="00A62229"/>
    <w:rsid w:val="00A62292"/>
    <w:rsid w:val="00A6238A"/>
    <w:rsid w:val="00A624F2"/>
    <w:rsid w:val="00A62545"/>
    <w:rsid w:val="00A625F6"/>
    <w:rsid w:val="00A62604"/>
    <w:rsid w:val="00A6263C"/>
    <w:rsid w:val="00A626C2"/>
    <w:rsid w:val="00A62718"/>
    <w:rsid w:val="00A6276B"/>
    <w:rsid w:val="00A628EF"/>
    <w:rsid w:val="00A62B85"/>
    <w:rsid w:val="00A62E74"/>
    <w:rsid w:val="00A62EB2"/>
    <w:rsid w:val="00A62ECC"/>
    <w:rsid w:val="00A62F31"/>
    <w:rsid w:val="00A62F3D"/>
    <w:rsid w:val="00A62F79"/>
    <w:rsid w:val="00A63012"/>
    <w:rsid w:val="00A63029"/>
    <w:rsid w:val="00A63055"/>
    <w:rsid w:val="00A63499"/>
    <w:rsid w:val="00A635B6"/>
    <w:rsid w:val="00A6362D"/>
    <w:rsid w:val="00A636A4"/>
    <w:rsid w:val="00A63766"/>
    <w:rsid w:val="00A637B3"/>
    <w:rsid w:val="00A638F6"/>
    <w:rsid w:val="00A63912"/>
    <w:rsid w:val="00A63980"/>
    <w:rsid w:val="00A63A1F"/>
    <w:rsid w:val="00A63A47"/>
    <w:rsid w:val="00A63BDD"/>
    <w:rsid w:val="00A63C4B"/>
    <w:rsid w:val="00A63EA9"/>
    <w:rsid w:val="00A63EC0"/>
    <w:rsid w:val="00A63F4C"/>
    <w:rsid w:val="00A63F5B"/>
    <w:rsid w:val="00A63F7E"/>
    <w:rsid w:val="00A640ED"/>
    <w:rsid w:val="00A64380"/>
    <w:rsid w:val="00A6440D"/>
    <w:rsid w:val="00A64665"/>
    <w:rsid w:val="00A64758"/>
    <w:rsid w:val="00A647BE"/>
    <w:rsid w:val="00A64840"/>
    <w:rsid w:val="00A648D5"/>
    <w:rsid w:val="00A64ACB"/>
    <w:rsid w:val="00A64ADE"/>
    <w:rsid w:val="00A64C0B"/>
    <w:rsid w:val="00A64CFD"/>
    <w:rsid w:val="00A64E9E"/>
    <w:rsid w:val="00A64F3A"/>
    <w:rsid w:val="00A64FE9"/>
    <w:rsid w:val="00A65071"/>
    <w:rsid w:val="00A65206"/>
    <w:rsid w:val="00A652B1"/>
    <w:rsid w:val="00A652C8"/>
    <w:rsid w:val="00A6534C"/>
    <w:rsid w:val="00A6541F"/>
    <w:rsid w:val="00A654A1"/>
    <w:rsid w:val="00A654DE"/>
    <w:rsid w:val="00A655C5"/>
    <w:rsid w:val="00A656B4"/>
    <w:rsid w:val="00A6570E"/>
    <w:rsid w:val="00A657BE"/>
    <w:rsid w:val="00A6585B"/>
    <w:rsid w:val="00A658CF"/>
    <w:rsid w:val="00A65AE8"/>
    <w:rsid w:val="00A65B08"/>
    <w:rsid w:val="00A65B33"/>
    <w:rsid w:val="00A65B5A"/>
    <w:rsid w:val="00A65C68"/>
    <w:rsid w:val="00A65CA0"/>
    <w:rsid w:val="00A65D52"/>
    <w:rsid w:val="00A65DA5"/>
    <w:rsid w:val="00A65E37"/>
    <w:rsid w:val="00A65F79"/>
    <w:rsid w:val="00A65FE0"/>
    <w:rsid w:val="00A660CF"/>
    <w:rsid w:val="00A66103"/>
    <w:rsid w:val="00A66190"/>
    <w:rsid w:val="00A666A7"/>
    <w:rsid w:val="00A666AD"/>
    <w:rsid w:val="00A666B2"/>
    <w:rsid w:val="00A66789"/>
    <w:rsid w:val="00A66A28"/>
    <w:rsid w:val="00A66BA7"/>
    <w:rsid w:val="00A66BDB"/>
    <w:rsid w:val="00A66C82"/>
    <w:rsid w:val="00A66CAC"/>
    <w:rsid w:val="00A66E69"/>
    <w:rsid w:val="00A66EB6"/>
    <w:rsid w:val="00A66F25"/>
    <w:rsid w:val="00A67003"/>
    <w:rsid w:val="00A6708A"/>
    <w:rsid w:val="00A67125"/>
    <w:rsid w:val="00A6718F"/>
    <w:rsid w:val="00A671CD"/>
    <w:rsid w:val="00A67335"/>
    <w:rsid w:val="00A6748E"/>
    <w:rsid w:val="00A67629"/>
    <w:rsid w:val="00A676E8"/>
    <w:rsid w:val="00A677AC"/>
    <w:rsid w:val="00A677BF"/>
    <w:rsid w:val="00A677D3"/>
    <w:rsid w:val="00A677EA"/>
    <w:rsid w:val="00A67810"/>
    <w:rsid w:val="00A67838"/>
    <w:rsid w:val="00A679D6"/>
    <w:rsid w:val="00A67A88"/>
    <w:rsid w:val="00A67B4A"/>
    <w:rsid w:val="00A67C90"/>
    <w:rsid w:val="00A67CF9"/>
    <w:rsid w:val="00A67DFB"/>
    <w:rsid w:val="00A67F2B"/>
    <w:rsid w:val="00A67F50"/>
    <w:rsid w:val="00A67F58"/>
    <w:rsid w:val="00A70024"/>
    <w:rsid w:val="00A70041"/>
    <w:rsid w:val="00A70051"/>
    <w:rsid w:val="00A7015E"/>
    <w:rsid w:val="00A7030E"/>
    <w:rsid w:val="00A70357"/>
    <w:rsid w:val="00A7036B"/>
    <w:rsid w:val="00A703AB"/>
    <w:rsid w:val="00A703F5"/>
    <w:rsid w:val="00A70401"/>
    <w:rsid w:val="00A7042C"/>
    <w:rsid w:val="00A70487"/>
    <w:rsid w:val="00A704B2"/>
    <w:rsid w:val="00A70501"/>
    <w:rsid w:val="00A7058C"/>
    <w:rsid w:val="00A705A1"/>
    <w:rsid w:val="00A70767"/>
    <w:rsid w:val="00A707D4"/>
    <w:rsid w:val="00A7080F"/>
    <w:rsid w:val="00A70879"/>
    <w:rsid w:val="00A708EE"/>
    <w:rsid w:val="00A70AB2"/>
    <w:rsid w:val="00A70B4B"/>
    <w:rsid w:val="00A70BAD"/>
    <w:rsid w:val="00A70BBC"/>
    <w:rsid w:val="00A70C47"/>
    <w:rsid w:val="00A70CB4"/>
    <w:rsid w:val="00A70E8F"/>
    <w:rsid w:val="00A70EA7"/>
    <w:rsid w:val="00A70EF0"/>
    <w:rsid w:val="00A70F7C"/>
    <w:rsid w:val="00A70FAB"/>
    <w:rsid w:val="00A70FFA"/>
    <w:rsid w:val="00A71188"/>
    <w:rsid w:val="00A71285"/>
    <w:rsid w:val="00A712DA"/>
    <w:rsid w:val="00A71388"/>
    <w:rsid w:val="00A714E5"/>
    <w:rsid w:val="00A714F8"/>
    <w:rsid w:val="00A71651"/>
    <w:rsid w:val="00A7170E"/>
    <w:rsid w:val="00A71716"/>
    <w:rsid w:val="00A71826"/>
    <w:rsid w:val="00A718AA"/>
    <w:rsid w:val="00A718DA"/>
    <w:rsid w:val="00A71A22"/>
    <w:rsid w:val="00A71A8D"/>
    <w:rsid w:val="00A71AB3"/>
    <w:rsid w:val="00A71AD8"/>
    <w:rsid w:val="00A71B69"/>
    <w:rsid w:val="00A71B88"/>
    <w:rsid w:val="00A71B9A"/>
    <w:rsid w:val="00A71C89"/>
    <w:rsid w:val="00A71CB0"/>
    <w:rsid w:val="00A71D39"/>
    <w:rsid w:val="00A71DDE"/>
    <w:rsid w:val="00A71E62"/>
    <w:rsid w:val="00A71ECF"/>
    <w:rsid w:val="00A71F8B"/>
    <w:rsid w:val="00A72016"/>
    <w:rsid w:val="00A72052"/>
    <w:rsid w:val="00A720D4"/>
    <w:rsid w:val="00A72152"/>
    <w:rsid w:val="00A72178"/>
    <w:rsid w:val="00A721B3"/>
    <w:rsid w:val="00A72205"/>
    <w:rsid w:val="00A72307"/>
    <w:rsid w:val="00A72423"/>
    <w:rsid w:val="00A724B2"/>
    <w:rsid w:val="00A7252F"/>
    <w:rsid w:val="00A7255F"/>
    <w:rsid w:val="00A72606"/>
    <w:rsid w:val="00A7266D"/>
    <w:rsid w:val="00A7272D"/>
    <w:rsid w:val="00A72753"/>
    <w:rsid w:val="00A7288A"/>
    <w:rsid w:val="00A729CC"/>
    <w:rsid w:val="00A72A8A"/>
    <w:rsid w:val="00A72BBA"/>
    <w:rsid w:val="00A72BF6"/>
    <w:rsid w:val="00A72C89"/>
    <w:rsid w:val="00A72E9D"/>
    <w:rsid w:val="00A72ED2"/>
    <w:rsid w:val="00A72F62"/>
    <w:rsid w:val="00A72F7D"/>
    <w:rsid w:val="00A73005"/>
    <w:rsid w:val="00A731B5"/>
    <w:rsid w:val="00A73276"/>
    <w:rsid w:val="00A7329D"/>
    <w:rsid w:val="00A7330D"/>
    <w:rsid w:val="00A73323"/>
    <w:rsid w:val="00A73334"/>
    <w:rsid w:val="00A73346"/>
    <w:rsid w:val="00A73349"/>
    <w:rsid w:val="00A734FA"/>
    <w:rsid w:val="00A7364F"/>
    <w:rsid w:val="00A736E3"/>
    <w:rsid w:val="00A73704"/>
    <w:rsid w:val="00A73793"/>
    <w:rsid w:val="00A7383E"/>
    <w:rsid w:val="00A7390A"/>
    <w:rsid w:val="00A73978"/>
    <w:rsid w:val="00A7399C"/>
    <w:rsid w:val="00A739AB"/>
    <w:rsid w:val="00A73A1B"/>
    <w:rsid w:val="00A73A4C"/>
    <w:rsid w:val="00A73A5F"/>
    <w:rsid w:val="00A73B0E"/>
    <w:rsid w:val="00A73B75"/>
    <w:rsid w:val="00A73C37"/>
    <w:rsid w:val="00A73C4A"/>
    <w:rsid w:val="00A73CCA"/>
    <w:rsid w:val="00A73E76"/>
    <w:rsid w:val="00A73ED3"/>
    <w:rsid w:val="00A73F0A"/>
    <w:rsid w:val="00A73FF5"/>
    <w:rsid w:val="00A74062"/>
    <w:rsid w:val="00A7407A"/>
    <w:rsid w:val="00A74099"/>
    <w:rsid w:val="00A740D0"/>
    <w:rsid w:val="00A740F6"/>
    <w:rsid w:val="00A741F7"/>
    <w:rsid w:val="00A74228"/>
    <w:rsid w:val="00A74245"/>
    <w:rsid w:val="00A742F8"/>
    <w:rsid w:val="00A743E9"/>
    <w:rsid w:val="00A7444A"/>
    <w:rsid w:val="00A74454"/>
    <w:rsid w:val="00A7450C"/>
    <w:rsid w:val="00A74696"/>
    <w:rsid w:val="00A7483D"/>
    <w:rsid w:val="00A7489D"/>
    <w:rsid w:val="00A748E0"/>
    <w:rsid w:val="00A74956"/>
    <w:rsid w:val="00A749C8"/>
    <w:rsid w:val="00A74A67"/>
    <w:rsid w:val="00A74A6F"/>
    <w:rsid w:val="00A74CB5"/>
    <w:rsid w:val="00A74FC7"/>
    <w:rsid w:val="00A75053"/>
    <w:rsid w:val="00A750D8"/>
    <w:rsid w:val="00A75186"/>
    <w:rsid w:val="00A7531D"/>
    <w:rsid w:val="00A75363"/>
    <w:rsid w:val="00A7541E"/>
    <w:rsid w:val="00A754C2"/>
    <w:rsid w:val="00A7561F"/>
    <w:rsid w:val="00A7577F"/>
    <w:rsid w:val="00A757B2"/>
    <w:rsid w:val="00A7580B"/>
    <w:rsid w:val="00A759F9"/>
    <w:rsid w:val="00A75C54"/>
    <w:rsid w:val="00A75DFD"/>
    <w:rsid w:val="00A75E1F"/>
    <w:rsid w:val="00A7609B"/>
    <w:rsid w:val="00A76149"/>
    <w:rsid w:val="00A7617D"/>
    <w:rsid w:val="00A762B4"/>
    <w:rsid w:val="00A762C2"/>
    <w:rsid w:val="00A76378"/>
    <w:rsid w:val="00A7642F"/>
    <w:rsid w:val="00A76465"/>
    <w:rsid w:val="00A7648E"/>
    <w:rsid w:val="00A764DB"/>
    <w:rsid w:val="00A765F7"/>
    <w:rsid w:val="00A766E0"/>
    <w:rsid w:val="00A76710"/>
    <w:rsid w:val="00A7671E"/>
    <w:rsid w:val="00A76779"/>
    <w:rsid w:val="00A76836"/>
    <w:rsid w:val="00A768FA"/>
    <w:rsid w:val="00A7693F"/>
    <w:rsid w:val="00A769DE"/>
    <w:rsid w:val="00A76A32"/>
    <w:rsid w:val="00A76A9D"/>
    <w:rsid w:val="00A76ABB"/>
    <w:rsid w:val="00A76BBD"/>
    <w:rsid w:val="00A76CE2"/>
    <w:rsid w:val="00A76D46"/>
    <w:rsid w:val="00A76D8B"/>
    <w:rsid w:val="00A76D8E"/>
    <w:rsid w:val="00A76F25"/>
    <w:rsid w:val="00A76FAF"/>
    <w:rsid w:val="00A77397"/>
    <w:rsid w:val="00A773D0"/>
    <w:rsid w:val="00A773DD"/>
    <w:rsid w:val="00A774CE"/>
    <w:rsid w:val="00A77644"/>
    <w:rsid w:val="00A776A2"/>
    <w:rsid w:val="00A77798"/>
    <w:rsid w:val="00A77855"/>
    <w:rsid w:val="00A77973"/>
    <w:rsid w:val="00A77A26"/>
    <w:rsid w:val="00A77BBA"/>
    <w:rsid w:val="00A77C3F"/>
    <w:rsid w:val="00A77D23"/>
    <w:rsid w:val="00A77F28"/>
    <w:rsid w:val="00A77F4F"/>
    <w:rsid w:val="00A77F9B"/>
    <w:rsid w:val="00A802E6"/>
    <w:rsid w:val="00A8049A"/>
    <w:rsid w:val="00A80505"/>
    <w:rsid w:val="00A8056F"/>
    <w:rsid w:val="00A8057D"/>
    <w:rsid w:val="00A805FD"/>
    <w:rsid w:val="00A80623"/>
    <w:rsid w:val="00A8067B"/>
    <w:rsid w:val="00A80756"/>
    <w:rsid w:val="00A8078C"/>
    <w:rsid w:val="00A80896"/>
    <w:rsid w:val="00A80963"/>
    <w:rsid w:val="00A80A63"/>
    <w:rsid w:val="00A80A6B"/>
    <w:rsid w:val="00A80C19"/>
    <w:rsid w:val="00A80D9B"/>
    <w:rsid w:val="00A80DE8"/>
    <w:rsid w:val="00A80F2B"/>
    <w:rsid w:val="00A8101D"/>
    <w:rsid w:val="00A8107A"/>
    <w:rsid w:val="00A81220"/>
    <w:rsid w:val="00A81448"/>
    <w:rsid w:val="00A8160A"/>
    <w:rsid w:val="00A81611"/>
    <w:rsid w:val="00A81618"/>
    <w:rsid w:val="00A816BE"/>
    <w:rsid w:val="00A81705"/>
    <w:rsid w:val="00A81715"/>
    <w:rsid w:val="00A81800"/>
    <w:rsid w:val="00A8190D"/>
    <w:rsid w:val="00A8191D"/>
    <w:rsid w:val="00A81A5F"/>
    <w:rsid w:val="00A81AF1"/>
    <w:rsid w:val="00A81B02"/>
    <w:rsid w:val="00A81B40"/>
    <w:rsid w:val="00A81C03"/>
    <w:rsid w:val="00A81C19"/>
    <w:rsid w:val="00A81D63"/>
    <w:rsid w:val="00A81D65"/>
    <w:rsid w:val="00A81DE5"/>
    <w:rsid w:val="00A81DED"/>
    <w:rsid w:val="00A81E0F"/>
    <w:rsid w:val="00A81EAE"/>
    <w:rsid w:val="00A81ED2"/>
    <w:rsid w:val="00A81F42"/>
    <w:rsid w:val="00A81FDF"/>
    <w:rsid w:val="00A82021"/>
    <w:rsid w:val="00A8204D"/>
    <w:rsid w:val="00A82066"/>
    <w:rsid w:val="00A820E1"/>
    <w:rsid w:val="00A821AD"/>
    <w:rsid w:val="00A82361"/>
    <w:rsid w:val="00A82601"/>
    <w:rsid w:val="00A82608"/>
    <w:rsid w:val="00A8278D"/>
    <w:rsid w:val="00A8289C"/>
    <w:rsid w:val="00A82A2D"/>
    <w:rsid w:val="00A82A31"/>
    <w:rsid w:val="00A82BB6"/>
    <w:rsid w:val="00A82CB4"/>
    <w:rsid w:val="00A82D67"/>
    <w:rsid w:val="00A82E20"/>
    <w:rsid w:val="00A82F03"/>
    <w:rsid w:val="00A8308E"/>
    <w:rsid w:val="00A830C3"/>
    <w:rsid w:val="00A830EC"/>
    <w:rsid w:val="00A8349D"/>
    <w:rsid w:val="00A83523"/>
    <w:rsid w:val="00A8388D"/>
    <w:rsid w:val="00A8389A"/>
    <w:rsid w:val="00A838B0"/>
    <w:rsid w:val="00A83900"/>
    <w:rsid w:val="00A839AD"/>
    <w:rsid w:val="00A83A86"/>
    <w:rsid w:val="00A83AA6"/>
    <w:rsid w:val="00A83B9D"/>
    <w:rsid w:val="00A83BD6"/>
    <w:rsid w:val="00A83C2D"/>
    <w:rsid w:val="00A83C8D"/>
    <w:rsid w:val="00A83D74"/>
    <w:rsid w:val="00A83DC0"/>
    <w:rsid w:val="00A83EDA"/>
    <w:rsid w:val="00A83FD1"/>
    <w:rsid w:val="00A840DA"/>
    <w:rsid w:val="00A84216"/>
    <w:rsid w:val="00A84263"/>
    <w:rsid w:val="00A84268"/>
    <w:rsid w:val="00A84274"/>
    <w:rsid w:val="00A842D6"/>
    <w:rsid w:val="00A846B5"/>
    <w:rsid w:val="00A846DA"/>
    <w:rsid w:val="00A8470E"/>
    <w:rsid w:val="00A8498D"/>
    <w:rsid w:val="00A84B25"/>
    <w:rsid w:val="00A84B58"/>
    <w:rsid w:val="00A84C05"/>
    <w:rsid w:val="00A84C93"/>
    <w:rsid w:val="00A84D25"/>
    <w:rsid w:val="00A84FCF"/>
    <w:rsid w:val="00A85037"/>
    <w:rsid w:val="00A8508C"/>
    <w:rsid w:val="00A850AB"/>
    <w:rsid w:val="00A850D8"/>
    <w:rsid w:val="00A851D5"/>
    <w:rsid w:val="00A85278"/>
    <w:rsid w:val="00A852F2"/>
    <w:rsid w:val="00A854BC"/>
    <w:rsid w:val="00A85535"/>
    <w:rsid w:val="00A855A9"/>
    <w:rsid w:val="00A855C6"/>
    <w:rsid w:val="00A8581F"/>
    <w:rsid w:val="00A85871"/>
    <w:rsid w:val="00A85948"/>
    <w:rsid w:val="00A85A0E"/>
    <w:rsid w:val="00A85A4A"/>
    <w:rsid w:val="00A85A6B"/>
    <w:rsid w:val="00A85B86"/>
    <w:rsid w:val="00A85C10"/>
    <w:rsid w:val="00A85C93"/>
    <w:rsid w:val="00A85D50"/>
    <w:rsid w:val="00A85D81"/>
    <w:rsid w:val="00A85F35"/>
    <w:rsid w:val="00A85F89"/>
    <w:rsid w:val="00A85FD0"/>
    <w:rsid w:val="00A86011"/>
    <w:rsid w:val="00A86147"/>
    <w:rsid w:val="00A86162"/>
    <w:rsid w:val="00A86181"/>
    <w:rsid w:val="00A861D7"/>
    <w:rsid w:val="00A862FC"/>
    <w:rsid w:val="00A8642B"/>
    <w:rsid w:val="00A864A4"/>
    <w:rsid w:val="00A864EE"/>
    <w:rsid w:val="00A864F7"/>
    <w:rsid w:val="00A86515"/>
    <w:rsid w:val="00A865E8"/>
    <w:rsid w:val="00A8668A"/>
    <w:rsid w:val="00A866BA"/>
    <w:rsid w:val="00A8670B"/>
    <w:rsid w:val="00A8683F"/>
    <w:rsid w:val="00A8699B"/>
    <w:rsid w:val="00A869AE"/>
    <w:rsid w:val="00A86A40"/>
    <w:rsid w:val="00A86AC9"/>
    <w:rsid w:val="00A86B37"/>
    <w:rsid w:val="00A86C6C"/>
    <w:rsid w:val="00A86D48"/>
    <w:rsid w:val="00A86D72"/>
    <w:rsid w:val="00A86DFD"/>
    <w:rsid w:val="00A86E37"/>
    <w:rsid w:val="00A86F5A"/>
    <w:rsid w:val="00A8704F"/>
    <w:rsid w:val="00A87121"/>
    <w:rsid w:val="00A8718B"/>
    <w:rsid w:val="00A87288"/>
    <w:rsid w:val="00A872D6"/>
    <w:rsid w:val="00A87459"/>
    <w:rsid w:val="00A875DF"/>
    <w:rsid w:val="00A8760B"/>
    <w:rsid w:val="00A8766A"/>
    <w:rsid w:val="00A8779A"/>
    <w:rsid w:val="00A877C5"/>
    <w:rsid w:val="00A87A96"/>
    <w:rsid w:val="00A87B14"/>
    <w:rsid w:val="00A87B53"/>
    <w:rsid w:val="00A87C11"/>
    <w:rsid w:val="00A87D04"/>
    <w:rsid w:val="00A90110"/>
    <w:rsid w:val="00A9038E"/>
    <w:rsid w:val="00A90469"/>
    <w:rsid w:val="00A905B8"/>
    <w:rsid w:val="00A9083B"/>
    <w:rsid w:val="00A90974"/>
    <w:rsid w:val="00A90982"/>
    <w:rsid w:val="00A90A94"/>
    <w:rsid w:val="00A90AD6"/>
    <w:rsid w:val="00A90B7C"/>
    <w:rsid w:val="00A90BFA"/>
    <w:rsid w:val="00A90C7D"/>
    <w:rsid w:val="00A90C9E"/>
    <w:rsid w:val="00A90D87"/>
    <w:rsid w:val="00A90EF4"/>
    <w:rsid w:val="00A90FB9"/>
    <w:rsid w:val="00A90FD4"/>
    <w:rsid w:val="00A9108B"/>
    <w:rsid w:val="00A910C1"/>
    <w:rsid w:val="00A91275"/>
    <w:rsid w:val="00A91291"/>
    <w:rsid w:val="00A912A6"/>
    <w:rsid w:val="00A914D4"/>
    <w:rsid w:val="00A9152B"/>
    <w:rsid w:val="00A91593"/>
    <w:rsid w:val="00A915CF"/>
    <w:rsid w:val="00A91812"/>
    <w:rsid w:val="00A91828"/>
    <w:rsid w:val="00A91835"/>
    <w:rsid w:val="00A91959"/>
    <w:rsid w:val="00A919D7"/>
    <w:rsid w:val="00A91A04"/>
    <w:rsid w:val="00A91B1E"/>
    <w:rsid w:val="00A91C3E"/>
    <w:rsid w:val="00A91C93"/>
    <w:rsid w:val="00A91CAB"/>
    <w:rsid w:val="00A91DFE"/>
    <w:rsid w:val="00A91F76"/>
    <w:rsid w:val="00A9201F"/>
    <w:rsid w:val="00A9202A"/>
    <w:rsid w:val="00A9207D"/>
    <w:rsid w:val="00A921E4"/>
    <w:rsid w:val="00A92347"/>
    <w:rsid w:val="00A9240B"/>
    <w:rsid w:val="00A92710"/>
    <w:rsid w:val="00A92724"/>
    <w:rsid w:val="00A92833"/>
    <w:rsid w:val="00A928F7"/>
    <w:rsid w:val="00A92A02"/>
    <w:rsid w:val="00A92A94"/>
    <w:rsid w:val="00A92B95"/>
    <w:rsid w:val="00A92CB7"/>
    <w:rsid w:val="00A92D11"/>
    <w:rsid w:val="00A92DA3"/>
    <w:rsid w:val="00A92E2F"/>
    <w:rsid w:val="00A92ECF"/>
    <w:rsid w:val="00A93079"/>
    <w:rsid w:val="00A9308C"/>
    <w:rsid w:val="00A9310F"/>
    <w:rsid w:val="00A931F0"/>
    <w:rsid w:val="00A93402"/>
    <w:rsid w:val="00A934E6"/>
    <w:rsid w:val="00A935FA"/>
    <w:rsid w:val="00A9367D"/>
    <w:rsid w:val="00A93699"/>
    <w:rsid w:val="00A936C6"/>
    <w:rsid w:val="00A93762"/>
    <w:rsid w:val="00A937B5"/>
    <w:rsid w:val="00A93960"/>
    <w:rsid w:val="00A93A2F"/>
    <w:rsid w:val="00A93A3D"/>
    <w:rsid w:val="00A93ADB"/>
    <w:rsid w:val="00A93B18"/>
    <w:rsid w:val="00A93B44"/>
    <w:rsid w:val="00A93B56"/>
    <w:rsid w:val="00A93C86"/>
    <w:rsid w:val="00A93CD1"/>
    <w:rsid w:val="00A93CD3"/>
    <w:rsid w:val="00A93CD9"/>
    <w:rsid w:val="00A93F27"/>
    <w:rsid w:val="00A93F43"/>
    <w:rsid w:val="00A93FE5"/>
    <w:rsid w:val="00A94117"/>
    <w:rsid w:val="00A94205"/>
    <w:rsid w:val="00A94229"/>
    <w:rsid w:val="00A94232"/>
    <w:rsid w:val="00A943A7"/>
    <w:rsid w:val="00A94560"/>
    <w:rsid w:val="00A945AF"/>
    <w:rsid w:val="00A946FA"/>
    <w:rsid w:val="00A94732"/>
    <w:rsid w:val="00A9473A"/>
    <w:rsid w:val="00A94801"/>
    <w:rsid w:val="00A94867"/>
    <w:rsid w:val="00A94A6D"/>
    <w:rsid w:val="00A94A82"/>
    <w:rsid w:val="00A94BC7"/>
    <w:rsid w:val="00A94C6F"/>
    <w:rsid w:val="00A94CDB"/>
    <w:rsid w:val="00A94F2D"/>
    <w:rsid w:val="00A950CC"/>
    <w:rsid w:val="00A951C9"/>
    <w:rsid w:val="00A9522A"/>
    <w:rsid w:val="00A95345"/>
    <w:rsid w:val="00A953A5"/>
    <w:rsid w:val="00A95456"/>
    <w:rsid w:val="00A95508"/>
    <w:rsid w:val="00A95519"/>
    <w:rsid w:val="00A95598"/>
    <w:rsid w:val="00A95693"/>
    <w:rsid w:val="00A95775"/>
    <w:rsid w:val="00A95795"/>
    <w:rsid w:val="00A95932"/>
    <w:rsid w:val="00A95A50"/>
    <w:rsid w:val="00A95C3D"/>
    <w:rsid w:val="00A95CF4"/>
    <w:rsid w:val="00A95DBF"/>
    <w:rsid w:val="00A95E97"/>
    <w:rsid w:val="00A95EB4"/>
    <w:rsid w:val="00A9603B"/>
    <w:rsid w:val="00A9616F"/>
    <w:rsid w:val="00A962D0"/>
    <w:rsid w:val="00A96482"/>
    <w:rsid w:val="00A964DA"/>
    <w:rsid w:val="00A96517"/>
    <w:rsid w:val="00A96530"/>
    <w:rsid w:val="00A9654D"/>
    <w:rsid w:val="00A96724"/>
    <w:rsid w:val="00A9672C"/>
    <w:rsid w:val="00A968EE"/>
    <w:rsid w:val="00A96961"/>
    <w:rsid w:val="00A96A5C"/>
    <w:rsid w:val="00A96D32"/>
    <w:rsid w:val="00A96EA6"/>
    <w:rsid w:val="00A97017"/>
    <w:rsid w:val="00A970F6"/>
    <w:rsid w:val="00A971A6"/>
    <w:rsid w:val="00A971BF"/>
    <w:rsid w:val="00A971F7"/>
    <w:rsid w:val="00A97244"/>
    <w:rsid w:val="00A972C4"/>
    <w:rsid w:val="00A97347"/>
    <w:rsid w:val="00A973C6"/>
    <w:rsid w:val="00A974FD"/>
    <w:rsid w:val="00A9776B"/>
    <w:rsid w:val="00A978CB"/>
    <w:rsid w:val="00A97922"/>
    <w:rsid w:val="00A97B94"/>
    <w:rsid w:val="00A97D71"/>
    <w:rsid w:val="00A97DAD"/>
    <w:rsid w:val="00A97DE5"/>
    <w:rsid w:val="00AA002B"/>
    <w:rsid w:val="00AA0063"/>
    <w:rsid w:val="00AA015F"/>
    <w:rsid w:val="00AA01D2"/>
    <w:rsid w:val="00AA01E7"/>
    <w:rsid w:val="00AA03E6"/>
    <w:rsid w:val="00AA06D8"/>
    <w:rsid w:val="00AA06FF"/>
    <w:rsid w:val="00AA08F8"/>
    <w:rsid w:val="00AA0973"/>
    <w:rsid w:val="00AA0A30"/>
    <w:rsid w:val="00AA0AFA"/>
    <w:rsid w:val="00AA0CB5"/>
    <w:rsid w:val="00AA0D39"/>
    <w:rsid w:val="00AA0D8A"/>
    <w:rsid w:val="00AA0DEF"/>
    <w:rsid w:val="00AA0E4A"/>
    <w:rsid w:val="00AA0F26"/>
    <w:rsid w:val="00AA0F42"/>
    <w:rsid w:val="00AA1173"/>
    <w:rsid w:val="00AA1383"/>
    <w:rsid w:val="00AA1427"/>
    <w:rsid w:val="00AA1442"/>
    <w:rsid w:val="00AA155B"/>
    <w:rsid w:val="00AA159F"/>
    <w:rsid w:val="00AA160D"/>
    <w:rsid w:val="00AA171B"/>
    <w:rsid w:val="00AA174E"/>
    <w:rsid w:val="00AA17E7"/>
    <w:rsid w:val="00AA1A84"/>
    <w:rsid w:val="00AA1C5F"/>
    <w:rsid w:val="00AA1D89"/>
    <w:rsid w:val="00AA1DEC"/>
    <w:rsid w:val="00AA1F33"/>
    <w:rsid w:val="00AA207E"/>
    <w:rsid w:val="00AA20E7"/>
    <w:rsid w:val="00AA2134"/>
    <w:rsid w:val="00AA2363"/>
    <w:rsid w:val="00AA2446"/>
    <w:rsid w:val="00AA244D"/>
    <w:rsid w:val="00AA2514"/>
    <w:rsid w:val="00AA27AF"/>
    <w:rsid w:val="00AA284A"/>
    <w:rsid w:val="00AA290E"/>
    <w:rsid w:val="00AA29FE"/>
    <w:rsid w:val="00AA2BB9"/>
    <w:rsid w:val="00AA2CB6"/>
    <w:rsid w:val="00AA2CBD"/>
    <w:rsid w:val="00AA2D9C"/>
    <w:rsid w:val="00AA2F2D"/>
    <w:rsid w:val="00AA2F39"/>
    <w:rsid w:val="00AA2F8E"/>
    <w:rsid w:val="00AA3036"/>
    <w:rsid w:val="00AA3084"/>
    <w:rsid w:val="00AA30A2"/>
    <w:rsid w:val="00AA30B4"/>
    <w:rsid w:val="00AA319D"/>
    <w:rsid w:val="00AA32DC"/>
    <w:rsid w:val="00AA33B9"/>
    <w:rsid w:val="00AA3438"/>
    <w:rsid w:val="00AA34E1"/>
    <w:rsid w:val="00AA35C6"/>
    <w:rsid w:val="00AA3605"/>
    <w:rsid w:val="00AA3640"/>
    <w:rsid w:val="00AA369A"/>
    <w:rsid w:val="00AA389F"/>
    <w:rsid w:val="00AA38EF"/>
    <w:rsid w:val="00AA396A"/>
    <w:rsid w:val="00AA3A05"/>
    <w:rsid w:val="00AA3A0E"/>
    <w:rsid w:val="00AA3AF7"/>
    <w:rsid w:val="00AA3B04"/>
    <w:rsid w:val="00AA3B17"/>
    <w:rsid w:val="00AA3B88"/>
    <w:rsid w:val="00AA3CF4"/>
    <w:rsid w:val="00AA3D8B"/>
    <w:rsid w:val="00AA3DB3"/>
    <w:rsid w:val="00AA3DEB"/>
    <w:rsid w:val="00AA3EAB"/>
    <w:rsid w:val="00AA3F1E"/>
    <w:rsid w:val="00AA3F87"/>
    <w:rsid w:val="00AA3FEA"/>
    <w:rsid w:val="00AA403C"/>
    <w:rsid w:val="00AA406A"/>
    <w:rsid w:val="00AA4187"/>
    <w:rsid w:val="00AA41A1"/>
    <w:rsid w:val="00AA420E"/>
    <w:rsid w:val="00AA423D"/>
    <w:rsid w:val="00AA428F"/>
    <w:rsid w:val="00AA42AD"/>
    <w:rsid w:val="00AA4321"/>
    <w:rsid w:val="00AA4323"/>
    <w:rsid w:val="00AA449D"/>
    <w:rsid w:val="00AA4535"/>
    <w:rsid w:val="00AA46A9"/>
    <w:rsid w:val="00AA4739"/>
    <w:rsid w:val="00AA4784"/>
    <w:rsid w:val="00AA487A"/>
    <w:rsid w:val="00AA48D6"/>
    <w:rsid w:val="00AA4939"/>
    <w:rsid w:val="00AA493F"/>
    <w:rsid w:val="00AA495A"/>
    <w:rsid w:val="00AA4A82"/>
    <w:rsid w:val="00AA4DF1"/>
    <w:rsid w:val="00AA4E93"/>
    <w:rsid w:val="00AA4E96"/>
    <w:rsid w:val="00AA4FFD"/>
    <w:rsid w:val="00AA50EF"/>
    <w:rsid w:val="00AA521D"/>
    <w:rsid w:val="00AA52CE"/>
    <w:rsid w:val="00AA5492"/>
    <w:rsid w:val="00AA549E"/>
    <w:rsid w:val="00AA57C3"/>
    <w:rsid w:val="00AA5824"/>
    <w:rsid w:val="00AA58BE"/>
    <w:rsid w:val="00AA5940"/>
    <w:rsid w:val="00AA5952"/>
    <w:rsid w:val="00AA5A2B"/>
    <w:rsid w:val="00AA5A59"/>
    <w:rsid w:val="00AA5AB6"/>
    <w:rsid w:val="00AA5AC2"/>
    <w:rsid w:val="00AA5B04"/>
    <w:rsid w:val="00AA5B1E"/>
    <w:rsid w:val="00AA5B3F"/>
    <w:rsid w:val="00AA5B8C"/>
    <w:rsid w:val="00AA5D32"/>
    <w:rsid w:val="00AA5E3A"/>
    <w:rsid w:val="00AA5E63"/>
    <w:rsid w:val="00AA60FE"/>
    <w:rsid w:val="00AA61C4"/>
    <w:rsid w:val="00AA6215"/>
    <w:rsid w:val="00AA6218"/>
    <w:rsid w:val="00AA626F"/>
    <w:rsid w:val="00AA6309"/>
    <w:rsid w:val="00AA632A"/>
    <w:rsid w:val="00AA63E7"/>
    <w:rsid w:val="00AA643F"/>
    <w:rsid w:val="00AA666F"/>
    <w:rsid w:val="00AA6786"/>
    <w:rsid w:val="00AA67A0"/>
    <w:rsid w:val="00AA67B2"/>
    <w:rsid w:val="00AA680C"/>
    <w:rsid w:val="00AA6853"/>
    <w:rsid w:val="00AA68F8"/>
    <w:rsid w:val="00AA6A45"/>
    <w:rsid w:val="00AA6B1D"/>
    <w:rsid w:val="00AA6B1F"/>
    <w:rsid w:val="00AA6BCA"/>
    <w:rsid w:val="00AA6CC0"/>
    <w:rsid w:val="00AA6EBB"/>
    <w:rsid w:val="00AA713E"/>
    <w:rsid w:val="00AA71B4"/>
    <w:rsid w:val="00AA7263"/>
    <w:rsid w:val="00AA73FA"/>
    <w:rsid w:val="00AA7492"/>
    <w:rsid w:val="00AA74AB"/>
    <w:rsid w:val="00AA75DF"/>
    <w:rsid w:val="00AA760D"/>
    <w:rsid w:val="00AA77F6"/>
    <w:rsid w:val="00AA7854"/>
    <w:rsid w:val="00AA7B03"/>
    <w:rsid w:val="00AA7BA7"/>
    <w:rsid w:val="00AA7C01"/>
    <w:rsid w:val="00AA7C69"/>
    <w:rsid w:val="00AA7CF8"/>
    <w:rsid w:val="00AA7D77"/>
    <w:rsid w:val="00AA7DB6"/>
    <w:rsid w:val="00AB0013"/>
    <w:rsid w:val="00AB0083"/>
    <w:rsid w:val="00AB01BD"/>
    <w:rsid w:val="00AB027B"/>
    <w:rsid w:val="00AB02BD"/>
    <w:rsid w:val="00AB02D1"/>
    <w:rsid w:val="00AB051E"/>
    <w:rsid w:val="00AB0660"/>
    <w:rsid w:val="00AB067E"/>
    <w:rsid w:val="00AB06E6"/>
    <w:rsid w:val="00AB08C6"/>
    <w:rsid w:val="00AB0B12"/>
    <w:rsid w:val="00AB0B38"/>
    <w:rsid w:val="00AB0C25"/>
    <w:rsid w:val="00AB0D70"/>
    <w:rsid w:val="00AB0D79"/>
    <w:rsid w:val="00AB0FD6"/>
    <w:rsid w:val="00AB1027"/>
    <w:rsid w:val="00AB1217"/>
    <w:rsid w:val="00AB1405"/>
    <w:rsid w:val="00AB14F0"/>
    <w:rsid w:val="00AB1584"/>
    <w:rsid w:val="00AB15ED"/>
    <w:rsid w:val="00AB178F"/>
    <w:rsid w:val="00AB1814"/>
    <w:rsid w:val="00AB181E"/>
    <w:rsid w:val="00AB1A8C"/>
    <w:rsid w:val="00AB1A93"/>
    <w:rsid w:val="00AB1B45"/>
    <w:rsid w:val="00AB1C6D"/>
    <w:rsid w:val="00AB1D7C"/>
    <w:rsid w:val="00AB1E69"/>
    <w:rsid w:val="00AB1E81"/>
    <w:rsid w:val="00AB1F76"/>
    <w:rsid w:val="00AB212E"/>
    <w:rsid w:val="00AB2275"/>
    <w:rsid w:val="00AB22F4"/>
    <w:rsid w:val="00AB243A"/>
    <w:rsid w:val="00AB24AB"/>
    <w:rsid w:val="00AB2532"/>
    <w:rsid w:val="00AB2535"/>
    <w:rsid w:val="00AB2543"/>
    <w:rsid w:val="00AB27C8"/>
    <w:rsid w:val="00AB287A"/>
    <w:rsid w:val="00AB2967"/>
    <w:rsid w:val="00AB2A22"/>
    <w:rsid w:val="00AB2B30"/>
    <w:rsid w:val="00AB2C13"/>
    <w:rsid w:val="00AB2C27"/>
    <w:rsid w:val="00AB2C3E"/>
    <w:rsid w:val="00AB2D19"/>
    <w:rsid w:val="00AB2E22"/>
    <w:rsid w:val="00AB2EAE"/>
    <w:rsid w:val="00AB3082"/>
    <w:rsid w:val="00AB3182"/>
    <w:rsid w:val="00AB33E4"/>
    <w:rsid w:val="00AB35A3"/>
    <w:rsid w:val="00AB3682"/>
    <w:rsid w:val="00AB36FC"/>
    <w:rsid w:val="00AB3830"/>
    <w:rsid w:val="00AB38DB"/>
    <w:rsid w:val="00AB38E1"/>
    <w:rsid w:val="00AB3980"/>
    <w:rsid w:val="00AB3982"/>
    <w:rsid w:val="00AB39C8"/>
    <w:rsid w:val="00AB3A53"/>
    <w:rsid w:val="00AB3A75"/>
    <w:rsid w:val="00AB3BFA"/>
    <w:rsid w:val="00AB3D40"/>
    <w:rsid w:val="00AB3EE8"/>
    <w:rsid w:val="00AB40E0"/>
    <w:rsid w:val="00AB412F"/>
    <w:rsid w:val="00AB4193"/>
    <w:rsid w:val="00AB41F3"/>
    <w:rsid w:val="00AB4305"/>
    <w:rsid w:val="00AB433D"/>
    <w:rsid w:val="00AB4429"/>
    <w:rsid w:val="00AB450B"/>
    <w:rsid w:val="00AB4659"/>
    <w:rsid w:val="00AB4706"/>
    <w:rsid w:val="00AB486A"/>
    <w:rsid w:val="00AB48DA"/>
    <w:rsid w:val="00AB490F"/>
    <w:rsid w:val="00AB4A4D"/>
    <w:rsid w:val="00AB4A69"/>
    <w:rsid w:val="00AB4B86"/>
    <w:rsid w:val="00AB4D68"/>
    <w:rsid w:val="00AB4EB1"/>
    <w:rsid w:val="00AB4EFC"/>
    <w:rsid w:val="00AB4F09"/>
    <w:rsid w:val="00AB512B"/>
    <w:rsid w:val="00AB5146"/>
    <w:rsid w:val="00AB5198"/>
    <w:rsid w:val="00AB533F"/>
    <w:rsid w:val="00AB53B0"/>
    <w:rsid w:val="00AB5632"/>
    <w:rsid w:val="00AB577C"/>
    <w:rsid w:val="00AB57C7"/>
    <w:rsid w:val="00AB58BF"/>
    <w:rsid w:val="00AB58F9"/>
    <w:rsid w:val="00AB5937"/>
    <w:rsid w:val="00AB59B9"/>
    <w:rsid w:val="00AB59C9"/>
    <w:rsid w:val="00AB5AA0"/>
    <w:rsid w:val="00AB5BD7"/>
    <w:rsid w:val="00AB5CD6"/>
    <w:rsid w:val="00AB5CF9"/>
    <w:rsid w:val="00AB5D12"/>
    <w:rsid w:val="00AB5E1D"/>
    <w:rsid w:val="00AB5E25"/>
    <w:rsid w:val="00AB5E88"/>
    <w:rsid w:val="00AB5E8D"/>
    <w:rsid w:val="00AB5FF7"/>
    <w:rsid w:val="00AB6001"/>
    <w:rsid w:val="00AB6052"/>
    <w:rsid w:val="00AB605C"/>
    <w:rsid w:val="00AB605E"/>
    <w:rsid w:val="00AB60FE"/>
    <w:rsid w:val="00AB6113"/>
    <w:rsid w:val="00AB61D1"/>
    <w:rsid w:val="00AB62C9"/>
    <w:rsid w:val="00AB62F5"/>
    <w:rsid w:val="00AB631C"/>
    <w:rsid w:val="00AB638E"/>
    <w:rsid w:val="00AB63BA"/>
    <w:rsid w:val="00AB6428"/>
    <w:rsid w:val="00AB6507"/>
    <w:rsid w:val="00AB658F"/>
    <w:rsid w:val="00AB65BA"/>
    <w:rsid w:val="00AB6692"/>
    <w:rsid w:val="00AB6714"/>
    <w:rsid w:val="00AB6720"/>
    <w:rsid w:val="00AB6873"/>
    <w:rsid w:val="00AB68C4"/>
    <w:rsid w:val="00AB6917"/>
    <w:rsid w:val="00AB6A1A"/>
    <w:rsid w:val="00AB6AB5"/>
    <w:rsid w:val="00AB6B33"/>
    <w:rsid w:val="00AB6B5F"/>
    <w:rsid w:val="00AB6C00"/>
    <w:rsid w:val="00AB6C72"/>
    <w:rsid w:val="00AB6CC7"/>
    <w:rsid w:val="00AB6D98"/>
    <w:rsid w:val="00AB6E59"/>
    <w:rsid w:val="00AB6EE5"/>
    <w:rsid w:val="00AB6FD6"/>
    <w:rsid w:val="00AB6FE7"/>
    <w:rsid w:val="00AB700D"/>
    <w:rsid w:val="00AB70C8"/>
    <w:rsid w:val="00AB710E"/>
    <w:rsid w:val="00AB7298"/>
    <w:rsid w:val="00AB742F"/>
    <w:rsid w:val="00AB761D"/>
    <w:rsid w:val="00AB765D"/>
    <w:rsid w:val="00AB76ED"/>
    <w:rsid w:val="00AB776F"/>
    <w:rsid w:val="00AB7849"/>
    <w:rsid w:val="00AB788A"/>
    <w:rsid w:val="00AB7A52"/>
    <w:rsid w:val="00AB7A91"/>
    <w:rsid w:val="00AB7AF0"/>
    <w:rsid w:val="00AB7BAB"/>
    <w:rsid w:val="00AB7BEC"/>
    <w:rsid w:val="00AB7CA3"/>
    <w:rsid w:val="00AB7CBF"/>
    <w:rsid w:val="00AB7D47"/>
    <w:rsid w:val="00AC0001"/>
    <w:rsid w:val="00AC00D3"/>
    <w:rsid w:val="00AC0110"/>
    <w:rsid w:val="00AC016D"/>
    <w:rsid w:val="00AC01A6"/>
    <w:rsid w:val="00AC02C4"/>
    <w:rsid w:val="00AC0326"/>
    <w:rsid w:val="00AC0483"/>
    <w:rsid w:val="00AC04F1"/>
    <w:rsid w:val="00AC055B"/>
    <w:rsid w:val="00AC05AC"/>
    <w:rsid w:val="00AC067B"/>
    <w:rsid w:val="00AC0741"/>
    <w:rsid w:val="00AC0762"/>
    <w:rsid w:val="00AC08BA"/>
    <w:rsid w:val="00AC08C2"/>
    <w:rsid w:val="00AC0B87"/>
    <w:rsid w:val="00AC0BA4"/>
    <w:rsid w:val="00AC0C8B"/>
    <w:rsid w:val="00AC0CDA"/>
    <w:rsid w:val="00AC0D7E"/>
    <w:rsid w:val="00AC0DD1"/>
    <w:rsid w:val="00AC1055"/>
    <w:rsid w:val="00AC1079"/>
    <w:rsid w:val="00AC10B0"/>
    <w:rsid w:val="00AC10E2"/>
    <w:rsid w:val="00AC1114"/>
    <w:rsid w:val="00AC11E3"/>
    <w:rsid w:val="00AC1369"/>
    <w:rsid w:val="00AC14FD"/>
    <w:rsid w:val="00AC151B"/>
    <w:rsid w:val="00AC1828"/>
    <w:rsid w:val="00AC1A58"/>
    <w:rsid w:val="00AC1AA4"/>
    <w:rsid w:val="00AC1AC1"/>
    <w:rsid w:val="00AC1B37"/>
    <w:rsid w:val="00AC1C5A"/>
    <w:rsid w:val="00AC1D31"/>
    <w:rsid w:val="00AC1D42"/>
    <w:rsid w:val="00AC1D9F"/>
    <w:rsid w:val="00AC1DA6"/>
    <w:rsid w:val="00AC201B"/>
    <w:rsid w:val="00AC20ED"/>
    <w:rsid w:val="00AC2171"/>
    <w:rsid w:val="00AC2190"/>
    <w:rsid w:val="00AC22FE"/>
    <w:rsid w:val="00AC23B2"/>
    <w:rsid w:val="00AC23D2"/>
    <w:rsid w:val="00AC24DA"/>
    <w:rsid w:val="00AC25AE"/>
    <w:rsid w:val="00AC26AF"/>
    <w:rsid w:val="00AC2757"/>
    <w:rsid w:val="00AC27BB"/>
    <w:rsid w:val="00AC282C"/>
    <w:rsid w:val="00AC2833"/>
    <w:rsid w:val="00AC2845"/>
    <w:rsid w:val="00AC289A"/>
    <w:rsid w:val="00AC2AB9"/>
    <w:rsid w:val="00AC2F5B"/>
    <w:rsid w:val="00AC2F8D"/>
    <w:rsid w:val="00AC308A"/>
    <w:rsid w:val="00AC3090"/>
    <w:rsid w:val="00AC31E5"/>
    <w:rsid w:val="00AC3295"/>
    <w:rsid w:val="00AC333B"/>
    <w:rsid w:val="00AC3383"/>
    <w:rsid w:val="00AC34B6"/>
    <w:rsid w:val="00AC34EC"/>
    <w:rsid w:val="00AC3565"/>
    <w:rsid w:val="00AC3577"/>
    <w:rsid w:val="00AC3627"/>
    <w:rsid w:val="00AC36BB"/>
    <w:rsid w:val="00AC3C42"/>
    <w:rsid w:val="00AC3CA4"/>
    <w:rsid w:val="00AC3D0B"/>
    <w:rsid w:val="00AC3F40"/>
    <w:rsid w:val="00AC3FE7"/>
    <w:rsid w:val="00AC40C9"/>
    <w:rsid w:val="00AC414E"/>
    <w:rsid w:val="00AC423B"/>
    <w:rsid w:val="00AC4242"/>
    <w:rsid w:val="00AC424A"/>
    <w:rsid w:val="00AC428C"/>
    <w:rsid w:val="00AC444C"/>
    <w:rsid w:val="00AC4825"/>
    <w:rsid w:val="00AC486D"/>
    <w:rsid w:val="00AC49BA"/>
    <w:rsid w:val="00AC4A31"/>
    <w:rsid w:val="00AC4AFF"/>
    <w:rsid w:val="00AC4CA5"/>
    <w:rsid w:val="00AC4CF1"/>
    <w:rsid w:val="00AC4D3A"/>
    <w:rsid w:val="00AC4D4F"/>
    <w:rsid w:val="00AC4E9D"/>
    <w:rsid w:val="00AC5045"/>
    <w:rsid w:val="00AC5050"/>
    <w:rsid w:val="00AC5092"/>
    <w:rsid w:val="00AC5270"/>
    <w:rsid w:val="00AC5278"/>
    <w:rsid w:val="00AC5318"/>
    <w:rsid w:val="00AC5346"/>
    <w:rsid w:val="00AC557A"/>
    <w:rsid w:val="00AC560F"/>
    <w:rsid w:val="00AC5709"/>
    <w:rsid w:val="00AC5810"/>
    <w:rsid w:val="00AC586C"/>
    <w:rsid w:val="00AC58BE"/>
    <w:rsid w:val="00AC58E9"/>
    <w:rsid w:val="00AC5976"/>
    <w:rsid w:val="00AC59F0"/>
    <w:rsid w:val="00AC5A44"/>
    <w:rsid w:val="00AC5A67"/>
    <w:rsid w:val="00AC5B3C"/>
    <w:rsid w:val="00AC5D37"/>
    <w:rsid w:val="00AC5D6F"/>
    <w:rsid w:val="00AC5E73"/>
    <w:rsid w:val="00AC5E7F"/>
    <w:rsid w:val="00AC5F36"/>
    <w:rsid w:val="00AC60AB"/>
    <w:rsid w:val="00AC60E0"/>
    <w:rsid w:val="00AC617D"/>
    <w:rsid w:val="00AC6189"/>
    <w:rsid w:val="00AC622D"/>
    <w:rsid w:val="00AC6242"/>
    <w:rsid w:val="00AC6280"/>
    <w:rsid w:val="00AC6299"/>
    <w:rsid w:val="00AC6327"/>
    <w:rsid w:val="00AC6350"/>
    <w:rsid w:val="00AC6398"/>
    <w:rsid w:val="00AC64E0"/>
    <w:rsid w:val="00AC660D"/>
    <w:rsid w:val="00AC6611"/>
    <w:rsid w:val="00AC68B2"/>
    <w:rsid w:val="00AC68F8"/>
    <w:rsid w:val="00AC6A2D"/>
    <w:rsid w:val="00AC6A9D"/>
    <w:rsid w:val="00AC6BF5"/>
    <w:rsid w:val="00AC6D18"/>
    <w:rsid w:val="00AC6EC6"/>
    <w:rsid w:val="00AC6F4E"/>
    <w:rsid w:val="00AC7033"/>
    <w:rsid w:val="00AC7046"/>
    <w:rsid w:val="00AC704A"/>
    <w:rsid w:val="00AC7207"/>
    <w:rsid w:val="00AC721F"/>
    <w:rsid w:val="00AC72FF"/>
    <w:rsid w:val="00AC7404"/>
    <w:rsid w:val="00AC742E"/>
    <w:rsid w:val="00AC7465"/>
    <w:rsid w:val="00AC7485"/>
    <w:rsid w:val="00AC7502"/>
    <w:rsid w:val="00AC75CE"/>
    <w:rsid w:val="00AC7629"/>
    <w:rsid w:val="00AC7641"/>
    <w:rsid w:val="00AC76F6"/>
    <w:rsid w:val="00AC77AB"/>
    <w:rsid w:val="00AC7857"/>
    <w:rsid w:val="00AC78DF"/>
    <w:rsid w:val="00AC7946"/>
    <w:rsid w:val="00AC7948"/>
    <w:rsid w:val="00AC7ABD"/>
    <w:rsid w:val="00AC7B1B"/>
    <w:rsid w:val="00AC7BA1"/>
    <w:rsid w:val="00AC7C3F"/>
    <w:rsid w:val="00AC7D2F"/>
    <w:rsid w:val="00AC7D60"/>
    <w:rsid w:val="00AC7DCD"/>
    <w:rsid w:val="00AC7F75"/>
    <w:rsid w:val="00AD01EE"/>
    <w:rsid w:val="00AD0243"/>
    <w:rsid w:val="00AD041D"/>
    <w:rsid w:val="00AD05A2"/>
    <w:rsid w:val="00AD05F4"/>
    <w:rsid w:val="00AD0689"/>
    <w:rsid w:val="00AD06ED"/>
    <w:rsid w:val="00AD081C"/>
    <w:rsid w:val="00AD0983"/>
    <w:rsid w:val="00AD0A6A"/>
    <w:rsid w:val="00AD0CD8"/>
    <w:rsid w:val="00AD0E0A"/>
    <w:rsid w:val="00AD0E19"/>
    <w:rsid w:val="00AD0EF0"/>
    <w:rsid w:val="00AD0F05"/>
    <w:rsid w:val="00AD0FCE"/>
    <w:rsid w:val="00AD102C"/>
    <w:rsid w:val="00AD1211"/>
    <w:rsid w:val="00AD12BC"/>
    <w:rsid w:val="00AD12F8"/>
    <w:rsid w:val="00AD13BC"/>
    <w:rsid w:val="00AD1480"/>
    <w:rsid w:val="00AD15BE"/>
    <w:rsid w:val="00AD1636"/>
    <w:rsid w:val="00AD16A7"/>
    <w:rsid w:val="00AD16D1"/>
    <w:rsid w:val="00AD16F5"/>
    <w:rsid w:val="00AD18EF"/>
    <w:rsid w:val="00AD18FC"/>
    <w:rsid w:val="00AD1997"/>
    <w:rsid w:val="00AD1AF0"/>
    <w:rsid w:val="00AD1D1E"/>
    <w:rsid w:val="00AD1D7B"/>
    <w:rsid w:val="00AD1DF5"/>
    <w:rsid w:val="00AD1E90"/>
    <w:rsid w:val="00AD1E9D"/>
    <w:rsid w:val="00AD1EA4"/>
    <w:rsid w:val="00AD1F3D"/>
    <w:rsid w:val="00AD1FAB"/>
    <w:rsid w:val="00AD202A"/>
    <w:rsid w:val="00AD21B6"/>
    <w:rsid w:val="00AD2246"/>
    <w:rsid w:val="00AD2294"/>
    <w:rsid w:val="00AD22DD"/>
    <w:rsid w:val="00AD2301"/>
    <w:rsid w:val="00AD2322"/>
    <w:rsid w:val="00AD2507"/>
    <w:rsid w:val="00AD2523"/>
    <w:rsid w:val="00AD260E"/>
    <w:rsid w:val="00AD265F"/>
    <w:rsid w:val="00AD26CC"/>
    <w:rsid w:val="00AD2722"/>
    <w:rsid w:val="00AD2912"/>
    <w:rsid w:val="00AD29B1"/>
    <w:rsid w:val="00AD29C4"/>
    <w:rsid w:val="00AD2A8C"/>
    <w:rsid w:val="00AD2B40"/>
    <w:rsid w:val="00AD2BB5"/>
    <w:rsid w:val="00AD2CAB"/>
    <w:rsid w:val="00AD2CB2"/>
    <w:rsid w:val="00AD2FC1"/>
    <w:rsid w:val="00AD3075"/>
    <w:rsid w:val="00AD325C"/>
    <w:rsid w:val="00AD3287"/>
    <w:rsid w:val="00AD343D"/>
    <w:rsid w:val="00AD3493"/>
    <w:rsid w:val="00AD3663"/>
    <w:rsid w:val="00AD3687"/>
    <w:rsid w:val="00AD36DF"/>
    <w:rsid w:val="00AD3820"/>
    <w:rsid w:val="00AD391E"/>
    <w:rsid w:val="00AD3957"/>
    <w:rsid w:val="00AD3A25"/>
    <w:rsid w:val="00AD3A77"/>
    <w:rsid w:val="00AD3A89"/>
    <w:rsid w:val="00AD3BC9"/>
    <w:rsid w:val="00AD3C07"/>
    <w:rsid w:val="00AD3D18"/>
    <w:rsid w:val="00AD3EFD"/>
    <w:rsid w:val="00AD4009"/>
    <w:rsid w:val="00AD407B"/>
    <w:rsid w:val="00AD40D9"/>
    <w:rsid w:val="00AD4275"/>
    <w:rsid w:val="00AD4355"/>
    <w:rsid w:val="00AD4517"/>
    <w:rsid w:val="00AD48FD"/>
    <w:rsid w:val="00AD4BD8"/>
    <w:rsid w:val="00AD4D1D"/>
    <w:rsid w:val="00AD4E90"/>
    <w:rsid w:val="00AD4EBE"/>
    <w:rsid w:val="00AD4F12"/>
    <w:rsid w:val="00AD4FEA"/>
    <w:rsid w:val="00AD50F8"/>
    <w:rsid w:val="00AD515F"/>
    <w:rsid w:val="00AD5166"/>
    <w:rsid w:val="00AD5173"/>
    <w:rsid w:val="00AD5314"/>
    <w:rsid w:val="00AD53EC"/>
    <w:rsid w:val="00AD541E"/>
    <w:rsid w:val="00AD5431"/>
    <w:rsid w:val="00AD5498"/>
    <w:rsid w:val="00AD54E9"/>
    <w:rsid w:val="00AD54ED"/>
    <w:rsid w:val="00AD5630"/>
    <w:rsid w:val="00AD5693"/>
    <w:rsid w:val="00AD56FB"/>
    <w:rsid w:val="00AD581A"/>
    <w:rsid w:val="00AD59AD"/>
    <w:rsid w:val="00AD5DF6"/>
    <w:rsid w:val="00AD5E0C"/>
    <w:rsid w:val="00AD5EF4"/>
    <w:rsid w:val="00AD5F2F"/>
    <w:rsid w:val="00AD6216"/>
    <w:rsid w:val="00AD63E5"/>
    <w:rsid w:val="00AD63FA"/>
    <w:rsid w:val="00AD659D"/>
    <w:rsid w:val="00AD65CD"/>
    <w:rsid w:val="00AD66FE"/>
    <w:rsid w:val="00AD688A"/>
    <w:rsid w:val="00AD6919"/>
    <w:rsid w:val="00AD6940"/>
    <w:rsid w:val="00AD698E"/>
    <w:rsid w:val="00AD6DA3"/>
    <w:rsid w:val="00AD6DB5"/>
    <w:rsid w:val="00AD6DC2"/>
    <w:rsid w:val="00AD6E08"/>
    <w:rsid w:val="00AD6ECA"/>
    <w:rsid w:val="00AD71C3"/>
    <w:rsid w:val="00AD72EA"/>
    <w:rsid w:val="00AD733F"/>
    <w:rsid w:val="00AD73BB"/>
    <w:rsid w:val="00AD74CB"/>
    <w:rsid w:val="00AD7651"/>
    <w:rsid w:val="00AD76DD"/>
    <w:rsid w:val="00AD76F6"/>
    <w:rsid w:val="00AD77BB"/>
    <w:rsid w:val="00AD785B"/>
    <w:rsid w:val="00AD78D8"/>
    <w:rsid w:val="00AD7910"/>
    <w:rsid w:val="00AD79CA"/>
    <w:rsid w:val="00AD7A00"/>
    <w:rsid w:val="00AD7A3D"/>
    <w:rsid w:val="00AD7AEB"/>
    <w:rsid w:val="00AD7B17"/>
    <w:rsid w:val="00AD7B7B"/>
    <w:rsid w:val="00AD7C50"/>
    <w:rsid w:val="00AD7D45"/>
    <w:rsid w:val="00AD7D5B"/>
    <w:rsid w:val="00AD7DA8"/>
    <w:rsid w:val="00AD7E0F"/>
    <w:rsid w:val="00AD7E19"/>
    <w:rsid w:val="00AD7F02"/>
    <w:rsid w:val="00AD7F27"/>
    <w:rsid w:val="00AD7F62"/>
    <w:rsid w:val="00AE0148"/>
    <w:rsid w:val="00AE015E"/>
    <w:rsid w:val="00AE0241"/>
    <w:rsid w:val="00AE02F8"/>
    <w:rsid w:val="00AE04F8"/>
    <w:rsid w:val="00AE05BB"/>
    <w:rsid w:val="00AE0805"/>
    <w:rsid w:val="00AE0A12"/>
    <w:rsid w:val="00AE0A8C"/>
    <w:rsid w:val="00AE0AC2"/>
    <w:rsid w:val="00AE0B84"/>
    <w:rsid w:val="00AE0BBF"/>
    <w:rsid w:val="00AE0CBA"/>
    <w:rsid w:val="00AE0CED"/>
    <w:rsid w:val="00AE0E01"/>
    <w:rsid w:val="00AE10A4"/>
    <w:rsid w:val="00AE1142"/>
    <w:rsid w:val="00AE11A9"/>
    <w:rsid w:val="00AE1239"/>
    <w:rsid w:val="00AE12BB"/>
    <w:rsid w:val="00AE15FB"/>
    <w:rsid w:val="00AE15FD"/>
    <w:rsid w:val="00AE180A"/>
    <w:rsid w:val="00AE1A78"/>
    <w:rsid w:val="00AE1AA7"/>
    <w:rsid w:val="00AE1B38"/>
    <w:rsid w:val="00AE1B6F"/>
    <w:rsid w:val="00AE1CF1"/>
    <w:rsid w:val="00AE1D18"/>
    <w:rsid w:val="00AE1D65"/>
    <w:rsid w:val="00AE1DEA"/>
    <w:rsid w:val="00AE1E27"/>
    <w:rsid w:val="00AE1E2A"/>
    <w:rsid w:val="00AE1E68"/>
    <w:rsid w:val="00AE1EB1"/>
    <w:rsid w:val="00AE1FF6"/>
    <w:rsid w:val="00AE21AB"/>
    <w:rsid w:val="00AE2367"/>
    <w:rsid w:val="00AE2404"/>
    <w:rsid w:val="00AE2691"/>
    <w:rsid w:val="00AE26A7"/>
    <w:rsid w:val="00AE273B"/>
    <w:rsid w:val="00AE27F3"/>
    <w:rsid w:val="00AE2836"/>
    <w:rsid w:val="00AE28E7"/>
    <w:rsid w:val="00AE2907"/>
    <w:rsid w:val="00AE2917"/>
    <w:rsid w:val="00AE29E8"/>
    <w:rsid w:val="00AE2A9A"/>
    <w:rsid w:val="00AE2AA7"/>
    <w:rsid w:val="00AE2B59"/>
    <w:rsid w:val="00AE2C18"/>
    <w:rsid w:val="00AE2C59"/>
    <w:rsid w:val="00AE2D65"/>
    <w:rsid w:val="00AE2DEA"/>
    <w:rsid w:val="00AE2E20"/>
    <w:rsid w:val="00AE3045"/>
    <w:rsid w:val="00AE3130"/>
    <w:rsid w:val="00AE3157"/>
    <w:rsid w:val="00AE3207"/>
    <w:rsid w:val="00AE3227"/>
    <w:rsid w:val="00AE323E"/>
    <w:rsid w:val="00AE32FD"/>
    <w:rsid w:val="00AE34B2"/>
    <w:rsid w:val="00AE3526"/>
    <w:rsid w:val="00AE3664"/>
    <w:rsid w:val="00AE3815"/>
    <w:rsid w:val="00AE384E"/>
    <w:rsid w:val="00AE3982"/>
    <w:rsid w:val="00AE3B26"/>
    <w:rsid w:val="00AE3C37"/>
    <w:rsid w:val="00AE3D66"/>
    <w:rsid w:val="00AE3DC3"/>
    <w:rsid w:val="00AE3DFE"/>
    <w:rsid w:val="00AE3E2A"/>
    <w:rsid w:val="00AE3E5F"/>
    <w:rsid w:val="00AE3F05"/>
    <w:rsid w:val="00AE3F07"/>
    <w:rsid w:val="00AE409D"/>
    <w:rsid w:val="00AE41F4"/>
    <w:rsid w:val="00AE4296"/>
    <w:rsid w:val="00AE4324"/>
    <w:rsid w:val="00AE459C"/>
    <w:rsid w:val="00AE45F4"/>
    <w:rsid w:val="00AE46D4"/>
    <w:rsid w:val="00AE473C"/>
    <w:rsid w:val="00AE4991"/>
    <w:rsid w:val="00AE4A6F"/>
    <w:rsid w:val="00AE4AA1"/>
    <w:rsid w:val="00AE4AB1"/>
    <w:rsid w:val="00AE4B3E"/>
    <w:rsid w:val="00AE4CCD"/>
    <w:rsid w:val="00AE4CFD"/>
    <w:rsid w:val="00AE4E01"/>
    <w:rsid w:val="00AE4E8B"/>
    <w:rsid w:val="00AE518D"/>
    <w:rsid w:val="00AE51A4"/>
    <w:rsid w:val="00AE51C4"/>
    <w:rsid w:val="00AE52BE"/>
    <w:rsid w:val="00AE53DD"/>
    <w:rsid w:val="00AE5542"/>
    <w:rsid w:val="00AE59DF"/>
    <w:rsid w:val="00AE5A95"/>
    <w:rsid w:val="00AE5B2E"/>
    <w:rsid w:val="00AE5B34"/>
    <w:rsid w:val="00AE5B3B"/>
    <w:rsid w:val="00AE5B4D"/>
    <w:rsid w:val="00AE5C70"/>
    <w:rsid w:val="00AE5C98"/>
    <w:rsid w:val="00AE5D0A"/>
    <w:rsid w:val="00AE5D5B"/>
    <w:rsid w:val="00AE5DDB"/>
    <w:rsid w:val="00AE5E6D"/>
    <w:rsid w:val="00AE5EC1"/>
    <w:rsid w:val="00AE5F92"/>
    <w:rsid w:val="00AE600A"/>
    <w:rsid w:val="00AE6039"/>
    <w:rsid w:val="00AE611F"/>
    <w:rsid w:val="00AE6125"/>
    <w:rsid w:val="00AE6239"/>
    <w:rsid w:val="00AE630B"/>
    <w:rsid w:val="00AE63F3"/>
    <w:rsid w:val="00AE6519"/>
    <w:rsid w:val="00AE660D"/>
    <w:rsid w:val="00AE6698"/>
    <w:rsid w:val="00AE66DD"/>
    <w:rsid w:val="00AE671D"/>
    <w:rsid w:val="00AE67C1"/>
    <w:rsid w:val="00AE67EB"/>
    <w:rsid w:val="00AE6880"/>
    <w:rsid w:val="00AE6935"/>
    <w:rsid w:val="00AE6A3B"/>
    <w:rsid w:val="00AE6A55"/>
    <w:rsid w:val="00AE6BE4"/>
    <w:rsid w:val="00AE6CEE"/>
    <w:rsid w:val="00AE6EDB"/>
    <w:rsid w:val="00AE6F0A"/>
    <w:rsid w:val="00AE6F11"/>
    <w:rsid w:val="00AE6F5D"/>
    <w:rsid w:val="00AE6FED"/>
    <w:rsid w:val="00AE735D"/>
    <w:rsid w:val="00AE735F"/>
    <w:rsid w:val="00AE736D"/>
    <w:rsid w:val="00AE7523"/>
    <w:rsid w:val="00AE75F6"/>
    <w:rsid w:val="00AE767A"/>
    <w:rsid w:val="00AE773D"/>
    <w:rsid w:val="00AE77FD"/>
    <w:rsid w:val="00AE7934"/>
    <w:rsid w:val="00AE79A4"/>
    <w:rsid w:val="00AE7A27"/>
    <w:rsid w:val="00AE7A5C"/>
    <w:rsid w:val="00AE7B45"/>
    <w:rsid w:val="00AE7B57"/>
    <w:rsid w:val="00AE7BE2"/>
    <w:rsid w:val="00AE7D5F"/>
    <w:rsid w:val="00AE7EA2"/>
    <w:rsid w:val="00AE7EC8"/>
    <w:rsid w:val="00AE7F06"/>
    <w:rsid w:val="00AE7FCE"/>
    <w:rsid w:val="00AE7FF5"/>
    <w:rsid w:val="00AE9058"/>
    <w:rsid w:val="00AEFDF0"/>
    <w:rsid w:val="00AF008A"/>
    <w:rsid w:val="00AF00BE"/>
    <w:rsid w:val="00AF016F"/>
    <w:rsid w:val="00AF021C"/>
    <w:rsid w:val="00AF0491"/>
    <w:rsid w:val="00AF04AE"/>
    <w:rsid w:val="00AF0531"/>
    <w:rsid w:val="00AF067F"/>
    <w:rsid w:val="00AF06C7"/>
    <w:rsid w:val="00AF080E"/>
    <w:rsid w:val="00AF081A"/>
    <w:rsid w:val="00AF08FA"/>
    <w:rsid w:val="00AF0933"/>
    <w:rsid w:val="00AF094F"/>
    <w:rsid w:val="00AF09C8"/>
    <w:rsid w:val="00AF0A35"/>
    <w:rsid w:val="00AF0A70"/>
    <w:rsid w:val="00AF0A78"/>
    <w:rsid w:val="00AF0A90"/>
    <w:rsid w:val="00AF0D9D"/>
    <w:rsid w:val="00AF0E31"/>
    <w:rsid w:val="00AF0F39"/>
    <w:rsid w:val="00AF0FE5"/>
    <w:rsid w:val="00AF1068"/>
    <w:rsid w:val="00AF108E"/>
    <w:rsid w:val="00AF124C"/>
    <w:rsid w:val="00AF1367"/>
    <w:rsid w:val="00AF1580"/>
    <w:rsid w:val="00AF15ED"/>
    <w:rsid w:val="00AF1615"/>
    <w:rsid w:val="00AF16E3"/>
    <w:rsid w:val="00AF17BB"/>
    <w:rsid w:val="00AF17D2"/>
    <w:rsid w:val="00AF1893"/>
    <w:rsid w:val="00AF18B5"/>
    <w:rsid w:val="00AF18C6"/>
    <w:rsid w:val="00AF19DA"/>
    <w:rsid w:val="00AF1A6E"/>
    <w:rsid w:val="00AF1BDF"/>
    <w:rsid w:val="00AF1C66"/>
    <w:rsid w:val="00AF1D5D"/>
    <w:rsid w:val="00AF1D5E"/>
    <w:rsid w:val="00AF1D63"/>
    <w:rsid w:val="00AF1EB7"/>
    <w:rsid w:val="00AF1F3B"/>
    <w:rsid w:val="00AF1F40"/>
    <w:rsid w:val="00AF201D"/>
    <w:rsid w:val="00AF2175"/>
    <w:rsid w:val="00AF2228"/>
    <w:rsid w:val="00AF2362"/>
    <w:rsid w:val="00AF238D"/>
    <w:rsid w:val="00AF2540"/>
    <w:rsid w:val="00AF25DF"/>
    <w:rsid w:val="00AF25EE"/>
    <w:rsid w:val="00AF2670"/>
    <w:rsid w:val="00AF28F6"/>
    <w:rsid w:val="00AF290C"/>
    <w:rsid w:val="00AF299D"/>
    <w:rsid w:val="00AF2C01"/>
    <w:rsid w:val="00AF2C9D"/>
    <w:rsid w:val="00AF2CB3"/>
    <w:rsid w:val="00AF2CC1"/>
    <w:rsid w:val="00AF2CCB"/>
    <w:rsid w:val="00AF2CCE"/>
    <w:rsid w:val="00AF2D68"/>
    <w:rsid w:val="00AF2DEA"/>
    <w:rsid w:val="00AF2EA3"/>
    <w:rsid w:val="00AF3024"/>
    <w:rsid w:val="00AF3057"/>
    <w:rsid w:val="00AF32D0"/>
    <w:rsid w:val="00AF33D3"/>
    <w:rsid w:val="00AF3428"/>
    <w:rsid w:val="00AF3430"/>
    <w:rsid w:val="00AF36C3"/>
    <w:rsid w:val="00AF3861"/>
    <w:rsid w:val="00AF3A76"/>
    <w:rsid w:val="00AF3B5A"/>
    <w:rsid w:val="00AF3C0A"/>
    <w:rsid w:val="00AF3E0B"/>
    <w:rsid w:val="00AF3E14"/>
    <w:rsid w:val="00AF3E73"/>
    <w:rsid w:val="00AF3EDC"/>
    <w:rsid w:val="00AF3EF8"/>
    <w:rsid w:val="00AF3F2C"/>
    <w:rsid w:val="00AF3FE1"/>
    <w:rsid w:val="00AF409E"/>
    <w:rsid w:val="00AF413E"/>
    <w:rsid w:val="00AF421F"/>
    <w:rsid w:val="00AF42A1"/>
    <w:rsid w:val="00AF42F5"/>
    <w:rsid w:val="00AF4365"/>
    <w:rsid w:val="00AF4402"/>
    <w:rsid w:val="00AF4487"/>
    <w:rsid w:val="00AF4488"/>
    <w:rsid w:val="00AF4793"/>
    <w:rsid w:val="00AF47CA"/>
    <w:rsid w:val="00AF4825"/>
    <w:rsid w:val="00AF48BE"/>
    <w:rsid w:val="00AF4B86"/>
    <w:rsid w:val="00AF4BD5"/>
    <w:rsid w:val="00AF4C70"/>
    <w:rsid w:val="00AF4DA9"/>
    <w:rsid w:val="00AF4DF8"/>
    <w:rsid w:val="00AF505E"/>
    <w:rsid w:val="00AF518F"/>
    <w:rsid w:val="00AF51A8"/>
    <w:rsid w:val="00AF5620"/>
    <w:rsid w:val="00AF56B5"/>
    <w:rsid w:val="00AF5730"/>
    <w:rsid w:val="00AF5869"/>
    <w:rsid w:val="00AF58FB"/>
    <w:rsid w:val="00AF5AFC"/>
    <w:rsid w:val="00AF5B15"/>
    <w:rsid w:val="00AF5B9E"/>
    <w:rsid w:val="00AF5C09"/>
    <w:rsid w:val="00AF5DFD"/>
    <w:rsid w:val="00AF5EAF"/>
    <w:rsid w:val="00AF5F8C"/>
    <w:rsid w:val="00AF5FDC"/>
    <w:rsid w:val="00AF6117"/>
    <w:rsid w:val="00AF6125"/>
    <w:rsid w:val="00AF61ED"/>
    <w:rsid w:val="00AF62BB"/>
    <w:rsid w:val="00AF635F"/>
    <w:rsid w:val="00AF63A2"/>
    <w:rsid w:val="00AF6403"/>
    <w:rsid w:val="00AF644C"/>
    <w:rsid w:val="00AF649C"/>
    <w:rsid w:val="00AF6517"/>
    <w:rsid w:val="00AF65C2"/>
    <w:rsid w:val="00AF6711"/>
    <w:rsid w:val="00AF671E"/>
    <w:rsid w:val="00AF6762"/>
    <w:rsid w:val="00AF68B0"/>
    <w:rsid w:val="00AF6A70"/>
    <w:rsid w:val="00AF6B49"/>
    <w:rsid w:val="00AF6BF1"/>
    <w:rsid w:val="00AF6C12"/>
    <w:rsid w:val="00AF6CB8"/>
    <w:rsid w:val="00AF6CDA"/>
    <w:rsid w:val="00AF6EB6"/>
    <w:rsid w:val="00AF6EBD"/>
    <w:rsid w:val="00AF7058"/>
    <w:rsid w:val="00AF7196"/>
    <w:rsid w:val="00AF728A"/>
    <w:rsid w:val="00AF7393"/>
    <w:rsid w:val="00AF73C3"/>
    <w:rsid w:val="00AF75AF"/>
    <w:rsid w:val="00AF7679"/>
    <w:rsid w:val="00AF7775"/>
    <w:rsid w:val="00AF7796"/>
    <w:rsid w:val="00AF77DB"/>
    <w:rsid w:val="00AF7995"/>
    <w:rsid w:val="00AF7AFD"/>
    <w:rsid w:val="00AF7B34"/>
    <w:rsid w:val="00AF7B39"/>
    <w:rsid w:val="00AF7B74"/>
    <w:rsid w:val="00AF7C36"/>
    <w:rsid w:val="00B00257"/>
    <w:rsid w:val="00B0034C"/>
    <w:rsid w:val="00B00444"/>
    <w:rsid w:val="00B005BC"/>
    <w:rsid w:val="00B005E4"/>
    <w:rsid w:val="00B0061C"/>
    <w:rsid w:val="00B0066B"/>
    <w:rsid w:val="00B0074B"/>
    <w:rsid w:val="00B0080D"/>
    <w:rsid w:val="00B008EE"/>
    <w:rsid w:val="00B00B97"/>
    <w:rsid w:val="00B00DE3"/>
    <w:rsid w:val="00B00E60"/>
    <w:rsid w:val="00B00F18"/>
    <w:rsid w:val="00B01081"/>
    <w:rsid w:val="00B0108E"/>
    <w:rsid w:val="00B010F2"/>
    <w:rsid w:val="00B0116D"/>
    <w:rsid w:val="00B01261"/>
    <w:rsid w:val="00B013D6"/>
    <w:rsid w:val="00B014B4"/>
    <w:rsid w:val="00B0150D"/>
    <w:rsid w:val="00B0159C"/>
    <w:rsid w:val="00B015D1"/>
    <w:rsid w:val="00B015EB"/>
    <w:rsid w:val="00B01658"/>
    <w:rsid w:val="00B01665"/>
    <w:rsid w:val="00B01707"/>
    <w:rsid w:val="00B0171C"/>
    <w:rsid w:val="00B019F3"/>
    <w:rsid w:val="00B01AD7"/>
    <w:rsid w:val="00B01BA3"/>
    <w:rsid w:val="00B01C0B"/>
    <w:rsid w:val="00B01C82"/>
    <w:rsid w:val="00B01DFD"/>
    <w:rsid w:val="00B01EF0"/>
    <w:rsid w:val="00B0204B"/>
    <w:rsid w:val="00B020C1"/>
    <w:rsid w:val="00B020C4"/>
    <w:rsid w:val="00B02106"/>
    <w:rsid w:val="00B021D3"/>
    <w:rsid w:val="00B0221A"/>
    <w:rsid w:val="00B0237D"/>
    <w:rsid w:val="00B023BF"/>
    <w:rsid w:val="00B023DB"/>
    <w:rsid w:val="00B024B1"/>
    <w:rsid w:val="00B025BA"/>
    <w:rsid w:val="00B025C1"/>
    <w:rsid w:val="00B0262D"/>
    <w:rsid w:val="00B0267C"/>
    <w:rsid w:val="00B0270A"/>
    <w:rsid w:val="00B027DD"/>
    <w:rsid w:val="00B0283A"/>
    <w:rsid w:val="00B02862"/>
    <w:rsid w:val="00B0288B"/>
    <w:rsid w:val="00B0292A"/>
    <w:rsid w:val="00B029D3"/>
    <w:rsid w:val="00B02A75"/>
    <w:rsid w:val="00B02A84"/>
    <w:rsid w:val="00B02AD2"/>
    <w:rsid w:val="00B02C60"/>
    <w:rsid w:val="00B02C73"/>
    <w:rsid w:val="00B02E9F"/>
    <w:rsid w:val="00B02F7D"/>
    <w:rsid w:val="00B03105"/>
    <w:rsid w:val="00B031FD"/>
    <w:rsid w:val="00B03299"/>
    <w:rsid w:val="00B0329B"/>
    <w:rsid w:val="00B0341A"/>
    <w:rsid w:val="00B035F3"/>
    <w:rsid w:val="00B0361C"/>
    <w:rsid w:val="00B03832"/>
    <w:rsid w:val="00B038D5"/>
    <w:rsid w:val="00B03A3E"/>
    <w:rsid w:val="00B03B22"/>
    <w:rsid w:val="00B03BE5"/>
    <w:rsid w:val="00B03BF5"/>
    <w:rsid w:val="00B03C15"/>
    <w:rsid w:val="00B03CE1"/>
    <w:rsid w:val="00B03D1B"/>
    <w:rsid w:val="00B03EA4"/>
    <w:rsid w:val="00B03F6C"/>
    <w:rsid w:val="00B04071"/>
    <w:rsid w:val="00B041F0"/>
    <w:rsid w:val="00B04272"/>
    <w:rsid w:val="00B04465"/>
    <w:rsid w:val="00B04565"/>
    <w:rsid w:val="00B04648"/>
    <w:rsid w:val="00B0470B"/>
    <w:rsid w:val="00B04741"/>
    <w:rsid w:val="00B04746"/>
    <w:rsid w:val="00B0478A"/>
    <w:rsid w:val="00B0488C"/>
    <w:rsid w:val="00B048BB"/>
    <w:rsid w:val="00B04C71"/>
    <w:rsid w:val="00B04CBF"/>
    <w:rsid w:val="00B04D32"/>
    <w:rsid w:val="00B04D90"/>
    <w:rsid w:val="00B04DF1"/>
    <w:rsid w:val="00B050CD"/>
    <w:rsid w:val="00B05106"/>
    <w:rsid w:val="00B051FF"/>
    <w:rsid w:val="00B05210"/>
    <w:rsid w:val="00B052A3"/>
    <w:rsid w:val="00B052B3"/>
    <w:rsid w:val="00B05471"/>
    <w:rsid w:val="00B0557B"/>
    <w:rsid w:val="00B05597"/>
    <w:rsid w:val="00B05614"/>
    <w:rsid w:val="00B057A2"/>
    <w:rsid w:val="00B05823"/>
    <w:rsid w:val="00B0589F"/>
    <w:rsid w:val="00B058B4"/>
    <w:rsid w:val="00B05961"/>
    <w:rsid w:val="00B059BA"/>
    <w:rsid w:val="00B05B3B"/>
    <w:rsid w:val="00B05B6A"/>
    <w:rsid w:val="00B05B80"/>
    <w:rsid w:val="00B05C30"/>
    <w:rsid w:val="00B05C66"/>
    <w:rsid w:val="00B05C84"/>
    <w:rsid w:val="00B05CB4"/>
    <w:rsid w:val="00B05EED"/>
    <w:rsid w:val="00B05F47"/>
    <w:rsid w:val="00B05F85"/>
    <w:rsid w:val="00B06037"/>
    <w:rsid w:val="00B06069"/>
    <w:rsid w:val="00B060F9"/>
    <w:rsid w:val="00B06216"/>
    <w:rsid w:val="00B06238"/>
    <w:rsid w:val="00B062BB"/>
    <w:rsid w:val="00B06432"/>
    <w:rsid w:val="00B06452"/>
    <w:rsid w:val="00B0646E"/>
    <w:rsid w:val="00B06488"/>
    <w:rsid w:val="00B064C4"/>
    <w:rsid w:val="00B06505"/>
    <w:rsid w:val="00B06515"/>
    <w:rsid w:val="00B06540"/>
    <w:rsid w:val="00B065B3"/>
    <w:rsid w:val="00B06608"/>
    <w:rsid w:val="00B0660F"/>
    <w:rsid w:val="00B0666F"/>
    <w:rsid w:val="00B066CE"/>
    <w:rsid w:val="00B066EB"/>
    <w:rsid w:val="00B067DB"/>
    <w:rsid w:val="00B0684F"/>
    <w:rsid w:val="00B068DA"/>
    <w:rsid w:val="00B068F5"/>
    <w:rsid w:val="00B068FA"/>
    <w:rsid w:val="00B06930"/>
    <w:rsid w:val="00B06986"/>
    <w:rsid w:val="00B06BF1"/>
    <w:rsid w:val="00B06DE5"/>
    <w:rsid w:val="00B06FF9"/>
    <w:rsid w:val="00B07021"/>
    <w:rsid w:val="00B070F3"/>
    <w:rsid w:val="00B071AD"/>
    <w:rsid w:val="00B07283"/>
    <w:rsid w:val="00B072DA"/>
    <w:rsid w:val="00B072F7"/>
    <w:rsid w:val="00B0733C"/>
    <w:rsid w:val="00B0746D"/>
    <w:rsid w:val="00B074F0"/>
    <w:rsid w:val="00B0754D"/>
    <w:rsid w:val="00B0765F"/>
    <w:rsid w:val="00B077E8"/>
    <w:rsid w:val="00B07859"/>
    <w:rsid w:val="00B078CF"/>
    <w:rsid w:val="00B078F2"/>
    <w:rsid w:val="00B0790D"/>
    <w:rsid w:val="00B0794C"/>
    <w:rsid w:val="00B079AA"/>
    <w:rsid w:val="00B07A2D"/>
    <w:rsid w:val="00B07B03"/>
    <w:rsid w:val="00B07BE3"/>
    <w:rsid w:val="00B07C45"/>
    <w:rsid w:val="00B07CA2"/>
    <w:rsid w:val="00B07D04"/>
    <w:rsid w:val="00B07DC6"/>
    <w:rsid w:val="00B07DE5"/>
    <w:rsid w:val="00B07EDA"/>
    <w:rsid w:val="00B07EDB"/>
    <w:rsid w:val="00B07F8F"/>
    <w:rsid w:val="00B07F9B"/>
    <w:rsid w:val="00B10041"/>
    <w:rsid w:val="00B1031F"/>
    <w:rsid w:val="00B10455"/>
    <w:rsid w:val="00B10531"/>
    <w:rsid w:val="00B10678"/>
    <w:rsid w:val="00B1079F"/>
    <w:rsid w:val="00B107D6"/>
    <w:rsid w:val="00B107DE"/>
    <w:rsid w:val="00B1081B"/>
    <w:rsid w:val="00B10994"/>
    <w:rsid w:val="00B10AA6"/>
    <w:rsid w:val="00B10B32"/>
    <w:rsid w:val="00B10BFC"/>
    <w:rsid w:val="00B10E75"/>
    <w:rsid w:val="00B10F18"/>
    <w:rsid w:val="00B10F21"/>
    <w:rsid w:val="00B10F4F"/>
    <w:rsid w:val="00B10FA3"/>
    <w:rsid w:val="00B10FAF"/>
    <w:rsid w:val="00B11064"/>
    <w:rsid w:val="00B1106D"/>
    <w:rsid w:val="00B11096"/>
    <w:rsid w:val="00B11130"/>
    <w:rsid w:val="00B1122D"/>
    <w:rsid w:val="00B11276"/>
    <w:rsid w:val="00B112F9"/>
    <w:rsid w:val="00B1130A"/>
    <w:rsid w:val="00B1137F"/>
    <w:rsid w:val="00B1143A"/>
    <w:rsid w:val="00B11526"/>
    <w:rsid w:val="00B11539"/>
    <w:rsid w:val="00B11794"/>
    <w:rsid w:val="00B1195F"/>
    <w:rsid w:val="00B11AE5"/>
    <w:rsid w:val="00B11B14"/>
    <w:rsid w:val="00B11B80"/>
    <w:rsid w:val="00B11BA1"/>
    <w:rsid w:val="00B11C60"/>
    <w:rsid w:val="00B11E77"/>
    <w:rsid w:val="00B11E8C"/>
    <w:rsid w:val="00B11EA5"/>
    <w:rsid w:val="00B11EAC"/>
    <w:rsid w:val="00B11ECF"/>
    <w:rsid w:val="00B120D7"/>
    <w:rsid w:val="00B120DD"/>
    <w:rsid w:val="00B1214A"/>
    <w:rsid w:val="00B12160"/>
    <w:rsid w:val="00B122B5"/>
    <w:rsid w:val="00B122B9"/>
    <w:rsid w:val="00B1232B"/>
    <w:rsid w:val="00B1237A"/>
    <w:rsid w:val="00B12533"/>
    <w:rsid w:val="00B125F6"/>
    <w:rsid w:val="00B1269A"/>
    <w:rsid w:val="00B126CA"/>
    <w:rsid w:val="00B127E4"/>
    <w:rsid w:val="00B12820"/>
    <w:rsid w:val="00B128F7"/>
    <w:rsid w:val="00B12A79"/>
    <w:rsid w:val="00B12AC8"/>
    <w:rsid w:val="00B12AD0"/>
    <w:rsid w:val="00B12B11"/>
    <w:rsid w:val="00B12C56"/>
    <w:rsid w:val="00B12CAD"/>
    <w:rsid w:val="00B12D45"/>
    <w:rsid w:val="00B12D73"/>
    <w:rsid w:val="00B12D93"/>
    <w:rsid w:val="00B12DCE"/>
    <w:rsid w:val="00B12F34"/>
    <w:rsid w:val="00B12F6D"/>
    <w:rsid w:val="00B13065"/>
    <w:rsid w:val="00B1319B"/>
    <w:rsid w:val="00B132D2"/>
    <w:rsid w:val="00B132D3"/>
    <w:rsid w:val="00B135EE"/>
    <w:rsid w:val="00B13743"/>
    <w:rsid w:val="00B137EC"/>
    <w:rsid w:val="00B13806"/>
    <w:rsid w:val="00B13826"/>
    <w:rsid w:val="00B13BF6"/>
    <w:rsid w:val="00B13D0D"/>
    <w:rsid w:val="00B1402B"/>
    <w:rsid w:val="00B1405D"/>
    <w:rsid w:val="00B14183"/>
    <w:rsid w:val="00B143D1"/>
    <w:rsid w:val="00B1440E"/>
    <w:rsid w:val="00B14496"/>
    <w:rsid w:val="00B1449D"/>
    <w:rsid w:val="00B145D8"/>
    <w:rsid w:val="00B14788"/>
    <w:rsid w:val="00B1485E"/>
    <w:rsid w:val="00B14873"/>
    <w:rsid w:val="00B1495D"/>
    <w:rsid w:val="00B1497E"/>
    <w:rsid w:val="00B14A60"/>
    <w:rsid w:val="00B14B84"/>
    <w:rsid w:val="00B14BF7"/>
    <w:rsid w:val="00B14C6A"/>
    <w:rsid w:val="00B14CEC"/>
    <w:rsid w:val="00B14D2E"/>
    <w:rsid w:val="00B14D47"/>
    <w:rsid w:val="00B14D6D"/>
    <w:rsid w:val="00B14D6F"/>
    <w:rsid w:val="00B14DAE"/>
    <w:rsid w:val="00B14E46"/>
    <w:rsid w:val="00B14F54"/>
    <w:rsid w:val="00B15117"/>
    <w:rsid w:val="00B151BC"/>
    <w:rsid w:val="00B15206"/>
    <w:rsid w:val="00B15251"/>
    <w:rsid w:val="00B15336"/>
    <w:rsid w:val="00B15450"/>
    <w:rsid w:val="00B1558A"/>
    <w:rsid w:val="00B15623"/>
    <w:rsid w:val="00B15748"/>
    <w:rsid w:val="00B15805"/>
    <w:rsid w:val="00B1580C"/>
    <w:rsid w:val="00B15859"/>
    <w:rsid w:val="00B1592F"/>
    <w:rsid w:val="00B15A5A"/>
    <w:rsid w:val="00B15BBB"/>
    <w:rsid w:val="00B15E08"/>
    <w:rsid w:val="00B15ED9"/>
    <w:rsid w:val="00B15F4E"/>
    <w:rsid w:val="00B1608F"/>
    <w:rsid w:val="00B16137"/>
    <w:rsid w:val="00B16165"/>
    <w:rsid w:val="00B161B7"/>
    <w:rsid w:val="00B1620A"/>
    <w:rsid w:val="00B16284"/>
    <w:rsid w:val="00B165D0"/>
    <w:rsid w:val="00B165DE"/>
    <w:rsid w:val="00B166DE"/>
    <w:rsid w:val="00B166F2"/>
    <w:rsid w:val="00B16801"/>
    <w:rsid w:val="00B16987"/>
    <w:rsid w:val="00B16B78"/>
    <w:rsid w:val="00B16D61"/>
    <w:rsid w:val="00B16DBC"/>
    <w:rsid w:val="00B16DE1"/>
    <w:rsid w:val="00B16E56"/>
    <w:rsid w:val="00B16F36"/>
    <w:rsid w:val="00B16F6B"/>
    <w:rsid w:val="00B16FA3"/>
    <w:rsid w:val="00B1706B"/>
    <w:rsid w:val="00B170D9"/>
    <w:rsid w:val="00B17116"/>
    <w:rsid w:val="00B17120"/>
    <w:rsid w:val="00B17129"/>
    <w:rsid w:val="00B1716F"/>
    <w:rsid w:val="00B1721E"/>
    <w:rsid w:val="00B17262"/>
    <w:rsid w:val="00B17279"/>
    <w:rsid w:val="00B172F3"/>
    <w:rsid w:val="00B1730D"/>
    <w:rsid w:val="00B1731B"/>
    <w:rsid w:val="00B173CF"/>
    <w:rsid w:val="00B173D5"/>
    <w:rsid w:val="00B175B2"/>
    <w:rsid w:val="00B176F0"/>
    <w:rsid w:val="00B17755"/>
    <w:rsid w:val="00B17892"/>
    <w:rsid w:val="00B179D1"/>
    <w:rsid w:val="00B17A20"/>
    <w:rsid w:val="00B17A2F"/>
    <w:rsid w:val="00B17AB0"/>
    <w:rsid w:val="00B17B77"/>
    <w:rsid w:val="00B17D0A"/>
    <w:rsid w:val="00B17D47"/>
    <w:rsid w:val="00B17E8E"/>
    <w:rsid w:val="00B17EBB"/>
    <w:rsid w:val="00B17F70"/>
    <w:rsid w:val="00B2014D"/>
    <w:rsid w:val="00B20165"/>
    <w:rsid w:val="00B202C5"/>
    <w:rsid w:val="00B2043D"/>
    <w:rsid w:val="00B204D8"/>
    <w:rsid w:val="00B20589"/>
    <w:rsid w:val="00B205E7"/>
    <w:rsid w:val="00B20627"/>
    <w:rsid w:val="00B20636"/>
    <w:rsid w:val="00B208B4"/>
    <w:rsid w:val="00B20937"/>
    <w:rsid w:val="00B209A6"/>
    <w:rsid w:val="00B20B1B"/>
    <w:rsid w:val="00B20B31"/>
    <w:rsid w:val="00B20B34"/>
    <w:rsid w:val="00B20B58"/>
    <w:rsid w:val="00B20BA6"/>
    <w:rsid w:val="00B20BB4"/>
    <w:rsid w:val="00B20EB8"/>
    <w:rsid w:val="00B20F02"/>
    <w:rsid w:val="00B20FA2"/>
    <w:rsid w:val="00B20FE6"/>
    <w:rsid w:val="00B20FFC"/>
    <w:rsid w:val="00B210CD"/>
    <w:rsid w:val="00B21133"/>
    <w:rsid w:val="00B211A4"/>
    <w:rsid w:val="00B211D0"/>
    <w:rsid w:val="00B21223"/>
    <w:rsid w:val="00B2123E"/>
    <w:rsid w:val="00B21389"/>
    <w:rsid w:val="00B217CB"/>
    <w:rsid w:val="00B217F6"/>
    <w:rsid w:val="00B21828"/>
    <w:rsid w:val="00B21894"/>
    <w:rsid w:val="00B218B0"/>
    <w:rsid w:val="00B218FF"/>
    <w:rsid w:val="00B2199B"/>
    <w:rsid w:val="00B21AC2"/>
    <w:rsid w:val="00B21BDD"/>
    <w:rsid w:val="00B21CC9"/>
    <w:rsid w:val="00B21D04"/>
    <w:rsid w:val="00B21D92"/>
    <w:rsid w:val="00B22080"/>
    <w:rsid w:val="00B220DA"/>
    <w:rsid w:val="00B223D7"/>
    <w:rsid w:val="00B223EE"/>
    <w:rsid w:val="00B22430"/>
    <w:rsid w:val="00B2252B"/>
    <w:rsid w:val="00B2253A"/>
    <w:rsid w:val="00B2268B"/>
    <w:rsid w:val="00B226A7"/>
    <w:rsid w:val="00B22767"/>
    <w:rsid w:val="00B227A3"/>
    <w:rsid w:val="00B227B8"/>
    <w:rsid w:val="00B227CA"/>
    <w:rsid w:val="00B2293F"/>
    <w:rsid w:val="00B22A2F"/>
    <w:rsid w:val="00B22A5B"/>
    <w:rsid w:val="00B22AD9"/>
    <w:rsid w:val="00B22B43"/>
    <w:rsid w:val="00B22B51"/>
    <w:rsid w:val="00B22B8A"/>
    <w:rsid w:val="00B22C92"/>
    <w:rsid w:val="00B22D48"/>
    <w:rsid w:val="00B22D8A"/>
    <w:rsid w:val="00B22DE4"/>
    <w:rsid w:val="00B22DEC"/>
    <w:rsid w:val="00B22F32"/>
    <w:rsid w:val="00B22FD6"/>
    <w:rsid w:val="00B23020"/>
    <w:rsid w:val="00B23021"/>
    <w:rsid w:val="00B2303C"/>
    <w:rsid w:val="00B2308E"/>
    <w:rsid w:val="00B230B1"/>
    <w:rsid w:val="00B230E0"/>
    <w:rsid w:val="00B230E1"/>
    <w:rsid w:val="00B2328F"/>
    <w:rsid w:val="00B23291"/>
    <w:rsid w:val="00B232B8"/>
    <w:rsid w:val="00B232BB"/>
    <w:rsid w:val="00B2336A"/>
    <w:rsid w:val="00B233F2"/>
    <w:rsid w:val="00B2344F"/>
    <w:rsid w:val="00B2346A"/>
    <w:rsid w:val="00B234AF"/>
    <w:rsid w:val="00B2366C"/>
    <w:rsid w:val="00B236FC"/>
    <w:rsid w:val="00B2370E"/>
    <w:rsid w:val="00B23794"/>
    <w:rsid w:val="00B237CF"/>
    <w:rsid w:val="00B237EA"/>
    <w:rsid w:val="00B23804"/>
    <w:rsid w:val="00B23813"/>
    <w:rsid w:val="00B23A04"/>
    <w:rsid w:val="00B23A8E"/>
    <w:rsid w:val="00B23A92"/>
    <w:rsid w:val="00B23AF4"/>
    <w:rsid w:val="00B23B44"/>
    <w:rsid w:val="00B23E9D"/>
    <w:rsid w:val="00B23F59"/>
    <w:rsid w:val="00B240E7"/>
    <w:rsid w:val="00B2415B"/>
    <w:rsid w:val="00B2429F"/>
    <w:rsid w:val="00B242F5"/>
    <w:rsid w:val="00B2440D"/>
    <w:rsid w:val="00B244E5"/>
    <w:rsid w:val="00B2452A"/>
    <w:rsid w:val="00B2453A"/>
    <w:rsid w:val="00B245D4"/>
    <w:rsid w:val="00B24745"/>
    <w:rsid w:val="00B247B0"/>
    <w:rsid w:val="00B247D1"/>
    <w:rsid w:val="00B2485F"/>
    <w:rsid w:val="00B248F7"/>
    <w:rsid w:val="00B24B8C"/>
    <w:rsid w:val="00B24BCC"/>
    <w:rsid w:val="00B24BCE"/>
    <w:rsid w:val="00B24DAB"/>
    <w:rsid w:val="00B24ECF"/>
    <w:rsid w:val="00B24ED2"/>
    <w:rsid w:val="00B24F05"/>
    <w:rsid w:val="00B24F21"/>
    <w:rsid w:val="00B2501D"/>
    <w:rsid w:val="00B25038"/>
    <w:rsid w:val="00B25039"/>
    <w:rsid w:val="00B250D6"/>
    <w:rsid w:val="00B25110"/>
    <w:rsid w:val="00B25182"/>
    <w:rsid w:val="00B251A6"/>
    <w:rsid w:val="00B2528B"/>
    <w:rsid w:val="00B2531A"/>
    <w:rsid w:val="00B25331"/>
    <w:rsid w:val="00B2536B"/>
    <w:rsid w:val="00B25483"/>
    <w:rsid w:val="00B25569"/>
    <w:rsid w:val="00B25583"/>
    <w:rsid w:val="00B2558C"/>
    <w:rsid w:val="00B2576D"/>
    <w:rsid w:val="00B258E0"/>
    <w:rsid w:val="00B259E4"/>
    <w:rsid w:val="00B25BD7"/>
    <w:rsid w:val="00B25BF7"/>
    <w:rsid w:val="00B25C02"/>
    <w:rsid w:val="00B25C70"/>
    <w:rsid w:val="00B25CA1"/>
    <w:rsid w:val="00B25D2D"/>
    <w:rsid w:val="00B25DF6"/>
    <w:rsid w:val="00B25E05"/>
    <w:rsid w:val="00B25E71"/>
    <w:rsid w:val="00B260AE"/>
    <w:rsid w:val="00B26160"/>
    <w:rsid w:val="00B2616D"/>
    <w:rsid w:val="00B2623B"/>
    <w:rsid w:val="00B2624B"/>
    <w:rsid w:val="00B26258"/>
    <w:rsid w:val="00B263C0"/>
    <w:rsid w:val="00B263FA"/>
    <w:rsid w:val="00B264BA"/>
    <w:rsid w:val="00B26603"/>
    <w:rsid w:val="00B26674"/>
    <w:rsid w:val="00B266C5"/>
    <w:rsid w:val="00B2672B"/>
    <w:rsid w:val="00B267E1"/>
    <w:rsid w:val="00B2682C"/>
    <w:rsid w:val="00B26847"/>
    <w:rsid w:val="00B269E3"/>
    <w:rsid w:val="00B26BF3"/>
    <w:rsid w:val="00B26CEB"/>
    <w:rsid w:val="00B26D40"/>
    <w:rsid w:val="00B26E1C"/>
    <w:rsid w:val="00B26E1E"/>
    <w:rsid w:val="00B26F20"/>
    <w:rsid w:val="00B2703E"/>
    <w:rsid w:val="00B271FB"/>
    <w:rsid w:val="00B27330"/>
    <w:rsid w:val="00B273A0"/>
    <w:rsid w:val="00B273AA"/>
    <w:rsid w:val="00B2777F"/>
    <w:rsid w:val="00B278C5"/>
    <w:rsid w:val="00B27941"/>
    <w:rsid w:val="00B27961"/>
    <w:rsid w:val="00B27A49"/>
    <w:rsid w:val="00B27B28"/>
    <w:rsid w:val="00B27C2C"/>
    <w:rsid w:val="00B27D9F"/>
    <w:rsid w:val="00B27DEF"/>
    <w:rsid w:val="00B27EA3"/>
    <w:rsid w:val="00B30074"/>
    <w:rsid w:val="00B30270"/>
    <w:rsid w:val="00B303B3"/>
    <w:rsid w:val="00B30543"/>
    <w:rsid w:val="00B3058B"/>
    <w:rsid w:val="00B30674"/>
    <w:rsid w:val="00B30697"/>
    <w:rsid w:val="00B306B0"/>
    <w:rsid w:val="00B3070A"/>
    <w:rsid w:val="00B30730"/>
    <w:rsid w:val="00B30762"/>
    <w:rsid w:val="00B307D7"/>
    <w:rsid w:val="00B30952"/>
    <w:rsid w:val="00B3098A"/>
    <w:rsid w:val="00B30A9A"/>
    <w:rsid w:val="00B30B16"/>
    <w:rsid w:val="00B30B19"/>
    <w:rsid w:val="00B30C9B"/>
    <w:rsid w:val="00B30CF5"/>
    <w:rsid w:val="00B30DA7"/>
    <w:rsid w:val="00B30E22"/>
    <w:rsid w:val="00B30E6B"/>
    <w:rsid w:val="00B30EC4"/>
    <w:rsid w:val="00B30F3E"/>
    <w:rsid w:val="00B30FB4"/>
    <w:rsid w:val="00B31018"/>
    <w:rsid w:val="00B31228"/>
    <w:rsid w:val="00B31255"/>
    <w:rsid w:val="00B31394"/>
    <w:rsid w:val="00B313F4"/>
    <w:rsid w:val="00B3147A"/>
    <w:rsid w:val="00B31495"/>
    <w:rsid w:val="00B31505"/>
    <w:rsid w:val="00B3151B"/>
    <w:rsid w:val="00B3164A"/>
    <w:rsid w:val="00B317D3"/>
    <w:rsid w:val="00B319BD"/>
    <w:rsid w:val="00B31ACC"/>
    <w:rsid w:val="00B31B4E"/>
    <w:rsid w:val="00B31C16"/>
    <w:rsid w:val="00B31C47"/>
    <w:rsid w:val="00B31D7C"/>
    <w:rsid w:val="00B31D87"/>
    <w:rsid w:val="00B31D97"/>
    <w:rsid w:val="00B31D99"/>
    <w:rsid w:val="00B31EA0"/>
    <w:rsid w:val="00B31EE1"/>
    <w:rsid w:val="00B31F3B"/>
    <w:rsid w:val="00B31F6E"/>
    <w:rsid w:val="00B32110"/>
    <w:rsid w:val="00B321AB"/>
    <w:rsid w:val="00B3224F"/>
    <w:rsid w:val="00B3233D"/>
    <w:rsid w:val="00B323C1"/>
    <w:rsid w:val="00B3252A"/>
    <w:rsid w:val="00B3253E"/>
    <w:rsid w:val="00B32630"/>
    <w:rsid w:val="00B32672"/>
    <w:rsid w:val="00B32770"/>
    <w:rsid w:val="00B32792"/>
    <w:rsid w:val="00B327F5"/>
    <w:rsid w:val="00B327FB"/>
    <w:rsid w:val="00B32B18"/>
    <w:rsid w:val="00B32C05"/>
    <w:rsid w:val="00B32C22"/>
    <w:rsid w:val="00B32C3E"/>
    <w:rsid w:val="00B32DD9"/>
    <w:rsid w:val="00B32E12"/>
    <w:rsid w:val="00B32FA0"/>
    <w:rsid w:val="00B3319E"/>
    <w:rsid w:val="00B33266"/>
    <w:rsid w:val="00B33310"/>
    <w:rsid w:val="00B3332F"/>
    <w:rsid w:val="00B33330"/>
    <w:rsid w:val="00B333C6"/>
    <w:rsid w:val="00B333FD"/>
    <w:rsid w:val="00B334F0"/>
    <w:rsid w:val="00B33507"/>
    <w:rsid w:val="00B335E6"/>
    <w:rsid w:val="00B33647"/>
    <w:rsid w:val="00B33797"/>
    <w:rsid w:val="00B337BC"/>
    <w:rsid w:val="00B33A38"/>
    <w:rsid w:val="00B33A77"/>
    <w:rsid w:val="00B33B03"/>
    <w:rsid w:val="00B33B18"/>
    <w:rsid w:val="00B33BA5"/>
    <w:rsid w:val="00B33D27"/>
    <w:rsid w:val="00B33DB2"/>
    <w:rsid w:val="00B33F2A"/>
    <w:rsid w:val="00B33FA6"/>
    <w:rsid w:val="00B34043"/>
    <w:rsid w:val="00B34045"/>
    <w:rsid w:val="00B34064"/>
    <w:rsid w:val="00B34195"/>
    <w:rsid w:val="00B341C5"/>
    <w:rsid w:val="00B341E2"/>
    <w:rsid w:val="00B341F0"/>
    <w:rsid w:val="00B3437B"/>
    <w:rsid w:val="00B34381"/>
    <w:rsid w:val="00B3438D"/>
    <w:rsid w:val="00B34403"/>
    <w:rsid w:val="00B34470"/>
    <w:rsid w:val="00B34615"/>
    <w:rsid w:val="00B346D6"/>
    <w:rsid w:val="00B3471A"/>
    <w:rsid w:val="00B34928"/>
    <w:rsid w:val="00B3492E"/>
    <w:rsid w:val="00B34B9B"/>
    <w:rsid w:val="00B34C36"/>
    <w:rsid w:val="00B34DF2"/>
    <w:rsid w:val="00B34E1B"/>
    <w:rsid w:val="00B34F03"/>
    <w:rsid w:val="00B34F4C"/>
    <w:rsid w:val="00B34FF3"/>
    <w:rsid w:val="00B350BA"/>
    <w:rsid w:val="00B35176"/>
    <w:rsid w:val="00B35179"/>
    <w:rsid w:val="00B351ED"/>
    <w:rsid w:val="00B351FA"/>
    <w:rsid w:val="00B3521B"/>
    <w:rsid w:val="00B353D2"/>
    <w:rsid w:val="00B3547A"/>
    <w:rsid w:val="00B3549B"/>
    <w:rsid w:val="00B35578"/>
    <w:rsid w:val="00B3567C"/>
    <w:rsid w:val="00B35682"/>
    <w:rsid w:val="00B35704"/>
    <w:rsid w:val="00B357B8"/>
    <w:rsid w:val="00B35962"/>
    <w:rsid w:val="00B35A0E"/>
    <w:rsid w:val="00B35A25"/>
    <w:rsid w:val="00B35A47"/>
    <w:rsid w:val="00B35A86"/>
    <w:rsid w:val="00B35B5F"/>
    <w:rsid w:val="00B35BF6"/>
    <w:rsid w:val="00B35C5D"/>
    <w:rsid w:val="00B35D2D"/>
    <w:rsid w:val="00B35E96"/>
    <w:rsid w:val="00B3605C"/>
    <w:rsid w:val="00B3606B"/>
    <w:rsid w:val="00B36171"/>
    <w:rsid w:val="00B361B2"/>
    <w:rsid w:val="00B36219"/>
    <w:rsid w:val="00B36280"/>
    <w:rsid w:val="00B3640A"/>
    <w:rsid w:val="00B3640C"/>
    <w:rsid w:val="00B36558"/>
    <w:rsid w:val="00B36637"/>
    <w:rsid w:val="00B36641"/>
    <w:rsid w:val="00B36646"/>
    <w:rsid w:val="00B366AD"/>
    <w:rsid w:val="00B367F9"/>
    <w:rsid w:val="00B3684E"/>
    <w:rsid w:val="00B36870"/>
    <w:rsid w:val="00B368AA"/>
    <w:rsid w:val="00B36928"/>
    <w:rsid w:val="00B36936"/>
    <w:rsid w:val="00B36ADB"/>
    <w:rsid w:val="00B36B6A"/>
    <w:rsid w:val="00B36C02"/>
    <w:rsid w:val="00B36C25"/>
    <w:rsid w:val="00B36CCB"/>
    <w:rsid w:val="00B36DB0"/>
    <w:rsid w:val="00B36ECC"/>
    <w:rsid w:val="00B372DC"/>
    <w:rsid w:val="00B37514"/>
    <w:rsid w:val="00B37667"/>
    <w:rsid w:val="00B376C0"/>
    <w:rsid w:val="00B376FF"/>
    <w:rsid w:val="00B377D9"/>
    <w:rsid w:val="00B37910"/>
    <w:rsid w:val="00B37AE1"/>
    <w:rsid w:val="00B37BA7"/>
    <w:rsid w:val="00B37C98"/>
    <w:rsid w:val="00B37F90"/>
    <w:rsid w:val="00B40030"/>
    <w:rsid w:val="00B4007C"/>
    <w:rsid w:val="00B400B4"/>
    <w:rsid w:val="00B400E7"/>
    <w:rsid w:val="00B4010D"/>
    <w:rsid w:val="00B40177"/>
    <w:rsid w:val="00B40289"/>
    <w:rsid w:val="00B402FA"/>
    <w:rsid w:val="00B40392"/>
    <w:rsid w:val="00B40536"/>
    <w:rsid w:val="00B40664"/>
    <w:rsid w:val="00B40676"/>
    <w:rsid w:val="00B40835"/>
    <w:rsid w:val="00B408F7"/>
    <w:rsid w:val="00B40944"/>
    <w:rsid w:val="00B409A1"/>
    <w:rsid w:val="00B409F3"/>
    <w:rsid w:val="00B40A3C"/>
    <w:rsid w:val="00B40A5E"/>
    <w:rsid w:val="00B40A97"/>
    <w:rsid w:val="00B40ADA"/>
    <w:rsid w:val="00B40B8D"/>
    <w:rsid w:val="00B40C11"/>
    <w:rsid w:val="00B40CDA"/>
    <w:rsid w:val="00B40E28"/>
    <w:rsid w:val="00B40F87"/>
    <w:rsid w:val="00B40FD0"/>
    <w:rsid w:val="00B4109D"/>
    <w:rsid w:val="00B410C9"/>
    <w:rsid w:val="00B411E5"/>
    <w:rsid w:val="00B41250"/>
    <w:rsid w:val="00B412B3"/>
    <w:rsid w:val="00B41317"/>
    <w:rsid w:val="00B413A3"/>
    <w:rsid w:val="00B41410"/>
    <w:rsid w:val="00B4142E"/>
    <w:rsid w:val="00B41522"/>
    <w:rsid w:val="00B4153D"/>
    <w:rsid w:val="00B4155C"/>
    <w:rsid w:val="00B41602"/>
    <w:rsid w:val="00B41610"/>
    <w:rsid w:val="00B4162D"/>
    <w:rsid w:val="00B4163A"/>
    <w:rsid w:val="00B41801"/>
    <w:rsid w:val="00B41858"/>
    <w:rsid w:val="00B418D4"/>
    <w:rsid w:val="00B4190D"/>
    <w:rsid w:val="00B41974"/>
    <w:rsid w:val="00B41A13"/>
    <w:rsid w:val="00B41B78"/>
    <w:rsid w:val="00B41BDE"/>
    <w:rsid w:val="00B41C2A"/>
    <w:rsid w:val="00B41CC7"/>
    <w:rsid w:val="00B41D2C"/>
    <w:rsid w:val="00B41D66"/>
    <w:rsid w:val="00B41DA3"/>
    <w:rsid w:val="00B421CF"/>
    <w:rsid w:val="00B422BF"/>
    <w:rsid w:val="00B422F8"/>
    <w:rsid w:val="00B42438"/>
    <w:rsid w:val="00B4243A"/>
    <w:rsid w:val="00B42447"/>
    <w:rsid w:val="00B424C9"/>
    <w:rsid w:val="00B42525"/>
    <w:rsid w:val="00B426E5"/>
    <w:rsid w:val="00B426FD"/>
    <w:rsid w:val="00B427CF"/>
    <w:rsid w:val="00B427E1"/>
    <w:rsid w:val="00B427EF"/>
    <w:rsid w:val="00B4286C"/>
    <w:rsid w:val="00B429B8"/>
    <w:rsid w:val="00B42A93"/>
    <w:rsid w:val="00B42AAC"/>
    <w:rsid w:val="00B42B30"/>
    <w:rsid w:val="00B42B3E"/>
    <w:rsid w:val="00B42C07"/>
    <w:rsid w:val="00B42C67"/>
    <w:rsid w:val="00B42CC2"/>
    <w:rsid w:val="00B42DBC"/>
    <w:rsid w:val="00B42E12"/>
    <w:rsid w:val="00B42E18"/>
    <w:rsid w:val="00B42E42"/>
    <w:rsid w:val="00B42F34"/>
    <w:rsid w:val="00B42FD0"/>
    <w:rsid w:val="00B43065"/>
    <w:rsid w:val="00B43123"/>
    <w:rsid w:val="00B431F1"/>
    <w:rsid w:val="00B43244"/>
    <w:rsid w:val="00B434DF"/>
    <w:rsid w:val="00B435E6"/>
    <w:rsid w:val="00B437AD"/>
    <w:rsid w:val="00B438CF"/>
    <w:rsid w:val="00B43990"/>
    <w:rsid w:val="00B43A2D"/>
    <w:rsid w:val="00B43A5B"/>
    <w:rsid w:val="00B43A5C"/>
    <w:rsid w:val="00B43A65"/>
    <w:rsid w:val="00B43B1A"/>
    <w:rsid w:val="00B43B87"/>
    <w:rsid w:val="00B43C05"/>
    <w:rsid w:val="00B43C65"/>
    <w:rsid w:val="00B43C76"/>
    <w:rsid w:val="00B43C79"/>
    <w:rsid w:val="00B43E24"/>
    <w:rsid w:val="00B43E62"/>
    <w:rsid w:val="00B43F1D"/>
    <w:rsid w:val="00B44019"/>
    <w:rsid w:val="00B440BA"/>
    <w:rsid w:val="00B440F9"/>
    <w:rsid w:val="00B44188"/>
    <w:rsid w:val="00B44238"/>
    <w:rsid w:val="00B44279"/>
    <w:rsid w:val="00B442FA"/>
    <w:rsid w:val="00B44422"/>
    <w:rsid w:val="00B44454"/>
    <w:rsid w:val="00B4452C"/>
    <w:rsid w:val="00B445C7"/>
    <w:rsid w:val="00B4471B"/>
    <w:rsid w:val="00B44759"/>
    <w:rsid w:val="00B447D0"/>
    <w:rsid w:val="00B44879"/>
    <w:rsid w:val="00B448F8"/>
    <w:rsid w:val="00B44AB1"/>
    <w:rsid w:val="00B44DC3"/>
    <w:rsid w:val="00B44E0F"/>
    <w:rsid w:val="00B44E41"/>
    <w:rsid w:val="00B44EA9"/>
    <w:rsid w:val="00B44F55"/>
    <w:rsid w:val="00B44F68"/>
    <w:rsid w:val="00B45054"/>
    <w:rsid w:val="00B4507C"/>
    <w:rsid w:val="00B4513F"/>
    <w:rsid w:val="00B452AA"/>
    <w:rsid w:val="00B452F3"/>
    <w:rsid w:val="00B45726"/>
    <w:rsid w:val="00B45760"/>
    <w:rsid w:val="00B45795"/>
    <w:rsid w:val="00B458FF"/>
    <w:rsid w:val="00B4593E"/>
    <w:rsid w:val="00B459D5"/>
    <w:rsid w:val="00B45A64"/>
    <w:rsid w:val="00B45B6E"/>
    <w:rsid w:val="00B45B73"/>
    <w:rsid w:val="00B45E3C"/>
    <w:rsid w:val="00B45EC3"/>
    <w:rsid w:val="00B45F15"/>
    <w:rsid w:val="00B460B1"/>
    <w:rsid w:val="00B461A4"/>
    <w:rsid w:val="00B461C6"/>
    <w:rsid w:val="00B461D8"/>
    <w:rsid w:val="00B462D7"/>
    <w:rsid w:val="00B463EC"/>
    <w:rsid w:val="00B4646B"/>
    <w:rsid w:val="00B4671C"/>
    <w:rsid w:val="00B467DE"/>
    <w:rsid w:val="00B4688F"/>
    <w:rsid w:val="00B46938"/>
    <w:rsid w:val="00B46969"/>
    <w:rsid w:val="00B469B8"/>
    <w:rsid w:val="00B46A7B"/>
    <w:rsid w:val="00B46A95"/>
    <w:rsid w:val="00B46B31"/>
    <w:rsid w:val="00B46B5B"/>
    <w:rsid w:val="00B46BC0"/>
    <w:rsid w:val="00B46D88"/>
    <w:rsid w:val="00B46DDE"/>
    <w:rsid w:val="00B46E75"/>
    <w:rsid w:val="00B46E84"/>
    <w:rsid w:val="00B46F4A"/>
    <w:rsid w:val="00B46F78"/>
    <w:rsid w:val="00B46FA7"/>
    <w:rsid w:val="00B46FBA"/>
    <w:rsid w:val="00B4704C"/>
    <w:rsid w:val="00B470CE"/>
    <w:rsid w:val="00B470E1"/>
    <w:rsid w:val="00B47106"/>
    <w:rsid w:val="00B47122"/>
    <w:rsid w:val="00B47246"/>
    <w:rsid w:val="00B472A9"/>
    <w:rsid w:val="00B472BC"/>
    <w:rsid w:val="00B472E9"/>
    <w:rsid w:val="00B4745E"/>
    <w:rsid w:val="00B47463"/>
    <w:rsid w:val="00B474BC"/>
    <w:rsid w:val="00B47525"/>
    <w:rsid w:val="00B47633"/>
    <w:rsid w:val="00B47661"/>
    <w:rsid w:val="00B47668"/>
    <w:rsid w:val="00B47688"/>
    <w:rsid w:val="00B4769F"/>
    <w:rsid w:val="00B476D1"/>
    <w:rsid w:val="00B477AF"/>
    <w:rsid w:val="00B4788E"/>
    <w:rsid w:val="00B478B2"/>
    <w:rsid w:val="00B479A3"/>
    <w:rsid w:val="00B479E4"/>
    <w:rsid w:val="00B47A06"/>
    <w:rsid w:val="00B47A5C"/>
    <w:rsid w:val="00B47AE5"/>
    <w:rsid w:val="00B47B31"/>
    <w:rsid w:val="00B47B54"/>
    <w:rsid w:val="00B47CCF"/>
    <w:rsid w:val="00B47F6B"/>
    <w:rsid w:val="00B5005D"/>
    <w:rsid w:val="00B50192"/>
    <w:rsid w:val="00B50313"/>
    <w:rsid w:val="00B50329"/>
    <w:rsid w:val="00B5042C"/>
    <w:rsid w:val="00B504F7"/>
    <w:rsid w:val="00B50519"/>
    <w:rsid w:val="00B505C7"/>
    <w:rsid w:val="00B505E9"/>
    <w:rsid w:val="00B50759"/>
    <w:rsid w:val="00B508DD"/>
    <w:rsid w:val="00B50917"/>
    <w:rsid w:val="00B50AA6"/>
    <w:rsid w:val="00B50BC1"/>
    <w:rsid w:val="00B50CE3"/>
    <w:rsid w:val="00B50D1E"/>
    <w:rsid w:val="00B50DE1"/>
    <w:rsid w:val="00B50EA1"/>
    <w:rsid w:val="00B5104E"/>
    <w:rsid w:val="00B51108"/>
    <w:rsid w:val="00B51278"/>
    <w:rsid w:val="00B512CE"/>
    <w:rsid w:val="00B51321"/>
    <w:rsid w:val="00B51364"/>
    <w:rsid w:val="00B5138E"/>
    <w:rsid w:val="00B513D0"/>
    <w:rsid w:val="00B513FF"/>
    <w:rsid w:val="00B51417"/>
    <w:rsid w:val="00B51458"/>
    <w:rsid w:val="00B514DB"/>
    <w:rsid w:val="00B514E5"/>
    <w:rsid w:val="00B51570"/>
    <w:rsid w:val="00B5165F"/>
    <w:rsid w:val="00B516DE"/>
    <w:rsid w:val="00B51803"/>
    <w:rsid w:val="00B51866"/>
    <w:rsid w:val="00B51950"/>
    <w:rsid w:val="00B51A6C"/>
    <w:rsid w:val="00B51AC4"/>
    <w:rsid w:val="00B51B1B"/>
    <w:rsid w:val="00B51C72"/>
    <w:rsid w:val="00B51C96"/>
    <w:rsid w:val="00B51D76"/>
    <w:rsid w:val="00B51DB0"/>
    <w:rsid w:val="00B51DD8"/>
    <w:rsid w:val="00B51DFB"/>
    <w:rsid w:val="00B51E62"/>
    <w:rsid w:val="00B51EBC"/>
    <w:rsid w:val="00B51EFF"/>
    <w:rsid w:val="00B51F74"/>
    <w:rsid w:val="00B520A7"/>
    <w:rsid w:val="00B52245"/>
    <w:rsid w:val="00B52253"/>
    <w:rsid w:val="00B522F6"/>
    <w:rsid w:val="00B52420"/>
    <w:rsid w:val="00B5248C"/>
    <w:rsid w:val="00B5248D"/>
    <w:rsid w:val="00B52572"/>
    <w:rsid w:val="00B52584"/>
    <w:rsid w:val="00B52637"/>
    <w:rsid w:val="00B5265F"/>
    <w:rsid w:val="00B5274C"/>
    <w:rsid w:val="00B5284B"/>
    <w:rsid w:val="00B52856"/>
    <w:rsid w:val="00B5287D"/>
    <w:rsid w:val="00B528D1"/>
    <w:rsid w:val="00B52920"/>
    <w:rsid w:val="00B52970"/>
    <w:rsid w:val="00B529DC"/>
    <w:rsid w:val="00B52AA4"/>
    <w:rsid w:val="00B52B3B"/>
    <w:rsid w:val="00B52C38"/>
    <w:rsid w:val="00B52DFA"/>
    <w:rsid w:val="00B52E23"/>
    <w:rsid w:val="00B52EBB"/>
    <w:rsid w:val="00B52F0E"/>
    <w:rsid w:val="00B52FCA"/>
    <w:rsid w:val="00B53080"/>
    <w:rsid w:val="00B53089"/>
    <w:rsid w:val="00B530C7"/>
    <w:rsid w:val="00B530F1"/>
    <w:rsid w:val="00B531AF"/>
    <w:rsid w:val="00B532B7"/>
    <w:rsid w:val="00B532F9"/>
    <w:rsid w:val="00B5333E"/>
    <w:rsid w:val="00B533C2"/>
    <w:rsid w:val="00B533FB"/>
    <w:rsid w:val="00B5344E"/>
    <w:rsid w:val="00B53495"/>
    <w:rsid w:val="00B5363C"/>
    <w:rsid w:val="00B53656"/>
    <w:rsid w:val="00B53734"/>
    <w:rsid w:val="00B53735"/>
    <w:rsid w:val="00B53737"/>
    <w:rsid w:val="00B53751"/>
    <w:rsid w:val="00B53791"/>
    <w:rsid w:val="00B53794"/>
    <w:rsid w:val="00B53829"/>
    <w:rsid w:val="00B53852"/>
    <w:rsid w:val="00B538E7"/>
    <w:rsid w:val="00B53962"/>
    <w:rsid w:val="00B53A1C"/>
    <w:rsid w:val="00B53AE9"/>
    <w:rsid w:val="00B53AF2"/>
    <w:rsid w:val="00B53C3E"/>
    <w:rsid w:val="00B53D30"/>
    <w:rsid w:val="00B53FDC"/>
    <w:rsid w:val="00B5418A"/>
    <w:rsid w:val="00B541C5"/>
    <w:rsid w:val="00B5432E"/>
    <w:rsid w:val="00B543C0"/>
    <w:rsid w:val="00B543CE"/>
    <w:rsid w:val="00B544DE"/>
    <w:rsid w:val="00B544E7"/>
    <w:rsid w:val="00B544FB"/>
    <w:rsid w:val="00B54502"/>
    <w:rsid w:val="00B545F9"/>
    <w:rsid w:val="00B545FE"/>
    <w:rsid w:val="00B549D9"/>
    <w:rsid w:val="00B549E8"/>
    <w:rsid w:val="00B54A81"/>
    <w:rsid w:val="00B54BD0"/>
    <w:rsid w:val="00B54BE6"/>
    <w:rsid w:val="00B54DDC"/>
    <w:rsid w:val="00B54EA6"/>
    <w:rsid w:val="00B54F02"/>
    <w:rsid w:val="00B5530E"/>
    <w:rsid w:val="00B553AF"/>
    <w:rsid w:val="00B554EA"/>
    <w:rsid w:val="00B555C9"/>
    <w:rsid w:val="00B556C4"/>
    <w:rsid w:val="00B55831"/>
    <w:rsid w:val="00B55855"/>
    <w:rsid w:val="00B558AC"/>
    <w:rsid w:val="00B558CF"/>
    <w:rsid w:val="00B558ED"/>
    <w:rsid w:val="00B559C7"/>
    <w:rsid w:val="00B55A12"/>
    <w:rsid w:val="00B55A17"/>
    <w:rsid w:val="00B55A2F"/>
    <w:rsid w:val="00B55AB4"/>
    <w:rsid w:val="00B55E1A"/>
    <w:rsid w:val="00B55E60"/>
    <w:rsid w:val="00B55EAD"/>
    <w:rsid w:val="00B55EB2"/>
    <w:rsid w:val="00B55F05"/>
    <w:rsid w:val="00B55FFC"/>
    <w:rsid w:val="00B56013"/>
    <w:rsid w:val="00B5601E"/>
    <w:rsid w:val="00B560D7"/>
    <w:rsid w:val="00B5610A"/>
    <w:rsid w:val="00B5614C"/>
    <w:rsid w:val="00B5614F"/>
    <w:rsid w:val="00B562AD"/>
    <w:rsid w:val="00B56602"/>
    <w:rsid w:val="00B5662D"/>
    <w:rsid w:val="00B5666B"/>
    <w:rsid w:val="00B56737"/>
    <w:rsid w:val="00B567B2"/>
    <w:rsid w:val="00B567B7"/>
    <w:rsid w:val="00B56904"/>
    <w:rsid w:val="00B56929"/>
    <w:rsid w:val="00B5694C"/>
    <w:rsid w:val="00B56A10"/>
    <w:rsid w:val="00B56B2B"/>
    <w:rsid w:val="00B56BC5"/>
    <w:rsid w:val="00B56C7E"/>
    <w:rsid w:val="00B56D3F"/>
    <w:rsid w:val="00B57079"/>
    <w:rsid w:val="00B570E5"/>
    <w:rsid w:val="00B57280"/>
    <w:rsid w:val="00B57291"/>
    <w:rsid w:val="00B57292"/>
    <w:rsid w:val="00B5737D"/>
    <w:rsid w:val="00B57413"/>
    <w:rsid w:val="00B5746C"/>
    <w:rsid w:val="00B5749F"/>
    <w:rsid w:val="00B57512"/>
    <w:rsid w:val="00B57585"/>
    <w:rsid w:val="00B575AF"/>
    <w:rsid w:val="00B575C4"/>
    <w:rsid w:val="00B575D7"/>
    <w:rsid w:val="00B575F1"/>
    <w:rsid w:val="00B576DF"/>
    <w:rsid w:val="00B5771F"/>
    <w:rsid w:val="00B578E9"/>
    <w:rsid w:val="00B578F2"/>
    <w:rsid w:val="00B579FD"/>
    <w:rsid w:val="00B57A29"/>
    <w:rsid w:val="00B57A82"/>
    <w:rsid w:val="00B57A9C"/>
    <w:rsid w:val="00B57C19"/>
    <w:rsid w:val="00B57C3B"/>
    <w:rsid w:val="00B57D30"/>
    <w:rsid w:val="00B57D6A"/>
    <w:rsid w:val="00B57E23"/>
    <w:rsid w:val="00B57F7F"/>
    <w:rsid w:val="00B57FF6"/>
    <w:rsid w:val="00B600CF"/>
    <w:rsid w:val="00B60382"/>
    <w:rsid w:val="00B608C0"/>
    <w:rsid w:val="00B60956"/>
    <w:rsid w:val="00B609F2"/>
    <w:rsid w:val="00B60A03"/>
    <w:rsid w:val="00B60A10"/>
    <w:rsid w:val="00B60A3B"/>
    <w:rsid w:val="00B60AF7"/>
    <w:rsid w:val="00B60BA6"/>
    <w:rsid w:val="00B60C28"/>
    <w:rsid w:val="00B60CD5"/>
    <w:rsid w:val="00B60ED5"/>
    <w:rsid w:val="00B60F56"/>
    <w:rsid w:val="00B61061"/>
    <w:rsid w:val="00B610F9"/>
    <w:rsid w:val="00B611BA"/>
    <w:rsid w:val="00B612AC"/>
    <w:rsid w:val="00B61491"/>
    <w:rsid w:val="00B614FD"/>
    <w:rsid w:val="00B6153E"/>
    <w:rsid w:val="00B61578"/>
    <w:rsid w:val="00B61583"/>
    <w:rsid w:val="00B615D0"/>
    <w:rsid w:val="00B617AD"/>
    <w:rsid w:val="00B618EE"/>
    <w:rsid w:val="00B619B6"/>
    <w:rsid w:val="00B61A24"/>
    <w:rsid w:val="00B61BAE"/>
    <w:rsid w:val="00B61CD0"/>
    <w:rsid w:val="00B61D46"/>
    <w:rsid w:val="00B61DFA"/>
    <w:rsid w:val="00B61E9C"/>
    <w:rsid w:val="00B61ED3"/>
    <w:rsid w:val="00B61ED9"/>
    <w:rsid w:val="00B62007"/>
    <w:rsid w:val="00B62045"/>
    <w:rsid w:val="00B62054"/>
    <w:rsid w:val="00B62074"/>
    <w:rsid w:val="00B6222B"/>
    <w:rsid w:val="00B62251"/>
    <w:rsid w:val="00B622D4"/>
    <w:rsid w:val="00B62405"/>
    <w:rsid w:val="00B625F6"/>
    <w:rsid w:val="00B62844"/>
    <w:rsid w:val="00B6296F"/>
    <w:rsid w:val="00B629C0"/>
    <w:rsid w:val="00B629E9"/>
    <w:rsid w:val="00B62AD9"/>
    <w:rsid w:val="00B62B48"/>
    <w:rsid w:val="00B62C53"/>
    <w:rsid w:val="00B62C94"/>
    <w:rsid w:val="00B62CCC"/>
    <w:rsid w:val="00B62D47"/>
    <w:rsid w:val="00B62DCA"/>
    <w:rsid w:val="00B62DEE"/>
    <w:rsid w:val="00B62EA0"/>
    <w:rsid w:val="00B62F81"/>
    <w:rsid w:val="00B62F97"/>
    <w:rsid w:val="00B62FE6"/>
    <w:rsid w:val="00B630AD"/>
    <w:rsid w:val="00B63111"/>
    <w:rsid w:val="00B631B0"/>
    <w:rsid w:val="00B6334D"/>
    <w:rsid w:val="00B63351"/>
    <w:rsid w:val="00B63465"/>
    <w:rsid w:val="00B63466"/>
    <w:rsid w:val="00B6349E"/>
    <w:rsid w:val="00B63506"/>
    <w:rsid w:val="00B63650"/>
    <w:rsid w:val="00B63704"/>
    <w:rsid w:val="00B63904"/>
    <w:rsid w:val="00B6395F"/>
    <w:rsid w:val="00B63AF1"/>
    <w:rsid w:val="00B63B84"/>
    <w:rsid w:val="00B63C4B"/>
    <w:rsid w:val="00B63CEF"/>
    <w:rsid w:val="00B63D7A"/>
    <w:rsid w:val="00B63EDF"/>
    <w:rsid w:val="00B63EFD"/>
    <w:rsid w:val="00B63F50"/>
    <w:rsid w:val="00B63FBF"/>
    <w:rsid w:val="00B63FEF"/>
    <w:rsid w:val="00B6421F"/>
    <w:rsid w:val="00B643BC"/>
    <w:rsid w:val="00B643D9"/>
    <w:rsid w:val="00B645A2"/>
    <w:rsid w:val="00B64624"/>
    <w:rsid w:val="00B64664"/>
    <w:rsid w:val="00B647CA"/>
    <w:rsid w:val="00B6486A"/>
    <w:rsid w:val="00B648C9"/>
    <w:rsid w:val="00B64A69"/>
    <w:rsid w:val="00B64D73"/>
    <w:rsid w:val="00B64D9D"/>
    <w:rsid w:val="00B64E95"/>
    <w:rsid w:val="00B64FD4"/>
    <w:rsid w:val="00B650C4"/>
    <w:rsid w:val="00B650E3"/>
    <w:rsid w:val="00B6532F"/>
    <w:rsid w:val="00B654D7"/>
    <w:rsid w:val="00B65512"/>
    <w:rsid w:val="00B6565D"/>
    <w:rsid w:val="00B657FB"/>
    <w:rsid w:val="00B65807"/>
    <w:rsid w:val="00B65828"/>
    <w:rsid w:val="00B65A25"/>
    <w:rsid w:val="00B65A42"/>
    <w:rsid w:val="00B65A63"/>
    <w:rsid w:val="00B65B4F"/>
    <w:rsid w:val="00B65B65"/>
    <w:rsid w:val="00B65BCE"/>
    <w:rsid w:val="00B65BE7"/>
    <w:rsid w:val="00B65C1C"/>
    <w:rsid w:val="00B65DE6"/>
    <w:rsid w:val="00B65F06"/>
    <w:rsid w:val="00B66053"/>
    <w:rsid w:val="00B661D5"/>
    <w:rsid w:val="00B66262"/>
    <w:rsid w:val="00B66482"/>
    <w:rsid w:val="00B665AE"/>
    <w:rsid w:val="00B665C3"/>
    <w:rsid w:val="00B6678D"/>
    <w:rsid w:val="00B6681B"/>
    <w:rsid w:val="00B66933"/>
    <w:rsid w:val="00B66A2F"/>
    <w:rsid w:val="00B66A5E"/>
    <w:rsid w:val="00B66A60"/>
    <w:rsid w:val="00B66AF9"/>
    <w:rsid w:val="00B66BF1"/>
    <w:rsid w:val="00B66C21"/>
    <w:rsid w:val="00B66CB9"/>
    <w:rsid w:val="00B66D4A"/>
    <w:rsid w:val="00B66E69"/>
    <w:rsid w:val="00B66FB4"/>
    <w:rsid w:val="00B66FD9"/>
    <w:rsid w:val="00B670F7"/>
    <w:rsid w:val="00B67189"/>
    <w:rsid w:val="00B671A4"/>
    <w:rsid w:val="00B67264"/>
    <w:rsid w:val="00B67378"/>
    <w:rsid w:val="00B674EE"/>
    <w:rsid w:val="00B67653"/>
    <w:rsid w:val="00B67696"/>
    <w:rsid w:val="00B677F8"/>
    <w:rsid w:val="00B6791C"/>
    <w:rsid w:val="00B679AB"/>
    <w:rsid w:val="00B679B5"/>
    <w:rsid w:val="00B67A3D"/>
    <w:rsid w:val="00B67A98"/>
    <w:rsid w:val="00B67C54"/>
    <w:rsid w:val="00B67DCA"/>
    <w:rsid w:val="00B70026"/>
    <w:rsid w:val="00B7003F"/>
    <w:rsid w:val="00B7011C"/>
    <w:rsid w:val="00B70130"/>
    <w:rsid w:val="00B70217"/>
    <w:rsid w:val="00B70241"/>
    <w:rsid w:val="00B7025F"/>
    <w:rsid w:val="00B70328"/>
    <w:rsid w:val="00B703F4"/>
    <w:rsid w:val="00B7045F"/>
    <w:rsid w:val="00B70469"/>
    <w:rsid w:val="00B704BB"/>
    <w:rsid w:val="00B70550"/>
    <w:rsid w:val="00B70650"/>
    <w:rsid w:val="00B70863"/>
    <w:rsid w:val="00B709F2"/>
    <w:rsid w:val="00B70A51"/>
    <w:rsid w:val="00B70BE2"/>
    <w:rsid w:val="00B70D2E"/>
    <w:rsid w:val="00B70D3E"/>
    <w:rsid w:val="00B70F77"/>
    <w:rsid w:val="00B7114C"/>
    <w:rsid w:val="00B711A8"/>
    <w:rsid w:val="00B71246"/>
    <w:rsid w:val="00B712AC"/>
    <w:rsid w:val="00B712EE"/>
    <w:rsid w:val="00B7133F"/>
    <w:rsid w:val="00B71440"/>
    <w:rsid w:val="00B714CF"/>
    <w:rsid w:val="00B71538"/>
    <w:rsid w:val="00B716E2"/>
    <w:rsid w:val="00B716F3"/>
    <w:rsid w:val="00B71765"/>
    <w:rsid w:val="00B71938"/>
    <w:rsid w:val="00B71B07"/>
    <w:rsid w:val="00B71B7A"/>
    <w:rsid w:val="00B71C8B"/>
    <w:rsid w:val="00B71DE7"/>
    <w:rsid w:val="00B71E24"/>
    <w:rsid w:val="00B71E66"/>
    <w:rsid w:val="00B71F3F"/>
    <w:rsid w:val="00B71F67"/>
    <w:rsid w:val="00B7200F"/>
    <w:rsid w:val="00B721BB"/>
    <w:rsid w:val="00B721C5"/>
    <w:rsid w:val="00B723CF"/>
    <w:rsid w:val="00B7244D"/>
    <w:rsid w:val="00B72555"/>
    <w:rsid w:val="00B727C4"/>
    <w:rsid w:val="00B72874"/>
    <w:rsid w:val="00B7287F"/>
    <w:rsid w:val="00B728B5"/>
    <w:rsid w:val="00B728DF"/>
    <w:rsid w:val="00B7299E"/>
    <w:rsid w:val="00B72A4A"/>
    <w:rsid w:val="00B72B04"/>
    <w:rsid w:val="00B72BB8"/>
    <w:rsid w:val="00B72C33"/>
    <w:rsid w:val="00B72CC4"/>
    <w:rsid w:val="00B72CE3"/>
    <w:rsid w:val="00B72E35"/>
    <w:rsid w:val="00B72EF6"/>
    <w:rsid w:val="00B72F03"/>
    <w:rsid w:val="00B73067"/>
    <w:rsid w:val="00B73174"/>
    <w:rsid w:val="00B732AA"/>
    <w:rsid w:val="00B734D6"/>
    <w:rsid w:val="00B734FF"/>
    <w:rsid w:val="00B73689"/>
    <w:rsid w:val="00B73805"/>
    <w:rsid w:val="00B7380F"/>
    <w:rsid w:val="00B73A5A"/>
    <w:rsid w:val="00B73AA2"/>
    <w:rsid w:val="00B73AEB"/>
    <w:rsid w:val="00B73C6F"/>
    <w:rsid w:val="00B73CF6"/>
    <w:rsid w:val="00B73D1F"/>
    <w:rsid w:val="00B73DBA"/>
    <w:rsid w:val="00B73EC6"/>
    <w:rsid w:val="00B73F66"/>
    <w:rsid w:val="00B740E5"/>
    <w:rsid w:val="00B74168"/>
    <w:rsid w:val="00B742C9"/>
    <w:rsid w:val="00B74306"/>
    <w:rsid w:val="00B7436E"/>
    <w:rsid w:val="00B7438A"/>
    <w:rsid w:val="00B743BD"/>
    <w:rsid w:val="00B743D3"/>
    <w:rsid w:val="00B743DD"/>
    <w:rsid w:val="00B7440F"/>
    <w:rsid w:val="00B7441D"/>
    <w:rsid w:val="00B7444A"/>
    <w:rsid w:val="00B74519"/>
    <w:rsid w:val="00B7451A"/>
    <w:rsid w:val="00B745B3"/>
    <w:rsid w:val="00B745BE"/>
    <w:rsid w:val="00B7461D"/>
    <w:rsid w:val="00B74637"/>
    <w:rsid w:val="00B74715"/>
    <w:rsid w:val="00B74900"/>
    <w:rsid w:val="00B74913"/>
    <w:rsid w:val="00B7495D"/>
    <w:rsid w:val="00B74960"/>
    <w:rsid w:val="00B74A0F"/>
    <w:rsid w:val="00B74A19"/>
    <w:rsid w:val="00B74B2D"/>
    <w:rsid w:val="00B74C75"/>
    <w:rsid w:val="00B74ECC"/>
    <w:rsid w:val="00B74F23"/>
    <w:rsid w:val="00B75012"/>
    <w:rsid w:val="00B750AA"/>
    <w:rsid w:val="00B750E3"/>
    <w:rsid w:val="00B7510E"/>
    <w:rsid w:val="00B7518D"/>
    <w:rsid w:val="00B751D6"/>
    <w:rsid w:val="00B75207"/>
    <w:rsid w:val="00B752DA"/>
    <w:rsid w:val="00B75301"/>
    <w:rsid w:val="00B75363"/>
    <w:rsid w:val="00B75532"/>
    <w:rsid w:val="00B755F7"/>
    <w:rsid w:val="00B75635"/>
    <w:rsid w:val="00B75695"/>
    <w:rsid w:val="00B75730"/>
    <w:rsid w:val="00B75740"/>
    <w:rsid w:val="00B757B1"/>
    <w:rsid w:val="00B75922"/>
    <w:rsid w:val="00B75998"/>
    <w:rsid w:val="00B75A4F"/>
    <w:rsid w:val="00B75A5C"/>
    <w:rsid w:val="00B75AF5"/>
    <w:rsid w:val="00B75B4F"/>
    <w:rsid w:val="00B75B74"/>
    <w:rsid w:val="00B75BD4"/>
    <w:rsid w:val="00B75D8B"/>
    <w:rsid w:val="00B75E5D"/>
    <w:rsid w:val="00B75E77"/>
    <w:rsid w:val="00B75E9B"/>
    <w:rsid w:val="00B75EA7"/>
    <w:rsid w:val="00B75ECD"/>
    <w:rsid w:val="00B75F2B"/>
    <w:rsid w:val="00B75F91"/>
    <w:rsid w:val="00B76109"/>
    <w:rsid w:val="00B76191"/>
    <w:rsid w:val="00B761EF"/>
    <w:rsid w:val="00B76286"/>
    <w:rsid w:val="00B762E1"/>
    <w:rsid w:val="00B7631D"/>
    <w:rsid w:val="00B7636A"/>
    <w:rsid w:val="00B763A5"/>
    <w:rsid w:val="00B76715"/>
    <w:rsid w:val="00B76724"/>
    <w:rsid w:val="00B767D1"/>
    <w:rsid w:val="00B768B3"/>
    <w:rsid w:val="00B768E9"/>
    <w:rsid w:val="00B768EB"/>
    <w:rsid w:val="00B76A47"/>
    <w:rsid w:val="00B76AB4"/>
    <w:rsid w:val="00B76ABF"/>
    <w:rsid w:val="00B76B1E"/>
    <w:rsid w:val="00B76B88"/>
    <w:rsid w:val="00B76D04"/>
    <w:rsid w:val="00B76D5E"/>
    <w:rsid w:val="00B76D8E"/>
    <w:rsid w:val="00B76E06"/>
    <w:rsid w:val="00B76E4E"/>
    <w:rsid w:val="00B77027"/>
    <w:rsid w:val="00B77168"/>
    <w:rsid w:val="00B7720A"/>
    <w:rsid w:val="00B77218"/>
    <w:rsid w:val="00B77290"/>
    <w:rsid w:val="00B772B5"/>
    <w:rsid w:val="00B772E9"/>
    <w:rsid w:val="00B77302"/>
    <w:rsid w:val="00B773F3"/>
    <w:rsid w:val="00B77595"/>
    <w:rsid w:val="00B775E0"/>
    <w:rsid w:val="00B77672"/>
    <w:rsid w:val="00B77799"/>
    <w:rsid w:val="00B77821"/>
    <w:rsid w:val="00B7788C"/>
    <w:rsid w:val="00B779F0"/>
    <w:rsid w:val="00B77A06"/>
    <w:rsid w:val="00B77B5D"/>
    <w:rsid w:val="00B77C1D"/>
    <w:rsid w:val="00B77D75"/>
    <w:rsid w:val="00B77DF2"/>
    <w:rsid w:val="00B77E28"/>
    <w:rsid w:val="00B77F81"/>
    <w:rsid w:val="00B77FCA"/>
    <w:rsid w:val="00B77FEF"/>
    <w:rsid w:val="00B80016"/>
    <w:rsid w:val="00B800BA"/>
    <w:rsid w:val="00B80164"/>
    <w:rsid w:val="00B80265"/>
    <w:rsid w:val="00B802F4"/>
    <w:rsid w:val="00B80316"/>
    <w:rsid w:val="00B805ED"/>
    <w:rsid w:val="00B807ED"/>
    <w:rsid w:val="00B80828"/>
    <w:rsid w:val="00B80834"/>
    <w:rsid w:val="00B808A8"/>
    <w:rsid w:val="00B80A16"/>
    <w:rsid w:val="00B80B67"/>
    <w:rsid w:val="00B80B7F"/>
    <w:rsid w:val="00B80C15"/>
    <w:rsid w:val="00B80C3D"/>
    <w:rsid w:val="00B80D08"/>
    <w:rsid w:val="00B80D28"/>
    <w:rsid w:val="00B80D5C"/>
    <w:rsid w:val="00B80D76"/>
    <w:rsid w:val="00B8105A"/>
    <w:rsid w:val="00B811E0"/>
    <w:rsid w:val="00B811E4"/>
    <w:rsid w:val="00B81298"/>
    <w:rsid w:val="00B8129A"/>
    <w:rsid w:val="00B812BD"/>
    <w:rsid w:val="00B81410"/>
    <w:rsid w:val="00B81556"/>
    <w:rsid w:val="00B81580"/>
    <w:rsid w:val="00B815F0"/>
    <w:rsid w:val="00B81629"/>
    <w:rsid w:val="00B816D7"/>
    <w:rsid w:val="00B81747"/>
    <w:rsid w:val="00B818A7"/>
    <w:rsid w:val="00B81998"/>
    <w:rsid w:val="00B81C30"/>
    <w:rsid w:val="00B81C7A"/>
    <w:rsid w:val="00B81E15"/>
    <w:rsid w:val="00B81E74"/>
    <w:rsid w:val="00B81E9E"/>
    <w:rsid w:val="00B81FBB"/>
    <w:rsid w:val="00B82036"/>
    <w:rsid w:val="00B82214"/>
    <w:rsid w:val="00B822A2"/>
    <w:rsid w:val="00B822CF"/>
    <w:rsid w:val="00B8246C"/>
    <w:rsid w:val="00B82516"/>
    <w:rsid w:val="00B82565"/>
    <w:rsid w:val="00B825CC"/>
    <w:rsid w:val="00B82708"/>
    <w:rsid w:val="00B82793"/>
    <w:rsid w:val="00B827E8"/>
    <w:rsid w:val="00B827FA"/>
    <w:rsid w:val="00B829B9"/>
    <w:rsid w:val="00B82A30"/>
    <w:rsid w:val="00B82A77"/>
    <w:rsid w:val="00B82A97"/>
    <w:rsid w:val="00B82A99"/>
    <w:rsid w:val="00B82B13"/>
    <w:rsid w:val="00B82B28"/>
    <w:rsid w:val="00B82BA0"/>
    <w:rsid w:val="00B82DCB"/>
    <w:rsid w:val="00B82FA1"/>
    <w:rsid w:val="00B8300E"/>
    <w:rsid w:val="00B8301F"/>
    <w:rsid w:val="00B83113"/>
    <w:rsid w:val="00B8315D"/>
    <w:rsid w:val="00B833B9"/>
    <w:rsid w:val="00B83400"/>
    <w:rsid w:val="00B8354E"/>
    <w:rsid w:val="00B835AE"/>
    <w:rsid w:val="00B83671"/>
    <w:rsid w:val="00B83844"/>
    <w:rsid w:val="00B8388C"/>
    <w:rsid w:val="00B839A2"/>
    <w:rsid w:val="00B83A28"/>
    <w:rsid w:val="00B83B3C"/>
    <w:rsid w:val="00B83B69"/>
    <w:rsid w:val="00B83B9C"/>
    <w:rsid w:val="00B83BC3"/>
    <w:rsid w:val="00B83BD0"/>
    <w:rsid w:val="00B83BE7"/>
    <w:rsid w:val="00B83C22"/>
    <w:rsid w:val="00B83D0E"/>
    <w:rsid w:val="00B83D3B"/>
    <w:rsid w:val="00B83D6A"/>
    <w:rsid w:val="00B83D9A"/>
    <w:rsid w:val="00B83E5C"/>
    <w:rsid w:val="00B83FA6"/>
    <w:rsid w:val="00B83FFB"/>
    <w:rsid w:val="00B8419B"/>
    <w:rsid w:val="00B8419E"/>
    <w:rsid w:val="00B843BB"/>
    <w:rsid w:val="00B843D9"/>
    <w:rsid w:val="00B845E9"/>
    <w:rsid w:val="00B84696"/>
    <w:rsid w:val="00B8473B"/>
    <w:rsid w:val="00B847AC"/>
    <w:rsid w:val="00B8485F"/>
    <w:rsid w:val="00B848AE"/>
    <w:rsid w:val="00B849DD"/>
    <w:rsid w:val="00B849ED"/>
    <w:rsid w:val="00B84BF5"/>
    <w:rsid w:val="00B84C85"/>
    <w:rsid w:val="00B84CBF"/>
    <w:rsid w:val="00B84DF3"/>
    <w:rsid w:val="00B84ED4"/>
    <w:rsid w:val="00B84FCA"/>
    <w:rsid w:val="00B85054"/>
    <w:rsid w:val="00B850FB"/>
    <w:rsid w:val="00B851B4"/>
    <w:rsid w:val="00B852F5"/>
    <w:rsid w:val="00B85308"/>
    <w:rsid w:val="00B8535A"/>
    <w:rsid w:val="00B854E2"/>
    <w:rsid w:val="00B85501"/>
    <w:rsid w:val="00B85569"/>
    <w:rsid w:val="00B8558D"/>
    <w:rsid w:val="00B855E5"/>
    <w:rsid w:val="00B85811"/>
    <w:rsid w:val="00B8582D"/>
    <w:rsid w:val="00B858A5"/>
    <w:rsid w:val="00B858DB"/>
    <w:rsid w:val="00B8591B"/>
    <w:rsid w:val="00B85AF3"/>
    <w:rsid w:val="00B85B1D"/>
    <w:rsid w:val="00B85B52"/>
    <w:rsid w:val="00B85B5B"/>
    <w:rsid w:val="00B85B5F"/>
    <w:rsid w:val="00B85C89"/>
    <w:rsid w:val="00B85DE2"/>
    <w:rsid w:val="00B85E3D"/>
    <w:rsid w:val="00B85E66"/>
    <w:rsid w:val="00B85F87"/>
    <w:rsid w:val="00B8614A"/>
    <w:rsid w:val="00B8620B"/>
    <w:rsid w:val="00B862E4"/>
    <w:rsid w:val="00B863D9"/>
    <w:rsid w:val="00B86402"/>
    <w:rsid w:val="00B865DE"/>
    <w:rsid w:val="00B86688"/>
    <w:rsid w:val="00B866BC"/>
    <w:rsid w:val="00B86781"/>
    <w:rsid w:val="00B867A0"/>
    <w:rsid w:val="00B867A5"/>
    <w:rsid w:val="00B868F6"/>
    <w:rsid w:val="00B869E7"/>
    <w:rsid w:val="00B86AF6"/>
    <w:rsid w:val="00B86B56"/>
    <w:rsid w:val="00B86BD5"/>
    <w:rsid w:val="00B86C27"/>
    <w:rsid w:val="00B86D59"/>
    <w:rsid w:val="00B86D95"/>
    <w:rsid w:val="00B86DA9"/>
    <w:rsid w:val="00B86DD4"/>
    <w:rsid w:val="00B86E6F"/>
    <w:rsid w:val="00B86E8E"/>
    <w:rsid w:val="00B8700B"/>
    <w:rsid w:val="00B870E9"/>
    <w:rsid w:val="00B87191"/>
    <w:rsid w:val="00B8727A"/>
    <w:rsid w:val="00B87396"/>
    <w:rsid w:val="00B8745F"/>
    <w:rsid w:val="00B8768F"/>
    <w:rsid w:val="00B876F5"/>
    <w:rsid w:val="00B877AE"/>
    <w:rsid w:val="00B87844"/>
    <w:rsid w:val="00B87983"/>
    <w:rsid w:val="00B87ADE"/>
    <w:rsid w:val="00B87B60"/>
    <w:rsid w:val="00B87C05"/>
    <w:rsid w:val="00B87D2D"/>
    <w:rsid w:val="00B87E52"/>
    <w:rsid w:val="00B87F4A"/>
    <w:rsid w:val="00B901EB"/>
    <w:rsid w:val="00B901ED"/>
    <w:rsid w:val="00B90220"/>
    <w:rsid w:val="00B9029F"/>
    <w:rsid w:val="00B9039E"/>
    <w:rsid w:val="00B903E4"/>
    <w:rsid w:val="00B9041B"/>
    <w:rsid w:val="00B90470"/>
    <w:rsid w:val="00B904F5"/>
    <w:rsid w:val="00B905F2"/>
    <w:rsid w:val="00B90630"/>
    <w:rsid w:val="00B90679"/>
    <w:rsid w:val="00B90C09"/>
    <w:rsid w:val="00B90C7E"/>
    <w:rsid w:val="00B90D6A"/>
    <w:rsid w:val="00B90E67"/>
    <w:rsid w:val="00B910E4"/>
    <w:rsid w:val="00B910EE"/>
    <w:rsid w:val="00B91191"/>
    <w:rsid w:val="00B91395"/>
    <w:rsid w:val="00B91548"/>
    <w:rsid w:val="00B9155F"/>
    <w:rsid w:val="00B916D4"/>
    <w:rsid w:val="00B91764"/>
    <w:rsid w:val="00B917ED"/>
    <w:rsid w:val="00B91B58"/>
    <w:rsid w:val="00B91B98"/>
    <w:rsid w:val="00B91C0D"/>
    <w:rsid w:val="00B91CD1"/>
    <w:rsid w:val="00B91DD7"/>
    <w:rsid w:val="00B91E44"/>
    <w:rsid w:val="00B91EAA"/>
    <w:rsid w:val="00B91F20"/>
    <w:rsid w:val="00B91FC4"/>
    <w:rsid w:val="00B9228B"/>
    <w:rsid w:val="00B922EA"/>
    <w:rsid w:val="00B92488"/>
    <w:rsid w:val="00B924C9"/>
    <w:rsid w:val="00B9251C"/>
    <w:rsid w:val="00B92773"/>
    <w:rsid w:val="00B9279D"/>
    <w:rsid w:val="00B927E3"/>
    <w:rsid w:val="00B92899"/>
    <w:rsid w:val="00B92966"/>
    <w:rsid w:val="00B9297C"/>
    <w:rsid w:val="00B929F3"/>
    <w:rsid w:val="00B92A9B"/>
    <w:rsid w:val="00B92B16"/>
    <w:rsid w:val="00B92B3F"/>
    <w:rsid w:val="00B92BDD"/>
    <w:rsid w:val="00B92BE8"/>
    <w:rsid w:val="00B92DD0"/>
    <w:rsid w:val="00B92F07"/>
    <w:rsid w:val="00B92F2F"/>
    <w:rsid w:val="00B92F55"/>
    <w:rsid w:val="00B92F6F"/>
    <w:rsid w:val="00B9302C"/>
    <w:rsid w:val="00B9304A"/>
    <w:rsid w:val="00B93065"/>
    <w:rsid w:val="00B930AF"/>
    <w:rsid w:val="00B93234"/>
    <w:rsid w:val="00B93236"/>
    <w:rsid w:val="00B932D2"/>
    <w:rsid w:val="00B9336E"/>
    <w:rsid w:val="00B935C8"/>
    <w:rsid w:val="00B935F9"/>
    <w:rsid w:val="00B937C1"/>
    <w:rsid w:val="00B937D8"/>
    <w:rsid w:val="00B93A28"/>
    <w:rsid w:val="00B93A76"/>
    <w:rsid w:val="00B93B4D"/>
    <w:rsid w:val="00B93BC4"/>
    <w:rsid w:val="00B93C24"/>
    <w:rsid w:val="00B93C53"/>
    <w:rsid w:val="00B93C7F"/>
    <w:rsid w:val="00B93CF2"/>
    <w:rsid w:val="00B93E21"/>
    <w:rsid w:val="00B93EAE"/>
    <w:rsid w:val="00B93EEA"/>
    <w:rsid w:val="00B93F1A"/>
    <w:rsid w:val="00B93FC1"/>
    <w:rsid w:val="00B94041"/>
    <w:rsid w:val="00B94089"/>
    <w:rsid w:val="00B940D5"/>
    <w:rsid w:val="00B9416E"/>
    <w:rsid w:val="00B941F9"/>
    <w:rsid w:val="00B94219"/>
    <w:rsid w:val="00B94286"/>
    <w:rsid w:val="00B942D0"/>
    <w:rsid w:val="00B94385"/>
    <w:rsid w:val="00B9440D"/>
    <w:rsid w:val="00B94606"/>
    <w:rsid w:val="00B9463A"/>
    <w:rsid w:val="00B9466A"/>
    <w:rsid w:val="00B94725"/>
    <w:rsid w:val="00B947E3"/>
    <w:rsid w:val="00B948C3"/>
    <w:rsid w:val="00B94950"/>
    <w:rsid w:val="00B94967"/>
    <w:rsid w:val="00B94A41"/>
    <w:rsid w:val="00B94B12"/>
    <w:rsid w:val="00B94BA4"/>
    <w:rsid w:val="00B94BD7"/>
    <w:rsid w:val="00B94C19"/>
    <w:rsid w:val="00B94CC5"/>
    <w:rsid w:val="00B94D04"/>
    <w:rsid w:val="00B94D58"/>
    <w:rsid w:val="00B94D96"/>
    <w:rsid w:val="00B94DBD"/>
    <w:rsid w:val="00B94E32"/>
    <w:rsid w:val="00B94E57"/>
    <w:rsid w:val="00B94ECD"/>
    <w:rsid w:val="00B94ED7"/>
    <w:rsid w:val="00B94EE5"/>
    <w:rsid w:val="00B9515C"/>
    <w:rsid w:val="00B9518F"/>
    <w:rsid w:val="00B951E4"/>
    <w:rsid w:val="00B95308"/>
    <w:rsid w:val="00B9532C"/>
    <w:rsid w:val="00B95397"/>
    <w:rsid w:val="00B95462"/>
    <w:rsid w:val="00B956D3"/>
    <w:rsid w:val="00B956E3"/>
    <w:rsid w:val="00B956FF"/>
    <w:rsid w:val="00B95710"/>
    <w:rsid w:val="00B957C9"/>
    <w:rsid w:val="00B95859"/>
    <w:rsid w:val="00B95AC4"/>
    <w:rsid w:val="00B95ACC"/>
    <w:rsid w:val="00B95AF8"/>
    <w:rsid w:val="00B95CC3"/>
    <w:rsid w:val="00B95D56"/>
    <w:rsid w:val="00B95DCA"/>
    <w:rsid w:val="00B95F59"/>
    <w:rsid w:val="00B9608A"/>
    <w:rsid w:val="00B96232"/>
    <w:rsid w:val="00B96283"/>
    <w:rsid w:val="00B962A5"/>
    <w:rsid w:val="00B962D7"/>
    <w:rsid w:val="00B96392"/>
    <w:rsid w:val="00B963C3"/>
    <w:rsid w:val="00B964C2"/>
    <w:rsid w:val="00B964DA"/>
    <w:rsid w:val="00B965A0"/>
    <w:rsid w:val="00B9666A"/>
    <w:rsid w:val="00B966A5"/>
    <w:rsid w:val="00B9681E"/>
    <w:rsid w:val="00B96916"/>
    <w:rsid w:val="00B9696A"/>
    <w:rsid w:val="00B96A60"/>
    <w:rsid w:val="00B96B08"/>
    <w:rsid w:val="00B96B93"/>
    <w:rsid w:val="00B96BF0"/>
    <w:rsid w:val="00B96C71"/>
    <w:rsid w:val="00B96D9C"/>
    <w:rsid w:val="00B96DB0"/>
    <w:rsid w:val="00B96E43"/>
    <w:rsid w:val="00B97418"/>
    <w:rsid w:val="00B974B5"/>
    <w:rsid w:val="00B975BC"/>
    <w:rsid w:val="00B977A5"/>
    <w:rsid w:val="00B977D4"/>
    <w:rsid w:val="00B97887"/>
    <w:rsid w:val="00B978A7"/>
    <w:rsid w:val="00B9792E"/>
    <w:rsid w:val="00B979AF"/>
    <w:rsid w:val="00B97B78"/>
    <w:rsid w:val="00B97BB1"/>
    <w:rsid w:val="00B97C04"/>
    <w:rsid w:val="00B97C3A"/>
    <w:rsid w:val="00B97DAF"/>
    <w:rsid w:val="00B97ED4"/>
    <w:rsid w:val="00BA00F4"/>
    <w:rsid w:val="00BA04EF"/>
    <w:rsid w:val="00BA0575"/>
    <w:rsid w:val="00BA06B6"/>
    <w:rsid w:val="00BA06B8"/>
    <w:rsid w:val="00BA0CBA"/>
    <w:rsid w:val="00BA0D63"/>
    <w:rsid w:val="00BA0E09"/>
    <w:rsid w:val="00BA0E0D"/>
    <w:rsid w:val="00BA0E59"/>
    <w:rsid w:val="00BA0F86"/>
    <w:rsid w:val="00BA1030"/>
    <w:rsid w:val="00BA107B"/>
    <w:rsid w:val="00BA112D"/>
    <w:rsid w:val="00BA113D"/>
    <w:rsid w:val="00BA114A"/>
    <w:rsid w:val="00BA118E"/>
    <w:rsid w:val="00BA11C8"/>
    <w:rsid w:val="00BA1333"/>
    <w:rsid w:val="00BA1459"/>
    <w:rsid w:val="00BA14BE"/>
    <w:rsid w:val="00BA16B5"/>
    <w:rsid w:val="00BA1708"/>
    <w:rsid w:val="00BA1731"/>
    <w:rsid w:val="00BA17F0"/>
    <w:rsid w:val="00BA1855"/>
    <w:rsid w:val="00BA18B6"/>
    <w:rsid w:val="00BA18E0"/>
    <w:rsid w:val="00BA19AD"/>
    <w:rsid w:val="00BA19ED"/>
    <w:rsid w:val="00BA1A84"/>
    <w:rsid w:val="00BA1AB4"/>
    <w:rsid w:val="00BA1C51"/>
    <w:rsid w:val="00BA1C74"/>
    <w:rsid w:val="00BA1CFC"/>
    <w:rsid w:val="00BA1D03"/>
    <w:rsid w:val="00BA1D08"/>
    <w:rsid w:val="00BA20AC"/>
    <w:rsid w:val="00BA2119"/>
    <w:rsid w:val="00BA2233"/>
    <w:rsid w:val="00BA225E"/>
    <w:rsid w:val="00BA23F8"/>
    <w:rsid w:val="00BA2651"/>
    <w:rsid w:val="00BA2706"/>
    <w:rsid w:val="00BA2757"/>
    <w:rsid w:val="00BA27AD"/>
    <w:rsid w:val="00BA2848"/>
    <w:rsid w:val="00BA28C0"/>
    <w:rsid w:val="00BA2AE6"/>
    <w:rsid w:val="00BA2D03"/>
    <w:rsid w:val="00BA2F57"/>
    <w:rsid w:val="00BA3027"/>
    <w:rsid w:val="00BA3047"/>
    <w:rsid w:val="00BA3065"/>
    <w:rsid w:val="00BA3273"/>
    <w:rsid w:val="00BA329C"/>
    <w:rsid w:val="00BA330C"/>
    <w:rsid w:val="00BA33A9"/>
    <w:rsid w:val="00BA358C"/>
    <w:rsid w:val="00BA35E9"/>
    <w:rsid w:val="00BA3688"/>
    <w:rsid w:val="00BA36FC"/>
    <w:rsid w:val="00BA37E1"/>
    <w:rsid w:val="00BA3840"/>
    <w:rsid w:val="00BA38F7"/>
    <w:rsid w:val="00BA3A0F"/>
    <w:rsid w:val="00BA3A5E"/>
    <w:rsid w:val="00BA3AAE"/>
    <w:rsid w:val="00BA3C97"/>
    <w:rsid w:val="00BA3CB1"/>
    <w:rsid w:val="00BA3CF3"/>
    <w:rsid w:val="00BA3D14"/>
    <w:rsid w:val="00BA3D84"/>
    <w:rsid w:val="00BA3E89"/>
    <w:rsid w:val="00BA3F0A"/>
    <w:rsid w:val="00BA4022"/>
    <w:rsid w:val="00BA408D"/>
    <w:rsid w:val="00BA4229"/>
    <w:rsid w:val="00BA4282"/>
    <w:rsid w:val="00BA432B"/>
    <w:rsid w:val="00BA4448"/>
    <w:rsid w:val="00BA4623"/>
    <w:rsid w:val="00BA475E"/>
    <w:rsid w:val="00BA4791"/>
    <w:rsid w:val="00BA4957"/>
    <w:rsid w:val="00BA4A7D"/>
    <w:rsid w:val="00BA4BDF"/>
    <w:rsid w:val="00BA4C9D"/>
    <w:rsid w:val="00BA4D07"/>
    <w:rsid w:val="00BA4D0C"/>
    <w:rsid w:val="00BA4EDA"/>
    <w:rsid w:val="00BA4F8F"/>
    <w:rsid w:val="00BA4F92"/>
    <w:rsid w:val="00BA5003"/>
    <w:rsid w:val="00BA50A5"/>
    <w:rsid w:val="00BA50F1"/>
    <w:rsid w:val="00BA51A7"/>
    <w:rsid w:val="00BA51C8"/>
    <w:rsid w:val="00BA5414"/>
    <w:rsid w:val="00BA5493"/>
    <w:rsid w:val="00BA565C"/>
    <w:rsid w:val="00BA573E"/>
    <w:rsid w:val="00BA5847"/>
    <w:rsid w:val="00BA5850"/>
    <w:rsid w:val="00BA5910"/>
    <w:rsid w:val="00BA5A07"/>
    <w:rsid w:val="00BA5D99"/>
    <w:rsid w:val="00BA5EDA"/>
    <w:rsid w:val="00BA5EF1"/>
    <w:rsid w:val="00BA5F04"/>
    <w:rsid w:val="00BA5FA1"/>
    <w:rsid w:val="00BA5FB6"/>
    <w:rsid w:val="00BA5FF6"/>
    <w:rsid w:val="00BA5FFA"/>
    <w:rsid w:val="00BA6024"/>
    <w:rsid w:val="00BA615A"/>
    <w:rsid w:val="00BA6343"/>
    <w:rsid w:val="00BA64CC"/>
    <w:rsid w:val="00BA6604"/>
    <w:rsid w:val="00BA66F0"/>
    <w:rsid w:val="00BA6771"/>
    <w:rsid w:val="00BA6982"/>
    <w:rsid w:val="00BA6C25"/>
    <w:rsid w:val="00BA6C4A"/>
    <w:rsid w:val="00BA6C99"/>
    <w:rsid w:val="00BA6EBB"/>
    <w:rsid w:val="00BA6EDD"/>
    <w:rsid w:val="00BA6F58"/>
    <w:rsid w:val="00BA6F8B"/>
    <w:rsid w:val="00BA6FFF"/>
    <w:rsid w:val="00BA7023"/>
    <w:rsid w:val="00BA725A"/>
    <w:rsid w:val="00BA7310"/>
    <w:rsid w:val="00BA73A0"/>
    <w:rsid w:val="00BA7710"/>
    <w:rsid w:val="00BA7897"/>
    <w:rsid w:val="00BA78E7"/>
    <w:rsid w:val="00BA794E"/>
    <w:rsid w:val="00BA79C5"/>
    <w:rsid w:val="00BA7A6A"/>
    <w:rsid w:val="00BA7AB0"/>
    <w:rsid w:val="00BA7ABE"/>
    <w:rsid w:val="00BA7B38"/>
    <w:rsid w:val="00BA7BAE"/>
    <w:rsid w:val="00BA7D0C"/>
    <w:rsid w:val="00BA7DF7"/>
    <w:rsid w:val="00BA7E40"/>
    <w:rsid w:val="00BA7F36"/>
    <w:rsid w:val="00BA7F82"/>
    <w:rsid w:val="00BA7FEF"/>
    <w:rsid w:val="00BA7FFD"/>
    <w:rsid w:val="00BB0041"/>
    <w:rsid w:val="00BB01B0"/>
    <w:rsid w:val="00BB01B2"/>
    <w:rsid w:val="00BB0228"/>
    <w:rsid w:val="00BB032C"/>
    <w:rsid w:val="00BB0336"/>
    <w:rsid w:val="00BB0655"/>
    <w:rsid w:val="00BB0671"/>
    <w:rsid w:val="00BB06D0"/>
    <w:rsid w:val="00BB085C"/>
    <w:rsid w:val="00BB0C2B"/>
    <w:rsid w:val="00BB0C46"/>
    <w:rsid w:val="00BB0CC8"/>
    <w:rsid w:val="00BB0CF9"/>
    <w:rsid w:val="00BB0E8C"/>
    <w:rsid w:val="00BB0F11"/>
    <w:rsid w:val="00BB0F95"/>
    <w:rsid w:val="00BB1045"/>
    <w:rsid w:val="00BB1173"/>
    <w:rsid w:val="00BB1254"/>
    <w:rsid w:val="00BB1286"/>
    <w:rsid w:val="00BB12B8"/>
    <w:rsid w:val="00BB134B"/>
    <w:rsid w:val="00BB148A"/>
    <w:rsid w:val="00BB148D"/>
    <w:rsid w:val="00BB1555"/>
    <w:rsid w:val="00BB1785"/>
    <w:rsid w:val="00BB18D8"/>
    <w:rsid w:val="00BB1915"/>
    <w:rsid w:val="00BB1936"/>
    <w:rsid w:val="00BB19A1"/>
    <w:rsid w:val="00BB19B8"/>
    <w:rsid w:val="00BB19D8"/>
    <w:rsid w:val="00BB1AD9"/>
    <w:rsid w:val="00BB1AFE"/>
    <w:rsid w:val="00BB1BB5"/>
    <w:rsid w:val="00BB1C18"/>
    <w:rsid w:val="00BB1C5A"/>
    <w:rsid w:val="00BB1D18"/>
    <w:rsid w:val="00BB1D1C"/>
    <w:rsid w:val="00BB1D7C"/>
    <w:rsid w:val="00BB1E66"/>
    <w:rsid w:val="00BB2227"/>
    <w:rsid w:val="00BB242E"/>
    <w:rsid w:val="00BB2588"/>
    <w:rsid w:val="00BB25E5"/>
    <w:rsid w:val="00BB276D"/>
    <w:rsid w:val="00BB29B4"/>
    <w:rsid w:val="00BB2A99"/>
    <w:rsid w:val="00BB2B07"/>
    <w:rsid w:val="00BB2B7E"/>
    <w:rsid w:val="00BB2BE6"/>
    <w:rsid w:val="00BB2D20"/>
    <w:rsid w:val="00BB2D88"/>
    <w:rsid w:val="00BB2FC3"/>
    <w:rsid w:val="00BB3060"/>
    <w:rsid w:val="00BB3170"/>
    <w:rsid w:val="00BB3194"/>
    <w:rsid w:val="00BB31AD"/>
    <w:rsid w:val="00BB33AC"/>
    <w:rsid w:val="00BB3400"/>
    <w:rsid w:val="00BB34B0"/>
    <w:rsid w:val="00BB3565"/>
    <w:rsid w:val="00BB35BC"/>
    <w:rsid w:val="00BB3619"/>
    <w:rsid w:val="00BB37B0"/>
    <w:rsid w:val="00BB3912"/>
    <w:rsid w:val="00BB3967"/>
    <w:rsid w:val="00BB39C9"/>
    <w:rsid w:val="00BB3B2F"/>
    <w:rsid w:val="00BB3C22"/>
    <w:rsid w:val="00BB3D98"/>
    <w:rsid w:val="00BB3DE5"/>
    <w:rsid w:val="00BB4186"/>
    <w:rsid w:val="00BB41D9"/>
    <w:rsid w:val="00BB4300"/>
    <w:rsid w:val="00BB4303"/>
    <w:rsid w:val="00BB4352"/>
    <w:rsid w:val="00BB437C"/>
    <w:rsid w:val="00BB444B"/>
    <w:rsid w:val="00BB4525"/>
    <w:rsid w:val="00BB46F6"/>
    <w:rsid w:val="00BB46FA"/>
    <w:rsid w:val="00BB471B"/>
    <w:rsid w:val="00BB47A2"/>
    <w:rsid w:val="00BB4807"/>
    <w:rsid w:val="00BB4930"/>
    <w:rsid w:val="00BB49DC"/>
    <w:rsid w:val="00BB49E2"/>
    <w:rsid w:val="00BB4B08"/>
    <w:rsid w:val="00BB4D53"/>
    <w:rsid w:val="00BB4D56"/>
    <w:rsid w:val="00BB4D8C"/>
    <w:rsid w:val="00BB4E39"/>
    <w:rsid w:val="00BB4F33"/>
    <w:rsid w:val="00BB4F64"/>
    <w:rsid w:val="00BB51FF"/>
    <w:rsid w:val="00BB5273"/>
    <w:rsid w:val="00BB533C"/>
    <w:rsid w:val="00BB53D5"/>
    <w:rsid w:val="00BB5577"/>
    <w:rsid w:val="00BB569A"/>
    <w:rsid w:val="00BB56B6"/>
    <w:rsid w:val="00BB5823"/>
    <w:rsid w:val="00BB58D5"/>
    <w:rsid w:val="00BB595C"/>
    <w:rsid w:val="00BB5BC9"/>
    <w:rsid w:val="00BB6080"/>
    <w:rsid w:val="00BB639B"/>
    <w:rsid w:val="00BB63D2"/>
    <w:rsid w:val="00BB645B"/>
    <w:rsid w:val="00BB65B1"/>
    <w:rsid w:val="00BB67B6"/>
    <w:rsid w:val="00BB688B"/>
    <w:rsid w:val="00BB6923"/>
    <w:rsid w:val="00BB695D"/>
    <w:rsid w:val="00BB6C6E"/>
    <w:rsid w:val="00BB6D32"/>
    <w:rsid w:val="00BB6DAD"/>
    <w:rsid w:val="00BB6E42"/>
    <w:rsid w:val="00BB6EAA"/>
    <w:rsid w:val="00BB6FBE"/>
    <w:rsid w:val="00BB7111"/>
    <w:rsid w:val="00BB7251"/>
    <w:rsid w:val="00BB72A4"/>
    <w:rsid w:val="00BB7421"/>
    <w:rsid w:val="00BB7445"/>
    <w:rsid w:val="00BB74F9"/>
    <w:rsid w:val="00BB74FF"/>
    <w:rsid w:val="00BB7522"/>
    <w:rsid w:val="00BB758B"/>
    <w:rsid w:val="00BB7618"/>
    <w:rsid w:val="00BB761D"/>
    <w:rsid w:val="00BB76A1"/>
    <w:rsid w:val="00BB76B3"/>
    <w:rsid w:val="00BB76B8"/>
    <w:rsid w:val="00BB7762"/>
    <w:rsid w:val="00BB776E"/>
    <w:rsid w:val="00BB77AE"/>
    <w:rsid w:val="00BB7922"/>
    <w:rsid w:val="00BB7927"/>
    <w:rsid w:val="00BB7BA8"/>
    <w:rsid w:val="00BB7C07"/>
    <w:rsid w:val="00BB7C9C"/>
    <w:rsid w:val="00BB7EEF"/>
    <w:rsid w:val="00BB7F05"/>
    <w:rsid w:val="00BB7F46"/>
    <w:rsid w:val="00BB7F5A"/>
    <w:rsid w:val="00BB7F6B"/>
    <w:rsid w:val="00BC007E"/>
    <w:rsid w:val="00BC0080"/>
    <w:rsid w:val="00BC0151"/>
    <w:rsid w:val="00BC02B4"/>
    <w:rsid w:val="00BC0311"/>
    <w:rsid w:val="00BC037F"/>
    <w:rsid w:val="00BC0560"/>
    <w:rsid w:val="00BC0593"/>
    <w:rsid w:val="00BC05EC"/>
    <w:rsid w:val="00BC060F"/>
    <w:rsid w:val="00BC07CE"/>
    <w:rsid w:val="00BC0989"/>
    <w:rsid w:val="00BC0A3A"/>
    <w:rsid w:val="00BC0A43"/>
    <w:rsid w:val="00BC0B71"/>
    <w:rsid w:val="00BC0B76"/>
    <w:rsid w:val="00BC0BEC"/>
    <w:rsid w:val="00BC0C22"/>
    <w:rsid w:val="00BC0D81"/>
    <w:rsid w:val="00BC0DBB"/>
    <w:rsid w:val="00BC0EC4"/>
    <w:rsid w:val="00BC0F4E"/>
    <w:rsid w:val="00BC0F9A"/>
    <w:rsid w:val="00BC1077"/>
    <w:rsid w:val="00BC10E2"/>
    <w:rsid w:val="00BC1106"/>
    <w:rsid w:val="00BC12B2"/>
    <w:rsid w:val="00BC12B7"/>
    <w:rsid w:val="00BC12C5"/>
    <w:rsid w:val="00BC1646"/>
    <w:rsid w:val="00BC16E2"/>
    <w:rsid w:val="00BC1732"/>
    <w:rsid w:val="00BC1777"/>
    <w:rsid w:val="00BC18B2"/>
    <w:rsid w:val="00BC1B66"/>
    <w:rsid w:val="00BC1BF0"/>
    <w:rsid w:val="00BC1C4C"/>
    <w:rsid w:val="00BC1DC0"/>
    <w:rsid w:val="00BC1FAA"/>
    <w:rsid w:val="00BC2062"/>
    <w:rsid w:val="00BC2254"/>
    <w:rsid w:val="00BC22BB"/>
    <w:rsid w:val="00BC23C7"/>
    <w:rsid w:val="00BC23FD"/>
    <w:rsid w:val="00BC2408"/>
    <w:rsid w:val="00BC2511"/>
    <w:rsid w:val="00BC251C"/>
    <w:rsid w:val="00BC2532"/>
    <w:rsid w:val="00BC25A1"/>
    <w:rsid w:val="00BC25BB"/>
    <w:rsid w:val="00BC25D7"/>
    <w:rsid w:val="00BC2600"/>
    <w:rsid w:val="00BC26EF"/>
    <w:rsid w:val="00BC26F0"/>
    <w:rsid w:val="00BC27FD"/>
    <w:rsid w:val="00BC2875"/>
    <w:rsid w:val="00BC2887"/>
    <w:rsid w:val="00BC2A18"/>
    <w:rsid w:val="00BC2AB9"/>
    <w:rsid w:val="00BC2B06"/>
    <w:rsid w:val="00BC2D55"/>
    <w:rsid w:val="00BC2DA2"/>
    <w:rsid w:val="00BC2EDD"/>
    <w:rsid w:val="00BC2FAA"/>
    <w:rsid w:val="00BC3095"/>
    <w:rsid w:val="00BC32CF"/>
    <w:rsid w:val="00BC332C"/>
    <w:rsid w:val="00BC3435"/>
    <w:rsid w:val="00BC3473"/>
    <w:rsid w:val="00BC34B9"/>
    <w:rsid w:val="00BC3537"/>
    <w:rsid w:val="00BC37C4"/>
    <w:rsid w:val="00BC37DF"/>
    <w:rsid w:val="00BC3818"/>
    <w:rsid w:val="00BC3851"/>
    <w:rsid w:val="00BC3C4A"/>
    <w:rsid w:val="00BC3CC1"/>
    <w:rsid w:val="00BC3D1F"/>
    <w:rsid w:val="00BC3E17"/>
    <w:rsid w:val="00BC3E51"/>
    <w:rsid w:val="00BC4031"/>
    <w:rsid w:val="00BC4049"/>
    <w:rsid w:val="00BC4051"/>
    <w:rsid w:val="00BC4068"/>
    <w:rsid w:val="00BC410B"/>
    <w:rsid w:val="00BC41AD"/>
    <w:rsid w:val="00BC4220"/>
    <w:rsid w:val="00BC4222"/>
    <w:rsid w:val="00BC42F8"/>
    <w:rsid w:val="00BC43A5"/>
    <w:rsid w:val="00BC43DF"/>
    <w:rsid w:val="00BC4404"/>
    <w:rsid w:val="00BC44AC"/>
    <w:rsid w:val="00BC4557"/>
    <w:rsid w:val="00BC4610"/>
    <w:rsid w:val="00BC476C"/>
    <w:rsid w:val="00BC4780"/>
    <w:rsid w:val="00BC480F"/>
    <w:rsid w:val="00BC4850"/>
    <w:rsid w:val="00BC48B8"/>
    <w:rsid w:val="00BC494B"/>
    <w:rsid w:val="00BC49B1"/>
    <w:rsid w:val="00BC49F3"/>
    <w:rsid w:val="00BC4AE7"/>
    <w:rsid w:val="00BC4B7E"/>
    <w:rsid w:val="00BC4BF5"/>
    <w:rsid w:val="00BC4C3E"/>
    <w:rsid w:val="00BC4D9C"/>
    <w:rsid w:val="00BC4DFE"/>
    <w:rsid w:val="00BC4E50"/>
    <w:rsid w:val="00BC4ECF"/>
    <w:rsid w:val="00BC4F89"/>
    <w:rsid w:val="00BC4FF2"/>
    <w:rsid w:val="00BC50CC"/>
    <w:rsid w:val="00BC5100"/>
    <w:rsid w:val="00BC52FB"/>
    <w:rsid w:val="00BC5304"/>
    <w:rsid w:val="00BC5340"/>
    <w:rsid w:val="00BC538C"/>
    <w:rsid w:val="00BC53FB"/>
    <w:rsid w:val="00BC5411"/>
    <w:rsid w:val="00BC5505"/>
    <w:rsid w:val="00BC5675"/>
    <w:rsid w:val="00BC5746"/>
    <w:rsid w:val="00BC5784"/>
    <w:rsid w:val="00BC5808"/>
    <w:rsid w:val="00BC5949"/>
    <w:rsid w:val="00BC5A45"/>
    <w:rsid w:val="00BC5A7C"/>
    <w:rsid w:val="00BC5A9C"/>
    <w:rsid w:val="00BC5C4E"/>
    <w:rsid w:val="00BC5CBB"/>
    <w:rsid w:val="00BC5CD8"/>
    <w:rsid w:val="00BC5D07"/>
    <w:rsid w:val="00BC5D0E"/>
    <w:rsid w:val="00BC5E2E"/>
    <w:rsid w:val="00BC5E7C"/>
    <w:rsid w:val="00BC5E80"/>
    <w:rsid w:val="00BC5FCB"/>
    <w:rsid w:val="00BC604C"/>
    <w:rsid w:val="00BC6087"/>
    <w:rsid w:val="00BC60A4"/>
    <w:rsid w:val="00BC61F9"/>
    <w:rsid w:val="00BC62C2"/>
    <w:rsid w:val="00BC6315"/>
    <w:rsid w:val="00BC6338"/>
    <w:rsid w:val="00BC63E7"/>
    <w:rsid w:val="00BC63FD"/>
    <w:rsid w:val="00BC6462"/>
    <w:rsid w:val="00BC64BC"/>
    <w:rsid w:val="00BC64EA"/>
    <w:rsid w:val="00BC6525"/>
    <w:rsid w:val="00BC659A"/>
    <w:rsid w:val="00BC67B8"/>
    <w:rsid w:val="00BC68BF"/>
    <w:rsid w:val="00BC69A4"/>
    <w:rsid w:val="00BC6C21"/>
    <w:rsid w:val="00BC6D1E"/>
    <w:rsid w:val="00BC6D6A"/>
    <w:rsid w:val="00BC6D7D"/>
    <w:rsid w:val="00BC6DB9"/>
    <w:rsid w:val="00BC71A4"/>
    <w:rsid w:val="00BC71DD"/>
    <w:rsid w:val="00BC7200"/>
    <w:rsid w:val="00BC721A"/>
    <w:rsid w:val="00BC725E"/>
    <w:rsid w:val="00BC7386"/>
    <w:rsid w:val="00BC743E"/>
    <w:rsid w:val="00BC74E4"/>
    <w:rsid w:val="00BC757A"/>
    <w:rsid w:val="00BC7711"/>
    <w:rsid w:val="00BC781E"/>
    <w:rsid w:val="00BC784B"/>
    <w:rsid w:val="00BC7873"/>
    <w:rsid w:val="00BC787F"/>
    <w:rsid w:val="00BC78BA"/>
    <w:rsid w:val="00BC79AC"/>
    <w:rsid w:val="00BC7B27"/>
    <w:rsid w:val="00BC7CAE"/>
    <w:rsid w:val="00BC7F25"/>
    <w:rsid w:val="00BC7F9A"/>
    <w:rsid w:val="00BCBBED"/>
    <w:rsid w:val="00BD0251"/>
    <w:rsid w:val="00BD02CE"/>
    <w:rsid w:val="00BD02E8"/>
    <w:rsid w:val="00BD0463"/>
    <w:rsid w:val="00BD0620"/>
    <w:rsid w:val="00BD06AB"/>
    <w:rsid w:val="00BD0757"/>
    <w:rsid w:val="00BD076D"/>
    <w:rsid w:val="00BD0A7C"/>
    <w:rsid w:val="00BD0DC4"/>
    <w:rsid w:val="00BD0E3B"/>
    <w:rsid w:val="00BD0F01"/>
    <w:rsid w:val="00BD0F43"/>
    <w:rsid w:val="00BD0F77"/>
    <w:rsid w:val="00BD0FA6"/>
    <w:rsid w:val="00BD0FFE"/>
    <w:rsid w:val="00BD100E"/>
    <w:rsid w:val="00BD10B2"/>
    <w:rsid w:val="00BD12ED"/>
    <w:rsid w:val="00BD134E"/>
    <w:rsid w:val="00BD13BC"/>
    <w:rsid w:val="00BD13EE"/>
    <w:rsid w:val="00BD1480"/>
    <w:rsid w:val="00BD160A"/>
    <w:rsid w:val="00BD168C"/>
    <w:rsid w:val="00BD16C1"/>
    <w:rsid w:val="00BD1728"/>
    <w:rsid w:val="00BD177F"/>
    <w:rsid w:val="00BD18CB"/>
    <w:rsid w:val="00BD198A"/>
    <w:rsid w:val="00BD1D0B"/>
    <w:rsid w:val="00BD1E3F"/>
    <w:rsid w:val="00BD1EB3"/>
    <w:rsid w:val="00BD1EEA"/>
    <w:rsid w:val="00BD202A"/>
    <w:rsid w:val="00BD20CA"/>
    <w:rsid w:val="00BD20EB"/>
    <w:rsid w:val="00BD2252"/>
    <w:rsid w:val="00BD2303"/>
    <w:rsid w:val="00BD2364"/>
    <w:rsid w:val="00BD238C"/>
    <w:rsid w:val="00BD239C"/>
    <w:rsid w:val="00BD28B5"/>
    <w:rsid w:val="00BD28F7"/>
    <w:rsid w:val="00BD29D9"/>
    <w:rsid w:val="00BD2A69"/>
    <w:rsid w:val="00BD2A75"/>
    <w:rsid w:val="00BD2A7C"/>
    <w:rsid w:val="00BD2B3E"/>
    <w:rsid w:val="00BD2B85"/>
    <w:rsid w:val="00BD2BCF"/>
    <w:rsid w:val="00BD2CF4"/>
    <w:rsid w:val="00BD2E11"/>
    <w:rsid w:val="00BD2E94"/>
    <w:rsid w:val="00BD2EAC"/>
    <w:rsid w:val="00BD2F46"/>
    <w:rsid w:val="00BD3004"/>
    <w:rsid w:val="00BD30F2"/>
    <w:rsid w:val="00BD3116"/>
    <w:rsid w:val="00BD31D0"/>
    <w:rsid w:val="00BD32C6"/>
    <w:rsid w:val="00BD33B0"/>
    <w:rsid w:val="00BD33C2"/>
    <w:rsid w:val="00BD3460"/>
    <w:rsid w:val="00BD34CD"/>
    <w:rsid w:val="00BD34CF"/>
    <w:rsid w:val="00BD352C"/>
    <w:rsid w:val="00BD353D"/>
    <w:rsid w:val="00BD35BA"/>
    <w:rsid w:val="00BD3627"/>
    <w:rsid w:val="00BD3666"/>
    <w:rsid w:val="00BD369E"/>
    <w:rsid w:val="00BD3905"/>
    <w:rsid w:val="00BD3A88"/>
    <w:rsid w:val="00BD3D9B"/>
    <w:rsid w:val="00BD3DEC"/>
    <w:rsid w:val="00BD3E49"/>
    <w:rsid w:val="00BD3E56"/>
    <w:rsid w:val="00BD3F09"/>
    <w:rsid w:val="00BD3F26"/>
    <w:rsid w:val="00BD3F7F"/>
    <w:rsid w:val="00BD4057"/>
    <w:rsid w:val="00BD415B"/>
    <w:rsid w:val="00BD41C0"/>
    <w:rsid w:val="00BD4248"/>
    <w:rsid w:val="00BD4294"/>
    <w:rsid w:val="00BD42B5"/>
    <w:rsid w:val="00BD450D"/>
    <w:rsid w:val="00BD456C"/>
    <w:rsid w:val="00BD45CB"/>
    <w:rsid w:val="00BD4649"/>
    <w:rsid w:val="00BD467D"/>
    <w:rsid w:val="00BD46C2"/>
    <w:rsid w:val="00BD48F3"/>
    <w:rsid w:val="00BD4926"/>
    <w:rsid w:val="00BD4A0C"/>
    <w:rsid w:val="00BD4A45"/>
    <w:rsid w:val="00BD4BC4"/>
    <w:rsid w:val="00BD4C56"/>
    <w:rsid w:val="00BD4E75"/>
    <w:rsid w:val="00BD4F27"/>
    <w:rsid w:val="00BD4F4A"/>
    <w:rsid w:val="00BD5036"/>
    <w:rsid w:val="00BD50C8"/>
    <w:rsid w:val="00BD50CF"/>
    <w:rsid w:val="00BD5120"/>
    <w:rsid w:val="00BD51CC"/>
    <w:rsid w:val="00BD52D6"/>
    <w:rsid w:val="00BD538E"/>
    <w:rsid w:val="00BD5415"/>
    <w:rsid w:val="00BD5457"/>
    <w:rsid w:val="00BD5659"/>
    <w:rsid w:val="00BD56FF"/>
    <w:rsid w:val="00BD57CA"/>
    <w:rsid w:val="00BD58A5"/>
    <w:rsid w:val="00BD58F5"/>
    <w:rsid w:val="00BD5CED"/>
    <w:rsid w:val="00BD5D3D"/>
    <w:rsid w:val="00BD5D3E"/>
    <w:rsid w:val="00BD5E47"/>
    <w:rsid w:val="00BD5F3F"/>
    <w:rsid w:val="00BD5FEE"/>
    <w:rsid w:val="00BD6025"/>
    <w:rsid w:val="00BD6054"/>
    <w:rsid w:val="00BD6151"/>
    <w:rsid w:val="00BD6302"/>
    <w:rsid w:val="00BD6313"/>
    <w:rsid w:val="00BD6329"/>
    <w:rsid w:val="00BD6360"/>
    <w:rsid w:val="00BD648E"/>
    <w:rsid w:val="00BD64B1"/>
    <w:rsid w:val="00BD64DA"/>
    <w:rsid w:val="00BD6572"/>
    <w:rsid w:val="00BD6741"/>
    <w:rsid w:val="00BD6785"/>
    <w:rsid w:val="00BD67E7"/>
    <w:rsid w:val="00BD6830"/>
    <w:rsid w:val="00BD696A"/>
    <w:rsid w:val="00BD6AD6"/>
    <w:rsid w:val="00BD6B55"/>
    <w:rsid w:val="00BD6C02"/>
    <w:rsid w:val="00BD6C1B"/>
    <w:rsid w:val="00BD6C7D"/>
    <w:rsid w:val="00BD6EAF"/>
    <w:rsid w:val="00BD6F25"/>
    <w:rsid w:val="00BD6F6A"/>
    <w:rsid w:val="00BD6FBB"/>
    <w:rsid w:val="00BD7008"/>
    <w:rsid w:val="00BD708A"/>
    <w:rsid w:val="00BD712C"/>
    <w:rsid w:val="00BD716A"/>
    <w:rsid w:val="00BD71C3"/>
    <w:rsid w:val="00BD723E"/>
    <w:rsid w:val="00BD7271"/>
    <w:rsid w:val="00BD72BC"/>
    <w:rsid w:val="00BD72BE"/>
    <w:rsid w:val="00BD72D8"/>
    <w:rsid w:val="00BD7317"/>
    <w:rsid w:val="00BD754F"/>
    <w:rsid w:val="00BD75EB"/>
    <w:rsid w:val="00BD7658"/>
    <w:rsid w:val="00BD769D"/>
    <w:rsid w:val="00BD770B"/>
    <w:rsid w:val="00BD7725"/>
    <w:rsid w:val="00BD7738"/>
    <w:rsid w:val="00BD7868"/>
    <w:rsid w:val="00BD78B5"/>
    <w:rsid w:val="00BD7B7B"/>
    <w:rsid w:val="00BD7B8F"/>
    <w:rsid w:val="00BD7C18"/>
    <w:rsid w:val="00BD7D80"/>
    <w:rsid w:val="00BD7D91"/>
    <w:rsid w:val="00BD7DD7"/>
    <w:rsid w:val="00BD7FA6"/>
    <w:rsid w:val="00BE00CE"/>
    <w:rsid w:val="00BE00DF"/>
    <w:rsid w:val="00BE019A"/>
    <w:rsid w:val="00BE0266"/>
    <w:rsid w:val="00BE0388"/>
    <w:rsid w:val="00BE047E"/>
    <w:rsid w:val="00BE04D2"/>
    <w:rsid w:val="00BE04E7"/>
    <w:rsid w:val="00BE05B3"/>
    <w:rsid w:val="00BE0663"/>
    <w:rsid w:val="00BE0771"/>
    <w:rsid w:val="00BE07F2"/>
    <w:rsid w:val="00BE0845"/>
    <w:rsid w:val="00BE091E"/>
    <w:rsid w:val="00BE092F"/>
    <w:rsid w:val="00BE09E3"/>
    <w:rsid w:val="00BE0A81"/>
    <w:rsid w:val="00BE0C83"/>
    <w:rsid w:val="00BE0C8D"/>
    <w:rsid w:val="00BE0CB6"/>
    <w:rsid w:val="00BE0D23"/>
    <w:rsid w:val="00BE0E15"/>
    <w:rsid w:val="00BE0E2E"/>
    <w:rsid w:val="00BE0EF7"/>
    <w:rsid w:val="00BE100B"/>
    <w:rsid w:val="00BE1027"/>
    <w:rsid w:val="00BE1124"/>
    <w:rsid w:val="00BE1209"/>
    <w:rsid w:val="00BE148F"/>
    <w:rsid w:val="00BE154D"/>
    <w:rsid w:val="00BE15A3"/>
    <w:rsid w:val="00BE168E"/>
    <w:rsid w:val="00BE16BE"/>
    <w:rsid w:val="00BE16E7"/>
    <w:rsid w:val="00BE17F4"/>
    <w:rsid w:val="00BE17F6"/>
    <w:rsid w:val="00BE1813"/>
    <w:rsid w:val="00BE1817"/>
    <w:rsid w:val="00BE188E"/>
    <w:rsid w:val="00BE18EE"/>
    <w:rsid w:val="00BE1931"/>
    <w:rsid w:val="00BE19FD"/>
    <w:rsid w:val="00BE1AEE"/>
    <w:rsid w:val="00BE1AF4"/>
    <w:rsid w:val="00BE1D4E"/>
    <w:rsid w:val="00BE1EC1"/>
    <w:rsid w:val="00BE1EE8"/>
    <w:rsid w:val="00BE22DA"/>
    <w:rsid w:val="00BE239E"/>
    <w:rsid w:val="00BE243C"/>
    <w:rsid w:val="00BE24FC"/>
    <w:rsid w:val="00BE2500"/>
    <w:rsid w:val="00BE2507"/>
    <w:rsid w:val="00BE25D6"/>
    <w:rsid w:val="00BE2603"/>
    <w:rsid w:val="00BE2777"/>
    <w:rsid w:val="00BE27C8"/>
    <w:rsid w:val="00BE2881"/>
    <w:rsid w:val="00BE28A5"/>
    <w:rsid w:val="00BE28D1"/>
    <w:rsid w:val="00BE2A01"/>
    <w:rsid w:val="00BE2B21"/>
    <w:rsid w:val="00BE2B2F"/>
    <w:rsid w:val="00BE2BF2"/>
    <w:rsid w:val="00BE2C16"/>
    <w:rsid w:val="00BE2CAD"/>
    <w:rsid w:val="00BE2DB5"/>
    <w:rsid w:val="00BE2DD7"/>
    <w:rsid w:val="00BE2E2E"/>
    <w:rsid w:val="00BE2FBA"/>
    <w:rsid w:val="00BE30C5"/>
    <w:rsid w:val="00BE3110"/>
    <w:rsid w:val="00BE312A"/>
    <w:rsid w:val="00BE3147"/>
    <w:rsid w:val="00BE321A"/>
    <w:rsid w:val="00BE3364"/>
    <w:rsid w:val="00BE345C"/>
    <w:rsid w:val="00BE349D"/>
    <w:rsid w:val="00BE3587"/>
    <w:rsid w:val="00BE35EA"/>
    <w:rsid w:val="00BE3739"/>
    <w:rsid w:val="00BE37D8"/>
    <w:rsid w:val="00BE3955"/>
    <w:rsid w:val="00BE39A7"/>
    <w:rsid w:val="00BE3B52"/>
    <w:rsid w:val="00BE3C44"/>
    <w:rsid w:val="00BE3D38"/>
    <w:rsid w:val="00BE3D39"/>
    <w:rsid w:val="00BE3F31"/>
    <w:rsid w:val="00BE3F7F"/>
    <w:rsid w:val="00BE41F3"/>
    <w:rsid w:val="00BE432C"/>
    <w:rsid w:val="00BE4370"/>
    <w:rsid w:val="00BE4555"/>
    <w:rsid w:val="00BE4691"/>
    <w:rsid w:val="00BE469B"/>
    <w:rsid w:val="00BE46A1"/>
    <w:rsid w:val="00BE48B7"/>
    <w:rsid w:val="00BE4913"/>
    <w:rsid w:val="00BE4967"/>
    <w:rsid w:val="00BE4AAC"/>
    <w:rsid w:val="00BE4ACC"/>
    <w:rsid w:val="00BE4AE3"/>
    <w:rsid w:val="00BE4D5F"/>
    <w:rsid w:val="00BE4E30"/>
    <w:rsid w:val="00BE4E5C"/>
    <w:rsid w:val="00BE4EB0"/>
    <w:rsid w:val="00BE4EDE"/>
    <w:rsid w:val="00BE4EF8"/>
    <w:rsid w:val="00BE4EFA"/>
    <w:rsid w:val="00BE4FDD"/>
    <w:rsid w:val="00BE5062"/>
    <w:rsid w:val="00BE5180"/>
    <w:rsid w:val="00BE5217"/>
    <w:rsid w:val="00BE522A"/>
    <w:rsid w:val="00BE52B0"/>
    <w:rsid w:val="00BE533D"/>
    <w:rsid w:val="00BE5354"/>
    <w:rsid w:val="00BE537C"/>
    <w:rsid w:val="00BE53AD"/>
    <w:rsid w:val="00BE54C8"/>
    <w:rsid w:val="00BE5686"/>
    <w:rsid w:val="00BE5797"/>
    <w:rsid w:val="00BE5831"/>
    <w:rsid w:val="00BE59F0"/>
    <w:rsid w:val="00BE5A5D"/>
    <w:rsid w:val="00BE5B78"/>
    <w:rsid w:val="00BE5B7D"/>
    <w:rsid w:val="00BE5BCF"/>
    <w:rsid w:val="00BE5CEC"/>
    <w:rsid w:val="00BE5E11"/>
    <w:rsid w:val="00BE5EA4"/>
    <w:rsid w:val="00BE5F0F"/>
    <w:rsid w:val="00BE5F35"/>
    <w:rsid w:val="00BE6225"/>
    <w:rsid w:val="00BE6234"/>
    <w:rsid w:val="00BE633C"/>
    <w:rsid w:val="00BE63F0"/>
    <w:rsid w:val="00BE641F"/>
    <w:rsid w:val="00BE6462"/>
    <w:rsid w:val="00BE6489"/>
    <w:rsid w:val="00BE64DA"/>
    <w:rsid w:val="00BE6529"/>
    <w:rsid w:val="00BE6540"/>
    <w:rsid w:val="00BE65D9"/>
    <w:rsid w:val="00BE66F1"/>
    <w:rsid w:val="00BE6ABB"/>
    <w:rsid w:val="00BE6C7F"/>
    <w:rsid w:val="00BE6D52"/>
    <w:rsid w:val="00BE6D7F"/>
    <w:rsid w:val="00BE6DF0"/>
    <w:rsid w:val="00BE6E04"/>
    <w:rsid w:val="00BE6E9F"/>
    <w:rsid w:val="00BE6EAC"/>
    <w:rsid w:val="00BE6EC8"/>
    <w:rsid w:val="00BE6FBB"/>
    <w:rsid w:val="00BE6FC1"/>
    <w:rsid w:val="00BE6FDD"/>
    <w:rsid w:val="00BE6FE0"/>
    <w:rsid w:val="00BE7029"/>
    <w:rsid w:val="00BE70BB"/>
    <w:rsid w:val="00BE72AA"/>
    <w:rsid w:val="00BE7391"/>
    <w:rsid w:val="00BE73DB"/>
    <w:rsid w:val="00BE74DD"/>
    <w:rsid w:val="00BE76D1"/>
    <w:rsid w:val="00BE77CF"/>
    <w:rsid w:val="00BE7802"/>
    <w:rsid w:val="00BE7996"/>
    <w:rsid w:val="00BE7BC9"/>
    <w:rsid w:val="00BE7BFE"/>
    <w:rsid w:val="00BE7D6E"/>
    <w:rsid w:val="00BE7E4C"/>
    <w:rsid w:val="00BE7EB6"/>
    <w:rsid w:val="00BE7F38"/>
    <w:rsid w:val="00BE7F84"/>
    <w:rsid w:val="00BF010F"/>
    <w:rsid w:val="00BF0119"/>
    <w:rsid w:val="00BF0395"/>
    <w:rsid w:val="00BF040C"/>
    <w:rsid w:val="00BF05AB"/>
    <w:rsid w:val="00BF0606"/>
    <w:rsid w:val="00BF0686"/>
    <w:rsid w:val="00BF069C"/>
    <w:rsid w:val="00BF06C5"/>
    <w:rsid w:val="00BF071F"/>
    <w:rsid w:val="00BF0751"/>
    <w:rsid w:val="00BF07FB"/>
    <w:rsid w:val="00BF080E"/>
    <w:rsid w:val="00BF0A53"/>
    <w:rsid w:val="00BF0AB6"/>
    <w:rsid w:val="00BF0AED"/>
    <w:rsid w:val="00BF0AF7"/>
    <w:rsid w:val="00BF0AF8"/>
    <w:rsid w:val="00BF0B66"/>
    <w:rsid w:val="00BF0C23"/>
    <w:rsid w:val="00BF0D27"/>
    <w:rsid w:val="00BF0E13"/>
    <w:rsid w:val="00BF102E"/>
    <w:rsid w:val="00BF1038"/>
    <w:rsid w:val="00BF10FD"/>
    <w:rsid w:val="00BF113D"/>
    <w:rsid w:val="00BF1431"/>
    <w:rsid w:val="00BF14E1"/>
    <w:rsid w:val="00BF17E6"/>
    <w:rsid w:val="00BF1836"/>
    <w:rsid w:val="00BF1864"/>
    <w:rsid w:val="00BF19DD"/>
    <w:rsid w:val="00BF1A4F"/>
    <w:rsid w:val="00BF1B42"/>
    <w:rsid w:val="00BF1B59"/>
    <w:rsid w:val="00BF1D92"/>
    <w:rsid w:val="00BF1E22"/>
    <w:rsid w:val="00BF1F83"/>
    <w:rsid w:val="00BF1FAB"/>
    <w:rsid w:val="00BF202F"/>
    <w:rsid w:val="00BF209D"/>
    <w:rsid w:val="00BF2148"/>
    <w:rsid w:val="00BF229D"/>
    <w:rsid w:val="00BF22F1"/>
    <w:rsid w:val="00BF232F"/>
    <w:rsid w:val="00BF2414"/>
    <w:rsid w:val="00BF2429"/>
    <w:rsid w:val="00BF272F"/>
    <w:rsid w:val="00BF2747"/>
    <w:rsid w:val="00BF27C6"/>
    <w:rsid w:val="00BF28A0"/>
    <w:rsid w:val="00BF2932"/>
    <w:rsid w:val="00BF2B5E"/>
    <w:rsid w:val="00BF2CFA"/>
    <w:rsid w:val="00BF2D54"/>
    <w:rsid w:val="00BF2DC1"/>
    <w:rsid w:val="00BF2DEB"/>
    <w:rsid w:val="00BF2E71"/>
    <w:rsid w:val="00BF2F3C"/>
    <w:rsid w:val="00BF2F8A"/>
    <w:rsid w:val="00BF2FF9"/>
    <w:rsid w:val="00BF3020"/>
    <w:rsid w:val="00BF3071"/>
    <w:rsid w:val="00BF3097"/>
    <w:rsid w:val="00BF30D1"/>
    <w:rsid w:val="00BF322E"/>
    <w:rsid w:val="00BF3381"/>
    <w:rsid w:val="00BF3387"/>
    <w:rsid w:val="00BF338F"/>
    <w:rsid w:val="00BF33AA"/>
    <w:rsid w:val="00BF34E3"/>
    <w:rsid w:val="00BF3676"/>
    <w:rsid w:val="00BF37DE"/>
    <w:rsid w:val="00BF3888"/>
    <w:rsid w:val="00BF3994"/>
    <w:rsid w:val="00BF39E9"/>
    <w:rsid w:val="00BF3AEF"/>
    <w:rsid w:val="00BF3B48"/>
    <w:rsid w:val="00BF3B5A"/>
    <w:rsid w:val="00BF3B8C"/>
    <w:rsid w:val="00BF3C35"/>
    <w:rsid w:val="00BF3D46"/>
    <w:rsid w:val="00BF3D58"/>
    <w:rsid w:val="00BF3D88"/>
    <w:rsid w:val="00BF417D"/>
    <w:rsid w:val="00BF4419"/>
    <w:rsid w:val="00BF4461"/>
    <w:rsid w:val="00BF4517"/>
    <w:rsid w:val="00BF455C"/>
    <w:rsid w:val="00BF46E1"/>
    <w:rsid w:val="00BF476C"/>
    <w:rsid w:val="00BF47B7"/>
    <w:rsid w:val="00BF4888"/>
    <w:rsid w:val="00BF48C9"/>
    <w:rsid w:val="00BF4913"/>
    <w:rsid w:val="00BF4BA4"/>
    <w:rsid w:val="00BF4D2C"/>
    <w:rsid w:val="00BF4D8E"/>
    <w:rsid w:val="00BF4DA1"/>
    <w:rsid w:val="00BF4DCA"/>
    <w:rsid w:val="00BF4E9D"/>
    <w:rsid w:val="00BF5085"/>
    <w:rsid w:val="00BF50DC"/>
    <w:rsid w:val="00BF52A8"/>
    <w:rsid w:val="00BF552C"/>
    <w:rsid w:val="00BF563F"/>
    <w:rsid w:val="00BF568C"/>
    <w:rsid w:val="00BF5754"/>
    <w:rsid w:val="00BF5822"/>
    <w:rsid w:val="00BF5909"/>
    <w:rsid w:val="00BF5965"/>
    <w:rsid w:val="00BF5A0D"/>
    <w:rsid w:val="00BF5B04"/>
    <w:rsid w:val="00BF5B1F"/>
    <w:rsid w:val="00BF5B46"/>
    <w:rsid w:val="00BF5B75"/>
    <w:rsid w:val="00BF5CC5"/>
    <w:rsid w:val="00BF5D15"/>
    <w:rsid w:val="00BF5D29"/>
    <w:rsid w:val="00BF5DCE"/>
    <w:rsid w:val="00BF5E43"/>
    <w:rsid w:val="00BF5E4D"/>
    <w:rsid w:val="00BF5F86"/>
    <w:rsid w:val="00BF60B2"/>
    <w:rsid w:val="00BF60F6"/>
    <w:rsid w:val="00BF613D"/>
    <w:rsid w:val="00BF61A7"/>
    <w:rsid w:val="00BF625F"/>
    <w:rsid w:val="00BF633C"/>
    <w:rsid w:val="00BF63E4"/>
    <w:rsid w:val="00BF6508"/>
    <w:rsid w:val="00BF66CA"/>
    <w:rsid w:val="00BF6845"/>
    <w:rsid w:val="00BF6851"/>
    <w:rsid w:val="00BF6905"/>
    <w:rsid w:val="00BF699D"/>
    <w:rsid w:val="00BF69EF"/>
    <w:rsid w:val="00BF6AB7"/>
    <w:rsid w:val="00BF6B6A"/>
    <w:rsid w:val="00BF6C28"/>
    <w:rsid w:val="00BF6C5E"/>
    <w:rsid w:val="00BF6C7E"/>
    <w:rsid w:val="00BF6CD6"/>
    <w:rsid w:val="00BF6CE1"/>
    <w:rsid w:val="00BF6E8C"/>
    <w:rsid w:val="00BF6FBD"/>
    <w:rsid w:val="00BF719A"/>
    <w:rsid w:val="00BF719E"/>
    <w:rsid w:val="00BF72D6"/>
    <w:rsid w:val="00BF72DB"/>
    <w:rsid w:val="00BF75D6"/>
    <w:rsid w:val="00BF764F"/>
    <w:rsid w:val="00BF7744"/>
    <w:rsid w:val="00BF7890"/>
    <w:rsid w:val="00BF7A2C"/>
    <w:rsid w:val="00BF7AE3"/>
    <w:rsid w:val="00BF7B62"/>
    <w:rsid w:val="00BF7B99"/>
    <w:rsid w:val="00BF7C51"/>
    <w:rsid w:val="00BF7CB8"/>
    <w:rsid w:val="00BF7CED"/>
    <w:rsid w:val="00C000C2"/>
    <w:rsid w:val="00C000C7"/>
    <w:rsid w:val="00C0013E"/>
    <w:rsid w:val="00C001DD"/>
    <w:rsid w:val="00C002CD"/>
    <w:rsid w:val="00C003E0"/>
    <w:rsid w:val="00C00447"/>
    <w:rsid w:val="00C004D3"/>
    <w:rsid w:val="00C00514"/>
    <w:rsid w:val="00C0055A"/>
    <w:rsid w:val="00C005C9"/>
    <w:rsid w:val="00C005E6"/>
    <w:rsid w:val="00C007BC"/>
    <w:rsid w:val="00C007E1"/>
    <w:rsid w:val="00C0088A"/>
    <w:rsid w:val="00C00945"/>
    <w:rsid w:val="00C009A0"/>
    <w:rsid w:val="00C00B3F"/>
    <w:rsid w:val="00C00BD6"/>
    <w:rsid w:val="00C00D7A"/>
    <w:rsid w:val="00C00E2E"/>
    <w:rsid w:val="00C00E67"/>
    <w:rsid w:val="00C00ECE"/>
    <w:rsid w:val="00C00F06"/>
    <w:rsid w:val="00C00F40"/>
    <w:rsid w:val="00C00FD0"/>
    <w:rsid w:val="00C010B5"/>
    <w:rsid w:val="00C01316"/>
    <w:rsid w:val="00C0135D"/>
    <w:rsid w:val="00C013C8"/>
    <w:rsid w:val="00C0142D"/>
    <w:rsid w:val="00C015D1"/>
    <w:rsid w:val="00C0162F"/>
    <w:rsid w:val="00C017DA"/>
    <w:rsid w:val="00C017F9"/>
    <w:rsid w:val="00C0187B"/>
    <w:rsid w:val="00C01906"/>
    <w:rsid w:val="00C01983"/>
    <w:rsid w:val="00C019CF"/>
    <w:rsid w:val="00C01A2E"/>
    <w:rsid w:val="00C01A85"/>
    <w:rsid w:val="00C01AD2"/>
    <w:rsid w:val="00C01C1E"/>
    <w:rsid w:val="00C01C65"/>
    <w:rsid w:val="00C01CC7"/>
    <w:rsid w:val="00C01D73"/>
    <w:rsid w:val="00C01D79"/>
    <w:rsid w:val="00C01E0E"/>
    <w:rsid w:val="00C01F23"/>
    <w:rsid w:val="00C01F82"/>
    <w:rsid w:val="00C0202B"/>
    <w:rsid w:val="00C0223F"/>
    <w:rsid w:val="00C0225A"/>
    <w:rsid w:val="00C02302"/>
    <w:rsid w:val="00C0231E"/>
    <w:rsid w:val="00C0236C"/>
    <w:rsid w:val="00C023F5"/>
    <w:rsid w:val="00C026A1"/>
    <w:rsid w:val="00C02719"/>
    <w:rsid w:val="00C0278C"/>
    <w:rsid w:val="00C02999"/>
    <w:rsid w:val="00C02A45"/>
    <w:rsid w:val="00C02BE8"/>
    <w:rsid w:val="00C02BEB"/>
    <w:rsid w:val="00C02CC4"/>
    <w:rsid w:val="00C02CCE"/>
    <w:rsid w:val="00C02D0D"/>
    <w:rsid w:val="00C02D27"/>
    <w:rsid w:val="00C02DD1"/>
    <w:rsid w:val="00C02EAB"/>
    <w:rsid w:val="00C03039"/>
    <w:rsid w:val="00C0322B"/>
    <w:rsid w:val="00C033F5"/>
    <w:rsid w:val="00C0366C"/>
    <w:rsid w:val="00C036C6"/>
    <w:rsid w:val="00C0376E"/>
    <w:rsid w:val="00C03801"/>
    <w:rsid w:val="00C0384C"/>
    <w:rsid w:val="00C038E0"/>
    <w:rsid w:val="00C03929"/>
    <w:rsid w:val="00C03932"/>
    <w:rsid w:val="00C03A16"/>
    <w:rsid w:val="00C03A70"/>
    <w:rsid w:val="00C03B1E"/>
    <w:rsid w:val="00C03C4B"/>
    <w:rsid w:val="00C040A3"/>
    <w:rsid w:val="00C041B7"/>
    <w:rsid w:val="00C04231"/>
    <w:rsid w:val="00C04293"/>
    <w:rsid w:val="00C042AD"/>
    <w:rsid w:val="00C042C2"/>
    <w:rsid w:val="00C04342"/>
    <w:rsid w:val="00C0438C"/>
    <w:rsid w:val="00C0439B"/>
    <w:rsid w:val="00C04603"/>
    <w:rsid w:val="00C0463A"/>
    <w:rsid w:val="00C04761"/>
    <w:rsid w:val="00C047B8"/>
    <w:rsid w:val="00C0481F"/>
    <w:rsid w:val="00C0487B"/>
    <w:rsid w:val="00C048A3"/>
    <w:rsid w:val="00C048F2"/>
    <w:rsid w:val="00C0492F"/>
    <w:rsid w:val="00C049E9"/>
    <w:rsid w:val="00C04A5E"/>
    <w:rsid w:val="00C04AAA"/>
    <w:rsid w:val="00C04C63"/>
    <w:rsid w:val="00C04D66"/>
    <w:rsid w:val="00C04E18"/>
    <w:rsid w:val="00C04E27"/>
    <w:rsid w:val="00C04E36"/>
    <w:rsid w:val="00C04EFC"/>
    <w:rsid w:val="00C04F02"/>
    <w:rsid w:val="00C04FC6"/>
    <w:rsid w:val="00C0501B"/>
    <w:rsid w:val="00C0506D"/>
    <w:rsid w:val="00C050C5"/>
    <w:rsid w:val="00C05211"/>
    <w:rsid w:val="00C052AE"/>
    <w:rsid w:val="00C05449"/>
    <w:rsid w:val="00C054B0"/>
    <w:rsid w:val="00C055D0"/>
    <w:rsid w:val="00C05940"/>
    <w:rsid w:val="00C05A9D"/>
    <w:rsid w:val="00C05D2B"/>
    <w:rsid w:val="00C05DDB"/>
    <w:rsid w:val="00C05E80"/>
    <w:rsid w:val="00C05EEF"/>
    <w:rsid w:val="00C05F1E"/>
    <w:rsid w:val="00C05F42"/>
    <w:rsid w:val="00C060AE"/>
    <w:rsid w:val="00C060E6"/>
    <w:rsid w:val="00C061AC"/>
    <w:rsid w:val="00C0622D"/>
    <w:rsid w:val="00C062C9"/>
    <w:rsid w:val="00C0633B"/>
    <w:rsid w:val="00C06408"/>
    <w:rsid w:val="00C0655E"/>
    <w:rsid w:val="00C065A6"/>
    <w:rsid w:val="00C0666E"/>
    <w:rsid w:val="00C06671"/>
    <w:rsid w:val="00C0683B"/>
    <w:rsid w:val="00C06879"/>
    <w:rsid w:val="00C06961"/>
    <w:rsid w:val="00C069DC"/>
    <w:rsid w:val="00C06BDA"/>
    <w:rsid w:val="00C06C18"/>
    <w:rsid w:val="00C06D44"/>
    <w:rsid w:val="00C06E86"/>
    <w:rsid w:val="00C06F5E"/>
    <w:rsid w:val="00C0700C"/>
    <w:rsid w:val="00C070A0"/>
    <w:rsid w:val="00C071CF"/>
    <w:rsid w:val="00C0746C"/>
    <w:rsid w:val="00C074C5"/>
    <w:rsid w:val="00C07521"/>
    <w:rsid w:val="00C07528"/>
    <w:rsid w:val="00C07530"/>
    <w:rsid w:val="00C07631"/>
    <w:rsid w:val="00C07667"/>
    <w:rsid w:val="00C07703"/>
    <w:rsid w:val="00C0774F"/>
    <w:rsid w:val="00C07780"/>
    <w:rsid w:val="00C0787F"/>
    <w:rsid w:val="00C078D0"/>
    <w:rsid w:val="00C07933"/>
    <w:rsid w:val="00C07B1A"/>
    <w:rsid w:val="00C07B21"/>
    <w:rsid w:val="00C07C09"/>
    <w:rsid w:val="00C07DD1"/>
    <w:rsid w:val="00C10286"/>
    <w:rsid w:val="00C1032C"/>
    <w:rsid w:val="00C1033D"/>
    <w:rsid w:val="00C103F2"/>
    <w:rsid w:val="00C10412"/>
    <w:rsid w:val="00C10447"/>
    <w:rsid w:val="00C104EA"/>
    <w:rsid w:val="00C105E7"/>
    <w:rsid w:val="00C1085F"/>
    <w:rsid w:val="00C10899"/>
    <w:rsid w:val="00C108A5"/>
    <w:rsid w:val="00C10996"/>
    <w:rsid w:val="00C109DE"/>
    <w:rsid w:val="00C10B33"/>
    <w:rsid w:val="00C10BBF"/>
    <w:rsid w:val="00C10C94"/>
    <w:rsid w:val="00C10E0F"/>
    <w:rsid w:val="00C10E40"/>
    <w:rsid w:val="00C10EB2"/>
    <w:rsid w:val="00C10EE7"/>
    <w:rsid w:val="00C10F08"/>
    <w:rsid w:val="00C114FA"/>
    <w:rsid w:val="00C1160A"/>
    <w:rsid w:val="00C1176A"/>
    <w:rsid w:val="00C11955"/>
    <w:rsid w:val="00C1197D"/>
    <w:rsid w:val="00C1198C"/>
    <w:rsid w:val="00C11B0C"/>
    <w:rsid w:val="00C11B8E"/>
    <w:rsid w:val="00C11D02"/>
    <w:rsid w:val="00C11D1C"/>
    <w:rsid w:val="00C11D9F"/>
    <w:rsid w:val="00C11DBF"/>
    <w:rsid w:val="00C11F27"/>
    <w:rsid w:val="00C12023"/>
    <w:rsid w:val="00C122F0"/>
    <w:rsid w:val="00C122F1"/>
    <w:rsid w:val="00C12318"/>
    <w:rsid w:val="00C12670"/>
    <w:rsid w:val="00C126DA"/>
    <w:rsid w:val="00C12724"/>
    <w:rsid w:val="00C12866"/>
    <w:rsid w:val="00C129D1"/>
    <w:rsid w:val="00C12A36"/>
    <w:rsid w:val="00C12B43"/>
    <w:rsid w:val="00C12BBA"/>
    <w:rsid w:val="00C12C21"/>
    <w:rsid w:val="00C12C4B"/>
    <w:rsid w:val="00C12CE8"/>
    <w:rsid w:val="00C13014"/>
    <w:rsid w:val="00C130E3"/>
    <w:rsid w:val="00C1326E"/>
    <w:rsid w:val="00C13273"/>
    <w:rsid w:val="00C1327E"/>
    <w:rsid w:val="00C13357"/>
    <w:rsid w:val="00C13512"/>
    <w:rsid w:val="00C13580"/>
    <w:rsid w:val="00C136CB"/>
    <w:rsid w:val="00C136CE"/>
    <w:rsid w:val="00C13843"/>
    <w:rsid w:val="00C138EE"/>
    <w:rsid w:val="00C1395C"/>
    <w:rsid w:val="00C13A27"/>
    <w:rsid w:val="00C13A49"/>
    <w:rsid w:val="00C13A86"/>
    <w:rsid w:val="00C13D16"/>
    <w:rsid w:val="00C13DE4"/>
    <w:rsid w:val="00C13FC1"/>
    <w:rsid w:val="00C14045"/>
    <w:rsid w:val="00C140D7"/>
    <w:rsid w:val="00C1414F"/>
    <w:rsid w:val="00C142B5"/>
    <w:rsid w:val="00C142FA"/>
    <w:rsid w:val="00C14330"/>
    <w:rsid w:val="00C1436A"/>
    <w:rsid w:val="00C14486"/>
    <w:rsid w:val="00C1461F"/>
    <w:rsid w:val="00C14656"/>
    <w:rsid w:val="00C14675"/>
    <w:rsid w:val="00C14855"/>
    <w:rsid w:val="00C14893"/>
    <w:rsid w:val="00C14900"/>
    <w:rsid w:val="00C1493E"/>
    <w:rsid w:val="00C14966"/>
    <w:rsid w:val="00C14B14"/>
    <w:rsid w:val="00C14B17"/>
    <w:rsid w:val="00C14B8B"/>
    <w:rsid w:val="00C14C83"/>
    <w:rsid w:val="00C14CAA"/>
    <w:rsid w:val="00C14D65"/>
    <w:rsid w:val="00C14DA4"/>
    <w:rsid w:val="00C1502E"/>
    <w:rsid w:val="00C150C8"/>
    <w:rsid w:val="00C1514D"/>
    <w:rsid w:val="00C151AF"/>
    <w:rsid w:val="00C15305"/>
    <w:rsid w:val="00C15378"/>
    <w:rsid w:val="00C15422"/>
    <w:rsid w:val="00C1543E"/>
    <w:rsid w:val="00C1544D"/>
    <w:rsid w:val="00C154CB"/>
    <w:rsid w:val="00C154DA"/>
    <w:rsid w:val="00C154E9"/>
    <w:rsid w:val="00C155A6"/>
    <w:rsid w:val="00C156EA"/>
    <w:rsid w:val="00C15781"/>
    <w:rsid w:val="00C158E8"/>
    <w:rsid w:val="00C15B19"/>
    <w:rsid w:val="00C15B7D"/>
    <w:rsid w:val="00C15BB5"/>
    <w:rsid w:val="00C15C76"/>
    <w:rsid w:val="00C15CE5"/>
    <w:rsid w:val="00C15D82"/>
    <w:rsid w:val="00C15DA5"/>
    <w:rsid w:val="00C15DFA"/>
    <w:rsid w:val="00C15F7B"/>
    <w:rsid w:val="00C15FA2"/>
    <w:rsid w:val="00C1602F"/>
    <w:rsid w:val="00C160E7"/>
    <w:rsid w:val="00C16262"/>
    <w:rsid w:val="00C1636C"/>
    <w:rsid w:val="00C164E4"/>
    <w:rsid w:val="00C1671E"/>
    <w:rsid w:val="00C168B2"/>
    <w:rsid w:val="00C16A4D"/>
    <w:rsid w:val="00C16A55"/>
    <w:rsid w:val="00C16AE2"/>
    <w:rsid w:val="00C16B09"/>
    <w:rsid w:val="00C16D5B"/>
    <w:rsid w:val="00C16E98"/>
    <w:rsid w:val="00C16EE7"/>
    <w:rsid w:val="00C16F94"/>
    <w:rsid w:val="00C1712F"/>
    <w:rsid w:val="00C171E3"/>
    <w:rsid w:val="00C1722C"/>
    <w:rsid w:val="00C1722F"/>
    <w:rsid w:val="00C17423"/>
    <w:rsid w:val="00C176B5"/>
    <w:rsid w:val="00C17742"/>
    <w:rsid w:val="00C17870"/>
    <w:rsid w:val="00C178D8"/>
    <w:rsid w:val="00C17A52"/>
    <w:rsid w:val="00C17A5A"/>
    <w:rsid w:val="00C17A8C"/>
    <w:rsid w:val="00C17A9C"/>
    <w:rsid w:val="00C17AFE"/>
    <w:rsid w:val="00C17B02"/>
    <w:rsid w:val="00C17BB3"/>
    <w:rsid w:val="00C17C10"/>
    <w:rsid w:val="00C17C83"/>
    <w:rsid w:val="00C17CC8"/>
    <w:rsid w:val="00C17D88"/>
    <w:rsid w:val="00C17F4E"/>
    <w:rsid w:val="00C200B7"/>
    <w:rsid w:val="00C20228"/>
    <w:rsid w:val="00C2023A"/>
    <w:rsid w:val="00C20347"/>
    <w:rsid w:val="00C20361"/>
    <w:rsid w:val="00C20379"/>
    <w:rsid w:val="00C203BB"/>
    <w:rsid w:val="00C204CC"/>
    <w:rsid w:val="00C2078C"/>
    <w:rsid w:val="00C207A9"/>
    <w:rsid w:val="00C207DF"/>
    <w:rsid w:val="00C20817"/>
    <w:rsid w:val="00C20A63"/>
    <w:rsid w:val="00C20A99"/>
    <w:rsid w:val="00C20BD5"/>
    <w:rsid w:val="00C20CC7"/>
    <w:rsid w:val="00C20DF7"/>
    <w:rsid w:val="00C20E3F"/>
    <w:rsid w:val="00C20F32"/>
    <w:rsid w:val="00C20F8B"/>
    <w:rsid w:val="00C21273"/>
    <w:rsid w:val="00C212C9"/>
    <w:rsid w:val="00C212EB"/>
    <w:rsid w:val="00C212F8"/>
    <w:rsid w:val="00C2136F"/>
    <w:rsid w:val="00C213F2"/>
    <w:rsid w:val="00C21444"/>
    <w:rsid w:val="00C2155D"/>
    <w:rsid w:val="00C215D9"/>
    <w:rsid w:val="00C21697"/>
    <w:rsid w:val="00C216A2"/>
    <w:rsid w:val="00C216DE"/>
    <w:rsid w:val="00C21792"/>
    <w:rsid w:val="00C218D0"/>
    <w:rsid w:val="00C2196E"/>
    <w:rsid w:val="00C21B0E"/>
    <w:rsid w:val="00C21DE0"/>
    <w:rsid w:val="00C21F6F"/>
    <w:rsid w:val="00C21FBA"/>
    <w:rsid w:val="00C22153"/>
    <w:rsid w:val="00C2228E"/>
    <w:rsid w:val="00C222F4"/>
    <w:rsid w:val="00C223F9"/>
    <w:rsid w:val="00C22461"/>
    <w:rsid w:val="00C225E0"/>
    <w:rsid w:val="00C22672"/>
    <w:rsid w:val="00C22748"/>
    <w:rsid w:val="00C227D4"/>
    <w:rsid w:val="00C22866"/>
    <w:rsid w:val="00C22894"/>
    <w:rsid w:val="00C2299D"/>
    <w:rsid w:val="00C229CF"/>
    <w:rsid w:val="00C229D5"/>
    <w:rsid w:val="00C22C02"/>
    <w:rsid w:val="00C22C90"/>
    <w:rsid w:val="00C22D33"/>
    <w:rsid w:val="00C23039"/>
    <w:rsid w:val="00C230AE"/>
    <w:rsid w:val="00C230D5"/>
    <w:rsid w:val="00C230FE"/>
    <w:rsid w:val="00C23269"/>
    <w:rsid w:val="00C232A8"/>
    <w:rsid w:val="00C236A6"/>
    <w:rsid w:val="00C236BD"/>
    <w:rsid w:val="00C23755"/>
    <w:rsid w:val="00C23895"/>
    <w:rsid w:val="00C238B1"/>
    <w:rsid w:val="00C23932"/>
    <w:rsid w:val="00C239D2"/>
    <w:rsid w:val="00C23B21"/>
    <w:rsid w:val="00C23C23"/>
    <w:rsid w:val="00C23D1E"/>
    <w:rsid w:val="00C23D69"/>
    <w:rsid w:val="00C23DE7"/>
    <w:rsid w:val="00C23E58"/>
    <w:rsid w:val="00C23EF7"/>
    <w:rsid w:val="00C23F05"/>
    <w:rsid w:val="00C23F5B"/>
    <w:rsid w:val="00C23FD3"/>
    <w:rsid w:val="00C24040"/>
    <w:rsid w:val="00C243C5"/>
    <w:rsid w:val="00C245E1"/>
    <w:rsid w:val="00C2464A"/>
    <w:rsid w:val="00C2473C"/>
    <w:rsid w:val="00C24754"/>
    <w:rsid w:val="00C247CE"/>
    <w:rsid w:val="00C24810"/>
    <w:rsid w:val="00C24886"/>
    <w:rsid w:val="00C248D5"/>
    <w:rsid w:val="00C248EE"/>
    <w:rsid w:val="00C248F7"/>
    <w:rsid w:val="00C24A34"/>
    <w:rsid w:val="00C24A49"/>
    <w:rsid w:val="00C24B8F"/>
    <w:rsid w:val="00C24BA5"/>
    <w:rsid w:val="00C24CFF"/>
    <w:rsid w:val="00C24D3C"/>
    <w:rsid w:val="00C24D62"/>
    <w:rsid w:val="00C24D6D"/>
    <w:rsid w:val="00C24F08"/>
    <w:rsid w:val="00C2504E"/>
    <w:rsid w:val="00C251A0"/>
    <w:rsid w:val="00C25286"/>
    <w:rsid w:val="00C252C6"/>
    <w:rsid w:val="00C25350"/>
    <w:rsid w:val="00C253DB"/>
    <w:rsid w:val="00C254E0"/>
    <w:rsid w:val="00C25525"/>
    <w:rsid w:val="00C25597"/>
    <w:rsid w:val="00C25650"/>
    <w:rsid w:val="00C25686"/>
    <w:rsid w:val="00C257DB"/>
    <w:rsid w:val="00C25977"/>
    <w:rsid w:val="00C259BC"/>
    <w:rsid w:val="00C25A18"/>
    <w:rsid w:val="00C25AC0"/>
    <w:rsid w:val="00C25B2E"/>
    <w:rsid w:val="00C25BCF"/>
    <w:rsid w:val="00C25DB1"/>
    <w:rsid w:val="00C25E14"/>
    <w:rsid w:val="00C25F2B"/>
    <w:rsid w:val="00C25F43"/>
    <w:rsid w:val="00C2609D"/>
    <w:rsid w:val="00C260DC"/>
    <w:rsid w:val="00C260F1"/>
    <w:rsid w:val="00C26166"/>
    <w:rsid w:val="00C26270"/>
    <w:rsid w:val="00C262E4"/>
    <w:rsid w:val="00C262FA"/>
    <w:rsid w:val="00C2633D"/>
    <w:rsid w:val="00C2635C"/>
    <w:rsid w:val="00C263DF"/>
    <w:rsid w:val="00C263F1"/>
    <w:rsid w:val="00C2643D"/>
    <w:rsid w:val="00C26504"/>
    <w:rsid w:val="00C26551"/>
    <w:rsid w:val="00C26703"/>
    <w:rsid w:val="00C267BB"/>
    <w:rsid w:val="00C2692E"/>
    <w:rsid w:val="00C26A2F"/>
    <w:rsid w:val="00C26AE4"/>
    <w:rsid w:val="00C26CD8"/>
    <w:rsid w:val="00C26D18"/>
    <w:rsid w:val="00C26D32"/>
    <w:rsid w:val="00C26D76"/>
    <w:rsid w:val="00C26D9B"/>
    <w:rsid w:val="00C26E0E"/>
    <w:rsid w:val="00C26E29"/>
    <w:rsid w:val="00C26F5A"/>
    <w:rsid w:val="00C2709C"/>
    <w:rsid w:val="00C27162"/>
    <w:rsid w:val="00C27236"/>
    <w:rsid w:val="00C2727C"/>
    <w:rsid w:val="00C27300"/>
    <w:rsid w:val="00C273B5"/>
    <w:rsid w:val="00C27547"/>
    <w:rsid w:val="00C27582"/>
    <w:rsid w:val="00C276BF"/>
    <w:rsid w:val="00C276CB"/>
    <w:rsid w:val="00C276F3"/>
    <w:rsid w:val="00C2770C"/>
    <w:rsid w:val="00C27798"/>
    <w:rsid w:val="00C277AB"/>
    <w:rsid w:val="00C27825"/>
    <w:rsid w:val="00C27844"/>
    <w:rsid w:val="00C2790A"/>
    <w:rsid w:val="00C27958"/>
    <w:rsid w:val="00C279C5"/>
    <w:rsid w:val="00C27B3E"/>
    <w:rsid w:val="00C27B85"/>
    <w:rsid w:val="00C27DE6"/>
    <w:rsid w:val="00C27E11"/>
    <w:rsid w:val="00C27E4A"/>
    <w:rsid w:val="00C27ED9"/>
    <w:rsid w:val="00C300C9"/>
    <w:rsid w:val="00C30116"/>
    <w:rsid w:val="00C301CE"/>
    <w:rsid w:val="00C30247"/>
    <w:rsid w:val="00C30283"/>
    <w:rsid w:val="00C302F1"/>
    <w:rsid w:val="00C30322"/>
    <w:rsid w:val="00C304AB"/>
    <w:rsid w:val="00C30503"/>
    <w:rsid w:val="00C305BD"/>
    <w:rsid w:val="00C3074F"/>
    <w:rsid w:val="00C3076C"/>
    <w:rsid w:val="00C3076F"/>
    <w:rsid w:val="00C30777"/>
    <w:rsid w:val="00C307F9"/>
    <w:rsid w:val="00C308CE"/>
    <w:rsid w:val="00C30902"/>
    <w:rsid w:val="00C3096F"/>
    <w:rsid w:val="00C309E7"/>
    <w:rsid w:val="00C309F5"/>
    <w:rsid w:val="00C30A6B"/>
    <w:rsid w:val="00C30BAA"/>
    <w:rsid w:val="00C30C51"/>
    <w:rsid w:val="00C30D21"/>
    <w:rsid w:val="00C31049"/>
    <w:rsid w:val="00C31059"/>
    <w:rsid w:val="00C31178"/>
    <w:rsid w:val="00C31263"/>
    <w:rsid w:val="00C312D6"/>
    <w:rsid w:val="00C31322"/>
    <w:rsid w:val="00C31361"/>
    <w:rsid w:val="00C31391"/>
    <w:rsid w:val="00C3141F"/>
    <w:rsid w:val="00C31515"/>
    <w:rsid w:val="00C31590"/>
    <w:rsid w:val="00C31689"/>
    <w:rsid w:val="00C316C7"/>
    <w:rsid w:val="00C3181D"/>
    <w:rsid w:val="00C318B7"/>
    <w:rsid w:val="00C3195E"/>
    <w:rsid w:val="00C31A5D"/>
    <w:rsid w:val="00C31BB1"/>
    <w:rsid w:val="00C31BFC"/>
    <w:rsid w:val="00C31C7A"/>
    <w:rsid w:val="00C31D61"/>
    <w:rsid w:val="00C31D8E"/>
    <w:rsid w:val="00C31E3F"/>
    <w:rsid w:val="00C3201F"/>
    <w:rsid w:val="00C320D6"/>
    <w:rsid w:val="00C321B3"/>
    <w:rsid w:val="00C32247"/>
    <w:rsid w:val="00C32366"/>
    <w:rsid w:val="00C3251B"/>
    <w:rsid w:val="00C325D3"/>
    <w:rsid w:val="00C32615"/>
    <w:rsid w:val="00C32641"/>
    <w:rsid w:val="00C32643"/>
    <w:rsid w:val="00C32741"/>
    <w:rsid w:val="00C327E0"/>
    <w:rsid w:val="00C32954"/>
    <w:rsid w:val="00C32A43"/>
    <w:rsid w:val="00C32A7F"/>
    <w:rsid w:val="00C32C35"/>
    <w:rsid w:val="00C32C36"/>
    <w:rsid w:val="00C32F77"/>
    <w:rsid w:val="00C32F80"/>
    <w:rsid w:val="00C33032"/>
    <w:rsid w:val="00C330F9"/>
    <w:rsid w:val="00C332FB"/>
    <w:rsid w:val="00C333C9"/>
    <w:rsid w:val="00C334B7"/>
    <w:rsid w:val="00C335F5"/>
    <w:rsid w:val="00C336EC"/>
    <w:rsid w:val="00C337F1"/>
    <w:rsid w:val="00C33922"/>
    <w:rsid w:val="00C33A68"/>
    <w:rsid w:val="00C33BB0"/>
    <w:rsid w:val="00C33C18"/>
    <w:rsid w:val="00C33C2B"/>
    <w:rsid w:val="00C33C53"/>
    <w:rsid w:val="00C33E07"/>
    <w:rsid w:val="00C33F98"/>
    <w:rsid w:val="00C34185"/>
    <w:rsid w:val="00C341DD"/>
    <w:rsid w:val="00C341E5"/>
    <w:rsid w:val="00C3422E"/>
    <w:rsid w:val="00C3427B"/>
    <w:rsid w:val="00C342C9"/>
    <w:rsid w:val="00C3438C"/>
    <w:rsid w:val="00C34470"/>
    <w:rsid w:val="00C34475"/>
    <w:rsid w:val="00C34532"/>
    <w:rsid w:val="00C34642"/>
    <w:rsid w:val="00C346B9"/>
    <w:rsid w:val="00C34771"/>
    <w:rsid w:val="00C34812"/>
    <w:rsid w:val="00C3487C"/>
    <w:rsid w:val="00C34A90"/>
    <w:rsid w:val="00C34AC2"/>
    <w:rsid w:val="00C34AFF"/>
    <w:rsid w:val="00C34C12"/>
    <w:rsid w:val="00C34F43"/>
    <w:rsid w:val="00C34F53"/>
    <w:rsid w:val="00C3508F"/>
    <w:rsid w:val="00C35285"/>
    <w:rsid w:val="00C352B2"/>
    <w:rsid w:val="00C352C8"/>
    <w:rsid w:val="00C3535F"/>
    <w:rsid w:val="00C353C1"/>
    <w:rsid w:val="00C353F7"/>
    <w:rsid w:val="00C35405"/>
    <w:rsid w:val="00C3547D"/>
    <w:rsid w:val="00C354B1"/>
    <w:rsid w:val="00C35534"/>
    <w:rsid w:val="00C35586"/>
    <w:rsid w:val="00C3575E"/>
    <w:rsid w:val="00C357D0"/>
    <w:rsid w:val="00C35839"/>
    <w:rsid w:val="00C35A4A"/>
    <w:rsid w:val="00C35A5B"/>
    <w:rsid w:val="00C35A7C"/>
    <w:rsid w:val="00C35B46"/>
    <w:rsid w:val="00C35BA9"/>
    <w:rsid w:val="00C35BB0"/>
    <w:rsid w:val="00C35BF6"/>
    <w:rsid w:val="00C35C01"/>
    <w:rsid w:val="00C35C5D"/>
    <w:rsid w:val="00C35D70"/>
    <w:rsid w:val="00C35E02"/>
    <w:rsid w:val="00C35E18"/>
    <w:rsid w:val="00C35E85"/>
    <w:rsid w:val="00C36033"/>
    <w:rsid w:val="00C36034"/>
    <w:rsid w:val="00C3609D"/>
    <w:rsid w:val="00C360FA"/>
    <w:rsid w:val="00C3615C"/>
    <w:rsid w:val="00C36373"/>
    <w:rsid w:val="00C363C0"/>
    <w:rsid w:val="00C36444"/>
    <w:rsid w:val="00C36523"/>
    <w:rsid w:val="00C365AA"/>
    <w:rsid w:val="00C365DB"/>
    <w:rsid w:val="00C36605"/>
    <w:rsid w:val="00C36667"/>
    <w:rsid w:val="00C366DF"/>
    <w:rsid w:val="00C36778"/>
    <w:rsid w:val="00C3684D"/>
    <w:rsid w:val="00C36913"/>
    <w:rsid w:val="00C36918"/>
    <w:rsid w:val="00C36971"/>
    <w:rsid w:val="00C36A60"/>
    <w:rsid w:val="00C36ABA"/>
    <w:rsid w:val="00C36ABE"/>
    <w:rsid w:val="00C36ACF"/>
    <w:rsid w:val="00C36BA6"/>
    <w:rsid w:val="00C36CB2"/>
    <w:rsid w:val="00C36DCD"/>
    <w:rsid w:val="00C36E54"/>
    <w:rsid w:val="00C36F94"/>
    <w:rsid w:val="00C370F5"/>
    <w:rsid w:val="00C37206"/>
    <w:rsid w:val="00C372B9"/>
    <w:rsid w:val="00C37663"/>
    <w:rsid w:val="00C37664"/>
    <w:rsid w:val="00C37750"/>
    <w:rsid w:val="00C377E9"/>
    <w:rsid w:val="00C378F4"/>
    <w:rsid w:val="00C3792C"/>
    <w:rsid w:val="00C37948"/>
    <w:rsid w:val="00C37966"/>
    <w:rsid w:val="00C37A1C"/>
    <w:rsid w:val="00C37A29"/>
    <w:rsid w:val="00C37A7D"/>
    <w:rsid w:val="00C37BCD"/>
    <w:rsid w:val="00C37BEF"/>
    <w:rsid w:val="00C37C09"/>
    <w:rsid w:val="00C37CD2"/>
    <w:rsid w:val="00C37CD5"/>
    <w:rsid w:val="00C37CE8"/>
    <w:rsid w:val="00C37D07"/>
    <w:rsid w:val="00C37E71"/>
    <w:rsid w:val="00C37FB3"/>
    <w:rsid w:val="00C37FBB"/>
    <w:rsid w:val="00C3F3D7"/>
    <w:rsid w:val="00C40224"/>
    <w:rsid w:val="00C40279"/>
    <w:rsid w:val="00C402D7"/>
    <w:rsid w:val="00C40382"/>
    <w:rsid w:val="00C404FB"/>
    <w:rsid w:val="00C40584"/>
    <w:rsid w:val="00C40636"/>
    <w:rsid w:val="00C406C2"/>
    <w:rsid w:val="00C4070A"/>
    <w:rsid w:val="00C40920"/>
    <w:rsid w:val="00C40960"/>
    <w:rsid w:val="00C4096C"/>
    <w:rsid w:val="00C40AD1"/>
    <w:rsid w:val="00C40BD4"/>
    <w:rsid w:val="00C40C67"/>
    <w:rsid w:val="00C40D33"/>
    <w:rsid w:val="00C40D9C"/>
    <w:rsid w:val="00C40DE3"/>
    <w:rsid w:val="00C40E9A"/>
    <w:rsid w:val="00C40EC6"/>
    <w:rsid w:val="00C41046"/>
    <w:rsid w:val="00C4106A"/>
    <w:rsid w:val="00C41201"/>
    <w:rsid w:val="00C41253"/>
    <w:rsid w:val="00C412AB"/>
    <w:rsid w:val="00C41395"/>
    <w:rsid w:val="00C4153A"/>
    <w:rsid w:val="00C4157C"/>
    <w:rsid w:val="00C415A8"/>
    <w:rsid w:val="00C41614"/>
    <w:rsid w:val="00C416E8"/>
    <w:rsid w:val="00C4171E"/>
    <w:rsid w:val="00C41750"/>
    <w:rsid w:val="00C41823"/>
    <w:rsid w:val="00C4186B"/>
    <w:rsid w:val="00C4198F"/>
    <w:rsid w:val="00C41991"/>
    <w:rsid w:val="00C41BD0"/>
    <w:rsid w:val="00C41BED"/>
    <w:rsid w:val="00C41D45"/>
    <w:rsid w:val="00C41D59"/>
    <w:rsid w:val="00C41E02"/>
    <w:rsid w:val="00C41E9C"/>
    <w:rsid w:val="00C421F6"/>
    <w:rsid w:val="00C42308"/>
    <w:rsid w:val="00C42397"/>
    <w:rsid w:val="00C4247B"/>
    <w:rsid w:val="00C42571"/>
    <w:rsid w:val="00C4263D"/>
    <w:rsid w:val="00C42896"/>
    <w:rsid w:val="00C42940"/>
    <w:rsid w:val="00C42980"/>
    <w:rsid w:val="00C42A71"/>
    <w:rsid w:val="00C42AC6"/>
    <w:rsid w:val="00C42D22"/>
    <w:rsid w:val="00C42D46"/>
    <w:rsid w:val="00C42ECC"/>
    <w:rsid w:val="00C42F73"/>
    <w:rsid w:val="00C4307A"/>
    <w:rsid w:val="00C43088"/>
    <w:rsid w:val="00C430B6"/>
    <w:rsid w:val="00C43158"/>
    <w:rsid w:val="00C43297"/>
    <w:rsid w:val="00C43327"/>
    <w:rsid w:val="00C43382"/>
    <w:rsid w:val="00C433F0"/>
    <w:rsid w:val="00C43486"/>
    <w:rsid w:val="00C434C8"/>
    <w:rsid w:val="00C434E5"/>
    <w:rsid w:val="00C43568"/>
    <w:rsid w:val="00C435D8"/>
    <w:rsid w:val="00C438FF"/>
    <w:rsid w:val="00C439F3"/>
    <w:rsid w:val="00C43D77"/>
    <w:rsid w:val="00C43EC7"/>
    <w:rsid w:val="00C4402D"/>
    <w:rsid w:val="00C4403D"/>
    <w:rsid w:val="00C44060"/>
    <w:rsid w:val="00C441D1"/>
    <w:rsid w:val="00C441FD"/>
    <w:rsid w:val="00C4430C"/>
    <w:rsid w:val="00C44324"/>
    <w:rsid w:val="00C4435B"/>
    <w:rsid w:val="00C44405"/>
    <w:rsid w:val="00C445E2"/>
    <w:rsid w:val="00C44640"/>
    <w:rsid w:val="00C4473A"/>
    <w:rsid w:val="00C448DD"/>
    <w:rsid w:val="00C4491A"/>
    <w:rsid w:val="00C449A4"/>
    <w:rsid w:val="00C449DA"/>
    <w:rsid w:val="00C44A4F"/>
    <w:rsid w:val="00C44ACD"/>
    <w:rsid w:val="00C44BFB"/>
    <w:rsid w:val="00C44C13"/>
    <w:rsid w:val="00C44CB3"/>
    <w:rsid w:val="00C44DE3"/>
    <w:rsid w:val="00C44EEB"/>
    <w:rsid w:val="00C44F52"/>
    <w:rsid w:val="00C44F6C"/>
    <w:rsid w:val="00C45051"/>
    <w:rsid w:val="00C450C4"/>
    <w:rsid w:val="00C45133"/>
    <w:rsid w:val="00C45145"/>
    <w:rsid w:val="00C45147"/>
    <w:rsid w:val="00C451CA"/>
    <w:rsid w:val="00C45200"/>
    <w:rsid w:val="00C4522A"/>
    <w:rsid w:val="00C452A0"/>
    <w:rsid w:val="00C45353"/>
    <w:rsid w:val="00C4553A"/>
    <w:rsid w:val="00C45591"/>
    <w:rsid w:val="00C4565D"/>
    <w:rsid w:val="00C45837"/>
    <w:rsid w:val="00C4596E"/>
    <w:rsid w:val="00C45B35"/>
    <w:rsid w:val="00C45BA5"/>
    <w:rsid w:val="00C45C6A"/>
    <w:rsid w:val="00C45C7D"/>
    <w:rsid w:val="00C45CBB"/>
    <w:rsid w:val="00C45D27"/>
    <w:rsid w:val="00C45D46"/>
    <w:rsid w:val="00C45D9C"/>
    <w:rsid w:val="00C45EC9"/>
    <w:rsid w:val="00C45FDE"/>
    <w:rsid w:val="00C46122"/>
    <w:rsid w:val="00C4624C"/>
    <w:rsid w:val="00C464EC"/>
    <w:rsid w:val="00C46521"/>
    <w:rsid w:val="00C4653C"/>
    <w:rsid w:val="00C465A4"/>
    <w:rsid w:val="00C465A7"/>
    <w:rsid w:val="00C465C0"/>
    <w:rsid w:val="00C46627"/>
    <w:rsid w:val="00C4663A"/>
    <w:rsid w:val="00C466C8"/>
    <w:rsid w:val="00C4684F"/>
    <w:rsid w:val="00C4697A"/>
    <w:rsid w:val="00C46A1D"/>
    <w:rsid w:val="00C46ABC"/>
    <w:rsid w:val="00C46AF1"/>
    <w:rsid w:val="00C46B58"/>
    <w:rsid w:val="00C46B65"/>
    <w:rsid w:val="00C46C62"/>
    <w:rsid w:val="00C46D1E"/>
    <w:rsid w:val="00C46DC7"/>
    <w:rsid w:val="00C46DE4"/>
    <w:rsid w:val="00C46E11"/>
    <w:rsid w:val="00C46E34"/>
    <w:rsid w:val="00C46E91"/>
    <w:rsid w:val="00C46FCE"/>
    <w:rsid w:val="00C47081"/>
    <w:rsid w:val="00C470C8"/>
    <w:rsid w:val="00C471D7"/>
    <w:rsid w:val="00C47243"/>
    <w:rsid w:val="00C47252"/>
    <w:rsid w:val="00C4733A"/>
    <w:rsid w:val="00C473D6"/>
    <w:rsid w:val="00C4752F"/>
    <w:rsid w:val="00C47619"/>
    <w:rsid w:val="00C47682"/>
    <w:rsid w:val="00C4769F"/>
    <w:rsid w:val="00C476DD"/>
    <w:rsid w:val="00C47A0A"/>
    <w:rsid w:val="00C47B54"/>
    <w:rsid w:val="00C47C90"/>
    <w:rsid w:val="00C47D15"/>
    <w:rsid w:val="00C47ED9"/>
    <w:rsid w:val="00C47FA9"/>
    <w:rsid w:val="00C50249"/>
    <w:rsid w:val="00C5029B"/>
    <w:rsid w:val="00C502EB"/>
    <w:rsid w:val="00C5032C"/>
    <w:rsid w:val="00C5033F"/>
    <w:rsid w:val="00C50371"/>
    <w:rsid w:val="00C503FA"/>
    <w:rsid w:val="00C50464"/>
    <w:rsid w:val="00C50507"/>
    <w:rsid w:val="00C5066B"/>
    <w:rsid w:val="00C50694"/>
    <w:rsid w:val="00C50807"/>
    <w:rsid w:val="00C508EF"/>
    <w:rsid w:val="00C508F9"/>
    <w:rsid w:val="00C50951"/>
    <w:rsid w:val="00C50988"/>
    <w:rsid w:val="00C50B94"/>
    <w:rsid w:val="00C50BBD"/>
    <w:rsid w:val="00C50BDC"/>
    <w:rsid w:val="00C50C95"/>
    <w:rsid w:val="00C50DF0"/>
    <w:rsid w:val="00C50E6E"/>
    <w:rsid w:val="00C5107D"/>
    <w:rsid w:val="00C51134"/>
    <w:rsid w:val="00C5117A"/>
    <w:rsid w:val="00C51299"/>
    <w:rsid w:val="00C512BF"/>
    <w:rsid w:val="00C51315"/>
    <w:rsid w:val="00C51407"/>
    <w:rsid w:val="00C51A38"/>
    <w:rsid w:val="00C51AA2"/>
    <w:rsid w:val="00C51D3A"/>
    <w:rsid w:val="00C51E28"/>
    <w:rsid w:val="00C51F58"/>
    <w:rsid w:val="00C5208F"/>
    <w:rsid w:val="00C520A9"/>
    <w:rsid w:val="00C52122"/>
    <w:rsid w:val="00C5213D"/>
    <w:rsid w:val="00C521EC"/>
    <w:rsid w:val="00C52309"/>
    <w:rsid w:val="00C52365"/>
    <w:rsid w:val="00C523DC"/>
    <w:rsid w:val="00C52527"/>
    <w:rsid w:val="00C52556"/>
    <w:rsid w:val="00C525CF"/>
    <w:rsid w:val="00C525F5"/>
    <w:rsid w:val="00C52739"/>
    <w:rsid w:val="00C52786"/>
    <w:rsid w:val="00C528F6"/>
    <w:rsid w:val="00C529A8"/>
    <w:rsid w:val="00C52ABD"/>
    <w:rsid w:val="00C52B02"/>
    <w:rsid w:val="00C52B93"/>
    <w:rsid w:val="00C52BEB"/>
    <w:rsid w:val="00C52E24"/>
    <w:rsid w:val="00C52E3A"/>
    <w:rsid w:val="00C52EA7"/>
    <w:rsid w:val="00C52EE1"/>
    <w:rsid w:val="00C52F27"/>
    <w:rsid w:val="00C52FC4"/>
    <w:rsid w:val="00C53012"/>
    <w:rsid w:val="00C532BA"/>
    <w:rsid w:val="00C533BE"/>
    <w:rsid w:val="00C5361A"/>
    <w:rsid w:val="00C537BC"/>
    <w:rsid w:val="00C5385A"/>
    <w:rsid w:val="00C538AD"/>
    <w:rsid w:val="00C53A33"/>
    <w:rsid w:val="00C53A39"/>
    <w:rsid w:val="00C53B23"/>
    <w:rsid w:val="00C53B36"/>
    <w:rsid w:val="00C53CD0"/>
    <w:rsid w:val="00C541CF"/>
    <w:rsid w:val="00C541E3"/>
    <w:rsid w:val="00C5436D"/>
    <w:rsid w:val="00C543D1"/>
    <w:rsid w:val="00C54499"/>
    <w:rsid w:val="00C54511"/>
    <w:rsid w:val="00C545B3"/>
    <w:rsid w:val="00C545CD"/>
    <w:rsid w:val="00C546A0"/>
    <w:rsid w:val="00C5472E"/>
    <w:rsid w:val="00C54969"/>
    <w:rsid w:val="00C54C14"/>
    <w:rsid w:val="00C54CD1"/>
    <w:rsid w:val="00C54D80"/>
    <w:rsid w:val="00C54DEF"/>
    <w:rsid w:val="00C54F78"/>
    <w:rsid w:val="00C55190"/>
    <w:rsid w:val="00C552F7"/>
    <w:rsid w:val="00C553FF"/>
    <w:rsid w:val="00C5544C"/>
    <w:rsid w:val="00C554C1"/>
    <w:rsid w:val="00C55524"/>
    <w:rsid w:val="00C555E0"/>
    <w:rsid w:val="00C556DC"/>
    <w:rsid w:val="00C55888"/>
    <w:rsid w:val="00C559BF"/>
    <w:rsid w:val="00C55A09"/>
    <w:rsid w:val="00C55B10"/>
    <w:rsid w:val="00C55C7A"/>
    <w:rsid w:val="00C5601A"/>
    <w:rsid w:val="00C5601C"/>
    <w:rsid w:val="00C56056"/>
    <w:rsid w:val="00C56068"/>
    <w:rsid w:val="00C560A7"/>
    <w:rsid w:val="00C560CE"/>
    <w:rsid w:val="00C560F7"/>
    <w:rsid w:val="00C56231"/>
    <w:rsid w:val="00C56425"/>
    <w:rsid w:val="00C56540"/>
    <w:rsid w:val="00C565A2"/>
    <w:rsid w:val="00C565DB"/>
    <w:rsid w:val="00C5663F"/>
    <w:rsid w:val="00C56644"/>
    <w:rsid w:val="00C56A0D"/>
    <w:rsid w:val="00C56A33"/>
    <w:rsid w:val="00C56B50"/>
    <w:rsid w:val="00C56B82"/>
    <w:rsid w:val="00C56D2A"/>
    <w:rsid w:val="00C56D43"/>
    <w:rsid w:val="00C56E3E"/>
    <w:rsid w:val="00C56EFA"/>
    <w:rsid w:val="00C56F20"/>
    <w:rsid w:val="00C56F79"/>
    <w:rsid w:val="00C56FC8"/>
    <w:rsid w:val="00C5705F"/>
    <w:rsid w:val="00C571BA"/>
    <w:rsid w:val="00C57200"/>
    <w:rsid w:val="00C57217"/>
    <w:rsid w:val="00C57237"/>
    <w:rsid w:val="00C57313"/>
    <w:rsid w:val="00C5736C"/>
    <w:rsid w:val="00C57428"/>
    <w:rsid w:val="00C575CD"/>
    <w:rsid w:val="00C57687"/>
    <w:rsid w:val="00C576E0"/>
    <w:rsid w:val="00C576E1"/>
    <w:rsid w:val="00C576F1"/>
    <w:rsid w:val="00C57A87"/>
    <w:rsid w:val="00C57A8A"/>
    <w:rsid w:val="00C57B57"/>
    <w:rsid w:val="00C57C49"/>
    <w:rsid w:val="00C57DFD"/>
    <w:rsid w:val="00C57E03"/>
    <w:rsid w:val="00C57F99"/>
    <w:rsid w:val="00C60061"/>
    <w:rsid w:val="00C600FB"/>
    <w:rsid w:val="00C6018E"/>
    <w:rsid w:val="00C601AB"/>
    <w:rsid w:val="00C601B4"/>
    <w:rsid w:val="00C602FE"/>
    <w:rsid w:val="00C60375"/>
    <w:rsid w:val="00C604C6"/>
    <w:rsid w:val="00C60692"/>
    <w:rsid w:val="00C60743"/>
    <w:rsid w:val="00C60764"/>
    <w:rsid w:val="00C6081D"/>
    <w:rsid w:val="00C60871"/>
    <w:rsid w:val="00C609B8"/>
    <w:rsid w:val="00C60A9F"/>
    <w:rsid w:val="00C60B6A"/>
    <w:rsid w:val="00C60BE2"/>
    <w:rsid w:val="00C60C74"/>
    <w:rsid w:val="00C60CC8"/>
    <w:rsid w:val="00C60D14"/>
    <w:rsid w:val="00C60DDE"/>
    <w:rsid w:val="00C60EA1"/>
    <w:rsid w:val="00C60F55"/>
    <w:rsid w:val="00C6101A"/>
    <w:rsid w:val="00C610AA"/>
    <w:rsid w:val="00C61140"/>
    <w:rsid w:val="00C61447"/>
    <w:rsid w:val="00C6146A"/>
    <w:rsid w:val="00C6149F"/>
    <w:rsid w:val="00C6165A"/>
    <w:rsid w:val="00C6178D"/>
    <w:rsid w:val="00C617D5"/>
    <w:rsid w:val="00C6189B"/>
    <w:rsid w:val="00C61A3A"/>
    <w:rsid w:val="00C61C20"/>
    <w:rsid w:val="00C61C23"/>
    <w:rsid w:val="00C61D08"/>
    <w:rsid w:val="00C61EFF"/>
    <w:rsid w:val="00C61F7A"/>
    <w:rsid w:val="00C62043"/>
    <w:rsid w:val="00C62064"/>
    <w:rsid w:val="00C620F3"/>
    <w:rsid w:val="00C62106"/>
    <w:rsid w:val="00C62172"/>
    <w:rsid w:val="00C622CA"/>
    <w:rsid w:val="00C62343"/>
    <w:rsid w:val="00C62528"/>
    <w:rsid w:val="00C62594"/>
    <w:rsid w:val="00C625AE"/>
    <w:rsid w:val="00C62618"/>
    <w:rsid w:val="00C62708"/>
    <w:rsid w:val="00C62776"/>
    <w:rsid w:val="00C62799"/>
    <w:rsid w:val="00C627D2"/>
    <w:rsid w:val="00C627E6"/>
    <w:rsid w:val="00C62910"/>
    <w:rsid w:val="00C6294A"/>
    <w:rsid w:val="00C6294C"/>
    <w:rsid w:val="00C62BC1"/>
    <w:rsid w:val="00C62CED"/>
    <w:rsid w:val="00C62DD6"/>
    <w:rsid w:val="00C62FBD"/>
    <w:rsid w:val="00C630EE"/>
    <w:rsid w:val="00C63228"/>
    <w:rsid w:val="00C63278"/>
    <w:rsid w:val="00C6333C"/>
    <w:rsid w:val="00C634AF"/>
    <w:rsid w:val="00C634BE"/>
    <w:rsid w:val="00C634F8"/>
    <w:rsid w:val="00C63681"/>
    <w:rsid w:val="00C638B5"/>
    <w:rsid w:val="00C63912"/>
    <w:rsid w:val="00C63917"/>
    <w:rsid w:val="00C639CB"/>
    <w:rsid w:val="00C63B13"/>
    <w:rsid w:val="00C63B51"/>
    <w:rsid w:val="00C63B70"/>
    <w:rsid w:val="00C63C79"/>
    <w:rsid w:val="00C63CF1"/>
    <w:rsid w:val="00C63D51"/>
    <w:rsid w:val="00C63D7D"/>
    <w:rsid w:val="00C63DB9"/>
    <w:rsid w:val="00C63F38"/>
    <w:rsid w:val="00C63F61"/>
    <w:rsid w:val="00C63F9E"/>
    <w:rsid w:val="00C6420A"/>
    <w:rsid w:val="00C642B6"/>
    <w:rsid w:val="00C64357"/>
    <w:rsid w:val="00C64389"/>
    <w:rsid w:val="00C64674"/>
    <w:rsid w:val="00C647F8"/>
    <w:rsid w:val="00C64844"/>
    <w:rsid w:val="00C64854"/>
    <w:rsid w:val="00C64888"/>
    <w:rsid w:val="00C6494F"/>
    <w:rsid w:val="00C649B8"/>
    <w:rsid w:val="00C64A5C"/>
    <w:rsid w:val="00C64B72"/>
    <w:rsid w:val="00C64D1F"/>
    <w:rsid w:val="00C64DBF"/>
    <w:rsid w:val="00C64DF4"/>
    <w:rsid w:val="00C64F92"/>
    <w:rsid w:val="00C64FED"/>
    <w:rsid w:val="00C65087"/>
    <w:rsid w:val="00C650B4"/>
    <w:rsid w:val="00C651B2"/>
    <w:rsid w:val="00C651D1"/>
    <w:rsid w:val="00C651E9"/>
    <w:rsid w:val="00C65358"/>
    <w:rsid w:val="00C6547B"/>
    <w:rsid w:val="00C654DF"/>
    <w:rsid w:val="00C656AE"/>
    <w:rsid w:val="00C65702"/>
    <w:rsid w:val="00C6575B"/>
    <w:rsid w:val="00C6587A"/>
    <w:rsid w:val="00C65885"/>
    <w:rsid w:val="00C65891"/>
    <w:rsid w:val="00C65902"/>
    <w:rsid w:val="00C65976"/>
    <w:rsid w:val="00C659D7"/>
    <w:rsid w:val="00C65B9E"/>
    <w:rsid w:val="00C65BF5"/>
    <w:rsid w:val="00C65C49"/>
    <w:rsid w:val="00C65E49"/>
    <w:rsid w:val="00C65FD6"/>
    <w:rsid w:val="00C65FD9"/>
    <w:rsid w:val="00C6618A"/>
    <w:rsid w:val="00C6619C"/>
    <w:rsid w:val="00C66302"/>
    <w:rsid w:val="00C663EC"/>
    <w:rsid w:val="00C6640A"/>
    <w:rsid w:val="00C6642E"/>
    <w:rsid w:val="00C66870"/>
    <w:rsid w:val="00C66991"/>
    <w:rsid w:val="00C66B0B"/>
    <w:rsid w:val="00C66B78"/>
    <w:rsid w:val="00C66BFB"/>
    <w:rsid w:val="00C66CD7"/>
    <w:rsid w:val="00C66CFA"/>
    <w:rsid w:val="00C66E0F"/>
    <w:rsid w:val="00C66E21"/>
    <w:rsid w:val="00C66E44"/>
    <w:rsid w:val="00C66E78"/>
    <w:rsid w:val="00C66FB9"/>
    <w:rsid w:val="00C6703A"/>
    <w:rsid w:val="00C6703E"/>
    <w:rsid w:val="00C67064"/>
    <w:rsid w:val="00C6717C"/>
    <w:rsid w:val="00C672E7"/>
    <w:rsid w:val="00C67433"/>
    <w:rsid w:val="00C67496"/>
    <w:rsid w:val="00C67536"/>
    <w:rsid w:val="00C67691"/>
    <w:rsid w:val="00C676A5"/>
    <w:rsid w:val="00C676FA"/>
    <w:rsid w:val="00C67793"/>
    <w:rsid w:val="00C67954"/>
    <w:rsid w:val="00C6799F"/>
    <w:rsid w:val="00C679A8"/>
    <w:rsid w:val="00C67A00"/>
    <w:rsid w:val="00C67AA0"/>
    <w:rsid w:val="00C67AF5"/>
    <w:rsid w:val="00C67C96"/>
    <w:rsid w:val="00C67D67"/>
    <w:rsid w:val="00C67EB2"/>
    <w:rsid w:val="00C67FFD"/>
    <w:rsid w:val="00C70153"/>
    <w:rsid w:val="00C70157"/>
    <w:rsid w:val="00C70174"/>
    <w:rsid w:val="00C70215"/>
    <w:rsid w:val="00C702DD"/>
    <w:rsid w:val="00C7032F"/>
    <w:rsid w:val="00C70339"/>
    <w:rsid w:val="00C7043C"/>
    <w:rsid w:val="00C7047D"/>
    <w:rsid w:val="00C704CA"/>
    <w:rsid w:val="00C704D2"/>
    <w:rsid w:val="00C704DA"/>
    <w:rsid w:val="00C7073B"/>
    <w:rsid w:val="00C70955"/>
    <w:rsid w:val="00C709AB"/>
    <w:rsid w:val="00C709B3"/>
    <w:rsid w:val="00C709B8"/>
    <w:rsid w:val="00C70AC4"/>
    <w:rsid w:val="00C70B43"/>
    <w:rsid w:val="00C70BAB"/>
    <w:rsid w:val="00C70C7F"/>
    <w:rsid w:val="00C70D70"/>
    <w:rsid w:val="00C70F68"/>
    <w:rsid w:val="00C710C1"/>
    <w:rsid w:val="00C710CA"/>
    <w:rsid w:val="00C7119E"/>
    <w:rsid w:val="00C711A0"/>
    <w:rsid w:val="00C712FB"/>
    <w:rsid w:val="00C713C2"/>
    <w:rsid w:val="00C7153A"/>
    <w:rsid w:val="00C71679"/>
    <w:rsid w:val="00C71927"/>
    <w:rsid w:val="00C719BF"/>
    <w:rsid w:val="00C719F1"/>
    <w:rsid w:val="00C71B68"/>
    <w:rsid w:val="00C71DE5"/>
    <w:rsid w:val="00C71DFB"/>
    <w:rsid w:val="00C71E51"/>
    <w:rsid w:val="00C71EEA"/>
    <w:rsid w:val="00C71EF5"/>
    <w:rsid w:val="00C7230B"/>
    <w:rsid w:val="00C7234E"/>
    <w:rsid w:val="00C72370"/>
    <w:rsid w:val="00C72482"/>
    <w:rsid w:val="00C72602"/>
    <w:rsid w:val="00C7260C"/>
    <w:rsid w:val="00C7262F"/>
    <w:rsid w:val="00C727B6"/>
    <w:rsid w:val="00C7280A"/>
    <w:rsid w:val="00C72865"/>
    <w:rsid w:val="00C72872"/>
    <w:rsid w:val="00C729E8"/>
    <w:rsid w:val="00C72A08"/>
    <w:rsid w:val="00C72A47"/>
    <w:rsid w:val="00C72B8A"/>
    <w:rsid w:val="00C72B92"/>
    <w:rsid w:val="00C72C0B"/>
    <w:rsid w:val="00C72C99"/>
    <w:rsid w:val="00C72D5E"/>
    <w:rsid w:val="00C72F55"/>
    <w:rsid w:val="00C730B7"/>
    <w:rsid w:val="00C73136"/>
    <w:rsid w:val="00C731A1"/>
    <w:rsid w:val="00C731B1"/>
    <w:rsid w:val="00C73258"/>
    <w:rsid w:val="00C73498"/>
    <w:rsid w:val="00C735DD"/>
    <w:rsid w:val="00C73654"/>
    <w:rsid w:val="00C736D0"/>
    <w:rsid w:val="00C73876"/>
    <w:rsid w:val="00C73AEF"/>
    <w:rsid w:val="00C73BA3"/>
    <w:rsid w:val="00C73BB5"/>
    <w:rsid w:val="00C73C44"/>
    <w:rsid w:val="00C73D21"/>
    <w:rsid w:val="00C73D51"/>
    <w:rsid w:val="00C73DCD"/>
    <w:rsid w:val="00C73DD5"/>
    <w:rsid w:val="00C73DF5"/>
    <w:rsid w:val="00C73E55"/>
    <w:rsid w:val="00C73F16"/>
    <w:rsid w:val="00C73F7D"/>
    <w:rsid w:val="00C74099"/>
    <w:rsid w:val="00C7435A"/>
    <w:rsid w:val="00C743B2"/>
    <w:rsid w:val="00C743C7"/>
    <w:rsid w:val="00C743EE"/>
    <w:rsid w:val="00C74443"/>
    <w:rsid w:val="00C74551"/>
    <w:rsid w:val="00C745B4"/>
    <w:rsid w:val="00C746F9"/>
    <w:rsid w:val="00C74711"/>
    <w:rsid w:val="00C7471C"/>
    <w:rsid w:val="00C74768"/>
    <w:rsid w:val="00C747B1"/>
    <w:rsid w:val="00C7487A"/>
    <w:rsid w:val="00C749B8"/>
    <w:rsid w:val="00C74B5B"/>
    <w:rsid w:val="00C74C12"/>
    <w:rsid w:val="00C74C30"/>
    <w:rsid w:val="00C74C54"/>
    <w:rsid w:val="00C74CDF"/>
    <w:rsid w:val="00C74D24"/>
    <w:rsid w:val="00C74DD0"/>
    <w:rsid w:val="00C74E65"/>
    <w:rsid w:val="00C750E6"/>
    <w:rsid w:val="00C7522A"/>
    <w:rsid w:val="00C7523D"/>
    <w:rsid w:val="00C7524F"/>
    <w:rsid w:val="00C7558E"/>
    <w:rsid w:val="00C75590"/>
    <w:rsid w:val="00C7564B"/>
    <w:rsid w:val="00C7576E"/>
    <w:rsid w:val="00C758D7"/>
    <w:rsid w:val="00C75A41"/>
    <w:rsid w:val="00C75AA5"/>
    <w:rsid w:val="00C75B50"/>
    <w:rsid w:val="00C75B6E"/>
    <w:rsid w:val="00C75C6B"/>
    <w:rsid w:val="00C75D1A"/>
    <w:rsid w:val="00C75E62"/>
    <w:rsid w:val="00C75FD8"/>
    <w:rsid w:val="00C76007"/>
    <w:rsid w:val="00C7601E"/>
    <w:rsid w:val="00C7619F"/>
    <w:rsid w:val="00C76251"/>
    <w:rsid w:val="00C762EC"/>
    <w:rsid w:val="00C764CA"/>
    <w:rsid w:val="00C76676"/>
    <w:rsid w:val="00C76698"/>
    <w:rsid w:val="00C7677E"/>
    <w:rsid w:val="00C767E8"/>
    <w:rsid w:val="00C76B13"/>
    <w:rsid w:val="00C76BA8"/>
    <w:rsid w:val="00C76CB4"/>
    <w:rsid w:val="00C76CEE"/>
    <w:rsid w:val="00C76D7C"/>
    <w:rsid w:val="00C76DAC"/>
    <w:rsid w:val="00C76E98"/>
    <w:rsid w:val="00C76F72"/>
    <w:rsid w:val="00C7701F"/>
    <w:rsid w:val="00C77062"/>
    <w:rsid w:val="00C7710F"/>
    <w:rsid w:val="00C77147"/>
    <w:rsid w:val="00C7717D"/>
    <w:rsid w:val="00C77199"/>
    <w:rsid w:val="00C7735D"/>
    <w:rsid w:val="00C77377"/>
    <w:rsid w:val="00C7742D"/>
    <w:rsid w:val="00C7746B"/>
    <w:rsid w:val="00C775F5"/>
    <w:rsid w:val="00C7774F"/>
    <w:rsid w:val="00C779E8"/>
    <w:rsid w:val="00C77BDE"/>
    <w:rsid w:val="00C77D4A"/>
    <w:rsid w:val="00C77D74"/>
    <w:rsid w:val="00C77D9E"/>
    <w:rsid w:val="00C77E91"/>
    <w:rsid w:val="00C77EAE"/>
    <w:rsid w:val="00C77EBC"/>
    <w:rsid w:val="00C77EE0"/>
    <w:rsid w:val="00C77FD2"/>
    <w:rsid w:val="00C800E4"/>
    <w:rsid w:val="00C80300"/>
    <w:rsid w:val="00C80450"/>
    <w:rsid w:val="00C80463"/>
    <w:rsid w:val="00C80491"/>
    <w:rsid w:val="00C806C6"/>
    <w:rsid w:val="00C806FC"/>
    <w:rsid w:val="00C807DA"/>
    <w:rsid w:val="00C80927"/>
    <w:rsid w:val="00C80961"/>
    <w:rsid w:val="00C80A36"/>
    <w:rsid w:val="00C80ABA"/>
    <w:rsid w:val="00C80BCC"/>
    <w:rsid w:val="00C80C02"/>
    <w:rsid w:val="00C80C06"/>
    <w:rsid w:val="00C80C23"/>
    <w:rsid w:val="00C80C45"/>
    <w:rsid w:val="00C80C9F"/>
    <w:rsid w:val="00C80CFC"/>
    <w:rsid w:val="00C80E49"/>
    <w:rsid w:val="00C80E62"/>
    <w:rsid w:val="00C80F48"/>
    <w:rsid w:val="00C80F7B"/>
    <w:rsid w:val="00C80FB3"/>
    <w:rsid w:val="00C80FC9"/>
    <w:rsid w:val="00C81054"/>
    <w:rsid w:val="00C81092"/>
    <w:rsid w:val="00C810BA"/>
    <w:rsid w:val="00C81196"/>
    <w:rsid w:val="00C81324"/>
    <w:rsid w:val="00C81381"/>
    <w:rsid w:val="00C813C9"/>
    <w:rsid w:val="00C81513"/>
    <w:rsid w:val="00C8164B"/>
    <w:rsid w:val="00C819F1"/>
    <w:rsid w:val="00C81A2B"/>
    <w:rsid w:val="00C81A4E"/>
    <w:rsid w:val="00C81A66"/>
    <w:rsid w:val="00C81B06"/>
    <w:rsid w:val="00C81C90"/>
    <w:rsid w:val="00C81D6F"/>
    <w:rsid w:val="00C81E83"/>
    <w:rsid w:val="00C81E8C"/>
    <w:rsid w:val="00C81ED5"/>
    <w:rsid w:val="00C81F14"/>
    <w:rsid w:val="00C81F83"/>
    <w:rsid w:val="00C81FE7"/>
    <w:rsid w:val="00C820E6"/>
    <w:rsid w:val="00C821D8"/>
    <w:rsid w:val="00C82206"/>
    <w:rsid w:val="00C82213"/>
    <w:rsid w:val="00C823E3"/>
    <w:rsid w:val="00C8249D"/>
    <w:rsid w:val="00C82527"/>
    <w:rsid w:val="00C82561"/>
    <w:rsid w:val="00C8267A"/>
    <w:rsid w:val="00C82753"/>
    <w:rsid w:val="00C8281E"/>
    <w:rsid w:val="00C8285D"/>
    <w:rsid w:val="00C82A61"/>
    <w:rsid w:val="00C82A89"/>
    <w:rsid w:val="00C82B2F"/>
    <w:rsid w:val="00C82BC1"/>
    <w:rsid w:val="00C82C1A"/>
    <w:rsid w:val="00C82CF8"/>
    <w:rsid w:val="00C82DC5"/>
    <w:rsid w:val="00C82E55"/>
    <w:rsid w:val="00C82F29"/>
    <w:rsid w:val="00C83090"/>
    <w:rsid w:val="00C83126"/>
    <w:rsid w:val="00C8312E"/>
    <w:rsid w:val="00C8314A"/>
    <w:rsid w:val="00C831A8"/>
    <w:rsid w:val="00C8324F"/>
    <w:rsid w:val="00C8335C"/>
    <w:rsid w:val="00C833C1"/>
    <w:rsid w:val="00C833FB"/>
    <w:rsid w:val="00C83428"/>
    <w:rsid w:val="00C8346F"/>
    <w:rsid w:val="00C8348A"/>
    <w:rsid w:val="00C83500"/>
    <w:rsid w:val="00C83592"/>
    <w:rsid w:val="00C835AC"/>
    <w:rsid w:val="00C837CB"/>
    <w:rsid w:val="00C837DF"/>
    <w:rsid w:val="00C83873"/>
    <w:rsid w:val="00C83874"/>
    <w:rsid w:val="00C83923"/>
    <w:rsid w:val="00C83980"/>
    <w:rsid w:val="00C839E9"/>
    <w:rsid w:val="00C83AC0"/>
    <w:rsid w:val="00C83AC8"/>
    <w:rsid w:val="00C83AFC"/>
    <w:rsid w:val="00C83B23"/>
    <w:rsid w:val="00C83BC9"/>
    <w:rsid w:val="00C83C3A"/>
    <w:rsid w:val="00C83CB2"/>
    <w:rsid w:val="00C83D3A"/>
    <w:rsid w:val="00C83D92"/>
    <w:rsid w:val="00C83D97"/>
    <w:rsid w:val="00C83D9D"/>
    <w:rsid w:val="00C83DA2"/>
    <w:rsid w:val="00C83E38"/>
    <w:rsid w:val="00C83EC1"/>
    <w:rsid w:val="00C83ECD"/>
    <w:rsid w:val="00C83EF3"/>
    <w:rsid w:val="00C83F02"/>
    <w:rsid w:val="00C83F27"/>
    <w:rsid w:val="00C83FA9"/>
    <w:rsid w:val="00C83FAB"/>
    <w:rsid w:val="00C84180"/>
    <w:rsid w:val="00C841B7"/>
    <w:rsid w:val="00C841CC"/>
    <w:rsid w:val="00C841E8"/>
    <w:rsid w:val="00C8443B"/>
    <w:rsid w:val="00C845F1"/>
    <w:rsid w:val="00C845F2"/>
    <w:rsid w:val="00C8474B"/>
    <w:rsid w:val="00C847B6"/>
    <w:rsid w:val="00C849C7"/>
    <w:rsid w:val="00C84A25"/>
    <w:rsid w:val="00C84A4C"/>
    <w:rsid w:val="00C84B9D"/>
    <w:rsid w:val="00C84C48"/>
    <w:rsid w:val="00C84F42"/>
    <w:rsid w:val="00C84F68"/>
    <w:rsid w:val="00C84FD7"/>
    <w:rsid w:val="00C85005"/>
    <w:rsid w:val="00C850B5"/>
    <w:rsid w:val="00C85179"/>
    <w:rsid w:val="00C851A3"/>
    <w:rsid w:val="00C852FF"/>
    <w:rsid w:val="00C8538E"/>
    <w:rsid w:val="00C853CE"/>
    <w:rsid w:val="00C85414"/>
    <w:rsid w:val="00C85547"/>
    <w:rsid w:val="00C855AC"/>
    <w:rsid w:val="00C855DE"/>
    <w:rsid w:val="00C85694"/>
    <w:rsid w:val="00C857B6"/>
    <w:rsid w:val="00C857D3"/>
    <w:rsid w:val="00C858FD"/>
    <w:rsid w:val="00C859A1"/>
    <w:rsid w:val="00C859F5"/>
    <w:rsid w:val="00C85A73"/>
    <w:rsid w:val="00C85A84"/>
    <w:rsid w:val="00C85ABD"/>
    <w:rsid w:val="00C85B19"/>
    <w:rsid w:val="00C85C61"/>
    <w:rsid w:val="00C85CB9"/>
    <w:rsid w:val="00C85E90"/>
    <w:rsid w:val="00C85F30"/>
    <w:rsid w:val="00C85F74"/>
    <w:rsid w:val="00C86014"/>
    <w:rsid w:val="00C860A8"/>
    <w:rsid w:val="00C86133"/>
    <w:rsid w:val="00C86154"/>
    <w:rsid w:val="00C861F3"/>
    <w:rsid w:val="00C8637C"/>
    <w:rsid w:val="00C863FB"/>
    <w:rsid w:val="00C8650F"/>
    <w:rsid w:val="00C86670"/>
    <w:rsid w:val="00C867B4"/>
    <w:rsid w:val="00C868FC"/>
    <w:rsid w:val="00C869CB"/>
    <w:rsid w:val="00C86B17"/>
    <w:rsid w:val="00C86B52"/>
    <w:rsid w:val="00C86C2A"/>
    <w:rsid w:val="00C86C56"/>
    <w:rsid w:val="00C86E8B"/>
    <w:rsid w:val="00C86EB8"/>
    <w:rsid w:val="00C86EE6"/>
    <w:rsid w:val="00C86EF3"/>
    <w:rsid w:val="00C87065"/>
    <w:rsid w:val="00C87086"/>
    <w:rsid w:val="00C87146"/>
    <w:rsid w:val="00C87242"/>
    <w:rsid w:val="00C87290"/>
    <w:rsid w:val="00C87321"/>
    <w:rsid w:val="00C8764A"/>
    <w:rsid w:val="00C8775C"/>
    <w:rsid w:val="00C8776E"/>
    <w:rsid w:val="00C87801"/>
    <w:rsid w:val="00C878E2"/>
    <w:rsid w:val="00C87954"/>
    <w:rsid w:val="00C87A97"/>
    <w:rsid w:val="00C87D02"/>
    <w:rsid w:val="00C87DB5"/>
    <w:rsid w:val="00C87E6B"/>
    <w:rsid w:val="00C87F48"/>
    <w:rsid w:val="00C90270"/>
    <w:rsid w:val="00C902E9"/>
    <w:rsid w:val="00C9039C"/>
    <w:rsid w:val="00C903B8"/>
    <w:rsid w:val="00C903D7"/>
    <w:rsid w:val="00C90429"/>
    <w:rsid w:val="00C9046C"/>
    <w:rsid w:val="00C9049E"/>
    <w:rsid w:val="00C904B5"/>
    <w:rsid w:val="00C90554"/>
    <w:rsid w:val="00C9061B"/>
    <w:rsid w:val="00C9069A"/>
    <w:rsid w:val="00C90774"/>
    <w:rsid w:val="00C90971"/>
    <w:rsid w:val="00C909D3"/>
    <w:rsid w:val="00C909DD"/>
    <w:rsid w:val="00C90A01"/>
    <w:rsid w:val="00C90A4E"/>
    <w:rsid w:val="00C90A7D"/>
    <w:rsid w:val="00C90C3F"/>
    <w:rsid w:val="00C90C46"/>
    <w:rsid w:val="00C90DAF"/>
    <w:rsid w:val="00C90E79"/>
    <w:rsid w:val="00C90F49"/>
    <w:rsid w:val="00C90F54"/>
    <w:rsid w:val="00C90F62"/>
    <w:rsid w:val="00C90FDB"/>
    <w:rsid w:val="00C91091"/>
    <w:rsid w:val="00C91174"/>
    <w:rsid w:val="00C9120C"/>
    <w:rsid w:val="00C91251"/>
    <w:rsid w:val="00C912A8"/>
    <w:rsid w:val="00C91340"/>
    <w:rsid w:val="00C9147F"/>
    <w:rsid w:val="00C914AF"/>
    <w:rsid w:val="00C916CB"/>
    <w:rsid w:val="00C918B2"/>
    <w:rsid w:val="00C9190E"/>
    <w:rsid w:val="00C91937"/>
    <w:rsid w:val="00C91A47"/>
    <w:rsid w:val="00C91B4C"/>
    <w:rsid w:val="00C91C9B"/>
    <w:rsid w:val="00C91D07"/>
    <w:rsid w:val="00C91D38"/>
    <w:rsid w:val="00C91D3F"/>
    <w:rsid w:val="00C91EEE"/>
    <w:rsid w:val="00C91F42"/>
    <w:rsid w:val="00C91F5F"/>
    <w:rsid w:val="00C91F8E"/>
    <w:rsid w:val="00C92068"/>
    <w:rsid w:val="00C920DE"/>
    <w:rsid w:val="00C9226E"/>
    <w:rsid w:val="00C922BB"/>
    <w:rsid w:val="00C922D3"/>
    <w:rsid w:val="00C922F7"/>
    <w:rsid w:val="00C92307"/>
    <w:rsid w:val="00C92341"/>
    <w:rsid w:val="00C92360"/>
    <w:rsid w:val="00C9255B"/>
    <w:rsid w:val="00C92590"/>
    <w:rsid w:val="00C925E5"/>
    <w:rsid w:val="00C92815"/>
    <w:rsid w:val="00C928AB"/>
    <w:rsid w:val="00C92916"/>
    <w:rsid w:val="00C92994"/>
    <w:rsid w:val="00C92A38"/>
    <w:rsid w:val="00C92AA6"/>
    <w:rsid w:val="00C92B62"/>
    <w:rsid w:val="00C92BF1"/>
    <w:rsid w:val="00C92C16"/>
    <w:rsid w:val="00C92D78"/>
    <w:rsid w:val="00C92D7A"/>
    <w:rsid w:val="00C92FA1"/>
    <w:rsid w:val="00C930B6"/>
    <w:rsid w:val="00C93130"/>
    <w:rsid w:val="00C932E1"/>
    <w:rsid w:val="00C93313"/>
    <w:rsid w:val="00C93319"/>
    <w:rsid w:val="00C93402"/>
    <w:rsid w:val="00C9342F"/>
    <w:rsid w:val="00C93488"/>
    <w:rsid w:val="00C934BA"/>
    <w:rsid w:val="00C936A7"/>
    <w:rsid w:val="00C9376A"/>
    <w:rsid w:val="00C93770"/>
    <w:rsid w:val="00C93935"/>
    <w:rsid w:val="00C93952"/>
    <w:rsid w:val="00C93A80"/>
    <w:rsid w:val="00C93A9B"/>
    <w:rsid w:val="00C93AA8"/>
    <w:rsid w:val="00C93B31"/>
    <w:rsid w:val="00C93CE2"/>
    <w:rsid w:val="00C93CF8"/>
    <w:rsid w:val="00C93D58"/>
    <w:rsid w:val="00C93D8B"/>
    <w:rsid w:val="00C93DD5"/>
    <w:rsid w:val="00C93DEE"/>
    <w:rsid w:val="00C93E65"/>
    <w:rsid w:val="00C93F5F"/>
    <w:rsid w:val="00C94060"/>
    <w:rsid w:val="00C940A6"/>
    <w:rsid w:val="00C94255"/>
    <w:rsid w:val="00C9442A"/>
    <w:rsid w:val="00C9448C"/>
    <w:rsid w:val="00C944AD"/>
    <w:rsid w:val="00C94549"/>
    <w:rsid w:val="00C9465D"/>
    <w:rsid w:val="00C9467E"/>
    <w:rsid w:val="00C946E1"/>
    <w:rsid w:val="00C947DB"/>
    <w:rsid w:val="00C948DB"/>
    <w:rsid w:val="00C94984"/>
    <w:rsid w:val="00C94AE5"/>
    <w:rsid w:val="00C94C0A"/>
    <w:rsid w:val="00C94C7A"/>
    <w:rsid w:val="00C94EAE"/>
    <w:rsid w:val="00C94F80"/>
    <w:rsid w:val="00C94F96"/>
    <w:rsid w:val="00C94FDA"/>
    <w:rsid w:val="00C9501D"/>
    <w:rsid w:val="00C95098"/>
    <w:rsid w:val="00C951A8"/>
    <w:rsid w:val="00C95232"/>
    <w:rsid w:val="00C95286"/>
    <w:rsid w:val="00C95288"/>
    <w:rsid w:val="00C952B2"/>
    <w:rsid w:val="00C95377"/>
    <w:rsid w:val="00C955BF"/>
    <w:rsid w:val="00C955E0"/>
    <w:rsid w:val="00C9566D"/>
    <w:rsid w:val="00C9568F"/>
    <w:rsid w:val="00C95701"/>
    <w:rsid w:val="00C95747"/>
    <w:rsid w:val="00C95755"/>
    <w:rsid w:val="00C9577D"/>
    <w:rsid w:val="00C958A4"/>
    <w:rsid w:val="00C959B0"/>
    <w:rsid w:val="00C95ADF"/>
    <w:rsid w:val="00C95BB8"/>
    <w:rsid w:val="00C95CB0"/>
    <w:rsid w:val="00C95D6C"/>
    <w:rsid w:val="00C95D73"/>
    <w:rsid w:val="00C95DCB"/>
    <w:rsid w:val="00C95E55"/>
    <w:rsid w:val="00C95F43"/>
    <w:rsid w:val="00C95F5F"/>
    <w:rsid w:val="00C96203"/>
    <w:rsid w:val="00C96269"/>
    <w:rsid w:val="00C96339"/>
    <w:rsid w:val="00C96475"/>
    <w:rsid w:val="00C964EA"/>
    <w:rsid w:val="00C9658C"/>
    <w:rsid w:val="00C965BD"/>
    <w:rsid w:val="00C9677A"/>
    <w:rsid w:val="00C968F8"/>
    <w:rsid w:val="00C96946"/>
    <w:rsid w:val="00C969CF"/>
    <w:rsid w:val="00C96C60"/>
    <w:rsid w:val="00C96C86"/>
    <w:rsid w:val="00C96C9B"/>
    <w:rsid w:val="00C96D75"/>
    <w:rsid w:val="00C96EF0"/>
    <w:rsid w:val="00C96F11"/>
    <w:rsid w:val="00C96F24"/>
    <w:rsid w:val="00C96FF5"/>
    <w:rsid w:val="00C97082"/>
    <w:rsid w:val="00C97225"/>
    <w:rsid w:val="00C9722B"/>
    <w:rsid w:val="00C972C3"/>
    <w:rsid w:val="00C97388"/>
    <w:rsid w:val="00C973D9"/>
    <w:rsid w:val="00C975D8"/>
    <w:rsid w:val="00C978B1"/>
    <w:rsid w:val="00C97950"/>
    <w:rsid w:val="00C9796D"/>
    <w:rsid w:val="00C97AD9"/>
    <w:rsid w:val="00C97CD7"/>
    <w:rsid w:val="00C97D35"/>
    <w:rsid w:val="00C97D6B"/>
    <w:rsid w:val="00C97D8C"/>
    <w:rsid w:val="00C97D92"/>
    <w:rsid w:val="00C97E1C"/>
    <w:rsid w:val="00C97E51"/>
    <w:rsid w:val="00C97E76"/>
    <w:rsid w:val="00C97E82"/>
    <w:rsid w:val="00C97FB8"/>
    <w:rsid w:val="00CA005F"/>
    <w:rsid w:val="00CA0105"/>
    <w:rsid w:val="00CA0183"/>
    <w:rsid w:val="00CA02F9"/>
    <w:rsid w:val="00CA0470"/>
    <w:rsid w:val="00CA04B5"/>
    <w:rsid w:val="00CA04D3"/>
    <w:rsid w:val="00CA0537"/>
    <w:rsid w:val="00CA059D"/>
    <w:rsid w:val="00CA05CB"/>
    <w:rsid w:val="00CA06F0"/>
    <w:rsid w:val="00CA07BA"/>
    <w:rsid w:val="00CA0855"/>
    <w:rsid w:val="00CA08E6"/>
    <w:rsid w:val="00CA0922"/>
    <w:rsid w:val="00CA0A93"/>
    <w:rsid w:val="00CA0D1F"/>
    <w:rsid w:val="00CA0D2B"/>
    <w:rsid w:val="00CA0D4B"/>
    <w:rsid w:val="00CA0D5D"/>
    <w:rsid w:val="00CA0DFF"/>
    <w:rsid w:val="00CA0E26"/>
    <w:rsid w:val="00CA1061"/>
    <w:rsid w:val="00CA10C5"/>
    <w:rsid w:val="00CA113F"/>
    <w:rsid w:val="00CA12DD"/>
    <w:rsid w:val="00CA1351"/>
    <w:rsid w:val="00CA137C"/>
    <w:rsid w:val="00CA141F"/>
    <w:rsid w:val="00CA1582"/>
    <w:rsid w:val="00CA168E"/>
    <w:rsid w:val="00CA16F1"/>
    <w:rsid w:val="00CA1723"/>
    <w:rsid w:val="00CA1733"/>
    <w:rsid w:val="00CA189A"/>
    <w:rsid w:val="00CA18F9"/>
    <w:rsid w:val="00CA1A2F"/>
    <w:rsid w:val="00CA1AAC"/>
    <w:rsid w:val="00CA1B12"/>
    <w:rsid w:val="00CA1C54"/>
    <w:rsid w:val="00CA1C95"/>
    <w:rsid w:val="00CA1CCB"/>
    <w:rsid w:val="00CA1D1D"/>
    <w:rsid w:val="00CA1D32"/>
    <w:rsid w:val="00CA1D55"/>
    <w:rsid w:val="00CA1F55"/>
    <w:rsid w:val="00CA1F83"/>
    <w:rsid w:val="00CA1F88"/>
    <w:rsid w:val="00CA1FBE"/>
    <w:rsid w:val="00CA204A"/>
    <w:rsid w:val="00CA20E1"/>
    <w:rsid w:val="00CA210F"/>
    <w:rsid w:val="00CA2177"/>
    <w:rsid w:val="00CA220F"/>
    <w:rsid w:val="00CA228F"/>
    <w:rsid w:val="00CA2351"/>
    <w:rsid w:val="00CA24FE"/>
    <w:rsid w:val="00CA250C"/>
    <w:rsid w:val="00CA25DA"/>
    <w:rsid w:val="00CA25EF"/>
    <w:rsid w:val="00CA26EA"/>
    <w:rsid w:val="00CA27DA"/>
    <w:rsid w:val="00CA28D6"/>
    <w:rsid w:val="00CA293F"/>
    <w:rsid w:val="00CA29F2"/>
    <w:rsid w:val="00CA2AD8"/>
    <w:rsid w:val="00CA2C03"/>
    <w:rsid w:val="00CA2C8E"/>
    <w:rsid w:val="00CA2DC7"/>
    <w:rsid w:val="00CA2F4C"/>
    <w:rsid w:val="00CA2F86"/>
    <w:rsid w:val="00CA300D"/>
    <w:rsid w:val="00CA3251"/>
    <w:rsid w:val="00CA3291"/>
    <w:rsid w:val="00CA329E"/>
    <w:rsid w:val="00CA32D9"/>
    <w:rsid w:val="00CA33A7"/>
    <w:rsid w:val="00CA33CE"/>
    <w:rsid w:val="00CA340D"/>
    <w:rsid w:val="00CA3571"/>
    <w:rsid w:val="00CA3664"/>
    <w:rsid w:val="00CA367F"/>
    <w:rsid w:val="00CA3697"/>
    <w:rsid w:val="00CA369A"/>
    <w:rsid w:val="00CA36DE"/>
    <w:rsid w:val="00CA3741"/>
    <w:rsid w:val="00CA375E"/>
    <w:rsid w:val="00CA378E"/>
    <w:rsid w:val="00CA380E"/>
    <w:rsid w:val="00CA38F2"/>
    <w:rsid w:val="00CA3930"/>
    <w:rsid w:val="00CA3990"/>
    <w:rsid w:val="00CA39B7"/>
    <w:rsid w:val="00CA39FE"/>
    <w:rsid w:val="00CA3AA7"/>
    <w:rsid w:val="00CA3B5C"/>
    <w:rsid w:val="00CA3DFB"/>
    <w:rsid w:val="00CA3E18"/>
    <w:rsid w:val="00CA3EEA"/>
    <w:rsid w:val="00CA3F30"/>
    <w:rsid w:val="00CA3F60"/>
    <w:rsid w:val="00CA3F77"/>
    <w:rsid w:val="00CA403F"/>
    <w:rsid w:val="00CA4073"/>
    <w:rsid w:val="00CA4137"/>
    <w:rsid w:val="00CA4145"/>
    <w:rsid w:val="00CA4206"/>
    <w:rsid w:val="00CA4233"/>
    <w:rsid w:val="00CA432E"/>
    <w:rsid w:val="00CA4367"/>
    <w:rsid w:val="00CA4388"/>
    <w:rsid w:val="00CA439C"/>
    <w:rsid w:val="00CA43AD"/>
    <w:rsid w:val="00CA43F7"/>
    <w:rsid w:val="00CA451E"/>
    <w:rsid w:val="00CA45A5"/>
    <w:rsid w:val="00CA46B2"/>
    <w:rsid w:val="00CA46F5"/>
    <w:rsid w:val="00CA4742"/>
    <w:rsid w:val="00CA4992"/>
    <w:rsid w:val="00CA4C61"/>
    <w:rsid w:val="00CA4DB4"/>
    <w:rsid w:val="00CA4FCB"/>
    <w:rsid w:val="00CA4FD5"/>
    <w:rsid w:val="00CA50B9"/>
    <w:rsid w:val="00CA5122"/>
    <w:rsid w:val="00CA51B2"/>
    <w:rsid w:val="00CA53B2"/>
    <w:rsid w:val="00CA5579"/>
    <w:rsid w:val="00CA559F"/>
    <w:rsid w:val="00CA567F"/>
    <w:rsid w:val="00CA56E9"/>
    <w:rsid w:val="00CA5792"/>
    <w:rsid w:val="00CA57FA"/>
    <w:rsid w:val="00CA5812"/>
    <w:rsid w:val="00CA58EC"/>
    <w:rsid w:val="00CA58FD"/>
    <w:rsid w:val="00CA5927"/>
    <w:rsid w:val="00CA5964"/>
    <w:rsid w:val="00CA598E"/>
    <w:rsid w:val="00CA5A1A"/>
    <w:rsid w:val="00CA5AF1"/>
    <w:rsid w:val="00CA5BA5"/>
    <w:rsid w:val="00CA5C02"/>
    <w:rsid w:val="00CA5C28"/>
    <w:rsid w:val="00CA5CD6"/>
    <w:rsid w:val="00CA5D83"/>
    <w:rsid w:val="00CA5E3F"/>
    <w:rsid w:val="00CA5E6C"/>
    <w:rsid w:val="00CA5F1B"/>
    <w:rsid w:val="00CA5F6E"/>
    <w:rsid w:val="00CA606C"/>
    <w:rsid w:val="00CA60D2"/>
    <w:rsid w:val="00CA6164"/>
    <w:rsid w:val="00CA6167"/>
    <w:rsid w:val="00CA618D"/>
    <w:rsid w:val="00CA6204"/>
    <w:rsid w:val="00CA6223"/>
    <w:rsid w:val="00CA649C"/>
    <w:rsid w:val="00CA6539"/>
    <w:rsid w:val="00CA65D5"/>
    <w:rsid w:val="00CA65DC"/>
    <w:rsid w:val="00CA6606"/>
    <w:rsid w:val="00CA6635"/>
    <w:rsid w:val="00CA67D5"/>
    <w:rsid w:val="00CA6A93"/>
    <w:rsid w:val="00CA6AE7"/>
    <w:rsid w:val="00CA6B33"/>
    <w:rsid w:val="00CA6B71"/>
    <w:rsid w:val="00CA6B73"/>
    <w:rsid w:val="00CA6D6D"/>
    <w:rsid w:val="00CA6D83"/>
    <w:rsid w:val="00CA6F7C"/>
    <w:rsid w:val="00CA6FAE"/>
    <w:rsid w:val="00CA70FD"/>
    <w:rsid w:val="00CA717B"/>
    <w:rsid w:val="00CA71DE"/>
    <w:rsid w:val="00CA7272"/>
    <w:rsid w:val="00CA7409"/>
    <w:rsid w:val="00CA7484"/>
    <w:rsid w:val="00CA74B9"/>
    <w:rsid w:val="00CA74CF"/>
    <w:rsid w:val="00CA7509"/>
    <w:rsid w:val="00CA77E0"/>
    <w:rsid w:val="00CA7903"/>
    <w:rsid w:val="00CA7A54"/>
    <w:rsid w:val="00CA7B03"/>
    <w:rsid w:val="00CA7B0E"/>
    <w:rsid w:val="00CA7C2B"/>
    <w:rsid w:val="00CA7C74"/>
    <w:rsid w:val="00CA7D29"/>
    <w:rsid w:val="00CB0225"/>
    <w:rsid w:val="00CB0446"/>
    <w:rsid w:val="00CB0498"/>
    <w:rsid w:val="00CB04B9"/>
    <w:rsid w:val="00CB04C3"/>
    <w:rsid w:val="00CB0550"/>
    <w:rsid w:val="00CB0564"/>
    <w:rsid w:val="00CB05D9"/>
    <w:rsid w:val="00CB0745"/>
    <w:rsid w:val="00CB079D"/>
    <w:rsid w:val="00CB0983"/>
    <w:rsid w:val="00CB0A34"/>
    <w:rsid w:val="00CB0AD9"/>
    <w:rsid w:val="00CB0BE1"/>
    <w:rsid w:val="00CB0C55"/>
    <w:rsid w:val="00CB0CED"/>
    <w:rsid w:val="00CB0D15"/>
    <w:rsid w:val="00CB0D1A"/>
    <w:rsid w:val="00CB0DAC"/>
    <w:rsid w:val="00CB0DCE"/>
    <w:rsid w:val="00CB0F8A"/>
    <w:rsid w:val="00CB1037"/>
    <w:rsid w:val="00CB1155"/>
    <w:rsid w:val="00CB119C"/>
    <w:rsid w:val="00CB11D8"/>
    <w:rsid w:val="00CB1355"/>
    <w:rsid w:val="00CB137C"/>
    <w:rsid w:val="00CB176C"/>
    <w:rsid w:val="00CB17EF"/>
    <w:rsid w:val="00CB19A0"/>
    <w:rsid w:val="00CB19CC"/>
    <w:rsid w:val="00CB1B11"/>
    <w:rsid w:val="00CB1B1C"/>
    <w:rsid w:val="00CB1BBA"/>
    <w:rsid w:val="00CB1C9C"/>
    <w:rsid w:val="00CB1CE6"/>
    <w:rsid w:val="00CB1F20"/>
    <w:rsid w:val="00CB1F34"/>
    <w:rsid w:val="00CB2053"/>
    <w:rsid w:val="00CB21AE"/>
    <w:rsid w:val="00CB21B2"/>
    <w:rsid w:val="00CB21C7"/>
    <w:rsid w:val="00CB21DB"/>
    <w:rsid w:val="00CB221F"/>
    <w:rsid w:val="00CB22FA"/>
    <w:rsid w:val="00CB2350"/>
    <w:rsid w:val="00CB24C3"/>
    <w:rsid w:val="00CB2533"/>
    <w:rsid w:val="00CB2609"/>
    <w:rsid w:val="00CB263C"/>
    <w:rsid w:val="00CB26D7"/>
    <w:rsid w:val="00CB26F8"/>
    <w:rsid w:val="00CB2797"/>
    <w:rsid w:val="00CB27B8"/>
    <w:rsid w:val="00CB281A"/>
    <w:rsid w:val="00CB286D"/>
    <w:rsid w:val="00CB29E6"/>
    <w:rsid w:val="00CB2A64"/>
    <w:rsid w:val="00CB2CDB"/>
    <w:rsid w:val="00CB2DF6"/>
    <w:rsid w:val="00CB2E15"/>
    <w:rsid w:val="00CB2EB0"/>
    <w:rsid w:val="00CB300D"/>
    <w:rsid w:val="00CB3429"/>
    <w:rsid w:val="00CB34B1"/>
    <w:rsid w:val="00CB35CB"/>
    <w:rsid w:val="00CB37D5"/>
    <w:rsid w:val="00CB3852"/>
    <w:rsid w:val="00CB385E"/>
    <w:rsid w:val="00CB386C"/>
    <w:rsid w:val="00CB38DA"/>
    <w:rsid w:val="00CB3A12"/>
    <w:rsid w:val="00CB3A47"/>
    <w:rsid w:val="00CB3B5E"/>
    <w:rsid w:val="00CB3B84"/>
    <w:rsid w:val="00CB3BAD"/>
    <w:rsid w:val="00CB3CBC"/>
    <w:rsid w:val="00CB3E65"/>
    <w:rsid w:val="00CB3EEA"/>
    <w:rsid w:val="00CB401E"/>
    <w:rsid w:val="00CB4021"/>
    <w:rsid w:val="00CB407B"/>
    <w:rsid w:val="00CB407C"/>
    <w:rsid w:val="00CB4311"/>
    <w:rsid w:val="00CB439D"/>
    <w:rsid w:val="00CB44AD"/>
    <w:rsid w:val="00CB45B7"/>
    <w:rsid w:val="00CB45E8"/>
    <w:rsid w:val="00CB462D"/>
    <w:rsid w:val="00CB47CF"/>
    <w:rsid w:val="00CB4837"/>
    <w:rsid w:val="00CB4B2F"/>
    <w:rsid w:val="00CB4B6D"/>
    <w:rsid w:val="00CB4B7C"/>
    <w:rsid w:val="00CB4E0E"/>
    <w:rsid w:val="00CB4EE8"/>
    <w:rsid w:val="00CB4F84"/>
    <w:rsid w:val="00CB4F90"/>
    <w:rsid w:val="00CB5042"/>
    <w:rsid w:val="00CB506C"/>
    <w:rsid w:val="00CB5159"/>
    <w:rsid w:val="00CB5282"/>
    <w:rsid w:val="00CB5466"/>
    <w:rsid w:val="00CB55C6"/>
    <w:rsid w:val="00CB5603"/>
    <w:rsid w:val="00CB56CB"/>
    <w:rsid w:val="00CB57F6"/>
    <w:rsid w:val="00CB5887"/>
    <w:rsid w:val="00CB5890"/>
    <w:rsid w:val="00CB58E8"/>
    <w:rsid w:val="00CB591A"/>
    <w:rsid w:val="00CB59BC"/>
    <w:rsid w:val="00CB59C7"/>
    <w:rsid w:val="00CB5A0E"/>
    <w:rsid w:val="00CB5C44"/>
    <w:rsid w:val="00CB5CBC"/>
    <w:rsid w:val="00CB5DB4"/>
    <w:rsid w:val="00CB5DEA"/>
    <w:rsid w:val="00CB5FF1"/>
    <w:rsid w:val="00CB620A"/>
    <w:rsid w:val="00CB6300"/>
    <w:rsid w:val="00CB63AF"/>
    <w:rsid w:val="00CB63F5"/>
    <w:rsid w:val="00CB64B6"/>
    <w:rsid w:val="00CB66E4"/>
    <w:rsid w:val="00CB67A5"/>
    <w:rsid w:val="00CB6858"/>
    <w:rsid w:val="00CB69C1"/>
    <w:rsid w:val="00CB69C4"/>
    <w:rsid w:val="00CB69DA"/>
    <w:rsid w:val="00CB6BA8"/>
    <w:rsid w:val="00CB6BE5"/>
    <w:rsid w:val="00CB6CB6"/>
    <w:rsid w:val="00CB6DDE"/>
    <w:rsid w:val="00CB6E68"/>
    <w:rsid w:val="00CB6F10"/>
    <w:rsid w:val="00CB6FBB"/>
    <w:rsid w:val="00CB703E"/>
    <w:rsid w:val="00CB7103"/>
    <w:rsid w:val="00CB7194"/>
    <w:rsid w:val="00CB71CD"/>
    <w:rsid w:val="00CB7243"/>
    <w:rsid w:val="00CB7629"/>
    <w:rsid w:val="00CB7632"/>
    <w:rsid w:val="00CB781E"/>
    <w:rsid w:val="00CB7864"/>
    <w:rsid w:val="00CB7A1E"/>
    <w:rsid w:val="00CB7AC6"/>
    <w:rsid w:val="00CB7B8C"/>
    <w:rsid w:val="00CB7B99"/>
    <w:rsid w:val="00CB7CEA"/>
    <w:rsid w:val="00CB7D80"/>
    <w:rsid w:val="00CB7E7A"/>
    <w:rsid w:val="00CB7EEA"/>
    <w:rsid w:val="00CC0163"/>
    <w:rsid w:val="00CC01A0"/>
    <w:rsid w:val="00CC0246"/>
    <w:rsid w:val="00CC035C"/>
    <w:rsid w:val="00CC0428"/>
    <w:rsid w:val="00CC0460"/>
    <w:rsid w:val="00CC04F6"/>
    <w:rsid w:val="00CC07C1"/>
    <w:rsid w:val="00CC08BC"/>
    <w:rsid w:val="00CC0947"/>
    <w:rsid w:val="00CC0B02"/>
    <w:rsid w:val="00CC0B74"/>
    <w:rsid w:val="00CC0C14"/>
    <w:rsid w:val="00CC0C81"/>
    <w:rsid w:val="00CC0CF1"/>
    <w:rsid w:val="00CC0D52"/>
    <w:rsid w:val="00CC0E9F"/>
    <w:rsid w:val="00CC0F9F"/>
    <w:rsid w:val="00CC0FB0"/>
    <w:rsid w:val="00CC1027"/>
    <w:rsid w:val="00CC1137"/>
    <w:rsid w:val="00CC115F"/>
    <w:rsid w:val="00CC11D6"/>
    <w:rsid w:val="00CC11E4"/>
    <w:rsid w:val="00CC11EE"/>
    <w:rsid w:val="00CC123B"/>
    <w:rsid w:val="00CC13D4"/>
    <w:rsid w:val="00CC13DD"/>
    <w:rsid w:val="00CC13FF"/>
    <w:rsid w:val="00CC158F"/>
    <w:rsid w:val="00CC16E4"/>
    <w:rsid w:val="00CC18A9"/>
    <w:rsid w:val="00CC18E0"/>
    <w:rsid w:val="00CC1916"/>
    <w:rsid w:val="00CC1978"/>
    <w:rsid w:val="00CC1990"/>
    <w:rsid w:val="00CC19BB"/>
    <w:rsid w:val="00CC19C8"/>
    <w:rsid w:val="00CC19C9"/>
    <w:rsid w:val="00CC1A0F"/>
    <w:rsid w:val="00CC1A42"/>
    <w:rsid w:val="00CC1A6E"/>
    <w:rsid w:val="00CC1C22"/>
    <w:rsid w:val="00CC1E59"/>
    <w:rsid w:val="00CC1EBC"/>
    <w:rsid w:val="00CC2045"/>
    <w:rsid w:val="00CC2102"/>
    <w:rsid w:val="00CC215C"/>
    <w:rsid w:val="00CC216E"/>
    <w:rsid w:val="00CC2206"/>
    <w:rsid w:val="00CC2335"/>
    <w:rsid w:val="00CC2339"/>
    <w:rsid w:val="00CC2365"/>
    <w:rsid w:val="00CC2431"/>
    <w:rsid w:val="00CC2595"/>
    <w:rsid w:val="00CC2673"/>
    <w:rsid w:val="00CC269D"/>
    <w:rsid w:val="00CC2788"/>
    <w:rsid w:val="00CC285A"/>
    <w:rsid w:val="00CC2881"/>
    <w:rsid w:val="00CC28C8"/>
    <w:rsid w:val="00CC2A1C"/>
    <w:rsid w:val="00CC2BF5"/>
    <w:rsid w:val="00CC2CEE"/>
    <w:rsid w:val="00CC2DA1"/>
    <w:rsid w:val="00CC2E95"/>
    <w:rsid w:val="00CC2F8E"/>
    <w:rsid w:val="00CC30E4"/>
    <w:rsid w:val="00CC331C"/>
    <w:rsid w:val="00CC333F"/>
    <w:rsid w:val="00CC3385"/>
    <w:rsid w:val="00CC33CB"/>
    <w:rsid w:val="00CC34A7"/>
    <w:rsid w:val="00CC351F"/>
    <w:rsid w:val="00CC3632"/>
    <w:rsid w:val="00CC371E"/>
    <w:rsid w:val="00CC376B"/>
    <w:rsid w:val="00CC378A"/>
    <w:rsid w:val="00CC37CA"/>
    <w:rsid w:val="00CC388C"/>
    <w:rsid w:val="00CC38B7"/>
    <w:rsid w:val="00CC38E8"/>
    <w:rsid w:val="00CC3B94"/>
    <w:rsid w:val="00CC3BF1"/>
    <w:rsid w:val="00CC3E73"/>
    <w:rsid w:val="00CC3EED"/>
    <w:rsid w:val="00CC4049"/>
    <w:rsid w:val="00CC406A"/>
    <w:rsid w:val="00CC406C"/>
    <w:rsid w:val="00CC40AA"/>
    <w:rsid w:val="00CC41FC"/>
    <w:rsid w:val="00CC42DE"/>
    <w:rsid w:val="00CC4310"/>
    <w:rsid w:val="00CC435D"/>
    <w:rsid w:val="00CC43D5"/>
    <w:rsid w:val="00CC4740"/>
    <w:rsid w:val="00CC47A3"/>
    <w:rsid w:val="00CC4B0B"/>
    <w:rsid w:val="00CC4B45"/>
    <w:rsid w:val="00CC4B51"/>
    <w:rsid w:val="00CC4C83"/>
    <w:rsid w:val="00CC4C89"/>
    <w:rsid w:val="00CC4DC3"/>
    <w:rsid w:val="00CC4E01"/>
    <w:rsid w:val="00CC4F8C"/>
    <w:rsid w:val="00CC4F9F"/>
    <w:rsid w:val="00CC4FF2"/>
    <w:rsid w:val="00CC4FF7"/>
    <w:rsid w:val="00CC5009"/>
    <w:rsid w:val="00CC51AE"/>
    <w:rsid w:val="00CC529B"/>
    <w:rsid w:val="00CC53A3"/>
    <w:rsid w:val="00CC53AC"/>
    <w:rsid w:val="00CC547E"/>
    <w:rsid w:val="00CC54DD"/>
    <w:rsid w:val="00CC55D9"/>
    <w:rsid w:val="00CC55EC"/>
    <w:rsid w:val="00CC56C5"/>
    <w:rsid w:val="00CC596A"/>
    <w:rsid w:val="00CC5A3C"/>
    <w:rsid w:val="00CC5B58"/>
    <w:rsid w:val="00CC5CE3"/>
    <w:rsid w:val="00CC5DA1"/>
    <w:rsid w:val="00CC5DF6"/>
    <w:rsid w:val="00CC5E92"/>
    <w:rsid w:val="00CC5EEB"/>
    <w:rsid w:val="00CC5F4E"/>
    <w:rsid w:val="00CC6008"/>
    <w:rsid w:val="00CC6096"/>
    <w:rsid w:val="00CC616F"/>
    <w:rsid w:val="00CC61AE"/>
    <w:rsid w:val="00CC61DB"/>
    <w:rsid w:val="00CC637C"/>
    <w:rsid w:val="00CC642F"/>
    <w:rsid w:val="00CC6445"/>
    <w:rsid w:val="00CC6599"/>
    <w:rsid w:val="00CC6641"/>
    <w:rsid w:val="00CC6733"/>
    <w:rsid w:val="00CC674E"/>
    <w:rsid w:val="00CC6997"/>
    <w:rsid w:val="00CC6B65"/>
    <w:rsid w:val="00CC6BAE"/>
    <w:rsid w:val="00CC6C2B"/>
    <w:rsid w:val="00CC6D7C"/>
    <w:rsid w:val="00CC6DB0"/>
    <w:rsid w:val="00CC6DBE"/>
    <w:rsid w:val="00CC6DD8"/>
    <w:rsid w:val="00CC6F56"/>
    <w:rsid w:val="00CC6FF0"/>
    <w:rsid w:val="00CC7157"/>
    <w:rsid w:val="00CC7228"/>
    <w:rsid w:val="00CC7276"/>
    <w:rsid w:val="00CC74FC"/>
    <w:rsid w:val="00CC750F"/>
    <w:rsid w:val="00CC7625"/>
    <w:rsid w:val="00CC76D8"/>
    <w:rsid w:val="00CC790E"/>
    <w:rsid w:val="00CC7963"/>
    <w:rsid w:val="00CC7A17"/>
    <w:rsid w:val="00CC7ABF"/>
    <w:rsid w:val="00CC7AF6"/>
    <w:rsid w:val="00CC7B47"/>
    <w:rsid w:val="00CC7BE4"/>
    <w:rsid w:val="00CC7C18"/>
    <w:rsid w:val="00CC7CEE"/>
    <w:rsid w:val="00CC7E26"/>
    <w:rsid w:val="00CC7EE8"/>
    <w:rsid w:val="00CC7F16"/>
    <w:rsid w:val="00CCB7F8"/>
    <w:rsid w:val="00CD00CF"/>
    <w:rsid w:val="00CD0217"/>
    <w:rsid w:val="00CD021C"/>
    <w:rsid w:val="00CD03B0"/>
    <w:rsid w:val="00CD03C0"/>
    <w:rsid w:val="00CD04D9"/>
    <w:rsid w:val="00CD0690"/>
    <w:rsid w:val="00CD06D3"/>
    <w:rsid w:val="00CD06FD"/>
    <w:rsid w:val="00CD0742"/>
    <w:rsid w:val="00CD0748"/>
    <w:rsid w:val="00CD08AF"/>
    <w:rsid w:val="00CD08BE"/>
    <w:rsid w:val="00CD08CF"/>
    <w:rsid w:val="00CD092D"/>
    <w:rsid w:val="00CD0A5B"/>
    <w:rsid w:val="00CD0A8E"/>
    <w:rsid w:val="00CD0B0E"/>
    <w:rsid w:val="00CD0C43"/>
    <w:rsid w:val="00CD0E34"/>
    <w:rsid w:val="00CD0E8A"/>
    <w:rsid w:val="00CD0EB9"/>
    <w:rsid w:val="00CD10B5"/>
    <w:rsid w:val="00CD114B"/>
    <w:rsid w:val="00CD1185"/>
    <w:rsid w:val="00CD11A4"/>
    <w:rsid w:val="00CD11D0"/>
    <w:rsid w:val="00CD11FA"/>
    <w:rsid w:val="00CD123D"/>
    <w:rsid w:val="00CD1297"/>
    <w:rsid w:val="00CD1306"/>
    <w:rsid w:val="00CD1311"/>
    <w:rsid w:val="00CD1360"/>
    <w:rsid w:val="00CD13C4"/>
    <w:rsid w:val="00CD14FF"/>
    <w:rsid w:val="00CD1532"/>
    <w:rsid w:val="00CD160F"/>
    <w:rsid w:val="00CD1636"/>
    <w:rsid w:val="00CD170C"/>
    <w:rsid w:val="00CD171B"/>
    <w:rsid w:val="00CD1759"/>
    <w:rsid w:val="00CD1776"/>
    <w:rsid w:val="00CD19FF"/>
    <w:rsid w:val="00CD1AAC"/>
    <w:rsid w:val="00CD1C92"/>
    <w:rsid w:val="00CD1CC3"/>
    <w:rsid w:val="00CD1D99"/>
    <w:rsid w:val="00CD1D9F"/>
    <w:rsid w:val="00CD1EFC"/>
    <w:rsid w:val="00CD205D"/>
    <w:rsid w:val="00CD2069"/>
    <w:rsid w:val="00CD210E"/>
    <w:rsid w:val="00CD2183"/>
    <w:rsid w:val="00CD2360"/>
    <w:rsid w:val="00CD2406"/>
    <w:rsid w:val="00CD251D"/>
    <w:rsid w:val="00CD2619"/>
    <w:rsid w:val="00CD2693"/>
    <w:rsid w:val="00CD26F6"/>
    <w:rsid w:val="00CD28DE"/>
    <w:rsid w:val="00CD296D"/>
    <w:rsid w:val="00CD2B51"/>
    <w:rsid w:val="00CD2CA6"/>
    <w:rsid w:val="00CD2E20"/>
    <w:rsid w:val="00CD2EA6"/>
    <w:rsid w:val="00CD2EA9"/>
    <w:rsid w:val="00CD328B"/>
    <w:rsid w:val="00CD3339"/>
    <w:rsid w:val="00CD33AB"/>
    <w:rsid w:val="00CD33F7"/>
    <w:rsid w:val="00CD342D"/>
    <w:rsid w:val="00CD349E"/>
    <w:rsid w:val="00CD34FF"/>
    <w:rsid w:val="00CD3563"/>
    <w:rsid w:val="00CD364C"/>
    <w:rsid w:val="00CD37CF"/>
    <w:rsid w:val="00CD3935"/>
    <w:rsid w:val="00CD3957"/>
    <w:rsid w:val="00CD39E3"/>
    <w:rsid w:val="00CD3B80"/>
    <w:rsid w:val="00CD3B8F"/>
    <w:rsid w:val="00CD3C95"/>
    <w:rsid w:val="00CD3D01"/>
    <w:rsid w:val="00CD3D57"/>
    <w:rsid w:val="00CD3E16"/>
    <w:rsid w:val="00CD3EF2"/>
    <w:rsid w:val="00CD3F98"/>
    <w:rsid w:val="00CD4000"/>
    <w:rsid w:val="00CD402A"/>
    <w:rsid w:val="00CD40B8"/>
    <w:rsid w:val="00CD419F"/>
    <w:rsid w:val="00CD4204"/>
    <w:rsid w:val="00CD4223"/>
    <w:rsid w:val="00CD4245"/>
    <w:rsid w:val="00CD42C0"/>
    <w:rsid w:val="00CD45E4"/>
    <w:rsid w:val="00CD45FF"/>
    <w:rsid w:val="00CD4682"/>
    <w:rsid w:val="00CD46B0"/>
    <w:rsid w:val="00CD4818"/>
    <w:rsid w:val="00CD4841"/>
    <w:rsid w:val="00CD484F"/>
    <w:rsid w:val="00CD49C5"/>
    <w:rsid w:val="00CD49E0"/>
    <w:rsid w:val="00CD49E8"/>
    <w:rsid w:val="00CD4B4A"/>
    <w:rsid w:val="00CD4BB8"/>
    <w:rsid w:val="00CD4CA9"/>
    <w:rsid w:val="00CD4CF6"/>
    <w:rsid w:val="00CD4D62"/>
    <w:rsid w:val="00CD4E0E"/>
    <w:rsid w:val="00CD4FCE"/>
    <w:rsid w:val="00CD500D"/>
    <w:rsid w:val="00CD513D"/>
    <w:rsid w:val="00CD52AE"/>
    <w:rsid w:val="00CD52EB"/>
    <w:rsid w:val="00CD5303"/>
    <w:rsid w:val="00CD539E"/>
    <w:rsid w:val="00CD53C4"/>
    <w:rsid w:val="00CD53CA"/>
    <w:rsid w:val="00CD5588"/>
    <w:rsid w:val="00CD55AA"/>
    <w:rsid w:val="00CD5635"/>
    <w:rsid w:val="00CD56BA"/>
    <w:rsid w:val="00CD56FA"/>
    <w:rsid w:val="00CD5825"/>
    <w:rsid w:val="00CD587C"/>
    <w:rsid w:val="00CD592E"/>
    <w:rsid w:val="00CD5951"/>
    <w:rsid w:val="00CD5A46"/>
    <w:rsid w:val="00CD5A4E"/>
    <w:rsid w:val="00CD5A6A"/>
    <w:rsid w:val="00CD5C51"/>
    <w:rsid w:val="00CD5C76"/>
    <w:rsid w:val="00CD5D1F"/>
    <w:rsid w:val="00CD5D2A"/>
    <w:rsid w:val="00CD5D2D"/>
    <w:rsid w:val="00CD5F03"/>
    <w:rsid w:val="00CD5F04"/>
    <w:rsid w:val="00CD5F27"/>
    <w:rsid w:val="00CD61CF"/>
    <w:rsid w:val="00CD6321"/>
    <w:rsid w:val="00CD635C"/>
    <w:rsid w:val="00CD6390"/>
    <w:rsid w:val="00CD64AF"/>
    <w:rsid w:val="00CD64B8"/>
    <w:rsid w:val="00CD64C1"/>
    <w:rsid w:val="00CD64E3"/>
    <w:rsid w:val="00CD6560"/>
    <w:rsid w:val="00CD661D"/>
    <w:rsid w:val="00CD66D4"/>
    <w:rsid w:val="00CD6718"/>
    <w:rsid w:val="00CD67EA"/>
    <w:rsid w:val="00CD68D0"/>
    <w:rsid w:val="00CD691B"/>
    <w:rsid w:val="00CD6929"/>
    <w:rsid w:val="00CD696C"/>
    <w:rsid w:val="00CD69A7"/>
    <w:rsid w:val="00CD6C90"/>
    <w:rsid w:val="00CD6E3E"/>
    <w:rsid w:val="00CD6F5F"/>
    <w:rsid w:val="00CD6F89"/>
    <w:rsid w:val="00CD6FB8"/>
    <w:rsid w:val="00CD6FC6"/>
    <w:rsid w:val="00CD7077"/>
    <w:rsid w:val="00CD70C2"/>
    <w:rsid w:val="00CD70DF"/>
    <w:rsid w:val="00CD713A"/>
    <w:rsid w:val="00CD7162"/>
    <w:rsid w:val="00CD716D"/>
    <w:rsid w:val="00CD727A"/>
    <w:rsid w:val="00CD7365"/>
    <w:rsid w:val="00CD7546"/>
    <w:rsid w:val="00CD7565"/>
    <w:rsid w:val="00CD75F1"/>
    <w:rsid w:val="00CD771B"/>
    <w:rsid w:val="00CD7760"/>
    <w:rsid w:val="00CD77F0"/>
    <w:rsid w:val="00CD78D0"/>
    <w:rsid w:val="00CD7980"/>
    <w:rsid w:val="00CD7AAC"/>
    <w:rsid w:val="00CD7BE7"/>
    <w:rsid w:val="00CD7CD4"/>
    <w:rsid w:val="00CD7D3A"/>
    <w:rsid w:val="00CD7DB1"/>
    <w:rsid w:val="00CD7FF6"/>
    <w:rsid w:val="00CE0119"/>
    <w:rsid w:val="00CE02F0"/>
    <w:rsid w:val="00CE0318"/>
    <w:rsid w:val="00CE0392"/>
    <w:rsid w:val="00CE046E"/>
    <w:rsid w:val="00CE048E"/>
    <w:rsid w:val="00CE0732"/>
    <w:rsid w:val="00CE084E"/>
    <w:rsid w:val="00CE08BA"/>
    <w:rsid w:val="00CE09B7"/>
    <w:rsid w:val="00CE0C73"/>
    <w:rsid w:val="00CE0CAB"/>
    <w:rsid w:val="00CE0CBE"/>
    <w:rsid w:val="00CE0D1D"/>
    <w:rsid w:val="00CE0D69"/>
    <w:rsid w:val="00CE0DE8"/>
    <w:rsid w:val="00CE0EA9"/>
    <w:rsid w:val="00CE0FB9"/>
    <w:rsid w:val="00CE119B"/>
    <w:rsid w:val="00CE11DC"/>
    <w:rsid w:val="00CE1210"/>
    <w:rsid w:val="00CE1224"/>
    <w:rsid w:val="00CE138A"/>
    <w:rsid w:val="00CE13D5"/>
    <w:rsid w:val="00CE1407"/>
    <w:rsid w:val="00CE1430"/>
    <w:rsid w:val="00CE14B8"/>
    <w:rsid w:val="00CE14F7"/>
    <w:rsid w:val="00CE160C"/>
    <w:rsid w:val="00CE1757"/>
    <w:rsid w:val="00CE177A"/>
    <w:rsid w:val="00CE17AE"/>
    <w:rsid w:val="00CE196C"/>
    <w:rsid w:val="00CE199E"/>
    <w:rsid w:val="00CE19C8"/>
    <w:rsid w:val="00CE19CD"/>
    <w:rsid w:val="00CE19E1"/>
    <w:rsid w:val="00CE1BC5"/>
    <w:rsid w:val="00CE1C25"/>
    <w:rsid w:val="00CE1CC2"/>
    <w:rsid w:val="00CE1CDD"/>
    <w:rsid w:val="00CE1D59"/>
    <w:rsid w:val="00CE1DE4"/>
    <w:rsid w:val="00CE1DF7"/>
    <w:rsid w:val="00CE1EDA"/>
    <w:rsid w:val="00CE1EDC"/>
    <w:rsid w:val="00CE1FC7"/>
    <w:rsid w:val="00CE1FF1"/>
    <w:rsid w:val="00CE20C4"/>
    <w:rsid w:val="00CE2334"/>
    <w:rsid w:val="00CE236C"/>
    <w:rsid w:val="00CE2389"/>
    <w:rsid w:val="00CE2497"/>
    <w:rsid w:val="00CE24F9"/>
    <w:rsid w:val="00CE2508"/>
    <w:rsid w:val="00CE251A"/>
    <w:rsid w:val="00CE2540"/>
    <w:rsid w:val="00CE2569"/>
    <w:rsid w:val="00CE257A"/>
    <w:rsid w:val="00CE2731"/>
    <w:rsid w:val="00CE27DB"/>
    <w:rsid w:val="00CE2859"/>
    <w:rsid w:val="00CE293D"/>
    <w:rsid w:val="00CE29E0"/>
    <w:rsid w:val="00CE2A09"/>
    <w:rsid w:val="00CE2B62"/>
    <w:rsid w:val="00CE2BE1"/>
    <w:rsid w:val="00CE2C12"/>
    <w:rsid w:val="00CE2CA3"/>
    <w:rsid w:val="00CE2DF9"/>
    <w:rsid w:val="00CE2E97"/>
    <w:rsid w:val="00CE2EBF"/>
    <w:rsid w:val="00CE3045"/>
    <w:rsid w:val="00CE3158"/>
    <w:rsid w:val="00CE3189"/>
    <w:rsid w:val="00CE31E9"/>
    <w:rsid w:val="00CE31F9"/>
    <w:rsid w:val="00CE3258"/>
    <w:rsid w:val="00CE330F"/>
    <w:rsid w:val="00CE3372"/>
    <w:rsid w:val="00CE35B1"/>
    <w:rsid w:val="00CE3643"/>
    <w:rsid w:val="00CE3790"/>
    <w:rsid w:val="00CE37BD"/>
    <w:rsid w:val="00CE391E"/>
    <w:rsid w:val="00CE3989"/>
    <w:rsid w:val="00CE39D1"/>
    <w:rsid w:val="00CE39FA"/>
    <w:rsid w:val="00CE3A10"/>
    <w:rsid w:val="00CE3A43"/>
    <w:rsid w:val="00CE3A58"/>
    <w:rsid w:val="00CE3A7D"/>
    <w:rsid w:val="00CE3AA0"/>
    <w:rsid w:val="00CE3C11"/>
    <w:rsid w:val="00CE3D4E"/>
    <w:rsid w:val="00CE3E80"/>
    <w:rsid w:val="00CE3EA7"/>
    <w:rsid w:val="00CE3F3B"/>
    <w:rsid w:val="00CE3FCC"/>
    <w:rsid w:val="00CE423B"/>
    <w:rsid w:val="00CE42B0"/>
    <w:rsid w:val="00CE42C3"/>
    <w:rsid w:val="00CE43C3"/>
    <w:rsid w:val="00CE43E7"/>
    <w:rsid w:val="00CE44F3"/>
    <w:rsid w:val="00CE4612"/>
    <w:rsid w:val="00CE463F"/>
    <w:rsid w:val="00CE4755"/>
    <w:rsid w:val="00CE47AD"/>
    <w:rsid w:val="00CE4A93"/>
    <w:rsid w:val="00CE4BAD"/>
    <w:rsid w:val="00CE4BC2"/>
    <w:rsid w:val="00CE4C8C"/>
    <w:rsid w:val="00CE4C9F"/>
    <w:rsid w:val="00CE4CB5"/>
    <w:rsid w:val="00CE4CD3"/>
    <w:rsid w:val="00CE4D0C"/>
    <w:rsid w:val="00CE4E72"/>
    <w:rsid w:val="00CE5074"/>
    <w:rsid w:val="00CE5195"/>
    <w:rsid w:val="00CE52AE"/>
    <w:rsid w:val="00CE540D"/>
    <w:rsid w:val="00CE5431"/>
    <w:rsid w:val="00CE548C"/>
    <w:rsid w:val="00CE58B9"/>
    <w:rsid w:val="00CE5962"/>
    <w:rsid w:val="00CE5A42"/>
    <w:rsid w:val="00CE5AFD"/>
    <w:rsid w:val="00CE5B05"/>
    <w:rsid w:val="00CE5B09"/>
    <w:rsid w:val="00CE5B25"/>
    <w:rsid w:val="00CE5B95"/>
    <w:rsid w:val="00CE5C81"/>
    <w:rsid w:val="00CE5CE5"/>
    <w:rsid w:val="00CE5D78"/>
    <w:rsid w:val="00CE5DA6"/>
    <w:rsid w:val="00CE5DCE"/>
    <w:rsid w:val="00CE5E15"/>
    <w:rsid w:val="00CE5ED7"/>
    <w:rsid w:val="00CE5F3F"/>
    <w:rsid w:val="00CE5F74"/>
    <w:rsid w:val="00CE608E"/>
    <w:rsid w:val="00CE6219"/>
    <w:rsid w:val="00CE639B"/>
    <w:rsid w:val="00CE65B5"/>
    <w:rsid w:val="00CE6670"/>
    <w:rsid w:val="00CE66DC"/>
    <w:rsid w:val="00CE66F5"/>
    <w:rsid w:val="00CE6A23"/>
    <w:rsid w:val="00CE6A2D"/>
    <w:rsid w:val="00CE6A36"/>
    <w:rsid w:val="00CE6CAA"/>
    <w:rsid w:val="00CE6CB8"/>
    <w:rsid w:val="00CE6D20"/>
    <w:rsid w:val="00CE6D42"/>
    <w:rsid w:val="00CE6D79"/>
    <w:rsid w:val="00CE6E95"/>
    <w:rsid w:val="00CE6F0B"/>
    <w:rsid w:val="00CE6F95"/>
    <w:rsid w:val="00CE704A"/>
    <w:rsid w:val="00CE711B"/>
    <w:rsid w:val="00CE714C"/>
    <w:rsid w:val="00CE72C6"/>
    <w:rsid w:val="00CE72F1"/>
    <w:rsid w:val="00CE731A"/>
    <w:rsid w:val="00CE748C"/>
    <w:rsid w:val="00CE7750"/>
    <w:rsid w:val="00CE79C5"/>
    <w:rsid w:val="00CE7A67"/>
    <w:rsid w:val="00CE7AF9"/>
    <w:rsid w:val="00CE7B36"/>
    <w:rsid w:val="00CE7B87"/>
    <w:rsid w:val="00CE7C87"/>
    <w:rsid w:val="00CE7CFB"/>
    <w:rsid w:val="00CE7FFC"/>
    <w:rsid w:val="00CF012F"/>
    <w:rsid w:val="00CF01DF"/>
    <w:rsid w:val="00CF0291"/>
    <w:rsid w:val="00CF0360"/>
    <w:rsid w:val="00CF0369"/>
    <w:rsid w:val="00CF04F7"/>
    <w:rsid w:val="00CF05BE"/>
    <w:rsid w:val="00CF0644"/>
    <w:rsid w:val="00CF07ED"/>
    <w:rsid w:val="00CF09B1"/>
    <w:rsid w:val="00CF0BE8"/>
    <w:rsid w:val="00CF0C5E"/>
    <w:rsid w:val="00CF0CCA"/>
    <w:rsid w:val="00CF0CD9"/>
    <w:rsid w:val="00CF0D5F"/>
    <w:rsid w:val="00CF0D64"/>
    <w:rsid w:val="00CF0D69"/>
    <w:rsid w:val="00CF10FC"/>
    <w:rsid w:val="00CF11CC"/>
    <w:rsid w:val="00CF1367"/>
    <w:rsid w:val="00CF13AE"/>
    <w:rsid w:val="00CF1429"/>
    <w:rsid w:val="00CF144E"/>
    <w:rsid w:val="00CF148E"/>
    <w:rsid w:val="00CF14A1"/>
    <w:rsid w:val="00CF1625"/>
    <w:rsid w:val="00CF169F"/>
    <w:rsid w:val="00CF1711"/>
    <w:rsid w:val="00CF174B"/>
    <w:rsid w:val="00CF19EE"/>
    <w:rsid w:val="00CF1A93"/>
    <w:rsid w:val="00CF1AE4"/>
    <w:rsid w:val="00CF1BB7"/>
    <w:rsid w:val="00CF1C12"/>
    <w:rsid w:val="00CF1C7C"/>
    <w:rsid w:val="00CF1E26"/>
    <w:rsid w:val="00CF2140"/>
    <w:rsid w:val="00CF216C"/>
    <w:rsid w:val="00CF21C1"/>
    <w:rsid w:val="00CF21D2"/>
    <w:rsid w:val="00CF2227"/>
    <w:rsid w:val="00CF22D5"/>
    <w:rsid w:val="00CF2316"/>
    <w:rsid w:val="00CF2427"/>
    <w:rsid w:val="00CF2514"/>
    <w:rsid w:val="00CF2625"/>
    <w:rsid w:val="00CF2697"/>
    <w:rsid w:val="00CF2716"/>
    <w:rsid w:val="00CF2869"/>
    <w:rsid w:val="00CF28BA"/>
    <w:rsid w:val="00CF28E1"/>
    <w:rsid w:val="00CF28EA"/>
    <w:rsid w:val="00CF2930"/>
    <w:rsid w:val="00CF2A8F"/>
    <w:rsid w:val="00CF2B1D"/>
    <w:rsid w:val="00CF2BFE"/>
    <w:rsid w:val="00CF2CFB"/>
    <w:rsid w:val="00CF2CFE"/>
    <w:rsid w:val="00CF2D41"/>
    <w:rsid w:val="00CF2DAB"/>
    <w:rsid w:val="00CF2E49"/>
    <w:rsid w:val="00CF30AF"/>
    <w:rsid w:val="00CF31EA"/>
    <w:rsid w:val="00CF324F"/>
    <w:rsid w:val="00CF32BF"/>
    <w:rsid w:val="00CF3351"/>
    <w:rsid w:val="00CF3397"/>
    <w:rsid w:val="00CF342E"/>
    <w:rsid w:val="00CF3597"/>
    <w:rsid w:val="00CF3600"/>
    <w:rsid w:val="00CF362B"/>
    <w:rsid w:val="00CF366B"/>
    <w:rsid w:val="00CF36A6"/>
    <w:rsid w:val="00CF36C6"/>
    <w:rsid w:val="00CF36EA"/>
    <w:rsid w:val="00CF3717"/>
    <w:rsid w:val="00CF3789"/>
    <w:rsid w:val="00CF37D8"/>
    <w:rsid w:val="00CF3830"/>
    <w:rsid w:val="00CF3831"/>
    <w:rsid w:val="00CF3910"/>
    <w:rsid w:val="00CF39F7"/>
    <w:rsid w:val="00CF3CA3"/>
    <w:rsid w:val="00CF3D49"/>
    <w:rsid w:val="00CF3D8B"/>
    <w:rsid w:val="00CF3E96"/>
    <w:rsid w:val="00CF3F34"/>
    <w:rsid w:val="00CF3F73"/>
    <w:rsid w:val="00CF3F84"/>
    <w:rsid w:val="00CF4065"/>
    <w:rsid w:val="00CF41BA"/>
    <w:rsid w:val="00CF432B"/>
    <w:rsid w:val="00CF432D"/>
    <w:rsid w:val="00CF4371"/>
    <w:rsid w:val="00CF448A"/>
    <w:rsid w:val="00CF4493"/>
    <w:rsid w:val="00CF45A6"/>
    <w:rsid w:val="00CF467A"/>
    <w:rsid w:val="00CF46FB"/>
    <w:rsid w:val="00CF4713"/>
    <w:rsid w:val="00CF48BD"/>
    <w:rsid w:val="00CF4A2E"/>
    <w:rsid w:val="00CF4AED"/>
    <w:rsid w:val="00CF4BE2"/>
    <w:rsid w:val="00CF4CF0"/>
    <w:rsid w:val="00CF4D27"/>
    <w:rsid w:val="00CF4EF3"/>
    <w:rsid w:val="00CF4F4B"/>
    <w:rsid w:val="00CF4FF2"/>
    <w:rsid w:val="00CF502A"/>
    <w:rsid w:val="00CF511D"/>
    <w:rsid w:val="00CF5135"/>
    <w:rsid w:val="00CF5192"/>
    <w:rsid w:val="00CF5196"/>
    <w:rsid w:val="00CF519B"/>
    <w:rsid w:val="00CF51A3"/>
    <w:rsid w:val="00CF53E8"/>
    <w:rsid w:val="00CF5482"/>
    <w:rsid w:val="00CF5635"/>
    <w:rsid w:val="00CF5766"/>
    <w:rsid w:val="00CF57FB"/>
    <w:rsid w:val="00CF586B"/>
    <w:rsid w:val="00CF59FD"/>
    <w:rsid w:val="00CF5B1F"/>
    <w:rsid w:val="00CF5B89"/>
    <w:rsid w:val="00CF5D51"/>
    <w:rsid w:val="00CF5DFB"/>
    <w:rsid w:val="00CF5E3A"/>
    <w:rsid w:val="00CF5E4D"/>
    <w:rsid w:val="00CF5E71"/>
    <w:rsid w:val="00CF5EBF"/>
    <w:rsid w:val="00CF5ECD"/>
    <w:rsid w:val="00CF5F18"/>
    <w:rsid w:val="00CF5FAF"/>
    <w:rsid w:val="00CF60AD"/>
    <w:rsid w:val="00CF61E2"/>
    <w:rsid w:val="00CF64AD"/>
    <w:rsid w:val="00CF65CD"/>
    <w:rsid w:val="00CF65F1"/>
    <w:rsid w:val="00CF6675"/>
    <w:rsid w:val="00CF66E1"/>
    <w:rsid w:val="00CF6834"/>
    <w:rsid w:val="00CF6971"/>
    <w:rsid w:val="00CF6997"/>
    <w:rsid w:val="00CF6AD8"/>
    <w:rsid w:val="00CF6B0A"/>
    <w:rsid w:val="00CF6C9A"/>
    <w:rsid w:val="00CF6E0A"/>
    <w:rsid w:val="00CF6E34"/>
    <w:rsid w:val="00CF6EF9"/>
    <w:rsid w:val="00CF6F33"/>
    <w:rsid w:val="00CF6F7F"/>
    <w:rsid w:val="00CF6F82"/>
    <w:rsid w:val="00CF704E"/>
    <w:rsid w:val="00CF7213"/>
    <w:rsid w:val="00CF7248"/>
    <w:rsid w:val="00CF740E"/>
    <w:rsid w:val="00CF748F"/>
    <w:rsid w:val="00CF7611"/>
    <w:rsid w:val="00CF76BE"/>
    <w:rsid w:val="00CF78EE"/>
    <w:rsid w:val="00CF79A2"/>
    <w:rsid w:val="00CF79FA"/>
    <w:rsid w:val="00CF7B10"/>
    <w:rsid w:val="00CF7C2B"/>
    <w:rsid w:val="00CF7D5E"/>
    <w:rsid w:val="00CF7DA3"/>
    <w:rsid w:val="00CF7E5E"/>
    <w:rsid w:val="00CF7EAD"/>
    <w:rsid w:val="00CF7EC6"/>
    <w:rsid w:val="00CF7EDC"/>
    <w:rsid w:val="00CF7EF2"/>
    <w:rsid w:val="00CF7F63"/>
    <w:rsid w:val="00CFBCE1"/>
    <w:rsid w:val="00D00288"/>
    <w:rsid w:val="00D00331"/>
    <w:rsid w:val="00D00422"/>
    <w:rsid w:val="00D00501"/>
    <w:rsid w:val="00D00592"/>
    <w:rsid w:val="00D0082A"/>
    <w:rsid w:val="00D00863"/>
    <w:rsid w:val="00D00AA1"/>
    <w:rsid w:val="00D00AAF"/>
    <w:rsid w:val="00D00ACA"/>
    <w:rsid w:val="00D00B33"/>
    <w:rsid w:val="00D00BF4"/>
    <w:rsid w:val="00D00C98"/>
    <w:rsid w:val="00D00CC9"/>
    <w:rsid w:val="00D00E3B"/>
    <w:rsid w:val="00D00E7C"/>
    <w:rsid w:val="00D00E99"/>
    <w:rsid w:val="00D00EFC"/>
    <w:rsid w:val="00D00F61"/>
    <w:rsid w:val="00D01009"/>
    <w:rsid w:val="00D01251"/>
    <w:rsid w:val="00D012A3"/>
    <w:rsid w:val="00D012D1"/>
    <w:rsid w:val="00D01399"/>
    <w:rsid w:val="00D013CD"/>
    <w:rsid w:val="00D013F3"/>
    <w:rsid w:val="00D0174C"/>
    <w:rsid w:val="00D017C5"/>
    <w:rsid w:val="00D01886"/>
    <w:rsid w:val="00D01906"/>
    <w:rsid w:val="00D01AA3"/>
    <w:rsid w:val="00D01AB3"/>
    <w:rsid w:val="00D01ADF"/>
    <w:rsid w:val="00D01CAC"/>
    <w:rsid w:val="00D01E68"/>
    <w:rsid w:val="00D01F8D"/>
    <w:rsid w:val="00D01F96"/>
    <w:rsid w:val="00D01FA6"/>
    <w:rsid w:val="00D0206F"/>
    <w:rsid w:val="00D020DF"/>
    <w:rsid w:val="00D0221A"/>
    <w:rsid w:val="00D023EF"/>
    <w:rsid w:val="00D024B1"/>
    <w:rsid w:val="00D024B4"/>
    <w:rsid w:val="00D024E7"/>
    <w:rsid w:val="00D024FB"/>
    <w:rsid w:val="00D025A9"/>
    <w:rsid w:val="00D0260B"/>
    <w:rsid w:val="00D026C1"/>
    <w:rsid w:val="00D02756"/>
    <w:rsid w:val="00D0289B"/>
    <w:rsid w:val="00D029DB"/>
    <w:rsid w:val="00D02B3A"/>
    <w:rsid w:val="00D02B42"/>
    <w:rsid w:val="00D02B8B"/>
    <w:rsid w:val="00D02BBD"/>
    <w:rsid w:val="00D02BD7"/>
    <w:rsid w:val="00D02D1F"/>
    <w:rsid w:val="00D02D4B"/>
    <w:rsid w:val="00D02F0B"/>
    <w:rsid w:val="00D02F24"/>
    <w:rsid w:val="00D030CA"/>
    <w:rsid w:val="00D0315F"/>
    <w:rsid w:val="00D031AB"/>
    <w:rsid w:val="00D03362"/>
    <w:rsid w:val="00D033D4"/>
    <w:rsid w:val="00D03403"/>
    <w:rsid w:val="00D034FB"/>
    <w:rsid w:val="00D03516"/>
    <w:rsid w:val="00D03573"/>
    <w:rsid w:val="00D03696"/>
    <w:rsid w:val="00D03698"/>
    <w:rsid w:val="00D037B2"/>
    <w:rsid w:val="00D03830"/>
    <w:rsid w:val="00D039CB"/>
    <w:rsid w:val="00D03C33"/>
    <w:rsid w:val="00D03C8F"/>
    <w:rsid w:val="00D03E18"/>
    <w:rsid w:val="00D03E62"/>
    <w:rsid w:val="00D03EA1"/>
    <w:rsid w:val="00D03EBB"/>
    <w:rsid w:val="00D03F38"/>
    <w:rsid w:val="00D03F3E"/>
    <w:rsid w:val="00D04151"/>
    <w:rsid w:val="00D0415D"/>
    <w:rsid w:val="00D041CF"/>
    <w:rsid w:val="00D04205"/>
    <w:rsid w:val="00D04227"/>
    <w:rsid w:val="00D04294"/>
    <w:rsid w:val="00D0429B"/>
    <w:rsid w:val="00D0441C"/>
    <w:rsid w:val="00D044E2"/>
    <w:rsid w:val="00D044F5"/>
    <w:rsid w:val="00D044FC"/>
    <w:rsid w:val="00D04525"/>
    <w:rsid w:val="00D04526"/>
    <w:rsid w:val="00D04742"/>
    <w:rsid w:val="00D04995"/>
    <w:rsid w:val="00D04A30"/>
    <w:rsid w:val="00D04AE9"/>
    <w:rsid w:val="00D04B0B"/>
    <w:rsid w:val="00D04D54"/>
    <w:rsid w:val="00D04D9A"/>
    <w:rsid w:val="00D04FB2"/>
    <w:rsid w:val="00D05152"/>
    <w:rsid w:val="00D0521B"/>
    <w:rsid w:val="00D0528F"/>
    <w:rsid w:val="00D052E1"/>
    <w:rsid w:val="00D05319"/>
    <w:rsid w:val="00D0537C"/>
    <w:rsid w:val="00D05384"/>
    <w:rsid w:val="00D054D9"/>
    <w:rsid w:val="00D0552F"/>
    <w:rsid w:val="00D0555B"/>
    <w:rsid w:val="00D05584"/>
    <w:rsid w:val="00D05658"/>
    <w:rsid w:val="00D05753"/>
    <w:rsid w:val="00D05795"/>
    <w:rsid w:val="00D05869"/>
    <w:rsid w:val="00D058AB"/>
    <w:rsid w:val="00D058EB"/>
    <w:rsid w:val="00D0594A"/>
    <w:rsid w:val="00D059D0"/>
    <w:rsid w:val="00D05A36"/>
    <w:rsid w:val="00D05ACC"/>
    <w:rsid w:val="00D05BD3"/>
    <w:rsid w:val="00D05D89"/>
    <w:rsid w:val="00D05E36"/>
    <w:rsid w:val="00D0607A"/>
    <w:rsid w:val="00D0609C"/>
    <w:rsid w:val="00D06215"/>
    <w:rsid w:val="00D062E0"/>
    <w:rsid w:val="00D062EB"/>
    <w:rsid w:val="00D06489"/>
    <w:rsid w:val="00D06652"/>
    <w:rsid w:val="00D066A6"/>
    <w:rsid w:val="00D068EB"/>
    <w:rsid w:val="00D06993"/>
    <w:rsid w:val="00D06AFB"/>
    <w:rsid w:val="00D06BD5"/>
    <w:rsid w:val="00D06C0C"/>
    <w:rsid w:val="00D06C50"/>
    <w:rsid w:val="00D06C89"/>
    <w:rsid w:val="00D06CE9"/>
    <w:rsid w:val="00D06CF5"/>
    <w:rsid w:val="00D06D24"/>
    <w:rsid w:val="00D06DA0"/>
    <w:rsid w:val="00D06DE6"/>
    <w:rsid w:val="00D06F4E"/>
    <w:rsid w:val="00D07049"/>
    <w:rsid w:val="00D07076"/>
    <w:rsid w:val="00D0708A"/>
    <w:rsid w:val="00D07120"/>
    <w:rsid w:val="00D0727A"/>
    <w:rsid w:val="00D0727C"/>
    <w:rsid w:val="00D0731F"/>
    <w:rsid w:val="00D07381"/>
    <w:rsid w:val="00D073A1"/>
    <w:rsid w:val="00D0742F"/>
    <w:rsid w:val="00D074A4"/>
    <w:rsid w:val="00D074E1"/>
    <w:rsid w:val="00D07521"/>
    <w:rsid w:val="00D0758D"/>
    <w:rsid w:val="00D075CE"/>
    <w:rsid w:val="00D076BA"/>
    <w:rsid w:val="00D07700"/>
    <w:rsid w:val="00D07705"/>
    <w:rsid w:val="00D077D2"/>
    <w:rsid w:val="00D0783A"/>
    <w:rsid w:val="00D07886"/>
    <w:rsid w:val="00D078BE"/>
    <w:rsid w:val="00D07987"/>
    <w:rsid w:val="00D07A3D"/>
    <w:rsid w:val="00D07B10"/>
    <w:rsid w:val="00D07B6A"/>
    <w:rsid w:val="00D07B83"/>
    <w:rsid w:val="00D07B91"/>
    <w:rsid w:val="00D07C70"/>
    <w:rsid w:val="00D07E05"/>
    <w:rsid w:val="00D07EF6"/>
    <w:rsid w:val="00D07F9B"/>
    <w:rsid w:val="00D07FA5"/>
    <w:rsid w:val="00D07FD6"/>
    <w:rsid w:val="00D100B8"/>
    <w:rsid w:val="00D10112"/>
    <w:rsid w:val="00D10189"/>
    <w:rsid w:val="00D102F2"/>
    <w:rsid w:val="00D103C2"/>
    <w:rsid w:val="00D10460"/>
    <w:rsid w:val="00D105AC"/>
    <w:rsid w:val="00D105CA"/>
    <w:rsid w:val="00D10613"/>
    <w:rsid w:val="00D1062A"/>
    <w:rsid w:val="00D106A4"/>
    <w:rsid w:val="00D1073E"/>
    <w:rsid w:val="00D107D2"/>
    <w:rsid w:val="00D108AB"/>
    <w:rsid w:val="00D10982"/>
    <w:rsid w:val="00D109B3"/>
    <w:rsid w:val="00D109E6"/>
    <w:rsid w:val="00D109E9"/>
    <w:rsid w:val="00D10A0F"/>
    <w:rsid w:val="00D10A7D"/>
    <w:rsid w:val="00D10AC0"/>
    <w:rsid w:val="00D10BA9"/>
    <w:rsid w:val="00D10D02"/>
    <w:rsid w:val="00D10D42"/>
    <w:rsid w:val="00D10DE1"/>
    <w:rsid w:val="00D10E93"/>
    <w:rsid w:val="00D10FD5"/>
    <w:rsid w:val="00D10FDE"/>
    <w:rsid w:val="00D10FEE"/>
    <w:rsid w:val="00D11081"/>
    <w:rsid w:val="00D111B8"/>
    <w:rsid w:val="00D11202"/>
    <w:rsid w:val="00D11225"/>
    <w:rsid w:val="00D11302"/>
    <w:rsid w:val="00D1130D"/>
    <w:rsid w:val="00D11418"/>
    <w:rsid w:val="00D114F8"/>
    <w:rsid w:val="00D1161C"/>
    <w:rsid w:val="00D11687"/>
    <w:rsid w:val="00D11847"/>
    <w:rsid w:val="00D118BA"/>
    <w:rsid w:val="00D118BD"/>
    <w:rsid w:val="00D118D1"/>
    <w:rsid w:val="00D11902"/>
    <w:rsid w:val="00D119B6"/>
    <w:rsid w:val="00D119C0"/>
    <w:rsid w:val="00D11A33"/>
    <w:rsid w:val="00D11C80"/>
    <w:rsid w:val="00D11D18"/>
    <w:rsid w:val="00D11D29"/>
    <w:rsid w:val="00D11D3A"/>
    <w:rsid w:val="00D11E3F"/>
    <w:rsid w:val="00D11E5E"/>
    <w:rsid w:val="00D11F59"/>
    <w:rsid w:val="00D12007"/>
    <w:rsid w:val="00D120F0"/>
    <w:rsid w:val="00D121C9"/>
    <w:rsid w:val="00D12427"/>
    <w:rsid w:val="00D125C4"/>
    <w:rsid w:val="00D12688"/>
    <w:rsid w:val="00D1299B"/>
    <w:rsid w:val="00D12A51"/>
    <w:rsid w:val="00D12AC1"/>
    <w:rsid w:val="00D12CFE"/>
    <w:rsid w:val="00D12EE8"/>
    <w:rsid w:val="00D12EFD"/>
    <w:rsid w:val="00D12F57"/>
    <w:rsid w:val="00D13030"/>
    <w:rsid w:val="00D1307B"/>
    <w:rsid w:val="00D1321D"/>
    <w:rsid w:val="00D1334A"/>
    <w:rsid w:val="00D13387"/>
    <w:rsid w:val="00D136E9"/>
    <w:rsid w:val="00D13735"/>
    <w:rsid w:val="00D137ED"/>
    <w:rsid w:val="00D137F6"/>
    <w:rsid w:val="00D137FA"/>
    <w:rsid w:val="00D1391A"/>
    <w:rsid w:val="00D13A31"/>
    <w:rsid w:val="00D13B49"/>
    <w:rsid w:val="00D13C58"/>
    <w:rsid w:val="00D13DBF"/>
    <w:rsid w:val="00D13F8A"/>
    <w:rsid w:val="00D140FB"/>
    <w:rsid w:val="00D14384"/>
    <w:rsid w:val="00D143C9"/>
    <w:rsid w:val="00D144DB"/>
    <w:rsid w:val="00D146C4"/>
    <w:rsid w:val="00D14756"/>
    <w:rsid w:val="00D14850"/>
    <w:rsid w:val="00D14881"/>
    <w:rsid w:val="00D14A91"/>
    <w:rsid w:val="00D14ABB"/>
    <w:rsid w:val="00D14B99"/>
    <w:rsid w:val="00D14CD0"/>
    <w:rsid w:val="00D14D0A"/>
    <w:rsid w:val="00D14D76"/>
    <w:rsid w:val="00D14F0F"/>
    <w:rsid w:val="00D14FBB"/>
    <w:rsid w:val="00D15010"/>
    <w:rsid w:val="00D1531F"/>
    <w:rsid w:val="00D1541B"/>
    <w:rsid w:val="00D1543B"/>
    <w:rsid w:val="00D15485"/>
    <w:rsid w:val="00D15587"/>
    <w:rsid w:val="00D155D1"/>
    <w:rsid w:val="00D156A3"/>
    <w:rsid w:val="00D157D2"/>
    <w:rsid w:val="00D157D6"/>
    <w:rsid w:val="00D158C2"/>
    <w:rsid w:val="00D1599C"/>
    <w:rsid w:val="00D15A09"/>
    <w:rsid w:val="00D15B54"/>
    <w:rsid w:val="00D15BB7"/>
    <w:rsid w:val="00D15BE8"/>
    <w:rsid w:val="00D15C36"/>
    <w:rsid w:val="00D15CF3"/>
    <w:rsid w:val="00D15DA8"/>
    <w:rsid w:val="00D15F34"/>
    <w:rsid w:val="00D15F66"/>
    <w:rsid w:val="00D1607D"/>
    <w:rsid w:val="00D161AF"/>
    <w:rsid w:val="00D16279"/>
    <w:rsid w:val="00D162C0"/>
    <w:rsid w:val="00D162E0"/>
    <w:rsid w:val="00D162EE"/>
    <w:rsid w:val="00D162F1"/>
    <w:rsid w:val="00D16433"/>
    <w:rsid w:val="00D166A3"/>
    <w:rsid w:val="00D166FF"/>
    <w:rsid w:val="00D168CC"/>
    <w:rsid w:val="00D16904"/>
    <w:rsid w:val="00D16920"/>
    <w:rsid w:val="00D16AF1"/>
    <w:rsid w:val="00D16B60"/>
    <w:rsid w:val="00D16BE9"/>
    <w:rsid w:val="00D16C35"/>
    <w:rsid w:val="00D16D09"/>
    <w:rsid w:val="00D16E02"/>
    <w:rsid w:val="00D16ED0"/>
    <w:rsid w:val="00D16EE4"/>
    <w:rsid w:val="00D16FD1"/>
    <w:rsid w:val="00D17089"/>
    <w:rsid w:val="00D172AE"/>
    <w:rsid w:val="00D1732D"/>
    <w:rsid w:val="00D173AA"/>
    <w:rsid w:val="00D175BC"/>
    <w:rsid w:val="00D175C8"/>
    <w:rsid w:val="00D17617"/>
    <w:rsid w:val="00D1769B"/>
    <w:rsid w:val="00D1771C"/>
    <w:rsid w:val="00D17734"/>
    <w:rsid w:val="00D17796"/>
    <w:rsid w:val="00D177A8"/>
    <w:rsid w:val="00D17868"/>
    <w:rsid w:val="00D17888"/>
    <w:rsid w:val="00D17C27"/>
    <w:rsid w:val="00D17CBE"/>
    <w:rsid w:val="00D17D9A"/>
    <w:rsid w:val="00D17E35"/>
    <w:rsid w:val="00D17E4F"/>
    <w:rsid w:val="00D17E63"/>
    <w:rsid w:val="00D201A7"/>
    <w:rsid w:val="00D20295"/>
    <w:rsid w:val="00D20371"/>
    <w:rsid w:val="00D2043C"/>
    <w:rsid w:val="00D2046D"/>
    <w:rsid w:val="00D2048A"/>
    <w:rsid w:val="00D204C7"/>
    <w:rsid w:val="00D2055A"/>
    <w:rsid w:val="00D207C5"/>
    <w:rsid w:val="00D208FF"/>
    <w:rsid w:val="00D2093F"/>
    <w:rsid w:val="00D2096D"/>
    <w:rsid w:val="00D209D7"/>
    <w:rsid w:val="00D20B64"/>
    <w:rsid w:val="00D20BBC"/>
    <w:rsid w:val="00D20C38"/>
    <w:rsid w:val="00D20D1A"/>
    <w:rsid w:val="00D20D8F"/>
    <w:rsid w:val="00D20E24"/>
    <w:rsid w:val="00D20E99"/>
    <w:rsid w:val="00D210C4"/>
    <w:rsid w:val="00D21179"/>
    <w:rsid w:val="00D211A0"/>
    <w:rsid w:val="00D2123B"/>
    <w:rsid w:val="00D212D3"/>
    <w:rsid w:val="00D21363"/>
    <w:rsid w:val="00D213EA"/>
    <w:rsid w:val="00D215F6"/>
    <w:rsid w:val="00D21664"/>
    <w:rsid w:val="00D21717"/>
    <w:rsid w:val="00D2173C"/>
    <w:rsid w:val="00D217B3"/>
    <w:rsid w:val="00D21873"/>
    <w:rsid w:val="00D21992"/>
    <w:rsid w:val="00D21B07"/>
    <w:rsid w:val="00D21B83"/>
    <w:rsid w:val="00D21BA1"/>
    <w:rsid w:val="00D21BDB"/>
    <w:rsid w:val="00D21C23"/>
    <w:rsid w:val="00D21E65"/>
    <w:rsid w:val="00D21F03"/>
    <w:rsid w:val="00D21F55"/>
    <w:rsid w:val="00D21FF5"/>
    <w:rsid w:val="00D22041"/>
    <w:rsid w:val="00D222E9"/>
    <w:rsid w:val="00D2255E"/>
    <w:rsid w:val="00D22677"/>
    <w:rsid w:val="00D226B8"/>
    <w:rsid w:val="00D22B93"/>
    <w:rsid w:val="00D22D9B"/>
    <w:rsid w:val="00D22ED5"/>
    <w:rsid w:val="00D22EDF"/>
    <w:rsid w:val="00D22EF6"/>
    <w:rsid w:val="00D22F32"/>
    <w:rsid w:val="00D22FF4"/>
    <w:rsid w:val="00D2305D"/>
    <w:rsid w:val="00D230ED"/>
    <w:rsid w:val="00D2314B"/>
    <w:rsid w:val="00D23176"/>
    <w:rsid w:val="00D2319C"/>
    <w:rsid w:val="00D23216"/>
    <w:rsid w:val="00D23298"/>
    <w:rsid w:val="00D232C5"/>
    <w:rsid w:val="00D2342F"/>
    <w:rsid w:val="00D234F5"/>
    <w:rsid w:val="00D235E6"/>
    <w:rsid w:val="00D23679"/>
    <w:rsid w:val="00D2373E"/>
    <w:rsid w:val="00D237F4"/>
    <w:rsid w:val="00D238B7"/>
    <w:rsid w:val="00D238EC"/>
    <w:rsid w:val="00D238FE"/>
    <w:rsid w:val="00D2397F"/>
    <w:rsid w:val="00D23A92"/>
    <w:rsid w:val="00D23B6C"/>
    <w:rsid w:val="00D23BE5"/>
    <w:rsid w:val="00D23CDF"/>
    <w:rsid w:val="00D23EB5"/>
    <w:rsid w:val="00D23F1D"/>
    <w:rsid w:val="00D23F50"/>
    <w:rsid w:val="00D2401A"/>
    <w:rsid w:val="00D2421D"/>
    <w:rsid w:val="00D24285"/>
    <w:rsid w:val="00D2428F"/>
    <w:rsid w:val="00D2447A"/>
    <w:rsid w:val="00D244AF"/>
    <w:rsid w:val="00D2451F"/>
    <w:rsid w:val="00D24708"/>
    <w:rsid w:val="00D24740"/>
    <w:rsid w:val="00D24825"/>
    <w:rsid w:val="00D248E9"/>
    <w:rsid w:val="00D249A6"/>
    <w:rsid w:val="00D24B28"/>
    <w:rsid w:val="00D24B3A"/>
    <w:rsid w:val="00D24BE1"/>
    <w:rsid w:val="00D24D29"/>
    <w:rsid w:val="00D24E61"/>
    <w:rsid w:val="00D251F7"/>
    <w:rsid w:val="00D25328"/>
    <w:rsid w:val="00D25366"/>
    <w:rsid w:val="00D2546D"/>
    <w:rsid w:val="00D2548E"/>
    <w:rsid w:val="00D254BA"/>
    <w:rsid w:val="00D254F1"/>
    <w:rsid w:val="00D25595"/>
    <w:rsid w:val="00D2563C"/>
    <w:rsid w:val="00D25888"/>
    <w:rsid w:val="00D259E5"/>
    <w:rsid w:val="00D259F0"/>
    <w:rsid w:val="00D259FE"/>
    <w:rsid w:val="00D25A35"/>
    <w:rsid w:val="00D25AEB"/>
    <w:rsid w:val="00D25B07"/>
    <w:rsid w:val="00D25BCD"/>
    <w:rsid w:val="00D25DBB"/>
    <w:rsid w:val="00D25DDA"/>
    <w:rsid w:val="00D25EBD"/>
    <w:rsid w:val="00D25F18"/>
    <w:rsid w:val="00D25FDD"/>
    <w:rsid w:val="00D26082"/>
    <w:rsid w:val="00D2611B"/>
    <w:rsid w:val="00D26290"/>
    <w:rsid w:val="00D262C5"/>
    <w:rsid w:val="00D26534"/>
    <w:rsid w:val="00D2667F"/>
    <w:rsid w:val="00D26809"/>
    <w:rsid w:val="00D26921"/>
    <w:rsid w:val="00D269C1"/>
    <w:rsid w:val="00D26A6E"/>
    <w:rsid w:val="00D26B2B"/>
    <w:rsid w:val="00D26BD4"/>
    <w:rsid w:val="00D26BF2"/>
    <w:rsid w:val="00D26BF5"/>
    <w:rsid w:val="00D26C34"/>
    <w:rsid w:val="00D26C6A"/>
    <w:rsid w:val="00D26CC4"/>
    <w:rsid w:val="00D26CF0"/>
    <w:rsid w:val="00D26D7B"/>
    <w:rsid w:val="00D26DD5"/>
    <w:rsid w:val="00D26DF5"/>
    <w:rsid w:val="00D27049"/>
    <w:rsid w:val="00D270B2"/>
    <w:rsid w:val="00D27132"/>
    <w:rsid w:val="00D27176"/>
    <w:rsid w:val="00D2729A"/>
    <w:rsid w:val="00D276AE"/>
    <w:rsid w:val="00D276DD"/>
    <w:rsid w:val="00D27868"/>
    <w:rsid w:val="00D27876"/>
    <w:rsid w:val="00D27A14"/>
    <w:rsid w:val="00D27A77"/>
    <w:rsid w:val="00D27B4D"/>
    <w:rsid w:val="00D27BCA"/>
    <w:rsid w:val="00D27BFE"/>
    <w:rsid w:val="00D27C99"/>
    <w:rsid w:val="00D27D74"/>
    <w:rsid w:val="00D27EAC"/>
    <w:rsid w:val="00D27EF4"/>
    <w:rsid w:val="00D27F12"/>
    <w:rsid w:val="00D27F15"/>
    <w:rsid w:val="00D3008C"/>
    <w:rsid w:val="00D3012D"/>
    <w:rsid w:val="00D3021F"/>
    <w:rsid w:val="00D30305"/>
    <w:rsid w:val="00D303C8"/>
    <w:rsid w:val="00D30549"/>
    <w:rsid w:val="00D30567"/>
    <w:rsid w:val="00D30574"/>
    <w:rsid w:val="00D305DD"/>
    <w:rsid w:val="00D3062D"/>
    <w:rsid w:val="00D30814"/>
    <w:rsid w:val="00D3095F"/>
    <w:rsid w:val="00D30A1B"/>
    <w:rsid w:val="00D30AA6"/>
    <w:rsid w:val="00D30B24"/>
    <w:rsid w:val="00D30BBD"/>
    <w:rsid w:val="00D30D61"/>
    <w:rsid w:val="00D30F20"/>
    <w:rsid w:val="00D30FBC"/>
    <w:rsid w:val="00D30FDB"/>
    <w:rsid w:val="00D310B2"/>
    <w:rsid w:val="00D31116"/>
    <w:rsid w:val="00D31153"/>
    <w:rsid w:val="00D3117E"/>
    <w:rsid w:val="00D3125A"/>
    <w:rsid w:val="00D31263"/>
    <w:rsid w:val="00D31387"/>
    <w:rsid w:val="00D313E9"/>
    <w:rsid w:val="00D3145C"/>
    <w:rsid w:val="00D31509"/>
    <w:rsid w:val="00D31533"/>
    <w:rsid w:val="00D3159D"/>
    <w:rsid w:val="00D31673"/>
    <w:rsid w:val="00D31809"/>
    <w:rsid w:val="00D3195B"/>
    <w:rsid w:val="00D31A83"/>
    <w:rsid w:val="00D31B9D"/>
    <w:rsid w:val="00D31BB3"/>
    <w:rsid w:val="00D31E1A"/>
    <w:rsid w:val="00D31E81"/>
    <w:rsid w:val="00D31F3C"/>
    <w:rsid w:val="00D31F7B"/>
    <w:rsid w:val="00D32348"/>
    <w:rsid w:val="00D323B9"/>
    <w:rsid w:val="00D32415"/>
    <w:rsid w:val="00D3244C"/>
    <w:rsid w:val="00D324D6"/>
    <w:rsid w:val="00D325DA"/>
    <w:rsid w:val="00D3272F"/>
    <w:rsid w:val="00D3278D"/>
    <w:rsid w:val="00D327B6"/>
    <w:rsid w:val="00D3280B"/>
    <w:rsid w:val="00D329C3"/>
    <w:rsid w:val="00D329FE"/>
    <w:rsid w:val="00D32A0B"/>
    <w:rsid w:val="00D32A88"/>
    <w:rsid w:val="00D32CF7"/>
    <w:rsid w:val="00D32E05"/>
    <w:rsid w:val="00D32E68"/>
    <w:rsid w:val="00D32EAB"/>
    <w:rsid w:val="00D32EAC"/>
    <w:rsid w:val="00D3309A"/>
    <w:rsid w:val="00D33246"/>
    <w:rsid w:val="00D33309"/>
    <w:rsid w:val="00D33314"/>
    <w:rsid w:val="00D333A1"/>
    <w:rsid w:val="00D333E8"/>
    <w:rsid w:val="00D334C8"/>
    <w:rsid w:val="00D33560"/>
    <w:rsid w:val="00D33596"/>
    <w:rsid w:val="00D33700"/>
    <w:rsid w:val="00D338ED"/>
    <w:rsid w:val="00D3393D"/>
    <w:rsid w:val="00D33A29"/>
    <w:rsid w:val="00D33B92"/>
    <w:rsid w:val="00D33BBA"/>
    <w:rsid w:val="00D33C5C"/>
    <w:rsid w:val="00D33CBB"/>
    <w:rsid w:val="00D33D56"/>
    <w:rsid w:val="00D33D73"/>
    <w:rsid w:val="00D33E0B"/>
    <w:rsid w:val="00D33E83"/>
    <w:rsid w:val="00D33F8E"/>
    <w:rsid w:val="00D33F96"/>
    <w:rsid w:val="00D34019"/>
    <w:rsid w:val="00D34046"/>
    <w:rsid w:val="00D34061"/>
    <w:rsid w:val="00D34072"/>
    <w:rsid w:val="00D3436E"/>
    <w:rsid w:val="00D34377"/>
    <w:rsid w:val="00D34406"/>
    <w:rsid w:val="00D3457E"/>
    <w:rsid w:val="00D345B2"/>
    <w:rsid w:val="00D34628"/>
    <w:rsid w:val="00D3466D"/>
    <w:rsid w:val="00D34767"/>
    <w:rsid w:val="00D3478D"/>
    <w:rsid w:val="00D347CD"/>
    <w:rsid w:val="00D34846"/>
    <w:rsid w:val="00D34A38"/>
    <w:rsid w:val="00D34AE2"/>
    <w:rsid w:val="00D34B80"/>
    <w:rsid w:val="00D34B99"/>
    <w:rsid w:val="00D34BB9"/>
    <w:rsid w:val="00D34D04"/>
    <w:rsid w:val="00D34F22"/>
    <w:rsid w:val="00D34FB7"/>
    <w:rsid w:val="00D3528C"/>
    <w:rsid w:val="00D352F3"/>
    <w:rsid w:val="00D35321"/>
    <w:rsid w:val="00D35435"/>
    <w:rsid w:val="00D35507"/>
    <w:rsid w:val="00D35524"/>
    <w:rsid w:val="00D355AE"/>
    <w:rsid w:val="00D355C9"/>
    <w:rsid w:val="00D355E1"/>
    <w:rsid w:val="00D3566F"/>
    <w:rsid w:val="00D356D0"/>
    <w:rsid w:val="00D3579F"/>
    <w:rsid w:val="00D35842"/>
    <w:rsid w:val="00D35847"/>
    <w:rsid w:val="00D3596E"/>
    <w:rsid w:val="00D359A4"/>
    <w:rsid w:val="00D35A28"/>
    <w:rsid w:val="00D35A53"/>
    <w:rsid w:val="00D35A5C"/>
    <w:rsid w:val="00D35BF2"/>
    <w:rsid w:val="00D35CE6"/>
    <w:rsid w:val="00D35E0E"/>
    <w:rsid w:val="00D35E45"/>
    <w:rsid w:val="00D35E4D"/>
    <w:rsid w:val="00D35E7A"/>
    <w:rsid w:val="00D35E96"/>
    <w:rsid w:val="00D35FA3"/>
    <w:rsid w:val="00D35FF7"/>
    <w:rsid w:val="00D360A4"/>
    <w:rsid w:val="00D36127"/>
    <w:rsid w:val="00D363A7"/>
    <w:rsid w:val="00D36401"/>
    <w:rsid w:val="00D364B6"/>
    <w:rsid w:val="00D36564"/>
    <w:rsid w:val="00D36622"/>
    <w:rsid w:val="00D36998"/>
    <w:rsid w:val="00D36AC1"/>
    <w:rsid w:val="00D36B68"/>
    <w:rsid w:val="00D36D8F"/>
    <w:rsid w:val="00D36DED"/>
    <w:rsid w:val="00D36E22"/>
    <w:rsid w:val="00D36E97"/>
    <w:rsid w:val="00D36F10"/>
    <w:rsid w:val="00D36FED"/>
    <w:rsid w:val="00D3709B"/>
    <w:rsid w:val="00D37157"/>
    <w:rsid w:val="00D37183"/>
    <w:rsid w:val="00D371B0"/>
    <w:rsid w:val="00D371CC"/>
    <w:rsid w:val="00D37275"/>
    <w:rsid w:val="00D37311"/>
    <w:rsid w:val="00D37321"/>
    <w:rsid w:val="00D373A2"/>
    <w:rsid w:val="00D373B3"/>
    <w:rsid w:val="00D37605"/>
    <w:rsid w:val="00D37743"/>
    <w:rsid w:val="00D377D8"/>
    <w:rsid w:val="00D378B1"/>
    <w:rsid w:val="00D37933"/>
    <w:rsid w:val="00D37CCD"/>
    <w:rsid w:val="00D37E56"/>
    <w:rsid w:val="00D37E97"/>
    <w:rsid w:val="00D37ECD"/>
    <w:rsid w:val="00D37F65"/>
    <w:rsid w:val="00D37FA8"/>
    <w:rsid w:val="00D37FAB"/>
    <w:rsid w:val="00D4017C"/>
    <w:rsid w:val="00D4033F"/>
    <w:rsid w:val="00D40368"/>
    <w:rsid w:val="00D405E5"/>
    <w:rsid w:val="00D407B3"/>
    <w:rsid w:val="00D4092A"/>
    <w:rsid w:val="00D40A08"/>
    <w:rsid w:val="00D40A12"/>
    <w:rsid w:val="00D40CCB"/>
    <w:rsid w:val="00D40CEB"/>
    <w:rsid w:val="00D40D2D"/>
    <w:rsid w:val="00D40D5D"/>
    <w:rsid w:val="00D40F6D"/>
    <w:rsid w:val="00D4112A"/>
    <w:rsid w:val="00D41145"/>
    <w:rsid w:val="00D4126E"/>
    <w:rsid w:val="00D413A4"/>
    <w:rsid w:val="00D41547"/>
    <w:rsid w:val="00D4168A"/>
    <w:rsid w:val="00D4174B"/>
    <w:rsid w:val="00D4176A"/>
    <w:rsid w:val="00D41878"/>
    <w:rsid w:val="00D4195E"/>
    <w:rsid w:val="00D419F8"/>
    <w:rsid w:val="00D41AAC"/>
    <w:rsid w:val="00D41B23"/>
    <w:rsid w:val="00D41B3E"/>
    <w:rsid w:val="00D41B9B"/>
    <w:rsid w:val="00D41BFC"/>
    <w:rsid w:val="00D41C3F"/>
    <w:rsid w:val="00D41E5B"/>
    <w:rsid w:val="00D41E97"/>
    <w:rsid w:val="00D420FA"/>
    <w:rsid w:val="00D42369"/>
    <w:rsid w:val="00D4239D"/>
    <w:rsid w:val="00D423BF"/>
    <w:rsid w:val="00D42476"/>
    <w:rsid w:val="00D42506"/>
    <w:rsid w:val="00D425A0"/>
    <w:rsid w:val="00D425F3"/>
    <w:rsid w:val="00D42671"/>
    <w:rsid w:val="00D4267A"/>
    <w:rsid w:val="00D4282A"/>
    <w:rsid w:val="00D42868"/>
    <w:rsid w:val="00D428A8"/>
    <w:rsid w:val="00D429B6"/>
    <w:rsid w:val="00D42BF8"/>
    <w:rsid w:val="00D42C1E"/>
    <w:rsid w:val="00D42C31"/>
    <w:rsid w:val="00D42C88"/>
    <w:rsid w:val="00D42D78"/>
    <w:rsid w:val="00D42D87"/>
    <w:rsid w:val="00D42DCB"/>
    <w:rsid w:val="00D42E6E"/>
    <w:rsid w:val="00D42EBB"/>
    <w:rsid w:val="00D432D3"/>
    <w:rsid w:val="00D43312"/>
    <w:rsid w:val="00D436FD"/>
    <w:rsid w:val="00D438A5"/>
    <w:rsid w:val="00D43A9B"/>
    <w:rsid w:val="00D43BDD"/>
    <w:rsid w:val="00D43C13"/>
    <w:rsid w:val="00D43C57"/>
    <w:rsid w:val="00D43CBA"/>
    <w:rsid w:val="00D43E2B"/>
    <w:rsid w:val="00D43E74"/>
    <w:rsid w:val="00D43F94"/>
    <w:rsid w:val="00D44070"/>
    <w:rsid w:val="00D440EE"/>
    <w:rsid w:val="00D44154"/>
    <w:rsid w:val="00D44339"/>
    <w:rsid w:val="00D4433C"/>
    <w:rsid w:val="00D4463A"/>
    <w:rsid w:val="00D447BE"/>
    <w:rsid w:val="00D4482A"/>
    <w:rsid w:val="00D448F0"/>
    <w:rsid w:val="00D4495F"/>
    <w:rsid w:val="00D449B6"/>
    <w:rsid w:val="00D44A41"/>
    <w:rsid w:val="00D44A48"/>
    <w:rsid w:val="00D44B5C"/>
    <w:rsid w:val="00D44B6A"/>
    <w:rsid w:val="00D44B81"/>
    <w:rsid w:val="00D44BCC"/>
    <w:rsid w:val="00D44C9C"/>
    <w:rsid w:val="00D44DE9"/>
    <w:rsid w:val="00D45076"/>
    <w:rsid w:val="00D45239"/>
    <w:rsid w:val="00D453BB"/>
    <w:rsid w:val="00D45453"/>
    <w:rsid w:val="00D454F0"/>
    <w:rsid w:val="00D455D4"/>
    <w:rsid w:val="00D455F2"/>
    <w:rsid w:val="00D455F3"/>
    <w:rsid w:val="00D4563C"/>
    <w:rsid w:val="00D459FA"/>
    <w:rsid w:val="00D459FD"/>
    <w:rsid w:val="00D45A17"/>
    <w:rsid w:val="00D45BB4"/>
    <w:rsid w:val="00D45C93"/>
    <w:rsid w:val="00D45ED5"/>
    <w:rsid w:val="00D45FD8"/>
    <w:rsid w:val="00D45FDF"/>
    <w:rsid w:val="00D46091"/>
    <w:rsid w:val="00D460C9"/>
    <w:rsid w:val="00D46131"/>
    <w:rsid w:val="00D462F1"/>
    <w:rsid w:val="00D463B0"/>
    <w:rsid w:val="00D46400"/>
    <w:rsid w:val="00D4645F"/>
    <w:rsid w:val="00D46514"/>
    <w:rsid w:val="00D4654B"/>
    <w:rsid w:val="00D465C8"/>
    <w:rsid w:val="00D46628"/>
    <w:rsid w:val="00D4662F"/>
    <w:rsid w:val="00D46634"/>
    <w:rsid w:val="00D466FC"/>
    <w:rsid w:val="00D467E3"/>
    <w:rsid w:val="00D4680F"/>
    <w:rsid w:val="00D46972"/>
    <w:rsid w:val="00D469F9"/>
    <w:rsid w:val="00D46A68"/>
    <w:rsid w:val="00D46B36"/>
    <w:rsid w:val="00D46BBF"/>
    <w:rsid w:val="00D46D37"/>
    <w:rsid w:val="00D46D5F"/>
    <w:rsid w:val="00D46E90"/>
    <w:rsid w:val="00D46F6B"/>
    <w:rsid w:val="00D46FAF"/>
    <w:rsid w:val="00D47066"/>
    <w:rsid w:val="00D4706C"/>
    <w:rsid w:val="00D47168"/>
    <w:rsid w:val="00D47229"/>
    <w:rsid w:val="00D47334"/>
    <w:rsid w:val="00D4736E"/>
    <w:rsid w:val="00D47523"/>
    <w:rsid w:val="00D476EA"/>
    <w:rsid w:val="00D47838"/>
    <w:rsid w:val="00D479A7"/>
    <w:rsid w:val="00D479D0"/>
    <w:rsid w:val="00D479F3"/>
    <w:rsid w:val="00D47A38"/>
    <w:rsid w:val="00D47B52"/>
    <w:rsid w:val="00D47BC1"/>
    <w:rsid w:val="00D47C6F"/>
    <w:rsid w:val="00D47CEA"/>
    <w:rsid w:val="00D47DEB"/>
    <w:rsid w:val="00D47DF6"/>
    <w:rsid w:val="00D47E81"/>
    <w:rsid w:val="00D47F03"/>
    <w:rsid w:val="00D47F5B"/>
    <w:rsid w:val="00D47FDE"/>
    <w:rsid w:val="00D4B0AE"/>
    <w:rsid w:val="00D4FF82"/>
    <w:rsid w:val="00D501E8"/>
    <w:rsid w:val="00D5025C"/>
    <w:rsid w:val="00D502BB"/>
    <w:rsid w:val="00D50431"/>
    <w:rsid w:val="00D50458"/>
    <w:rsid w:val="00D50477"/>
    <w:rsid w:val="00D50514"/>
    <w:rsid w:val="00D5052F"/>
    <w:rsid w:val="00D50566"/>
    <w:rsid w:val="00D505CB"/>
    <w:rsid w:val="00D50621"/>
    <w:rsid w:val="00D50698"/>
    <w:rsid w:val="00D506D2"/>
    <w:rsid w:val="00D507EB"/>
    <w:rsid w:val="00D50802"/>
    <w:rsid w:val="00D5083C"/>
    <w:rsid w:val="00D5099D"/>
    <w:rsid w:val="00D50AA6"/>
    <w:rsid w:val="00D50AFB"/>
    <w:rsid w:val="00D50C05"/>
    <w:rsid w:val="00D50C2D"/>
    <w:rsid w:val="00D50E7E"/>
    <w:rsid w:val="00D50EAC"/>
    <w:rsid w:val="00D50EE5"/>
    <w:rsid w:val="00D50EFF"/>
    <w:rsid w:val="00D510AD"/>
    <w:rsid w:val="00D5122D"/>
    <w:rsid w:val="00D513D5"/>
    <w:rsid w:val="00D513DB"/>
    <w:rsid w:val="00D513F1"/>
    <w:rsid w:val="00D514F5"/>
    <w:rsid w:val="00D5151C"/>
    <w:rsid w:val="00D516D1"/>
    <w:rsid w:val="00D51704"/>
    <w:rsid w:val="00D51871"/>
    <w:rsid w:val="00D51A3E"/>
    <w:rsid w:val="00D51A43"/>
    <w:rsid w:val="00D51A4D"/>
    <w:rsid w:val="00D51A77"/>
    <w:rsid w:val="00D51B80"/>
    <w:rsid w:val="00D51CA1"/>
    <w:rsid w:val="00D51D84"/>
    <w:rsid w:val="00D51EAE"/>
    <w:rsid w:val="00D51EF9"/>
    <w:rsid w:val="00D5208B"/>
    <w:rsid w:val="00D520BD"/>
    <w:rsid w:val="00D52152"/>
    <w:rsid w:val="00D5225F"/>
    <w:rsid w:val="00D522A6"/>
    <w:rsid w:val="00D52394"/>
    <w:rsid w:val="00D5239F"/>
    <w:rsid w:val="00D524CC"/>
    <w:rsid w:val="00D524F1"/>
    <w:rsid w:val="00D5267E"/>
    <w:rsid w:val="00D526F5"/>
    <w:rsid w:val="00D527F5"/>
    <w:rsid w:val="00D52866"/>
    <w:rsid w:val="00D529A1"/>
    <w:rsid w:val="00D52A39"/>
    <w:rsid w:val="00D52AD2"/>
    <w:rsid w:val="00D52B14"/>
    <w:rsid w:val="00D52B4F"/>
    <w:rsid w:val="00D52C4C"/>
    <w:rsid w:val="00D52CF1"/>
    <w:rsid w:val="00D52D20"/>
    <w:rsid w:val="00D52EA7"/>
    <w:rsid w:val="00D52FDF"/>
    <w:rsid w:val="00D52FE0"/>
    <w:rsid w:val="00D53060"/>
    <w:rsid w:val="00D5316C"/>
    <w:rsid w:val="00D531FF"/>
    <w:rsid w:val="00D5324D"/>
    <w:rsid w:val="00D532A7"/>
    <w:rsid w:val="00D5336A"/>
    <w:rsid w:val="00D53470"/>
    <w:rsid w:val="00D5348B"/>
    <w:rsid w:val="00D535A1"/>
    <w:rsid w:val="00D53771"/>
    <w:rsid w:val="00D537BB"/>
    <w:rsid w:val="00D537EF"/>
    <w:rsid w:val="00D53896"/>
    <w:rsid w:val="00D538B5"/>
    <w:rsid w:val="00D53911"/>
    <w:rsid w:val="00D53C36"/>
    <w:rsid w:val="00D53C93"/>
    <w:rsid w:val="00D53D63"/>
    <w:rsid w:val="00D53DA1"/>
    <w:rsid w:val="00D53E0D"/>
    <w:rsid w:val="00D53E1F"/>
    <w:rsid w:val="00D53E9B"/>
    <w:rsid w:val="00D53F4A"/>
    <w:rsid w:val="00D5416C"/>
    <w:rsid w:val="00D542B1"/>
    <w:rsid w:val="00D542DC"/>
    <w:rsid w:val="00D542E6"/>
    <w:rsid w:val="00D542FE"/>
    <w:rsid w:val="00D543DF"/>
    <w:rsid w:val="00D543F1"/>
    <w:rsid w:val="00D54422"/>
    <w:rsid w:val="00D5451D"/>
    <w:rsid w:val="00D54821"/>
    <w:rsid w:val="00D548F7"/>
    <w:rsid w:val="00D54970"/>
    <w:rsid w:val="00D549B6"/>
    <w:rsid w:val="00D54B8A"/>
    <w:rsid w:val="00D54BC9"/>
    <w:rsid w:val="00D54CB9"/>
    <w:rsid w:val="00D54D29"/>
    <w:rsid w:val="00D54E34"/>
    <w:rsid w:val="00D54EC5"/>
    <w:rsid w:val="00D55042"/>
    <w:rsid w:val="00D55380"/>
    <w:rsid w:val="00D553D0"/>
    <w:rsid w:val="00D554B6"/>
    <w:rsid w:val="00D554DE"/>
    <w:rsid w:val="00D5555C"/>
    <w:rsid w:val="00D55612"/>
    <w:rsid w:val="00D556B0"/>
    <w:rsid w:val="00D556E3"/>
    <w:rsid w:val="00D55721"/>
    <w:rsid w:val="00D5572E"/>
    <w:rsid w:val="00D5573A"/>
    <w:rsid w:val="00D55757"/>
    <w:rsid w:val="00D557D6"/>
    <w:rsid w:val="00D558FD"/>
    <w:rsid w:val="00D559C8"/>
    <w:rsid w:val="00D55AD2"/>
    <w:rsid w:val="00D55EC3"/>
    <w:rsid w:val="00D55ED7"/>
    <w:rsid w:val="00D55F89"/>
    <w:rsid w:val="00D56077"/>
    <w:rsid w:val="00D56080"/>
    <w:rsid w:val="00D560E7"/>
    <w:rsid w:val="00D561A8"/>
    <w:rsid w:val="00D5630F"/>
    <w:rsid w:val="00D56599"/>
    <w:rsid w:val="00D56615"/>
    <w:rsid w:val="00D5664B"/>
    <w:rsid w:val="00D56676"/>
    <w:rsid w:val="00D567C9"/>
    <w:rsid w:val="00D567E4"/>
    <w:rsid w:val="00D5691B"/>
    <w:rsid w:val="00D569E8"/>
    <w:rsid w:val="00D56A4F"/>
    <w:rsid w:val="00D56A55"/>
    <w:rsid w:val="00D56AA6"/>
    <w:rsid w:val="00D56ABA"/>
    <w:rsid w:val="00D56B51"/>
    <w:rsid w:val="00D56D81"/>
    <w:rsid w:val="00D56DC7"/>
    <w:rsid w:val="00D56E1B"/>
    <w:rsid w:val="00D56F31"/>
    <w:rsid w:val="00D56FA7"/>
    <w:rsid w:val="00D570B2"/>
    <w:rsid w:val="00D57147"/>
    <w:rsid w:val="00D57158"/>
    <w:rsid w:val="00D5716E"/>
    <w:rsid w:val="00D57260"/>
    <w:rsid w:val="00D57278"/>
    <w:rsid w:val="00D572ED"/>
    <w:rsid w:val="00D57327"/>
    <w:rsid w:val="00D577A7"/>
    <w:rsid w:val="00D57847"/>
    <w:rsid w:val="00D57953"/>
    <w:rsid w:val="00D57A78"/>
    <w:rsid w:val="00D57B32"/>
    <w:rsid w:val="00D57BFD"/>
    <w:rsid w:val="00D57BFF"/>
    <w:rsid w:val="00D57C3B"/>
    <w:rsid w:val="00D57D48"/>
    <w:rsid w:val="00D57DCD"/>
    <w:rsid w:val="00D57E45"/>
    <w:rsid w:val="00D57E91"/>
    <w:rsid w:val="00D6003C"/>
    <w:rsid w:val="00D6012D"/>
    <w:rsid w:val="00D6018C"/>
    <w:rsid w:val="00D6027C"/>
    <w:rsid w:val="00D6036C"/>
    <w:rsid w:val="00D603B9"/>
    <w:rsid w:val="00D60493"/>
    <w:rsid w:val="00D604B3"/>
    <w:rsid w:val="00D608C8"/>
    <w:rsid w:val="00D60A4A"/>
    <w:rsid w:val="00D60A6A"/>
    <w:rsid w:val="00D60AC8"/>
    <w:rsid w:val="00D60B69"/>
    <w:rsid w:val="00D60B97"/>
    <w:rsid w:val="00D60BCD"/>
    <w:rsid w:val="00D60D28"/>
    <w:rsid w:val="00D60DC5"/>
    <w:rsid w:val="00D60FF9"/>
    <w:rsid w:val="00D6104A"/>
    <w:rsid w:val="00D612BD"/>
    <w:rsid w:val="00D612CE"/>
    <w:rsid w:val="00D61346"/>
    <w:rsid w:val="00D61515"/>
    <w:rsid w:val="00D61543"/>
    <w:rsid w:val="00D615DC"/>
    <w:rsid w:val="00D61621"/>
    <w:rsid w:val="00D617FA"/>
    <w:rsid w:val="00D6183B"/>
    <w:rsid w:val="00D6196C"/>
    <w:rsid w:val="00D619CC"/>
    <w:rsid w:val="00D61AFB"/>
    <w:rsid w:val="00D61B00"/>
    <w:rsid w:val="00D61B5B"/>
    <w:rsid w:val="00D61D76"/>
    <w:rsid w:val="00D61DCA"/>
    <w:rsid w:val="00D61ED2"/>
    <w:rsid w:val="00D61FC6"/>
    <w:rsid w:val="00D6213B"/>
    <w:rsid w:val="00D622CD"/>
    <w:rsid w:val="00D623F3"/>
    <w:rsid w:val="00D624C4"/>
    <w:rsid w:val="00D62698"/>
    <w:rsid w:val="00D62817"/>
    <w:rsid w:val="00D6284D"/>
    <w:rsid w:val="00D6287C"/>
    <w:rsid w:val="00D628BF"/>
    <w:rsid w:val="00D62B4F"/>
    <w:rsid w:val="00D62B72"/>
    <w:rsid w:val="00D62CF3"/>
    <w:rsid w:val="00D62DFA"/>
    <w:rsid w:val="00D62E17"/>
    <w:rsid w:val="00D62EE3"/>
    <w:rsid w:val="00D62EF4"/>
    <w:rsid w:val="00D62F9C"/>
    <w:rsid w:val="00D63123"/>
    <w:rsid w:val="00D63203"/>
    <w:rsid w:val="00D6320E"/>
    <w:rsid w:val="00D6327B"/>
    <w:rsid w:val="00D63308"/>
    <w:rsid w:val="00D63397"/>
    <w:rsid w:val="00D63484"/>
    <w:rsid w:val="00D634C7"/>
    <w:rsid w:val="00D63502"/>
    <w:rsid w:val="00D63520"/>
    <w:rsid w:val="00D63568"/>
    <w:rsid w:val="00D63585"/>
    <w:rsid w:val="00D635ED"/>
    <w:rsid w:val="00D63666"/>
    <w:rsid w:val="00D6367C"/>
    <w:rsid w:val="00D636A4"/>
    <w:rsid w:val="00D636CE"/>
    <w:rsid w:val="00D63736"/>
    <w:rsid w:val="00D63749"/>
    <w:rsid w:val="00D6374E"/>
    <w:rsid w:val="00D63865"/>
    <w:rsid w:val="00D63937"/>
    <w:rsid w:val="00D6398C"/>
    <w:rsid w:val="00D63CC8"/>
    <w:rsid w:val="00D63CFC"/>
    <w:rsid w:val="00D63D20"/>
    <w:rsid w:val="00D63D57"/>
    <w:rsid w:val="00D63D93"/>
    <w:rsid w:val="00D63F28"/>
    <w:rsid w:val="00D63F8F"/>
    <w:rsid w:val="00D63FAE"/>
    <w:rsid w:val="00D63FE8"/>
    <w:rsid w:val="00D64019"/>
    <w:rsid w:val="00D64320"/>
    <w:rsid w:val="00D6433E"/>
    <w:rsid w:val="00D64405"/>
    <w:rsid w:val="00D644EA"/>
    <w:rsid w:val="00D64564"/>
    <w:rsid w:val="00D6462F"/>
    <w:rsid w:val="00D6464E"/>
    <w:rsid w:val="00D64714"/>
    <w:rsid w:val="00D6473F"/>
    <w:rsid w:val="00D64778"/>
    <w:rsid w:val="00D647F8"/>
    <w:rsid w:val="00D64836"/>
    <w:rsid w:val="00D6489D"/>
    <w:rsid w:val="00D64993"/>
    <w:rsid w:val="00D64A0D"/>
    <w:rsid w:val="00D64A17"/>
    <w:rsid w:val="00D64AD8"/>
    <w:rsid w:val="00D64AE2"/>
    <w:rsid w:val="00D64B64"/>
    <w:rsid w:val="00D64B92"/>
    <w:rsid w:val="00D64C6C"/>
    <w:rsid w:val="00D64DAD"/>
    <w:rsid w:val="00D64DAE"/>
    <w:rsid w:val="00D64E0B"/>
    <w:rsid w:val="00D6504C"/>
    <w:rsid w:val="00D65273"/>
    <w:rsid w:val="00D65274"/>
    <w:rsid w:val="00D652BE"/>
    <w:rsid w:val="00D65363"/>
    <w:rsid w:val="00D65511"/>
    <w:rsid w:val="00D65523"/>
    <w:rsid w:val="00D6552A"/>
    <w:rsid w:val="00D6560F"/>
    <w:rsid w:val="00D656FB"/>
    <w:rsid w:val="00D65727"/>
    <w:rsid w:val="00D658AC"/>
    <w:rsid w:val="00D659A0"/>
    <w:rsid w:val="00D659E0"/>
    <w:rsid w:val="00D65A98"/>
    <w:rsid w:val="00D65AF4"/>
    <w:rsid w:val="00D65B44"/>
    <w:rsid w:val="00D65BBD"/>
    <w:rsid w:val="00D65C2C"/>
    <w:rsid w:val="00D65CAA"/>
    <w:rsid w:val="00D65DBE"/>
    <w:rsid w:val="00D65DC7"/>
    <w:rsid w:val="00D65E83"/>
    <w:rsid w:val="00D66068"/>
    <w:rsid w:val="00D66084"/>
    <w:rsid w:val="00D66103"/>
    <w:rsid w:val="00D661A4"/>
    <w:rsid w:val="00D66201"/>
    <w:rsid w:val="00D66265"/>
    <w:rsid w:val="00D662BF"/>
    <w:rsid w:val="00D66384"/>
    <w:rsid w:val="00D6638C"/>
    <w:rsid w:val="00D663EA"/>
    <w:rsid w:val="00D66522"/>
    <w:rsid w:val="00D66572"/>
    <w:rsid w:val="00D66863"/>
    <w:rsid w:val="00D66960"/>
    <w:rsid w:val="00D66A68"/>
    <w:rsid w:val="00D66B61"/>
    <w:rsid w:val="00D66CB7"/>
    <w:rsid w:val="00D66CD3"/>
    <w:rsid w:val="00D66D52"/>
    <w:rsid w:val="00D66DC2"/>
    <w:rsid w:val="00D66E34"/>
    <w:rsid w:val="00D66E5B"/>
    <w:rsid w:val="00D67106"/>
    <w:rsid w:val="00D67112"/>
    <w:rsid w:val="00D67147"/>
    <w:rsid w:val="00D671B7"/>
    <w:rsid w:val="00D671DE"/>
    <w:rsid w:val="00D67238"/>
    <w:rsid w:val="00D67255"/>
    <w:rsid w:val="00D673D4"/>
    <w:rsid w:val="00D67587"/>
    <w:rsid w:val="00D6768F"/>
    <w:rsid w:val="00D676B7"/>
    <w:rsid w:val="00D677BA"/>
    <w:rsid w:val="00D677E3"/>
    <w:rsid w:val="00D67820"/>
    <w:rsid w:val="00D6782C"/>
    <w:rsid w:val="00D67835"/>
    <w:rsid w:val="00D67889"/>
    <w:rsid w:val="00D678AB"/>
    <w:rsid w:val="00D67A9C"/>
    <w:rsid w:val="00D67B79"/>
    <w:rsid w:val="00D67C54"/>
    <w:rsid w:val="00D67C69"/>
    <w:rsid w:val="00D67C88"/>
    <w:rsid w:val="00D67D1B"/>
    <w:rsid w:val="00D68E13"/>
    <w:rsid w:val="00D70030"/>
    <w:rsid w:val="00D7005A"/>
    <w:rsid w:val="00D702EF"/>
    <w:rsid w:val="00D702F8"/>
    <w:rsid w:val="00D7034F"/>
    <w:rsid w:val="00D7035F"/>
    <w:rsid w:val="00D7036C"/>
    <w:rsid w:val="00D70419"/>
    <w:rsid w:val="00D704C2"/>
    <w:rsid w:val="00D70533"/>
    <w:rsid w:val="00D7067F"/>
    <w:rsid w:val="00D70724"/>
    <w:rsid w:val="00D70731"/>
    <w:rsid w:val="00D7073B"/>
    <w:rsid w:val="00D707D7"/>
    <w:rsid w:val="00D707EB"/>
    <w:rsid w:val="00D7083C"/>
    <w:rsid w:val="00D70A9E"/>
    <w:rsid w:val="00D70B6D"/>
    <w:rsid w:val="00D70B9C"/>
    <w:rsid w:val="00D70C18"/>
    <w:rsid w:val="00D70C85"/>
    <w:rsid w:val="00D70CF3"/>
    <w:rsid w:val="00D70E45"/>
    <w:rsid w:val="00D70FF3"/>
    <w:rsid w:val="00D7102D"/>
    <w:rsid w:val="00D7103F"/>
    <w:rsid w:val="00D71060"/>
    <w:rsid w:val="00D71175"/>
    <w:rsid w:val="00D71223"/>
    <w:rsid w:val="00D71304"/>
    <w:rsid w:val="00D71368"/>
    <w:rsid w:val="00D71376"/>
    <w:rsid w:val="00D713FA"/>
    <w:rsid w:val="00D714A9"/>
    <w:rsid w:val="00D714D1"/>
    <w:rsid w:val="00D71534"/>
    <w:rsid w:val="00D715B5"/>
    <w:rsid w:val="00D715FB"/>
    <w:rsid w:val="00D71786"/>
    <w:rsid w:val="00D717A7"/>
    <w:rsid w:val="00D7194F"/>
    <w:rsid w:val="00D71A32"/>
    <w:rsid w:val="00D71A68"/>
    <w:rsid w:val="00D71A7B"/>
    <w:rsid w:val="00D71BE7"/>
    <w:rsid w:val="00D71BE8"/>
    <w:rsid w:val="00D71D48"/>
    <w:rsid w:val="00D71E01"/>
    <w:rsid w:val="00D71E79"/>
    <w:rsid w:val="00D71EB4"/>
    <w:rsid w:val="00D72014"/>
    <w:rsid w:val="00D720D8"/>
    <w:rsid w:val="00D7210A"/>
    <w:rsid w:val="00D7218B"/>
    <w:rsid w:val="00D721AF"/>
    <w:rsid w:val="00D723FE"/>
    <w:rsid w:val="00D72531"/>
    <w:rsid w:val="00D7254C"/>
    <w:rsid w:val="00D72633"/>
    <w:rsid w:val="00D72675"/>
    <w:rsid w:val="00D72818"/>
    <w:rsid w:val="00D728E8"/>
    <w:rsid w:val="00D72974"/>
    <w:rsid w:val="00D729DB"/>
    <w:rsid w:val="00D72A2B"/>
    <w:rsid w:val="00D72A8E"/>
    <w:rsid w:val="00D72B2E"/>
    <w:rsid w:val="00D72B4A"/>
    <w:rsid w:val="00D72CE5"/>
    <w:rsid w:val="00D72DA0"/>
    <w:rsid w:val="00D72F49"/>
    <w:rsid w:val="00D73044"/>
    <w:rsid w:val="00D731C8"/>
    <w:rsid w:val="00D731E1"/>
    <w:rsid w:val="00D733C4"/>
    <w:rsid w:val="00D733D5"/>
    <w:rsid w:val="00D733F6"/>
    <w:rsid w:val="00D7342E"/>
    <w:rsid w:val="00D7344C"/>
    <w:rsid w:val="00D734A1"/>
    <w:rsid w:val="00D73501"/>
    <w:rsid w:val="00D7356E"/>
    <w:rsid w:val="00D735AF"/>
    <w:rsid w:val="00D73751"/>
    <w:rsid w:val="00D7378B"/>
    <w:rsid w:val="00D737AE"/>
    <w:rsid w:val="00D73862"/>
    <w:rsid w:val="00D738BC"/>
    <w:rsid w:val="00D7395F"/>
    <w:rsid w:val="00D73A9E"/>
    <w:rsid w:val="00D73B5B"/>
    <w:rsid w:val="00D73BD2"/>
    <w:rsid w:val="00D73C1A"/>
    <w:rsid w:val="00D73D87"/>
    <w:rsid w:val="00D73D9E"/>
    <w:rsid w:val="00D73E5B"/>
    <w:rsid w:val="00D73F8F"/>
    <w:rsid w:val="00D73FEC"/>
    <w:rsid w:val="00D74043"/>
    <w:rsid w:val="00D740A6"/>
    <w:rsid w:val="00D7415A"/>
    <w:rsid w:val="00D742BC"/>
    <w:rsid w:val="00D74300"/>
    <w:rsid w:val="00D743CD"/>
    <w:rsid w:val="00D7440B"/>
    <w:rsid w:val="00D74720"/>
    <w:rsid w:val="00D7489A"/>
    <w:rsid w:val="00D7491A"/>
    <w:rsid w:val="00D7498A"/>
    <w:rsid w:val="00D74A2C"/>
    <w:rsid w:val="00D74A31"/>
    <w:rsid w:val="00D74A70"/>
    <w:rsid w:val="00D74BC5"/>
    <w:rsid w:val="00D74C33"/>
    <w:rsid w:val="00D74D37"/>
    <w:rsid w:val="00D74E18"/>
    <w:rsid w:val="00D74EC2"/>
    <w:rsid w:val="00D74EDE"/>
    <w:rsid w:val="00D74F03"/>
    <w:rsid w:val="00D74F8E"/>
    <w:rsid w:val="00D7511E"/>
    <w:rsid w:val="00D75269"/>
    <w:rsid w:val="00D7531B"/>
    <w:rsid w:val="00D75325"/>
    <w:rsid w:val="00D75545"/>
    <w:rsid w:val="00D75798"/>
    <w:rsid w:val="00D757DB"/>
    <w:rsid w:val="00D75832"/>
    <w:rsid w:val="00D75A26"/>
    <w:rsid w:val="00D75B1D"/>
    <w:rsid w:val="00D75BF5"/>
    <w:rsid w:val="00D75C51"/>
    <w:rsid w:val="00D75E9C"/>
    <w:rsid w:val="00D75F95"/>
    <w:rsid w:val="00D7605E"/>
    <w:rsid w:val="00D7611B"/>
    <w:rsid w:val="00D762FE"/>
    <w:rsid w:val="00D7633D"/>
    <w:rsid w:val="00D76376"/>
    <w:rsid w:val="00D763A5"/>
    <w:rsid w:val="00D76401"/>
    <w:rsid w:val="00D765FF"/>
    <w:rsid w:val="00D76609"/>
    <w:rsid w:val="00D76646"/>
    <w:rsid w:val="00D768F9"/>
    <w:rsid w:val="00D7694A"/>
    <w:rsid w:val="00D76A96"/>
    <w:rsid w:val="00D76B08"/>
    <w:rsid w:val="00D76BB4"/>
    <w:rsid w:val="00D76C91"/>
    <w:rsid w:val="00D76F3F"/>
    <w:rsid w:val="00D77239"/>
    <w:rsid w:val="00D7732F"/>
    <w:rsid w:val="00D774C9"/>
    <w:rsid w:val="00D7755C"/>
    <w:rsid w:val="00D77571"/>
    <w:rsid w:val="00D77616"/>
    <w:rsid w:val="00D77630"/>
    <w:rsid w:val="00D77663"/>
    <w:rsid w:val="00D7768E"/>
    <w:rsid w:val="00D776B5"/>
    <w:rsid w:val="00D777AC"/>
    <w:rsid w:val="00D77803"/>
    <w:rsid w:val="00D77881"/>
    <w:rsid w:val="00D778B0"/>
    <w:rsid w:val="00D778BC"/>
    <w:rsid w:val="00D7793C"/>
    <w:rsid w:val="00D77947"/>
    <w:rsid w:val="00D779C2"/>
    <w:rsid w:val="00D77A10"/>
    <w:rsid w:val="00D77A63"/>
    <w:rsid w:val="00D77C03"/>
    <w:rsid w:val="00D77CEC"/>
    <w:rsid w:val="00D77D74"/>
    <w:rsid w:val="00D77E63"/>
    <w:rsid w:val="00D77EBA"/>
    <w:rsid w:val="00D77FED"/>
    <w:rsid w:val="00D8005F"/>
    <w:rsid w:val="00D8023B"/>
    <w:rsid w:val="00D80241"/>
    <w:rsid w:val="00D803A8"/>
    <w:rsid w:val="00D8040A"/>
    <w:rsid w:val="00D80460"/>
    <w:rsid w:val="00D80660"/>
    <w:rsid w:val="00D8099D"/>
    <w:rsid w:val="00D80A38"/>
    <w:rsid w:val="00D80C4F"/>
    <w:rsid w:val="00D80CBF"/>
    <w:rsid w:val="00D80E70"/>
    <w:rsid w:val="00D80FE8"/>
    <w:rsid w:val="00D8105B"/>
    <w:rsid w:val="00D81067"/>
    <w:rsid w:val="00D810A4"/>
    <w:rsid w:val="00D811AF"/>
    <w:rsid w:val="00D811CA"/>
    <w:rsid w:val="00D81227"/>
    <w:rsid w:val="00D81306"/>
    <w:rsid w:val="00D813BA"/>
    <w:rsid w:val="00D81453"/>
    <w:rsid w:val="00D81588"/>
    <w:rsid w:val="00D81606"/>
    <w:rsid w:val="00D81695"/>
    <w:rsid w:val="00D816F0"/>
    <w:rsid w:val="00D81703"/>
    <w:rsid w:val="00D8189B"/>
    <w:rsid w:val="00D819B8"/>
    <w:rsid w:val="00D819DF"/>
    <w:rsid w:val="00D81B4E"/>
    <w:rsid w:val="00D81C07"/>
    <w:rsid w:val="00D81C49"/>
    <w:rsid w:val="00D81D31"/>
    <w:rsid w:val="00D81E45"/>
    <w:rsid w:val="00D81E61"/>
    <w:rsid w:val="00D81E66"/>
    <w:rsid w:val="00D81EF6"/>
    <w:rsid w:val="00D81F35"/>
    <w:rsid w:val="00D8211D"/>
    <w:rsid w:val="00D82156"/>
    <w:rsid w:val="00D82258"/>
    <w:rsid w:val="00D822A1"/>
    <w:rsid w:val="00D8245B"/>
    <w:rsid w:val="00D82463"/>
    <w:rsid w:val="00D824CF"/>
    <w:rsid w:val="00D8255A"/>
    <w:rsid w:val="00D82580"/>
    <w:rsid w:val="00D82640"/>
    <w:rsid w:val="00D82979"/>
    <w:rsid w:val="00D82A0F"/>
    <w:rsid w:val="00D82AA2"/>
    <w:rsid w:val="00D82D59"/>
    <w:rsid w:val="00D82DA2"/>
    <w:rsid w:val="00D82DD0"/>
    <w:rsid w:val="00D82F6C"/>
    <w:rsid w:val="00D8303B"/>
    <w:rsid w:val="00D830F3"/>
    <w:rsid w:val="00D832A5"/>
    <w:rsid w:val="00D832B6"/>
    <w:rsid w:val="00D83300"/>
    <w:rsid w:val="00D833BD"/>
    <w:rsid w:val="00D83575"/>
    <w:rsid w:val="00D83669"/>
    <w:rsid w:val="00D83724"/>
    <w:rsid w:val="00D8386F"/>
    <w:rsid w:val="00D838DF"/>
    <w:rsid w:val="00D838FE"/>
    <w:rsid w:val="00D83941"/>
    <w:rsid w:val="00D8394F"/>
    <w:rsid w:val="00D83A83"/>
    <w:rsid w:val="00D83A94"/>
    <w:rsid w:val="00D83B81"/>
    <w:rsid w:val="00D83C3F"/>
    <w:rsid w:val="00D83C8B"/>
    <w:rsid w:val="00D83CF6"/>
    <w:rsid w:val="00D83E05"/>
    <w:rsid w:val="00D84093"/>
    <w:rsid w:val="00D84112"/>
    <w:rsid w:val="00D84138"/>
    <w:rsid w:val="00D841B5"/>
    <w:rsid w:val="00D84534"/>
    <w:rsid w:val="00D84588"/>
    <w:rsid w:val="00D846B5"/>
    <w:rsid w:val="00D84834"/>
    <w:rsid w:val="00D84933"/>
    <w:rsid w:val="00D8494F"/>
    <w:rsid w:val="00D84BDF"/>
    <w:rsid w:val="00D84C1E"/>
    <w:rsid w:val="00D84C4A"/>
    <w:rsid w:val="00D84D52"/>
    <w:rsid w:val="00D84DCF"/>
    <w:rsid w:val="00D84DF3"/>
    <w:rsid w:val="00D84EC0"/>
    <w:rsid w:val="00D84F06"/>
    <w:rsid w:val="00D850B7"/>
    <w:rsid w:val="00D85128"/>
    <w:rsid w:val="00D85136"/>
    <w:rsid w:val="00D851D9"/>
    <w:rsid w:val="00D8529A"/>
    <w:rsid w:val="00D85330"/>
    <w:rsid w:val="00D85349"/>
    <w:rsid w:val="00D8538E"/>
    <w:rsid w:val="00D85596"/>
    <w:rsid w:val="00D85611"/>
    <w:rsid w:val="00D856BC"/>
    <w:rsid w:val="00D85763"/>
    <w:rsid w:val="00D85880"/>
    <w:rsid w:val="00D85951"/>
    <w:rsid w:val="00D8596B"/>
    <w:rsid w:val="00D859CB"/>
    <w:rsid w:val="00D85A84"/>
    <w:rsid w:val="00D85ADF"/>
    <w:rsid w:val="00D85CE9"/>
    <w:rsid w:val="00D85D1A"/>
    <w:rsid w:val="00D860FF"/>
    <w:rsid w:val="00D86127"/>
    <w:rsid w:val="00D8613D"/>
    <w:rsid w:val="00D861EA"/>
    <w:rsid w:val="00D863A8"/>
    <w:rsid w:val="00D865D9"/>
    <w:rsid w:val="00D8668C"/>
    <w:rsid w:val="00D867C5"/>
    <w:rsid w:val="00D869B1"/>
    <w:rsid w:val="00D869C1"/>
    <w:rsid w:val="00D869E1"/>
    <w:rsid w:val="00D86A85"/>
    <w:rsid w:val="00D86B6A"/>
    <w:rsid w:val="00D86C55"/>
    <w:rsid w:val="00D86C5A"/>
    <w:rsid w:val="00D86C9B"/>
    <w:rsid w:val="00D86D73"/>
    <w:rsid w:val="00D86DCF"/>
    <w:rsid w:val="00D86ED7"/>
    <w:rsid w:val="00D8704D"/>
    <w:rsid w:val="00D8712B"/>
    <w:rsid w:val="00D8717A"/>
    <w:rsid w:val="00D872A0"/>
    <w:rsid w:val="00D872E6"/>
    <w:rsid w:val="00D874B5"/>
    <w:rsid w:val="00D874FD"/>
    <w:rsid w:val="00D87605"/>
    <w:rsid w:val="00D8774B"/>
    <w:rsid w:val="00D877C8"/>
    <w:rsid w:val="00D87A5C"/>
    <w:rsid w:val="00D87AE6"/>
    <w:rsid w:val="00D87BF8"/>
    <w:rsid w:val="00D87C7A"/>
    <w:rsid w:val="00D87D98"/>
    <w:rsid w:val="00D87F3D"/>
    <w:rsid w:val="00D87F6F"/>
    <w:rsid w:val="00D90085"/>
    <w:rsid w:val="00D900FB"/>
    <w:rsid w:val="00D90215"/>
    <w:rsid w:val="00D90347"/>
    <w:rsid w:val="00D904A3"/>
    <w:rsid w:val="00D904A5"/>
    <w:rsid w:val="00D9056B"/>
    <w:rsid w:val="00D90635"/>
    <w:rsid w:val="00D90637"/>
    <w:rsid w:val="00D90699"/>
    <w:rsid w:val="00D90785"/>
    <w:rsid w:val="00D90981"/>
    <w:rsid w:val="00D90A0D"/>
    <w:rsid w:val="00D90B61"/>
    <w:rsid w:val="00D90D14"/>
    <w:rsid w:val="00D90DA0"/>
    <w:rsid w:val="00D90DA9"/>
    <w:rsid w:val="00D90DDF"/>
    <w:rsid w:val="00D90DE6"/>
    <w:rsid w:val="00D90E32"/>
    <w:rsid w:val="00D90EB3"/>
    <w:rsid w:val="00D90FA2"/>
    <w:rsid w:val="00D910E9"/>
    <w:rsid w:val="00D9119E"/>
    <w:rsid w:val="00D911B0"/>
    <w:rsid w:val="00D913A9"/>
    <w:rsid w:val="00D914BE"/>
    <w:rsid w:val="00D91518"/>
    <w:rsid w:val="00D91576"/>
    <w:rsid w:val="00D91688"/>
    <w:rsid w:val="00D916CF"/>
    <w:rsid w:val="00D9187B"/>
    <w:rsid w:val="00D918D5"/>
    <w:rsid w:val="00D91922"/>
    <w:rsid w:val="00D91A19"/>
    <w:rsid w:val="00D91BFB"/>
    <w:rsid w:val="00D91C6C"/>
    <w:rsid w:val="00D91CB3"/>
    <w:rsid w:val="00D91D88"/>
    <w:rsid w:val="00D91E3B"/>
    <w:rsid w:val="00D9201E"/>
    <w:rsid w:val="00D920D6"/>
    <w:rsid w:val="00D922BD"/>
    <w:rsid w:val="00D923F5"/>
    <w:rsid w:val="00D923FF"/>
    <w:rsid w:val="00D924A9"/>
    <w:rsid w:val="00D924DB"/>
    <w:rsid w:val="00D926B6"/>
    <w:rsid w:val="00D92714"/>
    <w:rsid w:val="00D928BD"/>
    <w:rsid w:val="00D92908"/>
    <w:rsid w:val="00D92920"/>
    <w:rsid w:val="00D92982"/>
    <w:rsid w:val="00D929E4"/>
    <w:rsid w:val="00D92AA1"/>
    <w:rsid w:val="00D92B3E"/>
    <w:rsid w:val="00D92B59"/>
    <w:rsid w:val="00D92BDE"/>
    <w:rsid w:val="00D92C05"/>
    <w:rsid w:val="00D92DE1"/>
    <w:rsid w:val="00D92DE3"/>
    <w:rsid w:val="00D92E0B"/>
    <w:rsid w:val="00D92EFA"/>
    <w:rsid w:val="00D9317A"/>
    <w:rsid w:val="00D932A1"/>
    <w:rsid w:val="00D932CD"/>
    <w:rsid w:val="00D9340B"/>
    <w:rsid w:val="00D93425"/>
    <w:rsid w:val="00D93448"/>
    <w:rsid w:val="00D9353D"/>
    <w:rsid w:val="00D93561"/>
    <w:rsid w:val="00D935D7"/>
    <w:rsid w:val="00D935ED"/>
    <w:rsid w:val="00D93649"/>
    <w:rsid w:val="00D93841"/>
    <w:rsid w:val="00D9387A"/>
    <w:rsid w:val="00D93961"/>
    <w:rsid w:val="00D93B0D"/>
    <w:rsid w:val="00D93B4A"/>
    <w:rsid w:val="00D93B97"/>
    <w:rsid w:val="00D93C5B"/>
    <w:rsid w:val="00D93C7E"/>
    <w:rsid w:val="00D93E4A"/>
    <w:rsid w:val="00D93E8F"/>
    <w:rsid w:val="00D93EBE"/>
    <w:rsid w:val="00D93F16"/>
    <w:rsid w:val="00D93FB9"/>
    <w:rsid w:val="00D94107"/>
    <w:rsid w:val="00D94140"/>
    <w:rsid w:val="00D94188"/>
    <w:rsid w:val="00D9423B"/>
    <w:rsid w:val="00D94261"/>
    <w:rsid w:val="00D9433A"/>
    <w:rsid w:val="00D9438C"/>
    <w:rsid w:val="00D94486"/>
    <w:rsid w:val="00D944D0"/>
    <w:rsid w:val="00D945E7"/>
    <w:rsid w:val="00D946A2"/>
    <w:rsid w:val="00D946A4"/>
    <w:rsid w:val="00D946C1"/>
    <w:rsid w:val="00D948FA"/>
    <w:rsid w:val="00D94A6D"/>
    <w:rsid w:val="00D94C7F"/>
    <w:rsid w:val="00D94C94"/>
    <w:rsid w:val="00D94D44"/>
    <w:rsid w:val="00D94DCD"/>
    <w:rsid w:val="00D94E67"/>
    <w:rsid w:val="00D94E97"/>
    <w:rsid w:val="00D94EAB"/>
    <w:rsid w:val="00D94EEE"/>
    <w:rsid w:val="00D95146"/>
    <w:rsid w:val="00D95161"/>
    <w:rsid w:val="00D95173"/>
    <w:rsid w:val="00D951FA"/>
    <w:rsid w:val="00D9522F"/>
    <w:rsid w:val="00D95237"/>
    <w:rsid w:val="00D95294"/>
    <w:rsid w:val="00D95324"/>
    <w:rsid w:val="00D953E7"/>
    <w:rsid w:val="00D95468"/>
    <w:rsid w:val="00D956DF"/>
    <w:rsid w:val="00D95718"/>
    <w:rsid w:val="00D9574C"/>
    <w:rsid w:val="00D957C4"/>
    <w:rsid w:val="00D9581C"/>
    <w:rsid w:val="00D95887"/>
    <w:rsid w:val="00D958E0"/>
    <w:rsid w:val="00D959B1"/>
    <w:rsid w:val="00D95ADA"/>
    <w:rsid w:val="00D95AE3"/>
    <w:rsid w:val="00D95BAA"/>
    <w:rsid w:val="00D95C6D"/>
    <w:rsid w:val="00D95CAF"/>
    <w:rsid w:val="00D95CE3"/>
    <w:rsid w:val="00D95D35"/>
    <w:rsid w:val="00D95E6C"/>
    <w:rsid w:val="00D95EBF"/>
    <w:rsid w:val="00D9620F"/>
    <w:rsid w:val="00D9633C"/>
    <w:rsid w:val="00D963DA"/>
    <w:rsid w:val="00D9646F"/>
    <w:rsid w:val="00D96586"/>
    <w:rsid w:val="00D9667E"/>
    <w:rsid w:val="00D9669B"/>
    <w:rsid w:val="00D9669E"/>
    <w:rsid w:val="00D966FC"/>
    <w:rsid w:val="00D967A4"/>
    <w:rsid w:val="00D9681F"/>
    <w:rsid w:val="00D969A2"/>
    <w:rsid w:val="00D96A48"/>
    <w:rsid w:val="00D96ACD"/>
    <w:rsid w:val="00D96DB6"/>
    <w:rsid w:val="00D96DBB"/>
    <w:rsid w:val="00D96E5F"/>
    <w:rsid w:val="00D96F34"/>
    <w:rsid w:val="00D96FB5"/>
    <w:rsid w:val="00D96FE9"/>
    <w:rsid w:val="00D974E4"/>
    <w:rsid w:val="00D97693"/>
    <w:rsid w:val="00D9773D"/>
    <w:rsid w:val="00D977C2"/>
    <w:rsid w:val="00D97A0E"/>
    <w:rsid w:val="00D97A41"/>
    <w:rsid w:val="00D97A99"/>
    <w:rsid w:val="00D97B12"/>
    <w:rsid w:val="00D97B62"/>
    <w:rsid w:val="00D97DE5"/>
    <w:rsid w:val="00D97F08"/>
    <w:rsid w:val="00D97F95"/>
    <w:rsid w:val="00DA0017"/>
    <w:rsid w:val="00DA0114"/>
    <w:rsid w:val="00DA0164"/>
    <w:rsid w:val="00DA023D"/>
    <w:rsid w:val="00DA0358"/>
    <w:rsid w:val="00DA040A"/>
    <w:rsid w:val="00DA0435"/>
    <w:rsid w:val="00DA047D"/>
    <w:rsid w:val="00DA056E"/>
    <w:rsid w:val="00DA077A"/>
    <w:rsid w:val="00DA0794"/>
    <w:rsid w:val="00DA07C5"/>
    <w:rsid w:val="00DA0876"/>
    <w:rsid w:val="00DA08FE"/>
    <w:rsid w:val="00DA09E9"/>
    <w:rsid w:val="00DA0B5F"/>
    <w:rsid w:val="00DA0BFD"/>
    <w:rsid w:val="00DA0CCD"/>
    <w:rsid w:val="00DA0D00"/>
    <w:rsid w:val="00DA0DA3"/>
    <w:rsid w:val="00DA0DC7"/>
    <w:rsid w:val="00DA0DD7"/>
    <w:rsid w:val="00DA0E6C"/>
    <w:rsid w:val="00DA0EE0"/>
    <w:rsid w:val="00DA100D"/>
    <w:rsid w:val="00DA10F7"/>
    <w:rsid w:val="00DA113E"/>
    <w:rsid w:val="00DA124F"/>
    <w:rsid w:val="00DA1481"/>
    <w:rsid w:val="00DA14AD"/>
    <w:rsid w:val="00DA14BF"/>
    <w:rsid w:val="00DA14C7"/>
    <w:rsid w:val="00DA15A2"/>
    <w:rsid w:val="00DA15E7"/>
    <w:rsid w:val="00DA1674"/>
    <w:rsid w:val="00DA1748"/>
    <w:rsid w:val="00DA18BD"/>
    <w:rsid w:val="00DA1A6E"/>
    <w:rsid w:val="00DA1D5A"/>
    <w:rsid w:val="00DA1D63"/>
    <w:rsid w:val="00DA1F0F"/>
    <w:rsid w:val="00DA1F90"/>
    <w:rsid w:val="00DA2099"/>
    <w:rsid w:val="00DA21B5"/>
    <w:rsid w:val="00DA21D0"/>
    <w:rsid w:val="00DA22A3"/>
    <w:rsid w:val="00DA2300"/>
    <w:rsid w:val="00DA24E9"/>
    <w:rsid w:val="00DA25EE"/>
    <w:rsid w:val="00DA2649"/>
    <w:rsid w:val="00DA26A9"/>
    <w:rsid w:val="00DA26DD"/>
    <w:rsid w:val="00DA26E3"/>
    <w:rsid w:val="00DA270D"/>
    <w:rsid w:val="00DA2898"/>
    <w:rsid w:val="00DA28D3"/>
    <w:rsid w:val="00DA2965"/>
    <w:rsid w:val="00DA297C"/>
    <w:rsid w:val="00DA2989"/>
    <w:rsid w:val="00DA29A0"/>
    <w:rsid w:val="00DA2D31"/>
    <w:rsid w:val="00DA2E66"/>
    <w:rsid w:val="00DA2F4F"/>
    <w:rsid w:val="00DA2F50"/>
    <w:rsid w:val="00DA31AF"/>
    <w:rsid w:val="00DA31E8"/>
    <w:rsid w:val="00DA346A"/>
    <w:rsid w:val="00DA3526"/>
    <w:rsid w:val="00DA36B7"/>
    <w:rsid w:val="00DA38BA"/>
    <w:rsid w:val="00DA3955"/>
    <w:rsid w:val="00DA3962"/>
    <w:rsid w:val="00DA3ACD"/>
    <w:rsid w:val="00DA3C19"/>
    <w:rsid w:val="00DA3CDA"/>
    <w:rsid w:val="00DA3E5B"/>
    <w:rsid w:val="00DA3EF8"/>
    <w:rsid w:val="00DA3F63"/>
    <w:rsid w:val="00DA3FA5"/>
    <w:rsid w:val="00DA4022"/>
    <w:rsid w:val="00DA40D5"/>
    <w:rsid w:val="00DA4101"/>
    <w:rsid w:val="00DA41AC"/>
    <w:rsid w:val="00DA426F"/>
    <w:rsid w:val="00DA4360"/>
    <w:rsid w:val="00DA43D1"/>
    <w:rsid w:val="00DA4440"/>
    <w:rsid w:val="00DA44B9"/>
    <w:rsid w:val="00DA44D4"/>
    <w:rsid w:val="00DA44D9"/>
    <w:rsid w:val="00DA4518"/>
    <w:rsid w:val="00DA45FE"/>
    <w:rsid w:val="00DA468E"/>
    <w:rsid w:val="00DA473E"/>
    <w:rsid w:val="00DA47B5"/>
    <w:rsid w:val="00DA47F4"/>
    <w:rsid w:val="00DA4881"/>
    <w:rsid w:val="00DA48B5"/>
    <w:rsid w:val="00DA48B8"/>
    <w:rsid w:val="00DA4A96"/>
    <w:rsid w:val="00DA4AA3"/>
    <w:rsid w:val="00DA4B01"/>
    <w:rsid w:val="00DA4B20"/>
    <w:rsid w:val="00DA4C9A"/>
    <w:rsid w:val="00DA4FD2"/>
    <w:rsid w:val="00DA52A3"/>
    <w:rsid w:val="00DA52B1"/>
    <w:rsid w:val="00DA53A5"/>
    <w:rsid w:val="00DA5466"/>
    <w:rsid w:val="00DA5564"/>
    <w:rsid w:val="00DA5722"/>
    <w:rsid w:val="00DA574C"/>
    <w:rsid w:val="00DA579E"/>
    <w:rsid w:val="00DA5896"/>
    <w:rsid w:val="00DA5906"/>
    <w:rsid w:val="00DA5ABB"/>
    <w:rsid w:val="00DA5B6C"/>
    <w:rsid w:val="00DA5BC2"/>
    <w:rsid w:val="00DA5C2A"/>
    <w:rsid w:val="00DA5D41"/>
    <w:rsid w:val="00DA5ED8"/>
    <w:rsid w:val="00DA5F67"/>
    <w:rsid w:val="00DA5FCC"/>
    <w:rsid w:val="00DA6059"/>
    <w:rsid w:val="00DA60F9"/>
    <w:rsid w:val="00DA6198"/>
    <w:rsid w:val="00DA633B"/>
    <w:rsid w:val="00DA64B6"/>
    <w:rsid w:val="00DA64DB"/>
    <w:rsid w:val="00DA65E8"/>
    <w:rsid w:val="00DA6638"/>
    <w:rsid w:val="00DA663D"/>
    <w:rsid w:val="00DA667D"/>
    <w:rsid w:val="00DA675E"/>
    <w:rsid w:val="00DA6818"/>
    <w:rsid w:val="00DA681D"/>
    <w:rsid w:val="00DA6851"/>
    <w:rsid w:val="00DA68B5"/>
    <w:rsid w:val="00DA6934"/>
    <w:rsid w:val="00DA69B4"/>
    <w:rsid w:val="00DA69EF"/>
    <w:rsid w:val="00DA6A25"/>
    <w:rsid w:val="00DA6A8C"/>
    <w:rsid w:val="00DA6B11"/>
    <w:rsid w:val="00DA6B25"/>
    <w:rsid w:val="00DA6C03"/>
    <w:rsid w:val="00DA6C2E"/>
    <w:rsid w:val="00DA6E71"/>
    <w:rsid w:val="00DA6E86"/>
    <w:rsid w:val="00DA6EA6"/>
    <w:rsid w:val="00DA706F"/>
    <w:rsid w:val="00DA7215"/>
    <w:rsid w:val="00DA7347"/>
    <w:rsid w:val="00DA745E"/>
    <w:rsid w:val="00DA75D9"/>
    <w:rsid w:val="00DA76ED"/>
    <w:rsid w:val="00DA79CC"/>
    <w:rsid w:val="00DA7A50"/>
    <w:rsid w:val="00DA7AA0"/>
    <w:rsid w:val="00DA7AEE"/>
    <w:rsid w:val="00DA7AF8"/>
    <w:rsid w:val="00DA7B4F"/>
    <w:rsid w:val="00DA7BBE"/>
    <w:rsid w:val="00DA7D9B"/>
    <w:rsid w:val="00DA7E51"/>
    <w:rsid w:val="00DA7E73"/>
    <w:rsid w:val="00DA7F74"/>
    <w:rsid w:val="00DA7FF9"/>
    <w:rsid w:val="00DA8F5D"/>
    <w:rsid w:val="00DB0004"/>
    <w:rsid w:val="00DB0130"/>
    <w:rsid w:val="00DB0218"/>
    <w:rsid w:val="00DB0314"/>
    <w:rsid w:val="00DB04C8"/>
    <w:rsid w:val="00DB04E3"/>
    <w:rsid w:val="00DB04E4"/>
    <w:rsid w:val="00DB0642"/>
    <w:rsid w:val="00DB06D2"/>
    <w:rsid w:val="00DB07A8"/>
    <w:rsid w:val="00DB0930"/>
    <w:rsid w:val="00DB0A3F"/>
    <w:rsid w:val="00DB0ACD"/>
    <w:rsid w:val="00DB0B28"/>
    <w:rsid w:val="00DB0B30"/>
    <w:rsid w:val="00DB0CC1"/>
    <w:rsid w:val="00DB0CE6"/>
    <w:rsid w:val="00DB0D7D"/>
    <w:rsid w:val="00DB1067"/>
    <w:rsid w:val="00DB107C"/>
    <w:rsid w:val="00DB1080"/>
    <w:rsid w:val="00DB115D"/>
    <w:rsid w:val="00DB11F4"/>
    <w:rsid w:val="00DB122B"/>
    <w:rsid w:val="00DB13D3"/>
    <w:rsid w:val="00DB13EF"/>
    <w:rsid w:val="00DB1460"/>
    <w:rsid w:val="00DB1464"/>
    <w:rsid w:val="00DB14C1"/>
    <w:rsid w:val="00DB150C"/>
    <w:rsid w:val="00DB1569"/>
    <w:rsid w:val="00DB15E1"/>
    <w:rsid w:val="00DB1601"/>
    <w:rsid w:val="00DB1812"/>
    <w:rsid w:val="00DB18A2"/>
    <w:rsid w:val="00DB19E4"/>
    <w:rsid w:val="00DB1BCE"/>
    <w:rsid w:val="00DB1D0D"/>
    <w:rsid w:val="00DB1DF8"/>
    <w:rsid w:val="00DB1E68"/>
    <w:rsid w:val="00DB1F52"/>
    <w:rsid w:val="00DB230C"/>
    <w:rsid w:val="00DB2548"/>
    <w:rsid w:val="00DB256C"/>
    <w:rsid w:val="00DB25B8"/>
    <w:rsid w:val="00DB25C4"/>
    <w:rsid w:val="00DB264A"/>
    <w:rsid w:val="00DB269F"/>
    <w:rsid w:val="00DB2724"/>
    <w:rsid w:val="00DB2737"/>
    <w:rsid w:val="00DB2A00"/>
    <w:rsid w:val="00DB2AA9"/>
    <w:rsid w:val="00DB2D12"/>
    <w:rsid w:val="00DB2DD0"/>
    <w:rsid w:val="00DB2E21"/>
    <w:rsid w:val="00DB2F56"/>
    <w:rsid w:val="00DB2F88"/>
    <w:rsid w:val="00DB2F8A"/>
    <w:rsid w:val="00DB30A7"/>
    <w:rsid w:val="00DB30C1"/>
    <w:rsid w:val="00DB3127"/>
    <w:rsid w:val="00DB3271"/>
    <w:rsid w:val="00DB3526"/>
    <w:rsid w:val="00DB37B9"/>
    <w:rsid w:val="00DB3907"/>
    <w:rsid w:val="00DB3978"/>
    <w:rsid w:val="00DB39CC"/>
    <w:rsid w:val="00DB3A71"/>
    <w:rsid w:val="00DB3D99"/>
    <w:rsid w:val="00DB3ED3"/>
    <w:rsid w:val="00DB3F86"/>
    <w:rsid w:val="00DB4162"/>
    <w:rsid w:val="00DB4258"/>
    <w:rsid w:val="00DB432C"/>
    <w:rsid w:val="00DB4353"/>
    <w:rsid w:val="00DB46B5"/>
    <w:rsid w:val="00DB46B8"/>
    <w:rsid w:val="00DB46E7"/>
    <w:rsid w:val="00DB46F3"/>
    <w:rsid w:val="00DB474B"/>
    <w:rsid w:val="00DB4928"/>
    <w:rsid w:val="00DB4A6B"/>
    <w:rsid w:val="00DB4AFE"/>
    <w:rsid w:val="00DB4C6E"/>
    <w:rsid w:val="00DB4CD5"/>
    <w:rsid w:val="00DB4DE2"/>
    <w:rsid w:val="00DB4DF6"/>
    <w:rsid w:val="00DB4E72"/>
    <w:rsid w:val="00DB4EC2"/>
    <w:rsid w:val="00DB4EE1"/>
    <w:rsid w:val="00DB4F3F"/>
    <w:rsid w:val="00DB501B"/>
    <w:rsid w:val="00DB5106"/>
    <w:rsid w:val="00DB5114"/>
    <w:rsid w:val="00DB5124"/>
    <w:rsid w:val="00DB5257"/>
    <w:rsid w:val="00DB52DE"/>
    <w:rsid w:val="00DB5319"/>
    <w:rsid w:val="00DB53C3"/>
    <w:rsid w:val="00DB53F0"/>
    <w:rsid w:val="00DB53F2"/>
    <w:rsid w:val="00DB5468"/>
    <w:rsid w:val="00DB582A"/>
    <w:rsid w:val="00DB58E5"/>
    <w:rsid w:val="00DB5A9A"/>
    <w:rsid w:val="00DB5ADA"/>
    <w:rsid w:val="00DB5B22"/>
    <w:rsid w:val="00DB5C7F"/>
    <w:rsid w:val="00DB5D6B"/>
    <w:rsid w:val="00DB5EA8"/>
    <w:rsid w:val="00DB5F93"/>
    <w:rsid w:val="00DB6125"/>
    <w:rsid w:val="00DB61E7"/>
    <w:rsid w:val="00DB61F4"/>
    <w:rsid w:val="00DB62F7"/>
    <w:rsid w:val="00DB642B"/>
    <w:rsid w:val="00DB668A"/>
    <w:rsid w:val="00DB66AE"/>
    <w:rsid w:val="00DB6A7D"/>
    <w:rsid w:val="00DB6A98"/>
    <w:rsid w:val="00DB6CD1"/>
    <w:rsid w:val="00DB6D27"/>
    <w:rsid w:val="00DB6DAD"/>
    <w:rsid w:val="00DB6FD5"/>
    <w:rsid w:val="00DB704C"/>
    <w:rsid w:val="00DB70B3"/>
    <w:rsid w:val="00DB70F9"/>
    <w:rsid w:val="00DB71EA"/>
    <w:rsid w:val="00DB7278"/>
    <w:rsid w:val="00DB756B"/>
    <w:rsid w:val="00DB77BD"/>
    <w:rsid w:val="00DB781F"/>
    <w:rsid w:val="00DB78E3"/>
    <w:rsid w:val="00DB7950"/>
    <w:rsid w:val="00DB7AE2"/>
    <w:rsid w:val="00DB7B95"/>
    <w:rsid w:val="00DB7BBD"/>
    <w:rsid w:val="00DB7BD9"/>
    <w:rsid w:val="00DB7C8F"/>
    <w:rsid w:val="00DB7CBC"/>
    <w:rsid w:val="00DB7EF8"/>
    <w:rsid w:val="00DB7F86"/>
    <w:rsid w:val="00DC0203"/>
    <w:rsid w:val="00DC02AD"/>
    <w:rsid w:val="00DC032F"/>
    <w:rsid w:val="00DC03BD"/>
    <w:rsid w:val="00DC042C"/>
    <w:rsid w:val="00DC0592"/>
    <w:rsid w:val="00DC0946"/>
    <w:rsid w:val="00DC0A56"/>
    <w:rsid w:val="00DC0B56"/>
    <w:rsid w:val="00DC0CFE"/>
    <w:rsid w:val="00DC0D22"/>
    <w:rsid w:val="00DC0D63"/>
    <w:rsid w:val="00DC0E5F"/>
    <w:rsid w:val="00DC1061"/>
    <w:rsid w:val="00DC10CB"/>
    <w:rsid w:val="00DC12FE"/>
    <w:rsid w:val="00DC1356"/>
    <w:rsid w:val="00DC13DA"/>
    <w:rsid w:val="00DC1473"/>
    <w:rsid w:val="00DC15CE"/>
    <w:rsid w:val="00DC162A"/>
    <w:rsid w:val="00DC168E"/>
    <w:rsid w:val="00DC1754"/>
    <w:rsid w:val="00DC17F2"/>
    <w:rsid w:val="00DC18B9"/>
    <w:rsid w:val="00DC196B"/>
    <w:rsid w:val="00DC19D5"/>
    <w:rsid w:val="00DC1B78"/>
    <w:rsid w:val="00DC1CD1"/>
    <w:rsid w:val="00DC1D23"/>
    <w:rsid w:val="00DC1E49"/>
    <w:rsid w:val="00DC1EA6"/>
    <w:rsid w:val="00DC1F6D"/>
    <w:rsid w:val="00DC1FCD"/>
    <w:rsid w:val="00DC1FEF"/>
    <w:rsid w:val="00DC219C"/>
    <w:rsid w:val="00DC2261"/>
    <w:rsid w:val="00DC22DA"/>
    <w:rsid w:val="00DC236F"/>
    <w:rsid w:val="00DC2410"/>
    <w:rsid w:val="00DC2484"/>
    <w:rsid w:val="00DC260B"/>
    <w:rsid w:val="00DC270F"/>
    <w:rsid w:val="00DC276A"/>
    <w:rsid w:val="00DC27FF"/>
    <w:rsid w:val="00DC297D"/>
    <w:rsid w:val="00DC29C3"/>
    <w:rsid w:val="00DC2B3F"/>
    <w:rsid w:val="00DC2B6E"/>
    <w:rsid w:val="00DC2BC6"/>
    <w:rsid w:val="00DC2E77"/>
    <w:rsid w:val="00DC2F32"/>
    <w:rsid w:val="00DC2F64"/>
    <w:rsid w:val="00DC2FCF"/>
    <w:rsid w:val="00DC3199"/>
    <w:rsid w:val="00DC326B"/>
    <w:rsid w:val="00DC32CB"/>
    <w:rsid w:val="00DC33A7"/>
    <w:rsid w:val="00DC33AB"/>
    <w:rsid w:val="00DC33C5"/>
    <w:rsid w:val="00DC33EC"/>
    <w:rsid w:val="00DC344C"/>
    <w:rsid w:val="00DC3652"/>
    <w:rsid w:val="00DC369C"/>
    <w:rsid w:val="00DC371E"/>
    <w:rsid w:val="00DC384A"/>
    <w:rsid w:val="00DC39AB"/>
    <w:rsid w:val="00DC3B31"/>
    <w:rsid w:val="00DC3B52"/>
    <w:rsid w:val="00DC3B86"/>
    <w:rsid w:val="00DC3BB5"/>
    <w:rsid w:val="00DC3DD0"/>
    <w:rsid w:val="00DC3DDD"/>
    <w:rsid w:val="00DC3EA1"/>
    <w:rsid w:val="00DC3EC0"/>
    <w:rsid w:val="00DC3F47"/>
    <w:rsid w:val="00DC3F51"/>
    <w:rsid w:val="00DC3FF5"/>
    <w:rsid w:val="00DC420F"/>
    <w:rsid w:val="00DC4283"/>
    <w:rsid w:val="00DC434E"/>
    <w:rsid w:val="00DC4483"/>
    <w:rsid w:val="00DC463F"/>
    <w:rsid w:val="00DC46D5"/>
    <w:rsid w:val="00DC4774"/>
    <w:rsid w:val="00DC4AC6"/>
    <w:rsid w:val="00DC4B43"/>
    <w:rsid w:val="00DC4B60"/>
    <w:rsid w:val="00DC4B7A"/>
    <w:rsid w:val="00DC4C63"/>
    <w:rsid w:val="00DC4CE9"/>
    <w:rsid w:val="00DC4DB5"/>
    <w:rsid w:val="00DC4DFA"/>
    <w:rsid w:val="00DC5255"/>
    <w:rsid w:val="00DC544D"/>
    <w:rsid w:val="00DC544E"/>
    <w:rsid w:val="00DC54AD"/>
    <w:rsid w:val="00DC54E2"/>
    <w:rsid w:val="00DC5552"/>
    <w:rsid w:val="00DC5557"/>
    <w:rsid w:val="00DC5587"/>
    <w:rsid w:val="00DC5603"/>
    <w:rsid w:val="00DC56B7"/>
    <w:rsid w:val="00DC56D4"/>
    <w:rsid w:val="00DC58BD"/>
    <w:rsid w:val="00DC5924"/>
    <w:rsid w:val="00DC5A6E"/>
    <w:rsid w:val="00DC5AEC"/>
    <w:rsid w:val="00DC5B33"/>
    <w:rsid w:val="00DC5B44"/>
    <w:rsid w:val="00DC5CBC"/>
    <w:rsid w:val="00DC5FAA"/>
    <w:rsid w:val="00DC614E"/>
    <w:rsid w:val="00DC6220"/>
    <w:rsid w:val="00DC6240"/>
    <w:rsid w:val="00DC640C"/>
    <w:rsid w:val="00DC64B0"/>
    <w:rsid w:val="00DC64D8"/>
    <w:rsid w:val="00DC678F"/>
    <w:rsid w:val="00DC6910"/>
    <w:rsid w:val="00DC6A12"/>
    <w:rsid w:val="00DC6A63"/>
    <w:rsid w:val="00DC6A9E"/>
    <w:rsid w:val="00DC6BC5"/>
    <w:rsid w:val="00DC6C49"/>
    <w:rsid w:val="00DC6C66"/>
    <w:rsid w:val="00DC6C9B"/>
    <w:rsid w:val="00DC6CCE"/>
    <w:rsid w:val="00DC6D94"/>
    <w:rsid w:val="00DC6E13"/>
    <w:rsid w:val="00DC6F47"/>
    <w:rsid w:val="00DC70C3"/>
    <w:rsid w:val="00DC70F9"/>
    <w:rsid w:val="00DC711E"/>
    <w:rsid w:val="00DC7241"/>
    <w:rsid w:val="00DC724F"/>
    <w:rsid w:val="00DC7391"/>
    <w:rsid w:val="00DC7399"/>
    <w:rsid w:val="00DC752D"/>
    <w:rsid w:val="00DC7561"/>
    <w:rsid w:val="00DC7584"/>
    <w:rsid w:val="00DC75EB"/>
    <w:rsid w:val="00DC76BB"/>
    <w:rsid w:val="00DC7790"/>
    <w:rsid w:val="00DC7965"/>
    <w:rsid w:val="00DC79B0"/>
    <w:rsid w:val="00DC7A6F"/>
    <w:rsid w:val="00DC7B9C"/>
    <w:rsid w:val="00DC7BD9"/>
    <w:rsid w:val="00DC7CC5"/>
    <w:rsid w:val="00DC7CE7"/>
    <w:rsid w:val="00DC7D12"/>
    <w:rsid w:val="00DC7DC4"/>
    <w:rsid w:val="00DC7F4D"/>
    <w:rsid w:val="00DC7F5C"/>
    <w:rsid w:val="00DC7FC5"/>
    <w:rsid w:val="00DC9D6A"/>
    <w:rsid w:val="00DD001F"/>
    <w:rsid w:val="00DD00F1"/>
    <w:rsid w:val="00DD017F"/>
    <w:rsid w:val="00DD020A"/>
    <w:rsid w:val="00DD024E"/>
    <w:rsid w:val="00DD0259"/>
    <w:rsid w:val="00DD02CF"/>
    <w:rsid w:val="00DD0450"/>
    <w:rsid w:val="00DD057C"/>
    <w:rsid w:val="00DD0583"/>
    <w:rsid w:val="00DD061E"/>
    <w:rsid w:val="00DD064E"/>
    <w:rsid w:val="00DD0650"/>
    <w:rsid w:val="00DD067A"/>
    <w:rsid w:val="00DD0690"/>
    <w:rsid w:val="00DD072B"/>
    <w:rsid w:val="00DD0809"/>
    <w:rsid w:val="00DD0814"/>
    <w:rsid w:val="00DD082A"/>
    <w:rsid w:val="00DD091E"/>
    <w:rsid w:val="00DD095B"/>
    <w:rsid w:val="00DD09FD"/>
    <w:rsid w:val="00DD0A02"/>
    <w:rsid w:val="00DD0A1F"/>
    <w:rsid w:val="00DD0A74"/>
    <w:rsid w:val="00DD0B46"/>
    <w:rsid w:val="00DD0B67"/>
    <w:rsid w:val="00DD0DE4"/>
    <w:rsid w:val="00DD0E15"/>
    <w:rsid w:val="00DD0EDB"/>
    <w:rsid w:val="00DD0F8C"/>
    <w:rsid w:val="00DD1054"/>
    <w:rsid w:val="00DD1069"/>
    <w:rsid w:val="00DD11A5"/>
    <w:rsid w:val="00DD12BC"/>
    <w:rsid w:val="00DD1366"/>
    <w:rsid w:val="00DD169F"/>
    <w:rsid w:val="00DD1712"/>
    <w:rsid w:val="00DD179B"/>
    <w:rsid w:val="00DD18D4"/>
    <w:rsid w:val="00DD1A45"/>
    <w:rsid w:val="00DD1B05"/>
    <w:rsid w:val="00DD1B23"/>
    <w:rsid w:val="00DD1CA7"/>
    <w:rsid w:val="00DD1D7D"/>
    <w:rsid w:val="00DD1D86"/>
    <w:rsid w:val="00DD1DC2"/>
    <w:rsid w:val="00DD1EE6"/>
    <w:rsid w:val="00DD20CF"/>
    <w:rsid w:val="00DD20FE"/>
    <w:rsid w:val="00DD21B3"/>
    <w:rsid w:val="00DD22D9"/>
    <w:rsid w:val="00DD22FA"/>
    <w:rsid w:val="00DD2313"/>
    <w:rsid w:val="00DD23E8"/>
    <w:rsid w:val="00DD23FC"/>
    <w:rsid w:val="00DD2589"/>
    <w:rsid w:val="00DD275E"/>
    <w:rsid w:val="00DD27F2"/>
    <w:rsid w:val="00DD2826"/>
    <w:rsid w:val="00DD282A"/>
    <w:rsid w:val="00DD2937"/>
    <w:rsid w:val="00DD2AC0"/>
    <w:rsid w:val="00DD2B58"/>
    <w:rsid w:val="00DD2BCC"/>
    <w:rsid w:val="00DD2CB0"/>
    <w:rsid w:val="00DD2D2D"/>
    <w:rsid w:val="00DD2DD5"/>
    <w:rsid w:val="00DD2E12"/>
    <w:rsid w:val="00DD2E6E"/>
    <w:rsid w:val="00DD2F11"/>
    <w:rsid w:val="00DD2F14"/>
    <w:rsid w:val="00DD2FAB"/>
    <w:rsid w:val="00DD3083"/>
    <w:rsid w:val="00DD30D8"/>
    <w:rsid w:val="00DD324C"/>
    <w:rsid w:val="00DD3297"/>
    <w:rsid w:val="00DD32D6"/>
    <w:rsid w:val="00DD32FC"/>
    <w:rsid w:val="00DD33BB"/>
    <w:rsid w:val="00DD33DB"/>
    <w:rsid w:val="00DD38AF"/>
    <w:rsid w:val="00DD38DF"/>
    <w:rsid w:val="00DD39AE"/>
    <w:rsid w:val="00DD3A05"/>
    <w:rsid w:val="00DD3B9C"/>
    <w:rsid w:val="00DD3D33"/>
    <w:rsid w:val="00DD3E30"/>
    <w:rsid w:val="00DD3E60"/>
    <w:rsid w:val="00DD3E66"/>
    <w:rsid w:val="00DD3E9C"/>
    <w:rsid w:val="00DD4010"/>
    <w:rsid w:val="00DD4085"/>
    <w:rsid w:val="00DD40A2"/>
    <w:rsid w:val="00DD40B8"/>
    <w:rsid w:val="00DD40D5"/>
    <w:rsid w:val="00DD40E5"/>
    <w:rsid w:val="00DD4205"/>
    <w:rsid w:val="00DD423D"/>
    <w:rsid w:val="00DD423F"/>
    <w:rsid w:val="00DD45D3"/>
    <w:rsid w:val="00DD46B1"/>
    <w:rsid w:val="00DD4746"/>
    <w:rsid w:val="00DD4909"/>
    <w:rsid w:val="00DD4947"/>
    <w:rsid w:val="00DD4A43"/>
    <w:rsid w:val="00DD4A78"/>
    <w:rsid w:val="00DD4BFE"/>
    <w:rsid w:val="00DD4C6D"/>
    <w:rsid w:val="00DD4D15"/>
    <w:rsid w:val="00DD4D19"/>
    <w:rsid w:val="00DD4DA5"/>
    <w:rsid w:val="00DD4DE7"/>
    <w:rsid w:val="00DD4DFA"/>
    <w:rsid w:val="00DD4E5E"/>
    <w:rsid w:val="00DD4E80"/>
    <w:rsid w:val="00DD4FB0"/>
    <w:rsid w:val="00DD4FB7"/>
    <w:rsid w:val="00DD5096"/>
    <w:rsid w:val="00DD52F0"/>
    <w:rsid w:val="00DD5491"/>
    <w:rsid w:val="00DD54A4"/>
    <w:rsid w:val="00DD569E"/>
    <w:rsid w:val="00DD56B2"/>
    <w:rsid w:val="00DD56D1"/>
    <w:rsid w:val="00DD57E8"/>
    <w:rsid w:val="00DD59ED"/>
    <w:rsid w:val="00DD5A51"/>
    <w:rsid w:val="00DD5AAF"/>
    <w:rsid w:val="00DD5B3D"/>
    <w:rsid w:val="00DD5B9B"/>
    <w:rsid w:val="00DD5BAA"/>
    <w:rsid w:val="00DD5BAC"/>
    <w:rsid w:val="00DD5BCD"/>
    <w:rsid w:val="00DD5C62"/>
    <w:rsid w:val="00DD5D4F"/>
    <w:rsid w:val="00DD5D8C"/>
    <w:rsid w:val="00DD5E99"/>
    <w:rsid w:val="00DD5EF6"/>
    <w:rsid w:val="00DD600F"/>
    <w:rsid w:val="00DD60CF"/>
    <w:rsid w:val="00DD60E3"/>
    <w:rsid w:val="00DD6218"/>
    <w:rsid w:val="00DD6287"/>
    <w:rsid w:val="00DD62A6"/>
    <w:rsid w:val="00DD62B4"/>
    <w:rsid w:val="00DD62DF"/>
    <w:rsid w:val="00DD636D"/>
    <w:rsid w:val="00DD6502"/>
    <w:rsid w:val="00DD67AD"/>
    <w:rsid w:val="00DD6888"/>
    <w:rsid w:val="00DD6B0D"/>
    <w:rsid w:val="00DD6B1F"/>
    <w:rsid w:val="00DD6C09"/>
    <w:rsid w:val="00DD6F4A"/>
    <w:rsid w:val="00DD6FA0"/>
    <w:rsid w:val="00DD70B0"/>
    <w:rsid w:val="00DD718C"/>
    <w:rsid w:val="00DD71CB"/>
    <w:rsid w:val="00DD72B2"/>
    <w:rsid w:val="00DD7342"/>
    <w:rsid w:val="00DD743A"/>
    <w:rsid w:val="00DD7470"/>
    <w:rsid w:val="00DD74A6"/>
    <w:rsid w:val="00DD75F6"/>
    <w:rsid w:val="00DD7606"/>
    <w:rsid w:val="00DD7637"/>
    <w:rsid w:val="00DD765F"/>
    <w:rsid w:val="00DD77F4"/>
    <w:rsid w:val="00DD78A1"/>
    <w:rsid w:val="00DD7908"/>
    <w:rsid w:val="00DD79F8"/>
    <w:rsid w:val="00DD79F9"/>
    <w:rsid w:val="00DD7A9D"/>
    <w:rsid w:val="00DD7B7B"/>
    <w:rsid w:val="00DD7B9D"/>
    <w:rsid w:val="00DD7BD9"/>
    <w:rsid w:val="00DD7BDE"/>
    <w:rsid w:val="00DD7CDA"/>
    <w:rsid w:val="00DD7F1E"/>
    <w:rsid w:val="00DE00A0"/>
    <w:rsid w:val="00DE00E1"/>
    <w:rsid w:val="00DE014F"/>
    <w:rsid w:val="00DE01D9"/>
    <w:rsid w:val="00DE01F3"/>
    <w:rsid w:val="00DE0255"/>
    <w:rsid w:val="00DE02DC"/>
    <w:rsid w:val="00DE02EF"/>
    <w:rsid w:val="00DE0337"/>
    <w:rsid w:val="00DE044B"/>
    <w:rsid w:val="00DE045C"/>
    <w:rsid w:val="00DE04DD"/>
    <w:rsid w:val="00DE07B7"/>
    <w:rsid w:val="00DE0841"/>
    <w:rsid w:val="00DE08A1"/>
    <w:rsid w:val="00DE08BD"/>
    <w:rsid w:val="00DE0914"/>
    <w:rsid w:val="00DE0A99"/>
    <w:rsid w:val="00DE0B6F"/>
    <w:rsid w:val="00DE0C58"/>
    <w:rsid w:val="00DE0CCC"/>
    <w:rsid w:val="00DE0FAD"/>
    <w:rsid w:val="00DE11C3"/>
    <w:rsid w:val="00DE12C2"/>
    <w:rsid w:val="00DE136C"/>
    <w:rsid w:val="00DE13B0"/>
    <w:rsid w:val="00DE146D"/>
    <w:rsid w:val="00DE183E"/>
    <w:rsid w:val="00DE18CD"/>
    <w:rsid w:val="00DE18CF"/>
    <w:rsid w:val="00DE18EA"/>
    <w:rsid w:val="00DE1980"/>
    <w:rsid w:val="00DE1B25"/>
    <w:rsid w:val="00DE1B60"/>
    <w:rsid w:val="00DE1B97"/>
    <w:rsid w:val="00DE1BCB"/>
    <w:rsid w:val="00DE1C5A"/>
    <w:rsid w:val="00DE1CA1"/>
    <w:rsid w:val="00DE1CB8"/>
    <w:rsid w:val="00DE1D8D"/>
    <w:rsid w:val="00DE1D99"/>
    <w:rsid w:val="00DE1E4D"/>
    <w:rsid w:val="00DE1E70"/>
    <w:rsid w:val="00DE1E9F"/>
    <w:rsid w:val="00DE2084"/>
    <w:rsid w:val="00DE21F2"/>
    <w:rsid w:val="00DE225F"/>
    <w:rsid w:val="00DE22C7"/>
    <w:rsid w:val="00DE23FA"/>
    <w:rsid w:val="00DE24D2"/>
    <w:rsid w:val="00DE24D7"/>
    <w:rsid w:val="00DE2685"/>
    <w:rsid w:val="00DE26BC"/>
    <w:rsid w:val="00DE2726"/>
    <w:rsid w:val="00DE27D4"/>
    <w:rsid w:val="00DE2875"/>
    <w:rsid w:val="00DE28B0"/>
    <w:rsid w:val="00DE28D4"/>
    <w:rsid w:val="00DE2A86"/>
    <w:rsid w:val="00DE2AF3"/>
    <w:rsid w:val="00DE2C7E"/>
    <w:rsid w:val="00DE2CBE"/>
    <w:rsid w:val="00DE2CD8"/>
    <w:rsid w:val="00DE2DB9"/>
    <w:rsid w:val="00DE3188"/>
    <w:rsid w:val="00DE3192"/>
    <w:rsid w:val="00DE3238"/>
    <w:rsid w:val="00DE332D"/>
    <w:rsid w:val="00DE3394"/>
    <w:rsid w:val="00DE34FB"/>
    <w:rsid w:val="00DE363D"/>
    <w:rsid w:val="00DE36BC"/>
    <w:rsid w:val="00DE36EA"/>
    <w:rsid w:val="00DE37D5"/>
    <w:rsid w:val="00DE3A10"/>
    <w:rsid w:val="00DE3B79"/>
    <w:rsid w:val="00DE3B9E"/>
    <w:rsid w:val="00DE3BF7"/>
    <w:rsid w:val="00DE3C2B"/>
    <w:rsid w:val="00DE3C63"/>
    <w:rsid w:val="00DE3CE6"/>
    <w:rsid w:val="00DE3DA7"/>
    <w:rsid w:val="00DE3F10"/>
    <w:rsid w:val="00DE3FA1"/>
    <w:rsid w:val="00DE3FB2"/>
    <w:rsid w:val="00DE4004"/>
    <w:rsid w:val="00DE4186"/>
    <w:rsid w:val="00DE41DA"/>
    <w:rsid w:val="00DE42C0"/>
    <w:rsid w:val="00DE42FD"/>
    <w:rsid w:val="00DE4528"/>
    <w:rsid w:val="00DE452F"/>
    <w:rsid w:val="00DE455E"/>
    <w:rsid w:val="00DE45E6"/>
    <w:rsid w:val="00DE46E7"/>
    <w:rsid w:val="00DE48F8"/>
    <w:rsid w:val="00DE490A"/>
    <w:rsid w:val="00DE492D"/>
    <w:rsid w:val="00DE4B9B"/>
    <w:rsid w:val="00DE4BA2"/>
    <w:rsid w:val="00DE4D09"/>
    <w:rsid w:val="00DE4EF2"/>
    <w:rsid w:val="00DE5037"/>
    <w:rsid w:val="00DE515D"/>
    <w:rsid w:val="00DE515F"/>
    <w:rsid w:val="00DE51A1"/>
    <w:rsid w:val="00DE51F6"/>
    <w:rsid w:val="00DE529C"/>
    <w:rsid w:val="00DE536B"/>
    <w:rsid w:val="00DE5459"/>
    <w:rsid w:val="00DE54FC"/>
    <w:rsid w:val="00DE5689"/>
    <w:rsid w:val="00DE5720"/>
    <w:rsid w:val="00DE5758"/>
    <w:rsid w:val="00DE5782"/>
    <w:rsid w:val="00DE5903"/>
    <w:rsid w:val="00DE5917"/>
    <w:rsid w:val="00DE5AD7"/>
    <w:rsid w:val="00DE5B0C"/>
    <w:rsid w:val="00DE5B9D"/>
    <w:rsid w:val="00DE5BDE"/>
    <w:rsid w:val="00DE5CEC"/>
    <w:rsid w:val="00DE5D76"/>
    <w:rsid w:val="00DE5E04"/>
    <w:rsid w:val="00DE5E5C"/>
    <w:rsid w:val="00DE6029"/>
    <w:rsid w:val="00DE6066"/>
    <w:rsid w:val="00DE6091"/>
    <w:rsid w:val="00DE6154"/>
    <w:rsid w:val="00DE6191"/>
    <w:rsid w:val="00DE63B6"/>
    <w:rsid w:val="00DE63D0"/>
    <w:rsid w:val="00DE63D5"/>
    <w:rsid w:val="00DE6485"/>
    <w:rsid w:val="00DE6554"/>
    <w:rsid w:val="00DE66D2"/>
    <w:rsid w:val="00DE6731"/>
    <w:rsid w:val="00DE69C8"/>
    <w:rsid w:val="00DE6A82"/>
    <w:rsid w:val="00DE6ABB"/>
    <w:rsid w:val="00DE6AD5"/>
    <w:rsid w:val="00DE6EF1"/>
    <w:rsid w:val="00DE706C"/>
    <w:rsid w:val="00DE70BC"/>
    <w:rsid w:val="00DE71DA"/>
    <w:rsid w:val="00DE72B3"/>
    <w:rsid w:val="00DE7300"/>
    <w:rsid w:val="00DE7349"/>
    <w:rsid w:val="00DE7427"/>
    <w:rsid w:val="00DE743C"/>
    <w:rsid w:val="00DE770F"/>
    <w:rsid w:val="00DE783B"/>
    <w:rsid w:val="00DE79A8"/>
    <w:rsid w:val="00DE7A48"/>
    <w:rsid w:val="00DE7A93"/>
    <w:rsid w:val="00DE7A96"/>
    <w:rsid w:val="00DE7B27"/>
    <w:rsid w:val="00DE7B54"/>
    <w:rsid w:val="00DE7B75"/>
    <w:rsid w:val="00DE7BFE"/>
    <w:rsid w:val="00DE7C89"/>
    <w:rsid w:val="00DE7CC2"/>
    <w:rsid w:val="00DE7D05"/>
    <w:rsid w:val="00DE7D56"/>
    <w:rsid w:val="00DE7F43"/>
    <w:rsid w:val="00DE7FAC"/>
    <w:rsid w:val="00DF0062"/>
    <w:rsid w:val="00DF0093"/>
    <w:rsid w:val="00DF0179"/>
    <w:rsid w:val="00DF01A4"/>
    <w:rsid w:val="00DF026B"/>
    <w:rsid w:val="00DF02AF"/>
    <w:rsid w:val="00DF02F2"/>
    <w:rsid w:val="00DF048C"/>
    <w:rsid w:val="00DF04A6"/>
    <w:rsid w:val="00DF04B5"/>
    <w:rsid w:val="00DF04CA"/>
    <w:rsid w:val="00DF054A"/>
    <w:rsid w:val="00DF06BE"/>
    <w:rsid w:val="00DF0739"/>
    <w:rsid w:val="00DF0772"/>
    <w:rsid w:val="00DF07D8"/>
    <w:rsid w:val="00DF083C"/>
    <w:rsid w:val="00DF0A86"/>
    <w:rsid w:val="00DF0CE1"/>
    <w:rsid w:val="00DF0E70"/>
    <w:rsid w:val="00DF0F14"/>
    <w:rsid w:val="00DF1093"/>
    <w:rsid w:val="00DF10D6"/>
    <w:rsid w:val="00DF117F"/>
    <w:rsid w:val="00DF13A1"/>
    <w:rsid w:val="00DF1414"/>
    <w:rsid w:val="00DF144E"/>
    <w:rsid w:val="00DF14D2"/>
    <w:rsid w:val="00DF165D"/>
    <w:rsid w:val="00DF16BF"/>
    <w:rsid w:val="00DF1816"/>
    <w:rsid w:val="00DF1833"/>
    <w:rsid w:val="00DF19DB"/>
    <w:rsid w:val="00DF1B6A"/>
    <w:rsid w:val="00DF1B6F"/>
    <w:rsid w:val="00DF1BB9"/>
    <w:rsid w:val="00DF1BF0"/>
    <w:rsid w:val="00DF1C6E"/>
    <w:rsid w:val="00DF1DAA"/>
    <w:rsid w:val="00DF201B"/>
    <w:rsid w:val="00DF205E"/>
    <w:rsid w:val="00DF20B9"/>
    <w:rsid w:val="00DF220E"/>
    <w:rsid w:val="00DF23E2"/>
    <w:rsid w:val="00DF2423"/>
    <w:rsid w:val="00DF2469"/>
    <w:rsid w:val="00DF268B"/>
    <w:rsid w:val="00DF26E7"/>
    <w:rsid w:val="00DF2746"/>
    <w:rsid w:val="00DF2945"/>
    <w:rsid w:val="00DF2A86"/>
    <w:rsid w:val="00DF2AB9"/>
    <w:rsid w:val="00DF2B2A"/>
    <w:rsid w:val="00DF2B7D"/>
    <w:rsid w:val="00DF2CBE"/>
    <w:rsid w:val="00DF2E65"/>
    <w:rsid w:val="00DF303F"/>
    <w:rsid w:val="00DF30CD"/>
    <w:rsid w:val="00DF30F7"/>
    <w:rsid w:val="00DF318D"/>
    <w:rsid w:val="00DF3274"/>
    <w:rsid w:val="00DF33CE"/>
    <w:rsid w:val="00DF34A9"/>
    <w:rsid w:val="00DF3589"/>
    <w:rsid w:val="00DF365A"/>
    <w:rsid w:val="00DF3761"/>
    <w:rsid w:val="00DF37A2"/>
    <w:rsid w:val="00DF38A1"/>
    <w:rsid w:val="00DF38A7"/>
    <w:rsid w:val="00DF3903"/>
    <w:rsid w:val="00DF392A"/>
    <w:rsid w:val="00DF3A05"/>
    <w:rsid w:val="00DF3A6B"/>
    <w:rsid w:val="00DF3B56"/>
    <w:rsid w:val="00DF3C2D"/>
    <w:rsid w:val="00DF3C52"/>
    <w:rsid w:val="00DF3CB9"/>
    <w:rsid w:val="00DF3D1C"/>
    <w:rsid w:val="00DF3D72"/>
    <w:rsid w:val="00DF3DC9"/>
    <w:rsid w:val="00DF3E0B"/>
    <w:rsid w:val="00DF3E8A"/>
    <w:rsid w:val="00DF40A8"/>
    <w:rsid w:val="00DF42EA"/>
    <w:rsid w:val="00DF45A2"/>
    <w:rsid w:val="00DF4624"/>
    <w:rsid w:val="00DF4834"/>
    <w:rsid w:val="00DF489B"/>
    <w:rsid w:val="00DF4962"/>
    <w:rsid w:val="00DF4969"/>
    <w:rsid w:val="00DF4985"/>
    <w:rsid w:val="00DF4B09"/>
    <w:rsid w:val="00DF4BA2"/>
    <w:rsid w:val="00DF4D8E"/>
    <w:rsid w:val="00DF4F10"/>
    <w:rsid w:val="00DF4F69"/>
    <w:rsid w:val="00DF50B9"/>
    <w:rsid w:val="00DF50F3"/>
    <w:rsid w:val="00DF51BA"/>
    <w:rsid w:val="00DF5210"/>
    <w:rsid w:val="00DF52ED"/>
    <w:rsid w:val="00DF558D"/>
    <w:rsid w:val="00DF55AF"/>
    <w:rsid w:val="00DF5679"/>
    <w:rsid w:val="00DF57E9"/>
    <w:rsid w:val="00DF592E"/>
    <w:rsid w:val="00DF59B0"/>
    <w:rsid w:val="00DF59E0"/>
    <w:rsid w:val="00DF5B10"/>
    <w:rsid w:val="00DF5B2B"/>
    <w:rsid w:val="00DF5E6E"/>
    <w:rsid w:val="00DF60AB"/>
    <w:rsid w:val="00DF60C5"/>
    <w:rsid w:val="00DF61E2"/>
    <w:rsid w:val="00DF639A"/>
    <w:rsid w:val="00DF63AD"/>
    <w:rsid w:val="00DF6432"/>
    <w:rsid w:val="00DF658D"/>
    <w:rsid w:val="00DF658F"/>
    <w:rsid w:val="00DF65AD"/>
    <w:rsid w:val="00DF6616"/>
    <w:rsid w:val="00DF665B"/>
    <w:rsid w:val="00DF670C"/>
    <w:rsid w:val="00DF6713"/>
    <w:rsid w:val="00DF6795"/>
    <w:rsid w:val="00DF6820"/>
    <w:rsid w:val="00DF6B1F"/>
    <w:rsid w:val="00DF6CFC"/>
    <w:rsid w:val="00DF6D04"/>
    <w:rsid w:val="00DF6D30"/>
    <w:rsid w:val="00DF6E73"/>
    <w:rsid w:val="00DF6F3F"/>
    <w:rsid w:val="00DF70E2"/>
    <w:rsid w:val="00DF7106"/>
    <w:rsid w:val="00DF7167"/>
    <w:rsid w:val="00DF7172"/>
    <w:rsid w:val="00DF72BD"/>
    <w:rsid w:val="00DF72D6"/>
    <w:rsid w:val="00DF7354"/>
    <w:rsid w:val="00DF7442"/>
    <w:rsid w:val="00DF7492"/>
    <w:rsid w:val="00DF74CD"/>
    <w:rsid w:val="00DF78D5"/>
    <w:rsid w:val="00DF796E"/>
    <w:rsid w:val="00DF79E5"/>
    <w:rsid w:val="00DF7A1F"/>
    <w:rsid w:val="00DF7BF6"/>
    <w:rsid w:val="00DF7CC5"/>
    <w:rsid w:val="00DF7D0C"/>
    <w:rsid w:val="00DF7EE9"/>
    <w:rsid w:val="00DF7F79"/>
    <w:rsid w:val="00E0009C"/>
    <w:rsid w:val="00E00209"/>
    <w:rsid w:val="00E00416"/>
    <w:rsid w:val="00E0052A"/>
    <w:rsid w:val="00E00595"/>
    <w:rsid w:val="00E005D3"/>
    <w:rsid w:val="00E0079C"/>
    <w:rsid w:val="00E0094E"/>
    <w:rsid w:val="00E009AA"/>
    <w:rsid w:val="00E00A61"/>
    <w:rsid w:val="00E00BC5"/>
    <w:rsid w:val="00E00BCA"/>
    <w:rsid w:val="00E00C06"/>
    <w:rsid w:val="00E00CDE"/>
    <w:rsid w:val="00E00EF2"/>
    <w:rsid w:val="00E00EF5"/>
    <w:rsid w:val="00E00F9C"/>
    <w:rsid w:val="00E00FAB"/>
    <w:rsid w:val="00E011ED"/>
    <w:rsid w:val="00E01243"/>
    <w:rsid w:val="00E012EE"/>
    <w:rsid w:val="00E013ED"/>
    <w:rsid w:val="00E01481"/>
    <w:rsid w:val="00E01493"/>
    <w:rsid w:val="00E01499"/>
    <w:rsid w:val="00E014CF"/>
    <w:rsid w:val="00E016A8"/>
    <w:rsid w:val="00E0173E"/>
    <w:rsid w:val="00E01866"/>
    <w:rsid w:val="00E018A3"/>
    <w:rsid w:val="00E0198D"/>
    <w:rsid w:val="00E019FD"/>
    <w:rsid w:val="00E01B94"/>
    <w:rsid w:val="00E01BBF"/>
    <w:rsid w:val="00E01CCB"/>
    <w:rsid w:val="00E01D7B"/>
    <w:rsid w:val="00E01DB2"/>
    <w:rsid w:val="00E01EC7"/>
    <w:rsid w:val="00E01F1F"/>
    <w:rsid w:val="00E01F64"/>
    <w:rsid w:val="00E02033"/>
    <w:rsid w:val="00E020A7"/>
    <w:rsid w:val="00E0213F"/>
    <w:rsid w:val="00E02186"/>
    <w:rsid w:val="00E02392"/>
    <w:rsid w:val="00E0240F"/>
    <w:rsid w:val="00E024E5"/>
    <w:rsid w:val="00E0267B"/>
    <w:rsid w:val="00E026EF"/>
    <w:rsid w:val="00E0270A"/>
    <w:rsid w:val="00E02750"/>
    <w:rsid w:val="00E02A46"/>
    <w:rsid w:val="00E02AEC"/>
    <w:rsid w:val="00E02C04"/>
    <w:rsid w:val="00E02CF0"/>
    <w:rsid w:val="00E02D62"/>
    <w:rsid w:val="00E02D74"/>
    <w:rsid w:val="00E02E07"/>
    <w:rsid w:val="00E02E1B"/>
    <w:rsid w:val="00E0310D"/>
    <w:rsid w:val="00E03311"/>
    <w:rsid w:val="00E03324"/>
    <w:rsid w:val="00E033DE"/>
    <w:rsid w:val="00E033EF"/>
    <w:rsid w:val="00E035BF"/>
    <w:rsid w:val="00E03618"/>
    <w:rsid w:val="00E03637"/>
    <w:rsid w:val="00E0378A"/>
    <w:rsid w:val="00E038ED"/>
    <w:rsid w:val="00E039F8"/>
    <w:rsid w:val="00E03BA7"/>
    <w:rsid w:val="00E03BD0"/>
    <w:rsid w:val="00E03C5A"/>
    <w:rsid w:val="00E03CCD"/>
    <w:rsid w:val="00E03DFF"/>
    <w:rsid w:val="00E03E19"/>
    <w:rsid w:val="00E03E94"/>
    <w:rsid w:val="00E041A5"/>
    <w:rsid w:val="00E0433D"/>
    <w:rsid w:val="00E043E2"/>
    <w:rsid w:val="00E04421"/>
    <w:rsid w:val="00E046D1"/>
    <w:rsid w:val="00E046FC"/>
    <w:rsid w:val="00E04717"/>
    <w:rsid w:val="00E04902"/>
    <w:rsid w:val="00E04916"/>
    <w:rsid w:val="00E049DA"/>
    <w:rsid w:val="00E049E4"/>
    <w:rsid w:val="00E04A07"/>
    <w:rsid w:val="00E04B51"/>
    <w:rsid w:val="00E04BBB"/>
    <w:rsid w:val="00E04CAE"/>
    <w:rsid w:val="00E04D4A"/>
    <w:rsid w:val="00E04D77"/>
    <w:rsid w:val="00E04E93"/>
    <w:rsid w:val="00E04EA7"/>
    <w:rsid w:val="00E04EAD"/>
    <w:rsid w:val="00E04ECA"/>
    <w:rsid w:val="00E04F34"/>
    <w:rsid w:val="00E04F5B"/>
    <w:rsid w:val="00E0539C"/>
    <w:rsid w:val="00E053C6"/>
    <w:rsid w:val="00E053F3"/>
    <w:rsid w:val="00E05605"/>
    <w:rsid w:val="00E05612"/>
    <w:rsid w:val="00E05818"/>
    <w:rsid w:val="00E05850"/>
    <w:rsid w:val="00E0594B"/>
    <w:rsid w:val="00E05A6A"/>
    <w:rsid w:val="00E05AD2"/>
    <w:rsid w:val="00E05C12"/>
    <w:rsid w:val="00E05C8C"/>
    <w:rsid w:val="00E05D83"/>
    <w:rsid w:val="00E05E43"/>
    <w:rsid w:val="00E05EF8"/>
    <w:rsid w:val="00E05F4F"/>
    <w:rsid w:val="00E06000"/>
    <w:rsid w:val="00E06007"/>
    <w:rsid w:val="00E06111"/>
    <w:rsid w:val="00E06158"/>
    <w:rsid w:val="00E06210"/>
    <w:rsid w:val="00E062A1"/>
    <w:rsid w:val="00E062D6"/>
    <w:rsid w:val="00E06373"/>
    <w:rsid w:val="00E063AA"/>
    <w:rsid w:val="00E064A8"/>
    <w:rsid w:val="00E064C0"/>
    <w:rsid w:val="00E06509"/>
    <w:rsid w:val="00E06518"/>
    <w:rsid w:val="00E0663A"/>
    <w:rsid w:val="00E066B9"/>
    <w:rsid w:val="00E06797"/>
    <w:rsid w:val="00E0693B"/>
    <w:rsid w:val="00E069F5"/>
    <w:rsid w:val="00E06A3E"/>
    <w:rsid w:val="00E06B10"/>
    <w:rsid w:val="00E06B7A"/>
    <w:rsid w:val="00E06BEC"/>
    <w:rsid w:val="00E06D16"/>
    <w:rsid w:val="00E06D5D"/>
    <w:rsid w:val="00E06DB3"/>
    <w:rsid w:val="00E06DFC"/>
    <w:rsid w:val="00E06E19"/>
    <w:rsid w:val="00E06EAF"/>
    <w:rsid w:val="00E06F4A"/>
    <w:rsid w:val="00E06FB0"/>
    <w:rsid w:val="00E07196"/>
    <w:rsid w:val="00E0724B"/>
    <w:rsid w:val="00E0732B"/>
    <w:rsid w:val="00E073B4"/>
    <w:rsid w:val="00E074AB"/>
    <w:rsid w:val="00E074B4"/>
    <w:rsid w:val="00E074C5"/>
    <w:rsid w:val="00E0755F"/>
    <w:rsid w:val="00E0760F"/>
    <w:rsid w:val="00E07711"/>
    <w:rsid w:val="00E0780E"/>
    <w:rsid w:val="00E07974"/>
    <w:rsid w:val="00E079CC"/>
    <w:rsid w:val="00E079D3"/>
    <w:rsid w:val="00E079E8"/>
    <w:rsid w:val="00E07BA2"/>
    <w:rsid w:val="00E07E42"/>
    <w:rsid w:val="00E07E90"/>
    <w:rsid w:val="00E1018E"/>
    <w:rsid w:val="00E10271"/>
    <w:rsid w:val="00E102B4"/>
    <w:rsid w:val="00E102BE"/>
    <w:rsid w:val="00E102D4"/>
    <w:rsid w:val="00E1032B"/>
    <w:rsid w:val="00E1043E"/>
    <w:rsid w:val="00E10457"/>
    <w:rsid w:val="00E10485"/>
    <w:rsid w:val="00E104E1"/>
    <w:rsid w:val="00E10539"/>
    <w:rsid w:val="00E10604"/>
    <w:rsid w:val="00E106AD"/>
    <w:rsid w:val="00E106D5"/>
    <w:rsid w:val="00E107C1"/>
    <w:rsid w:val="00E10849"/>
    <w:rsid w:val="00E10852"/>
    <w:rsid w:val="00E10A8F"/>
    <w:rsid w:val="00E10A9E"/>
    <w:rsid w:val="00E10B09"/>
    <w:rsid w:val="00E10B54"/>
    <w:rsid w:val="00E10B95"/>
    <w:rsid w:val="00E10BC7"/>
    <w:rsid w:val="00E10BED"/>
    <w:rsid w:val="00E10C06"/>
    <w:rsid w:val="00E10C5C"/>
    <w:rsid w:val="00E10C7F"/>
    <w:rsid w:val="00E10E4E"/>
    <w:rsid w:val="00E10FBA"/>
    <w:rsid w:val="00E11005"/>
    <w:rsid w:val="00E11117"/>
    <w:rsid w:val="00E1116F"/>
    <w:rsid w:val="00E112A9"/>
    <w:rsid w:val="00E11431"/>
    <w:rsid w:val="00E114B5"/>
    <w:rsid w:val="00E1152B"/>
    <w:rsid w:val="00E1162A"/>
    <w:rsid w:val="00E1163C"/>
    <w:rsid w:val="00E119A4"/>
    <w:rsid w:val="00E11A3F"/>
    <w:rsid w:val="00E11A6A"/>
    <w:rsid w:val="00E11AE3"/>
    <w:rsid w:val="00E11C60"/>
    <w:rsid w:val="00E11DDB"/>
    <w:rsid w:val="00E11E0D"/>
    <w:rsid w:val="00E11F09"/>
    <w:rsid w:val="00E11F37"/>
    <w:rsid w:val="00E1200F"/>
    <w:rsid w:val="00E12133"/>
    <w:rsid w:val="00E1228D"/>
    <w:rsid w:val="00E122B4"/>
    <w:rsid w:val="00E1232B"/>
    <w:rsid w:val="00E1235C"/>
    <w:rsid w:val="00E12444"/>
    <w:rsid w:val="00E12506"/>
    <w:rsid w:val="00E12658"/>
    <w:rsid w:val="00E126EF"/>
    <w:rsid w:val="00E12749"/>
    <w:rsid w:val="00E1281E"/>
    <w:rsid w:val="00E128D9"/>
    <w:rsid w:val="00E12B82"/>
    <w:rsid w:val="00E12BD5"/>
    <w:rsid w:val="00E12CA8"/>
    <w:rsid w:val="00E1320F"/>
    <w:rsid w:val="00E1325D"/>
    <w:rsid w:val="00E13288"/>
    <w:rsid w:val="00E132BE"/>
    <w:rsid w:val="00E1335A"/>
    <w:rsid w:val="00E133AE"/>
    <w:rsid w:val="00E134D7"/>
    <w:rsid w:val="00E1359A"/>
    <w:rsid w:val="00E137CD"/>
    <w:rsid w:val="00E137D7"/>
    <w:rsid w:val="00E1386C"/>
    <w:rsid w:val="00E138A5"/>
    <w:rsid w:val="00E138B7"/>
    <w:rsid w:val="00E1391C"/>
    <w:rsid w:val="00E1398C"/>
    <w:rsid w:val="00E13A48"/>
    <w:rsid w:val="00E13B87"/>
    <w:rsid w:val="00E13C27"/>
    <w:rsid w:val="00E13C7A"/>
    <w:rsid w:val="00E13D8C"/>
    <w:rsid w:val="00E13F6B"/>
    <w:rsid w:val="00E14040"/>
    <w:rsid w:val="00E140B9"/>
    <w:rsid w:val="00E140D0"/>
    <w:rsid w:val="00E1417D"/>
    <w:rsid w:val="00E141CC"/>
    <w:rsid w:val="00E1422F"/>
    <w:rsid w:val="00E142E5"/>
    <w:rsid w:val="00E143BA"/>
    <w:rsid w:val="00E14525"/>
    <w:rsid w:val="00E14755"/>
    <w:rsid w:val="00E14843"/>
    <w:rsid w:val="00E14AAA"/>
    <w:rsid w:val="00E14AD8"/>
    <w:rsid w:val="00E14BC1"/>
    <w:rsid w:val="00E14BE8"/>
    <w:rsid w:val="00E14D5C"/>
    <w:rsid w:val="00E14DCD"/>
    <w:rsid w:val="00E14E2C"/>
    <w:rsid w:val="00E14F5C"/>
    <w:rsid w:val="00E14F81"/>
    <w:rsid w:val="00E14FA3"/>
    <w:rsid w:val="00E15158"/>
    <w:rsid w:val="00E151F1"/>
    <w:rsid w:val="00E15603"/>
    <w:rsid w:val="00E1563C"/>
    <w:rsid w:val="00E156A8"/>
    <w:rsid w:val="00E157A3"/>
    <w:rsid w:val="00E157EF"/>
    <w:rsid w:val="00E1584E"/>
    <w:rsid w:val="00E1586C"/>
    <w:rsid w:val="00E159C2"/>
    <w:rsid w:val="00E159F2"/>
    <w:rsid w:val="00E159FB"/>
    <w:rsid w:val="00E15B72"/>
    <w:rsid w:val="00E15C66"/>
    <w:rsid w:val="00E15C80"/>
    <w:rsid w:val="00E15CC1"/>
    <w:rsid w:val="00E15CD9"/>
    <w:rsid w:val="00E15EA2"/>
    <w:rsid w:val="00E15F03"/>
    <w:rsid w:val="00E15F32"/>
    <w:rsid w:val="00E1600C"/>
    <w:rsid w:val="00E16016"/>
    <w:rsid w:val="00E161CE"/>
    <w:rsid w:val="00E16235"/>
    <w:rsid w:val="00E1660C"/>
    <w:rsid w:val="00E16654"/>
    <w:rsid w:val="00E166B9"/>
    <w:rsid w:val="00E166ED"/>
    <w:rsid w:val="00E16732"/>
    <w:rsid w:val="00E16757"/>
    <w:rsid w:val="00E1678F"/>
    <w:rsid w:val="00E16967"/>
    <w:rsid w:val="00E169F1"/>
    <w:rsid w:val="00E16C16"/>
    <w:rsid w:val="00E16D75"/>
    <w:rsid w:val="00E16DC3"/>
    <w:rsid w:val="00E16E4E"/>
    <w:rsid w:val="00E170B2"/>
    <w:rsid w:val="00E170ED"/>
    <w:rsid w:val="00E1719A"/>
    <w:rsid w:val="00E17276"/>
    <w:rsid w:val="00E173A7"/>
    <w:rsid w:val="00E173DA"/>
    <w:rsid w:val="00E1744E"/>
    <w:rsid w:val="00E17534"/>
    <w:rsid w:val="00E17699"/>
    <w:rsid w:val="00E176A6"/>
    <w:rsid w:val="00E17714"/>
    <w:rsid w:val="00E17975"/>
    <w:rsid w:val="00E17AFF"/>
    <w:rsid w:val="00E17BA9"/>
    <w:rsid w:val="00E17D33"/>
    <w:rsid w:val="00E17D9E"/>
    <w:rsid w:val="00E17DA2"/>
    <w:rsid w:val="00E20071"/>
    <w:rsid w:val="00E20158"/>
    <w:rsid w:val="00E2019B"/>
    <w:rsid w:val="00E2021F"/>
    <w:rsid w:val="00E205F2"/>
    <w:rsid w:val="00E205F3"/>
    <w:rsid w:val="00E20750"/>
    <w:rsid w:val="00E20755"/>
    <w:rsid w:val="00E20782"/>
    <w:rsid w:val="00E207A8"/>
    <w:rsid w:val="00E20826"/>
    <w:rsid w:val="00E20955"/>
    <w:rsid w:val="00E20992"/>
    <w:rsid w:val="00E20A73"/>
    <w:rsid w:val="00E20ABA"/>
    <w:rsid w:val="00E20C2C"/>
    <w:rsid w:val="00E20D32"/>
    <w:rsid w:val="00E20E65"/>
    <w:rsid w:val="00E20E76"/>
    <w:rsid w:val="00E20FE6"/>
    <w:rsid w:val="00E2109C"/>
    <w:rsid w:val="00E21138"/>
    <w:rsid w:val="00E211C2"/>
    <w:rsid w:val="00E2124D"/>
    <w:rsid w:val="00E21291"/>
    <w:rsid w:val="00E212A9"/>
    <w:rsid w:val="00E21341"/>
    <w:rsid w:val="00E21380"/>
    <w:rsid w:val="00E213B4"/>
    <w:rsid w:val="00E2143C"/>
    <w:rsid w:val="00E2146E"/>
    <w:rsid w:val="00E2154B"/>
    <w:rsid w:val="00E21567"/>
    <w:rsid w:val="00E2156E"/>
    <w:rsid w:val="00E21698"/>
    <w:rsid w:val="00E21752"/>
    <w:rsid w:val="00E21905"/>
    <w:rsid w:val="00E21B7F"/>
    <w:rsid w:val="00E21BC2"/>
    <w:rsid w:val="00E21CB4"/>
    <w:rsid w:val="00E21D13"/>
    <w:rsid w:val="00E21EB0"/>
    <w:rsid w:val="00E22082"/>
    <w:rsid w:val="00E22157"/>
    <w:rsid w:val="00E22182"/>
    <w:rsid w:val="00E2220B"/>
    <w:rsid w:val="00E223DD"/>
    <w:rsid w:val="00E224A4"/>
    <w:rsid w:val="00E22512"/>
    <w:rsid w:val="00E22757"/>
    <w:rsid w:val="00E22A02"/>
    <w:rsid w:val="00E22A4F"/>
    <w:rsid w:val="00E22A8F"/>
    <w:rsid w:val="00E22AFB"/>
    <w:rsid w:val="00E22B61"/>
    <w:rsid w:val="00E22BA8"/>
    <w:rsid w:val="00E22C25"/>
    <w:rsid w:val="00E22E40"/>
    <w:rsid w:val="00E22E99"/>
    <w:rsid w:val="00E22EBA"/>
    <w:rsid w:val="00E22EBE"/>
    <w:rsid w:val="00E22F9E"/>
    <w:rsid w:val="00E2301C"/>
    <w:rsid w:val="00E23036"/>
    <w:rsid w:val="00E2326C"/>
    <w:rsid w:val="00E23309"/>
    <w:rsid w:val="00E23595"/>
    <w:rsid w:val="00E235AC"/>
    <w:rsid w:val="00E235FA"/>
    <w:rsid w:val="00E23610"/>
    <w:rsid w:val="00E2367B"/>
    <w:rsid w:val="00E236A2"/>
    <w:rsid w:val="00E236D2"/>
    <w:rsid w:val="00E23945"/>
    <w:rsid w:val="00E2399A"/>
    <w:rsid w:val="00E239A8"/>
    <w:rsid w:val="00E23A1D"/>
    <w:rsid w:val="00E23AB9"/>
    <w:rsid w:val="00E23B49"/>
    <w:rsid w:val="00E23BE6"/>
    <w:rsid w:val="00E23C40"/>
    <w:rsid w:val="00E23CC0"/>
    <w:rsid w:val="00E23D7A"/>
    <w:rsid w:val="00E23DAB"/>
    <w:rsid w:val="00E240A8"/>
    <w:rsid w:val="00E24164"/>
    <w:rsid w:val="00E24274"/>
    <w:rsid w:val="00E2439F"/>
    <w:rsid w:val="00E24403"/>
    <w:rsid w:val="00E247AC"/>
    <w:rsid w:val="00E247B3"/>
    <w:rsid w:val="00E2496E"/>
    <w:rsid w:val="00E249ED"/>
    <w:rsid w:val="00E24B09"/>
    <w:rsid w:val="00E24B9D"/>
    <w:rsid w:val="00E24BA9"/>
    <w:rsid w:val="00E24F40"/>
    <w:rsid w:val="00E24FFA"/>
    <w:rsid w:val="00E2508C"/>
    <w:rsid w:val="00E250B4"/>
    <w:rsid w:val="00E250EC"/>
    <w:rsid w:val="00E25119"/>
    <w:rsid w:val="00E25123"/>
    <w:rsid w:val="00E252B2"/>
    <w:rsid w:val="00E253E4"/>
    <w:rsid w:val="00E25419"/>
    <w:rsid w:val="00E2545C"/>
    <w:rsid w:val="00E2561E"/>
    <w:rsid w:val="00E257B0"/>
    <w:rsid w:val="00E257DE"/>
    <w:rsid w:val="00E259AF"/>
    <w:rsid w:val="00E259BF"/>
    <w:rsid w:val="00E259C9"/>
    <w:rsid w:val="00E259CC"/>
    <w:rsid w:val="00E25B9B"/>
    <w:rsid w:val="00E25CC1"/>
    <w:rsid w:val="00E25D4F"/>
    <w:rsid w:val="00E25DCE"/>
    <w:rsid w:val="00E25F72"/>
    <w:rsid w:val="00E25FE4"/>
    <w:rsid w:val="00E261A6"/>
    <w:rsid w:val="00E2621B"/>
    <w:rsid w:val="00E2636A"/>
    <w:rsid w:val="00E2648C"/>
    <w:rsid w:val="00E264F3"/>
    <w:rsid w:val="00E265D3"/>
    <w:rsid w:val="00E26639"/>
    <w:rsid w:val="00E266A7"/>
    <w:rsid w:val="00E267A0"/>
    <w:rsid w:val="00E267C1"/>
    <w:rsid w:val="00E268BA"/>
    <w:rsid w:val="00E26943"/>
    <w:rsid w:val="00E26A27"/>
    <w:rsid w:val="00E26BA7"/>
    <w:rsid w:val="00E26BB5"/>
    <w:rsid w:val="00E26CDB"/>
    <w:rsid w:val="00E27131"/>
    <w:rsid w:val="00E2717C"/>
    <w:rsid w:val="00E27189"/>
    <w:rsid w:val="00E27199"/>
    <w:rsid w:val="00E271AE"/>
    <w:rsid w:val="00E271B8"/>
    <w:rsid w:val="00E27275"/>
    <w:rsid w:val="00E273F4"/>
    <w:rsid w:val="00E274C7"/>
    <w:rsid w:val="00E278F9"/>
    <w:rsid w:val="00E2794D"/>
    <w:rsid w:val="00E2795B"/>
    <w:rsid w:val="00E27B31"/>
    <w:rsid w:val="00E27B9C"/>
    <w:rsid w:val="00E27BB4"/>
    <w:rsid w:val="00E27C79"/>
    <w:rsid w:val="00E27DD7"/>
    <w:rsid w:val="00E27DFA"/>
    <w:rsid w:val="00E27ED6"/>
    <w:rsid w:val="00E27F02"/>
    <w:rsid w:val="00E27FD9"/>
    <w:rsid w:val="00E3015E"/>
    <w:rsid w:val="00E302B0"/>
    <w:rsid w:val="00E302EF"/>
    <w:rsid w:val="00E30353"/>
    <w:rsid w:val="00E30449"/>
    <w:rsid w:val="00E3051C"/>
    <w:rsid w:val="00E30586"/>
    <w:rsid w:val="00E305E1"/>
    <w:rsid w:val="00E30608"/>
    <w:rsid w:val="00E306BE"/>
    <w:rsid w:val="00E30743"/>
    <w:rsid w:val="00E30887"/>
    <w:rsid w:val="00E308BD"/>
    <w:rsid w:val="00E30A24"/>
    <w:rsid w:val="00E30A76"/>
    <w:rsid w:val="00E30B86"/>
    <w:rsid w:val="00E30C5F"/>
    <w:rsid w:val="00E30DAC"/>
    <w:rsid w:val="00E30E46"/>
    <w:rsid w:val="00E30EC9"/>
    <w:rsid w:val="00E30F4D"/>
    <w:rsid w:val="00E30F75"/>
    <w:rsid w:val="00E30F8A"/>
    <w:rsid w:val="00E30FC8"/>
    <w:rsid w:val="00E3100C"/>
    <w:rsid w:val="00E310D5"/>
    <w:rsid w:val="00E31134"/>
    <w:rsid w:val="00E3114B"/>
    <w:rsid w:val="00E312D0"/>
    <w:rsid w:val="00E3148B"/>
    <w:rsid w:val="00E314E0"/>
    <w:rsid w:val="00E314F7"/>
    <w:rsid w:val="00E3155F"/>
    <w:rsid w:val="00E3158F"/>
    <w:rsid w:val="00E31620"/>
    <w:rsid w:val="00E318C8"/>
    <w:rsid w:val="00E318F0"/>
    <w:rsid w:val="00E31A18"/>
    <w:rsid w:val="00E31A37"/>
    <w:rsid w:val="00E31A5A"/>
    <w:rsid w:val="00E31A94"/>
    <w:rsid w:val="00E31AAA"/>
    <w:rsid w:val="00E31B3E"/>
    <w:rsid w:val="00E31C55"/>
    <w:rsid w:val="00E31D6B"/>
    <w:rsid w:val="00E31E28"/>
    <w:rsid w:val="00E31EF9"/>
    <w:rsid w:val="00E31F59"/>
    <w:rsid w:val="00E31FDC"/>
    <w:rsid w:val="00E3203B"/>
    <w:rsid w:val="00E322E7"/>
    <w:rsid w:val="00E32582"/>
    <w:rsid w:val="00E325DC"/>
    <w:rsid w:val="00E325DE"/>
    <w:rsid w:val="00E32639"/>
    <w:rsid w:val="00E3267A"/>
    <w:rsid w:val="00E3269E"/>
    <w:rsid w:val="00E326A7"/>
    <w:rsid w:val="00E326B7"/>
    <w:rsid w:val="00E326D4"/>
    <w:rsid w:val="00E32727"/>
    <w:rsid w:val="00E32825"/>
    <w:rsid w:val="00E328C7"/>
    <w:rsid w:val="00E329F2"/>
    <w:rsid w:val="00E32B80"/>
    <w:rsid w:val="00E32BE8"/>
    <w:rsid w:val="00E32C00"/>
    <w:rsid w:val="00E32CA1"/>
    <w:rsid w:val="00E32D5A"/>
    <w:rsid w:val="00E32D7B"/>
    <w:rsid w:val="00E32DB4"/>
    <w:rsid w:val="00E32E0D"/>
    <w:rsid w:val="00E32E6A"/>
    <w:rsid w:val="00E32E84"/>
    <w:rsid w:val="00E33487"/>
    <w:rsid w:val="00E335F2"/>
    <w:rsid w:val="00E33694"/>
    <w:rsid w:val="00E336FB"/>
    <w:rsid w:val="00E33723"/>
    <w:rsid w:val="00E33821"/>
    <w:rsid w:val="00E3382D"/>
    <w:rsid w:val="00E338C7"/>
    <w:rsid w:val="00E339AF"/>
    <w:rsid w:val="00E33AEF"/>
    <w:rsid w:val="00E33BCD"/>
    <w:rsid w:val="00E33BEE"/>
    <w:rsid w:val="00E33C46"/>
    <w:rsid w:val="00E33F92"/>
    <w:rsid w:val="00E34097"/>
    <w:rsid w:val="00E340D8"/>
    <w:rsid w:val="00E34184"/>
    <w:rsid w:val="00E342B4"/>
    <w:rsid w:val="00E34335"/>
    <w:rsid w:val="00E3434F"/>
    <w:rsid w:val="00E343EF"/>
    <w:rsid w:val="00E343F0"/>
    <w:rsid w:val="00E34455"/>
    <w:rsid w:val="00E34597"/>
    <w:rsid w:val="00E3466D"/>
    <w:rsid w:val="00E34724"/>
    <w:rsid w:val="00E347F1"/>
    <w:rsid w:val="00E348B1"/>
    <w:rsid w:val="00E34A27"/>
    <w:rsid w:val="00E34BAC"/>
    <w:rsid w:val="00E34C56"/>
    <w:rsid w:val="00E34C81"/>
    <w:rsid w:val="00E34CFA"/>
    <w:rsid w:val="00E34D6C"/>
    <w:rsid w:val="00E34ECE"/>
    <w:rsid w:val="00E34EDE"/>
    <w:rsid w:val="00E35001"/>
    <w:rsid w:val="00E3503D"/>
    <w:rsid w:val="00E35124"/>
    <w:rsid w:val="00E351F5"/>
    <w:rsid w:val="00E352D6"/>
    <w:rsid w:val="00E3535C"/>
    <w:rsid w:val="00E357F3"/>
    <w:rsid w:val="00E35864"/>
    <w:rsid w:val="00E358A7"/>
    <w:rsid w:val="00E358FC"/>
    <w:rsid w:val="00E35924"/>
    <w:rsid w:val="00E35944"/>
    <w:rsid w:val="00E35A42"/>
    <w:rsid w:val="00E35B50"/>
    <w:rsid w:val="00E35C7F"/>
    <w:rsid w:val="00E35EBD"/>
    <w:rsid w:val="00E35EFB"/>
    <w:rsid w:val="00E35F32"/>
    <w:rsid w:val="00E360FF"/>
    <w:rsid w:val="00E36112"/>
    <w:rsid w:val="00E36287"/>
    <w:rsid w:val="00E36297"/>
    <w:rsid w:val="00E363D9"/>
    <w:rsid w:val="00E3641E"/>
    <w:rsid w:val="00E36548"/>
    <w:rsid w:val="00E36618"/>
    <w:rsid w:val="00E366A2"/>
    <w:rsid w:val="00E366E9"/>
    <w:rsid w:val="00E3673D"/>
    <w:rsid w:val="00E367C0"/>
    <w:rsid w:val="00E36970"/>
    <w:rsid w:val="00E36C2D"/>
    <w:rsid w:val="00E36C74"/>
    <w:rsid w:val="00E36C76"/>
    <w:rsid w:val="00E36CBA"/>
    <w:rsid w:val="00E36D43"/>
    <w:rsid w:val="00E36DAA"/>
    <w:rsid w:val="00E36DEB"/>
    <w:rsid w:val="00E36E36"/>
    <w:rsid w:val="00E36ED2"/>
    <w:rsid w:val="00E36F6A"/>
    <w:rsid w:val="00E36F9F"/>
    <w:rsid w:val="00E36FA4"/>
    <w:rsid w:val="00E36FC3"/>
    <w:rsid w:val="00E370E5"/>
    <w:rsid w:val="00E371B9"/>
    <w:rsid w:val="00E372FE"/>
    <w:rsid w:val="00E37468"/>
    <w:rsid w:val="00E374E7"/>
    <w:rsid w:val="00E374E8"/>
    <w:rsid w:val="00E374EC"/>
    <w:rsid w:val="00E374FD"/>
    <w:rsid w:val="00E37540"/>
    <w:rsid w:val="00E3772C"/>
    <w:rsid w:val="00E3777C"/>
    <w:rsid w:val="00E37809"/>
    <w:rsid w:val="00E37923"/>
    <w:rsid w:val="00E3795C"/>
    <w:rsid w:val="00E37965"/>
    <w:rsid w:val="00E37A67"/>
    <w:rsid w:val="00E37A95"/>
    <w:rsid w:val="00E37B42"/>
    <w:rsid w:val="00E37CAD"/>
    <w:rsid w:val="00E37E27"/>
    <w:rsid w:val="00E37E2C"/>
    <w:rsid w:val="00E37E59"/>
    <w:rsid w:val="00E37ED3"/>
    <w:rsid w:val="00E40199"/>
    <w:rsid w:val="00E402D6"/>
    <w:rsid w:val="00E402EF"/>
    <w:rsid w:val="00E40542"/>
    <w:rsid w:val="00E4071B"/>
    <w:rsid w:val="00E4072F"/>
    <w:rsid w:val="00E408EB"/>
    <w:rsid w:val="00E4093D"/>
    <w:rsid w:val="00E409AB"/>
    <w:rsid w:val="00E40A38"/>
    <w:rsid w:val="00E40ADA"/>
    <w:rsid w:val="00E40D5F"/>
    <w:rsid w:val="00E40D6C"/>
    <w:rsid w:val="00E40DCD"/>
    <w:rsid w:val="00E40F2C"/>
    <w:rsid w:val="00E40FFF"/>
    <w:rsid w:val="00E4113E"/>
    <w:rsid w:val="00E41176"/>
    <w:rsid w:val="00E411C8"/>
    <w:rsid w:val="00E4133D"/>
    <w:rsid w:val="00E4134F"/>
    <w:rsid w:val="00E41380"/>
    <w:rsid w:val="00E41523"/>
    <w:rsid w:val="00E415AF"/>
    <w:rsid w:val="00E41609"/>
    <w:rsid w:val="00E417C5"/>
    <w:rsid w:val="00E41951"/>
    <w:rsid w:val="00E41995"/>
    <w:rsid w:val="00E41AEE"/>
    <w:rsid w:val="00E41AFD"/>
    <w:rsid w:val="00E41B20"/>
    <w:rsid w:val="00E41BE6"/>
    <w:rsid w:val="00E41F93"/>
    <w:rsid w:val="00E41FCC"/>
    <w:rsid w:val="00E4208C"/>
    <w:rsid w:val="00E42142"/>
    <w:rsid w:val="00E4220C"/>
    <w:rsid w:val="00E4240B"/>
    <w:rsid w:val="00E42511"/>
    <w:rsid w:val="00E4261C"/>
    <w:rsid w:val="00E42674"/>
    <w:rsid w:val="00E42697"/>
    <w:rsid w:val="00E42700"/>
    <w:rsid w:val="00E428E8"/>
    <w:rsid w:val="00E4294E"/>
    <w:rsid w:val="00E42B47"/>
    <w:rsid w:val="00E42FBB"/>
    <w:rsid w:val="00E43048"/>
    <w:rsid w:val="00E4317F"/>
    <w:rsid w:val="00E431FA"/>
    <w:rsid w:val="00E432AF"/>
    <w:rsid w:val="00E432B5"/>
    <w:rsid w:val="00E4333F"/>
    <w:rsid w:val="00E4346D"/>
    <w:rsid w:val="00E43603"/>
    <w:rsid w:val="00E43686"/>
    <w:rsid w:val="00E436D2"/>
    <w:rsid w:val="00E43731"/>
    <w:rsid w:val="00E43732"/>
    <w:rsid w:val="00E43742"/>
    <w:rsid w:val="00E43AA1"/>
    <w:rsid w:val="00E43AEA"/>
    <w:rsid w:val="00E43BF7"/>
    <w:rsid w:val="00E43C32"/>
    <w:rsid w:val="00E43C69"/>
    <w:rsid w:val="00E43CEC"/>
    <w:rsid w:val="00E43D43"/>
    <w:rsid w:val="00E43DF4"/>
    <w:rsid w:val="00E43F4A"/>
    <w:rsid w:val="00E44253"/>
    <w:rsid w:val="00E44304"/>
    <w:rsid w:val="00E443F0"/>
    <w:rsid w:val="00E443F6"/>
    <w:rsid w:val="00E44513"/>
    <w:rsid w:val="00E445CE"/>
    <w:rsid w:val="00E446CC"/>
    <w:rsid w:val="00E447F6"/>
    <w:rsid w:val="00E4492B"/>
    <w:rsid w:val="00E44A7E"/>
    <w:rsid w:val="00E44BD0"/>
    <w:rsid w:val="00E44BEF"/>
    <w:rsid w:val="00E44C26"/>
    <w:rsid w:val="00E44DAD"/>
    <w:rsid w:val="00E44E60"/>
    <w:rsid w:val="00E44E71"/>
    <w:rsid w:val="00E44EC9"/>
    <w:rsid w:val="00E44FA2"/>
    <w:rsid w:val="00E44FFA"/>
    <w:rsid w:val="00E45080"/>
    <w:rsid w:val="00E451FA"/>
    <w:rsid w:val="00E45247"/>
    <w:rsid w:val="00E453DF"/>
    <w:rsid w:val="00E45553"/>
    <w:rsid w:val="00E45612"/>
    <w:rsid w:val="00E45642"/>
    <w:rsid w:val="00E45685"/>
    <w:rsid w:val="00E4577B"/>
    <w:rsid w:val="00E457B9"/>
    <w:rsid w:val="00E45849"/>
    <w:rsid w:val="00E4584B"/>
    <w:rsid w:val="00E45881"/>
    <w:rsid w:val="00E458C1"/>
    <w:rsid w:val="00E45904"/>
    <w:rsid w:val="00E45B2C"/>
    <w:rsid w:val="00E45B49"/>
    <w:rsid w:val="00E45B62"/>
    <w:rsid w:val="00E45D0C"/>
    <w:rsid w:val="00E45E15"/>
    <w:rsid w:val="00E45EBF"/>
    <w:rsid w:val="00E46038"/>
    <w:rsid w:val="00E4608E"/>
    <w:rsid w:val="00E461EE"/>
    <w:rsid w:val="00E46216"/>
    <w:rsid w:val="00E4622A"/>
    <w:rsid w:val="00E462A4"/>
    <w:rsid w:val="00E462BE"/>
    <w:rsid w:val="00E462E1"/>
    <w:rsid w:val="00E46396"/>
    <w:rsid w:val="00E463C4"/>
    <w:rsid w:val="00E464D0"/>
    <w:rsid w:val="00E465A8"/>
    <w:rsid w:val="00E46612"/>
    <w:rsid w:val="00E46636"/>
    <w:rsid w:val="00E46649"/>
    <w:rsid w:val="00E466CA"/>
    <w:rsid w:val="00E466E5"/>
    <w:rsid w:val="00E467D4"/>
    <w:rsid w:val="00E4683A"/>
    <w:rsid w:val="00E4683D"/>
    <w:rsid w:val="00E46840"/>
    <w:rsid w:val="00E46893"/>
    <w:rsid w:val="00E4689B"/>
    <w:rsid w:val="00E468E4"/>
    <w:rsid w:val="00E46939"/>
    <w:rsid w:val="00E469FF"/>
    <w:rsid w:val="00E46B09"/>
    <w:rsid w:val="00E46B46"/>
    <w:rsid w:val="00E46C5C"/>
    <w:rsid w:val="00E46DC2"/>
    <w:rsid w:val="00E46EBD"/>
    <w:rsid w:val="00E46F29"/>
    <w:rsid w:val="00E4721C"/>
    <w:rsid w:val="00E47370"/>
    <w:rsid w:val="00E473D7"/>
    <w:rsid w:val="00E47459"/>
    <w:rsid w:val="00E4749E"/>
    <w:rsid w:val="00E4755C"/>
    <w:rsid w:val="00E47615"/>
    <w:rsid w:val="00E4771E"/>
    <w:rsid w:val="00E4777E"/>
    <w:rsid w:val="00E477E9"/>
    <w:rsid w:val="00E4798D"/>
    <w:rsid w:val="00E47A64"/>
    <w:rsid w:val="00E47B9B"/>
    <w:rsid w:val="00E47C16"/>
    <w:rsid w:val="00E47C6E"/>
    <w:rsid w:val="00E47D36"/>
    <w:rsid w:val="00E47E0D"/>
    <w:rsid w:val="00E47E8B"/>
    <w:rsid w:val="00E47ECA"/>
    <w:rsid w:val="00E47ED6"/>
    <w:rsid w:val="00E50010"/>
    <w:rsid w:val="00E50012"/>
    <w:rsid w:val="00E50044"/>
    <w:rsid w:val="00E50186"/>
    <w:rsid w:val="00E50253"/>
    <w:rsid w:val="00E502C3"/>
    <w:rsid w:val="00E502CD"/>
    <w:rsid w:val="00E502EF"/>
    <w:rsid w:val="00E503F8"/>
    <w:rsid w:val="00E50452"/>
    <w:rsid w:val="00E5047B"/>
    <w:rsid w:val="00E50696"/>
    <w:rsid w:val="00E507CE"/>
    <w:rsid w:val="00E5082A"/>
    <w:rsid w:val="00E509B2"/>
    <w:rsid w:val="00E50A0B"/>
    <w:rsid w:val="00E50A2C"/>
    <w:rsid w:val="00E50CC1"/>
    <w:rsid w:val="00E50D20"/>
    <w:rsid w:val="00E50D21"/>
    <w:rsid w:val="00E50E31"/>
    <w:rsid w:val="00E50EA6"/>
    <w:rsid w:val="00E5103D"/>
    <w:rsid w:val="00E51066"/>
    <w:rsid w:val="00E5108E"/>
    <w:rsid w:val="00E510CA"/>
    <w:rsid w:val="00E511B1"/>
    <w:rsid w:val="00E511B2"/>
    <w:rsid w:val="00E5125C"/>
    <w:rsid w:val="00E5126C"/>
    <w:rsid w:val="00E51326"/>
    <w:rsid w:val="00E51348"/>
    <w:rsid w:val="00E513DF"/>
    <w:rsid w:val="00E5140E"/>
    <w:rsid w:val="00E51527"/>
    <w:rsid w:val="00E515D1"/>
    <w:rsid w:val="00E51622"/>
    <w:rsid w:val="00E5163B"/>
    <w:rsid w:val="00E516E1"/>
    <w:rsid w:val="00E516E2"/>
    <w:rsid w:val="00E518C7"/>
    <w:rsid w:val="00E518D9"/>
    <w:rsid w:val="00E519F2"/>
    <w:rsid w:val="00E51AA7"/>
    <w:rsid w:val="00E51AC2"/>
    <w:rsid w:val="00E51AE5"/>
    <w:rsid w:val="00E51B27"/>
    <w:rsid w:val="00E51B67"/>
    <w:rsid w:val="00E51BDB"/>
    <w:rsid w:val="00E51BF0"/>
    <w:rsid w:val="00E51C89"/>
    <w:rsid w:val="00E51D20"/>
    <w:rsid w:val="00E51DB6"/>
    <w:rsid w:val="00E51E0D"/>
    <w:rsid w:val="00E51E1F"/>
    <w:rsid w:val="00E51E76"/>
    <w:rsid w:val="00E51EA5"/>
    <w:rsid w:val="00E51F78"/>
    <w:rsid w:val="00E520D7"/>
    <w:rsid w:val="00E52353"/>
    <w:rsid w:val="00E523A3"/>
    <w:rsid w:val="00E523E1"/>
    <w:rsid w:val="00E524A1"/>
    <w:rsid w:val="00E526E2"/>
    <w:rsid w:val="00E526E4"/>
    <w:rsid w:val="00E52759"/>
    <w:rsid w:val="00E52761"/>
    <w:rsid w:val="00E527A5"/>
    <w:rsid w:val="00E527B4"/>
    <w:rsid w:val="00E529F1"/>
    <w:rsid w:val="00E52A14"/>
    <w:rsid w:val="00E52B65"/>
    <w:rsid w:val="00E52C3F"/>
    <w:rsid w:val="00E52CD6"/>
    <w:rsid w:val="00E52D17"/>
    <w:rsid w:val="00E52D1D"/>
    <w:rsid w:val="00E52DB1"/>
    <w:rsid w:val="00E52DB5"/>
    <w:rsid w:val="00E52F0C"/>
    <w:rsid w:val="00E52FA5"/>
    <w:rsid w:val="00E533DC"/>
    <w:rsid w:val="00E5342A"/>
    <w:rsid w:val="00E53459"/>
    <w:rsid w:val="00E535F7"/>
    <w:rsid w:val="00E53623"/>
    <w:rsid w:val="00E5363B"/>
    <w:rsid w:val="00E53679"/>
    <w:rsid w:val="00E53784"/>
    <w:rsid w:val="00E53789"/>
    <w:rsid w:val="00E53816"/>
    <w:rsid w:val="00E53861"/>
    <w:rsid w:val="00E5388A"/>
    <w:rsid w:val="00E53A8C"/>
    <w:rsid w:val="00E53B12"/>
    <w:rsid w:val="00E53BFE"/>
    <w:rsid w:val="00E53CD9"/>
    <w:rsid w:val="00E53D3F"/>
    <w:rsid w:val="00E53DD2"/>
    <w:rsid w:val="00E53DD4"/>
    <w:rsid w:val="00E53F5B"/>
    <w:rsid w:val="00E53FF5"/>
    <w:rsid w:val="00E54104"/>
    <w:rsid w:val="00E54177"/>
    <w:rsid w:val="00E54334"/>
    <w:rsid w:val="00E543F7"/>
    <w:rsid w:val="00E54422"/>
    <w:rsid w:val="00E54432"/>
    <w:rsid w:val="00E544F3"/>
    <w:rsid w:val="00E545C9"/>
    <w:rsid w:val="00E5466F"/>
    <w:rsid w:val="00E54710"/>
    <w:rsid w:val="00E5486C"/>
    <w:rsid w:val="00E54AD1"/>
    <w:rsid w:val="00E54AD7"/>
    <w:rsid w:val="00E54B05"/>
    <w:rsid w:val="00E54CB3"/>
    <w:rsid w:val="00E54CF4"/>
    <w:rsid w:val="00E54D02"/>
    <w:rsid w:val="00E54DD0"/>
    <w:rsid w:val="00E54E21"/>
    <w:rsid w:val="00E54E36"/>
    <w:rsid w:val="00E54E3B"/>
    <w:rsid w:val="00E54ED7"/>
    <w:rsid w:val="00E54FD0"/>
    <w:rsid w:val="00E55111"/>
    <w:rsid w:val="00E55317"/>
    <w:rsid w:val="00E553AE"/>
    <w:rsid w:val="00E553FB"/>
    <w:rsid w:val="00E555AC"/>
    <w:rsid w:val="00E55771"/>
    <w:rsid w:val="00E557D2"/>
    <w:rsid w:val="00E558FD"/>
    <w:rsid w:val="00E55924"/>
    <w:rsid w:val="00E55982"/>
    <w:rsid w:val="00E559D3"/>
    <w:rsid w:val="00E55A16"/>
    <w:rsid w:val="00E55A1C"/>
    <w:rsid w:val="00E55A50"/>
    <w:rsid w:val="00E55A5B"/>
    <w:rsid w:val="00E55AC4"/>
    <w:rsid w:val="00E55B16"/>
    <w:rsid w:val="00E55BDA"/>
    <w:rsid w:val="00E55CC2"/>
    <w:rsid w:val="00E55E80"/>
    <w:rsid w:val="00E55F32"/>
    <w:rsid w:val="00E56199"/>
    <w:rsid w:val="00E561CC"/>
    <w:rsid w:val="00E561F2"/>
    <w:rsid w:val="00E561F3"/>
    <w:rsid w:val="00E56223"/>
    <w:rsid w:val="00E56251"/>
    <w:rsid w:val="00E56381"/>
    <w:rsid w:val="00E563C0"/>
    <w:rsid w:val="00E5642A"/>
    <w:rsid w:val="00E5654A"/>
    <w:rsid w:val="00E5656B"/>
    <w:rsid w:val="00E5674D"/>
    <w:rsid w:val="00E56795"/>
    <w:rsid w:val="00E567F9"/>
    <w:rsid w:val="00E56850"/>
    <w:rsid w:val="00E568D8"/>
    <w:rsid w:val="00E56A3A"/>
    <w:rsid w:val="00E56B23"/>
    <w:rsid w:val="00E56C25"/>
    <w:rsid w:val="00E56CB7"/>
    <w:rsid w:val="00E56E0E"/>
    <w:rsid w:val="00E56F44"/>
    <w:rsid w:val="00E5700D"/>
    <w:rsid w:val="00E57235"/>
    <w:rsid w:val="00E5726F"/>
    <w:rsid w:val="00E57291"/>
    <w:rsid w:val="00E57312"/>
    <w:rsid w:val="00E573D5"/>
    <w:rsid w:val="00E5760B"/>
    <w:rsid w:val="00E5763C"/>
    <w:rsid w:val="00E5767C"/>
    <w:rsid w:val="00E5772C"/>
    <w:rsid w:val="00E5785E"/>
    <w:rsid w:val="00E5787A"/>
    <w:rsid w:val="00E578E1"/>
    <w:rsid w:val="00E579EA"/>
    <w:rsid w:val="00E57A73"/>
    <w:rsid w:val="00E57A78"/>
    <w:rsid w:val="00E57B6E"/>
    <w:rsid w:val="00E57C92"/>
    <w:rsid w:val="00E57CC8"/>
    <w:rsid w:val="00E57DA5"/>
    <w:rsid w:val="00E57DAE"/>
    <w:rsid w:val="00E57E0D"/>
    <w:rsid w:val="00E57E80"/>
    <w:rsid w:val="00E57F8B"/>
    <w:rsid w:val="00E601A2"/>
    <w:rsid w:val="00E60217"/>
    <w:rsid w:val="00E60553"/>
    <w:rsid w:val="00E60687"/>
    <w:rsid w:val="00E606E0"/>
    <w:rsid w:val="00E606E8"/>
    <w:rsid w:val="00E607D2"/>
    <w:rsid w:val="00E60819"/>
    <w:rsid w:val="00E60851"/>
    <w:rsid w:val="00E60857"/>
    <w:rsid w:val="00E609B1"/>
    <w:rsid w:val="00E60BD7"/>
    <w:rsid w:val="00E60C7A"/>
    <w:rsid w:val="00E60C80"/>
    <w:rsid w:val="00E60CD8"/>
    <w:rsid w:val="00E60D69"/>
    <w:rsid w:val="00E60DC5"/>
    <w:rsid w:val="00E60DF9"/>
    <w:rsid w:val="00E60E56"/>
    <w:rsid w:val="00E60E68"/>
    <w:rsid w:val="00E60E84"/>
    <w:rsid w:val="00E60F1C"/>
    <w:rsid w:val="00E61255"/>
    <w:rsid w:val="00E612B7"/>
    <w:rsid w:val="00E61427"/>
    <w:rsid w:val="00E614C7"/>
    <w:rsid w:val="00E614F3"/>
    <w:rsid w:val="00E61615"/>
    <w:rsid w:val="00E61753"/>
    <w:rsid w:val="00E617DE"/>
    <w:rsid w:val="00E61894"/>
    <w:rsid w:val="00E618B0"/>
    <w:rsid w:val="00E61A88"/>
    <w:rsid w:val="00E61B23"/>
    <w:rsid w:val="00E61C4C"/>
    <w:rsid w:val="00E61D4E"/>
    <w:rsid w:val="00E61EC2"/>
    <w:rsid w:val="00E61F20"/>
    <w:rsid w:val="00E62093"/>
    <w:rsid w:val="00E621C8"/>
    <w:rsid w:val="00E6244D"/>
    <w:rsid w:val="00E62523"/>
    <w:rsid w:val="00E62577"/>
    <w:rsid w:val="00E629DE"/>
    <w:rsid w:val="00E62B62"/>
    <w:rsid w:val="00E62C67"/>
    <w:rsid w:val="00E62D78"/>
    <w:rsid w:val="00E62D8B"/>
    <w:rsid w:val="00E62E20"/>
    <w:rsid w:val="00E62E61"/>
    <w:rsid w:val="00E6303C"/>
    <w:rsid w:val="00E63043"/>
    <w:rsid w:val="00E63067"/>
    <w:rsid w:val="00E6308F"/>
    <w:rsid w:val="00E63154"/>
    <w:rsid w:val="00E6315B"/>
    <w:rsid w:val="00E63167"/>
    <w:rsid w:val="00E6320A"/>
    <w:rsid w:val="00E632B2"/>
    <w:rsid w:val="00E632D4"/>
    <w:rsid w:val="00E6336D"/>
    <w:rsid w:val="00E6345F"/>
    <w:rsid w:val="00E63480"/>
    <w:rsid w:val="00E634C5"/>
    <w:rsid w:val="00E634F5"/>
    <w:rsid w:val="00E63579"/>
    <w:rsid w:val="00E635F8"/>
    <w:rsid w:val="00E635FF"/>
    <w:rsid w:val="00E636B0"/>
    <w:rsid w:val="00E637A2"/>
    <w:rsid w:val="00E637F7"/>
    <w:rsid w:val="00E6382A"/>
    <w:rsid w:val="00E63873"/>
    <w:rsid w:val="00E638A8"/>
    <w:rsid w:val="00E63AB5"/>
    <w:rsid w:val="00E63C2E"/>
    <w:rsid w:val="00E63E28"/>
    <w:rsid w:val="00E63F79"/>
    <w:rsid w:val="00E640F1"/>
    <w:rsid w:val="00E6414F"/>
    <w:rsid w:val="00E6425D"/>
    <w:rsid w:val="00E6426C"/>
    <w:rsid w:val="00E64395"/>
    <w:rsid w:val="00E64420"/>
    <w:rsid w:val="00E644B2"/>
    <w:rsid w:val="00E644B9"/>
    <w:rsid w:val="00E64572"/>
    <w:rsid w:val="00E6466A"/>
    <w:rsid w:val="00E64698"/>
    <w:rsid w:val="00E648FA"/>
    <w:rsid w:val="00E6495D"/>
    <w:rsid w:val="00E64ADA"/>
    <w:rsid w:val="00E64BEB"/>
    <w:rsid w:val="00E64D63"/>
    <w:rsid w:val="00E64D87"/>
    <w:rsid w:val="00E64DE1"/>
    <w:rsid w:val="00E64DE9"/>
    <w:rsid w:val="00E64E17"/>
    <w:rsid w:val="00E64E21"/>
    <w:rsid w:val="00E64E5A"/>
    <w:rsid w:val="00E64E84"/>
    <w:rsid w:val="00E64ED8"/>
    <w:rsid w:val="00E64F97"/>
    <w:rsid w:val="00E65099"/>
    <w:rsid w:val="00E6513E"/>
    <w:rsid w:val="00E651E3"/>
    <w:rsid w:val="00E65234"/>
    <w:rsid w:val="00E65268"/>
    <w:rsid w:val="00E65270"/>
    <w:rsid w:val="00E652BB"/>
    <w:rsid w:val="00E65302"/>
    <w:rsid w:val="00E65360"/>
    <w:rsid w:val="00E653A7"/>
    <w:rsid w:val="00E6555C"/>
    <w:rsid w:val="00E6557E"/>
    <w:rsid w:val="00E6566C"/>
    <w:rsid w:val="00E6569C"/>
    <w:rsid w:val="00E6571A"/>
    <w:rsid w:val="00E657D0"/>
    <w:rsid w:val="00E65837"/>
    <w:rsid w:val="00E6588D"/>
    <w:rsid w:val="00E658D3"/>
    <w:rsid w:val="00E659CD"/>
    <w:rsid w:val="00E65B83"/>
    <w:rsid w:val="00E65C71"/>
    <w:rsid w:val="00E65E46"/>
    <w:rsid w:val="00E65E5A"/>
    <w:rsid w:val="00E65EE0"/>
    <w:rsid w:val="00E65F0A"/>
    <w:rsid w:val="00E65F8F"/>
    <w:rsid w:val="00E660EB"/>
    <w:rsid w:val="00E66195"/>
    <w:rsid w:val="00E661D2"/>
    <w:rsid w:val="00E662E1"/>
    <w:rsid w:val="00E6644A"/>
    <w:rsid w:val="00E66553"/>
    <w:rsid w:val="00E6667C"/>
    <w:rsid w:val="00E6669C"/>
    <w:rsid w:val="00E666AC"/>
    <w:rsid w:val="00E667A4"/>
    <w:rsid w:val="00E668CC"/>
    <w:rsid w:val="00E66B37"/>
    <w:rsid w:val="00E66C96"/>
    <w:rsid w:val="00E66CC5"/>
    <w:rsid w:val="00E66CD2"/>
    <w:rsid w:val="00E66D4C"/>
    <w:rsid w:val="00E66DAF"/>
    <w:rsid w:val="00E66E77"/>
    <w:rsid w:val="00E66EF1"/>
    <w:rsid w:val="00E671A9"/>
    <w:rsid w:val="00E671AC"/>
    <w:rsid w:val="00E671AD"/>
    <w:rsid w:val="00E6733B"/>
    <w:rsid w:val="00E67514"/>
    <w:rsid w:val="00E675C7"/>
    <w:rsid w:val="00E6768E"/>
    <w:rsid w:val="00E67804"/>
    <w:rsid w:val="00E67816"/>
    <w:rsid w:val="00E67930"/>
    <w:rsid w:val="00E6795F"/>
    <w:rsid w:val="00E67971"/>
    <w:rsid w:val="00E679D4"/>
    <w:rsid w:val="00E67A68"/>
    <w:rsid w:val="00E67AA7"/>
    <w:rsid w:val="00E67B0F"/>
    <w:rsid w:val="00E67C52"/>
    <w:rsid w:val="00E67CC2"/>
    <w:rsid w:val="00E67D28"/>
    <w:rsid w:val="00E67D94"/>
    <w:rsid w:val="00E67DC1"/>
    <w:rsid w:val="00E67DD7"/>
    <w:rsid w:val="00E67E10"/>
    <w:rsid w:val="00E67E80"/>
    <w:rsid w:val="00E7003D"/>
    <w:rsid w:val="00E701FC"/>
    <w:rsid w:val="00E702C4"/>
    <w:rsid w:val="00E703AE"/>
    <w:rsid w:val="00E703D3"/>
    <w:rsid w:val="00E7042D"/>
    <w:rsid w:val="00E7054B"/>
    <w:rsid w:val="00E705AC"/>
    <w:rsid w:val="00E705B8"/>
    <w:rsid w:val="00E706A2"/>
    <w:rsid w:val="00E7083C"/>
    <w:rsid w:val="00E70A5A"/>
    <w:rsid w:val="00E70C11"/>
    <w:rsid w:val="00E70D50"/>
    <w:rsid w:val="00E70E82"/>
    <w:rsid w:val="00E70F4D"/>
    <w:rsid w:val="00E71136"/>
    <w:rsid w:val="00E711BE"/>
    <w:rsid w:val="00E71278"/>
    <w:rsid w:val="00E71286"/>
    <w:rsid w:val="00E7132D"/>
    <w:rsid w:val="00E713FB"/>
    <w:rsid w:val="00E7140A"/>
    <w:rsid w:val="00E71527"/>
    <w:rsid w:val="00E71606"/>
    <w:rsid w:val="00E7161B"/>
    <w:rsid w:val="00E716B1"/>
    <w:rsid w:val="00E716DB"/>
    <w:rsid w:val="00E716F0"/>
    <w:rsid w:val="00E7171E"/>
    <w:rsid w:val="00E71803"/>
    <w:rsid w:val="00E7181F"/>
    <w:rsid w:val="00E718C4"/>
    <w:rsid w:val="00E71A0C"/>
    <w:rsid w:val="00E71A86"/>
    <w:rsid w:val="00E71B0A"/>
    <w:rsid w:val="00E71B49"/>
    <w:rsid w:val="00E71CB6"/>
    <w:rsid w:val="00E71CE2"/>
    <w:rsid w:val="00E71D5E"/>
    <w:rsid w:val="00E71DDD"/>
    <w:rsid w:val="00E71E77"/>
    <w:rsid w:val="00E71ECF"/>
    <w:rsid w:val="00E72314"/>
    <w:rsid w:val="00E72370"/>
    <w:rsid w:val="00E7239B"/>
    <w:rsid w:val="00E724E7"/>
    <w:rsid w:val="00E7257A"/>
    <w:rsid w:val="00E72691"/>
    <w:rsid w:val="00E726E7"/>
    <w:rsid w:val="00E72812"/>
    <w:rsid w:val="00E72A77"/>
    <w:rsid w:val="00E72BC3"/>
    <w:rsid w:val="00E72E29"/>
    <w:rsid w:val="00E72F80"/>
    <w:rsid w:val="00E72FA1"/>
    <w:rsid w:val="00E73054"/>
    <w:rsid w:val="00E731E3"/>
    <w:rsid w:val="00E7324A"/>
    <w:rsid w:val="00E73442"/>
    <w:rsid w:val="00E73529"/>
    <w:rsid w:val="00E7359E"/>
    <w:rsid w:val="00E7362E"/>
    <w:rsid w:val="00E73710"/>
    <w:rsid w:val="00E737D4"/>
    <w:rsid w:val="00E737DD"/>
    <w:rsid w:val="00E73865"/>
    <w:rsid w:val="00E73866"/>
    <w:rsid w:val="00E739DD"/>
    <w:rsid w:val="00E73AE7"/>
    <w:rsid w:val="00E73B66"/>
    <w:rsid w:val="00E73CE1"/>
    <w:rsid w:val="00E73DA0"/>
    <w:rsid w:val="00E73DF8"/>
    <w:rsid w:val="00E73FEA"/>
    <w:rsid w:val="00E74026"/>
    <w:rsid w:val="00E7405C"/>
    <w:rsid w:val="00E7434D"/>
    <w:rsid w:val="00E743E8"/>
    <w:rsid w:val="00E7441E"/>
    <w:rsid w:val="00E7446A"/>
    <w:rsid w:val="00E744A8"/>
    <w:rsid w:val="00E744D1"/>
    <w:rsid w:val="00E74573"/>
    <w:rsid w:val="00E74608"/>
    <w:rsid w:val="00E74652"/>
    <w:rsid w:val="00E74672"/>
    <w:rsid w:val="00E74794"/>
    <w:rsid w:val="00E747A0"/>
    <w:rsid w:val="00E749B4"/>
    <w:rsid w:val="00E74A38"/>
    <w:rsid w:val="00E74B69"/>
    <w:rsid w:val="00E74C84"/>
    <w:rsid w:val="00E74D15"/>
    <w:rsid w:val="00E74D89"/>
    <w:rsid w:val="00E74DFD"/>
    <w:rsid w:val="00E74E2E"/>
    <w:rsid w:val="00E74E4F"/>
    <w:rsid w:val="00E74E79"/>
    <w:rsid w:val="00E74F2E"/>
    <w:rsid w:val="00E74FEC"/>
    <w:rsid w:val="00E7506E"/>
    <w:rsid w:val="00E7511E"/>
    <w:rsid w:val="00E75126"/>
    <w:rsid w:val="00E751B5"/>
    <w:rsid w:val="00E75200"/>
    <w:rsid w:val="00E75201"/>
    <w:rsid w:val="00E752A6"/>
    <w:rsid w:val="00E752C3"/>
    <w:rsid w:val="00E752E1"/>
    <w:rsid w:val="00E75353"/>
    <w:rsid w:val="00E754E0"/>
    <w:rsid w:val="00E7553C"/>
    <w:rsid w:val="00E75564"/>
    <w:rsid w:val="00E755E1"/>
    <w:rsid w:val="00E75688"/>
    <w:rsid w:val="00E75726"/>
    <w:rsid w:val="00E7577B"/>
    <w:rsid w:val="00E7591E"/>
    <w:rsid w:val="00E7594C"/>
    <w:rsid w:val="00E75996"/>
    <w:rsid w:val="00E75AAC"/>
    <w:rsid w:val="00E75B5D"/>
    <w:rsid w:val="00E75E33"/>
    <w:rsid w:val="00E75E63"/>
    <w:rsid w:val="00E75ECF"/>
    <w:rsid w:val="00E75F87"/>
    <w:rsid w:val="00E75FC5"/>
    <w:rsid w:val="00E75FF1"/>
    <w:rsid w:val="00E76160"/>
    <w:rsid w:val="00E761FD"/>
    <w:rsid w:val="00E7634B"/>
    <w:rsid w:val="00E763FE"/>
    <w:rsid w:val="00E7643A"/>
    <w:rsid w:val="00E764A0"/>
    <w:rsid w:val="00E76594"/>
    <w:rsid w:val="00E76637"/>
    <w:rsid w:val="00E7665B"/>
    <w:rsid w:val="00E7668C"/>
    <w:rsid w:val="00E76694"/>
    <w:rsid w:val="00E76750"/>
    <w:rsid w:val="00E767F2"/>
    <w:rsid w:val="00E767F6"/>
    <w:rsid w:val="00E76897"/>
    <w:rsid w:val="00E768A9"/>
    <w:rsid w:val="00E769D0"/>
    <w:rsid w:val="00E76A18"/>
    <w:rsid w:val="00E76C0F"/>
    <w:rsid w:val="00E76CD6"/>
    <w:rsid w:val="00E76D09"/>
    <w:rsid w:val="00E76D0C"/>
    <w:rsid w:val="00E76D38"/>
    <w:rsid w:val="00E76DCD"/>
    <w:rsid w:val="00E76EDC"/>
    <w:rsid w:val="00E76EF3"/>
    <w:rsid w:val="00E770BC"/>
    <w:rsid w:val="00E77370"/>
    <w:rsid w:val="00E7793C"/>
    <w:rsid w:val="00E77948"/>
    <w:rsid w:val="00E779A6"/>
    <w:rsid w:val="00E77A4F"/>
    <w:rsid w:val="00E77B9C"/>
    <w:rsid w:val="00E77C77"/>
    <w:rsid w:val="00E77CF1"/>
    <w:rsid w:val="00E77D5A"/>
    <w:rsid w:val="00E77D98"/>
    <w:rsid w:val="00E77E61"/>
    <w:rsid w:val="00E77E7D"/>
    <w:rsid w:val="00E77E9C"/>
    <w:rsid w:val="00E8022B"/>
    <w:rsid w:val="00E80235"/>
    <w:rsid w:val="00E8023C"/>
    <w:rsid w:val="00E802D1"/>
    <w:rsid w:val="00E80355"/>
    <w:rsid w:val="00E80492"/>
    <w:rsid w:val="00E8066A"/>
    <w:rsid w:val="00E80698"/>
    <w:rsid w:val="00E807D0"/>
    <w:rsid w:val="00E807EF"/>
    <w:rsid w:val="00E808B7"/>
    <w:rsid w:val="00E8096B"/>
    <w:rsid w:val="00E809F6"/>
    <w:rsid w:val="00E80A1B"/>
    <w:rsid w:val="00E80D21"/>
    <w:rsid w:val="00E80E70"/>
    <w:rsid w:val="00E80E9E"/>
    <w:rsid w:val="00E80F9F"/>
    <w:rsid w:val="00E81014"/>
    <w:rsid w:val="00E81058"/>
    <w:rsid w:val="00E8114A"/>
    <w:rsid w:val="00E812FD"/>
    <w:rsid w:val="00E813F7"/>
    <w:rsid w:val="00E815CB"/>
    <w:rsid w:val="00E81677"/>
    <w:rsid w:val="00E81839"/>
    <w:rsid w:val="00E81A60"/>
    <w:rsid w:val="00E81BBC"/>
    <w:rsid w:val="00E81E14"/>
    <w:rsid w:val="00E81FC2"/>
    <w:rsid w:val="00E81FE6"/>
    <w:rsid w:val="00E82054"/>
    <w:rsid w:val="00E82216"/>
    <w:rsid w:val="00E82353"/>
    <w:rsid w:val="00E826B3"/>
    <w:rsid w:val="00E82708"/>
    <w:rsid w:val="00E8271B"/>
    <w:rsid w:val="00E82741"/>
    <w:rsid w:val="00E827EF"/>
    <w:rsid w:val="00E8298F"/>
    <w:rsid w:val="00E82A19"/>
    <w:rsid w:val="00E82B0B"/>
    <w:rsid w:val="00E82C1B"/>
    <w:rsid w:val="00E82C20"/>
    <w:rsid w:val="00E82C98"/>
    <w:rsid w:val="00E82EBB"/>
    <w:rsid w:val="00E82EBF"/>
    <w:rsid w:val="00E82FCA"/>
    <w:rsid w:val="00E82FD1"/>
    <w:rsid w:val="00E8313C"/>
    <w:rsid w:val="00E8321D"/>
    <w:rsid w:val="00E8322E"/>
    <w:rsid w:val="00E8324E"/>
    <w:rsid w:val="00E83252"/>
    <w:rsid w:val="00E833D5"/>
    <w:rsid w:val="00E835C0"/>
    <w:rsid w:val="00E8362A"/>
    <w:rsid w:val="00E837FF"/>
    <w:rsid w:val="00E838AD"/>
    <w:rsid w:val="00E838E1"/>
    <w:rsid w:val="00E83904"/>
    <w:rsid w:val="00E83A3B"/>
    <w:rsid w:val="00E83B3C"/>
    <w:rsid w:val="00E83B8E"/>
    <w:rsid w:val="00E83CBB"/>
    <w:rsid w:val="00E83D0B"/>
    <w:rsid w:val="00E83D96"/>
    <w:rsid w:val="00E83DA6"/>
    <w:rsid w:val="00E83EA1"/>
    <w:rsid w:val="00E83F37"/>
    <w:rsid w:val="00E83FA9"/>
    <w:rsid w:val="00E8437B"/>
    <w:rsid w:val="00E843DB"/>
    <w:rsid w:val="00E844A0"/>
    <w:rsid w:val="00E844C0"/>
    <w:rsid w:val="00E84515"/>
    <w:rsid w:val="00E847AB"/>
    <w:rsid w:val="00E847E2"/>
    <w:rsid w:val="00E848A0"/>
    <w:rsid w:val="00E84924"/>
    <w:rsid w:val="00E8496B"/>
    <w:rsid w:val="00E8498E"/>
    <w:rsid w:val="00E84A29"/>
    <w:rsid w:val="00E84C57"/>
    <w:rsid w:val="00E84C61"/>
    <w:rsid w:val="00E84C7C"/>
    <w:rsid w:val="00E84D66"/>
    <w:rsid w:val="00E84DB4"/>
    <w:rsid w:val="00E84DF5"/>
    <w:rsid w:val="00E84E9D"/>
    <w:rsid w:val="00E84EC3"/>
    <w:rsid w:val="00E8525E"/>
    <w:rsid w:val="00E8529D"/>
    <w:rsid w:val="00E853B6"/>
    <w:rsid w:val="00E85416"/>
    <w:rsid w:val="00E8545C"/>
    <w:rsid w:val="00E85506"/>
    <w:rsid w:val="00E8553F"/>
    <w:rsid w:val="00E85571"/>
    <w:rsid w:val="00E855BC"/>
    <w:rsid w:val="00E8575D"/>
    <w:rsid w:val="00E85772"/>
    <w:rsid w:val="00E857EB"/>
    <w:rsid w:val="00E85898"/>
    <w:rsid w:val="00E858B7"/>
    <w:rsid w:val="00E858DB"/>
    <w:rsid w:val="00E8596E"/>
    <w:rsid w:val="00E859B5"/>
    <w:rsid w:val="00E859BA"/>
    <w:rsid w:val="00E85B55"/>
    <w:rsid w:val="00E85C91"/>
    <w:rsid w:val="00E85E61"/>
    <w:rsid w:val="00E85F14"/>
    <w:rsid w:val="00E86068"/>
    <w:rsid w:val="00E860CD"/>
    <w:rsid w:val="00E861C6"/>
    <w:rsid w:val="00E8624C"/>
    <w:rsid w:val="00E86360"/>
    <w:rsid w:val="00E865D1"/>
    <w:rsid w:val="00E8681C"/>
    <w:rsid w:val="00E8690F"/>
    <w:rsid w:val="00E86A98"/>
    <w:rsid w:val="00E86D79"/>
    <w:rsid w:val="00E86DE3"/>
    <w:rsid w:val="00E86EBE"/>
    <w:rsid w:val="00E86F39"/>
    <w:rsid w:val="00E87096"/>
    <w:rsid w:val="00E870A3"/>
    <w:rsid w:val="00E870EA"/>
    <w:rsid w:val="00E87114"/>
    <w:rsid w:val="00E87274"/>
    <w:rsid w:val="00E87441"/>
    <w:rsid w:val="00E874CA"/>
    <w:rsid w:val="00E875CB"/>
    <w:rsid w:val="00E875EE"/>
    <w:rsid w:val="00E87765"/>
    <w:rsid w:val="00E8778D"/>
    <w:rsid w:val="00E877DD"/>
    <w:rsid w:val="00E8781A"/>
    <w:rsid w:val="00E8782C"/>
    <w:rsid w:val="00E879CB"/>
    <w:rsid w:val="00E87C79"/>
    <w:rsid w:val="00E87C83"/>
    <w:rsid w:val="00E87FA0"/>
    <w:rsid w:val="00E90139"/>
    <w:rsid w:val="00E90153"/>
    <w:rsid w:val="00E902BB"/>
    <w:rsid w:val="00E902DE"/>
    <w:rsid w:val="00E90318"/>
    <w:rsid w:val="00E9037F"/>
    <w:rsid w:val="00E903A2"/>
    <w:rsid w:val="00E9040E"/>
    <w:rsid w:val="00E90529"/>
    <w:rsid w:val="00E905F2"/>
    <w:rsid w:val="00E9067A"/>
    <w:rsid w:val="00E907C2"/>
    <w:rsid w:val="00E907C6"/>
    <w:rsid w:val="00E90978"/>
    <w:rsid w:val="00E90986"/>
    <w:rsid w:val="00E90A1C"/>
    <w:rsid w:val="00E90B49"/>
    <w:rsid w:val="00E90B7F"/>
    <w:rsid w:val="00E90CB4"/>
    <w:rsid w:val="00E90CE8"/>
    <w:rsid w:val="00E90E1D"/>
    <w:rsid w:val="00E90F45"/>
    <w:rsid w:val="00E9104D"/>
    <w:rsid w:val="00E91052"/>
    <w:rsid w:val="00E91160"/>
    <w:rsid w:val="00E911CA"/>
    <w:rsid w:val="00E91202"/>
    <w:rsid w:val="00E91217"/>
    <w:rsid w:val="00E91247"/>
    <w:rsid w:val="00E9127F"/>
    <w:rsid w:val="00E912A2"/>
    <w:rsid w:val="00E912CC"/>
    <w:rsid w:val="00E9130A"/>
    <w:rsid w:val="00E91339"/>
    <w:rsid w:val="00E91517"/>
    <w:rsid w:val="00E916A0"/>
    <w:rsid w:val="00E916F3"/>
    <w:rsid w:val="00E9170B"/>
    <w:rsid w:val="00E9172F"/>
    <w:rsid w:val="00E917EB"/>
    <w:rsid w:val="00E91822"/>
    <w:rsid w:val="00E91B8F"/>
    <w:rsid w:val="00E91C5E"/>
    <w:rsid w:val="00E91D8D"/>
    <w:rsid w:val="00E91DC1"/>
    <w:rsid w:val="00E91E14"/>
    <w:rsid w:val="00E91E73"/>
    <w:rsid w:val="00E91E78"/>
    <w:rsid w:val="00E91EEB"/>
    <w:rsid w:val="00E91EFD"/>
    <w:rsid w:val="00E91F3D"/>
    <w:rsid w:val="00E91FB4"/>
    <w:rsid w:val="00E92010"/>
    <w:rsid w:val="00E92087"/>
    <w:rsid w:val="00E920DD"/>
    <w:rsid w:val="00E9216E"/>
    <w:rsid w:val="00E92270"/>
    <w:rsid w:val="00E922BC"/>
    <w:rsid w:val="00E9236D"/>
    <w:rsid w:val="00E924BF"/>
    <w:rsid w:val="00E924EB"/>
    <w:rsid w:val="00E927FA"/>
    <w:rsid w:val="00E9284C"/>
    <w:rsid w:val="00E92A03"/>
    <w:rsid w:val="00E92A88"/>
    <w:rsid w:val="00E92AA2"/>
    <w:rsid w:val="00E92AB2"/>
    <w:rsid w:val="00E92B96"/>
    <w:rsid w:val="00E92BB1"/>
    <w:rsid w:val="00E92D21"/>
    <w:rsid w:val="00E92E0C"/>
    <w:rsid w:val="00E92E9E"/>
    <w:rsid w:val="00E92F5E"/>
    <w:rsid w:val="00E92FA3"/>
    <w:rsid w:val="00E92FA6"/>
    <w:rsid w:val="00E93046"/>
    <w:rsid w:val="00E9306A"/>
    <w:rsid w:val="00E9306D"/>
    <w:rsid w:val="00E931A8"/>
    <w:rsid w:val="00E931D9"/>
    <w:rsid w:val="00E932F6"/>
    <w:rsid w:val="00E933B9"/>
    <w:rsid w:val="00E935CF"/>
    <w:rsid w:val="00E935DD"/>
    <w:rsid w:val="00E9370B"/>
    <w:rsid w:val="00E9388B"/>
    <w:rsid w:val="00E939D6"/>
    <w:rsid w:val="00E93AF8"/>
    <w:rsid w:val="00E93D36"/>
    <w:rsid w:val="00E93D8F"/>
    <w:rsid w:val="00E93E10"/>
    <w:rsid w:val="00E93ECC"/>
    <w:rsid w:val="00E93ED1"/>
    <w:rsid w:val="00E93EE7"/>
    <w:rsid w:val="00E9410B"/>
    <w:rsid w:val="00E94151"/>
    <w:rsid w:val="00E941B5"/>
    <w:rsid w:val="00E942A2"/>
    <w:rsid w:val="00E94329"/>
    <w:rsid w:val="00E94360"/>
    <w:rsid w:val="00E943AE"/>
    <w:rsid w:val="00E945DB"/>
    <w:rsid w:val="00E9477C"/>
    <w:rsid w:val="00E94809"/>
    <w:rsid w:val="00E9480D"/>
    <w:rsid w:val="00E9487D"/>
    <w:rsid w:val="00E948AF"/>
    <w:rsid w:val="00E948FE"/>
    <w:rsid w:val="00E94928"/>
    <w:rsid w:val="00E94937"/>
    <w:rsid w:val="00E9497D"/>
    <w:rsid w:val="00E94A05"/>
    <w:rsid w:val="00E94B39"/>
    <w:rsid w:val="00E94B42"/>
    <w:rsid w:val="00E94B83"/>
    <w:rsid w:val="00E94CA4"/>
    <w:rsid w:val="00E94D2D"/>
    <w:rsid w:val="00E94E86"/>
    <w:rsid w:val="00E94EFC"/>
    <w:rsid w:val="00E94F44"/>
    <w:rsid w:val="00E94F5C"/>
    <w:rsid w:val="00E950D9"/>
    <w:rsid w:val="00E95153"/>
    <w:rsid w:val="00E9517B"/>
    <w:rsid w:val="00E952FF"/>
    <w:rsid w:val="00E95335"/>
    <w:rsid w:val="00E95431"/>
    <w:rsid w:val="00E95446"/>
    <w:rsid w:val="00E954A8"/>
    <w:rsid w:val="00E95877"/>
    <w:rsid w:val="00E95AB5"/>
    <w:rsid w:val="00E95AD2"/>
    <w:rsid w:val="00E95B49"/>
    <w:rsid w:val="00E95C60"/>
    <w:rsid w:val="00E95E45"/>
    <w:rsid w:val="00E95E50"/>
    <w:rsid w:val="00E95EB4"/>
    <w:rsid w:val="00E95EBB"/>
    <w:rsid w:val="00E95EBF"/>
    <w:rsid w:val="00E95EE8"/>
    <w:rsid w:val="00E95F7B"/>
    <w:rsid w:val="00E95FB0"/>
    <w:rsid w:val="00E96108"/>
    <w:rsid w:val="00E96119"/>
    <w:rsid w:val="00E9614E"/>
    <w:rsid w:val="00E96246"/>
    <w:rsid w:val="00E962CC"/>
    <w:rsid w:val="00E96448"/>
    <w:rsid w:val="00E9644B"/>
    <w:rsid w:val="00E96537"/>
    <w:rsid w:val="00E965AA"/>
    <w:rsid w:val="00E965C9"/>
    <w:rsid w:val="00E966EA"/>
    <w:rsid w:val="00E967A6"/>
    <w:rsid w:val="00E967D4"/>
    <w:rsid w:val="00E96804"/>
    <w:rsid w:val="00E9684D"/>
    <w:rsid w:val="00E9688F"/>
    <w:rsid w:val="00E96956"/>
    <w:rsid w:val="00E96A7D"/>
    <w:rsid w:val="00E96AF0"/>
    <w:rsid w:val="00E96B02"/>
    <w:rsid w:val="00E96B46"/>
    <w:rsid w:val="00E96B8E"/>
    <w:rsid w:val="00E96BF8"/>
    <w:rsid w:val="00E96F53"/>
    <w:rsid w:val="00E96FA1"/>
    <w:rsid w:val="00E97093"/>
    <w:rsid w:val="00E970A7"/>
    <w:rsid w:val="00E971A4"/>
    <w:rsid w:val="00E971D7"/>
    <w:rsid w:val="00E9720E"/>
    <w:rsid w:val="00E97241"/>
    <w:rsid w:val="00E97266"/>
    <w:rsid w:val="00E973C8"/>
    <w:rsid w:val="00E97441"/>
    <w:rsid w:val="00E97446"/>
    <w:rsid w:val="00E974E4"/>
    <w:rsid w:val="00E97502"/>
    <w:rsid w:val="00E97675"/>
    <w:rsid w:val="00E97747"/>
    <w:rsid w:val="00E977A1"/>
    <w:rsid w:val="00E97D10"/>
    <w:rsid w:val="00E97D50"/>
    <w:rsid w:val="00E97E97"/>
    <w:rsid w:val="00E97EDB"/>
    <w:rsid w:val="00E97EFD"/>
    <w:rsid w:val="00E97FE1"/>
    <w:rsid w:val="00EA0098"/>
    <w:rsid w:val="00EA0140"/>
    <w:rsid w:val="00EA035D"/>
    <w:rsid w:val="00EA03BB"/>
    <w:rsid w:val="00EA0504"/>
    <w:rsid w:val="00EA05C9"/>
    <w:rsid w:val="00EA06F2"/>
    <w:rsid w:val="00EA0774"/>
    <w:rsid w:val="00EA079C"/>
    <w:rsid w:val="00EA08E5"/>
    <w:rsid w:val="00EA0914"/>
    <w:rsid w:val="00EA09C0"/>
    <w:rsid w:val="00EA0CEA"/>
    <w:rsid w:val="00EA0DE3"/>
    <w:rsid w:val="00EA0EED"/>
    <w:rsid w:val="00EA0EF1"/>
    <w:rsid w:val="00EA0FC3"/>
    <w:rsid w:val="00EA0FF7"/>
    <w:rsid w:val="00EA1007"/>
    <w:rsid w:val="00EA100E"/>
    <w:rsid w:val="00EA102E"/>
    <w:rsid w:val="00EA1068"/>
    <w:rsid w:val="00EA11FF"/>
    <w:rsid w:val="00EA1292"/>
    <w:rsid w:val="00EA12F2"/>
    <w:rsid w:val="00EA144D"/>
    <w:rsid w:val="00EA1487"/>
    <w:rsid w:val="00EA149D"/>
    <w:rsid w:val="00EA14CB"/>
    <w:rsid w:val="00EA1516"/>
    <w:rsid w:val="00EA156F"/>
    <w:rsid w:val="00EA15CA"/>
    <w:rsid w:val="00EA1600"/>
    <w:rsid w:val="00EA1608"/>
    <w:rsid w:val="00EA1792"/>
    <w:rsid w:val="00EA17C7"/>
    <w:rsid w:val="00EA17CB"/>
    <w:rsid w:val="00EA1839"/>
    <w:rsid w:val="00EA1877"/>
    <w:rsid w:val="00EA1882"/>
    <w:rsid w:val="00EA18DF"/>
    <w:rsid w:val="00EA18E0"/>
    <w:rsid w:val="00EA18EC"/>
    <w:rsid w:val="00EA18FC"/>
    <w:rsid w:val="00EA1A32"/>
    <w:rsid w:val="00EA1B14"/>
    <w:rsid w:val="00EA1B8F"/>
    <w:rsid w:val="00EA20E9"/>
    <w:rsid w:val="00EA21AC"/>
    <w:rsid w:val="00EA21BA"/>
    <w:rsid w:val="00EA2380"/>
    <w:rsid w:val="00EA2408"/>
    <w:rsid w:val="00EA24E1"/>
    <w:rsid w:val="00EA25EC"/>
    <w:rsid w:val="00EA261B"/>
    <w:rsid w:val="00EA261D"/>
    <w:rsid w:val="00EA263F"/>
    <w:rsid w:val="00EA2656"/>
    <w:rsid w:val="00EA2758"/>
    <w:rsid w:val="00EA27FE"/>
    <w:rsid w:val="00EA2A97"/>
    <w:rsid w:val="00EA2AED"/>
    <w:rsid w:val="00EA2B5A"/>
    <w:rsid w:val="00EA2BF7"/>
    <w:rsid w:val="00EA2C81"/>
    <w:rsid w:val="00EA2EC6"/>
    <w:rsid w:val="00EA2F02"/>
    <w:rsid w:val="00EA2F90"/>
    <w:rsid w:val="00EA3100"/>
    <w:rsid w:val="00EA31EA"/>
    <w:rsid w:val="00EA32D8"/>
    <w:rsid w:val="00EA3328"/>
    <w:rsid w:val="00EA337B"/>
    <w:rsid w:val="00EA33A9"/>
    <w:rsid w:val="00EA33F4"/>
    <w:rsid w:val="00EA34BA"/>
    <w:rsid w:val="00EA34CE"/>
    <w:rsid w:val="00EA34FC"/>
    <w:rsid w:val="00EA350B"/>
    <w:rsid w:val="00EA36BF"/>
    <w:rsid w:val="00EA36FE"/>
    <w:rsid w:val="00EA3735"/>
    <w:rsid w:val="00EA3773"/>
    <w:rsid w:val="00EA37D0"/>
    <w:rsid w:val="00EA37D5"/>
    <w:rsid w:val="00EA3D47"/>
    <w:rsid w:val="00EA3E27"/>
    <w:rsid w:val="00EA3F5B"/>
    <w:rsid w:val="00EA3FCF"/>
    <w:rsid w:val="00EA4086"/>
    <w:rsid w:val="00EA4237"/>
    <w:rsid w:val="00EA4264"/>
    <w:rsid w:val="00EA44C5"/>
    <w:rsid w:val="00EA44EF"/>
    <w:rsid w:val="00EA450F"/>
    <w:rsid w:val="00EA45C9"/>
    <w:rsid w:val="00EA4774"/>
    <w:rsid w:val="00EA4831"/>
    <w:rsid w:val="00EA4A70"/>
    <w:rsid w:val="00EA4B95"/>
    <w:rsid w:val="00EA4DAF"/>
    <w:rsid w:val="00EA4DF0"/>
    <w:rsid w:val="00EA50D0"/>
    <w:rsid w:val="00EA5228"/>
    <w:rsid w:val="00EA52D3"/>
    <w:rsid w:val="00EA5408"/>
    <w:rsid w:val="00EA5456"/>
    <w:rsid w:val="00EA547A"/>
    <w:rsid w:val="00EA54CB"/>
    <w:rsid w:val="00EA55EC"/>
    <w:rsid w:val="00EA57DA"/>
    <w:rsid w:val="00EA5809"/>
    <w:rsid w:val="00EA5910"/>
    <w:rsid w:val="00EA59C6"/>
    <w:rsid w:val="00EA5A56"/>
    <w:rsid w:val="00EA5A86"/>
    <w:rsid w:val="00EA5B2A"/>
    <w:rsid w:val="00EA5CBB"/>
    <w:rsid w:val="00EA5D95"/>
    <w:rsid w:val="00EA5E7B"/>
    <w:rsid w:val="00EA5F50"/>
    <w:rsid w:val="00EA5FB0"/>
    <w:rsid w:val="00EA5FCD"/>
    <w:rsid w:val="00EA5FD9"/>
    <w:rsid w:val="00EA6023"/>
    <w:rsid w:val="00EA605D"/>
    <w:rsid w:val="00EA6067"/>
    <w:rsid w:val="00EA61C4"/>
    <w:rsid w:val="00EA624A"/>
    <w:rsid w:val="00EA6254"/>
    <w:rsid w:val="00EA632B"/>
    <w:rsid w:val="00EA6398"/>
    <w:rsid w:val="00EA6759"/>
    <w:rsid w:val="00EA6951"/>
    <w:rsid w:val="00EA6AF5"/>
    <w:rsid w:val="00EA6B42"/>
    <w:rsid w:val="00EA6C4D"/>
    <w:rsid w:val="00EA6C74"/>
    <w:rsid w:val="00EA6CE6"/>
    <w:rsid w:val="00EA6DD1"/>
    <w:rsid w:val="00EA6E99"/>
    <w:rsid w:val="00EA70A7"/>
    <w:rsid w:val="00EA7134"/>
    <w:rsid w:val="00EA7192"/>
    <w:rsid w:val="00EA72DC"/>
    <w:rsid w:val="00EA73E5"/>
    <w:rsid w:val="00EA7455"/>
    <w:rsid w:val="00EA746C"/>
    <w:rsid w:val="00EA747F"/>
    <w:rsid w:val="00EA74E3"/>
    <w:rsid w:val="00EA7709"/>
    <w:rsid w:val="00EA77F5"/>
    <w:rsid w:val="00EA795A"/>
    <w:rsid w:val="00EA797F"/>
    <w:rsid w:val="00EA79D3"/>
    <w:rsid w:val="00EA7A02"/>
    <w:rsid w:val="00EA7B2C"/>
    <w:rsid w:val="00EA7B48"/>
    <w:rsid w:val="00EA7B97"/>
    <w:rsid w:val="00EA7D4B"/>
    <w:rsid w:val="00EA7D6F"/>
    <w:rsid w:val="00EA7DAE"/>
    <w:rsid w:val="00EA7F35"/>
    <w:rsid w:val="00EA7FEB"/>
    <w:rsid w:val="00EAE5A5"/>
    <w:rsid w:val="00EB0056"/>
    <w:rsid w:val="00EB005F"/>
    <w:rsid w:val="00EB00AD"/>
    <w:rsid w:val="00EB00DE"/>
    <w:rsid w:val="00EB00E0"/>
    <w:rsid w:val="00EB0101"/>
    <w:rsid w:val="00EB0151"/>
    <w:rsid w:val="00EB0160"/>
    <w:rsid w:val="00EB03EB"/>
    <w:rsid w:val="00EB0622"/>
    <w:rsid w:val="00EB0696"/>
    <w:rsid w:val="00EB079C"/>
    <w:rsid w:val="00EB0931"/>
    <w:rsid w:val="00EB093C"/>
    <w:rsid w:val="00EB0956"/>
    <w:rsid w:val="00EB0AF0"/>
    <w:rsid w:val="00EB0B36"/>
    <w:rsid w:val="00EB0BAB"/>
    <w:rsid w:val="00EB0D77"/>
    <w:rsid w:val="00EB0E78"/>
    <w:rsid w:val="00EB0E9B"/>
    <w:rsid w:val="00EB0EAB"/>
    <w:rsid w:val="00EB0EF4"/>
    <w:rsid w:val="00EB115A"/>
    <w:rsid w:val="00EB11C3"/>
    <w:rsid w:val="00EB1312"/>
    <w:rsid w:val="00EB1378"/>
    <w:rsid w:val="00EB1467"/>
    <w:rsid w:val="00EB1478"/>
    <w:rsid w:val="00EB14DE"/>
    <w:rsid w:val="00EB14E4"/>
    <w:rsid w:val="00EB16C9"/>
    <w:rsid w:val="00EB17F0"/>
    <w:rsid w:val="00EB1807"/>
    <w:rsid w:val="00EB1B56"/>
    <w:rsid w:val="00EB1BBD"/>
    <w:rsid w:val="00EB1D2D"/>
    <w:rsid w:val="00EB1D8D"/>
    <w:rsid w:val="00EB1F13"/>
    <w:rsid w:val="00EB1FCC"/>
    <w:rsid w:val="00EB21E8"/>
    <w:rsid w:val="00EB2233"/>
    <w:rsid w:val="00EB234C"/>
    <w:rsid w:val="00EB23A6"/>
    <w:rsid w:val="00EB2446"/>
    <w:rsid w:val="00EB256E"/>
    <w:rsid w:val="00EB2663"/>
    <w:rsid w:val="00EB27BA"/>
    <w:rsid w:val="00EB2875"/>
    <w:rsid w:val="00EB29EE"/>
    <w:rsid w:val="00EB2A5F"/>
    <w:rsid w:val="00EB2A68"/>
    <w:rsid w:val="00EB2AC9"/>
    <w:rsid w:val="00EB2B09"/>
    <w:rsid w:val="00EB2B47"/>
    <w:rsid w:val="00EB2B7F"/>
    <w:rsid w:val="00EB2BFD"/>
    <w:rsid w:val="00EB2D06"/>
    <w:rsid w:val="00EB2D67"/>
    <w:rsid w:val="00EB2E23"/>
    <w:rsid w:val="00EB2EE5"/>
    <w:rsid w:val="00EB2F87"/>
    <w:rsid w:val="00EB2FE0"/>
    <w:rsid w:val="00EB300D"/>
    <w:rsid w:val="00EB301E"/>
    <w:rsid w:val="00EB30A6"/>
    <w:rsid w:val="00EB311E"/>
    <w:rsid w:val="00EB3187"/>
    <w:rsid w:val="00EB3316"/>
    <w:rsid w:val="00EB339A"/>
    <w:rsid w:val="00EB3435"/>
    <w:rsid w:val="00EB34A0"/>
    <w:rsid w:val="00EB354F"/>
    <w:rsid w:val="00EB35F7"/>
    <w:rsid w:val="00EB369C"/>
    <w:rsid w:val="00EB36DA"/>
    <w:rsid w:val="00EB3704"/>
    <w:rsid w:val="00EB376D"/>
    <w:rsid w:val="00EB3815"/>
    <w:rsid w:val="00EB390E"/>
    <w:rsid w:val="00EB3A01"/>
    <w:rsid w:val="00EB3A48"/>
    <w:rsid w:val="00EB3AC6"/>
    <w:rsid w:val="00EB3BB4"/>
    <w:rsid w:val="00EB3C01"/>
    <w:rsid w:val="00EB3D3C"/>
    <w:rsid w:val="00EB3D64"/>
    <w:rsid w:val="00EB3DA1"/>
    <w:rsid w:val="00EB3E64"/>
    <w:rsid w:val="00EB3ED9"/>
    <w:rsid w:val="00EB3EED"/>
    <w:rsid w:val="00EB4041"/>
    <w:rsid w:val="00EB404C"/>
    <w:rsid w:val="00EB40B2"/>
    <w:rsid w:val="00EB40BB"/>
    <w:rsid w:val="00EB4133"/>
    <w:rsid w:val="00EB4169"/>
    <w:rsid w:val="00EB4181"/>
    <w:rsid w:val="00EB426A"/>
    <w:rsid w:val="00EB4444"/>
    <w:rsid w:val="00EB4561"/>
    <w:rsid w:val="00EB470B"/>
    <w:rsid w:val="00EB48E2"/>
    <w:rsid w:val="00EB4975"/>
    <w:rsid w:val="00EB49DE"/>
    <w:rsid w:val="00EB4A60"/>
    <w:rsid w:val="00EB4BAD"/>
    <w:rsid w:val="00EB4BDC"/>
    <w:rsid w:val="00EB4CF7"/>
    <w:rsid w:val="00EB511E"/>
    <w:rsid w:val="00EB516C"/>
    <w:rsid w:val="00EB5340"/>
    <w:rsid w:val="00EB542C"/>
    <w:rsid w:val="00EB54E3"/>
    <w:rsid w:val="00EB5542"/>
    <w:rsid w:val="00EB5683"/>
    <w:rsid w:val="00EB56B8"/>
    <w:rsid w:val="00EB56F7"/>
    <w:rsid w:val="00EB573B"/>
    <w:rsid w:val="00EB578F"/>
    <w:rsid w:val="00EB57B2"/>
    <w:rsid w:val="00EB5943"/>
    <w:rsid w:val="00EB5968"/>
    <w:rsid w:val="00EB59A4"/>
    <w:rsid w:val="00EB59B3"/>
    <w:rsid w:val="00EB5A89"/>
    <w:rsid w:val="00EB5C35"/>
    <w:rsid w:val="00EB5D3E"/>
    <w:rsid w:val="00EB5D5D"/>
    <w:rsid w:val="00EB5EAD"/>
    <w:rsid w:val="00EB5F00"/>
    <w:rsid w:val="00EB5F7C"/>
    <w:rsid w:val="00EB5FC7"/>
    <w:rsid w:val="00EB5FFA"/>
    <w:rsid w:val="00EB5FFB"/>
    <w:rsid w:val="00EB60E7"/>
    <w:rsid w:val="00EB6244"/>
    <w:rsid w:val="00EB6271"/>
    <w:rsid w:val="00EB634D"/>
    <w:rsid w:val="00EB6367"/>
    <w:rsid w:val="00EB64D0"/>
    <w:rsid w:val="00EB64DE"/>
    <w:rsid w:val="00EB65A4"/>
    <w:rsid w:val="00EB65BC"/>
    <w:rsid w:val="00EB65D1"/>
    <w:rsid w:val="00EB6652"/>
    <w:rsid w:val="00EB6710"/>
    <w:rsid w:val="00EB67F9"/>
    <w:rsid w:val="00EB69E6"/>
    <w:rsid w:val="00EB6A1B"/>
    <w:rsid w:val="00EB6A4F"/>
    <w:rsid w:val="00EB6B34"/>
    <w:rsid w:val="00EB6B8D"/>
    <w:rsid w:val="00EB6BA8"/>
    <w:rsid w:val="00EB6C3D"/>
    <w:rsid w:val="00EB6D75"/>
    <w:rsid w:val="00EB6E48"/>
    <w:rsid w:val="00EB6FE1"/>
    <w:rsid w:val="00EB7019"/>
    <w:rsid w:val="00EB7036"/>
    <w:rsid w:val="00EB70FC"/>
    <w:rsid w:val="00EB7127"/>
    <w:rsid w:val="00EB717C"/>
    <w:rsid w:val="00EB7239"/>
    <w:rsid w:val="00EB7258"/>
    <w:rsid w:val="00EB7267"/>
    <w:rsid w:val="00EB728A"/>
    <w:rsid w:val="00EB72BE"/>
    <w:rsid w:val="00EB7340"/>
    <w:rsid w:val="00EB738F"/>
    <w:rsid w:val="00EB73BA"/>
    <w:rsid w:val="00EB745A"/>
    <w:rsid w:val="00EB745C"/>
    <w:rsid w:val="00EB74B5"/>
    <w:rsid w:val="00EB74B7"/>
    <w:rsid w:val="00EB74C1"/>
    <w:rsid w:val="00EB7500"/>
    <w:rsid w:val="00EB752D"/>
    <w:rsid w:val="00EB761F"/>
    <w:rsid w:val="00EB76EA"/>
    <w:rsid w:val="00EB7730"/>
    <w:rsid w:val="00EB7798"/>
    <w:rsid w:val="00EB780F"/>
    <w:rsid w:val="00EB7884"/>
    <w:rsid w:val="00EB796D"/>
    <w:rsid w:val="00EB7A30"/>
    <w:rsid w:val="00EB7AE7"/>
    <w:rsid w:val="00EB7D5A"/>
    <w:rsid w:val="00EB7E0E"/>
    <w:rsid w:val="00EB7E41"/>
    <w:rsid w:val="00EB7E72"/>
    <w:rsid w:val="00EB7ECB"/>
    <w:rsid w:val="00EB7EFC"/>
    <w:rsid w:val="00EB7F43"/>
    <w:rsid w:val="00EB7FC4"/>
    <w:rsid w:val="00EC00BA"/>
    <w:rsid w:val="00EC02D2"/>
    <w:rsid w:val="00EC03DF"/>
    <w:rsid w:val="00EC049E"/>
    <w:rsid w:val="00EC0644"/>
    <w:rsid w:val="00EC075C"/>
    <w:rsid w:val="00EC0799"/>
    <w:rsid w:val="00EC081E"/>
    <w:rsid w:val="00EC088F"/>
    <w:rsid w:val="00EC0AFA"/>
    <w:rsid w:val="00EC0B2C"/>
    <w:rsid w:val="00EC0CF1"/>
    <w:rsid w:val="00EC0CFC"/>
    <w:rsid w:val="00EC0E41"/>
    <w:rsid w:val="00EC104F"/>
    <w:rsid w:val="00EC127B"/>
    <w:rsid w:val="00EC127E"/>
    <w:rsid w:val="00EC1329"/>
    <w:rsid w:val="00EC14FB"/>
    <w:rsid w:val="00EC155B"/>
    <w:rsid w:val="00EC1613"/>
    <w:rsid w:val="00EC1679"/>
    <w:rsid w:val="00EC16C1"/>
    <w:rsid w:val="00EC1827"/>
    <w:rsid w:val="00EC1947"/>
    <w:rsid w:val="00EC1A00"/>
    <w:rsid w:val="00EC1A80"/>
    <w:rsid w:val="00EC1B3A"/>
    <w:rsid w:val="00EC1BB0"/>
    <w:rsid w:val="00EC1E4C"/>
    <w:rsid w:val="00EC1E68"/>
    <w:rsid w:val="00EC1EC5"/>
    <w:rsid w:val="00EC2073"/>
    <w:rsid w:val="00EC2082"/>
    <w:rsid w:val="00EC211D"/>
    <w:rsid w:val="00EC22C3"/>
    <w:rsid w:val="00EC2427"/>
    <w:rsid w:val="00EC2505"/>
    <w:rsid w:val="00EC250E"/>
    <w:rsid w:val="00EC2612"/>
    <w:rsid w:val="00EC27D5"/>
    <w:rsid w:val="00EC28F2"/>
    <w:rsid w:val="00EC2E10"/>
    <w:rsid w:val="00EC2EF8"/>
    <w:rsid w:val="00EC30E0"/>
    <w:rsid w:val="00EC3198"/>
    <w:rsid w:val="00EC31E7"/>
    <w:rsid w:val="00EC31F7"/>
    <w:rsid w:val="00EC32F6"/>
    <w:rsid w:val="00EC3329"/>
    <w:rsid w:val="00EC3356"/>
    <w:rsid w:val="00EC35D8"/>
    <w:rsid w:val="00EC370C"/>
    <w:rsid w:val="00EC374E"/>
    <w:rsid w:val="00EC377A"/>
    <w:rsid w:val="00EC377D"/>
    <w:rsid w:val="00EC37EF"/>
    <w:rsid w:val="00EC38A2"/>
    <w:rsid w:val="00EC39A0"/>
    <w:rsid w:val="00EC39F8"/>
    <w:rsid w:val="00EC3A54"/>
    <w:rsid w:val="00EC3AE8"/>
    <w:rsid w:val="00EC3BFA"/>
    <w:rsid w:val="00EC3F24"/>
    <w:rsid w:val="00EC3F30"/>
    <w:rsid w:val="00EC3F60"/>
    <w:rsid w:val="00EC40F3"/>
    <w:rsid w:val="00EC416C"/>
    <w:rsid w:val="00EC417B"/>
    <w:rsid w:val="00EC41BB"/>
    <w:rsid w:val="00EC42F2"/>
    <w:rsid w:val="00EC4316"/>
    <w:rsid w:val="00EC4321"/>
    <w:rsid w:val="00EC4329"/>
    <w:rsid w:val="00EC446C"/>
    <w:rsid w:val="00EC44D9"/>
    <w:rsid w:val="00EC45F2"/>
    <w:rsid w:val="00EC4618"/>
    <w:rsid w:val="00EC46A4"/>
    <w:rsid w:val="00EC494D"/>
    <w:rsid w:val="00EC4A08"/>
    <w:rsid w:val="00EC4A78"/>
    <w:rsid w:val="00EC4B3B"/>
    <w:rsid w:val="00EC4BED"/>
    <w:rsid w:val="00EC4CCD"/>
    <w:rsid w:val="00EC4CF2"/>
    <w:rsid w:val="00EC4F13"/>
    <w:rsid w:val="00EC506E"/>
    <w:rsid w:val="00EC50AB"/>
    <w:rsid w:val="00EC51BA"/>
    <w:rsid w:val="00EC51C6"/>
    <w:rsid w:val="00EC533F"/>
    <w:rsid w:val="00EC5504"/>
    <w:rsid w:val="00EC5558"/>
    <w:rsid w:val="00EC55C2"/>
    <w:rsid w:val="00EC565B"/>
    <w:rsid w:val="00EC57D3"/>
    <w:rsid w:val="00EC58AE"/>
    <w:rsid w:val="00EC5955"/>
    <w:rsid w:val="00EC595A"/>
    <w:rsid w:val="00EC595E"/>
    <w:rsid w:val="00EC598A"/>
    <w:rsid w:val="00EC5995"/>
    <w:rsid w:val="00EC5B1E"/>
    <w:rsid w:val="00EC5B43"/>
    <w:rsid w:val="00EC5C82"/>
    <w:rsid w:val="00EC5F5C"/>
    <w:rsid w:val="00EC5FA8"/>
    <w:rsid w:val="00EC600B"/>
    <w:rsid w:val="00EC6075"/>
    <w:rsid w:val="00EC6217"/>
    <w:rsid w:val="00EC62D0"/>
    <w:rsid w:val="00EC62F7"/>
    <w:rsid w:val="00EC64BE"/>
    <w:rsid w:val="00EC6512"/>
    <w:rsid w:val="00EC653C"/>
    <w:rsid w:val="00EC6627"/>
    <w:rsid w:val="00EC663F"/>
    <w:rsid w:val="00EC6665"/>
    <w:rsid w:val="00EC6671"/>
    <w:rsid w:val="00EC67AD"/>
    <w:rsid w:val="00EC6A09"/>
    <w:rsid w:val="00EC6B36"/>
    <w:rsid w:val="00EC6C4A"/>
    <w:rsid w:val="00EC6C86"/>
    <w:rsid w:val="00EC6CB1"/>
    <w:rsid w:val="00EC6CEC"/>
    <w:rsid w:val="00EC6D04"/>
    <w:rsid w:val="00EC6EFD"/>
    <w:rsid w:val="00EC6F9C"/>
    <w:rsid w:val="00EC7139"/>
    <w:rsid w:val="00EC71A7"/>
    <w:rsid w:val="00EC71BC"/>
    <w:rsid w:val="00EC722E"/>
    <w:rsid w:val="00EC7244"/>
    <w:rsid w:val="00EC72B4"/>
    <w:rsid w:val="00EC72E3"/>
    <w:rsid w:val="00EC736F"/>
    <w:rsid w:val="00EC7417"/>
    <w:rsid w:val="00EC74A5"/>
    <w:rsid w:val="00EC74E5"/>
    <w:rsid w:val="00EC754C"/>
    <w:rsid w:val="00EC7590"/>
    <w:rsid w:val="00EC75C7"/>
    <w:rsid w:val="00EC7611"/>
    <w:rsid w:val="00EC7653"/>
    <w:rsid w:val="00EC7656"/>
    <w:rsid w:val="00EC76B0"/>
    <w:rsid w:val="00EC779E"/>
    <w:rsid w:val="00EC77B4"/>
    <w:rsid w:val="00EC7838"/>
    <w:rsid w:val="00EC7858"/>
    <w:rsid w:val="00EC794A"/>
    <w:rsid w:val="00EC7AA8"/>
    <w:rsid w:val="00EC7B7E"/>
    <w:rsid w:val="00EC7D75"/>
    <w:rsid w:val="00EC7E76"/>
    <w:rsid w:val="00EC7EB1"/>
    <w:rsid w:val="00EC7EEE"/>
    <w:rsid w:val="00EC7F06"/>
    <w:rsid w:val="00ECE83D"/>
    <w:rsid w:val="00ED00C8"/>
    <w:rsid w:val="00ED012A"/>
    <w:rsid w:val="00ED02F5"/>
    <w:rsid w:val="00ED03B4"/>
    <w:rsid w:val="00ED0429"/>
    <w:rsid w:val="00ED04C8"/>
    <w:rsid w:val="00ED0541"/>
    <w:rsid w:val="00ED06C8"/>
    <w:rsid w:val="00ED07C8"/>
    <w:rsid w:val="00ED099C"/>
    <w:rsid w:val="00ED0A72"/>
    <w:rsid w:val="00ED0A96"/>
    <w:rsid w:val="00ED0CF6"/>
    <w:rsid w:val="00ED0D9E"/>
    <w:rsid w:val="00ED0DDC"/>
    <w:rsid w:val="00ED0DF2"/>
    <w:rsid w:val="00ED101F"/>
    <w:rsid w:val="00ED11F8"/>
    <w:rsid w:val="00ED11FD"/>
    <w:rsid w:val="00ED1450"/>
    <w:rsid w:val="00ED14DA"/>
    <w:rsid w:val="00ED185F"/>
    <w:rsid w:val="00ED18E3"/>
    <w:rsid w:val="00ED1B76"/>
    <w:rsid w:val="00ED1B9D"/>
    <w:rsid w:val="00ED1C99"/>
    <w:rsid w:val="00ED1CA8"/>
    <w:rsid w:val="00ED1DFA"/>
    <w:rsid w:val="00ED1EB6"/>
    <w:rsid w:val="00ED21D9"/>
    <w:rsid w:val="00ED220F"/>
    <w:rsid w:val="00ED2344"/>
    <w:rsid w:val="00ED238C"/>
    <w:rsid w:val="00ED2432"/>
    <w:rsid w:val="00ED26F7"/>
    <w:rsid w:val="00ED27B9"/>
    <w:rsid w:val="00ED27BB"/>
    <w:rsid w:val="00ED2968"/>
    <w:rsid w:val="00ED2B04"/>
    <w:rsid w:val="00ED2B35"/>
    <w:rsid w:val="00ED2BCD"/>
    <w:rsid w:val="00ED2D91"/>
    <w:rsid w:val="00ED2E5B"/>
    <w:rsid w:val="00ED2EAB"/>
    <w:rsid w:val="00ED2F75"/>
    <w:rsid w:val="00ED2FDC"/>
    <w:rsid w:val="00ED3072"/>
    <w:rsid w:val="00ED30FC"/>
    <w:rsid w:val="00ED3130"/>
    <w:rsid w:val="00ED32B4"/>
    <w:rsid w:val="00ED3424"/>
    <w:rsid w:val="00ED3435"/>
    <w:rsid w:val="00ED3558"/>
    <w:rsid w:val="00ED35CC"/>
    <w:rsid w:val="00ED36D9"/>
    <w:rsid w:val="00ED3707"/>
    <w:rsid w:val="00ED386D"/>
    <w:rsid w:val="00ED3903"/>
    <w:rsid w:val="00ED390D"/>
    <w:rsid w:val="00ED3AC9"/>
    <w:rsid w:val="00ED3C81"/>
    <w:rsid w:val="00ED3CC2"/>
    <w:rsid w:val="00ED3D38"/>
    <w:rsid w:val="00ED3DB2"/>
    <w:rsid w:val="00ED3E49"/>
    <w:rsid w:val="00ED3E53"/>
    <w:rsid w:val="00ED3EFD"/>
    <w:rsid w:val="00ED3F31"/>
    <w:rsid w:val="00ED40C6"/>
    <w:rsid w:val="00ED421B"/>
    <w:rsid w:val="00ED4371"/>
    <w:rsid w:val="00ED4453"/>
    <w:rsid w:val="00ED4499"/>
    <w:rsid w:val="00ED46AF"/>
    <w:rsid w:val="00ED46BE"/>
    <w:rsid w:val="00ED48BC"/>
    <w:rsid w:val="00ED4912"/>
    <w:rsid w:val="00ED4A8D"/>
    <w:rsid w:val="00ED4ABF"/>
    <w:rsid w:val="00ED4AD6"/>
    <w:rsid w:val="00ED4B1F"/>
    <w:rsid w:val="00ED4DFB"/>
    <w:rsid w:val="00ED4E88"/>
    <w:rsid w:val="00ED4E89"/>
    <w:rsid w:val="00ED4F9F"/>
    <w:rsid w:val="00ED516F"/>
    <w:rsid w:val="00ED5196"/>
    <w:rsid w:val="00ED528E"/>
    <w:rsid w:val="00ED53A6"/>
    <w:rsid w:val="00ED55DA"/>
    <w:rsid w:val="00ED564D"/>
    <w:rsid w:val="00ED582F"/>
    <w:rsid w:val="00ED5936"/>
    <w:rsid w:val="00ED59EB"/>
    <w:rsid w:val="00ED6001"/>
    <w:rsid w:val="00ED6115"/>
    <w:rsid w:val="00ED618C"/>
    <w:rsid w:val="00ED61BF"/>
    <w:rsid w:val="00ED6228"/>
    <w:rsid w:val="00ED62C7"/>
    <w:rsid w:val="00ED6363"/>
    <w:rsid w:val="00ED6473"/>
    <w:rsid w:val="00ED64CA"/>
    <w:rsid w:val="00ED64D0"/>
    <w:rsid w:val="00ED6516"/>
    <w:rsid w:val="00ED6572"/>
    <w:rsid w:val="00ED65F0"/>
    <w:rsid w:val="00ED65F6"/>
    <w:rsid w:val="00ED67D6"/>
    <w:rsid w:val="00ED68A9"/>
    <w:rsid w:val="00ED68BD"/>
    <w:rsid w:val="00ED68DA"/>
    <w:rsid w:val="00ED68FA"/>
    <w:rsid w:val="00ED6932"/>
    <w:rsid w:val="00ED6945"/>
    <w:rsid w:val="00ED695B"/>
    <w:rsid w:val="00ED695D"/>
    <w:rsid w:val="00ED6B11"/>
    <w:rsid w:val="00ED6CC7"/>
    <w:rsid w:val="00ED6D8B"/>
    <w:rsid w:val="00ED6DCB"/>
    <w:rsid w:val="00ED6E1F"/>
    <w:rsid w:val="00ED6E59"/>
    <w:rsid w:val="00ED6FA9"/>
    <w:rsid w:val="00ED7290"/>
    <w:rsid w:val="00ED72C1"/>
    <w:rsid w:val="00ED72D8"/>
    <w:rsid w:val="00ED73B6"/>
    <w:rsid w:val="00ED7405"/>
    <w:rsid w:val="00ED747A"/>
    <w:rsid w:val="00ED764D"/>
    <w:rsid w:val="00ED765D"/>
    <w:rsid w:val="00ED7698"/>
    <w:rsid w:val="00ED76AE"/>
    <w:rsid w:val="00ED77A6"/>
    <w:rsid w:val="00ED7893"/>
    <w:rsid w:val="00ED7942"/>
    <w:rsid w:val="00ED799E"/>
    <w:rsid w:val="00ED7AFF"/>
    <w:rsid w:val="00ED7D39"/>
    <w:rsid w:val="00ED7DCB"/>
    <w:rsid w:val="00ED7E32"/>
    <w:rsid w:val="00ED7E6B"/>
    <w:rsid w:val="00ED7E6E"/>
    <w:rsid w:val="00ED7F05"/>
    <w:rsid w:val="00ED7F0B"/>
    <w:rsid w:val="00EE009C"/>
    <w:rsid w:val="00EE0187"/>
    <w:rsid w:val="00EE0273"/>
    <w:rsid w:val="00EE02FE"/>
    <w:rsid w:val="00EE047E"/>
    <w:rsid w:val="00EE05A0"/>
    <w:rsid w:val="00EE06B2"/>
    <w:rsid w:val="00EE06E9"/>
    <w:rsid w:val="00EE0794"/>
    <w:rsid w:val="00EE07CB"/>
    <w:rsid w:val="00EE0830"/>
    <w:rsid w:val="00EE089E"/>
    <w:rsid w:val="00EE08BE"/>
    <w:rsid w:val="00EE0961"/>
    <w:rsid w:val="00EE097D"/>
    <w:rsid w:val="00EE0A14"/>
    <w:rsid w:val="00EE0A7A"/>
    <w:rsid w:val="00EE0B7B"/>
    <w:rsid w:val="00EE0C6F"/>
    <w:rsid w:val="00EE0D74"/>
    <w:rsid w:val="00EE0F2A"/>
    <w:rsid w:val="00EE0F80"/>
    <w:rsid w:val="00EE0FE1"/>
    <w:rsid w:val="00EE1015"/>
    <w:rsid w:val="00EE101D"/>
    <w:rsid w:val="00EE1096"/>
    <w:rsid w:val="00EE12B1"/>
    <w:rsid w:val="00EE12DC"/>
    <w:rsid w:val="00EE1315"/>
    <w:rsid w:val="00EE1319"/>
    <w:rsid w:val="00EE1360"/>
    <w:rsid w:val="00EE13FC"/>
    <w:rsid w:val="00EE142D"/>
    <w:rsid w:val="00EE14A2"/>
    <w:rsid w:val="00EE151C"/>
    <w:rsid w:val="00EE155F"/>
    <w:rsid w:val="00EE1606"/>
    <w:rsid w:val="00EE1665"/>
    <w:rsid w:val="00EE1718"/>
    <w:rsid w:val="00EE1719"/>
    <w:rsid w:val="00EE17B0"/>
    <w:rsid w:val="00EE18DD"/>
    <w:rsid w:val="00EE1929"/>
    <w:rsid w:val="00EE19C3"/>
    <w:rsid w:val="00EE1A1B"/>
    <w:rsid w:val="00EE1B2C"/>
    <w:rsid w:val="00EE1B99"/>
    <w:rsid w:val="00EE1DB2"/>
    <w:rsid w:val="00EE1FEC"/>
    <w:rsid w:val="00EE2061"/>
    <w:rsid w:val="00EE2070"/>
    <w:rsid w:val="00EE2103"/>
    <w:rsid w:val="00EE2121"/>
    <w:rsid w:val="00EE213A"/>
    <w:rsid w:val="00EE21F4"/>
    <w:rsid w:val="00EE2300"/>
    <w:rsid w:val="00EE2405"/>
    <w:rsid w:val="00EE2467"/>
    <w:rsid w:val="00EE24B9"/>
    <w:rsid w:val="00EE24DC"/>
    <w:rsid w:val="00EE25A9"/>
    <w:rsid w:val="00EE2716"/>
    <w:rsid w:val="00EE2748"/>
    <w:rsid w:val="00EE27EE"/>
    <w:rsid w:val="00EE280E"/>
    <w:rsid w:val="00EE289C"/>
    <w:rsid w:val="00EE2A6F"/>
    <w:rsid w:val="00EE2DB0"/>
    <w:rsid w:val="00EE2E3B"/>
    <w:rsid w:val="00EE2F7E"/>
    <w:rsid w:val="00EE2FCB"/>
    <w:rsid w:val="00EE3142"/>
    <w:rsid w:val="00EE31A7"/>
    <w:rsid w:val="00EE33A0"/>
    <w:rsid w:val="00EE34FE"/>
    <w:rsid w:val="00EE3515"/>
    <w:rsid w:val="00EE37E2"/>
    <w:rsid w:val="00EE3AE6"/>
    <w:rsid w:val="00EE3B07"/>
    <w:rsid w:val="00EE3C21"/>
    <w:rsid w:val="00EE3C40"/>
    <w:rsid w:val="00EE3C88"/>
    <w:rsid w:val="00EE3C97"/>
    <w:rsid w:val="00EE3CE9"/>
    <w:rsid w:val="00EE3D38"/>
    <w:rsid w:val="00EE3D44"/>
    <w:rsid w:val="00EE3E00"/>
    <w:rsid w:val="00EE3EED"/>
    <w:rsid w:val="00EE3F17"/>
    <w:rsid w:val="00EE3F8A"/>
    <w:rsid w:val="00EE3FA3"/>
    <w:rsid w:val="00EE3FC9"/>
    <w:rsid w:val="00EE3FD7"/>
    <w:rsid w:val="00EE400A"/>
    <w:rsid w:val="00EE41B8"/>
    <w:rsid w:val="00EE41FF"/>
    <w:rsid w:val="00EE422F"/>
    <w:rsid w:val="00EE424C"/>
    <w:rsid w:val="00EE441E"/>
    <w:rsid w:val="00EE4576"/>
    <w:rsid w:val="00EE46F7"/>
    <w:rsid w:val="00EE472E"/>
    <w:rsid w:val="00EE480A"/>
    <w:rsid w:val="00EE4989"/>
    <w:rsid w:val="00EE4A20"/>
    <w:rsid w:val="00EE4D57"/>
    <w:rsid w:val="00EE50A9"/>
    <w:rsid w:val="00EE50C4"/>
    <w:rsid w:val="00EE513D"/>
    <w:rsid w:val="00EE51E4"/>
    <w:rsid w:val="00EE5241"/>
    <w:rsid w:val="00EE525C"/>
    <w:rsid w:val="00EE5337"/>
    <w:rsid w:val="00EE53E0"/>
    <w:rsid w:val="00EE54A9"/>
    <w:rsid w:val="00EE55E4"/>
    <w:rsid w:val="00EE569C"/>
    <w:rsid w:val="00EE5769"/>
    <w:rsid w:val="00EE5876"/>
    <w:rsid w:val="00EE58C5"/>
    <w:rsid w:val="00EE5994"/>
    <w:rsid w:val="00EE5A6B"/>
    <w:rsid w:val="00EE5C72"/>
    <w:rsid w:val="00EE5CD5"/>
    <w:rsid w:val="00EE5D6D"/>
    <w:rsid w:val="00EE5ECE"/>
    <w:rsid w:val="00EE5F33"/>
    <w:rsid w:val="00EE5FE3"/>
    <w:rsid w:val="00EE6111"/>
    <w:rsid w:val="00EE6313"/>
    <w:rsid w:val="00EE6333"/>
    <w:rsid w:val="00EE64A9"/>
    <w:rsid w:val="00EE64F4"/>
    <w:rsid w:val="00EE6667"/>
    <w:rsid w:val="00EE689B"/>
    <w:rsid w:val="00EE68D5"/>
    <w:rsid w:val="00EE6A5F"/>
    <w:rsid w:val="00EE6A67"/>
    <w:rsid w:val="00EE6AC9"/>
    <w:rsid w:val="00EE6AE4"/>
    <w:rsid w:val="00EE6B33"/>
    <w:rsid w:val="00EE6C03"/>
    <w:rsid w:val="00EE6CEC"/>
    <w:rsid w:val="00EE6DE6"/>
    <w:rsid w:val="00EE70A6"/>
    <w:rsid w:val="00EE70DB"/>
    <w:rsid w:val="00EE714B"/>
    <w:rsid w:val="00EE71A8"/>
    <w:rsid w:val="00EE724D"/>
    <w:rsid w:val="00EE7337"/>
    <w:rsid w:val="00EE7457"/>
    <w:rsid w:val="00EE7548"/>
    <w:rsid w:val="00EE7619"/>
    <w:rsid w:val="00EE76AB"/>
    <w:rsid w:val="00EE7711"/>
    <w:rsid w:val="00EE7872"/>
    <w:rsid w:val="00EE78B5"/>
    <w:rsid w:val="00EE7A46"/>
    <w:rsid w:val="00EE7C49"/>
    <w:rsid w:val="00EE7CAC"/>
    <w:rsid w:val="00EE7D63"/>
    <w:rsid w:val="00EE7E0B"/>
    <w:rsid w:val="00EE7E95"/>
    <w:rsid w:val="00EE7ED0"/>
    <w:rsid w:val="00EE7FEF"/>
    <w:rsid w:val="00EECA62"/>
    <w:rsid w:val="00EF0147"/>
    <w:rsid w:val="00EF0178"/>
    <w:rsid w:val="00EF0246"/>
    <w:rsid w:val="00EF03C2"/>
    <w:rsid w:val="00EF040B"/>
    <w:rsid w:val="00EF0476"/>
    <w:rsid w:val="00EF048F"/>
    <w:rsid w:val="00EF0577"/>
    <w:rsid w:val="00EF05D4"/>
    <w:rsid w:val="00EF0782"/>
    <w:rsid w:val="00EF079A"/>
    <w:rsid w:val="00EF0947"/>
    <w:rsid w:val="00EF0999"/>
    <w:rsid w:val="00EF0AFF"/>
    <w:rsid w:val="00EF0BCB"/>
    <w:rsid w:val="00EF0BD3"/>
    <w:rsid w:val="00EF0C56"/>
    <w:rsid w:val="00EF0C7C"/>
    <w:rsid w:val="00EF0C97"/>
    <w:rsid w:val="00EF0D51"/>
    <w:rsid w:val="00EF10E9"/>
    <w:rsid w:val="00EF1111"/>
    <w:rsid w:val="00EF11C8"/>
    <w:rsid w:val="00EF11DE"/>
    <w:rsid w:val="00EF12B4"/>
    <w:rsid w:val="00EF12F3"/>
    <w:rsid w:val="00EF12FC"/>
    <w:rsid w:val="00EF13B1"/>
    <w:rsid w:val="00EF13B3"/>
    <w:rsid w:val="00EF154F"/>
    <w:rsid w:val="00EF1665"/>
    <w:rsid w:val="00EF168F"/>
    <w:rsid w:val="00EF1933"/>
    <w:rsid w:val="00EF19EE"/>
    <w:rsid w:val="00EF1B10"/>
    <w:rsid w:val="00EF1CC9"/>
    <w:rsid w:val="00EF1D36"/>
    <w:rsid w:val="00EF1EE3"/>
    <w:rsid w:val="00EF2154"/>
    <w:rsid w:val="00EF2168"/>
    <w:rsid w:val="00EF2184"/>
    <w:rsid w:val="00EF21DA"/>
    <w:rsid w:val="00EF229D"/>
    <w:rsid w:val="00EF247B"/>
    <w:rsid w:val="00EF2494"/>
    <w:rsid w:val="00EF2568"/>
    <w:rsid w:val="00EF257F"/>
    <w:rsid w:val="00EF25CA"/>
    <w:rsid w:val="00EF25DE"/>
    <w:rsid w:val="00EF277B"/>
    <w:rsid w:val="00EF27C1"/>
    <w:rsid w:val="00EF27DD"/>
    <w:rsid w:val="00EF2809"/>
    <w:rsid w:val="00EF282B"/>
    <w:rsid w:val="00EF294C"/>
    <w:rsid w:val="00EF2951"/>
    <w:rsid w:val="00EF29D1"/>
    <w:rsid w:val="00EF29F4"/>
    <w:rsid w:val="00EF2A48"/>
    <w:rsid w:val="00EF2AE5"/>
    <w:rsid w:val="00EF2C53"/>
    <w:rsid w:val="00EF2F79"/>
    <w:rsid w:val="00EF3018"/>
    <w:rsid w:val="00EF3122"/>
    <w:rsid w:val="00EF32A0"/>
    <w:rsid w:val="00EF3659"/>
    <w:rsid w:val="00EF366F"/>
    <w:rsid w:val="00EF367B"/>
    <w:rsid w:val="00EF368E"/>
    <w:rsid w:val="00EF3720"/>
    <w:rsid w:val="00EF37C8"/>
    <w:rsid w:val="00EF3879"/>
    <w:rsid w:val="00EF39C0"/>
    <w:rsid w:val="00EF3A98"/>
    <w:rsid w:val="00EF3AAD"/>
    <w:rsid w:val="00EF3B78"/>
    <w:rsid w:val="00EF3B9F"/>
    <w:rsid w:val="00EF3BE9"/>
    <w:rsid w:val="00EF3CEF"/>
    <w:rsid w:val="00EF3D5F"/>
    <w:rsid w:val="00EF3D8C"/>
    <w:rsid w:val="00EF3F28"/>
    <w:rsid w:val="00EF3F36"/>
    <w:rsid w:val="00EF4030"/>
    <w:rsid w:val="00EF412A"/>
    <w:rsid w:val="00EF412B"/>
    <w:rsid w:val="00EF4263"/>
    <w:rsid w:val="00EF4333"/>
    <w:rsid w:val="00EF433D"/>
    <w:rsid w:val="00EF439B"/>
    <w:rsid w:val="00EF44B4"/>
    <w:rsid w:val="00EF44B9"/>
    <w:rsid w:val="00EF4529"/>
    <w:rsid w:val="00EF4653"/>
    <w:rsid w:val="00EF468F"/>
    <w:rsid w:val="00EF4690"/>
    <w:rsid w:val="00EF46E6"/>
    <w:rsid w:val="00EF47CC"/>
    <w:rsid w:val="00EF48A2"/>
    <w:rsid w:val="00EF48E7"/>
    <w:rsid w:val="00EF492A"/>
    <w:rsid w:val="00EF4954"/>
    <w:rsid w:val="00EF4A0C"/>
    <w:rsid w:val="00EF4A60"/>
    <w:rsid w:val="00EF4A8B"/>
    <w:rsid w:val="00EF4B50"/>
    <w:rsid w:val="00EF4B59"/>
    <w:rsid w:val="00EF4DB2"/>
    <w:rsid w:val="00EF4E68"/>
    <w:rsid w:val="00EF4F8D"/>
    <w:rsid w:val="00EF5147"/>
    <w:rsid w:val="00EF5181"/>
    <w:rsid w:val="00EF532F"/>
    <w:rsid w:val="00EF535A"/>
    <w:rsid w:val="00EF53BB"/>
    <w:rsid w:val="00EF53D1"/>
    <w:rsid w:val="00EF5449"/>
    <w:rsid w:val="00EF547B"/>
    <w:rsid w:val="00EF5540"/>
    <w:rsid w:val="00EF5727"/>
    <w:rsid w:val="00EF5807"/>
    <w:rsid w:val="00EF59D3"/>
    <w:rsid w:val="00EF5A81"/>
    <w:rsid w:val="00EF5A9F"/>
    <w:rsid w:val="00EF5B70"/>
    <w:rsid w:val="00EF5D3B"/>
    <w:rsid w:val="00EF5E46"/>
    <w:rsid w:val="00EF5E93"/>
    <w:rsid w:val="00EF5EBD"/>
    <w:rsid w:val="00EF5F74"/>
    <w:rsid w:val="00EF5FF9"/>
    <w:rsid w:val="00EF6130"/>
    <w:rsid w:val="00EF6190"/>
    <w:rsid w:val="00EF619B"/>
    <w:rsid w:val="00EF634B"/>
    <w:rsid w:val="00EF6360"/>
    <w:rsid w:val="00EF641C"/>
    <w:rsid w:val="00EF64B5"/>
    <w:rsid w:val="00EF6547"/>
    <w:rsid w:val="00EF6555"/>
    <w:rsid w:val="00EF661D"/>
    <w:rsid w:val="00EF665E"/>
    <w:rsid w:val="00EF6670"/>
    <w:rsid w:val="00EF66C4"/>
    <w:rsid w:val="00EF6737"/>
    <w:rsid w:val="00EF6800"/>
    <w:rsid w:val="00EF68CA"/>
    <w:rsid w:val="00EF68F5"/>
    <w:rsid w:val="00EF6B1B"/>
    <w:rsid w:val="00EF6B47"/>
    <w:rsid w:val="00EF6B9A"/>
    <w:rsid w:val="00EF6BE6"/>
    <w:rsid w:val="00EF6C14"/>
    <w:rsid w:val="00EF6D40"/>
    <w:rsid w:val="00EF6DC3"/>
    <w:rsid w:val="00EF6E9C"/>
    <w:rsid w:val="00EF6EC4"/>
    <w:rsid w:val="00EF6F0E"/>
    <w:rsid w:val="00EF6F13"/>
    <w:rsid w:val="00EF6F64"/>
    <w:rsid w:val="00EF702F"/>
    <w:rsid w:val="00EF709F"/>
    <w:rsid w:val="00EF70DB"/>
    <w:rsid w:val="00EF7117"/>
    <w:rsid w:val="00EF7237"/>
    <w:rsid w:val="00EF731D"/>
    <w:rsid w:val="00EF7760"/>
    <w:rsid w:val="00EF780C"/>
    <w:rsid w:val="00EF7817"/>
    <w:rsid w:val="00EF7862"/>
    <w:rsid w:val="00EF787C"/>
    <w:rsid w:val="00EF78BD"/>
    <w:rsid w:val="00EF78E1"/>
    <w:rsid w:val="00EF79F8"/>
    <w:rsid w:val="00EF7C62"/>
    <w:rsid w:val="00EF7C91"/>
    <w:rsid w:val="00EF7D1E"/>
    <w:rsid w:val="00EF7E34"/>
    <w:rsid w:val="00EF7E4A"/>
    <w:rsid w:val="00EF7FC3"/>
    <w:rsid w:val="00EF7FCE"/>
    <w:rsid w:val="00EF7FF2"/>
    <w:rsid w:val="00EFD36F"/>
    <w:rsid w:val="00F0009E"/>
    <w:rsid w:val="00F00125"/>
    <w:rsid w:val="00F0012C"/>
    <w:rsid w:val="00F00288"/>
    <w:rsid w:val="00F0028F"/>
    <w:rsid w:val="00F00338"/>
    <w:rsid w:val="00F0045B"/>
    <w:rsid w:val="00F00488"/>
    <w:rsid w:val="00F00495"/>
    <w:rsid w:val="00F004BA"/>
    <w:rsid w:val="00F004E8"/>
    <w:rsid w:val="00F00701"/>
    <w:rsid w:val="00F00704"/>
    <w:rsid w:val="00F00851"/>
    <w:rsid w:val="00F0086B"/>
    <w:rsid w:val="00F0090D"/>
    <w:rsid w:val="00F009A1"/>
    <w:rsid w:val="00F00A9F"/>
    <w:rsid w:val="00F00AAA"/>
    <w:rsid w:val="00F00B00"/>
    <w:rsid w:val="00F00B13"/>
    <w:rsid w:val="00F00B47"/>
    <w:rsid w:val="00F00C1E"/>
    <w:rsid w:val="00F00CF1"/>
    <w:rsid w:val="00F00D35"/>
    <w:rsid w:val="00F00E70"/>
    <w:rsid w:val="00F00E80"/>
    <w:rsid w:val="00F00EC2"/>
    <w:rsid w:val="00F00F79"/>
    <w:rsid w:val="00F00F9C"/>
    <w:rsid w:val="00F00FB6"/>
    <w:rsid w:val="00F00FD7"/>
    <w:rsid w:val="00F00FF1"/>
    <w:rsid w:val="00F0103E"/>
    <w:rsid w:val="00F01168"/>
    <w:rsid w:val="00F01212"/>
    <w:rsid w:val="00F01261"/>
    <w:rsid w:val="00F01563"/>
    <w:rsid w:val="00F0157F"/>
    <w:rsid w:val="00F0161F"/>
    <w:rsid w:val="00F017A4"/>
    <w:rsid w:val="00F017B4"/>
    <w:rsid w:val="00F0182D"/>
    <w:rsid w:val="00F0183C"/>
    <w:rsid w:val="00F018EA"/>
    <w:rsid w:val="00F01A3D"/>
    <w:rsid w:val="00F021AF"/>
    <w:rsid w:val="00F022C9"/>
    <w:rsid w:val="00F023A8"/>
    <w:rsid w:val="00F02428"/>
    <w:rsid w:val="00F02468"/>
    <w:rsid w:val="00F024A7"/>
    <w:rsid w:val="00F025DE"/>
    <w:rsid w:val="00F025FB"/>
    <w:rsid w:val="00F02794"/>
    <w:rsid w:val="00F02810"/>
    <w:rsid w:val="00F02873"/>
    <w:rsid w:val="00F028EE"/>
    <w:rsid w:val="00F0294F"/>
    <w:rsid w:val="00F02A9B"/>
    <w:rsid w:val="00F02AEC"/>
    <w:rsid w:val="00F02AFC"/>
    <w:rsid w:val="00F02BB8"/>
    <w:rsid w:val="00F02BDD"/>
    <w:rsid w:val="00F02DDA"/>
    <w:rsid w:val="00F02E28"/>
    <w:rsid w:val="00F02E2F"/>
    <w:rsid w:val="00F02EF1"/>
    <w:rsid w:val="00F03100"/>
    <w:rsid w:val="00F03175"/>
    <w:rsid w:val="00F031AC"/>
    <w:rsid w:val="00F031BE"/>
    <w:rsid w:val="00F031C4"/>
    <w:rsid w:val="00F03208"/>
    <w:rsid w:val="00F0320C"/>
    <w:rsid w:val="00F03262"/>
    <w:rsid w:val="00F03456"/>
    <w:rsid w:val="00F035B2"/>
    <w:rsid w:val="00F037A9"/>
    <w:rsid w:val="00F037F3"/>
    <w:rsid w:val="00F03817"/>
    <w:rsid w:val="00F03819"/>
    <w:rsid w:val="00F038E0"/>
    <w:rsid w:val="00F039F6"/>
    <w:rsid w:val="00F03B0A"/>
    <w:rsid w:val="00F03B1B"/>
    <w:rsid w:val="00F03B21"/>
    <w:rsid w:val="00F03B9A"/>
    <w:rsid w:val="00F03BBB"/>
    <w:rsid w:val="00F03D3D"/>
    <w:rsid w:val="00F03F59"/>
    <w:rsid w:val="00F03FE3"/>
    <w:rsid w:val="00F040CD"/>
    <w:rsid w:val="00F04106"/>
    <w:rsid w:val="00F0414D"/>
    <w:rsid w:val="00F04189"/>
    <w:rsid w:val="00F041CA"/>
    <w:rsid w:val="00F04206"/>
    <w:rsid w:val="00F04290"/>
    <w:rsid w:val="00F0451D"/>
    <w:rsid w:val="00F04543"/>
    <w:rsid w:val="00F0459E"/>
    <w:rsid w:val="00F046A6"/>
    <w:rsid w:val="00F046F7"/>
    <w:rsid w:val="00F0473F"/>
    <w:rsid w:val="00F0477E"/>
    <w:rsid w:val="00F047AD"/>
    <w:rsid w:val="00F047F8"/>
    <w:rsid w:val="00F048D1"/>
    <w:rsid w:val="00F04956"/>
    <w:rsid w:val="00F04AB0"/>
    <w:rsid w:val="00F04AD9"/>
    <w:rsid w:val="00F04ADA"/>
    <w:rsid w:val="00F04B56"/>
    <w:rsid w:val="00F04B95"/>
    <w:rsid w:val="00F04C3E"/>
    <w:rsid w:val="00F04C41"/>
    <w:rsid w:val="00F04E0D"/>
    <w:rsid w:val="00F04FCE"/>
    <w:rsid w:val="00F05025"/>
    <w:rsid w:val="00F0523B"/>
    <w:rsid w:val="00F05399"/>
    <w:rsid w:val="00F053A8"/>
    <w:rsid w:val="00F05468"/>
    <w:rsid w:val="00F05504"/>
    <w:rsid w:val="00F0550B"/>
    <w:rsid w:val="00F0571E"/>
    <w:rsid w:val="00F0581A"/>
    <w:rsid w:val="00F05835"/>
    <w:rsid w:val="00F058A6"/>
    <w:rsid w:val="00F058BB"/>
    <w:rsid w:val="00F058F2"/>
    <w:rsid w:val="00F05A3A"/>
    <w:rsid w:val="00F05C0B"/>
    <w:rsid w:val="00F05E1E"/>
    <w:rsid w:val="00F05E66"/>
    <w:rsid w:val="00F05EC0"/>
    <w:rsid w:val="00F05F44"/>
    <w:rsid w:val="00F05FEF"/>
    <w:rsid w:val="00F0608D"/>
    <w:rsid w:val="00F06104"/>
    <w:rsid w:val="00F062E7"/>
    <w:rsid w:val="00F06322"/>
    <w:rsid w:val="00F06387"/>
    <w:rsid w:val="00F06549"/>
    <w:rsid w:val="00F067D6"/>
    <w:rsid w:val="00F06AC3"/>
    <w:rsid w:val="00F06B87"/>
    <w:rsid w:val="00F06B92"/>
    <w:rsid w:val="00F06BCF"/>
    <w:rsid w:val="00F06BEB"/>
    <w:rsid w:val="00F06C6C"/>
    <w:rsid w:val="00F06D23"/>
    <w:rsid w:val="00F06D53"/>
    <w:rsid w:val="00F06DD9"/>
    <w:rsid w:val="00F06DEA"/>
    <w:rsid w:val="00F06E2F"/>
    <w:rsid w:val="00F06EA5"/>
    <w:rsid w:val="00F06FEC"/>
    <w:rsid w:val="00F06FF8"/>
    <w:rsid w:val="00F07007"/>
    <w:rsid w:val="00F07123"/>
    <w:rsid w:val="00F0717F"/>
    <w:rsid w:val="00F071D3"/>
    <w:rsid w:val="00F071E4"/>
    <w:rsid w:val="00F0721F"/>
    <w:rsid w:val="00F07232"/>
    <w:rsid w:val="00F072A7"/>
    <w:rsid w:val="00F072AC"/>
    <w:rsid w:val="00F07372"/>
    <w:rsid w:val="00F07378"/>
    <w:rsid w:val="00F0740D"/>
    <w:rsid w:val="00F07479"/>
    <w:rsid w:val="00F074D9"/>
    <w:rsid w:val="00F07632"/>
    <w:rsid w:val="00F07689"/>
    <w:rsid w:val="00F0771E"/>
    <w:rsid w:val="00F0776F"/>
    <w:rsid w:val="00F07806"/>
    <w:rsid w:val="00F07845"/>
    <w:rsid w:val="00F07864"/>
    <w:rsid w:val="00F07936"/>
    <w:rsid w:val="00F0794B"/>
    <w:rsid w:val="00F07A94"/>
    <w:rsid w:val="00F07B0C"/>
    <w:rsid w:val="00F07B45"/>
    <w:rsid w:val="00F07C2B"/>
    <w:rsid w:val="00F07CEC"/>
    <w:rsid w:val="00F07D2C"/>
    <w:rsid w:val="00F07D70"/>
    <w:rsid w:val="00F07F16"/>
    <w:rsid w:val="00F07F55"/>
    <w:rsid w:val="00F07FF7"/>
    <w:rsid w:val="00F1010D"/>
    <w:rsid w:val="00F10110"/>
    <w:rsid w:val="00F10244"/>
    <w:rsid w:val="00F10395"/>
    <w:rsid w:val="00F103CE"/>
    <w:rsid w:val="00F1042E"/>
    <w:rsid w:val="00F10561"/>
    <w:rsid w:val="00F1057E"/>
    <w:rsid w:val="00F1060F"/>
    <w:rsid w:val="00F10627"/>
    <w:rsid w:val="00F10702"/>
    <w:rsid w:val="00F10731"/>
    <w:rsid w:val="00F10881"/>
    <w:rsid w:val="00F108A1"/>
    <w:rsid w:val="00F108A3"/>
    <w:rsid w:val="00F10907"/>
    <w:rsid w:val="00F10915"/>
    <w:rsid w:val="00F109B6"/>
    <w:rsid w:val="00F109E7"/>
    <w:rsid w:val="00F10AB6"/>
    <w:rsid w:val="00F10ABE"/>
    <w:rsid w:val="00F10B2F"/>
    <w:rsid w:val="00F10C8E"/>
    <w:rsid w:val="00F10CE4"/>
    <w:rsid w:val="00F10D5A"/>
    <w:rsid w:val="00F10DE1"/>
    <w:rsid w:val="00F10E35"/>
    <w:rsid w:val="00F10E58"/>
    <w:rsid w:val="00F10F12"/>
    <w:rsid w:val="00F10F3D"/>
    <w:rsid w:val="00F10F49"/>
    <w:rsid w:val="00F110F4"/>
    <w:rsid w:val="00F1112C"/>
    <w:rsid w:val="00F11159"/>
    <w:rsid w:val="00F111A5"/>
    <w:rsid w:val="00F1120C"/>
    <w:rsid w:val="00F11251"/>
    <w:rsid w:val="00F1145D"/>
    <w:rsid w:val="00F1149E"/>
    <w:rsid w:val="00F115CA"/>
    <w:rsid w:val="00F1164A"/>
    <w:rsid w:val="00F11761"/>
    <w:rsid w:val="00F118A6"/>
    <w:rsid w:val="00F11BDD"/>
    <w:rsid w:val="00F11DDD"/>
    <w:rsid w:val="00F11E64"/>
    <w:rsid w:val="00F11E71"/>
    <w:rsid w:val="00F11EE3"/>
    <w:rsid w:val="00F11EE8"/>
    <w:rsid w:val="00F12168"/>
    <w:rsid w:val="00F12226"/>
    <w:rsid w:val="00F1239B"/>
    <w:rsid w:val="00F123D6"/>
    <w:rsid w:val="00F12457"/>
    <w:rsid w:val="00F1269C"/>
    <w:rsid w:val="00F12827"/>
    <w:rsid w:val="00F1283E"/>
    <w:rsid w:val="00F12861"/>
    <w:rsid w:val="00F128CF"/>
    <w:rsid w:val="00F12939"/>
    <w:rsid w:val="00F12993"/>
    <w:rsid w:val="00F12B63"/>
    <w:rsid w:val="00F12C6D"/>
    <w:rsid w:val="00F12CA1"/>
    <w:rsid w:val="00F12DF6"/>
    <w:rsid w:val="00F12E26"/>
    <w:rsid w:val="00F131DF"/>
    <w:rsid w:val="00F13256"/>
    <w:rsid w:val="00F13257"/>
    <w:rsid w:val="00F1328C"/>
    <w:rsid w:val="00F13350"/>
    <w:rsid w:val="00F1342C"/>
    <w:rsid w:val="00F13441"/>
    <w:rsid w:val="00F134C0"/>
    <w:rsid w:val="00F134C7"/>
    <w:rsid w:val="00F13617"/>
    <w:rsid w:val="00F13635"/>
    <w:rsid w:val="00F1370D"/>
    <w:rsid w:val="00F13726"/>
    <w:rsid w:val="00F13810"/>
    <w:rsid w:val="00F13846"/>
    <w:rsid w:val="00F13996"/>
    <w:rsid w:val="00F13AC2"/>
    <w:rsid w:val="00F13B4A"/>
    <w:rsid w:val="00F13BB5"/>
    <w:rsid w:val="00F13C27"/>
    <w:rsid w:val="00F13CB1"/>
    <w:rsid w:val="00F13CE6"/>
    <w:rsid w:val="00F13CF4"/>
    <w:rsid w:val="00F13D53"/>
    <w:rsid w:val="00F13D57"/>
    <w:rsid w:val="00F13F6F"/>
    <w:rsid w:val="00F14007"/>
    <w:rsid w:val="00F140AE"/>
    <w:rsid w:val="00F140C9"/>
    <w:rsid w:val="00F140D1"/>
    <w:rsid w:val="00F14100"/>
    <w:rsid w:val="00F141C9"/>
    <w:rsid w:val="00F141E3"/>
    <w:rsid w:val="00F141EA"/>
    <w:rsid w:val="00F14227"/>
    <w:rsid w:val="00F14228"/>
    <w:rsid w:val="00F142A7"/>
    <w:rsid w:val="00F142F0"/>
    <w:rsid w:val="00F1434A"/>
    <w:rsid w:val="00F143FE"/>
    <w:rsid w:val="00F14589"/>
    <w:rsid w:val="00F1458A"/>
    <w:rsid w:val="00F1460A"/>
    <w:rsid w:val="00F146AD"/>
    <w:rsid w:val="00F14702"/>
    <w:rsid w:val="00F1480E"/>
    <w:rsid w:val="00F148D8"/>
    <w:rsid w:val="00F149EF"/>
    <w:rsid w:val="00F14B17"/>
    <w:rsid w:val="00F14B65"/>
    <w:rsid w:val="00F14C91"/>
    <w:rsid w:val="00F14CDE"/>
    <w:rsid w:val="00F14DF3"/>
    <w:rsid w:val="00F14E3A"/>
    <w:rsid w:val="00F14EA3"/>
    <w:rsid w:val="00F14F6D"/>
    <w:rsid w:val="00F14F86"/>
    <w:rsid w:val="00F14FBD"/>
    <w:rsid w:val="00F14FEA"/>
    <w:rsid w:val="00F15059"/>
    <w:rsid w:val="00F15060"/>
    <w:rsid w:val="00F15086"/>
    <w:rsid w:val="00F15153"/>
    <w:rsid w:val="00F151BC"/>
    <w:rsid w:val="00F15229"/>
    <w:rsid w:val="00F15269"/>
    <w:rsid w:val="00F153E5"/>
    <w:rsid w:val="00F1545E"/>
    <w:rsid w:val="00F1551E"/>
    <w:rsid w:val="00F1553F"/>
    <w:rsid w:val="00F15624"/>
    <w:rsid w:val="00F157A3"/>
    <w:rsid w:val="00F157CE"/>
    <w:rsid w:val="00F157F0"/>
    <w:rsid w:val="00F15907"/>
    <w:rsid w:val="00F15959"/>
    <w:rsid w:val="00F1595C"/>
    <w:rsid w:val="00F159A2"/>
    <w:rsid w:val="00F15B7E"/>
    <w:rsid w:val="00F15D81"/>
    <w:rsid w:val="00F15E31"/>
    <w:rsid w:val="00F15F06"/>
    <w:rsid w:val="00F15F49"/>
    <w:rsid w:val="00F1609C"/>
    <w:rsid w:val="00F16245"/>
    <w:rsid w:val="00F16257"/>
    <w:rsid w:val="00F162BC"/>
    <w:rsid w:val="00F16303"/>
    <w:rsid w:val="00F16330"/>
    <w:rsid w:val="00F163AA"/>
    <w:rsid w:val="00F164C5"/>
    <w:rsid w:val="00F16544"/>
    <w:rsid w:val="00F1659D"/>
    <w:rsid w:val="00F1664A"/>
    <w:rsid w:val="00F16651"/>
    <w:rsid w:val="00F16768"/>
    <w:rsid w:val="00F16788"/>
    <w:rsid w:val="00F16796"/>
    <w:rsid w:val="00F169D4"/>
    <w:rsid w:val="00F16C6E"/>
    <w:rsid w:val="00F16E36"/>
    <w:rsid w:val="00F17182"/>
    <w:rsid w:val="00F17235"/>
    <w:rsid w:val="00F172D0"/>
    <w:rsid w:val="00F1732B"/>
    <w:rsid w:val="00F17379"/>
    <w:rsid w:val="00F173E9"/>
    <w:rsid w:val="00F173FF"/>
    <w:rsid w:val="00F1743F"/>
    <w:rsid w:val="00F1760E"/>
    <w:rsid w:val="00F17A1F"/>
    <w:rsid w:val="00F17A57"/>
    <w:rsid w:val="00F17AAD"/>
    <w:rsid w:val="00F17ACE"/>
    <w:rsid w:val="00F17D10"/>
    <w:rsid w:val="00F17DA0"/>
    <w:rsid w:val="00F2002E"/>
    <w:rsid w:val="00F2018C"/>
    <w:rsid w:val="00F2023C"/>
    <w:rsid w:val="00F203F9"/>
    <w:rsid w:val="00F20412"/>
    <w:rsid w:val="00F20458"/>
    <w:rsid w:val="00F2047D"/>
    <w:rsid w:val="00F205B4"/>
    <w:rsid w:val="00F20750"/>
    <w:rsid w:val="00F2075E"/>
    <w:rsid w:val="00F2090C"/>
    <w:rsid w:val="00F2093B"/>
    <w:rsid w:val="00F20BAF"/>
    <w:rsid w:val="00F20CDD"/>
    <w:rsid w:val="00F20CE1"/>
    <w:rsid w:val="00F20D1C"/>
    <w:rsid w:val="00F20DC9"/>
    <w:rsid w:val="00F20E73"/>
    <w:rsid w:val="00F20E89"/>
    <w:rsid w:val="00F20F04"/>
    <w:rsid w:val="00F20F9D"/>
    <w:rsid w:val="00F21195"/>
    <w:rsid w:val="00F211D3"/>
    <w:rsid w:val="00F2123F"/>
    <w:rsid w:val="00F21257"/>
    <w:rsid w:val="00F2129F"/>
    <w:rsid w:val="00F212D2"/>
    <w:rsid w:val="00F21355"/>
    <w:rsid w:val="00F21604"/>
    <w:rsid w:val="00F216AA"/>
    <w:rsid w:val="00F21710"/>
    <w:rsid w:val="00F21767"/>
    <w:rsid w:val="00F21871"/>
    <w:rsid w:val="00F218C6"/>
    <w:rsid w:val="00F218E3"/>
    <w:rsid w:val="00F21AD3"/>
    <w:rsid w:val="00F21BB6"/>
    <w:rsid w:val="00F21C42"/>
    <w:rsid w:val="00F21D01"/>
    <w:rsid w:val="00F21E91"/>
    <w:rsid w:val="00F21F05"/>
    <w:rsid w:val="00F2206A"/>
    <w:rsid w:val="00F220BA"/>
    <w:rsid w:val="00F2213D"/>
    <w:rsid w:val="00F22215"/>
    <w:rsid w:val="00F22314"/>
    <w:rsid w:val="00F22323"/>
    <w:rsid w:val="00F2232A"/>
    <w:rsid w:val="00F22425"/>
    <w:rsid w:val="00F22442"/>
    <w:rsid w:val="00F22487"/>
    <w:rsid w:val="00F224A4"/>
    <w:rsid w:val="00F224DD"/>
    <w:rsid w:val="00F22521"/>
    <w:rsid w:val="00F225A3"/>
    <w:rsid w:val="00F22662"/>
    <w:rsid w:val="00F22729"/>
    <w:rsid w:val="00F22782"/>
    <w:rsid w:val="00F22899"/>
    <w:rsid w:val="00F22923"/>
    <w:rsid w:val="00F229A4"/>
    <w:rsid w:val="00F22A07"/>
    <w:rsid w:val="00F22B01"/>
    <w:rsid w:val="00F22B0D"/>
    <w:rsid w:val="00F22B37"/>
    <w:rsid w:val="00F22BE5"/>
    <w:rsid w:val="00F22C66"/>
    <w:rsid w:val="00F22ED5"/>
    <w:rsid w:val="00F230AB"/>
    <w:rsid w:val="00F2320E"/>
    <w:rsid w:val="00F2321B"/>
    <w:rsid w:val="00F23228"/>
    <w:rsid w:val="00F2322B"/>
    <w:rsid w:val="00F232FB"/>
    <w:rsid w:val="00F23378"/>
    <w:rsid w:val="00F2337F"/>
    <w:rsid w:val="00F233A4"/>
    <w:rsid w:val="00F233C5"/>
    <w:rsid w:val="00F233F3"/>
    <w:rsid w:val="00F23498"/>
    <w:rsid w:val="00F234B1"/>
    <w:rsid w:val="00F23571"/>
    <w:rsid w:val="00F2367F"/>
    <w:rsid w:val="00F23735"/>
    <w:rsid w:val="00F23783"/>
    <w:rsid w:val="00F238C4"/>
    <w:rsid w:val="00F2390D"/>
    <w:rsid w:val="00F239D1"/>
    <w:rsid w:val="00F23A17"/>
    <w:rsid w:val="00F23A69"/>
    <w:rsid w:val="00F23AB5"/>
    <w:rsid w:val="00F23AB8"/>
    <w:rsid w:val="00F23B4E"/>
    <w:rsid w:val="00F23BA6"/>
    <w:rsid w:val="00F23DD3"/>
    <w:rsid w:val="00F23F52"/>
    <w:rsid w:val="00F23F6A"/>
    <w:rsid w:val="00F23F9A"/>
    <w:rsid w:val="00F24030"/>
    <w:rsid w:val="00F243BF"/>
    <w:rsid w:val="00F24698"/>
    <w:rsid w:val="00F246AB"/>
    <w:rsid w:val="00F2473C"/>
    <w:rsid w:val="00F2478F"/>
    <w:rsid w:val="00F24849"/>
    <w:rsid w:val="00F24907"/>
    <w:rsid w:val="00F24937"/>
    <w:rsid w:val="00F249A1"/>
    <w:rsid w:val="00F249D3"/>
    <w:rsid w:val="00F24A56"/>
    <w:rsid w:val="00F24ADB"/>
    <w:rsid w:val="00F24C3C"/>
    <w:rsid w:val="00F24D4F"/>
    <w:rsid w:val="00F24E2C"/>
    <w:rsid w:val="00F24E8C"/>
    <w:rsid w:val="00F24F8B"/>
    <w:rsid w:val="00F24FF0"/>
    <w:rsid w:val="00F251A5"/>
    <w:rsid w:val="00F2568C"/>
    <w:rsid w:val="00F2569D"/>
    <w:rsid w:val="00F256F2"/>
    <w:rsid w:val="00F257A7"/>
    <w:rsid w:val="00F258CA"/>
    <w:rsid w:val="00F258EF"/>
    <w:rsid w:val="00F25903"/>
    <w:rsid w:val="00F259A7"/>
    <w:rsid w:val="00F25A8B"/>
    <w:rsid w:val="00F25AD2"/>
    <w:rsid w:val="00F25B6E"/>
    <w:rsid w:val="00F25EBD"/>
    <w:rsid w:val="00F25EF2"/>
    <w:rsid w:val="00F25F94"/>
    <w:rsid w:val="00F25FD8"/>
    <w:rsid w:val="00F260E5"/>
    <w:rsid w:val="00F260FA"/>
    <w:rsid w:val="00F26164"/>
    <w:rsid w:val="00F26249"/>
    <w:rsid w:val="00F262BC"/>
    <w:rsid w:val="00F26382"/>
    <w:rsid w:val="00F26387"/>
    <w:rsid w:val="00F2649A"/>
    <w:rsid w:val="00F265F7"/>
    <w:rsid w:val="00F266D8"/>
    <w:rsid w:val="00F26752"/>
    <w:rsid w:val="00F267D6"/>
    <w:rsid w:val="00F26856"/>
    <w:rsid w:val="00F26A35"/>
    <w:rsid w:val="00F26AAA"/>
    <w:rsid w:val="00F26B7D"/>
    <w:rsid w:val="00F26C22"/>
    <w:rsid w:val="00F26EC7"/>
    <w:rsid w:val="00F26EC9"/>
    <w:rsid w:val="00F26F73"/>
    <w:rsid w:val="00F27076"/>
    <w:rsid w:val="00F270F2"/>
    <w:rsid w:val="00F270F7"/>
    <w:rsid w:val="00F271BB"/>
    <w:rsid w:val="00F27248"/>
    <w:rsid w:val="00F27478"/>
    <w:rsid w:val="00F274DF"/>
    <w:rsid w:val="00F274E4"/>
    <w:rsid w:val="00F27614"/>
    <w:rsid w:val="00F27617"/>
    <w:rsid w:val="00F2761C"/>
    <w:rsid w:val="00F276EC"/>
    <w:rsid w:val="00F27821"/>
    <w:rsid w:val="00F278FD"/>
    <w:rsid w:val="00F2790E"/>
    <w:rsid w:val="00F2793F"/>
    <w:rsid w:val="00F27A91"/>
    <w:rsid w:val="00F27AEC"/>
    <w:rsid w:val="00F27B9C"/>
    <w:rsid w:val="00F27D86"/>
    <w:rsid w:val="00F27DA5"/>
    <w:rsid w:val="00F27EB7"/>
    <w:rsid w:val="00F27EE7"/>
    <w:rsid w:val="00F27F14"/>
    <w:rsid w:val="00F27F29"/>
    <w:rsid w:val="00F27FCF"/>
    <w:rsid w:val="00F30001"/>
    <w:rsid w:val="00F3003A"/>
    <w:rsid w:val="00F300D0"/>
    <w:rsid w:val="00F301C5"/>
    <w:rsid w:val="00F301C7"/>
    <w:rsid w:val="00F30305"/>
    <w:rsid w:val="00F3033A"/>
    <w:rsid w:val="00F304B5"/>
    <w:rsid w:val="00F3053D"/>
    <w:rsid w:val="00F3056F"/>
    <w:rsid w:val="00F30610"/>
    <w:rsid w:val="00F3062C"/>
    <w:rsid w:val="00F3074F"/>
    <w:rsid w:val="00F30755"/>
    <w:rsid w:val="00F30825"/>
    <w:rsid w:val="00F30895"/>
    <w:rsid w:val="00F3095B"/>
    <w:rsid w:val="00F30A1D"/>
    <w:rsid w:val="00F30A65"/>
    <w:rsid w:val="00F30B53"/>
    <w:rsid w:val="00F30B8E"/>
    <w:rsid w:val="00F30C0F"/>
    <w:rsid w:val="00F30CD7"/>
    <w:rsid w:val="00F3108D"/>
    <w:rsid w:val="00F31107"/>
    <w:rsid w:val="00F31281"/>
    <w:rsid w:val="00F312F6"/>
    <w:rsid w:val="00F313BF"/>
    <w:rsid w:val="00F31433"/>
    <w:rsid w:val="00F316DE"/>
    <w:rsid w:val="00F3184F"/>
    <w:rsid w:val="00F31899"/>
    <w:rsid w:val="00F318E8"/>
    <w:rsid w:val="00F31A05"/>
    <w:rsid w:val="00F31A3B"/>
    <w:rsid w:val="00F31A82"/>
    <w:rsid w:val="00F31E01"/>
    <w:rsid w:val="00F31E29"/>
    <w:rsid w:val="00F31E67"/>
    <w:rsid w:val="00F31E7F"/>
    <w:rsid w:val="00F31F92"/>
    <w:rsid w:val="00F323B0"/>
    <w:rsid w:val="00F324CA"/>
    <w:rsid w:val="00F32527"/>
    <w:rsid w:val="00F32717"/>
    <w:rsid w:val="00F32759"/>
    <w:rsid w:val="00F327E6"/>
    <w:rsid w:val="00F327EB"/>
    <w:rsid w:val="00F32847"/>
    <w:rsid w:val="00F3289F"/>
    <w:rsid w:val="00F32936"/>
    <w:rsid w:val="00F32E04"/>
    <w:rsid w:val="00F32F5B"/>
    <w:rsid w:val="00F3304C"/>
    <w:rsid w:val="00F3318A"/>
    <w:rsid w:val="00F3329A"/>
    <w:rsid w:val="00F332E9"/>
    <w:rsid w:val="00F33453"/>
    <w:rsid w:val="00F33541"/>
    <w:rsid w:val="00F3356E"/>
    <w:rsid w:val="00F33571"/>
    <w:rsid w:val="00F33A0A"/>
    <w:rsid w:val="00F33B5E"/>
    <w:rsid w:val="00F33B7A"/>
    <w:rsid w:val="00F33DDD"/>
    <w:rsid w:val="00F33EF5"/>
    <w:rsid w:val="00F33EF8"/>
    <w:rsid w:val="00F33F76"/>
    <w:rsid w:val="00F340C2"/>
    <w:rsid w:val="00F34112"/>
    <w:rsid w:val="00F341B8"/>
    <w:rsid w:val="00F34214"/>
    <w:rsid w:val="00F343AB"/>
    <w:rsid w:val="00F343C5"/>
    <w:rsid w:val="00F34503"/>
    <w:rsid w:val="00F345A7"/>
    <w:rsid w:val="00F345CA"/>
    <w:rsid w:val="00F34637"/>
    <w:rsid w:val="00F34739"/>
    <w:rsid w:val="00F34784"/>
    <w:rsid w:val="00F348BF"/>
    <w:rsid w:val="00F348DB"/>
    <w:rsid w:val="00F34A59"/>
    <w:rsid w:val="00F34B7B"/>
    <w:rsid w:val="00F34BC4"/>
    <w:rsid w:val="00F34DBC"/>
    <w:rsid w:val="00F34EF2"/>
    <w:rsid w:val="00F34FD8"/>
    <w:rsid w:val="00F3510E"/>
    <w:rsid w:val="00F351A4"/>
    <w:rsid w:val="00F352D0"/>
    <w:rsid w:val="00F3539E"/>
    <w:rsid w:val="00F3544B"/>
    <w:rsid w:val="00F35459"/>
    <w:rsid w:val="00F354D7"/>
    <w:rsid w:val="00F3559D"/>
    <w:rsid w:val="00F3564B"/>
    <w:rsid w:val="00F3568B"/>
    <w:rsid w:val="00F356BA"/>
    <w:rsid w:val="00F356BE"/>
    <w:rsid w:val="00F357D7"/>
    <w:rsid w:val="00F35851"/>
    <w:rsid w:val="00F3585E"/>
    <w:rsid w:val="00F35A4B"/>
    <w:rsid w:val="00F35A58"/>
    <w:rsid w:val="00F35AD7"/>
    <w:rsid w:val="00F35B84"/>
    <w:rsid w:val="00F35CF7"/>
    <w:rsid w:val="00F35D14"/>
    <w:rsid w:val="00F35E88"/>
    <w:rsid w:val="00F35EC1"/>
    <w:rsid w:val="00F36032"/>
    <w:rsid w:val="00F36064"/>
    <w:rsid w:val="00F36100"/>
    <w:rsid w:val="00F361DC"/>
    <w:rsid w:val="00F36282"/>
    <w:rsid w:val="00F3638B"/>
    <w:rsid w:val="00F36404"/>
    <w:rsid w:val="00F364B7"/>
    <w:rsid w:val="00F364FD"/>
    <w:rsid w:val="00F36548"/>
    <w:rsid w:val="00F36606"/>
    <w:rsid w:val="00F36817"/>
    <w:rsid w:val="00F36883"/>
    <w:rsid w:val="00F368EA"/>
    <w:rsid w:val="00F3692A"/>
    <w:rsid w:val="00F3692E"/>
    <w:rsid w:val="00F36938"/>
    <w:rsid w:val="00F369BF"/>
    <w:rsid w:val="00F36A51"/>
    <w:rsid w:val="00F36B7A"/>
    <w:rsid w:val="00F36BBC"/>
    <w:rsid w:val="00F36C4B"/>
    <w:rsid w:val="00F36D13"/>
    <w:rsid w:val="00F36D48"/>
    <w:rsid w:val="00F36D52"/>
    <w:rsid w:val="00F36FCB"/>
    <w:rsid w:val="00F370E5"/>
    <w:rsid w:val="00F3715B"/>
    <w:rsid w:val="00F37172"/>
    <w:rsid w:val="00F372A0"/>
    <w:rsid w:val="00F372AF"/>
    <w:rsid w:val="00F372C8"/>
    <w:rsid w:val="00F373FF"/>
    <w:rsid w:val="00F37758"/>
    <w:rsid w:val="00F378C1"/>
    <w:rsid w:val="00F37981"/>
    <w:rsid w:val="00F37993"/>
    <w:rsid w:val="00F379D2"/>
    <w:rsid w:val="00F379EE"/>
    <w:rsid w:val="00F37A11"/>
    <w:rsid w:val="00F37A14"/>
    <w:rsid w:val="00F37A24"/>
    <w:rsid w:val="00F37B1C"/>
    <w:rsid w:val="00F37CA2"/>
    <w:rsid w:val="00F37CBF"/>
    <w:rsid w:val="00F37CE6"/>
    <w:rsid w:val="00F37D1A"/>
    <w:rsid w:val="00F37D47"/>
    <w:rsid w:val="00F37D57"/>
    <w:rsid w:val="00F37E6D"/>
    <w:rsid w:val="00F37FA2"/>
    <w:rsid w:val="00F400E5"/>
    <w:rsid w:val="00F401BC"/>
    <w:rsid w:val="00F40232"/>
    <w:rsid w:val="00F402F5"/>
    <w:rsid w:val="00F403AB"/>
    <w:rsid w:val="00F40871"/>
    <w:rsid w:val="00F40948"/>
    <w:rsid w:val="00F409B5"/>
    <w:rsid w:val="00F40A48"/>
    <w:rsid w:val="00F40C3F"/>
    <w:rsid w:val="00F40C5E"/>
    <w:rsid w:val="00F40D14"/>
    <w:rsid w:val="00F40EED"/>
    <w:rsid w:val="00F40F2A"/>
    <w:rsid w:val="00F40F57"/>
    <w:rsid w:val="00F40F84"/>
    <w:rsid w:val="00F40F90"/>
    <w:rsid w:val="00F40FD6"/>
    <w:rsid w:val="00F40FF3"/>
    <w:rsid w:val="00F4102C"/>
    <w:rsid w:val="00F411F5"/>
    <w:rsid w:val="00F41274"/>
    <w:rsid w:val="00F41293"/>
    <w:rsid w:val="00F412BA"/>
    <w:rsid w:val="00F41304"/>
    <w:rsid w:val="00F4136B"/>
    <w:rsid w:val="00F413FD"/>
    <w:rsid w:val="00F41642"/>
    <w:rsid w:val="00F417F6"/>
    <w:rsid w:val="00F41897"/>
    <w:rsid w:val="00F418DA"/>
    <w:rsid w:val="00F4193C"/>
    <w:rsid w:val="00F419EE"/>
    <w:rsid w:val="00F41AD1"/>
    <w:rsid w:val="00F41BB3"/>
    <w:rsid w:val="00F41BE2"/>
    <w:rsid w:val="00F41C00"/>
    <w:rsid w:val="00F41CCB"/>
    <w:rsid w:val="00F41D7B"/>
    <w:rsid w:val="00F41FD7"/>
    <w:rsid w:val="00F42015"/>
    <w:rsid w:val="00F42139"/>
    <w:rsid w:val="00F42220"/>
    <w:rsid w:val="00F42231"/>
    <w:rsid w:val="00F42261"/>
    <w:rsid w:val="00F423D5"/>
    <w:rsid w:val="00F4249A"/>
    <w:rsid w:val="00F425C3"/>
    <w:rsid w:val="00F4272D"/>
    <w:rsid w:val="00F427EF"/>
    <w:rsid w:val="00F42854"/>
    <w:rsid w:val="00F42881"/>
    <w:rsid w:val="00F428A1"/>
    <w:rsid w:val="00F428D4"/>
    <w:rsid w:val="00F42B37"/>
    <w:rsid w:val="00F42BE3"/>
    <w:rsid w:val="00F42C9F"/>
    <w:rsid w:val="00F42CF4"/>
    <w:rsid w:val="00F42D62"/>
    <w:rsid w:val="00F42D7C"/>
    <w:rsid w:val="00F42DC7"/>
    <w:rsid w:val="00F42E01"/>
    <w:rsid w:val="00F42EE6"/>
    <w:rsid w:val="00F42F84"/>
    <w:rsid w:val="00F42F99"/>
    <w:rsid w:val="00F43018"/>
    <w:rsid w:val="00F430FC"/>
    <w:rsid w:val="00F43218"/>
    <w:rsid w:val="00F43370"/>
    <w:rsid w:val="00F435A6"/>
    <w:rsid w:val="00F435D6"/>
    <w:rsid w:val="00F43703"/>
    <w:rsid w:val="00F43711"/>
    <w:rsid w:val="00F43735"/>
    <w:rsid w:val="00F4373A"/>
    <w:rsid w:val="00F43787"/>
    <w:rsid w:val="00F43796"/>
    <w:rsid w:val="00F4388B"/>
    <w:rsid w:val="00F4396E"/>
    <w:rsid w:val="00F439AC"/>
    <w:rsid w:val="00F43A46"/>
    <w:rsid w:val="00F43A59"/>
    <w:rsid w:val="00F43A87"/>
    <w:rsid w:val="00F43EAC"/>
    <w:rsid w:val="00F43EAD"/>
    <w:rsid w:val="00F43F57"/>
    <w:rsid w:val="00F440AA"/>
    <w:rsid w:val="00F440BF"/>
    <w:rsid w:val="00F440DC"/>
    <w:rsid w:val="00F441C3"/>
    <w:rsid w:val="00F44422"/>
    <w:rsid w:val="00F4455C"/>
    <w:rsid w:val="00F44579"/>
    <w:rsid w:val="00F445DB"/>
    <w:rsid w:val="00F44742"/>
    <w:rsid w:val="00F447F5"/>
    <w:rsid w:val="00F4485C"/>
    <w:rsid w:val="00F4494F"/>
    <w:rsid w:val="00F4496F"/>
    <w:rsid w:val="00F44CA2"/>
    <w:rsid w:val="00F44CB0"/>
    <w:rsid w:val="00F44D88"/>
    <w:rsid w:val="00F44DA6"/>
    <w:rsid w:val="00F44DCD"/>
    <w:rsid w:val="00F44E1B"/>
    <w:rsid w:val="00F44E3C"/>
    <w:rsid w:val="00F44E44"/>
    <w:rsid w:val="00F44E65"/>
    <w:rsid w:val="00F44EC6"/>
    <w:rsid w:val="00F44FD2"/>
    <w:rsid w:val="00F45028"/>
    <w:rsid w:val="00F45145"/>
    <w:rsid w:val="00F45161"/>
    <w:rsid w:val="00F45168"/>
    <w:rsid w:val="00F452D8"/>
    <w:rsid w:val="00F45460"/>
    <w:rsid w:val="00F45734"/>
    <w:rsid w:val="00F4588B"/>
    <w:rsid w:val="00F45941"/>
    <w:rsid w:val="00F45AD5"/>
    <w:rsid w:val="00F45B7E"/>
    <w:rsid w:val="00F45DD8"/>
    <w:rsid w:val="00F45DE9"/>
    <w:rsid w:val="00F45ED5"/>
    <w:rsid w:val="00F45FAE"/>
    <w:rsid w:val="00F45FB1"/>
    <w:rsid w:val="00F45FC4"/>
    <w:rsid w:val="00F4601F"/>
    <w:rsid w:val="00F460EB"/>
    <w:rsid w:val="00F4620E"/>
    <w:rsid w:val="00F462B0"/>
    <w:rsid w:val="00F463B3"/>
    <w:rsid w:val="00F46656"/>
    <w:rsid w:val="00F46797"/>
    <w:rsid w:val="00F46AB1"/>
    <w:rsid w:val="00F46B9E"/>
    <w:rsid w:val="00F46CB4"/>
    <w:rsid w:val="00F46CDE"/>
    <w:rsid w:val="00F46D84"/>
    <w:rsid w:val="00F46E33"/>
    <w:rsid w:val="00F46ED1"/>
    <w:rsid w:val="00F47061"/>
    <w:rsid w:val="00F47282"/>
    <w:rsid w:val="00F472B4"/>
    <w:rsid w:val="00F47370"/>
    <w:rsid w:val="00F47424"/>
    <w:rsid w:val="00F474A8"/>
    <w:rsid w:val="00F47510"/>
    <w:rsid w:val="00F475B2"/>
    <w:rsid w:val="00F4760B"/>
    <w:rsid w:val="00F47671"/>
    <w:rsid w:val="00F476C3"/>
    <w:rsid w:val="00F477AD"/>
    <w:rsid w:val="00F47827"/>
    <w:rsid w:val="00F4784D"/>
    <w:rsid w:val="00F478D6"/>
    <w:rsid w:val="00F4790B"/>
    <w:rsid w:val="00F4797B"/>
    <w:rsid w:val="00F479F1"/>
    <w:rsid w:val="00F47A57"/>
    <w:rsid w:val="00F47B20"/>
    <w:rsid w:val="00F47BD2"/>
    <w:rsid w:val="00F47BDB"/>
    <w:rsid w:val="00F47CC3"/>
    <w:rsid w:val="00F47CCD"/>
    <w:rsid w:val="00F47D3C"/>
    <w:rsid w:val="00F47DFF"/>
    <w:rsid w:val="00F50073"/>
    <w:rsid w:val="00F500E4"/>
    <w:rsid w:val="00F50214"/>
    <w:rsid w:val="00F50421"/>
    <w:rsid w:val="00F50542"/>
    <w:rsid w:val="00F50656"/>
    <w:rsid w:val="00F506A5"/>
    <w:rsid w:val="00F508BE"/>
    <w:rsid w:val="00F50950"/>
    <w:rsid w:val="00F50966"/>
    <w:rsid w:val="00F50A3C"/>
    <w:rsid w:val="00F50AC5"/>
    <w:rsid w:val="00F50BBC"/>
    <w:rsid w:val="00F50DAC"/>
    <w:rsid w:val="00F50DC7"/>
    <w:rsid w:val="00F50F52"/>
    <w:rsid w:val="00F50F64"/>
    <w:rsid w:val="00F512D8"/>
    <w:rsid w:val="00F512DC"/>
    <w:rsid w:val="00F51456"/>
    <w:rsid w:val="00F51549"/>
    <w:rsid w:val="00F5154C"/>
    <w:rsid w:val="00F51609"/>
    <w:rsid w:val="00F517E6"/>
    <w:rsid w:val="00F51863"/>
    <w:rsid w:val="00F51885"/>
    <w:rsid w:val="00F5195A"/>
    <w:rsid w:val="00F519BB"/>
    <w:rsid w:val="00F51AA5"/>
    <w:rsid w:val="00F51ADD"/>
    <w:rsid w:val="00F51B77"/>
    <w:rsid w:val="00F51B8A"/>
    <w:rsid w:val="00F51BCC"/>
    <w:rsid w:val="00F51BD7"/>
    <w:rsid w:val="00F51BEA"/>
    <w:rsid w:val="00F51CCB"/>
    <w:rsid w:val="00F51DF9"/>
    <w:rsid w:val="00F51E6F"/>
    <w:rsid w:val="00F51EE9"/>
    <w:rsid w:val="00F51F3C"/>
    <w:rsid w:val="00F51FA2"/>
    <w:rsid w:val="00F5201B"/>
    <w:rsid w:val="00F52135"/>
    <w:rsid w:val="00F52190"/>
    <w:rsid w:val="00F52194"/>
    <w:rsid w:val="00F52248"/>
    <w:rsid w:val="00F5230B"/>
    <w:rsid w:val="00F523CB"/>
    <w:rsid w:val="00F52428"/>
    <w:rsid w:val="00F52449"/>
    <w:rsid w:val="00F5262B"/>
    <w:rsid w:val="00F5263A"/>
    <w:rsid w:val="00F52682"/>
    <w:rsid w:val="00F526FB"/>
    <w:rsid w:val="00F5279A"/>
    <w:rsid w:val="00F527A1"/>
    <w:rsid w:val="00F527B5"/>
    <w:rsid w:val="00F527F4"/>
    <w:rsid w:val="00F528EE"/>
    <w:rsid w:val="00F52A45"/>
    <w:rsid w:val="00F52A78"/>
    <w:rsid w:val="00F52AB2"/>
    <w:rsid w:val="00F52BA5"/>
    <w:rsid w:val="00F52DF7"/>
    <w:rsid w:val="00F52E13"/>
    <w:rsid w:val="00F52E2D"/>
    <w:rsid w:val="00F53024"/>
    <w:rsid w:val="00F53093"/>
    <w:rsid w:val="00F53159"/>
    <w:rsid w:val="00F53182"/>
    <w:rsid w:val="00F53189"/>
    <w:rsid w:val="00F533F4"/>
    <w:rsid w:val="00F5348E"/>
    <w:rsid w:val="00F534D3"/>
    <w:rsid w:val="00F53514"/>
    <w:rsid w:val="00F5355F"/>
    <w:rsid w:val="00F535A7"/>
    <w:rsid w:val="00F536C5"/>
    <w:rsid w:val="00F53776"/>
    <w:rsid w:val="00F5388E"/>
    <w:rsid w:val="00F53908"/>
    <w:rsid w:val="00F53A19"/>
    <w:rsid w:val="00F53AF0"/>
    <w:rsid w:val="00F53B1C"/>
    <w:rsid w:val="00F53B9A"/>
    <w:rsid w:val="00F53BBF"/>
    <w:rsid w:val="00F53C4B"/>
    <w:rsid w:val="00F53C54"/>
    <w:rsid w:val="00F53DC4"/>
    <w:rsid w:val="00F53EE0"/>
    <w:rsid w:val="00F53F26"/>
    <w:rsid w:val="00F53F29"/>
    <w:rsid w:val="00F53F8E"/>
    <w:rsid w:val="00F54054"/>
    <w:rsid w:val="00F541A2"/>
    <w:rsid w:val="00F5437C"/>
    <w:rsid w:val="00F54393"/>
    <w:rsid w:val="00F543E3"/>
    <w:rsid w:val="00F54495"/>
    <w:rsid w:val="00F545F9"/>
    <w:rsid w:val="00F54642"/>
    <w:rsid w:val="00F5470F"/>
    <w:rsid w:val="00F547D3"/>
    <w:rsid w:val="00F548BF"/>
    <w:rsid w:val="00F54A48"/>
    <w:rsid w:val="00F54B9C"/>
    <w:rsid w:val="00F54CBD"/>
    <w:rsid w:val="00F54D4F"/>
    <w:rsid w:val="00F54F9A"/>
    <w:rsid w:val="00F54FBD"/>
    <w:rsid w:val="00F55017"/>
    <w:rsid w:val="00F551BB"/>
    <w:rsid w:val="00F55324"/>
    <w:rsid w:val="00F5549A"/>
    <w:rsid w:val="00F55780"/>
    <w:rsid w:val="00F557AB"/>
    <w:rsid w:val="00F55839"/>
    <w:rsid w:val="00F5597F"/>
    <w:rsid w:val="00F55D31"/>
    <w:rsid w:val="00F55DD0"/>
    <w:rsid w:val="00F55EFF"/>
    <w:rsid w:val="00F55F1A"/>
    <w:rsid w:val="00F55F21"/>
    <w:rsid w:val="00F55F9C"/>
    <w:rsid w:val="00F560F8"/>
    <w:rsid w:val="00F561D7"/>
    <w:rsid w:val="00F5624B"/>
    <w:rsid w:val="00F56254"/>
    <w:rsid w:val="00F5638B"/>
    <w:rsid w:val="00F563BF"/>
    <w:rsid w:val="00F5658F"/>
    <w:rsid w:val="00F565BF"/>
    <w:rsid w:val="00F565CE"/>
    <w:rsid w:val="00F565D9"/>
    <w:rsid w:val="00F566F5"/>
    <w:rsid w:val="00F568EF"/>
    <w:rsid w:val="00F568F3"/>
    <w:rsid w:val="00F56AA5"/>
    <w:rsid w:val="00F56AA7"/>
    <w:rsid w:val="00F56AC1"/>
    <w:rsid w:val="00F56B59"/>
    <w:rsid w:val="00F56CAC"/>
    <w:rsid w:val="00F56EFB"/>
    <w:rsid w:val="00F56FB8"/>
    <w:rsid w:val="00F5704D"/>
    <w:rsid w:val="00F57238"/>
    <w:rsid w:val="00F57275"/>
    <w:rsid w:val="00F572F3"/>
    <w:rsid w:val="00F5734D"/>
    <w:rsid w:val="00F5741E"/>
    <w:rsid w:val="00F575D3"/>
    <w:rsid w:val="00F575E6"/>
    <w:rsid w:val="00F575EB"/>
    <w:rsid w:val="00F577FB"/>
    <w:rsid w:val="00F57877"/>
    <w:rsid w:val="00F57A33"/>
    <w:rsid w:val="00F57BD6"/>
    <w:rsid w:val="00F57BDE"/>
    <w:rsid w:val="00F57C6D"/>
    <w:rsid w:val="00F57C94"/>
    <w:rsid w:val="00F57D6A"/>
    <w:rsid w:val="00F57DF3"/>
    <w:rsid w:val="00F5C5C7"/>
    <w:rsid w:val="00F6002F"/>
    <w:rsid w:val="00F60416"/>
    <w:rsid w:val="00F60421"/>
    <w:rsid w:val="00F60565"/>
    <w:rsid w:val="00F60607"/>
    <w:rsid w:val="00F6064E"/>
    <w:rsid w:val="00F6066F"/>
    <w:rsid w:val="00F606A9"/>
    <w:rsid w:val="00F60704"/>
    <w:rsid w:val="00F607F7"/>
    <w:rsid w:val="00F6082C"/>
    <w:rsid w:val="00F60850"/>
    <w:rsid w:val="00F60871"/>
    <w:rsid w:val="00F608E6"/>
    <w:rsid w:val="00F60959"/>
    <w:rsid w:val="00F60AAB"/>
    <w:rsid w:val="00F60BC2"/>
    <w:rsid w:val="00F60C1D"/>
    <w:rsid w:val="00F60C56"/>
    <w:rsid w:val="00F60C77"/>
    <w:rsid w:val="00F60EC9"/>
    <w:rsid w:val="00F60F09"/>
    <w:rsid w:val="00F60FB7"/>
    <w:rsid w:val="00F61148"/>
    <w:rsid w:val="00F612F6"/>
    <w:rsid w:val="00F61307"/>
    <w:rsid w:val="00F613A7"/>
    <w:rsid w:val="00F614A0"/>
    <w:rsid w:val="00F61667"/>
    <w:rsid w:val="00F617F8"/>
    <w:rsid w:val="00F619D9"/>
    <w:rsid w:val="00F619E0"/>
    <w:rsid w:val="00F61A9E"/>
    <w:rsid w:val="00F61AA8"/>
    <w:rsid w:val="00F61AC1"/>
    <w:rsid w:val="00F61C78"/>
    <w:rsid w:val="00F61CCF"/>
    <w:rsid w:val="00F61CD5"/>
    <w:rsid w:val="00F61D7E"/>
    <w:rsid w:val="00F61DAF"/>
    <w:rsid w:val="00F61E34"/>
    <w:rsid w:val="00F61FD9"/>
    <w:rsid w:val="00F62152"/>
    <w:rsid w:val="00F62251"/>
    <w:rsid w:val="00F62339"/>
    <w:rsid w:val="00F624AD"/>
    <w:rsid w:val="00F6258B"/>
    <w:rsid w:val="00F62682"/>
    <w:rsid w:val="00F626B9"/>
    <w:rsid w:val="00F62701"/>
    <w:rsid w:val="00F6270F"/>
    <w:rsid w:val="00F62757"/>
    <w:rsid w:val="00F627D4"/>
    <w:rsid w:val="00F6293B"/>
    <w:rsid w:val="00F62986"/>
    <w:rsid w:val="00F62B50"/>
    <w:rsid w:val="00F62D6F"/>
    <w:rsid w:val="00F62FC9"/>
    <w:rsid w:val="00F6304D"/>
    <w:rsid w:val="00F6306F"/>
    <w:rsid w:val="00F63103"/>
    <w:rsid w:val="00F6313C"/>
    <w:rsid w:val="00F6340B"/>
    <w:rsid w:val="00F63515"/>
    <w:rsid w:val="00F63583"/>
    <w:rsid w:val="00F63766"/>
    <w:rsid w:val="00F63836"/>
    <w:rsid w:val="00F639AB"/>
    <w:rsid w:val="00F63B28"/>
    <w:rsid w:val="00F63C1C"/>
    <w:rsid w:val="00F63C5C"/>
    <w:rsid w:val="00F63DC4"/>
    <w:rsid w:val="00F63F96"/>
    <w:rsid w:val="00F63FC2"/>
    <w:rsid w:val="00F643A3"/>
    <w:rsid w:val="00F643E0"/>
    <w:rsid w:val="00F643EE"/>
    <w:rsid w:val="00F64419"/>
    <w:rsid w:val="00F644F0"/>
    <w:rsid w:val="00F645CF"/>
    <w:rsid w:val="00F646FF"/>
    <w:rsid w:val="00F648FC"/>
    <w:rsid w:val="00F64A07"/>
    <w:rsid w:val="00F64C03"/>
    <w:rsid w:val="00F64C15"/>
    <w:rsid w:val="00F64C9B"/>
    <w:rsid w:val="00F64DD6"/>
    <w:rsid w:val="00F64EF1"/>
    <w:rsid w:val="00F651B5"/>
    <w:rsid w:val="00F652A3"/>
    <w:rsid w:val="00F652EC"/>
    <w:rsid w:val="00F65384"/>
    <w:rsid w:val="00F653D4"/>
    <w:rsid w:val="00F655D0"/>
    <w:rsid w:val="00F65648"/>
    <w:rsid w:val="00F656C0"/>
    <w:rsid w:val="00F65742"/>
    <w:rsid w:val="00F657D3"/>
    <w:rsid w:val="00F657E6"/>
    <w:rsid w:val="00F65817"/>
    <w:rsid w:val="00F65837"/>
    <w:rsid w:val="00F6586D"/>
    <w:rsid w:val="00F659BF"/>
    <w:rsid w:val="00F65A75"/>
    <w:rsid w:val="00F65B25"/>
    <w:rsid w:val="00F65BCA"/>
    <w:rsid w:val="00F65BF1"/>
    <w:rsid w:val="00F660B8"/>
    <w:rsid w:val="00F660F7"/>
    <w:rsid w:val="00F66150"/>
    <w:rsid w:val="00F661A9"/>
    <w:rsid w:val="00F66294"/>
    <w:rsid w:val="00F6633A"/>
    <w:rsid w:val="00F66350"/>
    <w:rsid w:val="00F663B8"/>
    <w:rsid w:val="00F66462"/>
    <w:rsid w:val="00F66488"/>
    <w:rsid w:val="00F66518"/>
    <w:rsid w:val="00F665DF"/>
    <w:rsid w:val="00F665FF"/>
    <w:rsid w:val="00F66649"/>
    <w:rsid w:val="00F66737"/>
    <w:rsid w:val="00F6678A"/>
    <w:rsid w:val="00F66797"/>
    <w:rsid w:val="00F66A1A"/>
    <w:rsid w:val="00F66AAE"/>
    <w:rsid w:val="00F66BDB"/>
    <w:rsid w:val="00F66DDB"/>
    <w:rsid w:val="00F66DE5"/>
    <w:rsid w:val="00F66F62"/>
    <w:rsid w:val="00F66F7B"/>
    <w:rsid w:val="00F670FD"/>
    <w:rsid w:val="00F672BC"/>
    <w:rsid w:val="00F67316"/>
    <w:rsid w:val="00F6744D"/>
    <w:rsid w:val="00F674D6"/>
    <w:rsid w:val="00F675EB"/>
    <w:rsid w:val="00F67657"/>
    <w:rsid w:val="00F6776B"/>
    <w:rsid w:val="00F6782D"/>
    <w:rsid w:val="00F67878"/>
    <w:rsid w:val="00F67904"/>
    <w:rsid w:val="00F67A65"/>
    <w:rsid w:val="00F67AE6"/>
    <w:rsid w:val="00F67BCE"/>
    <w:rsid w:val="00F67D40"/>
    <w:rsid w:val="00F67D6C"/>
    <w:rsid w:val="00F67D8D"/>
    <w:rsid w:val="00F67DAA"/>
    <w:rsid w:val="00F67DE1"/>
    <w:rsid w:val="00F67DE3"/>
    <w:rsid w:val="00F67DE6"/>
    <w:rsid w:val="00F67E20"/>
    <w:rsid w:val="00F67EDB"/>
    <w:rsid w:val="00F67F2E"/>
    <w:rsid w:val="00F67F33"/>
    <w:rsid w:val="00F67F75"/>
    <w:rsid w:val="00F67F82"/>
    <w:rsid w:val="00F67FB0"/>
    <w:rsid w:val="00F67FC9"/>
    <w:rsid w:val="00F70088"/>
    <w:rsid w:val="00F70098"/>
    <w:rsid w:val="00F700E8"/>
    <w:rsid w:val="00F70104"/>
    <w:rsid w:val="00F7020A"/>
    <w:rsid w:val="00F70362"/>
    <w:rsid w:val="00F7037D"/>
    <w:rsid w:val="00F703D3"/>
    <w:rsid w:val="00F7059C"/>
    <w:rsid w:val="00F705D6"/>
    <w:rsid w:val="00F705DE"/>
    <w:rsid w:val="00F706B7"/>
    <w:rsid w:val="00F7078C"/>
    <w:rsid w:val="00F708AD"/>
    <w:rsid w:val="00F708D8"/>
    <w:rsid w:val="00F70923"/>
    <w:rsid w:val="00F70928"/>
    <w:rsid w:val="00F709B5"/>
    <w:rsid w:val="00F709C0"/>
    <w:rsid w:val="00F709F5"/>
    <w:rsid w:val="00F70A5E"/>
    <w:rsid w:val="00F70AAF"/>
    <w:rsid w:val="00F70ABF"/>
    <w:rsid w:val="00F70C81"/>
    <w:rsid w:val="00F70D14"/>
    <w:rsid w:val="00F70D95"/>
    <w:rsid w:val="00F70D9E"/>
    <w:rsid w:val="00F70E17"/>
    <w:rsid w:val="00F70E2B"/>
    <w:rsid w:val="00F70EB4"/>
    <w:rsid w:val="00F70F01"/>
    <w:rsid w:val="00F70FC9"/>
    <w:rsid w:val="00F70FF8"/>
    <w:rsid w:val="00F7100C"/>
    <w:rsid w:val="00F710A0"/>
    <w:rsid w:val="00F710CD"/>
    <w:rsid w:val="00F71145"/>
    <w:rsid w:val="00F71147"/>
    <w:rsid w:val="00F7115E"/>
    <w:rsid w:val="00F711A9"/>
    <w:rsid w:val="00F712C0"/>
    <w:rsid w:val="00F715D4"/>
    <w:rsid w:val="00F71646"/>
    <w:rsid w:val="00F7165E"/>
    <w:rsid w:val="00F716B2"/>
    <w:rsid w:val="00F716CA"/>
    <w:rsid w:val="00F717E9"/>
    <w:rsid w:val="00F718FF"/>
    <w:rsid w:val="00F71923"/>
    <w:rsid w:val="00F719AF"/>
    <w:rsid w:val="00F71A76"/>
    <w:rsid w:val="00F71C45"/>
    <w:rsid w:val="00F71D57"/>
    <w:rsid w:val="00F71DA0"/>
    <w:rsid w:val="00F71EC5"/>
    <w:rsid w:val="00F72181"/>
    <w:rsid w:val="00F72188"/>
    <w:rsid w:val="00F7223F"/>
    <w:rsid w:val="00F72586"/>
    <w:rsid w:val="00F7267F"/>
    <w:rsid w:val="00F726EA"/>
    <w:rsid w:val="00F72784"/>
    <w:rsid w:val="00F728DD"/>
    <w:rsid w:val="00F72913"/>
    <w:rsid w:val="00F729F6"/>
    <w:rsid w:val="00F72BBD"/>
    <w:rsid w:val="00F72BCA"/>
    <w:rsid w:val="00F72F58"/>
    <w:rsid w:val="00F72F6C"/>
    <w:rsid w:val="00F73023"/>
    <w:rsid w:val="00F73027"/>
    <w:rsid w:val="00F7327D"/>
    <w:rsid w:val="00F732CC"/>
    <w:rsid w:val="00F73337"/>
    <w:rsid w:val="00F73445"/>
    <w:rsid w:val="00F73663"/>
    <w:rsid w:val="00F736BB"/>
    <w:rsid w:val="00F7370C"/>
    <w:rsid w:val="00F737EA"/>
    <w:rsid w:val="00F738B8"/>
    <w:rsid w:val="00F73923"/>
    <w:rsid w:val="00F739B6"/>
    <w:rsid w:val="00F73A03"/>
    <w:rsid w:val="00F73A6C"/>
    <w:rsid w:val="00F73C03"/>
    <w:rsid w:val="00F73D10"/>
    <w:rsid w:val="00F73E11"/>
    <w:rsid w:val="00F73EFA"/>
    <w:rsid w:val="00F74064"/>
    <w:rsid w:val="00F740E5"/>
    <w:rsid w:val="00F7411A"/>
    <w:rsid w:val="00F741D7"/>
    <w:rsid w:val="00F74204"/>
    <w:rsid w:val="00F74206"/>
    <w:rsid w:val="00F74405"/>
    <w:rsid w:val="00F746BD"/>
    <w:rsid w:val="00F747E4"/>
    <w:rsid w:val="00F747E9"/>
    <w:rsid w:val="00F747F8"/>
    <w:rsid w:val="00F74840"/>
    <w:rsid w:val="00F74868"/>
    <w:rsid w:val="00F7498C"/>
    <w:rsid w:val="00F74CB1"/>
    <w:rsid w:val="00F74D4A"/>
    <w:rsid w:val="00F74DC5"/>
    <w:rsid w:val="00F74E09"/>
    <w:rsid w:val="00F74EEA"/>
    <w:rsid w:val="00F74EF4"/>
    <w:rsid w:val="00F74F3B"/>
    <w:rsid w:val="00F751A1"/>
    <w:rsid w:val="00F752E9"/>
    <w:rsid w:val="00F75338"/>
    <w:rsid w:val="00F753CC"/>
    <w:rsid w:val="00F7545D"/>
    <w:rsid w:val="00F754E7"/>
    <w:rsid w:val="00F7555F"/>
    <w:rsid w:val="00F755A3"/>
    <w:rsid w:val="00F755BE"/>
    <w:rsid w:val="00F755C8"/>
    <w:rsid w:val="00F755F4"/>
    <w:rsid w:val="00F7563A"/>
    <w:rsid w:val="00F75682"/>
    <w:rsid w:val="00F75706"/>
    <w:rsid w:val="00F7572B"/>
    <w:rsid w:val="00F759E2"/>
    <w:rsid w:val="00F75AEC"/>
    <w:rsid w:val="00F75B53"/>
    <w:rsid w:val="00F75C34"/>
    <w:rsid w:val="00F75CBB"/>
    <w:rsid w:val="00F75CCF"/>
    <w:rsid w:val="00F75D8C"/>
    <w:rsid w:val="00F75DF8"/>
    <w:rsid w:val="00F75EA2"/>
    <w:rsid w:val="00F76051"/>
    <w:rsid w:val="00F7605E"/>
    <w:rsid w:val="00F762BB"/>
    <w:rsid w:val="00F76399"/>
    <w:rsid w:val="00F7644D"/>
    <w:rsid w:val="00F76475"/>
    <w:rsid w:val="00F765F5"/>
    <w:rsid w:val="00F7671C"/>
    <w:rsid w:val="00F76843"/>
    <w:rsid w:val="00F76883"/>
    <w:rsid w:val="00F76924"/>
    <w:rsid w:val="00F76956"/>
    <w:rsid w:val="00F76979"/>
    <w:rsid w:val="00F76ACD"/>
    <w:rsid w:val="00F76AD1"/>
    <w:rsid w:val="00F76B58"/>
    <w:rsid w:val="00F76B71"/>
    <w:rsid w:val="00F76C0F"/>
    <w:rsid w:val="00F76DE0"/>
    <w:rsid w:val="00F76E21"/>
    <w:rsid w:val="00F76F3C"/>
    <w:rsid w:val="00F76FC0"/>
    <w:rsid w:val="00F77048"/>
    <w:rsid w:val="00F771BC"/>
    <w:rsid w:val="00F772B3"/>
    <w:rsid w:val="00F77417"/>
    <w:rsid w:val="00F77420"/>
    <w:rsid w:val="00F7751F"/>
    <w:rsid w:val="00F7755D"/>
    <w:rsid w:val="00F7756C"/>
    <w:rsid w:val="00F77584"/>
    <w:rsid w:val="00F775F3"/>
    <w:rsid w:val="00F776A2"/>
    <w:rsid w:val="00F777BF"/>
    <w:rsid w:val="00F77825"/>
    <w:rsid w:val="00F7793C"/>
    <w:rsid w:val="00F77942"/>
    <w:rsid w:val="00F779B6"/>
    <w:rsid w:val="00F779FE"/>
    <w:rsid w:val="00F77BCA"/>
    <w:rsid w:val="00F77D3C"/>
    <w:rsid w:val="00F77D7E"/>
    <w:rsid w:val="00F77D92"/>
    <w:rsid w:val="00F77E1D"/>
    <w:rsid w:val="00F77E44"/>
    <w:rsid w:val="00F77E62"/>
    <w:rsid w:val="00F77E87"/>
    <w:rsid w:val="00F77FCC"/>
    <w:rsid w:val="00F77FF6"/>
    <w:rsid w:val="00F80045"/>
    <w:rsid w:val="00F8005A"/>
    <w:rsid w:val="00F80088"/>
    <w:rsid w:val="00F800DB"/>
    <w:rsid w:val="00F8029D"/>
    <w:rsid w:val="00F802EF"/>
    <w:rsid w:val="00F803C5"/>
    <w:rsid w:val="00F805F7"/>
    <w:rsid w:val="00F8073E"/>
    <w:rsid w:val="00F80811"/>
    <w:rsid w:val="00F808CA"/>
    <w:rsid w:val="00F8090D"/>
    <w:rsid w:val="00F809AD"/>
    <w:rsid w:val="00F80AD1"/>
    <w:rsid w:val="00F80B6D"/>
    <w:rsid w:val="00F80C5D"/>
    <w:rsid w:val="00F80E11"/>
    <w:rsid w:val="00F80E14"/>
    <w:rsid w:val="00F80E75"/>
    <w:rsid w:val="00F80E86"/>
    <w:rsid w:val="00F80EDD"/>
    <w:rsid w:val="00F80F89"/>
    <w:rsid w:val="00F80FB9"/>
    <w:rsid w:val="00F81100"/>
    <w:rsid w:val="00F81123"/>
    <w:rsid w:val="00F8123C"/>
    <w:rsid w:val="00F812B6"/>
    <w:rsid w:val="00F813B8"/>
    <w:rsid w:val="00F81455"/>
    <w:rsid w:val="00F81659"/>
    <w:rsid w:val="00F817B4"/>
    <w:rsid w:val="00F81873"/>
    <w:rsid w:val="00F81911"/>
    <w:rsid w:val="00F8195E"/>
    <w:rsid w:val="00F819AC"/>
    <w:rsid w:val="00F81A4C"/>
    <w:rsid w:val="00F81C0C"/>
    <w:rsid w:val="00F81C14"/>
    <w:rsid w:val="00F81CE1"/>
    <w:rsid w:val="00F81DDC"/>
    <w:rsid w:val="00F81E01"/>
    <w:rsid w:val="00F81F41"/>
    <w:rsid w:val="00F81FAF"/>
    <w:rsid w:val="00F8211E"/>
    <w:rsid w:val="00F82239"/>
    <w:rsid w:val="00F82277"/>
    <w:rsid w:val="00F82358"/>
    <w:rsid w:val="00F82382"/>
    <w:rsid w:val="00F8242C"/>
    <w:rsid w:val="00F824B0"/>
    <w:rsid w:val="00F824EF"/>
    <w:rsid w:val="00F82509"/>
    <w:rsid w:val="00F8257B"/>
    <w:rsid w:val="00F8265C"/>
    <w:rsid w:val="00F82872"/>
    <w:rsid w:val="00F82982"/>
    <w:rsid w:val="00F82A39"/>
    <w:rsid w:val="00F82B1F"/>
    <w:rsid w:val="00F82B63"/>
    <w:rsid w:val="00F82B92"/>
    <w:rsid w:val="00F82BC9"/>
    <w:rsid w:val="00F82C24"/>
    <w:rsid w:val="00F82E9A"/>
    <w:rsid w:val="00F83203"/>
    <w:rsid w:val="00F832E7"/>
    <w:rsid w:val="00F83316"/>
    <w:rsid w:val="00F83369"/>
    <w:rsid w:val="00F8358C"/>
    <w:rsid w:val="00F835FB"/>
    <w:rsid w:val="00F83642"/>
    <w:rsid w:val="00F836BC"/>
    <w:rsid w:val="00F836E9"/>
    <w:rsid w:val="00F8371D"/>
    <w:rsid w:val="00F83769"/>
    <w:rsid w:val="00F838A5"/>
    <w:rsid w:val="00F839A3"/>
    <w:rsid w:val="00F839C9"/>
    <w:rsid w:val="00F83B77"/>
    <w:rsid w:val="00F83BAD"/>
    <w:rsid w:val="00F83CED"/>
    <w:rsid w:val="00F83DCE"/>
    <w:rsid w:val="00F83EFD"/>
    <w:rsid w:val="00F8408B"/>
    <w:rsid w:val="00F84112"/>
    <w:rsid w:val="00F84230"/>
    <w:rsid w:val="00F8436B"/>
    <w:rsid w:val="00F844A5"/>
    <w:rsid w:val="00F844E4"/>
    <w:rsid w:val="00F8455D"/>
    <w:rsid w:val="00F84606"/>
    <w:rsid w:val="00F8470F"/>
    <w:rsid w:val="00F8479F"/>
    <w:rsid w:val="00F848D1"/>
    <w:rsid w:val="00F84922"/>
    <w:rsid w:val="00F84A57"/>
    <w:rsid w:val="00F84A98"/>
    <w:rsid w:val="00F84AE2"/>
    <w:rsid w:val="00F84B5D"/>
    <w:rsid w:val="00F84B88"/>
    <w:rsid w:val="00F84BDB"/>
    <w:rsid w:val="00F85034"/>
    <w:rsid w:val="00F850E7"/>
    <w:rsid w:val="00F85109"/>
    <w:rsid w:val="00F851E6"/>
    <w:rsid w:val="00F85221"/>
    <w:rsid w:val="00F8522C"/>
    <w:rsid w:val="00F852CA"/>
    <w:rsid w:val="00F85325"/>
    <w:rsid w:val="00F85333"/>
    <w:rsid w:val="00F8541A"/>
    <w:rsid w:val="00F8543B"/>
    <w:rsid w:val="00F8553C"/>
    <w:rsid w:val="00F85621"/>
    <w:rsid w:val="00F85778"/>
    <w:rsid w:val="00F85781"/>
    <w:rsid w:val="00F85812"/>
    <w:rsid w:val="00F85877"/>
    <w:rsid w:val="00F8599B"/>
    <w:rsid w:val="00F86033"/>
    <w:rsid w:val="00F86105"/>
    <w:rsid w:val="00F86165"/>
    <w:rsid w:val="00F861FF"/>
    <w:rsid w:val="00F8628F"/>
    <w:rsid w:val="00F864CD"/>
    <w:rsid w:val="00F865E6"/>
    <w:rsid w:val="00F865FD"/>
    <w:rsid w:val="00F86627"/>
    <w:rsid w:val="00F86670"/>
    <w:rsid w:val="00F86715"/>
    <w:rsid w:val="00F86782"/>
    <w:rsid w:val="00F8680A"/>
    <w:rsid w:val="00F86844"/>
    <w:rsid w:val="00F86983"/>
    <w:rsid w:val="00F869C0"/>
    <w:rsid w:val="00F86A3C"/>
    <w:rsid w:val="00F86AF4"/>
    <w:rsid w:val="00F86B28"/>
    <w:rsid w:val="00F86CB9"/>
    <w:rsid w:val="00F86D77"/>
    <w:rsid w:val="00F86DBB"/>
    <w:rsid w:val="00F86F18"/>
    <w:rsid w:val="00F86F9F"/>
    <w:rsid w:val="00F87147"/>
    <w:rsid w:val="00F8717F"/>
    <w:rsid w:val="00F87518"/>
    <w:rsid w:val="00F87692"/>
    <w:rsid w:val="00F876E6"/>
    <w:rsid w:val="00F87767"/>
    <w:rsid w:val="00F877C8"/>
    <w:rsid w:val="00F87835"/>
    <w:rsid w:val="00F879E7"/>
    <w:rsid w:val="00F87AC4"/>
    <w:rsid w:val="00F87CBA"/>
    <w:rsid w:val="00F87D0D"/>
    <w:rsid w:val="00F87E1F"/>
    <w:rsid w:val="00F87E5D"/>
    <w:rsid w:val="00F87F48"/>
    <w:rsid w:val="00F87F99"/>
    <w:rsid w:val="00F90006"/>
    <w:rsid w:val="00F90042"/>
    <w:rsid w:val="00F90170"/>
    <w:rsid w:val="00F90229"/>
    <w:rsid w:val="00F9022F"/>
    <w:rsid w:val="00F9030B"/>
    <w:rsid w:val="00F9037F"/>
    <w:rsid w:val="00F90427"/>
    <w:rsid w:val="00F9055C"/>
    <w:rsid w:val="00F90779"/>
    <w:rsid w:val="00F907A3"/>
    <w:rsid w:val="00F90814"/>
    <w:rsid w:val="00F90878"/>
    <w:rsid w:val="00F90A23"/>
    <w:rsid w:val="00F90B34"/>
    <w:rsid w:val="00F90B73"/>
    <w:rsid w:val="00F90C3C"/>
    <w:rsid w:val="00F90CA7"/>
    <w:rsid w:val="00F90CF5"/>
    <w:rsid w:val="00F90FF4"/>
    <w:rsid w:val="00F910BD"/>
    <w:rsid w:val="00F91671"/>
    <w:rsid w:val="00F916DB"/>
    <w:rsid w:val="00F9174F"/>
    <w:rsid w:val="00F91794"/>
    <w:rsid w:val="00F917B4"/>
    <w:rsid w:val="00F91833"/>
    <w:rsid w:val="00F91874"/>
    <w:rsid w:val="00F9188B"/>
    <w:rsid w:val="00F91931"/>
    <w:rsid w:val="00F919B7"/>
    <w:rsid w:val="00F91A58"/>
    <w:rsid w:val="00F91BB3"/>
    <w:rsid w:val="00F91C84"/>
    <w:rsid w:val="00F91C91"/>
    <w:rsid w:val="00F921E9"/>
    <w:rsid w:val="00F922BC"/>
    <w:rsid w:val="00F922F1"/>
    <w:rsid w:val="00F925F6"/>
    <w:rsid w:val="00F927B8"/>
    <w:rsid w:val="00F92837"/>
    <w:rsid w:val="00F92A76"/>
    <w:rsid w:val="00F92C33"/>
    <w:rsid w:val="00F92C56"/>
    <w:rsid w:val="00F92DFC"/>
    <w:rsid w:val="00F9333D"/>
    <w:rsid w:val="00F93378"/>
    <w:rsid w:val="00F93537"/>
    <w:rsid w:val="00F93668"/>
    <w:rsid w:val="00F93852"/>
    <w:rsid w:val="00F93A00"/>
    <w:rsid w:val="00F93BB2"/>
    <w:rsid w:val="00F93CEE"/>
    <w:rsid w:val="00F93D92"/>
    <w:rsid w:val="00F93E68"/>
    <w:rsid w:val="00F93F92"/>
    <w:rsid w:val="00F93FA1"/>
    <w:rsid w:val="00F93FDE"/>
    <w:rsid w:val="00F94043"/>
    <w:rsid w:val="00F9423B"/>
    <w:rsid w:val="00F94244"/>
    <w:rsid w:val="00F942B4"/>
    <w:rsid w:val="00F9430E"/>
    <w:rsid w:val="00F943E3"/>
    <w:rsid w:val="00F94451"/>
    <w:rsid w:val="00F94548"/>
    <w:rsid w:val="00F945BB"/>
    <w:rsid w:val="00F9468F"/>
    <w:rsid w:val="00F9477C"/>
    <w:rsid w:val="00F947BA"/>
    <w:rsid w:val="00F948C3"/>
    <w:rsid w:val="00F9492D"/>
    <w:rsid w:val="00F94964"/>
    <w:rsid w:val="00F94DEB"/>
    <w:rsid w:val="00F94FD9"/>
    <w:rsid w:val="00F95013"/>
    <w:rsid w:val="00F950FC"/>
    <w:rsid w:val="00F95299"/>
    <w:rsid w:val="00F952FF"/>
    <w:rsid w:val="00F953E2"/>
    <w:rsid w:val="00F9547F"/>
    <w:rsid w:val="00F954EA"/>
    <w:rsid w:val="00F9575F"/>
    <w:rsid w:val="00F95791"/>
    <w:rsid w:val="00F95995"/>
    <w:rsid w:val="00F95B4A"/>
    <w:rsid w:val="00F95B8F"/>
    <w:rsid w:val="00F95D81"/>
    <w:rsid w:val="00F95DA2"/>
    <w:rsid w:val="00F95DBA"/>
    <w:rsid w:val="00F95DBB"/>
    <w:rsid w:val="00F95E13"/>
    <w:rsid w:val="00F95EB4"/>
    <w:rsid w:val="00F95F06"/>
    <w:rsid w:val="00F95F38"/>
    <w:rsid w:val="00F95F4C"/>
    <w:rsid w:val="00F9600A"/>
    <w:rsid w:val="00F9604C"/>
    <w:rsid w:val="00F960C2"/>
    <w:rsid w:val="00F961AE"/>
    <w:rsid w:val="00F96257"/>
    <w:rsid w:val="00F96437"/>
    <w:rsid w:val="00F96442"/>
    <w:rsid w:val="00F964AF"/>
    <w:rsid w:val="00F964C8"/>
    <w:rsid w:val="00F964EC"/>
    <w:rsid w:val="00F964F1"/>
    <w:rsid w:val="00F96555"/>
    <w:rsid w:val="00F96634"/>
    <w:rsid w:val="00F966BA"/>
    <w:rsid w:val="00F96878"/>
    <w:rsid w:val="00F968AF"/>
    <w:rsid w:val="00F9691B"/>
    <w:rsid w:val="00F96A17"/>
    <w:rsid w:val="00F96A87"/>
    <w:rsid w:val="00F96B8E"/>
    <w:rsid w:val="00F96D7F"/>
    <w:rsid w:val="00F96DEE"/>
    <w:rsid w:val="00F96E16"/>
    <w:rsid w:val="00F96F9F"/>
    <w:rsid w:val="00F97105"/>
    <w:rsid w:val="00F97197"/>
    <w:rsid w:val="00F97217"/>
    <w:rsid w:val="00F972B0"/>
    <w:rsid w:val="00F97455"/>
    <w:rsid w:val="00F9746A"/>
    <w:rsid w:val="00F97546"/>
    <w:rsid w:val="00F97607"/>
    <w:rsid w:val="00F976A7"/>
    <w:rsid w:val="00F977C9"/>
    <w:rsid w:val="00F977D6"/>
    <w:rsid w:val="00F978F6"/>
    <w:rsid w:val="00F979C8"/>
    <w:rsid w:val="00F97A47"/>
    <w:rsid w:val="00F97C01"/>
    <w:rsid w:val="00F97C09"/>
    <w:rsid w:val="00F97D3F"/>
    <w:rsid w:val="00F97DE9"/>
    <w:rsid w:val="00F97E0D"/>
    <w:rsid w:val="00F97E93"/>
    <w:rsid w:val="00F97E94"/>
    <w:rsid w:val="00F97EF3"/>
    <w:rsid w:val="00F97F18"/>
    <w:rsid w:val="00F97F76"/>
    <w:rsid w:val="00FA032F"/>
    <w:rsid w:val="00FA0352"/>
    <w:rsid w:val="00FA0471"/>
    <w:rsid w:val="00FA04AF"/>
    <w:rsid w:val="00FA04F8"/>
    <w:rsid w:val="00FA06F2"/>
    <w:rsid w:val="00FA0704"/>
    <w:rsid w:val="00FA07AC"/>
    <w:rsid w:val="00FA07C8"/>
    <w:rsid w:val="00FA082A"/>
    <w:rsid w:val="00FA0848"/>
    <w:rsid w:val="00FA0943"/>
    <w:rsid w:val="00FA0C0B"/>
    <w:rsid w:val="00FA0C42"/>
    <w:rsid w:val="00FA0C70"/>
    <w:rsid w:val="00FA0E98"/>
    <w:rsid w:val="00FA0EE5"/>
    <w:rsid w:val="00FA10E0"/>
    <w:rsid w:val="00FA10F3"/>
    <w:rsid w:val="00FA11D7"/>
    <w:rsid w:val="00FA1200"/>
    <w:rsid w:val="00FA1213"/>
    <w:rsid w:val="00FA1477"/>
    <w:rsid w:val="00FA152A"/>
    <w:rsid w:val="00FA15BF"/>
    <w:rsid w:val="00FA1667"/>
    <w:rsid w:val="00FA1691"/>
    <w:rsid w:val="00FA181D"/>
    <w:rsid w:val="00FA19E3"/>
    <w:rsid w:val="00FA1A00"/>
    <w:rsid w:val="00FA1A16"/>
    <w:rsid w:val="00FA1BCD"/>
    <w:rsid w:val="00FA1E5B"/>
    <w:rsid w:val="00FA1E8D"/>
    <w:rsid w:val="00FA1F76"/>
    <w:rsid w:val="00FA1F8B"/>
    <w:rsid w:val="00FA2083"/>
    <w:rsid w:val="00FA20B8"/>
    <w:rsid w:val="00FA20D5"/>
    <w:rsid w:val="00FA22AE"/>
    <w:rsid w:val="00FA22C3"/>
    <w:rsid w:val="00FA2514"/>
    <w:rsid w:val="00FA25F3"/>
    <w:rsid w:val="00FA270A"/>
    <w:rsid w:val="00FA2823"/>
    <w:rsid w:val="00FA2826"/>
    <w:rsid w:val="00FA28A4"/>
    <w:rsid w:val="00FA28BC"/>
    <w:rsid w:val="00FA28EC"/>
    <w:rsid w:val="00FA293C"/>
    <w:rsid w:val="00FA2991"/>
    <w:rsid w:val="00FA2A05"/>
    <w:rsid w:val="00FA2A3F"/>
    <w:rsid w:val="00FA2A74"/>
    <w:rsid w:val="00FA2BDB"/>
    <w:rsid w:val="00FA2CEE"/>
    <w:rsid w:val="00FA2D43"/>
    <w:rsid w:val="00FA2EB6"/>
    <w:rsid w:val="00FA31ED"/>
    <w:rsid w:val="00FA3310"/>
    <w:rsid w:val="00FA3394"/>
    <w:rsid w:val="00FA34C3"/>
    <w:rsid w:val="00FA34FF"/>
    <w:rsid w:val="00FA353B"/>
    <w:rsid w:val="00FA35DF"/>
    <w:rsid w:val="00FA3633"/>
    <w:rsid w:val="00FA369F"/>
    <w:rsid w:val="00FA3969"/>
    <w:rsid w:val="00FA3995"/>
    <w:rsid w:val="00FA3A29"/>
    <w:rsid w:val="00FA3B27"/>
    <w:rsid w:val="00FA3BCD"/>
    <w:rsid w:val="00FA3C26"/>
    <w:rsid w:val="00FA3C7E"/>
    <w:rsid w:val="00FA3CE8"/>
    <w:rsid w:val="00FA3D2E"/>
    <w:rsid w:val="00FA3D59"/>
    <w:rsid w:val="00FA3D6E"/>
    <w:rsid w:val="00FA3D8E"/>
    <w:rsid w:val="00FA3F10"/>
    <w:rsid w:val="00FA3F64"/>
    <w:rsid w:val="00FA409A"/>
    <w:rsid w:val="00FA40BA"/>
    <w:rsid w:val="00FA40BF"/>
    <w:rsid w:val="00FA4102"/>
    <w:rsid w:val="00FA4145"/>
    <w:rsid w:val="00FA4357"/>
    <w:rsid w:val="00FA43E0"/>
    <w:rsid w:val="00FA466D"/>
    <w:rsid w:val="00FA4715"/>
    <w:rsid w:val="00FA4740"/>
    <w:rsid w:val="00FA4798"/>
    <w:rsid w:val="00FA4877"/>
    <w:rsid w:val="00FA491A"/>
    <w:rsid w:val="00FA492A"/>
    <w:rsid w:val="00FA4987"/>
    <w:rsid w:val="00FA49C3"/>
    <w:rsid w:val="00FA4A5F"/>
    <w:rsid w:val="00FA4BC9"/>
    <w:rsid w:val="00FA4BF1"/>
    <w:rsid w:val="00FA4C94"/>
    <w:rsid w:val="00FA4DB2"/>
    <w:rsid w:val="00FA4E26"/>
    <w:rsid w:val="00FA4E89"/>
    <w:rsid w:val="00FA4EAA"/>
    <w:rsid w:val="00FA5030"/>
    <w:rsid w:val="00FA5112"/>
    <w:rsid w:val="00FA5208"/>
    <w:rsid w:val="00FA5225"/>
    <w:rsid w:val="00FA52A7"/>
    <w:rsid w:val="00FA536B"/>
    <w:rsid w:val="00FA53CE"/>
    <w:rsid w:val="00FA5638"/>
    <w:rsid w:val="00FA56D0"/>
    <w:rsid w:val="00FA56FD"/>
    <w:rsid w:val="00FA5722"/>
    <w:rsid w:val="00FA57D9"/>
    <w:rsid w:val="00FA57EC"/>
    <w:rsid w:val="00FA5869"/>
    <w:rsid w:val="00FA5ACB"/>
    <w:rsid w:val="00FA5C4C"/>
    <w:rsid w:val="00FA5D20"/>
    <w:rsid w:val="00FA5D84"/>
    <w:rsid w:val="00FA5D87"/>
    <w:rsid w:val="00FA5DC0"/>
    <w:rsid w:val="00FA5DDA"/>
    <w:rsid w:val="00FA5E23"/>
    <w:rsid w:val="00FA5F87"/>
    <w:rsid w:val="00FA601C"/>
    <w:rsid w:val="00FA6062"/>
    <w:rsid w:val="00FA60D6"/>
    <w:rsid w:val="00FA60FF"/>
    <w:rsid w:val="00FA624D"/>
    <w:rsid w:val="00FA6255"/>
    <w:rsid w:val="00FA62A7"/>
    <w:rsid w:val="00FA62BF"/>
    <w:rsid w:val="00FA62F1"/>
    <w:rsid w:val="00FA63EC"/>
    <w:rsid w:val="00FA651C"/>
    <w:rsid w:val="00FA654E"/>
    <w:rsid w:val="00FA65C0"/>
    <w:rsid w:val="00FA6604"/>
    <w:rsid w:val="00FA665B"/>
    <w:rsid w:val="00FA66F5"/>
    <w:rsid w:val="00FA6781"/>
    <w:rsid w:val="00FA6813"/>
    <w:rsid w:val="00FA681D"/>
    <w:rsid w:val="00FA6886"/>
    <w:rsid w:val="00FA696E"/>
    <w:rsid w:val="00FA69B2"/>
    <w:rsid w:val="00FA6A3B"/>
    <w:rsid w:val="00FA6A8A"/>
    <w:rsid w:val="00FA6B6B"/>
    <w:rsid w:val="00FA6B93"/>
    <w:rsid w:val="00FA6C8B"/>
    <w:rsid w:val="00FA6E23"/>
    <w:rsid w:val="00FA6E7C"/>
    <w:rsid w:val="00FA6E9C"/>
    <w:rsid w:val="00FA6F4E"/>
    <w:rsid w:val="00FA6F80"/>
    <w:rsid w:val="00FA6FD5"/>
    <w:rsid w:val="00FA70A0"/>
    <w:rsid w:val="00FA714E"/>
    <w:rsid w:val="00FA7323"/>
    <w:rsid w:val="00FA7508"/>
    <w:rsid w:val="00FA772C"/>
    <w:rsid w:val="00FA78B5"/>
    <w:rsid w:val="00FA78BA"/>
    <w:rsid w:val="00FA78D0"/>
    <w:rsid w:val="00FA7A60"/>
    <w:rsid w:val="00FA7C51"/>
    <w:rsid w:val="00FA7CC3"/>
    <w:rsid w:val="00FA7F75"/>
    <w:rsid w:val="00FA7F7D"/>
    <w:rsid w:val="00FA7FD1"/>
    <w:rsid w:val="00FB0017"/>
    <w:rsid w:val="00FB0147"/>
    <w:rsid w:val="00FB016B"/>
    <w:rsid w:val="00FB0170"/>
    <w:rsid w:val="00FB0183"/>
    <w:rsid w:val="00FB0239"/>
    <w:rsid w:val="00FB02FE"/>
    <w:rsid w:val="00FB032A"/>
    <w:rsid w:val="00FB033F"/>
    <w:rsid w:val="00FB036B"/>
    <w:rsid w:val="00FB0681"/>
    <w:rsid w:val="00FB069B"/>
    <w:rsid w:val="00FB07D8"/>
    <w:rsid w:val="00FB08AC"/>
    <w:rsid w:val="00FB09BF"/>
    <w:rsid w:val="00FB0A10"/>
    <w:rsid w:val="00FB0EB1"/>
    <w:rsid w:val="00FB0EE6"/>
    <w:rsid w:val="00FB1018"/>
    <w:rsid w:val="00FB102D"/>
    <w:rsid w:val="00FB10E8"/>
    <w:rsid w:val="00FB10F3"/>
    <w:rsid w:val="00FB11FA"/>
    <w:rsid w:val="00FB1508"/>
    <w:rsid w:val="00FB1517"/>
    <w:rsid w:val="00FB151A"/>
    <w:rsid w:val="00FB1529"/>
    <w:rsid w:val="00FB1624"/>
    <w:rsid w:val="00FB169B"/>
    <w:rsid w:val="00FB16DF"/>
    <w:rsid w:val="00FB1755"/>
    <w:rsid w:val="00FB1800"/>
    <w:rsid w:val="00FB180A"/>
    <w:rsid w:val="00FB1810"/>
    <w:rsid w:val="00FB182E"/>
    <w:rsid w:val="00FB1959"/>
    <w:rsid w:val="00FB19E2"/>
    <w:rsid w:val="00FB1B39"/>
    <w:rsid w:val="00FB1E09"/>
    <w:rsid w:val="00FB1E26"/>
    <w:rsid w:val="00FB1E38"/>
    <w:rsid w:val="00FB1F18"/>
    <w:rsid w:val="00FB2009"/>
    <w:rsid w:val="00FB2066"/>
    <w:rsid w:val="00FB20D4"/>
    <w:rsid w:val="00FB2152"/>
    <w:rsid w:val="00FB21C8"/>
    <w:rsid w:val="00FB23A4"/>
    <w:rsid w:val="00FB23E2"/>
    <w:rsid w:val="00FB2414"/>
    <w:rsid w:val="00FB242E"/>
    <w:rsid w:val="00FB2446"/>
    <w:rsid w:val="00FB256B"/>
    <w:rsid w:val="00FB2617"/>
    <w:rsid w:val="00FB27B6"/>
    <w:rsid w:val="00FB27D0"/>
    <w:rsid w:val="00FB27E3"/>
    <w:rsid w:val="00FB2853"/>
    <w:rsid w:val="00FB2907"/>
    <w:rsid w:val="00FB292E"/>
    <w:rsid w:val="00FB294D"/>
    <w:rsid w:val="00FB2AD6"/>
    <w:rsid w:val="00FB2C21"/>
    <w:rsid w:val="00FB2C5F"/>
    <w:rsid w:val="00FB2C62"/>
    <w:rsid w:val="00FB2DC5"/>
    <w:rsid w:val="00FB2DE9"/>
    <w:rsid w:val="00FB2F5E"/>
    <w:rsid w:val="00FB327F"/>
    <w:rsid w:val="00FB33E6"/>
    <w:rsid w:val="00FB349F"/>
    <w:rsid w:val="00FB3592"/>
    <w:rsid w:val="00FB3667"/>
    <w:rsid w:val="00FB36D1"/>
    <w:rsid w:val="00FB3814"/>
    <w:rsid w:val="00FB3A75"/>
    <w:rsid w:val="00FB3AA9"/>
    <w:rsid w:val="00FB3B4C"/>
    <w:rsid w:val="00FB3D70"/>
    <w:rsid w:val="00FB3DF4"/>
    <w:rsid w:val="00FB3E3C"/>
    <w:rsid w:val="00FB3F4B"/>
    <w:rsid w:val="00FB404F"/>
    <w:rsid w:val="00FB4098"/>
    <w:rsid w:val="00FB40CD"/>
    <w:rsid w:val="00FB41E8"/>
    <w:rsid w:val="00FB422B"/>
    <w:rsid w:val="00FB42CD"/>
    <w:rsid w:val="00FB42DA"/>
    <w:rsid w:val="00FB449B"/>
    <w:rsid w:val="00FB44D6"/>
    <w:rsid w:val="00FB4518"/>
    <w:rsid w:val="00FB4589"/>
    <w:rsid w:val="00FB4649"/>
    <w:rsid w:val="00FB477A"/>
    <w:rsid w:val="00FB47CB"/>
    <w:rsid w:val="00FB49D5"/>
    <w:rsid w:val="00FB4B8A"/>
    <w:rsid w:val="00FB4BFB"/>
    <w:rsid w:val="00FB4C85"/>
    <w:rsid w:val="00FB50D2"/>
    <w:rsid w:val="00FB5156"/>
    <w:rsid w:val="00FB523A"/>
    <w:rsid w:val="00FB5243"/>
    <w:rsid w:val="00FB548D"/>
    <w:rsid w:val="00FB54AA"/>
    <w:rsid w:val="00FB54D9"/>
    <w:rsid w:val="00FB5523"/>
    <w:rsid w:val="00FB5526"/>
    <w:rsid w:val="00FB554A"/>
    <w:rsid w:val="00FB5658"/>
    <w:rsid w:val="00FB57E2"/>
    <w:rsid w:val="00FB5838"/>
    <w:rsid w:val="00FB58AE"/>
    <w:rsid w:val="00FB5900"/>
    <w:rsid w:val="00FB5AC1"/>
    <w:rsid w:val="00FB5B77"/>
    <w:rsid w:val="00FB5CEC"/>
    <w:rsid w:val="00FB5EB4"/>
    <w:rsid w:val="00FB5F2B"/>
    <w:rsid w:val="00FB5F2C"/>
    <w:rsid w:val="00FB5F84"/>
    <w:rsid w:val="00FB5FA9"/>
    <w:rsid w:val="00FB6078"/>
    <w:rsid w:val="00FB6124"/>
    <w:rsid w:val="00FB6220"/>
    <w:rsid w:val="00FB62EA"/>
    <w:rsid w:val="00FB636D"/>
    <w:rsid w:val="00FB63E6"/>
    <w:rsid w:val="00FB64A1"/>
    <w:rsid w:val="00FB6520"/>
    <w:rsid w:val="00FB658D"/>
    <w:rsid w:val="00FB6715"/>
    <w:rsid w:val="00FB67C7"/>
    <w:rsid w:val="00FB67D0"/>
    <w:rsid w:val="00FB67F7"/>
    <w:rsid w:val="00FB6922"/>
    <w:rsid w:val="00FB69CC"/>
    <w:rsid w:val="00FB6B12"/>
    <w:rsid w:val="00FB6B5A"/>
    <w:rsid w:val="00FB6C00"/>
    <w:rsid w:val="00FB6C13"/>
    <w:rsid w:val="00FB6CD0"/>
    <w:rsid w:val="00FB6D1B"/>
    <w:rsid w:val="00FB701C"/>
    <w:rsid w:val="00FB70B0"/>
    <w:rsid w:val="00FB70C7"/>
    <w:rsid w:val="00FB72CA"/>
    <w:rsid w:val="00FB7357"/>
    <w:rsid w:val="00FB7385"/>
    <w:rsid w:val="00FB7460"/>
    <w:rsid w:val="00FB74AD"/>
    <w:rsid w:val="00FB74BB"/>
    <w:rsid w:val="00FB74FD"/>
    <w:rsid w:val="00FB7557"/>
    <w:rsid w:val="00FB7604"/>
    <w:rsid w:val="00FB763F"/>
    <w:rsid w:val="00FB764A"/>
    <w:rsid w:val="00FB779B"/>
    <w:rsid w:val="00FB77B9"/>
    <w:rsid w:val="00FB78A3"/>
    <w:rsid w:val="00FB793B"/>
    <w:rsid w:val="00FB7BEA"/>
    <w:rsid w:val="00FB7C5D"/>
    <w:rsid w:val="00FB7D22"/>
    <w:rsid w:val="00FB7D93"/>
    <w:rsid w:val="00FB7E66"/>
    <w:rsid w:val="00FC0079"/>
    <w:rsid w:val="00FC008C"/>
    <w:rsid w:val="00FC008F"/>
    <w:rsid w:val="00FC009B"/>
    <w:rsid w:val="00FC00EF"/>
    <w:rsid w:val="00FC00FD"/>
    <w:rsid w:val="00FC0121"/>
    <w:rsid w:val="00FC01CF"/>
    <w:rsid w:val="00FC01D0"/>
    <w:rsid w:val="00FC02D8"/>
    <w:rsid w:val="00FC02E2"/>
    <w:rsid w:val="00FC02FD"/>
    <w:rsid w:val="00FC0308"/>
    <w:rsid w:val="00FC0337"/>
    <w:rsid w:val="00FC035D"/>
    <w:rsid w:val="00FC0393"/>
    <w:rsid w:val="00FC03FA"/>
    <w:rsid w:val="00FC048F"/>
    <w:rsid w:val="00FC05F3"/>
    <w:rsid w:val="00FC0695"/>
    <w:rsid w:val="00FC06D1"/>
    <w:rsid w:val="00FC07DC"/>
    <w:rsid w:val="00FC07E9"/>
    <w:rsid w:val="00FC08B6"/>
    <w:rsid w:val="00FC09BF"/>
    <w:rsid w:val="00FC0A30"/>
    <w:rsid w:val="00FC0A3B"/>
    <w:rsid w:val="00FC0A85"/>
    <w:rsid w:val="00FC0CB8"/>
    <w:rsid w:val="00FC0E07"/>
    <w:rsid w:val="00FC0E4A"/>
    <w:rsid w:val="00FC0EF5"/>
    <w:rsid w:val="00FC1056"/>
    <w:rsid w:val="00FC10DA"/>
    <w:rsid w:val="00FC11B4"/>
    <w:rsid w:val="00FC14D6"/>
    <w:rsid w:val="00FC1571"/>
    <w:rsid w:val="00FC1675"/>
    <w:rsid w:val="00FC169D"/>
    <w:rsid w:val="00FC17C7"/>
    <w:rsid w:val="00FC18C7"/>
    <w:rsid w:val="00FC195B"/>
    <w:rsid w:val="00FC1963"/>
    <w:rsid w:val="00FC1985"/>
    <w:rsid w:val="00FC1B01"/>
    <w:rsid w:val="00FC1BCE"/>
    <w:rsid w:val="00FC1D2D"/>
    <w:rsid w:val="00FC1F12"/>
    <w:rsid w:val="00FC1F58"/>
    <w:rsid w:val="00FC2025"/>
    <w:rsid w:val="00FC21E8"/>
    <w:rsid w:val="00FC223F"/>
    <w:rsid w:val="00FC2251"/>
    <w:rsid w:val="00FC22DE"/>
    <w:rsid w:val="00FC2310"/>
    <w:rsid w:val="00FC2320"/>
    <w:rsid w:val="00FC2344"/>
    <w:rsid w:val="00FC2364"/>
    <w:rsid w:val="00FC24A0"/>
    <w:rsid w:val="00FC24C1"/>
    <w:rsid w:val="00FC25E0"/>
    <w:rsid w:val="00FC260A"/>
    <w:rsid w:val="00FC2642"/>
    <w:rsid w:val="00FC275F"/>
    <w:rsid w:val="00FC276E"/>
    <w:rsid w:val="00FC2771"/>
    <w:rsid w:val="00FC2784"/>
    <w:rsid w:val="00FC286F"/>
    <w:rsid w:val="00FC297C"/>
    <w:rsid w:val="00FC2A03"/>
    <w:rsid w:val="00FC2A23"/>
    <w:rsid w:val="00FC2B23"/>
    <w:rsid w:val="00FC2B9B"/>
    <w:rsid w:val="00FC2C42"/>
    <w:rsid w:val="00FC2C75"/>
    <w:rsid w:val="00FC2C79"/>
    <w:rsid w:val="00FC2D43"/>
    <w:rsid w:val="00FC2E09"/>
    <w:rsid w:val="00FC2F9F"/>
    <w:rsid w:val="00FC2FB3"/>
    <w:rsid w:val="00FC2FEA"/>
    <w:rsid w:val="00FC303D"/>
    <w:rsid w:val="00FC305B"/>
    <w:rsid w:val="00FC31AD"/>
    <w:rsid w:val="00FC31AE"/>
    <w:rsid w:val="00FC3236"/>
    <w:rsid w:val="00FC342C"/>
    <w:rsid w:val="00FC34E3"/>
    <w:rsid w:val="00FC3541"/>
    <w:rsid w:val="00FC366B"/>
    <w:rsid w:val="00FC376D"/>
    <w:rsid w:val="00FC37A6"/>
    <w:rsid w:val="00FC3862"/>
    <w:rsid w:val="00FC3B25"/>
    <w:rsid w:val="00FC3B3A"/>
    <w:rsid w:val="00FC3B93"/>
    <w:rsid w:val="00FC3BB7"/>
    <w:rsid w:val="00FC3BD1"/>
    <w:rsid w:val="00FC3D3A"/>
    <w:rsid w:val="00FC3D68"/>
    <w:rsid w:val="00FC3E2B"/>
    <w:rsid w:val="00FC3E9B"/>
    <w:rsid w:val="00FC3F01"/>
    <w:rsid w:val="00FC3FA1"/>
    <w:rsid w:val="00FC404D"/>
    <w:rsid w:val="00FC413B"/>
    <w:rsid w:val="00FC4232"/>
    <w:rsid w:val="00FC42AD"/>
    <w:rsid w:val="00FC42BE"/>
    <w:rsid w:val="00FC4321"/>
    <w:rsid w:val="00FC4403"/>
    <w:rsid w:val="00FC4464"/>
    <w:rsid w:val="00FC4499"/>
    <w:rsid w:val="00FC4598"/>
    <w:rsid w:val="00FC466F"/>
    <w:rsid w:val="00FC46A3"/>
    <w:rsid w:val="00FC4813"/>
    <w:rsid w:val="00FC48C5"/>
    <w:rsid w:val="00FC4931"/>
    <w:rsid w:val="00FC4975"/>
    <w:rsid w:val="00FC4B53"/>
    <w:rsid w:val="00FC4BC2"/>
    <w:rsid w:val="00FC4CAB"/>
    <w:rsid w:val="00FC4CE0"/>
    <w:rsid w:val="00FC4CFA"/>
    <w:rsid w:val="00FC4D40"/>
    <w:rsid w:val="00FC4DD1"/>
    <w:rsid w:val="00FC4EAD"/>
    <w:rsid w:val="00FC4F09"/>
    <w:rsid w:val="00FC4F12"/>
    <w:rsid w:val="00FC4F2A"/>
    <w:rsid w:val="00FC5110"/>
    <w:rsid w:val="00FC51D1"/>
    <w:rsid w:val="00FC5272"/>
    <w:rsid w:val="00FC52DF"/>
    <w:rsid w:val="00FC5590"/>
    <w:rsid w:val="00FC55F7"/>
    <w:rsid w:val="00FC5683"/>
    <w:rsid w:val="00FC573A"/>
    <w:rsid w:val="00FC57BA"/>
    <w:rsid w:val="00FC5847"/>
    <w:rsid w:val="00FC5A4F"/>
    <w:rsid w:val="00FC5AA6"/>
    <w:rsid w:val="00FC5B37"/>
    <w:rsid w:val="00FC5B90"/>
    <w:rsid w:val="00FC5CC1"/>
    <w:rsid w:val="00FC5CE9"/>
    <w:rsid w:val="00FC5DCE"/>
    <w:rsid w:val="00FC5F2B"/>
    <w:rsid w:val="00FC60BB"/>
    <w:rsid w:val="00FC60FA"/>
    <w:rsid w:val="00FC6161"/>
    <w:rsid w:val="00FC6165"/>
    <w:rsid w:val="00FC61BF"/>
    <w:rsid w:val="00FC624E"/>
    <w:rsid w:val="00FC643E"/>
    <w:rsid w:val="00FC645C"/>
    <w:rsid w:val="00FC6587"/>
    <w:rsid w:val="00FC6683"/>
    <w:rsid w:val="00FC669D"/>
    <w:rsid w:val="00FC66B4"/>
    <w:rsid w:val="00FC66BB"/>
    <w:rsid w:val="00FC66E9"/>
    <w:rsid w:val="00FC6824"/>
    <w:rsid w:val="00FC6910"/>
    <w:rsid w:val="00FC69C1"/>
    <w:rsid w:val="00FC6B36"/>
    <w:rsid w:val="00FC6B88"/>
    <w:rsid w:val="00FC6CA7"/>
    <w:rsid w:val="00FC6DD6"/>
    <w:rsid w:val="00FC6E2B"/>
    <w:rsid w:val="00FC6E2C"/>
    <w:rsid w:val="00FC6F89"/>
    <w:rsid w:val="00FC7148"/>
    <w:rsid w:val="00FC7149"/>
    <w:rsid w:val="00FC720E"/>
    <w:rsid w:val="00FC746F"/>
    <w:rsid w:val="00FC74B8"/>
    <w:rsid w:val="00FC76AD"/>
    <w:rsid w:val="00FC76D9"/>
    <w:rsid w:val="00FC77F9"/>
    <w:rsid w:val="00FC78E5"/>
    <w:rsid w:val="00FC7913"/>
    <w:rsid w:val="00FC7A05"/>
    <w:rsid w:val="00FC7B5A"/>
    <w:rsid w:val="00FC7D24"/>
    <w:rsid w:val="00FC7D6F"/>
    <w:rsid w:val="00FC7DA2"/>
    <w:rsid w:val="00FC84CB"/>
    <w:rsid w:val="00FD0067"/>
    <w:rsid w:val="00FD0135"/>
    <w:rsid w:val="00FD0156"/>
    <w:rsid w:val="00FD0222"/>
    <w:rsid w:val="00FD024D"/>
    <w:rsid w:val="00FD02F6"/>
    <w:rsid w:val="00FD02FD"/>
    <w:rsid w:val="00FD0542"/>
    <w:rsid w:val="00FD0659"/>
    <w:rsid w:val="00FD067B"/>
    <w:rsid w:val="00FD073D"/>
    <w:rsid w:val="00FD07C3"/>
    <w:rsid w:val="00FD07C5"/>
    <w:rsid w:val="00FD08E1"/>
    <w:rsid w:val="00FD0C3C"/>
    <w:rsid w:val="00FD0C47"/>
    <w:rsid w:val="00FD0CF0"/>
    <w:rsid w:val="00FD0F6D"/>
    <w:rsid w:val="00FD10A9"/>
    <w:rsid w:val="00FD11F1"/>
    <w:rsid w:val="00FD1283"/>
    <w:rsid w:val="00FD134E"/>
    <w:rsid w:val="00FD1421"/>
    <w:rsid w:val="00FD1422"/>
    <w:rsid w:val="00FD1793"/>
    <w:rsid w:val="00FD1828"/>
    <w:rsid w:val="00FD185F"/>
    <w:rsid w:val="00FD189B"/>
    <w:rsid w:val="00FD18CE"/>
    <w:rsid w:val="00FD1908"/>
    <w:rsid w:val="00FD195E"/>
    <w:rsid w:val="00FD1994"/>
    <w:rsid w:val="00FD1A00"/>
    <w:rsid w:val="00FD1A52"/>
    <w:rsid w:val="00FD1BE1"/>
    <w:rsid w:val="00FD1C78"/>
    <w:rsid w:val="00FD1CA0"/>
    <w:rsid w:val="00FD1E2E"/>
    <w:rsid w:val="00FD1EA7"/>
    <w:rsid w:val="00FD1EAF"/>
    <w:rsid w:val="00FD20DA"/>
    <w:rsid w:val="00FD2231"/>
    <w:rsid w:val="00FD227B"/>
    <w:rsid w:val="00FD23AF"/>
    <w:rsid w:val="00FD2444"/>
    <w:rsid w:val="00FD24C7"/>
    <w:rsid w:val="00FD24E8"/>
    <w:rsid w:val="00FD2555"/>
    <w:rsid w:val="00FD258A"/>
    <w:rsid w:val="00FD262F"/>
    <w:rsid w:val="00FD2725"/>
    <w:rsid w:val="00FD27F7"/>
    <w:rsid w:val="00FD285D"/>
    <w:rsid w:val="00FD28B1"/>
    <w:rsid w:val="00FD2964"/>
    <w:rsid w:val="00FD2A00"/>
    <w:rsid w:val="00FD2B3D"/>
    <w:rsid w:val="00FD2CC5"/>
    <w:rsid w:val="00FD2D0F"/>
    <w:rsid w:val="00FD2D16"/>
    <w:rsid w:val="00FD2DE2"/>
    <w:rsid w:val="00FD2E29"/>
    <w:rsid w:val="00FD2E35"/>
    <w:rsid w:val="00FD2F59"/>
    <w:rsid w:val="00FD2F9B"/>
    <w:rsid w:val="00FD3003"/>
    <w:rsid w:val="00FD316A"/>
    <w:rsid w:val="00FD31A4"/>
    <w:rsid w:val="00FD31DD"/>
    <w:rsid w:val="00FD31F8"/>
    <w:rsid w:val="00FD32F5"/>
    <w:rsid w:val="00FD350A"/>
    <w:rsid w:val="00FD35F3"/>
    <w:rsid w:val="00FD385F"/>
    <w:rsid w:val="00FD38A7"/>
    <w:rsid w:val="00FD38A9"/>
    <w:rsid w:val="00FD38BA"/>
    <w:rsid w:val="00FD39A1"/>
    <w:rsid w:val="00FD3A55"/>
    <w:rsid w:val="00FD3A83"/>
    <w:rsid w:val="00FD3BA2"/>
    <w:rsid w:val="00FD3C8E"/>
    <w:rsid w:val="00FD3EC4"/>
    <w:rsid w:val="00FD3F6D"/>
    <w:rsid w:val="00FD3FF9"/>
    <w:rsid w:val="00FD400E"/>
    <w:rsid w:val="00FD4067"/>
    <w:rsid w:val="00FD40D4"/>
    <w:rsid w:val="00FD413F"/>
    <w:rsid w:val="00FD4400"/>
    <w:rsid w:val="00FD4458"/>
    <w:rsid w:val="00FD46D7"/>
    <w:rsid w:val="00FD479C"/>
    <w:rsid w:val="00FD47C6"/>
    <w:rsid w:val="00FD47CD"/>
    <w:rsid w:val="00FD480A"/>
    <w:rsid w:val="00FD49A4"/>
    <w:rsid w:val="00FD49EB"/>
    <w:rsid w:val="00FD4B1E"/>
    <w:rsid w:val="00FD4CB5"/>
    <w:rsid w:val="00FD4CC7"/>
    <w:rsid w:val="00FD4DB0"/>
    <w:rsid w:val="00FD4E30"/>
    <w:rsid w:val="00FD4ED5"/>
    <w:rsid w:val="00FD51D9"/>
    <w:rsid w:val="00FD5239"/>
    <w:rsid w:val="00FD5382"/>
    <w:rsid w:val="00FD5435"/>
    <w:rsid w:val="00FD55C5"/>
    <w:rsid w:val="00FD5666"/>
    <w:rsid w:val="00FD57AF"/>
    <w:rsid w:val="00FD5ACC"/>
    <w:rsid w:val="00FD5BAA"/>
    <w:rsid w:val="00FD5BBC"/>
    <w:rsid w:val="00FD5CA5"/>
    <w:rsid w:val="00FD5D18"/>
    <w:rsid w:val="00FD5DDA"/>
    <w:rsid w:val="00FD5DDE"/>
    <w:rsid w:val="00FD5E67"/>
    <w:rsid w:val="00FD5F61"/>
    <w:rsid w:val="00FD5FB0"/>
    <w:rsid w:val="00FD6116"/>
    <w:rsid w:val="00FD6174"/>
    <w:rsid w:val="00FD638E"/>
    <w:rsid w:val="00FD64BD"/>
    <w:rsid w:val="00FD67BA"/>
    <w:rsid w:val="00FD67BB"/>
    <w:rsid w:val="00FD686D"/>
    <w:rsid w:val="00FD693A"/>
    <w:rsid w:val="00FD6969"/>
    <w:rsid w:val="00FD6977"/>
    <w:rsid w:val="00FD69CD"/>
    <w:rsid w:val="00FD6B68"/>
    <w:rsid w:val="00FD6D92"/>
    <w:rsid w:val="00FD6FC5"/>
    <w:rsid w:val="00FD6FE7"/>
    <w:rsid w:val="00FD70B5"/>
    <w:rsid w:val="00FD714E"/>
    <w:rsid w:val="00FD7377"/>
    <w:rsid w:val="00FD73A7"/>
    <w:rsid w:val="00FD75AE"/>
    <w:rsid w:val="00FD7699"/>
    <w:rsid w:val="00FD76FE"/>
    <w:rsid w:val="00FD7749"/>
    <w:rsid w:val="00FD7832"/>
    <w:rsid w:val="00FD7875"/>
    <w:rsid w:val="00FD78B7"/>
    <w:rsid w:val="00FD7951"/>
    <w:rsid w:val="00FD7994"/>
    <w:rsid w:val="00FD79B2"/>
    <w:rsid w:val="00FD79E6"/>
    <w:rsid w:val="00FD7A44"/>
    <w:rsid w:val="00FD7B04"/>
    <w:rsid w:val="00FD7B49"/>
    <w:rsid w:val="00FD7C2C"/>
    <w:rsid w:val="00FD7CF1"/>
    <w:rsid w:val="00FD7D23"/>
    <w:rsid w:val="00FD7D9F"/>
    <w:rsid w:val="00FD7DF0"/>
    <w:rsid w:val="00FD7DF1"/>
    <w:rsid w:val="00FD7E28"/>
    <w:rsid w:val="00FD7E8A"/>
    <w:rsid w:val="00FD7F21"/>
    <w:rsid w:val="00FD7F3D"/>
    <w:rsid w:val="00FD7F61"/>
    <w:rsid w:val="00FD7FE7"/>
    <w:rsid w:val="00FE0020"/>
    <w:rsid w:val="00FE027A"/>
    <w:rsid w:val="00FE02B5"/>
    <w:rsid w:val="00FE02EA"/>
    <w:rsid w:val="00FE0342"/>
    <w:rsid w:val="00FE03D3"/>
    <w:rsid w:val="00FE05BD"/>
    <w:rsid w:val="00FE05CB"/>
    <w:rsid w:val="00FE05EB"/>
    <w:rsid w:val="00FE06EF"/>
    <w:rsid w:val="00FE0732"/>
    <w:rsid w:val="00FE0761"/>
    <w:rsid w:val="00FE07C3"/>
    <w:rsid w:val="00FE084A"/>
    <w:rsid w:val="00FE089E"/>
    <w:rsid w:val="00FE0AC1"/>
    <w:rsid w:val="00FE0BBA"/>
    <w:rsid w:val="00FE0C14"/>
    <w:rsid w:val="00FE0C53"/>
    <w:rsid w:val="00FE0CB1"/>
    <w:rsid w:val="00FE0DB5"/>
    <w:rsid w:val="00FE0F29"/>
    <w:rsid w:val="00FE0F75"/>
    <w:rsid w:val="00FE105F"/>
    <w:rsid w:val="00FE109D"/>
    <w:rsid w:val="00FE10C8"/>
    <w:rsid w:val="00FE1123"/>
    <w:rsid w:val="00FE11EA"/>
    <w:rsid w:val="00FE121C"/>
    <w:rsid w:val="00FE1265"/>
    <w:rsid w:val="00FE16D3"/>
    <w:rsid w:val="00FE1773"/>
    <w:rsid w:val="00FE17C2"/>
    <w:rsid w:val="00FE17C5"/>
    <w:rsid w:val="00FE17EF"/>
    <w:rsid w:val="00FE194D"/>
    <w:rsid w:val="00FE19E3"/>
    <w:rsid w:val="00FE1A20"/>
    <w:rsid w:val="00FE1AC6"/>
    <w:rsid w:val="00FE1B58"/>
    <w:rsid w:val="00FE1C74"/>
    <w:rsid w:val="00FE1C75"/>
    <w:rsid w:val="00FE1D02"/>
    <w:rsid w:val="00FE1D2D"/>
    <w:rsid w:val="00FE1D9C"/>
    <w:rsid w:val="00FE2152"/>
    <w:rsid w:val="00FE2153"/>
    <w:rsid w:val="00FE217C"/>
    <w:rsid w:val="00FE21E1"/>
    <w:rsid w:val="00FE2240"/>
    <w:rsid w:val="00FE2293"/>
    <w:rsid w:val="00FE22D8"/>
    <w:rsid w:val="00FE26AE"/>
    <w:rsid w:val="00FE27DE"/>
    <w:rsid w:val="00FE28C0"/>
    <w:rsid w:val="00FE28F8"/>
    <w:rsid w:val="00FE2922"/>
    <w:rsid w:val="00FE29A0"/>
    <w:rsid w:val="00FE2A99"/>
    <w:rsid w:val="00FE2B0E"/>
    <w:rsid w:val="00FE2C1D"/>
    <w:rsid w:val="00FE2C40"/>
    <w:rsid w:val="00FE2C5D"/>
    <w:rsid w:val="00FE2C88"/>
    <w:rsid w:val="00FE2DA1"/>
    <w:rsid w:val="00FE2EA7"/>
    <w:rsid w:val="00FE2EDA"/>
    <w:rsid w:val="00FE2EDE"/>
    <w:rsid w:val="00FE2FD2"/>
    <w:rsid w:val="00FE2FF2"/>
    <w:rsid w:val="00FE30F9"/>
    <w:rsid w:val="00FE32CF"/>
    <w:rsid w:val="00FE3365"/>
    <w:rsid w:val="00FE337E"/>
    <w:rsid w:val="00FE33CD"/>
    <w:rsid w:val="00FE340D"/>
    <w:rsid w:val="00FE3478"/>
    <w:rsid w:val="00FE34ED"/>
    <w:rsid w:val="00FE3525"/>
    <w:rsid w:val="00FE3560"/>
    <w:rsid w:val="00FE3583"/>
    <w:rsid w:val="00FE35A2"/>
    <w:rsid w:val="00FE35FA"/>
    <w:rsid w:val="00FE3838"/>
    <w:rsid w:val="00FE3871"/>
    <w:rsid w:val="00FE38FD"/>
    <w:rsid w:val="00FE391F"/>
    <w:rsid w:val="00FE3AFA"/>
    <w:rsid w:val="00FE3BA1"/>
    <w:rsid w:val="00FE3BEA"/>
    <w:rsid w:val="00FE3CD8"/>
    <w:rsid w:val="00FE3D03"/>
    <w:rsid w:val="00FE3DB8"/>
    <w:rsid w:val="00FE3F46"/>
    <w:rsid w:val="00FE401C"/>
    <w:rsid w:val="00FE404A"/>
    <w:rsid w:val="00FE40C8"/>
    <w:rsid w:val="00FE432F"/>
    <w:rsid w:val="00FE4355"/>
    <w:rsid w:val="00FE4392"/>
    <w:rsid w:val="00FE44F8"/>
    <w:rsid w:val="00FE4581"/>
    <w:rsid w:val="00FE458B"/>
    <w:rsid w:val="00FE461A"/>
    <w:rsid w:val="00FE47CE"/>
    <w:rsid w:val="00FE48C9"/>
    <w:rsid w:val="00FE4A65"/>
    <w:rsid w:val="00FE4A69"/>
    <w:rsid w:val="00FE4B95"/>
    <w:rsid w:val="00FE4C26"/>
    <w:rsid w:val="00FE4C49"/>
    <w:rsid w:val="00FE4C65"/>
    <w:rsid w:val="00FE500C"/>
    <w:rsid w:val="00FE518E"/>
    <w:rsid w:val="00FE5230"/>
    <w:rsid w:val="00FE5238"/>
    <w:rsid w:val="00FE5297"/>
    <w:rsid w:val="00FE53C9"/>
    <w:rsid w:val="00FE543A"/>
    <w:rsid w:val="00FE5567"/>
    <w:rsid w:val="00FE55C2"/>
    <w:rsid w:val="00FE573A"/>
    <w:rsid w:val="00FE577D"/>
    <w:rsid w:val="00FE57D3"/>
    <w:rsid w:val="00FE583A"/>
    <w:rsid w:val="00FE583C"/>
    <w:rsid w:val="00FE58A8"/>
    <w:rsid w:val="00FE5972"/>
    <w:rsid w:val="00FE5986"/>
    <w:rsid w:val="00FE5B03"/>
    <w:rsid w:val="00FE5BA2"/>
    <w:rsid w:val="00FE5D30"/>
    <w:rsid w:val="00FE5D79"/>
    <w:rsid w:val="00FE5D9C"/>
    <w:rsid w:val="00FE602E"/>
    <w:rsid w:val="00FE6141"/>
    <w:rsid w:val="00FE61C1"/>
    <w:rsid w:val="00FE61CF"/>
    <w:rsid w:val="00FE622B"/>
    <w:rsid w:val="00FE6249"/>
    <w:rsid w:val="00FE62F3"/>
    <w:rsid w:val="00FE635D"/>
    <w:rsid w:val="00FE6391"/>
    <w:rsid w:val="00FE63CB"/>
    <w:rsid w:val="00FE63D3"/>
    <w:rsid w:val="00FE65C2"/>
    <w:rsid w:val="00FE675B"/>
    <w:rsid w:val="00FE67B4"/>
    <w:rsid w:val="00FE682E"/>
    <w:rsid w:val="00FE690A"/>
    <w:rsid w:val="00FE6995"/>
    <w:rsid w:val="00FE69B4"/>
    <w:rsid w:val="00FE6A99"/>
    <w:rsid w:val="00FE6AE6"/>
    <w:rsid w:val="00FE6BBA"/>
    <w:rsid w:val="00FE6C34"/>
    <w:rsid w:val="00FE6D33"/>
    <w:rsid w:val="00FE6D5F"/>
    <w:rsid w:val="00FE6DB5"/>
    <w:rsid w:val="00FE6E64"/>
    <w:rsid w:val="00FE6FAD"/>
    <w:rsid w:val="00FE70A1"/>
    <w:rsid w:val="00FE70D2"/>
    <w:rsid w:val="00FE7192"/>
    <w:rsid w:val="00FE7266"/>
    <w:rsid w:val="00FE728F"/>
    <w:rsid w:val="00FE729E"/>
    <w:rsid w:val="00FE73DC"/>
    <w:rsid w:val="00FE75F0"/>
    <w:rsid w:val="00FE76AB"/>
    <w:rsid w:val="00FE78F6"/>
    <w:rsid w:val="00FE7958"/>
    <w:rsid w:val="00FE79B0"/>
    <w:rsid w:val="00FE7AB1"/>
    <w:rsid w:val="00FE7B20"/>
    <w:rsid w:val="00FE7B92"/>
    <w:rsid w:val="00FE7C2F"/>
    <w:rsid w:val="00FE7C7E"/>
    <w:rsid w:val="00FE7C80"/>
    <w:rsid w:val="00FE7E04"/>
    <w:rsid w:val="00FE7F50"/>
    <w:rsid w:val="00FEAD1D"/>
    <w:rsid w:val="00FF0208"/>
    <w:rsid w:val="00FF027D"/>
    <w:rsid w:val="00FF0320"/>
    <w:rsid w:val="00FF0603"/>
    <w:rsid w:val="00FF07B6"/>
    <w:rsid w:val="00FF07F6"/>
    <w:rsid w:val="00FF07FB"/>
    <w:rsid w:val="00FF0809"/>
    <w:rsid w:val="00FF0879"/>
    <w:rsid w:val="00FF0A98"/>
    <w:rsid w:val="00FF0AD2"/>
    <w:rsid w:val="00FF0B46"/>
    <w:rsid w:val="00FF0D01"/>
    <w:rsid w:val="00FF0D7E"/>
    <w:rsid w:val="00FF0DDE"/>
    <w:rsid w:val="00FF0F4C"/>
    <w:rsid w:val="00FF1024"/>
    <w:rsid w:val="00FF11DB"/>
    <w:rsid w:val="00FF12F6"/>
    <w:rsid w:val="00FF1353"/>
    <w:rsid w:val="00FF1498"/>
    <w:rsid w:val="00FF15BE"/>
    <w:rsid w:val="00FF15E2"/>
    <w:rsid w:val="00FF160C"/>
    <w:rsid w:val="00FF16B5"/>
    <w:rsid w:val="00FF17F9"/>
    <w:rsid w:val="00FF187C"/>
    <w:rsid w:val="00FF188D"/>
    <w:rsid w:val="00FF189A"/>
    <w:rsid w:val="00FF196A"/>
    <w:rsid w:val="00FF19E8"/>
    <w:rsid w:val="00FF1CE1"/>
    <w:rsid w:val="00FF1CF7"/>
    <w:rsid w:val="00FF1D23"/>
    <w:rsid w:val="00FF1EF4"/>
    <w:rsid w:val="00FF1F92"/>
    <w:rsid w:val="00FF1FD3"/>
    <w:rsid w:val="00FF1FF4"/>
    <w:rsid w:val="00FF204F"/>
    <w:rsid w:val="00FF2050"/>
    <w:rsid w:val="00FF2177"/>
    <w:rsid w:val="00FF21B0"/>
    <w:rsid w:val="00FF221A"/>
    <w:rsid w:val="00FF2273"/>
    <w:rsid w:val="00FF2483"/>
    <w:rsid w:val="00FF25A4"/>
    <w:rsid w:val="00FF2737"/>
    <w:rsid w:val="00FF277C"/>
    <w:rsid w:val="00FF2792"/>
    <w:rsid w:val="00FF28AD"/>
    <w:rsid w:val="00FF28C8"/>
    <w:rsid w:val="00FF2B0F"/>
    <w:rsid w:val="00FF2B90"/>
    <w:rsid w:val="00FF2D23"/>
    <w:rsid w:val="00FF2EBF"/>
    <w:rsid w:val="00FF2F66"/>
    <w:rsid w:val="00FF2FED"/>
    <w:rsid w:val="00FF301D"/>
    <w:rsid w:val="00FF305D"/>
    <w:rsid w:val="00FF30C1"/>
    <w:rsid w:val="00FF3143"/>
    <w:rsid w:val="00FF33C2"/>
    <w:rsid w:val="00FF33D1"/>
    <w:rsid w:val="00FF33E5"/>
    <w:rsid w:val="00FF35CF"/>
    <w:rsid w:val="00FF35ED"/>
    <w:rsid w:val="00FF3669"/>
    <w:rsid w:val="00FF37D7"/>
    <w:rsid w:val="00FF3BE2"/>
    <w:rsid w:val="00FF3C10"/>
    <w:rsid w:val="00FF3C28"/>
    <w:rsid w:val="00FF3D43"/>
    <w:rsid w:val="00FF3EAC"/>
    <w:rsid w:val="00FF3F1B"/>
    <w:rsid w:val="00FF3FB4"/>
    <w:rsid w:val="00FF41A8"/>
    <w:rsid w:val="00FF41B7"/>
    <w:rsid w:val="00FF4216"/>
    <w:rsid w:val="00FF42A1"/>
    <w:rsid w:val="00FF43F7"/>
    <w:rsid w:val="00FF4454"/>
    <w:rsid w:val="00FF45E1"/>
    <w:rsid w:val="00FF467E"/>
    <w:rsid w:val="00FF4707"/>
    <w:rsid w:val="00FF4725"/>
    <w:rsid w:val="00FF4729"/>
    <w:rsid w:val="00FF4734"/>
    <w:rsid w:val="00FF47A5"/>
    <w:rsid w:val="00FF47B5"/>
    <w:rsid w:val="00FF481C"/>
    <w:rsid w:val="00FF48F6"/>
    <w:rsid w:val="00FF4916"/>
    <w:rsid w:val="00FF4950"/>
    <w:rsid w:val="00FF4AD8"/>
    <w:rsid w:val="00FF4B02"/>
    <w:rsid w:val="00FF4B5C"/>
    <w:rsid w:val="00FF4BE1"/>
    <w:rsid w:val="00FF4C58"/>
    <w:rsid w:val="00FF4CD7"/>
    <w:rsid w:val="00FF4DC7"/>
    <w:rsid w:val="00FF4E2E"/>
    <w:rsid w:val="00FF4F08"/>
    <w:rsid w:val="00FF4F5A"/>
    <w:rsid w:val="00FF4FA1"/>
    <w:rsid w:val="00FF523E"/>
    <w:rsid w:val="00FF5274"/>
    <w:rsid w:val="00FF5372"/>
    <w:rsid w:val="00FF5447"/>
    <w:rsid w:val="00FF5548"/>
    <w:rsid w:val="00FF5585"/>
    <w:rsid w:val="00FF5631"/>
    <w:rsid w:val="00FF5693"/>
    <w:rsid w:val="00FF572E"/>
    <w:rsid w:val="00FF5734"/>
    <w:rsid w:val="00FF577A"/>
    <w:rsid w:val="00FF57EC"/>
    <w:rsid w:val="00FF585C"/>
    <w:rsid w:val="00FF58E2"/>
    <w:rsid w:val="00FF5A9D"/>
    <w:rsid w:val="00FF5B6F"/>
    <w:rsid w:val="00FF5B7C"/>
    <w:rsid w:val="00FF5B85"/>
    <w:rsid w:val="00FF5CD5"/>
    <w:rsid w:val="00FF5D00"/>
    <w:rsid w:val="00FF5D68"/>
    <w:rsid w:val="00FF5EBE"/>
    <w:rsid w:val="00FF6065"/>
    <w:rsid w:val="00FF6177"/>
    <w:rsid w:val="00FF6473"/>
    <w:rsid w:val="00FF6478"/>
    <w:rsid w:val="00FF6557"/>
    <w:rsid w:val="00FF656E"/>
    <w:rsid w:val="00FF657A"/>
    <w:rsid w:val="00FF65DC"/>
    <w:rsid w:val="00FF670D"/>
    <w:rsid w:val="00FF6795"/>
    <w:rsid w:val="00FF6B35"/>
    <w:rsid w:val="00FF6B48"/>
    <w:rsid w:val="00FF6B69"/>
    <w:rsid w:val="00FF6C17"/>
    <w:rsid w:val="00FF6D06"/>
    <w:rsid w:val="00FF6D32"/>
    <w:rsid w:val="00FF6E3C"/>
    <w:rsid w:val="00FF6E95"/>
    <w:rsid w:val="00FF6E9D"/>
    <w:rsid w:val="00FF6F71"/>
    <w:rsid w:val="00FF6F83"/>
    <w:rsid w:val="00FF6FFC"/>
    <w:rsid w:val="00FF7085"/>
    <w:rsid w:val="00FF7145"/>
    <w:rsid w:val="00FF71B7"/>
    <w:rsid w:val="00FF72C0"/>
    <w:rsid w:val="00FF73F6"/>
    <w:rsid w:val="00FF7411"/>
    <w:rsid w:val="00FF74D2"/>
    <w:rsid w:val="00FF7657"/>
    <w:rsid w:val="00FF76C1"/>
    <w:rsid w:val="00FF7732"/>
    <w:rsid w:val="00FF77A6"/>
    <w:rsid w:val="00FF77B5"/>
    <w:rsid w:val="00FF7B4E"/>
    <w:rsid w:val="00FF7C1C"/>
    <w:rsid w:val="00FF7CC8"/>
    <w:rsid w:val="00FF7D9A"/>
    <w:rsid w:val="00FF7E27"/>
    <w:rsid w:val="00FF7E73"/>
    <w:rsid w:val="00FF7E93"/>
    <w:rsid w:val="00FF7E95"/>
    <w:rsid w:val="00FF7EE7"/>
    <w:rsid w:val="00FF7F15"/>
    <w:rsid w:val="00FF7FBF"/>
    <w:rsid w:val="00FF7FC6"/>
    <w:rsid w:val="01009D47"/>
    <w:rsid w:val="01030C2F"/>
    <w:rsid w:val="0103904A"/>
    <w:rsid w:val="01043851"/>
    <w:rsid w:val="0105026B"/>
    <w:rsid w:val="0105B02F"/>
    <w:rsid w:val="0105B81D"/>
    <w:rsid w:val="010727F2"/>
    <w:rsid w:val="01072AC1"/>
    <w:rsid w:val="010D6FAF"/>
    <w:rsid w:val="010DE361"/>
    <w:rsid w:val="010F11AE"/>
    <w:rsid w:val="0113B352"/>
    <w:rsid w:val="011DFA23"/>
    <w:rsid w:val="01257D21"/>
    <w:rsid w:val="0129601E"/>
    <w:rsid w:val="012C08B0"/>
    <w:rsid w:val="012EC464"/>
    <w:rsid w:val="01309635"/>
    <w:rsid w:val="01312725"/>
    <w:rsid w:val="0132AB52"/>
    <w:rsid w:val="01388303"/>
    <w:rsid w:val="01392AD8"/>
    <w:rsid w:val="0143ED37"/>
    <w:rsid w:val="01442AB7"/>
    <w:rsid w:val="0144823D"/>
    <w:rsid w:val="01452516"/>
    <w:rsid w:val="01477A58"/>
    <w:rsid w:val="014C32A9"/>
    <w:rsid w:val="0150B2FC"/>
    <w:rsid w:val="01521C55"/>
    <w:rsid w:val="0152E539"/>
    <w:rsid w:val="015DB298"/>
    <w:rsid w:val="015E63DD"/>
    <w:rsid w:val="015FC9BA"/>
    <w:rsid w:val="01648A6A"/>
    <w:rsid w:val="016D7AA0"/>
    <w:rsid w:val="0175DE7D"/>
    <w:rsid w:val="0175F72A"/>
    <w:rsid w:val="0179F4A1"/>
    <w:rsid w:val="017B0620"/>
    <w:rsid w:val="017D96DB"/>
    <w:rsid w:val="018046B3"/>
    <w:rsid w:val="0180E00C"/>
    <w:rsid w:val="01847732"/>
    <w:rsid w:val="0186B16C"/>
    <w:rsid w:val="018A5F63"/>
    <w:rsid w:val="018CB722"/>
    <w:rsid w:val="018CB9DF"/>
    <w:rsid w:val="0192FD88"/>
    <w:rsid w:val="0198DE3A"/>
    <w:rsid w:val="01A065FB"/>
    <w:rsid w:val="01A10646"/>
    <w:rsid w:val="01A1DF78"/>
    <w:rsid w:val="01A4588B"/>
    <w:rsid w:val="01A49BE5"/>
    <w:rsid w:val="01B164A8"/>
    <w:rsid w:val="01B1E946"/>
    <w:rsid w:val="01B4468B"/>
    <w:rsid w:val="01B57CBF"/>
    <w:rsid w:val="01B9584D"/>
    <w:rsid w:val="01BA6AAE"/>
    <w:rsid w:val="01BAC23B"/>
    <w:rsid w:val="01BDB4CD"/>
    <w:rsid w:val="01BE680F"/>
    <w:rsid w:val="01C71349"/>
    <w:rsid w:val="01CB9D32"/>
    <w:rsid w:val="01CEFA2F"/>
    <w:rsid w:val="01D1E608"/>
    <w:rsid w:val="01D48906"/>
    <w:rsid w:val="01D9E563"/>
    <w:rsid w:val="01DA5C1B"/>
    <w:rsid w:val="01DD3489"/>
    <w:rsid w:val="01E427AA"/>
    <w:rsid w:val="01E55314"/>
    <w:rsid w:val="01E78195"/>
    <w:rsid w:val="01F27587"/>
    <w:rsid w:val="01F5736E"/>
    <w:rsid w:val="01F773E3"/>
    <w:rsid w:val="01F7F266"/>
    <w:rsid w:val="01FA3E7D"/>
    <w:rsid w:val="01FC7B55"/>
    <w:rsid w:val="01FD5124"/>
    <w:rsid w:val="01FD5665"/>
    <w:rsid w:val="020598EB"/>
    <w:rsid w:val="02070BDA"/>
    <w:rsid w:val="02079129"/>
    <w:rsid w:val="02083270"/>
    <w:rsid w:val="020A241F"/>
    <w:rsid w:val="020FAB72"/>
    <w:rsid w:val="020FF60C"/>
    <w:rsid w:val="0211362E"/>
    <w:rsid w:val="0215035A"/>
    <w:rsid w:val="021572B9"/>
    <w:rsid w:val="0218178B"/>
    <w:rsid w:val="021C3434"/>
    <w:rsid w:val="021EA31F"/>
    <w:rsid w:val="0223E9C9"/>
    <w:rsid w:val="02280383"/>
    <w:rsid w:val="022D233A"/>
    <w:rsid w:val="02307280"/>
    <w:rsid w:val="0239D3F4"/>
    <w:rsid w:val="0242EE7A"/>
    <w:rsid w:val="02488836"/>
    <w:rsid w:val="02511C95"/>
    <w:rsid w:val="0255E7AE"/>
    <w:rsid w:val="025ADC1A"/>
    <w:rsid w:val="025AF4EF"/>
    <w:rsid w:val="02648669"/>
    <w:rsid w:val="026C2EE2"/>
    <w:rsid w:val="026D5B03"/>
    <w:rsid w:val="0270DDFA"/>
    <w:rsid w:val="0274DB09"/>
    <w:rsid w:val="0275C678"/>
    <w:rsid w:val="0279519E"/>
    <w:rsid w:val="027B3A8A"/>
    <w:rsid w:val="027B85A5"/>
    <w:rsid w:val="027C0265"/>
    <w:rsid w:val="02804AD6"/>
    <w:rsid w:val="02820A69"/>
    <w:rsid w:val="028515C7"/>
    <w:rsid w:val="028B6EC7"/>
    <w:rsid w:val="028D86EB"/>
    <w:rsid w:val="02912191"/>
    <w:rsid w:val="02919628"/>
    <w:rsid w:val="0295CE5B"/>
    <w:rsid w:val="02965D5C"/>
    <w:rsid w:val="029ACCC0"/>
    <w:rsid w:val="029DBFD3"/>
    <w:rsid w:val="02A174A1"/>
    <w:rsid w:val="02AB1EDD"/>
    <w:rsid w:val="02ABB56E"/>
    <w:rsid w:val="02ADF815"/>
    <w:rsid w:val="02AF901E"/>
    <w:rsid w:val="02B1B7CD"/>
    <w:rsid w:val="02B48244"/>
    <w:rsid w:val="02B4C056"/>
    <w:rsid w:val="02B8601C"/>
    <w:rsid w:val="02B8D1EB"/>
    <w:rsid w:val="02C7B645"/>
    <w:rsid w:val="02C85619"/>
    <w:rsid w:val="02CDBAAB"/>
    <w:rsid w:val="02CFB83F"/>
    <w:rsid w:val="02D0D286"/>
    <w:rsid w:val="02D10071"/>
    <w:rsid w:val="02D142CD"/>
    <w:rsid w:val="02D8A982"/>
    <w:rsid w:val="02DCB240"/>
    <w:rsid w:val="02DFA074"/>
    <w:rsid w:val="02E365B4"/>
    <w:rsid w:val="02E3A041"/>
    <w:rsid w:val="02EBFFCA"/>
    <w:rsid w:val="02F5D4D1"/>
    <w:rsid w:val="02F84737"/>
    <w:rsid w:val="02FABB86"/>
    <w:rsid w:val="02FE8D0C"/>
    <w:rsid w:val="0302478A"/>
    <w:rsid w:val="030735C4"/>
    <w:rsid w:val="030D303A"/>
    <w:rsid w:val="030F13CF"/>
    <w:rsid w:val="031042FA"/>
    <w:rsid w:val="03197C79"/>
    <w:rsid w:val="031E4E22"/>
    <w:rsid w:val="03201CD5"/>
    <w:rsid w:val="03205C43"/>
    <w:rsid w:val="0320712D"/>
    <w:rsid w:val="03280483"/>
    <w:rsid w:val="032997F7"/>
    <w:rsid w:val="032F4D6E"/>
    <w:rsid w:val="032F8F33"/>
    <w:rsid w:val="032FC82E"/>
    <w:rsid w:val="0330FAFC"/>
    <w:rsid w:val="0334690C"/>
    <w:rsid w:val="03349D7C"/>
    <w:rsid w:val="0336D4F9"/>
    <w:rsid w:val="033A9539"/>
    <w:rsid w:val="033B353C"/>
    <w:rsid w:val="033BB49C"/>
    <w:rsid w:val="033DF7F5"/>
    <w:rsid w:val="03411D49"/>
    <w:rsid w:val="0343B107"/>
    <w:rsid w:val="034A6B22"/>
    <w:rsid w:val="034CD357"/>
    <w:rsid w:val="034DEBC6"/>
    <w:rsid w:val="0362BCED"/>
    <w:rsid w:val="03655D6A"/>
    <w:rsid w:val="036B7F3F"/>
    <w:rsid w:val="036D4AD2"/>
    <w:rsid w:val="036FAF9D"/>
    <w:rsid w:val="0372DEBE"/>
    <w:rsid w:val="0378CC52"/>
    <w:rsid w:val="037E4752"/>
    <w:rsid w:val="0381E447"/>
    <w:rsid w:val="0389A052"/>
    <w:rsid w:val="0389DFB6"/>
    <w:rsid w:val="03954872"/>
    <w:rsid w:val="0397C88D"/>
    <w:rsid w:val="03990BC0"/>
    <w:rsid w:val="03A06C64"/>
    <w:rsid w:val="03A1D88B"/>
    <w:rsid w:val="03A2A5DA"/>
    <w:rsid w:val="03A5E276"/>
    <w:rsid w:val="03A8555D"/>
    <w:rsid w:val="03A88C5B"/>
    <w:rsid w:val="03A98E5E"/>
    <w:rsid w:val="03AAC3D9"/>
    <w:rsid w:val="03AB4091"/>
    <w:rsid w:val="03B066FD"/>
    <w:rsid w:val="03B94B12"/>
    <w:rsid w:val="03BA23E1"/>
    <w:rsid w:val="03BB9972"/>
    <w:rsid w:val="03BD2B2E"/>
    <w:rsid w:val="03C48CDE"/>
    <w:rsid w:val="03C614D6"/>
    <w:rsid w:val="03C66498"/>
    <w:rsid w:val="03CB3280"/>
    <w:rsid w:val="03CB8A91"/>
    <w:rsid w:val="03CC009B"/>
    <w:rsid w:val="03CC8023"/>
    <w:rsid w:val="03CCF772"/>
    <w:rsid w:val="03CCFBEA"/>
    <w:rsid w:val="03CD28C6"/>
    <w:rsid w:val="03CE1D7A"/>
    <w:rsid w:val="03CE6A1F"/>
    <w:rsid w:val="03D53476"/>
    <w:rsid w:val="03D81B13"/>
    <w:rsid w:val="03DCFC86"/>
    <w:rsid w:val="03E1B7A5"/>
    <w:rsid w:val="03EDF912"/>
    <w:rsid w:val="03EE8917"/>
    <w:rsid w:val="03EF66FB"/>
    <w:rsid w:val="03F1190B"/>
    <w:rsid w:val="03F62D7E"/>
    <w:rsid w:val="03F7026E"/>
    <w:rsid w:val="03FA7BBF"/>
    <w:rsid w:val="03FBAE6E"/>
    <w:rsid w:val="03FBB719"/>
    <w:rsid w:val="0407D527"/>
    <w:rsid w:val="040B8231"/>
    <w:rsid w:val="040F8204"/>
    <w:rsid w:val="04162ADC"/>
    <w:rsid w:val="041684EB"/>
    <w:rsid w:val="0417AF92"/>
    <w:rsid w:val="041AD963"/>
    <w:rsid w:val="0420B1CE"/>
    <w:rsid w:val="0425275B"/>
    <w:rsid w:val="0425A073"/>
    <w:rsid w:val="04270091"/>
    <w:rsid w:val="042D6441"/>
    <w:rsid w:val="042DEF1A"/>
    <w:rsid w:val="0434551F"/>
    <w:rsid w:val="043BBE72"/>
    <w:rsid w:val="043BE39B"/>
    <w:rsid w:val="043BE581"/>
    <w:rsid w:val="04439045"/>
    <w:rsid w:val="0445F4DB"/>
    <w:rsid w:val="04471C45"/>
    <w:rsid w:val="0447372B"/>
    <w:rsid w:val="044871AC"/>
    <w:rsid w:val="0448BB65"/>
    <w:rsid w:val="044AEC59"/>
    <w:rsid w:val="044C90A2"/>
    <w:rsid w:val="044EE66E"/>
    <w:rsid w:val="0452C468"/>
    <w:rsid w:val="04544D23"/>
    <w:rsid w:val="04597077"/>
    <w:rsid w:val="046251EC"/>
    <w:rsid w:val="0464E5BF"/>
    <w:rsid w:val="04656C36"/>
    <w:rsid w:val="0467893F"/>
    <w:rsid w:val="046C3129"/>
    <w:rsid w:val="046D8096"/>
    <w:rsid w:val="04778484"/>
    <w:rsid w:val="0477CE3D"/>
    <w:rsid w:val="047BB8D8"/>
    <w:rsid w:val="0481EFDC"/>
    <w:rsid w:val="048533FA"/>
    <w:rsid w:val="048DDD05"/>
    <w:rsid w:val="0497C5C4"/>
    <w:rsid w:val="049E9976"/>
    <w:rsid w:val="049FEF2A"/>
    <w:rsid w:val="04A309AF"/>
    <w:rsid w:val="04ABDA13"/>
    <w:rsid w:val="04AE124B"/>
    <w:rsid w:val="04B0EEBB"/>
    <w:rsid w:val="04B23E18"/>
    <w:rsid w:val="04B3BDE1"/>
    <w:rsid w:val="04B84DEA"/>
    <w:rsid w:val="04BB8E64"/>
    <w:rsid w:val="04BDF330"/>
    <w:rsid w:val="04C3DE8B"/>
    <w:rsid w:val="04D36D38"/>
    <w:rsid w:val="04D4A969"/>
    <w:rsid w:val="04D7324D"/>
    <w:rsid w:val="04D73F3D"/>
    <w:rsid w:val="04D7D138"/>
    <w:rsid w:val="04DC0F3A"/>
    <w:rsid w:val="04DFCFDA"/>
    <w:rsid w:val="04E05FE8"/>
    <w:rsid w:val="04E8C314"/>
    <w:rsid w:val="04E90E45"/>
    <w:rsid w:val="04EF632C"/>
    <w:rsid w:val="04F7DE17"/>
    <w:rsid w:val="04FFC1AE"/>
    <w:rsid w:val="05015C61"/>
    <w:rsid w:val="0501B6A9"/>
    <w:rsid w:val="05037DE6"/>
    <w:rsid w:val="05052BEB"/>
    <w:rsid w:val="05065733"/>
    <w:rsid w:val="05066995"/>
    <w:rsid w:val="0506E16F"/>
    <w:rsid w:val="0508B3B5"/>
    <w:rsid w:val="050DCF78"/>
    <w:rsid w:val="0513B390"/>
    <w:rsid w:val="051587E1"/>
    <w:rsid w:val="0522FFF6"/>
    <w:rsid w:val="052DCAA4"/>
    <w:rsid w:val="0531628B"/>
    <w:rsid w:val="05319BC3"/>
    <w:rsid w:val="05337DA0"/>
    <w:rsid w:val="0537655A"/>
    <w:rsid w:val="05377862"/>
    <w:rsid w:val="053B241C"/>
    <w:rsid w:val="053B673B"/>
    <w:rsid w:val="053C9980"/>
    <w:rsid w:val="054064A3"/>
    <w:rsid w:val="05456A12"/>
    <w:rsid w:val="0546D24C"/>
    <w:rsid w:val="054BBA9B"/>
    <w:rsid w:val="054C350B"/>
    <w:rsid w:val="055058E9"/>
    <w:rsid w:val="0555EFF8"/>
    <w:rsid w:val="05589D4A"/>
    <w:rsid w:val="05668B0A"/>
    <w:rsid w:val="0567B039"/>
    <w:rsid w:val="056982F3"/>
    <w:rsid w:val="056A5AE2"/>
    <w:rsid w:val="056ADB33"/>
    <w:rsid w:val="0570056E"/>
    <w:rsid w:val="057087A6"/>
    <w:rsid w:val="057390DF"/>
    <w:rsid w:val="05759411"/>
    <w:rsid w:val="0577A3C1"/>
    <w:rsid w:val="057BD20A"/>
    <w:rsid w:val="057F353E"/>
    <w:rsid w:val="0580AB1F"/>
    <w:rsid w:val="058C895C"/>
    <w:rsid w:val="0591BE20"/>
    <w:rsid w:val="0594CE98"/>
    <w:rsid w:val="0595A50C"/>
    <w:rsid w:val="059B90FE"/>
    <w:rsid w:val="05A0FBAE"/>
    <w:rsid w:val="05A23101"/>
    <w:rsid w:val="05A2E2F7"/>
    <w:rsid w:val="05A51117"/>
    <w:rsid w:val="05AAB625"/>
    <w:rsid w:val="05AC7566"/>
    <w:rsid w:val="05AD3EA0"/>
    <w:rsid w:val="05B16517"/>
    <w:rsid w:val="05B24DC7"/>
    <w:rsid w:val="05B4E043"/>
    <w:rsid w:val="05B5208D"/>
    <w:rsid w:val="05B85D53"/>
    <w:rsid w:val="05B9FC1B"/>
    <w:rsid w:val="05BA4FC1"/>
    <w:rsid w:val="05BCDB05"/>
    <w:rsid w:val="05BE706F"/>
    <w:rsid w:val="05C056D3"/>
    <w:rsid w:val="05C12C63"/>
    <w:rsid w:val="05C4CE82"/>
    <w:rsid w:val="05CD61FB"/>
    <w:rsid w:val="05DCD9B2"/>
    <w:rsid w:val="05DE6213"/>
    <w:rsid w:val="05E3F11A"/>
    <w:rsid w:val="05E754CC"/>
    <w:rsid w:val="05E8F5A4"/>
    <w:rsid w:val="05E9ED79"/>
    <w:rsid w:val="05EA21DA"/>
    <w:rsid w:val="05EF0D55"/>
    <w:rsid w:val="05F0640D"/>
    <w:rsid w:val="05F39A05"/>
    <w:rsid w:val="05F3BAC8"/>
    <w:rsid w:val="05F4515F"/>
    <w:rsid w:val="05F46DB9"/>
    <w:rsid w:val="05F5F2FE"/>
    <w:rsid w:val="05F92E91"/>
    <w:rsid w:val="0608B4E6"/>
    <w:rsid w:val="060B3566"/>
    <w:rsid w:val="060E2562"/>
    <w:rsid w:val="060F13F2"/>
    <w:rsid w:val="061212C7"/>
    <w:rsid w:val="061C2B27"/>
    <w:rsid w:val="06249921"/>
    <w:rsid w:val="0627526D"/>
    <w:rsid w:val="06375C89"/>
    <w:rsid w:val="06378836"/>
    <w:rsid w:val="063C4849"/>
    <w:rsid w:val="0640C143"/>
    <w:rsid w:val="0645C591"/>
    <w:rsid w:val="06487BC7"/>
    <w:rsid w:val="064D0DE0"/>
    <w:rsid w:val="064EFD10"/>
    <w:rsid w:val="064FDC18"/>
    <w:rsid w:val="06573932"/>
    <w:rsid w:val="065960B4"/>
    <w:rsid w:val="065ADBE8"/>
    <w:rsid w:val="065D7981"/>
    <w:rsid w:val="065E9614"/>
    <w:rsid w:val="0661908F"/>
    <w:rsid w:val="06641A98"/>
    <w:rsid w:val="0665E9E2"/>
    <w:rsid w:val="066C20F9"/>
    <w:rsid w:val="0677263A"/>
    <w:rsid w:val="067FE719"/>
    <w:rsid w:val="06857116"/>
    <w:rsid w:val="068573E6"/>
    <w:rsid w:val="0689CEBE"/>
    <w:rsid w:val="06949BA4"/>
    <w:rsid w:val="0695F61C"/>
    <w:rsid w:val="06967004"/>
    <w:rsid w:val="069AB212"/>
    <w:rsid w:val="069C063E"/>
    <w:rsid w:val="069D0CCC"/>
    <w:rsid w:val="069DA75E"/>
    <w:rsid w:val="06A72715"/>
    <w:rsid w:val="06A7FA57"/>
    <w:rsid w:val="06ABB280"/>
    <w:rsid w:val="06B1ED7E"/>
    <w:rsid w:val="06BB4E4B"/>
    <w:rsid w:val="06BC45F6"/>
    <w:rsid w:val="06BC9579"/>
    <w:rsid w:val="06BEE96B"/>
    <w:rsid w:val="06C08284"/>
    <w:rsid w:val="06C1ED06"/>
    <w:rsid w:val="06C6DDB0"/>
    <w:rsid w:val="06C77EA6"/>
    <w:rsid w:val="06C7D110"/>
    <w:rsid w:val="06CA5FB9"/>
    <w:rsid w:val="06CCD4CB"/>
    <w:rsid w:val="06CDFC17"/>
    <w:rsid w:val="06CEDDD2"/>
    <w:rsid w:val="06D5540D"/>
    <w:rsid w:val="06DECECA"/>
    <w:rsid w:val="06E007D2"/>
    <w:rsid w:val="06E20EF0"/>
    <w:rsid w:val="06E2D7DD"/>
    <w:rsid w:val="06E31D05"/>
    <w:rsid w:val="06E52EE6"/>
    <w:rsid w:val="06EA869E"/>
    <w:rsid w:val="06EBCA8A"/>
    <w:rsid w:val="06ED6735"/>
    <w:rsid w:val="06F4820D"/>
    <w:rsid w:val="06F4A78F"/>
    <w:rsid w:val="06F8416E"/>
    <w:rsid w:val="06FBF8E8"/>
    <w:rsid w:val="0700A85F"/>
    <w:rsid w:val="0702808B"/>
    <w:rsid w:val="07037A1F"/>
    <w:rsid w:val="07081EBC"/>
    <w:rsid w:val="07164EC5"/>
    <w:rsid w:val="07185D71"/>
    <w:rsid w:val="0718E869"/>
    <w:rsid w:val="07218A07"/>
    <w:rsid w:val="07237BF0"/>
    <w:rsid w:val="07264C99"/>
    <w:rsid w:val="072B20C1"/>
    <w:rsid w:val="072B87BC"/>
    <w:rsid w:val="072C8308"/>
    <w:rsid w:val="07321981"/>
    <w:rsid w:val="0733E831"/>
    <w:rsid w:val="07353B7F"/>
    <w:rsid w:val="073605CE"/>
    <w:rsid w:val="073C04F2"/>
    <w:rsid w:val="0740B1F9"/>
    <w:rsid w:val="07498207"/>
    <w:rsid w:val="074AB8BB"/>
    <w:rsid w:val="074B2689"/>
    <w:rsid w:val="074BDEEE"/>
    <w:rsid w:val="075009DB"/>
    <w:rsid w:val="07512489"/>
    <w:rsid w:val="07513A03"/>
    <w:rsid w:val="075949C9"/>
    <w:rsid w:val="075B988A"/>
    <w:rsid w:val="075C1888"/>
    <w:rsid w:val="076A4499"/>
    <w:rsid w:val="07735AD2"/>
    <w:rsid w:val="07764BB2"/>
    <w:rsid w:val="0777923F"/>
    <w:rsid w:val="07783F9B"/>
    <w:rsid w:val="0778C53A"/>
    <w:rsid w:val="077B037C"/>
    <w:rsid w:val="077D73D0"/>
    <w:rsid w:val="077ECDEC"/>
    <w:rsid w:val="078795BD"/>
    <w:rsid w:val="07901A5E"/>
    <w:rsid w:val="0799455D"/>
    <w:rsid w:val="079FC351"/>
    <w:rsid w:val="07A059C0"/>
    <w:rsid w:val="07A16034"/>
    <w:rsid w:val="07A20F7E"/>
    <w:rsid w:val="07A44BAE"/>
    <w:rsid w:val="07A45804"/>
    <w:rsid w:val="07A4EE09"/>
    <w:rsid w:val="07A7BE4E"/>
    <w:rsid w:val="07ABAAAE"/>
    <w:rsid w:val="07ADAAF6"/>
    <w:rsid w:val="07BF9E5E"/>
    <w:rsid w:val="07C28605"/>
    <w:rsid w:val="07CA6244"/>
    <w:rsid w:val="07CBC568"/>
    <w:rsid w:val="07D5D496"/>
    <w:rsid w:val="07D85121"/>
    <w:rsid w:val="07DF68DA"/>
    <w:rsid w:val="07E1B879"/>
    <w:rsid w:val="07E37CB9"/>
    <w:rsid w:val="07E5CAC7"/>
    <w:rsid w:val="07ECA47F"/>
    <w:rsid w:val="07F4458C"/>
    <w:rsid w:val="07F63A8C"/>
    <w:rsid w:val="07F6E94F"/>
    <w:rsid w:val="07F89231"/>
    <w:rsid w:val="07FDDADB"/>
    <w:rsid w:val="080A6363"/>
    <w:rsid w:val="080C6620"/>
    <w:rsid w:val="080E55AB"/>
    <w:rsid w:val="080FC378"/>
    <w:rsid w:val="08141C32"/>
    <w:rsid w:val="08153E30"/>
    <w:rsid w:val="0816920D"/>
    <w:rsid w:val="08171E49"/>
    <w:rsid w:val="081DE0DB"/>
    <w:rsid w:val="081F36AB"/>
    <w:rsid w:val="08273C86"/>
    <w:rsid w:val="08275786"/>
    <w:rsid w:val="082C5FBB"/>
    <w:rsid w:val="082D3009"/>
    <w:rsid w:val="08329DDF"/>
    <w:rsid w:val="0832C82B"/>
    <w:rsid w:val="083EC3AE"/>
    <w:rsid w:val="0844B234"/>
    <w:rsid w:val="0847DD16"/>
    <w:rsid w:val="084863CE"/>
    <w:rsid w:val="084B1A73"/>
    <w:rsid w:val="084B9A86"/>
    <w:rsid w:val="084E2881"/>
    <w:rsid w:val="084E72D6"/>
    <w:rsid w:val="0852C82A"/>
    <w:rsid w:val="08538266"/>
    <w:rsid w:val="08555B93"/>
    <w:rsid w:val="0855FF1B"/>
    <w:rsid w:val="0861419F"/>
    <w:rsid w:val="08662B8B"/>
    <w:rsid w:val="086AB914"/>
    <w:rsid w:val="086DF569"/>
    <w:rsid w:val="08706C73"/>
    <w:rsid w:val="08724A5B"/>
    <w:rsid w:val="08735842"/>
    <w:rsid w:val="08772F71"/>
    <w:rsid w:val="087F617A"/>
    <w:rsid w:val="08886C39"/>
    <w:rsid w:val="088B4BD3"/>
    <w:rsid w:val="088DFCFB"/>
    <w:rsid w:val="088FF9B7"/>
    <w:rsid w:val="089D4C93"/>
    <w:rsid w:val="08A1D1A3"/>
    <w:rsid w:val="08A2C6C2"/>
    <w:rsid w:val="08A5D03A"/>
    <w:rsid w:val="08A833D6"/>
    <w:rsid w:val="08AB3357"/>
    <w:rsid w:val="08ABEB0A"/>
    <w:rsid w:val="08AF8F99"/>
    <w:rsid w:val="08B67501"/>
    <w:rsid w:val="08BA7F44"/>
    <w:rsid w:val="08BCA378"/>
    <w:rsid w:val="08BD9B17"/>
    <w:rsid w:val="08BE1BEF"/>
    <w:rsid w:val="08C0CBCF"/>
    <w:rsid w:val="08C28368"/>
    <w:rsid w:val="08C81917"/>
    <w:rsid w:val="08CECA62"/>
    <w:rsid w:val="08D6D0A8"/>
    <w:rsid w:val="08D83CAE"/>
    <w:rsid w:val="08DBEAE2"/>
    <w:rsid w:val="08DC80CC"/>
    <w:rsid w:val="08E0B5B3"/>
    <w:rsid w:val="08E0B6C5"/>
    <w:rsid w:val="08E29DE7"/>
    <w:rsid w:val="08E2D2D1"/>
    <w:rsid w:val="08E70225"/>
    <w:rsid w:val="08EC6769"/>
    <w:rsid w:val="08F52C9D"/>
    <w:rsid w:val="08F86000"/>
    <w:rsid w:val="08F8E8E0"/>
    <w:rsid w:val="08FA3D00"/>
    <w:rsid w:val="08FD459F"/>
    <w:rsid w:val="08FD546C"/>
    <w:rsid w:val="08FFCCE9"/>
    <w:rsid w:val="0905224E"/>
    <w:rsid w:val="090B4991"/>
    <w:rsid w:val="091451BD"/>
    <w:rsid w:val="091D6BB6"/>
    <w:rsid w:val="0920D628"/>
    <w:rsid w:val="0921BA7E"/>
    <w:rsid w:val="09255D36"/>
    <w:rsid w:val="09261E4A"/>
    <w:rsid w:val="0932AA57"/>
    <w:rsid w:val="0933A455"/>
    <w:rsid w:val="09340F41"/>
    <w:rsid w:val="0935C568"/>
    <w:rsid w:val="09364229"/>
    <w:rsid w:val="09372A1F"/>
    <w:rsid w:val="093B660E"/>
    <w:rsid w:val="093C23FD"/>
    <w:rsid w:val="093CEF6B"/>
    <w:rsid w:val="0941CB6B"/>
    <w:rsid w:val="09441B80"/>
    <w:rsid w:val="09461AC6"/>
    <w:rsid w:val="0947E338"/>
    <w:rsid w:val="094B1277"/>
    <w:rsid w:val="0956D4E2"/>
    <w:rsid w:val="0959FC10"/>
    <w:rsid w:val="0967199E"/>
    <w:rsid w:val="09689D72"/>
    <w:rsid w:val="0969FC50"/>
    <w:rsid w:val="096AF212"/>
    <w:rsid w:val="0976B304"/>
    <w:rsid w:val="0978C834"/>
    <w:rsid w:val="097AA021"/>
    <w:rsid w:val="097CD6E2"/>
    <w:rsid w:val="097FB395"/>
    <w:rsid w:val="09826553"/>
    <w:rsid w:val="098A438D"/>
    <w:rsid w:val="098D2188"/>
    <w:rsid w:val="098D6160"/>
    <w:rsid w:val="098F2E29"/>
    <w:rsid w:val="0990F096"/>
    <w:rsid w:val="09917B84"/>
    <w:rsid w:val="09957072"/>
    <w:rsid w:val="09A716B2"/>
    <w:rsid w:val="09ACD99D"/>
    <w:rsid w:val="09B39FAB"/>
    <w:rsid w:val="09B64DFF"/>
    <w:rsid w:val="09B9041A"/>
    <w:rsid w:val="09BDA117"/>
    <w:rsid w:val="09BF8243"/>
    <w:rsid w:val="09C16B7C"/>
    <w:rsid w:val="09C1C018"/>
    <w:rsid w:val="09C68618"/>
    <w:rsid w:val="09C6D952"/>
    <w:rsid w:val="09C9D894"/>
    <w:rsid w:val="09CC1DBF"/>
    <w:rsid w:val="09CE2761"/>
    <w:rsid w:val="09D1FDE0"/>
    <w:rsid w:val="09D3F228"/>
    <w:rsid w:val="09D489A0"/>
    <w:rsid w:val="09DA20DA"/>
    <w:rsid w:val="09DA6943"/>
    <w:rsid w:val="09DB51DB"/>
    <w:rsid w:val="09E897D7"/>
    <w:rsid w:val="09EF63E3"/>
    <w:rsid w:val="09F4907E"/>
    <w:rsid w:val="09F497BB"/>
    <w:rsid w:val="09F68726"/>
    <w:rsid w:val="0A011BE5"/>
    <w:rsid w:val="0A02A0E8"/>
    <w:rsid w:val="0A02E71A"/>
    <w:rsid w:val="0A05B31E"/>
    <w:rsid w:val="0A06D474"/>
    <w:rsid w:val="0A193118"/>
    <w:rsid w:val="0A1AA3EC"/>
    <w:rsid w:val="0A1ACDB5"/>
    <w:rsid w:val="0A1B8456"/>
    <w:rsid w:val="0A1FEBF4"/>
    <w:rsid w:val="0A2099A4"/>
    <w:rsid w:val="0A20C53B"/>
    <w:rsid w:val="0A23BCEC"/>
    <w:rsid w:val="0A25A692"/>
    <w:rsid w:val="0A270FA7"/>
    <w:rsid w:val="0A2BF491"/>
    <w:rsid w:val="0A2F76B1"/>
    <w:rsid w:val="0A32F725"/>
    <w:rsid w:val="0A333431"/>
    <w:rsid w:val="0A3A3FFF"/>
    <w:rsid w:val="0A3D1A95"/>
    <w:rsid w:val="0A3D1CC4"/>
    <w:rsid w:val="0A44D035"/>
    <w:rsid w:val="0A47FFE3"/>
    <w:rsid w:val="0A4AA7A5"/>
    <w:rsid w:val="0A4B3E2D"/>
    <w:rsid w:val="0A4E4C6E"/>
    <w:rsid w:val="0A4F21B7"/>
    <w:rsid w:val="0A54A7E5"/>
    <w:rsid w:val="0A563037"/>
    <w:rsid w:val="0A5A6965"/>
    <w:rsid w:val="0A5D5E50"/>
    <w:rsid w:val="0A5DDC98"/>
    <w:rsid w:val="0A634707"/>
    <w:rsid w:val="0A647BAC"/>
    <w:rsid w:val="0A79315B"/>
    <w:rsid w:val="0A7D8356"/>
    <w:rsid w:val="0A7F899E"/>
    <w:rsid w:val="0A800722"/>
    <w:rsid w:val="0A84488C"/>
    <w:rsid w:val="0A8784AC"/>
    <w:rsid w:val="0A888075"/>
    <w:rsid w:val="0A8993B9"/>
    <w:rsid w:val="0A941440"/>
    <w:rsid w:val="0A970CAA"/>
    <w:rsid w:val="0A9838F6"/>
    <w:rsid w:val="0A99695E"/>
    <w:rsid w:val="0A9BB3B8"/>
    <w:rsid w:val="0A9C2900"/>
    <w:rsid w:val="0A9DEA21"/>
    <w:rsid w:val="0AA0152B"/>
    <w:rsid w:val="0AA06D58"/>
    <w:rsid w:val="0AA3CA95"/>
    <w:rsid w:val="0AA3F72B"/>
    <w:rsid w:val="0AA6D276"/>
    <w:rsid w:val="0AA73419"/>
    <w:rsid w:val="0AAA4F21"/>
    <w:rsid w:val="0AAC5C17"/>
    <w:rsid w:val="0ABB76F6"/>
    <w:rsid w:val="0ABBA7FA"/>
    <w:rsid w:val="0ABCB595"/>
    <w:rsid w:val="0AC1379E"/>
    <w:rsid w:val="0AC49959"/>
    <w:rsid w:val="0AC82008"/>
    <w:rsid w:val="0AC8E43F"/>
    <w:rsid w:val="0ACA38A7"/>
    <w:rsid w:val="0ACA981D"/>
    <w:rsid w:val="0ACD75C4"/>
    <w:rsid w:val="0AD01A72"/>
    <w:rsid w:val="0ADA30C0"/>
    <w:rsid w:val="0AE42569"/>
    <w:rsid w:val="0AE80C05"/>
    <w:rsid w:val="0AEDB94F"/>
    <w:rsid w:val="0AEDD804"/>
    <w:rsid w:val="0AEF873B"/>
    <w:rsid w:val="0AF03001"/>
    <w:rsid w:val="0AF1B439"/>
    <w:rsid w:val="0AF26FC1"/>
    <w:rsid w:val="0AF29017"/>
    <w:rsid w:val="0AF74099"/>
    <w:rsid w:val="0B0123D9"/>
    <w:rsid w:val="0B02E3E2"/>
    <w:rsid w:val="0B054950"/>
    <w:rsid w:val="0B05864E"/>
    <w:rsid w:val="0B070748"/>
    <w:rsid w:val="0B092CD4"/>
    <w:rsid w:val="0B09C87D"/>
    <w:rsid w:val="0B0C2E3D"/>
    <w:rsid w:val="0B0D3025"/>
    <w:rsid w:val="0B11D324"/>
    <w:rsid w:val="0B12B342"/>
    <w:rsid w:val="0B1985FA"/>
    <w:rsid w:val="0B1C6BDD"/>
    <w:rsid w:val="0B228E1F"/>
    <w:rsid w:val="0B241FC7"/>
    <w:rsid w:val="0B2675CA"/>
    <w:rsid w:val="0B2AB521"/>
    <w:rsid w:val="0B2E05CC"/>
    <w:rsid w:val="0B2FD61F"/>
    <w:rsid w:val="0B30716B"/>
    <w:rsid w:val="0B3B12E4"/>
    <w:rsid w:val="0B3FF799"/>
    <w:rsid w:val="0B431D28"/>
    <w:rsid w:val="0B44060E"/>
    <w:rsid w:val="0B46C7AA"/>
    <w:rsid w:val="0B490978"/>
    <w:rsid w:val="0B4B4287"/>
    <w:rsid w:val="0B4B6458"/>
    <w:rsid w:val="0B4C0AAA"/>
    <w:rsid w:val="0B4D018E"/>
    <w:rsid w:val="0B57A6AC"/>
    <w:rsid w:val="0B581960"/>
    <w:rsid w:val="0B58621C"/>
    <w:rsid w:val="0B591DB8"/>
    <w:rsid w:val="0B5E18E6"/>
    <w:rsid w:val="0B5EB075"/>
    <w:rsid w:val="0B5F88CC"/>
    <w:rsid w:val="0B627886"/>
    <w:rsid w:val="0B650660"/>
    <w:rsid w:val="0B683246"/>
    <w:rsid w:val="0B6FBDC1"/>
    <w:rsid w:val="0B734330"/>
    <w:rsid w:val="0B753BDA"/>
    <w:rsid w:val="0B7A5A7D"/>
    <w:rsid w:val="0B7DE992"/>
    <w:rsid w:val="0B833586"/>
    <w:rsid w:val="0B904D98"/>
    <w:rsid w:val="0B91E570"/>
    <w:rsid w:val="0B9356A7"/>
    <w:rsid w:val="0B9D00AF"/>
    <w:rsid w:val="0B9D723A"/>
    <w:rsid w:val="0B9DD3EA"/>
    <w:rsid w:val="0BA01F6F"/>
    <w:rsid w:val="0BA34D2B"/>
    <w:rsid w:val="0BA6D1A5"/>
    <w:rsid w:val="0BA9DBF6"/>
    <w:rsid w:val="0BAA7D55"/>
    <w:rsid w:val="0BB63265"/>
    <w:rsid w:val="0BB6AE2E"/>
    <w:rsid w:val="0BBF4606"/>
    <w:rsid w:val="0BC1E256"/>
    <w:rsid w:val="0BC2487F"/>
    <w:rsid w:val="0BC357F5"/>
    <w:rsid w:val="0BC3D6B3"/>
    <w:rsid w:val="0BC45310"/>
    <w:rsid w:val="0BC83D13"/>
    <w:rsid w:val="0BC91CD0"/>
    <w:rsid w:val="0BCA0B9F"/>
    <w:rsid w:val="0BCB923D"/>
    <w:rsid w:val="0BCCAF2A"/>
    <w:rsid w:val="0BD1E50A"/>
    <w:rsid w:val="0BD1E7F4"/>
    <w:rsid w:val="0BD4572C"/>
    <w:rsid w:val="0BD7452A"/>
    <w:rsid w:val="0BD89B94"/>
    <w:rsid w:val="0BDD69B0"/>
    <w:rsid w:val="0BDF0275"/>
    <w:rsid w:val="0BE637C6"/>
    <w:rsid w:val="0BE6FE9F"/>
    <w:rsid w:val="0BE7230A"/>
    <w:rsid w:val="0BED64EC"/>
    <w:rsid w:val="0C0104CA"/>
    <w:rsid w:val="0C01CD40"/>
    <w:rsid w:val="0C057352"/>
    <w:rsid w:val="0C0BDEEE"/>
    <w:rsid w:val="0C0C2DE5"/>
    <w:rsid w:val="0C10815F"/>
    <w:rsid w:val="0C1226CF"/>
    <w:rsid w:val="0C14EF64"/>
    <w:rsid w:val="0C1AB333"/>
    <w:rsid w:val="0C1B5529"/>
    <w:rsid w:val="0C1BD4DB"/>
    <w:rsid w:val="0C1E25D9"/>
    <w:rsid w:val="0C1FD488"/>
    <w:rsid w:val="0C21996D"/>
    <w:rsid w:val="0C22FA0A"/>
    <w:rsid w:val="0C23EBF3"/>
    <w:rsid w:val="0C241BA3"/>
    <w:rsid w:val="0C25D64B"/>
    <w:rsid w:val="0C28BEAB"/>
    <w:rsid w:val="0C35E98B"/>
    <w:rsid w:val="0C385D3F"/>
    <w:rsid w:val="0C3869CA"/>
    <w:rsid w:val="0C3BC2B1"/>
    <w:rsid w:val="0C3E2F01"/>
    <w:rsid w:val="0C429187"/>
    <w:rsid w:val="0C429B9B"/>
    <w:rsid w:val="0C4C7CBD"/>
    <w:rsid w:val="0C4E75D4"/>
    <w:rsid w:val="0C4F94EE"/>
    <w:rsid w:val="0C58224C"/>
    <w:rsid w:val="0C59352F"/>
    <w:rsid w:val="0C594099"/>
    <w:rsid w:val="0C59635E"/>
    <w:rsid w:val="0C612091"/>
    <w:rsid w:val="0C635021"/>
    <w:rsid w:val="0C691ED8"/>
    <w:rsid w:val="0C76C7AB"/>
    <w:rsid w:val="0C77A036"/>
    <w:rsid w:val="0C82CB5B"/>
    <w:rsid w:val="0C87EB9E"/>
    <w:rsid w:val="0C8828B8"/>
    <w:rsid w:val="0C8BDB24"/>
    <w:rsid w:val="0C8EA1E8"/>
    <w:rsid w:val="0C92FE78"/>
    <w:rsid w:val="0C941444"/>
    <w:rsid w:val="0C9703FB"/>
    <w:rsid w:val="0C9A61D1"/>
    <w:rsid w:val="0C9FB210"/>
    <w:rsid w:val="0CA36552"/>
    <w:rsid w:val="0CA42CC7"/>
    <w:rsid w:val="0CA79E9B"/>
    <w:rsid w:val="0CAA751D"/>
    <w:rsid w:val="0CAB625B"/>
    <w:rsid w:val="0CAD0106"/>
    <w:rsid w:val="0CAF882F"/>
    <w:rsid w:val="0CB2EAED"/>
    <w:rsid w:val="0CB71FDB"/>
    <w:rsid w:val="0CBB6B31"/>
    <w:rsid w:val="0CBBA4E8"/>
    <w:rsid w:val="0CBD53E5"/>
    <w:rsid w:val="0CC020A2"/>
    <w:rsid w:val="0CC02802"/>
    <w:rsid w:val="0CC267E0"/>
    <w:rsid w:val="0CC3706D"/>
    <w:rsid w:val="0CCAE092"/>
    <w:rsid w:val="0CCB6A9C"/>
    <w:rsid w:val="0CCEEEBD"/>
    <w:rsid w:val="0CD367BD"/>
    <w:rsid w:val="0CDEA458"/>
    <w:rsid w:val="0CE07724"/>
    <w:rsid w:val="0CE69418"/>
    <w:rsid w:val="0CE92B92"/>
    <w:rsid w:val="0CE947FD"/>
    <w:rsid w:val="0CE9F02F"/>
    <w:rsid w:val="0CECC78F"/>
    <w:rsid w:val="0CEE931E"/>
    <w:rsid w:val="0CF862A6"/>
    <w:rsid w:val="0CFE18BE"/>
    <w:rsid w:val="0CFEFBBB"/>
    <w:rsid w:val="0D00AE89"/>
    <w:rsid w:val="0D00E47F"/>
    <w:rsid w:val="0D00EAB0"/>
    <w:rsid w:val="0D01169E"/>
    <w:rsid w:val="0D042AA6"/>
    <w:rsid w:val="0D097498"/>
    <w:rsid w:val="0D0A78AC"/>
    <w:rsid w:val="0D101E32"/>
    <w:rsid w:val="0D148DA2"/>
    <w:rsid w:val="0D1578AE"/>
    <w:rsid w:val="0D189F94"/>
    <w:rsid w:val="0D1D76BA"/>
    <w:rsid w:val="0D1E6204"/>
    <w:rsid w:val="0D208FFC"/>
    <w:rsid w:val="0D26B260"/>
    <w:rsid w:val="0D285A20"/>
    <w:rsid w:val="0D2BE1B5"/>
    <w:rsid w:val="0D2E87E6"/>
    <w:rsid w:val="0D303DEF"/>
    <w:rsid w:val="0D35A665"/>
    <w:rsid w:val="0D3882CD"/>
    <w:rsid w:val="0D3A4370"/>
    <w:rsid w:val="0D3DA0FC"/>
    <w:rsid w:val="0D3DCE5D"/>
    <w:rsid w:val="0D3EB32A"/>
    <w:rsid w:val="0D414FF2"/>
    <w:rsid w:val="0D436939"/>
    <w:rsid w:val="0D4A7423"/>
    <w:rsid w:val="0D4E021A"/>
    <w:rsid w:val="0D4E7881"/>
    <w:rsid w:val="0D50821B"/>
    <w:rsid w:val="0D50C22F"/>
    <w:rsid w:val="0D51A476"/>
    <w:rsid w:val="0D527267"/>
    <w:rsid w:val="0D5404F6"/>
    <w:rsid w:val="0D553BDE"/>
    <w:rsid w:val="0D577D16"/>
    <w:rsid w:val="0D57B867"/>
    <w:rsid w:val="0D58E549"/>
    <w:rsid w:val="0D61EDF1"/>
    <w:rsid w:val="0D6AC292"/>
    <w:rsid w:val="0D6AEF3A"/>
    <w:rsid w:val="0D6D83E4"/>
    <w:rsid w:val="0D6ED8FA"/>
    <w:rsid w:val="0D78F821"/>
    <w:rsid w:val="0D799FCF"/>
    <w:rsid w:val="0D7B40D9"/>
    <w:rsid w:val="0D7C3AE2"/>
    <w:rsid w:val="0D7DA0EE"/>
    <w:rsid w:val="0D843D59"/>
    <w:rsid w:val="0D870860"/>
    <w:rsid w:val="0D895C6E"/>
    <w:rsid w:val="0D8B9547"/>
    <w:rsid w:val="0D91017E"/>
    <w:rsid w:val="0D92CF7B"/>
    <w:rsid w:val="0D936B11"/>
    <w:rsid w:val="0D93D868"/>
    <w:rsid w:val="0D945EAC"/>
    <w:rsid w:val="0D954DF7"/>
    <w:rsid w:val="0D97932E"/>
    <w:rsid w:val="0D98F75E"/>
    <w:rsid w:val="0D9B0C0E"/>
    <w:rsid w:val="0D9E04C7"/>
    <w:rsid w:val="0DA61EC0"/>
    <w:rsid w:val="0DA8E5D6"/>
    <w:rsid w:val="0DAC3E46"/>
    <w:rsid w:val="0DAE1160"/>
    <w:rsid w:val="0DAF9F23"/>
    <w:rsid w:val="0DB11E19"/>
    <w:rsid w:val="0DB71D8C"/>
    <w:rsid w:val="0DB99A2D"/>
    <w:rsid w:val="0DBA745E"/>
    <w:rsid w:val="0DBACDBF"/>
    <w:rsid w:val="0DC0E537"/>
    <w:rsid w:val="0DC3862A"/>
    <w:rsid w:val="0DCA57AA"/>
    <w:rsid w:val="0DCD3C35"/>
    <w:rsid w:val="0DCED71E"/>
    <w:rsid w:val="0DD3E5A1"/>
    <w:rsid w:val="0DDB97ED"/>
    <w:rsid w:val="0DDD58D1"/>
    <w:rsid w:val="0DE2E887"/>
    <w:rsid w:val="0DFAE00B"/>
    <w:rsid w:val="0DFB8B26"/>
    <w:rsid w:val="0DFC642B"/>
    <w:rsid w:val="0E0064E7"/>
    <w:rsid w:val="0E029472"/>
    <w:rsid w:val="0E039F6C"/>
    <w:rsid w:val="0E044326"/>
    <w:rsid w:val="0E06758F"/>
    <w:rsid w:val="0E0C2C3C"/>
    <w:rsid w:val="0E0E917D"/>
    <w:rsid w:val="0E108B9B"/>
    <w:rsid w:val="0E12FE43"/>
    <w:rsid w:val="0E14E612"/>
    <w:rsid w:val="0E14E6D8"/>
    <w:rsid w:val="0E17F7D5"/>
    <w:rsid w:val="0E1C46EF"/>
    <w:rsid w:val="0E21DE8F"/>
    <w:rsid w:val="0E25EF51"/>
    <w:rsid w:val="0E2819E7"/>
    <w:rsid w:val="0E2A3A1B"/>
    <w:rsid w:val="0E2F20CB"/>
    <w:rsid w:val="0E312E8A"/>
    <w:rsid w:val="0E3306BA"/>
    <w:rsid w:val="0E35DDF9"/>
    <w:rsid w:val="0E3B2394"/>
    <w:rsid w:val="0E3DAB03"/>
    <w:rsid w:val="0E3F6BAC"/>
    <w:rsid w:val="0E40BBB8"/>
    <w:rsid w:val="0E44B11B"/>
    <w:rsid w:val="0E44C744"/>
    <w:rsid w:val="0E45BBE3"/>
    <w:rsid w:val="0E47C9D8"/>
    <w:rsid w:val="0E48CBAF"/>
    <w:rsid w:val="0E48DF6F"/>
    <w:rsid w:val="0E4E2097"/>
    <w:rsid w:val="0E57044C"/>
    <w:rsid w:val="0E5B8247"/>
    <w:rsid w:val="0E5F1729"/>
    <w:rsid w:val="0E5FB1EF"/>
    <w:rsid w:val="0E60C203"/>
    <w:rsid w:val="0E6251C6"/>
    <w:rsid w:val="0E63789B"/>
    <w:rsid w:val="0E671E3E"/>
    <w:rsid w:val="0E69231F"/>
    <w:rsid w:val="0E6C2CBB"/>
    <w:rsid w:val="0E746E1B"/>
    <w:rsid w:val="0E7AEB33"/>
    <w:rsid w:val="0E7EB3B6"/>
    <w:rsid w:val="0E80BFBA"/>
    <w:rsid w:val="0E878654"/>
    <w:rsid w:val="0E8D573A"/>
    <w:rsid w:val="0E8F9CD3"/>
    <w:rsid w:val="0E901826"/>
    <w:rsid w:val="0E92DA7F"/>
    <w:rsid w:val="0EA2EF48"/>
    <w:rsid w:val="0EA4B27F"/>
    <w:rsid w:val="0EA5A1AD"/>
    <w:rsid w:val="0EAA0D86"/>
    <w:rsid w:val="0EAB4D31"/>
    <w:rsid w:val="0EB47EF7"/>
    <w:rsid w:val="0EB95182"/>
    <w:rsid w:val="0EBB7CC9"/>
    <w:rsid w:val="0EC195A4"/>
    <w:rsid w:val="0EC764E5"/>
    <w:rsid w:val="0ED22343"/>
    <w:rsid w:val="0EDE2158"/>
    <w:rsid w:val="0EE205BD"/>
    <w:rsid w:val="0EE7DA91"/>
    <w:rsid w:val="0EE9C869"/>
    <w:rsid w:val="0EF3BF05"/>
    <w:rsid w:val="0EFEBC1E"/>
    <w:rsid w:val="0F0430F6"/>
    <w:rsid w:val="0F04F967"/>
    <w:rsid w:val="0F0C082C"/>
    <w:rsid w:val="0F0E1F1D"/>
    <w:rsid w:val="0F11D65B"/>
    <w:rsid w:val="0F12D94D"/>
    <w:rsid w:val="0F1942A0"/>
    <w:rsid w:val="0F1A1C7D"/>
    <w:rsid w:val="0F1DCA3D"/>
    <w:rsid w:val="0F1F385D"/>
    <w:rsid w:val="0F2C539A"/>
    <w:rsid w:val="0F2FF83B"/>
    <w:rsid w:val="0F35FB58"/>
    <w:rsid w:val="0F3E1D8B"/>
    <w:rsid w:val="0F3F7E4A"/>
    <w:rsid w:val="0F41BACF"/>
    <w:rsid w:val="0F4214E4"/>
    <w:rsid w:val="0F435ED1"/>
    <w:rsid w:val="0F44E2C2"/>
    <w:rsid w:val="0F4BAD15"/>
    <w:rsid w:val="0F4D5B03"/>
    <w:rsid w:val="0F5026AF"/>
    <w:rsid w:val="0F5305B0"/>
    <w:rsid w:val="0F5BE289"/>
    <w:rsid w:val="0F5EDE59"/>
    <w:rsid w:val="0F5FA510"/>
    <w:rsid w:val="0F625E8A"/>
    <w:rsid w:val="0F63CF39"/>
    <w:rsid w:val="0F66E68E"/>
    <w:rsid w:val="0F67211E"/>
    <w:rsid w:val="0F69176C"/>
    <w:rsid w:val="0F69DDB9"/>
    <w:rsid w:val="0F6B1906"/>
    <w:rsid w:val="0F707A05"/>
    <w:rsid w:val="0F72695A"/>
    <w:rsid w:val="0F738AF4"/>
    <w:rsid w:val="0F762E9C"/>
    <w:rsid w:val="0F7DC1BF"/>
    <w:rsid w:val="0F7EAF75"/>
    <w:rsid w:val="0F7FA777"/>
    <w:rsid w:val="0F82E880"/>
    <w:rsid w:val="0F8BF39A"/>
    <w:rsid w:val="0F900E94"/>
    <w:rsid w:val="0F925530"/>
    <w:rsid w:val="0F9762C9"/>
    <w:rsid w:val="0F97C4DD"/>
    <w:rsid w:val="0F9C4A98"/>
    <w:rsid w:val="0F9E0EF4"/>
    <w:rsid w:val="0F9FE72A"/>
    <w:rsid w:val="0FA353E2"/>
    <w:rsid w:val="0FA3DB99"/>
    <w:rsid w:val="0FA62572"/>
    <w:rsid w:val="0FAA63A4"/>
    <w:rsid w:val="0FAB00AD"/>
    <w:rsid w:val="0FACAE32"/>
    <w:rsid w:val="0FB0AAF4"/>
    <w:rsid w:val="0FB25CD3"/>
    <w:rsid w:val="0FBF8C60"/>
    <w:rsid w:val="0FC5797D"/>
    <w:rsid w:val="0FC73402"/>
    <w:rsid w:val="0FC7F931"/>
    <w:rsid w:val="0FCDDC95"/>
    <w:rsid w:val="0FD26FF7"/>
    <w:rsid w:val="0FDAC7C9"/>
    <w:rsid w:val="0FDE3602"/>
    <w:rsid w:val="0FE0A148"/>
    <w:rsid w:val="0FE579F0"/>
    <w:rsid w:val="0FE58BCD"/>
    <w:rsid w:val="0FED4081"/>
    <w:rsid w:val="0FF08389"/>
    <w:rsid w:val="0FF0D1C2"/>
    <w:rsid w:val="0FF1F030"/>
    <w:rsid w:val="0FF23A13"/>
    <w:rsid w:val="0FF4882E"/>
    <w:rsid w:val="0FF5A7E7"/>
    <w:rsid w:val="0FF5EA09"/>
    <w:rsid w:val="0FFA228F"/>
    <w:rsid w:val="1001C004"/>
    <w:rsid w:val="10040BD1"/>
    <w:rsid w:val="10049813"/>
    <w:rsid w:val="10124117"/>
    <w:rsid w:val="10128149"/>
    <w:rsid w:val="1016C6CA"/>
    <w:rsid w:val="1017762D"/>
    <w:rsid w:val="101DC013"/>
    <w:rsid w:val="1027BFB4"/>
    <w:rsid w:val="1027D981"/>
    <w:rsid w:val="1029C027"/>
    <w:rsid w:val="1030C4D5"/>
    <w:rsid w:val="10346A04"/>
    <w:rsid w:val="103C428B"/>
    <w:rsid w:val="1040B26A"/>
    <w:rsid w:val="1042AAC2"/>
    <w:rsid w:val="10432299"/>
    <w:rsid w:val="1045F5BD"/>
    <w:rsid w:val="10482237"/>
    <w:rsid w:val="104889B5"/>
    <w:rsid w:val="104B4194"/>
    <w:rsid w:val="104D0762"/>
    <w:rsid w:val="10506093"/>
    <w:rsid w:val="1054EF8D"/>
    <w:rsid w:val="10583F37"/>
    <w:rsid w:val="105BA284"/>
    <w:rsid w:val="105E1FCF"/>
    <w:rsid w:val="105FAFA6"/>
    <w:rsid w:val="10646DBB"/>
    <w:rsid w:val="1065FFA8"/>
    <w:rsid w:val="10662D1B"/>
    <w:rsid w:val="1067CD81"/>
    <w:rsid w:val="106C291E"/>
    <w:rsid w:val="106CD66E"/>
    <w:rsid w:val="106D8B21"/>
    <w:rsid w:val="107477CA"/>
    <w:rsid w:val="1075E3A9"/>
    <w:rsid w:val="108359AB"/>
    <w:rsid w:val="108421A8"/>
    <w:rsid w:val="108AC0A9"/>
    <w:rsid w:val="108B388B"/>
    <w:rsid w:val="108E4F4A"/>
    <w:rsid w:val="1093B932"/>
    <w:rsid w:val="1099B6E2"/>
    <w:rsid w:val="109CF950"/>
    <w:rsid w:val="109F36F0"/>
    <w:rsid w:val="10A4C01D"/>
    <w:rsid w:val="10A5961B"/>
    <w:rsid w:val="10A76C95"/>
    <w:rsid w:val="10A77E3F"/>
    <w:rsid w:val="10A7957E"/>
    <w:rsid w:val="10A95765"/>
    <w:rsid w:val="10AB2A60"/>
    <w:rsid w:val="10B3A704"/>
    <w:rsid w:val="10B5A898"/>
    <w:rsid w:val="10B8685E"/>
    <w:rsid w:val="10BC84BF"/>
    <w:rsid w:val="10C54BC5"/>
    <w:rsid w:val="10C92467"/>
    <w:rsid w:val="10C978CC"/>
    <w:rsid w:val="10CB7B49"/>
    <w:rsid w:val="10CFA0E8"/>
    <w:rsid w:val="10D42F60"/>
    <w:rsid w:val="10DDA5FE"/>
    <w:rsid w:val="10DF74E3"/>
    <w:rsid w:val="10DFF63F"/>
    <w:rsid w:val="10E22234"/>
    <w:rsid w:val="10E3F282"/>
    <w:rsid w:val="10E5343E"/>
    <w:rsid w:val="10E6F337"/>
    <w:rsid w:val="10EE68CE"/>
    <w:rsid w:val="10EEE8A2"/>
    <w:rsid w:val="10EF0548"/>
    <w:rsid w:val="10F03A92"/>
    <w:rsid w:val="10F2C134"/>
    <w:rsid w:val="10F51E82"/>
    <w:rsid w:val="10F903BF"/>
    <w:rsid w:val="10FDB2ED"/>
    <w:rsid w:val="10FF4142"/>
    <w:rsid w:val="1100BF98"/>
    <w:rsid w:val="1104314E"/>
    <w:rsid w:val="1109EB5E"/>
    <w:rsid w:val="110C78D3"/>
    <w:rsid w:val="110FC114"/>
    <w:rsid w:val="11194B07"/>
    <w:rsid w:val="111B66C5"/>
    <w:rsid w:val="11225846"/>
    <w:rsid w:val="1127ED79"/>
    <w:rsid w:val="11293382"/>
    <w:rsid w:val="112A9768"/>
    <w:rsid w:val="113447FE"/>
    <w:rsid w:val="1138644E"/>
    <w:rsid w:val="113B6EB3"/>
    <w:rsid w:val="11405520"/>
    <w:rsid w:val="1141A970"/>
    <w:rsid w:val="1141F72D"/>
    <w:rsid w:val="1142B587"/>
    <w:rsid w:val="1144F1DB"/>
    <w:rsid w:val="11464791"/>
    <w:rsid w:val="114B73B0"/>
    <w:rsid w:val="1154929D"/>
    <w:rsid w:val="1155869F"/>
    <w:rsid w:val="11565905"/>
    <w:rsid w:val="115B07B0"/>
    <w:rsid w:val="115C1B4D"/>
    <w:rsid w:val="115D7C72"/>
    <w:rsid w:val="11603F3D"/>
    <w:rsid w:val="1160FD14"/>
    <w:rsid w:val="1161E6C7"/>
    <w:rsid w:val="11627255"/>
    <w:rsid w:val="11628ABE"/>
    <w:rsid w:val="1167704C"/>
    <w:rsid w:val="1168CAD3"/>
    <w:rsid w:val="1169D1BD"/>
    <w:rsid w:val="116D5EBC"/>
    <w:rsid w:val="1177C86A"/>
    <w:rsid w:val="117950A4"/>
    <w:rsid w:val="117FEC7A"/>
    <w:rsid w:val="118583DB"/>
    <w:rsid w:val="1189F2B8"/>
    <w:rsid w:val="118D5447"/>
    <w:rsid w:val="1193E690"/>
    <w:rsid w:val="1195C4CE"/>
    <w:rsid w:val="1199ED06"/>
    <w:rsid w:val="119D1B8F"/>
    <w:rsid w:val="11A29A81"/>
    <w:rsid w:val="11AE0C21"/>
    <w:rsid w:val="11AEA8DE"/>
    <w:rsid w:val="11B36CD9"/>
    <w:rsid w:val="11BAFD14"/>
    <w:rsid w:val="11BC82A2"/>
    <w:rsid w:val="11C55D6B"/>
    <w:rsid w:val="11C65FD2"/>
    <w:rsid w:val="11C85B3D"/>
    <w:rsid w:val="11C8A432"/>
    <w:rsid w:val="11CB4FAB"/>
    <w:rsid w:val="11CBC0A0"/>
    <w:rsid w:val="11D0F9B6"/>
    <w:rsid w:val="11D5652D"/>
    <w:rsid w:val="11DB58BF"/>
    <w:rsid w:val="11E68427"/>
    <w:rsid w:val="11E6875F"/>
    <w:rsid w:val="11ECCBC5"/>
    <w:rsid w:val="11F2DA58"/>
    <w:rsid w:val="11F3A99F"/>
    <w:rsid w:val="11F807F6"/>
    <w:rsid w:val="11F928DD"/>
    <w:rsid w:val="11FBFF37"/>
    <w:rsid w:val="12033FF9"/>
    <w:rsid w:val="120D2CF1"/>
    <w:rsid w:val="1215051A"/>
    <w:rsid w:val="1217AFDF"/>
    <w:rsid w:val="1217C06F"/>
    <w:rsid w:val="121AB8A7"/>
    <w:rsid w:val="121C1F8B"/>
    <w:rsid w:val="121E563A"/>
    <w:rsid w:val="123195C3"/>
    <w:rsid w:val="1234B131"/>
    <w:rsid w:val="12374E77"/>
    <w:rsid w:val="12425072"/>
    <w:rsid w:val="124AD582"/>
    <w:rsid w:val="124D2E1B"/>
    <w:rsid w:val="124D7D5E"/>
    <w:rsid w:val="1250E362"/>
    <w:rsid w:val="125664BC"/>
    <w:rsid w:val="12569B0F"/>
    <w:rsid w:val="1258EBE5"/>
    <w:rsid w:val="125A5FE0"/>
    <w:rsid w:val="125CBA6A"/>
    <w:rsid w:val="125D3FEB"/>
    <w:rsid w:val="1261B950"/>
    <w:rsid w:val="12694F04"/>
    <w:rsid w:val="126A3E74"/>
    <w:rsid w:val="126D7A65"/>
    <w:rsid w:val="12702AA9"/>
    <w:rsid w:val="1274C430"/>
    <w:rsid w:val="12806CB8"/>
    <w:rsid w:val="12836036"/>
    <w:rsid w:val="128BCEAA"/>
    <w:rsid w:val="129B6445"/>
    <w:rsid w:val="129CA4DA"/>
    <w:rsid w:val="12A0BF7B"/>
    <w:rsid w:val="12A0EF9E"/>
    <w:rsid w:val="12A10793"/>
    <w:rsid w:val="12A5CFF9"/>
    <w:rsid w:val="12AE6A6D"/>
    <w:rsid w:val="12B07CA7"/>
    <w:rsid w:val="12B48856"/>
    <w:rsid w:val="12B6FC1F"/>
    <w:rsid w:val="12BB7353"/>
    <w:rsid w:val="12C20258"/>
    <w:rsid w:val="12C30EEC"/>
    <w:rsid w:val="12C384C7"/>
    <w:rsid w:val="12C8A4E2"/>
    <w:rsid w:val="12C9BC17"/>
    <w:rsid w:val="12CED7B3"/>
    <w:rsid w:val="12CF881D"/>
    <w:rsid w:val="12D181EC"/>
    <w:rsid w:val="12D778D6"/>
    <w:rsid w:val="12DD9275"/>
    <w:rsid w:val="12DDA050"/>
    <w:rsid w:val="12E1EAD9"/>
    <w:rsid w:val="12E3F248"/>
    <w:rsid w:val="12E4E5C7"/>
    <w:rsid w:val="12E516B5"/>
    <w:rsid w:val="12E5689A"/>
    <w:rsid w:val="12E5792F"/>
    <w:rsid w:val="12EA9501"/>
    <w:rsid w:val="12ED6DBF"/>
    <w:rsid w:val="12FD9AAA"/>
    <w:rsid w:val="1300008B"/>
    <w:rsid w:val="1300CACC"/>
    <w:rsid w:val="130143B0"/>
    <w:rsid w:val="1302F823"/>
    <w:rsid w:val="1304818D"/>
    <w:rsid w:val="130C7E76"/>
    <w:rsid w:val="1311E8C5"/>
    <w:rsid w:val="131EBA3F"/>
    <w:rsid w:val="13226E10"/>
    <w:rsid w:val="1324B65F"/>
    <w:rsid w:val="13262227"/>
    <w:rsid w:val="13266E3C"/>
    <w:rsid w:val="132946FF"/>
    <w:rsid w:val="1333A775"/>
    <w:rsid w:val="1333AAD5"/>
    <w:rsid w:val="13358B96"/>
    <w:rsid w:val="133790BF"/>
    <w:rsid w:val="133C4881"/>
    <w:rsid w:val="1341448A"/>
    <w:rsid w:val="13432259"/>
    <w:rsid w:val="13433927"/>
    <w:rsid w:val="135026FB"/>
    <w:rsid w:val="1352FC90"/>
    <w:rsid w:val="13583959"/>
    <w:rsid w:val="135907A5"/>
    <w:rsid w:val="135965CE"/>
    <w:rsid w:val="135A7EC2"/>
    <w:rsid w:val="135DCEB2"/>
    <w:rsid w:val="135E4CD4"/>
    <w:rsid w:val="1362FA6F"/>
    <w:rsid w:val="1365FA22"/>
    <w:rsid w:val="1367D6A7"/>
    <w:rsid w:val="13691C6E"/>
    <w:rsid w:val="136E7193"/>
    <w:rsid w:val="1370B250"/>
    <w:rsid w:val="13770BB6"/>
    <w:rsid w:val="13781DFC"/>
    <w:rsid w:val="13790E3C"/>
    <w:rsid w:val="137918B5"/>
    <w:rsid w:val="1379DFCA"/>
    <w:rsid w:val="137AE280"/>
    <w:rsid w:val="137D340A"/>
    <w:rsid w:val="137E473F"/>
    <w:rsid w:val="1380AF44"/>
    <w:rsid w:val="13839A72"/>
    <w:rsid w:val="13851B09"/>
    <w:rsid w:val="1388AB34"/>
    <w:rsid w:val="1389D323"/>
    <w:rsid w:val="1391A626"/>
    <w:rsid w:val="139A1C57"/>
    <w:rsid w:val="139B103C"/>
    <w:rsid w:val="13A42FF0"/>
    <w:rsid w:val="13A46F6C"/>
    <w:rsid w:val="13B0BA8E"/>
    <w:rsid w:val="13B3270A"/>
    <w:rsid w:val="13B49767"/>
    <w:rsid w:val="13B5A67C"/>
    <w:rsid w:val="13BC3BC9"/>
    <w:rsid w:val="13C1F940"/>
    <w:rsid w:val="13C26830"/>
    <w:rsid w:val="13C3B2BB"/>
    <w:rsid w:val="13C3D631"/>
    <w:rsid w:val="13D377A4"/>
    <w:rsid w:val="13D92DEF"/>
    <w:rsid w:val="13DA2D78"/>
    <w:rsid w:val="13DCA652"/>
    <w:rsid w:val="13E19499"/>
    <w:rsid w:val="13E21F30"/>
    <w:rsid w:val="13E2292A"/>
    <w:rsid w:val="13E2CDEB"/>
    <w:rsid w:val="13E5B9C9"/>
    <w:rsid w:val="13E6E3D1"/>
    <w:rsid w:val="13E6E796"/>
    <w:rsid w:val="13E6FCC4"/>
    <w:rsid w:val="13E78F3D"/>
    <w:rsid w:val="13EB7396"/>
    <w:rsid w:val="13F2846D"/>
    <w:rsid w:val="13F4A149"/>
    <w:rsid w:val="13F56A39"/>
    <w:rsid w:val="13F73830"/>
    <w:rsid w:val="13FAF3C3"/>
    <w:rsid w:val="13FC4F6D"/>
    <w:rsid w:val="140696FC"/>
    <w:rsid w:val="1409E475"/>
    <w:rsid w:val="140FF6C8"/>
    <w:rsid w:val="14189CF9"/>
    <w:rsid w:val="141E43BD"/>
    <w:rsid w:val="14220220"/>
    <w:rsid w:val="14286BC4"/>
    <w:rsid w:val="14289670"/>
    <w:rsid w:val="142A61F6"/>
    <w:rsid w:val="142C49D6"/>
    <w:rsid w:val="142C7946"/>
    <w:rsid w:val="14300B13"/>
    <w:rsid w:val="143F3BFF"/>
    <w:rsid w:val="143F8287"/>
    <w:rsid w:val="1442910B"/>
    <w:rsid w:val="1447F542"/>
    <w:rsid w:val="144B4480"/>
    <w:rsid w:val="144F2808"/>
    <w:rsid w:val="14501B47"/>
    <w:rsid w:val="14596FAB"/>
    <w:rsid w:val="145CA3ED"/>
    <w:rsid w:val="145D1FA7"/>
    <w:rsid w:val="14658F54"/>
    <w:rsid w:val="146639BF"/>
    <w:rsid w:val="146D435C"/>
    <w:rsid w:val="146F13F4"/>
    <w:rsid w:val="1476E31C"/>
    <w:rsid w:val="14776338"/>
    <w:rsid w:val="147A0800"/>
    <w:rsid w:val="14838256"/>
    <w:rsid w:val="14839CAD"/>
    <w:rsid w:val="148FAC83"/>
    <w:rsid w:val="14924697"/>
    <w:rsid w:val="1497C244"/>
    <w:rsid w:val="149A2311"/>
    <w:rsid w:val="149F7D6A"/>
    <w:rsid w:val="14A07449"/>
    <w:rsid w:val="14A1C783"/>
    <w:rsid w:val="14A7C89C"/>
    <w:rsid w:val="14A865C5"/>
    <w:rsid w:val="14ACF6F8"/>
    <w:rsid w:val="14AFF983"/>
    <w:rsid w:val="14B0392C"/>
    <w:rsid w:val="14BB1222"/>
    <w:rsid w:val="14BB66BB"/>
    <w:rsid w:val="14C1137D"/>
    <w:rsid w:val="14C185F1"/>
    <w:rsid w:val="14C3CCEA"/>
    <w:rsid w:val="14C7A931"/>
    <w:rsid w:val="14C8D83B"/>
    <w:rsid w:val="14C90D27"/>
    <w:rsid w:val="14C97BA9"/>
    <w:rsid w:val="14C9EE82"/>
    <w:rsid w:val="14CA323B"/>
    <w:rsid w:val="14D782AA"/>
    <w:rsid w:val="14D849EE"/>
    <w:rsid w:val="14D9938E"/>
    <w:rsid w:val="14DCD598"/>
    <w:rsid w:val="14E23EB3"/>
    <w:rsid w:val="14E4332C"/>
    <w:rsid w:val="14E60DA7"/>
    <w:rsid w:val="14E8D735"/>
    <w:rsid w:val="14EBD57E"/>
    <w:rsid w:val="14EDBB0F"/>
    <w:rsid w:val="14F08C10"/>
    <w:rsid w:val="14F188A4"/>
    <w:rsid w:val="14F3A845"/>
    <w:rsid w:val="14F500DB"/>
    <w:rsid w:val="14F59EB9"/>
    <w:rsid w:val="14F91DB0"/>
    <w:rsid w:val="14FDF234"/>
    <w:rsid w:val="14FF9BFF"/>
    <w:rsid w:val="14FFADCF"/>
    <w:rsid w:val="1502C373"/>
    <w:rsid w:val="150A8807"/>
    <w:rsid w:val="150B5288"/>
    <w:rsid w:val="150E8A85"/>
    <w:rsid w:val="1510356D"/>
    <w:rsid w:val="15132B04"/>
    <w:rsid w:val="1514F8F0"/>
    <w:rsid w:val="15171BB8"/>
    <w:rsid w:val="151830CD"/>
    <w:rsid w:val="151B57F1"/>
    <w:rsid w:val="151D26FE"/>
    <w:rsid w:val="151D823C"/>
    <w:rsid w:val="152254FD"/>
    <w:rsid w:val="15289E5C"/>
    <w:rsid w:val="15296257"/>
    <w:rsid w:val="1529DE33"/>
    <w:rsid w:val="152A09C0"/>
    <w:rsid w:val="152E3B6D"/>
    <w:rsid w:val="1534D60F"/>
    <w:rsid w:val="1538FE9E"/>
    <w:rsid w:val="153952A4"/>
    <w:rsid w:val="153DC012"/>
    <w:rsid w:val="153DE77A"/>
    <w:rsid w:val="153FB22B"/>
    <w:rsid w:val="15409B6E"/>
    <w:rsid w:val="1547EF80"/>
    <w:rsid w:val="15491D0E"/>
    <w:rsid w:val="154C83D5"/>
    <w:rsid w:val="154CDD72"/>
    <w:rsid w:val="1550FD22"/>
    <w:rsid w:val="155700AF"/>
    <w:rsid w:val="155DA69D"/>
    <w:rsid w:val="155F78E2"/>
    <w:rsid w:val="15626486"/>
    <w:rsid w:val="15633295"/>
    <w:rsid w:val="1564017B"/>
    <w:rsid w:val="1564C62D"/>
    <w:rsid w:val="156575C5"/>
    <w:rsid w:val="15683175"/>
    <w:rsid w:val="156C773C"/>
    <w:rsid w:val="15715D9D"/>
    <w:rsid w:val="15726F57"/>
    <w:rsid w:val="1572F051"/>
    <w:rsid w:val="15742110"/>
    <w:rsid w:val="1576249E"/>
    <w:rsid w:val="15772F1F"/>
    <w:rsid w:val="15785B97"/>
    <w:rsid w:val="15787933"/>
    <w:rsid w:val="157919C4"/>
    <w:rsid w:val="157A5545"/>
    <w:rsid w:val="157A66AC"/>
    <w:rsid w:val="157B95C8"/>
    <w:rsid w:val="15805EAD"/>
    <w:rsid w:val="1581A0CD"/>
    <w:rsid w:val="15851567"/>
    <w:rsid w:val="15851AEA"/>
    <w:rsid w:val="158528C2"/>
    <w:rsid w:val="1585C914"/>
    <w:rsid w:val="1585CB9B"/>
    <w:rsid w:val="15861B55"/>
    <w:rsid w:val="15876657"/>
    <w:rsid w:val="1593844C"/>
    <w:rsid w:val="15941CD1"/>
    <w:rsid w:val="1598D7A5"/>
    <w:rsid w:val="15A19EDE"/>
    <w:rsid w:val="15A6C909"/>
    <w:rsid w:val="15A704F0"/>
    <w:rsid w:val="15A7934D"/>
    <w:rsid w:val="15A8B0E4"/>
    <w:rsid w:val="15B18E03"/>
    <w:rsid w:val="15B246F2"/>
    <w:rsid w:val="15B291AA"/>
    <w:rsid w:val="15B36256"/>
    <w:rsid w:val="15C33349"/>
    <w:rsid w:val="15C5C467"/>
    <w:rsid w:val="15C8289A"/>
    <w:rsid w:val="15D274EA"/>
    <w:rsid w:val="15D27E5C"/>
    <w:rsid w:val="15D871C5"/>
    <w:rsid w:val="15E16497"/>
    <w:rsid w:val="15E34CE0"/>
    <w:rsid w:val="15E638D4"/>
    <w:rsid w:val="15E702C1"/>
    <w:rsid w:val="15E76130"/>
    <w:rsid w:val="15EEB62A"/>
    <w:rsid w:val="15F03DA0"/>
    <w:rsid w:val="15F0EED1"/>
    <w:rsid w:val="15F1D557"/>
    <w:rsid w:val="15F34ECE"/>
    <w:rsid w:val="15F4D342"/>
    <w:rsid w:val="15F59659"/>
    <w:rsid w:val="15F59E4F"/>
    <w:rsid w:val="15F712C3"/>
    <w:rsid w:val="15F9247A"/>
    <w:rsid w:val="15FB73C6"/>
    <w:rsid w:val="15FE1B9D"/>
    <w:rsid w:val="160045A4"/>
    <w:rsid w:val="16022A71"/>
    <w:rsid w:val="16053457"/>
    <w:rsid w:val="16055E04"/>
    <w:rsid w:val="1606C17D"/>
    <w:rsid w:val="1606E90A"/>
    <w:rsid w:val="160CEB4E"/>
    <w:rsid w:val="160CEB5D"/>
    <w:rsid w:val="160DCAC5"/>
    <w:rsid w:val="1612C83A"/>
    <w:rsid w:val="16149801"/>
    <w:rsid w:val="1615ADD7"/>
    <w:rsid w:val="161AED02"/>
    <w:rsid w:val="161C2F8D"/>
    <w:rsid w:val="161F4ECA"/>
    <w:rsid w:val="161F56BB"/>
    <w:rsid w:val="161F757C"/>
    <w:rsid w:val="16210E52"/>
    <w:rsid w:val="162179B3"/>
    <w:rsid w:val="16233486"/>
    <w:rsid w:val="1626E3CB"/>
    <w:rsid w:val="162C6476"/>
    <w:rsid w:val="162CFBEE"/>
    <w:rsid w:val="162FD108"/>
    <w:rsid w:val="163430B3"/>
    <w:rsid w:val="163512F7"/>
    <w:rsid w:val="1637D8DC"/>
    <w:rsid w:val="1639704A"/>
    <w:rsid w:val="163F7CBD"/>
    <w:rsid w:val="163FABB4"/>
    <w:rsid w:val="16403829"/>
    <w:rsid w:val="1640C5E7"/>
    <w:rsid w:val="16410AC2"/>
    <w:rsid w:val="164571BD"/>
    <w:rsid w:val="16550BDA"/>
    <w:rsid w:val="16571B0F"/>
    <w:rsid w:val="16575EF3"/>
    <w:rsid w:val="165BC638"/>
    <w:rsid w:val="1669BFCB"/>
    <w:rsid w:val="166BBBA1"/>
    <w:rsid w:val="166CE7D8"/>
    <w:rsid w:val="166F92E2"/>
    <w:rsid w:val="167196F6"/>
    <w:rsid w:val="1671C4B2"/>
    <w:rsid w:val="16757F66"/>
    <w:rsid w:val="167967C2"/>
    <w:rsid w:val="167CE2EB"/>
    <w:rsid w:val="1685A5DF"/>
    <w:rsid w:val="168AB517"/>
    <w:rsid w:val="168DFD2E"/>
    <w:rsid w:val="168FF6F5"/>
    <w:rsid w:val="1692EA62"/>
    <w:rsid w:val="16976BBE"/>
    <w:rsid w:val="1697F3C6"/>
    <w:rsid w:val="169E2FD1"/>
    <w:rsid w:val="169EA428"/>
    <w:rsid w:val="169EF793"/>
    <w:rsid w:val="16A59077"/>
    <w:rsid w:val="16A79121"/>
    <w:rsid w:val="16AAD69B"/>
    <w:rsid w:val="16B194D1"/>
    <w:rsid w:val="16B59A3A"/>
    <w:rsid w:val="16B8BB98"/>
    <w:rsid w:val="16BAD303"/>
    <w:rsid w:val="16C2873D"/>
    <w:rsid w:val="16C415A9"/>
    <w:rsid w:val="16C7E164"/>
    <w:rsid w:val="16C82687"/>
    <w:rsid w:val="16CD6781"/>
    <w:rsid w:val="16D3B5A2"/>
    <w:rsid w:val="16D70BA1"/>
    <w:rsid w:val="16D83A3F"/>
    <w:rsid w:val="16DBCE79"/>
    <w:rsid w:val="16DBFBB5"/>
    <w:rsid w:val="16E06370"/>
    <w:rsid w:val="16E944CB"/>
    <w:rsid w:val="16E95939"/>
    <w:rsid w:val="16F26A5C"/>
    <w:rsid w:val="16F3BF01"/>
    <w:rsid w:val="16F49DF8"/>
    <w:rsid w:val="16F8B143"/>
    <w:rsid w:val="16FD18C1"/>
    <w:rsid w:val="17011B39"/>
    <w:rsid w:val="17018E78"/>
    <w:rsid w:val="170562B5"/>
    <w:rsid w:val="1705B449"/>
    <w:rsid w:val="170DBE6E"/>
    <w:rsid w:val="17160429"/>
    <w:rsid w:val="1718BECC"/>
    <w:rsid w:val="171B061E"/>
    <w:rsid w:val="171DAE62"/>
    <w:rsid w:val="171F6A8B"/>
    <w:rsid w:val="1726D4A4"/>
    <w:rsid w:val="172AF193"/>
    <w:rsid w:val="172F883B"/>
    <w:rsid w:val="1730CB9B"/>
    <w:rsid w:val="1735BF5F"/>
    <w:rsid w:val="173C9680"/>
    <w:rsid w:val="174267E4"/>
    <w:rsid w:val="1748BF7E"/>
    <w:rsid w:val="17558CBE"/>
    <w:rsid w:val="1758CF22"/>
    <w:rsid w:val="175B4A16"/>
    <w:rsid w:val="176105D0"/>
    <w:rsid w:val="1763F9F2"/>
    <w:rsid w:val="176751FD"/>
    <w:rsid w:val="176B7E5C"/>
    <w:rsid w:val="176B980C"/>
    <w:rsid w:val="176BCCB8"/>
    <w:rsid w:val="1770D5F4"/>
    <w:rsid w:val="17720967"/>
    <w:rsid w:val="17738E55"/>
    <w:rsid w:val="1773FDF1"/>
    <w:rsid w:val="1776B735"/>
    <w:rsid w:val="1777C136"/>
    <w:rsid w:val="1777CBA5"/>
    <w:rsid w:val="1779411C"/>
    <w:rsid w:val="177D0CFE"/>
    <w:rsid w:val="17803620"/>
    <w:rsid w:val="178350A9"/>
    <w:rsid w:val="17859802"/>
    <w:rsid w:val="1786F7EB"/>
    <w:rsid w:val="178E57A4"/>
    <w:rsid w:val="178F3B80"/>
    <w:rsid w:val="179133F9"/>
    <w:rsid w:val="1793D76A"/>
    <w:rsid w:val="17944793"/>
    <w:rsid w:val="17997201"/>
    <w:rsid w:val="179BD94D"/>
    <w:rsid w:val="179C4D4B"/>
    <w:rsid w:val="179C7973"/>
    <w:rsid w:val="179CCAEC"/>
    <w:rsid w:val="179DFAD2"/>
    <w:rsid w:val="179FC416"/>
    <w:rsid w:val="17A25787"/>
    <w:rsid w:val="17A33C26"/>
    <w:rsid w:val="17A4038B"/>
    <w:rsid w:val="17A955B8"/>
    <w:rsid w:val="17ABA18D"/>
    <w:rsid w:val="17AE220F"/>
    <w:rsid w:val="17B27F97"/>
    <w:rsid w:val="17BA67DD"/>
    <w:rsid w:val="17BB6E9F"/>
    <w:rsid w:val="17BBC96E"/>
    <w:rsid w:val="17BD7026"/>
    <w:rsid w:val="17BEB338"/>
    <w:rsid w:val="17BEB886"/>
    <w:rsid w:val="17BF28C4"/>
    <w:rsid w:val="17C6025F"/>
    <w:rsid w:val="17C8DF15"/>
    <w:rsid w:val="17CA4D3B"/>
    <w:rsid w:val="17CD96E8"/>
    <w:rsid w:val="17D1DD2C"/>
    <w:rsid w:val="17D65887"/>
    <w:rsid w:val="17D997C0"/>
    <w:rsid w:val="17DB1579"/>
    <w:rsid w:val="17DC477E"/>
    <w:rsid w:val="17E217FE"/>
    <w:rsid w:val="17E3586F"/>
    <w:rsid w:val="17EBF053"/>
    <w:rsid w:val="17F29ED0"/>
    <w:rsid w:val="17F4A39D"/>
    <w:rsid w:val="17F8EF27"/>
    <w:rsid w:val="17FCD82A"/>
    <w:rsid w:val="17FF4A0C"/>
    <w:rsid w:val="1804EE44"/>
    <w:rsid w:val="18052A1F"/>
    <w:rsid w:val="18062F0C"/>
    <w:rsid w:val="1806B4CD"/>
    <w:rsid w:val="18080ECE"/>
    <w:rsid w:val="18083D5B"/>
    <w:rsid w:val="18083E37"/>
    <w:rsid w:val="180AC470"/>
    <w:rsid w:val="180BD64B"/>
    <w:rsid w:val="1812B951"/>
    <w:rsid w:val="1812CAAE"/>
    <w:rsid w:val="1814765A"/>
    <w:rsid w:val="181AEDB3"/>
    <w:rsid w:val="181CB583"/>
    <w:rsid w:val="181FE09D"/>
    <w:rsid w:val="18200F8D"/>
    <w:rsid w:val="182412EF"/>
    <w:rsid w:val="182BD314"/>
    <w:rsid w:val="182D50DA"/>
    <w:rsid w:val="18388626"/>
    <w:rsid w:val="183E555B"/>
    <w:rsid w:val="1841B60D"/>
    <w:rsid w:val="1844F81B"/>
    <w:rsid w:val="1846EC1D"/>
    <w:rsid w:val="184AD2CB"/>
    <w:rsid w:val="184C10F9"/>
    <w:rsid w:val="184C9C5E"/>
    <w:rsid w:val="184E58D5"/>
    <w:rsid w:val="18515F00"/>
    <w:rsid w:val="1851839D"/>
    <w:rsid w:val="1854BAE8"/>
    <w:rsid w:val="1854DF9E"/>
    <w:rsid w:val="1854F86A"/>
    <w:rsid w:val="185935BC"/>
    <w:rsid w:val="1861890D"/>
    <w:rsid w:val="186263B2"/>
    <w:rsid w:val="1863024D"/>
    <w:rsid w:val="1865024F"/>
    <w:rsid w:val="186B534C"/>
    <w:rsid w:val="186C3456"/>
    <w:rsid w:val="186CE018"/>
    <w:rsid w:val="186D8F2A"/>
    <w:rsid w:val="1870E2D7"/>
    <w:rsid w:val="18760111"/>
    <w:rsid w:val="18784E75"/>
    <w:rsid w:val="18795AF5"/>
    <w:rsid w:val="187BB483"/>
    <w:rsid w:val="187CC257"/>
    <w:rsid w:val="187E90F9"/>
    <w:rsid w:val="1888CEF5"/>
    <w:rsid w:val="188EB349"/>
    <w:rsid w:val="188FBCFF"/>
    <w:rsid w:val="1895D9A5"/>
    <w:rsid w:val="189B1A49"/>
    <w:rsid w:val="189B484B"/>
    <w:rsid w:val="189C10F0"/>
    <w:rsid w:val="18A3F209"/>
    <w:rsid w:val="18A4206E"/>
    <w:rsid w:val="18A932BC"/>
    <w:rsid w:val="18ABF118"/>
    <w:rsid w:val="18AE0900"/>
    <w:rsid w:val="18B0B0CF"/>
    <w:rsid w:val="18B3E050"/>
    <w:rsid w:val="18B9ECB5"/>
    <w:rsid w:val="18BAEE63"/>
    <w:rsid w:val="18BBB292"/>
    <w:rsid w:val="18BDBDF4"/>
    <w:rsid w:val="18BE41C4"/>
    <w:rsid w:val="18C0FBB8"/>
    <w:rsid w:val="18C3886E"/>
    <w:rsid w:val="18C61597"/>
    <w:rsid w:val="18C766BC"/>
    <w:rsid w:val="18CD13F9"/>
    <w:rsid w:val="18D89D84"/>
    <w:rsid w:val="18DAA60B"/>
    <w:rsid w:val="18E0010F"/>
    <w:rsid w:val="18E587B5"/>
    <w:rsid w:val="18E73BE7"/>
    <w:rsid w:val="18E96BB9"/>
    <w:rsid w:val="18EF0DA5"/>
    <w:rsid w:val="18F583B2"/>
    <w:rsid w:val="1901E285"/>
    <w:rsid w:val="1902BDF9"/>
    <w:rsid w:val="19063CF4"/>
    <w:rsid w:val="190AC122"/>
    <w:rsid w:val="1915034F"/>
    <w:rsid w:val="191BCB38"/>
    <w:rsid w:val="191DB4B1"/>
    <w:rsid w:val="19205739"/>
    <w:rsid w:val="1922CE6C"/>
    <w:rsid w:val="192894FF"/>
    <w:rsid w:val="192A8870"/>
    <w:rsid w:val="192D40C0"/>
    <w:rsid w:val="192E70B4"/>
    <w:rsid w:val="19310AFA"/>
    <w:rsid w:val="19332A92"/>
    <w:rsid w:val="1933D9BB"/>
    <w:rsid w:val="1934AA02"/>
    <w:rsid w:val="193C35EA"/>
    <w:rsid w:val="193CFEAE"/>
    <w:rsid w:val="193EC4B0"/>
    <w:rsid w:val="193F9CE5"/>
    <w:rsid w:val="19475760"/>
    <w:rsid w:val="194CD3F9"/>
    <w:rsid w:val="19519EB1"/>
    <w:rsid w:val="19571557"/>
    <w:rsid w:val="1958DD1D"/>
    <w:rsid w:val="19629188"/>
    <w:rsid w:val="19644B37"/>
    <w:rsid w:val="196A1B31"/>
    <w:rsid w:val="196A3516"/>
    <w:rsid w:val="19707087"/>
    <w:rsid w:val="1973B7E8"/>
    <w:rsid w:val="197E1CD4"/>
    <w:rsid w:val="197EC090"/>
    <w:rsid w:val="197F75CA"/>
    <w:rsid w:val="1983E49D"/>
    <w:rsid w:val="1986B3B6"/>
    <w:rsid w:val="19883CAB"/>
    <w:rsid w:val="198AA27B"/>
    <w:rsid w:val="198F2F97"/>
    <w:rsid w:val="19980E9A"/>
    <w:rsid w:val="1998CE4F"/>
    <w:rsid w:val="1998F30B"/>
    <w:rsid w:val="199B49F0"/>
    <w:rsid w:val="199D3AF8"/>
    <w:rsid w:val="19A10D74"/>
    <w:rsid w:val="19A28F4D"/>
    <w:rsid w:val="19A7B760"/>
    <w:rsid w:val="19A7EAD5"/>
    <w:rsid w:val="19B188C0"/>
    <w:rsid w:val="19B32FFE"/>
    <w:rsid w:val="19B38C46"/>
    <w:rsid w:val="19B3AD1B"/>
    <w:rsid w:val="19B5B94B"/>
    <w:rsid w:val="19B7CE64"/>
    <w:rsid w:val="19B8D4BA"/>
    <w:rsid w:val="19BA5874"/>
    <w:rsid w:val="19BEE2F5"/>
    <w:rsid w:val="19BFAF25"/>
    <w:rsid w:val="19C18F55"/>
    <w:rsid w:val="19C8B28E"/>
    <w:rsid w:val="19D19580"/>
    <w:rsid w:val="19D58892"/>
    <w:rsid w:val="19D7FA4C"/>
    <w:rsid w:val="19D920D1"/>
    <w:rsid w:val="19DB2B10"/>
    <w:rsid w:val="19DC353F"/>
    <w:rsid w:val="19E48AF4"/>
    <w:rsid w:val="19E7AA53"/>
    <w:rsid w:val="19E7BB7D"/>
    <w:rsid w:val="19EA6635"/>
    <w:rsid w:val="19EC54BC"/>
    <w:rsid w:val="19EFA12D"/>
    <w:rsid w:val="19EFABC4"/>
    <w:rsid w:val="19F7720B"/>
    <w:rsid w:val="19FC9AAF"/>
    <w:rsid w:val="19FCE36A"/>
    <w:rsid w:val="19FEE3D0"/>
    <w:rsid w:val="1A00AE99"/>
    <w:rsid w:val="1A070339"/>
    <w:rsid w:val="1A112344"/>
    <w:rsid w:val="1A143353"/>
    <w:rsid w:val="1A154031"/>
    <w:rsid w:val="1A173C76"/>
    <w:rsid w:val="1A1B4407"/>
    <w:rsid w:val="1A1C4B48"/>
    <w:rsid w:val="1A1EFDEB"/>
    <w:rsid w:val="1A276F03"/>
    <w:rsid w:val="1A2A55DA"/>
    <w:rsid w:val="1A2B428E"/>
    <w:rsid w:val="1A2B8E26"/>
    <w:rsid w:val="1A3275F5"/>
    <w:rsid w:val="1A3B6417"/>
    <w:rsid w:val="1A449AAF"/>
    <w:rsid w:val="1A48C28B"/>
    <w:rsid w:val="1A4CB6D6"/>
    <w:rsid w:val="1A4DE711"/>
    <w:rsid w:val="1A51E418"/>
    <w:rsid w:val="1A56D7FC"/>
    <w:rsid w:val="1A5786D9"/>
    <w:rsid w:val="1A58329D"/>
    <w:rsid w:val="1A5852AD"/>
    <w:rsid w:val="1A592BFD"/>
    <w:rsid w:val="1A5BFE54"/>
    <w:rsid w:val="1A5CE9B8"/>
    <w:rsid w:val="1A5E5989"/>
    <w:rsid w:val="1A632DA0"/>
    <w:rsid w:val="1A653BCC"/>
    <w:rsid w:val="1A69240B"/>
    <w:rsid w:val="1A69D99D"/>
    <w:rsid w:val="1A6BBFEB"/>
    <w:rsid w:val="1A6D0AC0"/>
    <w:rsid w:val="1A6DF5EC"/>
    <w:rsid w:val="1A6DFFAC"/>
    <w:rsid w:val="1A7291FB"/>
    <w:rsid w:val="1A74F728"/>
    <w:rsid w:val="1A7B5776"/>
    <w:rsid w:val="1A7CB99E"/>
    <w:rsid w:val="1A7DD637"/>
    <w:rsid w:val="1A82F3CB"/>
    <w:rsid w:val="1A83E794"/>
    <w:rsid w:val="1A87E68D"/>
    <w:rsid w:val="1A8AC28D"/>
    <w:rsid w:val="1A8CF822"/>
    <w:rsid w:val="1A8E71D8"/>
    <w:rsid w:val="1A943927"/>
    <w:rsid w:val="1A9F5041"/>
    <w:rsid w:val="1AA312EA"/>
    <w:rsid w:val="1AA7144A"/>
    <w:rsid w:val="1AADFC36"/>
    <w:rsid w:val="1AB48AAE"/>
    <w:rsid w:val="1AB57C22"/>
    <w:rsid w:val="1AB7DDDD"/>
    <w:rsid w:val="1AB85422"/>
    <w:rsid w:val="1AB90C65"/>
    <w:rsid w:val="1AB92852"/>
    <w:rsid w:val="1ABA6BA5"/>
    <w:rsid w:val="1ABC1340"/>
    <w:rsid w:val="1ABC3935"/>
    <w:rsid w:val="1AC64241"/>
    <w:rsid w:val="1AC70ADF"/>
    <w:rsid w:val="1AC90E12"/>
    <w:rsid w:val="1ACE6DBC"/>
    <w:rsid w:val="1ACEE81F"/>
    <w:rsid w:val="1AE21895"/>
    <w:rsid w:val="1AE4DB5F"/>
    <w:rsid w:val="1AE51AF7"/>
    <w:rsid w:val="1AE8A45A"/>
    <w:rsid w:val="1AE90D55"/>
    <w:rsid w:val="1AE91245"/>
    <w:rsid w:val="1AEFA0B0"/>
    <w:rsid w:val="1AF10EC8"/>
    <w:rsid w:val="1AF13C62"/>
    <w:rsid w:val="1AF22CE9"/>
    <w:rsid w:val="1AF37C52"/>
    <w:rsid w:val="1AF6B87B"/>
    <w:rsid w:val="1B02205E"/>
    <w:rsid w:val="1B033E29"/>
    <w:rsid w:val="1B04E383"/>
    <w:rsid w:val="1B0919CB"/>
    <w:rsid w:val="1B09B5F8"/>
    <w:rsid w:val="1B0B1C3C"/>
    <w:rsid w:val="1B0B971A"/>
    <w:rsid w:val="1B0C4B13"/>
    <w:rsid w:val="1B0E13C0"/>
    <w:rsid w:val="1B0E80BA"/>
    <w:rsid w:val="1B0F6E7B"/>
    <w:rsid w:val="1B0FD713"/>
    <w:rsid w:val="1B1210F8"/>
    <w:rsid w:val="1B1E2DCB"/>
    <w:rsid w:val="1B20473C"/>
    <w:rsid w:val="1B21B327"/>
    <w:rsid w:val="1B241834"/>
    <w:rsid w:val="1B2483F2"/>
    <w:rsid w:val="1B281969"/>
    <w:rsid w:val="1B2DCD1F"/>
    <w:rsid w:val="1B324D92"/>
    <w:rsid w:val="1B36AB28"/>
    <w:rsid w:val="1B38657E"/>
    <w:rsid w:val="1B43CBC9"/>
    <w:rsid w:val="1B4D323A"/>
    <w:rsid w:val="1B4E5454"/>
    <w:rsid w:val="1B4EED57"/>
    <w:rsid w:val="1B50E8BF"/>
    <w:rsid w:val="1B5303EF"/>
    <w:rsid w:val="1B550810"/>
    <w:rsid w:val="1B550925"/>
    <w:rsid w:val="1B561D48"/>
    <w:rsid w:val="1B563CA3"/>
    <w:rsid w:val="1B56D63C"/>
    <w:rsid w:val="1B581F97"/>
    <w:rsid w:val="1B583E0D"/>
    <w:rsid w:val="1B5A2276"/>
    <w:rsid w:val="1B5B1B12"/>
    <w:rsid w:val="1B61D675"/>
    <w:rsid w:val="1B627913"/>
    <w:rsid w:val="1B6A154F"/>
    <w:rsid w:val="1B6A15E9"/>
    <w:rsid w:val="1B6D33B8"/>
    <w:rsid w:val="1B6ECA15"/>
    <w:rsid w:val="1B73D721"/>
    <w:rsid w:val="1B7428F0"/>
    <w:rsid w:val="1B761E2C"/>
    <w:rsid w:val="1B7EA4F7"/>
    <w:rsid w:val="1B81154F"/>
    <w:rsid w:val="1B825DCF"/>
    <w:rsid w:val="1B87584D"/>
    <w:rsid w:val="1B888750"/>
    <w:rsid w:val="1B91985B"/>
    <w:rsid w:val="1B927CC6"/>
    <w:rsid w:val="1B950D3B"/>
    <w:rsid w:val="1B9CA311"/>
    <w:rsid w:val="1B9DFD09"/>
    <w:rsid w:val="1B9F6D5A"/>
    <w:rsid w:val="1B9F7D99"/>
    <w:rsid w:val="1BA006C8"/>
    <w:rsid w:val="1BA1697E"/>
    <w:rsid w:val="1BA4795E"/>
    <w:rsid w:val="1BA9E90B"/>
    <w:rsid w:val="1BAA1842"/>
    <w:rsid w:val="1BAD2527"/>
    <w:rsid w:val="1BAF200D"/>
    <w:rsid w:val="1BB3FFB9"/>
    <w:rsid w:val="1BB97DE2"/>
    <w:rsid w:val="1BBCE282"/>
    <w:rsid w:val="1BBDAC98"/>
    <w:rsid w:val="1BC04A78"/>
    <w:rsid w:val="1BC11170"/>
    <w:rsid w:val="1BC1F925"/>
    <w:rsid w:val="1BC9C23A"/>
    <w:rsid w:val="1BCA8D74"/>
    <w:rsid w:val="1BDA0B88"/>
    <w:rsid w:val="1BDFA53E"/>
    <w:rsid w:val="1BE2C352"/>
    <w:rsid w:val="1BE369BD"/>
    <w:rsid w:val="1BE83310"/>
    <w:rsid w:val="1BED9492"/>
    <w:rsid w:val="1BF1099D"/>
    <w:rsid w:val="1BF936F6"/>
    <w:rsid w:val="1BFF9B4D"/>
    <w:rsid w:val="1BFFB32E"/>
    <w:rsid w:val="1C0443CB"/>
    <w:rsid w:val="1C048D61"/>
    <w:rsid w:val="1C08DD89"/>
    <w:rsid w:val="1C0C86F6"/>
    <w:rsid w:val="1C0D126C"/>
    <w:rsid w:val="1C11752C"/>
    <w:rsid w:val="1C1641D7"/>
    <w:rsid w:val="1C174F2D"/>
    <w:rsid w:val="1C199F6C"/>
    <w:rsid w:val="1C1FCD35"/>
    <w:rsid w:val="1C225C47"/>
    <w:rsid w:val="1C23B9D3"/>
    <w:rsid w:val="1C2DE159"/>
    <w:rsid w:val="1C2E4C1C"/>
    <w:rsid w:val="1C319779"/>
    <w:rsid w:val="1C3B3652"/>
    <w:rsid w:val="1C3B3C1A"/>
    <w:rsid w:val="1C3C8F33"/>
    <w:rsid w:val="1C3E5337"/>
    <w:rsid w:val="1C40F9AC"/>
    <w:rsid w:val="1C44F06B"/>
    <w:rsid w:val="1C4C0A28"/>
    <w:rsid w:val="1C54984F"/>
    <w:rsid w:val="1C600CF8"/>
    <w:rsid w:val="1C64F4B1"/>
    <w:rsid w:val="1C70F002"/>
    <w:rsid w:val="1C71070D"/>
    <w:rsid w:val="1C72627B"/>
    <w:rsid w:val="1C7774AE"/>
    <w:rsid w:val="1C7B52C2"/>
    <w:rsid w:val="1C7C156E"/>
    <w:rsid w:val="1C7D0176"/>
    <w:rsid w:val="1C7E6816"/>
    <w:rsid w:val="1C80F00A"/>
    <w:rsid w:val="1C890315"/>
    <w:rsid w:val="1C8E53E7"/>
    <w:rsid w:val="1C9353CD"/>
    <w:rsid w:val="1C959C57"/>
    <w:rsid w:val="1C979140"/>
    <w:rsid w:val="1C9863BD"/>
    <w:rsid w:val="1C9D3C91"/>
    <w:rsid w:val="1C9E8A14"/>
    <w:rsid w:val="1C9EB16E"/>
    <w:rsid w:val="1CA04DA5"/>
    <w:rsid w:val="1CA21D89"/>
    <w:rsid w:val="1CA7C09C"/>
    <w:rsid w:val="1CAA4AAC"/>
    <w:rsid w:val="1CACA3C8"/>
    <w:rsid w:val="1CADC5F5"/>
    <w:rsid w:val="1CAE851D"/>
    <w:rsid w:val="1CB11EFD"/>
    <w:rsid w:val="1CB177AB"/>
    <w:rsid w:val="1CB5BC18"/>
    <w:rsid w:val="1CBE482B"/>
    <w:rsid w:val="1CC6FA6E"/>
    <w:rsid w:val="1CD04B46"/>
    <w:rsid w:val="1CD26661"/>
    <w:rsid w:val="1CD3069B"/>
    <w:rsid w:val="1CD59CBE"/>
    <w:rsid w:val="1CD75F09"/>
    <w:rsid w:val="1CD995AA"/>
    <w:rsid w:val="1CE4DE0A"/>
    <w:rsid w:val="1CE5B98A"/>
    <w:rsid w:val="1CEDD1BF"/>
    <w:rsid w:val="1CEE8548"/>
    <w:rsid w:val="1CF0B81F"/>
    <w:rsid w:val="1CF3DC5D"/>
    <w:rsid w:val="1CFD0B5F"/>
    <w:rsid w:val="1D05BA2A"/>
    <w:rsid w:val="1D084D89"/>
    <w:rsid w:val="1D0D1855"/>
    <w:rsid w:val="1D10B99C"/>
    <w:rsid w:val="1D151973"/>
    <w:rsid w:val="1D1771D1"/>
    <w:rsid w:val="1D1797BC"/>
    <w:rsid w:val="1D187C4E"/>
    <w:rsid w:val="1D19C5C9"/>
    <w:rsid w:val="1D1A4E44"/>
    <w:rsid w:val="1D22E72C"/>
    <w:rsid w:val="1D2430C1"/>
    <w:rsid w:val="1D28F3B4"/>
    <w:rsid w:val="1D291BF6"/>
    <w:rsid w:val="1D2C11E7"/>
    <w:rsid w:val="1D2DEAE9"/>
    <w:rsid w:val="1D2F16EF"/>
    <w:rsid w:val="1D30C018"/>
    <w:rsid w:val="1D329EAA"/>
    <w:rsid w:val="1D37ECB6"/>
    <w:rsid w:val="1D39A60F"/>
    <w:rsid w:val="1D3B384D"/>
    <w:rsid w:val="1D3CCF85"/>
    <w:rsid w:val="1D3D242D"/>
    <w:rsid w:val="1D4D9754"/>
    <w:rsid w:val="1D505BB3"/>
    <w:rsid w:val="1D57EE2F"/>
    <w:rsid w:val="1D5BF47F"/>
    <w:rsid w:val="1D5FE14E"/>
    <w:rsid w:val="1D61B20B"/>
    <w:rsid w:val="1D66FD13"/>
    <w:rsid w:val="1D6A0930"/>
    <w:rsid w:val="1D6C84B7"/>
    <w:rsid w:val="1D6D8A1F"/>
    <w:rsid w:val="1D6ED2C0"/>
    <w:rsid w:val="1D746DB8"/>
    <w:rsid w:val="1D778576"/>
    <w:rsid w:val="1D7CEB50"/>
    <w:rsid w:val="1D84E6E3"/>
    <w:rsid w:val="1D93C1C4"/>
    <w:rsid w:val="1D95FA4B"/>
    <w:rsid w:val="1D9B81FA"/>
    <w:rsid w:val="1D9C94CA"/>
    <w:rsid w:val="1DA17052"/>
    <w:rsid w:val="1DA2D70D"/>
    <w:rsid w:val="1DA2EA04"/>
    <w:rsid w:val="1DA3EAEC"/>
    <w:rsid w:val="1DA58F82"/>
    <w:rsid w:val="1DA6AD41"/>
    <w:rsid w:val="1DAA364D"/>
    <w:rsid w:val="1DAA4EB1"/>
    <w:rsid w:val="1DB6AD45"/>
    <w:rsid w:val="1DB7E1AF"/>
    <w:rsid w:val="1DBB7F53"/>
    <w:rsid w:val="1DBBC57D"/>
    <w:rsid w:val="1DBDF829"/>
    <w:rsid w:val="1DBDFB3C"/>
    <w:rsid w:val="1DC11202"/>
    <w:rsid w:val="1DC16784"/>
    <w:rsid w:val="1DC97CC3"/>
    <w:rsid w:val="1DC99942"/>
    <w:rsid w:val="1DD19F9A"/>
    <w:rsid w:val="1DD46740"/>
    <w:rsid w:val="1DD7414E"/>
    <w:rsid w:val="1DDAC08F"/>
    <w:rsid w:val="1DDBE441"/>
    <w:rsid w:val="1DDCED9B"/>
    <w:rsid w:val="1DE07B74"/>
    <w:rsid w:val="1DE2ABC6"/>
    <w:rsid w:val="1DE3059C"/>
    <w:rsid w:val="1DE47A49"/>
    <w:rsid w:val="1DE5FAB7"/>
    <w:rsid w:val="1DEDC4A7"/>
    <w:rsid w:val="1DEF5628"/>
    <w:rsid w:val="1DEFF952"/>
    <w:rsid w:val="1DF05C81"/>
    <w:rsid w:val="1DF2C0AA"/>
    <w:rsid w:val="1DF4D58A"/>
    <w:rsid w:val="1DF87883"/>
    <w:rsid w:val="1DFACD3E"/>
    <w:rsid w:val="1DFD1181"/>
    <w:rsid w:val="1DFDE4E1"/>
    <w:rsid w:val="1E012E85"/>
    <w:rsid w:val="1E042D20"/>
    <w:rsid w:val="1E046E39"/>
    <w:rsid w:val="1E0EEC07"/>
    <w:rsid w:val="1E156863"/>
    <w:rsid w:val="1E19085E"/>
    <w:rsid w:val="1E206D6C"/>
    <w:rsid w:val="1E2849C6"/>
    <w:rsid w:val="1E2C0C3E"/>
    <w:rsid w:val="1E31114F"/>
    <w:rsid w:val="1E3116EE"/>
    <w:rsid w:val="1E3E4C53"/>
    <w:rsid w:val="1E429CD5"/>
    <w:rsid w:val="1E45F806"/>
    <w:rsid w:val="1E4AE801"/>
    <w:rsid w:val="1E54032E"/>
    <w:rsid w:val="1E5ABFF5"/>
    <w:rsid w:val="1E5D0EB8"/>
    <w:rsid w:val="1E63296F"/>
    <w:rsid w:val="1E6807C6"/>
    <w:rsid w:val="1E68618E"/>
    <w:rsid w:val="1E69F8C3"/>
    <w:rsid w:val="1E6D1526"/>
    <w:rsid w:val="1E700518"/>
    <w:rsid w:val="1E720535"/>
    <w:rsid w:val="1E73F846"/>
    <w:rsid w:val="1E7FE67F"/>
    <w:rsid w:val="1E8072EA"/>
    <w:rsid w:val="1E880C0B"/>
    <w:rsid w:val="1E8B5181"/>
    <w:rsid w:val="1E8CB47F"/>
    <w:rsid w:val="1E932153"/>
    <w:rsid w:val="1E93FE45"/>
    <w:rsid w:val="1E96769B"/>
    <w:rsid w:val="1E99C9E7"/>
    <w:rsid w:val="1E9BB914"/>
    <w:rsid w:val="1E9D55FE"/>
    <w:rsid w:val="1EA34329"/>
    <w:rsid w:val="1EA417AB"/>
    <w:rsid w:val="1EA558A2"/>
    <w:rsid w:val="1EA79FA0"/>
    <w:rsid w:val="1EA9D0C5"/>
    <w:rsid w:val="1EAB0304"/>
    <w:rsid w:val="1EB34985"/>
    <w:rsid w:val="1EB55F06"/>
    <w:rsid w:val="1EB7D2A2"/>
    <w:rsid w:val="1EB91B3B"/>
    <w:rsid w:val="1EBAD98A"/>
    <w:rsid w:val="1EBC1F83"/>
    <w:rsid w:val="1EC2F922"/>
    <w:rsid w:val="1ECCF4B5"/>
    <w:rsid w:val="1ECDFE94"/>
    <w:rsid w:val="1ED0B13E"/>
    <w:rsid w:val="1ED12C3A"/>
    <w:rsid w:val="1ED582E5"/>
    <w:rsid w:val="1ED8F59A"/>
    <w:rsid w:val="1EDB068C"/>
    <w:rsid w:val="1EE5A336"/>
    <w:rsid w:val="1EE96ADF"/>
    <w:rsid w:val="1EEA0CEF"/>
    <w:rsid w:val="1EEC2A8C"/>
    <w:rsid w:val="1EF5E8FD"/>
    <w:rsid w:val="1EF8F2D6"/>
    <w:rsid w:val="1EF9F472"/>
    <w:rsid w:val="1EFE08FB"/>
    <w:rsid w:val="1EFE5941"/>
    <w:rsid w:val="1F01798C"/>
    <w:rsid w:val="1F022F66"/>
    <w:rsid w:val="1F083C78"/>
    <w:rsid w:val="1F0C8217"/>
    <w:rsid w:val="1F0D2456"/>
    <w:rsid w:val="1F0EE9C3"/>
    <w:rsid w:val="1F11C09D"/>
    <w:rsid w:val="1F12618A"/>
    <w:rsid w:val="1F15AA31"/>
    <w:rsid w:val="1F16EC79"/>
    <w:rsid w:val="1F1BB9F6"/>
    <w:rsid w:val="1F1F88EA"/>
    <w:rsid w:val="1F243247"/>
    <w:rsid w:val="1F283BC9"/>
    <w:rsid w:val="1F2C20E5"/>
    <w:rsid w:val="1F2EA879"/>
    <w:rsid w:val="1F340F84"/>
    <w:rsid w:val="1F3862F6"/>
    <w:rsid w:val="1F3AEFB1"/>
    <w:rsid w:val="1F3B18F8"/>
    <w:rsid w:val="1F3C1228"/>
    <w:rsid w:val="1F3F9B53"/>
    <w:rsid w:val="1F438017"/>
    <w:rsid w:val="1F4423A0"/>
    <w:rsid w:val="1F518AC6"/>
    <w:rsid w:val="1F58A20B"/>
    <w:rsid w:val="1F5E74D9"/>
    <w:rsid w:val="1F638F20"/>
    <w:rsid w:val="1F641407"/>
    <w:rsid w:val="1F64B356"/>
    <w:rsid w:val="1F66A5DA"/>
    <w:rsid w:val="1F6774DF"/>
    <w:rsid w:val="1F68B689"/>
    <w:rsid w:val="1F68E155"/>
    <w:rsid w:val="1F72F2A3"/>
    <w:rsid w:val="1F7F365F"/>
    <w:rsid w:val="1F8B6925"/>
    <w:rsid w:val="1F8D20B6"/>
    <w:rsid w:val="1F8EBCDD"/>
    <w:rsid w:val="1F962B8D"/>
    <w:rsid w:val="1F964C7F"/>
    <w:rsid w:val="1F97F960"/>
    <w:rsid w:val="1FA0D6F0"/>
    <w:rsid w:val="1FA280E3"/>
    <w:rsid w:val="1FA547A1"/>
    <w:rsid w:val="1FA59D5F"/>
    <w:rsid w:val="1FA639A7"/>
    <w:rsid w:val="1FA79E5A"/>
    <w:rsid w:val="1FA88F69"/>
    <w:rsid w:val="1FA90CB7"/>
    <w:rsid w:val="1FAD561D"/>
    <w:rsid w:val="1FB04AE0"/>
    <w:rsid w:val="1FB4C362"/>
    <w:rsid w:val="1FBA882C"/>
    <w:rsid w:val="1FBCE7F3"/>
    <w:rsid w:val="1FC30DCF"/>
    <w:rsid w:val="1FC893FE"/>
    <w:rsid w:val="1FC9D4CB"/>
    <w:rsid w:val="1FC9E585"/>
    <w:rsid w:val="1FD24CC9"/>
    <w:rsid w:val="1FD55AF8"/>
    <w:rsid w:val="1FD99531"/>
    <w:rsid w:val="1FDB1150"/>
    <w:rsid w:val="1FDC9FA0"/>
    <w:rsid w:val="1FDDB68D"/>
    <w:rsid w:val="1FDE8AA7"/>
    <w:rsid w:val="1FE2B15F"/>
    <w:rsid w:val="1FE821B3"/>
    <w:rsid w:val="1FE85D51"/>
    <w:rsid w:val="1FEE8642"/>
    <w:rsid w:val="1FEEA0BD"/>
    <w:rsid w:val="1FF31DA9"/>
    <w:rsid w:val="1FF4C19D"/>
    <w:rsid w:val="1FF70238"/>
    <w:rsid w:val="1FFA6BCA"/>
    <w:rsid w:val="2000AB98"/>
    <w:rsid w:val="200B3773"/>
    <w:rsid w:val="200B648C"/>
    <w:rsid w:val="200DC7B7"/>
    <w:rsid w:val="200EBEB4"/>
    <w:rsid w:val="2010958B"/>
    <w:rsid w:val="2010C12B"/>
    <w:rsid w:val="2012DBC4"/>
    <w:rsid w:val="2015ECB0"/>
    <w:rsid w:val="201ACB89"/>
    <w:rsid w:val="201D23AF"/>
    <w:rsid w:val="2021B533"/>
    <w:rsid w:val="2022A89A"/>
    <w:rsid w:val="20260100"/>
    <w:rsid w:val="202A5C6C"/>
    <w:rsid w:val="20313E3C"/>
    <w:rsid w:val="20335AAD"/>
    <w:rsid w:val="2035EA36"/>
    <w:rsid w:val="203BC3CE"/>
    <w:rsid w:val="203FA94F"/>
    <w:rsid w:val="20443D72"/>
    <w:rsid w:val="204FEFFC"/>
    <w:rsid w:val="205248EB"/>
    <w:rsid w:val="2053D384"/>
    <w:rsid w:val="20548605"/>
    <w:rsid w:val="2055FB63"/>
    <w:rsid w:val="205722DE"/>
    <w:rsid w:val="20583A82"/>
    <w:rsid w:val="205E5062"/>
    <w:rsid w:val="205F0238"/>
    <w:rsid w:val="206434D5"/>
    <w:rsid w:val="206587F9"/>
    <w:rsid w:val="2068049C"/>
    <w:rsid w:val="206D1DAB"/>
    <w:rsid w:val="206D6EBF"/>
    <w:rsid w:val="206D9562"/>
    <w:rsid w:val="20725F88"/>
    <w:rsid w:val="2073B2B6"/>
    <w:rsid w:val="2079F149"/>
    <w:rsid w:val="20808144"/>
    <w:rsid w:val="2086849A"/>
    <w:rsid w:val="208A8C89"/>
    <w:rsid w:val="208AF42C"/>
    <w:rsid w:val="208B8D53"/>
    <w:rsid w:val="20910C2C"/>
    <w:rsid w:val="20945319"/>
    <w:rsid w:val="2097A575"/>
    <w:rsid w:val="20A7C1F1"/>
    <w:rsid w:val="20AD1E6D"/>
    <w:rsid w:val="20AE3526"/>
    <w:rsid w:val="20AF5B83"/>
    <w:rsid w:val="20B0073A"/>
    <w:rsid w:val="20B022BE"/>
    <w:rsid w:val="20B13A23"/>
    <w:rsid w:val="20BB870E"/>
    <w:rsid w:val="20BD2FA7"/>
    <w:rsid w:val="20C1825E"/>
    <w:rsid w:val="20C65B44"/>
    <w:rsid w:val="20CD18F5"/>
    <w:rsid w:val="20CD1902"/>
    <w:rsid w:val="20CF03C4"/>
    <w:rsid w:val="20D11EFC"/>
    <w:rsid w:val="20D88074"/>
    <w:rsid w:val="20E0EF47"/>
    <w:rsid w:val="20EDBB3C"/>
    <w:rsid w:val="20EE4D5A"/>
    <w:rsid w:val="20EFB20D"/>
    <w:rsid w:val="20F01798"/>
    <w:rsid w:val="20F5731D"/>
    <w:rsid w:val="20F653D3"/>
    <w:rsid w:val="20F65C6F"/>
    <w:rsid w:val="21017900"/>
    <w:rsid w:val="21026116"/>
    <w:rsid w:val="210D395D"/>
    <w:rsid w:val="210D8BE2"/>
    <w:rsid w:val="211078BB"/>
    <w:rsid w:val="2110EABC"/>
    <w:rsid w:val="2113CEA4"/>
    <w:rsid w:val="21146603"/>
    <w:rsid w:val="21148004"/>
    <w:rsid w:val="211A17FB"/>
    <w:rsid w:val="212285E8"/>
    <w:rsid w:val="2123344A"/>
    <w:rsid w:val="2128FF24"/>
    <w:rsid w:val="212B7F91"/>
    <w:rsid w:val="212C7A48"/>
    <w:rsid w:val="212DF9C7"/>
    <w:rsid w:val="2131BD74"/>
    <w:rsid w:val="2134330C"/>
    <w:rsid w:val="213467CE"/>
    <w:rsid w:val="213BD636"/>
    <w:rsid w:val="2140D3DB"/>
    <w:rsid w:val="2141C3AE"/>
    <w:rsid w:val="2147962B"/>
    <w:rsid w:val="214B1BAA"/>
    <w:rsid w:val="215B4E68"/>
    <w:rsid w:val="215D759D"/>
    <w:rsid w:val="215F2204"/>
    <w:rsid w:val="216C2B05"/>
    <w:rsid w:val="2175F54C"/>
    <w:rsid w:val="217706B2"/>
    <w:rsid w:val="218752B0"/>
    <w:rsid w:val="21882296"/>
    <w:rsid w:val="2190CE7D"/>
    <w:rsid w:val="219321B4"/>
    <w:rsid w:val="21957E68"/>
    <w:rsid w:val="21985881"/>
    <w:rsid w:val="219E3150"/>
    <w:rsid w:val="21A43FAB"/>
    <w:rsid w:val="21A56B68"/>
    <w:rsid w:val="21A62D61"/>
    <w:rsid w:val="21A6B2B4"/>
    <w:rsid w:val="21AADEDC"/>
    <w:rsid w:val="21AE41EC"/>
    <w:rsid w:val="21AEAB4F"/>
    <w:rsid w:val="21AF539A"/>
    <w:rsid w:val="21B1BD11"/>
    <w:rsid w:val="21B21E8E"/>
    <w:rsid w:val="21B3CB6C"/>
    <w:rsid w:val="21B61072"/>
    <w:rsid w:val="21BA3224"/>
    <w:rsid w:val="21BAE503"/>
    <w:rsid w:val="21C659DB"/>
    <w:rsid w:val="21D1BA97"/>
    <w:rsid w:val="21D5242B"/>
    <w:rsid w:val="21D564E3"/>
    <w:rsid w:val="21D87505"/>
    <w:rsid w:val="21DBB96A"/>
    <w:rsid w:val="21DF5427"/>
    <w:rsid w:val="21E030BE"/>
    <w:rsid w:val="21E4C967"/>
    <w:rsid w:val="21E86D3E"/>
    <w:rsid w:val="21EA2ACE"/>
    <w:rsid w:val="21ED08C1"/>
    <w:rsid w:val="21F0F1C7"/>
    <w:rsid w:val="21F73A8B"/>
    <w:rsid w:val="21FAA9BE"/>
    <w:rsid w:val="21FADE91"/>
    <w:rsid w:val="21FCE28C"/>
    <w:rsid w:val="21FFC861"/>
    <w:rsid w:val="2207D562"/>
    <w:rsid w:val="22097426"/>
    <w:rsid w:val="220A1214"/>
    <w:rsid w:val="220B4526"/>
    <w:rsid w:val="220E7054"/>
    <w:rsid w:val="221295CD"/>
    <w:rsid w:val="2214D066"/>
    <w:rsid w:val="221546ED"/>
    <w:rsid w:val="2216085C"/>
    <w:rsid w:val="221C6FA2"/>
    <w:rsid w:val="221D5337"/>
    <w:rsid w:val="222098C3"/>
    <w:rsid w:val="22246CCB"/>
    <w:rsid w:val="222DB5D0"/>
    <w:rsid w:val="222F38AA"/>
    <w:rsid w:val="22300A6B"/>
    <w:rsid w:val="22318CCB"/>
    <w:rsid w:val="2237170C"/>
    <w:rsid w:val="22389511"/>
    <w:rsid w:val="223C678A"/>
    <w:rsid w:val="223D1191"/>
    <w:rsid w:val="223E5421"/>
    <w:rsid w:val="223F58B7"/>
    <w:rsid w:val="223F63B2"/>
    <w:rsid w:val="22419EC2"/>
    <w:rsid w:val="2243425E"/>
    <w:rsid w:val="22436BF2"/>
    <w:rsid w:val="224916CF"/>
    <w:rsid w:val="22519348"/>
    <w:rsid w:val="2254DE73"/>
    <w:rsid w:val="22552F0F"/>
    <w:rsid w:val="2255A48E"/>
    <w:rsid w:val="22563E0F"/>
    <w:rsid w:val="225DB9DB"/>
    <w:rsid w:val="226005E9"/>
    <w:rsid w:val="2263BEDF"/>
    <w:rsid w:val="226506F7"/>
    <w:rsid w:val="22661BA0"/>
    <w:rsid w:val="22672328"/>
    <w:rsid w:val="226B719B"/>
    <w:rsid w:val="226C1476"/>
    <w:rsid w:val="226FA741"/>
    <w:rsid w:val="2271471A"/>
    <w:rsid w:val="2272B9BA"/>
    <w:rsid w:val="22742F65"/>
    <w:rsid w:val="2289B74D"/>
    <w:rsid w:val="228E49C4"/>
    <w:rsid w:val="228EE433"/>
    <w:rsid w:val="228EFD9E"/>
    <w:rsid w:val="228F5792"/>
    <w:rsid w:val="22939354"/>
    <w:rsid w:val="229540CB"/>
    <w:rsid w:val="229E469C"/>
    <w:rsid w:val="22A3D845"/>
    <w:rsid w:val="22A75EC3"/>
    <w:rsid w:val="22AD5AD7"/>
    <w:rsid w:val="22B0F53B"/>
    <w:rsid w:val="22B3CF8B"/>
    <w:rsid w:val="22BA0E11"/>
    <w:rsid w:val="22BED326"/>
    <w:rsid w:val="22C5669E"/>
    <w:rsid w:val="22C57D8A"/>
    <w:rsid w:val="22C7B615"/>
    <w:rsid w:val="22D13C44"/>
    <w:rsid w:val="22D2611F"/>
    <w:rsid w:val="22D3D0AF"/>
    <w:rsid w:val="22DDF241"/>
    <w:rsid w:val="22E14E32"/>
    <w:rsid w:val="22E196C1"/>
    <w:rsid w:val="22E4C2FF"/>
    <w:rsid w:val="22E4E033"/>
    <w:rsid w:val="22E7E543"/>
    <w:rsid w:val="22E8328F"/>
    <w:rsid w:val="22EDE8C3"/>
    <w:rsid w:val="22EE9094"/>
    <w:rsid w:val="22F0B53B"/>
    <w:rsid w:val="22F3C094"/>
    <w:rsid w:val="22F56A4F"/>
    <w:rsid w:val="22F99B57"/>
    <w:rsid w:val="23035085"/>
    <w:rsid w:val="230B7503"/>
    <w:rsid w:val="231146B3"/>
    <w:rsid w:val="231A1C9B"/>
    <w:rsid w:val="231A3A52"/>
    <w:rsid w:val="231A8BF3"/>
    <w:rsid w:val="231A9D35"/>
    <w:rsid w:val="231F53FA"/>
    <w:rsid w:val="2321EC0D"/>
    <w:rsid w:val="23295ED9"/>
    <w:rsid w:val="232BBE70"/>
    <w:rsid w:val="232FE6CF"/>
    <w:rsid w:val="23313456"/>
    <w:rsid w:val="23330018"/>
    <w:rsid w:val="233B127A"/>
    <w:rsid w:val="234087FA"/>
    <w:rsid w:val="23447FEE"/>
    <w:rsid w:val="2345C7C9"/>
    <w:rsid w:val="234792A3"/>
    <w:rsid w:val="234D6C44"/>
    <w:rsid w:val="234E2B77"/>
    <w:rsid w:val="23505B76"/>
    <w:rsid w:val="2350B3AB"/>
    <w:rsid w:val="23525E23"/>
    <w:rsid w:val="2355A674"/>
    <w:rsid w:val="2358FF2C"/>
    <w:rsid w:val="235D6A29"/>
    <w:rsid w:val="236B9C51"/>
    <w:rsid w:val="236DEA90"/>
    <w:rsid w:val="2374F1A0"/>
    <w:rsid w:val="237A8992"/>
    <w:rsid w:val="237AFA3D"/>
    <w:rsid w:val="237F1615"/>
    <w:rsid w:val="237F6E1C"/>
    <w:rsid w:val="238337B6"/>
    <w:rsid w:val="2386BFDB"/>
    <w:rsid w:val="23873D7B"/>
    <w:rsid w:val="238BD904"/>
    <w:rsid w:val="2396F00B"/>
    <w:rsid w:val="23983EEA"/>
    <w:rsid w:val="239A9F15"/>
    <w:rsid w:val="23A0CC3D"/>
    <w:rsid w:val="23A40B87"/>
    <w:rsid w:val="23A4E37C"/>
    <w:rsid w:val="23A55325"/>
    <w:rsid w:val="23AAB915"/>
    <w:rsid w:val="23AC21BA"/>
    <w:rsid w:val="23ACE0EA"/>
    <w:rsid w:val="23AF4A46"/>
    <w:rsid w:val="23B06445"/>
    <w:rsid w:val="23B14702"/>
    <w:rsid w:val="23BE5BC5"/>
    <w:rsid w:val="23BE8320"/>
    <w:rsid w:val="23BF4451"/>
    <w:rsid w:val="23C48B43"/>
    <w:rsid w:val="23C706DE"/>
    <w:rsid w:val="23C7B5E7"/>
    <w:rsid w:val="23CB2233"/>
    <w:rsid w:val="23D0B1C6"/>
    <w:rsid w:val="23D25FD6"/>
    <w:rsid w:val="23D77D54"/>
    <w:rsid w:val="23E7F517"/>
    <w:rsid w:val="23E8423D"/>
    <w:rsid w:val="23F31AC1"/>
    <w:rsid w:val="23F35966"/>
    <w:rsid w:val="23F3C673"/>
    <w:rsid w:val="23F45402"/>
    <w:rsid w:val="23FFDB60"/>
    <w:rsid w:val="2407C6B8"/>
    <w:rsid w:val="240BA329"/>
    <w:rsid w:val="240DF8A6"/>
    <w:rsid w:val="2416E9DD"/>
    <w:rsid w:val="2418F7BC"/>
    <w:rsid w:val="241B58D3"/>
    <w:rsid w:val="241BB2EC"/>
    <w:rsid w:val="241D390D"/>
    <w:rsid w:val="241ECA4C"/>
    <w:rsid w:val="2420CC7F"/>
    <w:rsid w:val="2420DA83"/>
    <w:rsid w:val="24215055"/>
    <w:rsid w:val="24227DE9"/>
    <w:rsid w:val="24243730"/>
    <w:rsid w:val="242CC2FD"/>
    <w:rsid w:val="24315359"/>
    <w:rsid w:val="2431E425"/>
    <w:rsid w:val="243262C3"/>
    <w:rsid w:val="243EAF1C"/>
    <w:rsid w:val="243FE583"/>
    <w:rsid w:val="24446340"/>
    <w:rsid w:val="24450D6C"/>
    <w:rsid w:val="24468196"/>
    <w:rsid w:val="24477066"/>
    <w:rsid w:val="244CBE60"/>
    <w:rsid w:val="245107CD"/>
    <w:rsid w:val="24518746"/>
    <w:rsid w:val="2453C79D"/>
    <w:rsid w:val="2458043E"/>
    <w:rsid w:val="245B2880"/>
    <w:rsid w:val="245D40D3"/>
    <w:rsid w:val="24608204"/>
    <w:rsid w:val="2460F16A"/>
    <w:rsid w:val="24614DEB"/>
    <w:rsid w:val="24634933"/>
    <w:rsid w:val="24638676"/>
    <w:rsid w:val="2465F593"/>
    <w:rsid w:val="2466F65B"/>
    <w:rsid w:val="246EA207"/>
    <w:rsid w:val="24746E71"/>
    <w:rsid w:val="2478F2CC"/>
    <w:rsid w:val="247A5192"/>
    <w:rsid w:val="247BC073"/>
    <w:rsid w:val="247C58E7"/>
    <w:rsid w:val="248BE7C9"/>
    <w:rsid w:val="24901BB9"/>
    <w:rsid w:val="2499AC5D"/>
    <w:rsid w:val="249E6FD9"/>
    <w:rsid w:val="249FF4A6"/>
    <w:rsid w:val="24A89F13"/>
    <w:rsid w:val="24AD24FC"/>
    <w:rsid w:val="24B817F7"/>
    <w:rsid w:val="24B9F2C1"/>
    <w:rsid w:val="24C097F7"/>
    <w:rsid w:val="24C63883"/>
    <w:rsid w:val="24CB6400"/>
    <w:rsid w:val="24CD16C0"/>
    <w:rsid w:val="24CD9995"/>
    <w:rsid w:val="24CF9728"/>
    <w:rsid w:val="24D2D31D"/>
    <w:rsid w:val="24D3ED21"/>
    <w:rsid w:val="24D6D0BA"/>
    <w:rsid w:val="24D813BF"/>
    <w:rsid w:val="24D9D105"/>
    <w:rsid w:val="24D9E331"/>
    <w:rsid w:val="24E12205"/>
    <w:rsid w:val="24E3C33C"/>
    <w:rsid w:val="24E4DB23"/>
    <w:rsid w:val="24E59875"/>
    <w:rsid w:val="24E7A483"/>
    <w:rsid w:val="24E8412D"/>
    <w:rsid w:val="24EF1431"/>
    <w:rsid w:val="24F56D25"/>
    <w:rsid w:val="24F92792"/>
    <w:rsid w:val="24FB4236"/>
    <w:rsid w:val="24FBEFAA"/>
    <w:rsid w:val="24FE6500"/>
    <w:rsid w:val="24FE8C2F"/>
    <w:rsid w:val="25025AC6"/>
    <w:rsid w:val="25053634"/>
    <w:rsid w:val="25063339"/>
    <w:rsid w:val="2507F33B"/>
    <w:rsid w:val="250D469C"/>
    <w:rsid w:val="251238AF"/>
    <w:rsid w:val="251BD232"/>
    <w:rsid w:val="251BE56F"/>
    <w:rsid w:val="251F0544"/>
    <w:rsid w:val="2520CB39"/>
    <w:rsid w:val="252728F3"/>
    <w:rsid w:val="25288B31"/>
    <w:rsid w:val="252B357D"/>
    <w:rsid w:val="25301B9D"/>
    <w:rsid w:val="2533B581"/>
    <w:rsid w:val="2537A9B0"/>
    <w:rsid w:val="253BF831"/>
    <w:rsid w:val="253DBE37"/>
    <w:rsid w:val="253F3D35"/>
    <w:rsid w:val="2542780C"/>
    <w:rsid w:val="25459283"/>
    <w:rsid w:val="254935A7"/>
    <w:rsid w:val="254E2443"/>
    <w:rsid w:val="2553F1B4"/>
    <w:rsid w:val="255485A9"/>
    <w:rsid w:val="25597DD7"/>
    <w:rsid w:val="2559B3B9"/>
    <w:rsid w:val="25637C25"/>
    <w:rsid w:val="2564F789"/>
    <w:rsid w:val="2573B0B0"/>
    <w:rsid w:val="2574D5A3"/>
    <w:rsid w:val="257D1943"/>
    <w:rsid w:val="257D6A8F"/>
    <w:rsid w:val="258236C5"/>
    <w:rsid w:val="25825D91"/>
    <w:rsid w:val="2582FAE5"/>
    <w:rsid w:val="258D2D48"/>
    <w:rsid w:val="25923E2F"/>
    <w:rsid w:val="2594CCC2"/>
    <w:rsid w:val="25960983"/>
    <w:rsid w:val="2596BA71"/>
    <w:rsid w:val="2598AA9E"/>
    <w:rsid w:val="259C3B9C"/>
    <w:rsid w:val="259C943F"/>
    <w:rsid w:val="259D726F"/>
    <w:rsid w:val="25A1F736"/>
    <w:rsid w:val="25A99C98"/>
    <w:rsid w:val="25A9FF85"/>
    <w:rsid w:val="25ACF5B2"/>
    <w:rsid w:val="25B473E8"/>
    <w:rsid w:val="25B59995"/>
    <w:rsid w:val="25B5E6F3"/>
    <w:rsid w:val="25B724B9"/>
    <w:rsid w:val="25B7F321"/>
    <w:rsid w:val="25C11D02"/>
    <w:rsid w:val="25C214B0"/>
    <w:rsid w:val="25C59469"/>
    <w:rsid w:val="25C5A11C"/>
    <w:rsid w:val="25C5A672"/>
    <w:rsid w:val="25C67F2D"/>
    <w:rsid w:val="25CDD706"/>
    <w:rsid w:val="25D48CC0"/>
    <w:rsid w:val="25D5C96F"/>
    <w:rsid w:val="25D776B3"/>
    <w:rsid w:val="25D7BF46"/>
    <w:rsid w:val="25DC2A72"/>
    <w:rsid w:val="25DD8D61"/>
    <w:rsid w:val="25E1B1C0"/>
    <w:rsid w:val="25EE6391"/>
    <w:rsid w:val="25F29274"/>
    <w:rsid w:val="25F55AEC"/>
    <w:rsid w:val="25F64383"/>
    <w:rsid w:val="25F6B68A"/>
    <w:rsid w:val="25F6E6E4"/>
    <w:rsid w:val="25FB31AB"/>
    <w:rsid w:val="2608D338"/>
    <w:rsid w:val="26131148"/>
    <w:rsid w:val="2613EC81"/>
    <w:rsid w:val="261549A5"/>
    <w:rsid w:val="261A15AC"/>
    <w:rsid w:val="261ED314"/>
    <w:rsid w:val="261F151C"/>
    <w:rsid w:val="262085C8"/>
    <w:rsid w:val="2625D2F1"/>
    <w:rsid w:val="262CF549"/>
    <w:rsid w:val="262FE5FF"/>
    <w:rsid w:val="2635A1D1"/>
    <w:rsid w:val="26362FF2"/>
    <w:rsid w:val="263EDE91"/>
    <w:rsid w:val="263FFACF"/>
    <w:rsid w:val="2640B80C"/>
    <w:rsid w:val="2642051B"/>
    <w:rsid w:val="26497359"/>
    <w:rsid w:val="264C16D3"/>
    <w:rsid w:val="2651499D"/>
    <w:rsid w:val="26516EF2"/>
    <w:rsid w:val="26523094"/>
    <w:rsid w:val="2666B39F"/>
    <w:rsid w:val="267A86D9"/>
    <w:rsid w:val="267A9C7E"/>
    <w:rsid w:val="267F6B37"/>
    <w:rsid w:val="26800254"/>
    <w:rsid w:val="2681B3EB"/>
    <w:rsid w:val="268257D5"/>
    <w:rsid w:val="268297C0"/>
    <w:rsid w:val="2683F605"/>
    <w:rsid w:val="268B1EEC"/>
    <w:rsid w:val="268E1D48"/>
    <w:rsid w:val="26967BCB"/>
    <w:rsid w:val="269921AE"/>
    <w:rsid w:val="269D87F9"/>
    <w:rsid w:val="269E4FC0"/>
    <w:rsid w:val="269FB3A7"/>
    <w:rsid w:val="26A48D70"/>
    <w:rsid w:val="26A6BBF8"/>
    <w:rsid w:val="26A7565B"/>
    <w:rsid w:val="26AAD373"/>
    <w:rsid w:val="26AFB322"/>
    <w:rsid w:val="26B21261"/>
    <w:rsid w:val="26B73B72"/>
    <w:rsid w:val="26B9DF2C"/>
    <w:rsid w:val="26BDFF64"/>
    <w:rsid w:val="26BE845C"/>
    <w:rsid w:val="26C12A26"/>
    <w:rsid w:val="26CE4FA1"/>
    <w:rsid w:val="26D0DE31"/>
    <w:rsid w:val="26D5E207"/>
    <w:rsid w:val="26E775A1"/>
    <w:rsid w:val="26E7BD15"/>
    <w:rsid w:val="26E8625E"/>
    <w:rsid w:val="26EAD2E6"/>
    <w:rsid w:val="26ECE788"/>
    <w:rsid w:val="26ECEFFC"/>
    <w:rsid w:val="26F16705"/>
    <w:rsid w:val="26F3615B"/>
    <w:rsid w:val="26F568C0"/>
    <w:rsid w:val="26F5A0FF"/>
    <w:rsid w:val="26F81555"/>
    <w:rsid w:val="26F85989"/>
    <w:rsid w:val="2703EFE1"/>
    <w:rsid w:val="270BEB3F"/>
    <w:rsid w:val="270DA47C"/>
    <w:rsid w:val="2710FE69"/>
    <w:rsid w:val="271EB0BD"/>
    <w:rsid w:val="271F8C1A"/>
    <w:rsid w:val="2724692B"/>
    <w:rsid w:val="27250C96"/>
    <w:rsid w:val="2727C441"/>
    <w:rsid w:val="272BF601"/>
    <w:rsid w:val="2733EC4A"/>
    <w:rsid w:val="27354068"/>
    <w:rsid w:val="2736BBC6"/>
    <w:rsid w:val="273839A5"/>
    <w:rsid w:val="273A70C5"/>
    <w:rsid w:val="273A73EF"/>
    <w:rsid w:val="273F7D09"/>
    <w:rsid w:val="27417BDC"/>
    <w:rsid w:val="2742477F"/>
    <w:rsid w:val="27481976"/>
    <w:rsid w:val="2748B891"/>
    <w:rsid w:val="27503B06"/>
    <w:rsid w:val="2750753F"/>
    <w:rsid w:val="27596597"/>
    <w:rsid w:val="27598D29"/>
    <w:rsid w:val="27606FE4"/>
    <w:rsid w:val="2764D47D"/>
    <w:rsid w:val="2765D7C9"/>
    <w:rsid w:val="2766478F"/>
    <w:rsid w:val="27684235"/>
    <w:rsid w:val="276BAAFF"/>
    <w:rsid w:val="276C5DBE"/>
    <w:rsid w:val="276CBC67"/>
    <w:rsid w:val="276D7478"/>
    <w:rsid w:val="276DF108"/>
    <w:rsid w:val="2774855D"/>
    <w:rsid w:val="27767176"/>
    <w:rsid w:val="27780A52"/>
    <w:rsid w:val="277B5119"/>
    <w:rsid w:val="277D0ACF"/>
    <w:rsid w:val="277FD6CC"/>
    <w:rsid w:val="2782C1B3"/>
    <w:rsid w:val="278B8957"/>
    <w:rsid w:val="278FC895"/>
    <w:rsid w:val="2793FB23"/>
    <w:rsid w:val="279D0260"/>
    <w:rsid w:val="27A693BB"/>
    <w:rsid w:val="27A90310"/>
    <w:rsid w:val="27A9FDEF"/>
    <w:rsid w:val="27AB64C2"/>
    <w:rsid w:val="27ACCF13"/>
    <w:rsid w:val="27B0CE61"/>
    <w:rsid w:val="27B20C9A"/>
    <w:rsid w:val="27B6A8B9"/>
    <w:rsid w:val="27B6CB52"/>
    <w:rsid w:val="27B8F327"/>
    <w:rsid w:val="27BBF302"/>
    <w:rsid w:val="27BF5E90"/>
    <w:rsid w:val="27C21951"/>
    <w:rsid w:val="27C30E83"/>
    <w:rsid w:val="27C40A59"/>
    <w:rsid w:val="27C72762"/>
    <w:rsid w:val="27C9359F"/>
    <w:rsid w:val="27CFED69"/>
    <w:rsid w:val="27D0615B"/>
    <w:rsid w:val="27D65EBD"/>
    <w:rsid w:val="27DC30A3"/>
    <w:rsid w:val="27DD3C72"/>
    <w:rsid w:val="27DDB34F"/>
    <w:rsid w:val="27DDF87E"/>
    <w:rsid w:val="27E06DE0"/>
    <w:rsid w:val="27E0CA5F"/>
    <w:rsid w:val="27E1E0DF"/>
    <w:rsid w:val="27E30CA7"/>
    <w:rsid w:val="27E677FD"/>
    <w:rsid w:val="27E7880C"/>
    <w:rsid w:val="27E7AA00"/>
    <w:rsid w:val="27EAB0CD"/>
    <w:rsid w:val="27EAE4A9"/>
    <w:rsid w:val="27EC3B38"/>
    <w:rsid w:val="27EEFE0C"/>
    <w:rsid w:val="27F41BBD"/>
    <w:rsid w:val="27F48C19"/>
    <w:rsid w:val="27F57976"/>
    <w:rsid w:val="27F651FC"/>
    <w:rsid w:val="27F75F67"/>
    <w:rsid w:val="27FA4932"/>
    <w:rsid w:val="28026338"/>
    <w:rsid w:val="2809C47D"/>
    <w:rsid w:val="280D5C39"/>
    <w:rsid w:val="28126B0A"/>
    <w:rsid w:val="2816A897"/>
    <w:rsid w:val="281824DF"/>
    <w:rsid w:val="28184E4D"/>
    <w:rsid w:val="281D42FD"/>
    <w:rsid w:val="2820FE95"/>
    <w:rsid w:val="282D36B5"/>
    <w:rsid w:val="282F6EB0"/>
    <w:rsid w:val="28305C37"/>
    <w:rsid w:val="28348B33"/>
    <w:rsid w:val="283E7F0A"/>
    <w:rsid w:val="2848EB3D"/>
    <w:rsid w:val="284BC0AF"/>
    <w:rsid w:val="284C587D"/>
    <w:rsid w:val="2850539B"/>
    <w:rsid w:val="2851A552"/>
    <w:rsid w:val="2852FB96"/>
    <w:rsid w:val="28530BD3"/>
    <w:rsid w:val="28585F96"/>
    <w:rsid w:val="28597753"/>
    <w:rsid w:val="2859FB62"/>
    <w:rsid w:val="285B3F61"/>
    <w:rsid w:val="2861FDBC"/>
    <w:rsid w:val="286DE20C"/>
    <w:rsid w:val="2871F3E0"/>
    <w:rsid w:val="287204D6"/>
    <w:rsid w:val="287539B9"/>
    <w:rsid w:val="287EE720"/>
    <w:rsid w:val="2882C4B2"/>
    <w:rsid w:val="2883ADF2"/>
    <w:rsid w:val="288802DB"/>
    <w:rsid w:val="28895B78"/>
    <w:rsid w:val="288C858D"/>
    <w:rsid w:val="288E9749"/>
    <w:rsid w:val="288F7EBF"/>
    <w:rsid w:val="2890B0AB"/>
    <w:rsid w:val="28933DA8"/>
    <w:rsid w:val="28997A0F"/>
    <w:rsid w:val="289B73DF"/>
    <w:rsid w:val="289BF216"/>
    <w:rsid w:val="289D7CF4"/>
    <w:rsid w:val="28A21EE5"/>
    <w:rsid w:val="28ABDC79"/>
    <w:rsid w:val="28AD7096"/>
    <w:rsid w:val="28AFC881"/>
    <w:rsid w:val="28B411F5"/>
    <w:rsid w:val="28B9B4AA"/>
    <w:rsid w:val="28BD477D"/>
    <w:rsid w:val="28C00BDC"/>
    <w:rsid w:val="28C88188"/>
    <w:rsid w:val="28C933E0"/>
    <w:rsid w:val="28CAA5BF"/>
    <w:rsid w:val="28D68AB0"/>
    <w:rsid w:val="28DE063C"/>
    <w:rsid w:val="28DE2AD8"/>
    <w:rsid w:val="28E22DE8"/>
    <w:rsid w:val="28E7EAAE"/>
    <w:rsid w:val="28EAD281"/>
    <w:rsid w:val="28EDC9ED"/>
    <w:rsid w:val="28F4ACA3"/>
    <w:rsid w:val="28F4E028"/>
    <w:rsid w:val="28F9486A"/>
    <w:rsid w:val="28FB8D6E"/>
    <w:rsid w:val="29014165"/>
    <w:rsid w:val="2905A720"/>
    <w:rsid w:val="2908BEFB"/>
    <w:rsid w:val="290AA77B"/>
    <w:rsid w:val="290C8339"/>
    <w:rsid w:val="2910F473"/>
    <w:rsid w:val="2913F13B"/>
    <w:rsid w:val="2914BA61"/>
    <w:rsid w:val="291AA8BB"/>
    <w:rsid w:val="291C3164"/>
    <w:rsid w:val="291C8967"/>
    <w:rsid w:val="291E173D"/>
    <w:rsid w:val="29207F81"/>
    <w:rsid w:val="2920938D"/>
    <w:rsid w:val="29254876"/>
    <w:rsid w:val="2927AF90"/>
    <w:rsid w:val="292885AA"/>
    <w:rsid w:val="292BDB74"/>
    <w:rsid w:val="2930CC43"/>
    <w:rsid w:val="29375816"/>
    <w:rsid w:val="2939A6D1"/>
    <w:rsid w:val="2942EC16"/>
    <w:rsid w:val="2946D3BA"/>
    <w:rsid w:val="294AB3C6"/>
    <w:rsid w:val="2950380F"/>
    <w:rsid w:val="2952638C"/>
    <w:rsid w:val="2955EF26"/>
    <w:rsid w:val="295A5932"/>
    <w:rsid w:val="295ADCC7"/>
    <w:rsid w:val="295B45BD"/>
    <w:rsid w:val="295B6733"/>
    <w:rsid w:val="29663C7D"/>
    <w:rsid w:val="296B23F3"/>
    <w:rsid w:val="2976F497"/>
    <w:rsid w:val="2978629A"/>
    <w:rsid w:val="2979EC65"/>
    <w:rsid w:val="297C22B3"/>
    <w:rsid w:val="29802C3C"/>
    <w:rsid w:val="2985ABC0"/>
    <w:rsid w:val="29861BDD"/>
    <w:rsid w:val="29869786"/>
    <w:rsid w:val="2994D609"/>
    <w:rsid w:val="29961C63"/>
    <w:rsid w:val="299E013D"/>
    <w:rsid w:val="29A2BFC4"/>
    <w:rsid w:val="29A78AE8"/>
    <w:rsid w:val="29B191B2"/>
    <w:rsid w:val="29B2425A"/>
    <w:rsid w:val="29B9375F"/>
    <w:rsid w:val="29C05EBB"/>
    <w:rsid w:val="29C06CB4"/>
    <w:rsid w:val="29C169EB"/>
    <w:rsid w:val="29C48BE4"/>
    <w:rsid w:val="29C7721E"/>
    <w:rsid w:val="29C9F17A"/>
    <w:rsid w:val="29CA0BA3"/>
    <w:rsid w:val="29CB0A24"/>
    <w:rsid w:val="29CB68CE"/>
    <w:rsid w:val="29DAB72B"/>
    <w:rsid w:val="29E58D7C"/>
    <w:rsid w:val="29E70990"/>
    <w:rsid w:val="29E72B62"/>
    <w:rsid w:val="29EA659C"/>
    <w:rsid w:val="29EB5D5F"/>
    <w:rsid w:val="29EEA547"/>
    <w:rsid w:val="29F616EC"/>
    <w:rsid w:val="2A02DCFB"/>
    <w:rsid w:val="2A09FB07"/>
    <w:rsid w:val="2A0A6FD4"/>
    <w:rsid w:val="2A12F492"/>
    <w:rsid w:val="2A13ADBE"/>
    <w:rsid w:val="2A15CD3C"/>
    <w:rsid w:val="2A1662AF"/>
    <w:rsid w:val="2A18D926"/>
    <w:rsid w:val="2A1D9E46"/>
    <w:rsid w:val="2A20E183"/>
    <w:rsid w:val="2A230FFA"/>
    <w:rsid w:val="2A271692"/>
    <w:rsid w:val="2A272C83"/>
    <w:rsid w:val="2A295A79"/>
    <w:rsid w:val="2A306384"/>
    <w:rsid w:val="2A37BF9F"/>
    <w:rsid w:val="2A38D5BB"/>
    <w:rsid w:val="2A3BD28B"/>
    <w:rsid w:val="2A3EB3CF"/>
    <w:rsid w:val="2A494A5F"/>
    <w:rsid w:val="2A4E2F35"/>
    <w:rsid w:val="2A512D2B"/>
    <w:rsid w:val="2A5429B1"/>
    <w:rsid w:val="2A56BAB6"/>
    <w:rsid w:val="2A5E74B3"/>
    <w:rsid w:val="2A5EDC2D"/>
    <w:rsid w:val="2A63577B"/>
    <w:rsid w:val="2A6E6114"/>
    <w:rsid w:val="2A74926A"/>
    <w:rsid w:val="2A7BD8F3"/>
    <w:rsid w:val="2A81F1D0"/>
    <w:rsid w:val="2A830DF4"/>
    <w:rsid w:val="2A837EA0"/>
    <w:rsid w:val="2A8FB740"/>
    <w:rsid w:val="2A90C4D3"/>
    <w:rsid w:val="2A914AD7"/>
    <w:rsid w:val="2A923088"/>
    <w:rsid w:val="2A9510EE"/>
    <w:rsid w:val="2A989E02"/>
    <w:rsid w:val="2A98C68C"/>
    <w:rsid w:val="2A9920F4"/>
    <w:rsid w:val="2A994A84"/>
    <w:rsid w:val="2A99729E"/>
    <w:rsid w:val="2AA32309"/>
    <w:rsid w:val="2AA4BB87"/>
    <w:rsid w:val="2AA6BD17"/>
    <w:rsid w:val="2AA7B5E3"/>
    <w:rsid w:val="2AABB346"/>
    <w:rsid w:val="2AAC19C1"/>
    <w:rsid w:val="2AB1A971"/>
    <w:rsid w:val="2AB63168"/>
    <w:rsid w:val="2AB66872"/>
    <w:rsid w:val="2ABA120B"/>
    <w:rsid w:val="2ABA6680"/>
    <w:rsid w:val="2ABE0D9F"/>
    <w:rsid w:val="2AC880B6"/>
    <w:rsid w:val="2ACD722C"/>
    <w:rsid w:val="2AD82C45"/>
    <w:rsid w:val="2AD9CFA0"/>
    <w:rsid w:val="2ADBAC33"/>
    <w:rsid w:val="2AE34FEF"/>
    <w:rsid w:val="2AE4F3B8"/>
    <w:rsid w:val="2AE6517F"/>
    <w:rsid w:val="2AE80B26"/>
    <w:rsid w:val="2AEF6DF3"/>
    <w:rsid w:val="2AF027FB"/>
    <w:rsid w:val="2AFE01A1"/>
    <w:rsid w:val="2B022266"/>
    <w:rsid w:val="2B0A7274"/>
    <w:rsid w:val="2B0D6896"/>
    <w:rsid w:val="2B119AB9"/>
    <w:rsid w:val="2B15E27C"/>
    <w:rsid w:val="2B16E724"/>
    <w:rsid w:val="2B191FC3"/>
    <w:rsid w:val="2B1D00CF"/>
    <w:rsid w:val="2B257A09"/>
    <w:rsid w:val="2B25C2FC"/>
    <w:rsid w:val="2B26FC9A"/>
    <w:rsid w:val="2B29D28D"/>
    <w:rsid w:val="2B2A922A"/>
    <w:rsid w:val="2B2CA5DD"/>
    <w:rsid w:val="2B37F77F"/>
    <w:rsid w:val="2B3AE2ED"/>
    <w:rsid w:val="2B418D59"/>
    <w:rsid w:val="2B460F3C"/>
    <w:rsid w:val="2B496825"/>
    <w:rsid w:val="2B4D05BA"/>
    <w:rsid w:val="2B4D111F"/>
    <w:rsid w:val="2B5031A9"/>
    <w:rsid w:val="2B506D71"/>
    <w:rsid w:val="2B50D9AE"/>
    <w:rsid w:val="2B52BDE2"/>
    <w:rsid w:val="2B540553"/>
    <w:rsid w:val="2B555897"/>
    <w:rsid w:val="2B556BA7"/>
    <w:rsid w:val="2B56E214"/>
    <w:rsid w:val="2B5A3A4F"/>
    <w:rsid w:val="2B5AB29E"/>
    <w:rsid w:val="2B5CED17"/>
    <w:rsid w:val="2B5E1B07"/>
    <w:rsid w:val="2B61F597"/>
    <w:rsid w:val="2B622CA5"/>
    <w:rsid w:val="2B63CFF4"/>
    <w:rsid w:val="2B64E006"/>
    <w:rsid w:val="2B65A5A0"/>
    <w:rsid w:val="2B76777B"/>
    <w:rsid w:val="2B78A848"/>
    <w:rsid w:val="2B7B5FC9"/>
    <w:rsid w:val="2B82D6FE"/>
    <w:rsid w:val="2B836C00"/>
    <w:rsid w:val="2B84D3D4"/>
    <w:rsid w:val="2B876A85"/>
    <w:rsid w:val="2B8770E9"/>
    <w:rsid w:val="2B90F8E1"/>
    <w:rsid w:val="2B9D0A62"/>
    <w:rsid w:val="2BA0C547"/>
    <w:rsid w:val="2BA18C04"/>
    <w:rsid w:val="2BA27EF7"/>
    <w:rsid w:val="2BABD9EE"/>
    <w:rsid w:val="2BAE3C6C"/>
    <w:rsid w:val="2BB084D8"/>
    <w:rsid w:val="2BB15AF1"/>
    <w:rsid w:val="2BB8C98C"/>
    <w:rsid w:val="2BC3032A"/>
    <w:rsid w:val="2BC4D828"/>
    <w:rsid w:val="2BCF9B9B"/>
    <w:rsid w:val="2BD2425E"/>
    <w:rsid w:val="2BD361BF"/>
    <w:rsid w:val="2BD36371"/>
    <w:rsid w:val="2BD3EDDC"/>
    <w:rsid w:val="2BD8F3CA"/>
    <w:rsid w:val="2BDC4F53"/>
    <w:rsid w:val="2BDD731F"/>
    <w:rsid w:val="2BECA893"/>
    <w:rsid w:val="2BEE6E93"/>
    <w:rsid w:val="2BF08FE6"/>
    <w:rsid w:val="2BF5F7A0"/>
    <w:rsid w:val="2BF66E41"/>
    <w:rsid w:val="2BF7C0B8"/>
    <w:rsid w:val="2BFDE03F"/>
    <w:rsid w:val="2BFFDB51"/>
    <w:rsid w:val="2C00D4A2"/>
    <w:rsid w:val="2C0121D5"/>
    <w:rsid w:val="2C0C3DDC"/>
    <w:rsid w:val="2C0C8A54"/>
    <w:rsid w:val="2C0FDA95"/>
    <w:rsid w:val="2C1405DF"/>
    <w:rsid w:val="2C1A6931"/>
    <w:rsid w:val="2C20A97D"/>
    <w:rsid w:val="2C27A6E5"/>
    <w:rsid w:val="2C2A753E"/>
    <w:rsid w:val="2C2C7538"/>
    <w:rsid w:val="2C2CDF7C"/>
    <w:rsid w:val="2C2EFD60"/>
    <w:rsid w:val="2C3582CA"/>
    <w:rsid w:val="2C38DAD8"/>
    <w:rsid w:val="2C396954"/>
    <w:rsid w:val="2C3A095B"/>
    <w:rsid w:val="2C40DA3D"/>
    <w:rsid w:val="2C461386"/>
    <w:rsid w:val="2C486C6E"/>
    <w:rsid w:val="2C48EA80"/>
    <w:rsid w:val="2C49E999"/>
    <w:rsid w:val="2C548034"/>
    <w:rsid w:val="2C5CC2E3"/>
    <w:rsid w:val="2C5E3CFD"/>
    <w:rsid w:val="2C5F31AB"/>
    <w:rsid w:val="2C60868A"/>
    <w:rsid w:val="2C654AF1"/>
    <w:rsid w:val="2C6B02A1"/>
    <w:rsid w:val="2C6B0932"/>
    <w:rsid w:val="2C702064"/>
    <w:rsid w:val="2C70D129"/>
    <w:rsid w:val="2C7FF736"/>
    <w:rsid w:val="2C82D649"/>
    <w:rsid w:val="2C864D02"/>
    <w:rsid w:val="2C8A99D7"/>
    <w:rsid w:val="2C908CD9"/>
    <w:rsid w:val="2C9E5DCF"/>
    <w:rsid w:val="2CA38916"/>
    <w:rsid w:val="2CA4137C"/>
    <w:rsid w:val="2CAA307D"/>
    <w:rsid w:val="2CAC1CC8"/>
    <w:rsid w:val="2CAE279A"/>
    <w:rsid w:val="2CAED9ED"/>
    <w:rsid w:val="2CB041D0"/>
    <w:rsid w:val="2CB09876"/>
    <w:rsid w:val="2CB0CFEA"/>
    <w:rsid w:val="2CB4A446"/>
    <w:rsid w:val="2CB7ED0C"/>
    <w:rsid w:val="2CB9265F"/>
    <w:rsid w:val="2CBCD2FF"/>
    <w:rsid w:val="2CBDE466"/>
    <w:rsid w:val="2CBF1FDB"/>
    <w:rsid w:val="2CC3B936"/>
    <w:rsid w:val="2CC5EB34"/>
    <w:rsid w:val="2CC8EF1C"/>
    <w:rsid w:val="2CCA7994"/>
    <w:rsid w:val="2CCF456C"/>
    <w:rsid w:val="2CD05ADD"/>
    <w:rsid w:val="2CD3A71D"/>
    <w:rsid w:val="2CD4493D"/>
    <w:rsid w:val="2CD5D476"/>
    <w:rsid w:val="2CD650E1"/>
    <w:rsid w:val="2CDA6B40"/>
    <w:rsid w:val="2CE34D4E"/>
    <w:rsid w:val="2CE36284"/>
    <w:rsid w:val="2CE7A052"/>
    <w:rsid w:val="2CE890B7"/>
    <w:rsid w:val="2CF28D30"/>
    <w:rsid w:val="2CF29C06"/>
    <w:rsid w:val="2CF3460A"/>
    <w:rsid w:val="2CF9758C"/>
    <w:rsid w:val="2CFB242B"/>
    <w:rsid w:val="2CFD12D3"/>
    <w:rsid w:val="2D016FC5"/>
    <w:rsid w:val="2D05816D"/>
    <w:rsid w:val="2D07323C"/>
    <w:rsid w:val="2D10BB59"/>
    <w:rsid w:val="2D1169D7"/>
    <w:rsid w:val="2D12A4CD"/>
    <w:rsid w:val="2D160012"/>
    <w:rsid w:val="2D177243"/>
    <w:rsid w:val="2D2547F6"/>
    <w:rsid w:val="2D28127B"/>
    <w:rsid w:val="2D28F1F4"/>
    <w:rsid w:val="2D2C11B4"/>
    <w:rsid w:val="2D2C7032"/>
    <w:rsid w:val="2D2E6D47"/>
    <w:rsid w:val="2D2F8A97"/>
    <w:rsid w:val="2D305568"/>
    <w:rsid w:val="2D314421"/>
    <w:rsid w:val="2D348A24"/>
    <w:rsid w:val="2D35DCB0"/>
    <w:rsid w:val="2D37EF5A"/>
    <w:rsid w:val="2D3869F5"/>
    <w:rsid w:val="2D3A0AFE"/>
    <w:rsid w:val="2D3C5686"/>
    <w:rsid w:val="2D434554"/>
    <w:rsid w:val="2D46DC44"/>
    <w:rsid w:val="2D48FF9F"/>
    <w:rsid w:val="2D53C2D5"/>
    <w:rsid w:val="2D543C62"/>
    <w:rsid w:val="2D54DC77"/>
    <w:rsid w:val="2D57B92E"/>
    <w:rsid w:val="2D5E7979"/>
    <w:rsid w:val="2D60A889"/>
    <w:rsid w:val="2D6156FB"/>
    <w:rsid w:val="2D64F603"/>
    <w:rsid w:val="2D67A4B6"/>
    <w:rsid w:val="2D680130"/>
    <w:rsid w:val="2D68E055"/>
    <w:rsid w:val="2D6A99FF"/>
    <w:rsid w:val="2D6C491D"/>
    <w:rsid w:val="2D6E0152"/>
    <w:rsid w:val="2D6E805B"/>
    <w:rsid w:val="2D6ED7FA"/>
    <w:rsid w:val="2D716E71"/>
    <w:rsid w:val="2D71982B"/>
    <w:rsid w:val="2D7D92CF"/>
    <w:rsid w:val="2D7EE4A0"/>
    <w:rsid w:val="2D84FD06"/>
    <w:rsid w:val="2D91BA59"/>
    <w:rsid w:val="2D9D17FF"/>
    <w:rsid w:val="2DA1343B"/>
    <w:rsid w:val="2DA1696A"/>
    <w:rsid w:val="2DA36A68"/>
    <w:rsid w:val="2DA4961B"/>
    <w:rsid w:val="2DA5AD18"/>
    <w:rsid w:val="2DA5EBB7"/>
    <w:rsid w:val="2DA6BE4B"/>
    <w:rsid w:val="2DA959EE"/>
    <w:rsid w:val="2DA9AB61"/>
    <w:rsid w:val="2DAE4725"/>
    <w:rsid w:val="2DAF23FD"/>
    <w:rsid w:val="2DB25C7F"/>
    <w:rsid w:val="2DB37DD2"/>
    <w:rsid w:val="2DBD3C4C"/>
    <w:rsid w:val="2DBD59E7"/>
    <w:rsid w:val="2DC2AA96"/>
    <w:rsid w:val="2DC2CC0D"/>
    <w:rsid w:val="2DC4A932"/>
    <w:rsid w:val="2DC8E05C"/>
    <w:rsid w:val="2DC97AE4"/>
    <w:rsid w:val="2DDDD215"/>
    <w:rsid w:val="2DE1FD7F"/>
    <w:rsid w:val="2DEAFD2E"/>
    <w:rsid w:val="2DECEE63"/>
    <w:rsid w:val="2DF200EE"/>
    <w:rsid w:val="2DF4E093"/>
    <w:rsid w:val="2DF89302"/>
    <w:rsid w:val="2DF99F52"/>
    <w:rsid w:val="2DFB3940"/>
    <w:rsid w:val="2DFD3D0E"/>
    <w:rsid w:val="2DFF2384"/>
    <w:rsid w:val="2E093BEF"/>
    <w:rsid w:val="2E0B0F12"/>
    <w:rsid w:val="2E0C2862"/>
    <w:rsid w:val="2E120BDC"/>
    <w:rsid w:val="2E12DA62"/>
    <w:rsid w:val="2E14F8A0"/>
    <w:rsid w:val="2E1885DD"/>
    <w:rsid w:val="2E1B1137"/>
    <w:rsid w:val="2E1D6512"/>
    <w:rsid w:val="2E2765FA"/>
    <w:rsid w:val="2E29DC04"/>
    <w:rsid w:val="2E2EB6E0"/>
    <w:rsid w:val="2E31859E"/>
    <w:rsid w:val="2E336846"/>
    <w:rsid w:val="2E3B93B1"/>
    <w:rsid w:val="2E3BC022"/>
    <w:rsid w:val="2E3CEAB8"/>
    <w:rsid w:val="2E3EC8BC"/>
    <w:rsid w:val="2E4135B2"/>
    <w:rsid w:val="2E453E65"/>
    <w:rsid w:val="2E494897"/>
    <w:rsid w:val="2E4D6239"/>
    <w:rsid w:val="2E4E121C"/>
    <w:rsid w:val="2E520F2E"/>
    <w:rsid w:val="2E52AD55"/>
    <w:rsid w:val="2E54866C"/>
    <w:rsid w:val="2E59D37E"/>
    <w:rsid w:val="2E63CC61"/>
    <w:rsid w:val="2E646E41"/>
    <w:rsid w:val="2E65E080"/>
    <w:rsid w:val="2E65FAEC"/>
    <w:rsid w:val="2E6803D8"/>
    <w:rsid w:val="2E690B57"/>
    <w:rsid w:val="2E70A831"/>
    <w:rsid w:val="2E78F7E1"/>
    <w:rsid w:val="2E790C01"/>
    <w:rsid w:val="2E7A09C2"/>
    <w:rsid w:val="2E7A39A1"/>
    <w:rsid w:val="2E7DBFC2"/>
    <w:rsid w:val="2E7F5DAF"/>
    <w:rsid w:val="2E8536E3"/>
    <w:rsid w:val="2E960CF1"/>
    <w:rsid w:val="2E9889B6"/>
    <w:rsid w:val="2E99A9F7"/>
    <w:rsid w:val="2E9A1CE3"/>
    <w:rsid w:val="2E9C2A9F"/>
    <w:rsid w:val="2E9E285D"/>
    <w:rsid w:val="2EA25567"/>
    <w:rsid w:val="2EA30D35"/>
    <w:rsid w:val="2EACD12F"/>
    <w:rsid w:val="2EB46E6E"/>
    <w:rsid w:val="2EB61FB8"/>
    <w:rsid w:val="2EB99F2E"/>
    <w:rsid w:val="2EBB431B"/>
    <w:rsid w:val="2EC713E6"/>
    <w:rsid w:val="2ECEC2F8"/>
    <w:rsid w:val="2ED17FD0"/>
    <w:rsid w:val="2ED4BC36"/>
    <w:rsid w:val="2ED545D4"/>
    <w:rsid w:val="2ED766C3"/>
    <w:rsid w:val="2ED7D18B"/>
    <w:rsid w:val="2ED82A5A"/>
    <w:rsid w:val="2ED984CC"/>
    <w:rsid w:val="2ED9D2A1"/>
    <w:rsid w:val="2EDDACED"/>
    <w:rsid w:val="2EDF1663"/>
    <w:rsid w:val="2EE0505A"/>
    <w:rsid w:val="2EE4D043"/>
    <w:rsid w:val="2EEC7050"/>
    <w:rsid w:val="2EEF3897"/>
    <w:rsid w:val="2EF3A007"/>
    <w:rsid w:val="2EF3F39F"/>
    <w:rsid w:val="2EF595F5"/>
    <w:rsid w:val="2EF6CCB7"/>
    <w:rsid w:val="2EF99628"/>
    <w:rsid w:val="2F0C2244"/>
    <w:rsid w:val="2F1787BA"/>
    <w:rsid w:val="2F192309"/>
    <w:rsid w:val="2F1FEE7A"/>
    <w:rsid w:val="2F28C0B9"/>
    <w:rsid w:val="2F29E032"/>
    <w:rsid w:val="2F2DF703"/>
    <w:rsid w:val="2F2E1C6E"/>
    <w:rsid w:val="2F2F3094"/>
    <w:rsid w:val="2F30932E"/>
    <w:rsid w:val="2F334797"/>
    <w:rsid w:val="2F3540E9"/>
    <w:rsid w:val="2F361110"/>
    <w:rsid w:val="2F402E52"/>
    <w:rsid w:val="2F45C59B"/>
    <w:rsid w:val="2F462DB1"/>
    <w:rsid w:val="2F47D0A2"/>
    <w:rsid w:val="2F495A1A"/>
    <w:rsid w:val="2F509750"/>
    <w:rsid w:val="2F54DA3C"/>
    <w:rsid w:val="2F589690"/>
    <w:rsid w:val="2F594CED"/>
    <w:rsid w:val="2F5A847A"/>
    <w:rsid w:val="2F60885E"/>
    <w:rsid w:val="2F64319E"/>
    <w:rsid w:val="2F693D06"/>
    <w:rsid w:val="2F6C4E85"/>
    <w:rsid w:val="2F6ED37B"/>
    <w:rsid w:val="2F6EE844"/>
    <w:rsid w:val="2F74F110"/>
    <w:rsid w:val="2F769EBA"/>
    <w:rsid w:val="2F7A241A"/>
    <w:rsid w:val="2F7A7AED"/>
    <w:rsid w:val="2F7BFED8"/>
    <w:rsid w:val="2F7F095D"/>
    <w:rsid w:val="2F81649C"/>
    <w:rsid w:val="2F8380E0"/>
    <w:rsid w:val="2F848168"/>
    <w:rsid w:val="2F8797AF"/>
    <w:rsid w:val="2F8EEA3B"/>
    <w:rsid w:val="2F90FBF1"/>
    <w:rsid w:val="2F92750B"/>
    <w:rsid w:val="2F92D0A6"/>
    <w:rsid w:val="2F93F03D"/>
    <w:rsid w:val="2F953DD3"/>
    <w:rsid w:val="2F953DE5"/>
    <w:rsid w:val="2F98859F"/>
    <w:rsid w:val="2F9DAC1D"/>
    <w:rsid w:val="2FA18E6F"/>
    <w:rsid w:val="2FA64ED8"/>
    <w:rsid w:val="2FAA28A3"/>
    <w:rsid w:val="2FAC10DD"/>
    <w:rsid w:val="2FAFA2CE"/>
    <w:rsid w:val="2FB18CED"/>
    <w:rsid w:val="2FB3B782"/>
    <w:rsid w:val="2FB5FF1E"/>
    <w:rsid w:val="2FBD39E9"/>
    <w:rsid w:val="2FC10807"/>
    <w:rsid w:val="2FC1B979"/>
    <w:rsid w:val="2FC1D53D"/>
    <w:rsid w:val="2FC657C5"/>
    <w:rsid w:val="2FCA50EC"/>
    <w:rsid w:val="2FCA76D7"/>
    <w:rsid w:val="2FCF7A47"/>
    <w:rsid w:val="2FD1F74C"/>
    <w:rsid w:val="2FD357A5"/>
    <w:rsid w:val="2FDD4B2E"/>
    <w:rsid w:val="2FE1951C"/>
    <w:rsid w:val="2FE28A88"/>
    <w:rsid w:val="2FE61C6E"/>
    <w:rsid w:val="2FE99574"/>
    <w:rsid w:val="2FEB1D08"/>
    <w:rsid w:val="2FED76CA"/>
    <w:rsid w:val="2FEE9E45"/>
    <w:rsid w:val="2FF857B8"/>
    <w:rsid w:val="2FFC324F"/>
    <w:rsid w:val="2FFD0A38"/>
    <w:rsid w:val="2FFEAB27"/>
    <w:rsid w:val="3006E962"/>
    <w:rsid w:val="3007122B"/>
    <w:rsid w:val="3008AFC0"/>
    <w:rsid w:val="300D3378"/>
    <w:rsid w:val="300EE5B7"/>
    <w:rsid w:val="3011BBAD"/>
    <w:rsid w:val="30151388"/>
    <w:rsid w:val="301B155B"/>
    <w:rsid w:val="301B407D"/>
    <w:rsid w:val="301B618A"/>
    <w:rsid w:val="301CA254"/>
    <w:rsid w:val="301E056E"/>
    <w:rsid w:val="3020931C"/>
    <w:rsid w:val="30224441"/>
    <w:rsid w:val="3022CA97"/>
    <w:rsid w:val="302711BE"/>
    <w:rsid w:val="3029BC19"/>
    <w:rsid w:val="302B1520"/>
    <w:rsid w:val="302BFDD9"/>
    <w:rsid w:val="302D1E59"/>
    <w:rsid w:val="302F60F5"/>
    <w:rsid w:val="3037923E"/>
    <w:rsid w:val="303B9074"/>
    <w:rsid w:val="304020D9"/>
    <w:rsid w:val="30423E47"/>
    <w:rsid w:val="304291D7"/>
    <w:rsid w:val="3043A0F1"/>
    <w:rsid w:val="3055E547"/>
    <w:rsid w:val="30569A66"/>
    <w:rsid w:val="305D01BE"/>
    <w:rsid w:val="305DD2E6"/>
    <w:rsid w:val="30643612"/>
    <w:rsid w:val="306F2431"/>
    <w:rsid w:val="307572AC"/>
    <w:rsid w:val="307BEC70"/>
    <w:rsid w:val="307D2CA7"/>
    <w:rsid w:val="30818B45"/>
    <w:rsid w:val="30832F05"/>
    <w:rsid w:val="308CF680"/>
    <w:rsid w:val="308EFD54"/>
    <w:rsid w:val="308F9991"/>
    <w:rsid w:val="30966DC4"/>
    <w:rsid w:val="3099A890"/>
    <w:rsid w:val="309A533B"/>
    <w:rsid w:val="309B1F6D"/>
    <w:rsid w:val="309EF2ED"/>
    <w:rsid w:val="309F04C4"/>
    <w:rsid w:val="30A07DF0"/>
    <w:rsid w:val="30A556D4"/>
    <w:rsid w:val="30A75BE5"/>
    <w:rsid w:val="30AE82F4"/>
    <w:rsid w:val="30BC7004"/>
    <w:rsid w:val="30BFAD9B"/>
    <w:rsid w:val="30C1CA9E"/>
    <w:rsid w:val="30C4AB06"/>
    <w:rsid w:val="30CB3EF3"/>
    <w:rsid w:val="30CF9038"/>
    <w:rsid w:val="30CFFD30"/>
    <w:rsid w:val="30D3F5CD"/>
    <w:rsid w:val="30D99843"/>
    <w:rsid w:val="30DE4A42"/>
    <w:rsid w:val="30E5303B"/>
    <w:rsid w:val="30E8E3EF"/>
    <w:rsid w:val="30F51655"/>
    <w:rsid w:val="30F5AAE8"/>
    <w:rsid w:val="30F66B33"/>
    <w:rsid w:val="30FB79F8"/>
    <w:rsid w:val="30FFE65B"/>
    <w:rsid w:val="31006476"/>
    <w:rsid w:val="3105F7F6"/>
    <w:rsid w:val="31061E48"/>
    <w:rsid w:val="310622D7"/>
    <w:rsid w:val="31074F1A"/>
    <w:rsid w:val="310FF0E8"/>
    <w:rsid w:val="311374C1"/>
    <w:rsid w:val="31162C16"/>
    <w:rsid w:val="3118D351"/>
    <w:rsid w:val="311C2EBC"/>
    <w:rsid w:val="311C8C08"/>
    <w:rsid w:val="311D3B06"/>
    <w:rsid w:val="311E72D2"/>
    <w:rsid w:val="3120CBC2"/>
    <w:rsid w:val="3124BDCA"/>
    <w:rsid w:val="3125A425"/>
    <w:rsid w:val="3127CDCF"/>
    <w:rsid w:val="3129DA23"/>
    <w:rsid w:val="312B04E9"/>
    <w:rsid w:val="312BF889"/>
    <w:rsid w:val="312D708B"/>
    <w:rsid w:val="312FDC2A"/>
    <w:rsid w:val="31321EE4"/>
    <w:rsid w:val="3135A699"/>
    <w:rsid w:val="313D4D77"/>
    <w:rsid w:val="31438DED"/>
    <w:rsid w:val="31473E1F"/>
    <w:rsid w:val="314ADE94"/>
    <w:rsid w:val="314BBDB7"/>
    <w:rsid w:val="314EEF15"/>
    <w:rsid w:val="31547242"/>
    <w:rsid w:val="31547427"/>
    <w:rsid w:val="3155402F"/>
    <w:rsid w:val="315C5407"/>
    <w:rsid w:val="315CB247"/>
    <w:rsid w:val="31607D16"/>
    <w:rsid w:val="31639967"/>
    <w:rsid w:val="3164F95E"/>
    <w:rsid w:val="31652EA7"/>
    <w:rsid w:val="3168494C"/>
    <w:rsid w:val="316A6217"/>
    <w:rsid w:val="316C6DDC"/>
    <w:rsid w:val="316D9C55"/>
    <w:rsid w:val="3170691B"/>
    <w:rsid w:val="317D89EA"/>
    <w:rsid w:val="318220DB"/>
    <w:rsid w:val="31843269"/>
    <w:rsid w:val="31863584"/>
    <w:rsid w:val="3189A29B"/>
    <w:rsid w:val="318CF0F2"/>
    <w:rsid w:val="318E59A2"/>
    <w:rsid w:val="3193C0A2"/>
    <w:rsid w:val="319914D5"/>
    <w:rsid w:val="319AD4FE"/>
    <w:rsid w:val="319B6D23"/>
    <w:rsid w:val="31A08E24"/>
    <w:rsid w:val="31AA7E20"/>
    <w:rsid w:val="31AA944C"/>
    <w:rsid w:val="31AABA54"/>
    <w:rsid w:val="31AAFE27"/>
    <w:rsid w:val="31B2823E"/>
    <w:rsid w:val="31B83281"/>
    <w:rsid w:val="31BDDBC3"/>
    <w:rsid w:val="31C2A1E0"/>
    <w:rsid w:val="31C49020"/>
    <w:rsid w:val="31C57275"/>
    <w:rsid w:val="31C63C1E"/>
    <w:rsid w:val="31C9A1EA"/>
    <w:rsid w:val="31CBB6A7"/>
    <w:rsid w:val="31CE4506"/>
    <w:rsid w:val="31CE8953"/>
    <w:rsid w:val="31CF662F"/>
    <w:rsid w:val="31D49DDD"/>
    <w:rsid w:val="31D58538"/>
    <w:rsid w:val="31DA8F79"/>
    <w:rsid w:val="31DB025D"/>
    <w:rsid w:val="31DC020A"/>
    <w:rsid w:val="31DE3DE3"/>
    <w:rsid w:val="31DFC510"/>
    <w:rsid w:val="31E3B54E"/>
    <w:rsid w:val="31E657B0"/>
    <w:rsid w:val="31E93FE9"/>
    <w:rsid w:val="31EAC3EB"/>
    <w:rsid w:val="31EB0F4A"/>
    <w:rsid w:val="31EBCCB2"/>
    <w:rsid w:val="31EC4553"/>
    <w:rsid w:val="31EFCBE7"/>
    <w:rsid w:val="31F0206C"/>
    <w:rsid w:val="31F4D7DD"/>
    <w:rsid w:val="31FD4136"/>
    <w:rsid w:val="3203E802"/>
    <w:rsid w:val="3205BBD1"/>
    <w:rsid w:val="320BFA2A"/>
    <w:rsid w:val="320D5D14"/>
    <w:rsid w:val="320E9FB3"/>
    <w:rsid w:val="32105861"/>
    <w:rsid w:val="3215FA89"/>
    <w:rsid w:val="3216C56C"/>
    <w:rsid w:val="3216D800"/>
    <w:rsid w:val="32176559"/>
    <w:rsid w:val="32228422"/>
    <w:rsid w:val="322342BB"/>
    <w:rsid w:val="3233165D"/>
    <w:rsid w:val="323332A4"/>
    <w:rsid w:val="32345218"/>
    <w:rsid w:val="32346B92"/>
    <w:rsid w:val="32373C4B"/>
    <w:rsid w:val="323C2713"/>
    <w:rsid w:val="323FC03A"/>
    <w:rsid w:val="324086FD"/>
    <w:rsid w:val="3241158E"/>
    <w:rsid w:val="32446BB3"/>
    <w:rsid w:val="32522D67"/>
    <w:rsid w:val="3252E683"/>
    <w:rsid w:val="3254B0DE"/>
    <w:rsid w:val="325914DB"/>
    <w:rsid w:val="325988F9"/>
    <w:rsid w:val="32615125"/>
    <w:rsid w:val="3265C6F8"/>
    <w:rsid w:val="3268939E"/>
    <w:rsid w:val="326A9ED5"/>
    <w:rsid w:val="326DCFE7"/>
    <w:rsid w:val="3277CB3D"/>
    <w:rsid w:val="328390F9"/>
    <w:rsid w:val="32848FAB"/>
    <w:rsid w:val="3287A2F8"/>
    <w:rsid w:val="3288CA53"/>
    <w:rsid w:val="328A4862"/>
    <w:rsid w:val="328B302D"/>
    <w:rsid w:val="328E13A9"/>
    <w:rsid w:val="328F9212"/>
    <w:rsid w:val="3290CB0A"/>
    <w:rsid w:val="32932DBA"/>
    <w:rsid w:val="32952409"/>
    <w:rsid w:val="32988EF0"/>
    <w:rsid w:val="329C9A25"/>
    <w:rsid w:val="32A8A5C6"/>
    <w:rsid w:val="32AFA137"/>
    <w:rsid w:val="32B129D5"/>
    <w:rsid w:val="32B14DD0"/>
    <w:rsid w:val="32B27264"/>
    <w:rsid w:val="32B2749A"/>
    <w:rsid w:val="32BB7F4B"/>
    <w:rsid w:val="32C520A1"/>
    <w:rsid w:val="32CC41CF"/>
    <w:rsid w:val="32CD0D27"/>
    <w:rsid w:val="32D8EE53"/>
    <w:rsid w:val="32DBA154"/>
    <w:rsid w:val="32DE271D"/>
    <w:rsid w:val="32DE2C7D"/>
    <w:rsid w:val="32DE58AE"/>
    <w:rsid w:val="32E1ECCF"/>
    <w:rsid w:val="32E54AF6"/>
    <w:rsid w:val="32E5966C"/>
    <w:rsid w:val="32E59F0A"/>
    <w:rsid w:val="32E65BF9"/>
    <w:rsid w:val="32F4920D"/>
    <w:rsid w:val="33037D07"/>
    <w:rsid w:val="3305C197"/>
    <w:rsid w:val="3317A992"/>
    <w:rsid w:val="331C35DB"/>
    <w:rsid w:val="331CCA6A"/>
    <w:rsid w:val="3321F909"/>
    <w:rsid w:val="33251EAB"/>
    <w:rsid w:val="3325B73F"/>
    <w:rsid w:val="3334133E"/>
    <w:rsid w:val="3336C5D5"/>
    <w:rsid w:val="33384795"/>
    <w:rsid w:val="333E2EC1"/>
    <w:rsid w:val="333F81FB"/>
    <w:rsid w:val="334D2270"/>
    <w:rsid w:val="33519B1A"/>
    <w:rsid w:val="3352A980"/>
    <w:rsid w:val="33535B74"/>
    <w:rsid w:val="335E2225"/>
    <w:rsid w:val="335F8D63"/>
    <w:rsid w:val="336A8F70"/>
    <w:rsid w:val="336E86A0"/>
    <w:rsid w:val="33725AB6"/>
    <w:rsid w:val="3376BC7F"/>
    <w:rsid w:val="337CF21A"/>
    <w:rsid w:val="337EE965"/>
    <w:rsid w:val="33864CD6"/>
    <w:rsid w:val="33894DBC"/>
    <w:rsid w:val="338BF017"/>
    <w:rsid w:val="33907BC3"/>
    <w:rsid w:val="3393DFF5"/>
    <w:rsid w:val="33946858"/>
    <w:rsid w:val="3395DCDF"/>
    <w:rsid w:val="33960E2D"/>
    <w:rsid w:val="339A9BC6"/>
    <w:rsid w:val="33A6C9C6"/>
    <w:rsid w:val="33A6FD17"/>
    <w:rsid w:val="33A768D8"/>
    <w:rsid w:val="33A95D85"/>
    <w:rsid w:val="33ACE07E"/>
    <w:rsid w:val="33AD3812"/>
    <w:rsid w:val="33ADC3E7"/>
    <w:rsid w:val="33B8B50E"/>
    <w:rsid w:val="33BE4C35"/>
    <w:rsid w:val="33C30859"/>
    <w:rsid w:val="33C3494E"/>
    <w:rsid w:val="33C5362A"/>
    <w:rsid w:val="33C73A53"/>
    <w:rsid w:val="33CE1284"/>
    <w:rsid w:val="33D3924E"/>
    <w:rsid w:val="33D3A5D6"/>
    <w:rsid w:val="33D47C35"/>
    <w:rsid w:val="33DB8E10"/>
    <w:rsid w:val="33DE2686"/>
    <w:rsid w:val="33DE7A1A"/>
    <w:rsid w:val="33DFC8C5"/>
    <w:rsid w:val="33E154E4"/>
    <w:rsid w:val="33E159CD"/>
    <w:rsid w:val="33E2968F"/>
    <w:rsid w:val="33EEB6E4"/>
    <w:rsid w:val="33F2EB1E"/>
    <w:rsid w:val="33F4445B"/>
    <w:rsid w:val="33F4A3AD"/>
    <w:rsid w:val="33F4AC2C"/>
    <w:rsid w:val="33F4CA4B"/>
    <w:rsid w:val="33F7F40B"/>
    <w:rsid w:val="33F85519"/>
    <w:rsid w:val="33F92D19"/>
    <w:rsid w:val="33FA1931"/>
    <w:rsid w:val="33FEEE46"/>
    <w:rsid w:val="340A3525"/>
    <w:rsid w:val="3415D8CB"/>
    <w:rsid w:val="34182CC6"/>
    <w:rsid w:val="341856D2"/>
    <w:rsid w:val="341867D0"/>
    <w:rsid w:val="341A4DAB"/>
    <w:rsid w:val="341DF233"/>
    <w:rsid w:val="342357B2"/>
    <w:rsid w:val="3425EA15"/>
    <w:rsid w:val="3426794C"/>
    <w:rsid w:val="34271608"/>
    <w:rsid w:val="342A9ADF"/>
    <w:rsid w:val="342E98A8"/>
    <w:rsid w:val="3439DCD4"/>
    <w:rsid w:val="343DAFDF"/>
    <w:rsid w:val="343E880C"/>
    <w:rsid w:val="34407ED5"/>
    <w:rsid w:val="34446A76"/>
    <w:rsid w:val="3444754F"/>
    <w:rsid w:val="34453A15"/>
    <w:rsid w:val="344641D5"/>
    <w:rsid w:val="344808C8"/>
    <w:rsid w:val="34507413"/>
    <w:rsid w:val="34569861"/>
    <w:rsid w:val="34592CF6"/>
    <w:rsid w:val="345C44A9"/>
    <w:rsid w:val="345E2EA0"/>
    <w:rsid w:val="345EDBB5"/>
    <w:rsid w:val="34652D08"/>
    <w:rsid w:val="3469A60F"/>
    <w:rsid w:val="346BE097"/>
    <w:rsid w:val="34712321"/>
    <w:rsid w:val="34752AC9"/>
    <w:rsid w:val="34759C28"/>
    <w:rsid w:val="3475BFAB"/>
    <w:rsid w:val="347620BA"/>
    <w:rsid w:val="3476373D"/>
    <w:rsid w:val="3476A23B"/>
    <w:rsid w:val="34780E30"/>
    <w:rsid w:val="347F8200"/>
    <w:rsid w:val="34808C9F"/>
    <w:rsid w:val="3483B70D"/>
    <w:rsid w:val="34848597"/>
    <w:rsid w:val="3486C41B"/>
    <w:rsid w:val="348737FA"/>
    <w:rsid w:val="348CB93E"/>
    <w:rsid w:val="348DA1B5"/>
    <w:rsid w:val="348F264B"/>
    <w:rsid w:val="34935985"/>
    <w:rsid w:val="3498AA5D"/>
    <w:rsid w:val="3498DC16"/>
    <w:rsid w:val="349E3333"/>
    <w:rsid w:val="34AB2FFF"/>
    <w:rsid w:val="34B4F801"/>
    <w:rsid w:val="34BBFA70"/>
    <w:rsid w:val="34BC7D3F"/>
    <w:rsid w:val="34C5F4C0"/>
    <w:rsid w:val="34CDC11A"/>
    <w:rsid w:val="34D2E1D8"/>
    <w:rsid w:val="34DFBF33"/>
    <w:rsid w:val="34E8A84B"/>
    <w:rsid w:val="34E90D80"/>
    <w:rsid w:val="34EA16C7"/>
    <w:rsid w:val="34F43999"/>
    <w:rsid w:val="34F4D6EA"/>
    <w:rsid w:val="34F74C08"/>
    <w:rsid w:val="34F9BFE3"/>
    <w:rsid w:val="3506550B"/>
    <w:rsid w:val="3507271A"/>
    <w:rsid w:val="35074795"/>
    <w:rsid w:val="350953C3"/>
    <w:rsid w:val="350DE2C6"/>
    <w:rsid w:val="3514D37A"/>
    <w:rsid w:val="35151A60"/>
    <w:rsid w:val="3515640F"/>
    <w:rsid w:val="351A1EC6"/>
    <w:rsid w:val="351AA737"/>
    <w:rsid w:val="352147A2"/>
    <w:rsid w:val="3521E0C7"/>
    <w:rsid w:val="35225A45"/>
    <w:rsid w:val="352ACF2D"/>
    <w:rsid w:val="352B45E0"/>
    <w:rsid w:val="352F135E"/>
    <w:rsid w:val="3531F814"/>
    <w:rsid w:val="35322509"/>
    <w:rsid w:val="3536167B"/>
    <w:rsid w:val="3536927A"/>
    <w:rsid w:val="35380BB9"/>
    <w:rsid w:val="353D17B8"/>
    <w:rsid w:val="35479C0A"/>
    <w:rsid w:val="3549D5E7"/>
    <w:rsid w:val="354C03F4"/>
    <w:rsid w:val="354FDD30"/>
    <w:rsid w:val="3557AA4F"/>
    <w:rsid w:val="3557B158"/>
    <w:rsid w:val="35588B74"/>
    <w:rsid w:val="355C0606"/>
    <w:rsid w:val="355E2EA9"/>
    <w:rsid w:val="35602F30"/>
    <w:rsid w:val="3563E651"/>
    <w:rsid w:val="35643EB4"/>
    <w:rsid w:val="35660BC1"/>
    <w:rsid w:val="356D945C"/>
    <w:rsid w:val="3570CE07"/>
    <w:rsid w:val="3572CE01"/>
    <w:rsid w:val="3575A413"/>
    <w:rsid w:val="3577FD17"/>
    <w:rsid w:val="357C1775"/>
    <w:rsid w:val="357C3E09"/>
    <w:rsid w:val="357C87C9"/>
    <w:rsid w:val="357DA0EF"/>
    <w:rsid w:val="357EF911"/>
    <w:rsid w:val="358B11DD"/>
    <w:rsid w:val="358C9DD8"/>
    <w:rsid w:val="358F8996"/>
    <w:rsid w:val="359791D6"/>
    <w:rsid w:val="35987435"/>
    <w:rsid w:val="359A7563"/>
    <w:rsid w:val="359B3087"/>
    <w:rsid w:val="359C717E"/>
    <w:rsid w:val="359D2676"/>
    <w:rsid w:val="359D6983"/>
    <w:rsid w:val="359DDC04"/>
    <w:rsid w:val="35A068F4"/>
    <w:rsid w:val="35AB5D53"/>
    <w:rsid w:val="35B42156"/>
    <w:rsid w:val="35B548D4"/>
    <w:rsid w:val="35B57BD1"/>
    <w:rsid w:val="35B8A5FF"/>
    <w:rsid w:val="35BE3A35"/>
    <w:rsid w:val="35C40CFF"/>
    <w:rsid w:val="35C50A11"/>
    <w:rsid w:val="35C6E67A"/>
    <w:rsid w:val="35C8289B"/>
    <w:rsid w:val="35C83F21"/>
    <w:rsid w:val="35CD5395"/>
    <w:rsid w:val="35CD9ECF"/>
    <w:rsid w:val="35CFFFB4"/>
    <w:rsid w:val="35D280BF"/>
    <w:rsid w:val="35D4F665"/>
    <w:rsid w:val="35D68637"/>
    <w:rsid w:val="35D6E2D5"/>
    <w:rsid w:val="35D74DEF"/>
    <w:rsid w:val="35DD355C"/>
    <w:rsid w:val="35E0D66D"/>
    <w:rsid w:val="35E67AB6"/>
    <w:rsid w:val="35E6DEAA"/>
    <w:rsid w:val="35E86081"/>
    <w:rsid w:val="35F2E02E"/>
    <w:rsid w:val="35F81B92"/>
    <w:rsid w:val="35FBFF68"/>
    <w:rsid w:val="35FE42EE"/>
    <w:rsid w:val="3602C15A"/>
    <w:rsid w:val="36074172"/>
    <w:rsid w:val="36091937"/>
    <w:rsid w:val="360EB8DC"/>
    <w:rsid w:val="3613C11A"/>
    <w:rsid w:val="361552CC"/>
    <w:rsid w:val="36159105"/>
    <w:rsid w:val="36182B33"/>
    <w:rsid w:val="3618301B"/>
    <w:rsid w:val="36187958"/>
    <w:rsid w:val="3619E1D2"/>
    <w:rsid w:val="361B560E"/>
    <w:rsid w:val="361B9FA7"/>
    <w:rsid w:val="361E7888"/>
    <w:rsid w:val="3622F906"/>
    <w:rsid w:val="3624BC44"/>
    <w:rsid w:val="3626B865"/>
    <w:rsid w:val="362FC521"/>
    <w:rsid w:val="36302D52"/>
    <w:rsid w:val="36329FC0"/>
    <w:rsid w:val="3633548E"/>
    <w:rsid w:val="36349AD7"/>
    <w:rsid w:val="363C313D"/>
    <w:rsid w:val="363FCAE1"/>
    <w:rsid w:val="36490CB2"/>
    <w:rsid w:val="364B30CF"/>
    <w:rsid w:val="364C7221"/>
    <w:rsid w:val="364FA5D7"/>
    <w:rsid w:val="364FED75"/>
    <w:rsid w:val="36584505"/>
    <w:rsid w:val="365999CB"/>
    <w:rsid w:val="3659AFA8"/>
    <w:rsid w:val="365E214F"/>
    <w:rsid w:val="365F0EB9"/>
    <w:rsid w:val="36627305"/>
    <w:rsid w:val="366974EA"/>
    <w:rsid w:val="366B9AD2"/>
    <w:rsid w:val="366EDE46"/>
    <w:rsid w:val="3675E141"/>
    <w:rsid w:val="36780BB8"/>
    <w:rsid w:val="367AE7F6"/>
    <w:rsid w:val="367E2B77"/>
    <w:rsid w:val="36811176"/>
    <w:rsid w:val="3685A7A1"/>
    <w:rsid w:val="36864104"/>
    <w:rsid w:val="36874AC2"/>
    <w:rsid w:val="36874E14"/>
    <w:rsid w:val="3687AD9D"/>
    <w:rsid w:val="3688078B"/>
    <w:rsid w:val="36895D70"/>
    <w:rsid w:val="368BC530"/>
    <w:rsid w:val="36915848"/>
    <w:rsid w:val="369259A4"/>
    <w:rsid w:val="3696279E"/>
    <w:rsid w:val="3696E081"/>
    <w:rsid w:val="3699ADED"/>
    <w:rsid w:val="369EB957"/>
    <w:rsid w:val="369F1AE5"/>
    <w:rsid w:val="36A51BC4"/>
    <w:rsid w:val="36A596A7"/>
    <w:rsid w:val="36AB8FCE"/>
    <w:rsid w:val="36AB9BC3"/>
    <w:rsid w:val="36ACDD49"/>
    <w:rsid w:val="36B0894E"/>
    <w:rsid w:val="36B32850"/>
    <w:rsid w:val="36B82C7F"/>
    <w:rsid w:val="36B9CB9D"/>
    <w:rsid w:val="36C115F8"/>
    <w:rsid w:val="36C13132"/>
    <w:rsid w:val="36C21E35"/>
    <w:rsid w:val="36C283CD"/>
    <w:rsid w:val="36C40AB5"/>
    <w:rsid w:val="36C5A943"/>
    <w:rsid w:val="36C6D953"/>
    <w:rsid w:val="36CB9D66"/>
    <w:rsid w:val="36CC0CB2"/>
    <w:rsid w:val="36D0239B"/>
    <w:rsid w:val="36D15BB6"/>
    <w:rsid w:val="36D18BAF"/>
    <w:rsid w:val="36D35B2D"/>
    <w:rsid w:val="36D511EB"/>
    <w:rsid w:val="36D959A9"/>
    <w:rsid w:val="36DA86FC"/>
    <w:rsid w:val="36DB9596"/>
    <w:rsid w:val="36DDC4C2"/>
    <w:rsid w:val="36E487BA"/>
    <w:rsid w:val="36E527C6"/>
    <w:rsid w:val="36EB0D5F"/>
    <w:rsid w:val="36ECDE15"/>
    <w:rsid w:val="36EF921A"/>
    <w:rsid w:val="36F157CA"/>
    <w:rsid w:val="36F4BD3E"/>
    <w:rsid w:val="36FA0EA8"/>
    <w:rsid w:val="36FA6437"/>
    <w:rsid w:val="36FB2C13"/>
    <w:rsid w:val="36FE51B6"/>
    <w:rsid w:val="36FFD2AD"/>
    <w:rsid w:val="37009BE4"/>
    <w:rsid w:val="370160A0"/>
    <w:rsid w:val="3704E495"/>
    <w:rsid w:val="3706B780"/>
    <w:rsid w:val="3707F18E"/>
    <w:rsid w:val="370F1554"/>
    <w:rsid w:val="371005FD"/>
    <w:rsid w:val="37116206"/>
    <w:rsid w:val="37123098"/>
    <w:rsid w:val="3713CD78"/>
    <w:rsid w:val="3716115B"/>
    <w:rsid w:val="371BEF75"/>
    <w:rsid w:val="371C23D5"/>
    <w:rsid w:val="371DEA41"/>
    <w:rsid w:val="3720BD47"/>
    <w:rsid w:val="37238B6F"/>
    <w:rsid w:val="3723DAF1"/>
    <w:rsid w:val="372A7976"/>
    <w:rsid w:val="372CEC36"/>
    <w:rsid w:val="372E266B"/>
    <w:rsid w:val="372E501C"/>
    <w:rsid w:val="37309AEC"/>
    <w:rsid w:val="3731A11B"/>
    <w:rsid w:val="3731E851"/>
    <w:rsid w:val="37344008"/>
    <w:rsid w:val="37352E43"/>
    <w:rsid w:val="373B04CC"/>
    <w:rsid w:val="373F6142"/>
    <w:rsid w:val="373FD9AB"/>
    <w:rsid w:val="374024F8"/>
    <w:rsid w:val="37474024"/>
    <w:rsid w:val="374B0CF9"/>
    <w:rsid w:val="374CAF4B"/>
    <w:rsid w:val="374F71AA"/>
    <w:rsid w:val="37504821"/>
    <w:rsid w:val="3754049C"/>
    <w:rsid w:val="3756F6BE"/>
    <w:rsid w:val="375DEFFD"/>
    <w:rsid w:val="37605472"/>
    <w:rsid w:val="37614232"/>
    <w:rsid w:val="37635CA9"/>
    <w:rsid w:val="37672A98"/>
    <w:rsid w:val="376D83E5"/>
    <w:rsid w:val="3775B01E"/>
    <w:rsid w:val="377914EE"/>
    <w:rsid w:val="377A63D5"/>
    <w:rsid w:val="377CE6AF"/>
    <w:rsid w:val="377D5A30"/>
    <w:rsid w:val="3780C072"/>
    <w:rsid w:val="3782A7F1"/>
    <w:rsid w:val="3787A092"/>
    <w:rsid w:val="378CDAE2"/>
    <w:rsid w:val="378D750B"/>
    <w:rsid w:val="378F1820"/>
    <w:rsid w:val="378FE3C6"/>
    <w:rsid w:val="37977BA1"/>
    <w:rsid w:val="379A2D64"/>
    <w:rsid w:val="379B0A6F"/>
    <w:rsid w:val="379BE22D"/>
    <w:rsid w:val="37A10C99"/>
    <w:rsid w:val="37A2C1E6"/>
    <w:rsid w:val="37B06259"/>
    <w:rsid w:val="37B20F59"/>
    <w:rsid w:val="37B41F15"/>
    <w:rsid w:val="37B63F9F"/>
    <w:rsid w:val="37BAFA34"/>
    <w:rsid w:val="37BBCE48"/>
    <w:rsid w:val="37C6D025"/>
    <w:rsid w:val="37C74095"/>
    <w:rsid w:val="37C804E4"/>
    <w:rsid w:val="37CF2F5D"/>
    <w:rsid w:val="37D4702B"/>
    <w:rsid w:val="37D4FED8"/>
    <w:rsid w:val="37D55B1E"/>
    <w:rsid w:val="37DA0D9A"/>
    <w:rsid w:val="37DEE1BA"/>
    <w:rsid w:val="37E05035"/>
    <w:rsid w:val="37E24B30"/>
    <w:rsid w:val="37E2A7BE"/>
    <w:rsid w:val="37E2EEB6"/>
    <w:rsid w:val="37E7BE0E"/>
    <w:rsid w:val="37E891B6"/>
    <w:rsid w:val="37EB3D3F"/>
    <w:rsid w:val="37F53211"/>
    <w:rsid w:val="37F6A670"/>
    <w:rsid w:val="37F820DE"/>
    <w:rsid w:val="37F8CFE7"/>
    <w:rsid w:val="37FF1A52"/>
    <w:rsid w:val="3802AEFF"/>
    <w:rsid w:val="3803B93C"/>
    <w:rsid w:val="38061105"/>
    <w:rsid w:val="38066C28"/>
    <w:rsid w:val="380674A0"/>
    <w:rsid w:val="380B594E"/>
    <w:rsid w:val="38125514"/>
    <w:rsid w:val="3815816D"/>
    <w:rsid w:val="3816BD46"/>
    <w:rsid w:val="3819265D"/>
    <w:rsid w:val="3819B1BB"/>
    <w:rsid w:val="381B86F2"/>
    <w:rsid w:val="3825F97D"/>
    <w:rsid w:val="382D55F3"/>
    <w:rsid w:val="3832D303"/>
    <w:rsid w:val="38346276"/>
    <w:rsid w:val="3836CE21"/>
    <w:rsid w:val="383A5CED"/>
    <w:rsid w:val="383F4701"/>
    <w:rsid w:val="3845FE8C"/>
    <w:rsid w:val="384D49B7"/>
    <w:rsid w:val="3853103B"/>
    <w:rsid w:val="38560433"/>
    <w:rsid w:val="3856510F"/>
    <w:rsid w:val="38590566"/>
    <w:rsid w:val="385AF003"/>
    <w:rsid w:val="385F0D6B"/>
    <w:rsid w:val="3863D8D3"/>
    <w:rsid w:val="38650514"/>
    <w:rsid w:val="38657481"/>
    <w:rsid w:val="3866A14F"/>
    <w:rsid w:val="386CFDC2"/>
    <w:rsid w:val="386D3941"/>
    <w:rsid w:val="386DC10F"/>
    <w:rsid w:val="386E7D24"/>
    <w:rsid w:val="386F2258"/>
    <w:rsid w:val="387155B8"/>
    <w:rsid w:val="38726250"/>
    <w:rsid w:val="38752F91"/>
    <w:rsid w:val="3875F1BA"/>
    <w:rsid w:val="387AE16C"/>
    <w:rsid w:val="3880ECF8"/>
    <w:rsid w:val="38866BB3"/>
    <w:rsid w:val="38871D19"/>
    <w:rsid w:val="38903A64"/>
    <w:rsid w:val="38909122"/>
    <w:rsid w:val="3895F73A"/>
    <w:rsid w:val="3897A272"/>
    <w:rsid w:val="389C27D7"/>
    <w:rsid w:val="389CC4BC"/>
    <w:rsid w:val="389D5B08"/>
    <w:rsid w:val="389E546F"/>
    <w:rsid w:val="389E88D5"/>
    <w:rsid w:val="389F2E11"/>
    <w:rsid w:val="38A15E3A"/>
    <w:rsid w:val="38A3EF93"/>
    <w:rsid w:val="38A90FB6"/>
    <w:rsid w:val="38AA1BEC"/>
    <w:rsid w:val="38AB0BBB"/>
    <w:rsid w:val="38ABE68F"/>
    <w:rsid w:val="38AF9DD9"/>
    <w:rsid w:val="38B2CA37"/>
    <w:rsid w:val="38B3BF8B"/>
    <w:rsid w:val="38B3E41E"/>
    <w:rsid w:val="38B6D368"/>
    <w:rsid w:val="38B80125"/>
    <w:rsid w:val="38BA7E23"/>
    <w:rsid w:val="38BD0218"/>
    <w:rsid w:val="38BDF07D"/>
    <w:rsid w:val="38BFBB02"/>
    <w:rsid w:val="38C3A737"/>
    <w:rsid w:val="38C469E0"/>
    <w:rsid w:val="38C4A920"/>
    <w:rsid w:val="38C62F4D"/>
    <w:rsid w:val="38CD9719"/>
    <w:rsid w:val="38D645FE"/>
    <w:rsid w:val="38D76521"/>
    <w:rsid w:val="38D97255"/>
    <w:rsid w:val="38DD67C5"/>
    <w:rsid w:val="38DDA592"/>
    <w:rsid w:val="38DEF25E"/>
    <w:rsid w:val="38E54930"/>
    <w:rsid w:val="38E72DFF"/>
    <w:rsid w:val="38EBD66F"/>
    <w:rsid w:val="38EDA26B"/>
    <w:rsid w:val="38F21C0F"/>
    <w:rsid w:val="38F2534C"/>
    <w:rsid w:val="38F8F796"/>
    <w:rsid w:val="3900B3B5"/>
    <w:rsid w:val="39015AEB"/>
    <w:rsid w:val="3904ACAF"/>
    <w:rsid w:val="39067E74"/>
    <w:rsid w:val="3907FF8A"/>
    <w:rsid w:val="39086061"/>
    <w:rsid w:val="3912244F"/>
    <w:rsid w:val="3916D4E8"/>
    <w:rsid w:val="391B9D04"/>
    <w:rsid w:val="391CAE71"/>
    <w:rsid w:val="391F0CD9"/>
    <w:rsid w:val="391F6AD2"/>
    <w:rsid w:val="3920D5FE"/>
    <w:rsid w:val="392215A8"/>
    <w:rsid w:val="3923F8F0"/>
    <w:rsid w:val="39247CB0"/>
    <w:rsid w:val="3925DB9C"/>
    <w:rsid w:val="3928AA01"/>
    <w:rsid w:val="392E1E2E"/>
    <w:rsid w:val="3931EF3A"/>
    <w:rsid w:val="393A5118"/>
    <w:rsid w:val="393C1B54"/>
    <w:rsid w:val="3944D390"/>
    <w:rsid w:val="3945E4EF"/>
    <w:rsid w:val="394A278D"/>
    <w:rsid w:val="39557DB2"/>
    <w:rsid w:val="3955F546"/>
    <w:rsid w:val="395624D5"/>
    <w:rsid w:val="395742CA"/>
    <w:rsid w:val="3957B86C"/>
    <w:rsid w:val="39598AB7"/>
    <w:rsid w:val="39599463"/>
    <w:rsid w:val="395E643B"/>
    <w:rsid w:val="39605E23"/>
    <w:rsid w:val="39617CEA"/>
    <w:rsid w:val="3966A69B"/>
    <w:rsid w:val="3967C645"/>
    <w:rsid w:val="396B9BD9"/>
    <w:rsid w:val="396BF21D"/>
    <w:rsid w:val="396D79D3"/>
    <w:rsid w:val="396FC3A6"/>
    <w:rsid w:val="39758F13"/>
    <w:rsid w:val="39762A41"/>
    <w:rsid w:val="397A393B"/>
    <w:rsid w:val="397AD139"/>
    <w:rsid w:val="397CA4DA"/>
    <w:rsid w:val="3987D15F"/>
    <w:rsid w:val="398BE9E8"/>
    <w:rsid w:val="398C2DFB"/>
    <w:rsid w:val="398C61D4"/>
    <w:rsid w:val="398D5461"/>
    <w:rsid w:val="399B0D9C"/>
    <w:rsid w:val="399C8D99"/>
    <w:rsid w:val="39A7440D"/>
    <w:rsid w:val="39A85D5A"/>
    <w:rsid w:val="39AC5346"/>
    <w:rsid w:val="39B111E6"/>
    <w:rsid w:val="39B5291A"/>
    <w:rsid w:val="39B90D17"/>
    <w:rsid w:val="39BC44E9"/>
    <w:rsid w:val="39BE0EB6"/>
    <w:rsid w:val="39C5B160"/>
    <w:rsid w:val="39C5FEF4"/>
    <w:rsid w:val="39C7992E"/>
    <w:rsid w:val="39CB3A92"/>
    <w:rsid w:val="39CD3E16"/>
    <w:rsid w:val="39CDFB65"/>
    <w:rsid w:val="39D1A162"/>
    <w:rsid w:val="39DA38F1"/>
    <w:rsid w:val="39DC162F"/>
    <w:rsid w:val="39E0AAA3"/>
    <w:rsid w:val="39E2034B"/>
    <w:rsid w:val="39E5636E"/>
    <w:rsid w:val="39E62EF0"/>
    <w:rsid w:val="39EB63E0"/>
    <w:rsid w:val="39EC8C3E"/>
    <w:rsid w:val="39ED7A91"/>
    <w:rsid w:val="39EE7746"/>
    <w:rsid w:val="39F44D09"/>
    <w:rsid w:val="39F46CD5"/>
    <w:rsid w:val="3A02863A"/>
    <w:rsid w:val="3A0467A9"/>
    <w:rsid w:val="3A072DF1"/>
    <w:rsid w:val="3A0A3A39"/>
    <w:rsid w:val="3A0A94BC"/>
    <w:rsid w:val="3A0CF794"/>
    <w:rsid w:val="3A0FBD43"/>
    <w:rsid w:val="3A112A93"/>
    <w:rsid w:val="3A14071C"/>
    <w:rsid w:val="3A178F6A"/>
    <w:rsid w:val="3A1ADA5C"/>
    <w:rsid w:val="3A21D40D"/>
    <w:rsid w:val="3A249258"/>
    <w:rsid w:val="3A2817A7"/>
    <w:rsid w:val="3A2C6183"/>
    <w:rsid w:val="3A2D1A44"/>
    <w:rsid w:val="3A3126F8"/>
    <w:rsid w:val="3A3B7D9C"/>
    <w:rsid w:val="3A3E789E"/>
    <w:rsid w:val="3A3F0313"/>
    <w:rsid w:val="3A401F7E"/>
    <w:rsid w:val="3A405FA6"/>
    <w:rsid w:val="3A4B0A00"/>
    <w:rsid w:val="3A4B8B53"/>
    <w:rsid w:val="3A4C497D"/>
    <w:rsid w:val="3A51EEAA"/>
    <w:rsid w:val="3A557537"/>
    <w:rsid w:val="3A56EFC6"/>
    <w:rsid w:val="3A581A1A"/>
    <w:rsid w:val="3A5BA366"/>
    <w:rsid w:val="3A637273"/>
    <w:rsid w:val="3A66FC28"/>
    <w:rsid w:val="3A727E18"/>
    <w:rsid w:val="3A74DE8B"/>
    <w:rsid w:val="3A782F5F"/>
    <w:rsid w:val="3A7D076A"/>
    <w:rsid w:val="3A8279BD"/>
    <w:rsid w:val="3A83F1C7"/>
    <w:rsid w:val="3A8E4785"/>
    <w:rsid w:val="3A91BB22"/>
    <w:rsid w:val="3A922D90"/>
    <w:rsid w:val="3A985532"/>
    <w:rsid w:val="3A9C0CEE"/>
    <w:rsid w:val="3AA3F35B"/>
    <w:rsid w:val="3AA7F312"/>
    <w:rsid w:val="3AACEB31"/>
    <w:rsid w:val="3AAE3CB2"/>
    <w:rsid w:val="3AB13ED0"/>
    <w:rsid w:val="3AB3246A"/>
    <w:rsid w:val="3AB59900"/>
    <w:rsid w:val="3AB75660"/>
    <w:rsid w:val="3AB8A853"/>
    <w:rsid w:val="3ABC0869"/>
    <w:rsid w:val="3ABC7556"/>
    <w:rsid w:val="3AC0664E"/>
    <w:rsid w:val="3AC20B10"/>
    <w:rsid w:val="3AC8D8A1"/>
    <w:rsid w:val="3ACCAAD1"/>
    <w:rsid w:val="3ACDCA87"/>
    <w:rsid w:val="3ACEE77E"/>
    <w:rsid w:val="3AD18393"/>
    <w:rsid w:val="3AD1B7E4"/>
    <w:rsid w:val="3AD46211"/>
    <w:rsid w:val="3AD57B9D"/>
    <w:rsid w:val="3ADCDF5E"/>
    <w:rsid w:val="3AE2947E"/>
    <w:rsid w:val="3AE673AF"/>
    <w:rsid w:val="3AECE08E"/>
    <w:rsid w:val="3AF0D94A"/>
    <w:rsid w:val="3AF2C790"/>
    <w:rsid w:val="3AF6DDE0"/>
    <w:rsid w:val="3AF7A200"/>
    <w:rsid w:val="3AF83192"/>
    <w:rsid w:val="3AF8C119"/>
    <w:rsid w:val="3AF9D831"/>
    <w:rsid w:val="3AFBCE54"/>
    <w:rsid w:val="3B00B98C"/>
    <w:rsid w:val="3B00F996"/>
    <w:rsid w:val="3B070A18"/>
    <w:rsid w:val="3B0A8ABC"/>
    <w:rsid w:val="3B0B3113"/>
    <w:rsid w:val="3B0D58BA"/>
    <w:rsid w:val="3B0FF116"/>
    <w:rsid w:val="3B141EA3"/>
    <w:rsid w:val="3B178D31"/>
    <w:rsid w:val="3B1B33A3"/>
    <w:rsid w:val="3B216931"/>
    <w:rsid w:val="3B220232"/>
    <w:rsid w:val="3B234021"/>
    <w:rsid w:val="3B27165A"/>
    <w:rsid w:val="3B2A00C1"/>
    <w:rsid w:val="3B32C322"/>
    <w:rsid w:val="3B369C8D"/>
    <w:rsid w:val="3B384767"/>
    <w:rsid w:val="3B38EB90"/>
    <w:rsid w:val="3B3A604F"/>
    <w:rsid w:val="3B3AD46F"/>
    <w:rsid w:val="3B3BEF81"/>
    <w:rsid w:val="3B3F8D74"/>
    <w:rsid w:val="3B40482F"/>
    <w:rsid w:val="3B406F4B"/>
    <w:rsid w:val="3B419354"/>
    <w:rsid w:val="3B4582F3"/>
    <w:rsid w:val="3B4A95EF"/>
    <w:rsid w:val="3B56272A"/>
    <w:rsid w:val="3B568D3E"/>
    <w:rsid w:val="3B5843C3"/>
    <w:rsid w:val="3B5A1F42"/>
    <w:rsid w:val="3B5A499F"/>
    <w:rsid w:val="3B5F63A6"/>
    <w:rsid w:val="3B60324A"/>
    <w:rsid w:val="3B64F05E"/>
    <w:rsid w:val="3B6AC4F7"/>
    <w:rsid w:val="3B6AF0B6"/>
    <w:rsid w:val="3B6B63F6"/>
    <w:rsid w:val="3B6D00D8"/>
    <w:rsid w:val="3B712B35"/>
    <w:rsid w:val="3B78CED1"/>
    <w:rsid w:val="3B79BBD0"/>
    <w:rsid w:val="3B81D9F4"/>
    <w:rsid w:val="3B858F8B"/>
    <w:rsid w:val="3B880917"/>
    <w:rsid w:val="3B886151"/>
    <w:rsid w:val="3B90308D"/>
    <w:rsid w:val="3B921BA0"/>
    <w:rsid w:val="3B925599"/>
    <w:rsid w:val="3B97CEC0"/>
    <w:rsid w:val="3B9DE62A"/>
    <w:rsid w:val="3BA007DC"/>
    <w:rsid w:val="3BA56022"/>
    <w:rsid w:val="3BA95598"/>
    <w:rsid w:val="3BABBC7D"/>
    <w:rsid w:val="3BAF2408"/>
    <w:rsid w:val="3BB0A8EA"/>
    <w:rsid w:val="3BB16E68"/>
    <w:rsid w:val="3BB5998C"/>
    <w:rsid w:val="3BBA6358"/>
    <w:rsid w:val="3BBC0BE1"/>
    <w:rsid w:val="3BBDD77F"/>
    <w:rsid w:val="3BC010B2"/>
    <w:rsid w:val="3BC0C29A"/>
    <w:rsid w:val="3BC15B17"/>
    <w:rsid w:val="3BC3DEBC"/>
    <w:rsid w:val="3BC5F080"/>
    <w:rsid w:val="3BC68E1C"/>
    <w:rsid w:val="3BC7CCC4"/>
    <w:rsid w:val="3BC8691E"/>
    <w:rsid w:val="3BCC6B5F"/>
    <w:rsid w:val="3BD5251E"/>
    <w:rsid w:val="3BD5B1C2"/>
    <w:rsid w:val="3BD9A674"/>
    <w:rsid w:val="3BDEB3F6"/>
    <w:rsid w:val="3BE3435F"/>
    <w:rsid w:val="3BE369A3"/>
    <w:rsid w:val="3BE6BC9C"/>
    <w:rsid w:val="3BE81E12"/>
    <w:rsid w:val="3BEE78C7"/>
    <w:rsid w:val="3BEFCC8E"/>
    <w:rsid w:val="3BF2D3B2"/>
    <w:rsid w:val="3BF54404"/>
    <w:rsid w:val="3BF55409"/>
    <w:rsid w:val="3BFFA4DE"/>
    <w:rsid w:val="3BFFF67C"/>
    <w:rsid w:val="3C002684"/>
    <w:rsid w:val="3C01A0ED"/>
    <w:rsid w:val="3C01C305"/>
    <w:rsid w:val="3C029476"/>
    <w:rsid w:val="3C04723C"/>
    <w:rsid w:val="3C07D5B0"/>
    <w:rsid w:val="3C093430"/>
    <w:rsid w:val="3C0971CE"/>
    <w:rsid w:val="3C09A6B4"/>
    <w:rsid w:val="3C0C7ABC"/>
    <w:rsid w:val="3C116232"/>
    <w:rsid w:val="3C170668"/>
    <w:rsid w:val="3C177FE0"/>
    <w:rsid w:val="3C1902E2"/>
    <w:rsid w:val="3C1C31EF"/>
    <w:rsid w:val="3C1FA361"/>
    <w:rsid w:val="3C2021DD"/>
    <w:rsid w:val="3C216B66"/>
    <w:rsid w:val="3C2279A5"/>
    <w:rsid w:val="3C274D3C"/>
    <w:rsid w:val="3C2D1D10"/>
    <w:rsid w:val="3C2F1DC5"/>
    <w:rsid w:val="3C32E3A4"/>
    <w:rsid w:val="3C33484B"/>
    <w:rsid w:val="3C33BC95"/>
    <w:rsid w:val="3C344E72"/>
    <w:rsid w:val="3C376A6B"/>
    <w:rsid w:val="3C395B6E"/>
    <w:rsid w:val="3C3A2938"/>
    <w:rsid w:val="3C3A43C5"/>
    <w:rsid w:val="3C3AABC8"/>
    <w:rsid w:val="3C3BD381"/>
    <w:rsid w:val="3C3C6CE5"/>
    <w:rsid w:val="3C4305FB"/>
    <w:rsid w:val="3C43BBFE"/>
    <w:rsid w:val="3C45687A"/>
    <w:rsid w:val="3C4590C9"/>
    <w:rsid w:val="3C54614C"/>
    <w:rsid w:val="3C5A253D"/>
    <w:rsid w:val="3C5A27FD"/>
    <w:rsid w:val="3C621669"/>
    <w:rsid w:val="3C6E90B2"/>
    <w:rsid w:val="3C6F39DC"/>
    <w:rsid w:val="3C71F03A"/>
    <w:rsid w:val="3C73F168"/>
    <w:rsid w:val="3C79122D"/>
    <w:rsid w:val="3C83E4A1"/>
    <w:rsid w:val="3C852ED1"/>
    <w:rsid w:val="3C85CCB6"/>
    <w:rsid w:val="3C8A44C5"/>
    <w:rsid w:val="3C8C5717"/>
    <w:rsid w:val="3C8C78B2"/>
    <w:rsid w:val="3C8CB84A"/>
    <w:rsid w:val="3C8F7667"/>
    <w:rsid w:val="3C965454"/>
    <w:rsid w:val="3C97ED61"/>
    <w:rsid w:val="3C9A8987"/>
    <w:rsid w:val="3C9A90C1"/>
    <w:rsid w:val="3C9B22AE"/>
    <w:rsid w:val="3C9F4DF7"/>
    <w:rsid w:val="3CA1997D"/>
    <w:rsid w:val="3CA53987"/>
    <w:rsid w:val="3CA9A0F8"/>
    <w:rsid w:val="3CB09FF7"/>
    <w:rsid w:val="3CB1E778"/>
    <w:rsid w:val="3CB2198E"/>
    <w:rsid w:val="3CB271FB"/>
    <w:rsid w:val="3CB524FE"/>
    <w:rsid w:val="3CBD3E33"/>
    <w:rsid w:val="3CBD4261"/>
    <w:rsid w:val="3CC35E87"/>
    <w:rsid w:val="3CC91982"/>
    <w:rsid w:val="3CCC5D64"/>
    <w:rsid w:val="3CCF3FD5"/>
    <w:rsid w:val="3CCF4F67"/>
    <w:rsid w:val="3CD1EE96"/>
    <w:rsid w:val="3CD21DFA"/>
    <w:rsid w:val="3CD27C24"/>
    <w:rsid w:val="3CD73FBD"/>
    <w:rsid w:val="3CD7D7D7"/>
    <w:rsid w:val="3CD7FC59"/>
    <w:rsid w:val="3CD88C62"/>
    <w:rsid w:val="3CDFDF92"/>
    <w:rsid w:val="3CE57365"/>
    <w:rsid w:val="3CE6B303"/>
    <w:rsid w:val="3CE8C259"/>
    <w:rsid w:val="3CE939AC"/>
    <w:rsid w:val="3CE972B0"/>
    <w:rsid w:val="3CEEC84A"/>
    <w:rsid w:val="3CF01DF4"/>
    <w:rsid w:val="3CF3C7D3"/>
    <w:rsid w:val="3CF4A1A4"/>
    <w:rsid w:val="3CF6155D"/>
    <w:rsid w:val="3CF799FE"/>
    <w:rsid w:val="3CFB0D80"/>
    <w:rsid w:val="3CFD5C72"/>
    <w:rsid w:val="3D03C9CE"/>
    <w:rsid w:val="3D053C02"/>
    <w:rsid w:val="3D0E0224"/>
    <w:rsid w:val="3D0FB830"/>
    <w:rsid w:val="3D135A75"/>
    <w:rsid w:val="3D13E04D"/>
    <w:rsid w:val="3D187CC3"/>
    <w:rsid w:val="3D1953EB"/>
    <w:rsid w:val="3D1D16C3"/>
    <w:rsid w:val="3D1E14A0"/>
    <w:rsid w:val="3D20B022"/>
    <w:rsid w:val="3D221A34"/>
    <w:rsid w:val="3D23A536"/>
    <w:rsid w:val="3D2D39ED"/>
    <w:rsid w:val="3D31D38C"/>
    <w:rsid w:val="3D352C5E"/>
    <w:rsid w:val="3D37CBC9"/>
    <w:rsid w:val="3D3EA49D"/>
    <w:rsid w:val="3D3F5427"/>
    <w:rsid w:val="3D3F6F47"/>
    <w:rsid w:val="3D3F9C23"/>
    <w:rsid w:val="3D412C04"/>
    <w:rsid w:val="3D41A4D5"/>
    <w:rsid w:val="3D44438B"/>
    <w:rsid w:val="3D475BF8"/>
    <w:rsid w:val="3D4BAA95"/>
    <w:rsid w:val="3D4C3A2C"/>
    <w:rsid w:val="3D4F7E56"/>
    <w:rsid w:val="3D507671"/>
    <w:rsid w:val="3D5347E3"/>
    <w:rsid w:val="3D574C0A"/>
    <w:rsid w:val="3D576681"/>
    <w:rsid w:val="3D5E970F"/>
    <w:rsid w:val="3D5EFDAC"/>
    <w:rsid w:val="3D67DDF7"/>
    <w:rsid w:val="3D6B505D"/>
    <w:rsid w:val="3D6E36AB"/>
    <w:rsid w:val="3D753277"/>
    <w:rsid w:val="3D78025A"/>
    <w:rsid w:val="3D86DEC7"/>
    <w:rsid w:val="3D8C6C0B"/>
    <w:rsid w:val="3D8CEDCA"/>
    <w:rsid w:val="3D93B6BB"/>
    <w:rsid w:val="3D983FA0"/>
    <w:rsid w:val="3D9F19B9"/>
    <w:rsid w:val="3DA5ECD4"/>
    <w:rsid w:val="3DAA9983"/>
    <w:rsid w:val="3DAA9A36"/>
    <w:rsid w:val="3DC3D817"/>
    <w:rsid w:val="3DC419CF"/>
    <w:rsid w:val="3DC6D0C3"/>
    <w:rsid w:val="3DC99B92"/>
    <w:rsid w:val="3DCB56CA"/>
    <w:rsid w:val="3DD37EA4"/>
    <w:rsid w:val="3DD5E2E3"/>
    <w:rsid w:val="3DD97640"/>
    <w:rsid w:val="3DD98DFD"/>
    <w:rsid w:val="3DE06E05"/>
    <w:rsid w:val="3DE381DB"/>
    <w:rsid w:val="3DEB1F5E"/>
    <w:rsid w:val="3DEBC136"/>
    <w:rsid w:val="3DEBD965"/>
    <w:rsid w:val="3DF1BD32"/>
    <w:rsid w:val="3DF41453"/>
    <w:rsid w:val="3DFA18F6"/>
    <w:rsid w:val="3DFCF77D"/>
    <w:rsid w:val="3DFFE6E2"/>
    <w:rsid w:val="3E00B74A"/>
    <w:rsid w:val="3E00BC93"/>
    <w:rsid w:val="3E023287"/>
    <w:rsid w:val="3E03EEA1"/>
    <w:rsid w:val="3E051647"/>
    <w:rsid w:val="3E080FE2"/>
    <w:rsid w:val="3E09345C"/>
    <w:rsid w:val="3E0E29E7"/>
    <w:rsid w:val="3E0E61DE"/>
    <w:rsid w:val="3E103FFD"/>
    <w:rsid w:val="3E23A3DC"/>
    <w:rsid w:val="3E2469D4"/>
    <w:rsid w:val="3E24B7FC"/>
    <w:rsid w:val="3E269354"/>
    <w:rsid w:val="3E27F6A4"/>
    <w:rsid w:val="3E2983AF"/>
    <w:rsid w:val="3E29D972"/>
    <w:rsid w:val="3E2B7C28"/>
    <w:rsid w:val="3E2F3955"/>
    <w:rsid w:val="3E32D8B1"/>
    <w:rsid w:val="3E34F502"/>
    <w:rsid w:val="3E362DDD"/>
    <w:rsid w:val="3E384216"/>
    <w:rsid w:val="3E3ACAE1"/>
    <w:rsid w:val="3E3B51D9"/>
    <w:rsid w:val="3E47758F"/>
    <w:rsid w:val="3E48824F"/>
    <w:rsid w:val="3E509BA9"/>
    <w:rsid w:val="3E50D160"/>
    <w:rsid w:val="3E5126F8"/>
    <w:rsid w:val="3E53C825"/>
    <w:rsid w:val="3E53EF29"/>
    <w:rsid w:val="3E5444C1"/>
    <w:rsid w:val="3E5DCE0F"/>
    <w:rsid w:val="3E62691A"/>
    <w:rsid w:val="3E66947A"/>
    <w:rsid w:val="3E6EE5D1"/>
    <w:rsid w:val="3E728045"/>
    <w:rsid w:val="3E75E617"/>
    <w:rsid w:val="3E79944E"/>
    <w:rsid w:val="3E7BE908"/>
    <w:rsid w:val="3E7C23D6"/>
    <w:rsid w:val="3E7E10AF"/>
    <w:rsid w:val="3E8336D2"/>
    <w:rsid w:val="3E83F61B"/>
    <w:rsid w:val="3E861454"/>
    <w:rsid w:val="3E893D5C"/>
    <w:rsid w:val="3E8A2718"/>
    <w:rsid w:val="3E8AA528"/>
    <w:rsid w:val="3E8D9DFE"/>
    <w:rsid w:val="3E8DB082"/>
    <w:rsid w:val="3E95513D"/>
    <w:rsid w:val="3E963E43"/>
    <w:rsid w:val="3E9819B9"/>
    <w:rsid w:val="3E9C9270"/>
    <w:rsid w:val="3E9D62C4"/>
    <w:rsid w:val="3EA077C1"/>
    <w:rsid w:val="3EA0A20B"/>
    <w:rsid w:val="3EA4A270"/>
    <w:rsid w:val="3EA5FF64"/>
    <w:rsid w:val="3EAC63FB"/>
    <w:rsid w:val="3EAC9D08"/>
    <w:rsid w:val="3EAFC226"/>
    <w:rsid w:val="3EAFFC72"/>
    <w:rsid w:val="3EB25390"/>
    <w:rsid w:val="3EB59997"/>
    <w:rsid w:val="3EB78125"/>
    <w:rsid w:val="3EBCCB4D"/>
    <w:rsid w:val="3EBE47D5"/>
    <w:rsid w:val="3EC11E1A"/>
    <w:rsid w:val="3EC1C9DD"/>
    <w:rsid w:val="3EC264EA"/>
    <w:rsid w:val="3EC687BC"/>
    <w:rsid w:val="3ED227F4"/>
    <w:rsid w:val="3ED2B3B9"/>
    <w:rsid w:val="3ED41EF6"/>
    <w:rsid w:val="3ED77597"/>
    <w:rsid w:val="3EE4B5EE"/>
    <w:rsid w:val="3EE9C09B"/>
    <w:rsid w:val="3EEA0298"/>
    <w:rsid w:val="3EEC4AD8"/>
    <w:rsid w:val="3EEDDDA3"/>
    <w:rsid w:val="3EEE0345"/>
    <w:rsid w:val="3EEFC4D7"/>
    <w:rsid w:val="3EF03C4F"/>
    <w:rsid w:val="3EF2CFBD"/>
    <w:rsid w:val="3EF5376E"/>
    <w:rsid w:val="3EF85B4E"/>
    <w:rsid w:val="3EF957CA"/>
    <w:rsid w:val="3F045852"/>
    <w:rsid w:val="3F05FDBF"/>
    <w:rsid w:val="3F07458C"/>
    <w:rsid w:val="3F07507E"/>
    <w:rsid w:val="3F0888AD"/>
    <w:rsid w:val="3F0B9D4C"/>
    <w:rsid w:val="3F0E9B2A"/>
    <w:rsid w:val="3F17E4B9"/>
    <w:rsid w:val="3F1A23E3"/>
    <w:rsid w:val="3F272746"/>
    <w:rsid w:val="3F28C521"/>
    <w:rsid w:val="3F2A6488"/>
    <w:rsid w:val="3F2BC3B4"/>
    <w:rsid w:val="3F2FFA5E"/>
    <w:rsid w:val="3F3073DD"/>
    <w:rsid w:val="3F309053"/>
    <w:rsid w:val="3F332B8D"/>
    <w:rsid w:val="3F33BF2D"/>
    <w:rsid w:val="3F44227F"/>
    <w:rsid w:val="3F47428E"/>
    <w:rsid w:val="3F4D173F"/>
    <w:rsid w:val="3F4E3DFA"/>
    <w:rsid w:val="3F5CDEFE"/>
    <w:rsid w:val="3F6336AB"/>
    <w:rsid w:val="3F68EF7B"/>
    <w:rsid w:val="3F6A73C3"/>
    <w:rsid w:val="3F7171AB"/>
    <w:rsid w:val="3F72DCD0"/>
    <w:rsid w:val="3F76EFCB"/>
    <w:rsid w:val="3F7784FC"/>
    <w:rsid w:val="3F7B6DA1"/>
    <w:rsid w:val="3F7C3403"/>
    <w:rsid w:val="3F7EBEBE"/>
    <w:rsid w:val="3F7F2868"/>
    <w:rsid w:val="3F80DFF6"/>
    <w:rsid w:val="3F8156BD"/>
    <w:rsid w:val="3F8370CB"/>
    <w:rsid w:val="3F86403D"/>
    <w:rsid w:val="3F8A066A"/>
    <w:rsid w:val="3F8A1560"/>
    <w:rsid w:val="3F8B50D8"/>
    <w:rsid w:val="3F8D25F3"/>
    <w:rsid w:val="3F8F10FE"/>
    <w:rsid w:val="3F909F68"/>
    <w:rsid w:val="3F936018"/>
    <w:rsid w:val="3F997DBF"/>
    <w:rsid w:val="3F9A4399"/>
    <w:rsid w:val="3FA000A7"/>
    <w:rsid w:val="3FABB6A4"/>
    <w:rsid w:val="3FAD7DFF"/>
    <w:rsid w:val="3FADC85E"/>
    <w:rsid w:val="3FB0B2EF"/>
    <w:rsid w:val="3FB19CA9"/>
    <w:rsid w:val="3FB29FBA"/>
    <w:rsid w:val="3FB4F6DF"/>
    <w:rsid w:val="3FBC6DA5"/>
    <w:rsid w:val="3FC6E690"/>
    <w:rsid w:val="3FCA4819"/>
    <w:rsid w:val="3FCB6121"/>
    <w:rsid w:val="3FCC1FF9"/>
    <w:rsid w:val="3FCCF788"/>
    <w:rsid w:val="3FCF1B65"/>
    <w:rsid w:val="3FD2CBD9"/>
    <w:rsid w:val="3FD966F4"/>
    <w:rsid w:val="3FDC2B86"/>
    <w:rsid w:val="3FDF2B36"/>
    <w:rsid w:val="3FE061CF"/>
    <w:rsid w:val="3FE141BA"/>
    <w:rsid w:val="3FF040BC"/>
    <w:rsid w:val="3FF47644"/>
    <w:rsid w:val="3FF666B9"/>
    <w:rsid w:val="3FF8B7F2"/>
    <w:rsid w:val="400317C0"/>
    <w:rsid w:val="40057EF3"/>
    <w:rsid w:val="400935C9"/>
    <w:rsid w:val="400D8744"/>
    <w:rsid w:val="4011F817"/>
    <w:rsid w:val="40123A27"/>
    <w:rsid w:val="401313D3"/>
    <w:rsid w:val="4015A6AE"/>
    <w:rsid w:val="401C4F0B"/>
    <w:rsid w:val="401D02B7"/>
    <w:rsid w:val="40215793"/>
    <w:rsid w:val="40262509"/>
    <w:rsid w:val="402E7429"/>
    <w:rsid w:val="402EF587"/>
    <w:rsid w:val="40321AA0"/>
    <w:rsid w:val="4038FB70"/>
    <w:rsid w:val="40487587"/>
    <w:rsid w:val="40494549"/>
    <w:rsid w:val="40513822"/>
    <w:rsid w:val="405174B1"/>
    <w:rsid w:val="4054705D"/>
    <w:rsid w:val="405CD302"/>
    <w:rsid w:val="405D5787"/>
    <w:rsid w:val="405F9DFE"/>
    <w:rsid w:val="40611BA9"/>
    <w:rsid w:val="4068A391"/>
    <w:rsid w:val="406ED513"/>
    <w:rsid w:val="4072BD16"/>
    <w:rsid w:val="4072F860"/>
    <w:rsid w:val="40803F25"/>
    <w:rsid w:val="40810A3F"/>
    <w:rsid w:val="408252A3"/>
    <w:rsid w:val="40869091"/>
    <w:rsid w:val="4088CC64"/>
    <w:rsid w:val="4089375A"/>
    <w:rsid w:val="408A3C36"/>
    <w:rsid w:val="408B1C93"/>
    <w:rsid w:val="408BC114"/>
    <w:rsid w:val="408CF518"/>
    <w:rsid w:val="408DD435"/>
    <w:rsid w:val="408E491A"/>
    <w:rsid w:val="4092BF40"/>
    <w:rsid w:val="40978FD7"/>
    <w:rsid w:val="40A705D9"/>
    <w:rsid w:val="40A8CB9A"/>
    <w:rsid w:val="40A8F850"/>
    <w:rsid w:val="40B9060F"/>
    <w:rsid w:val="40BA9528"/>
    <w:rsid w:val="40BC4DED"/>
    <w:rsid w:val="40BE14C2"/>
    <w:rsid w:val="40BFC4D4"/>
    <w:rsid w:val="40C27CA8"/>
    <w:rsid w:val="40C4E231"/>
    <w:rsid w:val="40C52874"/>
    <w:rsid w:val="40C5B0ED"/>
    <w:rsid w:val="40CB577D"/>
    <w:rsid w:val="40CD08EA"/>
    <w:rsid w:val="40CD8B96"/>
    <w:rsid w:val="40D00731"/>
    <w:rsid w:val="40D00B81"/>
    <w:rsid w:val="40D1E183"/>
    <w:rsid w:val="40D1FED8"/>
    <w:rsid w:val="40D4DDB9"/>
    <w:rsid w:val="40D508B1"/>
    <w:rsid w:val="40DAAD79"/>
    <w:rsid w:val="40DD3C7D"/>
    <w:rsid w:val="40E7460A"/>
    <w:rsid w:val="40F4B7BD"/>
    <w:rsid w:val="40F4DF43"/>
    <w:rsid w:val="40F60383"/>
    <w:rsid w:val="40F7C851"/>
    <w:rsid w:val="40FDC4DF"/>
    <w:rsid w:val="40FFCF3A"/>
    <w:rsid w:val="41068892"/>
    <w:rsid w:val="410D420C"/>
    <w:rsid w:val="4111AAAE"/>
    <w:rsid w:val="41192C54"/>
    <w:rsid w:val="411C6B2E"/>
    <w:rsid w:val="411F6E87"/>
    <w:rsid w:val="411FCD7C"/>
    <w:rsid w:val="4121B465"/>
    <w:rsid w:val="4122B686"/>
    <w:rsid w:val="41269D0C"/>
    <w:rsid w:val="412C7D82"/>
    <w:rsid w:val="412DF14F"/>
    <w:rsid w:val="4130D795"/>
    <w:rsid w:val="4132294E"/>
    <w:rsid w:val="4138DADF"/>
    <w:rsid w:val="413A0C6D"/>
    <w:rsid w:val="413B08E1"/>
    <w:rsid w:val="413CC85B"/>
    <w:rsid w:val="413DD23A"/>
    <w:rsid w:val="413F14DE"/>
    <w:rsid w:val="413FC84A"/>
    <w:rsid w:val="4143DEF5"/>
    <w:rsid w:val="414587B7"/>
    <w:rsid w:val="4146BB22"/>
    <w:rsid w:val="414FF7B8"/>
    <w:rsid w:val="415CB04F"/>
    <w:rsid w:val="415D538B"/>
    <w:rsid w:val="415F6BAE"/>
    <w:rsid w:val="41638018"/>
    <w:rsid w:val="4165996D"/>
    <w:rsid w:val="416618B8"/>
    <w:rsid w:val="416CD2EE"/>
    <w:rsid w:val="416FAE30"/>
    <w:rsid w:val="417024AC"/>
    <w:rsid w:val="4170CAAF"/>
    <w:rsid w:val="4171CF36"/>
    <w:rsid w:val="417491FD"/>
    <w:rsid w:val="4176D086"/>
    <w:rsid w:val="417B049B"/>
    <w:rsid w:val="417D121B"/>
    <w:rsid w:val="417F9FF4"/>
    <w:rsid w:val="4182AF71"/>
    <w:rsid w:val="4187A8EC"/>
    <w:rsid w:val="418DAB34"/>
    <w:rsid w:val="4195C8D7"/>
    <w:rsid w:val="4196D6BD"/>
    <w:rsid w:val="419F5428"/>
    <w:rsid w:val="419FD440"/>
    <w:rsid w:val="41A01B77"/>
    <w:rsid w:val="41A3FEE2"/>
    <w:rsid w:val="41A6E97F"/>
    <w:rsid w:val="41AE7A9B"/>
    <w:rsid w:val="41AE984D"/>
    <w:rsid w:val="41BF31BA"/>
    <w:rsid w:val="41BF93DA"/>
    <w:rsid w:val="41C254DB"/>
    <w:rsid w:val="41C3ABF3"/>
    <w:rsid w:val="41C3D66C"/>
    <w:rsid w:val="41CC92CC"/>
    <w:rsid w:val="41CCEE0F"/>
    <w:rsid w:val="41CE7A54"/>
    <w:rsid w:val="41CF6B86"/>
    <w:rsid w:val="41D5AB94"/>
    <w:rsid w:val="41D74D53"/>
    <w:rsid w:val="41E11B56"/>
    <w:rsid w:val="41E2D89F"/>
    <w:rsid w:val="41EA0372"/>
    <w:rsid w:val="41ED5EAD"/>
    <w:rsid w:val="41EFB2BB"/>
    <w:rsid w:val="41F0A4BB"/>
    <w:rsid w:val="41F0A698"/>
    <w:rsid w:val="41F68D49"/>
    <w:rsid w:val="41F99BB4"/>
    <w:rsid w:val="41FE1F12"/>
    <w:rsid w:val="41FF8327"/>
    <w:rsid w:val="4201289D"/>
    <w:rsid w:val="42083646"/>
    <w:rsid w:val="420DC83F"/>
    <w:rsid w:val="420F9F7D"/>
    <w:rsid w:val="4212F7A1"/>
    <w:rsid w:val="421506A0"/>
    <w:rsid w:val="421953E6"/>
    <w:rsid w:val="421F03CC"/>
    <w:rsid w:val="42205743"/>
    <w:rsid w:val="4221DE91"/>
    <w:rsid w:val="4222219B"/>
    <w:rsid w:val="42230DAD"/>
    <w:rsid w:val="4227C4BE"/>
    <w:rsid w:val="422F5983"/>
    <w:rsid w:val="42327089"/>
    <w:rsid w:val="423F6552"/>
    <w:rsid w:val="42404643"/>
    <w:rsid w:val="4242856E"/>
    <w:rsid w:val="424549DC"/>
    <w:rsid w:val="4245C9FE"/>
    <w:rsid w:val="424AADA2"/>
    <w:rsid w:val="424AEBC3"/>
    <w:rsid w:val="424C6184"/>
    <w:rsid w:val="424D05D5"/>
    <w:rsid w:val="42551C9E"/>
    <w:rsid w:val="4257E589"/>
    <w:rsid w:val="425810A9"/>
    <w:rsid w:val="425AD3FA"/>
    <w:rsid w:val="426261CE"/>
    <w:rsid w:val="42627B92"/>
    <w:rsid w:val="4262B803"/>
    <w:rsid w:val="42667D38"/>
    <w:rsid w:val="4274FF19"/>
    <w:rsid w:val="4275AFEE"/>
    <w:rsid w:val="427E31C2"/>
    <w:rsid w:val="427FAC05"/>
    <w:rsid w:val="427FC053"/>
    <w:rsid w:val="42837EEF"/>
    <w:rsid w:val="4283AA52"/>
    <w:rsid w:val="42857659"/>
    <w:rsid w:val="42870314"/>
    <w:rsid w:val="42886E80"/>
    <w:rsid w:val="4288CFDE"/>
    <w:rsid w:val="428A522B"/>
    <w:rsid w:val="428AF401"/>
    <w:rsid w:val="428D6B79"/>
    <w:rsid w:val="428DA079"/>
    <w:rsid w:val="428DAD26"/>
    <w:rsid w:val="42919447"/>
    <w:rsid w:val="429469C6"/>
    <w:rsid w:val="4296AC61"/>
    <w:rsid w:val="4299483D"/>
    <w:rsid w:val="42999449"/>
    <w:rsid w:val="429E315F"/>
    <w:rsid w:val="429F0956"/>
    <w:rsid w:val="42A158B3"/>
    <w:rsid w:val="42A556E1"/>
    <w:rsid w:val="42AEFF8E"/>
    <w:rsid w:val="42BF2FBB"/>
    <w:rsid w:val="42C0D548"/>
    <w:rsid w:val="42C10CD7"/>
    <w:rsid w:val="42C6CF04"/>
    <w:rsid w:val="42C7EA5F"/>
    <w:rsid w:val="42C8402A"/>
    <w:rsid w:val="42CB3164"/>
    <w:rsid w:val="42CD0C5E"/>
    <w:rsid w:val="42CEAFCC"/>
    <w:rsid w:val="42D2F69F"/>
    <w:rsid w:val="42D630CB"/>
    <w:rsid w:val="42D8A684"/>
    <w:rsid w:val="42D8B8C8"/>
    <w:rsid w:val="42DB37B6"/>
    <w:rsid w:val="42DD3505"/>
    <w:rsid w:val="42E279BF"/>
    <w:rsid w:val="42E569C2"/>
    <w:rsid w:val="42E80185"/>
    <w:rsid w:val="42EB479E"/>
    <w:rsid w:val="42EC36B3"/>
    <w:rsid w:val="42EE9EBB"/>
    <w:rsid w:val="42EEDCC1"/>
    <w:rsid w:val="42EFE3B6"/>
    <w:rsid w:val="42EFFF0B"/>
    <w:rsid w:val="42F04DE1"/>
    <w:rsid w:val="42F9A620"/>
    <w:rsid w:val="42FC1EDD"/>
    <w:rsid w:val="42FC252F"/>
    <w:rsid w:val="42FDD802"/>
    <w:rsid w:val="42FEC1F0"/>
    <w:rsid w:val="42FFBA1F"/>
    <w:rsid w:val="43045071"/>
    <w:rsid w:val="430A304A"/>
    <w:rsid w:val="4313E7A6"/>
    <w:rsid w:val="431E4AB2"/>
    <w:rsid w:val="432031C4"/>
    <w:rsid w:val="432063E9"/>
    <w:rsid w:val="432974D8"/>
    <w:rsid w:val="432A5FA8"/>
    <w:rsid w:val="432CD626"/>
    <w:rsid w:val="433BBC5B"/>
    <w:rsid w:val="433DF936"/>
    <w:rsid w:val="433F7671"/>
    <w:rsid w:val="433FEE9A"/>
    <w:rsid w:val="43400A59"/>
    <w:rsid w:val="434731D3"/>
    <w:rsid w:val="43473645"/>
    <w:rsid w:val="4348493E"/>
    <w:rsid w:val="434AD51E"/>
    <w:rsid w:val="4350DF1E"/>
    <w:rsid w:val="4352073C"/>
    <w:rsid w:val="435DB631"/>
    <w:rsid w:val="43620014"/>
    <w:rsid w:val="43652531"/>
    <w:rsid w:val="43707ADC"/>
    <w:rsid w:val="437189B0"/>
    <w:rsid w:val="4372E170"/>
    <w:rsid w:val="4377AED6"/>
    <w:rsid w:val="437D4413"/>
    <w:rsid w:val="437F9EEB"/>
    <w:rsid w:val="43890F8E"/>
    <w:rsid w:val="438932D4"/>
    <w:rsid w:val="438A52C9"/>
    <w:rsid w:val="4399A449"/>
    <w:rsid w:val="439EC2E6"/>
    <w:rsid w:val="43A03A10"/>
    <w:rsid w:val="43A6B8B5"/>
    <w:rsid w:val="43A7FC70"/>
    <w:rsid w:val="43AF8600"/>
    <w:rsid w:val="43B1BE7E"/>
    <w:rsid w:val="43B7745E"/>
    <w:rsid w:val="43B7BDCE"/>
    <w:rsid w:val="43BD1E16"/>
    <w:rsid w:val="43BDA83C"/>
    <w:rsid w:val="43BE4E26"/>
    <w:rsid w:val="43BF3A53"/>
    <w:rsid w:val="43C43085"/>
    <w:rsid w:val="43CC3C0D"/>
    <w:rsid w:val="43CDE36F"/>
    <w:rsid w:val="43D16F9D"/>
    <w:rsid w:val="43D654A2"/>
    <w:rsid w:val="43D750C1"/>
    <w:rsid w:val="43DA474C"/>
    <w:rsid w:val="43DD8CFE"/>
    <w:rsid w:val="43DFBC92"/>
    <w:rsid w:val="43E53A3C"/>
    <w:rsid w:val="43EDBF46"/>
    <w:rsid w:val="43EE3507"/>
    <w:rsid w:val="43F02276"/>
    <w:rsid w:val="43F37FB6"/>
    <w:rsid w:val="43F3AA45"/>
    <w:rsid w:val="43F4E142"/>
    <w:rsid w:val="43F6DFC0"/>
    <w:rsid w:val="43F77356"/>
    <w:rsid w:val="43F8F747"/>
    <w:rsid w:val="43FC51AF"/>
    <w:rsid w:val="43FC8027"/>
    <w:rsid w:val="43FF9097"/>
    <w:rsid w:val="4402B353"/>
    <w:rsid w:val="4402D07B"/>
    <w:rsid w:val="440E0E68"/>
    <w:rsid w:val="441115E3"/>
    <w:rsid w:val="4412074B"/>
    <w:rsid w:val="441539AF"/>
    <w:rsid w:val="4418C98C"/>
    <w:rsid w:val="441FF4A4"/>
    <w:rsid w:val="4421212A"/>
    <w:rsid w:val="4421810E"/>
    <w:rsid w:val="44218A8E"/>
    <w:rsid w:val="44293004"/>
    <w:rsid w:val="442CD224"/>
    <w:rsid w:val="442DBD09"/>
    <w:rsid w:val="442EFFB2"/>
    <w:rsid w:val="44311C1E"/>
    <w:rsid w:val="44325761"/>
    <w:rsid w:val="4435A284"/>
    <w:rsid w:val="44372A45"/>
    <w:rsid w:val="443B588A"/>
    <w:rsid w:val="443FC611"/>
    <w:rsid w:val="44405A80"/>
    <w:rsid w:val="44457CA5"/>
    <w:rsid w:val="44481C03"/>
    <w:rsid w:val="4448D583"/>
    <w:rsid w:val="44490F57"/>
    <w:rsid w:val="444A3405"/>
    <w:rsid w:val="444A8316"/>
    <w:rsid w:val="444B7248"/>
    <w:rsid w:val="444CBDD2"/>
    <w:rsid w:val="444E0822"/>
    <w:rsid w:val="4453BC5E"/>
    <w:rsid w:val="4455879F"/>
    <w:rsid w:val="4460B00A"/>
    <w:rsid w:val="44653864"/>
    <w:rsid w:val="4467D526"/>
    <w:rsid w:val="446C7B41"/>
    <w:rsid w:val="446D7CD0"/>
    <w:rsid w:val="447319A7"/>
    <w:rsid w:val="447687E7"/>
    <w:rsid w:val="4476BC24"/>
    <w:rsid w:val="447C265D"/>
    <w:rsid w:val="447E411D"/>
    <w:rsid w:val="44814062"/>
    <w:rsid w:val="4487154D"/>
    <w:rsid w:val="448E1FA5"/>
    <w:rsid w:val="449228D9"/>
    <w:rsid w:val="4492EE7B"/>
    <w:rsid w:val="4496DD77"/>
    <w:rsid w:val="4499BF94"/>
    <w:rsid w:val="449A09C4"/>
    <w:rsid w:val="449AFDEB"/>
    <w:rsid w:val="449CAF02"/>
    <w:rsid w:val="44A3AEDB"/>
    <w:rsid w:val="44A767C5"/>
    <w:rsid w:val="44AC64D2"/>
    <w:rsid w:val="44AF3CE0"/>
    <w:rsid w:val="44B31D65"/>
    <w:rsid w:val="44B4B2DD"/>
    <w:rsid w:val="44B54093"/>
    <w:rsid w:val="44B7C9A0"/>
    <w:rsid w:val="44B88689"/>
    <w:rsid w:val="44B90D9C"/>
    <w:rsid w:val="44BE5B62"/>
    <w:rsid w:val="44C5493C"/>
    <w:rsid w:val="44CB4E36"/>
    <w:rsid w:val="44CCEB16"/>
    <w:rsid w:val="44CDC0B3"/>
    <w:rsid w:val="44D12651"/>
    <w:rsid w:val="44D15CB7"/>
    <w:rsid w:val="44D230FD"/>
    <w:rsid w:val="44D40AFF"/>
    <w:rsid w:val="44D81D07"/>
    <w:rsid w:val="44DC415D"/>
    <w:rsid w:val="44DCD3AC"/>
    <w:rsid w:val="44DE46C9"/>
    <w:rsid w:val="44E11C9B"/>
    <w:rsid w:val="44E197A9"/>
    <w:rsid w:val="44E252E5"/>
    <w:rsid w:val="44E33E1C"/>
    <w:rsid w:val="44E38F51"/>
    <w:rsid w:val="44E536F1"/>
    <w:rsid w:val="44F11F35"/>
    <w:rsid w:val="44F12535"/>
    <w:rsid w:val="44F5FC9B"/>
    <w:rsid w:val="45002AE2"/>
    <w:rsid w:val="450513DD"/>
    <w:rsid w:val="4506234A"/>
    <w:rsid w:val="450775C5"/>
    <w:rsid w:val="450BDB10"/>
    <w:rsid w:val="4511FD72"/>
    <w:rsid w:val="45121FE5"/>
    <w:rsid w:val="45147EA2"/>
    <w:rsid w:val="451668AA"/>
    <w:rsid w:val="4516FE9F"/>
    <w:rsid w:val="45174FA2"/>
    <w:rsid w:val="451A8B1A"/>
    <w:rsid w:val="451B8C24"/>
    <w:rsid w:val="451C448D"/>
    <w:rsid w:val="451D59CB"/>
    <w:rsid w:val="45225725"/>
    <w:rsid w:val="452E1745"/>
    <w:rsid w:val="4530F877"/>
    <w:rsid w:val="45327127"/>
    <w:rsid w:val="45331F86"/>
    <w:rsid w:val="4536D63C"/>
    <w:rsid w:val="453C5425"/>
    <w:rsid w:val="4540A986"/>
    <w:rsid w:val="4542E99D"/>
    <w:rsid w:val="4548765B"/>
    <w:rsid w:val="454A373A"/>
    <w:rsid w:val="454D8C10"/>
    <w:rsid w:val="455D79CE"/>
    <w:rsid w:val="4563F290"/>
    <w:rsid w:val="45683015"/>
    <w:rsid w:val="456D491F"/>
    <w:rsid w:val="45771C65"/>
    <w:rsid w:val="45784B55"/>
    <w:rsid w:val="457899DA"/>
    <w:rsid w:val="4579A09D"/>
    <w:rsid w:val="457C28E6"/>
    <w:rsid w:val="457FBF0E"/>
    <w:rsid w:val="4588255C"/>
    <w:rsid w:val="458BA587"/>
    <w:rsid w:val="458CAF8B"/>
    <w:rsid w:val="458CC589"/>
    <w:rsid w:val="458E7E2A"/>
    <w:rsid w:val="458F1332"/>
    <w:rsid w:val="458F6962"/>
    <w:rsid w:val="45911F3C"/>
    <w:rsid w:val="459A3CB1"/>
    <w:rsid w:val="459DC0C4"/>
    <w:rsid w:val="45A2773C"/>
    <w:rsid w:val="45A692C6"/>
    <w:rsid w:val="45A9B56A"/>
    <w:rsid w:val="45AE324D"/>
    <w:rsid w:val="45B1F0F3"/>
    <w:rsid w:val="45C04139"/>
    <w:rsid w:val="45CBB249"/>
    <w:rsid w:val="45CF5101"/>
    <w:rsid w:val="45D1B126"/>
    <w:rsid w:val="45D4A178"/>
    <w:rsid w:val="45DCDB4E"/>
    <w:rsid w:val="45DDF34A"/>
    <w:rsid w:val="45DDFE8F"/>
    <w:rsid w:val="45E1B518"/>
    <w:rsid w:val="45E726FE"/>
    <w:rsid w:val="45E8A619"/>
    <w:rsid w:val="45ED869E"/>
    <w:rsid w:val="45EE231A"/>
    <w:rsid w:val="45EE5E6B"/>
    <w:rsid w:val="45EEE5D2"/>
    <w:rsid w:val="45F9DB8C"/>
    <w:rsid w:val="45FD3F87"/>
    <w:rsid w:val="46078408"/>
    <w:rsid w:val="460DC776"/>
    <w:rsid w:val="4610FA7A"/>
    <w:rsid w:val="46141E8E"/>
    <w:rsid w:val="4618A637"/>
    <w:rsid w:val="46199F52"/>
    <w:rsid w:val="461B5841"/>
    <w:rsid w:val="462025F2"/>
    <w:rsid w:val="46222580"/>
    <w:rsid w:val="462398FA"/>
    <w:rsid w:val="462B05FD"/>
    <w:rsid w:val="462E6A51"/>
    <w:rsid w:val="462EE9C3"/>
    <w:rsid w:val="4630D767"/>
    <w:rsid w:val="46332614"/>
    <w:rsid w:val="46380985"/>
    <w:rsid w:val="463A4154"/>
    <w:rsid w:val="463BD184"/>
    <w:rsid w:val="4645A062"/>
    <w:rsid w:val="4647CB86"/>
    <w:rsid w:val="4648BCEE"/>
    <w:rsid w:val="4649B3DF"/>
    <w:rsid w:val="465722B7"/>
    <w:rsid w:val="465ED0CA"/>
    <w:rsid w:val="46630624"/>
    <w:rsid w:val="4668BB77"/>
    <w:rsid w:val="466AA8A5"/>
    <w:rsid w:val="466AC221"/>
    <w:rsid w:val="466DF50A"/>
    <w:rsid w:val="466E7A82"/>
    <w:rsid w:val="467CB00A"/>
    <w:rsid w:val="468166C7"/>
    <w:rsid w:val="46831D61"/>
    <w:rsid w:val="468604BF"/>
    <w:rsid w:val="46872E38"/>
    <w:rsid w:val="468AAB2C"/>
    <w:rsid w:val="468F0178"/>
    <w:rsid w:val="4694BD16"/>
    <w:rsid w:val="4695752E"/>
    <w:rsid w:val="4698F95C"/>
    <w:rsid w:val="469A3CFF"/>
    <w:rsid w:val="46A1B950"/>
    <w:rsid w:val="46A787AC"/>
    <w:rsid w:val="46B187EC"/>
    <w:rsid w:val="46B4A0C4"/>
    <w:rsid w:val="46B646BF"/>
    <w:rsid w:val="46BE8214"/>
    <w:rsid w:val="46C3A2B8"/>
    <w:rsid w:val="46C3D7D5"/>
    <w:rsid w:val="46C4208A"/>
    <w:rsid w:val="46D0E3DF"/>
    <w:rsid w:val="46D1DCB0"/>
    <w:rsid w:val="46D34297"/>
    <w:rsid w:val="46D4EC6A"/>
    <w:rsid w:val="46D897BC"/>
    <w:rsid w:val="46D8B0FC"/>
    <w:rsid w:val="46DAACD0"/>
    <w:rsid w:val="46DDC624"/>
    <w:rsid w:val="46EFC9A8"/>
    <w:rsid w:val="46F0C624"/>
    <w:rsid w:val="46F340AE"/>
    <w:rsid w:val="46F80141"/>
    <w:rsid w:val="46F8FE0E"/>
    <w:rsid w:val="46F9ED4B"/>
    <w:rsid w:val="46FC7753"/>
    <w:rsid w:val="470080E4"/>
    <w:rsid w:val="47056F90"/>
    <w:rsid w:val="47076430"/>
    <w:rsid w:val="470BEDFC"/>
    <w:rsid w:val="470D4EB6"/>
    <w:rsid w:val="470D74C3"/>
    <w:rsid w:val="470EB842"/>
    <w:rsid w:val="4711CF7E"/>
    <w:rsid w:val="471475E7"/>
    <w:rsid w:val="471BB00A"/>
    <w:rsid w:val="471C772B"/>
    <w:rsid w:val="471E70E6"/>
    <w:rsid w:val="471FD8DC"/>
    <w:rsid w:val="4724DE91"/>
    <w:rsid w:val="472AE41E"/>
    <w:rsid w:val="472AF2B8"/>
    <w:rsid w:val="472C5054"/>
    <w:rsid w:val="472CDFC3"/>
    <w:rsid w:val="473E6F5B"/>
    <w:rsid w:val="4746C1F6"/>
    <w:rsid w:val="47481DC6"/>
    <w:rsid w:val="4749DDE7"/>
    <w:rsid w:val="474BF7E1"/>
    <w:rsid w:val="474F1751"/>
    <w:rsid w:val="474FA013"/>
    <w:rsid w:val="4751D3B8"/>
    <w:rsid w:val="4755850C"/>
    <w:rsid w:val="4758EC0E"/>
    <w:rsid w:val="47610F08"/>
    <w:rsid w:val="4764C2AB"/>
    <w:rsid w:val="4768E3CB"/>
    <w:rsid w:val="476C6691"/>
    <w:rsid w:val="476CA482"/>
    <w:rsid w:val="476DE413"/>
    <w:rsid w:val="4770A498"/>
    <w:rsid w:val="4771A35B"/>
    <w:rsid w:val="477255E7"/>
    <w:rsid w:val="478188B9"/>
    <w:rsid w:val="47819657"/>
    <w:rsid w:val="4782A5F2"/>
    <w:rsid w:val="47838B36"/>
    <w:rsid w:val="47839EAE"/>
    <w:rsid w:val="479FD124"/>
    <w:rsid w:val="47A2E689"/>
    <w:rsid w:val="47A6B2DA"/>
    <w:rsid w:val="47AA9518"/>
    <w:rsid w:val="47AFD910"/>
    <w:rsid w:val="47B8F0CD"/>
    <w:rsid w:val="47BC20EC"/>
    <w:rsid w:val="47C5B3E5"/>
    <w:rsid w:val="47CC9E47"/>
    <w:rsid w:val="47CF06D0"/>
    <w:rsid w:val="47D6462D"/>
    <w:rsid w:val="47D9B03B"/>
    <w:rsid w:val="47E13D45"/>
    <w:rsid w:val="47E1497E"/>
    <w:rsid w:val="47E3FDE5"/>
    <w:rsid w:val="47E4DA89"/>
    <w:rsid w:val="47E5F870"/>
    <w:rsid w:val="47EAE790"/>
    <w:rsid w:val="47EB83A4"/>
    <w:rsid w:val="47ECF92B"/>
    <w:rsid w:val="47EE035E"/>
    <w:rsid w:val="47EE76C8"/>
    <w:rsid w:val="47F9FDA2"/>
    <w:rsid w:val="47FA91DF"/>
    <w:rsid w:val="47FBD2A6"/>
    <w:rsid w:val="47FD55D5"/>
    <w:rsid w:val="47FF046D"/>
    <w:rsid w:val="48034CC9"/>
    <w:rsid w:val="4804A70C"/>
    <w:rsid w:val="48056A51"/>
    <w:rsid w:val="48059F7D"/>
    <w:rsid w:val="480B9FD7"/>
    <w:rsid w:val="48109273"/>
    <w:rsid w:val="4817D7E3"/>
    <w:rsid w:val="481992AD"/>
    <w:rsid w:val="481B1D4C"/>
    <w:rsid w:val="481EE4CB"/>
    <w:rsid w:val="4821449C"/>
    <w:rsid w:val="48265914"/>
    <w:rsid w:val="4826BB8F"/>
    <w:rsid w:val="48276BCB"/>
    <w:rsid w:val="4827BC08"/>
    <w:rsid w:val="4827E99F"/>
    <w:rsid w:val="482906BF"/>
    <w:rsid w:val="482935C4"/>
    <w:rsid w:val="482E4189"/>
    <w:rsid w:val="482E8BF7"/>
    <w:rsid w:val="483835D5"/>
    <w:rsid w:val="4839A181"/>
    <w:rsid w:val="483A7182"/>
    <w:rsid w:val="483F8D35"/>
    <w:rsid w:val="484176EB"/>
    <w:rsid w:val="484201F2"/>
    <w:rsid w:val="4843E995"/>
    <w:rsid w:val="48482598"/>
    <w:rsid w:val="484D356A"/>
    <w:rsid w:val="484E89D0"/>
    <w:rsid w:val="484F1D32"/>
    <w:rsid w:val="4850505A"/>
    <w:rsid w:val="48603FBB"/>
    <w:rsid w:val="4867DB70"/>
    <w:rsid w:val="486EB03D"/>
    <w:rsid w:val="4872D37E"/>
    <w:rsid w:val="487F528A"/>
    <w:rsid w:val="48858200"/>
    <w:rsid w:val="48895373"/>
    <w:rsid w:val="488973FB"/>
    <w:rsid w:val="488D0E69"/>
    <w:rsid w:val="488F2AC5"/>
    <w:rsid w:val="489300E1"/>
    <w:rsid w:val="489D858A"/>
    <w:rsid w:val="489E6F48"/>
    <w:rsid w:val="48A202B8"/>
    <w:rsid w:val="48A293C2"/>
    <w:rsid w:val="48A43DD0"/>
    <w:rsid w:val="48A7FADF"/>
    <w:rsid w:val="48AA68E1"/>
    <w:rsid w:val="48AA716C"/>
    <w:rsid w:val="48AC27E8"/>
    <w:rsid w:val="48B1B818"/>
    <w:rsid w:val="48B1BAB9"/>
    <w:rsid w:val="48B573D6"/>
    <w:rsid w:val="48B60CD5"/>
    <w:rsid w:val="48BA2CDC"/>
    <w:rsid w:val="48BCF158"/>
    <w:rsid w:val="48BF2C95"/>
    <w:rsid w:val="48C2B31C"/>
    <w:rsid w:val="48C96AA8"/>
    <w:rsid w:val="48D10206"/>
    <w:rsid w:val="48D1906B"/>
    <w:rsid w:val="48D1A0F4"/>
    <w:rsid w:val="48D1D694"/>
    <w:rsid w:val="48D64FF5"/>
    <w:rsid w:val="48D81667"/>
    <w:rsid w:val="48E15CFB"/>
    <w:rsid w:val="48E16A88"/>
    <w:rsid w:val="48E53390"/>
    <w:rsid w:val="48E9736E"/>
    <w:rsid w:val="48EEE2DE"/>
    <w:rsid w:val="48F2C94D"/>
    <w:rsid w:val="48F6588F"/>
    <w:rsid w:val="48F8613F"/>
    <w:rsid w:val="48F98D56"/>
    <w:rsid w:val="48FF2E20"/>
    <w:rsid w:val="49012E2C"/>
    <w:rsid w:val="4904E288"/>
    <w:rsid w:val="490595EA"/>
    <w:rsid w:val="49072A74"/>
    <w:rsid w:val="4908CAE6"/>
    <w:rsid w:val="490AF7AD"/>
    <w:rsid w:val="490BFDDC"/>
    <w:rsid w:val="490FF687"/>
    <w:rsid w:val="4916C182"/>
    <w:rsid w:val="4917CA60"/>
    <w:rsid w:val="491D9853"/>
    <w:rsid w:val="491E6049"/>
    <w:rsid w:val="492644D9"/>
    <w:rsid w:val="4929159A"/>
    <w:rsid w:val="492D3D6A"/>
    <w:rsid w:val="492EA737"/>
    <w:rsid w:val="4930B52C"/>
    <w:rsid w:val="49361EC6"/>
    <w:rsid w:val="493944C2"/>
    <w:rsid w:val="493DFF41"/>
    <w:rsid w:val="493ED68C"/>
    <w:rsid w:val="49425CFE"/>
    <w:rsid w:val="49436EF0"/>
    <w:rsid w:val="49443D7D"/>
    <w:rsid w:val="494527DD"/>
    <w:rsid w:val="49473642"/>
    <w:rsid w:val="4948209C"/>
    <w:rsid w:val="4949504B"/>
    <w:rsid w:val="4949633D"/>
    <w:rsid w:val="494A2EF1"/>
    <w:rsid w:val="494CF514"/>
    <w:rsid w:val="4950016C"/>
    <w:rsid w:val="4950476E"/>
    <w:rsid w:val="49590814"/>
    <w:rsid w:val="49593DEA"/>
    <w:rsid w:val="495C9FE2"/>
    <w:rsid w:val="495D9D7E"/>
    <w:rsid w:val="495E7964"/>
    <w:rsid w:val="49639EEE"/>
    <w:rsid w:val="4969E63C"/>
    <w:rsid w:val="496C3A4C"/>
    <w:rsid w:val="49707F32"/>
    <w:rsid w:val="4973EED0"/>
    <w:rsid w:val="497610C8"/>
    <w:rsid w:val="4977AF85"/>
    <w:rsid w:val="4979522C"/>
    <w:rsid w:val="497EBB42"/>
    <w:rsid w:val="497FEC81"/>
    <w:rsid w:val="4982ECE6"/>
    <w:rsid w:val="4983A28A"/>
    <w:rsid w:val="49862624"/>
    <w:rsid w:val="49885121"/>
    <w:rsid w:val="498B1B5E"/>
    <w:rsid w:val="499049EA"/>
    <w:rsid w:val="49941990"/>
    <w:rsid w:val="49982157"/>
    <w:rsid w:val="499B3505"/>
    <w:rsid w:val="499B700B"/>
    <w:rsid w:val="499FCC7F"/>
    <w:rsid w:val="49A0CBEF"/>
    <w:rsid w:val="49AE4A36"/>
    <w:rsid w:val="49B09AC6"/>
    <w:rsid w:val="49B32358"/>
    <w:rsid w:val="49B4CA9D"/>
    <w:rsid w:val="49B4EEB4"/>
    <w:rsid w:val="49BCFC6A"/>
    <w:rsid w:val="49BDF176"/>
    <w:rsid w:val="49C21E6F"/>
    <w:rsid w:val="49C3B7B1"/>
    <w:rsid w:val="49C4B856"/>
    <w:rsid w:val="49CA4AEE"/>
    <w:rsid w:val="49CBEE16"/>
    <w:rsid w:val="49CC49EE"/>
    <w:rsid w:val="49CC656C"/>
    <w:rsid w:val="49CD41A7"/>
    <w:rsid w:val="49D0D5E3"/>
    <w:rsid w:val="49D3DD89"/>
    <w:rsid w:val="49D3E002"/>
    <w:rsid w:val="49D94E43"/>
    <w:rsid w:val="49DEEFF0"/>
    <w:rsid w:val="49E0DC41"/>
    <w:rsid w:val="49E2C6F3"/>
    <w:rsid w:val="49E3CD76"/>
    <w:rsid w:val="49E52F77"/>
    <w:rsid w:val="49E75CDB"/>
    <w:rsid w:val="49EE16DB"/>
    <w:rsid w:val="49F05E89"/>
    <w:rsid w:val="49F0EF96"/>
    <w:rsid w:val="49F56445"/>
    <w:rsid w:val="49F8E668"/>
    <w:rsid w:val="49F8EF1A"/>
    <w:rsid w:val="4A017BE2"/>
    <w:rsid w:val="4A0518FC"/>
    <w:rsid w:val="4A058543"/>
    <w:rsid w:val="4A0A3F26"/>
    <w:rsid w:val="4A0F5CE7"/>
    <w:rsid w:val="4A0F6962"/>
    <w:rsid w:val="4A0F7EA2"/>
    <w:rsid w:val="4A168DA6"/>
    <w:rsid w:val="4A2194AB"/>
    <w:rsid w:val="4A27D4D3"/>
    <w:rsid w:val="4A28B264"/>
    <w:rsid w:val="4A28D75C"/>
    <w:rsid w:val="4A29C41A"/>
    <w:rsid w:val="4A2DBD1A"/>
    <w:rsid w:val="4A383E51"/>
    <w:rsid w:val="4A385670"/>
    <w:rsid w:val="4A3F41E3"/>
    <w:rsid w:val="4A40D572"/>
    <w:rsid w:val="4A41604B"/>
    <w:rsid w:val="4A46CBBC"/>
    <w:rsid w:val="4A4B9F09"/>
    <w:rsid w:val="4A4C9EBB"/>
    <w:rsid w:val="4A4FC8AC"/>
    <w:rsid w:val="4A508CA9"/>
    <w:rsid w:val="4A5CBC04"/>
    <w:rsid w:val="4A5D530C"/>
    <w:rsid w:val="4A5DAF67"/>
    <w:rsid w:val="4A5FBBE7"/>
    <w:rsid w:val="4A6126CC"/>
    <w:rsid w:val="4A620303"/>
    <w:rsid w:val="4A64ECEA"/>
    <w:rsid w:val="4A6D0666"/>
    <w:rsid w:val="4A6D7548"/>
    <w:rsid w:val="4A6EE529"/>
    <w:rsid w:val="4A6F3117"/>
    <w:rsid w:val="4A716C18"/>
    <w:rsid w:val="4A74B452"/>
    <w:rsid w:val="4A7C09B8"/>
    <w:rsid w:val="4A8BCC9C"/>
    <w:rsid w:val="4A912CA1"/>
    <w:rsid w:val="4A9ADFC4"/>
    <w:rsid w:val="4AA1B404"/>
    <w:rsid w:val="4AA25B1F"/>
    <w:rsid w:val="4AA5FD54"/>
    <w:rsid w:val="4AA8293A"/>
    <w:rsid w:val="4AAB061B"/>
    <w:rsid w:val="4AAB7738"/>
    <w:rsid w:val="4AACB42E"/>
    <w:rsid w:val="4AB2E359"/>
    <w:rsid w:val="4AB5C2B8"/>
    <w:rsid w:val="4AB97806"/>
    <w:rsid w:val="4ABAC45E"/>
    <w:rsid w:val="4ABD96CC"/>
    <w:rsid w:val="4AC1820F"/>
    <w:rsid w:val="4AC68D23"/>
    <w:rsid w:val="4AC77BEE"/>
    <w:rsid w:val="4AC93E22"/>
    <w:rsid w:val="4ACE0A54"/>
    <w:rsid w:val="4AD19150"/>
    <w:rsid w:val="4AD54471"/>
    <w:rsid w:val="4ADD4FBD"/>
    <w:rsid w:val="4ADE9D05"/>
    <w:rsid w:val="4ADF031B"/>
    <w:rsid w:val="4AE0E0D9"/>
    <w:rsid w:val="4AE24086"/>
    <w:rsid w:val="4AE7A99D"/>
    <w:rsid w:val="4AED0FE4"/>
    <w:rsid w:val="4AFB531C"/>
    <w:rsid w:val="4B025790"/>
    <w:rsid w:val="4B02B098"/>
    <w:rsid w:val="4B0E7EC3"/>
    <w:rsid w:val="4B0EA5B3"/>
    <w:rsid w:val="4B100BED"/>
    <w:rsid w:val="4B144F90"/>
    <w:rsid w:val="4B17CD72"/>
    <w:rsid w:val="4B1A3B60"/>
    <w:rsid w:val="4B1D9B5A"/>
    <w:rsid w:val="4B210799"/>
    <w:rsid w:val="4B26E1AF"/>
    <w:rsid w:val="4B26F443"/>
    <w:rsid w:val="4B29E7F8"/>
    <w:rsid w:val="4B2D8BC4"/>
    <w:rsid w:val="4B31CE4E"/>
    <w:rsid w:val="4B3C2C9A"/>
    <w:rsid w:val="4B3C6142"/>
    <w:rsid w:val="4B3F201A"/>
    <w:rsid w:val="4B440CA8"/>
    <w:rsid w:val="4B4B4ED9"/>
    <w:rsid w:val="4B4BA34B"/>
    <w:rsid w:val="4B4C3D07"/>
    <w:rsid w:val="4B4D8F20"/>
    <w:rsid w:val="4B4FB4C4"/>
    <w:rsid w:val="4B5168DE"/>
    <w:rsid w:val="4B53D312"/>
    <w:rsid w:val="4B542FFD"/>
    <w:rsid w:val="4B543541"/>
    <w:rsid w:val="4B54A953"/>
    <w:rsid w:val="4B5D734E"/>
    <w:rsid w:val="4B6A8E66"/>
    <w:rsid w:val="4B71FB38"/>
    <w:rsid w:val="4B77DFBD"/>
    <w:rsid w:val="4B7BF569"/>
    <w:rsid w:val="4B83C3F4"/>
    <w:rsid w:val="4B83E7A2"/>
    <w:rsid w:val="4B85B616"/>
    <w:rsid w:val="4B8836FE"/>
    <w:rsid w:val="4B886D32"/>
    <w:rsid w:val="4B8AA53D"/>
    <w:rsid w:val="4B91D67C"/>
    <w:rsid w:val="4B926341"/>
    <w:rsid w:val="4B928387"/>
    <w:rsid w:val="4B97E56A"/>
    <w:rsid w:val="4B98C896"/>
    <w:rsid w:val="4B9BAA4E"/>
    <w:rsid w:val="4B9CB619"/>
    <w:rsid w:val="4B9DDF89"/>
    <w:rsid w:val="4BA9D510"/>
    <w:rsid w:val="4BAB2853"/>
    <w:rsid w:val="4BAF079E"/>
    <w:rsid w:val="4BB52DFC"/>
    <w:rsid w:val="4BB8F2EB"/>
    <w:rsid w:val="4BB9F30E"/>
    <w:rsid w:val="4BBB9305"/>
    <w:rsid w:val="4BBC3D86"/>
    <w:rsid w:val="4BBF7426"/>
    <w:rsid w:val="4BC15AD5"/>
    <w:rsid w:val="4BC579CC"/>
    <w:rsid w:val="4BCE9B28"/>
    <w:rsid w:val="4BD1D033"/>
    <w:rsid w:val="4BD9E159"/>
    <w:rsid w:val="4BDBD6E1"/>
    <w:rsid w:val="4BDC226F"/>
    <w:rsid w:val="4BDC6FD2"/>
    <w:rsid w:val="4BE0E0F8"/>
    <w:rsid w:val="4BE23B7A"/>
    <w:rsid w:val="4BE5810E"/>
    <w:rsid w:val="4BE76F6A"/>
    <w:rsid w:val="4BE8D05F"/>
    <w:rsid w:val="4BE9F336"/>
    <w:rsid w:val="4BECA8B9"/>
    <w:rsid w:val="4BF0462A"/>
    <w:rsid w:val="4BF1DFF8"/>
    <w:rsid w:val="4BF2D035"/>
    <w:rsid w:val="4BF39CB1"/>
    <w:rsid w:val="4BF8AA41"/>
    <w:rsid w:val="4BF92864"/>
    <w:rsid w:val="4BFA8F0E"/>
    <w:rsid w:val="4C01A881"/>
    <w:rsid w:val="4C09DC4C"/>
    <w:rsid w:val="4C0AB6EA"/>
    <w:rsid w:val="4C11D86F"/>
    <w:rsid w:val="4C13ABFA"/>
    <w:rsid w:val="4C172182"/>
    <w:rsid w:val="4C1733B4"/>
    <w:rsid w:val="4C1EA2BE"/>
    <w:rsid w:val="4C20CD77"/>
    <w:rsid w:val="4C250905"/>
    <w:rsid w:val="4C2C82BC"/>
    <w:rsid w:val="4C2F9633"/>
    <w:rsid w:val="4C2FDDB0"/>
    <w:rsid w:val="4C308376"/>
    <w:rsid w:val="4C34D962"/>
    <w:rsid w:val="4C3618C3"/>
    <w:rsid w:val="4C3A08EE"/>
    <w:rsid w:val="4C421E8C"/>
    <w:rsid w:val="4C434A61"/>
    <w:rsid w:val="4C47AA34"/>
    <w:rsid w:val="4C4B430A"/>
    <w:rsid w:val="4C4FE99C"/>
    <w:rsid w:val="4C51A162"/>
    <w:rsid w:val="4C558EAE"/>
    <w:rsid w:val="4C5D21F8"/>
    <w:rsid w:val="4C5E8A0E"/>
    <w:rsid w:val="4C618887"/>
    <w:rsid w:val="4C643BC0"/>
    <w:rsid w:val="4C6D70B3"/>
    <w:rsid w:val="4C6E6F2B"/>
    <w:rsid w:val="4C7250DC"/>
    <w:rsid w:val="4C72E70B"/>
    <w:rsid w:val="4C77F7A2"/>
    <w:rsid w:val="4C796165"/>
    <w:rsid w:val="4C796FBF"/>
    <w:rsid w:val="4C7B343F"/>
    <w:rsid w:val="4C7FCFF3"/>
    <w:rsid w:val="4C7FE2B7"/>
    <w:rsid w:val="4C816DBA"/>
    <w:rsid w:val="4C850DD0"/>
    <w:rsid w:val="4C862307"/>
    <w:rsid w:val="4C8ABAC9"/>
    <w:rsid w:val="4C8B2B39"/>
    <w:rsid w:val="4C8D14CB"/>
    <w:rsid w:val="4C923691"/>
    <w:rsid w:val="4C988434"/>
    <w:rsid w:val="4C98BDE9"/>
    <w:rsid w:val="4C996EE4"/>
    <w:rsid w:val="4C9C61AB"/>
    <w:rsid w:val="4CA0BB33"/>
    <w:rsid w:val="4CA4B945"/>
    <w:rsid w:val="4CA6E031"/>
    <w:rsid w:val="4CA83572"/>
    <w:rsid w:val="4CA88A1E"/>
    <w:rsid w:val="4CAC250A"/>
    <w:rsid w:val="4CB1513F"/>
    <w:rsid w:val="4CB1B765"/>
    <w:rsid w:val="4CBCEF11"/>
    <w:rsid w:val="4CBEEC0E"/>
    <w:rsid w:val="4CC06D06"/>
    <w:rsid w:val="4CCA97BE"/>
    <w:rsid w:val="4CD1430F"/>
    <w:rsid w:val="4CD3D9DD"/>
    <w:rsid w:val="4CD571F4"/>
    <w:rsid w:val="4CD64AC7"/>
    <w:rsid w:val="4CD656A3"/>
    <w:rsid w:val="4CD7E765"/>
    <w:rsid w:val="4CDA1B56"/>
    <w:rsid w:val="4CDB0DED"/>
    <w:rsid w:val="4CDB6720"/>
    <w:rsid w:val="4CDE518C"/>
    <w:rsid w:val="4CDF4048"/>
    <w:rsid w:val="4CDF6625"/>
    <w:rsid w:val="4CE91119"/>
    <w:rsid w:val="4CEE6EFB"/>
    <w:rsid w:val="4CFA4465"/>
    <w:rsid w:val="4CFA69A3"/>
    <w:rsid w:val="4D0590DD"/>
    <w:rsid w:val="4D05A5C5"/>
    <w:rsid w:val="4D0B87AA"/>
    <w:rsid w:val="4D1414EF"/>
    <w:rsid w:val="4D19D15E"/>
    <w:rsid w:val="4D22E1FF"/>
    <w:rsid w:val="4D2459DE"/>
    <w:rsid w:val="4D257198"/>
    <w:rsid w:val="4D29BEFA"/>
    <w:rsid w:val="4D29F932"/>
    <w:rsid w:val="4D2FF6D7"/>
    <w:rsid w:val="4D30CFFB"/>
    <w:rsid w:val="4D33688E"/>
    <w:rsid w:val="4D376781"/>
    <w:rsid w:val="4D3879C7"/>
    <w:rsid w:val="4D3A1EF0"/>
    <w:rsid w:val="4D3F689A"/>
    <w:rsid w:val="4D437CEF"/>
    <w:rsid w:val="4D46CA12"/>
    <w:rsid w:val="4D4C5CD7"/>
    <w:rsid w:val="4D4E3D7C"/>
    <w:rsid w:val="4D4F1673"/>
    <w:rsid w:val="4D4F5F16"/>
    <w:rsid w:val="4D513CA9"/>
    <w:rsid w:val="4D52FAF2"/>
    <w:rsid w:val="4D59C9A5"/>
    <w:rsid w:val="4D5B943A"/>
    <w:rsid w:val="4D5C6922"/>
    <w:rsid w:val="4D5FB5A7"/>
    <w:rsid w:val="4D6BC4A2"/>
    <w:rsid w:val="4D6CFC13"/>
    <w:rsid w:val="4D6DDCD3"/>
    <w:rsid w:val="4D6F0375"/>
    <w:rsid w:val="4D6F8F97"/>
    <w:rsid w:val="4D77C602"/>
    <w:rsid w:val="4D7B2F80"/>
    <w:rsid w:val="4D7B6DDC"/>
    <w:rsid w:val="4D7D73B2"/>
    <w:rsid w:val="4D7F6D85"/>
    <w:rsid w:val="4D846221"/>
    <w:rsid w:val="4D877AE9"/>
    <w:rsid w:val="4D8C1653"/>
    <w:rsid w:val="4D8C6DCC"/>
    <w:rsid w:val="4D9105BF"/>
    <w:rsid w:val="4D9423A5"/>
    <w:rsid w:val="4D97AA67"/>
    <w:rsid w:val="4D988C8B"/>
    <w:rsid w:val="4D9904BB"/>
    <w:rsid w:val="4DA8B0E0"/>
    <w:rsid w:val="4DB9C561"/>
    <w:rsid w:val="4DBE659C"/>
    <w:rsid w:val="4DCA6D28"/>
    <w:rsid w:val="4DCE8102"/>
    <w:rsid w:val="4DD0C140"/>
    <w:rsid w:val="4DD51B73"/>
    <w:rsid w:val="4DE3F622"/>
    <w:rsid w:val="4DE81F49"/>
    <w:rsid w:val="4DEC0C1F"/>
    <w:rsid w:val="4DEF6616"/>
    <w:rsid w:val="4DF14176"/>
    <w:rsid w:val="4DF44F90"/>
    <w:rsid w:val="4DF536BA"/>
    <w:rsid w:val="4DF6DC32"/>
    <w:rsid w:val="4DFD5229"/>
    <w:rsid w:val="4DFDE89C"/>
    <w:rsid w:val="4E0469AD"/>
    <w:rsid w:val="4E059A6D"/>
    <w:rsid w:val="4E08FF84"/>
    <w:rsid w:val="4E0AEB1D"/>
    <w:rsid w:val="4E0E4E95"/>
    <w:rsid w:val="4E0EAAFC"/>
    <w:rsid w:val="4E0EB76C"/>
    <w:rsid w:val="4E0F21BB"/>
    <w:rsid w:val="4E118DF2"/>
    <w:rsid w:val="4E12D170"/>
    <w:rsid w:val="4E187008"/>
    <w:rsid w:val="4E1A152F"/>
    <w:rsid w:val="4E1CA277"/>
    <w:rsid w:val="4E243142"/>
    <w:rsid w:val="4E24B3A8"/>
    <w:rsid w:val="4E276EC1"/>
    <w:rsid w:val="4E288098"/>
    <w:rsid w:val="4E2DF793"/>
    <w:rsid w:val="4E2E91D6"/>
    <w:rsid w:val="4E43DC8E"/>
    <w:rsid w:val="4E44D164"/>
    <w:rsid w:val="4E46B7AA"/>
    <w:rsid w:val="4E473C5D"/>
    <w:rsid w:val="4E484986"/>
    <w:rsid w:val="4E4997B4"/>
    <w:rsid w:val="4E4A32B3"/>
    <w:rsid w:val="4E4A4624"/>
    <w:rsid w:val="4E4ED8DF"/>
    <w:rsid w:val="4E50D807"/>
    <w:rsid w:val="4E514EA8"/>
    <w:rsid w:val="4E5CDC0E"/>
    <w:rsid w:val="4E5E702C"/>
    <w:rsid w:val="4E60AD13"/>
    <w:rsid w:val="4E6309AA"/>
    <w:rsid w:val="4E6929D2"/>
    <w:rsid w:val="4E6B14EB"/>
    <w:rsid w:val="4E6E685E"/>
    <w:rsid w:val="4E70DFCE"/>
    <w:rsid w:val="4E7B590E"/>
    <w:rsid w:val="4E7CE1D6"/>
    <w:rsid w:val="4E7E8E8D"/>
    <w:rsid w:val="4E8A6A3C"/>
    <w:rsid w:val="4E8B7E11"/>
    <w:rsid w:val="4E8C216A"/>
    <w:rsid w:val="4E8E264F"/>
    <w:rsid w:val="4E92C242"/>
    <w:rsid w:val="4E9994F9"/>
    <w:rsid w:val="4E9B639D"/>
    <w:rsid w:val="4E9D70D0"/>
    <w:rsid w:val="4E9F2DF2"/>
    <w:rsid w:val="4EA00F92"/>
    <w:rsid w:val="4EA0643C"/>
    <w:rsid w:val="4EA0C9F4"/>
    <w:rsid w:val="4EA3255D"/>
    <w:rsid w:val="4EA4B3E9"/>
    <w:rsid w:val="4EA65059"/>
    <w:rsid w:val="4EB023EE"/>
    <w:rsid w:val="4EB0C05C"/>
    <w:rsid w:val="4EB236C1"/>
    <w:rsid w:val="4EB904AF"/>
    <w:rsid w:val="4EBCBA85"/>
    <w:rsid w:val="4EBEB260"/>
    <w:rsid w:val="4EBF2D06"/>
    <w:rsid w:val="4EC40EE8"/>
    <w:rsid w:val="4EC6416D"/>
    <w:rsid w:val="4ED591B1"/>
    <w:rsid w:val="4EDA82B0"/>
    <w:rsid w:val="4EDE7BC9"/>
    <w:rsid w:val="4EDE7FDA"/>
    <w:rsid w:val="4EE737ED"/>
    <w:rsid w:val="4EEA944F"/>
    <w:rsid w:val="4EF4F669"/>
    <w:rsid w:val="4EF563CF"/>
    <w:rsid w:val="4EFD34D6"/>
    <w:rsid w:val="4F048F33"/>
    <w:rsid w:val="4F0563B2"/>
    <w:rsid w:val="4F057BC5"/>
    <w:rsid w:val="4F058A71"/>
    <w:rsid w:val="4F068FF3"/>
    <w:rsid w:val="4F09A1E4"/>
    <w:rsid w:val="4F0C31CC"/>
    <w:rsid w:val="4F1084BF"/>
    <w:rsid w:val="4F13663D"/>
    <w:rsid w:val="4F16FFE1"/>
    <w:rsid w:val="4F190E98"/>
    <w:rsid w:val="4F19407C"/>
    <w:rsid w:val="4F1A9571"/>
    <w:rsid w:val="4F1DADE2"/>
    <w:rsid w:val="4F1DFC73"/>
    <w:rsid w:val="4F1E650E"/>
    <w:rsid w:val="4F1F71A7"/>
    <w:rsid w:val="4F20F15A"/>
    <w:rsid w:val="4F20F99C"/>
    <w:rsid w:val="4F2241F8"/>
    <w:rsid w:val="4F2B8D8E"/>
    <w:rsid w:val="4F304A7A"/>
    <w:rsid w:val="4F33347D"/>
    <w:rsid w:val="4F39E5DE"/>
    <w:rsid w:val="4F3D2415"/>
    <w:rsid w:val="4F4751DA"/>
    <w:rsid w:val="4F4D2FFB"/>
    <w:rsid w:val="4F4F6B7D"/>
    <w:rsid w:val="4F4F8B07"/>
    <w:rsid w:val="4F51C468"/>
    <w:rsid w:val="4F5444DB"/>
    <w:rsid w:val="4F588CB1"/>
    <w:rsid w:val="4F591A17"/>
    <w:rsid w:val="4F59EE06"/>
    <w:rsid w:val="4F5AAD28"/>
    <w:rsid w:val="4F5D035E"/>
    <w:rsid w:val="4F6096F1"/>
    <w:rsid w:val="4F60FC7A"/>
    <w:rsid w:val="4F65031F"/>
    <w:rsid w:val="4F66F39F"/>
    <w:rsid w:val="4F68CC5F"/>
    <w:rsid w:val="4F6CFD0F"/>
    <w:rsid w:val="4F740459"/>
    <w:rsid w:val="4F754D22"/>
    <w:rsid w:val="4F7566A4"/>
    <w:rsid w:val="4F7D9522"/>
    <w:rsid w:val="4F7EAFF4"/>
    <w:rsid w:val="4F7F22B7"/>
    <w:rsid w:val="4F7F80F4"/>
    <w:rsid w:val="4F815414"/>
    <w:rsid w:val="4F88DCA9"/>
    <w:rsid w:val="4F8A1092"/>
    <w:rsid w:val="4F916741"/>
    <w:rsid w:val="4F93187B"/>
    <w:rsid w:val="4F939960"/>
    <w:rsid w:val="4F951FC3"/>
    <w:rsid w:val="4F954765"/>
    <w:rsid w:val="4F978E2E"/>
    <w:rsid w:val="4F9CFA70"/>
    <w:rsid w:val="4FA08705"/>
    <w:rsid w:val="4FA190C2"/>
    <w:rsid w:val="4FA3C78D"/>
    <w:rsid w:val="4FA5E4FA"/>
    <w:rsid w:val="4FA7AE3E"/>
    <w:rsid w:val="4FA9063D"/>
    <w:rsid w:val="4FA923A0"/>
    <w:rsid w:val="4FABBED6"/>
    <w:rsid w:val="4FAD0C92"/>
    <w:rsid w:val="4FAF2836"/>
    <w:rsid w:val="4FB0BA0B"/>
    <w:rsid w:val="4FB2BB52"/>
    <w:rsid w:val="4FB72D78"/>
    <w:rsid w:val="4FB80B9E"/>
    <w:rsid w:val="4FBA39D7"/>
    <w:rsid w:val="4FBC601F"/>
    <w:rsid w:val="4FC0CB8A"/>
    <w:rsid w:val="4FD0925D"/>
    <w:rsid w:val="4FD17B7B"/>
    <w:rsid w:val="4FD6CFFD"/>
    <w:rsid w:val="4FD8EDAA"/>
    <w:rsid w:val="4FD98D70"/>
    <w:rsid w:val="4FDB60DB"/>
    <w:rsid w:val="4FDD5C47"/>
    <w:rsid w:val="4FE4600D"/>
    <w:rsid w:val="4FE69B96"/>
    <w:rsid w:val="4FEA301F"/>
    <w:rsid w:val="4FEF0D1D"/>
    <w:rsid w:val="4FF17604"/>
    <w:rsid w:val="4FF531FC"/>
    <w:rsid w:val="4FF59D6D"/>
    <w:rsid w:val="4FF705C8"/>
    <w:rsid w:val="4FF8F41C"/>
    <w:rsid w:val="4FFCB04F"/>
    <w:rsid w:val="4FFDE34A"/>
    <w:rsid w:val="50007865"/>
    <w:rsid w:val="5001E7DE"/>
    <w:rsid w:val="50049E9D"/>
    <w:rsid w:val="5009D1EE"/>
    <w:rsid w:val="500AA19E"/>
    <w:rsid w:val="500D1015"/>
    <w:rsid w:val="5010B627"/>
    <w:rsid w:val="50111CBB"/>
    <w:rsid w:val="50117E14"/>
    <w:rsid w:val="50131B4F"/>
    <w:rsid w:val="5019B550"/>
    <w:rsid w:val="502E4544"/>
    <w:rsid w:val="502EF812"/>
    <w:rsid w:val="50396DD9"/>
    <w:rsid w:val="50397411"/>
    <w:rsid w:val="503983DA"/>
    <w:rsid w:val="503B3E64"/>
    <w:rsid w:val="503CE23C"/>
    <w:rsid w:val="503CF01F"/>
    <w:rsid w:val="503D0D0B"/>
    <w:rsid w:val="503E258D"/>
    <w:rsid w:val="5040267A"/>
    <w:rsid w:val="504049C3"/>
    <w:rsid w:val="504162C5"/>
    <w:rsid w:val="5047DEB5"/>
    <w:rsid w:val="504F619D"/>
    <w:rsid w:val="505187BA"/>
    <w:rsid w:val="50540BF4"/>
    <w:rsid w:val="50560025"/>
    <w:rsid w:val="5056188D"/>
    <w:rsid w:val="5058B905"/>
    <w:rsid w:val="505AF7E7"/>
    <w:rsid w:val="506CC27F"/>
    <w:rsid w:val="5071BCD9"/>
    <w:rsid w:val="5072472E"/>
    <w:rsid w:val="5074AAD3"/>
    <w:rsid w:val="507808A1"/>
    <w:rsid w:val="5082FA07"/>
    <w:rsid w:val="508AF929"/>
    <w:rsid w:val="508CCC72"/>
    <w:rsid w:val="508EFC99"/>
    <w:rsid w:val="5091D0AD"/>
    <w:rsid w:val="5093782A"/>
    <w:rsid w:val="509702CA"/>
    <w:rsid w:val="50995735"/>
    <w:rsid w:val="509BB83C"/>
    <w:rsid w:val="509CAB43"/>
    <w:rsid w:val="50A15968"/>
    <w:rsid w:val="50A64F1B"/>
    <w:rsid w:val="50A6F334"/>
    <w:rsid w:val="50A964D3"/>
    <w:rsid w:val="50AD7418"/>
    <w:rsid w:val="50AE6326"/>
    <w:rsid w:val="50AFECBE"/>
    <w:rsid w:val="50B2FBA8"/>
    <w:rsid w:val="50B376B7"/>
    <w:rsid w:val="50B680CD"/>
    <w:rsid w:val="50B6DF7F"/>
    <w:rsid w:val="50BC274E"/>
    <w:rsid w:val="50BCB3DC"/>
    <w:rsid w:val="50BE36F9"/>
    <w:rsid w:val="50C1137F"/>
    <w:rsid w:val="50C18385"/>
    <w:rsid w:val="50D1E91E"/>
    <w:rsid w:val="50D5DED8"/>
    <w:rsid w:val="50DDB81B"/>
    <w:rsid w:val="50E0299F"/>
    <w:rsid w:val="50E12AB7"/>
    <w:rsid w:val="50E1D2BE"/>
    <w:rsid w:val="50E29244"/>
    <w:rsid w:val="50E50BCC"/>
    <w:rsid w:val="50E636E7"/>
    <w:rsid w:val="50E72027"/>
    <w:rsid w:val="50E7D4E9"/>
    <w:rsid w:val="50E815E2"/>
    <w:rsid w:val="50E82994"/>
    <w:rsid w:val="50E986C2"/>
    <w:rsid w:val="50EC64F4"/>
    <w:rsid w:val="50EEC92F"/>
    <w:rsid w:val="50EFD784"/>
    <w:rsid w:val="50F0E58D"/>
    <w:rsid w:val="50F74C66"/>
    <w:rsid w:val="50F917AD"/>
    <w:rsid w:val="50FC6752"/>
    <w:rsid w:val="50FEFDCF"/>
    <w:rsid w:val="51041FEF"/>
    <w:rsid w:val="510644D9"/>
    <w:rsid w:val="51073048"/>
    <w:rsid w:val="5107FDC0"/>
    <w:rsid w:val="511198ED"/>
    <w:rsid w:val="511724DB"/>
    <w:rsid w:val="5118B208"/>
    <w:rsid w:val="5118E185"/>
    <w:rsid w:val="5118F6A5"/>
    <w:rsid w:val="5119CA49"/>
    <w:rsid w:val="511A0581"/>
    <w:rsid w:val="511E845D"/>
    <w:rsid w:val="51268862"/>
    <w:rsid w:val="5130490F"/>
    <w:rsid w:val="513A55D6"/>
    <w:rsid w:val="514DEAAE"/>
    <w:rsid w:val="51502739"/>
    <w:rsid w:val="5151D8C9"/>
    <w:rsid w:val="515846BB"/>
    <w:rsid w:val="5159A49A"/>
    <w:rsid w:val="5159B11D"/>
    <w:rsid w:val="515B5C66"/>
    <w:rsid w:val="515D1875"/>
    <w:rsid w:val="515DE370"/>
    <w:rsid w:val="515FF1BF"/>
    <w:rsid w:val="5160309D"/>
    <w:rsid w:val="51647339"/>
    <w:rsid w:val="51650C03"/>
    <w:rsid w:val="5167FF8E"/>
    <w:rsid w:val="5169D4EE"/>
    <w:rsid w:val="516CA2AD"/>
    <w:rsid w:val="516D2600"/>
    <w:rsid w:val="51715AA4"/>
    <w:rsid w:val="51757730"/>
    <w:rsid w:val="517A0D88"/>
    <w:rsid w:val="517A252B"/>
    <w:rsid w:val="517EDCE5"/>
    <w:rsid w:val="5180E045"/>
    <w:rsid w:val="5182F0F9"/>
    <w:rsid w:val="5185CB0A"/>
    <w:rsid w:val="5188C7CC"/>
    <w:rsid w:val="51896F40"/>
    <w:rsid w:val="518A2AF7"/>
    <w:rsid w:val="518B1602"/>
    <w:rsid w:val="518CB761"/>
    <w:rsid w:val="518F72F0"/>
    <w:rsid w:val="5197EC93"/>
    <w:rsid w:val="519A7242"/>
    <w:rsid w:val="519DF207"/>
    <w:rsid w:val="51A2FF3B"/>
    <w:rsid w:val="51A3150B"/>
    <w:rsid w:val="51A45914"/>
    <w:rsid w:val="51A6B80B"/>
    <w:rsid w:val="51B279F7"/>
    <w:rsid w:val="51BF8D1C"/>
    <w:rsid w:val="51C38340"/>
    <w:rsid w:val="51C81F30"/>
    <w:rsid w:val="51CC6EFC"/>
    <w:rsid w:val="51CF868D"/>
    <w:rsid w:val="51D0A16A"/>
    <w:rsid w:val="51D8F2F4"/>
    <w:rsid w:val="51DFAF6A"/>
    <w:rsid w:val="51DFD2E6"/>
    <w:rsid w:val="51E279F1"/>
    <w:rsid w:val="51E39E9C"/>
    <w:rsid w:val="51EA2EBC"/>
    <w:rsid w:val="51EA7CDF"/>
    <w:rsid w:val="51F236C3"/>
    <w:rsid w:val="51F3E3EB"/>
    <w:rsid w:val="51F40787"/>
    <w:rsid w:val="51F66973"/>
    <w:rsid w:val="51F96023"/>
    <w:rsid w:val="51FAA37E"/>
    <w:rsid w:val="51FAA945"/>
    <w:rsid w:val="51FF98A2"/>
    <w:rsid w:val="52077124"/>
    <w:rsid w:val="5209AD63"/>
    <w:rsid w:val="520B854D"/>
    <w:rsid w:val="520DA102"/>
    <w:rsid w:val="52128214"/>
    <w:rsid w:val="5212D38D"/>
    <w:rsid w:val="521643AA"/>
    <w:rsid w:val="521AA2DB"/>
    <w:rsid w:val="52219387"/>
    <w:rsid w:val="52238335"/>
    <w:rsid w:val="52241C9F"/>
    <w:rsid w:val="52275B4B"/>
    <w:rsid w:val="522A7125"/>
    <w:rsid w:val="522C2EA3"/>
    <w:rsid w:val="5234A62A"/>
    <w:rsid w:val="5237C52B"/>
    <w:rsid w:val="523D01DC"/>
    <w:rsid w:val="52432E6B"/>
    <w:rsid w:val="5243AB3F"/>
    <w:rsid w:val="524A61A3"/>
    <w:rsid w:val="524CA9CF"/>
    <w:rsid w:val="524CD400"/>
    <w:rsid w:val="524DF97A"/>
    <w:rsid w:val="5251223E"/>
    <w:rsid w:val="52516392"/>
    <w:rsid w:val="525453A3"/>
    <w:rsid w:val="5255DAFE"/>
    <w:rsid w:val="52563C02"/>
    <w:rsid w:val="525814CD"/>
    <w:rsid w:val="525A708A"/>
    <w:rsid w:val="525F4626"/>
    <w:rsid w:val="52642217"/>
    <w:rsid w:val="5264AA29"/>
    <w:rsid w:val="5265606D"/>
    <w:rsid w:val="52670D5A"/>
    <w:rsid w:val="5269B87B"/>
    <w:rsid w:val="526B30E0"/>
    <w:rsid w:val="526DD07B"/>
    <w:rsid w:val="52719A3A"/>
    <w:rsid w:val="527305C4"/>
    <w:rsid w:val="52746030"/>
    <w:rsid w:val="52755BFC"/>
    <w:rsid w:val="5275838D"/>
    <w:rsid w:val="527676CC"/>
    <w:rsid w:val="5279606C"/>
    <w:rsid w:val="527B96D9"/>
    <w:rsid w:val="527CF4F3"/>
    <w:rsid w:val="527EE1C9"/>
    <w:rsid w:val="528516B3"/>
    <w:rsid w:val="5289E08B"/>
    <w:rsid w:val="52955C89"/>
    <w:rsid w:val="529713CD"/>
    <w:rsid w:val="529989B0"/>
    <w:rsid w:val="529D72D1"/>
    <w:rsid w:val="52A21019"/>
    <w:rsid w:val="52A807C6"/>
    <w:rsid w:val="52A93D1A"/>
    <w:rsid w:val="52AA9B96"/>
    <w:rsid w:val="52ADB686"/>
    <w:rsid w:val="52AE0C80"/>
    <w:rsid w:val="52B11257"/>
    <w:rsid w:val="52B644CC"/>
    <w:rsid w:val="52B75526"/>
    <w:rsid w:val="52B808C1"/>
    <w:rsid w:val="52BD2438"/>
    <w:rsid w:val="52C37EF2"/>
    <w:rsid w:val="52C9CFA9"/>
    <w:rsid w:val="52D079BD"/>
    <w:rsid w:val="52D0B025"/>
    <w:rsid w:val="52D3305C"/>
    <w:rsid w:val="52D4DDD7"/>
    <w:rsid w:val="52D55BC0"/>
    <w:rsid w:val="52D5CFB0"/>
    <w:rsid w:val="52D8A8EC"/>
    <w:rsid w:val="52DB2B9A"/>
    <w:rsid w:val="52DB2E72"/>
    <w:rsid w:val="52DC19BC"/>
    <w:rsid w:val="52DD2910"/>
    <w:rsid w:val="52E93ABA"/>
    <w:rsid w:val="52EB388D"/>
    <w:rsid w:val="52EC34E0"/>
    <w:rsid w:val="52F146A2"/>
    <w:rsid w:val="52F1522F"/>
    <w:rsid w:val="52F1E6E6"/>
    <w:rsid w:val="52F40CC8"/>
    <w:rsid w:val="52FBF935"/>
    <w:rsid w:val="52FD506E"/>
    <w:rsid w:val="53019C7A"/>
    <w:rsid w:val="530D1150"/>
    <w:rsid w:val="5311E630"/>
    <w:rsid w:val="5312F8FA"/>
    <w:rsid w:val="531669C7"/>
    <w:rsid w:val="531AE74A"/>
    <w:rsid w:val="531B4E5E"/>
    <w:rsid w:val="531F0031"/>
    <w:rsid w:val="531FDFC7"/>
    <w:rsid w:val="5329B66F"/>
    <w:rsid w:val="532A8E50"/>
    <w:rsid w:val="532E2E2D"/>
    <w:rsid w:val="532F8C1E"/>
    <w:rsid w:val="532F9350"/>
    <w:rsid w:val="53308A96"/>
    <w:rsid w:val="5335B458"/>
    <w:rsid w:val="53396CB5"/>
    <w:rsid w:val="533CCE68"/>
    <w:rsid w:val="53423BF4"/>
    <w:rsid w:val="53544EF4"/>
    <w:rsid w:val="5356159D"/>
    <w:rsid w:val="535DCFF3"/>
    <w:rsid w:val="53619772"/>
    <w:rsid w:val="5362EF22"/>
    <w:rsid w:val="53661891"/>
    <w:rsid w:val="5366F35C"/>
    <w:rsid w:val="536B303B"/>
    <w:rsid w:val="536F6FA3"/>
    <w:rsid w:val="5376A177"/>
    <w:rsid w:val="537798A1"/>
    <w:rsid w:val="537B76D4"/>
    <w:rsid w:val="537D29A7"/>
    <w:rsid w:val="53863701"/>
    <w:rsid w:val="538693D3"/>
    <w:rsid w:val="5388D7E1"/>
    <w:rsid w:val="538AE27F"/>
    <w:rsid w:val="53913675"/>
    <w:rsid w:val="53918C11"/>
    <w:rsid w:val="53974E69"/>
    <w:rsid w:val="5399C49C"/>
    <w:rsid w:val="539B23A7"/>
    <w:rsid w:val="539C4F89"/>
    <w:rsid w:val="539E27F0"/>
    <w:rsid w:val="539E9CBB"/>
    <w:rsid w:val="53A11C78"/>
    <w:rsid w:val="53A4A67C"/>
    <w:rsid w:val="53B099CD"/>
    <w:rsid w:val="53B1E3B0"/>
    <w:rsid w:val="53BDF2F7"/>
    <w:rsid w:val="53C489D1"/>
    <w:rsid w:val="53CB4113"/>
    <w:rsid w:val="53CBD005"/>
    <w:rsid w:val="53CD315A"/>
    <w:rsid w:val="53CD4E08"/>
    <w:rsid w:val="53CE9FDE"/>
    <w:rsid w:val="53D07D79"/>
    <w:rsid w:val="53D09494"/>
    <w:rsid w:val="53D626B0"/>
    <w:rsid w:val="53D99BC5"/>
    <w:rsid w:val="53DE7466"/>
    <w:rsid w:val="53E17C96"/>
    <w:rsid w:val="53E412CE"/>
    <w:rsid w:val="53E688FD"/>
    <w:rsid w:val="53EB082A"/>
    <w:rsid w:val="53EDA489"/>
    <w:rsid w:val="53EDCCEC"/>
    <w:rsid w:val="53F3D5E8"/>
    <w:rsid w:val="53F4C99E"/>
    <w:rsid w:val="53F64533"/>
    <w:rsid w:val="53F70A25"/>
    <w:rsid w:val="53FA9373"/>
    <w:rsid w:val="53FAC3ED"/>
    <w:rsid w:val="53FAF039"/>
    <w:rsid w:val="53FE67D3"/>
    <w:rsid w:val="54005AB1"/>
    <w:rsid w:val="5400C3FE"/>
    <w:rsid w:val="5404A72F"/>
    <w:rsid w:val="5407D493"/>
    <w:rsid w:val="5408F729"/>
    <w:rsid w:val="540B00D9"/>
    <w:rsid w:val="540B4C60"/>
    <w:rsid w:val="540E9031"/>
    <w:rsid w:val="5410C62F"/>
    <w:rsid w:val="54142492"/>
    <w:rsid w:val="541AEF2C"/>
    <w:rsid w:val="541C51FC"/>
    <w:rsid w:val="541EE70A"/>
    <w:rsid w:val="5421B83C"/>
    <w:rsid w:val="5422D0AA"/>
    <w:rsid w:val="542447C2"/>
    <w:rsid w:val="5424E190"/>
    <w:rsid w:val="542BFD63"/>
    <w:rsid w:val="5431060E"/>
    <w:rsid w:val="54325AE3"/>
    <w:rsid w:val="54360DA9"/>
    <w:rsid w:val="54386A5F"/>
    <w:rsid w:val="543CF9B0"/>
    <w:rsid w:val="5443860C"/>
    <w:rsid w:val="5445BDAB"/>
    <w:rsid w:val="54478848"/>
    <w:rsid w:val="54485E72"/>
    <w:rsid w:val="544A197C"/>
    <w:rsid w:val="544D6915"/>
    <w:rsid w:val="5457341A"/>
    <w:rsid w:val="54594B06"/>
    <w:rsid w:val="545C93C3"/>
    <w:rsid w:val="545E3B31"/>
    <w:rsid w:val="545EE292"/>
    <w:rsid w:val="54607238"/>
    <w:rsid w:val="5460C62B"/>
    <w:rsid w:val="5463B604"/>
    <w:rsid w:val="5463C6CB"/>
    <w:rsid w:val="5466E311"/>
    <w:rsid w:val="546C43EC"/>
    <w:rsid w:val="546E4D86"/>
    <w:rsid w:val="5470E6A3"/>
    <w:rsid w:val="5476C200"/>
    <w:rsid w:val="5478FF4A"/>
    <w:rsid w:val="547A9BF9"/>
    <w:rsid w:val="547ED59B"/>
    <w:rsid w:val="5483D58D"/>
    <w:rsid w:val="54906387"/>
    <w:rsid w:val="549459E0"/>
    <w:rsid w:val="54953BB3"/>
    <w:rsid w:val="5495736A"/>
    <w:rsid w:val="549BEDF8"/>
    <w:rsid w:val="54A610C6"/>
    <w:rsid w:val="54ADABFF"/>
    <w:rsid w:val="54B1B657"/>
    <w:rsid w:val="54B31572"/>
    <w:rsid w:val="54B33A02"/>
    <w:rsid w:val="54B35EAC"/>
    <w:rsid w:val="54B3B0F5"/>
    <w:rsid w:val="54B49EA3"/>
    <w:rsid w:val="54B6A6C7"/>
    <w:rsid w:val="54BE651D"/>
    <w:rsid w:val="54C145CC"/>
    <w:rsid w:val="54C2BC18"/>
    <w:rsid w:val="54C6C258"/>
    <w:rsid w:val="54C8D338"/>
    <w:rsid w:val="54D1335A"/>
    <w:rsid w:val="54D32144"/>
    <w:rsid w:val="54D70766"/>
    <w:rsid w:val="54D72734"/>
    <w:rsid w:val="54D80084"/>
    <w:rsid w:val="54D8CBE9"/>
    <w:rsid w:val="54E61839"/>
    <w:rsid w:val="54E6A6B1"/>
    <w:rsid w:val="54EDD814"/>
    <w:rsid w:val="54F98D9E"/>
    <w:rsid w:val="54F9B5B6"/>
    <w:rsid w:val="54FEC7FF"/>
    <w:rsid w:val="5504B1F7"/>
    <w:rsid w:val="55072440"/>
    <w:rsid w:val="550E95C7"/>
    <w:rsid w:val="550F81BC"/>
    <w:rsid w:val="55138255"/>
    <w:rsid w:val="5513C4D0"/>
    <w:rsid w:val="551536AD"/>
    <w:rsid w:val="551937CC"/>
    <w:rsid w:val="551A4425"/>
    <w:rsid w:val="551A9F14"/>
    <w:rsid w:val="551ABE1F"/>
    <w:rsid w:val="551D0485"/>
    <w:rsid w:val="55226528"/>
    <w:rsid w:val="5527A1A5"/>
    <w:rsid w:val="5528B2C7"/>
    <w:rsid w:val="5528ED2B"/>
    <w:rsid w:val="552E0F0E"/>
    <w:rsid w:val="553410BE"/>
    <w:rsid w:val="5536D97D"/>
    <w:rsid w:val="5537C757"/>
    <w:rsid w:val="55381FEA"/>
    <w:rsid w:val="5538D4A8"/>
    <w:rsid w:val="553963CD"/>
    <w:rsid w:val="553A9040"/>
    <w:rsid w:val="553E60B1"/>
    <w:rsid w:val="554064A8"/>
    <w:rsid w:val="5545C013"/>
    <w:rsid w:val="5548DD06"/>
    <w:rsid w:val="554982E1"/>
    <w:rsid w:val="555A5117"/>
    <w:rsid w:val="55661D3C"/>
    <w:rsid w:val="5568161F"/>
    <w:rsid w:val="556F985E"/>
    <w:rsid w:val="557164C6"/>
    <w:rsid w:val="557576D0"/>
    <w:rsid w:val="557A3524"/>
    <w:rsid w:val="557C67A1"/>
    <w:rsid w:val="5580B3D9"/>
    <w:rsid w:val="558220E3"/>
    <w:rsid w:val="5583E1C7"/>
    <w:rsid w:val="55854D36"/>
    <w:rsid w:val="55899D4D"/>
    <w:rsid w:val="558C099F"/>
    <w:rsid w:val="558E1AA9"/>
    <w:rsid w:val="558E5898"/>
    <w:rsid w:val="558F8017"/>
    <w:rsid w:val="5591570C"/>
    <w:rsid w:val="55971D53"/>
    <w:rsid w:val="5598264E"/>
    <w:rsid w:val="559E6BE3"/>
    <w:rsid w:val="559E9D83"/>
    <w:rsid w:val="559F275E"/>
    <w:rsid w:val="559F4520"/>
    <w:rsid w:val="55A09F63"/>
    <w:rsid w:val="55A719DD"/>
    <w:rsid w:val="55A952AE"/>
    <w:rsid w:val="55A9CFCE"/>
    <w:rsid w:val="55B694C6"/>
    <w:rsid w:val="55B75CAC"/>
    <w:rsid w:val="55BC6B8C"/>
    <w:rsid w:val="55C25F52"/>
    <w:rsid w:val="55C94D1E"/>
    <w:rsid w:val="55C99B20"/>
    <w:rsid w:val="55CD99B9"/>
    <w:rsid w:val="55D989A2"/>
    <w:rsid w:val="55DBA02E"/>
    <w:rsid w:val="55DEF115"/>
    <w:rsid w:val="55DF35F6"/>
    <w:rsid w:val="55E1A33A"/>
    <w:rsid w:val="55EA262B"/>
    <w:rsid w:val="55EF0D7B"/>
    <w:rsid w:val="55F056AE"/>
    <w:rsid w:val="55F0A88B"/>
    <w:rsid w:val="55F188C5"/>
    <w:rsid w:val="55F5E714"/>
    <w:rsid w:val="55F69F51"/>
    <w:rsid w:val="55F8877E"/>
    <w:rsid w:val="55F9915B"/>
    <w:rsid w:val="55FB9B1D"/>
    <w:rsid w:val="55FE7F44"/>
    <w:rsid w:val="56034CE9"/>
    <w:rsid w:val="56062057"/>
    <w:rsid w:val="5607246B"/>
    <w:rsid w:val="56171AD6"/>
    <w:rsid w:val="561CE557"/>
    <w:rsid w:val="561E58EE"/>
    <w:rsid w:val="561F9418"/>
    <w:rsid w:val="56219DDE"/>
    <w:rsid w:val="5625738C"/>
    <w:rsid w:val="56283DF5"/>
    <w:rsid w:val="562CB94A"/>
    <w:rsid w:val="5631B787"/>
    <w:rsid w:val="5632532A"/>
    <w:rsid w:val="5635474F"/>
    <w:rsid w:val="563A3BFF"/>
    <w:rsid w:val="564742B6"/>
    <w:rsid w:val="5648E90F"/>
    <w:rsid w:val="564A6D01"/>
    <w:rsid w:val="564C4D30"/>
    <w:rsid w:val="565240C6"/>
    <w:rsid w:val="565714CF"/>
    <w:rsid w:val="56585231"/>
    <w:rsid w:val="5658A3EC"/>
    <w:rsid w:val="5658FBB3"/>
    <w:rsid w:val="565E898C"/>
    <w:rsid w:val="56642FE7"/>
    <w:rsid w:val="566482DC"/>
    <w:rsid w:val="566C4545"/>
    <w:rsid w:val="56731B0F"/>
    <w:rsid w:val="567A0466"/>
    <w:rsid w:val="567F0799"/>
    <w:rsid w:val="567F635C"/>
    <w:rsid w:val="5685FB50"/>
    <w:rsid w:val="56876A0D"/>
    <w:rsid w:val="56895D39"/>
    <w:rsid w:val="569419B7"/>
    <w:rsid w:val="5694A7B1"/>
    <w:rsid w:val="5694FB21"/>
    <w:rsid w:val="56972B60"/>
    <w:rsid w:val="569984DC"/>
    <w:rsid w:val="569A5772"/>
    <w:rsid w:val="569EC992"/>
    <w:rsid w:val="56A930D5"/>
    <w:rsid w:val="56ABA604"/>
    <w:rsid w:val="56B8E73D"/>
    <w:rsid w:val="56BC8827"/>
    <w:rsid w:val="56BD9C50"/>
    <w:rsid w:val="56BE1316"/>
    <w:rsid w:val="56BE855B"/>
    <w:rsid w:val="56C0D78F"/>
    <w:rsid w:val="56C1BC81"/>
    <w:rsid w:val="56C2ABDF"/>
    <w:rsid w:val="56C4A96D"/>
    <w:rsid w:val="56C8440B"/>
    <w:rsid w:val="56C972AA"/>
    <w:rsid w:val="56CA1FA3"/>
    <w:rsid w:val="56CC84DB"/>
    <w:rsid w:val="56D0FEFC"/>
    <w:rsid w:val="56D10962"/>
    <w:rsid w:val="56D89CA2"/>
    <w:rsid w:val="56DBE3B3"/>
    <w:rsid w:val="56DC929F"/>
    <w:rsid w:val="56E24C9E"/>
    <w:rsid w:val="56E511C0"/>
    <w:rsid w:val="56E580A9"/>
    <w:rsid w:val="56E61352"/>
    <w:rsid w:val="56F078BE"/>
    <w:rsid w:val="56F16D6C"/>
    <w:rsid w:val="56FA4C95"/>
    <w:rsid w:val="56FA6935"/>
    <w:rsid w:val="56FDE0BC"/>
    <w:rsid w:val="5701BA36"/>
    <w:rsid w:val="57098478"/>
    <w:rsid w:val="570D89C9"/>
    <w:rsid w:val="5711416C"/>
    <w:rsid w:val="5711ADB3"/>
    <w:rsid w:val="571241FF"/>
    <w:rsid w:val="5712E9FB"/>
    <w:rsid w:val="5713FCDB"/>
    <w:rsid w:val="57148671"/>
    <w:rsid w:val="5719507D"/>
    <w:rsid w:val="571B5F58"/>
    <w:rsid w:val="571BA450"/>
    <w:rsid w:val="571DD2C6"/>
    <w:rsid w:val="572B6C7C"/>
    <w:rsid w:val="572C97C2"/>
    <w:rsid w:val="57305909"/>
    <w:rsid w:val="5732CC00"/>
    <w:rsid w:val="57335C2C"/>
    <w:rsid w:val="5733AFE2"/>
    <w:rsid w:val="57361774"/>
    <w:rsid w:val="5736AF21"/>
    <w:rsid w:val="5736ED80"/>
    <w:rsid w:val="5743F280"/>
    <w:rsid w:val="5746E052"/>
    <w:rsid w:val="574F1E8C"/>
    <w:rsid w:val="57549F0E"/>
    <w:rsid w:val="5757DE93"/>
    <w:rsid w:val="575BF5D6"/>
    <w:rsid w:val="57661D1C"/>
    <w:rsid w:val="5767376F"/>
    <w:rsid w:val="576EC006"/>
    <w:rsid w:val="576EE86E"/>
    <w:rsid w:val="5770AD75"/>
    <w:rsid w:val="5770D0D8"/>
    <w:rsid w:val="57719C91"/>
    <w:rsid w:val="5772178A"/>
    <w:rsid w:val="5773965C"/>
    <w:rsid w:val="5775F866"/>
    <w:rsid w:val="5776323F"/>
    <w:rsid w:val="5776D026"/>
    <w:rsid w:val="5777D77D"/>
    <w:rsid w:val="5778F3FA"/>
    <w:rsid w:val="57797175"/>
    <w:rsid w:val="577E3F35"/>
    <w:rsid w:val="577F572F"/>
    <w:rsid w:val="578759FD"/>
    <w:rsid w:val="578FAA1A"/>
    <w:rsid w:val="5793F259"/>
    <w:rsid w:val="579507DC"/>
    <w:rsid w:val="579D4A75"/>
    <w:rsid w:val="579FECF1"/>
    <w:rsid w:val="57AD94FB"/>
    <w:rsid w:val="57AEE9A1"/>
    <w:rsid w:val="57B2C2A0"/>
    <w:rsid w:val="57BE4D32"/>
    <w:rsid w:val="57C3069E"/>
    <w:rsid w:val="57CA4D44"/>
    <w:rsid w:val="57CA8016"/>
    <w:rsid w:val="57CAB79F"/>
    <w:rsid w:val="57D036FE"/>
    <w:rsid w:val="57D0BB9C"/>
    <w:rsid w:val="57D1CC47"/>
    <w:rsid w:val="57D2157A"/>
    <w:rsid w:val="57DA0304"/>
    <w:rsid w:val="57DD0DFC"/>
    <w:rsid w:val="57E1CDBC"/>
    <w:rsid w:val="57E711E4"/>
    <w:rsid w:val="57E721C7"/>
    <w:rsid w:val="57E7630E"/>
    <w:rsid w:val="57EFD3A3"/>
    <w:rsid w:val="57F43275"/>
    <w:rsid w:val="57FD7112"/>
    <w:rsid w:val="57FF7D12"/>
    <w:rsid w:val="5802363D"/>
    <w:rsid w:val="58041997"/>
    <w:rsid w:val="580974CB"/>
    <w:rsid w:val="580E670B"/>
    <w:rsid w:val="58109792"/>
    <w:rsid w:val="5810CCF1"/>
    <w:rsid w:val="5811DF71"/>
    <w:rsid w:val="5813CE96"/>
    <w:rsid w:val="5814C6E6"/>
    <w:rsid w:val="58154221"/>
    <w:rsid w:val="5815B6EB"/>
    <w:rsid w:val="5817396A"/>
    <w:rsid w:val="58186D28"/>
    <w:rsid w:val="581A2C03"/>
    <w:rsid w:val="581B3D0C"/>
    <w:rsid w:val="581BAAEB"/>
    <w:rsid w:val="581C3BEA"/>
    <w:rsid w:val="582165B5"/>
    <w:rsid w:val="58232424"/>
    <w:rsid w:val="5825E09F"/>
    <w:rsid w:val="5827DBA8"/>
    <w:rsid w:val="582A393E"/>
    <w:rsid w:val="582AB190"/>
    <w:rsid w:val="582F0F24"/>
    <w:rsid w:val="582F1FDB"/>
    <w:rsid w:val="58357234"/>
    <w:rsid w:val="58392940"/>
    <w:rsid w:val="58392E9C"/>
    <w:rsid w:val="583FB750"/>
    <w:rsid w:val="58400DD9"/>
    <w:rsid w:val="5843278C"/>
    <w:rsid w:val="584384DC"/>
    <w:rsid w:val="584434E8"/>
    <w:rsid w:val="5846D01E"/>
    <w:rsid w:val="584EE3E4"/>
    <w:rsid w:val="585457F7"/>
    <w:rsid w:val="5859645B"/>
    <w:rsid w:val="585BC208"/>
    <w:rsid w:val="585FFA5E"/>
    <w:rsid w:val="5861830B"/>
    <w:rsid w:val="58636AE6"/>
    <w:rsid w:val="5864A2F9"/>
    <w:rsid w:val="5864A414"/>
    <w:rsid w:val="586A033C"/>
    <w:rsid w:val="586BBAFB"/>
    <w:rsid w:val="587501FA"/>
    <w:rsid w:val="58750604"/>
    <w:rsid w:val="587A0D0A"/>
    <w:rsid w:val="587D2560"/>
    <w:rsid w:val="58811B37"/>
    <w:rsid w:val="58828C3F"/>
    <w:rsid w:val="58866A4D"/>
    <w:rsid w:val="588847BD"/>
    <w:rsid w:val="5888A84E"/>
    <w:rsid w:val="588D82BE"/>
    <w:rsid w:val="5893715E"/>
    <w:rsid w:val="5896E072"/>
    <w:rsid w:val="589CA079"/>
    <w:rsid w:val="58AAC6B6"/>
    <w:rsid w:val="58ACCA15"/>
    <w:rsid w:val="58AD8B6C"/>
    <w:rsid w:val="58B02EF9"/>
    <w:rsid w:val="58B24581"/>
    <w:rsid w:val="58C0E499"/>
    <w:rsid w:val="58C4CC1F"/>
    <w:rsid w:val="58CBA305"/>
    <w:rsid w:val="58D19538"/>
    <w:rsid w:val="58D2DAD8"/>
    <w:rsid w:val="58D70876"/>
    <w:rsid w:val="58D9338A"/>
    <w:rsid w:val="58E22FF9"/>
    <w:rsid w:val="58E41542"/>
    <w:rsid w:val="58E5E8D7"/>
    <w:rsid w:val="58E7B66D"/>
    <w:rsid w:val="58F34279"/>
    <w:rsid w:val="58F4252A"/>
    <w:rsid w:val="58F444D0"/>
    <w:rsid w:val="58F62451"/>
    <w:rsid w:val="59043A04"/>
    <w:rsid w:val="5904FABE"/>
    <w:rsid w:val="590506A6"/>
    <w:rsid w:val="5905EFBF"/>
    <w:rsid w:val="5908B560"/>
    <w:rsid w:val="590C4A39"/>
    <w:rsid w:val="591E3B37"/>
    <w:rsid w:val="5922FD50"/>
    <w:rsid w:val="5923DE64"/>
    <w:rsid w:val="59246B9B"/>
    <w:rsid w:val="592611DA"/>
    <w:rsid w:val="592A0073"/>
    <w:rsid w:val="592A550D"/>
    <w:rsid w:val="592DDF23"/>
    <w:rsid w:val="592FA01F"/>
    <w:rsid w:val="59346BE7"/>
    <w:rsid w:val="59385A73"/>
    <w:rsid w:val="5939F448"/>
    <w:rsid w:val="5942BB85"/>
    <w:rsid w:val="59434521"/>
    <w:rsid w:val="59448D24"/>
    <w:rsid w:val="59476CEF"/>
    <w:rsid w:val="594A43C5"/>
    <w:rsid w:val="594CE318"/>
    <w:rsid w:val="594FD03D"/>
    <w:rsid w:val="5954214B"/>
    <w:rsid w:val="59629308"/>
    <w:rsid w:val="59629F12"/>
    <w:rsid w:val="59720ED2"/>
    <w:rsid w:val="59760537"/>
    <w:rsid w:val="597B2A4B"/>
    <w:rsid w:val="597D12AE"/>
    <w:rsid w:val="597FB32C"/>
    <w:rsid w:val="5985DE8D"/>
    <w:rsid w:val="598A76B4"/>
    <w:rsid w:val="598ADD0F"/>
    <w:rsid w:val="59928EB9"/>
    <w:rsid w:val="59949E10"/>
    <w:rsid w:val="5997734C"/>
    <w:rsid w:val="599A7B3A"/>
    <w:rsid w:val="599A95F2"/>
    <w:rsid w:val="599F115E"/>
    <w:rsid w:val="59A27897"/>
    <w:rsid w:val="59A5FE3A"/>
    <w:rsid w:val="59A9B4E3"/>
    <w:rsid w:val="59AD5D2E"/>
    <w:rsid w:val="59AEC628"/>
    <w:rsid w:val="59B4C98E"/>
    <w:rsid w:val="59B6718D"/>
    <w:rsid w:val="59B9955A"/>
    <w:rsid w:val="59BF6528"/>
    <w:rsid w:val="59C2EA79"/>
    <w:rsid w:val="59C37762"/>
    <w:rsid w:val="59CF2F47"/>
    <w:rsid w:val="59D2A6BB"/>
    <w:rsid w:val="59D3B3EA"/>
    <w:rsid w:val="59D43EC0"/>
    <w:rsid w:val="59DC65E2"/>
    <w:rsid w:val="59DDDF11"/>
    <w:rsid w:val="59DF1343"/>
    <w:rsid w:val="59DF8069"/>
    <w:rsid w:val="59E56EC2"/>
    <w:rsid w:val="59E9CE17"/>
    <w:rsid w:val="59F268B0"/>
    <w:rsid w:val="5A011A10"/>
    <w:rsid w:val="5A02C005"/>
    <w:rsid w:val="5A0D573D"/>
    <w:rsid w:val="5A0F44E9"/>
    <w:rsid w:val="5A17D316"/>
    <w:rsid w:val="5A18932A"/>
    <w:rsid w:val="5A198EE4"/>
    <w:rsid w:val="5A19F5DA"/>
    <w:rsid w:val="5A1BEF83"/>
    <w:rsid w:val="5A1BFEFA"/>
    <w:rsid w:val="5A24349A"/>
    <w:rsid w:val="5A278212"/>
    <w:rsid w:val="5A293436"/>
    <w:rsid w:val="5A2B388D"/>
    <w:rsid w:val="5A2D1717"/>
    <w:rsid w:val="5A2FEC91"/>
    <w:rsid w:val="5A386037"/>
    <w:rsid w:val="5A3AEEC3"/>
    <w:rsid w:val="5A3B1E46"/>
    <w:rsid w:val="5A3ED6B0"/>
    <w:rsid w:val="5A477C06"/>
    <w:rsid w:val="5A48E119"/>
    <w:rsid w:val="5A4B00B8"/>
    <w:rsid w:val="5A4EDCE8"/>
    <w:rsid w:val="5A520E6B"/>
    <w:rsid w:val="5A522A70"/>
    <w:rsid w:val="5A52D2BA"/>
    <w:rsid w:val="5A571C67"/>
    <w:rsid w:val="5A585473"/>
    <w:rsid w:val="5A5C99F3"/>
    <w:rsid w:val="5A5CC863"/>
    <w:rsid w:val="5A5E65AA"/>
    <w:rsid w:val="5A5FA748"/>
    <w:rsid w:val="5A625159"/>
    <w:rsid w:val="5A666678"/>
    <w:rsid w:val="5A677A7B"/>
    <w:rsid w:val="5A69F74B"/>
    <w:rsid w:val="5A7148FB"/>
    <w:rsid w:val="5A736A91"/>
    <w:rsid w:val="5A742F42"/>
    <w:rsid w:val="5A793F45"/>
    <w:rsid w:val="5A7A48EE"/>
    <w:rsid w:val="5A7E786F"/>
    <w:rsid w:val="5A849751"/>
    <w:rsid w:val="5A8E8D34"/>
    <w:rsid w:val="5A959943"/>
    <w:rsid w:val="5A966DE2"/>
    <w:rsid w:val="5A97F93F"/>
    <w:rsid w:val="5A9F8219"/>
    <w:rsid w:val="5AA0757A"/>
    <w:rsid w:val="5AA0764E"/>
    <w:rsid w:val="5AA0D6EF"/>
    <w:rsid w:val="5AA286A8"/>
    <w:rsid w:val="5AA7BC0D"/>
    <w:rsid w:val="5AA8B2F6"/>
    <w:rsid w:val="5AAC6FDB"/>
    <w:rsid w:val="5AAE5DA8"/>
    <w:rsid w:val="5AAED976"/>
    <w:rsid w:val="5AB2ED7B"/>
    <w:rsid w:val="5AB6E140"/>
    <w:rsid w:val="5AB8ABB5"/>
    <w:rsid w:val="5AB933BE"/>
    <w:rsid w:val="5AB93A7F"/>
    <w:rsid w:val="5ABEE65B"/>
    <w:rsid w:val="5AC58806"/>
    <w:rsid w:val="5ACD6975"/>
    <w:rsid w:val="5AD1808E"/>
    <w:rsid w:val="5AD238C9"/>
    <w:rsid w:val="5AD2392C"/>
    <w:rsid w:val="5AD33880"/>
    <w:rsid w:val="5AD3A1E2"/>
    <w:rsid w:val="5ADB7170"/>
    <w:rsid w:val="5AE437FA"/>
    <w:rsid w:val="5AE7AE55"/>
    <w:rsid w:val="5AEA657F"/>
    <w:rsid w:val="5AED2519"/>
    <w:rsid w:val="5AED8D9F"/>
    <w:rsid w:val="5AEDD936"/>
    <w:rsid w:val="5AF08B2A"/>
    <w:rsid w:val="5AF5E697"/>
    <w:rsid w:val="5AF61F5D"/>
    <w:rsid w:val="5AF69736"/>
    <w:rsid w:val="5AF8B54E"/>
    <w:rsid w:val="5AF9E2BE"/>
    <w:rsid w:val="5AFAC5B4"/>
    <w:rsid w:val="5AFB1AAE"/>
    <w:rsid w:val="5B00B861"/>
    <w:rsid w:val="5B0163AA"/>
    <w:rsid w:val="5B028B6D"/>
    <w:rsid w:val="5B05C67B"/>
    <w:rsid w:val="5B0720DF"/>
    <w:rsid w:val="5B10AFEC"/>
    <w:rsid w:val="5B1176E6"/>
    <w:rsid w:val="5B124DD1"/>
    <w:rsid w:val="5B192E71"/>
    <w:rsid w:val="5B1D1DFA"/>
    <w:rsid w:val="5B239CA8"/>
    <w:rsid w:val="5B2476D3"/>
    <w:rsid w:val="5B26D484"/>
    <w:rsid w:val="5B2929E9"/>
    <w:rsid w:val="5B29425C"/>
    <w:rsid w:val="5B34C964"/>
    <w:rsid w:val="5B34D72D"/>
    <w:rsid w:val="5B38A42F"/>
    <w:rsid w:val="5B38C7F2"/>
    <w:rsid w:val="5B3FB781"/>
    <w:rsid w:val="5B4116F5"/>
    <w:rsid w:val="5B48F90A"/>
    <w:rsid w:val="5B4E2E97"/>
    <w:rsid w:val="5B4F7D0D"/>
    <w:rsid w:val="5B51313D"/>
    <w:rsid w:val="5B52E848"/>
    <w:rsid w:val="5B557717"/>
    <w:rsid w:val="5B558F4F"/>
    <w:rsid w:val="5B5A0F79"/>
    <w:rsid w:val="5B5A4D2B"/>
    <w:rsid w:val="5B5C746D"/>
    <w:rsid w:val="5B5F6A06"/>
    <w:rsid w:val="5B652650"/>
    <w:rsid w:val="5B68A145"/>
    <w:rsid w:val="5B707D97"/>
    <w:rsid w:val="5B7230B7"/>
    <w:rsid w:val="5B72FA99"/>
    <w:rsid w:val="5B7769FA"/>
    <w:rsid w:val="5B7A18B9"/>
    <w:rsid w:val="5B7BD8B9"/>
    <w:rsid w:val="5B813D77"/>
    <w:rsid w:val="5B815125"/>
    <w:rsid w:val="5B827A82"/>
    <w:rsid w:val="5B861F58"/>
    <w:rsid w:val="5B892C4D"/>
    <w:rsid w:val="5B8B8696"/>
    <w:rsid w:val="5B8BF73D"/>
    <w:rsid w:val="5B8F4A4C"/>
    <w:rsid w:val="5B92D8B3"/>
    <w:rsid w:val="5B93667E"/>
    <w:rsid w:val="5B9442B6"/>
    <w:rsid w:val="5B9AFDD0"/>
    <w:rsid w:val="5B9FFA47"/>
    <w:rsid w:val="5BA09607"/>
    <w:rsid w:val="5BA3B52E"/>
    <w:rsid w:val="5BB0F48B"/>
    <w:rsid w:val="5BBBEB8A"/>
    <w:rsid w:val="5BC2905A"/>
    <w:rsid w:val="5BCE6A1A"/>
    <w:rsid w:val="5BCF5BD5"/>
    <w:rsid w:val="5BD121D1"/>
    <w:rsid w:val="5BD278E5"/>
    <w:rsid w:val="5BD3DA2B"/>
    <w:rsid w:val="5BD9C24D"/>
    <w:rsid w:val="5BD9C27A"/>
    <w:rsid w:val="5BE5D4CE"/>
    <w:rsid w:val="5BE8E98C"/>
    <w:rsid w:val="5BEAE8D3"/>
    <w:rsid w:val="5BEE43B6"/>
    <w:rsid w:val="5BF27632"/>
    <w:rsid w:val="5BF7C261"/>
    <w:rsid w:val="5BFC31A2"/>
    <w:rsid w:val="5C018926"/>
    <w:rsid w:val="5C01AA8D"/>
    <w:rsid w:val="5C04A928"/>
    <w:rsid w:val="5C062FEA"/>
    <w:rsid w:val="5C063D23"/>
    <w:rsid w:val="5C08830C"/>
    <w:rsid w:val="5C0D9F4C"/>
    <w:rsid w:val="5C130D23"/>
    <w:rsid w:val="5C13B627"/>
    <w:rsid w:val="5C14EF2C"/>
    <w:rsid w:val="5C1777E5"/>
    <w:rsid w:val="5C194E2B"/>
    <w:rsid w:val="5C1C8D11"/>
    <w:rsid w:val="5C1FF9D2"/>
    <w:rsid w:val="5C20A851"/>
    <w:rsid w:val="5C229A3C"/>
    <w:rsid w:val="5C28A912"/>
    <w:rsid w:val="5C28B12B"/>
    <w:rsid w:val="5C2B9609"/>
    <w:rsid w:val="5C33C22D"/>
    <w:rsid w:val="5C4020C3"/>
    <w:rsid w:val="5C412561"/>
    <w:rsid w:val="5C427BFB"/>
    <w:rsid w:val="5C44843A"/>
    <w:rsid w:val="5C474EF7"/>
    <w:rsid w:val="5C4FC012"/>
    <w:rsid w:val="5C51F7A9"/>
    <w:rsid w:val="5C5D1280"/>
    <w:rsid w:val="5C5EECAA"/>
    <w:rsid w:val="5C630541"/>
    <w:rsid w:val="5C65CF8F"/>
    <w:rsid w:val="5C687606"/>
    <w:rsid w:val="5C6A783D"/>
    <w:rsid w:val="5C6EA75C"/>
    <w:rsid w:val="5C7F54CE"/>
    <w:rsid w:val="5C870845"/>
    <w:rsid w:val="5C8F3B9D"/>
    <w:rsid w:val="5C8FFBDD"/>
    <w:rsid w:val="5C91B2DF"/>
    <w:rsid w:val="5C92ADE4"/>
    <w:rsid w:val="5C970680"/>
    <w:rsid w:val="5C978E52"/>
    <w:rsid w:val="5C98A5A5"/>
    <w:rsid w:val="5C9D0175"/>
    <w:rsid w:val="5C9D9057"/>
    <w:rsid w:val="5CA07A85"/>
    <w:rsid w:val="5CA1B48A"/>
    <w:rsid w:val="5CA773A1"/>
    <w:rsid w:val="5CA7B668"/>
    <w:rsid w:val="5CAC96BC"/>
    <w:rsid w:val="5CAD4747"/>
    <w:rsid w:val="5CB0E94E"/>
    <w:rsid w:val="5CBDEB32"/>
    <w:rsid w:val="5CC27EF0"/>
    <w:rsid w:val="5CC3F37D"/>
    <w:rsid w:val="5CC82106"/>
    <w:rsid w:val="5CC8FDD9"/>
    <w:rsid w:val="5CCFC978"/>
    <w:rsid w:val="5CD1234F"/>
    <w:rsid w:val="5CD13CD7"/>
    <w:rsid w:val="5CD4BF26"/>
    <w:rsid w:val="5CD5C419"/>
    <w:rsid w:val="5CDC4B23"/>
    <w:rsid w:val="5CDCD4FA"/>
    <w:rsid w:val="5CDD877A"/>
    <w:rsid w:val="5CDDDD2D"/>
    <w:rsid w:val="5CDF3E75"/>
    <w:rsid w:val="5CE141DE"/>
    <w:rsid w:val="5CE1B5B1"/>
    <w:rsid w:val="5CE2A06E"/>
    <w:rsid w:val="5CE2BE34"/>
    <w:rsid w:val="5CE2D3D9"/>
    <w:rsid w:val="5CE339A0"/>
    <w:rsid w:val="5CE4239D"/>
    <w:rsid w:val="5CE5DFDA"/>
    <w:rsid w:val="5CE8B1FB"/>
    <w:rsid w:val="5CECA1C4"/>
    <w:rsid w:val="5CEE2DE1"/>
    <w:rsid w:val="5CF34C3C"/>
    <w:rsid w:val="5CFA8EE0"/>
    <w:rsid w:val="5CFDE24D"/>
    <w:rsid w:val="5D0034D1"/>
    <w:rsid w:val="5D08BF6F"/>
    <w:rsid w:val="5D098260"/>
    <w:rsid w:val="5D09C1B4"/>
    <w:rsid w:val="5D0B658D"/>
    <w:rsid w:val="5D133145"/>
    <w:rsid w:val="5D150E14"/>
    <w:rsid w:val="5D1680E3"/>
    <w:rsid w:val="5D1AC162"/>
    <w:rsid w:val="5D1B07B3"/>
    <w:rsid w:val="5D1E527F"/>
    <w:rsid w:val="5D21853F"/>
    <w:rsid w:val="5D221E6F"/>
    <w:rsid w:val="5D2671D4"/>
    <w:rsid w:val="5D27C91A"/>
    <w:rsid w:val="5D32B24E"/>
    <w:rsid w:val="5D37552C"/>
    <w:rsid w:val="5D38EA45"/>
    <w:rsid w:val="5D3B3908"/>
    <w:rsid w:val="5D3BCE88"/>
    <w:rsid w:val="5D3D8057"/>
    <w:rsid w:val="5D40EA41"/>
    <w:rsid w:val="5D45D956"/>
    <w:rsid w:val="5D4C59B4"/>
    <w:rsid w:val="5D4D4297"/>
    <w:rsid w:val="5D4E3026"/>
    <w:rsid w:val="5D4F27A2"/>
    <w:rsid w:val="5D51B4A3"/>
    <w:rsid w:val="5D595962"/>
    <w:rsid w:val="5D5BA1BB"/>
    <w:rsid w:val="5D5F1B99"/>
    <w:rsid w:val="5D61B88F"/>
    <w:rsid w:val="5D62C86D"/>
    <w:rsid w:val="5D6457B6"/>
    <w:rsid w:val="5D65791A"/>
    <w:rsid w:val="5D659DAE"/>
    <w:rsid w:val="5D66A0A0"/>
    <w:rsid w:val="5D66C25D"/>
    <w:rsid w:val="5D707E96"/>
    <w:rsid w:val="5D726018"/>
    <w:rsid w:val="5D741FFC"/>
    <w:rsid w:val="5D77BE6A"/>
    <w:rsid w:val="5D79DE89"/>
    <w:rsid w:val="5D7FBEA6"/>
    <w:rsid w:val="5D80F7FC"/>
    <w:rsid w:val="5D831956"/>
    <w:rsid w:val="5D832C16"/>
    <w:rsid w:val="5D8B35E7"/>
    <w:rsid w:val="5D8D2189"/>
    <w:rsid w:val="5D8DDA6E"/>
    <w:rsid w:val="5D8F8318"/>
    <w:rsid w:val="5D918EDB"/>
    <w:rsid w:val="5D91FADD"/>
    <w:rsid w:val="5D93BCB5"/>
    <w:rsid w:val="5D9483E7"/>
    <w:rsid w:val="5D9836BA"/>
    <w:rsid w:val="5D98557B"/>
    <w:rsid w:val="5D9883C0"/>
    <w:rsid w:val="5D9C6497"/>
    <w:rsid w:val="5D9F3706"/>
    <w:rsid w:val="5DA138E6"/>
    <w:rsid w:val="5DA5AE01"/>
    <w:rsid w:val="5DA5DCC0"/>
    <w:rsid w:val="5DA70B20"/>
    <w:rsid w:val="5DA9BD44"/>
    <w:rsid w:val="5DAAF779"/>
    <w:rsid w:val="5DAE411D"/>
    <w:rsid w:val="5DAF5E86"/>
    <w:rsid w:val="5DAFB327"/>
    <w:rsid w:val="5DB04664"/>
    <w:rsid w:val="5DB0B1BB"/>
    <w:rsid w:val="5DB716C0"/>
    <w:rsid w:val="5DB857A8"/>
    <w:rsid w:val="5DB9ADAB"/>
    <w:rsid w:val="5DBD0B43"/>
    <w:rsid w:val="5DBD6D2B"/>
    <w:rsid w:val="5DBD8922"/>
    <w:rsid w:val="5DC6935F"/>
    <w:rsid w:val="5DCEE4B9"/>
    <w:rsid w:val="5DD24337"/>
    <w:rsid w:val="5DD6E4A1"/>
    <w:rsid w:val="5DDCAE52"/>
    <w:rsid w:val="5DE0838E"/>
    <w:rsid w:val="5DE562C1"/>
    <w:rsid w:val="5DEB9073"/>
    <w:rsid w:val="5DF61996"/>
    <w:rsid w:val="5DF63C43"/>
    <w:rsid w:val="5DF68DAA"/>
    <w:rsid w:val="5DF7FFFD"/>
    <w:rsid w:val="5DFF4950"/>
    <w:rsid w:val="5E01C752"/>
    <w:rsid w:val="5E02BDDE"/>
    <w:rsid w:val="5E038DF7"/>
    <w:rsid w:val="5E0733AA"/>
    <w:rsid w:val="5E0C82F0"/>
    <w:rsid w:val="5E13A7C6"/>
    <w:rsid w:val="5E14C5DC"/>
    <w:rsid w:val="5E150BEF"/>
    <w:rsid w:val="5E15E4DC"/>
    <w:rsid w:val="5E17D7D4"/>
    <w:rsid w:val="5E18BE14"/>
    <w:rsid w:val="5E1CEE55"/>
    <w:rsid w:val="5E1DF294"/>
    <w:rsid w:val="5E1E46D9"/>
    <w:rsid w:val="5E1E4C1D"/>
    <w:rsid w:val="5E1F2C3B"/>
    <w:rsid w:val="5E1FC6B0"/>
    <w:rsid w:val="5E2339A2"/>
    <w:rsid w:val="5E23DD3F"/>
    <w:rsid w:val="5E26C4C7"/>
    <w:rsid w:val="5E27C829"/>
    <w:rsid w:val="5E2E4C0F"/>
    <w:rsid w:val="5E33B65B"/>
    <w:rsid w:val="5E35AEFA"/>
    <w:rsid w:val="5E36B64A"/>
    <w:rsid w:val="5E37C203"/>
    <w:rsid w:val="5E39A23E"/>
    <w:rsid w:val="5E3BA874"/>
    <w:rsid w:val="5E4298F9"/>
    <w:rsid w:val="5E4783CC"/>
    <w:rsid w:val="5E4DAAD9"/>
    <w:rsid w:val="5E4E2E5F"/>
    <w:rsid w:val="5E53A3D7"/>
    <w:rsid w:val="5E57A11B"/>
    <w:rsid w:val="5E59A418"/>
    <w:rsid w:val="5E5A1777"/>
    <w:rsid w:val="5E5A49C3"/>
    <w:rsid w:val="5E5D4857"/>
    <w:rsid w:val="5E5E7EC7"/>
    <w:rsid w:val="5E67BAC5"/>
    <w:rsid w:val="5E6B79B0"/>
    <w:rsid w:val="5E6C6ABB"/>
    <w:rsid w:val="5E7E26C4"/>
    <w:rsid w:val="5E7EAE2A"/>
    <w:rsid w:val="5E8501C6"/>
    <w:rsid w:val="5E86FEE1"/>
    <w:rsid w:val="5E888694"/>
    <w:rsid w:val="5E890302"/>
    <w:rsid w:val="5E89560F"/>
    <w:rsid w:val="5E8978E5"/>
    <w:rsid w:val="5E8D7BE6"/>
    <w:rsid w:val="5E945662"/>
    <w:rsid w:val="5E94CD61"/>
    <w:rsid w:val="5E960DF9"/>
    <w:rsid w:val="5E9DC82A"/>
    <w:rsid w:val="5E9E6A0D"/>
    <w:rsid w:val="5EA468DA"/>
    <w:rsid w:val="5EAC379F"/>
    <w:rsid w:val="5EAD2521"/>
    <w:rsid w:val="5EB11D5E"/>
    <w:rsid w:val="5EB3A9DB"/>
    <w:rsid w:val="5EB42E83"/>
    <w:rsid w:val="5EBD33E7"/>
    <w:rsid w:val="5EC2EAF0"/>
    <w:rsid w:val="5EC35A94"/>
    <w:rsid w:val="5EC39F6A"/>
    <w:rsid w:val="5ECBF99B"/>
    <w:rsid w:val="5ED24A07"/>
    <w:rsid w:val="5ED6666D"/>
    <w:rsid w:val="5EDF3546"/>
    <w:rsid w:val="5EE7864E"/>
    <w:rsid w:val="5EEAF3EB"/>
    <w:rsid w:val="5EEB164C"/>
    <w:rsid w:val="5EEC28FC"/>
    <w:rsid w:val="5EF45427"/>
    <w:rsid w:val="5EFA3F3F"/>
    <w:rsid w:val="5F002D79"/>
    <w:rsid w:val="5F0111FD"/>
    <w:rsid w:val="5F0274F3"/>
    <w:rsid w:val="5F04423C"/>
    <w:rsid w:val="5F0C5BE0"/>
    <w:rsid w:val="5F0CBCD3"/>
    <w:rsid w:val="5F154960"/>
    <w:rsid w:val="5F18A14B"/>
    <w:rsid w:val="5F19FEF3"/>
    <w:rsid w:val="5F1FF02B"/>
    <w:rsid w:val="5F22F13C"/>
    <w:rsid w:val="5F28A4DB"/>
    <w:rsid w:val="5F2FCDBF"/>
    <w:rsid w:val="5F33178B"/>
    <w:rsid w:val="5F332B26"/>
    <w:rsid w:val="5F389FA2"/>
    <w:rsid w:val="5F3AA6C8"/>
    <w:rsid w:val="5F3AF748"/>
    <w:rsid w:val="5F3B4316"/>
    <w:rsid w:val="5F3C978E"/>
    <w:rsid w:val="5F3D25B8"/>
    <w:rsid w:val="5F4251E6"/>
    <w:rsid w:val="5F44C257"/>
    <w:rsid w:val="5F469C15"/>
    <w:rsid w:val="5F548542"/>
    <w:rsid w:val="5F54FCE0"/>
    <w:rsid w:val="5F583353"/>
    <w:rsid w:val="5F58C577"/>
    <w:rsid w:val="5F5C7601"/>
    <w:rsid w:val="5F5D5FAD"/>
    <w:rsid w:val="5F5E3C02"/>
    <w:rsid w:val="5F5F1BAB"/>
    <w:rsid w:val="5F61F685"/>
    <w:rsid w:val="5F667192"/>
    <w:rsid w:val="5F6D801A"/>
    <w:rsid w:val="5F783352"/>
    <w:rsid w:val="5F7D9B90"/>
    <w:rsid w:val="5F7EA841"/>
    <w:rsid w:val="5F7ED882"/>
    <w:rsid w:val="5F82B543"/>
    <w:rsid w:val="5F855CBA"/>
    <w:rsid w:val="5F862A82"/>
    <w:rsid w:val="5F89F9DF"/>
    <w:rsid w:val="5F8E8005"/>
    <w:rsid w:val="5F9275DC"/>
    <w:rsid w:val="5F9325B2"/>
    <w:rsid w:val="5F94CF34"/>
    <w:rsid w:val="5F95DA82"/>
    <w:rsid w:val="5F974DCD"/>
    <w:rsid w:val="5F9B3736"/>
    <w:rsid w:val="5FA239C2"/>
    <w:rsid w:val="5FA9FFEA"/>
    <w:rsid w:val="5FAA10DA"/>
    <w:rsid w:val="5FAB658D"/>
    <w:rsid w:val="5FACDE3C"/>
    <w:rsid w:val="5FAD31BA"/>
    <w:rsid w:val="5FAE82F5"/>
    <w:rsid w:val="5FAF7902"/>
    <w:rsid w:val="5FC0095D"/>
    <w:rsid w:val="5FC62D27"/>
    <w:rsid w:val="5FC7CD1D"/>
    <w:rsid w:val="5FCA552B"/>
    <w:rsid w:val="5FCC4171"/>
    <w:rsid w:val="5FCEA807"/>
    <w:rsid w:val="5FD04CDF"/>
    <w:rsid w:val="5FD2A76E"/>
    <w:rsid w:val="5FD41B1F"/>
    <w:rsid w:val="5FD81D38"/>
    <w:rsid w:val="5FDAD7DD"/>
    <w:rsid w:val="5FDD169F"/>
    <w:rsid w:val="5FE28CC2"/>
    <w:rsid w:val="5FE436F9"/>
    <w:rsid w:val="5FE65D43"/>
    <w:rsid w:val="5FE95357"/>
    <w:rsid w:val="5FEA3FE0"/>
    <w:rsid w:val="5FEB876A"/>
    <w:rsid w:val="5FEBB431"/>
    <w:rsid w:val="5FEDDEE0"/>
    <w:rsid w:val="5FEE66D9"/>
    <w:rsid w:val="5FF46BBE"/>
    <w:rsid w:val="5FF72EE8"/>
    <w:rsid w:val="5FFA69C9"/>
    <w:rsid w:val="5FFEB8C8"/>
    <w:rsid w:val="600142C9"/>
    <w:rsid w:val="60029EF7"/>
    <w:rsid w:val="60069E3E"/>
    <w:rsid w:val="600D3542"/>
    <w:rsid w:val="600DD3C7"/>
    <w:rsid w:val="600FCE8C"/>
    <w:rsid w:val="601465C8"/>
    <w:rsid w:val="60166CF9"/>
    <w:rsid w:val="6016DFB3"/>
    <w:rsid w:val="6016FC84"/>
    <w:rsid w:val="60181BEC"/>
    <w:rsid w:val="601A0EEC"/>
    <w:rsid w:val="601EE51E"/>
    <w:rsid w:val="6027FAA7"/>
    <w:rsid w:val="60319F9D"/>
    <w:rsid w:val="6033CBE7"/>
    <w:rsid w:val="603C00D1"/>
    <w:rsid w:val="603CF34C"/>
    <w:rsid w:val="603F4662"/>
    <w:rsid w:val="6043D01D"/>
    <w:rsid w:val="604DBEE4"/>
    <w:rsid w:val="6053A64C"/>
    <w:rsid w:val="605C41B8"/>
    <w:rsid w:val="605C6007"/>
    <w:rsid w:val="605D3550"/>
    <w:rsid w:val="605EBB35"/>
    <w:rsid w:val="606264C1"/>
    <w:rsid w:val="606342CD"/>
    <w:rsid w:val="60654D21"/>
    <w:rsid w:val="60665DF2"/>
    <w:rsid w:val="606FF31A"/>
    <w:rsid w:val="6078452F"/>
    <w:rsid w:val="607FCC3C"/>
    <w:rsid w:val="60838101"/>
    <w:rsid w:val="6084FBD7"/>
    <w:rsid w:val="608A702F"/>
    <w:rsid w:val="608CA457"/>
    <w:rsid w:val="608DAB97"/>
    <w:rsid w:val="608DD52A"/>
    <w:rsid w:val="608E0874"/>
    <w:rsid w:val="60911570"/>
    <w:rsid w:val="60914563"/>
    <w:rsid w:val="609A18B2"/>
    <w:rsid w:val="609BAEBB"/>
    <w:rsid w:val="60A5046B"/>
    <w:rsid w:val="60A56712"/>
    <w:rsid w:val="60ACA913"/>
    <w:rsid w:val="60AD5317"/>
    <w:rsid w:val="60B538D1"/>
    <w:rsid w:val="60B76885"/>
    <w:rsid w:val="60C66464"/>
    <w:rsid w:val="60C972AC"/>
    <w:rsid w:val="60CA5FA1"/>
    <w:rsid w:val="60CCD768"/>
    <w:rsid w:val="60D38BB5"/>
    <w:rsid w:val="60D5316A"/>
    <w:rsid w:val="60D6045F"/>
    <w:rsid w:val="60DC177B"/>
    <w:rsid w:val="60DC3623"/>
    <w:rsid w:val="60E88AB1"/>
    <w:rsid w:val="60ECAF85"/>
    <w:rsid w:val="60EE51C0"/>
    <w:rsid w:val="60F892C7"/>
    <w:rsid w:val="60FBBAFB"/>
    <w:rsid w:val="60FC8996"/>
    <w:rsid w:val="60FD2E25"/>
    <w:rsid w:val="610322A4"/>
    <w:rsid w:val="6104F646"/>
    <w:rsid w:val="61075910"/>
    <w:rsid w:val="610C0725"/>
    <w:rsid w:val="610E2C0C"/>
    <w:rsid w:val="610E7A85"/>
    <w:rsid w:val="610E9B96"/>
    <w:rsid w:val="610F274E"/>
    <w:rsid w:val="61120A03"/>
    <w:rsid w:val="611CCD0A"/>
    <w:rsid w:val="611F02FE"/>
    <w:rsid w:val="6121F3E4"/>
    <w:rsid w:val="6124E3C9"/>
    <w:rsid w:val="6125FC13"/>
    <w:rsid w:val="612C9E53"/>
    <w:rsid w:val="612E769A"/>
    <w:rsid w:val="6136E0A9"/>
    <w:rsid w:val="613E0E47"/>
    <w:rsid w:val="613E873C"/>
    <w:rsid w:val="613F525C"/>
    <w:rsid w:val="61416C87"/>
    <w:rsid w:val="6142553D"/>
    <w:rsid w:val="61446CDE"/>
    <w:rsid w:val="6147F821"/>
    <w:rsid w:val="61488214"/>
    <w:rsid w:val="614B4121"/>
    <w:rsid w:val="614C381E"/>
    <w:rsid w:val="614E9326"/>
    <w:rsid w:val="614F4AED"/>
    <w:rsid w:val="6156408A"/>
    <w:rsid w:val="615764DC"/>
    <w:rsid w:val="615B8DD6"/>
    <w:rsid w:val="615D9868"/>
    <w:rsid w:val="615E1203"/>
    <w:rsid w:val="6164891C"/>
    <w:rsid w:val="61690D36"/>
    <w:rsid w:val="616F00C4"/>
    <w:rsid w:val="6175C0AF"/>
    <w:rsid w:val="61769B94"/>
    <w:rsid w:val="617864EB"/>
    <w:rsid w:val="617EF67B"/>
    <w:rsid w:val="6180DCF9"/>
    <w:rsid w:val="6184625E"/>
    <w:rsid w:val="618DC85C"/>
    <w:rsid w:val="618EAF27"/>
    <w:rsid w:val="618F879F"/>
    <w:rsid w:val="6190585B"/>
    <w:rsid w:val="6199D7F5"/>
    <w:rsid w:val="619C2CB2"/>
    <w:rsid w:val="619CF21C"/>
    <w:rsid w:val="61A23C40"/>
    <w:rsid w:val="61A4BE07"/>
    <w:rsid w:val="61AA8009"/>
    <w:rsid w:val="61AE9F97"/>
    <w:rsid w:val="61B38AEF"/>
    <w:rsid w:val="61BD8BAE"/>
    <w:rsid w:val="61C87A44"/>
    <w:rsid w:val="61C93881"/>
    <w:rsid w:val="61CEE86D"/>
    <w:rsid w:val="61CF6509"/>
    <w:rsid w:val="61D42E29"/>
    <w:rsid w:val="61D60357"/>
    <w:rsid w:val="61D8204B"/>
    <w:rsid w:val="61DBEADB"/>
    <w:rsid w:val="61DC976F"/>
    <w:rsid w:val="61DF3532"/>
    <w:rsid w:val="61DFA984"/>
    <w:rsid w:val="61E3D861"/>
    <w:rsid w:val="61E3DB6F"/>
    <w:rsid w:val="61E7637A"/>
    <w:rsid w:val="61E98F45"/>
    <w:rsid w:val="61EE1F99"/>
    <w:rsid w:val="61F2EB37"/>
    <w:rsid w:val="61F51338"/>
    <w:rsid w:val="61F674A5"/>
    <w:rsid w:val="61F6A6E3"/>
    <w:rsid w:val="61F86BE5"/>
    <w:rsid w:val="61F8ABAE"/>
    <w:rsid w:val="61FA83A0"/>
    <w:rsid w:val="61FCB41C"/>
    <w:rsid w:val="61FE0B0F"/>
    <w:rsid w:val="620429D7"/>
    <w:rsid w:val="6207D71F"/>
    <w:rsid w:val="6208D60D"/>
    <w:rsid w:val="62091DC0"/>
    <w:rsid w:val="62123C30"/>
    <w:rsid w:val="6218AF7E"/>
    <w:rsid w:val="62191A57"/>
    <w:rsid w:val="621DFC0E"/>
    <w:rsid w:val="62259F5F"/>
    <w:rsid w:val="6225FFD2"/>
    <w:rsid w:val="6229A5D7"/>
    <w:rsid w:val="6237FB1B"/>
    <w:rsid w:val="623EF78B"/>
    <w:rsid w:val="62451A0C"/>
    <w:rsid w:val="6245B642"/>
    <w:rsid w:val="62487296"/>
    <w:rsid w:val="62496FE6"/>
    <w:rsid w:val="62528B9F"/>
    <w:rsid w:val="6253BB58"/>
    <w:rsid w:val="62566E59"/>
    <w:rsid w:val="62571F53"/>
    <w:rsid w:val="62597D02"/>
    <w:rsid w:val="62599D82"/>
    <w:rsid w:val="625ABCC8"/>
    <w:rsid w:val="625B7CDF"/>
    <w:rsid w:val="625DE5B1"/>
    <w:rsid w:val="62628C09"/>
    <w:rsid w:val="6269D4AF"/>
    <w:rsid w:val="626ACBE8"/>
    <w:rsid w:val="626B5D87"/>
    <w:rsid w:val="626C9DB1"/>
    <w:rsid w:val="626CF36B"/>
    <w:rsid w:val="62750418"/>
    <w:rsid w:val="627F30DE"/>
    <w:rsid w:val="62841B83"/>
    <w:rsid w:val="62841D16"/>
    <w:rsid w:val="6284CF23"/>
    <w:rsid w:val="628C09B3"/>
    <w:rsid w:val="6295849D"/>
    <w:rsid w:val="6298C684"/>
    <w:rsid w:val="6298FF42"/>
    <w:rsid w:val="629C2C7E"/>
    <w:rsid w:val="62A273AC"/>
    <w:rsid w:val="62A587EF"/>
    <w:rsid w:val="62A73632"/>
    <w:rsid w:val="62A96F7C"/>
    <w:rsid w:val="62AA5171"/>
    <w:rsid w:val="62B015E9"/>
    <w:rsid w:val="62B51FAA"/>
    <w:rsid w:val="62B8A0E9"/>
    <w:rsid w:val="62BC3F1F"/>
    <w:rsid w:val="62C56510"/>
    <w:rsid w:val="62C829C4"/>
    <w:rsid w:val="62CA7B0A"/>
    <w:rsid w:val="62CC9DBA"/>
    <w:rsid w:val="62D26FF4"/>
    <w:rsid w:val="62D36DBB"/>
    <w:rsid w:val="62D3ABF8"/>
    <w:rsid w:val="62DFC875"/>
    <w:rsid w:val="62DFCCA7"/>
    <w:rsid w:val="62E01462"/>
    <w:rsid w:val="62E56D8D"/>
    <w:rsid w:val="62EDACDC"/>
    <w:rsid w:val="62EE3907"/>
    <w:rsid w:val="62EF305E"/>
    <w:rsid w:val="62EF7401"/>
    <w:rsid w:val="62F6B9A4"/>
    <w:rsid w:val="62F7A2A2"/>
    <w:rsid w:val="62F96BFD"/>
    <w:rsid w:val="62FA0C0A"/>
    <w:rsid w:val="62FE693E"/>
    <w:rsid w:val="62FF896E"/>
    <w:rsid w:val="63069C64"/>
    <w:rsid w:val="630778B2"/>
    <w:rsid w:val="630C17A6"/>
    <w:rsid w:val="630DC074"/>
    <w:rsid w:val="630F4FA2"/>
    <w:rsid w:val="631213F8"/>
    <w:rsid w:val="6321308B"/>
    <w:rsid w:val="632E3210"/>
    <w:rsid w:val="633193AB"/>
    <w:rsid w:val="63332DB8"/>
    <w:rsid w:val="63387B86"/>
    <w:rsid w:val="633DE36D"/>
    <w:rsid w:val="63422C22"/>
    <w:rsid w:val="634477ED"/>
    <w:rsid w:val="634AE72A"/>
    <w:rsid w:val="634CAD89"/>
    <w:rsid w:val="63550D83"/>
    <w:rsid w:val="636179C5"/>
    <w:rsid w:val="63634183"/>
    <w:rsid w:val="63642183"/>
    <w:rsid w:val="6371EA97"/>
    <w:rsid w:val="637ADAE0"/>
    <w:rsid w:val="637D6D89"/>
    <w:rsid w:val="6390E2C8"/>
    <w:rsid w:val="63921D91"/>
    <w:rsid w:val="63949D87"/>
    <w:rsid w:val="639C680A"/>
    <w:rsid w:val="639C9627"/>
    <w:rsid w:val="639CF4FC"/>
    <w:rsid w:val="639E9C65"/>
    <w:rsid w:val="639EE52C"/>
    <w:rsid w:val="639F054C"/>
    <w:rsid w:val="63A0F1BB"/>
    <w:rsid w:val="63AEFA5A"/>
    <w:rsid w:val="63B421A4"/>
    <w:rsid w:val="63B853EA"/>
    <w:rsid w:val="63BA7F92"/>
    <w:rsid w:val="63BD7BFA"/>
    <w:rsid w:val="63C0A25B"/>
    <w:rsid w:val="63C22BBE"/>
    <w:rsid w:val="63C7C702"/>
    <w:rsid w:val="63CA9F1D"/>
    <w:rsid w:val="63CD092F"/>
    <w:rsid w:val="63CE25E1"/>
    <w:rsid w:val="63D03DEC"/>
    <w:rsid w:val="63D36DEB"/>
    <w:rsid w:val="63D3CF4D"/>
    <w:rsid w:val="63D88C19"/>
    <w:rsid w:val="63DC1B41"/>
    <w:rsid w:val="63DDB9B4"/>
    <w:rsid w:val="63DF427D"/>
    <w:rsid w:val="63DF6FFF"/>
    <w:rsid w:val="63E8D6F2"/>
    <w:rsid w:val="63E917A9"/>
    <w:rsid w:val="63EF7CBC"/>
    <w:rsid w:val="63F22716"/>
    <w:rsid w:val="63F2A9C8"/>
    <w:rsid w:val="63F5EACC"/>
    <w:rsid w:val="63FB1452"/>
    <w:rsid w:val="63FC625C"/>
    <w:rsid w:val="63FEA4EE"/>
    <w:rsid w:val="6405666E"/>
    <w:rsid w:val="64096F46"/>
    <w:rsid w:val="640A56CB"/>
    <w:rsid w:val="640CFCBC"/>
    <w:rsid w:val="640DEC07"/>
    <w:rsid w:val="640E614E"/>
    <w:rsid w:val="64108B89"/>
    <w:rsid w:val="6419D096"/>
    <w:rsid w:val="641A935A"/>
    <w:rsid w:val="641C83B3"/>
    <w:rsid w:val="6420A898"/>
    <w:rsid w:val="6421A20E"/>
    <w:rsid w:val="6425ACF1"/>
    <w:rsid w:val="642B6DBE"/>
    <w:rsid w:val="642BBA36"/>
    <w:rsid w:val="642F6663"/>
    <w:rsid w:val="6439958E"/>
    <w:rsid w:val="643FB2B8"/>
    <w:rsid w:val="6446E07C"/>
    <w:rsid w:val="64471163"/>
    <w:rsid w:val="6449DCD5"/>
    <w:rsid w:val="644BCA68"/>
    <w:rsid w:val="644E5A3D"/>
    <w:rsid w:val="6450A9C7"/>
    <w:rsid w:val="645211E6"/>
    <w:rsid w:val="645C136A"/>
    <w:rsid w:val="645EF64D"/>
    <w:rsid w:val="64665675"/>
    <w:rsid w:val="646E78AB"/>
    <w:rsid w:val="646FF20B"/>
    <w:rsid w:val="647243FA"/>
    <w:rsid w:val="6472F8C1"/>
    <w:rsid w:val="6476425D"/>
    <w:rsid w:val="6476FB14"/>
    <w:rsid w:val="6486B33A"/>
    <w:rsid w:val="648C78F9"/>
    <w:rsid w:val="648D38B0"/>
    <w:rsid w:val="648F3D71"/>
    <w:rsid w:val="648F786A"/>
    <w:rsid w:val="649060EF"/>
    <w:rsid w:val="6495C289"/>
    <w:rsid w:val="6498089D"/>
    <w:rsid w:val="64994F59"/>
    <w:rsid w:val="6499E781"/>
    <w:rsid w:val="649F0D1D"/>
    <w:rsid w:val="64A1CDB7"/>
    <w:rsid w:val="64A2897A"/>
    <w:rsid w:val="64A44315"/>
    <w:rsid w:val="64A8B0B0"/>
    <w:rsid w:val="64A951A0"/>
    <w:rsid w:val="64B1E27B"/>
    <w:rsid w:val="64C45EAF"/>
    <w:rsid w:val="64C49468"/>
    <w:rsid w:val="64CE1252"/>
    <w:rsid w:val="64CFC533"/>
    <w:rsid w:val="64D2C0D3"/>
    <w:rsid w:val="64D3D364"/>
    <w:rsid w:val="64D5B93B"/>
    <w:rsid w:val="64D69E06"/>
    <w:rsid w:val="64D6BBAF"/>
    <w:rsid w:val="64D7C078"/>
    <w:rsid w:val="64DA63E2"/>
    <w:rsid w:val="64DB7F06"/>
    <w:rsid w:val="64DE3A84"/>
    <w:rsid w:val="64DE7D4C"/>
    <w:rsid w:val="64DEE882"/>
    <w:rsid w:val="64E52502"/>
    <w:rsid w:val="64EA96F3"/>
    <w:rsid w:val="64EAD6D9"/>
    <w:rsid w:val="64EF34D2"/>
    <w:rsid w:val="64F1145A"/>
    <w:rsid w:val="64F4C5F7"/>
    <w:rsid w:val="64F6522E"/>
    <w:rsid w:val="64FBC7E0"/>
    <w:rsid w:val="64FF8B82"/>
    <w:rsid w:val="6500281D"/>
    <w:rsid w:val="6503DEA6"/>
    <w:rsid w:val="6504338E"/>
    <w:rsid w:val="6506D4C9"/>
    <w:rsid w:val="6507D77C"/>
    <w:rsid w:val="6509A2E8"/>
    <w:rsid w:val="650FEB32"/>
    <w:rsid w:val="65138B9D"/>
    <w:rsid w:val="65141946"/>
    <w:rsid w:val="6515C1E2"/>
    <w:rsid w:val="6517C48C"/>
    <w:rsid w:val="651919AE"/>
    <w:rsid w:val="6521DB76"/>
    <w:rsid w:val="65228CF3"/>
    <w:rsid w:val="6523B8B1"/>
    <w:rsid w:val="6524C674"/>
    <w:rsid w:val="65299C55"/>
    <w:rsid w:val="652A1968"/>
    <w:rsid w:val="652B412E"/>
    <w:rsid w:val="65320F7D"/>
    <w:rsid w:val="65378CB7"/>
    <w:rsid w:val="653AB29E"/>
    <w:rsid w:val="653DA0C4"/>
    <w:rsid w:val="653EE992"/>
    <w:rsid w:val="65426872"/>
    <w:rsid w:val="654454D4"/>
    <w:rsid w:val="65473848"/>
    <w:rsid w:val="654D8F0B"/>
    <w:rsid w:val="654EC080"/>
    <w:rsid w:val="654FB38B"/>
    <w:rsid w:val="6553CF77"/>
    <w:rsid w:val="655538A9"/>
    <w:rsid w:val="655613D1"/>
    <w:rsid w:val="65566020"/>
    <w:rsid w:val="6557EA30"/>
    <w:rsid w:val="655FFEC9"/>
    <w:rsid w:val="65600634"/>
    <w:rsid w:val="6561CBA7"/>
    <w:rsid w:val="65671D1B"/>
    <w:rsid w:val="656759C8"/>
    <w:rsid w:val="656CA181"/>
    <w:rsid w:val="656D0A7B"/>
    <w:rsid w:val="6570537C"/>
    <w:rsid w:val="657121BB"/>
    <w:rsid w:val="6574A8A5"/>
    <w:rsid w:val="6582EF04"/>
    <w:rsid w:val="6588C273"/>
    <w:rsid w:val="658DC305"/>
    <w:rsid w:val="658FA987"/>
    <w:rsid w:val="658FACC4"/>
    <w:rsid w:val="659016C9"/>
    <w:rsid w:val="659442DD"/>
    <w:rsid w:val="659FA054"/>
    <w:rsid w:val="65A193F6"/>
    <w:rsid w:val="65A27210"/>
    <w:rsid w:val="65A4757A"/>
    <w:rsid w:val="65A547B8"/>
    <w:rsid w:val="65A7887C"/>
    <w:rsid w:val="65BE1388"/>
    <w:rsid w:val="65C641A5"/>
    <w:rsid w:val="65C7D08E"/>
    <w:rsid w:val="65CB3200"/>
    <w:rsid w:val="65CB94DF"/>
    <w:rsid w:val="65D23060"/>
    <w:rsid w:val="65D42D70"/>
    <w:rsid w:val="65D436F2"/>
    <w:rsid w:val="65E035EE"/>
    <w:rsid w:val="65E13344"/>
    <w:rsid w:val="65E93855"/>
    <w:rsid w:val="65ED4968"/>
    <w:rsid w:val="65EFFC40"/>
    <w:rsid w:val="65FA5F0D"/>
    <w:rsid w:val="65FAC269"/>
    <w:rsid w:val="65FB4FA1"/>
    <w:rsid w:val="65FD2B0C"/>
    <w:rsid w:val="66027E9C"/>
    <w:rsid w:val="66040F35"/>
    <w:rsid w:val="660AEAAE"/>
    <w:rsid w:val="6615BEDA"/>
    <w:rsid w:val="6620076D"/>
    <w:rsid w:val="66210C37"/>
    <w:rsid w:val="6624903E"/>
    <w:rsid w:val="6624E1B2"/>
    <w:rsid w:val="662C29BD"/>
    <w:rsid w:val="662C6087"/>
    <w:rsid w:val="6630411C"/>
    <w:rsid w:val="6634E62B"/>
    <w:rsid w:val="6637DAA1"/>
    <w:rsid w:val="663C0CFA"/>
    <w:rsid w:val="6640BDF2"/>
    <w:rsid w:val="6645AFBC"/>
    <w:rsid w:val="664B0FFE"/>
    <w:rsid w:val="664C09AB"/>
    <w:rsid w:val="664CDDC0"/>
    <w:rsid w:val="664DC6F3"/>
    <w:rsid w:val="6652CFAF"/>
    <w:rsid w:val="6653776E"/>
    <w:rsid w:val="66563684"/>
    <w:rsid w:val="6658D1A7"/>
    <w:rsid w:val="665F6461"/>
    <w:rsid w:val="66667106"/>
    <w:rsid w:val="6667FAA2"/>
    <w:rsid w:val="666987D5"/>
    <w:rsid w:val="666BEFA3"/>
    <w:rsid w:val="666DD6B5"/>
    <w:rsid w:val="66710192"/>
    <w:rsid w:val="66748932"/>
    <w:rsid w:val="6675C62A"/>
    <w:rsid w:val="66861D7E"/>
    <w:rsid w:val="6687C15C"/>
    <w:rsid w:val="668B726D"/>
    <w:rsid w:val="66915257"/>
    <w:rsid w:val="6692B7D8"/>
    <w:rsid w:val="6693A1A6"/>
    <w:rsid w:val="66980166"/>
    <w:rsid w:val="669AC380"/>
    <w:rsid w:val="66A62773"/>
    <w:rsid w:val="66AB9957"/>
    <w:rsid w:val="66ABCE94"/>
    <w:rsid w:val="66AFCF8E"/>
    <w:rsid w:val="66B51080"/>
    <w:rsid w:val="66B5D8A0"/>
    <w:rsid w:val="66BC4219"/>
    <w:rsid w:val="66BD0068"/>
    <w:rsid w:val="66BEB93A"/>
    <w:rsid w:val="66BEEE25"/>
    <w:rsid w:val="66C45D25"/>
    <w:rsid w:val="66C8845B"/>
    <w:rsid w:val="66CE13CB"/>
    <w:rsid w:val="66D10954"/>
    <w:rsid w:val="66D2BB32"/>
    <w:rsid w:val="66D78749"/>
    <w:rsid w:val="66DB8448"/>
    <w:rsid w:val="66DB9743"/>
    <w:rsid w:val="66E31DCB"/>
    <w:rsid w:val="66E32716"/>
    <w:rsid w:val="66E5FF43"/>
    <w:rsid w:val="66E84F6C"/>
    <w:rsid w:val="66E94E45"/>
    <w:rsid w:val="66E99A0C"/>
    <w:rsid w:val="66ED2049"/>
    <w:rsid w:val="66EFD1B9"/>
    <w:rsid w:val="66EFD26D"/>
    <w:rsid w:val="66F06B97"/>
    <w:rsid w:val="66F1CCD8"/>
    <w:rsid w:val="66F3DFC7"/>
    <w:rsid w:val="66F3F0E7"/>
    <w:rsid w:val="66F45C4C"/>
    <w:rsid w:val="67012167"/>
    <w:rsid w:val="6702D4DC"/>
    <w:rsid w:val="6703963E"/>
    <w:rsid w:val="6703E4A1"/>
    <w:rsid w:val="67056F39"/>
    <w:rsid w:val="6706857F"/>
    <w:rsid w:val="670B1467"/>
    <w:rsid w:val="670FA722"/>
    <w:rsid w:val="6711D25E"/>
    <w:rsid w:val="67126693"/>
    <w:rsid w:val="671300F1"/>
    <w:rsid w:val="6713263B"/>
    <w:rsid w:val="6715002A"/>
    <w:rsid w:val="6716EB2C"/>
    <w:rsid w:val="671C32DC"/>
    <w:rsid w:val="67204E60"/>
    <w:rsid w:val="6720F325"/>
    <w:rsid w:val="6721D586"/>
    <w:rsid w:val="6728789D"/>
    <w:rsid w:val="6732BA4D"/>
    <w:rsid w:val="67367E58"/>
    <w:rsid w:val="6737B7BE"/>
    <w:rsid w:val="673A55CF"/>
    <w:rsid w:val="673BE29A"/>
    <w:rsid w:val="673BFECE"/>
    <w:rsid w:val="673CA370"/>
    <w:rsid w:val="673F3282"/>
    <w:rsid w:val="6740B134"/>
    <w:rsid w:val="67447337"/>
    <w:rsid w:val="67464737"/>
    <w:rsid w:val="67471C42"/>
    <w:rsid w:val="6748753B"/>
    <w:rsid w:val="674AFBFA"/>
    <w:rsid w:val="674B1CF4"/>
    <w:rsid w:val="674B4916"/>
    <w:rsid w:val="674D4F23"/>
    <w:rsid w:val="674EA8C9"/>
    <w:rsid w:val="674F22F6"/>
    <w:rsid w:val="675149AB"/>
    <w:rsid w:val="6755682B"/>
    <w:rsid w:val="67562DC2"/>
    <w:rsid w:val="6758495A"/>
    <w:rsid w:val="67589726"/>
    <w:rsid w:val="675CF878"/>
    <w:rsid w:val="675D9344"/>
    <w:rsid w:val="675F2612"/>
    <w:rsid w:val="6760D4FD"/>
    <w:rsid w:val="67652B37"/>
    <w:rsid w:val="67676FDD"/>
    <w:rsid w:val="676A9816"/>
    <w:rsid w:val="676C3705"/>
    <w:rsid w:val="67719E2E"/>
    <w:rsid w:val="677D8B9E"/>
    <w:rsid w:val="677DD50A"/>
    <w:rsid w:val="6781D9F2"/>
    <w:rsid w:val="6785BD08"/>
    <w:rsid w:val="6785E33C"/>
    <w:rsid w:val="678BB32D"/>
    <w:rsid w:val="678BCFB4"/>
    <w:rsid w:val="678F9176"/>
    <w:rsid w:val="6794F071"/>
    <w:rsid w:val="6797E980"/>
    <w:rsid w:val="67A4023A"/>
    <w:rsid w:val="67A52402"/>
    <w:rsid w:val="67A55D59"/>
    <w:rsid w:val="67A8D145"/>
    <w:rsid w:val="67AA796F"/>
    <w:rsid w:val="67AD5E4C"/>
    <w:rsid w:val="67AFD2E9"/>
    <w:rsid w:val="67B00621"/>
    <w:rsid w:val="67B17BF1"/>
    <w:rsid w:val="67B4953D"/>
    <w:rsid w:val="67BD8F8F"/>
    <w:rsid w:val="67BD916D"/>
    <w:rsid w:val="67C00C56"/>
    <w:rsid w:val="67C1EB6D"/>
    <w:rsid w:val="67C33B0F"/>
    <w:rsid w:val="67C4D974"/>
    <w:rsid w:val="67C85F96"/>
    <w:rsid w:val="67C906EE"/>
    <w:rsid w:val="67C9E91F"/>
    <w:rsid w:val="67CA0311"/>
    <w:rsid w:val="67CC331D"/>
    <w:rsid w:val="67CFBE58"/>
    <w:rsid w:val="67D14C59"/>
    <w:rsid w:val="67D19E28"/>
    <w:rsid w:val="67D37F37"/>
    <w:rsid w:val="67D5148E"/>
    <w:rsid w:val="67D5349D"/>
    <w:rsid w:val="67D663D2"/>
    <w:rsid w:val="67DB24B3"/>
    <w:rsid w:val="67DFDDF4"/>
    <w:rsid w:val="67E7AAA6"/>
    <w:rsid w:val="67E8A08C"/>
    <w:rsid w:val="67F6DFE3"/>
    <w:rsid w:val="67F6F4C8"/>
    <w:rsid w:val="67F8BBFD"/>
    <w:rsid w:val="67F9621F"/>
    <w:rsid w:val="67FA40E2"/>
    <w:rsid w:val="68074BF6"/>
    <w:rsid w:val="680845CA"/>
    <w:rsid w:val="68089575"/>
    <w:rsid w:val="680C87D5"/>
    <w:rsid w:val="680F4ECB"/>
    <w:rsid w:val="68108AE5"/>
    <w:rsid w:val="68114F9D"/>
    <w:rsid w:val="6818A9BB"/>
    <w:rsid w:val="68190397"/>
    <w:rsid w:val="68194D46"/>
    <w:rsid w:val="681A56BC"/>
    <w:rsid w:val="681B430E"/>
    <w:rsid w:val="681CBDFB"/>
    <w:rsid w:val="6820F2BB"/>
    <w:rsid w:val="6820F49C"/>
    <w:rsid w:val="68227AFD"/>
    <w:rsid w:val="68255F28"/>
    <w:rsid w:val="68261E35"/>
    <w:rsid w:val="682ED9DA"/>
    <w:rsid w:val="683232CF"/>
    <w:rsid w:val="6836B845"/>
    <w:rsid w:val="683BC1D0"/>
    <w:rsid w:val="683E1942"/>
    <w:rsid w:val="683F19E6"/>
    <w:rsid w:val="6841917A"/>
    <w:rsid w:val="6842E267"/>
    <w:rsid w:val="6846A01B"/>
    <w:rsid w:val="6847F00A"/>
    <w:rsid w:val="6848D8D5"/>
    <w:rsid w:val="68498A92"/>
    <w:rsid w:val="684E87A1"/>
    <w:rsid w:val="68515661"/>
    <w:rsid w:val="6858664F"/>
    <w:rsid w:val="68587A16"/>
    <w:rsid w:val="685B26D2"/>
    <w:rsid w:val="685D62BB"/>
    <w:rsid w:val="6860A702"/>
    <w:rsid w:val="6864EA0B"/>
    <w:rsid w:val="68696206"/>
    <w:rsid w:val="6869A2EF"/>
    <w:rsid w:val="68750723"/>
    <w:rsid w:val="687798D9"/>
    <w:rsid w:val="687BC524"/>
    <w:rsid w:val="68802884"/>
    <w:rsid w:val="68815D7C"/>
    <w:rsid w:val="6883792C"/>
    <w:rsid w:val="6888131D"/>
    <w:rsid w:val="688E8AE5"/>
    <w:rsid w:val="68942AD7"/>
    <w:rsid w:val="6896EDA4"/>
    <w:rsid w:val="68974C4B"/>
    <w:rsid w:val="689CED93"/>
    <w:rsid w:val="689D35B9"/>
    <w:rsid w:val="689DA07D"/>
    <w:rsid w:val="68A00835"/>
    <w:rsid w:val="68A4F111"/>
    <w:rsid w:val="68AC7BCD"/>
    <w:rsid w:val="68AC92D4"/>
    <w:rsid w:val="68AD1E48"/>
    <w:rsid w:val="68B2D906"/>
    <w:rsid w:val="68B98FB3"/>
    <w:rsid w:val="68BC3564"/>
    <w:rsid w:val="68BFBE85"/>
    <w:rsid w:val="68C3393F"/>
    <w:rsid w:val="68C47F57"/>
    <w:rsid w:val="68C53837"/>
    <w:rsid w:val="68C54D32"/>
    <w:rsid w:val="68C69FFF"/>
    <w:rsid w:val="68C6ACE1"/>
    <w:rsid w:val="68C764F1"/>
    <w:rsid w:val="68CAB7B8"/>
    <w:rsid w:val="68D82379"/>
    <w:rsid w:val="68DC163C"/>
    <w:rsid w:val="68DE903D"/>
    <w:rsid w:val="68E628CA"/>
    <w:rsid w:val="68F8FD21"/>
    <w:rsid w:val="68F9FE77"/>
    <w:rsid w:val="68FA68A1"/>
    <w:rsid w:val="690B0B73"/>
    <w:rsid w:val="6914BEEF"/>
    <w:rsid w:val="691CC2BA"/>
    <w:rsid w:val="692830FC"/>
    <w:rsid w:val="692B6DC1"/>
    <w:rsid w:val="692C195A"/>
    <w:rsid w:val="692CDE48"/>
    <w:rsid w:val="692DF72A"/>
    <w:rsid w:val="6937776A"/>
    <w:rsid w:val="693904E7"/>
    <w:rsid w:val="69418B51"/>
    <w:rsid w:val="694B01FF"/>
    <w:rsid w:val="694C890B"/>
    <w:rsid w:val="694D78CD"/>
    <w:rsid w:val="69517827"/>
    <w:rsid w:val="69535CA9"/>
    <w:rsid w:val="6957D18F"/>
    <w:rsid w:val="6957DA2A"/>
    <w:rsid w:val="695A184D"/>
    <w:rsid w:val="695C28B4"/>
    <w:rsid w:val="696084C7"/>
    <w:rsid w:val="6962D3BA"/>
    <w:rsid w:val="6962EBB5"/>
    <w:rsid w:val="6964127C"/>
    <w:rsid w:val="696B1969"/>
    <w:rsid w:val="696FCE2E"/>
    <w:rsid w:val="69703C44"/>
    <w:rsid w:val="697268FE"/>
    <w:rsid w:val="6973C8DC"/>
    <w:rsid w:val="69771785"/>
    <w:rsid w:val="697909BB"/>
    <w:rsid w:val="697A1A99"/>
    <w:rsid w:val="697B94DD"/>
    <w:rsid w:val="697C7439"/>
    <w:rsid w:val="697C9D85"/>
    <w:rsid w:val="69874A7D"/>
    <w:rsid w:val="698A4A45"/>
    <w:rsid w:val="6992378B"/>
    <w:rsid w:val="6992B2C4"/>
    <w:rsid w:val="69931D33"/>
    <w:rsid w:val="6999C25B"/>
    <w:rsid w:val="699AAE96"/>
    <w:rsid w:val="699C61C1"/>
    <w:rsid w:val="699D7CCE"/>
    <w:rsid w:val="699E5545"/>
    <w:rsid w:val="699FDA26"/>
    <w:rsid w:val="69A05E73"/>
    <w:rsid w:val="69A529C4"/>
    <w:rsid w:val="69A64B9B"/>
    <w:rsid w:val="69A96732"/>
    <w:rsid w:val="69AB9626"/>
    <w:rsid w:val="69B494AF"/>
    <w:rsid w:val="69B7BFA7"/>
    <w:rsid w:val="69BA04EE"/>
    <w:rsid w:val="69BCA262"/>
    <w:rsid w:val="69BF1F27"/>
    <w:rsid w:val="69C3B0DF"/>
    <w:rsid w:val="69CFEFA1"/>
    <w:rsid w:val="69D1893A"/>
    <w:rsid w:val="69DA2987"/>
    <w:rsid w:val="69DCEEBF"/>
    <w:rsid w:val="69E2FD61"/>
    <w:rsid w:val="69EBAD55"/>
    <w:rsid w:val="69ED938F"/>
    <w:rsid w:val="69EE1A21"/>
    <w:rsid w:val="69EF1625"/>
    <w:rsid w:val="69F0BECC"/>
    <w:rsid w:val="69F486DD"/>
    <w:rsid w:val="69F54439"/>
    <w:rsid w:val="69F6CBD3"/>
    <w:rsid w:val="69F9D4E8"/>
    <w:rsid w:val="69FFD683"/>
    <w:rsid w:val="6A062A6E"/>
    <w:rsid w:val="6A07AB30"/>
    <w:rsid w:val="6A0BAF19"/>
    <w:rsid w:val="6A0CF3B4"/>
    <w:rsid w:val="6A0E60CD"/>
    <w:rsid w:val="6A1377B7"/>
    <w:rsid w:val="6A19C4B0"/>
    <w:rsid w:val="6A1AC8D9"/>
    <w:rsid w:val="6A1F2412"/>
    <w:rsid w:val="6A223932"/>
    <w:rsid w:val="6A226D53"/>
    <w:rsid w:val="6A2491FA"/>
    <w:rsid w:val="6A253CEC"/>
    <w:rsid w:val="6A28F325"/>
    <w:rsid w:val="6A2947EC"/>
    <w:rsid w:val="6A2BE9E0"/>
    <w:rsid w:val="6A32B30B"/>
    <w:rsid w:val="6A39E62D"/>
    <w:rsid w:val="6A3AFF9E"/>
    <w:rsid w:val="6A3D4B9E"/>
    <w:rsid w:val="6A3DBA57"/>
    <w:rsid w:val="6A3F2ECB"/>
    <w:rsid w:val="6A480F5A"/>
    <w:rsid w:val="6A488312"/>
    <w:rsid w:val="6A54954B"/>
    <w:rsid w:val="6A59DAF9"/>
    <w:rsid w:val="6A5B2056"/>
    <w:rsid w:val="6A5BCCF1"/>
    <w:rsid w:val="6A5CC7C1"/>
    <w:rsid w:val="6A5D0E30"/>
    <w:rsid w:val="6A6457F3"/>
    <w:rsid w:val="6A66FF74"/>
    <w:rsid w:val="6A717C9F"/>
    <w:rsid w:val="6A796B10"/>
    <w:rsid w:val="6A7E0526"/>
    <w:rsid w:val="6A817F8B"/>
    <w:rsid w:val="6A8F005F"/>
    <w:rsid w:val="6A9861BA"/>
    <w:rsid w:val="6A98F27E"/>
    <w:rsid w:val="6AA07684"/>
    <w:rsid w:val="6AA399DE"/>
    <w:rsid w:val="6AA3BC12"/>
    <w:rsid w:val="6AB455FD"/>
    <w:rsid w:val="6ABB7795"/>
    <w:rsid w:val="6AC8F395"/>
    <w:rsid w:val="6AC9A761"/>
    <w:rsid w:val="6ACAF8B5"/>
    <w:rsid w:val="6ACB3AE5"/>
    <w:rsid w:val="6AD2A662"/>
    <w:rsid w:val="6ADCC36B"/>
    <w:rsid w:val="6AE0EC09"/>
    <w:rsid w:val="6AE96BBD"/>
    <w:rsid w:val="6AF36EFE"/>
    <w:rsid w:val="6AFDCBE5"/>
    <w:rsid w:val="6B019C6A"/>
    <w:rsid w:val="6B06C696"/>
    <w:rsid w:val="6B07B471"/>
    <w:rsid w:val="6B0FE52A"/>
    <w:rsid w:val="6B1837B8"/>
    <w:rsid w:val="6B198CF2"/>
    <w:rsid w:val="6B1AEB0A"/>
    <w:rsid w:val="6B21A791"/>
    <w:rsid w:val="6B2E9DF3"/>
    <w:rsid w:val="6B3E672B"/>
    <w:rsid w:val="6B412A2F"/>
    <w:rsid w:val="6B435499"/>
    <w:rsid w:val="6B4AC5F9"/>
    <w:rsid w:val="6B4C787A"/>
    <w:rsid w:val="6B4FBC31"/>
    <w:rsid w:val="6B534E94"/>
    <w:rsid w:val="6B5ADCF6"/>
    <w:rsid w:val="6B5B6355"/>
    <w:rsid w:val="6B5BBD9A"/>
    <w:rsid w:val="6B5FDDF0"/>
    <w:rsid w:val="6B626C94"/>
    <w:rsid w:val="6B64FBA5"/>
    <w:rsid w:val="6B663DE6"/>
    <w:rsid w:val="6B66DA01"/>
    <w:rsid w:val="6B6AA1E2"/>
    <w:rsid w:val="6B728505"/>
    <w:rsid w:val="6B76192F"/>
    <w:rsid w:val="6B765600"/>
    <w:rsid w:val="6B79CA32"/>
    <w:rsid w:val="6B7A7465"/>
    <w:rsid w:val="6B7C0ECA"/>
    <w:rsid w:val="6B7D3CFF"/>
    <w:rsid w:val="6B81B34D"/>
    <w:rsid w:val="6B8516C5"/>
    <w:rsid w:val="6B8D8C0B"/>
    <w:rsid w:val="6B9407F8"/>
    <w:rsid w:val="6B95B2CF"/>
    <w:rsid w:val="6B9DA4BE"/>
    <w:rsid w:val="6BA015A6"/>
    <w:rsid w:val="6BABD918"/>
    <w:rsid w:val="6BB000A2"/>
    <w:rsid w:val="6BBE02D3"/>
    <w:rsid w:val="6BC3AF72"/>
    <w:rsid w:val="6BC5708A"/>
    <w:rsid w:val="6BC68C1D"/>
    <w:rsid w:val="6BC6AD74"/>
    <w:rsid w:val="6BCCCCB3"/>
    <w:rsid w:val="6BCF5072"/>
    <w:rsid w:val="6BD60C5A"/>
    <w:rsid w:val="6BD63560"/>
    <w:rsid w:val="6BD9AC9A"/>
    <w:rsid w:val="6BDBEA41"/>
    <w:rsid w:val="6BDF3D35"/>
    <w:rsid w:val="6BE09C87"/>
    <w:rsid w:val="6BE3F4C1"/>
    <w:rsid w:val="6BE4109E"/>
    <w:rsid w:val="6BF2B2CD"/>
    <w:rsid w:val="6C023D4E"/>
    <w:rsid w:val="6C053CA4"/>
    <w:rsid w:val="6C059E56"/>
    <w:rsid w:val="6C0EB1F8"/>
    <w:rsid w:val="6C1251BF"/>
    <w:rsid w:val="6C13625A"/>
    <w:rsid w:val="6C140643"/>
    <w:rsid w:val="6C161D2C"/>
    <w:rsid w:val="6C161D30"/>
    <w:rsid w:val="6C1955FC"/>
    <w:rsid w:val="6C244011"/>
    <w:rsid w:val="6C26448A"/>
    <w:rsid w:val="6C272CA5"/>
    <w:rsid w:val="6C28DC88"/>
    <w:rsid w:val="6C29B69C"/>
    <w:rsid w:val="6C2FEC22"/>
    <w:rsid w:val="6C36A38F"/>
    <w:rsid w:val="6C392C99"/>
    <w:rsid w:val="6C3ADFE7"/>
    <w:rsid w:val="6C3C78D6"/>
    <w:rsid w:val="6C40C9FA"/>
    <w:rsid w:val="6C4214D9"/>
    <w:rsid w:val="6C455552"/>
    <w:rsid w:val="6C4851F5"/>
    <w:rsid w:val="6C4A5DDD"/>
    <w:rsid w:val="6C4E5984"/>
    <w:rsid w:val="6C4F2BF6"/>
    <w:rsid w:val="6C529F49"/>
    <w:rsid w:val="6C57DACB"/>
    <w:rsid w:val="6C5859A1"/>
    <w:rsid w:val="6C58AA2F"/>
    <w:rsid w:val="6C5B886A"/>
    <w:rsid w:val="6C629F45"/>
    <w:rsid w:val="6C6B84A4"/>
    <w:rsid w:val="6C6EEC5C"/>
    <w:rsid w:val="6C6FA06D"/>
    <w:rsid w:val="6C6FDCAA"/>
    <w:rsid w:val="6C72471E"/>
    <w:rsid w:val="6C76A427"/>
    <w:rsid w:val="6C7AB61B"/>
    <w:rsid w:val="6C800667"/>
    <w:rsid w:val="6C85263D"/>
    <w:rsid w:val="6C938BBE"/>
    <w:rsid w:val="6C99392E"/>
    <w:rsid w:val="6C99A9C3"/>
    <w:rsid w:val="6C9B0326"/>
    <w:rsid w:val="6C9B416C"/>
    <w:rsid w:val="6C9E3DC3"/>
    <w:rsid w:val="6CA443BB"/>
    <w:rsid w:val="6CA4A54C"/>
    <w:rsid w:val="6CA887B5"/>
    <w:rsid w:val="6CA92987"/>
    <w:rsid w:val="6CAA16D6"/>
    <w:rsid w:val="6CAB4AEC"/>
    <w:rsid w:val="6CABD6E0"/>
    <w:rsid w:val="6CB8FA53"/>
    <w:rsid w:val="6CBDCBA0"/>
    <w:rsid w:val="6CBFC5F9"/>
    <w:rsid w:val="6CCD3CA2"/>
    <w:rsid w:val="6CCD95A0"/>
    <w:rsid w:val="6CCDE4A5"/>
    <w:rsid w:val="6CD0171F"/>
    <w:rsid w:val="6CD03087"/>
    <w:rsid w:val="6CD0F890"/>
    <w:rsid w:val="6CD119B7"/>
    <w:rsid w:val="6CD34C4D"/>
    <w:rsid w:val="6CD58C27"/>
    <w:rsid w:val="6CD70D0E"/>
    <w:rsid w:val="6CDE6221"/>
    <w:rsid w:val="6CE1F80F"/>
    <w:rsid w:val="6CE4DA20"/>
    <w:rsid w:val="6CE67FB5"/>
    <w:rsid w:val="6CE79275"/>
    <w:rsid w:val="6CEE2FC1"/>
    <w:rsid w:val="6CEF6698"/>
    <w:rsid w:val="6CF4E806"/>
    <w:rsid w:val="6CF6B9E0"/>
    <w:rsid w:val="6CF6EC16"/>
    <w:rsid w:val="6CF80646"/>
    <w:rsid w:val="6CF9F66F"/>
    <w:rsid w:val="6CFB8FB8"/>
    <w:rsid w:val="6CFE2C29"/>
    <w:rsid w:val="6CFEC2FE"/>
    <w:rsid w:val="6D01AEBB"/>
    <w:rsid w:val="6D02DD9F"/>
    <w:rsid w:val="6D03412C"/>
    <w:rsid w:val="6D09C174"/>
    <w:rsid w:val="6D10C767"/>
    <w:rsid w:val="6D11D2CF"/>
    <w:rsid w:val="6D12ED4A"/>
    <w:rsid w:val="6D19A402"/>
    <w:rsid w:val="6D1C40FE"/>
    <w:rsid w:val="6D1CD9D4"/>
    <w:rsid w:val="6D1D7B7B"/>
    <w:rsid w:val="6D2363DA"/>
    <w:rsid w:val="6D268BD1"/>
    <w:rsid w:val="6D2FDEED"/>
    <w:rsid w:val="6D358852"/>
    <w:rsid w:val="6D36E8E1"/>
    <w:rsid w:val="6D38EECE"/>
    <w:rsid w:val="6D3F1123"/>
    <w:rsid w:val="6D42F605"/>
    <w:rsid w:val="6D481AC2"/>
    <w:rsid w:val="6D4AC83E"/>
    <w:rsid w:val="6D4BB779"/>
    <w:rsid w:val="6D4C283F"/>
    <w:rsid w:val="6D4CF355"/>
    <w:rsid w:val="6D4E1BB9"/>
    <w:rsid w:val="6D508BE9"/>
    <w:rsid w:val="6D5304E2"/>
    <w:rsid w:val="6D5600B2"/>
    <w:rsid w:val="6D582B26"/>
    <w:rsid w:val="6D5A096A"/>
    <w:rsid w:val="6D5DD14B"/>
    <w:rsid w:val="6D6140EB"/>
    <w:rsid w:val="6D633406"/>
    <w:rsid w:val="6D652A02"/>
    <w:rsid w:val="6D663D55"/>
    <w:rsid w:val="6D665478"/>
    <w:rsid w:val="6D67638F"/>
    <w:rsid w:val="6D67C819"/>
    <w:rsid w:val="6D6B71F6"/>
    <w:rsid w:val="6D6EA61C"/>
    <w:rsid w:val="6D6ED2DB"/>
    <w:rsid w:val="6D6EFDD3"/>
    <w:rsid w:val="6D6F4B6B"/>
    <w:rsid w:val="6D7156BF"/>
    <w:rsid w:val="6D7444F3"/>
    <w:rsid w:val="6D7B2166"/>
    <w:rsid w:val="6D7CE896"/>
    <w:rsid w:val="6D7D12A2"/>
    <w:rsid w:val="6D7E1D12"/>
    <w:rsid w:val="6D812872"/>
    <w:rsid w:val="6D890BA4"/>
    <w:rsid w:val="6D8C2FEB"/>
    <w:rsid w:val="6D8D9EBD"/>
    <w:rsid w:val="6D93C751"/>
    <w:rsid w:val="6D948223"/>
    <w:rsid w:val="6D956D2D"/>
    <w:rsid w:val="6D96417B"/>
    <w:rsid w:val="6D99ED35"/>
    <w:rsid w:val="6D9A47B6"/>
    <w:rsid w:val="6D9D9AFE"/>
    <w:rsid w:val="6DA2E32B"/>
    <w:rsid w:val="6DA7AFC1"/>
    <w:rsid w:val="6DA8013A"/>
    <w:rsid w:val="6DAA421D"/>
    <w:rsid w:val="6DAB4C95"/>
    <w:rsid w:val="6DAB898E"/>
    <w:rsid w:val="6DAE6B9D"/>
    <w:rsid w:val="6DAFAB6E"/>
    <w:rsid w:val="6DBB27DF"/>
    <w:rsid w:val="6DBF080A"/>
    <w:rsid w:val="6DC24324"/>
    <w:rsid w:val="6DC52CBB"/>
    <w:rsid w:val="6DCD0E70"/>
    <w:rsid w:val="6DCE68C4"/>
    <w:rsid w:val="6DCF7DBD"/>
    <w:rsid w:val="6DDA2701"/>
    <w:rsid w:val="6DE022C5"/>
    <w:rsid w:val="6DE7891A"/>
    <w:rsid w:val="6DF288A5"/>
    <w:rsid w:val="6DF2F651"/>
    <w:rsid w:val="6DF78F4B"/>
    <w:rsid w:val="6DFD5E1F"/>
    <w:rsid w:val="6E020B98"/>
    <w:rsid w:val="6E03FD41"/>
    <w:rsid w:val="6E0D0BCB"/>
    <w:rsid w:val="6E11F104"/>
    <w:rsid w:val="6E12EDCE"/>
    <w:rsid w:val="6E18C549"/>
    <w:rsid w:val="6E19BCF4"/>
    <w:rsid w:val="6E1AA5BD"/>
    <w:rsid w:val="6E1DD89A"/>
    <w:rsid w:val="6E1F01D4"/>
    <w:rsid w:val="6E22DD8C"/>
    <w:rsid w:val="6E23978B"/>
    <w:rsid w:val="6E2BEFC7"/>
    <w:rsid w:val="6E2F59C3"/>
    <w:rsid w:val="6E3170EC"/>
    <w:rsid w:val="6E33AE90"/>
    <w:rsid w:val="6E34B969"/>
    <w:rsid w:val="6E3A18F5"/>
    <w:rsid w:val="6E40FE41"/>
    <w:rsid w:val="6E482C8B"/>
    <w:rsid w:val="6E4B6740"/>
    <w:rsid w:val="6E4C73EC"/>
    <w:rsid w:val="6E4E2C7C"/>
    <w:rsid w:val="6E4F4FDB"/>
    <w:rsid w:val="6E5754B1"/>
    <w:rsid w:val="6E5D0649"/>
    <w:rsid w:val="6E619418"/>
    <w:rsid w:val="6E61A4B6"/>
    <w:rsid w:val="6E644BE1"/>
    <w:rsid w:val="6E682DD6"/>
    <w:rsid w:val="6E693705"/>
    <w:rsid w:val="6E6B28FA"/>
    <w:rsid w:val="6E6BF68E"/>
    <w:rsid w:val="6E73DE32"/>
    <w:rsid w:val="6E75F145"/>
    <w:rsid w:val="6E7B79AB"/>
    <w:rsid w:val="6E7BD0C2"/>
    <w:rsid w:val="6E82A048"/>
    <w:rsid w:val="6E85CE02"/>
    <w:rsid w:val="6E872C89"/>
    <w:rsid w:val="6E88F757"/>
    <w:rsid w:val="6E89849F"/>
    <w:rsid w:val="6E8DFD5A"/>
    <w:rsid w:val="6E909B98"/>
    <w:rsid w:val="6E93346D"/>
    <w:rsid w:val="6E93F6D3"/>
    <w:rsid w:val="6E9795E1"/>
    <w:rsid w:val="6E986D0D"/>
    <w:rsid w:val="6EA861BF"/>
    <w:rsid w:val="6EAEB9BD"/>
    <w:rsid w:val="6EB19F80"/>
    <w:rsid w:val="6EB25244"/>
    <w:rsid w:val="6EB68FFA"/>
    <w:rsid w:val="6EC3B21C"/>
    <w:rsid w:val="6ECD6FEB"/>
    <w:rsid w:val="6ECE09A8"/>
    <w:rsid w:val="6ECE9DF9"/>
    <w:rsid w:val="6ED10C23"/>
    <w:rsid w:val="6ED39640"/>
    <w:rsid w:val="6ED5260E"/>
    <w:rsid w:val="6ED9693F"/>
    <w:rsid w:val="6EE3E7A8"/>
    <w:rsid w:val="6EE6C2B0"/>
    <w:rsid w:val="6EE6F030"/>
    <w:rsid w:val="6EEA98C9"/>
    <w:rsid w:val="6EEC3D7C"/>
    <w:rsid w:val="6EF1410C"/>
    <w:rsid w:val="6EF29A67"/>
    <w:rsid w:val="6EF6C31A"/>
    <w:rsid w:val="6EF74EE0"/>
    <w:rsid w:val="6EF9ADDC"/>
    <w:rsid w:val="6EFE6374"/>
    <w:rsid w:val="6F060EDB"/>
    <w:rsid w:val="6F07101A"/>
    <w:rsid w:val="6F10A4D3"/>
    <w:rsid w:val="6F158D26"/>
    <w:rsid w:val="6F19030E"/>
    <w:rsid w:val="6F1C0B1D"/>
    <w:rsid w:val="6F1E6A48"/>
    <w:rsid w:val="6F1FEA8B"/>
    <w:rsid w:val="6F2657C8"/>
    <w:rsid w:val="6F28E38E"/>
    <w:rsid w:val="6F29A5FB"/>
    <w:rsid w:val="6F2A3806"/>
    <w:rsid w:val="6F2C0AF5"/>
    <w:rsid w:val="6F2EAF91"/>
    <w:rsid w:val="6F2F391F"/>
    <w:rsid w:val="6F312C81"/>
    <w:rsid w:val="6F3266CE"/>
    <w:rsid w:val="6F330912"/>
    <w:rsid w:val="6F33C262"/>
    <w:rsid w:val="6F37EC88"/>
    <w:rsid w:val="6F382829"/>
    <w:rsid w:val="6F3938AC"/>
    <w:rsid w:val="6F3C1ED8"/>
    <w:rsid w:val="6F40741A"/>
    <w:rsid w:val="6F42D83B"/>
    <w:rsid w:val="6F4D07CB"/>
    <w:rsid w:val="6F54621E"/>
    <w:rsid w:val="6F582961"/>
    <w:rsid w:val="6F6081C1"/>
    <w:rsid w:val="6F60A3C2"/>
    <w:rsid w:val="6F6176BE"/>
    <w:rsid w:val="6F6A1276"/>
    <w:rsid w:val="6F6AAFC9"/>
    <w:rsid w:val="6F6CEEBE"/>
    <w:rsid w:val="6F72F1C1"/>
    <w:rsid w:val="6F767ED3"/>
    <w:rsid w:val="6F7E003C"/>
    <w:rsid w:val="6F7E82AD"/>
    <w:rsid w:val="6F815CCE"/>
    <w:rsid w:val="6F81A377"/>
    <w:rsid w:val="6F829E6D"/>
    <w:rsid w:val="6F82A4EB"/>
    <w:rsid w:val="6F874BA8"/>
    <w:rsid w:val="6F87AFAC"/>
    <w:rsid w:val="6F8BC54B"/>
    <w:rsid w:val="6F914272"/>
    <w:rsid w:val="6FA1F7BE"/>
    <w:rsid w:val="6FA70DB6"/>
    <w:rsid w:val="6FA8DD8A"/>
    <w:rsid w:val="6FAEA62F"/>
    <w:rsid w:val="6FB04DCD"/>
    <w:rsid w:val="6FB3013D"/>
    <w:rsid w:val="6FB36534"/>
    <w:rsid w:val="6FB6A9FB"/>
    <w:rsid w:val="6FB81AAD"/>
    <w:rsid w:val="6FB8C8C1"/>
    <w:rsid w:val="6FB937DF"/>
    <w:rsid w:val="6FBCE311"/>
    <w:rsid w:val="6FBEFF29"/>
    <w:rsid w:val="6FC00E2F"/>
    <w:rsid w:val="6FC2A160"/>
    <w:rsid w:val="6FC7B2BE"/>
    <w:rsid w:val="6FC85898"/>
    <w:rsid w:val="6FCC78BD"/>
    <w:rsid w:val="6FCCB422"/>
    <w:rsid w:val="6FCCD96C"/>
    <w:rsid w:val="6FCEC69F"/>
    <w:rsid w:val="6FCF7EF1"/>
    <w:rsid w:val="6FD00418"/>
    <w:rsid w:val="6FD16318"/>
    <w:rsid w:val="6FD1A315"/>
    <w:rsid w:val="6FD6B63E"/>
    <w:rsid w:val="6FD701F1"/>
    <w:rsid w:val="6FD909F6"/>
    <w:rsid w:val="6FD98B19"/>
    <w:rsid w:val="6FDFFEBF"/>
    <w:rsid w:val="6FE08562"/>
    <w:rsid w:val="6FE27AC4"/>
    <w:rsid w:val="6FE7EABE"/>
    <w:rsid w:val="6FED95D6"/>
    <w:rsid w:val="6FF3C3C7"/>
    <w:rsid w:val="6FF87278"/>
    <w:rsid w:val="6FF9B698"/>
    <w:rsid w:val="6FFBC87B"/>
    <w:rsid w:val="6FFD874C"/>
    <w:rsid w:val="70009AF3"/>
    <w:rsid w:val="7005AAAC"/>
    <w:rsid w:val="7008D86E"/>
    <w:rsid w:val="700C2DA3"/>
    <w:rsid w:val="700DEB19"/>
    <w:rsid w:val="701004CA"/>
    <w:rsid w:val="70103B19"/>
    <w:rsid w:val="7010FB6C"/>
    <w:rsid w:val="7012C0B0"/>
    <w:rsid w:val="70181B07"/>
    <w:rsid w:val="7019B613"/>
    <w:rsid w:val="701BB619"/>
    <w:rsid w:val="702C4076"/>
    <w:rsid w:val="702F2CFD"/>
    <w:rsid w:val="7031A10A"/>
    <w:rsid w:val="70339E7C"/>
    <w:rsid w:val="7037A59D"/>
    <w:rsid w:val="7038D891"/>
    <w:rsid w:val="703BE42D"/>
    <w:rsid w:val="70493783"/>
    <w:rsid w:val="704CBDBA"/>
    <w:rsid w:val="7051EB75"/>
    <w:rsid w:val="7053B7F9"/>
    <w:rsid w:val="7053C815"/>
    <w:rsid w:val="7056F40C"/>
    <w:rsid w:val="705B39E4"/>
    <w:rsid w:val="7064D7A2"/>
    <w:rsid w:val="706938CD"/>
    <w:rsid w:val="706C677A"/>
    <w:rsid w:val="706CBBB4"/>
    <w:rsid w:val="7071C163"/>
    <w:rsid w:val="7077BC49"/>
    <w:rsid w:val="70789BE4"/>
    <w:rsid w:val="70796F01"/>
    <w:rsid w:val="707D3CC8"/>
    <w:rsid w:val="7082E0AE"/>
    <w:rsid w:val="70832D54"/>
    <w:rsid w:val="7085BC4A"/>
    <w:rsid w:val="70863A7D"/>
    <w:rsid w:val="708C3532"/>
    <w:rsid w:val="708C5DAE"/>
    <w:rsid w:val="708F3F97"/>
    <w:rsid w:val="7091B37C"/>
    <w:rsid w:val="70966525"/>
    <w:rsid w:val="7099B827"/>
    <w:rsid w:val="70A2C476"/>
    <w:rsid w:val="70A6742C"/>
    <w:rsid w:val="70A67821"/>
    <w:rsid w:val="70A7D8A9"/>
    <w:rsid w:val="70A8E30D"/>
    <w:rsid w:val="70A971DE"/>
    <w:rsid w:val="70B186C5"/>
    <w:rsid w:val="70B4BDD1"/>
    <w:rsid w:val="70B60A0A"/>
    <w:rsid w:val="70B7D368"/>
    <w:rsid w:val="70BEAE5D"/>
    <w:rsid w:val="70C37D73"/>
    <w:rsid w:val="70C3D41A"/>
    <w:rsid w:val="70C9E512"/>
    <w:rsid w:val="70CF8B64"/>
    <w:rsid w:val="70CFE6B9"/>
    <w:rsid w:val="70D0AA1E"/>
    <w:rsid w:val="70D4D65A"/>
    <w:rsid w:val="70D68082"/>
    <w:rsid w:val="70D8B08B"/>
    <w:rsid w:val="70DA742F"/>
    <w:rsid w:val="70DD9F0D"/>
    <w:rsid w:val="70DF7BE8"/>
    <w:rsid w:val="70E68C81"/>
    <w:rsid w:val="70EA354A"/>
    <w:rsid w:val="70EA605B"/>
    <w:rsid w:val="70ED00A9"/>
    <w:rsid w:val="70EFCD94"/>
    <w:rsid w:val="70FCCC29"/>
    <w:rsid w:val="7100ABF0"/>
    <w:rsid w:val="71034E2A"/>
    <w:rsid w:val="7109EA70"/>
    <w:rsid w:val="710E6946"/>
    <w:rsid w:val="710FBA62"/>
    <w:rsid w:val="7111764A"/>
    <w:rsid w:val="71124A08"/>
    <w:rsid w:val="7112E9D7"/>
    <w:rsid w:val="7114B245"/>
    <w:rsid w:val="7118C512"/>
    <w:rsid w:val="711DDA3B"/>
    <w:rsid w:val="711E97C6"/>
    <w:rsid w:val="712177FD"/>
    <w:rsid w:val="712BAA79"/>
    <w:rsid w:val="712F4E2C"/>
    <w:rsid w:val="7135CF98"/>
    <w:rsid w:val="7137518A"/>
    <w:rsid w:val="71390520"/>
    <w:rsid w:val="713C9812"/>
    <w:rsid w:val="713DAE96"/>
    <w:rsid w:val="713E51C2"/>
    <w:rsid w:val="7141481F"/>
    <w:rsid w:val="7149C54D"/>
    <w:rsid w:val="714DEB48"/>
    <w:rsid w:val="7154CA0F"/>
    <w:rsid w:val="715F9D8D"/>
    <w:rsid w:val="71606C18"/>
    <w:rsid w:val="7161587B"/>
    <w:rsid w:val="7163F5F0"/>
    <w:rsid w:val="7165530E"/>
    <w:rsid w:val="7168E25A"/>
    <w:rsid w:val="716D5871"/>
    <w:rsid w:val="718958E0"/>
    <w:rsid w:val="71908F59"/>
    <w:rsid w:val="7191F4BC"/>
    <w:rsid w:val="7195CADD"/>
    <w:rsid w:val="71968F2D"/>
    <w:rsid w:val="7198B34A"/>
    <w:rsid w:val="719AB5ED"/>
    <w:rsid w:val="719F38F0"/>
    <w:rsid w:val="71A5BAC5"/>
    <w:rsid w:val="71A7349A"/>
    <w:rsid w:val="71AA082F"/>
    <w:rsid w:val="71ABCE02"/>
    <w:rsid w:val="71ACEBEB"/>
    <w:rsid w:val="71B48E69"/>
    <w:rsid w:val="71B56F0C"/>
    <w:rsid w:val="71BA3009"/>
    <w:rsid w:val="71BA62CE"/>
    <w:rsid w:val="71BD4EE4"/>
    <w:rsid w:val="71C020FA"/>
    <w:rsid w:val="71C1A0E5"/>
    <w:rsid w:val="71CB72A7"/>
    <w:rsid w:val="71CD024E"/>
    <w:rsid w:val="71CF2A0E"/>
    <w:rsid w:val="71D09E75"/>
    <w:rsid w:val="71D2E82C"/>
    <w:rsid w:val="71D4D83D"/>
    <w:rsid w:val="71D8A8ED"/>
    <w:rsid w:val="71DB6CFE"/>
    <w:rsid w:val="71DCDD35"/>
    <w:rsid w:val="71E0391B"/>
    <w:rsid w:val="71E71969"/>
    <w:rsid w:val="71E77FBC"/>
    <w:rsid w:val="71E7C6DB"/>
    <w:rsid w:val="71EA5356"/>
    <w:rsid w:val="71EB51D3"/>
    <w:rsid w:val="71F13106"/>
    <w:rsid w:val="71F24FA0"/>
    <w:rsid w:val="71F2F7E8"/>
    <w:rsid w:val="71F930CE"/>
    <w:rsid w:val="71FFBA12"/>
    <w:rsid w:val="7201665A"/>
    <w:rsid w:val="72028EAC"/>
    <w:rsid w:val="72043191"/>
    <w:rsid w:val="7208ACE5"/>
    <w:rsid w:val="720D0BAF"/>
    <w:rsid w:val="7218CECA"/>
    <w:rsid w:val="721B6747"/>
    <w:rsid w:val="721B8BE5"/>
    <w:rsid w:val="721F6711"/>
    <w:rsid w:val="72216237"/>
    <w:rsid w:val="722184C6"/>
    <w:rsid w:val="722319D0"/>
    <w:rsid w:val="72267AD0"/>
    <w:rsid w:val="722AFAE1"/>
    <w:rsid w:val="722BB320"/>
    <w:rsid w:val="722D589C"/>
    <w:rsid w:val="723D6AF7"/>
    <w:rsid w:val="724218F6"/>
    <w:rsid w:val="7242FFF5"/>
    <w:rsid w:val="72448D3F"/>
    <w:rsid w:val="72454D0D"/>
    <w:rsid w:val="7247D43A"/>
    <w:rsid w:val="724D1E29"/>
    <w:rsid w:val="72505B7E"/>
    <w:rsid w:val="7251BF9D"/>
    <w:rsid w:val="72533C97"/>
    <w:rsid w:val="725932B7"/>
    <w:rsid w:val="725C9EB9"/>
    <w:rsid w:val="72614BB7"/>
    <w:rsid w:val="7261BFDA"/>
    <w:rsid w:val="7261CBDA"/>
    <w:rsid w:val="72633040"/>
    <w:rsid w:val="7265F99D"/>
    <w:rsid w:val="726F23C2"/>
    <w:rsid w:val="726F90B1"/>
    <w:rsid w:val="7270992A"/>
    <w:rsid w:val="72731DD9"/>
    <w:rsid w:val="727500C2"/>
    <w:rsid w:val="7275E274"/>
    <w:rsid w:val="72794029"/>
    <w:rsid w:val="727A0A26"/>
    <w:rsid w:val="727B3955"/>
    <w:rsid w:val="72826081"/>
    <w:rsid w:val="728592A2"/>
    <w:rsid w:val="728CD22D"/>
    <w:rsid w:val="72948C16"/>
    <w:rsid w:val="7296626D"/>
    <w:rsid w:val="7297228B"/>
    <w:rsid w:val="729841CA"/>
    <w:rsid w:val="7298BBE6"/>
    <w:rsid w:val="729E8039"/>
    <w:rsid w:val="729E8909"/>
    <w:rsid w:val="729E8A13"/>
    <w:rsid w:val="72A11571"/>
    <w:rsid w:val="72A2A21A"/>
    <w:rsid w:val="72A7BCA3"/>
    <w:rsid w:val="72A8B61E"/>
    <w:rsid w:val="72A9EAE6"/>
    <w:rsid w:val="72AF32BA"/>
    <w:rsid w:val="72B1106E"/>
    <w:rsid w:val="72B251DA"/>
    <w:rsid w:val="72B2E62B"/>
    <w:rsid w:val="72B63B82"/>
    <w:rsid w:val="72B69964"/>
    <w:rsid w:val="72B7706C"/>
    <w:rsid w:val="72B9BF19"/>
    <w:rsid w:val="72BB3FA4"/>
    <w:rsid w:val="72BE1EB0"/>
    <w:rsid w:val="72BFE4C6"/>
    <w:rsid w:val="72C05FA1"/>
    <w:rsid w:val="72C6D7A2"/>
    <w:rsid w:val="72C82211"/>
    <w:rsid w:val="72C969E0"/>
    <w:rsid w:val="72D81993"/>
    <w:rsid w:val="72DEFCC3"/>
    <w:rsid w:val="72E0B11D"/>
    <w:rsid w:val="72E4D04D"/>
    <w:rsid w:val="72E70301"/>
    <w:rsid w:val="72E7F835"/>
    <w:rsid w:val="72EAA84C"/>
    <w:rsid w:val="72F7F239"/>
    <w:rsid w:val="72FD18E2"/>
    <w:rsid w:val="72FDE4AE"/>
    <w:rsid w:val="73009D2C"/>
    <w:rsid w:val="73072084"/>
    <w:rsid w:val="7311DE05"/>
    <w:rsid w:val="73137606"/>
    <w:rsid w:val="73179F81"/>
    <w:rsid w:val="731BEE9E"/>
    <w:rsid w:val="73269B3C"/>
    <w:rsid w:val="732E0342"/>
    <w:rsid w:val="7332E3AD"/>
    <w:rsid w:val="7334B159"/>
    <w:rsid w:val="7338EB60"/>
    <w:rsid w:val="733FF85B"/>
    <w:rsid w:val="7344982C"/>
    <w:rsid w:val="73451D23"/>
    <w:rsid w:val="7349DDBC"/>
    <w:rsid w:val="734A6320"/>
    <w:rsid w:val="734B40EB"/>
    <w:rsid w:val="734B5B13"/>
    <w:rsid w:val="734E32EB"/>
    <w:rsid w:val="734FA1F9"/>
    <w:rsid w:val="734FC274"/>
    <w:rsid w:val="73503E78"/>
    <w:rsid w:val="7350D666"/>
    <w:rsid w:val="735448B5"/>
    <w:rsid w:val="7354A168"/>
    <w:rsid w:val="7355CC70"/>
    <w:rsid w:val="7356B885"/>
    <w:rsid w:val="73574CA8"/>
    <w:rsid w:val="7359E5DD"/>
    <w:rsid w:val="735C89C0"/>
    <w:rsid w:val="73626180"/>
    <w:rsid w:val="7362A322"/>
    <w:rsid w:val="7363DE2B"/>
    <w:rsid w:val="73655998"/>
    <w:rsid w:val="7366348A"/>
    <w:rsid w:val="73690841"/>
    <w:rsid w:val="736CFF90"/>
    <w:rsid w:val="736D3248"/>
    <w:rsid w:val="736FA917"/>
    <w:rsid w:val="73721166"/>
    <w:rsid w:val="7374516C"/>
    <w:rsid w:val="738B9562"/>
    <w:rsid w:val="7397EF47"/>
    <w:rsid w:val="7399B86E"/>
    <w:rsid w:val="7399D092"/>
    <w:rsid w:val="739C6A32"/>
    <w:rsid w:val="739F19DD"/>
    <w:rsid w:val="739FC876"/>
    <w:rsid w:val="73A0A461"/>
    <w:rsid w:val="73A12EDC"/>
    <w:rsid w:val="73A65409"/>
    <w:rsid w:val="73AA5DB2"/>
    <w:rsid w:val="73AE8A47"/>
    <w:rsid w:val="73B67323"/>
    <w:rsid w:val="73B9865A"/>
    <w:rsid w:val="73BAD1B5"/>
    <w:rsid w:val="73BCCBCD"/>
    <w:rsid w:val="73BFBE0B"/>
    <w:rsid w:val="73C020FE"/>
    <w:rsid w:val="73C1571C"/>
    <w:rsid w:val="73C63EE6"/>
    <w:rsid w:val="73C68787"/>
    <w:rsid w:val="73C6BC46"/>
    <w:rsid w:val="73CB0F99"/>
    <w:rsid w:val="73CDCE4A"/>
    <w:rsid w:val="73CE68AD"/>
    <w:rsid w:val="73D8E86A"/>
    <w:rsid w:val="73D8FC82"/>
    <w:rsid w:val="73DAB075"/>
    <w:rsid w:val="73DFEBC0"/>
    <w:rsid w:val="73E0253F"/>
    <w:rsid w:val="73E5EB2B"/>
    <w:rsid w:val="73F0BE55"/>
    <w:rsid w:val="73F144C0"/>
    <w:rsid w:val="73F2981E"/>
    <w:rsid w:val="73F3E1FB"/>
    <w:rsid w:val="73F5C44B"/>
    <w:rsid w:val="73F75282"/>
    <w:rsid w:val="73F8B443"/>
    <w:rsid w:val="740A83CE"/>
    <w:rsid w:val="740BD3AF"/>
    <w:rsid w:val="741BF016"/>
    <w:rsid w:val="74210F56"/>
    <w:rsid w:val="74212858"/>
    <w:rsid w:val="7424F97F"/>
    <w:rsid w:val="74265009"/>
    <w:rsid w:val="7429F06E"/>
    <w:rsid w:val="7431F214"/>
    <w:rsid w:val="743D5966"/>
    <w:rsid w:val="743EDF9C"/>
    <w:rsid w:val="74404129"/>
    <w:rsid w:val="7440FF93"/>
    <w:rsid w:val="74425C12"/>
    <w:rsid w:val="7442B7EF"/>
    <w:rsid w:val="74454D78"/>
    <w:rsid w:val="7448E8E4"/>
    <w:rsid w:val="744A5282"/>
    <w:rsid w:val="744A7BE9"/>
    <w:rsid w:val="744BA7FF"/>
    <w:rsid w:val="744CA1A8"/>
    <w:rsid w:val="744D711D"/>
    <w:rsid w:val="744DB98E"/>
    <w:rsid w:val="74585FAF"/>
    <w:rsid w:val="7458765A"/>
    <w:rsid w:val="745CFCE8"/>
    <w:rsid w:val="746020E0"/>
    <w:rsid w:val="7461A71E"/>
    <w:rsid w:val="74673663"/>
    <w:rsid w:val="74683D2E"/>
    <w:rsid w:val="7468619E"/>
    <w:rsid w:val="746ADE96"/>
    <w:rsid w:val="74701B0E"/>
    <w:rsid w:val="74777E75"/>
    <w:rsid w:val="747BD832"/>
    <w:rsid w:val="74804CAD"/>
    <w:rsid w:val="7484B464"/>
    <w:rsid w:val="7486EF29"/>
    <w:rsid w:val="74895D57"/>
    <w:rsid w:val="748F07EB"/>
    <w:rsid w:val="748FCCE7"/>
    <w:rsid w:val="74907176"/>
    <w:rsid w:val="74924FC6"/>
    <w:rsid w:val="7494D729"/>
    <w:rsid w:val="74A0729B"/>
    <w:rsid w:val="74A131DD"/>
    <w:rsid w:val="74A16035"/>
    <w:rsid w:val="74A30950"/>
    <w:rsid w:val="74A55095"/>
    <w:rsid w:val="74A766A3"/>
    <w:rsid w:val="74AE62D1"/>
    <w:rsid w:val="74B17AC5"/>
    <w:rsid w:val="74B1941C"/>
    <w:rsid w:val="74B6A938"/>
    <w:rsid w:val="74B7B1E2"/>
    <w:rsid w:val="74BACFA1"/>
    <w:rsid w:val="74C07334"/>
    <w:rsid w:val="74C0D5E0"/>
    <w:rsid w:val="74C231BC"/>
    <w:rsid w:val="74C6C241"/>
    <w:rsid w:val="74CA078E"/>
    <w:rsid w:val="74CC17DC"/>
    <w:rsid w:val="74CCA071"/>
    <w:rsid w:val="74D508BE"/>
    <w:rsid w:val="74DC92EC"/>
    <w:rsid w:val="74E28495"/>
    <w:rsid w:val="74E6DEEC"/>
    <w:rsid w:val="74EA4678"/>
    <w:rsid w:val="74EC2C35"/>
    <w:rsid w:val="74EFFC54"/>
    <w:rsid w:val="74F161E2"/>
    <w:rsid w:val="74F22C02"/>
    <w:rsid w:val="74F80813"/>
    <w:rsid w:val="74F96240"/>
    <w:rsid w:val="74FA4543"/>
    <w:rsid w:val="74FBB577"/>
    <w:rsid w:val="74FE7943"/>
    <w:rsid w:val="74FF2AF0"/>
    <w:rsid w:val="7500E949"/>
    <w:rsid w:val="75030CBC"/>
    <w:rsid w:val="75091BB8"/>
    <w:rsid w:val="7509275F"/>
    <w:rsid w:val="750C6E41"/>
    <w:rsid w:val="750C966C"/>
    <w:rsid w:val="750F5490"/>
    <w:rsid w:val="750FB30B"/>
    <w:rsid w:val="751274C8"/>
    <w:rsid w:val="75160CE1"/>
    <w:rsid w:val="751BCBC2"/>
    <w:rsid w:val="751C18DD"/>
    <w:rsid w:val="751E2C56"/>
    <w:rsid w:val="751F0E58"/>
    <w:rsid w:val="7523CC48"/>
    <w:rsid w:val="7524A67E"/>
    <w:rsid w:val="752787A5"/>
    <w:rsid w:val="752A1ED2"/>
    <w:rsid w:val="752DA9E1"/>
    <w:rsid w:val="752DC82D"/>
    <w:rsid w:val="752DF37C"/>
    <w:rsid w:val="75371FF1"/>
    <w:rsid w:val="75379448"/>
    <w:rsid w:val="7537CE04"/>
    <w:rsid w:val="75386438"/>
    <w:rsid w:val="75391F5C"/>
    <w:rsid w:val="75432722"/>
    <w:rsid w:val="754349A4"/>
    <w:rsid w:val="7543C2E6"/>
    <w:rsid w:val="7543CA1A"/>
    <w:rsid w:val="754697FF"/>
    <w:rsid w:val="75491D44"/>
    <w:rsid w:val="754B16B4"/>
    <w:rsid w:val="754F736D"/>
    <w:rsid w:val="7555E1ED"/>
    <w:rsid w:val="75569F36"/>
    <w:rsid w:val="755B8E8C"/>
    <w:rsid w:val="7560225F"/>
    <w:rsid w:val="75602CB4"/>
    <w:rsid w:val="756459D0"/>
    <w:rsid w:val="7565E20C"/>
    <w:rsid w:val="7570E5F9"/>
    <w:rsid w:val="75739CEF"/>
    <w:rsid w:val="75758993"/>
    <w:rsid w:val="7578BEAB"/>
    <w:rsid w:val="75794297"/>
    <w:rsid w:val="757BC067"/>
    <w:rsid w:val="757EEDA4"/>
    <w:rsid w:val="757F5DCE"/>
    <w:rsid w:val="758362D4"/>
    <w:rsid w:val="758721F2"/>
    <w:rsid w:val="758825C5"/>
    <w:rsid w:val="758F6FD0"/>
    <w:rsid w:val="759049D2"/>
    <w:rsid w:val="7593CC69"/>
    <w:rsid w:val="75957301"/>
    <w:rsid w:val="759641E3"/>
    <w:rsid w:val="7597BC68"/>
    <w:rsid w:val="7598363E"/>
    <w:rsid w:val="759C26A1"/>
    <w:rsid w:val="759D4F2F"/>
    <w:rsid w:val="75A76E78"/>
    <w:rsid w:val="75A9BA22"/>
    <w:rsid w:val="75AFBDAC"/>
    <w:rsid w:val="75B8076D"/>
    <w:rsid w:val="75B85417"/>
    <w:rsid w:val="75BC685B"/>
    <w:rsid w:val="75BD121D"/>
    <w:rsid w:val="75C081FE"/>
    <w:rsid w:val="75C5EC65"/>
    <w:rsid w:val="75C7DECC"/>
    <w:rsid w:val="75C9B610"/>
    <w:rsid w:val="75CD44BA"/>
    <w:rsid w:val="75CFA701"/>
    <w:rsid w:val="75D1C4F0"/>
    <w:rsid w:val="75D9466D"/>
    <w:rsid w:val="75DA1374"/>
    <w:rsid w:val="75DCFCD0"/>
    <w:rsid w:val="75E18C30"/>
    <w:rsid w:val="75E7CFC8"/>
    <w:rsid w:val="75E7F222"/>
    <w:rsid w:val="75EA28AF"/>
    <w:rsid w:val="75EB7D73"/>
    <w:rsid w:val="75EE3E22"/>
    <w:rsid w:val="75F135CE"/>
    <w:rsid w:val="75F16A2B"/>
    <w:rsid w:val="75F1C37C"/>
    <w:rsid w:val="75F4CBBF"/>
    <w:rsid w:val="75F72E5E"/>
    <w:rsid w:val="75F9F2F8"/>
    <w:rsid w:val="75FC9FDF"/>
    <w:rsid w:val="75FFEC90"/>
    <w:rsid w:val="7603DB7F"/>
    <w:rsid w:val="76057BB3"/>
    <w:rsid w:val="7607D7F0"/>
    <w:rsid w:val="7612A67B"/>
    <w:rsid w:val="761BD4F4"/>
    <w:rsid w:val="7626D484"/>
    <w:rsid w:val="7629DA08"/>
    <w:rsid w:val="76313743"/>
    <w:rsid w:val="763599A3"/>
    <w:rsid w:val="7635A66E"/>
    <w:rsid w:val="763B057C"/>
    <w:rsid w:val="763DED8A"/>
    <w:rsid w:val="763E82F7"/>
    <w:rsid w:val="76411A06"/>
    <w:rsid w:val="764593B2"/>
    <w:rsid w:val="764DB8F5"/>
    <w:rsid w:val="765A7333"/>
    <w:rsid w:val="765BD386"/>
    <w:rsid w:val="76603024"/>
    <w:rsid w:val="766894D1"/>
    <w:rsid w:val="766A846F"/>
    <w:rsid w:val="76776DE9"/>
    <w:rsid w:val="767C0B7D"/>
    <w:rsid w:val="767F7A87"/>
    <w:rsid w:val="767F9865"/>
    <w:rsid w:val="7683536F"/>
    <w:rsid w:val="7687A0D7"/>
    <w:rsid w:val="76888AFE"/>
    <w:rsid w:val="768B6927"/>
    <w:rsid w:val="768C3A1B"/>
    <w:rsid w:val="768CD5DC"/>
    <w:rsid w:val="768ECE1A"/>
    <w:rsid w:val="768F0532"/>
    <w:rsid w:val="76941D3E"/>
    <w:rsid w:val="7696CBEA"/>
    <w:rsid w:val="769C4E25"/>
    <w:rsid w:val="769F70D5"/>
    <w:rsid w:val="76A277A1"/>
    <w:rsid w:val="76A3F155"/>
    <w:rsid w:val="76A61F7D"/>
    <w:rsid w:val="76A86684"/>
    <w:rsid w:val="76AB4281"/>
    <w:rsid w:val="76B1D520"/>
    <w:rsid w:val="76B21A0A"/>
    <w:rsid w:val="76BBFB08"/>
    <w:rsid w:val="76BEF5E2"/>
    <w:rsid w:val="76BFA60B"/>
    <w:rsid w:val="76C0806F"/>
    <w:rsid w:val="76C2B5E1"/>
    <w:rsid w:val="76C4DCA9"/>
    <w:rsid w:val="76C93471"/>
    <w:rsid w:val="76C9CF73"/>
    <w:rsid w:val="76D48CD6"/>
    <w:rsid w:val="76D5724F"/>
    <w:rsid w:val="76D7AEEE"/>
    <w:rsid w:val="76DC1E08"/>
    <w:rsid w:val="76DEB24B"/>
    <w:rsid w:val="76DF2DE3"/>
    <w:rsid w:val="76E9C80B"/>
    <w:rsid w:val="76EBE05F"/>
    <w:rsid w:val="76EFBD19"/>
    <w:rsid w:val="76F0356C"/>
    <w:rsid w:val="76F17062"/>
    <w:rsid w:val="76F4E1BE"/>
    <w:rsid w:val="76F7513B"/>
    <w:rsid w:val="76F8056C"/>
    <w:rsid w:val="76F996C1"/>
    <w:rsid w:val="76FB2050"/>
    <w:rsid w:val="76FBF787"/>
    <w:rsid w:val="76FC99C7"/>
    <w:rsid w:val="76FF2D06"/>
    <w:rsid w:val="7706C986"/>
    <w:rsid w:val="770B25E3"/>
    <w:rsid w:val="770BE4C0"/>
    <w:rsid w:val="770EF97C"/>
    <w:rsid w:val="7717EB27"/>
    <w:rsid w:val="771A93E5"/>
    <w:rsid w:val="771CF620"/>
    <w:rsid w:val="772462D0"/>
    <w:rsid w:val="7726BF47"/>
    <w:rsid w:val="772B0FE5"/>
    <w:rsid w:val="772F2172"/>
    <w:rsid w:val="7737A765"/>
    <w:rsid w:val="773AC2ED"/>
    <w:rsid w:val="773D5247"/>
    <w:rsid w:val="773FAE39"/>
    <w:rsid w:val="7745E872"/>
    <w:rsid w:val="77480DC9"/>
    <w:rsid w:val="77488192"/>
    <w:rsid w:val="774B4BCF"/>
    <w:rsid w:val="774E0126"/>
    <w:rsid w:val="7751A273"/>
    <w:rsid w:val="77537E1D"/>
    <w:rsid w:val="7754112F"/>
    <w:rsid w:val="7756DCDA"/>
    <w:rsid w:val="775D31B9"/>
    <w:rsid w:val="775FA6D5"/>
    <w:rsid w:val="77605AE0"/>
    <w:rsid w:val="77642A9C"/>
    <w:rsid w:val="776D455F"/>
    <w:rsid w:val="77708FC7"/>
    <w:rsid w:val="7774A6BD"/>
    <w:rsid w:val="7776D14A"/>
    <w:rsid w:val="777E795F"/>
    <w:rsid w:val="777E899E"/>
    <w:rsid w:val="7785B3ED"/>
    <w:rsid w:val="778A72B4"/>
    <w:rsid w:val="778DA2BA"/>
    <w:rsid w:val="778DEA87"/>
    <w:rsid w:val="779333AF"/>
    <w:rsid w:val="7794702E"/>
    <w:rsid w:val="77975D75"/>
    <w:rsid w:val="7798E97C"/>
    <w:rsid w:val="77998920"/>
    <w:rsid w:val="779C2013"/>
    <w:rsid w:val="779D6E19"/>
    <w:rsid w:val="779E8A0A"/>
    <w:rsid w:val="77A241AC"/>
    <w:rsid w:val="77A27CDE"/>
    <w:rsid w:val="77A6564E"/>
    <w:rsid w:val="77A98441"/>
    <w:rsid w:val="77AA86D2"/>
    <w:rsid w:val="77B59FAC"/>
    <w:rsid w:val="77B6665C"/>
    <w:rsid w:val="77BAEBFF"/>
    <w:rsid w:val="77BC7CAB"/>
    <w:rsid w:val="77C0565C"/>
    <w:rsid w:val="77C0A732"/>
    <w:rsid w:val="77C0E3D0"/>
    <w:rsid w:val="77C1E92A"/>
    <w:rsid w:val="77C3B3FA"/>
    <w:rsid w:val="77CA5545"/>
    <w:rsid w:val="77CB5371"/>
    <w:rsid w:val="77CC8822"/>
    <w:rsid w:val="77DA4629"/>
    <w:rsid w:val="77DE4DD8"/>
    <w:rsid w:val="77DEEEB6"/>
    <w:rsid w:val="77E28BA9"/>
    <w:rsid w:val="77F554A4"/>
    <w:rsid w:val="77F73BA9"/>
    <w:rsid w:val="77F98CA9"/>
    <w:rsid w:val="77FA21AB"/>
    <w:rsid w:val="77FB6E20"/>
    <w:rsid w:val="77FF15E6"/>
    <w:rsid w:val="77FFA208"/>
    <w:rsid w:val="780314F3"/>
    <w:rsid w:val="7807AB5A"/>
    <w:rsid w:val="780CC4E2"/>
    <w:rsid w:val="78103740"/>
    <w:rsid w:val="7812768C"/>
    <w:rsid w:val="7816DE63"/>
    <w:rsid w:val="7818471E"/>
    <w:rsid w:val="78188E65"/>
    <w:rsid w:val="781A8638"/>
    <w:rsid w:val="781E1E0D"/>
    <w:rsid w:val="78231A35"/>
    <w:rsid w:val="7828F0A4"/>
    <w:rsid w:val="782D26E3"/>
    <w:rsid w:val="78316679"/>
    <w:rsid w:val="7831F604"/>
    <w:rsid w:val="7834B2F5"/>
    <w:rsid w:val="7845DE57"/>
    <w:rsid w:val="78460B0A"/>
    <w:rsid w:val="784E5D78"/>
    <w:rsid w:val="784FF8D7"/>
    <w:rsid w:val="78500924"/>
    <w:rsid w:val="7851D0DB"/>
    <w:rsid w:val="7855CD18"/>
    <w:rsid w:val="7859AA90"/>
    <w:rsid w:val="785DFC4A"/>
    <w:rsid w:val="785FF1C2"/>
    <w:rsid w:val="78615029"/>
    <w:rsid w:val="786179E8"/>
    <w:rsid w:val="786259B2"/>
    <w:rsid w:val="78634AC9"/>
    <w:rsid w:val="7867BF34"/>
    <w:rsid w:val="786C98AC"/>
    <w:rsid w:val="786CCC8E"/>
    <w:rsid w:val="786D8DA6"/>
    <w:rsid w:val="78736A36"/>
    <w:rsid w:val="78743C10"/>
    <w:rsid w:val="7874975C"/>
    <w:rsid w:val="7881331E"/>
    <w:rsid w:val="78858663"/>
    <w:rsid w:val="788993DD"/>
    <w:rsid w:val="788A20D1"/>
    <w:rsid w:val="7897DB7B"/>
    <w:rsid w:val="789839AA"/>
    <w:rsid w:val="789CE393"/>
    <w:rsid w:val="78A03B3E"/>
    <w:rsid w:val="78A0D466"/>
    <w:rsid w:val="78A2B4DD"/>
    <w:rsid w:val="78A78B24"/>
    <w:rsid w:val="78A8CEF1"/>
    <w:rsid w:val="78AAE2FB"/>
    <w:rsid w:val="78B31AED"/>
    <w:rsid w:val="78BD7867"/>
    <w:rsid w:val="78BDC692"/>
    <w:rsid w:val="78BF3267"/>
    <w:rsid w:val="78BFA285"/>
    <w:rsid w:val="78C98B0A"/>
    <w:rsid w:val="78CCEA3C"/>
    <w:rsid w:val="78CE0E55"/>
    <w:rsid w:val="78D1C87C"/>
    <w:rsid w:val="78D6A058"/>
    <w:rsid w:val="78D6E263"/>
    <w:rsid w:val="78D84627"/>
    <w:rsid w:val="78D8A15B"/>
    <w:rsid w:val="78DB3B7F"/>
    <w:rsid w:val="78DE3F4F"/>
    <w:rsid w:val="78E31F74"/>
    <w:rsid w:val="78E3FB17"/>
    <w:rsid w:val="78E5EABA"/>
    <w:rsid w:val="78E71572"/>
    <w:rsid w:val="78E837CC"/>
    <w:rsid w:val="78E96756"/>
    <w:rsid w:val="78ECF5E4"/>
    <w:rsid w:val="78F71F2A"/>
    <w:rsid w:val="78F82C1F"/>
    <w:rsid w:val="78FB3BF1"/>
    <w:rsid w:val="78FBF60C"/>
    <w:rsid w:val="78FD4A40"/>
    <w:rsid w:val="78FD6C0B"/>
    <w:rsid w:val="790096D9"/>
    <w:rsid w:val="790188CC"/>
    <w:rsid w:val="79029EE5"/>
    <w:rsid w:val="79090E9B"/>
    <w:rsid w:val="7909E4F3"/>
    <w:rsid w:val="790A1DC3"/>
    <w:rsid w:val="7910CFFD"/>
    <w:rsid w:val="7911CA57"/>
    <w:rsid w:val="7916BA65"/>
    <w:rsid w:val="791C5347"/>
    <w:rsid w:val="791E13A0"/>
    <w:rsid w:val="791F6C9E"/>
    <w:rsid w:val="791F8402"/>
    <w:rsid w:val="79273040"/>
    <w:rsid w:val="792E257E"/>
    <w:rsid w:val="7937C1C3"/>
    <w:rsid w:val="793A73BA"/>
    <w:rsid w:val="793CDDDB"/>
    <w:rsid w:val="793CF271"/>
    <w:rsid w:val="793D7063"/>
    <w:rsid w:val="7941EC5E"/>
    <w:rsid w:val="79432DC5"/>
    <w:rsid w:val="7943D845"/>
    <w:rsid w:val="794588A2"/>
    <w:rsid w:val="794D9E5D"/>
    <w:rsid w:val="7955C188"/>
    <w:rsid w:val="79582CA2"/>
    <w:rsid w:val="795A1BA6"/>
    <w:rsid w:val="795F8FDE"/>
    <w:rsid w:val="796479C1"/>
    <w:rsid w:val="7965CCB2"/>
    <w:rsid w:val="796B95EA"/>
    <w:rsid w:val="797207C5"/>
    <w:rsid w:val="79775CA3"/>
    <w:rsid w:val="797C643E"/>
    <w:rsid w:val="7981BFF0"/>
    <w:rsid w:val="79842F5B"/>
    <w:rsid w:val="7987C84B"/>
    <w:rsid w:val="798915F5"/>
    <w:rsid w:val="7990E6B3"/>
    <w:rsid w:val="7993729F"/>
    <w:rsid w:val="7994B68F"/>
    <w:rsid w:val="7996EC82"/>
    <w:rsid w:val="799E0F79"/>
    <w:rsid w:val="79A1FDF3"/>
    <w:rsid w:val="79A3EDEB"/>
    <w:rsid w:val="79B1096A"/>
    <w:rsid w:val="79B6A96E"/>
    <w:rsid w:val="79BB38BD"/>
    <w:rsid w:val="79BD48A0"/>
    <w:rsid w:val="79C1A966"/>
    <w:rsid w:val="79D43AD9"/>
    <w:rsid w:val="79D5ED41"/>
    <w:rsid w:val="79D73CC7"/>
    <w:rsid w:val="79DEA419"/>
    <w:rsid w:val="79DF6683"/>
    <w:rsid w:val="79E54B7C"/>
    <w:rsid w:val="79E674F2"/>
    <w:rsid w:val="79ECA019"/>
    <w:rsid w:val="79F085C3"/>
    <w:rsid w:val="79F0C5F1"/>
    <w:rsid w:val="79F194A6"/>
    <w:rsid w:val="79F4514A"/>
    <w:rsid w:val="79F791AD"/>
    <w:rsid w:val="79F92610"/>
    <w:rsid w:val="79F94203"/>
    <w:rsid w:val="79FB1947"/>
    <w:rsid w:val="79FC394A"/>
    <w:rsid w:val="79FD6D63"/>
    <w:rsid w:val="7A0E4BCA"/>
    <w:rsid w:val="7A101004"/>
    <w:rsid w:val="7A11B5E6"/>
    <w:rsid w:val="7A11C519"/>
    <w:rsid w:val="7A1554BF"/>
    <w:rsid w:val="7A16682D"/>
    <w:rsid w:val="7A1B31A8"/>
    <w:rsid w:val="7A1CF84A"/>
    <w:rsid w:val="7A228761"/>
    <w:rsid w:val="7A258941"/>
    <w:rsid w:val="7A2CC2FD"/>
    <w:rsid w:val="7A2E07B7"/>
    <w:rsid w:val="7A328677"/>
    <w:rsid w:val="7A345574"/>
    <w:rsid w:val="7A365116"/>
    <w:rsid w:val="7A36605E"/>
    <w:rsid w:val="7A3A8DB9"/>
    <w:rsid w:val="7A3A95C4"/>
    <w:rsid w:val="7A3F36E7"/>
    <w:rsid w:val="7A3FA364"/>
    <w:rsid w:val="7A41316D"/>
    <w:rsid w:val="7A426982"/>
    <w:rsid w:val="7A446032"/>
    <w:rsid w:val="7A458533"/>
    <w:rsid w:val="7A47E34F"/>
    <w:rsid w:val="7A49B7B4"/>
    <w:rsid w:val="7A518CFE"/>
    <w:rsid w:val="7A530F2B"/>
    <w:rsid w:val="7A5324E2"/>
    <w:rsid w:val="7A539D05"/>
    <w:rsid w:val="7A54150F"/>
    <w:rsid w:val="7A54B68F"/>
    <w:rsid w:val="7A569542"/>
    <w:rsid w:val="7A5C52C3"/>
    <w:rsid w:val="7A5DAC1D"/>
    <w:rsid w:val="7A5ECB51"/>
    <w:rsid w:val="7A61D517"/>
    <w:rsid w:val="7A634314"/>
    <w:rsid w:val="7A65EC93"/>
    <w:rsid w:val="7A70F86A"/>
    <w:rsid w:val="7A71D5ED"/>
    <w:rsid w:val="7A73D666"/>
    <w:rsid w:val="7A7C9658"/>
    <w:rsid w:val="7A807D03"/>
    <w:rsid w:val="7A822C6A"/>
    <w:rsid w:val="7A8247DE"/>
    <w:rsid w:val="7A868442"/>
    <w:rsid w:val="7A86B674"/>
    <w:rsid w:val="7A892F79"/>
    <w:rsid w:val="7A8A8EDD"/>
    <w:rsid w:val="7A8FFF73"/>
    <w:rsid w:val="7A93BFE3"/>
    <w:rsid w:val="7A985B18"/>
    <w:rsid w:val="7A986962"/>
    <w:rsid w:val="7A9A6464"/>
    <w:rsid w:val="7A9B6F5E"/>
    <w:rsid w:val="7AA1C9CB"/>
    <w:rsid w:val="7AAAA195"/>
    <w:rsid w:val="7AAB33F9"/>
    <w:rsid w:val="7AAD2BB6"/>
    <w:rsid w:val="7AAD8216"/>
    <w:rsid w:val="7AAD9584"/>
    <w:rsid w:val="7AAFEF27"/>
    <w:rsid w:val="7AB4ADB6"/>
    <w:rsid w:val="7AB4B5D6"/>
    <w:rsid w:val="7AB85E2D"/>
    <w:rsid w:val="7AB86B0B"/>
    <w:rsid w:val="7ABB16FA"/>
    <w:rsid w:val="7ABB8661"/>
    <w:rsid w:val="7ABFC44A"/>
    <w:rsid w:val="7AC54FB3"/>
    <w:rsid w:val="7AC5CDB1"/>
    <w:rsid w:val="7AC74CE8"/>
    <w:rsid w:val="7AC98B2D"/>
    <w:rsid w:val="7ACB186D"/>
    <w:rsid w:val="7ACB3790"/>
    <w:rsid w:val="7ACC1EFB"/>
    <w:rsid w:val="7AD0B536"/>
    <w:rsid w:val="7AD9332B"/>
    <w:rsid w:val="7ADCA008"/>
    <w:rsid w:val="7AE8EBD3"/>
    <w:rsid w:val="7AEAFAA1"/>
    <w:rsid w:val="7AF19344"/>
    <w:rsid w:val="7AF35351"/>
    <w:rsid w:val="7AF9E12E"/>
    <w:rsid w:val="7AFDF3C6"/>
    <w:rsid w:val="7AFE5F4C"/>
    <w:rsid w:val="7B012E0B"/>
    <w:rsid w:val="7B04906A"/>
    <w:rsid w:val="7B085493"/>
    <w:rsid w:val="7B0D4705"/>
    <w:rsid w:val="7B165E10"/>
    <w:rsid w:val="7B16A718"/>
    <w:rsid w:val="7B16BDAA"/>
    <w:rsid w:val="7B22D625"/>
    <w:rsid w:val="7B244A38"/>
    <w:rsid w:val="7B25A278"/>
    <w:rsid w:val="7B27827F"/>
    <w:rsid w:val="7B2C98A9"/>
    <w:rsid w:val="7B33DEDB"/>
    <w:rsid w:val="7B3559A7"/>
    <w:rsid w:val="7B3F6759"/>
    <w:rsid w:val="7B3F75F2"/>
    <w:rsid w:val="7B3FC0CA"/>
    <w:rsid w:val="7B47A996"/>
    <w:rsid w:val="7B4A174E"/>
    <w:rsid w:val="7B4AFCDB"/>
    <w:rsid w:val="7B4B3C99"/>
    <w:rsid w:val="7B4C768C"/>
    <w:rsid w:val="7B4CA9A0"/>
    <w:rsid w:val="7B523FC1"/>
    <w:rsid w:val="7B542126"/>
    <w:rsid w:val="7B5B51E2"/>
    <w:rsid w:val="7B654FCB"/>
    <w:rsid w:val="7B677272"/>
    <w:rsid w:val="7B6870BC"/>
    <w:rsid w:val="7B6BE488"/>
    <w:rsid w:val="7B70C982"/>
    <w:rsid w:val="7B773ABC"/>
    <w:rsid w:val="7B7FF968"/>
    <w:rsid w:val="7B84E817"/>
    <w:rsid w:val="7B87D4D5"/>
    <w:rsid w:val="7B880E36"/>
    <w:rsid w:val="7B8C1629"/>
    <w:rsid w:val="7B8E2BB8"/>
    <w:rsid w:val="7B92DFC6"/>
    <w:rsid w:val="7B965204"/>
    <w:rsid w:val="7B97FB24"/>
    <w:rsid w:val="7B98836B"/>
    <w:rsid w:val="7B98AD04"/>
    <w:rsid w:val="7B9C28CB"/>
    <w:rsid w:val="7B9D3B62"/>
    <w:rsid w:val="7BA373FE"/>
    <w:rsid w:val="7BA8283F"/>
    <w:rsid w:val="7BAA018D"/>
    <w:rsid w:val="7BAB18ED"/>
    <w:rsid w:val="7BABC80F"/>
    <w:rsid w:val="7BADD95F"/>
    <w:rsid w:val="7BAFA545"/>
    <w:rsid w:val="7BB11C3C"/>
    <w:rsid w:val="7BB71B86"/>
    <w:rsid w:val="7BBBFFA6"/>
    <w:rsid w:val="7BC15711"/>
    <w:rsid w:val="7BCB3E82"/>
    <w:rsid w:val="7BCB4A09"/>
    <w:rsid w:val="7BCBE30F"/>
    <w:rsid w:val="7BD63718"/>
    <w:rsid w:val="7BDF1E2A"/>
    <w:rsid w:val="7BDFD7CC"/>
    <w:rsid w:val="7BE42942"/>
    <w:rsid w:val="7BE52F10"/>
    <w:rsid w:val="7BE79835"/>
    <w:rsid w:val="7BE81561"/>
    <w:rsid w:val="7BE86B78"/>
    <w:rsid w:val="7BEB4BAF"/>
    <w:rsid w:val="7BECB2AF"/>
    <w:rsid w:val="7BED6E34"/>
    <w:rsid w:val="7BED910B"/>
    <w:rsid w:val="7BEF143F"/>
    <w:rsid w:val="7BF0D401"/>
    <w:rsid w:val="7BF727BC"/>
    <w:rsid w:val="7BF8DE10"/>
    <w:rsid w:val="7BFC3674"/>
    <w:rsid w:val="7BFFC979"/>
    <w:rsid w:val="7C03ECA5"/>
    <w:rsid w:val="7C05383B"/>
    <w:rsid w:val="7C0690D3"/>
    <w:rsid w:val="7C075A5A"/>
    <w:rsid w:val="7C08E634"/>
    <w:rsid w:val="7C0B5B10"/>
    <w:rsid w:val="7C11CB2E"/>
    <w:rsid w:val="7C120084"/>
    <w:rsid w:val="7C12BE2B"/>
    <w:rsid w:val="7C1498FE"/>
    <w:rsid w:val="7C14AC1F"/>
    <w:rsid w:val="7C17C507"/>
    <w:rsid w:val="7C20FF49"/>
    <w:rsid w:val="7C287062"/>
    <w:rsid w:val="7C2911A3"/>
    <w:rsid w:val="7C2AC7D2"/>
    <w:rsid w:val="7C374E9F"/>
    <w:rsid w:val="7C41D95F"/>
    <w:rsid w:val="7C434DB6"/>
    <w:rsid w:val="7C44AAEB"/>
    <w:rsid w:val="7C47F7B7"/>
    <w:rsid w:val="7C48EA4A"/>
    <w:rsid w:val="7C4A3AE9"/>
    <w:rsid w:val="7C4D41CA"/>
    <w:rsid w:val="7C4E7278"/>
    <w:rsid w:val="7C5457A5"/>
    <w:rsid w:val="7C54DD6B"/>
    <w:rsid w:val="7C57F000"/>
    <w:rsid w:val="7C600EC5"/>
    <w:rsid w:val="7C67DE58"/>
    <w:rsid w:val="7C6C2701"/>
    <w:rsid w:val="7C6C3FB4"/>
    <w:rsid w:val="7C6C9862"/>
    <w:rsid w:val="7C6CBB58"/>
    <w:rsid w:val="7C6FB087"/>
    <w:rsid w:val="7C6FEF66"/>
    <w:rsid w:val="7C7A2DCE"/>
    <w:rsid w:val="7C813BED"/>
    <w:rsid w:val="7C832E82"/>
    <w:rsid w:val="7C85BF34"/>
    <w:rsid w:val="7C87EC3B"/>
    <w:rsid w:val="7C8995B2"/>
    <w:rsid w:val="7C8C7890"/>
    <w:rsid w:val="7C922C4A"/>
    <w:rsid w:val="7C940E26"/>
    <w:rsid w:val="7C964B9F"/>
    <w:rsid w:val="7C97F6E1"/>
    <w:rsid w:val="7C9B7EFB"/>
    <w:rsid w:val="7CA95AF8"/>
    <w:rsid w:val="7CB17E9C"/>
    <w:rsid w:val="7CB369F6"/>
    <w:rsid w:val="7CB3EA58"/>
    <w:rsid w:val="7CB4CB96"/>
    <w:rsid w:val="7CB51543"/>
    <w:rsid w:val="7CB82142"/>
    <w:rsid w:val="7CC3136B"/>
    <w:rsid w:val="7CC52926"/>
    <w:rsid w:val="7CC8E516"/>
    <w:rsid w:val="7CC95EF9"/>
    <w:rsid w:val="7CCFB3B2"/>
    <w:rsid w:val="7CD07D72"/>
    <w:rsid w:val="7CDB8907"/>
    <w:rsid w:val="7CDFB94A"/>
    <w:rsid w:val="7CE35896"/>
    <w:rsid w:val="7CE7B5F5"/>
    <w:rsid w:val="7CEA8304"/>
    <w:rsid w:val="7CEA88C2"/>
    <w:rsid w:val="7CEF36EE"/>
    <w:rsid w:val="7CF5D2F5"/>
    <w:rsid w:val="7CFAF451"/>
    <w:rsid w:val="7CFC803B"/>
    <w:rsid w:val="7CFF8EFC"/>
    <w:rsid w:val="7CFFA31C"/>
    <w:rsid w:val="7D01D05F"/>
    <w:rsid w:val="7D02707F"/>
    <w:rsid w:val="7D0EAB69"/>
    <w:rsid w:val="7D0EB4FF"/>
    <w:rsid w:val="7D0EE4CD"/>
    <w:rsid w:val="7D13EB47"/>
    <w:rsid w:val="7D1AC3FA"/>
    <w:rsid w:val="7D1D05AC"/>
    <w:rsid w:val="7D25C18D"/>
    <w:rsid w:val="7D2ECDC8"/>
    <w:rsid w:val="7D2EDDD3"/>
    <w:rsid w:val="7D2FB081"/>
    <w:rsid w:val="7D320047"/>
    <w:rsid w:val="7D34FDA6"/>
    <w:rsid w:val="7D35DD6B"/>
    <w:rsid w:val="7D35EB16"/>
    <w:rsid w:val="7D39815E"/>
    <w:rsid w:val="7D407AB1"/>
    <w:rsid w:val="7D419E8D"/>
    <w:rsid w:val="7D419FB7"/>
    <w:rsid w:val="7D447978"/>
    <w:rsid w:val="7D476640"/>
    <w:rsid w:val="7D4B6A07"/>
    <w:rsid w:val="7D4F00FD"/>
    <w:rsid w:val="7D51EF17"/>
    <w:rsid w:val="7D51F20F"/>
    <w:rsid w:val="7D550B8F"/>
    <w:rsid w:val="7D57E4ED"/>
    <w:rsid w:val="7D585CAA"/>
    <w:rsid w:val="7D58DA23"/>
    <w:rsid w:val="7D5A1D6B"/>
    <w:rsid w:val="7D5C3375"/>
    <w:rsid w:val="7D5DB159"/>
    <w:rsid w:val="7D6291AC"/>
    <w:rsid w:val="7D671029"/>
    <w:rsid w:val="7D733D97"/>
    <w:rsid w:val="7D74143A"/>
    <w:rsid w:val="7D7435A4"/>
    <w:rsid w:val="7D7E1018"/>
    <w:rsid w:val="7D7EE430"/>
    <w:rsid w:val="7D8117DA"/>
    <w:rsid w:val="7D8AD926"/>
    <w:rsid w:val="7D8CDA53"/>
    <w:rsid w:val="7D8F07D1"/>
    <w:rsid w:val="7D909BCD"/>
    <w:rsid w:val="7D90D4D5"/>
    <w:rsid w:val="7D922A48"/>
    <w:rsid w:val="7D935388"/>
    <w:rsid w:val="7D97CE15"/>
    <w:rsid w:val="7D996CAA"/>
    <w:rsid w:val="7D9D0063"/>
    <w:rsid w:val="7DA476BC"/>
    <w:rsid w:val="7DA69573"/>
    <w:rsid w:val="7DAD1747"/>
    <w:rsid w:val="7DB16D7B"/>
    <w:rsid w:val="7DB999CD"/>
    <w:rsid w:val="7DBD1FD7"/>
    <w:rsid w:val="7DBF9ABC"/>
    <w:rsid w:val="7DC22572"/>
    <w:rsid w:val="7DC772C4"/>
    <w:rsid w:val="7DC8FB40"/>
    <w:rsid w:val="7DCA2AD3"/>
    <w:rsid w:val="7DCC05E1"/>
    <w:rsid w:val="7DD1BDBB"/>
    <w:rsid w:val="7DD5AAE3"/>
    <w:rsid w:val="7DD6FFA9"/>
    <w:rsid w:val="7DDCC925"/>
    <w:rsid w:val="7DE64717"/>
    <w:rsid w:val="7DE758E1"/>
    <w:rsid w:val="7DEB5808"/>
    <w:rsid w:val="7DED45E4"/>
    <w:rsid w:val="7DF07424"/>
    <w:rsid w:val="7DF0D118"/>
    <w:rsid w:val="7DF8F185"/>
    <w:rsid w:val="7DFBCDAC"/>
    <w:rsid w:val="7DFC2E67"/>
    <w:rsid w:val="7DFD0EF3"/>
    <w:rsid w:val="7DFEAAC8"/>
    <w:rsid w:val="7DFF7B42"/>
    <w:rsid w:val="7E044191"/>
    <w:rsid w:val="7E04471A"/>
    <w:rsid w:val="7E0C7C71"/>
    <w:rsid w:val="7E0D246A"/>
    <w:rsid w:val="7E0E5545"/>
    <w:rsid w:val="7E0E6ACD"/>
    <w:rsid w:val="7E0F3B15"/>
    <w:rsid w:val="7E145A46"/>
    <w:rsid w:val="7E1A1960"/>
    <w:rsid w:val="7E1D5611"/>
    <w:rsid w:val="7E220B2E"/>
    <w:rsid w:val="7E22797C"/>
    <w:rsid w:val="7E257526"/>
    <w:rsid w:val="7E26AE85"/>
    <w:rsid w:val="7E2E993F"/>
    <w:rsid w:val="7E2F2795"/>
    <w:rsid w:val="7E371CCB"/>
    <w:rsid w:val="7E3728E6"/>
    <w:rsid w:val="7E3E48CE"/>
    <w:rsid w:val="7E3F5293"/>
    <w:rsid w:val="7E428B86"/>
    <w:rsid w:val="7E43AD3D"/>
    <w:rsid w:val="7E440DBC"/>
    <w:rsid w:val="7E473AB0"/>
    <w:rsid w:val="7E4A7817"/>
    <w:rsid w:val="7E4F8DE8"/>
    <w:rsid w:val="7E516AAE"/>
    <w:rsid w:val="7E517849"/>
    <w:rsid w:val="7E5F21D4"/>
    <w:rsid w:val="7E6331B9"/>
    <w:rsid w:val="7E688FB3"/>
    <w:rsid w:val="7E6BA497"/>
    <w:rsid w:val="7E6D5DD3"/>
    <w:rsid w:val="7E729F36"/>
    <w:rsid w:val="7E79F4F5"/>
    <w:rsid w:val="7E7A4001"/>
    <w:rsid w:val="7E7BD00F"/>
    <w:rsid w:val="7E7C759A"/>
    <w:rsid w:val="7E7C7AF6"/>
    <w:rsid w:val="7E812CDB"/>
    <w:rsid w:val="7E866E4B"/>
    <w:rsid w:val="7E887525"/>
    <w:rsid w:val="7E8F0AE8"/>
    <w:rsid w:val="7E8FFB60"/>
    <w:rsid w:val="7E956DB3"/>
    <w:rsid w:val="7E983574"/>
    <w:rsid w:val="7E988C68"/>
    <w:rsid w:val="7E9FD3F0"/>
    <w:rsid w:val="7EA26C27"/>
    <w:rsid w:val="7EA833BB"/>
    <w:rsid w:val="7EA9DEAD"/>
    <w:rsid w:val="7EACDB36"/>
    <w:rsid w:val="7EB15066"/>
    <w:rsid w:val="7EB1800D"/>
    <w:rsid w:val="7EB2290D"/>
    <w:rsid w:val="7EB7F904"/>
    <w:rsid w:val="7EB81C39"/>
    <w:rsid w:val="7EB926BD"/>
    <w:rsid w:val="7EBA0F1D"/>
    <w:rsid w:val="7EBA5385"/>
    <w:rsid w:val="7EBAC138"/>
    <w:rsid w:val="7EBDCC95"/>
    <w:rsid w:val="7EBE5D58"/>
    <w:rsid w:val="7EBEE7AB"/>
    <w:rsid w:val="7EC67FA7"/>
    <w:rsid w:val="7EC6FF69"/>
    <w:rsid w:val="7EC9A597"/>
    <w:rsid w:val="7EC9C5B5"/>
    <w:rsid w:val="7ECA71EC"/>
    <w:rsid w:val="7ECB0C8B"/>
    <w:rsid w:val="7ECE36D2"/>
    <w:rsid w:val="7ED39ECA"/>
    <w:rsid w:val="7ED50D4B"/>
    <w:rsid w:val="7ED6AB5F"/>
    <w:rsid w:val="7EDA86A0"/>
    <w:rsid w:val="7EDD645F"/>
    <w:rsid w:val="7EDDF194"/>
    <w:rsid w:val="7EDE6868"/>
    <w:rsid w:val="7EE39323"/>
    <w:rsid w:val="7EEA2336"/>
    <w:rsid w:val="7EF64C93"/>
    <w:rsid w:val="7EF865F4"/>
    <w:rsid w:val="7EFA0EED"/>
    <w:rsid w:val="7EFAA10F"/>
    <w:rsid w:val="7EFCC9D5"/>
    <w:rsid w:val="7F001C72"/>
    <w:rsid w:val="7F00F693"/>
    <w:rsid w:val="7F028C00"/>
    <w:rsid w:val="7F0504F7"/>
    <w:rsid w:val="7F050FF8"/>
    <w:rsid w:val="7F06D975"/>
    <w:rsid w:val="7F07FC47"/>
    <w:rsid w:val="7F0CE7F3"/>
    <w:rsid w:val="7F0E9CA3"/>
    <w:rsid w:val="7F1887A9"/>
    <w:rsid w:val="7F1A06A1"/>
    <w:rsid w:val="7F221E20"/>
    <w:rsid w:val="7F22AAB2"/>
    <w:rsid w:val="7F25E7AA"/>
    <w:rsid w:val="7F28BDA2"/>
    <w:rsid w:val="7F2A3FD6"/>
    <w:rsid w:val="7F2B0D3D"/>
    <w:rsid w:val="7F321EFD"/>
    <w:rsid w:val="7F328C4D"/>
    <w:rsid w:val="7F369E4D"/>
    <w:rsid w:val="7F3DF0A4"/>
    <w:rsid w:val="7F3FB9CB"/>
    <w:rsid w:val="7F439E7A"/>
    <w:rsid w:val="7F45F9E3"/>
    <w:rsid w:val="7F46F82A"/>
    <w:rsid w:val="7F4D5993"/>
    <w:rsid w:val="7F4E284C"/>
    <w:rsid w:val="7F4F53E8"/>
    <w:rsid w:val="7F5009AC"/>
    <w:rsid w:val="7F517B31"/>
    <w:rsid w:val="7F54A53C"/>
    <w:rsid w:val="7F59AC61"/>
    <w:rsid w:val="7F5A5E25"/>
    <w:rsid w:val="7F5A5EE4"/>
    <w:rsid w:val="7F5BA027"/>
    <w:rsid w:val="7F5CC363"/>
    <w:rsid w:val="7F5E6BC2"/>
    <w:rsid w:val="7F636C1E"/>
    <w:rsid w:val="7F65443F"/>
    <w:rsid w:val="7F65FBF4"/>
    <w:rsid w:val="7F65FD09"/>
    <w:rsid w:val="7F670125"/>
    <w:rsid w:val="7F684A24"/>
    <w:rsid w:val="7F6B49F4"/>
    <w:rsid w:val="7F6BA1C5"/>
    <w:rsid w:val="7F6F3C3C"/>
    <w:rsid w:val="7F70BB59"/>
    <w:rsid w:val="7F7212FF"/>
    <w:rsid w:val="7F741A7B"/>
    <w:rsid w:val="7F755EF9"/>
    <w:rsid w:val="7F7E82F2"/>
    <w:rsid w:val="7F80CF15"/>
    <w:rsid w:val="7F80E5A1"/>
    <w:rsid w:val="7F841F5B"/>
    <w:rsid w:val="7F895D6F"/>
    <w:rsid w:val="7F8F2855"/>
    <w:rsid w:val="7F94BAA3"/>
    <w:rsid w:val="7F9BAFA5"/>
    <w:rsid w:val="7FA0FA84"/>
    <w:rsid w:val="7FA202D0"/>
    <w:rsid w:val="7FA4AAC5"/>
    <w:rsid w:val="7FAAD4EB"/>
    <w:rsid w:val="7FB13264"/>
    <w:rsid w:val="7FBA8EBE"/>
    <w:rsid w:val="7FBC68E2"/>
    <w:rsid w:val="7FBFF107"/>
    <w:rsid w:val="7FC5D370"/>
    <w:rsid w:val="7FCD415C"/>
    <w:rsid w:val="7FCE5CA3"/>
    <w:rsid w:val="7FCF9BD5"/>
    <w:rsid w:val="7FD32871"/>
    <w:rsid w:val="7FD382DF"/>
    <w:rsid w:val="7FD4E86B"/>
    <w:rsid w:val="7FD9E1BB"/>
    <w:rsid w:val="7FDA854E"/>
    <w:rsid w:val="7FE6669D"/>
    <w:rsid w:val="7FE7117F"/>
    <w:rsid w:val="7FE9AD4F"/>
    <w:rsid w:val="7FEDC218"/>
    <w:rsid w:val="7FF309D8"/>
    <w:rsid w:val="7FFC2AC3"/>
    <w:rsid w:val="7FFD702E"/>
    <w:rsid w:val="7FFDF1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A41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iPriority="16" w:unhideWhenUsed="1" w:qFormat="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312"/>
    <w:rPr>
      <w:rFonts w:ascii="Arial" w:hAnsi="Arial"/>
    </w:rPr>
  </w:style>
  <w:style w:type="paragraph" w:styleId="Heading1">
    <w:name w:val="heading 1"/>
    <w:basedOn w:val="Normal"/>
    <w:next w:val="Normal"/>
    <w:link w:val="Heading1Char"/>
    <w:uiPriority w:val="9"/>
    <w:qFormat/>
    <w:rsid w:val="00A50892"/>
    <w:pPr>
      <w:keepNext/>
      <w:keepLines/>
      <w:spacing w:before="240" w:after="0"/>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2">
    <w:name w:val="heading 2"/>
    <w:basedOn w:val="Normal"/>
    <w:next w:val="Normal"/>
    <w:link w:val="Heading2Char"/>
    <w:uiPriority w:val="9"/>
    <w:qFormat/>
    <w:rsid w:val="00044AD1"/>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uiPriority w:val="9"/>
    <w:qFormat/>
    <w:rsid w:val="001C209A"/>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uiPriority w:val="9"/>
    <w:qFormat/>
    <w:rsid w:val="001C209A"/>
    <w:pPr>
      <w:keepNext/>
      <w:keepLines/>
      <w:spacing w:before="360" w:line="240" w:lineRule="atLeast"/>
      <w:outlineLvl w:val="3"/>
    </w:pPr>
    <w:rPr>
      <w:rFonts w:eastAsia="Cambria" w:cs="Arial"/>
      <w:b/>
      <w:bCs/>
      <w:color w:val="001871"/>
      <w:sz w:val="28"/>
      <w:szCs w:val="26"/>
    </w:rPr>
  </w:style>
  <w:style w:type="paragraph" w:styleId="Heading5">
    <w:name w:val="heading 5"/>
    <w:basedOn w:val="Normal"/>
    <w:next w:val="Normal"/>
    <w:link w:val="Heading5Char"/>
    <w:uiPriority w:val="9"/>
    <w:qFormat/>
    <w:rsid w:val="00A83BD6"/>
    <w:pPr>
      <w:keepNext/>
      <w:keepLines/>
      <w:spacing w:before="240" w:line="240" w:lineRule="atLeast"/>
      <w:outlineLvl w:val="4"/>
    </w:pPr>
    <w:rPr>
      <w:rFonts w:eastAsia="Times New Roman" w:cs="Times New Roman"/>
      <w:b/>
      <w:bCs/>
      <w:color w:val="000000" w:themeColor="text1"/>
      <w:szCs w:val="26"/>
    </w:rPr>
  </w:style>
  <w:style w:type="paragraph" w:styleId="Heading6">
    <w:name w:val="heading 6"/>
    <w:basedOn w:val="Normal"/>
    <w:next w:val="Normal"/>
    <w:link w:val="Heading6Char"/>
    <w:uiPriority w:val="9"/>
    <w:qFormat/>
    <w:rsid w:val="003B2339"/>
    <w:pPr>
      <w:keepNext/>
      <w:keepLines/>
      <w:spacing w:before="240" w:line="240" w:lineRule="atLeast"/>
      <w:outlineLvl w:val="5"/>
    </w:pPr>
    <w:rPr>
      <w:rFonts w:eastAsia="Times New Roman" w:cs="Times New Roman"/>
      <w:bCs/>
      <w:i/>
      <w:szCs w:val="21"/>
    </w:rPr>
  </w:style>
  <w:style w:type="paragraph" w:styleId="Heading7">
    <w:name w:val="heading 7"/>
    <w:basedOn w:val="Normal"/>
    <w:next w:val="Normal"/>
    <w:link w:val="Heading7Char"/>
    <w:uiPriority w:val="9"/>
    <w:unhideWhenUsed/>
    <w:qFormat/>
    <w:rsid w:val="008F050C"/>
    <w:pPr>
      <w:keepNext/>
      <w:keepLines/>
      <w:suppressAutoHyphens/>
      <w:spacing w:before="40" w:after="180" w:line="240" w:lineRule="atLeast"/>
      <w:outlineLvl w:val="6"/>
    </w:pPr>
    <w:rPr>
      <w:rFonts w:asciiTheme="majorHAnsi" w:eastAsiaTheme="majorEastAsia" w:hAnsiTheme="majorHAnsi" w:cstheme="majorBidi"/>
      <w:i/>
      <w:iCs/>
      <w:color w:val="44546A" w:themeColor="text2"/>
      <w:sz w:val="19"/>
      <w:szCs w:val="19"/>
    </w:rPr>
  </w:style>
  <w:style w:type="paragraph" w:styleId="Heading8">
    <w:name w:val="heading 8"/>
    <w:basedOn w:val="Normal"/>
    <w:next w:val="Normal"/>
    <w:link w:val="Heading8Char"/>
    <w:uiPriority w:val="9"/>
    <w:unhideWhenUsed/>
    <w:qFormat/>
    <w:rsid w:val="008F050C"/>
    <w:pPr>
      <w:keepNext/>
      <w:keepLines/>
      <w:suppressAutoHyphens/>
      <w:spacing w:before="40" w:after="0" w:line="240" w:lineRule="atLeast"/>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uiPriority w:val="9"/>
    <w:rsid w:val="00044AD1"/>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uiPriority w:val="9"/>
    <w:rsid w:val="001C209A"/>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uiPriority w:val="9"/>
    <w:rsid w:val="001C209A"/>
    <w:rPr>
      <w:rFonts w:ascii="Arial" w:eastAsia="Cambria" w:hAnsi="Arial" w:cs="Arial"/>
      <w:b/>
      <w:bCs/>
      <w:color w:val="001871"/>
      <w:sz w:val="28"/>
      <w:szCs w:val="26"/>
    </w:rPr>
  </w:style>
  <w:style w:type="character" w:customStyle="1" w:styleId="Heading5Char">
    <w:name w:val="Heading 5 Char"/>
    <w:basedOn w:val="DefaultParagraphFont"/>
    <w:link w:val="Heading5"/>
    <w:uiPriority w:val="9"/>
    <w:rsid w:val="00A83BD6"/>
    <w:rPr>
      <w:rFonts w:ascii="Arial" w:eastAsia="Times New Roman" w:hAnsi="Arial" w:cs="Times New Roman"/>
      <w:b/>
      <w:bCs/>
      <w:color w:val="000000" w:themeColor="text1"/>
      <w:szCs w:val="26"/>
    </w:rPr>
  </w:style>
  <w:style w:type="character" w:customStyle="1" w:styleId="Heading6Char">
    <w:name w:val="Heading 6 Char"/>
    <w:basedOn w:val="DefaultParagraphFont"/>
    <w:link w:val="Heading6"/>
    <w:uiPriority w:val="9"/>
    <w:rsid w:val="003B2339"/>
    <w:rPr>
      <w:rFonts w:ascii="Arial" w:eastAsia="Times New Roman" w:hAnsi="Arial" w:cs="Times New Roman"/>
      <w:bCs/>
      <w:i/>
      <w:szCs w:val="21"/>
    </w:rPr>
  </w:style>
  <w:style w:type="paragraph" w:styleId="Date">
    <w:name w:val="Date"/>
    <w:basedOn w:val="Normal"/>
    <w:next w:val="Normal"/>
    <w:link w:val="DateChar"/>
    <w:uiPriority w:val="99"/>
    <w:rsid w:val="00F02AEC"/>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16"/>
    <w:qFormat/>
    <w:rsid w:val="009D24F0"/>
    <w:pPr>
      <w:spacing w:before="120" w:after="180" w:line="240" w:lineRule="atLeast"/>
      <w:ind w:left="360" w:hanging="360"/>
    </w:pPr>
    <w:rPr>
      <w:rFonts w:eastAsia="Cambria" w:cs="Times New Roman"/>
    </w:rPr>
  </w:style>
  <w:style w:type="paragraph" w:styleId="ListBullet2">
    <w:name w:val="List Bullet 2"/>
    <w:basedOn w:val="Normal"/>
    <w:uiPriority w:val="16"/>
    <w:qFormat/>
    <w:rsid w:val="00E4333F"/>
    <w:pPr>
      <w:spacing w:before="120" w:after="180" w:line="240" w:lineRule="atLeast"/>
    </w:pPr>
    <w:rPr>
      <w:rFonts w:eastAsia="Cambria" w:cs="Times New Roman"/>
      <w:color w:val="333F48"/>
    </w:rPr>
  </w:style>
  <w:style w:type="paragraph" w:styleId="ListBullet3">
    <w:name w:val="List Bullet 3"/>
    <w:basedOn w:val="Normal"/>
    <w:uiPriority w:val="16"/>
    <w:qFormat/>
    <w:rsid w:val="00F02AEC"/>
    <w:pPr>
      <w:numPr>
        <w:numId w:val="1"/>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style>
  <w:style w:type="paragraph" w:customStyle="1" w:styleId="Numberbullet">
    <w:name w:val="Number bullet"/>
    <w:basedOn w:val="ListBullet"/>
    <w:uiPriority w:val="3"/>
    <w:qFormat/>
    <w:rsid w:val="00B46BC0"/>
    <w:pPr>
      <w:ind w:left="720"/>
    </w:pPr>
  </w:style>
  <w:style w:type="paragraph" w:customStyle="1" w:styleId="Numberbullet2">
    <w:name w:val="Number bullet 2"/>
    <w:basedOn w:val="ListBullet2"/>
    <w:uiPriority w:val="3"/>
    <w:qFormat/>
    <w:rsid w:val="00F02AEC"/>
    <w:pPr>
      <w:ind w:left="1440" w:hanging="360"/>
    </w:pPr>
  </w:style>
  <w:style w:type="paragraph" w:customStyle="1" w:styleId="Numberbullet3">
    <w:name w:val="Number bullet 3"/>
    <w:basedOn w:val="Normal"/>
    <w:uiPriority w:val="3"/>
    <w:qFormat/>
    <w:rsid w:val="00F02AEC"/>
    <w:pPr>
      <w:spacing w:before="120" w:after="180" w:line="240" w:lineRule="atLeast"/>
    </w:pPr>
    <w:rPr>
      <w:rFonts w:eastAsia="Cambria" w:cs="Times New Roman"/>
      <w:color w:val="333F48"/>
    </w:rPr>
  </w:style>
  <w:style w:type="numbering" w:customStyle="1" w:styleId="NumberBullet0">
    <w:name w:val="NumberBullet"/>
    <w:uiPriority w:val="99"/>
    <w:locked/>
    <w:rsid w:val="00F02AEC"/>
  </w:style>
  <w:style w:type="paragraph" w:styleId="Subtitle">
    <w:name w:val="Subtitle"/>
    <w:basedOn w:val="Normal"/>
    <w:link w:val="SubtitleChar"/>
    <w:uiPriority w:val="17"/>
    <w:qFormat/>
    <w:rsid w:val="00F02AEC"/>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7"/>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eastAsia="Cambria" w:cs="Times New Roman"/>
      <w:b/>
      <w:color w:val="333F48"/>
      <w:sz w:val="28"/>
    </w:rPr>
  </w:style>
  <w:style w:type="paragraph" w:styleId="Title">
    <w:name w:val="Title"/>
    <w:link w:val="TitleChar"/>
    <w:uiPriority w:val="16"/>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6"/>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eastAsia="Cambria" w:cs="Times New Roman"/>
      <w:b/>
      <w:color w:val="333F48"/>
    </w:rPr>
  </w:style>
  <w:style w:type="paragraph" w:styleId="FootnoteText">
    <w:name w:val="footnote text"/>
    <w:basedOn w:val="Normal"/>
    <w:link w:val="FootnoteTextChar"/>
    <w:uiPriority w:val="99"/>
    <w:rsid w:val="007A7891"/>
    <w:pPr>
      <w:keepLines/>
      <w:spacing w:after="0" w:line="240" w:lineRule="atLeast"/>
    </w:pPr>
    <w:rPr>
      <w:rFonts w:asciiTheme="majorHAnsi" w:eastAsia="Cambria" w:hAnsiTheme="majorHAnsi" w:cs="Times New Roman"/>
      <w:color w:val="333F48"/>
      <w:sz w:val="18"/>
    </w:rPr>
  </w:style>
  <w:style w:type="character" w:customStyle="1" w:styleId="FootnoteTextChar">
    <w:name w:val="Footnote Text Char"/>
    <w:basedOn w:val="DefaultParagraphFont"/>
    <w:link w:val="FootnoteText"/>
    <w:uiPriority w:val="99"/>
    <w:rsid w:val="007A7891"/>
    <w:rPr>
      <w:rFonts w:asciiTheme="majorHAnsi" w:eastAsia="Cambria" w:hAnsiTheme="majorHAnsi" w:cs="Times New Roman"/>
      <w:color w:val="333F48"/>
      <w:sz w:val="18"/>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eastAsia="Cambria"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eastAsia="Cambria" w:cs="Times New Roman"/>
      <w:b/>
      <w:color w:val="333F48"/>
    </w:rPr>
  </w:style>
  <w:style w:type="paragraph" w:customStyle="1" w:styleId="Address">
    <w:name w:val="Address"/>
    <w:basedOn w:val="Normal"/>
    <w:rsid w:val="00F02AEC"/>
    <w:pPr>
      <w:spacing w:after="0" w:line="240" w:lineRule="auto"/>
    </w:pPr>
    <w:rPr>
      <w:rFonts w:eastAsia="Cambria" w:cs="Times New Roman"/>
      <w:color w:val="333F48"/>
      <w:sz w:val="21"/>
    </w:rPr>
  </w:style>
  <w:style w:type="paragraph" w:customStyle="1" w:styleId="ListBullet-dotick">
    <w:name w:val="List Bullet - do (tick)"/>
    <w:basedOn w:val="ListBullet"/>
    <w:autoRedefine/>
    <w:uiPriority w:val="1"/>
    <w:qFormat/>
    <w:rsid w:val="00F02AEC"/>
    <w:pPr>
      <w:numPr>
        <w:numId w:val="3"/>
      </w:numPr>
      <w:tabs>
        <w:tab w:val="left" w:pos="425"/>
      </w:tabs>
      <w:ind w:left="907" w:hanging="907"/>
    </w:pPr>
  </w:style>
  <w:style w:type="paragraph" w:customStyle="1" w:styleId="ListBullet-donotcross">
    <w:name w:val="List Bullet - do not (cross)"/>
    <w:basedOn w:val="ListBullet"/>
    <w:autoRedefine/>
    <w:uiPriority w:val="1"/>
    <w:qFormat/>
    <w:rsid w:val="00F02AEC"/>
    <w:pPr>
      <w:numPr>
        <w:numId w:val="4"/>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character" w:customStyle="1" w:styleId="Heading1Char">
    <w:name w:val="Heading 1 Char"/>
    <w:basedOn w:val="DefaultParagraphFont"/>
    <w:link w:val="Heading1"/>
    <w:uiPriority w:val="9"/>
    <w:rsid w:val="00A50892"/>
    <w:rPr>
      <w:rFonts w:asciiTheme="majorHAnsi" w:eastAsiaTheme="majorEastAsia" w:hAnsiTheme="majorHAnsi" w:cstheme="majorBidi"/>
      <w:color w:val="2F5496" w:themeColor="accent1" w:themeShade="BF"/>
      <w:kern w:val="2"/>
      <w:sz w:val="32"/>
      <w:szCs w:val="32"/>
      <w14:ligatures w14:val="standardContextual"/>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571C01"/>
    <w:pPr>
      <w:spacing w:before="120" w:after="240" w:line="288" w:lineRule="auto"/>
      <w:ind w:left="720"/>
      <w:contextualSpacing/>
    </w:pPr>
    <w:rPr>
      <w:kern w:val="2"/>
      <w:szCs w:val="22"/>
      <w14:ligatures w14:val="standardContextual"/>
    </w:rPr>
  </w:style>
  <w:style w:type="paragraph" w:styleId="Caption">
    <w:name w:val="caption"/>
    <w:basedOn w:val="Normal"/>
    <w:next w:val="Normal"/>
    <w:uiPriority w:val="35"/>
    <w:unhideWhenUsed/>
    <w:qFormat/>
    <w:rsid w:val="00A50892"/>
    <w:pPr>
      <w:spacing w:after="200" w:line="240" w:lineRule="auto"/>
    </w:pPr>
    <w:rPr>
      <w:i/>
      <w:iCs/>
      <w:color w:val="44546A" w:themeColor="text2"/>
      <w:kern w:val="2"/>
      <w:sz w:val="18"/>
      <w:szCs w:val="18"/>
      <w14:ligatures w14:val="standardContextual"/>
    </w:rPr>
  </w:style>
  <w:style w:type="paragraph" w:styleId="BodyText">
    <w:name w:val="Body Text"/>
    <w:basedOn w:val="Normal"/>
    <w:link w:val="BodyTextChar"/>
    <w:uiPriority w:val="1"/>
    <w:semiHidden/>
    <w:unhideWhenUsed/>
    <w:qFormat/>
    <w:rsid w:val="00FC6B88"/>
  </w:style>
  <w:style w:type="character" w:customStyle="1" w:styleId="BodyTextChar">
    <w:name w:val="Body Text Char"/>
    <w:basedOn w:val="DefaultParagraphFont"/>
    <w:link w:val="BodyText"/>
    <w:uiPriority w:val="1"/>
    <w:semiHidden/>
    <w:rsid w:val="00FC6B88"/>
    <w:rPr>
      <w:rFonts w:ascii="Arial" w:hAnsi="Arial"/>
    </w:rPr>
  </w:style>
  <w:style w:type="character" w:customStyle="1" w:styleId="UnresolvedMention1">
    <w:name w:val="Unresolved Mention1"/>
    <w:basedOn w:val="DefaultParagraphFont"/>
    <w:uiPriority w:val="99"/>
    <w:semiHidden/>
    <w:unhideWhenUsed/>
    <w:rsid w:val="009B5287"/>
    <w:rPr>
      <w:color w:val="605E5C"/>
      <w:shd w:val="clear" w:color="auto" w:fill="E1DFDD"/>
    </w:rPr>
  </w:style>
  <w:style w:type="character" w:styleId="CommentReference">
    <w:name w:val="annotation reference"/>
    <w:basedOn w:val="DefaultParagraphFont"/>
    <w:uiPriority w:val="99"/>
    <w:semiHidden/>
    <w:unhideWhenUsed/>
    <w:rsid w:val="00A8289C"/>
    <w:rPr>
      <w:sz w:val="16"/>
      <w:szCs w:val="16"/>
    </w:rPr>
  </w:style>
  <w:style w:type="paragraph" w:styleId="CommentText">
    <w:name w:val="annotation text"/>
    <w:basedOn w:val="Normal"/>
    <w:link w:val="CommentTextChar"/>
    <w:uiPriority w:val="99"/>
    <w:unhideWhenUsed/>
    <w:rsid w:val="00A8289C"/>
    <w:pPr>
      <w:spacing w:line="240" w:lineRule="auto"/>
    </w:pPr>
  </w:style>
  <w:style w:type="character" w:customStyle="1" w:styleId="CommentTextChar">
    <w:name w:val="Comment Text Char"/>
    <w:basedOn w:val="DefaultParagraphFont"/>
    <w:link w:val="CommentText"/>
    <w:uiPriority w:val="99"/>
    <w:rsid w:val="00A8289C"/>
    <w:rPr>
      <w:rFonts w:ascii="Arial" w:hAnsi="Arial"/>
    </w:rPr>
  </w:style>
  <w:style w:type="paragraph" w:styleId="CommentSubject">
    <w:name w:val="annotation subject"/>
    <w:basedOn w:val="CommentText"/>
    <w:next w:val="CommentText"/>
    <w:link w:val="CommentSubjectChar"/>
    <w:uiPriority w:val="99"/>
    <w:semiHidden/>
    <w:unhideWhenUsed/>
    <w:rsid w:val="00A8289C"/>
    <w:rPr>
      <w:b/>
      <w:bCs/>
    </w:rPr>
  </w:style>
  <w:style w:type="character" w:customStyle="1" w:styleId="CommentSubjectChar">
    <w:name w:val="Comment Subject Char"/>
    <w:basedOn w:val="CommentTextChar"/>
    <w:link w:val="CommentSubject"/>
    <w:uiPriority w:val="99"/>
    <w:semiHidden/>
    <w:rsid w:val="00A8289C"/>
    <w:rPr>
      <w:rFonts w:ascii="Arial" w:hAnsi="Arial"/>
      <w:b/>
      <w:bCs/>
    </w:rPr>
  </w:style>
  <w:style w:type="paragraph" w:styleId="Revision">
    <w:name w:val="Revision"/>
    <w:hidden/>
    <w:uiPriority w:val="99"/>
    <w:semiHidden/>
    <w:rsid w:val="003515F0"/>
    <w:pPr>
      <w:spacing w:after="0" w:line="240" w:lineRule="auto"/>
    </w:pPr>
    <w:rPr>
      <w:rFonts w:ascii="Arial" w:hAnsi="Arial"/>
    </w:rPr>
  </w:style>
  <w:style w:type="paragraph" w:styleId="BalloonText">
    <w:name w:val="Balloon Text"/>
    <w:basedOn w:val="Normal"/>
    <w:link w:val="BalloonTextChar"/>
    <w:uiPriority w:val="99"/>
    <w:semiHidden/>
    <w:unhideWhenUsed/>
    <w:rsid w:val="00192C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C22"/>
    <w:rPr>
      <w:rFonts w:ascii="Segoe UI" w:hAnsi="Segoe UI" w:cs="Segoe UI"/>
      <w:sz w:val="18"/>
      <w:szCs w:val="18"/>
    </w:rPr>
  </w:style>
  <w:style w:type="paragraph" w:customStyle="1" w:styleId="pf0">
    <w:name w:val="pf0"/>
    <w:basedOn w:val="Normal"/>
    <w:rsid w:val="005E77C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5E77C7"/>
    <w:rPr>
      <w:rFonts w:ascii="Segoe UI" w:hAnsi="Segoe UI" w:cs="Segoe UI" w:hint="default"/>
      <w:sz w:val="18"/>
      <w:szCs w:val="18"/>
    </w:rPr>
  </w:style>
  <w:style w:type="character" w:customStyle="1" w:styleId="UnresolvedMention2">
    <w:name w:val="Unresolved Mention2"/>
    <w:basedOn w:val="DefaultParagraphFont"/>
    <w:uiPriority w:val="99"/>
    <w:unhideWhenUsed/>
    <w:rsid w:val="00F84B88"/>
    <w:rPr>
      <w:color w:val="605E5C"/>
      <w:shd w:val="clear" w:color="auto" w:fill="E1DFDD"/>
    </w:rPr>
  </w:style>
  <w:style w:type="character" w:customStyle="1" w:styleId="Heading7Char">
    <w:name w:val="Heading 7 Char"/>
    <w:basedOn w:val="DefaultParagraphFont"/>
    <w:link w:val="Heading7"/>
    <w:uiPriority w:val="9"/>
    <w:rsid w:val="008F050C"/>
    <w:rPr>
      <w:rFonts w:asciiTheme="majorHAnsi" w:eastAsiaTheme="majorEastAsia" w:hAnsiTheme="majorHAnsi" w:cstheme="majorBidi"/>
      <w:i/>
      <w:iCs/>
      <w:color w:val="44546A" w:themeColor="text2"/>
      <w:sz w:val="19"/>
      <w:szCs w:val="19"/>
    </w:rPr>
  </w:style>
  <w:style w:type="character" w:customStyle="1" w:styleId="Heading8Char">
    <w:name w:val="Heading 8 Char"/>
    <w:basedOn w:val="DefaultParagraphFont"/>
    <w:link w:val="Heading8"/>
    <w:uiPriority w:val="9"/>
    <w:rsid w:val="008F050C"/>
    <w:rPr>
      <w:rFonts w:asciiTheme="majorHAnsi" w:eastAsiaTheme="majorEastAsia" w:hAnsiTheme="majorHAnsi" w:cstheme="majorBidi"/>
      <w:color w:val="272727" w:themeColor="text1" w:themeTint="D8"/>
      <w:sz w:val="21"/>
      <w:szCs w:val="21"/>
    </w:rPr>
  </w:style>
  <w:style w:type="paragraph" w:customStyle="1" w:styleId="NormalIndented">
    <w:name w:val="Normal Indented"/>
    <w:basedOn w:val="Normal"/>
    <w:qFormat/>
    <w:rsid w:val="008F050C"/>
    <w:pPr>
      <w:suppressAutoHyphens/>
      <w:spacing w:before="180" w:after="80" w:line="240" w:lineRule="atLeast"/>
      <w:ind w:left="284"/>
    </w:pPr>
    <w:rPr>
      <w:rFonts w:ascii="Overpass" w:eastAsia="Overpass" w:hAnsi="Overpass" w:cs="Times New Roman"/>
      <w:sz w:val="19"/>
      <w:szCs w:val="19"/>
    </w:rPr>
  </w:style>
  <w:style w:type="paragraph" w:customStyle="1" w:styleId="Bullet1">
    <w:name w:val="Bullet 1"/>
    <w:basedOn w:val="ListBullet"/>
    <w:uiPriority w:val="3"/>
    <w:qFormat/>
    <w:rsid w:val="005E2A65"/>
    <w:pPr>
      <w:spacing w:after="120" w:line="240" w:lineRule="auto"/>
      <w:ind w:left="0" w:firstLine="0"/>
    </w:pPr>
  </w:style>
  <w:style w:type="paragraph" w:customStyle="1" w:styleId="Bullet2">
    <w:name w:val="Bullet 2"/>
    <w:basedOn w:val="Normal"/>
    <w:uiPriority w:val="3"/>
    <w:qFormat/>
    <w:rsid w:val="008F050C"/>
    <w:pPr>
      <w:tabs>
        <w:tab w:val="num" w:pos="1440"/>
      </w:tabs>
      <w:suppressAutoHyphens/>
      <w:spacing w:before="80" w:after="80" w:line="240" w:lineRule="atLeast"/>
      <w:ind w:left="1440" w:hanging="360"/>
    </w:pPr>
    <w:rPr>
      <w:rFonts w:ascii="Overpass" w:eastAsia="Overpass" w:hAnsi="Overpass" w:cs="Times New Roman"/>
      <w:sz w:val="19"/>
      <w:szCs w:val="19"/>
    </w:rPr>
  </w:style>
  <w:style w:type="paragraph" w:customStyle="1" w:styleId="Bullet3">
    <w:name w:val="Bullet 3"/>
    <w:basedOn w:val="Normal"/>
    <w:uiPriority w:val="3"/>
    <w:qFormat/>
    <w:rsid w:val="008F050C"/>
    <w:pPr>
      <w:tabs>
        <w:tab w:val="num" w:pos="2160"/>
      </w:tabs>
      <w:suppressAutoHyphens/>
      <w:spacing w:before="80" w:after="80" w:line="240" w:lineRule="atLeast"/>
      <w:ind w:left="2160" w:hanging="360"/>
    </w:pPr>
    <w:rPr>
      <w:rFonts w:ascii="Overpass" w:eastAsia="Overpass" w:hAnsi="Overpass" w:cs="Times New Roman"/>
      <w:sz w:val="19"/>
      <w:szCs w:val="19"/>
    </w:rPr>
  </w:style>
  <w:style w:type="paragraph" w:customStyle="1" w:styleId="NumberedList1">
    <w:name w:val="Numbered List 1"/>
    <w:basedOn w:val="Normal"/>
    <w:uiPriority w:val="3"/>
    <w:qFormat/>
    <w:rsid w:val="008F050C"/>
    <w:pPr>
      <w:suppressAutoHyphens/>
      <w:spacing w:before="80" w:after="80" w:line="240" w:lineRule="atLeast"/>
      <w:ind w:left="284" w:hanging="284"/>
    </w:pPr>
    <w:rPr>
      <w:rFonts w:ascii="Overpass" w:eastAsia="Overpass" w:hAnsi="Overpass" w:cs="Times New Roman"/>
      <w:sz w:val="19"/>
      <w:szCs w:val="19"/>
    </w:rPr>
  </w:style>
  <w:style w:type="paragraph" w:customStyle="1" w:styleId="NumberedList2">
    <w:name w:val="Numbered List 2"/>
    <w:basedOn w:val="NumberedList1"/>
    <w:uiPriority w:val="3"/>
    <w:qFormat/>
    <w:rsid w:val="008F050C"/>
    <w:pPr>
      <w:ind w:left="568"/>
    </w:pPr>
  </w:style>
  <w:style w:type="paragraph" w:customStyle="1" w:styleId="NumberedList3">
    <w:name w:val="Numbered List 3"/>
    <w:basedOn w:val="Normal"/>
    <w:uiPriority w:val="3"/>
    <w:qFormat/>
    <w:rsid w:val="008F050C"/>
    <w:pPr>
      <w:suppressAutoHyphens/>
      <w:spacing w:before="80" w:after="80" w:line="240" w:lineRule="atLeast"/>
      <w:ind w:left="852" w:hanging="284"/>
    </w:pPr>
    <w:rPr>
      <w:rFonts w:ascii="Overpass" w:eastAsia="Overpass" w:hAnsi="Overpass" w:cs="Times New Roman"/>
      <w:sz w:val="19"/>
      <w:szCs w:val="19"/>
    </w:rPr>
  </w:style>
  <w:style w:type="paragraph" w:customStyle="1" w:styleId="Heading1Numbered">
    <w:name w:val="Heading 1 Numbered"/>
    <w:basedOn w:val="Heading1"/>
    <w:next w:val="Normal"/>
    <w:uiPriority w:val="10"/>
    <w:qFormat/>
    <w:rsid w:val="008F050C"/>
    <w:pPr>
      <w:pageBreakBefore/>
      <w:suppressAutoHyphens/>
      <w:spacing w:before="0" w:after="360" w:line="560" w:lineRule="exact"/>
      <w:ind w:left="454" w:hanging="454"/>
      <w:contextualSpacing/>
    </w:pPr>
    <w:rPr>
      <w:rFonts w:ascii="Overpass Heavy" w:eastAsia="Batang" w:hAnsi="Overpass Heavy" w:cs="Times New Roman"/>
      <w:caps/>
      <w:color w:val="0D223F"/>
      <w:kern w:val="0"/>
      <w:sz w:val="56"/>
      <w:szCs w:val="56"/>
      <w14:ligatures w14:val="none"/>
    </w:rPr>
  </w:style>
  <w:style w:type="paragraph" w:customStyle="1" w:styleId="Heading2Numbered">
    <w:name w:val="Heading 2 Numbered"/>
    <w:basedOn w:val="Heading2"/>
    <w:next w:val="Normal"/>
    <w:uiPriority w:val="10"/>
    <w:qFormat/>
    <w:rsid w:val="008F050C"/>
    <w:pPr>
      <w:suppressAutoHyphens/>
      <w:spacing w:after="180" w:line="280" w:lineRule="exact"/>
      <w:ind w:left="737" w:hanging="737"/>
      <w:contextualSpacing/>
    </w:pPr>
    <w:rPr>
      <w:rFonts w:ascii="Overpass Heavy" w:eastAsia="Batang" w:hAnsi="Overpass Heavy"/>
      <w:caps/>
      <w:color w:val="A5A5A5" w:themeColor="accent3"/>
      <w:spacing w:val="-10"/>
      <w:sz w:val="28"/>
      <w:szCs w:val="28"/>
    </w:rPr>
  </w:style>
  <w:style w:type="paragraph" w:customStyle="1" w:styleId="Heading3Numbered">
    <w:name w:val="Heading 3 Numbered"/>
    <w:basedOn w:val="Heading3"/>
    <w:next w:val="Normal"/>
    <w:uiPriority w:val="10"/>
    <w:qFormat/>
    <w:rsid w:val="008F050C"/>
    <w:pPr>
      <w:suppressAutoHyphens/>
      <w:spacing w:before="240" w:after="180" w:line="320" w:lineRule="exact"/>
      <w:ind w:left="737" w:hanging="737"/>
      <w:contextualSpacing/>
    </w:pPr>
    <w:rPr>
      <w:rFonts w:ascii="Overpass Heavy" w:eastAsia="MS Mincho" w:hAnsi="Overpass Heavy"/>
      <w:b w:val="0"/>
      <w:bCs w:val="0"/>
      <w:color w:val="4472C4" w:themeColor="accent1"/>
      <w:sz w:val="28"/>
      <w:szCs w:val="28"/>
    </w:rPr>
  </w:style>
  <w:style w:type="numbering" w:customStyle="1" w:styleId="BulletsList">
    <w:name w:val="Bullets List"/>
    <w:uiPriority w:val="99"/>
    <w:rsid w:val="008F050C"/>
    <w:pPr>
      <w:numPr>
        <w:numId w:val="11"/>
      </w:numPr>
    </w:pPr>
  </w:style>
  <w:style w:type="numbering" w:customStyle="1" w:styleId="Numberedlist">
    <w:name w:val="Numbered list"/>
    <w:uiPriority w:val="99"/>
    <w:rsid w:val="008F050C"/>
    <w:pPr>
      <w:numPr>
        <w:numId w:val="12"/>
      </w:numPr>
    </w:pPr>
  </w:style>
  <w:style w:type="numbering" w:customStyle="1" w:styleId="HeadingsList">
    <w:name w:val="Headings List"/>
    <w:uiPriority w:val="99"/>
    <w:rsid w:val="008F050C"/>
    <w:pPr>
      <w:numPr>
        <w:numId w:val="15"/>
      </w:numPr>
    </w:pPr>
  </w:style>
  <w:style w:type="table" w:customStyle="1" w:styleId="PlainTable21">
    <w:name w:val="Plain Table 21"/>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paragraph" w:styleId="TOCHeading">
    <w:name w:val="TOC Heading"/>
    <w:basedOn w:val="Heading1"/>
    <w:next w:val="Normal"/>
    <w:uiPriority w:val="38"/>
    <w:unhideWhenUsed/>
    <w:qFormat/>
    <w:rsid w:val="008F050C"/>
    <w:pPr>
      <w:pageBreakBefore/>
      <w:suppressAutoHyphens/>
      <w:spacing w:before="0" w:after="240" w:line="600" w:lineRule="atLeast"/>
      <w:outlineLvl w:val="9"/>
    </w:pPr>
    <w:rPr>
      <w:rFonts w:ascii="Overpass Heavy" w:eastAsia="Batang" w:hAnsi="Overpass Heavy" w:cs="Times New Roman"/>
      <w:caps/>
      <w:color w:val="0D223F"/>
      <w:spacing w:val="-15"/>
      <w:kern w:val="0"/>
      <w:sz w:val="56"/>
      <w:lang w:val="en-US"/>
      <w14:ligatures w14:val="none"/>
    </w:rPr>
  </w:style>
  <w:style w:type="paragraph" w:styleId="TOC4">
    <w:name w:val="toc 4"/>
    <w:basedOn w:val="Normal"/>
    <w:next w:val="Normal"/>
    <w:autoRedefine/>
    <w:uiPriority w:val="39"/>
    <w:unhideWhenUsed/>
    <w:rsid w:val="008F050C"/>
    <w:pPr>
      <w:spacing w:before="80" w:after="80"/>
      <w:ind w:left="1587" w:hanging="680"/>
    </w:pPr>
    <w:rPr>
      <w:rFonts w:ascii="Overpass" w:eastAsia="Batang" w:hAnsi="Overpass" w:cs="Times New Roman"/>
      <w:sz w:val="19"/>
      <w:szCs w:val="19"/>
      <w:lang w:eastAsia="en-AU"/>
    </w:rPr>
  </w:style>
  <w:style w:type="paragraph" w:styleId="TOC5">
    <w:name w:val="toc 5"/>
    <w:basedOn w:val="Normal"/>
    <w:next w:val="Normal"/>
    <w:autoRedefine/>
    <w:uiPriority w:val="39"/>
    <w:unhideWhenUsed/>
    <w:rsid w:val="008F050C"/>
    <w:pPr>
      <w:spacing w:after="100"/>
      <w:ind w:left="880"/>
    </w:pPr>
    <w:rPr>
      <w:rFonts w:ascii="Overpass" w:eastAsia="Batang" w:hAnsi="Overpass" w:cs="Times New Roman"/>
      <w:sz w:val="22"/>
      <w:szCs w:val="19"/>
      <w:lang w:eastAsia="en-AU"/>
    </w:rPr>
  </w:style>
  <w:style w:type="paragraph" w:styleId="TOC6">
    <w:name w:val="toc 6"/>
    <w:basedOn w:val="Normal"/>
    <w:next w:val="Normal"/>
    <w:autoRedefine/>
    <w:uiPriority w:val="39"/>
    <w:unhideWhenUsed/>
    <w:rsid w:val="008F050C"/>
    <w:pPr>
      <w:spacing w:after="100"/>
      <w:ind w:left="1100"/>
    </w:pPr>
    <w:rPr>
      <w:rFonts w:ascii="Overpass" w:eastAsia="Batang" w:hAnsi="Overpass" w:cs="Times New Roman"/>
      <w:sz w:val="22"/>
      <w:szCs w:val="19"/>
      <w:lang w:eastAsia="en-AU"/>
    </w:rPr>
  </w:style>
  <w:style w:type="paragraph" w:styleId="TOC7">
    <w:name w:val="toc 7"/>
    <w:basedOn w:val="Normal"/>
    <w:next w:val="Normal"/>
    <w:autoRedefine/>
    <w:uiPriority w:val="39"/>
    <w:unhideWhenUsed/>
    <w:rsid w:val="008F050C"/>
    <w:pPr>
      <w:spacing w:after="100"/>
      <w:ind w:left="1320"/>
    </w:pPr>
    <w:rPr>
      <w:rFonts w:ascii="Overpass" w:eastAsia="Batang" w:hAnsi="Overpass" w:cs="Times New Roman"/>
      <w:sz w:val="22"/>
      <w:szCs w:val="19"/>
      <w:lang w:eastAsia="en-AU"/>
    </w:rPr>
  </w:style>
  <w:style w:type="numbering" w:customStyle="1" w:styleId="TableHeadingNumbers">
    <w:name w:val="Table Heading Numbers"/>
    <w:uiPriority w:val="99"/>
    <w:rsid w:val="008F050C"/>
    <w:pPr>
      <w:numPr>
        <w:numId w:val="16"/>
      </w:numPr>
    </w:pPr>
  </w:style>
  <w:style w:type="paragraph" w:styleId="TOC8">
    <w:name w:val="toc 8"/>
    <w:basedOn w:val="Normal"/>
    <w:next w:val="Normal"/>
    <w:autoRedefine/>
    <w:uiPriority w:val="39"/>
    <w:unhideWhenUsed/>
    <w:rsid w:val="008F050C"/>
    <w:pPr>
      <w:spacing w:after="100"/>
      <w:ind w:left="1540"/>
    </w:pPr>
    <w:rPr>
      <w:rFonts w:ascii="Overpass" w:eastAsia="Batang" w:hAnsi="Overpass" w:cs="Times New Roman"/>
      <w:sz w:val="22"/>
      <w:szCs w:val="19"/>
      <w:lang w:eastAsia="en-AU"/>
    </w:rPr>
  </w:style>
  <w:style w:type="paragraph" w:styleId="TOC9">
    <w:name w:val="toc 9"/>
    <w:basedOn w:val="Normal"/>
    <w:next w:val="Normal"/>
    <w:autoRedefine/>
    <w:uiPriority w:val="39"/>
    <w:unhideWhenUsed/>
    <w:rsid w:val="008F050C"/>
    <w:pPr>
      <w:spacing w:after="100"/>
      <w:ind w:left="1760"/>
    </w:pPr>
    <w:rPr>
      <w:rFonts w:ascii="Overpass" w:eastAsia="Batang" w:hAnsi="Overpass" w:cs="Times New Roman"/>
      <w:sz w:val="22"/>
      <w:szCs w:val="19"/>
      <w:lang w:eastAsia="en-AU"/>
    </w:rPr>
  </w:style>
  <w:style w:type="paragraph" w:styleId="TableofFigures">
    <w:name w:val="table of figures"/>
    <w:aliases w:val="Table of Tables"/>
    <w:basedOn w:val="Normal"/>
    <w:next w:val="Normal"/>
    <w:uiPriority w:val="99"/>
    <w:unhideWhenUsed/>
    <w:rsid w:val="00987797"/>
    <w:pPr>
      <w:suppressAutoHyphens/>
      <w:spacing w:before="180" w:after="0" w:line="240" w:lineRule="atLeast"/>
      <w:ind w:left="907" w:hanging="907"/>
    </w:pPr>
    <w:rPr>
      <w:rFonts w:eastAsia="Overpass" w:cs="Times New Roman"/>
      <w:b/>
      <w:sz w:val="24"/>
      <w:szCs w:val="19"/>
    </w:rPr>
  </w:style>
  <w:style w:type="paragraph" w:customStyle="1" w:styleId="IntroPara">
    <w:name w:val="Intro Para"/>
    <w:basedOn w:val="Normal"/>
    <w:uiPriority w:val="2"/>
    <w:qFormat/>
    <w:rsid w:val="008F050C"/>
    <w:pPr>
      <w:suppressAutoHyphens/>
      <w:spacing w:before="480" w:after="480" w:line="240" w:lineRule="atLeast"/>
    </w:pPr>
    <w:rPr>
      <w:rFonts w:ascii="Overpass" w:eastAsia="Overpass" w:hAnsi="Overpass" w:cs="Times New Roman"/>
      <w:color w:val="618FB5"/>
      <w:sz w:val="24"/>
      <w:szCs w:val="19"/>
    </w:rPr>
  </w:style>
  <w:style w:type="numbering" w:customStyle="1" w:styleId="FigureTitles">
    <w:name w:val="Figure Titles"/>
    <w:uiPriority w:val="99"/>
    <w:rsid w:val="008F050C"/>
    <w:pPr>
      <w:numPr>
        <w:numId w:val="14"/>
      </w:numPr>
    </w:pPr>
  </w:style>
  <w:style w:type="character" w:styleId="IntenseEmphasis">
    <w:name w:val="Intense Emphasis"/>
    <w:uiPriority w:val="21"/>
    <w:qFormat/>
    <w:rsid w:val="008F050C"/>
    <w:rPr>
      <w:b/>
      <w:i/>
      <w:iCs/>
      <w:color w:val="auto"/>
    </w:rPr>
  </w:style>
  <w:style w:type="character" w:styleId="Strong">
    <w:name w:val="Strong"/>
    <w:uiPriority w:val="22"/>
    <w:qFormat/>
    <w:rsid w:val="008F050C"/>
    <w:rPr>
      <w:b/>
      <w:bCs/>
    </w:rPr>
  </w:style>
  <w:style w:type="character" w:styleId="Emphasis">
    <w:name w:val="Emphasis"/>
    <w:uiPriority w:val="20"/>
    <w:qFormat/>
    <w:rsid w:val="008F050C"/>
    <w:rPr>
      <w:i/>
      <w:iCs/>
    </w:rPr>
  </w:style>
  <w:style w:type="paragraph" w:customStyle="1" w:styleId="CoverText">
    <w:name w:val="Cover Text"/>
    <w:basedOn w:val="Normal"/>
    <w:uiPriority w:val="18"/>
    <w:qFormat/>
    <w:rsid w:val="008F050C"/>
    <w:pPr>
      <w:suppressAutoHyphens/>
      <w:spacing w:before="4400" w:after="80" w:line="280" w:lineRule="exact"/>
    </w:pPr>
    <w:rPr>
      <w:rFonts w:ascii="Overpass" w:eastAsia="Overpass" w:hAnsi="Overpass" w:cs="Times New Roman"/>
      <w:color w:val="0D223F"/>
      <w:szCs w:val="19"/>
    </w:rPr>
  </w:style>
  <w:style w:type="paragraph" w:customStyle="1" w:styleId="Box1Text">
    <w:name w:val="Box 1 Text"/>
    <w:basedOn w:val="Normal"/>
    <w:uiPriority w:val="13"/>
    <w:qFormat/>
    <w:rsid w:val="008F050C"/>
    <w:pPr>
      <w:pBdr>
        <w:top w:val="single" w:sz="4" w:space="14" w:color="E7E6E6" w:themeColor="background2"/>
        <w:left w:val="single" w:sz="4" w:space="14" w:color="E7E6E6" w:themeColor="background2"/>
        <w:bottom w:val="single" w:sz="4" w:space="14" w:color="E7E6E6" w:themeColor="background2"/>
        <w:right w:val="single" w:sz="4" w:space="14" w:color="E7E6E6" w:themeColor="background2"/>
      </w:pBdr>
      <w:shd w:val="clear" w:color="auto" w:fill="E7E6E6" w:themeFill="background2"/>
      <w:suppressAutoHyphens/>
      <w:spacing w:before="180" w:after="80" w:line="240" w:lineRule="atLeast"/>
      <w:ind w:left="284" w:right="284"/>
    </w:pPr>
    <w:rPr>
      <w:rFonts w:ascii="Overpass" w:eastAsia="Overpass" w:hAnsi="Overpass" w:cs="Times New Roman"/>
      <w:sz w:val="19"/>
      <w:szCs w:val="19"/>
    </w:rPr>
  </w:style>
  <w:style w:type="paragraph" w:customStyle="1" w:styleId="Bullet4">
    <w:name w:val="Bullet 4"/>
    <w:basedOn w:val="Bullet3"/>
    <w:uiPriority w:val="3"/>
    <w:qFormat/>
    <w:rsid w:val="008F050C"/>
    <w:pPr>
      <w:tabs>
        <w:tab w:val="clear" w:pos="2160"/>
        <w:tab w:val="num" w:pos="2880"/>
      </w:tabs>
      <w:ind w:left="2880"/>
    </w:pPr>
  </w:style>
  <w:style w:type="paragraph" w:customStyle="1" w:styleId="NumberedList4">
    <w:name w:val="Numbered List 4"/>
    <w:basedOn w:val="NumberedList3"/>
    <w:uiPriority w:val="3"/>
    <w:qFormat/>
    <w:rsid w:val="008F050C"/>
    <w:pPr>
      <w:ind w:left="1136"/>
    </w:pPr>
  </w:style>
  <w:style w:type="paragraph" w:customStyle="1" w:styleId="NumberedList5">
    <w:name w:val="Numbered List 5"/>
    <w:basedOn w:val="NumberedList4"/>
    <w:uiPriority w:val="3"/>
    <w:qFormat/>
    <w:rsid w:val="008F050C"/>
    <w:pPr>
      <w:ind w:left="1420"/>
    </w:pPr>
  </w:style>
  <w:style w:type="paragraph" w:customStyle="1" w:styleId="NumberedList6">
    <w:name w:val="Numbered List 6"/>
    <w:basedOn w:val="NumberedList5"/>
    <w:uiPriority w:val="3"/>
    <w:qFormat/>
    <w:rsid w:val="008F050C"/>
    <w:pPr>
      <w:ind w:left="1704"/>
    </w:pPr>
  </w:style>
  <w:style w:type="paragraph" w:customStyle="1" w:styleId="Box1Heading">
    <w:name w:val="Box 1 Heading"/>
    <w:basedOn w:val="Box1Text"/>
    <w:uiPriority w:val="13"/>
    <w:qFormat/>
    <w:rsid w:val="008F050C"/>
    <w:pPr>
      <w:keepNext/>
      <w:spacing w:line="300" w:lineRule="atLeast"/>
    </w:pPr>
    <w:rPr>
      <w:b/>
      <w:sz w:val="26"/>
    </w:rPr>
  </w:style>
  <w:style w:type="paragraph" w:customStyle="1" w:styleId="Box2Text">
    <w:name w:val="Box 2 Text"/>
    <w:basedOn w:val="Box1Text"/>
    <w:uiPriority w:val="14"/>
    <w:qFormat/>
    <w:rsid w:val="008F050C"/>
    <w:pPr>
      <w:pBdr>
        <w:top w:val="single" w:sz="4" w:space="14" w:color="005487"/>
        <w:left w:val="single" w:sz="4" w:space="14" w:color="005487"/>
        <w:bottom w:val="single" w:sz="4" w:space="14" w:color="005487"/>
        <w:right w:val="single" w:sz="4" w:space="14" w:color="005487"/>
      </w:pBdr>
      <w:shd w:val="clear" w:color="auto" w:fill="005487"/>
    </w:pPr>
    <w:rPr>
      <w:color w:val="FFFFFF"/>
    </w:rPr>
  </w:style>
  <w:style w:type="paragraph" w:customStyle="1" w:styleId="Box2Heading">
    <w:name w:val="Box 2 Heading"/>
    <w:basedOn w:val="Box2Text"/>
    <w:uiPriority w:val="14"/>
    <w:qFormat/>
    <w:rsid w:val="008F050C"/>
    <w:pPr>
      <w:keepNext/>
      <w:spacing w:line="300" w:lineRule="atLeast"/>
    </w:pPr>
    <w:rPr>
      <w:b/>
      <w:sz w:val="26"/>
    </w:rPr>
  </w:style>
  <w:style w:type="table" w:customStyle="1" w:styleId="NoeticTable1">
    <w:name w:val="Noetic Table 1"/>
    <w:basedOn w:val="TableNormal"/>
    <w:uiPriority w:val="9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BFBFBF"/>
        <w:bottom w:val="single" w:sz="4" w:space="0" w:color="BFBFBF"/>
        <w:insideH w:val="single" w:sz="4" w:space="0" w:color="BFBFBF"/>
        <w:insideV w:val="single" w:sz="4" w:space="0" w:color="BFBFBF"/>
      </w:tblBorders>
      <w:tblCellMar>
        <w:bottom w:w="108" w:type="dxa"/>
      </w:tblCellMar>
    </w:tblPr>
    <w:trPr>
      <w:cantSplit/>
    </w:trPr>
    <w:tblStylePr w:type="firstRow">
      <w:rPr>
        <w:b/>
        <w:color w:val="FFFFFF"/>
      </w:rPr>
      <w:tblPr/>
      <w:tcPr>
        <w:tcBorders>
          <w:insideV w:val="single" w:sz="4" w:space="0" w:color="FFFFFF"/>
        </w:tcBorders>
        <w:shd w:val="clear" w:color="auto" w:fill="3B8AE6"/>
      </w:tcPr>
    </w:tblStylePr>
    <w:tblStylePr w:type="lastRow">
      <w:rPr>
        <w:b/>
      </w:rPr>
      <w:tblPr/>
      <w:tcPr>
        <w:shd w:val="clear" w:color="auto" w:fill="D9D9D9"/>
      </w:tcPr>
    </w:tblStylePr>
    <w:tblStylePr w:type="firstCol">
      <w:rPr>
        <w:b/>
        <w:color w:val="FFFFFF"/>
      </w:rPr>
      <w:tblPr/>
      <w:tcPr>
        <w:shd w:val="clear" w:color="auto" w:fill="3B8AE6"/>
      </w:tcPr>
    </w:tblStylePr>
    <w:tblStylePr w:type="lastCol">
      <w:rPr>
        <w:b/>
      </w:rPr>
      <w:tblPr/>
      <w:tcPr>
        <w:shd w:val="clear" w:color="auto" w:fill="D9D9D9"/>
      </w:tcPr>
    </w:tblStylePr>
    <w:tblStylePr w:type="band1Vert">
      <w:tblPr/>
      <w:tcPr>
        <w:shd w:val="clear" w:color="auto" w:fill="FFFFFF"/>
      </w:tcPr>
    </w:tblStylePr>
    <w:tblStylePr w:type="band2Vert">
      <w:tblPr/>
      <w:tcPr>
        <w:shd w:val="clear" w:color="auto" w:fill="D9D9D9"/>
      </w:tcPr>
    </w:tblStylePr>
    <w:tblStylePr w:type="band1Horz">
      <w:tblPr/>
      <w:tcPr>
        <w:shd w:val="clear" w:color="auto" w:fill="F2F2F2"/>
      </w:tcPr>
    </w:tblStylePr>
    <w:tblStylePr w:type="band2Horz">
      <w:tblPr/>
      <w:tcPr>
        <w:shd w:val="clear" w:color="auto" w:fill="D9D9D9"/>
      </w:tcPr>
    </w:tblStylePr>
  </w:style>
  <w:style w:type="paragraph" w:customStyle="1" w:styleId="TableTextNormal">
    <w:name w:val="Table Text Normal"/>
    <w:basedOn w:val="Normal"/>
    <w:uiPriority w:val="12"/>
    <w:qFormat/>
    <w:rsid w:val="008F050C"/>
    <w:pPr>
      <w:suppressAutoHyphens/>
      <w:spacing w:after="0" w:line="240" w:lineRule="atLeast"/>
    </w:pPr>
    <w:rPr>
      <w:rFonts w:ascii="Overpass" w:eastAsia="Overpass" w:hAnsi="Overpass" w:cs="Times New Roman"/>
      <w:sz w:val="19"/>
      <w:szCs w:val="19"/>
    </w:rPr>
  </w:style>
  <w:style w:type="table" w:customStyle="1" w:styleId="NoeticTable2">
    <w:name w:val="Noetic Table 2"/>
    <w:basedOn w:val="NoeticTable1"/>
    <w:uiPriority w:val="99"/>
    <w:rsid w:val="008F050C"/>
    <w:tblPr>
      <w:tblBorders>
        <w:top w:val="single" w:sz="4" w:space="0" w:color="005487"/>
        <w:bottom w:val="single" w:sz="4" w:space="0" w:color="005487"/>
        <w:insideH w:val="single" w:sz="4" w:space="0" w:color="005487"/>
        <w:insideV w:val="single" w:sz="4" w:space="0" w:color="FFFFFF"/>
      </w:tblBorders>
    </w:tblPr>
    <w:tblStylePr w:type="firstRow">
      <w:rPr>
        <w:b/>
        <w:color w:val="FFFFFF"/>
      </w:rPr>
      <w:tblPr/>
      <w:tcPr>
        <w:tcBorders>
          <w:top w:val="single" w:sz="4" w:space="0" w:color="FFFFFF"/>
          <w:insideV w:val="single" w:sz="4" w:space="0" w:color="FFFFFF"/>
        </w:tcBorders>
        <w:shd w:val="clear" w:color="auto" w:fill="3B8AE6"/>
      </w:tcPr>
    </w:tblStylePr>
    <w:tblStylePr w:type="lastRow">
      <w:rPr>
        <w:b/>
      </w:rPr>
      <w:tblPr/>
      <w:tcPr>
        <w:shd w:val="clear" w:color="auto" w:fill="D9D9D9"/>
      </w:tcPr>
    </w:tblStylePr>
    <w:tblStylePr w:type="firstCol">
      <w:rPr>
        <w:b/>
        <w:color w:val="FFFFFF"/>
      </w:rPr>
      <w:tblPr/>
      <w:tcPr>
        <w:shd w:val="clear" w:color="auto" w:fill="3B8AE6"/>
      </w:tcPr>
    </w:tblStylePr>
    <w:tblStylePr w:type="lastCol">
      <w:rPr>
        <w:b/>
      </w:rPr>
      <w:tblPr/>
      <w:tcPr>
        <w:shd w:val="clear" w:color="auto" w:fill="D9D9D9"/>
      </w:tcPr>
    </w:tblStylePr>
    <w:tblStylePr w:type="band1Vert">
      <w:tblPr/>
      <w:tcPr>
        <w:shd w:val="clear" w:color="auto" w:fill="FFFFFF"/>
      </w:tcPr>
    </w:tblStylePr>
    <w:tblStylePr w:type="band2Vert">
      <w:tblPr/>
      <w:tcPr>
        <w:shd w:val="clear" w:color="auto" w:fill="D9D9D9"/>
      </w:tcPr>
    </w:tblStylePr>
    <w:tblStylePr w:type="band1Horz">
      <w:tblPr/>
      <w:tcPr>
        <w:shd w:val="clear" w:color="auto" w:fill="B4E2FF"/>
      </w:tcPr>
    </w:tblStylePr>
    <w:tblStylePr w:type="band2Horz">
      <w:tblPr/>
      <w:tcPr>
        <w:shd w:val="clear" w:color="auto" w:fill="69C5FF"/>
      </w:tcPr>
    </w:tblStylePr>
  </w:style>
  <w:style w:type="table" w:customStyle="1" w:styleId="NoeticBiographyTable">
    <w:name w:val="Noetic Biography Table"/>
    <w:basedOn w:val="TableNormal"/>
    <w:uiPriority w:val="99"/>
    <w:rsid w:val="008F050C"/>
    <w:pPr>
      <w:spacing w:before="180" w:after="80" w:line="240" w:lineRule="atLeast"/>
    </w:pPr>
    <w:rPr>
      <w:rFonts w:ascii="Overpass" w:eastAsia="Overpass" w:hAnsi="Overpass" w:cs="Times New Roman"/>
      <w:sz w:val="19"/>
      <w:szCs w:val="19"/>
    </w:rPr>
    <w:tblPr>
      <w:tblCellMar>
        <w:left w:w="0" w:type="dxa"/>
        <w:right w:w="0" w:type="dxa"/>
      </w:tblCellMar>
    </w:tblPr>
    <w:tcPr>
      <w:shd w:val="clear" w:color="auto" w:fill="auto"/>
      <w:vAlign w:val="bottom"/>
    </w:tcPr>
  </w:style>
  <w:style w:type="paragraph" w:styleId="NoSpacing">
    <w:name w:val="No Spacing"/>
    <w:uiPriority w:val="1"/>
    <w:qFormat/>
    <w:rsid w:val="008F050C"/>
    <w:pPr>
      <w:suppressAutoHyphens/>
      <w:spacing w:before="180" w:after="80" w:line="240" w:lineRule="atLeast"/>
      <w:contextualSpacing/>
    </w:pPr>
    <w:rPr>
      <w:rFonts w:ascii="Overpass" w:eastAsia="Overpass" w:hAnsi="Overpass" w:cs="Times New Roman"/>
      <w:sz w:val="19"/>
      <w:szCs w:val="22"/>
    </w:rPr>
  </w:style>
  <w:style w:type="character" w:customStyle="1" w:styleId="Caveat10pt">
    <w:name w:val="Caveat 10pt"/>
    <w:uiPriority w:val="99"/>
    <w:qFormat/>
    <w:rsid w:val="008F050C"/>
    <w:rPr>
      <w:caps/>
      <w:smallCaps w:val="0"/>
      <w:sz w:val="20"/>
    </w:rPr>
  </w:style>
  <w:style w:type="paragraph" w:customStyle="1" w:styleId="AnnexTitle">
    <w:name w:val="Annex # Title"/>
    <w:basedOn w:val="Heading1"/>
    <w:uiPriority w:val="11"/>
    <w:qFormat/>
    <w:rsid w:val="008F050C"/>
    <w:pPr>
      <w:pageBreakBefore/>
      <w:suppressAutoHyphens/>
      <w:spacing w:before="0" w:after="360" w:line="560" w:lineRule="exact"/>
      <w:ind w:left="360" w:hanging="360"/>
      <w:contextualSpacing/>
    </w:pPr>
    <w:rPr>
      <w:rFonts w:ascii="Overpass Heavy" w:eastAsia="Batang" w:hAnsi="Overpass Heavy" w:cs="Times New Roman"/>
      <w:bCs/>
      <w:caps/>
      <w:color w:val="ED7D31" w:themeColor="accent2"/>
      <w:spacing w:val="-15"/>
      <w:kern w:val="0"/>
      <w:sz w:val="56"/>
      <w:szCs w:val="28"/>
      <w14:ligatures w14:val="none"/>
    </w:rPr>
  </w:style>
  <w:style w:type="numbering" w:customStyle="1" w:styleId="AnnexLetters">
    <w:name w:val="Annex Letters"/>
    <w:uiPriority w:val="99"/>
    <w:rsid w:val="008F050C"/>
    <w:pPr>
      <w:numPr>
        <w:numId w:val="5"/>
      </w:numPr>
    </w:pPr>
  </w:style>
  <w:style w:type="paragraph" w:customStyle="1" w:styleId="AppendixTitle">
    <w:name w:val="Appendix # Title"/>
    <w:basedOn w:val="Heading1"/>
    <w:uiPriority w:val="11"/>
    <w:qFormat/>
    <w:rsid w:val="008F050C"/>
    <w:pPr>
      <w:pageBreakBefore/>
      <w:suppressAutoHyphens/>
      <w:spacing w:before="0" w:after="360" w:line="600" w:lineRule="atLeast"/>
      <w:contextualSpacing/>
    </w:pPr>
    <w:rPr>
      <w:rFonts w:ascii="Overpass Heavy" w:eastAsia="Batang" w:hAnsi="Overpass Heavy" w:cs="Times New Roman"/>
      <w:bCs/>
      <w:caps/>
      <w:color w:val="000000" w:themeColor="text1"/>
      <w:spacing w:val="-15"/>
      <w:kern w:val="0"/>
      <w:sz w:val="56"/>
      <w:szCs w:val="28"/>
      <w14:ligatures w14:val="none"/>
    </w:rPr>
  </w:style>
  <w:style w:type="numbering" w:customStyle="1" w:styleId="AppendixNumbers">
    <w:name w:val="Appendix Numbers"/>
    <w:uiPriority w:val="99"/>
    <w:rsid w:val="008F050C"/>
    <w:pPr>
      <w:numPr>
        <w:numId w:val="6"/>
      </w:numPr>
    </w:pPr>
  </w:style>
  <w:style w:type="paragraph" w:customStyle="1" w:styleId="AttachmentTitle">
    <w:name w:val="Attachment # Title"/>
    <w:basedOn w:val="Heading1"/>
    <w:uiPriority w:val="11"/>
    <w:qFormat/>
    <w:rsid w:val="008F050C"/>
    <w:pPr>
      <w:pageBreakBefore/>
      <w:suppressAutoHyphens/>
      <w:spacing w:before="0" w:after="360" w:line="600" w:lineRule="atLeast"/>
      <w:ind w:left="720" w:hanging="360"/>
      <w:contextualSpacing/>
    </w:pPr>
    <w:rPr>
      <w:rFonts w:ascii="Overpass Heavy" w:eastAsia="Batang" w:hAnsi="Overpass Heavy" w:cs="Times New Roman"/>
      <w:bCs/>
      <w:caps/>
      <w:color w:val="000000" w:themeColor="text1"/>
      <w:spacing w:val="-15"/>
      <w:kern w:val="0"/>
      <w:sz w:val="56"/>
      <w:szCs w:val="28"/>
      <w14:ligatures w14:val="none"/>
    </w:rPr>
  </w:style>
  <w:style w:type="numbering" w:customStyle="1" w:styleId="AttachmentNumbers">
    <w:name w:val="Attachment Numbers"/>
    <w:uiPriority w:val="99"/>
    <w:rsid w:val="008F050C"/>
    <w:pPr>
      <w:numPr>
        <w:numId w:val="10"/>
      </w:numPr>
    </w:pPr>
  </w:style>
  <w:style w:type="paragraph" w:customStyle="1" w:styleId="BackCoverAddressLine1">
    <w:name w:val="Back Cover Address Line 1"/>
    <w:basedOn w:val="Normal"/>
    <w:uiPriority w:val="36"/>
    <w:qFormat/>
    <w:rsid w:val="008F050C"/>
    <w:pPr>
      <w:suppressAutoHyphens/>
      <w:spacing w:before="9600" w:after="80" w:line="240" w:lineRule="atLeast"/>
    </w:pPr>
    <w:rPr>
      <w:rFonts w:ascii="Overpass" w:eastAsia="Overpass" w:hAnsi="Overpass" w:cs="Times New Roman"/>
      <w:b/>
      <w:color w:val="FFFFFF"/>
      <w:sz w:val="19"/>
      <w:szCs w:val="19"/>
    </w:rPr>
  </w:style>
  <w:style w:type="character" w:customStyle="1" w:styleId="FooterCoverURL">
    <w:name w:val="Footer Cover URL"/>
    <w:uiPriority w:val="99"/>
    <w:qFormat/>
    <w:rsid w:val="008F050C"/>
    <w:rPr>
      <w:b/>
      <w:color w:val="FFFFFF"/>
      <w:sz w:val="28"/>
      <w:szCs w:val="28"/>
    </w:rPr>
  </w:style>
  <w:style w:type="character" w:customStyle="1" w:styleId="Accent1Bold">
    <w:name w:val="Accent 1 Bold"/>
    <w:uiPriority w:val="99"/>
    <w:qFormat/>
    <w:rsid w:val="008F050C"/>
    <w:rPr>
      <w:rFonts w:ascii="Overpass Heavy" w:hAnsi="Overpass Heavy"/>
      <w:b w:val="0"/>
      <w:color w:val="F4B083" w:themeColor="accent2" w:themeTint="99"/>
      <w:sz w:val="40"/>
      <w:szCs w:val="36"/>
    </w:rPr>
  </w:style>
  <w:style w:type="paragraph" w:customStyle="1" w:styleId="TableActionHeading">
    <w:name w:val="Table Action Heading"/>
    <w:basedOn w:val="TableTextNormal"/>
    <w:uiPriority w:val="12"/>
    <w:qFormat/>
    <w:rsid w:val="008F050C"/>
    <w:rPr>
      <w:b/>
      <w:sz w:val="24"/>
    </w:rPr>
  </w:style>
  <w:style w:type="paragraph" w:customStyle="1" w:styleId="BiographyPosition">
    <w:name w:val="Biography Position"/>
    <w:basedOn w:val="TableTextNormal"/>
    <w:uiPriority w:val="12"/>
    <w:qFormat/>
    <w:rsid w:val="008F050C"/>
    <w:pPr>
      <w:spacing w:after="120"/>
    </w:pPr>
  </w:style>
  <w:style w:type="paragraph" w:customStyle="1" w:styleId="Box1Bullet">
    <w:name w:val="Box 1 Bullet"/>
    <w:basedOn w:val="Box1Text"/>
    <w:uiPriority w:val="14"/>
    <w:qFormat/>
    <w:rsid w:val="008F050C"/>
    <w:pPr>
      <w:numPr>
        <w:numId w:val="7"/>
      </w:numPr>
      <w:spacing w:before="80"/>
      <w:ind w:left="568" w:hanging="284"/>
    </w:pPr>
  </w:style>
  <w:style w:type="paragraph" w:customStyle="1" w:styleId="Box2Bullet">
    <w:name w:val="Box 2 Bullet"/>
    <w:basedOn w:val="Box2Text"/>
    <w:uiPriority w:val="15"/>
    <w:qFormat/>
    <w:rsid w:val="008F050C"/>
    <w:pPr>
      <w:numPr>
        <w:numId w:val="8"/>
      </w:numPr>
      <w:spacing w:before="80"/>
      <w:ind w:left="568" w:hanging="284"/>
    </w:pPr>
  </w:style>
  <w:style w:type="paragraph" w:customStyle="1" w:styleId="FooterCaveat">
    <w:name w:val="Footer Caveat"/>
    <w:basedOn w:val="Footer"/>
    <w:uiPriority w:val="99"/>
    <w:qFormat/>
    <w:rsid w:val="008F050C"/>
    <w:pPr>
      <w:tabs>
        <w:tab w:val="clear" w:pos="4513"/>
        <w:tab w:val="clear" w:pos="9026"/>
        <w:tab w:val="center" w:pos="2126"/>
        <w:tab w:val="center" w:pos="4253"/>
        <w:tab w:val="right" w:pos="8505"/>
      </w:tabs>
      <w:suppressAutoHyphens/>
      <w:spacing w:before="60" w:line="190" w:lineRule="atLeast"/>
      <w:ind w:right="567"/>
      <w:jc w:val="center"/>
    </w:pPr>
    <w:rPr>
      <w:rFonts w:ascii="Overpass" w:eastAsia="Overpass" w:hAnsi="Overpass"/>
      <w:color w:val="auto"/>
      <w:sz w:val="16"/>
      <w:szCs w:val="19"/>
    </w:rPr>
  </w:style>
  <w:style w:type="paragraph" w:customStyle="1" w:styleId="FooterPageNumber">
    <w:name w:val="Footer Page Number"/>
    <w:basedOn w:val="Footer"/>
    <w:uiPriority w:val="99"/>
    <w:qFormat/>
    <w:rsid w:val="008F050C"/>
    <w:pPr>
      <w:tabs>
        <w:tab w:val="clear" w:pos="4513"/>
        <w:tab w:val="clear" w:pos="9026"/>
        <w:tab w:val="center" w:pos="2126"/>
        <w:tab w:val="center" w:pos="4253"/>
        <w:tab w:val="right" w:pos="8505"/>
      </w:tabs>
      <w:suppressAutoHyphens/>
      <w:spacing w:before="60" w:line="190" w:lineRule="atLeast"/>
      <w:jc w:val="right"/>
    </w:pPr>
    <w:rPr>
      <w:rFonts w:ascii="Overpass" w:eastAsia="Overpass" w:hAnsi="Overpass"/>
      <w:b/>
      <w:color w:val="618FB5"/>
      <w:sz w:val="16"/>
      <w:szCs w:val="19"/>
    </w:rPr>
  </w:style>
  <w:style w:type="paragraph" w:customStyle="1" w:styleId="Heading3-NotinTOC">
    <w:name w:val="Heading 3 - Not in TOC"/>
    <w:basedOn w:val="Heading3"/>
    <w:uiPriority w:val="9"/>
    <w:qFormat/>
    <w:rsid w:val="00A50D3F"/>
    <w:pPr>
      <w:suppressAutoHyphens/>
      <w:spacing w:before="240" w:after="180" w:line="280" w:lineRule="exact"/>
      <w:contextualSpacing/>
    </w:pPr>
    <w:rPr>
      <w:rFonts w:eastAsia="MS Mincho"/>
      <w:b w:val="0"/>
      <w:bCs w:val="0"/>
      <w:color w:val="4472C4" w:themeColor="accent1"/>
      <w:sz w:val="28"/>
      <w:szCs w:val="28"/>
    </w:rPr>
  </w:style>
  <w:style w:type="character" w:styleId="PlaceholderText">
    <w:name w:val="Placeholder Text"/>
    <w:uiPriority w:val="99"/>
    <w:semiHidden/>
    <w:rsid w:val="008F050C"/>
    <w:rPr>
      <w:color w:val="808080"/>
    </w:rPr>
  </w:style>
  <w:style w:type="paragraph" w:customStyle="1" w:styleId="NormalNumberedParagraph">
    <w:name w:val="Normal Numbered Paragraph"/>
    <w:basedOn w:val="Normal"/>
    <w:autoRedefine/>
    <w:uiPriority w:val="10"/>
    <w:rsid w:val="008F050C"/>
    <w:pPr>
      <w:widowControl w:val="0"/>
      <w:tabs>
        <w:tab w:val="left" w:pos="1080"/>
      </w:tabs>
      <w:suppressAutoHyphens/>
      <w:spacing w:before="180" w:after="80" w:line="240" w:lineRule="atLeast"/>
      <w:ind w:left="1134" w:hanging="1134"/>
      <w:jc w:val="both"/>
      <w:outlineLvl w:val="3"/>
    </w:pPr>
    <w:rPr>
      <w:rFonts w:asciiTheme="minorHAnsi" w:eastAsia="Times New Roman" w:hAnsiTheme="minorHAnsi" w:cs="Arial"/>
      <w:kern w:val="20"/>
      <w:szCs w:val="24"/>
    </w:rPr>
  </w:style>
  <w:style w:type="paragraph" w:customStyle="1" w:styleId="Footnotes">
    <w:name w:val="Footnotes"/>
    <w:basedOn w:val="FootnoteText"/>
    <w:link w:val="FootnotesChar"/>
    <w:uiPriority w:val="99"/>
    <w:qFormat/>
    <w:rsid w:val="008F050C"/>
    <w:pPr>
      <w:keepLines w:val="0"/>
      <w:tabs>
        <w:tab w:val="left" w:pos="113"/>
      </w:tabs>
      <w:suppressAutoHyphens/>
      <w:spacing w:before="60" w:line="180" w:lineRule="exact"/>
    </w:pPr>
    <w:rPr>
      <w:rFonts w:ascii="Overpass" w:eastAsia="Overpass" w:hAnsi="Overpass"/>
      <w:color w:val="5B6762"/>
      <w:sz w:val="14"/>
    </w:rPr>
  </w:style>
  <w:style w:type="character" w:customStyle="1" w:styleId="FootnotesChar">
    <w:name w:val="Footnotes Char"/>
    <w:link w:val="Footnotes"/>
    <w:uiPriority w:val="99"/>
    <w:rsid w:val="008F050C"/>
    <w:rPr>
      <w:rFonts w:ascii="Overpass" w:eastAsia="Overpass" w:hAnsi="Overpass" w:cs="Times New Roman"/>
      <w:color w:val="5B6762"/>
      <w:sz w:val="14"/>
    </w:rPr>
  </w:style>
  <w:style w:type="table" w:customStyle="1" w:styleId="TableGridLight1">
    <w:name w:val="Table Grid Light1"/>
    <w:basedOn w:val="TableNormal"/>
    <w:uiPriority w:val="40"/>
    <w:rsid w:val="008F050C"/>
    <w:pPr>
      <w:spacing w:before="180" w:after="80" w:line="240" w:lineRule="atLeast"/>
    </w:pPr>
    <w:rPr>
      <w:rFonts w:ascii="Overpass" w:eastAsia="Overpass" w:hAnsi="Overpass" w:cs="Times New Roman"/>
      <w:sz w:val="19"/>
      <w:szCs w:val="19"/>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uiPriority w:val="44"/>
    <w:rsid w:val="008F050C"/>
    <w:pPr>
      <w:spacing w:before="180" w:after="80" w:line="240" w:lineRule="atLeast"/>
    </w:pPr>
    <w:rPr>
      <w:rFonts w:ascii="Overpass" w:eastAsia="Overpass" w:hAnsi="Overpass" w:cs="Times New Roman"/>
      <w:sz w:val="19"/>
      <w:szCs w:val="19"/>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Quote">
    <w:name w:val="Quote"/>
    <w:basedOn w:val="Normal"/>
    <w:next w:val="Normal"/>
    <w:link w:val="QuoteChar"/>
    <w:uiPriority w:val="29"/>
    <w:unhideWhenUsed/>
    <w:qFormat/>
    <w:rsid w:val="008F050C"/>
    <w:pPr>
      <w:suppressAutoHyphens/>
      <w:spacing w:before="200" w:after="160" w:line="240" w:lineRule="atLeast"/>
      <w:ind w:left="864" w:right="864"/>
      <w:jc w:val="center"/>
    </w:pPr>
    <w:rPr>
      <w:rFonts w:ascii="Overpass" w:eastAsia="Overpass" w:hAnsi="Overpass" w:cs="Times New Roman"/>
      <w:i/>
      <w:iCs/>
      <w:color w:val="404040" w:themeColor="text1" w:themeTint="BF"/>
      <w:sz w:val="19"/>
      <w:szCs w:val="19"/>
    </w:rPr>
  </w:style>
  <w:style w:type="character" w:customStyle="1" w:styleId="QuoteChar">
    <w:name w:val="Quote Char"/>
    <w:basedOn w:val="DefaultParagraphFont"/>
    <w:link w:val="Quote"/>
    <w:uiPriority w:val="29"/>
    <w:rsid w:val="008F050C"/>
    <w:rPr>
      <w:rFonts w:ascii="Overpass" w:eastAsia="Overpass" w:hAnsi="Overpass" w:cs="Times New Roman"/>
      <w:i/>
      <w:iCs/>
      <w:color w:val="404040" w:themeColor="text1" w:themeTint="BF"/>
      <w:sz w:val="19"/>
      <w:szCs w:val="19"/>
    </w:rPr>
  </w:style>
  <w:style w:type="paragraph" w:styleId="NormalWeb">
    <w:name w:val="Normal (Web)"/>
    <w:basedOn w:val="Normal"/>
    <w:uiPriority w:val="99"/>
    <w:unhideWhenUsed/>
    <w:rsid w:val="007D0557"/>
    <w:pPr>
      <w:spacing w:before="100" w:beforeAutospacing="1" w:after="100" w:afterAutospacing="1" w:line="240" w:lineRule="auto"/>
    </w:pPr>
    <w:rPr>
      <w:rFonts w:ascii="Times New Roman" w:eastAsia="MS Mincho" w:hAnsi="Times New Roman" w:cs="Times New Roman"/>
      <w:sz w:val="24"/>
      <w:szCs w:val="24"/>
      <w:lang w:eastAsia="en-AU"/>
    </w:rPr>
  </w:style>
  <w:style w:type="character" w:customStyle="1" w:styleId="Caveat8pt">
    <w:name w:val="Caveat 8pt"/>
    <w:uiPriority w:val="99"/>
    <w:qFormat/>
    <w:rsid w:val="008F050C"/>
    <w:rPr>
      <w:rFonts w:ascii="Overpass" w:hAnsi="Overpass"/>
      <w:b w:val="0"/>
      <w:i w:val="0"/>
      <w:caps/>
      <w:smallCaps w:val="0"/>
      <w:color w:val="FFA300"/>
      <w:sz w:val="16"/>
    </w:rPr>
  </w:style>
  <w:style w:type="paragraph" w:customStyle="1" w:styleId="Header-StatusRef">
    <w:name w:val="Header - Status Ref"/>
    <w:basedOn w:val="Header"/>
    <w:uiPriority w:val="99"/>
    <w:qFormat/>
    <w:rsid w:val="008F050C"/>
    <w:pPr>
      <w:pBdr>
        <w:bottom w:val="single" w:sz="4" w:space="8" w:color="618FB5"/>
      </w:pBdr>
      <w:tabs>
        <w:tab w:val="clear" w:pos="4513"/>
        <w:tab w:val="clear" w:pos="9026"/>
        <w:tab w:val="center" w:pos="4253"/>
        <w:tab w:val="right" w:pos="8505"/>
      </w:tabs>
      <w:suppressAutoHyphens/>
      <w:spacing w:after="120" w:line="190" w:lineRule="atLeast"/>
    </w:pPr>
    <w:rPr>
      <w:rFonts w:ascii="Overpass" w:eastAsia="Overpass" w:hAnsi="Overpass"/>
      <w:color w:val="FFFFFF"/>
      <w:sz w:val="16"/>
      <w:szCs w:val="16"/>
    </w:rPr>
  </w:style>
  <w:style w:type="table" w:styleId="LightList-Accent4">
    <w:name w:val="Light List Accent 4"/>
    <w:basedOn w:val="TableNormal"/>
    <w:uiPriority w:val="61"/>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D16D"/>
        <w:left w:val="single" w:sz="8" w:space="0" w:color="FFD16D"/>
        <w:bottom w:val="single" w:sz="8" w:space="0" w:color="FFD16D"/>
        <w:right w:val="single" w:sz="8" w:space="0" w:color="FFD16D"/>
      </w:tblBorders>
    </w:tblPr>
    <w:tblStylePr w:type="firstRow">
      <w:pPr>
        <w:spacing w:before="0" w:after="0" w:line="240" w:lineRule="auto"/>
      </w:pPr>
      <w:rPr>
        <w:b/>
        <w:bCs/>
        <w:color w:val="FFFFFF"/>
      </w:rPr>
      <w:tblPr/>
      <w:tcPr>
        <w:shd w:val="clear" w:color="auto" w:fill="FFD16D"/>
      </w:tcPr>
    </w:tblStylePr>
    <w:tblStylePr w:type="lastRow">
      <w:pPr>
        <w:spacing w:before="0" w:after="0" w:line="240" w:lineRule="auto"/>
      </w:pPr>
      <w:rPr>
        <w:b/>
        <w:bCs/>
      </w:rPr>
      <w:tblPr/>
      <w:tcPr>
        <w:tcBorders>
          <w:top w:val="double" w:sz="6" w:space="0" w:color="FFD16D"/>
          <w:left w:val="single" w:sz="8" w:space="0" w:color="FFD16D"/>
          <w:bottom w:val="single" w:sz="8" w:space="0" w:color="FFD16D"/>
          <w:right w:val="single" w:sz="8" w:space="0" w:color="FFD16D"/>
        </w:tcBorders>
      </w:tcPr>
    </w:tblStylePr>
    <w:tblStylePr w:type="firstCol">
      <w:rPr>
        <w:b/>
        <w:bCs/>
      </w:rPr>
    </w:tblStylePr>
    <w:tblStylePr w:type="lastCol">
      <w:rPr>
        <w:b/>
        <w:bCs/>
      </w:rPr>
    </w:tblStylePr>
    <w:tblStylePr w:type="band1Vert">
      <w:tblPr/>
      <w:tcPr>
        <w:tcBorders>
          <w:top w:val="single" w:sz="8" w:space="0" w:color="FFD16D"/>
          <w:left w:val="single" w:sz="8" w:space="0" w:color="FFD16D"/>
          <w:bottom w:val="single" w:sz="8" w:space="0" w:color="FFD16D"/>
          <w:right w:val="single" w:sz="8" w:space="0" w:color="FFD16D"/>
        </w:tcBorders>
      </w:tcPr>
    </w:tblStylePr>
    <w:tblStylePr w:type="band1Horz">
      <w:tblPr/>
      <w:tcPr>
        <w:tcBorders>
          <w:top w:val="single" w:sz="8" w:space="0" w:color="FFD16D"/>
          <w:left w:val="single" w:sz="8" w:space="0" w:color="FFD16D"/>
          <w:bottom w:val="single" w:sz="8" w:space="0" w:color="FFD16D"/>
          <w:right w:val="single" w:sz="8" w:space="0" w:color="FFD16D"/>
        </w:tcBorders>
      </w:tcPr>
    </w:tblStylePr>
  </w:style>
  <w:style w:type="table" w:styleId="MediumShading1-Accent4">
    <w:name w:val="Medium Shading 1 Accent 4"/>
    <w:basedOn w:val="TableNormal"/>
    <w:uiPriority w:val="63"/>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DC91"/>
        <w:left w:val="single" w:sz="8" w:space="0" w:color="FFDC91"/>
        <w:bottom w:val="single" w:sz="8" w:space="0" w:color="FFDC91"/>
        <w:right w:val="single" w:sz="8" w:space="0" w:color="FFDC91"/>
        <w:insideH w:val="single" w:sz="8" w:space="0" w:color="FFDC91"/>
      </w:tblBorders>
    </w:tblPr>
    <w:tblStylePr w:type="firstRow">
      <w:pPr>
        <w:spacing w:before="0" w:after="0" w:line="240" w:lineRule="auto"/>
      </w:pPr>
      <w:rPr>
        <w:b/>
        <w:bCs/>
        <w:color w:val="FFFFFF"/>
      </w:rPr>
      <w:tblPr/>
      <w:tcPr>
        <w:tcBorders>
          <w:top w:val="single" w:sz="8" w:space="0" w:color="FFDC91"/>
          <w:left w:val="single" w:sz="8" w:space="0" w:color="FFDC91"/>
          <w:bottom w:val="single" w:sz="8" w:space="0" w:color="FFDC91"/>
          <w:right w:val="single" w:sz="8" w:space="0" w:color="FFDC91"/>
          <w:insideH w:val="nil"/>
          <w:insideV w:val="nil"/>
        </w:tcBorders>
        <w:shd w:val="clear" w:color="auto" w:fill="FFD16D"/>
      </w:tcPr>
    </w:tblStylePr>
    <w:tblStylePr w:type="lastRow">
      <w:pPr>
        <w:spacing w:before="0" w:after="0" w:line="240" w:lineRule="auto"/>
      </w:pPr>
      <w:rPr>
        <w:b/>
        <w:bCs/>
      </w:rPr>
      <w:tblPr/>
      <w:tcPr>
        <w:tcBorders>
          <w:top w:val="double" w:sz="6" w:space="0" w:color="FFDC91"/>
          <w:left w:val="single" w:sz="8" w:space="0" w:color="FFDC91"/>
          <w:bottom w:val="single" w:sz="8" w:space="0" w:color="FFDC91"/>
          <w:right w:val="single" w:sz="8" w:space="0" w:color="FFDC91"/>
          <w:insideH w:val="nil"/>
          <w:insideV w:val="nil"/>
        </w:tcBorders>
      </w:tcPr>
    </w:tblStylePr>
    <w:tblStylePr w:type="firstCol">
      <w:rPr>
        <w:b/>
        <w:bCs/>
      </w:rPr>
    </w:tblStylePr>
    <w:tblStylePr w:type="lastCol">
      <w:rPr>
        <w:b/>
        <w:bCs/>
      </w:rPr>
    </w:tblStylePr>
    <w:tblStylePr w:type="band1Vert">
      <w:tblPr/>
      <w:tcPr>
        <w:shd w:val="clear" w:color="auto" w:fill="FFF3DA"/>
      </w:tcPr>
    </w:tblStylePr>
    <w:tblStylePr w:type="band1Horz">
      <w:tblPr/>
      <w:tcPr>
        <w:tcBorders>
          <w:insideH w:val="nil"/>
          <w:insideV w:val="nil"/>
        </w:tcBorders>
        <w:shd w:val="clear" w:color="auto" w:fill="FFF3DA"/>
      </w:tcPr>
    </w:tblStylePr>
    <w:tblStylePr w:type="band2Horz">
      <w:tblPr/>
      <w:tcPr>
        <w:tcBorders>
          <w:insideH w:val="nil"/>
          <w:insideV w:val="nil"/>
        </w:tcBorders>
      </w:tcPr>
    </w:tblStylePr>
  </w:style>
  <w:style w:type="table" w:styleId="MediumList1-Accent3">
    <w:name w:val="Medium List 1 Accent 3"/>
    <w:basedOn w:val="TableNormal"/>
    <w:uiPriority w:val="65"/>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top w:val="single" w:sz="8" w:space="0" w:color="FFA300"/>
        <w:bottom w:val="single" w:sz="8" w:space="0" w:color="FFA300"/>
      </w:tblBorders>
    </w:tblPr>
    <w:tblStylePr w:type="firstRow">
      <w:rPr>
        <w:rFonts w:ascii="Bodoni MT Poster Compressed" w:eastAsia="Batang" w:hAnsi="Bodoni MT Poster Compressed" w:cs="Times New Roman"/>
      </w:rPr>
      <w:tblPr/>
      <w:tcPr>
        <w:tcBorders>
          <w:top w:val="nil"/>
          <w:bottom w:val="single" w:sz="8" w:space="0" w:color="FFA300"/>
        </w:tcBorders>
      </w:tcPr>
    </w:tblStylePr>
    <w:tblStylePr w:type="lastRow">
      <w:rPr>
        <w:b/>
        <w:bCs/>
        <w:color w:val="0D223F"/>
      </w:rPr>
      <w:tblPr/>
      <w:tcPr>
        <w:tcBorders>
          <w:top w:val="single" w:sz="8" w:space="0" w:color="FFA300"/>
          <w:bottom w:val="single" w:sz="8" w:space="0" w:color="FFA300"/>
        </w:tcBorders>
      </w:tcPr>
    </w:tblStylePr>
    <w:tblStylePr w:type="firstCol">
      <w:rPr>
        <w:b/>
        <w:bCs/>
      </w:rPr>
    </w:tblStylePr>
    <w:tblStylePr w:type="lastCol">
      <w:rPr>
        <w:b/>
        <w:bCs/>
      </w:rPr>
      <w:tblPr/>
      <w:tcPr>
        <w:tcBorders>
          <w:top w:val="single" w:sz="8" w:space="0" w:color="FFA300"/>
          <w:bottom w:val="single" w:sz="8" w:space="0" w:color="FFA300"/>
        </w:tcBorders>
      </w:tcPr>
    </w:tblStylePr>
    <w:tblStylePr w:type="band1Vert">
      <w:tblPr/>
      <w:tcPr>
        <w:shd w:val="clear" w:color="auto" w:fill="FFE8C0"/>
      </w:tcPr>
    </w:tblStylePr>
    <w:tblStylePr w:type="band1Horz">
      <w:tblPr/>
      <w:tcPr>
        <w:shd w:val="clear" w:color="auto" w:fill="FFE8C0"/>
      </w:tcPr>
    </w:tblStylePr>
  </w:style>
  <w:style w:type="table" w:styleId="MediumList2-Accent4">
    <w:name w:val="Medium List 2 Accent 4"/>
    <w:basedOn w:val="TableNormal"/>
    <w:uiPriority w:val="66"/>
    <w:rsid w:val="008F050C"/>
    <w:pPr>
      <w:spacing w:before="180" w:after="80" w:line="240" w:lineRule="atLeast"/>
    </w:pPr>
    <w:rPr>
      <w:rFonts w:ascii="Overpass Heavy" w:eastAsia="Batang" w:hAnsi="Overpass Heavy" w:cs="Times New Roman"/>
      <w:color w:val="082240"/>
      <w:sz w:val="19"/>
      <w:szCs w:val="19"/>
    </w:rPr>
    <w:tblPr>
      <w:tblStyleRowBandSize w:val="1"/>
      <w:tblStyleColBandSize w:val="1"/>
      <w:tblBorders>
        <w:top w:val="single" w:sz="8" w:space="0" w:color="FFD16D"/>
        <w:left w:val="single" w:sz="8" w:space="0" w:color="FFD16D"/>
        <w:bottom w:val="single" w:sz="8" w:space="0" w:color="FFD16D"/>
        <w:right w:val="single" w:sz="8" w:space="0" w:color="FFD16D"/>
      </w:tblBorders>
    </w:tblPr>
    <w:tblStylePr w:type="firstRow">
      <w:rPr>
        <w:sz w:val="24"/>
        <w:szCs w:val="24"/>
      </w:rPr>
      <w:tblPr/>
      <w:tcPr>
        <w:tcBorders>
          <w:top w:val="nil"/>
          <w:left w:val="nil"/>
          <w:bottom w:val="single" w:sz="24" w:space="0" w:color="FFD16D"/>
          <w:right w:val="nil"/>
          <w:insideH w:val="nil"/>
          <w:insideV w:val="nil"/>
        </w:tcBorders>
        <w:shd w:val="clear" w:color="auto" w:fill="FFFFFF"/>
      </w:tcPr>
    </w:tblStylePr>
    <w:tblStylePr w:type="lastRow">
      <w:tblPr/>
      <w:tcPr>
        <w:tcBorders>
          <w:top w:val="single" w:sz="8" w:space="0" w:color="FFD16D"/>
          <w:left w:val="nil"/>
          <w:bottom w:val="nil"/>
          <w:right w:val="nil"/>
          <w:insideH w:val="nil"/>
          <w:insideV w:val="nil"/>
        </w:tcBorders>
        <w:shd w:val="clear" w:color="auto" w:fill="FFFFFF"/>
      </w:tcPr>
    </w:tblStylePr>
    <w:tblStylePr w:type="firstCol">
      <w:tblPr/>
      <w:tcPr>
        <w:tcBorders>
          <w:top w:val="nil"/>
          <w:left w:val="nil"/>
          <w:bottom w:val="nil"/>
          <w:right w:val="single" w:sz="8" w:space="0" w:color="FFD16D"/>
          <w:insideH w:val="nil"/>
          <w:insideV w:val="nil"/>
        </w:tcBorders>
        <w:shd w:val="clear" w:color="auto" w:fill="FFFFFF"/>
      </w:tcPr>
    </w:tblStylePr>
    <w:tblStylePr w:type="lastCol">
      <w:tblPr/>
      <w:tcPr>
        <w:tcBorders>
          <w:top w:val="nil"/>
          <w:left w:val="single" w:sz="8" w:space="0" w:color="FFD1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3DA"/>
      </w:tcPr>
    </w:tblStylePr>
    <w:tblStylePr w:type="band1Horz">
      <w:tblPr/>
      <w:tcPr>
        <w:tcBorders>
          <w:top w:val="nil"/>
          <w:bottom w:val="nil"/>
          <w:insideH w:val="nil"/>
          <w:insideV w:val="nil"/>
        </w:tcBorders>
        <w:shd w:val="clear" w:color="auto" w:fill="FFF3DA"/>
      </w:tcPr>
    </w:tblStylePr>
    <w:tblStylePr w:type="nwCell">
      <w:tblPr/>
      <w:tcPr>
        <w:shd w:val="clear" w:color="auto" w:fill="FFFFFF"/>
      </w:tcPr>
    </w:tblStylePr>
    <w:tblStylePr w:type="swCell">
      <w:tblPr/>
      <w:tcPr>
        <w:tcBorders>
          <w:top w:val="nil"/>
        </w:tcBorders>
      </w:tcPr>
    </w:tblStylePr>
  </w:style>
  <w:style w:type="table" w:styleId="MediumGrid2-Accent4">
    <w:name w:val="Medium Grid 2 Accent 4"/>
    <w:basedOn w:val="TableNormal"/>
    <w:uiPriority w:val="68"/>
    <w:rsid w:val="008F050C"/>
    <w:pPr>
      <w:spacing w:before="180" w:after="80" w:line="240" w:lineRule="atLeast"/>
    </w:pPr>
    <w:rPr>
      <w:rFonts w:ascii="Overpass Heavy" w:eastAsia="Batang" w:hAnsi="Overpass Heavy" w:cs="Times New Roman"/>
      <w:color w:val="082240"/>
      <w:sz w:val="19"/>
      <w:szCs w:val="19"/>
    </w:rPr>
    <w:tblPr>
      <w:tblStyleRowBandSize w:val="1"/>
      <w:tblStyleColBandSize w:val="1"/>
      <w:tblBorders>
        <w:top w:val="single" w:sz="8" w:space="0" w:color="FFD16D"/>
        <w:left w:val="single" w:sz="8" w:space="0" w:color="FFD16D"/>
        <w:bottom w:val="single" w:sz="8" w:space="0" w:color="FFD16D"/>
        <w:right w:val="single" w:sz="8" w:space="0" w:color="FFD16D"/>
        <w:insideH w:val="single" w:sz="8" w:space="0" w:color="FFD16D"/>
        <w:insideV w:val="single" w:sz="8" w:space="0" w:color="FFD16D"/>
      </w:tblBorders>
    </w:tblPr>
    <w:tcPr>
      <w:shd w:val="clear" w:color="auto" w:fill="FFF3DA"/>
    </w:tcPr>
    <w:tblStylePr w:type="firstRow">
      <w:rPr>
        <w:b/>
        <w:bCs/>
        <w:color w:val="082240"/>
      </w:rPr>
      <w:tblPr/>
      <w:tcPr>
        <w:shd w:val="clear" w:color="auto" w:fill="FFFAF0"/>
      </w:tcPr>
    </w:tblStylePr>
    <w:tblStylePr w:type="lastRow">
      <w:rPr>
        <w:b/>
        <w:bCs/>
        <w:color w:val="082240"/>
      </w:rPr>
      <w:tblPr/>
      <w:tcPr>
        <w:tcBorders>
          <w:top w:val="single" w:sz="12" w:space="0" w:color="082240"/>
          <w:left w:val="nil"/>
          <w:bottom w:val="nil"/>
          <w:right w:val="nil"/>
          <w:insideH w:val="nil"/>
          <w:insideV w:val="nil"/>
        </w:tcBorders>
        <w:shd w:val="clear" w:color="auto" w:fill="FFFFFF"/>
      </w:tcPr>
    </w:tblStylePr>
    <w:tblStylePr w:type="firstCol">
      <w:rPr>
        <w:b/>
        <w:bCs/>
        <w:color w:val="082240"/>
      </w:rPr>
      <w:tblPr/>
      <w:tcPr>
        <w:tcBorders>
          <w:top w:val="nil"/>
          <w:left w:val="nil"/>
          <w:bottom w:val="nil"/>
          <w:right w:val="nil"/>
          <w:insideH w:val="nil"/>
          <w:insideV w:val="nil"/>
        </w:tcBorders>
        <w:shd w:val="clear" w:color="auto" w:fill="FFFFFF"/>
      </w:tcPr>
    </w:tblStylePr>
    <w:tblStylePr w:type="lastCol">
      <w:rPr>
        <w:b w:val="0"/>
        <w:bCs w:val="0"/>
        <w:color w:val="082240"/>
      </w:rPr>
      <w:tblPr/>
      <w:tcPr>
        <w:tcBorders>
          <w:top w:val="nil"/>
          <w:left w:val="nil"/>
          <w:bottom w:val="nil"/>
          <w:right w:val="nil"/>
          <w:insideH w:val="nil"/>
          <w:insideV w:val="nil"/>
        </w:tcBorders>
        <w:shd w:val="clear" w:color="auto" w:fill="FFF5E1"/>
      </w:tcPr>
    </w:tblStylePr>
    <w:tblStylePr w:type="band1Vert">
      <w:tblPr/>
      <w:tcPr>
        <w:shd w:val="clear" w:color="auto" w:fill="FFE7B6"/>
      </w:tcPr>
    </w:tblStylePr>
    <w:tblStylePr w:type="band1Horz">
      <w:tblPr/>
      <w:tcPr>
        <w:tcBorders>
          <w:insideH w:val="single" w:sz="6" w:space="0" w:color="FFD16D"/>
          <w:insideV w:val="single" w:sz="6" w:space="0" w:color="FFD16D"/>
        </w:tcBorders>
        <w:shd w:val="clear" w:color="auto" w:fill="FFE7B6"/>
      </w:tcPr>
    </w:tblStylePr>
    <w:tblStylePr w:type="nwCell">
      <w:tblPr/>
      <w:tcPr>
        <w:shd w:val="clear" w:color="auto" w:fill="FFFFFF"/>
      </w:tcPr>
    </w:tblStylePr>
  </w:style>
  <w:style w:type="table" w:styleId="MediumGrid3-Accent4">
    <w:name w:val="Medium Grid 3 Accent 4"/>
    <w:basedOn w:val="TableNormal"/>
    <w:uiPriority w:val="6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3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D16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D16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D16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D16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E7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E7B6"/>
      </w:tcPr>
    </w:tblStylePr>
  </w:style>
  <w:style w:type="table" w:styleId="ColorfulList-Accent3">
    <w:name w:val="Colorful List Accent 3"/>
    <w:basedOn w:val="TableNormal"/>
    <w:uiPriority w:val="72"/>
    <w:rsid w:val="008F050C"/>
    <w:pPr>
      <w:spacing w:before="180" w:after="80" w:line="240" w:lineRule="atLeast"/>
    </w:pPr>
    <w:rPr>
      <w:rFonts w:ascii="Overpass" w:eastAsia="Overpass" w:hAnsi="Overpass" w:cs="Times New Roman"/>
      <w:color w:val="082240"/>
      <w:sz w:val="19"/>
      <w:szCs w:val="19"/>
    </w:rPr>
    <w:tblPr>
      <w:tblStyleRowBandSize w:val="1"/>
      <w:tblStyleColBandSize w:val="1"/>
    </w:tblPr>
    <w:tcPr>
      <w:shd w:val="clear" w:color="auto" w:fill="FFF5E6"/>
    </w:tcPr>
    <w:tblStylePr w:type="firstRow">
      <w:rPr>
        <w:b/>
        <w:bCs/>
        <w:color w:val="FFFFFF"/>
      </w:rPr>
      <w:tblPr/>
      <w:tcPr>
        <w:tcBorders>
          <w:bottom w:val="single" w:sz="12" w:space="0" w:color="FFFFFF"/>
        </w:tcBorders>
        <w:shd w:val="clear" w:color="auto" w:fill="FFB924"/>
      </w:tcPr>
    </w:tblStylePr>
    <w:tblStylePr w:type="lastRow">
      <w:rPr>
        <w:b/>
        <w:bCs/>
        <w:color w:val="FFB924"/>
      </w:rPr>
      <w:tblPr/>
      <w:tcPr>
        <w:tcBorders>
          <w:top w:val="single" w:sz="12" w:space="0" w:color="0822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8C0"/>
      </w:tcPr>
    </w:tblStylePr>
    <w:tblStylePr w:type="band1Horz">
      <w:tblPr/>
      <w:tcPr>
        <w:shd w:val="clear" w:color="auto" w:fill="FFECCC"/>
      </w:tcPr>
    </w:tblStylePr>
  </w:style>
  <w:style w:type="table" w:styleId="ColorfulGrid-Accent3">
    <w:name w:val="Colorful Grid Accent 3"/>
    <w:basedOn w:val="TableNormal"/>
    <w:uiPriority w:val="73"/>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FFECCC"/>
    </w:tcPr>
    <w:tblStylePr w:type="firstRow">
      <w:rPr>
        <w:b/>
        <w:bCs/>
      </w:rPr>
      <w:tblPr/>
      <w:tcPr>
        <w:shd w:val="clear" w:color="auto" w:fill="FFDA99"/>
      </w:tcPr>
    </w:tblStylePr>
    <w:tblStylePr w:type="lastRow">
      <w:rPr>
        <w:b/>
        <w:bCs/>
        <w:color w:val="082240"/>
      </w:rPr>
      <w:tblPr/>
      <w:tcPr>
        <w:shd w:val="clear" w:color="auto" w:fill="FFDA99"/>
      </w:tcPr>
    </w:tblStylePr>
    <w:tblStylePr w:type="firstCol">
      <w:rPr>
        <w:color w:val="FFFFFF"/>
      </w:rPr>
      <w:tblPr/>
      <w:tcPr>
        <w:shd w:val="clear" w:color="auto" w:fill="BF7A00"/>
      </w:tcPr>
    </w:tblStylePr>
    <w:tblStylePr w:type="lastCol">
      <w:rPr>
        <w:color w:val="FFFFFF"/>
      </w:rPr>
      <w:tblPr/>
      <w:tcPr>
        <w:shd w:val="clear" w:color="auto" w:fill="BF7A00"/>
      </w:tcPr>
    </w:tblStylePr>
    <w:tblStylePr w:type="band1Vert">
      <w:tblPr/>
      <w:tcPr>
        <w:shd w:val="clear" w:color="auto" w:fill="FFD180"/>
      </w:tcPr>
    </w:tblStylePr>
    <w:tblStylePr w:type="band1Horz">
      <w:tblPr/>
      <w:tcPr>
        <w:shd w:val="clear" w:color="auto" w:fill="FFD180"/>
      </w:tcPr>
    </w:tblStylePr>
  </w:style>
  <w:style w:type="table" w:styleId="ColorfulGrid-Accent4">
    <w:name w:val="Colorful Grid Accent 4"/>
    <w:basedOn w:val="TableNormal"/>
    <w:uiPriority w:val="73"/>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FFF5E1"/>
    </w:tcPr>
    <w:tblStylePr w:type="firstRow">
      <w:rPr>
        <w:b/>
        <w:bCs/>
      </w:rPr>
      <w:tblPr/>
      <w:tcPr>
        <w:shd w:val="clear" w:color="auto" w:fill="FFECC4"/>
      </w:tcPr>
    </w:tblStylePr>
    <w:tblStylePr w:type="lastRow">
      <w:rPr>
        <w:b/>
        <w:bCs/>
        <w:color w:val="082240"/>
      </w:rPr>
      <w:tblPr/>
      <w:tcPr>
        <w:shd w:val="clear" w:color="auto" w:fill="FFECC4"/>
      </w:tcPr>
    </w:tblStylePr>
    <w:tblStylePr w:type="firstCol">
      <w:rPr>
        <w:color w:val="FFFFFF"/>
      </w:rPr>
      <w:tblPr/>
      <w:tcPr>
        <w:shd w:val="clear" w:color="auto" w:fill="FFB311"/>
      </w:tcPr>
    </w:tblStylePr>
    <w:tblStylePr w:type="lastCol">
      <w:rPr>
        <w:color w:val="FFFFFF"/>
      </w:rPr>
      <w:tblPr/>
      <w:tcPr>
        <w:shd w:val="clear" w:color="auto" w:fill="FFB311"/>
      </w:tcPr>
    </w:tblStylePr>
    <w:tblStylePr w:type="band1Vert">
      <w:tblPr/>
      <w:tcPr>
        <w:shd w:val="clear" w:color="auto" w:fill="FFE7B6"/>
      </w:tcPr>
    </w:tblStylePr>
    <w:tblStylePr w:type="band1Horz">
      <w:tblPr/>
      <w:tcPr>
        <w:shd w:val="clear" w:color="auto" w:fill="FFE7B6"/>
      </w:tcPr>
    </w:tblStylePr>
  </w:style>
  <w:style w:type="table" w:styleId="LightShading-Accent5">
    <w:name w:val="Light Shading Accent 5"/>
    <w:basedOn w:val="TableNormal"/>
    <w:uiPriority w:val="60"/>
    <w:rsid w:val="008F050C"/>
    <w:pPr>
      <w:spacing w:before="180" w:after="80" w:line="240" w:lineRule="atLeast"/>
    </w:pPr>
    <w:rPr>
      <w:rFonts w:ascii="Overpass" w:eastAsia="Overpass" w:hAnsi="Overpass" w:cs="Times New Roman"/>
      <w:color w:val="899892"/>
      <w:sz w:val="19"/>
      <w:szCs w:val="19"/>
    </w:rPr>
    <w:tblPr>
      <w:tblStyleRowBandSize w:val="1"/>
      <w:tblStyleColBandSize w:val="1"/>
      <w:tblBorders>
        <w:top w:val="single" w:sz="8" w:space="0" w:color="BEC6C3"/>
        <w:bottom w:val="single" w:sz="8" w:space="0" w:color="BEC6C3"/>
      </w:tblBorders>
    </w:tblPr>
    <w:tblStylePr w:type="firstRow">
      <w:pPr>
        <w:spacing w:before="0" w:after="0" w:line="240" w:lineRule="auto"/>
      </w:pPr>
      <w:rPr>
        <w:b/>
        <w:bCs/>
      </w:rPr>
      <w:tblPr/>
      <w:tcPr>
        <w:tcBorders>
          <w:top w:val="single" w:sz="8" w:space="0" w:color="BEC6C3"/>
          <w:left w:val="nil"/>
          <w:bottom w:val="single" w:sz="8" w:space="0" w:color="BEC6C3"/>
          <w:right w:val="nil"/>
          <w:insideH w:val="nil"/>
          <w:insideV w:val="nil"/>
        </w:tcBorders>
      </w:tcPr>
    </w:tblStylePr>
    <w:tblStylePr w:type="lastRow">
      <w:pPr>
        <w:spacing w:before="0" w:after="0" w:line="240" w:lineRule="auto"/>
      </w:pPr>
      <w:rPr>
        <w:b/>
        <w:bCs/>
      </w:rPr>
      <w:tblPr/>
      <w:tcPr>
        <w:tcBorders>
          <w:top w:val="single" w:sz="8" w:space="0" w:color="BEC6C3"/>
          <w:left w:val="nil"/>
          <w:bottom w:val="single" w:sz="8" w:space="0" w:color="BEC6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0F0"/>
      </w:tcPr>
    </w:tblStylePr>
    <w:tblStylePr w:type="band1Horz">
      <w:tblPr/>
      <w:tcPr>
        <w:tcBorders>
          <w:left w:val="nil"/>
          <w:right w:val="nil"/>
          <w:insideH w:val="nil"/>
          <w:insideV w:val="nil"/>
        </w:tcBorders>
        <w:shd w:val="clear" w:color="auto" w:fill="EEF0F0"/>
      </w:tcPr>
    </w:tblStylePr>
  </w:style>
  <w:style w:type="table" w:styleId="LightShading-Accent2">
    <w:name w:val="Light Shading Accent 2"/>
    <w:basedOn w:val="TableNormal"/>
    <w:uiPriority w:val="60"/>
    <w:rsid w:val="008F050C"/>
    <w:pPr>
      <w:spacing w:before="180" w:after="80" w:line="240" w:lineRule="atLeast"/>
    </w:pPr>
    <w:rPr>
      <w:rFonts w:ascii="Overpass" w:eastAsia="Overpass" w:hAnsi="Overpass" w:cs="Times New Roman"/>
      <w:color w:val="426B8D"/>
      <w:sz w:val="19"/>
      <w:szCs w:val="19"/>
    </w:rPr>
    <w:tblPr>
      <w:tblStyleRowBandSize w:val="1"/>
      <w:tblStyleColBandSize w:val="1"/>
      <w:tblBorders>
        <w:top w:val="single" w:sz="8" w:space="0" w:color="618FB5"/>
        <w:bottom w:val="single" w:sz="8" w:space="0" w:color="618FB5"/>
      </w:tblBorders>
    </w:tblPr>
    <w:tblStylePr w:type="firstRow">
      <w:pPr>
        <w:spacing w:before="0" w:after="0" w:line="240" w:lineRule="auto"/>
      </w:pPr>
      <w:rPr>
        <w:b/>
        <w:bCs/>
      </w:rPr>
      <w:tblPr/>
      <w:tcPr>
        <w:tcBorders>
          <w:top w:val="single" w:sz="8" w:space="0" w:color="618FB5"/>
          <w:left w:val="nil"/>
          <w:bottom w:val="single" w:sz="8" w:space="0" w:color="618FB5"/>
          <w:right w:val="nil"/>
          <w:insideH w:val="nil"/>
          <w:insideV w:val="nil"/>
        </w:tcBorders>
      </w:tcPr>
    </w:tblStylePr>
    <w:tblStylePr w:type="lastRow">
      <w:pPr>
        <w:spacing w:before="0" w:after="0" w:line="240" w:lineRule="auto"/>
      </w:pPr>
      <w:rPr>
        <w:b/>
        <w:bCs/>
      </w:rPr>
      <w:tblPr/>
      <w:tcPr>
        <w:tcBorders>
          <w:top w:val="single" w:sz="8" w:space="0" w:color="618FB5"/>
          <w:left w:val="nil"/>
          <w:bottom w:val="single" w:sz="8" w:space="0" w:color="618FB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3EC"/>
      </w:tcPr>
    </w:tblStylePr>
    <w:tblStylePr w:type="band1Horz">
      <w:tblPr/>
      <w:tcPr>
        <w:tcBorders>
          <w:left w:val="nil"/>
          <w:right w:val="nil"/>
          <w:insideH w:val="nil"/>
          <w:insideV w:val="nil"/>
        </w:tcBorders>
        <w:shd w:val="clear" w:color="auto" w:fill="D7E3EC"/>
      </w:tcPr>
    </w:tblStylePr>
  </w:style>
  <w:style w:type="table" w:styleId="LightList-Accent5">
    <w:name w:val="Light List Accent 5"/>
    <w:basedOn w:val="TableNormal"/>
    <w:uiPriority w:val="61"/>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BEC6C3"/>
        <w:left w:val="single" w:sz="8" w:space="0" w:color="BEC6C3"/>
        <w:bottom w:val="single" w:sz="8" w:space="0" w:color="BEC6C3"/>
        <w:right w:val="single" w:sz="8" w:space="0" w:color="BEC6C3"/>
      </w:tblBorders>
    </w:tblPr>
    <w:tblStylePr w:type="firstRow">
      <w:pPr>
        <w:spacing w:before="0" w:after="0" w:line="240" w:lineRule="auto"/>
      </w:pPr>
      <w:rPr>
        <w:b/>
        <w:bCs/>
        <w:color w:val="FFFFFF"/>
      </w:rPr>
      <w:tblPr/>
      <w:tcPr>
        <w:shd w:val="clear" w:color="auto" w:fill="BEC6C3"/>
      </w:tcPr>
    </w:tblStylePr>
    <w:tblStylePr w:type="lastRow">
      <w:pPr>
        <w:spacing w:before="0" w:after="0" w:line="240" w:lineRule="auto"/>
      </w:pPr>
      <w:rPr>
        <w:b/>
        <w:bCs/>
      </w:rPr>
      <w:tblPr/>
      <w:tcPr>
        <w:tcBorders>
          <w:top w:val="double" w:sz="6" w:space="0" w:color="BEC6C3"/>
          <w:left w:val="single" w:sz="8" w:space="0" w:color="BEC6C3"/>
          <w:bottom w:val="single" w:sz="8" w:space="0" w:color="BEC6C3"/>
          <w:right w:val="single" w:sz="8" w:space="0" w:color="BEC6C3"/>
        </w:tcBorders>
      </w:tcPr>
    </w:tblStylePr>
    <w:tblStylePr w:type="firstCol">
      <w:rPr>
        <w:b/>
        <w:bCs/>
      </w:rPr>
    </w:tblStylePr>
    <w:tblStylePr w:type="lastCol">
      <w:rPr>
        <w:b/>
        <w:bCs/>
      </w:rPr>
    </w:tblStylePr>
    <w:tblStylePr w:type="band1Vert">
      <w:tblPr/>
      <w:tcPr>
        <w:tcBorders>
          <w:top w:val="single" w:sz="8" w:space="0" w:color="BEC6C3"/>
          <w:left w:val="single" w:sz="8" w:space="0" w:color="BEC6C3"/>
          <w:bottom w:val="single" w:sz="8" w:space="0" w:color="BEC6C3"/>
          <w:right w:val="single" w:sz="8" w:space="0" w:color="BEC6C3"/>
        </w:tcBorders>
      </w:tcPr>
    </w:tblStylePr>
    <w:tblStylePr w:type="band1Horz">
      <w:tblPr/>
      <w:tcPr>
        <w:tcBorders>
          <w:top w:val="single" w:sz="8" w:space="0" w:color="BEC6C3"/>
          <w:left w:val="single" w:sz="8" w:space="0" w:color="BEC6C3"/>
          <w:bottom w:val="single" w:sz="8" w:space="0" w:color="BEC6C3"/>
          <w:right w:val="single" w:sz="8" w:space="0" w:color="BEC6C3"/>
        </w:tcBorders>
      </w:tcPr>
    </w:tblStylePr>
  </w:style>
  <w:style w:type="table" w:styleId="LightList-Accent2">
    <w:name w:val="Light List Accent 2"/>
    <w:basedOn w:val="TableNormal"/>
    <w:uiPriority w:val="61"/>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618FB5"/>
        <w:left w:val="single" w:sz="8" w:space="0" w:color="618FB5"/>
        <w:bottom w:val="single" w:sz="8" w:space="0" w:color="618FB5"/>
        <w:right w:val="single" w:sz="8" w:space="0" w:color="618FB5"/>
      </w:tblBorders>
    </w:tblPr>
    <w:tblStylePr w:type="firstRow">
      <w:pPr>
        <w:spacing w:before="0" w:after="0" w:line="240" w:lineRule="auto"/>
      </w:pPr>
      <w:rPr>
        <w:b/>
        <w:bCs/>
        <w:color w:val="FFFFFF"/>
      </w:rPr>
      <w:tblPr/>
      <w:tcPr>
        <w:shd w:val="clear" w:color="auto" w:fill="618FB5"/>
      </w:tcPr>
    </w:tblStylePr>
    <w:tblStylePr w:type="lastRow">
      <w:pPr>
        <w:spacing w:before="0" w:after="0" w:line="240" w:lineRule="auto"/>
      </w:pPr>
      <w:rPr>
        <w:b/>
        <w:bCs/>
      </w:rPr>
      <w:tblPr/>
      <w:tcPr>
        <w:tcBorders>
          <w:top w:val="double" w:sz="6" w:space="0" w:color="618FB5"/>
          <w:left w:val="single" w:sz="8" w:space="0" w:color="618FB5"/>
          <w:bottom w:val="single" w:sz="8" w:space="0" w:color="618FB5"/>
          <w:right w:val="single" w:sz="8" w:space="0" w:color="618FB5"/>
        </w:tcBorders>
      </w:tcPr>
    </w:tblStylePr>
    <w:tblStylePr w:type="firstCol">
      <w:rPr>
        <w:b/>
        <w:bCs/>
      </w:rPr>
    </w:tblStylePr>
    <w:tblStylePr w:type="lastCol">
      <w:rPr>
        <w:b/>
        <w:bCs/>
      </w:rPr>
    </w:tblStylePr>
    <w:tblStylePr w:type="band1Vert">
      <w:tblPr/>
      <w:tcPr>
        <w:tcBorders>
          <w:top w:val="single" w:sz="8" w:space="0" w:color="618FB5"/>
          <w:left w:val="single" w:sz="8" w:space="0" w:color="618FB5"/>
          <w:bottom w:val="single" w:sz="8" w:space="0" w:color="618FB5"/>
          <w:right w:val="single" w:sz="8" w:space="0" w:color="618FB5"/>
        </w:tcBorders>
      </w:tcPr>
    </w:tblStylePr>
    <w:tblStylePr w:type="band1Horz">
      <w:tblPr/>
      <w:tcPr>
        <w:tcBorders>
          <w:top w:val="single" w:sz="8" w:space="0" w:color="618FB5"/>
          <w:left w:val="single" w:sz="8" w:space="0" w:color="618FB5"/>
          <w:bottom w:val="single" w:sz="8" w:space="0" w:color="618FB5"/>
          <w:right w:val="single" w:sz="8" w:space="0" w:color="618FB5"/>
        </w:tcBorders>
      </w:tcPr>
    </w:tblStylePr>
  </w:style>
  <w:style w:type="table" w:styleId="ColorfulGrid-Accent5">
    <w:name w:val="Colorful Grid Accent 5"/>
    <w:basedOn w:val="TableNormal"/>
    <w:uiPriority w:val="73"/>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F1F3F2"/>
    </w:tcPr>
    <w:tblStylePr w:type="firstRow">
      <w:rPr>
        <w:b/>
        <w:bCs/>
      </w:rPr>
      <w:tblPr/>
      <w:tcPr>
        <w:shd w:val="clear" w:color="auto" w:fill="E4E8E6"/>
      </w:tcPr>
    </w:tblStylePr>
    <w:tblStylePr w:type="lastRow">
      <w:rPr>
        <w:b/>
        <w:bCs/>
        <w:color w:val="082240"/>
      </w:rPr>
      <w:tblPr/>
      <w:tcPr>
        <w:shd w:val="clear" w:color="auto" w:fill="E4E8E6"/>
      </w:tcPr>
    </w:tblStylePr>
    <w:tblStylePr w:type="firstCol">
      <w:rPr>
        <w:color w:val="FFFFFF"/>
      </w:rPr>
      <w:tblPr/>
      <w:tcPr>
        <w:shd w:val="clear" w:color="auto" w:fill="899892"/>
      </w:tcPr>
    </w:tblStylePr>
    <w:tblStylePr w:type="lastCol">
      <w:rPr>
        <w:color w:val="FFFFFF"/>
      </w:rPr>
      <w:tblPr/>
      <w:tcPr>
        <w:shd w:val="clear" w:color="auto" w:fill="899892"/>
      </w:tcPr>
    </w:tblStylePr>
    <w:tblStylePr w:type="band1Vert">
      <w:tblPr/>
      <w:tcPr>
        <w:shd w:val="clear" w:color="auto" w:fill="DEE2E0"/>
      </w:tcPr>
    </w:tblStylePr>
    <w:tblStylePr w:type="band1Horz">
      <w:tblPr/>
      <w:tcPr>
        <w:shd w:val="clear" w:color="auto" w:fill="DEE2E0"/>
      </w:tcPr>
    </w:tblStylePr>
  </w:style>
  <w:style w:type="table" w:styleId="ColorfulGrid-Accent2">
    <w:name w:val="Colorful Grid Accent 2"/>
    <w:basedOn w:val="TableNormal"/>
    <w:uiPriority w:val="73"/>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DFE8F0"/>
    </w:tcPr>
    <w:tblStylePr w:type="firstRow">
      <w:rPr>
        <w:b/>
        <w:bCs/>
      </w:rPr>
      <w:tblPr/>
      <w:tcPr>
        <w:shd w:val="clear" w:color="auto" w:fill="BFD2E1"/>
      </w:tcPr>
    </w:tblStylePr>
    <w:tblStylePr w:type="lastRow">
      <w:rPr>
        <w:b/>
        <w:bCs/>
        <w:color w:val="082240"/>
      </w:rPr>
      <w:tblPr/>
      <w:tcPr>
        <w:shd w:val="clear" w:color="auto" w:fill="BFD2E1"/>
      </w:tcPr>
    </w:tblStylePr>
    <w:tblStylePr w:type="firstCol">
      <w:rPr>
        <w:color w:val="FFFFFF"/>
      </w:rPr>
      <w:tblPr/>
      <w:tcPr>
        <w:shd w:val="clear" w:color="auto" w:fill="426B8D"/>
      </w:tcPr>
    </w:tblStylePr>
    <w:tblStylePr w:type="lastCol">
      <w:rPr>
        <w:color w:val="FFFFFF"/>
      </w:rPr>
      <w:tblPr/>
      <w:tcPr>
        <w:shd w:val="clear" w:color="auto" w:fill="426B8D"/>
      </w:tcPr>
    </w:tblStylePr>
    <w:tblStylePr w:type="band1Vert">
      <w:tblPr/>
      <w:tcPr>
        <w:shd w:val="clear" w:color="auto" w:fill="B0C7DA"/>
      </w:tcPr>
    </w:tblStylePr>
    <w:tblStylePr w:type="band1Horz">
      <w:tblPr/>
      <w:tcPr>
        <w:shd w:val="clear" w:color="auto" w:fill="B0C7DA"/>
      </w:tcPr>
    </w:tblStylePr>
  </w:style>
  <w:style w:type="table" w:styleId="MediumGrid3-Accent5">
    <w:name w:val="Medium Grid 3 Accent 5"/>
    <w:basedOn w:val="TableNormal"/>
    <w:uiPriority w:val="6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EF0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EC6C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EC6C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EC6C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EC6C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E2E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E2E0"/>
      </w:tcPr>
    </w:tblStylePr>
  </w:style>
  <w:style w:type="table" w:styleId="MediumGrid3-Accent2">
    <w:name w:val="Medium Grid 3 Accent 2"/>
    <w:basedOn w:val="TableNormal"/>
    <w:uiPriority w:val="6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18F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18F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18F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18F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7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7DA"/>
      </w:tcPr>
    </w:tblStylePr>
  </w:style>
  <w:style w:type="table" w:styleId="MediumShading2-Accent2">
    <w:name w:val="Medium Shading 2 Accent 2"/>
    <w:basedOn w:val="TableNormal"/>
    <w:uiPriority w:val="64"/>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18FB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18FB5"/>
      </w:tcPr>
    </w:tblStylePr>
    <w:tblStylePr w:type="lastCol">
      <w:rPr>
        <w:b/>
        <w:bCs/>
        <w:color w:val="FFFFFF"/>
      </w:rPr>
      <w:tblPr/>
      <w:tcPr>
        <w:tcBorders>
          <w:left w:val="nil"/>
          <w:right w:val="nil"/>
          <w:insideH w:val="nil"/>
          <w:insideV w:val="nil"/>
        </w:tcBorders>
        <w:shd w:val="clear" w:color="auto" w:fill="618F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CED4D1"/>
        <w:left w:val="single" w:sz="8" w:space="0" w:color="CED4D1"/>
        <w:bottom w:val="single" w:sz="8" w:space="0" w:color="CED4D1"/>
        <w:right w:val="single" w:sz="8" w:space="0" w:color="CED4D1"/>
        <w:insideH w:val="single" w:sz="8" w:space="0" w:color="CED4D1"/>
      </w:tblBorders>
    </w:tblPr>
    <w:tblStylePr w:type="firstRow">
      <w:pPr>
        <w:spacing w:before="0" w:after="0" w:line="240" w:lineRule="auto"/>
      </w:pPr>
      <w:rPr>
        <w:b/>
        <w:bCs/>
        <w:color w:val="FFFFFF"/>
      </w:rPr>
      <w:tblPr/>
      <w:tcPr>
        <w:tcBorders>
          <w:top w:val="single" w:sz="8" w:space="0" w:color="CED4D1"/>
          <w:left w:val="single" w:sz="8" w:space="0" w:color="CED4D1"/>
          <w:bottom w:val="single" w:sz="8" w:space="0" w:color="CED4D1"/>
          <w:right w:val="single" w:sz="8" w:space="0" w:color="CED4D1"/>
          <w:insideH w:val="nil"/>
          <w:insideV w:val="nil"/>
        </w:tcBorders>
        <w:shd w:val="clear" w:color="auto" w:fill="BEC6C3"/>
      </w:tcPr>
    </w:tblStylePr>
    <w:tblStylePr w:type="lastRow">
      <w:pPr>
        <w:spacing w:before="0" w:after="0" w:line="240" w:lineRule="auto"/>
      </w:pPr>
      <w:rPr>
        <w:b/>
        <w:bCs/>
      </w:rPr>
      <w:tblPr/>
      <w:tcPr>
        <w:tcBorders>
          <w:top w:val="double" w:sz="6" w:space="0" w:color="CED4D1"/>
          <w:left w:val="single" w:sz="8" w:space="0" w:color="CED4D1"/>
          <w:bottom w:val="single" w:sz="8" w:space="0" w:color="CED4D1"/>
          <w:right w:val="single" w:sz="8" w:space="0" w:color="CED4D1"/>
          <w:insideH w:val="nil"/>
          <w:insideV w:val="nil"/>
        </w:tcBorders>
      </w:tcPr>
    </w:tblStylePr>
    <w:tblStylePr w:type="firstCol">
      <w:rPr>
        <w:b/>
        <w:bCs/>
      </w:rPr>
    </w:tblStylePr>
    <w:tblStylePr w:type="lastCol">
      <w:rPr>
        <w:b/>
        <w:bCs/>
      </w:rPr>
    </w:tblStylePr>
    <w:tblStylePr w:type="band1Vert">
      <w:tblPr/>
      <w:tcPr>
        <w:shd w:val="clear" w:color="auto" w:fill="EEF0F0"/>
      </w:tcPr>
    </w:tblStylePr>
    <w:tblStylePr w:type="band1Horz">
      <w:tblPr/>
      <w:tcPr>
        <w:tcBorders>
          <w:insideH w:val="nil"/>
          <w:insideV w:val="nil"/>
        </w:tcBorders>
        <w:shd w:val="clear" w:color="auto" w:fill="EEF0F0"/>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88AAC7"/>
        <w:left w:val="single" w:sz="8" w:space="0" w:color="88AAC7"/>
        <w:bottom w:val="single" w:sz="8" w:space="0" w:color="88AAC7"/>
        <w:right w:val="single" w:sz="8" w:space="0" w:color="88AAC7"/>
        <w:insideH w:val="single" w:sz="8" w:space="0" w:color="88AAC7"/>
      </w:tblBorders>
    </w:tblPr>
    <w:tblStylePr w:type="firstRow">
      <w:pPr>
        <w:spacing w:before="0" w:after="0" w:line="240" w:lineRule="auto"/>
      </w:pPr>
      <w:rPr>
        <w:b/>
        <w:bCs/>
        <w:color w:val="FFFFFF"/>
      </w:rPr>
      <w:tblPr/>
      <w:tcPr>
        <w:tcBorders>
          <w:top w:val="single" w:sz="8" w:space="0" w:color="88AAC7"/>
          <w:left w:val="single" w:sz="8" w:space="0" w:color="88AAC7"/>
          <w:bottom w:val="single" w:sz="8" w:space="0" w:color="88AAC7"/>
          <w:right w:val="single" w:sz="8" w:space="0" w:color="88AAC7"/>
          <w:insideH w:val="nil"/>
          <w:insideV w:val="nil"/>
        </w:tcBorders>
        <w:shd w:val="clear" w:color="auto" w:fill="618FB5"/>
      </w:tcPr>
    </w:tblStylePr>
    <w:tblStylePr w:type="lastRow">
      <w:pPr>
        <w:spacing w:before="0" w:after="0" w:line="240" w:lineRule="auto"/>
      </w:pPr>
      <w:rPr>
        <w:b/>
        <w:bCs/>
      </w:rPr>
      <w:tblPr/>
      <w:tcPr>
        <w:tcBorders>
          <w:top w:val="double" w:sz="6" w:space="0" w:color="88AAC7"/>
          <w:left w:val="single" w:sz="8" w:space="0" w:color="88AAC7"/>
          <w:bottom w:val="single" w:sz="8" w:space="0" w:color="88AAC7"/>
          <w:right w:val="single" w:sz="8" w:space="0" w:color="88AAC7"/>
          <w:insideH w:val="nil"/>
          <w:insideV w:val="nil"/>
        </w:tcBorders>
      </w:tcPr>
    </w:tblStylePr>
    <w:tblStylePr w:type="firstCol">
      <w:rPr>
        <w:b/>
        <w:bCs/>
      </w:rPr>
    </w:tblStylePr>
    <w:tblStylePr w:type="lastCol">
      <w:rPr>
        <w:b/>
        <w:bCs/>
      </w:rPr>
    </w:tblStylePr>
    <w:tblStylePr w:type="band1Vert">
      <w:tblPr/>
      <w:tcPr>
        <w:shd w:val="clear" w:color="auto" w:fill="D7E3EC"/>
      </w:tcPr>
    </w:tblStylePr>
    <w:tblStylePr w:type="band1Horz">
      <w:tblPr/>
      <w:tcPr>
        <w:tcBorders>
          <w:insideH w:val="nil"/>
          <w:insideV w:val="nil"/>
        </w:tcBorders>
        <w:shd w:val="clear" w:color="auto" w:fill="D7E3EC"/>
      </w:tcPr>
    </w:tblStylePr>
    <w:tblStylePr w:type="band2Horz">
      <w:tblPr/>
      <w:tcPr>
        <w:tcBorders>
          <w:insideH w:val="nil"/>
          <w:insideV w:val="nil"/>
        </w:tcBorders>
      </w:tcPr>
    </w:tblStylePr>
  </w:style>
  <w:style w:type="character" w:styleId="SubtleEmphasis">
    <w:name w:val="Subtle Emphasis"/>
    <w:uiPriority w:val="19"/>
    <w:qFormat/>
    <w:rsid w:val="008F050C"/>
    <w:rPr>
      <w:i/>
      <w:iCs/>
      <w:color w:val="1455A1"/>
    </w:rPr>
  </w:style>
  <w:style w:type="table" w:styleId="GridTable4-Accent2">
    <w:name w:val="Grid Table 4 Accent 2"/>
    <w:basedOn w:val="TableNormal"/>
    <w:uiPriority w:val="4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A0BBD2"/>
        <w:left w:val="single" w:sz="4" w:space="0" w:color="A0BBD2"/>
        <w:bottom w:val="single" w:sz="4" w:space="0" w:color="A0BBD2"/>
        <w:right w:val="single" w:sz="4" w:space="0" w:color="A0BBD2"/>
        <w:insideH w:val="single" w:sz="4" w:space="0" w:color="A0BBD2"/>
        <w:insideV w:val="single" w:sz="4" w:space="0" w:color="A0BBD2"/>
      </w:tblBorders>
    </w:tblPr>
    <w:tblStylePr w:type="firstRow">
      <w:rPr>
        <w:b/>
        <w:bCs/>
        <w:color w:val="FFFFFF"/>
      </w:rPr>
      <w:tblPr/>
      <w:tcPr>
        <w:tcBorders>
          <w:top w:val="single" w:sz="4" w:space="0" w:color="618FB5"/>
          <w:left w:val="single" w:sz="4" w:space="0" w:color="618FB5"/>
          <w:bottom w:val="single" w:sz="4" w:space="0" w:color="618FB5"/>
          <w:right w:val="single" w:sz="4" w:space="0" w:color="618FB5"/>
          <w:insideH w:val="nil"/>
          <w:insideV w:val="nil"/>
        </w:tcBorders>
        <w:shd w:val="clear" w:color="auto" w:fill="618FB5"/>
      </w:tcPr>
    </w:tblStylePr>
    <w:tblStylePr w:type="lastRow">
      <w:rPr>
        <w:b/>
        <w:bCs/>
      </w:rPr>
      <w:tblPr/>
      <w:tcPr>
        <w:tcBorders>
          <w:top w:val="double" w:sz="4" w:space="0" w:color="618FB5"/>
        </w:tcBorders>
      </w:tcPr>
    </w:tblStylePr>
    <w:tblStylePr w:type="firstCol">
      <w:rPr>
        <w:b/>
        <w:bCs/>
      </w:rPr>
    </w:tblStylePr>
    <w:tblStylePr w:type="lastCol">
      <w:rPr>
        <w:b/>
        <w:bCs/>
      </w:rPr>
    </w:tblStylePr>
    <w:tblStylePr w:type="band1Vert">
      <w:tblPr/>
      <w:tcPr>
        <w:shd w:val="clear" w:color="auto" w:fill="DFE8F0"/>
      </w:tcPr>
    </w:tblStylePr>
    <w:tblStylePr w:type="band1Horz">
      <w:tblPr/>
      <w:tcPr>
        <w:shd w:val="clear" w:color="auto" w:fill="DFE8F0"/>
      </w:tcPr>
    </w:tblStylePr>
  </w:style>
  <w:style w:type="character" w:styleId="SubtleReference">
    <w:name w:val="Subtle Reference"/>
    <w:uiPriority w:val="31"/>
    <w:unhideWhenUsed/>
    <w:qFormat/>
    <w:rsid w:val="008F050C"/>
    <w:rPr>
      <w:smallCaps/>
      <w:color w:val="196AC9"/>
    </w:rPr>
  </w:style>
  <w:style w:type="paragraph" w:customStyle="1" w:styleId="ClientName">
    <w:name w:val="Client Name"/>
    <w:basedOn w:val="Subtitle"/>
    <w:uiPriority w:val="18"/>
    <w:qFormat/>
    <w:rsid w:val="008F050C"/>
    <w:pPr>
      <w:suppressAutoHyphens/>
      <w:spacing w:before="180" w:after="360" w:line="400" w:lineRule="exact"/>
      <w:ind w:left="0" w:right="2545"/>
      <w:contextualSpacing/>
    </w:pPr>
    <w:rPr>
      <w:rFonts w:ascii="Overpass Heavy" w:eastAsia="Batang" w:hAnsi="Overpass Heavy"/>
      <w:bCs w:val="0"/>
      <w:color w:val="F4B083" w:themeColor="accent2" w:themeTint="99"/>
      <w:spacing w:val="-10"/>
    </w:rPr>
  </w:style>
  <w:style w:type="character" w:customStyle="1" w:styleId="UnresolvedMention20">
    <w:name w:val="Unresolved Mention20"/>
    <w:basedOn w:val="DefaultParagraphFont"/>
    <w:uiPriority w:val="99"/>
    <w:unhideWhenUsed/>
    <w:rsid w:val="008F050C"/>
    <w:rPr>
      <w:color w:val="605E5C"/>
      <w:shd w:val="clear" w:color="auto" w:fill="E1DFDD"/>
    </w:rPr>
  </w:style>
  <w:style w:type="paragraph" w:styleId="IntenseQuote">
    <w:name w:val="Intense Quote"/>
    <w:basedOn w:val="Normal"/>
    <w:next w:val="Normal"/>
    <w:link w:val="IntenseQuoteChar"/>
    <w:uiPriority w:val="30"/>
    <w:unhideWhenUsed/>
    <w:qFormat/>
    <w:rsid w:val="008F050C"/>
    <w:pPr>
      <w:pBdr>
        <w:top w:val="single" w:sz="4" w:space="10" w:color="4472C4" w:themeColor="accent1"/>
        <w:bottom w:val="single" w:sz="4" w:space="10" w:color="4472C4" w:themeColor="accent1"/>
      </w:pBdr>
      <w:suppressAutoHyphens/>
      <w:spacing w:before="360" w:after="360" w:line="240" w:lineRule="atLeast"/>
      <w:ind w:left="864" w:right="864"/>
      <w:jc w:val="center"/>
    </w:pPr>
    <w:rPr>
      <w:rFonts w:ascii="Overpass" w:eastAsia="Overpass" w:hAnsi="Overpass" w:cs="Times New Roman"/>
      <w:i/>
      <w:iCs/>
      <w:color w:val="4472C4" w:themeColor="accent1"/>
      <w:sz w:val="19"/>
      <w:szCs w:val="19"/>
    </w:rPr>
  </w:style>
  <w:style w:type="character" w:customStyle="1" w:styleId="IntenseQuoteChar">
    <w:name w:val="Intense Quote Char"/>
    <w:basedOn w:val="DefaultParagraphFont"/>
    <w:link w:val="IntenseQuote"/>
    <w:uiPriority w:val="30"/>
    <w:rsid w:val="008F050C"/>
    <w:rPr>
      <w:rFonts w:ascii="Overpass" w:eastAsia="Overpass" w:hAnsi="Overpass" w:cs="Times New Roman"/>
      <w:i/>
      <w:iCs/>
      <w:color w:val="4472C4" w:themeColor="accent1"/>
      <w:sz w:val="19"/>
      <w:szCs w:val="19"/>
    </w:rPr>
  </w:style>
  <w:style w:type="character" w:styleId="IntenseReference">
    <w:name w:val="Intense Reference"/>
    <w:basedOn w:val="DefaultParagraphFont"/>
    <w:uiPriority w:val="32"/>
    <w:unhideWhenUsed/>
    <w:qFormat/>
    <w:rsid w:val="008F050C"/>
    <w:rPr>
      <w:b/>
      <w:bCs/>
      <w:smallCaps/>
      <w:color w:val="4472C4" w:themeColor="accent1"/>
      <w:spacing w:val="5"/>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link w:val="ListParagraph"/>
    <w:uiPriority w:val="34"/>
    <w:qFormat/>
    <w:locked/>
    <w:rsid w:val="00571C01"/>
    <w:rPr>
      <w:rFonts w:ascii="Arial" w:hAnsi="Arial"/>
      <w:kern w:val="2"/>
      <w:szCs w:val="22"/>
      <w14:ligatures w14:val="standardContextual"/>
    </w:rPr>
  </w:style>
  <w:style w:type="character" w:customStyle="1" w:styleId="normaltextrun">
    <w:name w:val="normaltextrun"/>
    <w:basedOn w:val="DefaultParagraphFont"/>
    <w:rsid w:val="008F050C"/>
  </w:style>
  <w:style w:type="character" w:customStyle="1" w:styleId="eop">
    <w:name w:val="eop"/>
    <w:basedOn w:val="DefaultParagraphFont"/>
    <w:rsid w:val="008F050C"/>
  </w:style>
  <w:style w:type="numbering" w:customStyle="1" w:styleId="BulletsList1">
    <w:name w:val="Bullets List1"/>
    <w:uiPriority w:val="99"/>
    <w:rsid w:val="008F050C"/>
  </w:style>
  <w:style w:type="character" w:customStyle="1" w:styleId="Mention1">
    <w:name w:val="Mention1"/>
    <w:basedOn w:val="DefaultParagraphFont"/>
    <w:uiPriority w:val="99"/>
    <w:unhideWhenUsed/>
    <w:rsid w:val="008F050C"/>
    <w:rPr>
      <w:color w:val="2B579A"/>
      <w:shd w:val="clear" w:color="auto" w:fill="E1DFDD"/>
    </w:rPr>
  </w:style>
  <w:style w:type="character" w:customStyle="1" w:styleId="findhit">
    <w:name w:val="findhit"/>
    <w:basedOn w:val="DefaultParagraphFont"/>
    <w:rsid w:val="008F050C"/>
  </w:style>
  <w:style w:type="paragraph" w:customStyle="1" w:styleId="paragraph">
    <w:name w:val="paragraph"/>
    <w:basedOn w:val="Normal"/>
    <w:rsid w:val="008F050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Accent3">
    <w:name w:val="Grid Table 4 Accent 3"/>
    <w:basedOn w:val="TableNormal"/>
    <w:uiPriority w:val="49"/>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10">
    <w:name w:val="Plain Table 21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
    <w:name w:val="Plain Table 21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
    <w:name w:val="Plain Table 21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styleId="GridTable5Dark">
    <w:name w:val="Grid Table 5 Dark"/>
    <w:basedOn w:val="TableNormal"/>
    <w:uiPriority w:val="50"/>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6">
    <w:name w:val="Grid Table 4 Accent 6"/>
    <w:basedOn w:val="TableNormal"/>
    <w:uiPriority w:val="49"/>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List-Accent1">
    <w:name w:val="Light List Accent 1"/>
    <w:basedOn w:val="TableNormal"/>
    <w:uiPriority w:val="61"/>
    <w:rsid w:val="008F050C"/>
    <w:pPr>
      <w:spacing w:after="0" w:line="240" w:lineRule="auto"/>
    </w:pPr>
    <w:rPr>
      <w:rFonts w:ascii="Overpass" w:eastAsia="Overpass" w:hAnsi="Overpass" w:cs="Times New Roman"/>
      <w:sz w:val="19"/>
      <w:szCs w:val="19"/>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Table3-Accent6">
    <w:name w:val="List Table 3 Accent 6"/>
    <w:basedOn w:val="TableNormal"/>
    <w:uiPriority w:val="48"/>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null">
    <w:name w:val="null"/>
    <w:basedOn w:val="Normal"/>
    <w:rsid w:val="008F050C"/>
    <w:pPr>
      <w:spacing w:before="100" w:beforeAutospacing="1" w:after="100" w:afterAutospacing="1" w:line="240" w:lineRule="auto"/>
    </w:pPr>
    <w:rPr>
      <w:rFonts w:ascii="Times New Roman" w:hAnsi="Times New Roman" w:cs="Times New Roman"/>
      <w:sz w:val="24"/>
      <w:szCs w:val="24"/>
      <w:lang w:eastAsia="en-AU"/>
    </w:rPr>
  </w:style>
  <w:style w:type="character" w:customStyle="1" w:styleId="null1">
    <w:name w:val="null1"/>
    <w:basedOn w:val="DefaultParagraphFont"/>
    <w:rsid w:val="008F050C"/>
  </w:style>
  <w:style w:type="character" w:customStyle="1" w:styleId="Mention2">
    <w:name w:val="Mention2"/>
    <w:basedOn w:val="DefaultParagraphFont"/>
    <w:uiPriority w:val="99"/>
    <w:unhideWhenUsed/>
    <w:rsid w:val="008F050C"/>
    <w:rPr>
      <w:color w:val="2B579A"/>
      <w:shd w:val="clear" w:color="auto" w:fill="E1DFDD"/>
    </w:rPr>
  </w:style>
  <w:style w:type="character" w:styleId="FollowedHyperlink">
    <w:name w:val="FollowedHyperlink"/>
    <w:basedOn w:val="DefaultParagraphFont"/>
    <w:uiPriority w:val="99"/>
    <w:semiHidden/>
    <w:unhideWhenUsed/>
    <w:rsid w:val="008F050C"/>
    <w:rPr>
      <w:color w:val="954F72" w:themeColor="followedHyperlink"/>
      <w:u w:val="single"/>
    </w:rPr>
  </w:style>
  <w:style w:type="table" w:styleId="ListTable4-Accent1">
    <w:name w:val="List Table 4 Accent 1"/>
    <w:basedOn w:val="TableNormal"/>
    <w:uiPriority w:val="49"/>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PlainTable210000">
    <w:name w:val="Plain Table 21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
    <w:name w:val="Plain Table 21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
    <w:name w:val="Plain Table 21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
    <w:name w:val="Plain Table 210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paragraph" w:customStyle="1" w:styleId="Paragraph1">
    <w:name w:val="Paragraph 1"/>
    <w:basedOn w:val="ListParagraph"/>
    <w:qFormat/>
    <w:rsid w:val="008F050C"/>
    <w:pPr>
      <w:numPr>
        <w:numId w:val="9"/>
      </w:numPr>
      <w:tabs>
        <w:tab w:val="num" w:pos="360"/>
      </w:tabs>
      <w:spacing w:after="200" w:line="276" w:lineRule="auto"/>
      <w:contextualSpacing w:val="0"/>
    </w:pPr>
    <w:rPr>
      <w:rFonts w:asciiTheme="minorHAnsi" w:hAnsiTheme="minorHAnsi"/>
      <w:kern w:val="0"/>
      <w14:ligatures w14:val="none"/>
    </w:rPr>
  </w:style>
  <w:style w:type="paragraph" w:customStyle="1" w:styleId="Subparagrapha">
    <w:name w:val="Subparagraph (a)"/>
    <w:basedOn w:val="ListParagraph"/>
    <w:qFormat/>
    <w:rsid w:val="008F050C"/>
    <w:pPr>
      <w:numPr>
        <w:ilvl w:val="1"/>
        <w:numId w:val="9"/>
      </w:numPr>
      <w:tabs>
        <w:tab w:val="num" w:pos="360"/>
      </w:tabs>
      <w:spacing w:before="240" w:after="200" w:line="276" w:lineRule="auto"/>
      <w:ind w:left="1134" w:hanging="567"/>
      <w:contextualSpacing w:val="0"/>
    </w:pPr>
    <w:rPr>
      <w:rFonts w:asciiTheme="minorHAnsi" w:hAnsiTheme="minorHAnsi"/>
      <w:kern w:val="0"/>
      <w14:ligatures w14:val="none"/>
    </w:rPr>
  </w:style>
  <w:style w:type="table" w:customStyle="1" w:styleId="PlainTable2100000000">
    <w:name w:val="Plain Table 2100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00">
    <w:name w:val="Plain Table 21000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000">
    <w:name w:val="Plain Table 210000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character" w:customStyle="1" w:styleId="UnresolvedMention3">
    <w:name w:val="Unresolved Mention3"/>
    <w:basedOn w:val="DefaultParagraphFont"/>
    <w:uiPriority w:val="99"/>
    <w:semiHidden/>
    <w:unhideWhenUsed/>
    <w:rsid w:val="00E5760B"/>
    <w:rPr>
      <w:color w:val="605E5C"/>
      <w:shd w:val="clear" w:color="auto" w:fill="E1DFDD"/>
    </w:rPr>
  </w:style>
  <w:style w:type="character" w:customStyle="1" w:styleId="UnresolvedMention200">
    <w:name w:val="Unresolved Mention200"/>
    <w:basedOn w:val="DefaultParagraphFont"/>
    <w:uiPriority w:val="99"/>
    <w:unhideWhenUsed/>
    <w:rsid w:val="00D71E01"/>
    <w:rPr>
      <w:color w:val="605E5C"/>
      <w:shd w:val="clear" w:color="auto" w:fill="E1DFDD"/>
    </w:rPr>
  </w:style>
  <w:style w:type="character" w:customStyle="1" w:styleId="UnresolvedMention2000">
    <w:name w:val="Unresolved Mention2000"/>
    <w:basedOn w:val="DefaultParagraphFont"/>
    <w:uiPriority w:val="99"/>
    <w:unhideWhenUsed/>
    <w:rsid w:val="00AC660D"/>
    <w:rPr>
      <w:color w:val="605E5C"/>
      <w:shd w:val="clear" w:color="auto" w:fill="E1DFDD"/>
    </w:rPr>
  </w:style>
  <w:style w:type="character" w:customStyle="1" w:styleId="Mention3">
    <w:name w:val="Mention3"/>
    <w:basedOn w:val="DefaultParagraphFont"/>
    <w:uiPriority w:val="99"/>
    <w:unhideWhenUsed/>
    <w:rsid w:val="00EB74C1"/>
    <w:rPr>
      <w:color w:val="2B579A"/>
      <w:shd w:val="clear" w:color="auto" w:fill="E1DFDD"/>
    </w:rPr>
  </w:style>
  <w:style w:type="character" w:customStyle="1" w:styleId="UnresolvedMention20000">
    <w:name w:val="Unresolved Mention20000"/>
    <w:basedOn w:val="DefaultParagraphFont"/>
    <w:uiPriority w:val="99"/>
    <w:unhideWhenUsed/>
    <w:rsid w:val="00A34384"/>
    <w:rPr>
      <w:color w:val="605E5C"/>
      <w:shd w:val="clear" w:color="auto" w:fill="E1DFDD"/>
    </w:rPr>
  </w:style>
  <w:style w:type="paragraph" w:styleId="EndnoteText">
    <w:name w:val="endnote text"/>
    <w:basedOn w:val="Normal"/>
    <w:link w:val="EndnoteTextChar"/>
    <w:uiPriority w:val="99"/>
    <w:unhideWhenUsed/>
    <w:rsid w:val="0024419D"/>
    <w:pPr>
      <w:spacing w:before="120" w:line="240" w:lineRule="auto"/>
    </w:pPr>
    <w:rPr>
      <w:rFonts w:asciiTheme="minorHAnsi" w:hAnsiTheme="minorHAnsi"/>
      <w:color w:val="000000" w:themeColor="text1"/>
      <w:sz w:val="16"/>
      <w:szCs w:val="22"/>
    </w:rPr>
  </w:style>
  <w:style w:type="character" w:customStyle="1" w:styleId="EndnoteTextChar">
    <w:name w:val="Endnote Text Char"/>
    <w:basedOn w:val="DefaultParagraphFont"/>
    <w:link w:val="EndnoteText"/>
    <w:uiPriority w:val="99"/>
    <w:rsid w:val="0024419D"/>
    <w:rPr>
      <w:color w:val="000000" w:themeColor="text1"/>
      <w:sz w:val="16"/>
      <w:szCs w:val="22"/>
    </w:rPr>
  </w:style>
  <w:style w:type="character" w:styleId="EndnoteReference">
    <w:name w:val="endnote reference"/>
    <w:basedOn w:val="DefaultParagraphFont"/>
    <w:uiPriority w:val="99"/>
    <w:unhideWhenUsed/>
    <w:rsid w:val="0024419D"/>
    <w:rPr>
      <w:noProof w:val="0"/>
      <w:sz w:val="16"/>
      <w:vertAlign w:val="superscript"/>
      <w:lang w:val="en-AU"/>
    </w:rPr>
  </w:style>
  <w:style w:type="numbering" w:customStyle="1" w:styleId="BulletList">
    <w:name w:val="Bullet List"/>
    <w:uiPriority w:val="99"/>
    <w:rsid w:val="00BF069C"/>
    <w:pPr>
      <w:numPr>
        <w:numId w:val="13"/>
      </w:numPr>
    </w:pPr>
  </w:style>
  <w:style w:type="paragraph" w:customStyle="1" w:styleId="Heading2NoNumber">
    <w:name w:val="Heading 2 No Number"/>
    <w:basedOn w:val="Heading2"/>
    <w:next w:val="Normal"/>
    <w:uiPriority w:val="9"/>
    <w:qFormat/>
    <w:rsid w:val="00920FC7"/>
    <w:pPr>
      <w:spacing w:before="120" w:line="276" w:lineRule="auto"/>
    </w:pPr>
    <w:rPr>
      <w:rFonts w:asciiTheme="majorHAnsi" w:eastAsiaTheme="majorEastAsia" w:hAnsiTheme="majorHAnsi" w:cstheme="majorBidi"/>
      <w:color w:val="000000" w:themeColor="text1"/>
      <w:sz w:val="22"/>
      <w:szCs w:val="24"/>
    </w:rPr>
  </w:style>
  <w:style w:type="character" w:customStyle="1" w:styleId="UnresolvedMention200000">
    <w:name w:val="Unresolved Mention200000"/>
    <w:basedOn w:val="DefaultParagraphFont"/>
    <w:uiPriority w:val="99"/>
    <w:unhideWhenUsed/>
    <w:rsid w:val="008D4AF5"/>
    <w:rPr>
      <w:color w:val="605E5C"/>
      <w:shd w:val="clear" w:color="auto" w:fill="E1DFDD"/>
    </w:rPr>
  </w:style>
  <w:style w:type="character" w:customStyle="1" w:styleId="UnresolvedMention2000000">
    <w:name w:val="Unresolved Mention2000000"/>
    <w:basedOn w:val="DefaultParagraphFont"/>
    <w:uiPriority w:val="99"/>
    <w:unhideWhenUsed/>
    <w:rsid w:val="0031522B"/>
    <w:rPr>
      <w:color w:val="605E5C"/>
      <w:shd w:val="clear" w:color="auto" w:fill="E1DFDD"/>
    </w:rPr>
  </w:style>
  <w:style w:type="character" w:customStyle="1" w:styleId="UnresolvedMention20000000">
    <w:name w:val="Unresolved Mention20000000"/>
    <w:basedOn w:val="DefaultParagraphFont"/>
    <w:uiPriority w:val="99"/>
    <w:unhideWhenUsed/>
    <w:rsid w:val="00D7489A"/>
    <w:rPr>
      <w:color w:val="605E5C"/>
      <w:shd w:val="clear" w:color="auto" w:fill="E1DFDD"/>
    </w:rPr>
  </w:style>
  <w:style w:type="table" w:styleId="ListTable5Dark-Accent4">
    <w:name w:val="List Table 5 Dark Accent 4"/>
    <w:basedOn w:val="TableNormal"/>
    <w:uiPriority w:val="50"/>
    <w:rsid w:val="00531C19"/>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1">
    <w:name w:val="Grid Table 4 Accent 1"/>
    <w:basedOn w:val="TableNormal"/>
    <w:uiPriority w:val="49"/>
    <w:rsid w:val="00531C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3">
    <w:name w:val="List Table 2 Accent 3"/>
    <w:basedOn w:val="TableNormal"/>
    <w:uiPriority w:val="47"/>
    <w:rsid w:val="009D71C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00000000">
    <w:name w:val="Unresolved Mention200000000"/>
    <w:basedOn w:val="DefaultParagraphFont"/>
    <w:uiPriority w:val="99"/>
    <w:unhideWhenUsed/>
    <w:rsid w:val="00382ECD"/>
    <w:rPr>
      <w:color w:val="605E5C"/>
      <w:shd w:val="clear" w:color="auto" w:fill="E1DFDD"/>
    </w:rPr>
  </w:style>
  <w:style w:type="table" w:customStyle="1" w:styleId="TableGrid1">
    <w:name w:val="Table Grid1"/>
    <w:basedOn w:val="TableNormal"/>
    <w:next w:val="TableGrid"/>
    <w:uiPriority w:val="59"/>
    <w:rsid w:val="002158F5"/>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
    <w:basedOn w:val="Normal"/>
    <w:rsid w:val="0027614E"/>
    <w:pPr>
      <w:widowControl w:val="0"/>
      <w:spacing w:after="0" w:line="240" w:lineRule="auto"/>
      <w:ind w:left="770" w:hanging="770"/>
    </w:pPr>
    <w:rPr>
      <w:rFonts w:ascii="Calibri" w:eastAsia="Times New Roman" w:hAnsi="Calibri" w:cs="Times New Roman"/>
      <w:sz w:val="24"/>
      <w:szCs w:val="24"/>
      <w:lang w:val="en-US"/>
    </w:rPr>
  </w:style>
  <w:style w:type="character" w:customStyle="1" w:styleId="UnresolvedMention">
    <w:name w:val="Unresolved Mention"/>
    <w:basedOn w:val="DefaultParagraphFont"/>
    <w:uiPriority w:val="99"/>
    <w:semiHidden/>
    <w:unhideWhenUsed/>
    <w:rsid w:val="00C04E18"/>
    <w:rPr>
      <w:color w:val="605E5C"/>
      <w:shd w:val="clear" w:color="auto" w:fill="E1DFDD"/>
    </w:rPr>
  </w:style>
  <w:style w:type="character" w:customStyle="1" w:styleId="cf11">
    <w:name w:val="cf11"/>
    <w:basedOn w:val="DefaultParagraphFont"/>
    <w:rsid w:val="00523CC5"/>
    <w:rPr>
      <w:rFonts w:ascii="Segoe UI" w:hAnsi="Segoe UI" w:cs="Segoe UI" w:hint="default"/>
      <w:color w:val="333F48"/>
      <w:sz w:val="18"/>
      <w:szCs w:val="18"/>
    </w:rPr>
  </w:style>
  <w:style w:type="character" w:customStyle="1" w:styleId="Mention">
    <w:name w:val="Mention"/>
    <w:basedOn w:val="DefaultParagraphFont"/>
    <w:uiPriority w:val="99"/>
    <w:unhideWhenUsed/>
    <w:rsid w:val="007B0C6D"/>
    <w:rPr>
      <w:color w:val="2B579A"/>
      <w:shd w:val="clear" w:color="auto" w:fill="E1DFDD"/>
    </w:rPr>
  </w:style>
  <w:style w:type="paragraph" w:styleId="ListNumber2">
    <w:name w:val="List Number 2"/>
    <w:basedOn w:val="Normal"/>
    <w:uiPriority w:val="16"/>
    <w:qFormat/>
    <w:rsid w:val="00631428"/>
    <w:pPr>
      <w:spacing w:before="120" w:line="276" w:lineRule="auto"/>
      <w:ind w:left="792" w:hanging="432"/>
    </w:pPr>
    <w:rPr>
      <w:rFonts w:asciiTheme="minorHAnsi" w:hAnsiTheme="minorHAnsi"/>
      <w:color w:val="000000" w:themeColor="text1"/>
      <w:szCs w:val="22"/>
    </w:rPr>
  </w:style>
  <w:style w:type="paragraph" w:styleId="ListContinue">
    <w:name w:val="List Continue"/>
    <w:basedOn w:val="Normal"/>
    <w:uiPriority w:val="99"/>
    <w:semiHidden/>
    <w:rsid w:val="00631428"/>
    <w:pPr>
      <w:spacing w:before="120" w:line="240" w:lineRule="auto"/>
      <w:ind w:left="794"/>
    </w:pPr>
    <w:rPr>
      <w:rFonts w:asciiTheme="minorHAnsi" w:hAnsiTheme="minorHAnsi"/>
      <w:color w:val="000000" w:themeColor="text1"/>
      <w:szCs w:val="22"/>
    </w:rPr>
  </w:style>
  <w:style w:type="character" w:customStyle="1" w:styleId="sr-only">
    <w:name w:val="sr-only"/>
    <w:basedOn w:val="DefaultParagraphFont"/>
    <w:rsid w:val="00631428"/>
  </w:style>
  <w:style w:type="character" w:customStyle="1" w:styleId="latin">
    <w:name w:val="latin"/>
    <w:basedOn w:val="DefaultParagraphFont"/>
    <w:rsid w:val="00631428"/>
  </w:style>
  <w:style w:type="paragraph" w:customStyle="1" w:styleId="TableCaption">
    <w:name w:val="Table Caption"/>
    <w:basedOn w:val="Caption"/>
    <w:qFormat/>
    <w:rsid w:val="00E8778D"/>
  </w:style>
  <w:style w:type="paragraph" w:customStyle="1" w:styleId="pf1">
    <w:name w:val="pf1"/>
    <w:basedOn w:val="Normal"/>
    <w:rsid w:val="00E50010"/>
    <w:pPr>
      <w:spacing w:before="100" w:beforeAutospacing="1" w:after="100" w:afterAutospacing="1" w:line="240" w:lineRule="auto"/>
      <w:ind w:left="360"/>
    </w:pPr>
    <w:rPr>
      <w:rFonts w:ascii="Times New Roman" w:eastAsia="Times New Roman" w:hAnsi="Times New Roman" w:cs="Times New Roman"/>
      <w:sz w:val="24"/>
      <w:szCs w:val="24"/>
      <w:lang w:eastAsia="en-AU"/>
    </w:rPr>
  </w:style>
  <w:style w:type="paragraph" w:customStyle="1" w:styleId="Default">
    <w:name w:val="Default"/>
    <w:rsid w:val="00510C02"/>
    <w:pPr>
      <w:autoSpaceDE w:val="0"/>
      <w:autoSpaceDN w:val="0"/>
      <w:adjustRightInd w:val="0"/>
      <w:spacing w:after="0" w:line="240" w:lineRule="auto"/>
    </w:pPr>
    <w:rPr>
      <w:rFonts w:ascii="Calibri" w:hAnsi="Calibri" w:cs="Calibri"/>
      <w:color w:val="000000"/>
      <w:sz w:val="24"/>
      <w:szCs w:val="24"/>
    </w:rPr>
  </w:style>
  <w:style w:type="paragraph" w:customStyle="1" w:styleId="List-BulletLvl1">
    <w:name w:val="List - Bullet Lvl 1"/>
    <w:basedOn w:val="BodyText"/>
    <w:link w:val="List-BulletLvl1Char"/>
    <w:uiPriority w:val="4"/>
    <w:qFormat/>
    <w:rsid w:val="002A3852"/>
    <w:pPr>
      <w:spacing w:line="280" w:lineRule="exact"/>
      <w:jc w:val="both"/>
    </w:pPr>
    <w:rPr>
      <w:rFonts w:asciiTheme="minorHAnsi" w:hAnsiTheme="minorHAnsi"/>
      <w:sz w:val="22"/>
      <w:szCs w:val="22"/>
      <w:lang w:val="en-NZ"/>
    </w:rPr>
  </w:style>
  <w:style w:type="character" w:customStyle="1" w:styleId="List-BulletLvl1Char">
    <w:name w:val="List - Bullet Lvl 1 Char"/>
    <w:basedOn w:val="DefaultParagraphFont"/>
    <w:link w:val="List-BulletLvl1"/>
    <w:uiPriority w:val="4"/>
    <w:rsid w:val="002A3852"/>
    <w:rPr>
      <w:sz w:val="22"/>
      <w:szCs w:val="22"/>
      <w:lang w:val="en-NZ"/>
    </w:rPr>
  </w:style>
  <w:style w:type="numbering" w:customStyle="1" w:styleId="ListBullets1">
    <w:name w:val="ListBullets1"/>
    <w:uiPriority w:val="99"/>
    <w:locked/>
    <w:rsid w:val="00C54D80"/>
    <w:pPr>
      <w:numPr>
        <w:numId w:val="2"/>
      </w:numPr>
    </w:pPr>
  </w:style>
  <w:style w:type="numbering" w:customStyle="1" w:styleId="NumberBullet1">
    <w:name w:val="NumberBullet1"/>
    <w:uiPriority w:val="99"/>
    <w:locked/>
    <w:rsid w:val="00C54D80"/>
    <w:pPr>
      <w:numPr>
        <w:numId w:val="3"/>
      </w:numPr>
    </w:pPr>
  </w:style>
  <w:style w:type="table" w:customStyle="1" w:styleId="TGABlack20231">
    <w:name w:val="TGA Black 20231"/>
    <w:basedOn w:val="TableTGAblue2023"/>
    <w:uiPriority w:val="99"/>
    <w:rsid w:val="00C54D80"/>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table" w:customStyle="1" w:styleId="NoeticTable21">
    <w:name w:val="Noetic Table 21"/>
    <w:basedOn w:val="NoeticTable1"/>
    <w:uiPriority w:val="99"/>
    <w:rsid w:val="00C54D80"/>
    <w:tblPr>
      <w:tblBorders>
        <w:top w:val="single" w:sz="4" w:space="0" w:color="005487"/>
        <w:bottom w:val="single" w:sz="4" w:space="0" w:color="005487"/>
        <w:insideH w:val="single" w:sz="4" w:space="0" w:color="005487"/>
        <w:insideV w:val="single" w:sz="4" w:space="0" w:color="FFFFFF"/>
      </w:tblBorders>
    </w:tblPr>
    <w:tblStylePr w:type="firstRow">
      <w:rPr>
        <w:b/>
        <w:color w:val="FFFFFF"/>
      </w:rPr>
      <w:tblPr/>
      <w:tcPr>
        <w:tcBorders>
          <w:top w:val="single" w:sz="4" w:space="0" w:color="FFFFFF"/>
          <w:insideV w:val="single" w:sz="4" w:space="0" w:color="FFFFFF"/>
        </w:tcBorders>
        <w:shd w:val="clear" w:color="auto" w:fill="3B8AE6"/>
      </w:tcPr>
    </w:tblStylePr>
    <w:tblStylePr w:type="lastRow">
      <w:rPr>
        <w:b/>
      </w:rPr>
      <w:tblPr/>
      <w:tcPr>
        <w:shd w:val="clear" w:color="auto" w:fill="D9D9D9"/>
      </w:tcPr>
    </w:tblStylePr>
    <w:tblStylePr w:type="firstCol">
      <w:rPr>
        <w:b/>
        <w:color w:val="FFFFFF"/>
      </w:rPr>
      <w:tblPr/>
      <w:tcPr>
        <w:shd w:val="clear" w:color="auto" w:fill="3B8AE6"/>
      </w:tcPr>
    </w:tblStylePr>
    <w:tblStylePr w:type="lastCol">
      <w:rPr>
        <w:b/>
      </w:rPr>
      <w:tblPr/>
      <w:tcPr>
        <w:shd w:val="clear" w:color="auto" w:fill="D9D9D9"/>
      </w:tcPr>
    </w:tblStylePr>
    <w:tblStylePr w:type="band1Vert">
      <w:tblPr/>
      <w:tcPr>
        <w:shd w:val="clear" w:color="auto" w:fill="FFFFFF"/>
      </w:tcPr>
    </w:tblStylePr>
    <w:tblStylePr w:type="band2Vert">
      <w:tblPr/>
      <w:tcPr>
        <w:shd w:val="clear" w:color="auto" w:fill="D9D9D9"/>
      </w:tcPr>
    </w:tblStylePr>
    <w:tblStylePr w:type="band1Horz">
      <w:tblPr/>
      <w:tcPr>
        <w:shd w:val="clear" w:color="auto" w:fill="B4E2FF"/>
      </w:tcPr>
    </w:tblStylePr>
    <w:tblStylePr w:type="band2Horz">
      <w:tblPr/>
      <w:tcPr>
        <w:shd w:val="clear" w:color="auto" w:fill="69C5FF"/>
      </w:tcPr>
    </w:tblStylePr>
  </w:style>
  <w:style w:type="table" w:customStyle="1" w:styleId="MediumList1-Accent31">
    <w:name w:val="Medium List 1 - Accent 31"/>
    <w:basedOn w:val="TableNormal"/>
    <w:next w:val="MediumList1-Accent3"/>
    <w:uiPriority w:val="65"/>
    <w:rsid w:val="00C54D80"/>
    <w:pPr>
      <w:spacing w:before="180" w:after="80" w:line="240" w:lineRule="atLeast"/>
    </w:pPr>
    <w:rPr>
      <w:rFonts w:ascii="Overpass" w:eastAsia="Overpass" w:hAnsi="Overpass" w:cs="Times New Roman"/>
      <w:color w:val="082240"/>
      <w:sz w:val="19"/>
      <w:szCs w:val="19"/>
    </w:rPr>
    <w:tblPr>
      <w:tblStyleRowBandSize w:val="1"/>
      <w:tblStyleColBandSize w:val="1"/>
      <w:tblBorders>
        <w:top w:val="single" w:sz="8" w:space="0" w:color="FFA300"/>
        <w:bottom w:val="single" w:sz="8" w:space="0" w:color="FFA300"/>
      </w:tblBorders>
    </w:tblPr>
    <w:tblStylePr w:type="firstRow">
      <w:rPr>
        <w:rFonts w:ascii="Bookman Old Style" w:eastAsia="Batang" w:hAnsi="Bookman Old Style" w:cs="Times New Roman"/>
      </w:rPr>
      <w:tblPr/>
      <w:tcPr>
        <w:tcBorders>
          <w:top w:val="nil"/>
          <w:bottom w:val="single" w:sz="8" w:space="0" w:color="FFA300"/>
        </w:tcBorders>
      </w:tcPr>
    </w:tblStylePr>
    <w:tblStylePr w:type="lastRow">
      <w:rPr>
        <w:b/>
        <w:bCs/>
        <w:color w:val="0D223F"/>
      </w:rPr>
      <w:tblPr/>
      <w:tcPr>
        <w:tcBorders>
          <w:top w:val="single" w:sz="8" w:space="0" w:color="FFA300"/>
          <w:bottom w:val="single" w:sz="8" w:space="0" w:color="FFA300"/>
        </w:tcBorders>
      </w:tcPr>
    </w:tblStylePr>
    <w:tblStylePr w:type="firstCol">
      <w:rPr>
        <w:b/>
        <w:bCs/>
      </w:rPr>
    </w:tblStylePr>
    <w:tblStylePr w:type="lastCol">
      <w:rPr>
        <w:b/>
        <w:bCs/>
      </w:rPr>
      <w:tblPr/>
      <w:tcPr>
        <w:tcBorders>
          <w:top w:val="single" w:sz="8" w:space="0" w:color="FFA300"/>
          <w:bottom w:val="single" w:sz="8" w:space="0" w:color="FFA300"/>
        </w:tcBorders>
      </w:tcPr>
    </w:tblStylePr>
    <w:tblStylePr w:type="band1Vert">
      <w:tblPr/>
      <w:tcPr>
        <w:shd w:val="clear" w:color="auto" w:fill="FFE8C0"/>
      </w:tcPr>
    </w:tblStylePr>
    <w:tblStylePr w:type="band1Horz">
      <w:tblPr/>
      <w:tcPr>
        <w:shd w:val="clear" w:color="auto" w:fill="FFE8C0"/>
      </w:tcPr>
    </w:tblStylePr>
  </w:style>
  <w:style w:type="character" w:customStyle="1" w:styleId="EndnoteTextChar1">
    <w:name w:val="Endnote Text Char1"/>
    <w:basedOn w:val="DefaultParagraphFont"/>
    <w:uiPriority w:val="99"/>
    <w:rsid w:val="00D238B7"/>
    <w:rPr>
      <w:rFonts w:ascii="Calibri Light" w:hAnsi="Calibri Light"/>
      <w:sz w:val="18"/>
      <w:lang w:val="en-US" w:eastAsia="en-US"/>
    </w:rPr>
  </w:style>
  <w:style w:type="character" w:customStyle="1" w:styleId="StyleStyleEndnoteReferenceBodyCalibri8pt5">
    <w:name w:val="Style Style Endnote Reference + +Body (Calibri) + 8 pt5"/>
    <w:basedOn w:val="DefaultParagraphFont"/>
    <w:rsid w:val="00D238B7"/>
    <w:rPr>
      <w:rFonts w:ascii="Calibri Light" w:eastAsia="Cambria" w:hAnsi="Calibri Light"/>
      <w:sz w:val="16"/>
      <w:vertAlign w:val="superscript"/>
    </w:rPr>
  </w:style>
  <w:style w:type="character" w:customStyle="1" w:styleId="field">
    <w:name w:val="field"/>
    <w:basedOn w:val="DefaultParagraphFont"/>
    <w:rsid w:val="00D23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2417">
      <w:bodyDiv w:val="1"/>
      <w:marLeft w:val="0"/>
      <w:marRight w:val="0"/>
      <w:marTop w:val="0"/>
      <w:marBottom w:val="0"/>
      <w:divBdr>
        <w:top w:val="none" w:sz="0" w:space="0" w:color="auto"/>
        <w:left w:val="none" w:sz="0" w:space="0" w:color="auto"/>
        <w:bottom w:val="none" w:sz="0" w:space="0" w:color="auto"/>
        <w:right w:val="none" w:sz="0" w:space="0" w:color="auto"/>
      </w:divBdr>
    </w:div>
    <w:div w:id="55934030">
      <w:bodyDiv w:val="1"/>
      <w:marLeft w:val="0"/>
      <w:marRight w:val="0"/>
      <w:marTop w:val="0"/>
      <w:marBottom w:val="0"/>
      <w:divBdr>
        <w:top w:val="none" w:sz="0" w:space="0" w:color="auto"/>
        <w:left w:val="none" w:sz="0" w:space="0" w:color="auto"/>
        <w:bottom w:val="none" w:sz="0" w:space="0" w:color="auto"/>
        <w:right w:val="none" w:sz="0" w:space="0" w:color="auto"/>
      </w:divBdr>
    </w:div>
    <w:div w:id="58091074">
      <w:bodyDiv w:val="1"/>
      <w:marLeft w:val="0"/>
      <w:marRight w:val="0"/>
      <w:marTop w:val="0"/>
      <w:marBottom w:val="0"/>
      <w:divBdr>
        <w:top w:val="none" w:sz="0" w:space="0" w:color="auto"/>
        <w:left w:val="none" w:sz="0" w:space="0" w:color="auto"/>
        <w:bottom w:val="none" w:sz="0" w:space="0" w:color="auto"/>
        <w:right w:val="none" w:sz="0" w:space="0" w:color="auto"/>
      </w:divBdr>
    </w:div>
    <w:div w:id="61145917">
      <w:bodyDiv w:val="1"/>
      <w:marLeft w:val="0"/>
      <w:marRight w:val="0"/>
      <w:marTop w:val="0"/>
      <w:marBottom w:val="0"/>
      <w:divBdr>
        <w:top w:val="none" w:sz="0" w:space="0" w:color="auto"/>
        <w:left w:val="none" w:sz="0" w:space="0" w:color="auto"/>
        <w:bottom w:val="none" w:sz="0" w:space="0" w:color="auto"/>
        <w:right w:val="none" w:sz="0" w:space="0" w:color="auto"/>
      </w:divBdr>
    </w:div>
    <w:div w:id="68815552">
      <w:bodyDiv w:val="1"/>
      <w:marLeft w:val="0"/>
      <w:marRight w:val="0"/>
      <w:marTop w:val="0"/>
      <w:marBottom w:val="0"/>
      <w:divBdr>
        <w:top w:val="none" w:sz="0" w:space="0" w:color="auto"/>
        <w:left w:val="none" w:sz="0" w:space="0" w:color="auto"/>
        <w:bottom w:val="none" w:sz="0" w:space="0" w:color="auto"/>
        <w:right w:val="none" w:sz="0" w:space="0" w:color="auto"/>
      </w:divBdr>
      <w:divsChild>
        <w:div w:id="1533105675">
          <w:marLeft w:val="547"/>
          <w:marRight w:val="0"/>
          <w:marTop w:val="0"/>
          <w:marBottom w:val="0"/>
          <w:divBdr>
            <w:top w:val="none" w:sz="0" w:space="0" w:color="auto"/>
            <w:left w:val="none" w:sz="0" w:space="0" w:color="auto"/>
            <w:bottom w:val="none" w:sz="0" w:space="0" w:color="auto"/>
            <w:right w:val="none" w:sz="0" w:space="0" w:color="auto"/>
          </w:divBdr>
        </w:div>
      </w:divsChild>
    </w:div>
    <w:div w:id="121313106">
      <w:bodyDiv w:val="1"/>
      <w:marLeft w:val="0"/>
      <w:marRight w:val="0"/>
      <w:marTop w:val="0"/>
      <w:marBottom w:val="0"/>
      <w:divBdr>
        <w:top w:val="none" w:sz="0" w:space="0" w:color="auto"/>
        <w:left w:val="none" w:sz="0" w:space="0" w:color="auto"/>
        <w:bottom w:val="none" w:sz="0" w:space="0" w:color="auto"/>
        <w:right w:val="none" w:sz="0" w:space="0" w:color="auto"/>
      </w:divBdr>
    </w:div>
    <w:div w:id="130945754">
      <w:bodyDiv w:val="1"/>
      <w:marLeft w:val="0"/>
      <w:marRight w:val="0"/>
      <w:marTop w:val="0"/>
      <w:marBottom w:val="0"/>
      <w:divBdr>
        <w:top w:val="none" w:sz="0" w:space="0" w:color="auto"/>
        <w:left w:val="none" w:sz="0" w:space="0" w:color="auto"/>
        <w:bottom w:val="none" w:sz="0" w:space="0" w:color="auto"/>
        <w:right w:val="none" w:sz="0" w:space="0" w:color="auto"/>
      </w:divBdr>
    </w:div>
    <w:div w:id="180364705">
      <w:bodyDiv w:val="1"/>
      <w:marLeft w:val="0"/>
      <w:marRight w:val="0"/>
      <w:marTop w:val="0"/>
      <w:marBottom w:val="0"/>
      <w:divBdr>
        <w:top w:val="none" w:sz="0" w:space="0" w:color="auto"/>
        <w:left w:val="none" w:sz="0" w:space="0" w:color="auto"/>
        <w:bottom w:val="none" w:sz="0" w:space="0" w:color="auto"/>
        <w:right w:val="none" w:sz="0" w:space="0" w:color="auto"/>
      </w:divBdr>
    </w:div>
    <w:div w:id="219294536">
      <w:bodyDiv w:val="1"/>
      <w:marLeft w:val="0"/>
      <w:marRight w:val="0"/>
      <w:marTop w:val="0"/>
      <w:marBottom w:val="0"/>
      <w:divBdr>
        <w:top w:val="none" w:sz="0" w:space="0" w:color="auto"/>
        <w:left w:val="none" w:sz="0" w:space="0" w:color="auto"/>
        <w:bottom w:val="none" w:sz="0" w:space="0" w:color="auto"/>
        <w:right w:val="none" w:sz="0" w:space="0" w:color="auto"/>
      </w:divBdr>
    </w:div>
    <w:div w:id="316112609">
      <w:bodyDiv w:val="1"/>
      <w:marLeft w:val="0"/>
      <w:marRight w:val="0"/>
      <w:marTop w:val="0"/>
      <w:marBottom w:val="0"/>
      <w:divBdr>
        <w:top w:val="none" w:sz="0" w:space="0" w:color="auto"/>
        <w:left w:val="none" w:sz="0" w:space="0" w:color="auto"/>
        <w:bottom w:val="none" w:sz="0" w:space="0" w:color="auto"/>
        <w:right w:val="none" w:sz="0" w:space="0" w:color="auto"/>
      </w:divBdr>
    </w:div>
    <w:div w:id="318268387">
      <w:bodyDiv w:val="1"/>
      <w:marLeft w:val="0"/>
      <w:marRight w:val="0"/>
      <w:marTop w:val="0"/>
      <w:marBottom w:val="0"/>
      <w:divBdr>
        <w:top w:val="none" w:sz="0" w:space="0" w:color="auto"/>
        <w:left w:val="none" w:sz="0" w:space="0" w:color="auto"/>
        <w:bottom w:val="none" w:sz="0" w:space="0" w:color="auto"/>
        <w:right w:val="none" w:sz="0" w:space="0" w:color="auto"/>
      </w:divBdr>
    </w:div>
    <w:div w:id="324162456">
      <w:bodyDiv w:val="1"/>
      <w:marLeft w:val="0"/>
      <w:marRight w:val="0"/>
      <w:marTop w:val="0"/>
      <w:marBottom w:val="0"/>
      <w:divBdr>
        <w:top w:val="none" w:sz="0" w:space="0" w:color="auto"/>
        <w:left w:val="none" w:sz="0" w:space="0" w:color="auto"/>
        <w:bottom w:val="none" w:sz="0" w:space="0" w:color="auto"/>
        <w:right w:val="none" w:sz="0" w:space="0" w:color="auto"/>
      </w:divBdr>
    </w:div>
    <w:div w:id="349261993">
      <w:bodyDiv w:val="1"/>
      <w:marLeft w:val="0"/>
      <w:marRight w:val="0"/>
      <w:marTop w:val="0"/>
      <w:marBottom w:val="0"/>
      <w:divBdr>
        <w:top w:val="none" w:sz="0" w:space="0" w:color="auto"/>
        <w:left w:val="none" w:sz="0" w:space="0" w:color="auto"/>
        <w:bottom w:val="none" w:sz="0" w:space="0" w:color="auto"/>
        <w:right w:val="none" w:sz="0" w:space="0" w:color="auto"/>
      </w:divBdr>
    </w:div>
    <w:div w:id="371540359">
      <w:bodyDiv w:val="1"/>
      <w:marLeft w:val="0"/>
      <w:marRight w:val="0"/>
      <w:marTop w:val="0"/>
      <w:marBottom w:val="0"/>
      <w:divBdr>
        <w:top w:val="none" w:sz="0" w:space="0" w:color="auto"/>
        <w:left w:val="none" w:sz="0" w:space="0" w:color="auto"/>
        <w:bottom w:val="none" w:sz="0" w:space="0" w:color="auto"/>
        <w:right w:val="none" w:sz="0" w:space="0" w:color="auto"/>
      </w:divBdr>
    </w:div>
    <w:div w:id="377166220">
      <w:bodyDiv w:val="1"/>
      <w:marLeft w:val="0"/>
      <w:marRight w:val="0"/>
      <w:marTop w:val="0"/>
      <w:marBottom w:val="0"/>
      <w:divBdr>
        <w:top w:val="none" w:sz="0" w:space="0" w:color="auto"/>
        <w:left w:val="none" w:sz="0" w:space="0" w:color="auto"/>
        <w:bottom w:val="none" w:sz="0" w:space="0" w:color="auto"/>
        <w:right w:val="none" w:sz="0" w:space="0" w:color="auto"/>
      </w:divBdr>
    </w:div>
    <w:div w:id="388069441">
      <w:bodyDiv w:val="1"/>
      <w:marLeft w:val="0"/>
      <w:marRight w:val="0"/>
      <w:marTop w:val="0"/>
      <w:marBottom w:val="0"/>
      <w:divBdr>
        <w:top w:val="none" w:sz="0" w:space="0" w:color="auto"/>
        <w:left w:val="none" w:sz="0" w:space="0" w:color="auto"/>
        <w:bottom w:val="none" w:sz="0" w:space="0" w:color="auto"/>
        <w:right w:val="none" w:sz="0" w:space="0" w:color="auto"/>
      </w:divBdr>
    </w:div>
    <w:div w:id="446195449">
      <w:bodyDiv w:val="1"/>
      <w:marLeft w:val="0"/>
      <w:marRight w:val="0"/>
      <w:marTop w:val="0"/>
      <w:marBottom w:val="0"/>
      <w:divBdr>
        <w:top w:val="none" w:sz="0" w:space="0" w:color="auto"/>
        <w:left w:val="none" w:sz="0" w:space="0" w:color="auto"/>
        <w:bottom w:val="none" w:sz="0" w:space="0" w:color="auto"/>
        <w:right w:val="none" w:sz="0" w:space="0" w:color="auto"/>
      </w:divBdr>
    </w:div>
    <w:div w:id="479074912">
      <w:bodyDiv w:val="1"/>
      <w:marLeft w:val="0"/>
      <w:marRight w:val="0"/>
      <w:marTop w:val="0"/>
      <w:marBottom w:val="0"/>
      <w:divBdr>
        <w:top w:val="none" w:sz="0" w:space="0" w:color="auto"/>
        <w:left w:val="none" w:sz="0" w:space="0" w:color="auto"/>
        <w:bottom w:val="none" w:sz="0" w:space="0" w:color="auto"/>
        <w:right w:val="none" w:sz="0" w:space="0" w:color="auto"/>
      </w:divBdr>
    </w:div>
    <w:div w:id="483199559">
      <w:bodyDiv w:val="1"/>
      <w:marLeft w:val="0"/>
      <w:marRight w:val="0"/>
      <w:marTop w:val="0"/>
      <w:marBottom w:val="0"/>
      <w:divBdr>
        <w:top w:val="none" w:sz="0" w:space="0" w:color="auto"/>
        <w:left w:val="none" w:sz="0" w:space="0" w:color="auto"/>
        <w:bottom w:val="none" w:sz="0" w:space="0" w:color="auto"/>
        <w:right w:val="none" w:sz="0" w:space="0" w:color="auto"/>
      </w:divBdr>
    </w:div>
    <w:div w:id="519392651">
      <w:bodyDiv w:val="1"/>
      <w:marLeft w:val="0"/>
      <w:marRight w:val="0"/>
      <w:marTop w:val="0"/>
      <w:marBottom w:val="0"/>
      <w:divBdr>
        <w:top w:val="none" w:sz="0" w:space="0" w:color="auto"/>
        <w:left w:val="none" w:sz="0" w:space="0" w:color="auto"/>
        <w:bottom w:val="none" w:sz="0" w:space="0" w:color="auto"/>
        <w:right w:val="none" w:sz="0" w:space="0" w:color="auto"/>
      </w:divBdr>
    </w:div>
    <w:div w:id="549224022">
      <w:bodyDiv w:val="1"/>
      <w:marLeft w:val="0"/>
      <w:marRight w:val="0"/>
      <w:marTop w:val="0"/>
      <w:marBottom w:val="0"/>
      <w:divBdr>
        <w:top w:val="none" w:sz="0" w:space="0" w:color="auto"/>
        <w:left w:val="none" w:sz="0" w:space="0" w:color="auto"/>
        <w:bottom w:val="none" w:sz="0" w:space="0" w:color="auto"/>
        <w:right w:val="none" w:sz="0" w:space="0" w:color="auto"/>
      </w:divBdr>
    </w:div>
    <w:div w:id="549656259">
      <w:bodyDiv w:val="1"/>
      <w:marLeft w:val="0"/>
      <w:marRight w:val="0"/>
      <w:marTop w:val="0"/>
      <w:marBottom w:val="0"/>
      <w:divBdr>
        <w:top w:val="none" w:sz="0" w:space="0" w:color="auto"/>
        <w:left w:val="none" w:sz="0" w:space="0" w:color="auto"/>
        <w:bottom w:val="none" w:sz="0" w:space="0" w:color="auto"/>
        <w:right w:val="none" w:sz="0" w:space="0" w:color="auto"/>
      </w:divBdr>
    </w:div>
    <w:div w:id="559751727">
      <w:bodyDiv w:val="1"/>
      <w:marLeft w:val="0"/>
      <w:marRight w:val="0"/>
      <w:marTop w:val="0"/>
      <w:marBottom w:val="0"/>
      <w:divBdr>
        <w:top w:val="none" w:sz="0" w:space="0" w:color="auto"/>
        <w:left w:val="none" w:sz="0" w:space="0" w:color="auto"/>
        <w:bottom w:val="none" w:sz="0" w:space="0" w:color="auto"/>
        <w:right w:val="none" w:sz="0" w:space="0" w:color="auto"/>
      </w:divBdr>
    </w:div>
    <w:div w:id="623270025">
      <w:bodyDiv w:val="1"/>
      <w:marLeft w:val="0"/>
      <w:marRight w:val="0"/>
      <w:marTop w:val="0"/>
      <w:marBottom w:val="0"/>
      <w:divBdr>
        <w:top w:val="none" w:sz="0" w:space="0" w:color="auto"/>
        <w:left w:val="none" w:sz="0" w:space="0" w:color="auto"/>
        <w:bottom w:val="none" w:sz="0" w:space="0" w:color="auto"/>
        <w:right w:val="none" w:sz="0" w:space="0" w:color="auto"/>
      </w:divBdr>
    </w:div>
    <w:div w:id="688411584">
      <w:bodyDiv w:val="1"/>
      <w:marLeft w:val="0"/>
      <w:marRight w:val="0"/>
      <w:marTop w:val="0"/>
      <w:marBottom w:val="0"/>
      <w:divBdr>
        <w:top w:val="none" w:sz="0" w:space="0" w:color="auto"/>
        <w:left w:val="none" w:sz="0" w:space="0" w:color="auto"/>
        <w:bottom w:val="none" w:sz="0" w:space="0" w:color="auto"/>
        <w:right w:val="none" w:sz="0" w:space="0" w:color="auto"/>
      </w:divBdr>
    </w:div>
    <w:div w:id="701706498">
      <w:bodyDiv w:val="1"/>
      <w:marLeft w:val="0"/>
      <w:marRight w:val="0"/>
      <w:marTop w:val="0"/>
      <w:marBottom w:val="0"/>
      <w:divBdr>
        <w:top w:val="none" w:sz="0" w:space="0" w:color="auto"/>
        <w:left w:val="none" w:sz="0" w:space="0" w:color="auto"/>
        <w:bottom w:val="none" w:sz="0" w:space="0" w:color="auto"/>
        <w:right w:val="none" w:sz="0" w:space="0" w:color="auto"/>
      </w:divBdr>
    </w:div>
    <w:div w:id="733161696">
      <w:bodyDiv w:val="1"/>
      <w:marLeft w:val="0"/>
      <w:marRight w:val="0"/>
      <w:marTop w:val="0"/>
      <w:marBottom w:val="0"/>
      <w:divBdr>
        <w:top w:val="none" w:sz="0" w:space="0" w:color="auto"/>
        <w:left w:val="none" w:sz="0" w:space="0" w:color="auto"/>
        <w:bottom w:val="none" w:sz="0" w:space="0" w:color="auto"/>
        <w:right w:val="none" w:sz="0" w:space="0" w:color="auto"/>
      </w:divBdr>
      <w:divsChild>
        <w:div w:id="1018855044">
          <w:marLeft w:val="547"/>
          <w:marRight w:val="0"/>
          <w:marTop w:val="0"/>
          <w:marBottom w:val="0"/>
          <w:divBdr>
            <w:top w:val="none" w:sz="0" w:space="0" w:color="auto"/>
            <w:left w:val="none" w:sz="0" w:space="0" w:color="auto"/>
            <w:bottom w:val="none" w:sz="0" w:space="0" w:color="auto"/>
            <w:right w:val="none" w:sz="0" w:space="0" w:color="auto"/>
          </w:divBdr>
        </w:div>
      </w:divsChild>
    </w:div>
    <w:div w:id="757290148">
      <w:bodyDiv w:val="1"/>
      <w:marLeft w:val="0"/>
      <w:marRight w:val="0"/>
      <w:marTop w:val="0"/>
      <w:marBottom w:val="0"/>
      <w:divBdr>
        <w:top w:val="none" w:sz="0" w:space="0" w:color="auto"/>
        <w:left w:val="none" w:sz="0" w:space="0" w:color="auto"/>
        <w:bottom w:val="none" w:sz="0" w:space="0" w:color="auto"/>
        <w:right w:val="none" w:sz="0" w:space="0" w:color="auto"/>
      </w:divBdr>
    </w:div>
    <w:div w:id="757677138">
      <w:bodyDiv w:val="1"/>
      <w:marLeft w:val="0"/>
      <w:marRight w:val="0"/>
      <w:marTop w:val="0"/>
      <w:marBottom w:val="0"/>
      <w:divBdr>
        <w:top w:val="none" w:sz="0" w:space="0" w:color="auto"/>
        <w:left w:val="none" w:sz="0" w:space="0" w:color="auto"/>
        <w:bottom w:val="none" w:sz="0" w:space="0" w:color="auto"/>
        <w:right w:val="none" w:sz="0" w:space="0" w:color="auto"/>
      </w:divBdr>
    </w:div>
    <w:div w:id="768820793">
      <w:bodyDiv w:val="1"/>
      <w:marLeft w:val="0"/>
      <w:marRight w:val="0"/>
      <w:marTop w:val="0"/>
      <w:marBottom w:val="0"/>
      <w:divBdr>
        <w:top w:val="none" w:sz="0" w:space="0" w:color="auto"/>
        <w:left w:val="none" w:sz="0" w:space="0" w:color="auto"/>
        <w:bottom w:val="none" w:sz="0" w:space="0" w:color="auto"/>
        <w:right w:val="none" w:sz="0" w:space="0" w:color="auto"/>
      </w:divBdr>
    </w:div>
    <w:div w:id="781221584">
      <w:bodyDiv w:val="1"/>
      <w:marLeft w:val="0"/>
      <w:marRight w:val="0"/>
      <w:marTop w:val="0"/>
      <w:marBottom w:val="0"/>
      <w:divBdr>
        <w:top w:val="none" w:sz="0" w:space="0" w:color="auto"/>
        <w:left w:val="none" w:sz="0" w:space="0" w:color="auto"/>
        <w:bottom w:val="none" w:sz="0" w:space="0" w:color="auto"/>
        <w:right w:val="none" w:sz="0" w:space="0" w:color="auto"/>
      </w:divBdr>
    </w:div>
    <w:div w:id="782068931">
      <w:bodyDiv w:val="1"/>
      <w:marLeft w:val="0"/>
      <w:marRight w:val="0"/>
      <w:marTop w:val="0"/>
      <w:marBottom w:val="0"/>
      <w:divBdr>
        <w:top w:val="none" w:sz="0" w:space="0" w:color="auto"/>
        <w:left w:val="none" w:sz="0" w:space="0" w:color="auto"/>
        <w:bottom w:val="none" w:sz="0" w:space="0" w:color="auto"/>
        <w:right w:val="none" w:sz="0" w:space="0" w:color="auto"/>
      </w:divBdr>
    </w:div>
    <w:div w:id="786856790">
      <w:bodyDiv w:val="1"/>
      <w:marLeft w:val="0"/>
      <w:marRight w:val="0"/>
      <w:marTop w:val="0"/>
      <w:marBottom w:val="0"/>
      <w:divBdr>
        <w:top w:val="none" w:sz="0" w:space="0" w:color="auto"/>
        <w:left w:val="none" w:sz="0" w:space="0" w:color="auto"/>
        <w:bottom w:val="none" w:sz="0" w:space="0" w:color="auto"/>
        <w:right w:val="none" w:sz="0" w:space="0" w:color="auto"/>
      </w:divBdr>
    </w:div>
    <w:div w:id="789203017">
      <w:bodyDiv w:val="1"/>
      <w:marLeft w:val="0"/>
      <w:marRight w:val="0"/>
      <w:marTop w:val="0"/>
      <w:marBottom w:val="0"/>
      <w:divBdr>
        <w:top w:val="none" w:sz="0" w:space="0" w:color="auto"/>
        <w:left w:val="none" w:sz="0" w:space="0" w:color="auto"/>
        <w:bottom w:val="none" w:sz="0" w:space="0" w:color="auto"/>
        <w:right w:val="none" w:sz="0" w:space="0" w:color="auto"/>
      </w:divBdr>
    </w:div>
    <w:div w:id="817453571">
      <w:bodyDiv w:val="1"/>
      <w:marLeft w:val="0"/>
      <w:marRight w:val="0"/>
      <w:marTop w:val="0"/>
      <w:marBottom w:val="0"/>
      <w:divBdr>
        <w:top w:val="none" w:sz="0" w:space="0" w:color="auto"/>
        <w:left w:val="none" w:sz="0" w:space="0" w:color="auto"/>
        <w:bottom w:val="none" w:sz="0" w:space="0" w:color="auto"/>
        <w:right w:val="none" w:sz="0" w:space="0" w:color="auto"/>
      </w:divBdr>
    </w:div>
    <w:div w:id="822240666">
      <w:bodyDiv w:val="1"/>
      <w:marLeft w:val="0"/>
      <w:marRight w:val="0"/>
      <w:marTop w:val="0"/>
      <w:marBottom w:val="0"/>
      <w:divBdr>
        <w:top w:val="none" w:sz="0" w:space="0" w:color="auto"/>
        <w:left w:val="none" w:sz="0" w:space="0" w:color="auto"/>
        <w:bottom w:val="none" w:sz="0" w:space="0" w:color="auto"/>
        <w:right w:val="none" w:sz="0" w:space="0" w:color="auto"/>
      </w:divBdr>
    </w:div>
    <w:div w:id="826631319">
      <w:bodyDiv w:val="1"/>
      <w:marLeft w:val="0"/>
      <w:marRight w:val="0"/>
      <w:marTop w:val="0"/>
      <w:marBottom w:val="0"/>
      <w:divBdr>
        <w:top w:val="none" w:sz="0" w:space="0" w:color="auto"/>
        <w:left w:val="none" w:sz="0" w:space="0" w:color="auto"/>
        <w:bottom w:val="none" w:sz="0" w:space="0" w:color="auto"/>
        <w:right w:val="none" w:sz="0" w:space="0" w:color="auto"/>
      </w:divBdr>
    </w:div>
    <w:div w:id="827401366">
      <w:bodyDiv w:val="1"/>
      <w:marLeft w:val="0"/>
      <w:marRight w:val="0"/>
      <w:marTop w:val="0"/>
      <w:marBottom w:val="0"/>
      <w:divBdr>
        <w:top w:val="none" w:sz="0" w:space="0" w:color="auto"/>
        <w:left w:val="none" w:sz="0" w:space="0" w:color="auto"/>
        <w:bottom w:val="none" w:sz="0" w:space="0" w:color="auto"/>
        <w:right w:val="none" w:sz="0" w:space="0" w:color="auto"/>
      </w:divBdr>
    </w:div>
    <w:div w:id="847059866">
      <w:bodyDiv w:val="1"/>
      <w:marLeft w:val="0"/>
      <w:marRight w:val="0"/>
      <w:marTop w:val="0"/>
      <w:marBottom w:val="0"/>
      <w:divBdr>
        <w:top w:val="none" w:sz="0" w:space="0" w:color="auto"/>
        <w:left w:val="none" w:sz="0" w:space="0" w:color="auto"/>
        <w:bottom w:val="none" w:sz="0" w:space="0" w:color="auto"/>
        <w:right w:val="none" w:sz="0" w:space="0" w:color="auto"/>
      </w:divBdr>
    </w:div>
    <w:div w:id="863906230">
      <w:bodyDiv w:val="1"/>
      <w:marLeft w:val="0"/>
      <w:marRight w:val="0"/>
      <w:marTop w:val="0"/>
      <w:marBottom w:val="0"/>
      <w:divBdr>
        <w:top w:val="none" w:sz="0" w:space="0" w:color="auto"/>
        <w:left w:val="none" w:sz="0" w:space="0" w:color="auto"/>
        <w:bottom w:val="none" w:sz="0" w:space="0" w:color="auto"/>
        <w:right w:val="none" w:sz="0" w:space="0" w:color="auto"/>
      </w:divBdr>
    </w:div>
    <w:div w:id="876359030">
      <w:bodyDiv w:val="1"/>
      <w:marLeft w:val="0"/>
      <w:marRight w:val="0"/>
      <w:marTop w:val="0"/>
      <w:marBottom w:val="0"/>
      <w:divBdr>
        <w:top w:val="none" w:sz="0" w:space="0" w:color="auto"/>
        <w:left w:val="none" w:sz="0" w:space="0" w:color="auto"/>
        <w:bottom w:val="none" w:sz="0" w:space="0" w:color="auto"/>
        <w:right w:val="none" w:sz="0" w:space="0" w:color="auto"/>
      </w:divBdr>
    </w:div>
    <w:div w:id="886912510">
      <w:bodyDiv w:val="1"/>
      <w:marLeft w:val="0"/>
      <w:marRight w:val="0"/>
      <w:marTop w:val="0"/>
      <w:marBottom w:val="0"/>
      <w:divBdr>
        <w:top w:val="none" w:sz="0" w:space="0" w:color="auto"/>
        <w:left w:val="none" w:sz="0" w:space="0" w:color="auto"/>
        <w:bottom w:val="none" w:sz="0" w:space="0" w:color="auto"/>
        <w:right w:val="none" w:sz="0" w:space="0" w:color="auto"/>
      </w:divBdr>
    </w:div>
    <w:div w:id="916747387">
      <w:bodyDiv w:val="1"/>
      <w:marLeft w:val="0"/>
      <w:marRight w:val="0"/>
      <w:marTop w:val="0"/>
      <w:marBottom w:val="0"/>
      <w:divBdr>
        <w:top w:val="none" w:sz="0" w:space="0" w:color="auto"/>
        <w:left w:val="none" w:sz="0" w:space="0" w:color="auto"/>
        <w:bottom w:val="none" w:sz="0" w:space="0" w:color="auto"/>
        <w:right w:val="none" w:sz="0" w:space="0" w:color="auto"/>
      </w:divBdr>
    </w:div>
    <w:div w:id="936594895">
      <w:bodyDiv w:val="1"/>
      <w:marLeft w:val="0"/>
      <w:marRight w:val="0"/>
      <w:marTop w:val="0"/>
      <w:marBottom w:val="0"/>
      <w:divBdr>
        <w:top w:val="none" w:sz="0" w:space="0" w:color="auto"/>
        <w:left w:val="none" w:sz="0" w:space="0" w:color="auto"/>
        <w:bottom w:val="none" w:sz="0" w:space="0" w:color="auto"/>
        <w:right w:val="none" w:sz="0" w:space="0" w:color="auto"/>
      </w:divBdr>
    </w:div>
    <w:div w:id="999771238">
      <w:bodyDiv w:val="1"/>
      <w:marLeft w:val="0"/>
      <w:marRight w:val="0"/>
      <w:marTop w:val="0"/>
      <w:marBottom w:val="0"/>
      <w:divBdr>
        <w:top w:val="none" w:sz="0" w:space="0" w:color="auto"/>
        <w:left w:val="none" w:sz="0" w:space="0" w:color="auto"/>
        <w:bottom w:val="none" w:sz="0" w:space="0" w:color="auto"/>
        <w:right w:val="none" w:sz="0" w:space="0" w:color="auto"/>
      </w:divBdr>
    </w:div>
    <w:div w:id="1020164795">
      <w:bodyDiv w:val="1"/>
      <w:marLeft w:val="0"/>
      <w:marRight w:val="0"/>
      <w:marTop w:val="0"/>
      <w:marBottom w:val="0"/>
      <w:divBdr>
        <w:top w:val="none" w:sz="0" w:space="0" w:color="auto"/>
        <w:left w:val="none" w:sz="0" w:space="0" w:color="auto"/>
        <w:bottom w:val="none" w:sz="0" w:space="0" w:color="auto"/>
        <w:right w:val="none" w:sz="0" w:space="0" w:color="auto"/>
      </w:divBdr>
    </w:div>
    <w:div w:id="1033461233">
      <w:bodyDiv w:val="1"/>
      <w:marLeft w:val="0"/>
      <w:marRight w:val="0"/>
      <w:marTop w:val="0"/>
      <w:marBottom w:val="0"/>
      <w:divBdr>
        <w:top w:val="none" w:sz="0" w:space="0" w:color="auto"/>
        <w:left w:val="none" w:sz="0" w:space="0" w:color="auto"/>
        <w:bottom w:val="none" w:sz="0" w:space="0" w:color="auto"/>
        <w:right w:val="none" w:sz="0" w:space="0" w:color="auto"/>
      </w:divBdr>
    </w:div>
    <w:div w:id="1038168199">
      <w:bodyDiv w:val="1"/>
      <w:marLeft w:val="0"/>
      <w:marRight w:val="0"/>
      <w:marTop w:val="0"/>
      <w:marBottom w:val="0"/>
      <w:divBdr>
        <w:top w:val="none" w:sz="0" w:space="0" w:color="auto"/>
        <w:left w:val="none" w:sz="0" w:space="0" w:color="auto"/>
        <w:bottom w:val="none" w:sz="0" w:space="0" w:color="auto"/>
        <w:right w:val="none" w:sz="0" w:space="0" w:color="auto"/>
      </w:divBdr>
    </w:div>
    <w:div w:id="1043596998">
      <w:bodyDiv w:val="1"/>
      <w:marLeft w:val="0"/>
      <w:marRight w:val="0"/>
      <w:marTop w:val="0"/>
      <w:marBottom w:val="0"/>
      <w:divBdr>
        <w:top w:val="none" w:sz="0" w:space="0" w:color="auto"/>
        <w:left w:val="none" w:sz="0" w:space="0" w:color="auto"/>
        <w:bottom w:val="none" w:sz="0" w:space="0" w:color="auto"/>
        <w:right w:val="none" w:sz="0" w:space="0" w:color="auto"/>
      </w:divBdr>
      <w:divsChild>
        <w:div w:id="1838761570">
          <w:marLeft w:val="547"/>
          <w:marRight w:val="0"/>
          <w:marTop w:val="0"/>
          <w:marBottom w:val="0"/>
          <w:divBdr>
            <w:top w:val="none" w:sz="0" w:space="0" w:color="auto"/>
            <w:left w:val="none" w:sz="0" w:space="0" w:color="auto"/>
            <w:bottom w:val="none" w:sz="0" w:space="0" w:color="auto"/>
            <w:right w:val="none" w:sz="0" w:space="0" w:color="auto"/>
          </w:divBdr>
        </w:div>
      </w:divsChild>
    </w:div>
    <w:div w:id="1050033148">
      <w:bodyDiv w:val="1"/>
      <w:marLeft w:val="0"/>
      <w:marRight w:val="0"/>
      <w:marTop w:val="0"/>
      <w:marBottom w:val="0"/>
      <w:divBdr>
        <w:top w:val="none" w:sz="0" w:space="0" w:color="auto"/>
        <w:left w:val="none" w:sz="0" w:space="0" w:color="auto"/>
        <w:bottom w:val="none" w:sz="0" w:space="0" w:color="auto"/>
        <w:right w:val="none" w:sz="0" w:space="0" w:color="auto"/>
      </w:divBdr>
    </w:div>
    <w:div w:id="1066873631">
      <w:bodyDiv w:val="1"/>
      <w:marLeft w:val="0"/>
      <w:marRight w:val="0"/>
      <w:marTop w:val="0"/>
      <w:marBottom w:val="0"/>
      <w:divBdr>
        <w:top w:val="none" w:sz="0" w:space="0" w:color="auto"/>
        <w:left w:val="none" w:sz="0" w:space="0" w:color="auto"/>
        <w:bottom w:val="none" w:sz="0" w:space="0" w:color="auto"/>
        <w:right w:val="none" w:sz="0" w:space="0" w:color="auto"/>
      </w:divBdr>
    </w:div>
    <w:div w:id="1085492156">
      <w:bodyDiv w:val="1"/>
      <w:marLeft w:val="0"/>
      <w:marRight w:val="0"/>
      <w:marTop w:val="0"/>
      <w:marBottom w:val="0"/>
      <w:divBdr>
        <w:top w:val="none" w:sz="0" w:space="0" w:color="auto"/>
        <w:left w:val="none" w:sz="0" w:space="0" w:color="auto"/>
        <w:bottom w:val="none" w:sz="0" w:space="0" w:color="auto"/>
        <w:right w:val="none" w:sz="0" w:space="0" w:color="auto"/>
      </w:divBdr>
    </w:div>
    <w:div w:id="1107773748">
      <w:bodyDiv w:val="1"/>
      <w:marLeft w:val="0"/>
      <w:marRight w:val="0"/>
      <w:marTop w:val="0"/>
      <w:marBottom w:val="0"/>
      <w:divBdr>
        <w:top w:val="none" w:sz="0" w:space="0" w:color="auto"/>
        <w:left w:val="none" w:sz="0" w:space="0" w:color="auto"/>
        <w:bottom w:val="none" w:sz="0" w:space="0" w:color="auto"/>
        <w:right w:val="none" w:sz="0" w:space="0" w:color="auto"/>
      </w:divBdr>
    </w:div>
    <w:div w:id="1112822821">
      <w:bodyDiv w:val="1"/>
      <w:marLeft w:val="0"/>
      <w:marRight w:val="0"/>
      <w:marTop w:val="0"/>
      <w:marBottom w:val="0"/>
      <w:divBdr>
        <w:top w:val="none" w:sz="0" w:space="0" w:color="auto"/>
        <w:left w:val="none" w:sz="0" w:space="0" w:color="auto"/>
        <w:bottom w:val="none" w:sz="0" w:space="0" w:color="auto"/>
        <w:right w:val="none" w:sz="0" w:space="0" w:color="auto"/>
      </w:divBdr>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53521430">
      <w:bodyDiv w:val="1"/>
      <w:marLeft w:val="0"/>
      <w:marRight w:val="0"/>
      <w:marTop w:val="0"/>
      <w:marBottom w:val="0"/>
      <w:divBdr>
        <w:top w:val="none" w:sz="0" w:space="0" w:color="auto"/>
        <w:left w:val="none" w:sz="0" w:space="0" w:color="auto"/>
        <w:bottom w:val="none" w:sz="0" w:space="0" w:color="auto"/>
        <w:right w:val="none" w:sz="0" w:space="0" w:color="auto"/>
      </w:divBdr>
    </w:div>
    <w:div w:id="1177503465">
      <w:bodyDiv w:val="1"/>
      <w:marLeft w:val="0"/>
      <w:marRight w:val="0"/>
      <w:marTop w:val="0"/>
      <w:marBottom w:val="0"/>
      <w:divBdr>
        <w:top w:val="none" w:sz="0" w:space="0" w:color="auto"/>
        <w:left w:val="none" w:sz="0" w:space="0" w:color="auto"/>
        <w:bottom w:val="none" w:sz="0" w:space="0" w:color="auto"/>
        <w:right w:val="none" w:sz="0" w:space="0" w:color="auto"/>
      </w:divBdr>
    </w:div>
    <w:div w:id="1209758021">
      <w:bodyDiv w:val="1"/>
      <w:marLeft w:val="0"/>
      <w:marRight w:val="0"/>
      <w:marTop w:val="0"/>
      <w:marBottom w:val="0"/>
      <w:divBdr>
        <w:top w:val="none" w:sz="0" w:space="0" w:color="auto"/>
        <w:left w:val="none" w:sz="0" w:space="0" w:color="auto"/>
        <w:bottom w:val="none" w:sz="0" w:space="0" w:color="auto"/>
        <w:right w:val="none" w:sz="0" w:space="0" w:color="auto"/>
      </w:divBdr>
    </w:div>
    <w:div w:id="1221600296">
      <w:bodyDiv w:val="1"/>
      <w:marLeft w:val="0"/>
      <w:marRight w:val="0"/>
      <w:marTop w:val="0"/>
      <w:marBottom w:val="0"/>
      <w:divBdr>
        <w:top w:val="none" w:sz="0" w:space="0" w:color="auto"/>
        <w:left w:val="none" w:sz="0" w:space="0" w:color="auto"/>
        <w:bottom w:val="none" w:sz="0" w:space="0" w:color="auto"/>
        <w:right w:val="none" w:sz="0" w:space="0" w:color="auto"/>
      </w:divBdr>
    </w:div>
    <w:div w:id="1269969533">
      <w:bodyDiv w:val="1"/>
      <w:marLeft w:val="0"/>
      <w:marRight w:val="0"/>
      <w:marTop w:val="0"/>
      <w:marBottom w:val="0"/>
      <w:divBdr>
        <w:top w:val="none" w:sz="0" w:space="0" w:color="auto"/>
        <w:left w:val="none" w:sz="0" w:space="0" w:color="auto"/>
        <w:bottom w:val="none" w:sz="0" w:space="0" w:color="auto"/>
        <w:right w:val="none" w:sz="0" w:space="0" w:color="auto"/>
      </w:divBdr>
    </w:div>
    <w:div w:id="1277760371">
      <w:bodyDiv w:val="1"/>
      <w:marLeft w:val="0"/>
      <w:marRight w:val="0"/>
      <w:marTop w:val="0"/>
      <w:marBottom w:val="0"/>
      <w:divBdr>
        <w:top w:val="none" w:sz="0" w:space="0" w:color="auto"/>
        <w:left w:val="none" w:sz="0" w:space="0" w:color="auto"/>
        <w:bottom w:val="none" w:sz="0" w:space="0" w:color="auto"/>
        <w:right w:val="none" w:sz="0" w:space="0" w:color="auto"/>
      </w:divBdr>
      <w:divsChild>
        <w:div w:id="415370246">
          <w:marLeft w:val="547"/>
          <w:marRight w:val="0"/>
          <w:marTop w:val="0"/>
          <w:marBottom w:val="0"/>
          <w:divBdr>
            <w:top w:val="none" w:sz="0" w:space="0" w:color="auto"/>
            <w:left w:val="none" w:sz="0" w:space="0" w:color="auto"/>
            <w:bottom w:val="none" w:sz="0" w:space="0" w:color="auto"/>
            <w:right w:val="none" w:sz="0" w:space="0" w:color="auto"/>
          </w:divBdr>
        </w:div>
      </w:divsChild>
    </w:div>
    <w:div w:id="1282958149">
      <w:bodyDiv w:val="1"/>
      <w:marLeft w:val="0"/>
      <w:marRight w:val="0"/>
      <w:marTop w:val="0"/>
      <w:marBottom w:val="0"/>
      <w:divBdr>
        <w:top w:val="none" w:sz="0" w:space="0" w:color="auto"/>
        <w:left w:val="none" w:sz="0" w:space="0" w:color="auto"/>
        <w:bottom w:val="none" w:sz="0" w:space="0" w:color="auto"/>
        <w:right w:val="none" w:sz="0" w:space="0" w:color="auto"/>
      </w:divBdr>
    </w:div>
    <w:div w:id="1331444364">
      <w:bodyDiv w:val="1"/>
      <w:marLeft w:val="0"/>
      <w:marRight w:val="0"/>
      <w:marTop w:val="0"/>
      <w:marBottom w:val="0"/>
      <w:divBdr>
        <w:top w:val="none" w:sz="0" w:space="0" w:color="auto"/>
        <w:left w:val="none" w:sz="0" w:space="0" w:color="auto"/>
        <w:bottom w:val="none" w:sz="0" w:space="0" w:color="auto"/>
        <w:right w:val="none" w:sz="0" w:space="0" w:color="auto"/>
      </w:divBdr>
    </w:div>
    <w:div w:id="1338535978">
      <w:bodyDiv w:val="1"/>
      <w:marLeft w:val="0"/>
      <w:marRight w:val="0"/>
      <w:marTop w:val="0"/>
      <w:marBottom w:val="0"/>
      <w:divBdr>
        <w:top w:val="none" w:sz="0" w:space="0" w:color="auto"/>
        <w:left w:val="none" w:sz="0" w:space="0" w:color="auto"/>
        <w:bottom w:val="none" w:sz="0" w:space="0" w:color="auto"/>
        <w:right w:val="none" w:sz="0" w:space="0" w:color="auto"/>
      </w:divBdr>
    </w:div>
    <w:div w:id="1339193048">
      <w:bodyDiv w:val="1"/>
      <w:marLeft w:val="0"/>
      <w:marRight w:val="0"/>
      <w:marTop w:val="0"/>
      <w:marBottom w:val="0"/>
      <w:divBdr>
        <w:top w:val="none" w:sz="0" w:space="0" w:color="auto"/>
        <w:left w:val="none" w:sz="0" w:space="0" w:color="auto"/>
        <w:bottom w:val="none" w:sz="0" w:space="0" w:color="auto"/>
        <w:right w:val="none" w:sz="0" w:space="0" w:color="auto"/>
      </w:divBdr>
    </w:div>
    <w:div w:id="1348756868">
      <w:bodyDiv w:val="1"/>
      <w:marLeft w:val="0"/>
      <w:marRight w:val="0"/>
      <w:marTop w:val="0"/>
      <w:marBottom w:val="0"/>
      <w:divBdr>
        <w:top w:val="none" w:sz="0" w:space="0" w:color="auto"/>
        <w:left w:val="none" w:sz="0" w:space="0" w:color="auto"/>
        <w:bottom w:val="none" w:sz="0" w:space="0" w:color="auto"/>
        <w:right w:val="none" w:sz="0" w:space="0" w:color="auto"/>
      </w:divBdr>
    </w:div>
    <w:div w:id="1412124529">
      <w:bodyDiv w:val="1"/>
      <w:marLeft w:val="0"/>
      <w:marRight w:val="0"/>
      <w:marTop w:val="0"/>
      <w:marBottom w:val="0"/>
      <w:divBdr>
        <w:top w:val="none" w:sz="0" w:space="0" w:color="auto"/>
        <w:left w:val="none" w:sz="0" w:space="0" w:color="auto"/>
        <w:bottom w:val="none" w:sz="0" w:space="0" w:color="auto"/>
        <w:right w:val="none" w:sz="0" w:space="0" w:color="auto"/>
      </w:divBdr>
    </w:div>
    <w:div w:id="1442721547">
      <w:bodyDiv w:val="1"/>
      <w:marLeft w:val="0"/>
      <w:marRight w:val="0"/>
      <w:marTop w:val="0"/>
      <w:marBottom w:val="0"/>
      <w:divBdr>
        <w:top w:val="none" w:sz="0" w:space="0" w:color="auto"/>
        <w:left w:val="none" w:sz="0" w:space="0" w:color="auto"/>
        <w:bottom w:val="none" w:sz="0" w:space="0" w:color="auto"/>
        <w:right w:val="none" w:sz="0" w:space="0" w:color="auto"/>
      </w:divBdr>
    </w:div>
    <w:div w:id="1452555638">
      <w:bodyDiv w:val="1"/>
      <w:marLeft w:val="0"/>
      <w:marRight w:val="0"/>
      <w:marTop w:val="0"/>
      <w:marBottom w:val="0"/>
      <w:divBdr>
        <w:top w:val="none" w:sz="0" w:space="0" w:color="auto"/>
        <w:left w:val="none" w:sz="0" w:space="0" w:color="auto"/>
        <w:bottom w:val="none" w:sz="0" w:space="0" w:color="auto"/>
        <w:right w:val="none" w:sz="0" w:space="0" w:color="auto"/>
      </w:divBdr>
    </w:div>
    <w:div w:id="1468352009">
      <w:bodyDiv w:val="1"/>
      <w:marLeft w:val="0"/>
      <w:marRight w:val="0"/>
      <w:marTop w:val="0"/>
      <w:marBottom w:val="0"/>
      <w:divBdr>
        <w:top w:val="none" w:sz="0" w:space="0" w:color="auto"/>
        <w:left w:val="none" w:sz="0" w:space="0" w:color="auto"/>
        <w:bottom w:val="none" w:sz="0" w:space="0" w:color="auto"/>
        <w:right w:val="none" w:sz="0" w:space="0" w:color="auto"/>
      </w:divBdr>
    </w:div>
    <w:div w:id="1470441128">
      <w:bodyDiv w:val="1"/>
      <w:marLeft w:val="0"/>
      <w:marRight w:val="0"/>
      <w:marTop w:val="0"/>
      <w:marBottom w:val="0"/>
      <w:divBdr>
        <w:top w:val="none" w:sz="0" w:space="0" w:color="auto"/>
        <w:left w:val="none" w:sz="0" w:space="0" w:color="auto"/>
        <w:bottom w:val="none" w:sz="0" w:space="0" w:color="auto"/>
        <w:right w:val="none" w:sz="0" w:space="0" w:color="auto"/>
      </w:divBdr>
    </w:div>
    <w:div w:id="1478648080">
      <w:bodyDiv w:val="1"/>
      <w:marLeft w:val="0"/>
      <w:marRight w:val="0"/>
      <w:marTop w:val="0"/>
      <w:marBottom w:val="0"/>
      <w:divBdr>
        <w:top w:val="none" w:sz="0" w:space="0" w:color="auto"/>
        <w:left w:val="none" w:sz="0" w:space="0" w:color="auto"/>
        <w:bottom w:val="none" w:sz="0" w:space="0" w:color="auto"/>
        <w:right w:val="none" w:sz="0" w:space="0" w:color="auto"/>
      </w:divBdr>
    </w:div>
    <w:div w:id="1485858662">
      <w:bodyDiv w:val="1"/>
      <w:marLeft w:val="0"/>
      <w:marRight w:val="0"/>
      <w:marTop w:val="0"/>
      <w:marBottom w:val="0"/>
      <w:divBdr>
        <w:top w:val="none" w:sz="0" w:space="0" w:color="auto"/>
        <w:left w:val="none" w:sz="0" w:space="0" w:color="auto"/>
        <w:bottom w:val="none" w:sz="0" w:space="0" w:color="auto"/>
        <w:right w:val="none" w:sz="0" w:space="0" w:color="auto"/>
      </w:divBdr>
    </w:div>
    <w:div w:id="1491098903">
      <w:bodyDiv w:val="1"/>
      <w:marLeft w:val="0"/>
      <w:marRight w:val="0"/>
      <w:marTop w:val="0"/>
      <w:marBottom w:val="0"/>
      <w:divBdr>
        <w:top w:val="none" w:sz="0" w:space="0" w:color="auto"/>
        <w:left w:val="none" w:sz="0" w:space="0" w:color="auto"/>
        <w:bottom w:val="none" w:sz="0" w:space="0" w:color="auto"/>
        <w:right w:val="none" w:sz="0" w:space="0" w:color="auto"/>
      </w:divBdr>
    </w:div>
    <w:div w:id="1506556225">
      <w:bodyDiv w:val="1"/>
      <w:marLeft w:val="0"/>
      <w:marRight w:val="0"/>
      <w:marTop w:val="0"/>
      <w:marBottom w:val="0"/>
      <w:divBdr>
        <w:top w:val="none" w:sz="0" w:space="0" w:color="auto"/>
        <w:left w:val="none" w:sz="0" w:space="0" w:color="auto"/>
        <w:bottom w:val="none" w:sz="0" w:space="0" w:color="auto"/>
        <w:right w:val="none" w:sz="0" w:space="0" w:color="auto"/>
      </w:divBdr>
      <w:divsChild>
        <w:div w:id="2080588253">
          <w:marLeft w:val="547"/>
          <w:marRight w:val="0"/>
          <w:marTop w:val="0"/>
          <w:marBottom w:val="0"/>
          <w:divBdr>
            <w:top w:val="none" w:sz="0" w:space="0" w:color="auto"/>
            <w:left w:val="none" w:sz="0" w:space="0" w:color="auto"/>
            <w:bottom w:val="none" w:sz="0" w:space="0" w:color="auto"/>
            <w:right w:val="none" w:sz="0" w:space="0" w:color="auto"/>
          </w:divBdr>
        </w:div>
      </w:divsChild>
    </w:div>
    <w:div w:id="1534804049">
      <w:bodyDiv w:val="1"/>
      <w:marLeft w:val="0"/>
      <w:marRight w:val="0"/>
      <w:marTop w:val="0"/>
      <w:marBottom w:val="0"/>
      <w:divBdr>
        <w:top w:val="none" w:sz="0" w:space="0" w:color="auto"/>
        <w:left w:val="none" w:sz="0" w:space="0" w:color="auto"/>
        <w:bottom w:val="none" w:sz="0" w:space="0" w:color="auto"/>
        <w:right w:val="none" w:sz="0" w:space="0" w:color="auto"/>
      </w:divBdr>
    </w:div>
    <w:div w:id="1612123380">
      <w:bodyDiv w:val="1"/>
      <w:marLeft w:val="0"/>
      <w:marRight w:val="0"/>
      <w:marTop w:val="0"/>
      <w:marBottom w:val="0"/>
      <w:divBdr>
        <w:top w:val="none" w:sz="0" w:space="0" w:color="auto"/>
        <w:left w:val="none" w:sz="0" w:space="0" w:color="auto"/>
        <w:bottom w:val="none" w:sz="0" w:space="0" w:color="auto"/>
        <w:right w:val="none" w:sz="0" w:space="0" w:color="auto"/>
      </w:divBdr>
      <w:divsChild>
        <w:div w:id="511602428">
          <w:marLeft w:val="547"/>
          <w:marRight w:val="0"/>
          <w:marTop w:val="0"/>
          <w:marBottom w:val="0"/>
          <w:divBdr>
            <w:top w:val="none" w:sz="0" w:space="0" w:color="auto"/>
            <w:left w:val="none" w:sz="0" w:space="0" w:color="auto"/>
            <w:bottom w:val="none" w:sz="0" w:space="0" w:color="auto"/>
            <w:right w:val="none" w:sz="0" w:space="0" w:color="auto"/>
          </w:divBdr>
        </w:div>
      </w:divsChild>
    </w:div>
    <w:div w:id="1663658383">
      <w:bodyDiv w:val="1"/>
      <w:marLeft w:val="0"/>
      <w:marRight w:val="0"/>
      <w:marTop w:val="0"/>
      <w:marBottom w:val="0"/>
      <w:divBdr>
        <w:top w:val="none" w:sz="0" w:space="0" w:color="auto"/>
        <w:left w:val="none" w:sz="0" w:space="0" w:color="auto"/>
        <w:bottom w:val="none" w:sz="0" w:space="0" w:color="auto"/>
        <w:right w:val="none" w:sz="0" w:space="0" w:color="auto"/>
      </w:divBdr>
    </w:div>
    <w:div w:id="1670447747">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45688124">
      <w:bodyDiv w:val="1"/>
      <w:marLeft w:val="0"/>
      <w:marRight w:val="0"/>
      <w:marTop w:val="0"/>
      <w:marBottom w:val="0"/>
      <w:divBdr>
        <w:top w:val="none" w:sz="0" w:space="0" w:color="auto"/>
        <w:left w:val="none" w:sz="0" w:space="0" w:color="auto"/>
        <w:bottom w:val="none" w:sz="0" w:space="0" w:color="auto"/>
        <w:right w:val="none" w:sz="0" w:space="0" w:color="auto"/>
      </w:divBdr>
    </w:div>
    <w:div w:id="1748729825">
      <w:bodyDiv w:val="1"/>
      <w:marLeft w:val="0"/>
      <w:marRight w:val="0"/>
      <w:marTop w:val="0"/>
      <w:marBottom w:val="0"/>
      <w:divBdr>
        <w:top w:val="none" w:sz="0" w:space="0" w:color="auto"/>
        <w:left w:val="none" w:sz="0" w:space="0" w:color="auto"/>
        <w:bottom w:val="none" w:sz="0" w:space="0" w:color="auto"/>
        <w:right w:val="none" w:sz="0" w:space="0" w:color="auto"/>
      </w:divBdr>
    </w:div>
    <w:div w:id="1789543586">
      <w:bodyDiv w:val="1"/>
      <w:marLeft w:val="0"/>
      <w:marRight w:val="0"/>
      <w:marTop w:val="0"/>
      <w:marBottom w:val="0"/>
      <w:divBdr>
        <w:top w:val="none" w:sz="0" w:space="0" w:color="auto"/>
        <w:left w:val="none" w:sz="0" w:space="0" w:color="auto"/>
        <w:bottom w:val="none" w:sz="0" w:space="0" w:color="auto"/>
        <w:right w:val="none" w:sz="0" w:space="0" w:color="auto"/>
      </w:divBdr>
    </w:div>
    <w:div w:id="1806585558">
      <w:bodyDiv w:val="1"/>
      <w:marLeft w:val="0"/>
      <w:marRight w:val="0"/>
      <w:marTop w:val="0"/>
      <w:marBottom w:val="0"/>
      <w:divBdr>
        <w:top w:val="none" w:sz="0" w:space="0" w:color="auto"/>
        <w:left w:val="none" w:sz="0" w:space="0" w:color="auto"/>
        <w:bottom w:val="none" w:sz="0" w:space="0" w:color="auto"/>
        <w:right w:val="none" w:sz="0" w:space="0" w:color="auto"/>
      </w:divBdr>
      <w:divsChild>
        <w:div w:id="1373656000">
          <w:marLeft w:val="0"/>
          <w:marRight w:val="0"/>
          <w:marTop w:val="0"/>
          <w:marBottom w:val="0"/>
          <w:divBdr>
            <w:top w:val="none" w:sz="0" w:space="0" w:color="auto"/>
            <w:left w:val="none" w:sz="0" w:space="0" w:color="auto"/>
            <w:bottom w:val="none" w:sz="0" w:space="0" w:color="auto"/>
            <w:right w:val="none" w:sz="0" w:space="0" w:color="auto"/>
          </w:divBdr>
        </w:div>
        <w:div w:id="1787699018">
          <w:marLeft w:val="0"/>
          <w:marRight w:val="0"/>
          <w:marTop w:val="0"/>
          <w:marBottom w:val="0"/>
          <w:divBdr>
            <w:top w:val="none" w:sz="0" w:space="0" w:color="auto"/>
            <w:left w:val="none" w:sz="0" w:space="0" w:color="auto"/>
            <w:bottom w:val="none" w:sz="0" w:space="0" w:color="auto"/>
            <w:right w:val="none" w:sz="0" w:space="0" w:color="auto"/>
          </w:divBdr>
          <w:divsChild>
            <w:div w:id="392510123">
              <w:marLeft w:val="0"/>
              <w:marRight w:val="0"/>
              <w:marTop w:val="0"/>
              <w:marBottom w:val="0"/>
              <w:divBdr>
                <w:top w:val="none" w:sz="0" w:space="0" w:color="auto"/>
                <w:left w:val="none" w:sz="0" w:space="0" w:color="auto"/>
                <w:bottom w:val="none" w:sz="0" w:space="0" w:color="auto"/>
                <w:right w:val="none" w:sz="0" w:space="0" w:color="auto"/>
              </w:divBdr>
            </w:div>
            <w:div w:id="541483209">
              <w:marLeft w:val="0"/>
              <w:marRight w:val="0"/>
              <w:marTop w:val="0"/>
              <w:marBottom w:val="0"/>
              <w:divBdr>
                <w:top w:val="none" w:sz="0" w:space="0" w:color="auto"/>
                <w:left w:val="none" w:sz="0" w:space="0" w:color="auto"/>
                <w:bottom w:val="none" w:sz="0" w:space="0" w:color="auto"/>
                <w:right w:val="none" w:sz="0" w:space="0" w:color="auto"/>
              </w:divBdr>
            </w:div>
            <w:div w:id="10197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81067">
      <w:bodyDiv w:val="1"/>
      <w:marLeft w:val="0"/>
      <w:marRight w:val="0"/>
      <w:marTop w:val="0"/>
      <w:marBottom w:val="0"/>
      <w:divBdr>
        <w:top w:val="none" w:sz="0" w:space="0" w:color="auto"/>
        <w:left w:val="none" w:sz="0" w:space="0" w:color="auto"/>
        <w:bottom w:val="none" w:sz="0" w:space="0" w:color="auto"/>
        <w:right w:val="none" w:sz="0" w:space="0" w:color="auto"/>
      </w:divBdr>
    </w:div>
    <w:div w:id="1836337688">
      <w:bodyDiv w:val="1"/>
      <w:marLeft w:val="0"/>
      <w:marRight w:val="0"/>
      <w:marTop w:val="0"/>
      <w:marBottom w:val="0"/>
      <w:divBdr>
        <w:top w:val="none" w:sz="0" w:space="0" w:color="auto"/>
        <w:left w:val="none" w:sz="0" w:space="0" w:color="auto"/>
        <w:bottom w:val="none" w:sz="0" w:space="0" w:color="auto"/>
        <w:right w:val="none" w:sz="0" w:space="0" w:color="auto"/>
      </w:divBdr>
    </w:div>
    <w:div w:id="2013944635">
      <w:bodyDiv w:val="1"/>
      <w:marLeft w:val="0"/>
      <w:marRight w:val="0"/>
      <w:marTop w:val="0"/>
      <w:marBottom w:val="0"/>
      <w:divBdr>
        <w:top w:val="none" w:sz="0" w:space="0" w:color="auto"/>
        <w:left w:val="none" w:sz="0" w:space="0" w:color="auto"/>
        <w:bottom w:val="none" w:sz="0" w:space="0" w:color="auto"/>
        <w:right w:val="none" w:sz="0" w:space="0" w:color="auto"/>
      </w:divBdr>
    </w:div>
    <w:div w:id="2036618705">
      <w:bodyDiv w:val="1"/>
      <w:marLeft w:val="0"/>
      <w:marRight w:val="0"/>
      <w:marTop w:val="0"/>
      <w:marBottom w:val="0"/>
      <w:divBdr>
        <w:top w:val="none" w:sz="0" w:space="0" w:color="auto"/>
        <w:left w:val="none" w:sz="0" w:space="0" w:color="auto"/>
        <w:bottom w:val="none" w:sz="0" w:space="0" w:color="auto"/>
        <w:right w:val="none" w:sz="0" w:space="0" w:color="auto"/>
      </w:divBdr>
    </w:div>
    <w:div w:id="2042364396">
      <w:bodyDiv w:val="1"/>
      <w:marLeft w:val="0"/>
      <w:marRight w:val="0"/>
      <w:marTop w:val="0"/>
      <w:marBottom w:val="0"/>
      <w:divBdr>
        <w:top w:val="none" w:sz="0" w:space="0" w:color="auto"/>
        <w:left w:val="none" w:sz="0" w:space="0" w:color="auto"/>
        <w:bottom w:val="none" w:sz="0" w:space="0" w:color="auto"/>
        <w:right w:val="none" w:sz="0" w:space="0" w:color="auto"/>
      </w:divBdr>
    </w:div>
    <w:div w:id="2046640788">
      <w:bodyDiv w:val="1"/>
      <w:marLeft w:val="0"/>
      <w:marRight w:val="0"/>
      <w:marTop w:val="0"/>
      <w:marBottom w:val="0"/>
      <w:divBdr>
        <w:top w:val="none" w:sz="0" w:space="0" w:color="auto"/>
        <w:left w:val="none" w:sz="0" w:space="0" w:color="auto"/>
        <w:bottom w:val="none" w:sz="0" w:space="0" w:color="auto"/>
        <w:right w:val="none" w:sz="0" w:space="0" w:color="auto"/>
      </w:divBdr>
    </w:div>
    <w:div w:id="2047945820">
      <w:bodyDiv w:val="1"/>
      <w:marLeft w:val="0"/>
      <w:marRight w:val="0"/>
      <w:marTop w:val="0"/>
      <w:marBottom w:val="0"/>
      <w:divBdr>
        <w:top w:val="none" w:sz="0" w:space="0" w:color="auto"/>
        <w:left w:val="none" w:sz="0" w:space="0" w:color="auto"/>
        <w:bottom w:val="none" w:sz="0" w:space="0" w:color="auto"/>
        <w:right w:val="none" w:sz="0" w:space="0" w:color="auto"/>
      </w:divBdr>
    </w:div>
    <w:div w:id="2141457802">
      <w:bodyDiv w:val="1"/>
      <w:marLeft w:val="0"/>
      <w:marRight w:val="0"/>
      <w:marTop w:val="0"/>
      <w:marBottom w:val="0"/>
      <w:divBdr>
        <w:top w:val="none" w:sz="0" w:space="0" w:color="auto"/>
        <w:left w:val="none" w:sz="0" w:space="0" w:color="auto"/>
        <w:bottom w:val="none" w:sz="0" w:space="0" w:color="auto"/>
        <w:right w:val="none" w:sz="0" w:space="0" w:color="auto"/>
      </w:divBdr>
    </w:div>
    <w:div w:id="214303316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legislation.wa.gov.au/legislation/statutes.nsf/law_a143206.html" TargetMode="External"/><Relationship Id="rId26" Type="http://schemas.openxmlformats.org/officeDocument/2006/relationships/hyperlink" Target="https://health.ec.europa.eu/system/files/2022-08/scheer_o_017.pdf" TargetMode="External"/><Relationship Id="rId39" Type="http://schemas.microsoft.com/office/2007/relationships/hdphoto" Target="media/hdphoto1.wdp"/><Relationship Id="rId21" Type="http://schemas.openxmlformats.org/officeDocument/2006/relationships/chart" Target="charts/chart3.xml"/><Relationship Id="rId34" Type="http://schemas.openxmlformats.org/officeDocument/2006/relationships/diagramLayout" Target="diagrams/layout1.xml"/><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microsoft.com/office/2007/relationships/diagramDrawing" Target="diagrams/drawing4.xml"/><Relationship Id="rId63" Type="http://schemas.openxmlformats.org/officeDocument/2006/relationships/diagramColors" Target="diagrams/colors5.xml"/><Relationship Id="rId68" Type="http://schemas.openxmlformats.org/officeDocument/2006/relationships/diagramColors" Target="diagrams/colors6.xml"/><Relationship Id="rId76" Type="http://schemas.openxmlformats.org/officeDocument/2006/relationships/header" Target="header5.xml"/><Relationship Id="rId84" Type="http://schemas.openxmlformats.org/officeDocument/2006/relationships/image" Target="media/image15.png"/><Relationship Id="rId89" Type="http://schemas.openxmlformats.org/officeDocument/2006/relationships/header" Target="header7.xml"/><Relationship Id="rId7" Type="http://schemas.openxmlformats.org/officeDocument/2006/relationships/header" Target="header1.xml"/><Relationship Id="rId71" Type="http://schemas.openxmlformats.org/officeDocument/2006/relationships/diagramLayout" Target="diagrams/layout7.xml"/><Relationship Id="rId92"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www.tga.gov.au/form/authorised-prescribers" TargetMode="External"/><Relationship Id="rId29" Type="http://schemas.openxmlformats.org/officeDocument/2006/relationships/hyperlink" Target="https://www.racgp.org.au/clinical-resources/clinical-guidelines/key-racgp-guidelines/view-all-racgp-guidelines/supporting-smoking-cessation" TargetMode="External"/><Relationship Id="rId11" Type="http://schemas.openxmlformats.org/officeDocument/2006/relationships/header" Target="header3.xml"/><Relationship Id="rId24" Type="http://schemas.openxmlformats.org/officeDocument/2006/relationships/hyperlink" Target="https://www.hrb.ie/fileadmin/2._Plugin_related_files/Publications/2020_publication-related_files/2020_HIE/Evidence_Centre/Electronic_cigarettes_and_smoking_cessation_systematic_evidence_review.pdf" TargetMode="External"/><Relationship Id="rId32" Type="http://schemas.openxmlformats.org/officeDocument/2006/relationships/image" Target="media/image6.png"/><Relationship Id="rId37" Type="http://schemas.microsoft.com/office/2007/relationships/diagramDrawing" Target="diagrams/drawing1.xml"/><Relationship Id="rId40" Type="http://schemas.openxmlformats.org/officeDocument/2006/relationships/image" Target="media/image8.png"/><Relationship Id="rId45" Type="http://schemas.microsoft.com/office/2007/relationships/diagramDrawing" Target="diagrams/drawing2.xml"/><Relationship Id="rId53" Type="http://schemas.openxmlformats.org/officeDocument/2006/relationships/diagramQuickStyle" Target="diagrams/quickStyle4.xml"/><Relationship Id="rId58" Type="http://schemas.openxmlformats.org/officeDocument/2006/relationships/hyperlink" Target="https://www.gov.uk/guidance/licensing-procedure-for-electronic-cigarettes-as-medicines" TargetMode="External"/><Relationship Id="rId66" Type="http://schemas.openxmlformats.org/officeDocument/2006/relationships/diagramLayout" Target="diagrams/layout6.xml"/><Relationship Id="rId74" Type="http://schemas.microsoft.com/office/2007/relationships/diagramDrawing" Target="diagrams/drawing7.xml"/><Relationship Id="rId79" Type="http://schemas.openxmlformats.org/officeDocument/2006/relationships/image" Target="media/image10.png"/><Relationship Id="rId87" Type="http://schemas.openxmlformats.org/officeDocument/2006/relationships/hyperlink" Target="mailto:info@tga.gov.au" TargetMode="External"/><Relationship Id="rId5" Type="http://schemas.openxmlformats.org/officeDocument/2006/relationships/footnotes" Target="footnotes.xml"/><Relationship Id="rId61" Type="http://schemas.openxmlformats.org/officeDocument/2006/relationships/diagramLayout" Target="diagrams/layout5.xml"/><Relationship Id="rId82" Type="http://schemas.openxmlformats.org/officeDocument/2006/relationships/image" Target="media/image13.png"/><Relationship Id="rId90" Type="http://schemas.openxmlformats.org/officeDocument/2006/relationships/header" Target="header8.xml"/><Relationship Id="rId19" Type="http://schemas.openxmlformats.org/officeDocument/2006/relationships/chart" Target="charts/chart1.xml"/><Relationship Id="rId14" Type="http://schemas.openxmlformats.org/officeDocument/2006/relationships/hyperlink" Target="https://www.legislation.gov.au/Details/F2021L00595" TargetMode="External"/><Relationship Id="rId22" Type="http://schemas.openxmlformats.org/officeDocument/2006/relationships/image" Target="media/image4.png"/><Relationship Id="rId27" Type="http://schemas.openxmlformats.org/officeDocument/2006/relationships/hyperlink" Target="https://openresearch-repository.anu.edu.au/handle/1885/262914" TargetMode="External"/><Relationship Id="rId30" Type="http://schemas.openxmlformats.org/officeDocument/2006/relationships/hyperlink" Target="https://www.health.gov.au/ministers/the-hon-mark-butler-mp/media/ten-years-of-world-leading-reforms-and-reigniting-the-fight-against-tobacco-addiction" TargetMode="External"/><Relationship Id="rId35" Type="http://schemas.openxmlformats.org/officeDocument/2006/relationships/diagramQuickStyle" Target="diagrams/quickStyle1.xml"/><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hyperlink" Target="https://www.fda.gov/regulatory-information/search-fda-guidance-documents/premarket-tobacco-product-applications-electronic-nicotine-delivery-systems-ends" TargetMode="External"/><Relationship Id="rId64" Type="http://schemas.microsoft.com/office/2007/relationships/diagramDrawing" Target="diagrams/drawing5.xml"/><Relationship Id="rId69" Type="http://schemas.microsoft.com/office/2007/relationships/diagramDrawing" Target="diagrams/drawing6.xml"/><Relationship Id="rId77" Type="http://schemas.openxmlformats.org/officeDocument/2006/relationships/footer" Target="footer4.xml"/><Relationship Id="rId8" Type="http://schemas.openxmlformats.org/officeDocument/2006/relationships/header" Target="header2.xml"/><Relationship Id="rId51" Type="http://schemas.openxmlformats.org/officeDocument/2006/relationships/diagramData" Target="diagrams/data4.xml"/><Relationship Id="rId72" Type="http://schemas.openxmlformats.org/officeDocument/2006/relationships/diagramQuickStyle" Target="diagrams/quickStyle7.xml"/><Relationship Id="rId80" Type="http://schemas.openxmlformats.org/officeDocument/2006/relationships/image" Target="media/image11.png"/><Relationship Id="rId85" Type="http://schemas.openxmlformats.org/officeDocument/2006/relationships/image" Target="media/image16.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tga.gov.au/products/unapproved-therapeutic-goods/prescribe-unapproved-therapeutic-good-health-practitioners/unapproved-products-individual-patients-special-access-scheme" TargetMode="External"/><Relationship Id="rId25" Type="http://schemas.openxmlformats.org/officeDocument/2006/relationships/hyperlink" Target="https://www.hrb.ie/fileadmin/2._Plugin_related_files/Publications/2020_publication-related_files/2020_HIE/Evidence_Centre/Harms_and_benefits_of_e-cigarettes_and_heat-not-burn_tobacco_products_Literature_map.pdf" TargetMode="External"/><Relationship Id="rId33" Type="http://schemas.openxmlformats.org/officeDocument/2006/relationships/diagramData" Target="diagrams/data1.xml"/><Relationship Id="rId38" Type="http://schemas.openxmlformats.org/officeDocument/2006/relationships/image" Target="media/image7.png"/><Relationship Id="rId46" Type="http://schemas.openxmlformats.org/officeDocument/2006/relationships/diagramData" Target="diagrams/data3.xml"/><Relationship Id="rId59" Type="http://schemas.openxmlformats.org/officeDocument/2006/relationships/image" Target="media/image9.png"/><Relationship Id="rId67" Type="http://schemas.openxmlformats.org/officeDocument/2006/relationships/diagramQuickStyle" Target="diagrams/quickStyle6.xml"/><Relationship Id="rId20" Type="http://schemas.openxmlformats.org/officeDocument/2006/relationships/chart" Target="charts/chart2.xml"/><Relationship Id="rId41" Type="http://schemas.openxmlformats.org/officeDocument/2006/relationships/diagramData" Target="diagrams/data2.xml"/><Relationship Id="rId54" Type="http://schemas.openxmlformats.org/officeDocument/2006/relationships/diagramColors" Target="diagrams/colors4.xml"/><Relationship Id="rId62" Type="http://schemas.openxmlformats.org/officeDocument/2006/relationships/diagramQuickStyle" Target="diagrams/quickStyle5.xml"/><Relationship Id="rId70" Type="http://schemas.openxmlformats.org/officeDocument/2006/relationships/diagramData" Target="diagrams/data7.xml"/><Relationship Id="rId75" Type="http://schemas.openxmlformats.org/officeDocument/2006/relationships/header" Target="header4.xml"/><Relationship Id="rId83" Type="http://schemas.openxmlformats.org/officeDocument/2006/relationships/image" Target="media/image14.png"/><Relationship Id="rId88" Type="http://schemas.openxmlformats.org/officeDocument/2006/relationships/hyperlink" Target="https://www.tga.gov.au" TargetMode="External"/><Relationship Id="rId9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ga.gov.au/personal-importation-scheme" TargetMode="External"/><Relationship Id="rId23" Type="http://schemas.openxmlformats.org/officeDocument/2006/relationships/hyperlink" Target="https://www.hrb.ie/fileadmin/2._Plugin_related_files/Publications/2020_publication-related_files/2020_HIE/Evidence_Centre/Electronic_cigarette_use_and_tobacco_cigarette_smoking_initiation_in_adolescents.pdf" TargetMode="External"/><Relationship Id="rId28" Type="http://schemas.openxmlformats.org/officeDocument/2006/relationships/hyperlink" Target="https://www.nhmrc.gov.au/health-advice/all-topics/electronic-cigarettes/ceo-statement" TargetMode="External"/><Relationship Id="rId36" Type="http://schemas.openxmlformats.org/officeDocument/2006/relationships/diagramColors" Target="diagrams/colors1.xml"/><Relationship Id="rId49" Type="http://schemas.openxmlformats.org/officeDocument/2006/relationships/diagramColors" Target="diagrams/colors3.xml"/><Relationship Id="rId57" Type="http://schemas.openxmlformats.org/officeDocument/2006/relationships/hyperlink" Target="https://www.en-standard.eu/pd-cen-ts-17287-2019-requirements-and-test-methods-for-electronic-cigarette-devices/" TargetMode="External"/><Relationship Id="rId10"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diagramColors" Target="diagrams/colors2.xml"/><Relationship Id="rId52" Type="http://schemas.openxmlformats.org/officeDocument/2006/relationships/diagramLayout" Target="diagrams/layout4.xml"/><Relationship Id="rId60" Type="http://schemas.openxmlformats.org/officeDocument/2006/relationships/diagramData" Target="diagrams/data5.xml"/><Relationship Id="rId65" Type="http://schemas.openxmlformats.org/officeDocument/2006/relationships/diagramData" Target="diagrams/data6.xml"/><Relationship Id="rId73" Type="http://schemas.openxmlformats.org/officeDocument/2006/relationships/diagramColors" Target="diagrams/colors7.xml"/><Relationship Id="rId78" Type="http://schemas.openxmlformats.org/officeDocument/2006/relationships/header" Target="header6.xml"/><Relationship Id="rId81" Type="http://schemas.openxmlformats.org/officeDocument/2006/relationships/image" Target="media/image12.png"/><Relationship Id="rId86" Type="http://schemas.openxmlformats.org/officeDocument/2006/relationships/image" Target="media/image17.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tga.gov.au/news/media-releases/large-numbers-illegal-nicotine-vaping-products-seized-joint-tga-act-health-operation" TargetMode="External"/><Relationship Id="rId18" Type="http://schemas.openxmlformats.org/officeDocument/2006/relationships/hyperlink" Target="https://www.ncbi.nlm.nih.gov/pubmed/36977623" TargetMode="External"/><Relationship Id="rId26" Type="http://schemas.openxmlformats.org/officeDocument/2006/relationships/hyperlink" Target="https://www.health.gov.au/resources/publications/current-vaping-and-smoking-in-the-australian-population-aged-14-years-or-older-february-2018-to-march-2023?language=en" TargetMode="External"/><Relationship Id="rId39" Type="http://schemas.openxmlformats.org/officeDocument/2006/relationships/hyperlink" Target="https://www.health.nsw.gov.au/tobacco/Pages/vaping-evidence-summary.aspx" TargetMode="External"/><Relationship Id="rId21" Type="http://schemas.openxmlformats.org/officeDocument/2006/relationships/hyperlink" Target="https://health.ec.europa.eu/scientific-committees_en" TargetMode="External"/><Relationship Id="rId34" Type="http://schemas.openxmlformats.org/officeDocument/2006/relationships/hyperlink" Target="https://doi.org/10.1111/1753-6405.13316" TargetMode="External"/><Relationship Id="rId42" Type="http://schemas.openxmlformats.org/officeDocument/2006/relationships/hyperlink" Target="https://www.nhmrc.gov.au/health-advice/all-topics/electronic-cigarettes/ceo-statement" TargetMode="External"/><Relationship Id="rId47" Type="http://schemas.openxmlformats.org/officeDocument/2006/relationships/hyperlink" Target="https://www.health.gov.au/topics/smoking-and-tobacco/about-smoking-and-tobacco/about-e-cigarettes" TargetMode="External"/><Relationship Id="rId50" Type="http://schemas.openxmlformats.org/officeDocument/2006/relationships/hyperlink" Target="https://nap.nationalacademies.org/catalog/24952/public-health-consequences-of-e-cigarettes" TargetMode="External"/><Relationship Id="rId55" Type="http://schemas.openxmlformats.org/officeDocument/2006/relationships/hyperlink" Target="https://e-cigarettes.surgeongeneral.gov/documents/2016_SGR_Exec_Summ_508.pdf" TargetMode="External"/><Relationship Id="rId63" Type="http://schemas.openxmlformats.org/officeDocument/2006/relationships/hyperlink" Target="https://www.tga.gov.au/resources/publication/scheduling-decisions-final/notice-final-decision-amend-current-poisons-standard-nicotine" TargetMode="External"/><Relationship Id="rId68" Type="http://schemas.openxmlformats.org/officeDocument/2006/relationships/hyperlink" Target="https://www.australiangeographic.com.au/news/2023/02/e-cigarettes-pose-a-triple-threat-to-the-environment-says-clean-up-australia-waste-report/" TargetMode="External"/><Relationship Id="rId76" Type="http://schemas.openxmlformats.org/officeDocument/2006/relationships/hyperlink" Target="https://oia.pmc.gov.au/published-impact-analyses-and-reports/review-tobacco-control-legislative-framework-thematic-reviewhttps://oia.pmc.gov.au/published-impact-analyses-and-reports/review-tobacco-control-legislative-framework-thematic-review" TargetMode="External"/><Relationship Id="rId84" Type="http://schemas.openxmlformats.org/officeDocument/2006/relationships/hyperlink" Target="https://smokefreeclinic.com.au/" TargetMode="External"/><Relationship Id="rId7" Type="http://schemas.openxmlformats.org/officeDocument/2006/relationships/hyperlink" Target="https://www.statista.com/statistics/1189066/australia-electronic-cigarette-and-vaping-sales-value/" TargetMode="External"/><Relationship Id="rId71" Type="http://schemas.openxmlformats.org/officeDocument/2006/relationships/hyperlink" Target="https://www.health.govt.nz/our-work/regulation-health-and-disability-system/vaping-herbal-smoking-and-smokeless-tobacco-products-regulation/about-smokefree-environments-and-regulated-products-vaping-amendment-act" TargetMode="External"/><Relationship Id="rId2" Type="http://schemas.openxmlformats.org/officeDocument/2006/relationships/hyperlink" Target="https://openresearch-repository.anu.edu.au/bitstream/1885/262914/1/Electronic%20cigarettes%20health%20outcomes%20review_2022_WCAG.pdf" TargetMode="External"/><Relationship Id="rId16" Type="http://schemas.openxmlformats.org/officeDocument/2006/relationships/hyperlink" Target="https://www.quit.org.au/facts-evidence/research-evaluation" TargetMode="External"/><Relationship Id="rId29" Type="http://schemas.openxmlformats.org/officeDocument/2006/relationships/hyperlink" Target="https://www.aihw.gov.au/reports/alcohol/alcohol-tobacco-other-drugs-australia/contents/about" TargetMode="External"/><Relationship Id="rId11" Type="http://schemas.openxmlformats.org/officeDocument/2006/relationships/hyperlink" Target="https://www.abc.net.au/news/2018-06-12/not-all-e-juices-are-as-nicotine-free-as-they-claim/9857540" TargetMode="External"/><Relationship Id="rId24" Type="http://schemas.openxmlformats.org/officeDocument/2006/relationships/hyperlink" Target="https://www.aihw.gov.au/reports/illicit-use-of-drugs/national-drug-strategy-household-survey-2019/contents/table-of-contents" TargetMode="External"/><Relationship Id="rId32" Type="http://schemas.openxmlformats.org/officeDocument/2006/relationships/hyperlink" Target="https://doi.org/10.1002/hpja.202" TargetMode="External"/><Relationship Id="rId37" Type="http://schemas.openxmlformats.org/officeDocument/2006/relationships/hyperlink" Target="https://openresearch-repository.anu.edu.au/handle/1885/262914" TargetMode="External"/><Relationship Id="rId40" Type="http://schemas.openxmlformats.org/officeDocument/2006/relationships/hyperlink" Target="https://openresearch-repository.anu.edu.au/handle/1885/262914" TargetMode="External"/><Relationship Id="rId45" Type="http://schemas.openxmlformats.org/officeDocument/2006/relationships/hyperlink" Target="https://pubmed.ncbi.nlm.nih.gov/32006591/" TargetMode="External"/><Relationship Id="rId53" Type="http://schemas.openxmlformats.org/officeDocument/2006/relationships/hyperlink" Target="https://pubmed.ncbi.nlm.nih.gov/33785493/" TargetMode="External"/><Relationship Id="rId58" Type="http://schemas.openxmlformats.org/officeDocument/2006/relationships/hyperlink" Target="https://www.aihw.gov.au/reports/burden-of-disease/abds-2018-interactive-data-risk-factors" TargetMode="External"/><Relationship Id="rId66" Type="http://schemas.openxmlformats.org/officeDocument/2006/relationships/hyperlink" Target="https://www.cleanup.org.au/rubbish-report" TargetMode="External"/><Relationship Id="rId74" Type="http://schemas.openxmlformats.org/officeDocument/2006/relationships/hyperlink" Target="https://www.health.govt.nz/publication/smoking-status-daily-vapers-new-zealand-health-survey-2017-18-2021-22" TargetMode="External"/><Relationship Id="rId79" Type="http://schemas.openxmlformats.org/officeDocument/2006/relationships/hyperlink" Target="https://www.tga.gov.au/news/media-releases/access-nicotine-containing-e-cigarettes" TargetMode="External"/><Relationship Id="rId87" Type="http://schemas.openxmlformats.org/officeDocument/2006/relationships/hyperlink" Target="https://www.statista.com/statistics/1189066/australia-electronic-cigarette-and-vaping-sales-value/" TargetMode="External"/><Relationship Id="rId5" Type="http://schemas.openxmlformats.org/officeDocument/2006/relationships/hyperlink" Target="https://ndarc.med.unsw.edu.au/sites/default/files/ndarc/resources/National_IDRS_2022_Report_16.01.23.pdf" TargetMode="External"/><Relationship Id="rId61" Type="http://schemas.openxmlformats.org/officeDocument/2006/relationships/hyperlink" Target="https://www.gov.uk/government/publications/the-khan-review-making-smoking-obsolete" TargetMode="External"/><Relationship Id="rId82" Type="http://schemas.openxmlformats.org/officeDocument/2006/relationships/hyperlink" Target="https://www.tga.gov.au/resources/resource/guidance/special-access-scheme-sas-online-system-guidance" TargetMode="External"/><Relationship Id="rId19" Type="http://schemas.openxmlformats.org/officeDocument/2006/relationships/hyperlink" Target="https://www.health.gov.au/resources/publications/current-vaping-and-smoking-in-the-australian-population-aged-14-years-or-older-february-2018-to-march-2023?language=en" TargetMode="External"/><Relationship Id="rId4" Type="http://schemas.openxmlformats.org/officeDocument/2006/relationships/hyperlink" Target="https://www.health.gov.au/resources/publications/current-vaping-and-smoking-in-the-australian-population-aged-14-years-or-older-february-2018-to-march-2023?language=en" TargetMode="External"/><Relationship Id="rId9" Type="http://schemas.openxmlformats.org/officeDocument/2006/relationships/hyperlink" Target="https://www.tga.gov.au/news/media-releases/large-numbers-illegal-nicotine-vaping-products-seized-joint-tga-act-health-operation" TargetMode="External"/><Relationship Id="rId14" Type="http://schemas.openxmlformats.org/officeDocument/2006/relationships/hyperlink" Target="https://onlinelibrary.wiley.com/doi/full/10.5694/mja2.12059" TargetMode="External"/><Relationship Id="rId22" Type="http://schemas.openxmlformats.org/officeDocument/2006/relationships/hyperlink" Target="https://www.ncbi.nlm.nih.gov/pmc/articles/PMC6651627/" TargetMode="External"/><Relationship Id="rId27" Type="http://schemas.openxmlformats.org/officeDocument/2006/relationships/hyperlink" Target="https://www.health.gov.au/resources/publications/current-vaping-and-smoking-in-the-australian-population-aged-14-years-or-older-february-2018-to-march-2023?language=en" TargetMode="External"/><Relationship Id="rId30" Type="http://schemas.openxmlformats.org/officeDocument/2006/relationships/hyperlink" Target="https://www.health.gov.au/resources/publications/current-vaping-and-smoking-in-the-australian-population-aged-14-years-or-older-february-2018-to-march-2023?language=en" TargetMode="External"/><Relationship Id="rId35" Type="http://schemas.openxmlformats.org/officeDocument/2006/relationships/hyperlink" Target="https://www.nhmrc.gov.au/health-advice/all-topics/electronic-cigarettes/ceo-statement" TargetMode="External"/><Relationship Id="rId43" Type="http://schemas.openxmlformats.org/officeDocument/2006/relationships/hyperlink" Target="https://www.tga.gov.au/sites/default/files/2022-11/nicotine-vaping-products-analysis-evidence-university-wollongong.pdf" TargetMode="External"/><Relationship Id="rId48" Type="http://schemas.openxmlformats.org/officeDocument/2006/relationships/hyperlink" Target="https://www.nhmrc.gov.au/health-advice/all-topics/electronic-cigarettes/ceo-statement" TargetMode="External"/><Relationship Id="rId56" Type="http://schemas.openxmlformats.org/officeDocument/2006/relationships/hyperlink" Target="https://openresearch-repository.anu.edu.au/bitstream/1885/211618/3/E-cigarettes%20smoking%20behaviour%20summary%20report%20final%20200924.pdf" TargetMode="External"/><Relationship Id="rId64" Type="http://schemas.openxmlformats.org/officeDocument/2006/relationships/hyperlink" Target="https://www.racgp.org.au/clinical-resources/clinical-guidelines/key-racgp-guidelines/view-all-racgp-guidelines/supporting-smoking-cessation" TargetMode="External"/><Relationship Id="rId69" Type="http://schemas.openxmlformats.org/officeDocument/2006/relationships/hyperlink" Target="https://www.abc.net.au/news/2023-03-19/vape-disposal-waste-environment/102104946" TargetMode="External"/><Relationship Id="rId77" Type="http://schemas.openxmlformats.org/officeDocument/2006/relationships/hyperlink" Target="https://www.health.gov.au/ministers/the-hon-mark-butler-mp/media/taking-action-on-smoking-and-vaping" TargetMode="External"/><Relationship Id="rId8" Type="http://schemas.openxmlformats.org/officeDocument/2006/relationships/hyperlink" Target="https://aacs.org.au/wp-content/uploads/2022/08/AACS-CMA-Research-Attachment.pdf" TargetMode="External"/><Relationship Id="rId51" Type="http://schemas.openxmlformats.org/officeDocument/2006/relationships/hyperlink" Target="https://www.uts.edu.au/news/health-science/navigating-hazards" TargetMode="External"/><Relationship Id="rId72" Type="http://schemas.openxmlformats.org/officeDocument/2006/relationships/hyperlink" Target="https://www.health.govt.nz/our-work/regulation-health-and-disability-system/vaping-herbal-smoking-and-smokeless-tobacco-products-regulation/information-retailers-notifiable-products/obligations-notifiable-products" TargetMode="External"/><Relationship Id="rId80" Type="http://schemas.openxmlformats.org/officeDocument/2006/relationships/hyperlink" Target="https://www.tga.gov.au/form/special-access-scheme" TargetMode="External"/><Relationship Id="rId85" Type="http://schemas.openxmlformats.org/officeDocument/2006/relationships/hyperlink" Target="https://smokefreeclinic.com.au/nicotine-vapes-australia/" TargetMode="External"/><Relationship Id="rId3" Type="http://schemas.openxmlformats.org/officeDocument/2006/relationships/hyperlink" Target="https://www.cdc.gov/tobacco/data_statistics/sgr/e-cigarettes/pdfs/2016_sgr_entire_report_508.pdf" TargetMode="External"/><Relationship Id="rId12" Type="http://schemas.openxmlformats.org/officeDocument/2006/relationships/hyperlink" Target="https://www.theguardian.com/australia-news/2023/sep/25/toxic-chemicals-found-in-vapes-seized-from-nsw-schools-and-retailers" TargetMode="External"/><Relationship Id="rId17" Type="http://schemas.openxmlformats.org/officeDocument/2006/relationships/hyperlink" Target="https://www.cancer.nsw.gov.au/about-cancer/document-library/nsw-smoking-health-survey-2021" TargetMode="External"/><Relationship Id="rId25" Type="http://schemas.openxmlformats.org/officeDocument/2006/relationships/hyperlink" Target="https://www.who.int/europe/publications/i/item/WHO-EURO-2020-1513-41263-56157" TargetMode="External"/><Relationship Id="rId33" Type="http://schemas.openxmlformats.org/officeDocument/2006/relationships/hyperlink" Target="https://doi.org/10.1111/1753-6405.13316" TargetMode="External"/><Relationship Id="rId38" Type="http://schemas.openxmlformats.org/officeDocument/2006/relationships/hyperlink" Target="https://www.anu.edu.au/news/all-news/vaping-increasing-among-young-aussies-as-risks-confirmed" TargetMode="External"/><Relationship Id="rId46" Type="http://schemas.openxmlformats.org/officeDocument/2006/relationships/hyperlink" Target="https://www.health.nsw.gov.au/tobacco/Pages/vaping-evidence-summary.aspx" TargetMode="External"/><Relationship Id="rId59" Type="http://schemas.openxmlformats.org/officeDocument/2006/relationships/hyperlink" Target="https://www.cochranelibrary.com/cdsr/doi/10.1002/14651858.CD010216.pub7/full" TargetMode="External"/><Relationship Id="rId67" Type="http://schemas.openxmlformats.org/officeDocument/2006/relationships/hyperlink" Target="https://www.perthnow.com.au/local-news/experts-tip-what-this-years-clean-up-australia-day-waste-will-look-like-and-how-to-dispose-of-it-c-9860153" TargetMode="External"/><Relationship Id="rId20" Type="http://schemas.openxmlformats.org/officeDocument/2006/relationships/hyperlink" Target="https://www.ncbi.nlm.nih.gov/pmc/articles/PMC6655516/" TargetMode="External"/><Relationship Id="rId41" Type="http://schemas.openxmlformats.org/officeDocument/2006/relationships/hyperlink" Target="https://nap.nationalacademies.org/catalog/24952/public-health-consequences-of-e-cigarettes" TargetMode="External"/><Relationship Id="rId54" Type="http://schemas.openxmlformats.org/officeDocument/2006/relationships/hyperlink" Target="https://openresearch-repository.anu.edu.au/handle/1885/262914" TargetMode="External"/><Relationship Id="rId62" Type="http://schemas.openxmlformats.org/officeDocument/2006/relationships/hyperlink" Target="https://findanexpert.unimelb.edu.au/news/31387-the-pros-and-cons-of-prescription-only-liquid-nicotine" TargetMode="External"/><Relationship Id="rId70" Type="http://schemas.openxmlformats.org/officeDocument/2006/relationships/hyperlink" Target="https://www.tga.gov.au/resources/lab-test-reports" TargetMode="External"/><Relationship Id="rId75" Type="http://schemas.openxmlformats.org/officeDocument/2006/relationships/hyperlink" Target="https://oia.pmc.gov.au/published-impact-analyses-and-reports/review-tobacco-control-legislative-framework-thematic-reviewhttps://oia.pmc.gov.au/published-impact-analyses-and-reports/review-tobacco-control-legislative-framework-thematic-review" TargetMode="External"/><Relationship Id="rId83" Type="http://schemas.openxmlformats.org/officeDocument/2006/relationships/hyperlink" Target="https://www.nursingmidwiferyboard.gov.au/About/Statistics.aspx" TargetMode="External"/><Relationship Id="rId1" Type="http://schemas.openxmlformats.org/officeDocument/2006/relationships/hyperlink" Target="https://www.health.gov.au/resources/publications/current-vaping-and-smoking-in-the-australian-population-aged-14-years-or-older-february-2018-to-march-2023?language=en" TargetMode="External"/><Relationship Id="rId6" Type="http://schemas.openxmlformats.org/officeDocument/2006/relationships/hyperlink" Target="https://aacs.org.au/wp-content/uploads/2022/08/AACS-CMA-Research-Attachment.pdf" TargetMode="External"/><Relationship Id="rId15" Type="http://schemas.openxmlformats.org/officeDocument/2006/relationships/hyperlink" Target="https://onlinelibrary.wiley.com/doi/10.5694/mja2.51280" TargetMode="External"/><Relationship Id="rId23" Type="http://schemas.openxmlformats.org/officeDocument/2006/relationships/hyperlink" Target="https://onlinelibrary.wiley.com/doi/full/10.1111/1753-6405.13056" TargetMode="External"/><Relationship Id="rId28" Type="http://schemas.openxmlformats.org/officeDocument/2006/relationships/hyperlink" Target="https://www.aihw.gov.au/reports/illicit-use-of-drugs/national-drug-strategy-household-survey-2019/contents/table-of-contents" TargetMode="External"/><Relationship Id="rId36" Type="http://schemas.openxmlformats.org/officeDocument/2006/relationships/hyperlink" Target="https://nap.nationalacademies.org/catalog/24952/public-health-consequences-of-e-cigarettes" TargetMode="External"/><Relationship Id="rId49" Type="http://schemas.openxmlformats.org/officeDocument/2006/relationships/hyperlink" Target="https://openresearch-repository.anu.edu.au/handle/1885/262914" TargetMode="External"/><Relationship Id="rId57" Type="http://schemas.openxmlformats.org/officeDocument/2006/relationships/hyperlink" Target="https://www.tga.gov.au/resources/publication/scheduling-decisions-final/notice-final-decision-amend-current-poisons-standard-nicotine" TargetMode="External"/><Relationship Id="rId10" Type="http://schemas.openxmlformats.org/officeDocument/2006/relationships/hyperlink" Target="https://tobaccocontrol.bmj.com/content/tobaccocontrol/31/6/689.full.pdf" TargetMode="External"/><Relationship Id="rId31" Type="http://schemas.openxmlformats.org/officeDocument/2006/relationships/hyperlink" Target="https://doi.org/10.1186/s12889-023-15142-8" TargetMode="External"/><Relationship Id="rId44" Type="http://schemas.openxmlformats.org/officeDocument/2006/relationships/hyperlink" Target="https://www.industrialchemicals.gov.au/sites/default/files/2020-08/Non-nicotine%20liquids%20for%20e-cigarette%20devices%20in%20Australia%20chemistry%20and%20health%20concerns%20%5BPDF%201.21%20MB%5D.pdf" TargetMode="External"/><Relationship Id="rId52" Type="http://schemas.openxmlformats.org/officeDocument/2006/relationships/hyperlink" Target="https://www.tga.gov.au/resources/publication/scheduling-decisions-final/notice-final-decision-amend-current-poisons-standard-nicotine" TargetMode="External"/><Relationship Id="rId60" Type="http://schemas.openxmlformats.org/officeDocument/2006/relationships/hyperlink" Target="https://www.gov.uk/government/news/smokers-urged-to-swap-cigarettes-for-vapes-in-world-first-scheme" TargetMode="External"/><Relationship Id="rId65" Type="http://schemas.openxmlformats.org/officeDocument/2006/relationships/hyperlink" Target="https://www.vichealth.vic.gov.au/news-publications/media-releases/bad-vapefluence" TargetMode="External"/><Relationship Id="rId73" Type="http://schemas.openxmlformats.org/officeDocument/2006/relationships/hyperlink" Target="https://oia.pmc.gov.au/published-impact-analyses-and-reports/review-tobacco-control-legislative-framework-thematic-review" TargetMode="External"/><Relationship Id="rId78" Type="http://schemas.openxmlformats.org/officeDocument/2006/relationships/hyperlink" Target="https://www.abs.gov.au/statistics/labour/earnings-and-work-hours/employee-earnings-and-hours-australia/latest-release" TargetMode="External"/><Relationship Id="rId81" Type="http://schemas.openxmlformats.org/officeDocument/2006/relationships/hyperlink" Target="https://www.tga.gov.au/form/authorised-prescribers" TargetMode="External"/><Relationship Id="rId86" Type="http://schemas.openxmlformats.org/officeDocument/2006/relationships/hyperlink" Target="https://www.psa.org.au/wp-content/uploads/2018/07/PSA-Code-of-Ethics-2017.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Entities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0739-4146-801A-F8D0D94CAF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0739-4146-801A-F8D0D94CAF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0739-4146-801A-F8D0D94CAF54}"/>
              </c:ext>
            </c:extLst>
          </c:dPt>
          <c:dLbls>
            <c:dLbl>
              <c:idx val="0"/>
              <c:layout>
                <c:manualLayout>
                  <c:x val="-0.23546907919196927"/>
                  <c:y val="2.831524303916941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739-4146-801A-F8D0D94CAF54}"/>
                </c:ext>
              </c:extLst>
            </c:dLbl>
            <c:dLbl>
              <c:idx val="1"/>
              <c:layout>
                <c:manualLayout>
                  <c:x val="0.232990457305738"/>
                  <c:y val="4.719207173194903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39-4146-801A-F8D0D94CAF54}"/>
                </c:ext>
              </c:extLst>
            </c:dLbl>
            <c:dLbl>
              <c:idx val="2"/>
              <c:layout>
                <c:manualLayout>
                  <c:x val="-0.17846077580865036"/>
                  <c:y val="8.966493629070315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39-4146-801A-F8D0D94CAF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Vape specialist stores</c:v>
                </c:pt>
                <c:pt idx="1">
                  <c:v>Tobacconist Stores</c:v>
                </c:pt>
                <c:pt idx="2">
                  <c:v>Convenience Stores</c:v>
                </c:pt>
              </c:strCache>
            </c:strRef>
          </c:cat>
          <c:val>
            <c:numRef>
              <c:f>Sheet1!$B$2:$B$4</c:f>
              <c:numCache>
                <c:formatCode>General</c:formatCode>
                <c:ptCount val="3"/>
                <c:pt idx="0">
                  <c:v>83</c:v>
                </c:pt>
                <c:pt idx="1">
                  <c:v>110</c:v>
                </c:pt>
                <c:pt idx="2">
                  <c:v>6978</c:v>
                </c:pt>
              </c:numCache>
            </c:numRef>
          </c:val>
          <c:extLst>
            <c:ext xmlns:c16="http://schemas.microsoft.com/office/drawing/2014/chart" uri="{C3380CC4-5D6E-409C-BE32-E72D297353CC}">
              <c16:uniqueId val="{00000000-0739-4146-801A-F8D0D94CAF54}"/>
            </c:ext>
          </c:extLst>
        </c:ser>
        <c:dLbls>
          <c:showLegendKey val="0"/>
          <c:showVal val="0"/>
          <c:showCatName val="1"/>
          <c:showSerName val="0"/>
          <c:showPercent val="1"/>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Physical Stores</c:v>
                </c:pt>
              </c:strCache>
            </c:strRef>
          </c:tx>
          <c:dPt>
            <c:idx val="0"/>
            <c:bubble3D val="0"/>
            <c:spPr>
              <a:solidFill>
                <a:schemeClr val="accent1"/>
              </a:solidFill>
              <a:ln>
                <a:noFill/>
              </a:ln>
              <a:effectLst/>
            </c:spPr>
            <c:extLst>
              <c:ext xmlns:c16="http://schemas.microsoft.com/office/drawing/2014/chart" uri="{C3380CC4-5D6E-409C-BE32-E72D297353CC}">
                <c16:uniqueId val="{00000001-FB0F-4631-B5F9-976267E094BD}"/>
              </c:ext>
            </c:extLst>
          </c:dPt>
          <c:dPt>
            <c:idx val="1"/>
            <c:bubble3D val="0"/>
            <c:spPr>
              <a:solidFill>
                <a:schemeClr val="accent2"/>
              </a:solidFill>
              <a:ln>
                <a:noFill/>
              </a:ln>
              <a:effectLst/>
            </c:spPr>
            <c:extLst>
              <c:ext xmlns:c16="http://schemas.microsoft.com/office/drawing/2014/chart" uri="{C3380CC4-5D6E-409C-BE32-E72D297353CC}">
                <c16:uniqueId val="{00000003-FB0F-4631-B5F9-976267E094BD}"/>
              </c:ext>
            </c:extLst>
          </c:dPt>
          <c:dPt>
            <c:idx val="2"/>
            <c:bubble3D val="0"/>
            <c:spPr>
              <a:solidFill>
                <a:schemeClr val="accent3"/>
              </a:solidFill>
              <a:ln>
                <a:noFill/>
              </a:ln>
              <a:effectLst/>
            </c:spPr>
            <c:extLst>
              <c:ext xmlns:c16="http://schemas.microsoft.com/office/drawing/2014/chart" uri="{C3380CC4-5D6E-409C-BE32-E72D297353CC}">
                <c16:uniqueId val="{00000005-FB0F-4631-B5F9-976267E094BD}"/>
              </c:ext>
            </c:extLst>
          </c:dPt>
          <c:dPt>
            <c:idx val="3"/>
            <c:bubble3D val="0"/>
            <c:spPr>
              <a:solidFill>
                <a:schemeClr val="accent4"/>
              </a:solidFill>
              <a:ln>
                <a:noFill/>
              </a:ln>
              <a:effectLst/>
            </c:spPr>
            <c:extLst>
              <c:ext xmlns:c16="http://schemas.microsoft.com/office/drawing/2014/chart" uri="{C3380CC4-5D6E-409C-BE32-E72D297353CC}">
                <c16:uniqueId val="{00000007-FB0F-4631-B5F9-976267E094BD}"/>
              </c:ext>
            </c:extLst>
          </c:dPt>
          <c:dPt>
            <c:idx val="4"/>
            <c:bubble3D val="0"/>
            <c:spPr>
              <a:solidFill>
                <a:schemeClr val="accent5"/>
              </a:solidFill>
              <a:ln>
                <a:noFill/>
              </a:ln>
              <a:effectLst/>
            </c:spPr>
            <c:extLst>
              <c:ext xmlns:c16="http://schemas.microsoft.com/office/drawing/2014/chart" uri="{C3380CC4-5D6E-409C-BE32-E72D297353CC}">
                <c16:uniqueId val="{00000009-FB0F-4631-B5F9-976267E094BD}"/>
              </c:ext>
            </c:extLst>
          </c:dPt>
          <c:dPt>
            <c:idx val="5"/>
            <c:bubble3D val="0"/>
            <c:spPr>
              <a:solidFill>
                <a:schemeClr val="accent6"/>
              </a:solidFill>
              <a:ln>
                <a:noFill/>
              </a:ln>
              <a:effectLst/>
            </c:spPr>
            <c:extLst>
              <c:ext xmlns:c16="http://schemas.microsoft.com/office/drawing/2014/chart" uri="{C3380CC4-5D6E-409C-BE32-E72D297353CC}">
                <c16:uniqueId val="{0000000B-FB0F-4631-B5F9-976267E094BD}"/>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FB0F-4631-B5F9-976267E094BD}"/>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FB0F-4631-B5F9-976267E094BD}"/>
              </c:ext>
            </c:extLst>
          </c:dPt>
          <c:dLbls>
            <c:dLbl>
              <c:idx val="0"/>
              <c:layout>
                <c:manualLayout>
                  <c:x val="5.0916656206427449E-2"/>
                  <c:y val="0.11910709729482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0F-4631-B5F9-976267E094BD}"/>
                </c:ext>
              </c:extLst>
            </c:dLbl>
            <c:dLbl>
              <c:idx val="1"/>
              <c:layout>
                <c:manualLayout>
                  <c:x val="7.797455278236709E-2"/>
                  <c:y val="-5.501130369253956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B0F-4631-B5F9-976267E094BD}"/>
                </c:ext>
              </c:extLst>
            </c:dLbl>
            <c:dLbl>
              <c:idx val="4"/>
              <c:layout>
                <c:manualLayout>
                  <c:x val="-2.7383068661010222E-2"/>
                  <c:y val="9.08478659459202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B0F-4631-B5F9-976267E094BD}"/>
                </c:ext>
              </c:extLst>
            </c:dLbl>
            <c:dLbl>
              <c:idx val="7"/>
              <c:layout>
                <c:manualLayout>
                  <c:x val="0.18410973752150003"/>
                  <c:y val="3.63504204024233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B0F-4631-B5F9-976267E094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QLD</c:v>
                </c:pt>
                <c:pt idx="1">
                  <c:v>NSW</c:v>
                </c:pt>
                <c:pt idx="2">
                  <c:v>VIC</c:v>
                </c:pt>
                <c:pt idx="3">
                  <c:v>SA</c:v>
                </c:pt>
                <c:pt idx="4">
                  <c:v>WA</c:v>
                </c:pt>
                <c:pt idx="5">
                  <c:v>NT</c:v>
                </c:pt>
                <c:pt idx="6">
                  <c:v>TAS</c:v>
                </c:pt>
                <c:pt idx="7">
                  <c:v>ACT</c:v>
                </c:pt>
              </c:strCache>
            </c:strRef>
          </c:cat>
          <c:val>
            <c:numRef>
              <c:f>Sheet1!$B$2:$B$9</c:f>
              <c:numCache>
                <c:formatCode>General</c:formatCode>
                <c:ptCount val="8"/>
                <c:pt idx="0">
                  <c:v>64</c:v>
                </c:pt>
                <c:pt idx="1">
                  <c:v>51</c:v>
                </c:pt>
                <c:pt idx="2">
                  <c:v>21</c:v>
                </c:pt>
                <c:pt idx="3">
                  <c:v>15</c:v>
                </c:pt>
                <c:pt idx="4">
                  <c:v>46</c:v>
                </c:pt>
                <c:pt idx="5">
                  <c:v>2</c:v>
                </c:pt>
                <c:pt idx="6">
                  <c:v>3</c:v>
                </c:pt>
                <c:pt idx="7">
                  <c:v>4</c:v>
                </c:pt>
              </c:numCache>
            </c:numRef>
          </c:val>
          <c:extLst>
            <c:ext xmlns:c16="http://schemas.microsoft.com/office/drawing/2014/chart" uri="{C3380CC4-5D6E-409C-BE32-E72D297353CC}">
              <c16:uniqueId val="{00000010-FB0F-4631-B5F9-976267E094B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2F-4AC3-9B34-14F6A3A7A3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2F-4AC3-9B34-14F6A3A7A3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2F-4AC3-9B34-14F6A3A7A3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2F-4AC3-9B34-14F6A3A7A3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2F-4AC3-9B34-14F6A3A7A3E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D2F-4AC3-9B34-14F6A3A7A3E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D2F-4AC3-9B34-14F6A3A7A3E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D2F-4AC3-9B34-14F6A3A7A3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Sheet2!$A$118:$H$118</c:f>
              <c:strCache>
                <c:ptCount val="8"/>
                <c:pt idx="0">
                  <c:v>QLD</c:v>
                </c:pt>
                <c:pt idx="1">
                  <c:v>NSW</c:v>
                </c:pt>
                <c:pt idx="2">
                  <c:v>VIC</c:v>
                </c:pt>
                <c:pt idx="3">
                  <c:v>SA</c:v>
                </c:pt>
                <c:pt idx="4">
                  <c:v>WA</c:v>
                </c:pt>
                <c:pt idx="5">
                  <c:v>NT</c:v>
                </c:pt>
                <c:pt idx="6">
                  <c:v>TAS</c:v>
                </c:pt>
                <c:pt idx="7">
                  <c:v>ACT</c:v>
                </c:pt>
              </c:strCache>
            </c:strRef>
          </c:cat>
          <c:val>
            <c:numRef>
              <c:f>Sheet2!$A$119:$H$119</c:f>
              <c:numCache>
                <c:formatCode>General</c:formatCode>
                <c:ptCount val="8"/>
                <c:pt idx="0">
                  <c:v>365</c:v>
                </c:pt>
                <c:pt idx="1">
                  <c:v>544</c:v>
                </c:pt>
                <c:pt idx="2">
                  <c:v>394</c:v>
                </c:pt>
                <c:pt idx="3">
                  <c:v>69</c:v>
                </c:pt>
                <c:pt idx="4">
                  <c:v>135</c:v>
                </c:pt>
                <c:pt idx="5">
                  <c:v>19</c:v>
                </c:pt>
                <c:pt idx="6">
                  <c:v>51</c:v>
                </c:pt>
                <c:pt idx="7">
                  <c:v>20</c:v>
                </c:pt>
              </c:numCache>
            </c:numRef>
          </c:val>
          <c:extLst>
            <c:ext xmlns:c16="http://schemas.microsoft.com/office/drawing/2014/chart" uri="{C3380CC4-5D6E-409C-BE32-E72D297353CC}">
              <c16:uniqueId val="{00000010-BD2F-4AC3-9B34-14F6A3A7A3E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59E201-E482-452E-8E1F-10BC0491F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F78E7DEB-FE1C-4CD1-AF3F-F2A93338D260}">
      <dgm:prSet phldrT="[Text]" custT="1"/>
      <dgm:spPr/>
      <dgm:t>
        <a:bodyPr/>
        <a:lstStyle/>
        <a:p>
          <a:r>
            <a:rPr lang="en-AU" sz="2000"/>
            <a:t>Option 3 - Measures</a:t>
          </a:r>
        </a:p>
      </dgm:t>
    </dgm:pt>
    <dgm:pt modelId="{D20FCC7F-7F09-4A72-8B84-912EF5C2DAE2}" type="parTrans" cxnId="{DC4C11C9-4517-4BED-BABA-1465A02C5050}">
      <dgm:prSet/>
      <dgm:spPr/>
      <dgm:t>
        <a:bodyPr/>
        <a:lstStyle/>
        <a:p>
          <a:endParaRPr lang="en-AU"/>
        </a:p>
      </dgm:t>
    </dgm:pt>
    <dgm:pt modelId="{0B83D084-BACA-48C5-9A9C-DF36616D0183}" type="sibTrans" cxnId="{DC4C11C9-4517-4BED-BABA-1465A02C5050}">
      <dgm:prSet/>
      <dgm:spPr/>
      <dgm:t>
        <a:bodyPr/>
        <a:lstStyle/>
        <a:p>
          <a:endParaRPr lang="en-AU"/>
        </a:p>
      </dgm:t>
    </dgm:pt>
    <dgm:pt modelId="{00AD5B9F-8D24-4C28-A48E-A21DFE6B571A}">
      <dgm:prSet phldrT="[Text]" custT="1"/>
      <dgm:spPr/>
      <dgm:t>
        <a:bodyPr/>
        <a:lstStyle/>
        <a:p>
          <a:pPr>
            <a:buFont typeface="+mj-lt"/>
            <a:buNone/>
          </a:pPr>
          <a:r>
            <a:rPr lang="en-AU" sz="1200" b="1"/>
            <a:t>Measure 2. </a:t>
          </a:r>
          <a:r>
            <a:rPr lang="en-AU" sz="1200" b="0"/>
            <a:t>Changes to market accessibility requirements for therapeutic vapes</a:t>
          </a:r>
        </a:p>
      </dgm:t>
    </dgm:pt>
    <dgm:pt modelId="{0A16EF9A-BD2B-43F1-8F8A-BDE3644DA5EE}" type="parTrans" cxnId="{908824EA-9DA6-466A-980A-463C06B409D5}">
      <dgm:prSet/>
      <dgm:spPr/>
      <dgm:t>
        <a:bodyPr/>
        <a:lstStyle/>
        <a:p>
          <a:endParaRPr lang="en-AU"/>
        </a:p>
      </dgm:t>
    </dgm:pt>
    <dgm:pt modelId="{595AE1E2-6219-485D-ACD3-FB9E7D54B74A}" type="sibTrans" cxnId="{908824EA-9DA6-466A-980A-463C06B409D5}">
      <dgm:prSet/>
      <dgm:spPr/>
      <dgm:t>
        <a:bodyPr/>
        <a:lstStyle/>
        <a:p>
          <a:endParaRPr lang="en-AU"/>
        </a:p>
      </dgm:t>
    </dgm:pt>
    <dgm:pt modelId="{F8A28D12-867B-4B17-84C7-92DEA8ED27D1}">
      <dgm:prSet phldrT="[Text]" custT="1"/>
      <dgm:spPr/>
      <dgm:t>
        <a:bodyPr/>
        <a:lstStyle/>
        <a:p>
          <a:pPr>
            <a:buFont typeface="+mj-lt"/>
            <a:buNone/>
          </a:pPr>
          <a:r>
            <a:rPr lang="en-AU" sz="1200" b="1"/>
            <a:t>Measure 4. </a:t>
          </a:r>
          <a:r>
            <a:rPr lang="en-AU" sz="1200" b="0"/>
            <a:t>Strengthening import and domestic compliance and enforcement mechanisms</a:t>
          </a:r>
        </a:p>
      </dgm:t>
    </dgm:pt>
    <dgm:pt modelId="{B5FC636E-4DD0-4B97-A636-7F5506BC82DA}" type="parTrans" cxnId="{4E313324-D778-4A05-9D77-BDADF0D2A1F4}">
      <dgm:prSet/>
      <dgm:spPr/>
      <dgm:t>
        <a:bodyPr/>
        <a:lstStyle/>
        <a:p>
          <a:endParaRPr lang="en-AU"/>
        </a:p>
      </dgm:t>
    </dgm:pt>
    <dgm:pt modelId="{9BC18B96-59F5-4131-8FF4-C9A9A123FC14}" type="sibTrans" cxnId="{4E313324-D778-4A05-9D77-BDADF0D2A1F4}">
      <dgm:prSet/>
      <dgm:spPr/>
      <dgm:t>
        <a:bodyPr/>
        <a:lstStyle/>
        <a:p>
          <a:endParaRPr lang="en-AU"/>
        </a:p>
      </dgm:t>
    </dgm:pt>
    <dgm:pt modelId="{9F4C61E9-DD67-4CAA-A7C7-70DD968888D5}">
      <dgm:prSet phldrT="[Text]" custT="1"/>
      <dgm:spPr/>
      <dgm:t>
        <a:bodyPr/>
        <a:lstStyle/>
        <a:p>
          <a:pPr>
            <a:buFont typeface="+mj-lt"/>
            <a:buNone/>
          </a:pPr>
          <a:r>
            <a:rPr lang="en-AU" sz="1200" b="1"/>
            <a:t>Measure 1. </a:t>
          </a:r>
          <a:r>
            <a:rPr lang="en-AU" sz="1200" b="0"/>
            <a:t>Restrictions on importation, manufacture and supply of all vapes</a:t>
          </a:r>
        </a:p>
      </dgm:t>
    </dgm:pt>
    <dgm:pt modelId="{BE1B83D9-1EBF-4BC4-8F0E-66990B31A8DB}" type="parTrans" cxnId="{65670506-E7E0-44A4-A419-0CDA29A95070}">
      <dgm:prSet/>
      <dgm:spPr/>
      <dgm:t>
        <a:bodyPr/>
        <a:lstStyle/>
        <a:p>
          <a:endParaRPr lang="en-AU"/>
        </a:p>
      </dgm:t>
    </dgm:pt>
    <dgm:pt modelId="{15631C30-C132-473E-BB96-7E88B269E1D3}" type="sibTrans" cxnId="{65670506-E7E0-44A4-A419-0CDA29A95070}">
      <dgm:prSet/>
      <dgm:spPr/>
      <dgm:t>
        <a:bodyPr/>
        <a:lstStyle/>
        <a:p>
          <a:endParaRPr lang="en-AU"/>
        </a:p>
      </dgm:t>
    </dgm:pt>
    <dgm:pt modelId="{EF04517F-26A8-43F7-BC31-A270B0E94D49}">
      <dgm:prSet phldrT="[Text]" custT="1"/>
      <dgm:spPr/>
      <dgm:t>
        <a:bodyPr/>
        <a:lstStyle/>
        <a:p>
          <a:pPr>
            <a:buFont typeface="+mj-lt"/>
            <a:buNone/>
          </a:pPr>
          <a:r>
            <a:rPr lang="en-AU" sz="1200" b="1"/>
            <a:t>Measure 3. </a:t>
          </a:r>
          <a:r>
            <a:rPr lang="en-AU" sz="1200"/>
            <a:t>Heightened quality and safety standards for therapeutic vapes, including better regulation of device components</a:t>
          </a:r>
          <a:endParaRPr lang="en-AU" sz="1200" b="0"/>
        </a:p>
      </dgm:t>
    </dgm:pt>
    <dgm:pt modelId="{11FD9282-431F-4A42-99F0-ABE530C2343C}" type="parTrans" cxnId="{2F53CFF5-AEE7-4D22-8E92-BB77EFA8CFBF}">
      <dgm:prSet/>
      <dgm:spPr/>
      <dgm:t>
        <a:bodyPr/>
        <a:lstStyle/>
        <a:p>
          <a:endParaRPr lang="en-AU"/>
        </a:p>
      </dgm:t>
    </dgm:pt>
    <dgm:pt modelId="{76AB12F4-8EA9-467A-BCFB-76E55F271A0E}" type="sibTrans" cxnId="{2F53CFF5-AEE7-4D22-8E92-BB77EFA8CFBF}">
      <dgm:prSet/>
      <dgm:spPr/>
      <dgm:t>
        <a:bodyPr/>
        <a:lstStyle/>
        <a:p>
          <a:endParaRPr lang="en-AU"/>
        </a:p>
      </dgm:t>
    </dgm:pt>
    <dgm:pt modelId="{CBFF8031-C0B2-45CB-AD89-81EB15B249F4}" type="pres">
      <dgm:prSet presAssocID="{4759E201-E482-452E-8E1F-10BC0491FDC6}" presName="linear" presStyleCnt="0">
        <dgm:presLayoutVars>
          <dgm:dir/>
          <dgm:animLvl val="lvl"/>
          <dgm:resizeHandles val="exact"/>
        </dgm:presLayoutVars>
      </dgm:prSet>
      <dgm:spPr/>
      <dgm:t>
        <a:bodyPr/>
        <a:lstStyle/>
        <a:p>
          <a:endParaRPr lang="en-US"/>
        </a:p>
      </dgm:t>
    </dgm:pt>
    <dgm:pt modelId="{988CDE13-E92A-482D-9FA1-35A98F9F9863}" type="pres">
      <dgm:prSet presAssocID="{F78E7DEB-FE1C-4CD1-AF3F-F2A93338D260}" presName="parentLin" presStyleCnt="0"/>
      <dgm:spPr/>
    </dgm:pt>
    <dgm:pt modelId="{718C8253-21EA-4C87-8F6A-1519B2566F79}" type="pres">
      <dgm:prSet presAssocID="{F78E7DEB-FE1C-4CD1-AF3F-F2A93338D260}" presName="parentLeftMargin" presStyleLbl="node1" presStyleIdx="0" presStyleCnt="1"/>
      <dgm:spPr/>
      <dgm:t>
        <a:bodyPr/>
        <a:lstStyle/>
        <a:p>
          <a:endParaRPr lang="en-US"/>
        </a:p>
      </dgm:t>
    </dgm:pt>
    <dgm:pt modelId="{6A170F5A-5012-4B53-91FE-42A229ECACFA}" type="pres">
      <dgm:prSet presAssocID="{F78E7DEB-FE1C-4CD1-AF3F-F2A93338D260}" presName="parentText" presStyleLbl="node1" presStyleIdx="0" presStyleCnt="1" custScaleY="490197" custLinFactY="100000" custLinFactNeighborX="6654" custLinFactNeighborY="102032">
        <dgm:presLayoutVars>
          <dgm:chMax val="0"/>
          <dgm:bulletEnabled val="1"/>
        </dgm:presLayoutVars>
      </dgm:prSet>
      <dgm:spPr/>
      <dgm:t>
        <a:bodyPr/>
        <a:lstStyle/>
        <a:p>
          <a:endParaRPr lang="en-US"/>
        </a:p>
      </dgm:t>
    </dgm:pt>
    <dgm:pt modelId="{00379E6E-10C8-40F0-9B55-7EDE01F18563}" type="pres">
      <dgm:prSet presAssocID="{F78E7DEB-FE1C-4CD1-AF3F-F2A93338D260}" presName="negativeSpace" presStyleCnt="0"/>
      <dgm:spPr/>
    </dgm:pt>
    <dgm:pt modelId="{3ED5CEDA-C9CB-4C42-B8C8-4605A1CBA739}" type="pres">
      <dgm:prSet presAssocID="{F78E7DEB-FE1C-4CD1-AF3F-F2A93338D260}" presName="childText" presStyleLbl="conFgAcc1" presStyleIdx="0" presStyleCnt="1" custScaleY="195669">
        <dgm:presLayoutVars>
          <dgm:bulletEnabled val="1"/>
        </dgm:presLayoutVars>
      </dgm:prSet>
      <dgm:spPr/>
      <dgm:t>
        <a:bodyPr/>
        <a:lstStyle/>
        <a:p>
          <a:endParaRPr lang="en-US"/>
        </a:p>
      </dgm:t>
    </dgm:pt>
  </dgm:ptLst>
  <dgm:cxnLst>
    <dgm:cxn modelId="{DC4C11C9-4517-4BED-BABA-1465A02C5050}" srcId="{4759E201-E482-452E-8E1F-10BC0491FDC6}" destId="{F78E7DEB-FE1C-4CD1-AF3F-F2A93338D260}" srcOrd="0" destOrd="0" parTransId="{D20FCC7F-7F09-4A72-8B84-912EF5C2DAE2}" sibTransId="{0B83D084-BACA-48C5-9A9C-DF36616D0183}"/>
    <dgm:cxn modelId="{2F53CFF5-AEE7-4D22-8E92-BB77EFA8CFBF}" srcId="{F78E7DEB-FE1C-4CD1-AF3F-F2A93338D260}" destId="{EF04517F-26A8-43F7-BC31-A270B0E94D49}" srcOrd="2" destOrd="0" parTransId="{11FD9282-431F-4A42-99F0-ABE530C2343C}" sibTransId="{76AB12F4-8EA9-467A-BCFB-76E55F271A0E}"/>
    <dgm:cxn modelId="{4E313324-D778-4A05-9D77-BDADF0D2A1F4}" srcId="{F78E7DEB-FE1C-4CD1-AF3F-F2A93338D260}" destId="{F8A28D12-867B-4B17-84C7-92DEA8ED27D1}" srcOrd="3" destOrd="0" parTransId="{B5FC636E-4DD0-4B97-A636-7F5506BC82DA}" sibTransId="{9BC18B96-59F5-4131-8FF4-C9A9A123FC14}"/>
    <dgm:cxn modelId="{C748D374-04BC-45C2-92D4-33DCBB7382D5}" type="presOf" srcId="{F78E7DEB-FE1C-4CD1-AF3F-F2A93338D260}" destId="{718C8253-21EA-4C87-8F6A-1519B2566F79}" srcOrd="0" destOrd="0" presId="urn:microsoft.com/office/officeart/2005/8/layout/list1"/>
    <dgm:cxn modelId="{908824EA-9DA6-466A-980A-463C06B409D5}" srcId="{F78E7DEB-FE1C-4CD1-AF3F-F2A93338D260}" destId="{00AD5B9F-8D24-4C28-A48E-A21DFE6B571A}" srcOrd="1" destOrd="0" parTransId="{0A16EF9A-BD2B-43F1-8F8A-BDE3644DA5EE}" sibTransId="{595AE1E2-6219-485D-ACD3-FB9E7D54B74A}"/>
    <dgm:cxn modelId="{AB40A384-790A-4B7E-97FF-B81B2A01015C}" type="presOf" srcId="{F8A28D12-867B-4B17-84C7-92DEA8ED27D1}" destId="{3ED5CEDA-C9CB-4C42-B8C8-4605A1CBA739}" srcOrd="0" destOrd="3" presId="urn:microsoft.com/office/officeart/2005/8/layout/list1"/>
    <dgm:cxn modelId="{65670506-E7E0-44A4-A419-0CDA29A95070}" srcId="{F78E7DEB-FE1C-4CD1-AF3F-F2A93338D260}" destId="{9F4C61E9-DD67-4CAA-A7C7-70DD968888D5}" srcOrd="0" destOrd="0" parTransId="{BE1B83D9-1EBF-4BC4-8F0E-66990B31A8DB}" sibTransId="{15631C30-C132-473E-BB96-7E88B269E1D3}"/>
    <dgm:cxn modelId="{08CCD3D9-3F89-4102-8265-9A6B2A85B38C}" type="presOf" srcId="{EF04517F-26A8-43F7-BC31-A270B0E94D49}" destId="{3ED5CEDA-C9CB-4C42-B8C8-4605A1CBA739}" srcOrd="0" destOrd="2" presId="urn:microsoft.com/office/officeart/2005/8/layout/list1"/>
    <dgm:cxn modelId="{8480F5A2-4399-4BA5-B9E5-66958799B877}" type="presOf" srcId="{4759E201-E482-452E-8E1F-10BC0491FDC6}" destId="{CBFF8031-C0B2-45CB-AD89-81EB15B249F4}" srcOrd="0" destOrd="0" presId="urn:microsoft.com/office/officeart/2005/8/layout/list1"/>
    <dgm:cxn modelId="{FA8454FF-26BA-4658-BB30-81C3186ECFB4}" type="presOf" srcId="{00AD5B9F-8D24-4C28-A48E-A21DFE6B571A}" destId="{3ED5CEDA-C9CB-4C42-B8C8-4605A1CBA739}" srcOrd="0" destOrd="1" presId="urn:microsoft.com/office/officeart/2005/8/layout/list1"/>
    <dgm:cxn modelId="{FA550CD8-B994-4F01-863A-8567D7ACDCBF}" type="presOf" srcId="{F78E7DEB-FE1C-4CD1-AF3F-F2A93338D260}" destId="{6A170F5A-5012-4B53-91FE-42A229ECACFA}" srcOrd="1" destOrd="0" presId="urn:microsoft.com/office/officeart/2005/8/layout/list1"/>
    <dgm:cxn modelId="{83687505-B968-4A9F-B26A-CC1B148B095F}" type="presOf" srcId="{9F4C61E9-DD67-4CAA-A7C7-70DD968888D5}" destId="{3ED5CEDA-C9CB-4C42-B8C8-4605A1CBA739}" srcOrd="0" destOrd="0" presId="urn:microsoft.com/office/officeart/2005/8/layout/list1"/>
    <dgm:cxn modelId="{657668F1-7957-47A0-8AA3-C218E3460BD8}" type="presParOf" srcId="{CBFF8031-C0B2-45CB-AD89-81EB15B249F4}" destId="{988CDE13-E92A-482D-9FA1-35A98F9F9863}" srcOrd="0" destOrd="0" presId="urn:microsoft.com/office/officeart/2005/8/layout/list1"/>
    <dgm:cxn modelId="{61B48A00-6C7C-49CE-8942-DF445F2434E6}" type="presParOf" srcId="{988CDE13-E92A-482D-9FA1-35A98F9F9863}" destId="{718C8253-21EA-4C87-8F6A-1519B2566F79}" srcOrd="0" destOrd="0" presId="urn:microsoft.com/office/officeart/2005/8/layout/list1"/>
    <dgm:cxn modelId="{A3827D88-3B67-4DA0-876D-490EF1025E7A}" type="presParOf" srcId="{988CDE13-E92A-482D-9FA1-35A98F9F9863}" destId="{6A170F5A-5012-4B53-91FE-42A229ECACFA}" srcOrd="1" destOrd="0" presId="urn:microsoft.com/office/officeart/2005/8/layout/list1"/>
    <dgm:cxn modelId="{90FB310F-CBDF-487F-A2C6-6A06659201E6}" type="presParOf" srcId="{CBFF8031-C0B2-45CB-AD89-81EB15B249F4}" destId="{00379E6E-10C8-40F0-9B55-7EDE01F18563}" srcOrd="1" destOrd="0" presId="urn:microsoft.com/office/officeart/2005/8/layout/list1"/>
    <dgm:cxn modelId="{9C111093-0837-4AE1-950E-251D72A60342}" type="presParOf" srcId="{CBFF8031-C0B2-45CB-AD89-81EB15B249F4}" destId="{3ED5CEDA-C9CB-4C42-B8C8-4605A1CBA739}" srcOrd="2"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59E201-E482-452E-8E1F-10BC0491FDC6}"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AU"/>
        </a:p>
      </dgm:t>
    </dgm:pt>
    <dgm:pt modelId="{2E8F1321-46B9-48EC-ACC3-E351B3CAA5BF}">
      <dgm:prSet phldrT="[Text]" custT="1"/>
      <dgm:spPr/>
      <dgm:t>
        <a:bodyPr/>
        <a:lstStyle/>
        <a:p>
          <a:r>
            <a:rPr lang="en-AU" sz="1200" b="1"/>
            <a:t>Measure 1(a). </a:t>
          </a:r>
          <a:r>
            <a:rPr lang="en-AU" sz="1200" b="0"/>
            <a:t>Limit the importation, manufacture and supply of all disposable vapes</a:t>
          </a:r>
        </a:p>
      </dgm:t>
    </dgm:pt>
    <dgm:pt modelId="{7F707EA6-B04E-4159-9675-018064B9D80F}" type="parTrans" cxnId="{78D439BC-EF55-4E6B-AD99-E2356797CAB3}">
      <dgm:prSet/>
      <dgm:spPr/>
      <dgm:t>
        <a:bodyPr/>
        <a:lstStyle/>
        <a:p>
          <a:endParaRPr lang="en-AU"/>
        </a:p>
      </dgm:t>
    </dgm:pt>
    <dgm:pt modelId="{0C30DC7D-F88B-4A24-8C18-CC1009BF4562}" type="sibTrans" cxnId="{78D439BC-EF55-4E6B-AD99-E2356797CAB3}">
      <dgm:prSet/>
      <dgm:spPr/>
      <dgm:t>
        <a:bodyPr/>
        <a:lstStyle/>
        <a:p>
          <a:endParaRPr lang="en-AU"/>
        </a:p>
      </dgm:t>
    </dgm:pt>
    <dgm:pt modelId="{F78E7DEB-FE1C-4CD1-AF3F-F2A93338D260}">
      <dgm:prSet phldrT="[Text]" custT="1"/>
      <dgm:spPr/>
      <dgm:t>
        <a:bodyPr/>
        <a:lstStyle/>
        <a:p>
          <a:r>
            <a:rPr lang="en-AU" sz="2000" b="0"/>
            <a:t>Measure 1</a:t>
          </a:r>
        </a:p>
      </dgm:t>
    </dgm:pt>
    <dgm:pt modelId="{0B83D084-BACA-48C5-9A9C-DF36616D0183}" type="sibTrans" cxnId="{DC4C11C9-4517-4BED-BABA-1465A02C5050}">
      <dgm:prSet/>
      <dgm:spPr/>
      <dgm:t>
        <a:bodyPr/>
        <a:lstStyle/>
        <a:p>
          <a:endParaRPr lang="en-AU"/>
        </a:p>
      </dgm:t>
    </dgm:pt>
    <dgm:pt modelId="{D20FCC7F-7F09-4A72-8B84-912EF5C2DAE2}" type="parTrans" cxnId="{DC4C11C9-4517-4BED-BABA-1465A02C5050}">
      <dgm:prSet/>
      <dgm:spPr/>
      <dgm:t>
        <a:bodyPr/>
        <a:lstStyle/>
        <a:p>
          <a:endParaRPr lang="en-AU"/>
        </a:p>
      </dgm:t>
    </dgm:pt>
    <dgm:pt modelId="{A1B5AC70-965A-4A6D-AE78-D99863AD4DE1}">
      <dgm:prSet phldrT="[Text]" custT="1"/>
      <dgm:spPr/>
      <dgm:t>
        <a:bodyPr/>
        <a:lstStyle/>
        <a:p>
          <a:r>
            <a:rPr lang="en-AU" sz="1200" b="1"/>
            <a:t>Measure 1(b). </a:t>
          </a:r>
          <a:r>
            <a:rPr lang="en-AU" sz="1200" b="0"/>
            <a:t>Limit the importation, manufacture and supply of all other vapes</a:t>
          </a:r>
        </a:p>
      </dgm:t>
    </dgm:pt>
    <dgm:pt modelId="{D11B5981-7A73-4707-A9E7-1EF28CBD62E1}" type="sibTrans" cxnId="{1AAB0D73-7584-4248-A262-4040722175EC}">
      <dgm:prSet/>
      <dgm:spPr/>
      <dgm:t>
        <a:bodyPr/>
        <a:lstStyle/>
        <a:p>
          <a:endParaRPr lang="en-AU"/>
        </a:p>
      </dgm:t>
    </dgm:pt>
    <dgm:pt modelId="{8EE681AE-F56F-4D38-BAAA-891705E16727}" type="parTrans" cxnId="{1AAB0D73-7584-4248-A262-4040722175EC}">
      <dgm:prSet/>
      <dgm:spPr/>
      <dgm:t>
        <a:bodyPr/>
        <a:lstStyle/>
        <a:p>
          <a:endParaRPr lang="en-AU"/>
        </a:p>
      </dgm:t>
    </dgm:pt>
    <dgm:pt modelId="{4CFBF2E5-9E16-4097-A1C5-4B19EC291EC1}">
      <dgm:prSet phldrT="[Text]" custT="1"/>
      <dgm:spPr/>
      <dgm:t>
        <a:bodyPr/>
        <a:lstStyle/>
        <a:p>
          <a:r>
            <a:rPr lang="en-AU" sz="1200" b="1"/>
            <a:t>Measure 1(c). </a:t>
          </a:r>
          <a:r>
            <a:rPr lang="en-AU" sz="1200" b="0"/>
            <a:t>Prevent importation through the Personal Importation Scheme</a:t>
          </a:r>
        </a:p>
      </dgm:t>
    </dgm:pt>
    <dgm:pt modelId="{83C6D09A-F7AE-42C8-8A16-20B10DA38CF3}" type="sibTrans" cxnId="{A96ADDC7-B7B8-47CB-81A4-8DE598832A43}">
      <dgm:prSet/>
      <dgm:spPr/>
      <dgm:t>
        <a:bodyPr/>
        <a:lstStyle/>
        <a:p>
          <a:endParaRPr lang="en-AU"/>
        </a:p>
      </dgm:t>
    </dgm:pt>
    <dgm:pt modelId="{C4670D42-DD53-4FC3-A6F3-BA06B69B3379}" type="parTrans" cxnId="{A96ADDC7-B7B8-47CB-81A4-8DE598832A43}">
      <dgm:prSet/>
      <dgm:spPr/>
      <dgm:t>
        <a:bodyPr/>
        <a:lstStyle/>
        <a:p>
          <a:endParaRPr lang="en-AU"/>
        </a:p>
      </dgm:t>
    </dgm:pt>
    <dgm:pt modelId="{433FF60C-0061-4CF4-8A1C-4416017C1EC6}">
      <dgm:prSet phldrT="[Text]" custT="1"/>
      <dgm:spPr/>
      <dgm:t>
        <a:bodyPr/>
        <a:lstStyle/>
        <a:p>
          <a:r>
            <a:rPr lang="en-AU" sz="1200" b="1"/>
            <a:t>Measure 1(d). </a:t>
          </a:r>
          <a:r>
            <a:rPr lang="en-AU" sz="1200" b="0"/>
            <a:t>Preserve the traveller's exemption</a:t>
          </a:r>
        </a:p>
      </dgm:t>
    </dgm:pt>
    <dgm:pt modelId="{F7F417EA-B62D-4DF9-BA9B-6BD7A5C68F3F}" type="sibTrans" cxnId="{B708F7A0-5C72-4344-89E0-A1B7B44B9BB8}">
      <dgm:prSet/>
      <dgm:spPr/>
      <dgm:t>
        <a:bodyPr/>
        <a:lstStyle/>
        <a:p>
          <a:endParaRPr lang="en-AU"/>
        </a:p>
      </dgm:t>
    </dgm:pt>
    <dgm:pt modelId="{BD04121F-A12F-4806-9507-01B850C1B649}" type="parTrans" cxnId="{B708F7A0-5C72-4344-89E0-A1B7B44B9BB8}">
      <dgm:prSet/>
      <dgm:spPr/>
      <dgm:t>
        <a:bodyPr/>
        <a:lstStyle/>
        <a:p>
          <a:endParaRPr lang="en-AU"/>
        </a:p>
      </dgm:t>
    </dgm:pt>
    <dgm:pt modelId="{69017ABA-9267-4325-94ED-F23EB000445D}">
      <dgm:prSet phldrT="[Text]" custT="1"/>
      <dgm:spPr/>
      <dgm:t>
        <a:bodyPr/>
        <a:lstStyle/>
        <a:p>
          <a:r>
            <a:rPr lang="en-AU" sz="1200" b="1"/>
            <a:t>Measure 1(e). </a:t>
          </a:r>
          <a:r>
            <a:rPr lang="en-AU" sz="1200" b="0"/>
            <a:t>Prohibit the advertisement of vapes generally</a:t>
          </a:r>
        </a:p>
      </dgm:t>
    </dgm:pt>
    <dgm:pt modelId="{D12BA822-5089-49A8-A773-57AF0901B7D7}" type="sibTrans" cxnId="{38872B45-4F21-4CE6-9F64-0EC15CA09A1D}">
      <dgm:prSet/>
      <dgm:spPr/>
      <dgm:t>
        <a:bodyPr/>
        <a:lstStyle/>
        <a:p>
          <a:endParaRPr lang="en-AU"/>
        </a:p>
      </dgm:t>
    </dgm:pt>
    <dgm:pt modelId="{525C29AA-8F5D-44EC-BDF4-ED34539C28AD}" type="parTrans" cxnId="{38872B45-4F21-4CE6-9F64-0EC15CA09A1D}">
      <dgm:prSet/>
      <dgm:spPr/>
      <dgm:t>
        <a:bodyPr/>
        <a:lstStyle/>
        <a:p>
          <a:endParaRPr lang="en-AU"/>
        </a:p>
      </dgm:t>
    </dgm:pt>
    <dgm:pt modelId="{7E130D32-3E71-4957-8972-C81059456E47}" type="pres">
      <dgm:prSet presAssocID="{4759E201-E482-452E-8E1F-10BC0491FDC6}" presName="linear" presStyleCnt="0">
        <dgm:presLayoutVars>
          <dgm:dir/>
          <dgm:animLvl val="lvl"/>
          <dgm:resizeHandles val="exact"/>
        </dgm:presLayoutVars>
      </dgm:prSet>
      <dgm:spPr/>
      <dgm:t>
        <a:bodyPr/>
        <a:lstStyle/>
        <a:p>
          <a:endParaRPr lang="en-US"/>
        </a:p>
      </dgm:t>
    </dgm:pt>
    <dgm:pt modelId="{56E28DD0-FD2B-4CAC-861A-FD50E8CA91FE}" type="pres">
      <dgm:prSet presAssocID="{F78E7DEB-FE1C-4CD1-AF3F-F2A93338D260}" presName="parentLin" presStyleCnt="0"/>
      <dgm:spPr/>
    </dgm:pt>
    <dgm:pt modelId="{01AFF70D-9A67-4458-A515-362333923C03}" type="pres">
      <dgm:prSet presAssocID="{F78E7DEB-FE1C-4CD1-AF3F-F2A93338D260}" presName="parentLeftMargin" presStyleLbl="node1" presStyleIdx="0" presStyleCnt="1"/>
      <dgm:spPr/>
      <dgm:t>
        <a:bodyPr/>
        <a:lstStyle/>
        <a:p>
          <a:endParaRPr lang="en-US"/>
        </a:p>
      </dgm:t>
    </dgm:pt>
    <dgm:pt modelId="{93841D7B-3C60-458A-8DA5-B4AC0C0A0505}" type="pres">
      <dgm:prSet presAssocID="{F78E7DEB-FE1C-4CD1-AF3F-F2A93338D260}" presName="parentText" presStyleLbl="node1" presStyleIdx="0" presStyleCnt="1" custScaleY="347966">
        <dgm:presLayoutVars>
          <dgm:chMax val="0"/>
          <dgm:bulletEnabled val="1"/>
        </dgm:presLayoutVars>
      </dgm:prSet>
      <dgm:spPr/>
      <dgm:t>
        <a:bodyPr/>
        <a:lstStyle/>
        <a:p>
          <a:endParaRPr lang="en-US"/>
        </a:p>
      </dgm:t>
    </dgm:pt>
    <dgm:pt modelId="{CF62ECBB-C974-4135-B266-ABBDB96351D8}" type="pres">
      <dgm:prSet presAssocID="{F78E7DEB-FE1C-4CD1-AF3F-F2A93338D260}" presName="negativeSpace" presStyleCnt="0"/>
      <dgm:spPr/>
    </dgm:pt>
    <dgm:pt modelId="{E6369734-D150-4FC2-8B07-4976B8422134}" type="pres">
      <dgm:prSet presAssocID="{F78E7DEB-FE1C-4CD1-AF3F-F2A93338D260}" presName="childText" presStyleLbl="conFgAcc1" presStyleIdx="0" presStyleCnt="1">
        <dgm:presLayoutVars>
          <dgm:bulletEnabled val="1"/>
        </dgm:presLayoutVars>
      </dgm:prSet>
      <dgm:spPr/>
      <dgm:t>
        <a:bodyPr/>
        <a:lstStyle/>
        <a:p>
          <a:endParaRPr lang="en-US"/>
        </a:p>
      </dgm:t>
    </dgm:pt>
  </dgm:ptLst>
  <dgm:cxnLst>
    <dgm:cxn modelId="{6852C462-D9F0-44F9-BAD7-927CC9323957}" type="presOf" srcId="{4CFBF2E5-9E16-4097-A1C5-4B19EC291EC1}" destId="{E6369734-D150-4FC2-8B07-4976B8422134}" srcOrd="0" destOrd="2" presId="urn:microsoft.com/office/officeart/2005/8/layout/list1"/>
    <dgm:cxn modelId="{B708F7A0-5C72-4344-89E0-A1B7B44B9BB8}" srcId="{F78E7DEB-FE1C-4CD1-AF3F-F2A93338D260}" destId="{433FF60C-0061-4CF4-8A1C-4416017C1EC6}" srcOrd="3" destOrd="0" parTransId="{BD04121F-A12F-4806-9507-01B850C1B649}" sibTransId="{F7F417EA-B62D-4DF9-BA9B-6BD7A5C68F3F}"/>
    <dgm:cxn modelId="{1AAB0D73-7584-4248-A262-4040722175EC}" srcId="{F78E7DEB-FE1C-4CD1-AF3F-F2A93338D260}" destId="{A1B5AC70-965A-4A6D-AE78-D99863AD4DE1}" srcOrd="1" destOrd="0" parTransId="{8EE681AE-F56F-4D38-BAAA-891705E16727}" sibTransId="{D11B5981-7A73-4707-A9E7-1EF28CBD62E1}"/>
    <dgm:cxn modelId="{9BD56C41-125C-41E4-9C4B-D4A8E006EBBE}" type="presOf" srcId="{69017ABA-9267-4325-94ED-F23EB000445D}" destId="{E6369734-D150-4FC2-8B07-4976B8422134}" srcOrd="0" destOrd="4" presId="urn:microsoft.com/office/officeart/2005/8/layout/list1"/>
    <dgm:cxn modelId="{6B7A8C43-5E30-48C0-A4BC-6130AFD0F361}" type="presOf" srcId="{4759E201-E482-452E-8E1F-10BC0491FDC6}" destId="{7E130D32-3E71-4957-8972-C81059456E47}" srcOrd="0" destOrd="0" presId="urn:microsoft.com/office/officeart/2005/8/layout/list1"/>
    <dgm:cxn modelId="{AD6D2D12-8A45-452A-9CEF-F90B68868788}" type="presOf" srcId="{F78E7DEB-FE1C-4CD1-AF3F-F2A93338D260}" destId="{01AFF70D-9A67-4458-A515-362333923C03}" srcOrd="0" destOrd="0" presId="urn:microsoft.com/office/officeart/2005/8/layout/list1"/>
    <dgm:cxn modelId="{78D439BC-EF55-4E6B-AD99-E2356797CAB3}" srcId="{F78E7DEB-FE1C-4CD1-AF3F-F2A93338D260}" destId="{2E8F1321-46B9-48EC-ACC3-E351B3CAA5BF}" srcOrd="0" destOrd="0" parTransId="{7F707EA6-B04E-4159-9675-018064B9D80F}" sibTransId="{0C30DC7D-F88B-4A24-8C18-CC1009BF4562}"/>
    <dgm:cxn modelId="{5A5C6B7C-D121-4894-9215-CFAE5B37709A}" type="presOf" srcId="{A1B5AC70-965A-4A6D-AE78-D99863AD4DE1}" destId="{E6369734-D150-4FC2-8B07-4976B8422134}" srcOrd="0" destOrd="1" presId="urn:microsoft.com/office/officeart/2005/8/layout/list1"/>
    <dgm:cxn modelId="{DC4C11C9-4517-4BED-BABA-1465A02C5050}" srcId="{4759E201-E482-452E-8E1F-10BC0491FDC6}" destId="{F78E7DEB-FE1C-4CD1-AF3F-F2A93338D260}" srcOrd="0" destOrd="0" parTransId="{D20FCC7F-7F09-4A72-8B84-912EF5C2DAE2}" sibTransId="{0B83D084-BACA-48C5-9A9C-DF36616D0183}"/>
    <dgm:cxn modelId="{47E703C4-96CC-45D0-8D54-8B29AB0A5FE0}" type="presOf" srcId="{2E8F1321-46B9-48EC-ACC3-E351B3CAA5BF}" destId="{E6369734-D150-4FC2-8B07-4976B8422134}" srcOrd="0" destOrd="0" presId="urn:microsoft.com/office/officeart/2005/8/layout/list1"/>
    <dgm:cxn modelId="{50FD41F1-03FF-4972-9E6E-2D22FA2892F7}" type="presOf" srcId="{F78E7DEB-FE1C-4CD1-AF3F-F2A93338D260}" destId="{93841D7B-3C60-458A-8DA5-B4AC0C0A0505}" srcOrd="1" destOrd="0" presId="urn:microsoft.com/office/officeart/2005/8/layout/list1"/>
    <dgm:cxn modelId="{80DC5082-7C2C-4AAE-ABBC-A185B20FCC7B}" type="presOf" srcId="{433FF60C-0061-4CF4-8A1C-4416017C1EC6}" destId="{E6369734-D150-4FC2-8B07-4976B8422134}" srcOrd="0" destOrd="3" presId="urn:microsoft.com/office/officeart/2005/8/layout/list1"/>
    <dgm:cxn modelId="{A96ADDC7-B7B8-47CB-81A4-8DE598832A43}" srcId="{F78E7DEB-FE1C-4CD1-AF3F-F2A93338D260}" destId="{4CFBF2E5-9E16-4097-A1C5-4B19EC291EC1}" srcOrd="2" destOrd="0" parTransId="{C4670D42-DD53-4FC3-A6F3-BA06B69B3379}" sibTransId="{83C6D09A-F7AE-42C8-8A16-20B10DA38CF3}"/>
    <dgm:cxn modelId="{38872B45-4F21-4CE6-9F64-0EC15CA09A1D}" srcId="{F78E7DEB-FE1C-4CD1-AF3F-F2A93338D260}" destId="{69017ABA-9267-4325-94ED-F23EB000445D}" srcOrd="4" destOrd="0" parTransId="{525C29AA-8F5D-44EC-BDF4-ED34539C28AD}" sibTransId="{D12BA822-5089-49A8-A773-57AF0901B7D7}"/>
    <dgm:cxn modelId="{BEE080B1-CBB0-440E-A999-97DB5F9F8F8A}" type="presParOf" srcId="{7E130D32-3E71-4957-8972-C81059456E47}" destId="{56E28DD0-FD2B-4CAC-861A-FD50E8CA91FE}" srcOrd="0" destOrd="0" presId="urn:microsoft.com/office/officeart/2005/8/layout/list1"/>
    <dgm:cxn modelId="{C220F9A7-0F08-4766-BDE1-FA33FFFB0D76}" type="presParOf" srcId="{56E28DD0-FD2B-4CAC-861A-FD50E8CA91FE}" destId="{01AFF70D-9A67-4458-A515-362333923C03}" srcOrd="0" destOrd="0" presId="urn:microsoft.com/office/officeart/2005/8/layout/list1"/>
    <dgm:cxn modelId="{8CE7D8FC-E793-4267-BFEC-61D4220D5C09}" type="presParOf" srcId="{56E28DD0-FD2B-4CAC-861A-FD50E8CA91FE}" destId="{93841D7B-3C60-458A-8DA5-B4AC0C0A0505}" srcOrd="1" destOrd="0" presId="urn:microsoft.com/office/officeart/2005/8/layout/list1"/>
    <dgm:cxn modelId="{1CA5C560-CF55-49A6-81CA-3AB5AA4AFBAB}" type="presParOf" srcId="{7E130D32-3E71-4957-8972-C81059456E47}" destId="{CF62ECBB-C974-4135-B266-ABBDB96351D8}" srcOrd="1" destOrd="0" presId="urn:microsoft.com/office/officeart/2005/8/layout/list1"/>
    <dgm:cxn modelId="{72F2BBDC-8DDC-4F27-ACB2-170885F3AAA6}" type="presParOf" srcId="{7E130D32-3E71-4957-8972-C81059456E47}" destId="{E6369734-D150-4FC2-8B07-4976B8422134}" srcOrd="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59E201-E482-452E-8E1F-10BC0491FDC6}"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AU"/>
        </a:p>
      </dgm:t>
    </dgm:pt>
    <dgm:pt modelId="{2E8F1321-46B9-48EC-ACC3-E351B3CAA5BF}">
      <dgm:prSet phldrT="[Text]" custT="1"/>
      <dgm:spPr/>
      <dgm:t>
        <a:bodyPr/>
        <a:lstStyle/>
        <a:p>
          <a:r>
            <a:rPr lang="en-AU" sz="1200" b="1"/>
            <a:t>Measure 2(a). </a:t>
          </a:r>
          <a:r>
            <a:rPr lang="en-AU" sz="1200"/>
            <a:t>Pre-market notification of compliance with product standards</a:t>
          </a:r>
          <a:endParaRPr lang="en-AU" sz="1200" b="0"/>
        </a:p>
      </dgm:t>
    </dgm:pt>
    <dgm:pt modelId="{7F707EA6-B04E-4159-9675-018064B9D80F}" type="parTrans" cxnId="{78D439BC-EF55-4E6B-AD99-E2356797CAB3}">
      <dgm:prSet/>
      <dgm:spPr/>
      <dgm:t>
        <a:bodyPr/>
        <a:lstStyle/>
        <a:p>
          <a:endParaRPr lang="en-AU"/>
        </a:p>
      </dgm:t>
    </dgm:pt>
    <dgm:pt modelId="{0C30DC7D-F88B-4A24-8C18-CC1009BF4562}" type="sibTrans" cxnId="{78D439BC-EF55-4E6B-AD99-E2356797CAB3}">
      <dgm:prSet/>
      <dgm:spPr/>
      <dgm:t>
        <a:bodyPr/>
        <a:lstStyle/>
        <a:p>
          <a:endParaRPr lang="en-AU"/>
        </a:p>
      </dgm:t>
    </dgm:pt>
    <dgm:pt modelId="{A1B5AC70-965A-4A6D-AE78-D99863AD4DE1}">
      <dgm:prSet phldrT="[Text]" custT="1"/>
      <dgm:spPr/>
      <dgm:t>
        <a:bodyPr/>
        <a:lstStyle/>
        <a:p>
          <a:r>
            <a:rPr lang="en-AU" sz="1200" b="1"/>
            <a:t>Measure 2(b). </a:t>
          </a:r>
          <a:r>
            <a:rPr lang="en-AU" sz="1200"/>
            <a:t>Streamlined access under Special Access Scheme and Authorised Prescriber scheme</a:t>
          </a:r>
          <a:endParaRPr lang="en-AU" sz="1200" b="0"/>
        </a:p>
      </dgm:t>
    </dgm:pt>
    <dgm:pt modelId="{D11B5981-7A73-4707-A9E7-1EF28CBD62E1}" type="sibTrans" cxnId="{1AAB0D73-7584-4248-A262-4040722175EC}">
      <dgm:prSet/>
      <dgm:spPr/>
      <dgm:t>
        <a:bodyPr/>
        <a:lstStyle/>
        <a:p>
          <a:endParaRPr lang="en-AU"/>
        </a:p>
      </dgm:t>
    </dgm:pt>
    <dgm:pt modelId="{8EE681AE-F56F-4D38-BAAA-891705E16727}" type="parTrans" cxnId="{1AAB0D73-7584-4248-A262-4040722175EC}">
      <dgm:prSet/>
      <dgm:spPr/>
      <dgm:t>
        <a:bodyPr/>
        <a:lstStyle/>
        <a:p>
          <a:endParaRPr lang="en-AU"/>
        </a:p>
      </dgm:t>
    </dgm:pt>
    <dgm:pt modelId="{F78E7DEB-FE1C-4CD1-AF3F-F2A93338D260}">
      <dgm:prSet phldrT="[Text]" custT="1"/>
      <dgm:spPr/>
      <dgm:t>
        <a:bodyPr/>
        <a:lstStyle/>
        <a:p>
          <a:r>
            <a:rPr lang="en-AU" sz="2000" b="0"/>
            <a:t>Measure 2</a:t>
          </a:r>
        </a:p>
      </dgm:t>
    </dgm:pt>
    <dgm:pt modelId="{0B83D084-BACA-48C5-9A9C-DF36616D0183}" type="sibTrans" cxnId="{DC4C11C9-4517-4BED-BABA-1465A02C5050}">
      <dgm:prSet/>
      <dgm:spPr/>
      <dgm:t>
        <a:bodyPr/>
        <a:lstStyle/>
        <a:p>
          <a:endParaRPr lang="en-AU"/>
        </a:p>
      </dgm:t>
    </dgm:pt>
    <dgm:pt modelId="{D20FCC7F-7F09-4A72-8B84-912EF5C2DAE2}" type="parTrans" cxnId="{DC4C11C9-4517-4BED-BABA-1465A02C5050}">
      <dgm:prSet/>
      <dgm:spPr/>
      <dgm:t>
        <a:bodyPr/>
        <a:lstStyle/>
        <a:p>
          <a:endParaRPr lang="en-AU"/>
        </a:p>
      </dgm:t>
    </dgm:pt>
    <dgm:pt modelId="{7E130D32-3E71-4957-8972-C81059456E47}" type="pres">
      <dgm:prSet presAssocID="{4759E201-E482-452E-8E1F-10BC0491FDC6}" presName="linear" presStyleCnt="0">
        <dgm:presLayoutVars>
          <dgm:dir/>
          <dgm:animLvl val="lvl"/>
          <dgm:resizeHandles val="exact"/>
        </dgm:presLayoutVars>
      </dgm:prSet>
      <dgm:spPr/>
      <dgm:t>
        <a:bodyPr/>
        <a:lstStyle/>
        <a:p>
          <a:endParaRPr lang="en-US"/>
        </a:p>
      </dgm:t>
    </dgm:pt>
    <dgm:pt modelId="{56E28DD0-FD2B-4CAC-861A-FD50E8CA91FE}" type="pres">
      <dgm:prSet presAssocID="{F78E7DEB-FE1C-4CD1-AF3F-F2A93338D260}" presName="parentLin" presStyleCnt="0"/>
      <dgm:spPr/>
    </dgm:pt>
    <dgm:pt modelId="{01AFF70D-9A67-4458-A515-362333923C03}" type="pres">
      <dgm:prSet presAssocID="{F78E7DEB-FE1C-4CD1-AF3F-F2A93338D260}" presName="parentLeftMargin" presStyleLbl="node1" presStyleIdx="0" presStyleCnt="1"/>
      <dgm:spPr/>
      <dgm:t>
        <a:bodyPr/>
        <a:lstStyle/>
        <a:p>
          <a:endParaRPr lang="en-US"/>
        </a:p>
      </dgm:t>
    </dgm:pt>
    <dgm:pt modelId="{93841D7B-3C60-458A-8DA5-B4AC0C0A0505}" type="pres">
      <dgm:prSet presAssocID="{F78E7DEB-FE1C-4CD1-AF3F-F2A93338D260}" presName="parentText" presStyleLbl="node1" presStyleIdx="0" presStyleCnt="1" custScaleY="136379" custLinFactNeighborX="-7830" custLinFactNeighborY="-35861">
        <dgm:presLayoutVars>
          <dgm:chMax val="0"/>
          <dgm:bulletEnabled val="1"/>
        </dgm:presLayoutVars>
      </dgm:prSet>
      <dgm:spPr/>
      <dgm:t>
        <a:bodyPr/>
        <a:lstStyle/>
        <a:p>
          <a:endParaRPr lang="en-US"/>
        </a:p>
      </dgm:t>
    </dgm:pt>
    <dgm:pt modelId="{CF62ECBB-C974-4135-B266-ABBDB96351D8}" type="pres">
      <dgm:prSet presAssocID="{F78E7DEB-FE1C-4CD1-AF3F-F2A93338D260}" presName="negativeSpace" presStyleCnt="0"/>
      <dgm:spPr/>
    </dgm:pt>
    <dgm:pt modelId="{E6369734-D150-4FC2-8B07-4976B8422134}" type="pres">
      <dgm:prSet presAssocID="{F78E7DEB-FE1C-4CD1-AF3F-F2A93338D260}" presName="childText" presStyleLbl="conFgAcc1" presStyleIdx="0" presStyleCnt="1">
        <dgm:presLayoutVars>
          <dgm:bulletEnabled val="1"/>
        </dgm:presLayoutVars>
      </dgm:prSet>
      <dgm:spPr/>
      <dgm:t>
        <a:bodyPr/>
        <a:lstStyle/>
        <a:p>
          <a:endParaRPr lang="en-US"/>
        </a:p>
      </dgm:t>
    </dgm:pt>
  </dgm:ptLst>
  <dgm:cxnLst>
    <dgm:cxn modelId="{1AAB0D73-7584-4248-A262-4040722175EC}" srcId="{F78E7DEB-FE1C-4CD1-AF3F-F2A93338D260}" destId="{A1B5AC70-965A-4A6D-AE78-D99863AD4DE1}" srcOrd="1" destOrd="0" parTransId="{8EE681AE-F56F-4D38-BAAA-891705E16727}" sibTransId="{D11B5981-7A73-4707-A9E7-1EF28CBD62E1}"/>
    <dgm:cxn modelId="{AD6D2D12-8A45-452A-9CEF-F90B68868788}" type="presOf" srcId="{F78E7DEB-FE1C-4CD1-AF3F-F2A93338D260}" destId="{01AFF70D-9A67-4458-A515-362333923C03}" srcOrd="0" destOrd="0" presId="urn:microsoft.com/office/officeart/2005/8/layout/list1"/>
    <dgm:cxn modelId="{6B7A8C43-5E30-48C0-A4BC-6130AFD0F361}" type="presOf" srcId="{4759E201-E482-452E-8E1F-10BC0491FDC6}" destId="{7E130D32-3E71-4957-8972-C81059456E47}" srcOrd="0" destOrd="0" presId="urn:microsoft.com/office/officeart/2005/8/layout/list1"/>
    <dgm:cxn modelId="{78D439BC-EF55-4E6B-AD99-E2356797CAB3}" srcId="{F78E7DEB-FE1C-4CD1-AF3F-F2A93338D260}" destId="{2E8F1321-46B9-48EC-ACC3-E351B3CAA5BF}" srcOrd="0" destOrd="0" parTransId="{7F707EA6-B04E-4159-9675-018064B9D80F}" sibTransId="{0C30DC7D-F88B-4A24-8C18-CC1009BF4562}"/>
    <dgm:cxn modelId="{5A5C6B7C-D121-4894-9215-CFAE5B37709A}" type="presOf" srcId="{A1B5AC70-965A-4A6D-AE78-D99863AD4DE1}" destId="{E6369734-D150-4FC2-8B07-4976B8422134}" srcOrd="0" destOrd="1" presId="urn:microsoft.com/office/officeart/2005/8/layout/list1"/>
    <dgm:cxn modelId="{DC4C11C9-4517-4BED-BABA-1465A02C5050}" srcId="{4759E201-E482-452E-8E1F-10BC0491FDC6}" destId="{F78E7DEB-FE1C-4CD1-AF3F-F2A93338D260}" srcOrd="0" destOrd="0" parTransId="{D20FCC7F-7F09-4A72-8B84-912EF5C2DAE2}" sibTransId="{0B83D084-BACA-48C5-9A9C-DF36616D0183}"/>
    <dgm:cxn modelId="{47E703C4-96CC-45D0-8D54-8B29AB0A5FE0}" type="presOf" srcId="{2E8F1321-46B9-48EC-ACC3-E351B3CAA5BF}" destId="{E6369734-D150-4FC2-8B07-4976B8422134}" srcOrd="0" destOrd="0" presId="urn:microsoft.com/office/officeart/2005/8/layout/list1"/>
    <dgm:cxn modelId="{50FD41F1-03FF-4972-9E6E-2D22FA2892F7}" type="presOf" srcId="{F78E7DEB-FE1C-4CD1-AF3F-F2A93338D260}" destId="{93841D7B-3C60-458A-8DA5-B4AC0C0A0505}" srcOrd="1" destOrd="0" presId="urn:microsoft.com/office/officeart/2005/8/layout/list1"/>
    <dgm:cxn modelId="{BEE080B1-CBB0-440E-A999-97DB5F9F8F8A}" type="presParOf" srcId="{7E130D32-3E71-4957-8972-C81059456E47}" destId="{56E28DD0-FD2B-4CAC-861A-FD50E8CA91FE}" srcOrd="0" destOrd="0" presId="urn:microsoft.com/office/officeart/2005/8/layout/list1"/>
    <dgm:cxn modelId="{C220F9A7-0F08-4766-BDE1-FA33FFFB0D76}" type="presParOf" srcId="{56E28DD0-FD2B-4CAC-861A-FD50E8CA91FE}" destId="{01AFF70D-9A67-4458-A515-362333923C03}" srcOrd="0" destOrd="0" presId="urn:microsoft.com/office/officeart/2005/8/layout/list1"/>
    <dgm:cxn modelId="{8CE7D8FC-E793-4267-BFEC-61D4220D5C09}" type="presParOf" srcId="{56E28DD0-FD2B-4CAC-861A-FD50E8CA91FE}" destId="{93841D7B-3C60-458A-8DA5-B4AC0C0A0505}" srcOrd="1" destOrd="0" presId="urn:microsoft.com/office/officeart/2005/8/layout/list1"/>
    <dgm:cxn modelId="{1CA5C560-CF55-49A6-81CA-3AB5AA4AFBAB}" type="presParOf" srcId="{7E130D32-3E71-4957-8972-C81059456E47}" destId="{CF62ECBB-C974-4135-B266-ABBDB96351D8}" srcOrd="1" destOrd="0" presId="urn:microsoft.com/office/officeart/2005/8/layout/list1"/>
    <dgm:cxn modelId="{72F2BBDC-8DDC-4F27-ACB2-170885F3AAA6}" type="presParOf" srcId="{7E130D32-3E71-4957-8972-C81059456E47}" destId="{E6369734-D150-4FC2-8B07-4976B8422134}" srcOrd="2"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59E201-E482-452E-8E1F-10BC0491FDC6}"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AU"/>
        </a:p>
      </dgm:t>
    </dgm:pt>
    <dgm:pt modelId="{2E8F1321-46B9-48EC-ACC3-E351B3CAA5BF}">
      <dgm:prSet phldrT="[Text]" custT="1"/>
      <dgm:spPr/>
      <dgm:t>
        <a:bodyPr/>
        <a:lstStyle/>
        <a:p>
          <a:r>
            <a:rPr lang="en-AU" sz="1200" b="1"/>
            <a:t>Measure 3(a). </a:t>
          </a:r>
          <a:r>
            <a:rPr lang="en-AU" sz="1200"/>
            <a:t>Heightened quality and safety standard for therapeutic vapes</a:t>
          </a:r>
          <a:endParaRPr lang="en-AU" sz="1200" b="0"/>
        </a:p>
      </dgm:t>
    </dgm:pt>
    <dgm:pt modelId="{7F707EA6-B04E-4159-9675-018064B9D80F}" type="parTrans" cxnId="{78D439BC-EF55-4E6B-AD99-E2356797CAB3}">
      <dgm:prSet/>
      <dgm:spPr/>
      <dgm:t>
        <a:bodyPr/>
        <a:lstStyle/>
        <a:p>
          <a:endParaRPr lang="en-AU"/>
        </a:p>
      </dgm:t>
    </dgm:pt>
    <dgm:pt modelId="{0C30DC7D-F88B-4A24-8C18-CC1009BF4562}" type="sibTrans" cxnId="{78D439BC-EF55-4E6B-AD99-E2356797CAB3}">
      <dgm:prSet/>
      <dgm:spPr/>
      <dgm:t>
        <a:bodyPr/>
        <a:lstStyle/>
        <a:p>
          <a:endParaRPr lang="en-AU"/>
        </a:p>
      </dgm:t>
    </dgm:pt>
    <dgm:pt modelId="{A1B5AC70-965A-4A6D-AE78-D99863AD4DE1}">
      <dgm:prSet phldrT="[Text]" custT="1"/>
      <dgm:spPr/>
      <dgm:t>
        <a:bodyPr/>
        <a:lstStyle/>
        <a:p>
          <a:r>
            <a:rPr lang="en-AU" sz="1200" b="1"/>
            <a:t>Measure 3(b). </a:t>
          </a:r>
          <a:r>
            <a:rPr lang="en-AU" sz="1200"/>
            <a:t>Requirements for device compenents</a:t>
          </a:r>
          <a:endParaRPr lang="en-AU" sz="1200" b="0"/>
        </a:p>
      </dgm:t>
    </dgm:pt>
    <dgm:pt modelId="{D11B5981-7A73-4707-A9E7-1EF28CBD62E1}" type="sibTrans" cxnId="{1AAB0D73-7584-4248-A262-4040722175EC}">
      <dgm:prSet/>
      <dgm:spPr/>
      <dgm:t>
        <a:bodyPr/>
        <a:lstStyle/>
        <a:p>
          <a:endParaRPr lang="en-AU"/>
        </a:p>
      </dgm:t>
    </dgm:pt>
    <dgm:pt modelId="{8EE681AE-F56F-4D38-BAAA-891705E16727}" type="parTrans" cxnId="{1AAB0D73-7584-4248-A262-4040722175EC}">
      <dgm:prSet/>
      <dgm:spPr/>
      <dgm:t>
        <a:bodyPr/>
        <a:lstStyle/>
        <a:p>
          <a:endParaRPr lang="en-AU"/>
        </a:p>
      </dgm:t>
    </dgm:pt>
    <dgm:pt modelId="{F78E7DEB-FE1C-4CD1-AF3F-F2A93338D260}">
      <dgm:prSet phldrT="[Text]" custT="1"/>
      <dgm:spPr/>
      <dgm:t>
        <a:bodyPr/>
        <a:lstStyle/>
        <a:p>
          <a:r>
            <a:rPr lang="en-AU" sz="2000" b="0"/>
            <a:t>Measure 3</a:t>
          </a:r>
        </a:p>
      </dgm:t>
    </dgm:pt>
    <dgm:pt modelId="{0B83D084-BACA-48C5-9A9C-DF36616D0183}" type="sibTrans" cxnId="{DC4C11C9-4517-4BED-BABA-1465A02C5050}">
      <dgm:prSet/>
      <dgm:spPr/>
      <dgm:t>
        <a:bodyPr/>
        <a:lstStyle/>
        <a:p>
          <a:endParaRPr lang="en-AU"/>
        </a:p>
      </dgm:t>
    </dgm:pt>
    <dgm:pt modelId="{D20FCC7F-7F09-4A72-8B84-912EF5C2DAE2}" type="parTrans" cxnId="{DC4C11C9-4517-4BED-BABA-1465A02C5050}">
      <dgm:prSet/>
      <dgm:spPr/>
      <dgm:t>
        <a:bodyPr/>
        <a:lstStyle/>
        <a:p>
          <a:endParaRPr lang="en-AU"/>
        </a:p>
      </dgm:t>
    </dgm:pt>
    <dgm:pt modelId="{32BAF69D-3C20-4C68-8640-22FB8D4F76A5}">
      <dgm:prSet custT="1"/>
      <dgm:spPr/>
      <dgm:t>
        <a:bodyPr/>
        <a:lstStyle/>
        <a:p>
          <a:pPr>
            <a:buFont typeface="+mj-lt"/>
            <a:buAutoNum type="romanLcPeriod"/>
          </a:pPr>
          <a:r>
            <a:rPr lang="en-AU" sz="1200"/>
            <a:t>Packaging and labelling changes</a:t>
          </a:r>
        </a:p>
      </dgm:t>
    </dgm:pt>
    <dgm:pt modelId="{3F877162-3F9C-465A-8CE5-3DBD8EF9D6FD}" type="parTrans" cxnId="{6F6B2938-9283-4B6A-9A42-A9E43F574338}">
      <dgm:prSet/>
      <dgm:spPr/>
      <dgm:t>
        <a:bodyPr/>
        <a:lstStyle/>
        <a:p>
          <a:endParaRPr lang="en-AU"/>
        </a:p>
      </dgm:t>
    </dgm:pt>
    <dgm:pt modelId="{1199223F-AB90-450B-8899-F5D4489375FA}" type="sibTrans" cxnId="{6F6B2938-9283-4B6A-9A42-A9E43F574338}">
      <dgm:prSet/>
      <dgm:spPr/>
      <dgm:t>
        <a:bodyPr/>
        <a:lstStyle/>
        <a:p>
          <a:endParaRPr lang="en-AU"/>
        </a:p>
      </dgm:t>
    </dgm:pt>
    <dgm:pt modelId="{3938EC49-CF33-436F-B526-3FE65EB4777A}">
      <dgm:prSet custT="1"/>
      <dgm:spPr/>
      <dgm:t>
        <a:bodyPr/>
        <a:lstStyle/>
        <a:p>
          <a:pPr>
            <a:buFont typeface="+mj-lt"/>
            <a:buAutoNum type="romanLcPeriod"/>
          </a:pPr>
          <a:r>
            <a:rPr lang="en-AU" sz="1200"/>
            <a:t>Limiting flavours</a:t>
          </a:r>
        </a:p>
      </dgm:t>
    </dgm:pt>
    <dgm:pt modelId="{BA4B868F-A17F-4027-9F8A-4FC295BE7E59}" type="sibTrans" cxnId="{1E447B3E-EBBA-48B2-B430-9FA1D0B4BF77}">
      <dgm:prSet/>
      <dgm:spPr/>
      <dgm:t>
        <a:bodyPr/>
        <a:lstStyle/>
        <a:p>
          <a:endParaRPr lang="en-AU"/>
        </a:p>
      </dgm:t>
    </dgm:pt>
    <dgm:pt modelId="{73C111FA-B1FB-47A9-9F2F-A53BB734F816}" type="parTrans" cxnId="{1E447B3E-EBBA-48B2-B430-9FA1D0B4BF77}">
      <dgm:prSet/>
      <dgm:spPr/>
      <dgm:t>
        <a:bodyPr/>
        <a:lstStyle/>
        <a:p>
          <a:endParaRPr lang="en-AU"/>
        </a:p>
      </dgm:t>
    </dgm:pt>
    <dgm:pt modelId="{04281014-F3FB-41DC-AE8F-A2D4A585F78E}">
      <dgm:prSet custT="1"/>
      <dgm:spPr/>
      <dgm:t>
        <a:bodyPr/>
        <a:lstStyle/>
        <a:p>
          <a:pPr>
            <a:buFont typeface="+mj-lt"/>
            <a:buAutoNum type="romanLcPeriod"/>
          </a:pPr>
          <a:r>
            <a:rPr lang="en-AU" sz="1200"/>
            <a:t>Lowering maximum nocotine concentration in e-liquids</a:t>
          </a:r>
        </a:p>
      </dgm:t>
    </dgm:pt>
    <dgm:pt modelId="{1BB97B15-5073-4FD0-84B1-7CB9C4D35B5F}" type="sibTrans" cxnId="{D95B2976-9691-4A5F-87A3-0A925ABD9657}">
      <dgm:prSet/>
      <dgm:spPr/>
      <dgm:t>
        <a:bodyPr/>
        <a:lstStyle/>
        <a:p>
          <a:endParaRPr lang="en-AU"/>
        </a:p>
      </dgm:t>
    </dgm:pt>
    <dgm:pt modelId="{ED5281A5-881A-4366-93A1-194503B274E0}" type="parTrans" cxnId="{D95B2976-9691-4A5F-87A3-0A925ABD9657}">
      <dgm:prSet/>
      <dgm:spPr/>
      <dgm:t>
        <a:bodyPr/>
        <a:lstStyle/>
        <a:p>
          <a:endParaRPr lang="en-AU"/>
        </a:p>
      </dgm:t>
    </dgm:pt>
    <dgm:pt modelId="{F959090E-ADD9-4750-BAA6-7E1C76CBB91E}">
      <dgm:prSet custT="1"/>
      <dgm:spPr/>
      <dgm:t>
        <a:bodyPr/>
        <a:lstStyle/>
        <a:p>
          <a:pPr>
            <a:buFont typeface="+mj-lt"/>
            <a:buAutoNum type="romanLcPeriod"/>
          </a:pPr>
          <a:r>
            <a:rPr lang="en-AU" sz="1200"/>
            <a:t>Other requirements for e-liquid components</a:t>
          </a:r>
        </a:p>
      </dgm:t>
    </dgm:pt>
    <dgm:pt modelId="{1813F059-0863-484E-9EDC-E4BABD0D2CC6}" type="sibTrans" cxnId="{62957F6C-884A-423A-9728-0D64002F6272}">
      <dgm:prSet/>
      <dgm:spPr/>
      <dgm:t>
        <a:bodyPr/>
        <a:lstStyle/>
        <a:p>
          <a:endParaRPr lang="en-AU"/>
        </a:p>
      </dgm:t>
    </dgm:pt>
    <dgm:pt modelId="{B464A7C2-FFA9-4DE9-82F6-B4E458426D10}" type="parTrans" cxnId="{62957F6C-884A-423A-9728-0D64002F6272}">
      <dgm:prSet/>
      <dgm:spPr/>
      <dgm:t>
        <a:bodyPr/>
        <a:lstStyle/>
        <a:p>
          <a:endParaRPr lang="en-AU"/>
        </a:p>
      </dgm:t>
    </dgm:pt>
    <dgm:pt modelId="{7E130D32-3E71-4957-8972-C81059456E47}" type="pres">
      <dgm:prSet presAssocID="{4759E201-E482-452E-8E1F-10BC0491FDC6}" presName="linear" presStyleCnt="0">
        <dgm:presLayoutVars>
          <dgm:dir/>
          <dgm:animLvl val="lvl"/>
          <dgm:resizeHandles val="exact"/>
        </dgm:presLayoutVars>
      </dgm:prSet>
      <dgm:spPr/>
      <dgm:t>
        <a:bodyPr/>
        <a:lstStyle/>
        <a:p>
          <a:endParaRPr lang="en-US"/>
        </a:p>
      </dgm:t>
    </dgm:pt>
    <dgm:pt modelId="{56E28DD0-FD2B-4CAC-861A-FD50E8CA91FE}" type="pres">
      <dgm:prSet presAssocID="{F78E7DEB-FE1C-4CD1-AF3F-F2A93338D260}" presName="parentLin" presStyleCnt="0"/>
      <dgm:spPr/>
    </dgm:pt>
    <dgm:pt modelId="{01AFF70D-9A67-4458-A515-362333923C03}" type="pres">
      <dgm:prSet presAssocID="{F78E7DEB-FE1C-4CD1-AF3F-F2A93338D260}" presName="parentLeftMargin" presStyleLbl="node1" presStyleIdx="0" presStyleCnt="1"/>
      <dgm:spPr/>
      <dgm:t>
        <a:bodyPr/>
        <a:lstStyle/>
        <a:p>
          <a:endParaRPr lang="en-US"/>
        </a:p>
      </dgm:t>
    </dgm:pt>
    <dgm:pt modelId="{93841D7B-3C60-458A-8DA5-B4AC0C0A0505}" type="pres">
      <dgm:prSet presAssocID="{F78E7DEB-FE1C-4CD1-AF3F-F2A93338D260}" presName="parentText" presStyleLbl="node1" presStyleIdx="0" presStyleCnt="1" custScaleY="424797" custLinFactNeighborX="-7830" custLinFactNeighborY="49472">
        <dgm:presLayoutVars>
          <dgm:chMax val="0"/>
          <dgm:bulletEnabled val="1"/>
        </dgm:presLayoutVars>
      </dgm:prSet>
      <dgm:spPr/>
      <dgm:t>
        <a:bodyPr/>
        <a:lstStyle/>
        <a:p>
          <a:endParaRPr lang="en-US"/>
        </a:p>
      </dgm:t>
    </dgm:pt>
    <dgm:pt modelId="{CF62ECBB-C974-4135-B266-ABBDB96351D8}" type="pres">
      <dgm:prSet presAssocID="{F78E7DEB-FE1C-4CD1-AF3F-F2A93338D260}" presName="negativeSpace" presStyleCnt="0"/>
      <dgm:spPr/>
    </dgm:pt>
    <dgm:pt modelId="{E6369734-D150-4FC2-8B07-4976B8422134}" type="pres">
      <dgm:prSet presAssocID="{F78E7DEB-FE1C-4CD1-AF3F-F2A93338D260}" presName="childText" presStyleLbl="conFgAcc1" presStyleIdx="0" presStyleCnt="1" custScaleY="133775">
        <dgm:presLayoutVars>
          <dgm:bulletEnabled val="1"/>
        </dgm:presLayoutVars>
      </dgm:prSet>
      <dgm:spPr/>
      <dgm:t>
        <a:bodyPr/>
        <a:lstStyle/>
        <a:p>
          <a:endParaRPr lang="en-US"/>
        </a:p>
      </dgm:t>
    </dgm:pt>
  </dgm:ptLst>
  <dgm:cxnLst>
    <dgm:cxn modelId="{1AAB0D73-7584-4248-A262-4040722175EC}" srcId="{F78E7DEB-FE1C-4CD1-AF3F-F2A93338D260}" destId="{A1B5AC70-965A-4A6D-AE78-D99863AD4DE1}" srcOrd="1" destOrd="0" parTransId="{8EE681AE-F56F-4D38-BAAA-891705E16727}" sibTransId="{D11B5981-7A73-4707-A9E7-1EF28CBD62E1}"/>
    <dgm:cxn modelId="{D95B2976-9691-4A5F-87A3-0A925ABD9657}" srcId="{2E8F1321-46B9-48EC-ACC3-E351B3CAA5BF}" destId="{04281014-F3FB-41DC-AE8F-A2D4A585F78E}" srcOrd="2" destOrd="0" parTransId="{ED5281A5-881A-4366-93A1-194503B274E0}" sibTransId="{1BB97B15-5073-4FD0-84B1-7CB9C4D35B5F}"/>
    <dgm:cxn modelId="{AD6D2D12-8A45-452A-9CEF-F90B68868788}" type="presOf" srcId="{F78E7DEB-FE1C-4CD1-AF3F-F2A93338D260}" destId="{01AFF70D-9A67-4458-A515-362333923C03}" srcOrd="0" destOrd="0" presId="urn:microsoft.com/office/officeart/2005/8/layout/list1"/>
    <dgm:cxn modelId="{498EF464-3EB7-4C7B-BA8D-E55C4873A6F6}" type="presOf" srcId="{04281014-F3FB-41DC-AE8F-A2D4A585F78E}" destId="{E6369734-D150-4FC2-8B07-4976B8422134}" srcOrd="0" destOrd="3" presId="urn:microsoft.com/office/officeart/2005/8/layout/list1"/>
    <dgm:cxn modelId="{6B7A8C43-5E30-48C0-A4BC-6130AFD0F361}" type="presOf" srcId="{4759E201-E482-452E-8E1F-10BC0491FDC6}" destId="{7E130D32-3E71-4957-8972-C81059456E47}" srcOrd="0" destOrd="0" presId="urn:microsoft.com/office/officeart/2005/8/layout/list1"/>
    <dgm:cxn modelId="{78D439BC-EF55-4E6B-AD99-E2356797CAB3}" srcId="{F78E7DEB-FE1C-4CD1-AF3F-F2A93338D260}" destId="{2E8F1321-46B9-48EC-ACC3-E351B3CAA5BF}" srcOrd="0" destOrd="0" parTransId="{7F707EA6-B04E-4159-9675-018064B9D80F}" sibTransId="{0C30DC7D-F88B-4A24-8C18-CC1009BF4562}"/>
    <dgm:cxn modelId="{5A5C6B7C-D121-4894-9215-CFAE5B37709A}" type="presOf" srcId="{A1B5AC70-965A-4A6D-AE78-D99863AD4DE1}" destId="{E6369734-D150-4FC2-8B07-4976B8422134}" srcOrd="0" destOrd="5" presId="urn:microsoft.com/office/officeart/2005/8/layout/list1"/>
    <dgm:cxn modelId="{DC4C11C9-4517-4BED-BABA-1465A02C5050}" srcId="{4759E201-E482-452E-8E1F-10BC0491FDC6}" destId="{F78E7DEB-FE1C-4CD1-AF3F-F2A93338D260}" srcOrd="0" destOrd="0" parTransId="{D20FCC7F-7F09-4A72-8B84-912EF5C2DAE2}" sibTransId="{0B83D084-BACA-48C5-9A9C-DF36616D0183}"/>
    <dgm:cxn modelId="{1E447B3E-EBBA-48B2-B430-9FA1D0B4BF77}" srcId="{2E8F1321-46B9-48EC-ACC3-E351B3CAA5BF}" destId="{3938EC49-CF33-436F-B526-3FE65EB4777A}" srcOrd="1" destOrd="0" parTransId="{73C111FA-B1FB-47A9-9F2F-A53BB734F816}" sibTransId="{BA4B868F-A17F-4027-9F8A-4FC295BE7E59}"/>
    <dgm:cxn modelId="{01994C51-7002-4C47-A50A-832744F867B1}" type="presOf" srcId="{3938EC49-CF33-436F-B526-3FE65EB4777A}" destId="{E6369734-D150-4FC2-8B07-4976B8422134}" srcOrd="0" destOrd="2" presId="urn:microsoft.com/office/officeart/2005/8/layout/list1"/>
    <dgm:cxn modelId="{47E703C4-96CC-45D0-8D54-8B29AB0A5FE0}" type="presOf" srcId="{2E8F1321-46B9-48EC-ACC3-E351B3CAA5BF}" destId="{E6369734-D150-4FC2-8B07-4976B8422134}" srcOrd="0" destOrd="0" presId="urn:microsoft.com/office/officeart/2005/8/layout/list1"/>
    <dgm:cxn modelId="{50FD41F1-03FF-4972-9E6E-2D22FA2892F7}" type="presOf" srcId="{F78E7DEB-FE1C-4CD1-AF3F-F2A93338D260}" destId="{93841D7B-3C60-458A-8DA5-B4AC0C0A0505}" srcOrd="1" destOrd="0" presId="urn:microsoft.com/office/officeart/2005/8/layout/list1"/>
    <dgm:cxn modelId="{821B280C-6F47-487B-8884-A9601C84E81D}" type="presOf" srcId="{F959090E-ADD9-4750-BAA6-7E1C76CBB91E}" destId="{E6369734-D150-4FC2-8B07-4976B8422134}" srcOrd="0" destOrd="4" presId="urn:microsoft.com/office/officeart/2005/8/layout/list1"/>
    <dgm:cxn modelId="{F3B9BCE8-D422-45C1-BF1D-7C903291C9E0}" type="presOf" srcId="{32BAF69D-3C20-4C68-8640-22FB8D4F76A5}" destId="{E6369734-D150-4FC2-8B07-4976B8422134}" srcOrd="0" destOrd="1" presId="urn:microsoft.com/office/officeart/2005/8/layout/list1"/>
    <dgm:cxn modelId="{6F6B2938-9283-4B6A-9A42-A9E43F574338}" srcId="{2E8F1321-46B9-48EC-ACC3-E351B3CAA5BF}" destId="{32BAF69D-3C20-4C68-8640-22FB8D4F76A5}" srcOrd="0" destOrd="0" parTransId="{3F877162-3F9C-465A-8CE5-3DBD8EF9D6FD}" sibTransId="{1199223F-AB90-450B-8899-F5D4489375FA}"/>
    <dgm:cxn modelId="{62957F6C-884A-423A-9728-0D64002F6272}" srcId="{2E8F1321-46B9-48EC-ACC3-E351B3CAA5BF}" destId="{F959090E-ADD9-4750-BAA6-7E1C76CBB91E}" srcOrd="3" destOrd="0" parTransId="{B464A7C2-FFA9-4DE9-82F6-B4E458426D10}" sibTransId="{1813F059-0863-484E-9EDC-E4BABD0D2CC6}"/>
    <dgm:cxn modelId="{BEE080B1-CBB0-440E-A999-97DB5F9F8F8A}" type="presParOf" srcId="{7E130D32-3E71-4957-8972-C81059456E47}" destId="{56E28DD0-FD2B-4CAC-861A-FD50E8CA91FE}" srcOrd="0" destOrd="0" presId="urn:microsoft.com/office/officeart/2005/8/layout/list1"/>
    <dgm:cxn modelId="{C220F9A7-0F08-4766-BDE1-FA33FFFB0D76}" type="presParOf" srcId="{56E28DD0-FD2B-4CAC-861A-FD50E8CA91FE}" destId="{01AFF70D-9A67-4458-A515-362333923C03}" srcOrd="0" destOrd="0" presId="urn:microsoft.com/office/officeart/2005/8/layout/list1"/>
    <dgm:cxn modelId="{8CE7D8FC-E793-4267-BFEC-61D4220D5C09}" type="presParOf" srcId="{56E28DD0-FD2B-4CAC-861A-FD50E8CA91FE}" destId="{93841D7B-3C60-458A-8DA5-B4AC0C0A0505}" srcOrd="1" destOrd="0" presId="urn:microsoft.com/office/officeart/2005/8/layout/list1"/>
    <dgm:cxn modelId="{1CA5C560-CF55-49A6-81CA-3AB5AA4AFBAB}" type="presParOf" srcId="{7E130D32-3E71-4957-8972-C81059456E47}" destId="{CF62ECBB-C974-4135-B266-ABBDB96351D8}" srcOrd="1" destOrd="0" presId="urn:microsoft.com/office/officeart/2005/8/layout/list1"/>
    <dgm:cxn modelId="{72F2BBDC-8DDC-4F27-ACB2-170885F3AAA6}" type="presParOf" srcId="{7E130D32-3E71-4957-8972-C81059456E47}" destId="{E6369734-D150-4FC2-8B07-4976B8422134}" srcOrd="2"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59E201-E482-452E-8E1F-10BC0491F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F78E7DEB-FE1C-4CD1-AF3F-F2A93338D260}">
      <dgm:prSet phldrT="[Text]" custT="1"/>
      <dgm:spPr/>
      <dgm:t>
        <a:bodyPr/>
        <a:lstStyle/>
        <a:p>
          <a:r>
            <a:rPr lang="en-AU" sz="2000"/>
            <a:t>Option 4 - Measure</a:t>
          </a:r>
        </a:p>
      </dgm:t>
    </dgm:pt>
    <dgm:pt modelId="{D20FCC7F-7F09-4A72-8B84-912EF5C2DAE2}" type="parTrans" cxnId="{DC4C11C9-4517-4BED-BABA-1465A02C5050}">
      <dgm:prSet/>
      <dgm:spPr/>
      <dgm:t>
        <a:bodyPr/>
        <a:lstStyle/>
        <a:p>
          <a:endParaRPr lang="en-AU"/>
        </a:p>
      </dgm:t>
    </dgm:pt>
    <dgm:pt modelId="{0B83D084-BACA-48C5-9A9C-DF36616D0183}" type="sibTrans" cxnId="{DC4C11C9-4517-4BED-BABA-1465A02C5050}">
      <dgm:prSet/>
      <dgm:spPr/>
      <dgm:t>
        <a:bodyPr/>
        <a:lstStyle/>
        <a:p>
          <a:endParaRPr lang="en-AU"/>
        </a:p>
      </dgm:t>
    </dgm:pt>
    <dgm:pt modelId="{2E8F1321-46B9-48EC-ACC3-E351B3CAA5BF}">
      <dgm:prSet phldrT="[Text]" custT="1"/>
      <dgm:spPr/>
      <dgm:t>
        <a:bodyPr/>
        <a:lstStyle/>
        <a:p>
          <a:pPr>
            <a:buFont typeface="+mj-lt"/>
            <a:buNone/>
          </a:pPr>
          <a:r>
            <a:rPr lang="en-AU" sz="1200" b="1"/>
            <a:t>Ban non-therapeutic vapes and require therapeutic vapes to be registered on the Australian Register of Therapeutic Goods, and not available as ‘unapproved’ therapeutic goods </a:t>
          </a:r>
        </a:p>
      </dgm:t>
    </dgm:pt>
    <dgm:pt modelId="{7F707EA6-B04E-4159-9675-018064B9D80F}" type="parTrans" cxnId="{78D439BC-EF55-4E6B-AD99-E2356797CAB3}">
      <dgm:prSet/>
      <dgm:spPr/>
      <dgm:t>
        <a:bodyPr/>
        <a:lstStyle/>
        <a:p>
          <a:endParaRPr lang="en-AU"/>
        </a:p>
      </dgm:t>
    </dgm:pt>
    <dgm:pt modelId="{0C30DC7D-F88B-4A24-8C18-CC1009BF4562}" type="sibTrans" cxnId="{78D439BC-EF55-4E6B-AD99-E2356797CAB3}">
      <dgm:prSet/>
      <dgm:spPr/>
      <dgm:t>
        <a:bodyPr/>
        <a:lstStyle/>
        <a:p>
          <a:endParaRPr lang="en-AU"/>
        </a:p>
      </dgm:t>
    </dgm:pt>
    <dgm:pt modelId="{CBFF8031-C0B2-45CB-AD89-81EB15B249F4}" type="pres">
      <dgm:prSet presAssocID="{4759E201-E482-452E-8E1F-10BC0491FDC6}" presName="linear" presStyleCnt="0">
        <dgm:presLayoutVars>
          <dgm:dir/>
          <dgm:animLvl val="lvl"/>
          <dgm:resizeHandles val="exact"/>
        </dgm:presLayoutVars>
      </dgm:prSet>
      <dgm:spPr/>
      <dgm:t>
        <a:bodyPr/>
        <a:lstStyle/>
        <a:p>
          <a:endParaRPr lang="en-US"/>
        </a:p>
      </dgm:t>
    </dgm:pt>
    <dgm:pt modelId="{988CDE13-E92A-482D-9FA1-35A98F9F9863}" type="pres">
      <dgm:prSet presAssocID="{F78E7DEB-FE1C-4CD1-AF3F-F2A93338D260}" presName="parentLin" presStyleCnt="0"/>
      <dgm:spPr/>
    </dgm:pt>
    <dgm:pt modelId="{718C8253-21EA-4C87-8F6A-1519B2566F79}" type="pres">
      <dgm:prSet presAssocID="{F78E7DEB-FE1C-4CD1-AF3F-F2A93338D260}" presName="parentLeftMargin" presStyleLbl="node1" presStyleIdx="0" presStyleCnt="1"/>
      <dgm:spPr/>
      <dgm:t>
        <a:bodyPr/>
        <a:lstStyle/>
        <a:p>
          <a:endParaRPr lang="en-US"/>
        </a:p>
      </dgm:t>
    </dgm:pt>
    <dgm:pt modelId="{6A170F5A-5012-4B53-91FE-42A229ECACFA}" type="pres">
      <dgm:prSet presAssocID="{F78E7DEB-FE1C-4CD1-AF3F-F2A93338D260}" presName="parentText" presStyleLbl="node1" presStyleIdx="0" presStyleCnt="1" custScaleY="152439">
        <dgm:presLayoutVars>
          <dgm:chMax val="0"/>
          <dgm:bulletEnabled val="1"/>
        </dgm:presLayoutVars>
      </dgm:prSet>
      <dgm:spPr/>
      <dgm:t>
        <a:bodyPr/>
        <a:lstStyle/>
        <a:p>
          <a:endParaRPr lang="en-US"/>
        </a:p>
      </dgm:t>
    </dgm:pt>
    <dgm:pt modelId="{00379E6E-10C8-40F0-9B55-7EDE01F18563}" type="pres">
      <dgm:prSet presAssocID="{F78E7DEB-FE1C-4CD1-AF3F-F2A93338D260}" presName="negativeSpace" presStyleCnt="0"/>
      <dgm:spPr/>
    </dgm:pt>
    <dgm:pt modelId="{3ED5CEDA-C9CB-4C42-B8C8-4605A1CBA739}" type="pres">
      <dgm:prSet presAssocID="{F78E7DEB-FE1C-4CD1-AF3F-F2A93338D260}" presName="childText" presStyleLbl="conFgAcc1" presStyleIdx="0" presStyleCnt="1">
        <dgm:presLayoutVars>
          <dgm:bulletEnabled val="1"/>
        </dgm:presLayoutVars>
      </dgm:prSet>
      <dgm:spPr/>
      <dgm:t>
        <a:bodyPr/>
        <a:lstStyle/>
        <a:p>
          <a:endParaRPr lang="en-US"/>
        </a:p>
      </dgm:t>
    </dgm:pt>
  </dgm:ptLst>
  <dgm:cxnLst>
    <dgm:cxn modelId="{C748D374-04BC-45C2-92D4-33DCBB7382D5}" type="presOf" srcId="{F78E7DEB-FE1C-4CD1-AF3F-F2A93338D260}" destId="{718C8253-21EA-4C87-8F6A-1519B2566F79}" srcOrd="0" destOrd="0" presId="urn:microsoft.com/office/officeart/2005/8/layout/list1"/>
    <dgm:cxn modelId="{78D439BC-EF55-4E6B-AD99-E2356797CAB3}" srcId="{F78E7DEB-FE1C-4CD1-AF3F-F2A93338D260}" destId="{2E8F1321-46B9-48EC-ACC3-E351B3CAA5BF}" srcOrd="0" destOrd="0" parTransId="{7F707EA6-B04E-4159-9675-018064B9D80F}" sibTransId="{0C30DC7D-F88B-4A24-8C18-CC1009BF4562}"/>
    <dgm:cxn modelId="{0B66C125-215B-406F-8613-4EFCD997A593}" type="presOf" srcId="{2E8F1321-46B9-48EC-ACC3-E351B3CAA5BF}" destId="{3ED5CEDA-C9CB-4C42-B8C8-4605A1CBA739}" srcOrd="0" destOrd="0" presId="urn:microsoft.com/office/officeart/2005/8/layout/list1"/>
    <dgm:cxn modelId="{8480F5A2-4399-4BA5-B9E5-66958799B877}" type="presOf" srcId="{4759E201-E482-452E-8E1F-10BC0491FDC6}" destId="{CBFF8031-C0B2-45CB-AD89-81EB15B249F4}" srcOrd="0" destOrd="0" presId="urn:microsoft.com/office/officeart/2005/8/layout/list1"/>
    <dgm:cxn modelId="{DC4C11C9-4517-4BED-BABA-1465A02C5050}" srcId="{4759E201-E482-452E-8E1F-10BC0491FDC6}" destId="{F78E7DEB-FE1C-4CD1-AF3F-F2A93338D260}" srcOrd="0" destOrd="0" parTransId="{D20FCC7F-7F09-4A72-8B84-912EF5C2DAE2}" sibTransId="{0B83D084-BACA-48C5-9A9C-DF36616D0183}"/>
    <dgm:cxn modelId="{FA550CD8-B994-4F01-863A-8567D7ACDCBF}" type="presOf" srcId="{F78E7DEB-FE1C-4CD1-AF3F-F2A93338D260}" destId="{6A170F5A-5012-4B53-91FE-42A229ECACFA}" srcOrd="1" destOrd="0" presId="urn:microsoft.com/office/officeart/2005/8/layout/list1"/>
    <dgm:cxn modelId="{657668F1-7957-47A0-8AA3-C218E3460BD8}" type="presParOf" srcId="{CBFF8031-C0B2-45CB-AD89-81EB15B249F4}" destId="{988CDE13-E92A-482D-9FA1-35A98F9F9863}" srcOrd="0" destOrd="0" presId="urn:microsoft.com/office/officeart/2005/8/layout/list1"/>
    <dgm:cxn modelId="{61B48A00-6C7C-49CE-8942-DF445F2434E6}" type="presParOf" srcId="{988CDE13-E92A-482D-9FA1-35A98F9F9863}" destId="{718C8253-21EA-4C87-8F6A-1519B2566F79}" srcOrd="0" destOrd="0" presId="urn:microsoft.com/office/officeart/2005/8/layout/list1"/>
    <dgm:cxn modelId="{A3827D88-3B67-4DA0-876D-490EF1025E7A}" type="presParOf" srcId="{988CDE13-E92A-482D-9FA1-35A98F9F9863}" destId="{6A170F5A-5012-4B53-91FE-42A229ECACFA}" srcOrd="1" destOrd="0" presId="urn:microsoft.com/office/officeart/2005/8/layout/list1"/>
    <dgm:cxn modelId="{90FB310F-CBDF-487F-A2C6-6A06659201E6}" type="presParOf" srcId="{CBFF8031-C0B2-45CB-AD89-81EB15B249F4}" destId="{00379E6E-10C8-40F0-9B55-7EDE01F18563}" srcOrd="1" destOrd="0" presId="urn:microsoft.com/office/officeart/2005/8/layout/list1"/>
    <dgm:cxn modelId="{9C111093-0837-4AE1-950E-251D72A60342}" type="presParOf" srcId="{CBFF8031-C0B2-45CB-AD89-81EB15B249F4}" destId="{3ED5CEDA-C9CB-4C42-B8C8-4605A1CBA739}" srcOrd="2" destOrd="0" presId="urn:microsoft.com/office/officeart/2005/8/layout/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59E201-E482-452E-8E1F-10BC0491F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F78E7DEB-FE1C-4CD1-AF3F-F2A93338D260}">
      <dgm:prSet phldrT="[Text]" custT="1"/>
      <dgm:spPr/>
      <dgm:t>
        <a:bodyPr/>
        <a:lstStyle/>
        <a:p>
          <a:r>
            <a:rPr lang="en-AU" sz="2000"/>
            <a:t>Option 3 - Measures</a:t>
          </a:r>
        </a:p>
      </dgm:t>
    </dgm:pt>
    <dgm:pt modelId="{D20FCC7F-7F09-4A72-8B84-912EF5C2DAE2}" type="parTrans" cxnId="{DC4C11C9-4517-4BED-BABA-1465A02C5050}">
      <dgm:prSet/>
      <dgm:spPr/>
      <dgm:t>
        <a:bodyPr/>
        <a:lstStyle/>
        <a:p>
          <a:endParaRPr lang="en-AU"/>
        </a:p>
      </dgm:t>
    </dgm:pt>
    <dgm:pt modelId="{0B83D084-BACA-48C5-9A9C-DF36616D0183}" type="sibTrans" cxnId="{DC4C11C9-4517-4BED-BABA-1465A02C5050}">
      <dgm:prSet/>
      <dgm:spPr/>
      <dgm:t>
        <a:bodyPr/>
        <a:lstStyle/>
        <a:p>
          <a:endParaRPr lang="en-AU"/>
        </a:p>
      </dgm:t>
    </dgm:pt>
    <dgm:pt modelId="{00AD5B9F-8D24-4C28-A48E-A21DFE6B571A}">
      <dgm:prSet phldrT="[Text]" custT="1"/>
      <dgm:spPr/>
      <dgm:t>
        <a:bodyPr/>
        <a:lstStyle/>
        <a:p>
          <a:pPr>
            <a:buFont typeface="+mj-lt"/>
            <a:buNone/>
          </a:pPr>
          <a:r>
            <a:rPr lang="en-AU" sz="1200" b="1"/>
            <a:t>Measure 2. </a:t>
          </a:r>
          <a:r>
            <a:rPr lang="en-AU" sz="1200" b="0"/>
            <a:t>Changes to market accessibility requirements for therapeutic vapes.</a:t>
          </a:r>
        </a:p>
      </dgm:t>
    </dgm:pt>
    <dgm:pt modelId="{0A16EF9A-BD2B-43F1-8F8A-BDE3644DA5EE}" type="parTrans" cxnId="{908824EA-9DA6-466A-980A-463C06B409D5}">
      <dgm:prSet/>
      <dgm:spPr/>
      <dgm:t>
        <a:bodyPr/>
        <a:lstStyle/>
        <a:p>
          <a:endParaRPr lang="en-AU"/>
        </a:p>
      </dgm:t>
    </dgm:pt>
    <dgm:pt modelId="{595AE1E2-6219-485D-ACD3-FB9E7D54B74A}" type="sibTrans" cxnId="{908824EA-9DA6-466A-980A-463C06B409D5}">
      <dgm:prSet/>
      <dgm:spPr/>
      <dgm:t>
        <a:bodyPr/>
        <a:lstStyle/>
        <a:p>
          <a:endParaRPr lang="en-AU"/>
        </a:p>
      </dgm:t>
    </dgm:pt>
    <dgm:pt modelId="{F8A28D12-867B-4B17-84C7-92DEA8ED27D1}">
      <dgm:prSet phldrT="[Text]" custT="1"/>
      <dgm:spPr/>
      <dgm:t>
        <a:bodyPr/>
        <a:lstStyle/>
        <a:p>
          <a:pPr>
            <a:buFont typeface="+mj-lt"/>
            <a:buNone/>
          </a:pPr>
          <a:r>
            <a:rPr lang="en-AU" sz="1200" b="1"/>
            <a:t>Measure 4. </a:t>
          </a:r>
          <a:r>
            <a:rPr lang="en-AU" sz="1200" b="0"/>
            <a:t>Strengthening import and domestic compliance and enforcement mechanisms.</a:t>
          </a:r>
        </a:p>
      </dgm:t>
    </dgm:pt>
    <dgm:pt modelId="{B5FC636E-4DD0-4B97-A636-7F5506BC82DA}" type="parTrans" cxnId="{4E313324-D778-4A05-9D77-BDADF0D2A1F4}">
      <dgm:prSet/>
      <dgm:spPr/>
      <dgm:t>
        <a:bodyPr/>
        <a:lstStyle/>
        <a:p>
          <a:endParaRPr lang="en-AU"/>
        </a:p>
      </dgm:t>
    </dgm:pt>
    <dgm:pt modelId="{9BC18B96-59F5-4131-8FF4-C9A9A123FC14}" type="sibTrans" cxnId="{4E313324-D778-4A05-9D77-BDADF0D2A1F4}">
      <dgm:prSet/>
      <dgm:spPr/>
      <dgm:t>
        <a:bodyPr/>
        <a:lstStyle/>
        <a:p>
          <a:endParaRPr lang="en-AU"/>
        </a:p>
      </dgm:t>
    </dgm:pt>
    <dgm:pt modelId="{9F4C61E9-DD67-4CAA-A7C7-70DD968888D5}">
      <dgm:prSet phldrT="[Text]" custT="1"/>
      <dgm:spPr/>
      <dgm:t>
        <a:bodyPr/>
        <a:lstStyle/>
        <a:p>
          <a:pPr>
            <a:buFont typeface="+mj-lt"/>
            <a:buNone/>
          </a:pPr>
          <a:r>
            <a:rPr lang="en-AU" sz="1200" b="1"/>
            <a:t>Measure 1. </a:t>
          </a:r>
          <a:r>
            <a:rPr lang="en-AU" sz="1200" b="0"/>
            <a:t>Restrictions on importation, manufacture and supply of all vapes.</a:t>
          </a:r>
        </a:p>
      </dgm:t>
    </dgm:pt>
    <dgm:pt modelId="{BE1B83D9-1EBF-4BC4-8F0E-66990B31A8DB}" type="parTrans" cxnId="{65670506-E7E0-44A4-A419-0CDA29A95070}">
      <dgm:prSet/>
      <dgm:spPr/>
      <dgm:t>
        <a:bodyPr/>
        <a:lstStyle/>
        <a:p>
          <a:endParaRPr lang="en-AU"/>
        </a:p>
      </dgm:t>
    </dgm:pt>
    <dgm:pt modelId="{15631C30-C132-473E-BB96-7E88B269E1D3}" type="sibTrans" cxnId="{65670506-E7E0-44A4-A419-0CDA29A95070}">
      <dgm:prSet/>
      <dgm:spPr/>
      <dgm:t>
        <a:bodyPr/>
        <a:lstStyle/>
        <a:p>
          <a:endParaRPr lang="en-AU"/>
        </a:p>
      </dgm:t>
    </dgm:pt>
    <dgm:pt modelId="{EF04517F-26A8-43F7-BC31-A270B0E94D49}">
      <dgm:prSet phldrT="[Text]" custT="1"/>
      <dgm:spPr/>
      <dgm:t>
        <a:bodyPr/>
        <a:lstStyle/>
        <a:p>
          <a:pPr>
            <a:buFont typeface="+mj-lt"/>
            <a:buNone/>
          </a:pPr>
          <a:r>
            <a:rPr lang="en-AU" sz="1200" b="1"/>
            <a:t>Measure 3. </a:t>
          </a:r>
          <a:r>
            <a:rPr lang="en-AU" sz="1200"/>
            <a:t>Heightened quality and safety standards for therapeutic vapes, including better regulation of device components.</a:t>
          </a:r>
          <a:endParaRPr lang="en-AU" sz="1200" b="0"/>
        </a:p>
      </dgm:t>
    </dgm:pt>
    <dgm:pt modelId="{11FD9282-431F-4A42-99F0-ABE530C2343C}" type="parTrans" cxnId="{2F53CFF5-AEE7-4D22-8E92-BB77EFA8CFBF}">
      <dgm:prSet/>
      <dgm:spPr/>
      <dgm:t>
        <a:bodyPr/>
        <a:lstStyle/>
        <a:p>
          <a:endParaRPr lang="en-AU"/>
        </a:p>
      </dgm:t>
    </dgm:pt>
    <dgm:pt modelId="{76AB12F4-8EA9-467A-BCFB-76E55F271A0E}" type="sibTrans" cxnId="{2F53CFF5-AEE7-4D22-8E92-BB77EFA8CFBF}">
      <dgm:prSet/>
      <dgm:spPr/>
      <dgm:t>
        <a:bodyPr/>
        <a:lstStyle/>
        <a:p>
          <a:endParaRPr lang="en-AU"/>
        </a:p>
      </dgm:t>
    </dgm:pt>
    <dgm:pt modelId="{CBFF8031-C0B2-45CB-AD89-81EB15B249F4}" type="pres">
      <dgm:prSet presAssocID="{4759E201-E482-452E-8E1F-10BC0491FDC6}" presName="linear" presStyleCnt="0">
        <dgm:presLayoutVars>
          <dgm:dir/>
          <dgm:animLvl val="lvl"/>
          <dgm:resizeHandles val="exact"/>
        </dgm:presLayoutVars>
      </dgm:prSet>
      <dgm:spPr/>
      <dgm:t>
        <a:bodyPr/>
        <a:lstStyle/>
        <a:p>
          <a:endParaRPr lang="en-US"/>
        </a:p>
      </dgm:t>
    </dgm:pt>
    <dgm:pt modelId="{988CDE13-E92A-482D-9FA1-35A98F9F9863}" type="pres">
      <dgm:prSet presAssocID="{F78E7DEB-FE1C-4CD1-AF3F-F2A93338D260}" presName="parentLin" presStyleCnt="0"/>
      <dgm:spPr/>
    </dgm:pt>
    <dgm:pt modelId="{718C8253-21EA-4C87-8F6A-1519B2566F79}" type="pres">
      <dgm:prSet presAssocID="{F78E7DEB-FE1C-4CD1-AF3F-F2A93338D260}" presName="parentLeftMargin" presStyleLbl="node1" presStyleIdx="0" presStyleCnt="1"/>
      <dgm:spPr/>
      <dgm:t>
        <a:bodyPr/>
        <a:lstStyle/>
        <a:p>
          <a:endParaRPr lang="en-US"/>
        </a:p>
      </dgm:t>
    </dgm:pt>
    <dgm:pt modelId="{6A170F5A-5012-4B53-91FE-42A229ECACFA}" type="pres">
      <dgm:prSet presAssocID="{F78E7DEB-FE1C-4CD1-AF3F-F2A93338D260}" presName="parentText" presStyleLbl="node1" presStyleIdx="0" presStyleCnt="1" custScaleY="490197" custLinFactY="100000" custLinFactNeighborX="6654" custLinFactNeighborY="102032">
        <dgm:presLayoutVars>
          <dgm:chMax val="0"/>
          <dgm:bulletEnabled val="1"/>
        </dgm:presLayoutVars>
      </dgm:prSet>
      <dgm:spPr/>
      <dgm:t>
        <a:bodyPr/>
        <a:lstStyle/>
        <a:p>
          <a:endParaRPr lang="en-US"/>
        </a:p>
      </dgm:t>
    </dgm:pt>
    <dgm:pt modelId="{00379E6E-10C8-40F0-9B55-7EDE01F18563}" type="pres">
      <dgm:prSet presAssocID="{F78E7DEB-FE1C-4CD1-AF3F-F2A93338D260}" presName="negativeSpace" presStyleCnt="0"/>
      <dgm:spPr/>
    </dgm:pt>
    <dgm:pt modelId="{3ED5CEDA-C9CB-4C42-B8C8-4605A1CBA739}" type="pres">
      <dgm:prSet presAssocID="{F78E7DEB-FE1C-4CD1-AF3F-F2A93338D260}" presName="childText" presStyleLbl="conFgAcc1" presStyleIdx="0" presStyleCnt="1" custScaleY="195669">
        <dgm:presLayoutVars>
          <dgm:bulletEnabled val="1"/>
        </dgm:presLayoutVars>
      </dgm:prSet>
      <dgm:spPr/>
      <dgm:t>
        <a:bodyPr/>
        <a:lstStyle/>
        <a:p>
          <a:endParaRPr lang="en-US"/>
        </a:p>
      </dgm:t>
    </dgm:pt>
  </dgm:ptLst>
  <dgm:cxnLst>
    <dgm:cxn modelId="{DC4C11C9-4517-4BED-BABA-1465A02C5050}" srcId="{4759E201-E482-452E-8E1F-10BC0491FDC6}" destId="{F78E7DEB-FE1C-4CD1-AF3F-F2A93338D260}" srcOrd="0" destOrd="0" parTransId="{D20FCC7F-7F09-4A72-8B84-912EF5C2DAE2}" sibTransId="{0B83D084-BACA-48C5-9A9C-DF36616D0183}"/>
    <dgm:cxn modelId="{2F53CFF5-AEE7-4D22-8E92-BB77EFA8CFBF}" srcId="{F78E7DEB-FE1C-4CD1-AF3F-F2A93338D260}" destId="{EF04517F-26A8-43F7-BC31-A270B0E94D49}" srcOrd="2" destOrd="0" parTransId="{11FD9282-431F-4A42-99F0-ABE530C2343C}" sibTransId="{76AB12F4-8EA9-467A-BCFB-76E55F271A0E}"/>
    <dgm:cxn modelId="{4E313324-D778-4A05-9D77-BDADF0D2A1F4}" srcId="{F78E7DEB-FE1C-4CD1-AF3F-F2A93338D260}" destId="{F8A28D12-867B-4B17-84C7-92DEA8ED27D1}" srcOrd="3" destOrd="0" parTransId="{B5FC636E-4DD0-4B97-A636-7F5506BC82DA}" sibTransId="{9BC18B96-59F5-4131-8FF4-C9A9A123FC14}"/>
    <dgm:cxn modelId="{C748D374-04BC-45C2-92D4-33DCBB7382D5}" type="presOf" srcId="{F78E7DEB-FE1C-4CD1-AF3F-F2A93338D260}" destId="{718C8253-21EA-4C87-8F6A-1519B2566F79}" srcOrd="0" destOrd="0" presId="urn:microsoft.com/office/officeart/2005/8/layout/list1"/>
    <dgm:cxn modelId="{908824EA-9DA6-466A-980A-463C06B409D5}" srcId="{F78E7DEB-FE1C-4CD1-AF3F-F2A93338D260}" destId="{00AD5B9F-8D24-4C28-A48E-A21DFE6B571A}" srcOrd="1" destOrd="0" parTransId="{0A16EF9A-BD2B-43F1-8F8A-BDE3644DA5EE}" sibTransId="{595AE1E2-6219-485D-ACD3-FB9E7D54B74A}"/>
    <dgm:cxn modelId="{AB40A384-790A-4B7E-97FF-B81B2A01015C}" type="presOf" srcId="{F8A28D12-867B-4B17-84C7-92DEA8ED27D1}" destId="{3ED5CEDA-C9CB-4C42-B8C8-4605A1CBA739}" srcOrd="0" destOrd="3" presId="urn:microsoft.com/office/officeart/2005/8/layout/list1"/>
    <dgm:cxn modelId="{65670506-E7E0-44A4-A419-0CDA29A95070}" srcId="{F78E7DEB-FE1C-4CD1-AF3F-F2A93338D260}" destId="{9F4C61E9-DD67-4CAA-A7C7-70DD968888D5}" srcOrd="0" destOrd="0" parTransId="{BE1B83D9-1EBF-4BC4-8F0E-66990B31A8DB}" sibTransId="{15631C30-C132-473E-BB96-7E88B269E1D3}"/>
    <dgm:cxn modelId="{08CCD3D9-3F89-4102-8265-9A6B2A85B38C}" type="presOf" srcId="{EF04517F-26A8-43F7-BC31-A270B0E94D49}" destId="{3ED5CEDA-C9CB-4C42-B8C8-4605A1CBA739}" srcOrd="0" destOrd="2" presId="urn:microsoft.com/office/officeart/2005/8/layout/list1"/>
    <dgm:cxn modelId="{8480F5A2-4399-4BA5-B9E5-66958799B877}" type="presOf" srcId="{4759E201-E482-452E-8E1F-10BC0491FDC6}" destId="{CBFF8031-C0B2-45CB-AD89-81EB15B249F4}" srcOrd="0" destOrd="0" presId="urn:microsoft.com/office/officeart/2005/8/layout/list1"/>
    <dgm:cxn modelId="{FA8454FF-26BA-4658-BB30-81C3186ECFB4}" type="presOf" srcId="{00AD5B9F-8D24-4C28-A48E-A21DFE6B571A}" destId="{3ED5CEDA-C9CB-4C42-B8C8-4605A1CBA739}" srcOrd="0" destOrd="1" presId="urn:microsoft.com/office/officeart/2005/8/layout/list1"/>
    <dgm:cxn modelId="{FA550CD8-B994-4F01-863A-8567D7ACDCBF}" type="presOf" srcId="{F78E7DEB-FE1C-4CD1-AF3F-F2A93338D260}" destId="{6A170F5A-5012-4B53-91FE-42A229ECACFA}" srcOrd="1" destOrd="0" presId="urn:microsoft.com/office/officeart/2005/8/layout/list1"/>
    <dgm:cxn modelId="{83687505-B968-4A9F-B26A-CC1B148B095F}" type="presOf" srcId="{9F4C61E9-DD67-4CAA-A7C7-70DD968888D5}" destId="{3ED5CEDA-C9CB-4C42-B8C8-4605A1CBA739}" srcOrd="0" destOrd="0" presId="urn:microsoft.com/office/officeart/2005/8/layout/list1"/>
    <dgm:cxn modelId="{657668F1-7957-47A0-8AA3-C218E3460BD8}" type="presParOf" srcId="{CBFF8031-C0B2-45CB-AD89-81EB15B249F4}" destId="{988CDE13-E92A-482D-9FA1-35A98F9F9863}" srcOrd="0" destOrd="0" presId="urn:microsoft.com/office/officeart/2005/8/layout/list1"/>
    <dgm:cxn modelId="{61B48A00-6C7C-49CE-8942-DF445F2434E6}" type="presParOf" srcId="{988CDE13-E92A-482D-9FA1-35A98F9F9863}" destId="{718C8253-21EA-4C87-8F6A-1519B2566F79}" srcOrd="0" destOrd="0" presId="urn:microsoft.com/office/officeart/2005/8/layout/list1"/>
    <dgm:cxn modelId="{A3827D88-3B67-4DA0-876D-490EF1025E7A}" type="presParOf" srcId="{988CDE13-E92A-482D-9FA1-35A98F9F9863}" destId="{6A170F5A-5012-4B53-91FE-42A229ECACFA}" srcOrd="1" destOrd="0" presId="urn:microsoft.com/office/officeart/2005/8/layout/list1"/>
    <dgm:cxn modelId="{90FB310F-CBDF-487F-A2C6-6A06659201E6}" type="presParOf" srcId="{CBFF8031-C0B2-45CB-AD89-81EB15B249F4}" destId="{00379E6E-10C8-40F0-9B55-7EDE01F18563}" srcOrd="1" destOrd="0" presId="urn:microsoft.com/office/officeart/2005/8/layout/list1"/>
    <dgm:cxn modelId="{9C111093-0837-4AE1-950E-251D72A60342}" type="presParOf" srcId="{CBFF8031-C0B2-45CB-AD89-81EB15B249F4}" destId="{3ED5CEDA-C9CB-4C42-B8C8-4605A1CBA739}" srcOrd="2" destOrd="0" presId="urn:microsoft.com/office/officeart/2005/8/layout/lis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59E201-E482-452E-8E1F-10BC0491F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F78E7DEB-FE1C-4CD1-AF3F-F2A93338D260}">
      <dgm:prSet phldrT="[Text]" custT="1"/>
      <dgm:spPr/>
      <dgm:t>
        <a:bodyPr/>
        <a:lstStyle/>
        <a:p>
          <a:r>
            <a:rPr lang="en-AU" sz="2000"/>
            <a:t>Option 4 - Measure</a:t>
          </a:r>
        </a:p>
      </dgm:t>
    </dgm:pt>
    <dgm:pt modelId="{D20FCC7F-7F09-4A72-8B84-912EF5C2DAE2}" type="parTrans" cxnId="{DC4C11C9-4517-4BED-BABA-1465A02C5050}">
      <dgm:prSet/>
      <dgm:spPr/>
      <dgm:t>
        <a:bodyPr/>
        <a:lstStyle/>
        <a:p>
          <a:endParaRPr lang="en-AU"/>
        </a:p>
      </dgm:t>
    </dgm:pt>
    <dgm:pt modelId="{0B83D084-BACA-48C5-9A9C-DF36616D0183}" type="sibTrans" cxnId="{DC4C11C9-4517-4BED-BABA-1465A02C5050}">
      <dgm:prSet/>
      <dgm:spPr/>
      <dgm:t>
        <a:bodyPr/>
        <a:lstStyle/>
        <a:p>
          <a:endParaRPr lang="en-AU"/>
        </a:p>
      </dgm:t>
    </dgm:pt>
    <dgm:pt modelId="{2E8F1321-46B9-48EC-ACC3-E351B3CAA5BF}">
      <dgm:prSet phldrT="[Text]" custT="1"/>
      <dgm:spPr/>
      <dgm:t>
        <a:bodyPr/>
        <a:lstStyle/>
        <a:p>
          <a:pPr>
            <a:buFont typeface="+mj-lt"/>
            <a:buNone/>
          </a:pPr>
          <a:r>
            <a:rPr lang="en-AU" sz="1200" b="1"/>
            <a:t>	Ban non-therapeutic vapes and require therapeutic vapes to be registered on the Australian Register of Therapeutic Goods, and not available as ‘unapproved’ therapeutic goods. </a:t>
          </a:r>
        </a:p>
      </dgm:t>
    </dgm:pt>
    <dgm:pt modelId="{7F707EA6-B04E-4159-9675-018064B9D80F}" type="parTrans" cxnId="{78D439BC-EF55-4E6B-AD99-E2356797CAB3}">
      <dgm:prSet/>
      <dgm:spPr/>
      <dgm:t>
        <a:bodyPr/>
        <a:lstStyle/>
        <a:p>
          <a:endParaRPr lang="en-AU"/>
        </a:p>
      </dgm:t>
    </dgm:pt>
    <dgm:pt modelId="{0C30DC7D-F88B-4A24-8C18-CC1009BF4562}" type="sibTrans" cxnId="{78D439BC-EF55-4E6B-AD99-E2356797CAB3}">
      <dgm:prSet/>
      <dgm:spPr/>
      <dgm:t>
        <a:bodyPr/>
        <a:lstStyle/>
        <a:p>
          <a:endParaRPr lang="en-AU"/>
        </a:p>
      </dgm:t>
    </dgm:pt>
    <dgm:pt modelId="{CBFF8031-C0B2-45CB-AD89-81EB15B249F4}" type="pres">
      <dgm:prSet presAssocID="{4759E201-E482-452E-8E1F-10BC0491FDC6}" presName="linear" presStyleCnt="0">
        <dgm:presLayoutVars>
          <dgm:dir/>
          <dgm:animLvl val="lvl"/>
          <dgm:resizeHandles val="exact"/>
        </dgm:presLayoutVars>
      </dgm:prSet>
      <dgm:spPr/>
      <dgm:t>
        <a:bodyPr/>
        <a:lstStyle/>
        <a:p>
          <a:endParaRPr lang="en-US"/>
        </a:p>
      </dgm:t>
    </dgm:pt>
    <dgm:pt modelId="{988CDE13-E92A-482D-9FA1-35A98F9F9863}" type="pres">
      <dgm:prSet presAssocID="{F78E7DEB-FE1C-4CD1-AF3F-F2A93338D260}" presName="parentLin" presStyleCnt="0"/>
      <dgm:spPr/>
    </dgm:pt>
    <dgm:pt modelId="{718C8253-21EA-4C87-8F6A-1519B2566F79}" type="pres">
      <dgm:prSet presAssocID="{F78E7DEB-FE1C-4CD1-AF3F-F2A93338D260}" presName="parentLeftMargin" presStyleLbl="node1" presStyleIdx="0" presStyleCnt="1"/>
      <dgm:spPr/>
      <dgm:t>
        <a:bodyPr/>
        <a:lstStyle/>
        <a:p>
          <a:endParaRPr lang="en-US"/>
        </a:p>
      </dgm:t>
    </dgm:pt>
    <dgm:pt modelId="{6A170F5A-5012-4B53-91FE-42A229ECACFA}" type="pres">
      <dgm:prSet presAssocID="{F78E7DEB-FE1C-4CD1-AF3F-F2A93338D260}" presName="parentText" presStyleLbl="node1" presStyleIdx="0" presStyleCnt="1" custScaleY="152439">
        <dgm:presLayoutVars>
          <dgm:chMax val="0"/>
          <dgm:bulletEnabled val="1"/>
        </dgm:presLayoutVars>
      </dgm:prSet>
      <dgm:spPr/>
      <dgm:t>
        <a:bodyPr/>
        <a:lstStyle/>
        <a:p>
          <a:endParaRPr lang="en-US"/>
        </a:p>
      </dgm:t>
    </dgm:pt>
    <dgm:pt modelId="{00379E6E-10C8-40F0-9B55-7EDE01F18563}" type="pres">
      <dgm:prSet presAssocID="{F78E7DEB-FE1C-4CD1-AF3F-F2A93338D260}" presName="negativeSpace" presStyleCnt="0"/>
      <dgm:spPr/>
    </dgm:pt>
    <dgm:pt modelId="{3ED5CEDA-C9CB-4C42-B8C8-4605A1CBA739}" type="pres">
      <dgm:prSet presAssocID="{F78E7DEB-FE1C-4CD1-AF3F-F2A93338D260}" presName="childText" presStyleLbl="conFgAcc1" presStyleIdx="0" presStyleCnt="1">
        <dgm:presLayoutVars>
          <dgm:bulletEnabled val="1"/>
        </dgm:presLayoutVars>
      </dgm:prSet>
      <dgm:spPr/>
      <dgm:t>
        <a:bodyPr/>
        <a:lstStyle/>
        <a:p>
          <a:endParaRPr lang="en-US"/>
        </a:p>
      </dgm:t>
    </dgm:pt>
  </dgm:ptLst>
  <dgm:cxnLst>
    <dgm:cxn modelId="{C748D374-04BC-45C2-92D4-33DCBB7382D5}" type="presOf" srcId="{F78E7DEB-FE1C-4CD1-AF3F-F2A93338D260}" destId="{718C8253-21EA-4C87-8F6A-1519B2566F79}" srcOrd="0" destOrd="0" presId="urn:microsoft.com/office/officeart/2005/8/layout/list1"/>
    <dgm:cxn modelId="{78D439BC-EF55-4E6B-AD99-E2356797CAB3}" srcId="{F78E7DEB-FE1C-4CD1-AF3F-F2A93338D260}" destId="{2E8F1321-46B9-48EC-ACC3-E351B3CAA5BF}" srcOrd="0" destOrd="0" parTransId="{7F707EA6-B04E-4159-9675-018064B9D80F}" sibTransId="{0C30DC7D-F88B-4A24-8C18-CC1009BF4562}"/>
    <dgm:cxn modelId="{0B66C125-215B-406F-8613-4EFCD997A593}" type="presOf" srcId="{2E8F1321-46B9-48EC-ACC3-E351B3CAA5BF}" destId="{3ED5CEDA-C9CB-4C42-B8C8-4605A1CBA739}" srcOrd="0" destOrd="0" presId="urn:microsoft.com/office/officeart/2005/8/layout/list1"/>
    <dgm:cxn modelId="{8480F5A2-4399-4BA5-B9E5-66958799B877}" type="presOf" srcId="{4759E201-E482-452E-8E1F-10BC0491FDC6}" destId="{CBFF8031-C0B2-45CB-AD89-81EB15B249F4}" srcOrd="0" destOrd="0" presId="urn:microsoft.com/office/officeart/2005/8/layout/list1"/>
    <dgm:cxn modelId="{DC4C11C9-4517-4BED-BABA-1465A02C5050}" srcId="{4759E201-E482-452E-8E1F-10BC0491FDC6}" destId="{F78E7DEB-FE1C-4CD1-AF3F-F2A93338D260}" srcOrd="0" destOrd="0" parTransId="{D20FCC7F-7F09-4A72-8B84-912EF5C2DAE2}" sibTransId="{0B83D084-BACA-48C5-9A9C-DF36616D0183}"/>
    <dgm:cxn modelId="{FA550CD8-B994-4F01-863A-8567D7ACDCBF}" type="presOf" srcId="{F78E7DEB-FE1C-4CD1-AF3F-F2A93338D260}" destId="{6A170F5A-5012-4B53-91FE-42A229ECACFA}" srcOrd="1" destOrd="0" presId="urn:microsoft.com/office/officeart/2005/8/layout/list1"/>
    <dgm:cxn modelId="{657668F1-7957-47A0-8AA3-C218E3460BD8}" type="presParOf" srcId="{CBFF8031-C0B2-45CB-AD89-81EB15B249F4}" destId="{988CDE13-E92A-482D-9FA1-35A98F9F9863}" srcOrd="0" destOrd="0" presId="urn:microsoft.com/office/officeart/2005/8/layout/list1"/>
    <dgm:cxn modelId="{61B48A00-6C7C-49CE-8942-DF445F2434E6}" type="presParOf" srcId="{988CDE13-E92A-482D-9FA1-35A98F9F9863}" destId="{718C8253-21EA-4C87-8F6A-1519B2566F79}" srcOrd="0" destOrd="0" presId="urn:microsoft.com/office/officeart/2005/8/layout/list1"/>
    <dgm:cxn modelId="{A3827D88-3B67-4DA0-876D-490EF1025E7A}" type="presParOf" srcId="{988CDE13-E92A-482D-9FA1-35A98F9F9863}" destId="{6A170F5A-5012-4B53-91FE-42A229ECACFA}" srcOrd="1" destOrd="0" presId="urn:microsoft.com/office/officeart/2005/8/layout/list1"/>
    <dgm:cxn modelId="{90FB310F-CBDF-487F-A2C6-6A06659201E6}" type="presParOf" srcId="{CBFF8031-C0B2-45CB-AD89-81EB15B249F4}" destId="{00379E6E-10C8-40F0-9B55-7EDE01F18563}" srcOrd="1" destOrd="0" presId="urn:microsoft.com/office/officeart/2005/8/layout/list1"/>
    <dgm:cxn modelId="{9C111093-0837-4AE1-950E-251D72A60342}" type="presParOf" srcId="{CBFF8031-C0B2-45CB-AD89-81EB15B249F4}" destId="{3ED5CEDA-C9CB-4C42-B8C8-4605A1CBA739}" srcOrd="2" destOrd="0" presId="urn:microsoft.com/office/officeart/2005/8/layout/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5CEDA-C9CB-4C42-B8C8-4605A1CBA739}">
      <dsp:nvSpPr>
        <dsp:cNvPr id="0" name=""/>
        <dsp:cNvSpPr/>
      </dsp:nvSpPr>
      <dsp:spPr>
        <a:xfrm>
          <a:off x="0" y="499430"/>
          <a:ext cx="5731510" cy="165173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291592" rIns="444829" bIns="85344" numCol="1" spcCol="1270" anchor="t" anchorCtr="0">
          <a:noAutofit/>
        </a:bodyPr>
        <a:lstStyle/>
        <a:p>
          <a:pPr marL="114300" lvl="1" indent="-114300" algn="l" defTabSz="533400">
            <a:lnSpc>
              <a:spcPct val="90000"/>
            </a:lnSpc>
            <a:spcBef>
              <a:spcPct val="0"/>
            </a:spcBef>
            <a:spcAft>
              <a:spcPct val="15000"/>
            </a:spcAft>
            <a:buFont typeface="+mj-lt"/>
            <a:buChar char="••"/>
          </a:pPr>
          <a:r>
            <a:rPr lang="en-AU" sz="1200" b="1" kern="1200"/>
            <a:t>Measure 1. </a:t>
          </a:r>
          <a:r>
            <a:rPr lang="en-AU" sz="1200" b="0" kern="1200"/>
            <a:t>Restrictions on importation, manufacture and supply of all vapes</a:t>
          </a:r>
        </a:p>
        <a:p>
          <a:pPr marL="114300" lvl="1" indent="-114300" algn="l" defTabSz="533400">
            <a:lnSpc>
              <a:spcPct val="90000"/>
            </a:lnSpc>
            <a:spcBef>
              <a:spcPct val="0"/>
            </a:spcBef>
            <a:spcAft>
              <a:spcPct val="15000"/>
            </a:spcAft>
            <a:buFont typeface="+mj-lt"/>
            <a:buChar char="••"/>
          </a:pPr>
          <a:r>
            <a:rPr lang="en-AU" sz="1200" b="1" kern="1200"/>
            <a:t>Measure 2. </a:t>
          </a:r>
          <a:r>
            <a:rPr lang="en-AU" sz="1200" b="0" kern="1200"/>
            <a:t>Changes to market accessibility requirements for therapeutic vapes</a:t>
          </a:r>
        </a:p>
        <a:p>
          <a:pPr marL="114300" lvl="1" indent="-114300" algn="l" defTabSz="533400">
            <a:lnSpc>
              <a:spcPct val="90000"/>
            </a:lnSpc>
            <a:spcBef>
              <a:spcPct val="0"/>
            </a:spcBef>
            <a:spcAft>
              <a:spcPct val="15000"/>
            </a:spcAft>
            <a:buFont typeface="+mj-lt"/>
            <a:buChar char="••"/>
          </a:pPr>
          <a:r>
            <a:rPr lang="en-AU" sz="1200" b="1" kern="1200"/>
            <a:t>Measure 3. </a:t>
          </a:r>
          <a:r>
            <a:rPr lang="en-AU" sz="1200" kern="1200"/>
            <a:t>Heightened quality and safety standards for therapeutic vapes, including better regulation of device components</a:t>
          </a:r>
          <a:endParaRPr lang="en-AU" sz="1200" b="0" kern="1200"/>
        </a:p>
        <a:p>
          <a:pPr marL="114300" lvl="1" indent="-114300" algn="l" defTabSz="533400">
            <a:lnSpc>
              <a:spcPct val="90000"/>
            </a:lnSpc>
            <a:spcBef>
              <a:spcPct val="0"/>
            </a:spcBef>
            <a:spcAft>
              <a:spcPct val="15000"/>
            </a:spcAft>
            <a:buFont typeface="+mj-lt"/>
            <a:buChar char="••"/>
          </a:pPr>
          <a:r>
            <a:rPr lang="en-AU" sz="1200" b="1" kern="1200"/>
            <a:t>Measure 4. </a:t>
          </a:r>
          <a:r>
            <a:rPr lang="en-AU" sz="1200" b="0" kern="1200"/>
            <a:t>Strengthening import and domestic compliance and enforcement mechanisms</a:t>
          </a:r>
        </a:p>
      </dsp:txBody>
      <dsp:txXfrm>
        <a:off x="0" y="499430"/>
        <a:ext cx="5731510" cy="1651732"/>
      </dsp:txXfrm>
    </dsp:sp>
    <dsp:sp modelId="{6A170F5A-5012-4B53-91FE-42A229ECACFA}">
      <dsp:nvSpPr>
        <dsp:cNvPr id="0" name=""/>
        <dsp:cNvSpPr/>
      </dsp:nvSpPr>
      <dsp:spPr>
        <a:xfrm>
          <a:off x="305345" y="229603"/>
          <a:ext cx="4008138" cy="5553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889000">
            <a:lnSpc>
              <a:spcPct val="90000"/>
            </a:lnSpc>
            <a:spcBef>
              <a:spcPct val="0"/>
            </a:spcBef>
            <a:spcAft>
              <a:spcPct val="35000"/>
            </a:spcAft>
          </a:pPr>
          <a:r>
            <a:rPr lang="en-AU" sz="2000" kern="1200"/>
            <a:t>Option 3 - Measures</a:t>
          </a:r>
        </a:p>
      </dsp:txBody>
      <dsp:txXfrm>
        <a:off x="332456" y="256714"/>
        <a:ext cx="3953916" cy="5011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69734-D150-4FC2-8B07-4976B8422134}">
      <dsp:nvSpPr>
        <dsp:cNvPr id="0" name=""/>
        <dsp:cNvSpPr/>
      </dsp:nvSpPr>
      <dsp:spPr>
        <a:xfrm>
          <a:off x="0" y="461473"/>
          <a:ext cx="5731510" cy="16695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104140" rIns="444829" bIns="85344" numCol="1" spcCol="1270" anchor="t" anchorCtr="0">
          <a:noAutofit/>
        </a:bodyPr>
        <a:lstStyle/>
        <a:p>
          <a:pPr marL="114300" lvl="1" indent="-114300" algn="l" defTabSz="533400">
            <a:lnSpc>
              <a:spcPct val="90000"/>
            </a:lnSpc>
            <a:spcBef>
              <a:spcPct val="0"/>
            </a:spcBef>
            <a:spcAft>
              <a:spcPct val="15000"/>
            </a:spcAft>
            <a:buChar char="••"/>
          </a:pPr>
          <a:r>
            <a:rPr lang="en-AU" sz="1200" b="1" kern="1200"/>
            <a:t>Measure 1(a). </a:t>
          </a:r>
          <a:r>
            <a:rPr lang="en-AU" sz="1200" b="0" kern="1200"/>
            <a:t>Limit the importation, manufacture and supply of all disposable vapes</a:t>
          </a:r>
        </a:p>
        <a:p>
          <a:pPr marL="114300" lvl="1" indent="-114300" algn="l" defTabSz="533400">
            <a:lnSpc>
              <a:spcPct val="90000"/>
            </a:lnSpc>
            <a:spcBef>
              <a:spcPct val="0"/>
            </a:spcBef>
            <a:spcAft>
              <a:spcPct val="15000"/>
            </a:spcAft>
            <a:buChar char="••"/>
          </a:pPr>
          <a:r>
            <a:rPr lang="en-AU" sz="1200" b="1" kern="1200"/>
            <a:t>Measure 1(b). </a:t>
          </a:r>
          <a:r>
            <a:rPr lang="en-AU" sz="1200" b="0" kern="1200"/>
            <a:t>Limit the importation, manufacture and supply of all other vapes</a:t>
          </a:r>
        </a:p>
        <a:p>
          <a:pPr marL="114300" lvl="1" indent="-114300" algn="l" defTabSz="533400">
            <a:lnSpc>
              <a:spcPct val="90000"/>
            </a:lnSpc>
            <a:spcBef>
              <a:spcPct val="0"/>
            </a:spcBef>
            <a:spcAft>
              <a:spcPct val="15000"/>
            </a:spcAft>
            <a:buChar char="••"/>
          </a:pPr>
          <a:r>
            <a:rPr lang="en-AU" sz="1200" b="1" kern="1200"/>
            <a:t>Measure 1(c). </a:t>
          </a:r>
          <a:r>
            <a:rPr lang="en-AU" sz="1200" b="0" kern="1200"/>
            <a:t>Prevent importation through the Personal Importation Scheme</a:t>
          </a:r>
        </a:p>
        <a:p>
          <a:pPr marL="114300" lvl="1" indent="-114300" algn="l" defTabSz="533400">
            <a:lnSpc>
              <a:spcPct val="90000"/>
            </a:lnSpc>
            <a:spcBef>
              <a:spcPct val="0"/>
            </a:spcBef>
            <a:spcAft>
              <a:spcPct val="15000"/>
            </a:spcAft>
            <a:buChar char="••"/>
          </a:pPr>
          <a:r>
            <a:rPr lang="en-AU" sz="1200" b="1" kern="1200"/>
            <a:t>Measure 1(d). </a:t>
          </a:r>
          <a:r>
            <a:rPr lang="en-AU" sz="1200" b="0" kern="1200"/>
            <a:t>Preserve the traveller's exemption</a:t>
          </a:r>
        </a:p>
        <a:p>
          <a:pPr marL="114300" lvl="1" indent="-114300" algn="l" defTabSz="533400">
            <a:lnSpc>
              <a:spcPct val="90000"/>
            </a:lnSpc>
            <a:spcBef>
              <a:spcPct val="0"/>
            </a:spcBef>
            <a:spcAft>
              <a:spcPct val="15000"/>
            </a:spcAft>
            <a:buChar char="••"/>
          </a:pPr>
          <a:r>
            <a:rPr lang="en-AU" sz="1200" b="1" kern="1200"/>
            <a:t>Measure 1(e). </a:t>
          </a:r>
          <a:r>
            <a:rPr lang="en-AU" sz="1200" b="0" kern="1200"/>
            <a:t>Prohibit the advertisement of vapes generally</a:t>
          </a:r>
        </a:p>
      </dsp:txBody>
      <dsp:txXfrm>
        <a:off x="0" y="461473"/>
        <a:ext cx="5731510" cy="1669500"/>
      </dsp:txXfrm>
    </dsp:sp>
    <dsp:sp modelId="{93841D7B-3C60-458A-8DA5-B4AC0C0A0505}">
      <dsp:nvSpPr>
        <dsp:cNvPr id="0" name=""/>
        <dsp:cNvSpPr/>
      </dsp:nvSpPr>
      <dsp:spPr>
        <a:xfrm>
          <a:off x="286295" y="21676"/>
          <a:ext cx="4008138" cy="51359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889000">
            <a:lnSpc>
              <a:spcPct val="90000"/>
            </a:lnSpc>
            <a:spcBef>
              <a:spcPct val="0"/>
            </a:spcBef>
            <a:spcAft>
              <a:spcPct val="35000"/>
            </a:spcAft>
          </a:pPr>
          <a:r>
            <a:rPr lang="en-AU" sz="2000" b="0" kern="1200"/>
            <a:t>Measure 1</a:t>
          </a:r>
        </a:p>
      </dsp:txBody>
      <dsp:txXfrm>
        <a:off x="311367" y="46748"/>
        <a:ext cx="3957994" cy="4634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69734-D150-4FC2-8B07-4976B8422134}">
      <dsp:nvSpPr>
        <dsp:cNvPr id="0" name=""/>
        <dsp:cNvSpPr/>
      </dsp:nvSpPr>
      <dsp:spPr>
        <a:xfrm>
          <a:off x="0" y="361918"/>
          <a:ext cx="5731510" cy="9261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291592" rIns="444829" bIns="85344" numCol="1" spcCol="1270" anchor="t" anchorCtr="0">
          <a:noAutofit/>
        </a:bodyPr>
        <a:lstStyle/>
        <a:p>
          <a:pPr marL="114300" lvl="1" indent="-114300" algn="l" defTabSz="533400">
            <a:lnSpc>
              <a:spcPct val="90000"/>
            </a:lnSpc>
            <a:spcBef>
              <a:spcPct val="0"/>
            </a:spcBef>
            <a:spcAft>
              <a:spcPct val="15000"/>
            </a:spcAft>
            <a:buChar char="••"/>
          </a:pPr>
          <a:r>
            <a:rPr lang="en-AU" sz="1200" b="1" kern="1200"/>
            <a:t>Measure 2(a). </a:t>
          </a:r>
          <a:r>
            <a:rPr lang="en-AU" sz="1200" kern="1200"/>
            <a:t>Pre-market notification of compliance with product standards</a:t>
          </a:r>
          <a:endParaRPr lang="en-AU" sz="1200" b="0" kern="1200"/>
        </a:p>
        <a:p>
          <a:pPr marL="114300" lvl="1" indent="-114300" algn="l" defTabSz="533400">
            <a:lnSpc>
              <a:spcPct val="90000"/>
            </a:lnSpc>
            <a:spcBef>
              <a:spcPct val="0"/>
            </a:spcBef>
            <a:spcAft>
              <a:spcPct val="15000"/>
            </a:spcAft>
            <a:buChar char="••"/>
          </a:pPr>
          <a:r>
            <a:rPr lang="en-AU" sz="1200" b="1" kern="1200"/>
            <a:t>Measure 2(b). </a:t>
          </a:r>
          <a:r>
            <a:rPr lang="en-AU" sz="1200" kern="1200"/>
            <a:t>Streamlined access under Special Access Scheme and Authorised Prescriber scheme</a:t>
          </a:r>
          <a:endParaRPr lang="en-AU" sz="1200" b="0" kern="1200"/>
        </a:p>
      </dsp:txBody>
      <dsp:txXfrm>
        <a:off x="0" y="361918"/>
        <a:ext cx="5731510" cy="926100"/>
      </dsp:txXfrm>
    </dsp:sp>
    <dsp:sp modelId="{93841D7B-3C60-458A-8DA5-B4AC0C0A0505}">
      <dsp:nvSpPr>
        <dsp:cNvPr id="0" name=""/>
        <dsp:cNvSpPr/>
      </dsp:nvSpPr>
      <dsp:spPr>
        <a:xfrm>
          <a:off x="263878" y="0"/>
          <a:ext cx="4008138" cy="56362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889000">
            <a:lnSpc>
              <a:spcPct val="90000"/>
            </a:lnSpc>
            <a:spcBef>
              <a:spcPct val="0"/>
            </a:spcBef>
            <a:spcAft>
              <a:spcPct val="35000"/>
            </a:spcAft>
          </a:pPr>
          <a:r>
            <a:rPr lang="en-AU" sz="2000" b="0" kern="1200"/>
            <a:t>Measure 2</a:t>
          </a:r>
        </a:p>
      </dsp:txBody>
      <dsp:txXfrm>
        <a:off x="291392" y="27514"/>
        <a:ext cx="3953110" cy="5085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69734-D150-4FC2-8B07-4976B8422134}">
      <dsp:nvSpPr>
        <dsp:cNvPr id="0" name=""/>
        <dsp:cNvSpPr/>
      </dsp:nvSpPr>
      <dsp:spPr>
        <a:xfrm>
          <a:off x="0" y="429181"/>
          <a:ext cx="5731510" cy="1404994"/>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166624" rIns="444829" bIns="85344" numCol="1" spcCol="1270" anchor="t" anchorCtr="0">
          <a:noAutofit/>
        </a:bodyPr>
        <a:lstStyle/>
        <a:p>
          <a:pPr marL="114300" lvl="1" indent="-114300" algn="l" defTabSz="533400">
            <a:lnSpc>
              <a:spcPct val="90000"/>
            </a:lnSpc>
            <a:spcBef>
              <a:spcPct val="0"/>
            </a:spcBef>
            <a:spcAft>
              <a:spcPct val="15000"/>
            </a:spcAft>
            <a:buChar char="••"/>
          </a:pPr>
          <a:r>
            <a:rPr lang="en-AU" sz="1200" b="1" kern="1200"/>
            <a:t>Measure 3(a). </a:t>
          </a:r>
          <a:r>
            <a:rPr lang="en-AU" sz="1200" kern="1200"/>
            <a:t>Heightened quality and safety standard for therapeutic vapes</a:t>
          </a:r>
          <a:endParaRPr lang="en-AU" sz="1200" b="0" kern="1200"/>
        </a:p>
        <a:p>
          <a:pPr marL="228600" lvl="2" indent="-114300" algn="l" defTabSz="533400">
            <a:lnSpc>
              <a:spcPct val="90000"/>
            </a:lnSpc>
            <a:spcBef>
              <a:spcPct val="0"/>
            </a:spcBef>
            <a:spcAft>
              <a:spcPct val="15000"/>
            </a:spcAft>
            <a:buFont typeface="+mj-lt"/>
            <a:buChar char="••"/>
          </a:pPr>
          <a:r>
            <a:rPr lang="en-AU" sz="1200" kern="1200"/>
            <a:t>Packaging and labelling changes</a:t>
          </a:r>
        </a:p>
        <a:p>
          <a:pPr marL="228600" lvl="2" indent="-114300" algn="l" defTabSz="533400">
            <a:lnSpc>
              <a:spcPct val="90000"/>
            </a:lnSpc>
            <a:spcBef>
              <a:spcPct val="0"/>
            </a:spcBef>
            <a:spcAft>
              <a:spcPct val="15000"/>
            </a:spcAft>
            <a:buFont typeface="+mj-lt"/>
            <a:buChar char="••"/>
          </a:pPr>
          <a:r>
            <a:rPr lang="en-AU" sz="1200" kern="1200"/>
            <a:t>Limiting flavours</a:t>
          </a:r>
        </a:p>
        <a:p>
          <a:pPr marL="228600" lvl="2" indent="-114300" algn="l" defTabSz="533400">
            <a:lnSpc>
              <a:spcPct val="90000"/>
            </a:lnSpc>
            <a:spcBef>
              <a:spcPct val="0"/>
            </a:spcBef>
            <a:spcAft>
              <a:spcPct val="15000"/>
            </a:spcAft>
            <a:buFont typeface="+mj-lt"/>
            <a:buChar char="••"/>
          </a:pPr>
          <a:r>
            <a:rPr lang="en-AU" sz="1200" kern="1200"/>
            <a:t>Lowering maximum nocotine concentration in e-liquids</a:t>
          </a:r>
        </a:p>
        <a:p>
          <a:pPr marL="228600" lvl="2" indent="-114300" algn="l" defTabSz="533400">
            <a:lnSpc>
              <a:spcPct val="90000"/>
            </a:lnSpc>
            <a:spcBef>
              <a:spcPct val="0"/>
            </a:spcBef>
            <a:spcAft>
              <a:spcPct val="15000"/>
            </a:spcAft>
            <a:buFont typeface="+mj-lt"/>
            <a:buChar char="••"/>
          </a:pPr>
          <a:r>
            <a:rPr lang="en-AU" sz="1200" kern="1200"/>
            <a:t>Other requirements for e-liquid components</a:t>
          </a:r>
        </a:p>
        <a:p>
          <a:pPr marL="114300" lvl="1" indent="-114300" algn="l" defTabSz="533400">
            <a:lnSpc>
              <a:spcPct val="90000"/>
            </a:lnSpc>
            <a:spcBef>
              <a:spcPct val="0"/>
            </a:spcBef>
            <a:spcAft>
              <a:spcPct val="15000"/>
            </a:spcAft>
            <a:buChar char="••"/>
          </a:pPr>
          <a:r>
            <a:rPr lang="en-AU" sz="1200" b="1" kern="1200"/>
            <a:t>Measure 3(b). </a:t>
          </a:r>
          <a:r>
            <a:rPr lang="en-AU" sz="1200" kern="1200"/>
            <a:t>Requirements for device compenents</a:t>
          </a:r>
          <a:endParaRPr lang="en-AU" sz="1200" b="0" kern="1200"/>
        </a:p>
      </dsp:txBody>
      <dsp:txXfrm>
        <a:off x="0" y="429181"/>
        <a:ext cx="5731510" cy="1404994"/>
      </dsp:txXfrm>
    </dsp:sp>
    <dsp:sp modelId="{93841D7B-3C60-458A-8DA5-B4AC0C0A0505}">
      <dsp:nvSpPr>
        <dsp:cNvPr id="0" name=""/>
        <dsp:cNvSpPr/>
      </dsp:nvSpPr>
      <dsp:spPr>
        <a:xfrm>
          <a:off x="263878" y="56854"/>
          <a:ext cx="4008138" cy="48617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889000">
            <a:lnSpc>
              <a:spcPct val="90000"/>
            </a:lnSpc>
            <a:spcBef>
              <a:spcPct val="0"/>
            </a:spcBef>
            <a:spcAft>
              <a:spcPct val="35000"/>
            </a:spcAft>
          </a:pPr>
          <a:r>
            <a:rPr lang="en-AU" sz="2000" b="0" kern="1200"/>
            <a:t>Measure 3</a:t>
          </a:r>
        </a:p>
      </dsp:txBody>
      <dsp:txXfrm>
        <a:off x="287611" y="80587"/>
        <a:ext cx="3960672" cy="4387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5CEDA-C9CB-4C42-B8C8-4605A1CBA739}">
      <dsp:nvSpPr>
        <dsp:cNvPr id="0" name=""/>
        <dsp:cNvSpPr/>
      </dsp:nvSpPr>
      <dsp:spPr>
        <a:xfrm>
          <a:off x="0" y="266834"/>
          <a:ext cx="5731510" cy="75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166624" rIns="444829" bIns="85344" numCol="1" spcCol="1270" anchor="t" anchorCtr="0">
          <a:noAutofit/>
        </a:bodyPr>
        <a:lstStyle/>
        <a:p>
          <a:pPr marL="114300" lvl="1" indent="-114300" algn="l" defTabSz="533400">
            <a:lnSpc>
              <a:spcPct val="90000"/>
            </a:lnSpc>
            <a:spcBef>
              <a:spcPct val="0"/>
            </a:spcBef>
            <a:spcAft>
              <a:spcPct val="15000"/>
            </a:spcAft>
            <a:buFont typeface="+mj-lt"/>
            <a:buChar char="••"/>
          </a:pPr>
          <a:r>
            <a:rPr lang="en-AU" sz="1200" b="1" kern="1200"/>
            <a:t>Ban non-therapeutic vapes and require therapeutic vapes to be registered on the Australian Register of Therapeutic Goods, and not available as ‘unapproved’ therapeutic goods </a:t>
          </a:r>
        </a:p>
      </dsp:txBody>
      <dsp:txXfrm>
        <a:off x="0" y="266834"/>
        <a:ext cx="5731510" cy="756000"/>
      </dsp:txXfrm>
    </dsp:sp>
    <dsp:sp modelId="{6A170F5A-5012-4B53-91FE-42A229ECACFA}">
      <dsp:nvSpPr>
        <dsp:cNvPr id="0" name=""/>
        <dsp:cNvSpPr/>
      </dsp:nvSpPr>
      <dsp:spPr>
        <a:xfrm>
          <a:off x="286295" y="24915"/>
          <a:ext cx="4008138" cy="3599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889000">
            <a:lnSpc>
              <a:spcPct val="90000"/>
            </a:lnSpc>
            <a:spcBef>
              <a:spcPct val="0"/>
            </a:spcBef>
            <a:spcAft>
              <a:spcPct val="35000"/>
            </a:spcAft>
          </a:pPr>
          <a:r>
            <a:rPr lang="en-AU" sz="2000" kern="1200"/>
            <a:t>Option 4 - Measure</a:t>
          </a:r>
        </a:p>
      </dsp:txBody>
      <dsp:txXfrm>
        <a:off x="303869" y="42489"/>
        <a:ext cx="3972990" cy="3248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5CEDA-C9CB-4C42-B8C8-4605A1CBA739}">
      <dsp:nvSpPr>
        <dsp:cNvPr id="0" name=""/>
        <dsp:cNvSpPr/>
      </dsp:nvSpPr>
      <dsp:spPr>
        <a:xfrm>
          <a:off x="0" y="499143"/>
          <a:ext cx="5731510" cy="164292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291592" rIns="444829" bIns="85344" numCol="1" spcCol="1270" anchor="t" anchorCtr="0">
          <a:noAutofit/>
        </a:bodyPr>
        <a:lstStyle/>
        <a:p>
          <a:pPr marL="114300" lvl="1" indent="-114300" algn="l" defTabSz="533400">
            <a:lnSpc>
              <a:spcPct val="90000"/>
            </a:lnSpc>
            <a:spcBef>
              <a:spcPct val="0"/>
            </a:spcBef>
            <a:spcAft>
              <a:spcPct val="15000"/>
            </a:spcAft>
            <a:buFont typeface="+mj-lt"/>
            <a:buChar char="••"/>
          </a:pPr>
          <a:r>
            <a:rPr lang="en-AU" sz="1200" b="1" kern="1200"/>
            <a:t>Measure 1. </a:t>
          </a:r>
          <a:r>
            <a:rPr lang="en-AU" sz="1200" b="0" kern="1200"/>
            <a:t>Restrictions on importation, manufacture and supply of all vapes.</a:t>
          </a:r>
        </a:p>
        <a:p>
          <a:pPr marL="114300" lvl="1" indent="-114300" algn="l" defTabSz="533400">
            <a:lnSpc>
              <a:spcPct val="90000"/>
            </a:lnSpc>
            <a:spcBef>
              <a:spcPct val="0"/>
            </a:spcBef>
            <a:spcAft>
              <a:spcPct val="15000"/>
            </a:spcAft>
            <a:buFont typeface="+mj-lt"/>
            <a:buChar char="••"/>
          </a:pPr>
          <a:r>
            <a:rPr lang="en-AU" sz="1200" b="1" kern="1200"/>
            <a:t>Measure 2. </a:t>
          </a:r>
          <a:r>
            <a:rPr lang="en-AU" sz="1200" b="0" kern="1200"/>
            <a:t>Changes to market accessibility requirements for therapeutic vapes.</a:t>
          </a:r>
        </a:p>
        <a:p>
          <a:pPr marL="114300" lvl="1" indent="-114300" algn="l" defTabSz="533400">
            <a:lnSpc>
              <a:spcPct val="90000"/>
            </a:lnSpc>
            <a:spcBef>
              <a:spcPct val="0"/>
            </a:spcBef>
            <a:spcAft>
              <a:spcPct val="15000"/>
            </a:spcAft>
            <a:buFont typeface="+mj-lt"/>
            <a:buChar char="••"/>
          </a:pPr>
          <a:r>
            <a:rPr lang="en-AU" sz="1200" b="1" kern="1200"/>
            <a:t>Measure 3. </a:t>
          </a:r>
          <a:r>
            <a:rPr lang="en-AU" sz="1200" kern="1200"/>
            <a:t>Heightened quality and safety standards for therapeutic vapes, including better regulation of device components.</a:t>
          </a:r>
          <a:endParaRPr lang="en-AU" sz="1200" b="0" kern="1200"/>
        </a:p>
        <a:p>
          <a:pPr marL="114300" lvl="1" indent="-114300" algn="l" defTabSz="533400">
            <a:lnSpc>
              <a:spcPct val="90000"/>
            </a:lnSpc>
            <a:spcBef>
              <a:spcPct val="0"/>
            </a:spcBef>
            <a:spcAft>
              <a:spcPct val="15000"/>
            </a:spcAft>
            <a:buFont typeface="+mj-lt"/>
            <a:buChar char="••"/>
          </a:pPr>
          <a:r>
            <a:rPr lang="en-AU" sz="1200" b="1" kern="1200"/>
            <a:t>Measure 4. </a:t>
          </a:r>
          <a:r>
            <a:rPr lang="en-AU" sz="1200" b="0" kern="1200"/>
            <a:t>Strengthening import and domestic compliance and enforcement mechanisms.</a:t>
          </a:r>
        </a:p>
      </dsp:txBody>
      <dsp:txXfrm>
        <a:off x="0" y="499143"/>
        <a:ext cx="5731510" cy="1642922"/>
      </dsp:txXfrm>
    </dsp:sp>
    <dsp:sp modelId="{6A170F5A-5012-4B53-91FE-42A229ECACFA}">
      <dsp:nvSpPr>
        <dsp:cNvPr id="0" name=""/>
        <dsp:cNvSpPr/>
      </dsp:nvSpPr>
      <dsp:spPr>
        <a:xfrm>
          <a:off x="305345" y="229658"/>
          <a:ext cx="4008138" cy="5546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889000">
            <a:lnSpc>
              <a:spcPct val="90000"/>
            </a:lnSpc>
            <a:spcBef>
              <a:spcPct val="0"/>
            </a:spcBef>
            <a:spcAft>
              <a:spcPct val="35000"/>
            </a:spcAft>
          </a:pPr>
          <a:r>
            <a:rPr lang="en-AU" sz="2000" kern="1200"/>
            <a:t>Option 3 - Measures</a:t>
          </a:r>
        </a:p>
      </dsp:txBody>
      <dsp:txXfrm>
        <a:off x="332421" y="256734"/>
        <a:ext cx="3953986" cy="5005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5CEDA-C9CB-4C42-B8C8-4605A1CBA739}">
      <dsp:nvSpPr>
        <dsp:cNvPr id="0" name=""/>
        <dsp:cNvSpPr/>
      </dsp:nvSpPr>
      <dsp:spPr>
        <a:xfrm>
          <a:off x="0" y="266834"/>
          <a:ext cx="5731510" cy="75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166624" rIns="444829" bIns="85344" numCol="1" spcCol="1270" anchor="t" anchorCtr="0">
          <a:noAutofit/>
        </a:bodyPr>
        <a:lstStyle/>
        <a:p>
          <a:pPr marL="114300" lvl="1" indent="-114300" algn="l" defTabSz="533400">
            <a:lnSpc>
              <a:spcPct val="90000"/>
            </a:lnSpc>
            <a:spcBef>
              <a:spcPct val="0"/>
            </a:spcBef>
            <a:spcAft>
              <a:spcPct val="15000"/>
            </a:spcAft>
            <a:buFont typeface="+mj-lt"/>
            <a:buChar char="••"/>
          </a:pPr>
          <a:r>
            <a:rPr lang="en-AU" sz="1200" b="1" kern="1200"/>
            <a:t>	Ban non-therapeutic vapes and require therapeutic vapes to be registered on the Australian Register of Therapeutic Goods, and not available as ‘unapproved’ therapeutic goods. </a:t>
          </a:r>
        </a:p>
      </dsp:txBody>
      <dsp:txXfrm>
        <a:off x="0" y="266834"/>
        <a:ext cx="5731510" cy="756000"/>
      </dsp:txXfrm>
    </dsp:sp>
    <dsp:sp modelId="{6A170F5A-5012-4B53-91FE-42A229ECACFA}">
      <dsp:nvSpPr>
        <dsp:cNvPr id="0" name=""/>
        <dsp:cNvSpPr/>
      </dsp:nvSpPr>
      <dsp:spPr>
        <a:xfrm>
          <a:off x="286295" y="24915"/>
          <a:ext cx="4008138" cy="3599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889000">
            <a:lnSpc>
              <a:spcPct val="90000"/>
            </a:lnSpc>
            <a:spcBef>
              <a:spcPct val="0"/>
            </a:spcBef>
            <a:spcAft>
              <a:spcPct val="35000"/>
            </a:spcAft>
          </a:pPr>
          <a:r>
            <a:rPr lang="en-AU" sz="2000" kern="1200"/>
            <a:t>Option 4 - Measure</a:t>
          </a:r>
        </a:p>
      </dsp:txBody>
      <dsp:txXfrm>
        <a:off x="303869" y="42489"/>
        <a:ext cx="3972990" cy="32485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136</Pages>
  <Words>57739</Words>
  <Characters>329114</Characters>
  <Application>Microsoft Office Word</Application>
  <DocSecurity>0</DocSecurity>
  <Lines>2742</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386081</CharactersWithSpaces>
  <SharedDoc>false</SharedDoc>
  <HLinks>
    <vt:vector size="1488" baseType="variant">
      <vt:variant>
        <vt:i4>3473445</vt:i4>
      </vt:variant>
      <vt:variant>
        <vt:i4>930</vt:i4>
      </vt:variant>
      <vt:variant>
        <vt:i4>0</vt:i4>
      </vt:variant>
      <vt:variant>
        <vt:i4>5</vt:i4>
      </vt:variant>
      <vt:variant>
        <vt:lpwstr>https://www.tga.gov.au/</vt:lpwstr>
      </vt:variant>
      <vt:variant>
        <vt:lpwstr/>
      </vt:variant>
      <vt:variant>
        <vt:i4>5242926</vt:i4>
      </vt:variant>
      <vt:variant>
        <vt:i4>927</vt:i4>
      </vt:variant>
      <vt:variant>
        <vt:i4>0</vt:i4>
      </vt:variant>
      <vt:variant>
        <vt:i4>5</vt:i4>
      </vt:variant>
      <vt:variant>
        <vt:lpwstr>mailto:info@tga.gov.au</vt:lpwstr>
      </vt:variant>
      <vt:variant>
        <vt:lpwstr/>
      </vt:variant>
      <vt:variant>
        <vt:i4>2818169</vt:i4>
      </vt:variant>
      <vt:variant>
        <vt:i4>924</vt:i4>
      </vt:variant>
      <vt:variant>
        <vt:i4>0</vt:i4>
      </vt:variant>
      <vt:variant>
        <vt:i4>5</vt:i4>
      </vt:variant>
      <vt:variant>
        <vt:lpwstr>https://www.gov.uk/guidance/licensing-procedure-for-electronic-cigarettes-as-medicines</vt:lpwstr>
      </vt:variant>
      <vt:variant>
        <vt:lpwstr/>
      </vt:variant>
      <vt:variant>
        <vt:i4>2818100</vt:i4>
      </vt:variant>
      <vt:variant>
        <vt:i4>921</vt:i4>
      </vt:variant>
      <vt:variant>
        <vt:i4>0</vt:i4>
      </vt:variant>
      <vt:variant>
        <vt:i4>5</vt:i4>
      </vt:variant>
      <vt:variant>
        <vt:lpwstr>https://www.en-standard.eu/pd-cen-ts-17287-2019-requirements-and-test-methods-for-electronic-cigarette-devices/</vt:lpwstr>
      </vt:variant>
      <vt:variant>
        <vt:lpwstr/>
      </vt:variant>
      <vt:variant>
        <vt:i4>5701724</vt:i4>
      </vt:variant>
      <vt:variant>
        <vt:i4>918</vt:i4>
      </vt:variant>
      <vt:variant>
        <vt:i4>0</vt:i4>
      </vt:variant>
      <vt:variant>
        <vt:i4>5</vt:i4>
      </vt:variant>
      <vt:variant>
        <vt:lpwstr>https://www.fda.gov/regulatory-information/search-fda-guidance-documents/premarket-tobacco-product-applications-electronic-nicotine-delivery-systems-ends</vt:lpwstr>
      </vt:variant>
      <vt:variant>
        <vt:lpwstr/>
      </vt:variant>
      <vt:variant>
        <vt:i4>2228261</vt:i4>
      </vt:variant>
      <vt:variant>
        <vt:i4>915</vt:i4>
      </vt:variant>
      <vt:variant>
        <vt:i4>0</vt:i4>
      </vt:variant>
      <vt:variant>
        <vt:i4>5</vt:i4>
      </vt:variant>
      <vt:variant>
        <vt:lpwstr>https://www.health.gov.au/ministers/the-hon-mark-butler-mp/media/ten-years-of-world-leading-reforms-and-reigniting-the-fight-against-tobacco-addiction</vt:lpwstr>
      </vt:variant>
      <vt:variant>
        <vt:lpwstr/>
      </vt:variant>
      <vt:variant>
        <vt:i4>3473459</vt:i4>
      </vt:variant>
      <vt:variant>
        <vt:i4>912</vt:i4>
      </vt:variant>
      <vt:variant>
        <vt:i4>0</vt:i4>
      </vt:variant>
      <vt:variant>
        <vt:i4>5</vt:i4>
      </vt:variant>
      <vt:variant>
        <vt:lpwstr>https://www.racgp.org.au/clinical-resources/clinical-guidelines/key-racgp-guidelines/view-all-racgp-guidelines/supporting-smoking-cessation</vt:lpwstr>
      </vt:variant>
      <vt:variant>
        <vt:lpwstr/>
      </vt:variant>
      <vt:variant>
        <vt:i4>3276850</vt:i4>
      </vt:variant>
      <vt:variant>
        <vt:i4>909</vt:i4>
      </vt:variant>
      <vt:variant>
        <vt:i4>0</vt:i4>
      </vt:variant>
      <vt:variant>
        <vt:i4>5</vt:i4>
      </vt:variant>
      <vt:variant>
        <vt:lpwstr/>
      </vt:variant>
      <vt:variant>
        <vt:lpwstr>_Public_consultations</vt:lpwstr>
      </vt:variant>
      <vt:variant>
        <vt:i4>4587610</vt:i4>
      </vt:variant>
      <vt:variant>
        <vt:i4>906</vt:i4>
      </vt:variant>
      <vt:variant>
        <vt:i4>0</vt:i4>
      </vt:variant>
      <vt:variant>
        <vt:i4>5</vt:i4>
      </vt:variant>
      <vt:variant>
        <vt:lpwstr>https://www.nhmrc.gov.au/health-advice/all-topics/electronic-cigarettes/ceo-statement</vt:lpwstr>
      </vt:variant>
      <vt:variant>
        <vt:lpwstr/>
      </vt:variant>
      <vt:variant>
        <vt:i4>4849682</vt:i4>
      </vt:variant>
      <vt:variant>
        <vt:i4>903</vt:i4>
      </vt:variant>
      <vt:variant>
        <vt:i4>0</vt:i4>
      </vt:variant>
      <vt:variant>
        <vt:i4>5</vt:i4>
      </vt:variant>
      <vt:variant>
        <vt:lpwstr>https://openresearch-repository.anu.edu.au/handle/1885/262914</vt:lpwstr>
      </vt:variant>
      <vt:variant>
        <vt:lpwstr/>
      </vt:variant>
      <vt:variant>
        <vt:i4>196692</vt:i4>
      </vt:variant>
      <vt:variant>
        <vt:i4>900</vt:i4>
      </vt:variant>
      <vt:variant>
        <vt:i4>0</vt:i4>
      </vt:variant>
      <vt:variant>
        <vt:i4>5</vt:i4>
      </vt:variant>
      <vt:variant>
        <vt:lpwstr>https://health.ec.europa.eu/system/files/2022-08/scheer_o_017.pdf</vt:lpwstr>
      </vt:variant>
      <vt:variant>
        <vt:lpwstr/>
      </vt:variant>
      <vt:variant>
        <vt:i4>3407965</vt:i4>
      </vt:variant>
      <vt:variant>
        <vt:i4>897</vt:i4>
      </vt:variant>
      <vt:variant>
        <vt:i4>0</vt:i4>
      </vt:variant>
      <vt:variant>
        <vt:i4>5</vt:i4>
      </vt:variant>
      <vt:variant>
        <vt:lpwstr>https://www.hrb.ie/fileadmin/2._Plugin_related_files/Publications/2020_publication-related_files/2020_HIE/Evidence_Centre/Harms_and_benefits_of_e-cigarettes_and_heat-not-burn_tobacco_products_Literature_map.pdf</vt:lpwstr>
      </vt:variant>
      <vt:variant>
        <vt:lpwstr/>
      </vt:variant>
      <vt:variant>
        <vt:i4>3997748</vt:i4>
      </vt:variant>
      <vt:variant>
        <vt:i4>894</vt:i4>
      </vt:variant>
      <vt:variant>
        <vt:i4>0</vt:i4>
      </vt:variant>
      <vt:variant>
        <vt:i4>5</vt:i4>
      </vt:variant>
      <vt:variant>
        <vt:lpwstr>https://www.hrb.ie/fileadmin/2._Plugin_related_files/Publications/2020_publication-related_files/2020_HIE/Evidence_Centre/Electronic_cigarettes_and_smoking_cessation_systematic_evidence_review.pdf</vt:lpwstr>
      </vt:variant>
      <vt:variant>
        <vt:lpwstr/>
      </vt:variant>
      <vt:variant>
        <vt:i4>4390989</vt:i4>
      </vt:variant>
      <vt:variant>
        <vt:i4>891</vt:i4>
      </vt:variant>
      <vt:variant>
        <vt:i4>0</vt:i4>
      </vt:variant>
      <vt:variant>
        <vt:i4>5</vt:i4>
      </vt:variant>
      <vt:variant>
        <vt:lpwstr>https://www.hrb.ie/fileadmin/2._Plugin_related_files/Publications/2020_publication-related_files/2020_HIE/Evidence_Centre/Electronic_cigarette_use_and_tobacco_cigarette_smoking_initiation_in_adolescents.pdf</vt:lpwstr>
      </vt:variant>
      <vt:variant>
        <vt:lpwstr/>
      </vt:variant>
      <vt:variant>
        <vt:i4>4522110</vt:i4>
      </vt:variant>
      <vt:variant>
        <vt:i4>888</vt:i4>
      </vt:variant>
      <vt:variant>
        <vt:i4>0</vt:i4>
      </vt:variant>
      <vt:variant>
        <vt:i4>5</vt:i4>
      </vt:variant>
      <vt:variant>
        <vt:lpwstr/>
      </vt:variant>
      <vt:variant>
        <vt:lpwstr>_Retail__landscape</vt:lpwstr>
      </vt:variant>
      <vt:variant>
        <vt:i4>4522110</vt:i4>
      </vt:variant>
      <vt:variant>
        <vt:i4>885</vt:i4>
      </vt:variant>
      <vt:variant>
        <vt:i4>0</vt:i4>
      </vt:variant>
      <vt:variant>
        <vt:i4>5</vt:i4>
      </vt:variant>
      <vt:variant>
        <vt:lpwstr/>
      </vt:variant>
      <vt:variant>
        <vt:lpwstr>_Retail__landscape</vt:lpwstr>
      </vt:variant>
      <vt:variant>
        <vt:i4>3604491</vt:i4>
      </vt:variant>
      <vt:variant>
        <vt:i4>882</vt:i4>
      </vt:variant>
      <vt:variant>
        <vt:i4>0</vt:i4>
      </vt:variant>
      <vt:variant>
        <vt:i4>5</vt:i4>
      </vt:variant>
      <vt:variant>
        <vt:lpwstr>https://www.legislation.wa.gov.au/legislation/statutes.nsf/law_a143206.html</vt:lpwstr>
      </vt:variant>
      <vt:variant>
        <vt:lpwstr/>
      </vt:variant>
      <vt:variant>
        <vt:i4>3801133</vt:i4>
      </vt:variant>
      <vt:variant>
        <vt:i4>879</vt:i4>
      </vt:variant>
      <vt:variant>
        <vt:i4>0</vt:i4>
      </vt:variant>
      <vt:variant>
        <vt:i4>5</vt:i4>
      </vt:variant>
      <vt:variant>
        <vt:lpwstr>https://www.tga.gov.au/products/unapproved-therapeutic-goods/prescribe-unapproved-therapeutic-good-health-practitioners/unapproved-products-individual-patients-special-access-scheme</vt:lpwstr>
      </vt:variant>
      <vt:variant>
        <vt:lpwstr>application-pathway-category-b</vt:lpwstr>
      </vt:variant>
      <vt:variant>
        <vt:i4>8323120</vt:i4>
      </vt:variant>
      <vt:variant>
        <vt:i4>876</vt:i4>
      </vt:variant>
      <vt:variant>
        <vt:i4>0</vt:i4>
      </vt:variant>
      <vt:variant>
        <vt:i4>5</vt:i4>
      </vt:variant>
      <vt:variant>
        <vt:lpwstr>https://www.tga.gov.au/form/authorised-prescribers</vt:lpwstr>
      </vt:variant>
      <vt:variant>
        <vt:lpwstr/>
      </vt:variant>
      <vt:variant>
        <vt:i4>3604581</vt:i4>
      </vt:variant>
      <vt:variant>
        <vt:i4>873</vt:i4>
      </vt:variant>
      <vt:variant>
        <vt:i4>0</vt:i4>
      </vt:variant>
      <vt:variant>
        <vt:i4>5</vt:i4>
      </vt:variant>
      <vt:variant>
        <vt:lpwstr>https://www.tga.gov.au/personal-importation-scheme</vt:lpwstr>
      </vt:variant>
      <vt:variant>
        <vt:lpwstr/>
      </vt:variant>
      <vt:variant>
        <vt:i4>7602211</vt:i4>
      </vt:variant>
      <vt:variant>
        <vt:i4>870</vt:i4>
      </vt:variant>
      <vt:variant>
        <vt:i4>0</vt:i4>
      </vt:variant>
      <vt:variant>
        <vt:i4>5</vt:i4>
      </vt:variant>
      <vt:variant>
        <vt:lpwstr>https://www.legislation.gov.au/Details/F2021L00595</vt:lpwstr>
      </vt:variant>
      <vt:variant>
        <vt:lpwstr/>
      </vt:variant>
      <vt:variant>
        <vt:i4>1310772</vt:i4>
      </vt:variant>
      <vt:variant>
        <vt:i4>863</vt:i4>
      </vt:variant>
      <vt:variant>
        <vt:i4>0</vt:i4>
      </vt:variant>
      <vt:variant>
        <vt:i4>5</vt:i4>
      </vt:variant>
      <vt:variant>
        <vt:lpwstr/>
      </vt:variant>
      <vt:variant>
        <vt:lpwstr>_Toc147759798</vt:lpwstr>
      </vt:variant>
      <vt:variant>
        <vt:i4>1310772</vt:i4>
      </vt:variant>
      <vt:variant>
        <vt:i4>857</vt:i4>
      </vt:variant>
      <vt:variant>
        <vt:i4>0</vt:i4>
      </vt:variant>
      <vt:variant>
        <vt:i4>5</vt:i4>
      </vt:variant>
      <vt:variant>
        <vt:lpwstr/>
      </vt:variant>
      <vt:variant>
        <vt:lpwstr>_Toc147759797</vt:lpwstr>
      </vt:variant>
      <vt:variant>
        <vt:i4>1310772</vt:i4>
      </vt:variant>
      <vt:variant>
        <vt:i4>851</vt:i4>
      </vt:variant>
      <vt:variant>
        <vt:i4>0</vt:i4>
      </vt:variant>
      <vt:variant>
        <vt:i4>5</vt:i4>
      </vt:variant>
      <vt:variant>
        <vt:lpwstr/>
      </vt:variant>
      <vt:variant>
        <vt:lpwstr>_Toc147759796</vt:lpwstr>
      </vt:variant>
      <vt:variant>
        <vt:i4>1310772</vt:i4>
      </vt:variant>
      <vt:variant>
        <vt:i4>845</vt:i4>
      </vt:variant>
      <vt:variant>
        <vt:i4>0</vt:i4>
      </vt:variant>
      <vt:variant>
        <vt:i4>5</vt:i4>
      </vt:variant>
      <vt:variant>
        <vt:lpwstr/>
      </vt:variant>
      <vt:variant>
        <vt:lpwstr>_Toc147759795</vt:lpwstr>
      </vt:variant>
      <vt:variant>
        <vt:i4>1310772</vt:i4>
      </vt:variant>
      <vt:variant>
        <vt:i4>839</vt:i4>
      </vt:variant>
      <vt:variant>
        <vt:i4>0</vt:i4>
      </vt:variant>
      <vt:variant>
        <vt:i4>5</vt:i4>
      </vt:variant>
      <vt:variant>
        <vt:lpwstr/>
      </vt:variant>
      <vt:variant>
        <vt:lpwstr>_Toc147759794</vt:lpwstr>
      </vt:variant>
      <vt:variant>
        <vt:i4>1310772</vt:i4>
      </vt:variant>
      <vt:variant>
        <vt:i4>833</vt:i4>
      </vt:variant>
      <vt:variant>
        <vt:i4>0</vt:i4>
      </vt:variant>
      <vt:variant>
        <vt:i4>5</vt:i4>
      </vt:variant>
      <vt:variant>
        <vt:lpwstr/>
      </vt:variant>
      <vt:variant>
        <vt:lpwstr>_Toc147759793</vt:lpwstr>
      </vt:variant>
      <vt:variant>
        <vt:i4>1310772</vt:i4>
      </vt:variant>
      <vt:variant>
        <vt:i4>827</vt:i4>
      </vt:variant>
      <vt:variant>
        <vt:i4>0</vt:i4>
      </vt:variant>
      <vt:variant>
        <vt:i4>5</vt:i4>
      </vt:variant>
      <vt:variant>
        <vt:lpwstr/>
      </vt:variant>
      <vt:variant>
        <vt:lpwstr>_Toc147759792</vt:lpwstr>
      </vt:variant>
      <vt:variant>
        <vt:i4>1310772</vt:i4>
      </vt:variant>
      <vt:variant>
        <vt:i4>821</vt:i4>
      </vt:variant>
      <vt:variant>
        <vt:i4>0</vt:i4>
      </vt:variant>
      <vt:variant>
        <vt:i4>5</vt:i4>
      </vt:variant>
      <vt:variant>
        <vt:lpwstr/>
      </vt:variant>
      <vt:variant>
        <vt:lpwstr>_Toc147759791</vt:lpwstr>
      </vt:variant>
      <vt:variant>
        <vt:i4>1310772</vt:i4>
      </vt:variant>
      <vt:variant>
        <vt:i4>812</vt:i4>
      </vt:variant>
      <vt:variant>
        <vt:i4>0</vt:i4>
      </vt:variant>
      <vt:variant>
        <vt:i4>5</vt:i4>
      </vt:variant>
      <vt:variant>
        <vt:lpwstr/>
      </vt:variant>
      <vt:variant>
        <vt:lpwstr>_Toc147759790</vt:lpwstr>
      </vt:variant>
      <vt:variant>
        <vt:i4>1376308</vt:i4>
      </vt:variant>
      <vt:variant>
        <vt:i4>806</vt:i4>
      </vt:variant>
      <vt:variant>
        <vt:i4>0</vt:i4>
      </vt:variant>
      <vt:variant>
        <vt:i4>5</vt:i4>
      </vt:variant>
      <vt:variant>
        <vt:lpwstr/>
      </vt:variant>
      <vt:variant>
        <vt:lpwstr>_Toc147759789</vt:lpwstr>
      </vt:variant>
      <vt:variant>
        <vt:i4>1376308</vt:i4>
      </vt:variant>
      <vt:variant>
        <vt:i4>800</vt:i4>
      </vt:variant>
      <vt:variant>
        <vt:i4>0</vt:i4>
      </vt:variant>
      <vt:variant>
        <vt:i4>5</vt:i4>
      </vt:variant>
      <vt:variant>
        <vt:lpwstr/>
      </vt:variant>
      <vt:variant>
        <vt:lpwstr>_Toc147759788</vt:lpwstr>
      </vt:variant>
      <vt:variant>
        <vt:i4>1376308</vt:i4>
      </vt:variant>
      <vt:variant>
        <vt:i4>794</vt:i4>
      </vt:variant>
      <vt:variant>
        <vt:i4>0</vt:i4>
      </vt:variant>
      <vt:variant>
        <vt:i4>5</vt:i4>
      </vt:variant>
      <vt:variant>
        <vt:lpwstr/>
      </vt:variant>
      <vt:variant>
        <vt:lpwstr>_Toc147759787</vt:lpwstr>
      </vt:variant>
      <vt:variant>
        <vt:i4>1703987</vt:i4>
      </vt:variant>
      <vt:variant>
        <vt:i4>785</vt:i4>
      </vt:variant>
      <vt:variant>
        <vt:i4>0</vt:i4>
      </vt:variant>
      <vt:variant>
        <vt:i4>5</vt:i4>
      </vt:variant>
      <vt:variant>
        <vt:lpwstr/>
      </vt:variant>
      <vt:variant>
        <vt:lpwstr>_Toc147767393</vt:lpwstr>
      </vt:variant>
      <vt:variant>
        <vt:i4>1703987</vt:i4>
      </vt:variant>
      <vt:variant>
        <vt:i4>779</vt:i4>
      </vt:variant>
      <vt:variant>
        <vt:i4>0</vt:i4>
      </vt:variant>
      <vt:variant>
        <vt:i4>5</vt:i4>
      </vt:variant>
      <vt:variant>
        <vt:lpwstr/>
      </vt:variant>
      <vt:variant>
        <vt:lpwstr>_Toc147767392</vt:lpwstr>
      </vt:variant>
      <vt:variant>
        <vt:i4>1703987</vt:i4>
      </vt:variant>
      <vt:variant>
        <vt:i4>773</vt:i4>
      </vt:variant>
      <vt:variant>
        <vt:i4>0</vt:i4>
      </vt:variant>
      <vt:variant>
        <vt:i4>5</vt:i4>
      </vt:variant>
      <vt:variant>
        <vt:lpwstr/>
      </vt:variant>
      <vt:variant>
        <vt:lpwstr>_Toc147767391</vt:lpwstr>
      </vt:variant>
      <vt:variant>
        <vt:i4>1703987</vt:i4>
      </vt:variant>
      <vt:variant>
        <vt:i4>767</vt:i4>
      </vt:variant>
      <vt:variant>
        <vt:i4>0</vt:i4>
      </vt:variant>
      <vt:variant>
        <vt:i4>5</vt:i4>
      </vt:variant>
      <vt:variant>
        <vt:lpwstr/>
      </vt:variant>
      <vt:variant>
        <vt:lpwstr>_Toc147767390</vt:lpwstr>
      </vt:variant>
      <vt:variant>
        <vt:i4>1769523</vt:i4>
      </vt:variant>
      <vt:variant>
        <vt:i4>761</vt:i4>
      </vt:variant>
      <vt:variant>
        <vt:i4>0</vt:i4>
      </vt:variant>
      <vt:variant>
        <vt:i4>5</vt:i4>
      </vt:variant>
      <vt:variant>
        <vt:lpwstr/>
      </vt:variant>
      <vt:variant>
        <vt:lpwstr>_Toc147767389</vt:lpwstr>
      </vt:variant>
      <vt:variant>
        <vt:i4>1769523</vt:i4>
      </vt:variant>
      <vt:variant>
        <vt:i4>755</vt:i4>
      </vt:variant>
      <vt:variant>
        <vt:i4>0</vt:i4>
      </vt:variant>
      <vt:variant>
        <vt:i4>5</vt:i4>
      </vt:variant>
      <vt:variant>
        <vt:lpwstr/>
      </vt:variant>
      <vt:variant>
        <vt:lpwstr>_Toc147767388</vt:lpwstr>
      </vt:variant>
      <vt:variant>
        <vt:i4>1769523</vt:i4>
      </vt:variant>
      <vt:variant>
        <vt:i4>749</vt:i4>
      </vt:variant>
      <vt:variant>
        <vt:i4>0</vt:i4>
      </vt:variant>
      <vt:variant>
        <vt:i4>5</vt:i4>
      </vt:variant>
      <vt:variant>
        <vt:lpwstr/>
      </vt:variant>
      <vt:variant>
        <vt:lpwstr>_Toc147767387</vt:lpwstr>
      </vt:variant>
      <vt:variant>
        <vt:i4>1769523</vt:i4>
      </vt:variant>
      <vt:variant>
        <vt:i4>743</vt:i4>
      </vt:variant>
      <vt:variant>
        <vt:i4>0</vt:i4>
      </vt:variant>
      <vt:variant>
        <vt:i4>5</vt:i4>
      </vt:variant>
      <vt:variant>
        <vt:lpwstr/>
      </vt:variant>
      <vt:variant>
        <vt:lpwstr>_Toc147767386</vt:lpwstr>
      </vt:variant>
      <vt:variant>
        <vt:i4>1769523</vt:i4>
      </vt:variant>
      <vt:variant>
        <vt:i4>737</vt:i4>
      </vt:variant>
      <vt:variant>
        <vt:i4>0</vt:i4>
      </vt:variant>
      <vt:variant>
        <vt:i4>5</vt:i4>
      </vt:variant>
      <vt:variant>
        <vt:lpwstr/>
      </vt:variant>
      <vt:variant>
        <vt:lpwstr>_Toc147767385</vt:lpwstr>
      </vt:variant>
      <vt:variant>
        <vt:i4>1769523</vt:i4>
      </vt:variant>
      <vt:variant>
        <vt:i4>731</vt:i4>
      </vt:variant>
      <vt:variant>
        <vt:i4>0</vt:i4>
      </vt:variant>
      <vt:variant>
        <vt:i4>5</vt:i4>
      </vt:variant>
      <vt:variant>
        <vt:lpwstr/>
      </vt:variant>
      <vt:variant>
        <vt:lpwstr>_Toc147767384</vt:lpwstr>
      </vt:variant>
      <vt:variant>
        <vt:i4>1769523</vt:i4>
      </vt:variant>
      <vt:variant>
        <vt:i4>725</vt:i4>
      </vt:variant>
      <vt:variant>
        <vt:i4>0</vt:i4>
      </vt:variant>
      <vt:variant>
        <vt:i4>5</vt:i4>
      </vt:variant>
      <vt:variant>
        <vt:lpwstr/>
      </vt:variant>
      <vt:variant>
        <vt:lpwstr>_Toc147767383</vt:lpwstr>
      </vt:variant>
      <vt:variant>
        <vt:i4>1769523</vt:i4>
      </vt:variant>
      <vt:variant>
        <vt:i4>719</vt:i4>
      </vt:variant>
      <vt:variant>
        <vt:i4>0</vt:i4>
      </vt:variant>
      <vt:variant>
        <vt:i4>5</vt:i4>
      </vt:variant>
      <vt:variant>
        <vt:lpwstr/>
      </vt:variant>
      <vt:variant>
        <vt:lpwstr>_Toc147767382</vt:lpwstr>
      </vt:variant>
      <vt:variant>
        <vt:i4>1769523</vt:i4>
      </vt:variant>
      <vt:variant>
        <vt:i4>713</vt:i4>
      </vt:variant>
      <vt:variant>
        <vt:i4>0</vt:i4>
      </vt:variant>
      <vt:variant>
        <vt:i4>5</vt:i4>
      </vt:variant>
      <vt:variant>
        <vt:lpwstr/>
      </vt:variant>
      <vt:variant>
        <vt:lpwstr>_Toc147767381</vt:lpwstr>
      </vt:variant>
      <vt:variant>
        <vt:i4>1769523</vt:i4>
      </vt:variant>
      <vt:variant>
        <vt:i4>707</vt:i4>
      </vt:variant>
      <vt:variant>
        <vt:i4>0</vt:i4>
      </vt:variant>
      <vt:variant>
        <vt:i4>5</vt:i4>
      </vt:variant>
      <vt:variant>
        <vt:lpwstr/>
      </vt:variant>
      <vt:variant>
        <vt:lpwstr>_Toc147767380</vt:lpwstr>
      </vt:variant>
      <vt:variant>
        <vt:i4>1310771</vt:i4>
      </vt:variant>
      <vt:variant>
        <vt:i4>701</vt:i4>
      </vt:variant>
      <vt:variant>
        <vt:i4>0</vt:i4>
      </vt:variant>
      <vt:variant>
        <vt:i4>5</vt:i4>
      </vt:variant>
      <vt:variant>
        <vt:lpwstr/>
      </vt:variant>
      <vt:variant>
        <vt:lpwstr>_Toc147767379</vt:lpwstr>
      </vt:variant>
      <vt:variant>
        <vt:i4>1310771</vt:i4>
      </vt:variant>
      <vt:variant>
        <vt:i4>695</vt:i4>
      </vt:variant>
      <vt:variant>
        <vt:i4>0</vt:i4>
      </vt:variant>
      <vt:variant>
        <vt:i4>5</vt:i4>
      </vt:variant>
      <vt:variant>
        <vt:lpwstr/>
      </vt:variant>
      <vt:variant>
        <vt:lpwstr>_Toc147767378</vt:lpwstr>
      </vt:variant>
      <vt:variant>
        <vt:i4>1310771</vt:i4>
      </vt:variant>
      <vt:variant>
        <vt:i4>689</vt:i4>
      </vt:variant>
      <vt:variant>
        <vt:i4>0</vt:i4>
      </vt:variant>
      <vt:variant>
        <vt:i4>5</vt:i4>
      </vt:variant>
      <vt:variant>
        <vt:lpwstr/>
      </vt:variant>
      <vt:variant>
        <vt:lpwstr>_Toc147767377</vt:lpwstr>
      </vt:variant>
      <vt:variant>
        <vt:i4>1310771</vt:i4>
      </vt:variant>
      <vt:variant>
        <vt:i4>683</vt:i4>
      </vt:variant>
      <vt:variant>
        <vt:i4>0</vt:i4>
      </vt:variant>
      <vt:variant>
        <vt:i4>5</vt:i4>
      </vt:variant>
      <vt:variant>
        <vt:lpwstr/>
      </vt:variant>
      <vt:variant>
        <vt:lpwstr>_Toc147767376</vt:lpwstr>
      </vt:variant>
      <vt:variant>
        <vt:i4>1310771</vt:i4>
      </vt:variant>
      <vt:variant>
        <vt:i4>677</vt:i4>
      </vt:variant>
      <vt:variant>
        <vt:i4>0</vt:i4>
      </vt:variant>
      <vt:variant>
        <vt:i4>5</vt:i4>
      </vt:variant>
      <vt:variant>
        <vt:lpwstr/>
      </vt:variant>
      <vt:variant>
        <vt:lpwstr>_Toc147767375</vt:lpwstr>
      </vt:variant>
      <vt:variant>
        <vt:i4>1310771</vt:i4>
      </vt:variant>
      <vt:variant>
        <vt:i4>671</vt:i4>
      </vt:variant>
      <vt:variant>
        <vt:i4>0</vt:i4>
      </vt:variant>
      <vt:variant>
        <vt:i4>5</vt:i4>
      </vt:variant>
      <vt:variant>
        <vt:lpwstr/>
      </vt:variant>
      <vt:variant>
        <vt:lpwstr>_Toc147767374</vt:lpwstr>
      </vt:variant>
      <vt:variant>
        <vt:i4>1310771</vt:i4>
      </vt:variant>
      <vt:variant>
        <vt:i4>665</vt:i4>
      </vt:variant>
      <vt:variant>
        <vt:i4>0</vt:i4>
      </vt:variant>
      <vt:variant>
        <vt:i4>5</vt:i4>
      </vt:variant>
      <vt:variant>
        <vt:lpwstr/>
      </vt:variant>
      <vt:variant>
        <vt:lpwstr>_Toc147767373</vt:lpwstr>
      </vt:variant>
      <vt:variant>
        <vt:i4>1310771</vt:i4>
      </vt:variant>
      <vt:variant>
        <vt:i4>659</vt:i4>
      </vt:variant>
      <vt:variant>
        <vt:i4>0</vt:i4>
      </vt:variant>
      <vt:variant>
        <vt:i4>5</vt:i4>
      </vt:variant>
      <vt:variant>
        <vt:lpwstr/>
      </vt:variant>
      <vt:variant>
        <vt:lpwstr>_Toc147767372</vt:lpwstr>
      </vt:variant>
      <vt:variant>
        <vt:i4>1310771</vt:i4>
      </vt:variant>
      <vt:variant>
        <vt:i4>653</vt:i4>
      </vt:variant>
      <vt:variant>
        <vt:i4>0</vt:i4>
      </vt:variant>
      <vt:variant>
        <vt:i4>5</vt:i4>
      </vt:variant>
      <vt:variant>
        <vt:lpwstr/>
      </vt:variant>
      <vt:variant>
        <vt:lpwstr>_Toc147767371</vt:lpwstr>
      </vt:variant>
      <vt:variant>
        <vt:i4>1310771</vt:i4>
      </vt:variant>
      <vt:variant>
        <vt:i4>647</vt:i4>
      </vt:variant>
      <vt:variant>
        <vt:i4>0</vt:i4>
      </vt:variant>
      <vt:variant>
        <vt:i4>5</vt:i4>
      </vt:variant>
      <vt:variant>
        <vt:lpwstr/>
      </vt:variant>
      <vt:variant>
        <vt:lpwstr>_Toc147767370</vt:lpwstr>
      </vt:variant>
      <vt:variant>
        <vt:i4>1376307</vt:i4>
      </vt:variant>
      <vt:variant>
        <vt:i4>641</vt:i4>
      </vt:variant>
      <vt:variant>
        <vt:i4>0</vt:i4>
      </vt:variant>
      <vt:variant>
        <vt:i4>5</vt:i4>
      </vt:variant>
      <vt:variant>
        <vt:lpwstr/>
      </vt:variant>
      <vt:variant>
        <vt:lpwstr>_Toc147767369</vt:lpwstr>
      </vt:variant>
      <vt:variant>
        <vt:i4>1376307</vt:i4>
      </vt:variant>
      <vt:variant>
        <vt:i4>635</vt:i4>
      </vt:variant>
      <vt:variant>
        <vt:i4>0</vt:i4>
      </vt:variant>
      <vt:variant>
        <vt:i4>5</vt:i4>
      </vt:variant>
      <vt:variant>
        <vt:lpwstr/>
      </vt:variant>
      <vt:variant>
        <vt:lpwstr>_Toc147767368</vt:lpwstr>
      </vt:variant>
      <vt:variant>
        <vt:i4>1376307</vt:i4>
      </vt:variant>
      <vt:variant>
        <vt:i4>629</vt:i4>
      </vt:variant>
      <vt:variant>
        <vt:i4>0</vt:i4>
      </vt:variant>
      <vt:variant>
        <vt:i4>5</vt:i4>
      </vt:variant>
      <vt:variant>
        <vt:lpwstr/>
      </vt:variant>
      <vt:variant>
        <vt:lpwstr>_Toc147767367</vt:lpwstr>
      </vt:variant>
      <vt:variant>
        <vt:i4>1376307</vt:i4>
      </vt:variant>
      <vt:variant>
        <vt:i4>623</vt:i4>
      </vt:variant>
      <vt:variant>
        <vt:i4>0</vt:i4>
      </vt:variant>
      <vt:variant>
        <vt:i4>5</vt:i4>
      </vt:variant>
      <vt:variant>
        <vt:lpwstr/>
      </vt:variant>
      <vt:variant>
        <vt:lpwstr>_Toc147767366</vt:lpwstr>
      </vt:variant>
      <vt:variant>
        <vt:i4>1376307</vt:i4>
      </vt:variant>
      <vt:variant>
        <vt:i4>617</vt:i4>
      </vt:variant>
      <vt:variant>
        <vt:i4>0</vt:i4>
      </vt:variant>
      <vt:variant>
        <vt:i4>5</vt:i4>
      </vt:variant>
      <vt:variant>
        <vt:lpwstr/>
      </vt:variant>
      <vt:variant>
        <vt:lpwstr>_Toc147767365</vt:lpwstr>
      </vt:variant>
      <vt:variant>
        <vt:i4>1376307</vt:i4>
      </vt:variant>
      <vt:variant>
        <vt:i4>611</vt:i4>
      </vt:variant>
      <vt:variant>
        <vt:i4>0</vt:i4>
      </vt:variant>
      <vt:variant>
        <vt:i4>5</vt:i4>
      </vt:variant>
      <vt:variant>
        <vt:lpwstr/>
      </vt:variant>
      <vt:variant>
        <vt:lpwstr>_Toc147767364</vt:lpwstr>
      </vt:variant>
      <vt:variant>
        <vt:i4>1376307</vt:i4>
      </vt:variant>
      <vt:variant>
        <vt:i4>605</vt:i4>
      </vt:variant>
      <vt:variant>
        <vt:i4>0</vt:i4>
      </vt:variant>
      <vt:variant>
        <vt:i4>5</vt:i4>
      </vt:variant>
      <vt:variant>
        <vt:lpwstr/>
      </vt:variant>
      <vt:variant>
        <vt:lpwstr>_Toc147767363</vt:lpwstr>
      </vt:variant>
      <vt:variant>
        <vt:i4>1376307</vt:i4>
      </vt:variant>
      <vt:variant>
        <vt:i4>599</vt:i4>
      </vt:variant>
      <vt:variant>
        <vt:i4>0</vt:i4>
      </vt:variant>
      <vt:variant>
        <vt:i4>5</vt:i4>
      </vt:variant>
      <vt:variant>
        <vt:lpwstr/>
      </vt:variant>
      <vt:variant>
        <vt:lpwstr>_Toc147767362</vt:lpwstr>
      </vt:variant>
      <vt:variant>
        <vt:i4>1376307</vt:i4>
      </vt:variant>
      <vt:variant>
        <vt:i4>593</vt:i4>
      </vt:variant>
      <vt:variant>
        <vt:i4>0</vt:i4>
      </vt:variant>
      <vt:variant>
        <vt:i4>5</vt:i4>
      </vt:variant>
      <vt:variant>
        <vt:lpwstr/>
      </vt:variant>
      <vt:variant>
        <vt:lpwstr>_Toc147767361</vt:lpwstr>
      </vt:variant>
      <vt:variant>
        <vt:i4>1376307</vt:i4>
      </vt:variant>
      <vt:variant>
        <vt:i4>587</vt:i4>
      </vt:variant>
      <vt:variant>
        <vt:i4>0</vt:i4>
      </vt:variant>
      <vt:variant>
        <vt:i4>5</vt:i4>
      </vt:variant>
      <vt:variant>
        <vt:lpwstr/>
      </vt:variant>
      <vt:variant>
        <vt:lpwstr>_Toc147767360</vt:lpwstr>
      </vt:variant>
      <vt:variant>
        <vt:i4>1441843</vt:i4>
      </vt:variant>
      <vt:variant>
        <vt:i4>581</vt:i4>
      </vt:variant>
      <vt:variant>
        <vt:i4>0</vt:i4>
      </vt:variant>
      <vt:variant>
        <vt:i4>5</vt:i4>
      </vt:variant>
      <vt:variant>
        <vt:lpwstr/>
      </vt:variant>
      <vt:variant>
        <vt:lpwstr>_Toc147767359</vt:lpwstr>
      </vt:variant>
      <vt:variant>
        <vt:i4>1441843</vt:i4>
      </vt:variant>
      <vt:variant>
        <vt:i4>575</vt:i4>
      </vt:variant>
      <vt:variant>
        <vt:i4>0</vt:i4>
      </vt:variant>
      <vt:variant>
        <vt:i4>5</vt:i4>
      </vt:variant>
      <vt:variant>
        <vt:lpwstr/>
      </vt:variant>
      <vt:variant>
        <vt:lpwstr>_Toc147767358</vt:lpwstr>
      </vt:variant>
      <vt:variant>
        <vt:i4>1441843</vt:i4>
      </vt:variant>
      <vt:variant>
        <vt:i4>569</vt:i4>
      </vt:variant>
      <vt:variant>
        <vt:i4>0</vt:i4>
      </vt:variant>
      <vt:variant>
        <vt:i4>5</vt:i4>
      </vt:variant>
      <vt:variant>
        <vt:lpwstr/>
      </vt:variant>
      <vt:variant>
        <vt:lpwstr>_Toc147767357</vt:lpwstr>
      </vt:variant>
      <vt:variant>
        <vt:i4>1441843</vt:i4>
      </vt:variant>
      <vt:variant>
        <vt:i4>563</vt:i4>
      </vt:variant>
      <vt:variant>
        <vt:i4>0</vt:i4>
      </vt:variant>
      <vt:variant>
        <vt:i4>5</vt:i4>
      </vt:variant>
      <vt:variant>
        <vt:lpwstr/>
      </vt:variant>
      <vt:variant>
        <vt:lpwstr>_Toc147767356</vt:lpwstr>
      </vt:variant>
      <vt:variant>
        <vt:i4>1441843</vt:i4>
      </vt:variant>
      <vt:variant>
        <vt:i4>557</vt:i4>
      </vt:variant>
      <vt:variant>
        <vt:i4>0</vt:i4>
      </vt:variant>
      <vt:variant>
        <vt:i4>5</vt:i4>
      </vt:variant>
      <vt:variant>
        <vt:lpwstr/>
      </vt:variant>
      <vt:variant>
        <vt:lpwstr>_Toc147767355</vt:lpwstr>
      </vt:variant>
      <vt:variant>
        <vt:i4>1441843</vt:i4>
      </vt:variant>
      <vt:variant>
        <vt:i4>551</vt:i4>
      </vt:variant>
      <vt:variant>
        <vt:i4>0</vt:i4>
      </vt:variant>
      <vt:variant>
        <vt:i4>5</vt:i4>
      </vt:variant>
      <vt:variant>
        <vt:lpwstr/>
      </vt:variant>
      <vt:variant>
        <vt:lpwstr>_Toc147767354</vt:lpwstr>
      </vt:variant>
      <vt:variant>
        <vt:i4>1441843</vt:i4>
      </vt:variant>
      <vt:variant>
        <vt:i4>545</vt:i4>
      </vt:variant>
      <vt:variant>
        <vt:i4>0</vt:i4>
      </vt:variant>
      <vt:variant>
        <vt:i4>5</vt:i4>
      </vt:variant>
      <vt:variant>
        <vt:lpwstr/>
      </vt:variant>
      <vt:variant>
        <vt:lpwstr>_Toc147767353</vt:lpwstr>
      </vt:variant>
      <vt:variant>
        <vt:i4>1441843</vt:i4>
      </vt:variant>
      <vt:variant>
        <vt:i4>539</vt:i4>
      </vt:variant>
      <vt:variant>
        <vt:i4>0</vt:i4>
      </vt:variant>
      <vt:variant>
        <vt:i4>5</vt:i4>
      </vt:variant>
      <vt:variant>
        <vt:lpwstr/>
      </vt:variant>
      <vt:variant>
        <vt:lpwstr>_Toc147767352</vt:lpwstr>
      </vt:variant>
      <vt:variant>
        <vt:i4>1441843</vt:i4>
      </vt:variant>
      <vt:variant>
        <vt:i4>533</vt:i4>
      </vt:variant>
      <vt:variant>
        <vt:i4>0</vt:i4>
      </vt:variant>
      <vt:variant>
        <vt:i4>5</vt:i4>
      </vt:variant>
      <vt:variant>
        <vt:lpwstr/>
      </vt:variant>
      <vt:variant>
        <vt:lpwstr>_Toc147767351</vt:lpwstr>
      </vt:variant>
      <vt:variant>
        <vt:i4>1441843</vt:i4>
      </vt:variant>
      <vt:variant>
        <vt:i4>527</vt:i4>
      </vt:variant>
      <vt:variant>
        <vt:i4>0</vt:i4>
      </vt:variant>
      <vt:variant>
        <vt:i4>5</vt:i4>
      </vt:variant>
      <vt:variant>
        <vt:lpwstr/>
      </vt:variant>
      <vt:variant>
        <vt:lpwstr>_Toc147767350</vt:lpwstr>
      </vt:variant>
      <vt:variant>
        <vt:i4>1507379</vt:i4>
      </vt:variant>
      <vt:variant>
        <vt:i4>521</vt:i4>
      </vt:variant>
      <vt:variant>
        <vt:i4>0</vt:i4>
      </vt:variant>
      <vt:variant>
        <vt:i4>5</vt:i4>
      </vt:variant>
      <vt:variant>
        <vt:lpwstr/>
      </vt:variant>
      <vt:variant>
        <vt:lpwstr>_Toc147767349</vt:lpwstr>
      </vt:variant>
      <vt:variant>
        <vt:i4>1507379</vt:i4>
      </vt:variant>
      <vt:variant>
        <vt:i4>515</vt:i4>
      </vt:variant>
      <vt:variant>
        <vt:i4>0</vt:i4>
      </vt:variant>
      <vt:variant>
        <vt:i4>5</vt:i4>
      </vt:variant>
      <vt:variant>
        <vt:lpwstr/>
      </vt:variant>
      <vt:variant>
        <vt:lpwstr>_Toc147767348</vt:lpwstr>
      </vt:variant>
      <vt:variant>
        <vt:i4>1507379</vt:i4>
      </vt:variant>
      <vt:variant>
        <vt:i4>509</vt:i4>
      </vt:variant>
      <vt:variant>
        <vt:i4>0</vt:i4>
      </vt:variant>
      <vt:variant>
        <vt:i4>5</vt:i4>
      </vt:variant>
      <vt:variant>
        <vt:lpwstr/>
      </vt:variant>
      <vt:variant>
        <vt:lpwstr>_Toc147767347</vt:lpwstr>
      </vt:variant>
      <vt:variant>
        <vt:i4>1507379</vt:i4>
      </vt:variant>
      <vt:variant>
        <vt:i4>503</vt:i4>
      </vt:variant>
      <vt:variant>
        <vt:i4>0</vt:i4>
      </vt:variant>
      <vt:variant>
        <vt:i4>5</vt:i4>
      </vt:variant>
      <vt:variant>
        <vt:lpwstr/>
      </vt:variant>
      <vt:variant>
        <vt:lpwstr>_Toc147767346</vt:lpwstr>
      </vt:variant>
      <vt:variant>
        <vt:i4>1507379</vt:i4>
      </vt:variant>
      <vt:variant>
        <vt:i4>497</vt:i4>
      </vt:variant>
      <vt:variant>
        <vt:i4>0</vt:i4>
      </vt:variant>
      <vt:variant>
        <vt:i4>5</vt:i4>
      </vt:variant>
      <vt:variant>
        <vt:lpwstr/>
      </vt:variant>
      <vt:variant>
        <vt:lpwstr>_Toc147767345</vt:lpwstr>
      </vt:variant>
      <vt:variant>
        <vt:i4>1507379</vt:i4>
      </vt:variant>
      <vt:variant>
        <vt:i4>491</vt:i4>
      </vt:variant>
      <vt:variant>
        <vt:i4>0</vt:i4>
      </vt:variant>
      <vt:variant>
        <vt:i4>5</vt:i4>
      </vt:variant>
      <vt:variant>
        <vt:lpwstr/>
      </vt:variant>
      <vt:variant>
        <vt:lpwstr>_Toc147767344</vt:lpwstr>
      </vt:variant>
      <vt:variant>
        <vt:i4>1507379</vt:i4>
      </vt:variant>
      <vt:variant>
        <vt:i4>485</vt:i4>
      </vt:variant>
      <vt:variant>
        <vt:i4>0</vt:i4>
      </vt:variant>
      <vt:variant>
        <vt:i4>5</vt:i4>
      </vt:variant>
      <vt:variant>
        <vt:lpwstr/>
      </vt:variant>
      <vt:variant>
        <vt:lpwstr>_Toc147767343</vt:lpwstr>
      </vt:variant>
      <vt:variant>
        <vt:i4>1507379</vt:i4>
      </vt:variant>
      <vt:variant>
        <vt:i4>479</vt:i4>
      </vt:variant>
      <vt:variant>
        <vt:i4>0</vt:i4>
      </vt:variant>
      <vt:variant>
        <vt:i4>5</vt:i4>
      </vt:variant>
      <vt:variant>
        <vt:lpwstr/>
      </vt:variant>
      <vt:variant>
        <vt:lpwstr>_Toc147767342</vt:lpwstr>
      </vt:variant>
      <vt:variant>
        <vt:i4>1507379</vt:i4>
      </vt:variant>
      <vt:variant>
        <vt:i4>473</vt:i4>
      </vt:variant>
      <vt:variant>
        <vt:i4>0</vt:i4>
      </vt:variant>
      <vt:variant>
        <vt:i4>5</vt:i4>
      </vt:variant>
      <vt:variant>
        <vt:lpwstr/>
      </vt:variant>
      <vt:variant>
        <vt:lpwstr>_Toc147767341</vt:lpwstr>
      </vt:variant>
      <vt:variant>
        <vt:i4>1507379</vt:i4>
      </vt:variant>
      <vt:variant>
        <vt:i4>467</vt:i4>
      </vt:variant>
      <vt:variant>
        <vt:i4>0</vt:i4>
      </vt:variant>
      <vt:variant>
        <vt:i4>5</vt:i4>
      </vt:variant>
      <vt:variant>
        <vt:lpwstr/>
      </vt:variant>
      <vt:variant>
        <vt:lpwstr>_Toc147767340</vt:lpwstr>
      </vt:variant>
      <vt:variant>
        <vt:i4>1048627</vt:i4>
      </vt:variant>
      <vt:variant>
        <vt:i4>461</vt:i4>
      </vt:variant>
      <vt:variant>
        <vt:i4>0</vt:i4>
      </vt:variant>
      <vt:variant>
        <vt:i4>5</vt:i4>
      </vt:variant>
      <vt:variant>
        <vt:lpwstr/>
      </vt:variant>
      <vt:variant>
        <vt:lpwstr>_Toc147767339</vt:lpwstr>
      </vt:variant>
      <vt:variant>
        <vt:i4>1048627</vt:i4>
      </vt:variant>
      <vt:variant>
        <vt:i4>455</vt:i4>
      </vt:variant>
      <vt:variant>
        <vt:i4>0</vt:i4>
      </vt:variant>
      <vt:variant>
        <vt:i4>5</vt:i4>
      </vt:variant>
      <vt:variant>
        <vt:lpwstr/>
      </vt:variant>
      <vt:variant>
        <vt:lpwstr>_Toc147767338</vt:lpwstr>
      </vt:variant>
      <vt:variant>
        <vt:i4>1048627</vt:i4>
      </vt:variant>
      <vt:variant>
        <vt:i4>449</vt:i4>
      </vt:variant>
      <vt:variant>
        <vt:i4>0</vt:i4>
      </vt:variant>
      <vt:variant>
        <vt:i4>5</vt:i4>
      </vt:variant>
      <vt:variant>
        <vt:lpwstr/>
      </vt:variant>
      <vt:variant>
        <vt:lpwstr>_Toc147767337</vt:lpwstr>
      </vt:variant>
      <vt:variant>
        <vt:i4>1048627</vt:i4>
      </vt:variant>
      <vt:variant>
        <vt:i4>443</vt:i4>
      </vt:variant>
      <vt:variant>
        <vt:i4>0</vt:i4>
      </vt:variant>
      <vt:variant>
        <vt:i4>5</vt:i4>
      </vt:variant>
      <vt:variant>
        <vt:lpwstr/>
      </vt:variant>
      <vt:variant>
        <vt:lpwstr>_Toc147767336</vt:lpwstr>
      </vt:variant>
      <vt:variant>
        <vt:i4>1048627</vt:i4>
      </vt:variant>
      <vt:variant>
        <vt:i4>437</vt:i4>
      </vt:variant>
      <vt:variant>
        <vt:i4>0</vt:i4>
      </vt:variant>
      <vt:variant>
        <vt:i4>5</vt:i4>
      </vt:variant>
      <vt:variant>
        <vt:lpwstr/>
      </vt:variant>
      <vt:variant>
        <vt:lpwstr>_Toc147767335</vt:lpwstr>
      </vt:variant>
      <vt:variant>
        <vt:i4>1048627</vt:i4>
      </vt:variant>
      <vt:variant>
        <vt:i4>431</vt:i4>
      </vt:variant>
      <vt:variant>
        <vt:i4>0</vt:i4>
      </vt:variant>
      <vt:variant>
        <vt:i4>5</vt:i4>
      </vt:variant>
      <vt:variant>
        <vt:lpwstr/>
      </vt:variant>
      <vt:variant>
        <vt:lpwstr>_Toc147767334</vt:lpwstr>
      </vt:variant>
      <vt:variant>
        <vt:i4>1048627</vt:i4>
      </vt:variant>
      <vt:variant>
        <vt:i4>425</vt:i4>
      </vt:variant>
      <vt:variant>
        <vt:i4>0</vt:i4>
      </vt:variant>
      <vt:variant>
        <vt:i4>5</vt:i4>
      </vt:variant>
      <vt:variant>
        <vt:lpwstr/>
      </vt:variant>
      <vt:variant>
        <vt:lpwstr>_Toc147767333</vt:lpwstr>
      </vt:variant>
      <vt:variant>
        <vt:i4>1048627</vt:i4>
      </vt:variant>
      <vt:variant>
        <vt:i4>419</vt:i4>
      </vt:variant>
      <vt:variant>
        <vt:i4>0</vt:i4>
      </vt:variant>
      <vt:variant>
        <vt:i4>5</vt:i4>
      </vt:variant>
      <vt:variant>
        <vt:lpwstr/>
      </vt:variant>
      <vt:variant>
        <vt:lpwstr>_Toc147767332</vt:lpwstr>
      </vt:variant>
      <vt:variant>
        <vt:i4>1048627</vt:i4>
      </vt:variant>
      <vt:variant>
        <vt:i4>413</vt:i4>
      </vt:variant>
      <vt:variant>
        <vt:i4>0</vt:i4>
      </vt:variant>
      <vt:variant>
        <vt:i4>5</vt:i4>
      </vt:variant>
      <vt:variant>
        <vt:lpwstr/>
      </vt:variant>
      <vt:variant>
        <vt:lpwstr>_Toc147767331</vt:lpwstr>
      </vt:variant>
      <vt:variant>
        <vt:i4>1048627</vt:i4>
      </vt:variant>
      <vt:variant>
        <vt:i4>407</vt:i4>
      </vt:variant>
      <vt:variant>
        <vt:i4>0</vt:i4>
      </vt:variant>
      <vt:variant>
        <vt:i4>5</vt:i4>
      </vt:variant>
      <vt:variant>
        <vt:lpwstr/>
      </vt:variant>
      <vt:variant>
        <vt:lpwstr>_Toc147767330</vt:lpwstr>
      </vt:variant>
      <vt:variant>
        <vt:i4>1114163</vt:i4>
      </vt:variant>
      <vt:variant>
        <vt:i4>401</vt:i4>
      </vt:variant>
      <vt:variant>
        <vt:i4>0</vt:i4>
      </vt:variant>
      <vt:variant>
        <vt:i4>5</vt:i4>
      </vt:variant>
      <vt:variant>
        <vt:lpwstr/>
      </vt:variant>
      <vt:variant>
        <vt:lpwstr>_Toc147767329</vt:lpwstr>
      </vt:variant>
      <vt:variant>
        <vt:i4>1114163</vt:i4>
      </vt:variant>
      <vt:variant>
        <vt:i4>395</vt:i4>
      </vt:variant>
      <vt:variant>
        <vt:i4>0</vt:i4>
      </vt:variant>
      <vt:variant>
        <vt:i4>5</vt:i4>
      </vt:variant>
      <vt:variant>
        <vt:lpwstr/>
      </vt:variant>
      <vt:variant>
        <vt:lpwstr>_Toc147767328</vt:lpwstr>
      </vt:variant>
      <vt:variant>
        <vt:i4>1114163</vt:i4>
      </vt:variant>
      <vt:variant>
        <vt:i4>389</vt:i4>
      </vt:variant>
      <vt:variant>
        <vt:i4>0</vt:i4>
      </vt:variant>
      <vt:variant>
        <vt:i4>5</vt:i4>
      </vt:variant>
      <vt:variant>
        <vt:lpwstr/>
      </vt:variant>
      <vt:variant>
        <vt:lpwstr>_Toc147767327</vt:lpwstr>
      </vt:variant>
      <vt:variant>
        <vt:i4>1114163</vt:i4>
      </vt:variant>
      <vt:variant>
        <vt:i4>383</vt:i4>
      </vt:variant>
      <vt:variant>
        <vt:i4>0</vt:i4>
      </vt:variant>
      <vt:variant>
        <vt:i4>5</vt:i4>
      </vt:variant>
      <vt:variant>
        <vt:lpwstr/>
      </vt:variant>
      <vt:variant>
        <vt:lpwstr>_Toc147767326</vt:lpwstr>
      </vt:variant>
      <vt:variant>
        <vt:i4>1114163</vt:i4>
      </vt:variant>
      <vt:variant>
        <vt:i4>377</vt:i4>
      </vt:variant>
      <vt:variant>
        <vt:i4>0</vt:i4>
      </vt:variant>
      <vt:variant>
        <vt:i4>5</vt:i4>
      </vt:variant>
      <vt:variant>
        <vt:lpwstr/>
      </vt:variant>
      <vt:variant>
        <vt:lpwstr>_Toc147767325</vt:lpwstr>
      </vt:variant>
      <vt:variant>
        <vt:i4>1114163</vt:i4>
      </vt:variant>
      <vt:variant>
        <vt:i4>371</vt:i4>
      </vt:variant>
      <vt:variant>
        <vt:i4>0</vt:i4>
      </vt:variant>
      <vt:variant>
        <vt:i4>5</vt:i4>
      </vt:variant>
      <vt:variant>
        <vt:lpwstr/>
      </vt:variant>
      <vt:variant>
        <vt:lpwstr>_Toc147767324</vt:lpwstr>
      </vt:variant>
      <vt:variant>
        <vt:i4>1114163</vt:i4>
      </vt:variant>
      <vt:variant>
        <vt:i4>365</vt:i4>
      </vt:variant>
      <vt:variant>
        <vt:i4>0</vt:i4>
      </vt:variant>
      <vt:variant>
        <vt:i4>5</vt:i4>
      </vt:variant>
      <vt:variant>
        <vt:lpwstr/>
      </vt:variant>
      <vt:variant>
        <vt:lpwstr>_Toc147767323</vt:lpwstr>
      </vt:variant>
      <vt:variant>
        <vt:i4>1114163</vt:i4>
      </vt:variant>
      <vt:variant>
        <vt:i4>359</vt:i4>
      </vt:variant>
      <vt:variant>
        <vt:i4>0</vt:i4>
      </vt:variant>
      <vt:variant>
        <vt:i4>5</vt:i4>
      </vt:variant>
      <vt:variant>
        <vt:lpwstr/>
      </vt:variant>
      <vt:variant>
        <vt:lpwstr>_Toc147767322</vt:lpwstr>
      </vt:variant>
      <vt:variant>
        <vt:i4>1114163</vt:i4>
      </vt:variant>
      <vt:variant>
        <vt:i4>353</vt:i4>
      </vt:variant>
      <vt:variant>
        <vt:i4>0</vt:i4>
      </vt:variant>
      <vt:variant>
        <vt:i4>5</vt:i4>
      </vt:variant>
      <vt:variant>
        <vt:lpwstr/>
      </vt:variant>
      <vt:variant>
        <vt:lpwstr>_Toc147767321</vt:lpwstr>
      </vt:variant>
      <vt:variant>
        <vt:i4>1114163</vt:i4>
      </vt:variant>
      <vt:variant>
        <vt:i4>347</vt:i4>
      </vt:variant>
      <vt:variant>
        <vt:i4>0</vt:i4>
      </vt:variant>
      <vt:variant>
        <vt:i4>5</vt:i4>
      </vt:variant>
      <vt:variant>
        <vt:lpwstr/>
      </vt:variant>
      <vt:variant>
        <vt:lpwstr>_Toc147767320</vt:lpwstr>
      </vt:variant>
      <vt:variant>
        <vt:i4>1179699</vt:i4>
      </vt:variant>
      <vt:variant>
        <vt:i4>341</vt:i4>
      </vt:variant>
      <vt:variant>
        <vt:i4>0</vt:i4>
      </vt:variant>
      <vt:variant>
        <vt:i4>5</vt:i4>
      </vt:variant>
      <vt:variant>
        <vt:lpwstr/>
      </vt:variant>
      <vt:variant>
        <vt:lpwstr>_Toc147767319</vt:lpwstr>
      </vt:variant>
      <vt:variant>
        <vt:i4>1179699</vt:i4>
      </vt:variant>
      <vt:variant>
        <vt:i4>335</vt:i4>
      </vt:variant>
      <vt:variant>
        <vt:i4>0</vt:i4>
      </vt:variant>
      <vt:variant>
        <vt:i4>5</vt:i4>
      </vt:variant>
      <vt:variant>
        <vt:lpwstr/>
      </vt:variant>
      <vt:variant>
        <vt:lpwstr>_Toc147767318</vt:lpwstr>
      </vt:variant>
      <vt:variant>
        <vt:i4>1179699</vt:i4>
      </vt:variant>
      <vt:variant>
        <vt:i4>329</vt:i4>
      </vt:variant>
      <vt:variant>
        <vt:i4>0</vt:i4>
      </vt:variant>
      <vt:variant>
        <vt:i4>5</vt:i4>
      </vt:variant>
      <vt:variant>
        <vt:lpwstr/>
      </vt:variant>
      <vt:variant>
        <vt:lpwstr>_Toc147767317</vt:lpwstr>
      </vt:variant>
      <vt:variant>
        <vt:i4>1179699</vt:i4>
      </vt:variant>
      <vt:variant>
        <vt:i4>323</vt:i4>
      </vt:variant>
      <vt:variant>
        <vt:i4>0</vt:i4>
      </vt:variant>
      <vt:variant>
        <vt:i4>5</vt:i4>
      </vt:variant>
      <vt:variant>
        <vt:lpwstr/>
      </vt:variant>
      <vt:variant>
        <vt:lpwstr>_Toc147767316</vt:lpwstr>
      </vt:variant>
      <vt:variant>
        <vt:i4>1179699</vt:i4>
      </vt:variant>
      <vt:variant>
        <vt:i4>317</vt:i4>
      </vt:variant>
      <vt:variant>
        <vt:i4>0</vt:i4>
      </vt:variant>
      <vt:variant>
        <vt:i4>5</vt:i4>
      </vt:variant>
      <vt:variant>
        <vt:lpwstr/>
      </vt:variant>
      <vt:variant>
        <vt:lpwstr>_Toc147767315</vt:lpwstr>
      </vt:variant>
      <vt:variant>
        <vt:i4>1179699</vt:i4>
      </vt:variant>
      <vt:variant>
        <vt:i4>311</vt:i4>
      </vt:variant>
      <vt:variant>
        <vt:i4>0</vt:i4>
      </vt:variant>
      <vt:variant>
        <vt:i4>5</vt:i4>
      </vt:variant>
      <vt:variant>
        <vt:lpwstr/>
      </vt:variant>
      <vt:variant>
        <vt:lpwstr>_Toc147767314</vt:lpwstr>
      </vt:variant>
      <vt:variant>
        <vt:i4>1179699</vt:i4>
      </vt:variant>
      <vt:variant>
        <vt:i4>305</vt:i4>
      </vt:variant>
      <vt:variant>
        <vt:i4>0</vt:i4>
      </vt:variant>
      <vt:variant>
        <vt:i4>5</vt:i4>
      </vt:variant>
      <vt:variant>
        <vt:lpwstr/>
      </vt:variant>
      <vt:variant>
        <vt:lpwstr>_Toc147767313</vt:lpwstr>
      </vt:variant>
      <vt:variant>
        <vt:i4>1179699</vt:i4>
      </vt:variant>
      <vt:variant>
        <vt:i4>299</vt:i4>
      </vt:variant>
      <vt:variant>
        <vt:i4>0</vt:i4>
      </vt:variant>
      <vt:variant>
        <vt:i4>5</vt:i4>
      </vt:variant>
      <vt:variant>
        <vt:lpwstr/>
      </vt:variant>
      <vt:variant>
        <vt:lpwstr>_Toc147767312</vt:lpwstr>
      </vt:variant>
      <vt:variant>
        <vt:i4>1179699</vt:i4>
      </vt:variant>
      <vt:variant>
        <vt:i4>293</vt:i4>
      </vt:variant>
      <vt:variant>
        <vt:i4>0</vt:i4>
      </vt:variant>
      <vt:variant>
        <vt:i4>5</vt:i4>
      </vt:variant>
      <vt:variant>
        <vt:lpwstr/>
      </vt:variant>
      <vt:variant>
        <vt:lpwstr>_Toc147767311</vt:lpwstr>
      </vt:variant>
      <vt:variant>
        <vt:i4>1179699</vt:i4>
      </vt:variant>
      <vt:variant>
        <vt:i4>287</vt:i4>
      </vt:variant>
      <vt:variant>
        <vt:i4>0</vt:i4>
      </vt:variant>
      <vt:variant>
        <vt:i4>5</vt:i4>
      </vt:variant>
      <vt:variant>
        <vt:lpwstr/>
      </vt:variant>
      <vt:variant>
        <vt:lpwstr>_Toc147767310</vt:lpwstr>
      </vt:variant>
      <vt:variant>
        <vt:i4>1245235</vt:i4>
      </vt:variant>
      <vt:variant>
        <vt:i4>281</vt:i4>
      </vt:variant>
      <vt:variant>
        <vt:i4>0</vt:i4>
      </vt:variant>
      <vt:variant>
        <vt:i4>5</vt:i4>
      </vt:variant>
      <vt:variant>
        <vt:lpwstr/>
      </vt:variant>
      <vt:variant>
        <vt:lpwstr>_Toc147767309</vt:lpwstr>
      </vt:variant>
      <vt:variant>
        <vt:i4>1245235</vt:i4>
      </vt:variant>
      <vt:variant>
        <vt:i4>275</vt:i4>
      </vt:variant>
      <vt:variant>
        <vt:i4>0</vt:i4>
      </vt:variant>
      <vt:variant>
        <vt:i4>5</vt:i4>
      </vt:variant>
      <vt:variant>
        <vt:lpwstr/>
      </vt:variant>
      <vt:variant>
        <vt:lpwstr>_Toc147767308</vt:lpwstr>
      </vt:variant>
      <vt:variant>
        <vt:i4>1245235</vt:i4>
      </vt:variant>
      <vt:variant>
        <vt:i4>269</vt:i4>
      </vt:variant>
      <vt:variant>
        <vt:i4>0</vt:i4>
      </vt:variant>
      <vt:variant>
        <vt:i4>5</vt:i4>
      </vt:variant>
      <vt:variant>
        <vt:lpwstr/>
      </vt:variant>
      <vt:variant>
        <vt:lpwstr>_Toc147767307</vt:lpwstr>
      </vt:variant>
      <vt:variant>
        <vt:i4>1245235</vt:i4>
      </vt:variant>
      <vt:variant>
        <vt:i4>263</vt:i4>
      </vt:variant>
      <vt:variant>
        <vt:i4>0</vt:i4>
      </vt:variant>
      <vt:variant>
        <vt:i4>5</vt:i4>
      </vt:variant>
      <vt:variant>
        <vt:lpwstr/>
      </vt:variant>
      <vt:variant>
        <vt:lpwstr>_Toc147767306</vt:lpwstr>
      </vt:variant>
      <vt:variant>
        <vt:i4>1245235</vt:i4>
      </vt:variant>
      <vt:variant>
        <vt:i4>257</vt:i4>
      </vt:variant>
      <vt:variant>
        <vt:i4>0</vt:i4>
      </vt:variant>
      <vt:variant>
        <vt:i4>5</vt:i4>
      </vt:variant>
      <vt:variant>
        <vt:lpwstr/>
      </vt:variant>
      <vt:variant>
        <vt:lpwstr>_Toc147767305</vt:lpwstr>
      </vt:variant>
      <vt:variant>
        <vt:i4>1245235</vt:i4>
      </vt:variant>
      <vt:variant>
        <vt:i4>251</vt:i4>
      </vt:variant>
      <vt:variant>
        <vt:i4>0</vt:i4>
      </vt:variant>
      <vt:variant>
        <vt:i4>5</vt:i4>
      </vt:variant>
      <vt:variant>
        <vt:lpwstr/>
      </vt:variant>
      <vt:variant>
        <vt:lpwstr>_Toc147767304</vt:lpwstr>
      </vt:variant>
      <vt:variant>
        <vt:i4>1245235</vt:i4>
      </vt:variant>
      <vt:variant>
        <vt:i4>245</vt:i4>
      </vt:variant>
      <vt:variant>
        <vt:i4>0</vt:i4>
      </vt:variant>
      <vt:variant>
        <vt:i4>5</vt:i4>
      </vt:variant>
      <vt:variant>
        <vt:lpwstr/>
      </vt:variant>
      <vt:variant>
        <vt:lpwstr>_Toc147767303</vt:lpwstr>
      </vt:variant>
      <vt:variant>
        <vt:i4>1245235</vt:i4>
      </vt:variant>
      <vt:variant>
        <vt:i4>239</vt:i4>
      </vt:variant>
      <vt:variant>
        <vt:i4>0</vt:i4>
      </vt:variant>
      <vt:variant>
        <vt:i4>5</vt:i4>
      </vt:variant>
      <vt:variant>
        <vt:lpwstr/>
      </vt:variant>
      <vt:variant>
        <vt:lpwstr>_Toc147767302</vt:lpwstr>
      </vt:variant>
      <vt:variant>
        <vt:i4>1245235</vt:i4>
      </vt:variant>
      <vt:variant>
        <vt:i4>233</vt:i4>
      </vt:variant>
      <vt:variant>
        <vt:i4>0</vt:i4>
      </vt:variant>
      <vt:variant>
        <vt:i4>5</vt:i4>
      </vt:variant>
      <vt:variant>
        <vt:lpwstr/>
      </vt:variant>
      <vt:variant>
        <vt:lpwstr>_Toc147767301</vt:lpwstr>
      </vt:variant>
      <vt:variant>
        <vt:i4>1245235</vt:i4>
      </vt:variant>
      <vt:variant>
        <vt:i4>227</vt:i4>
      </vt:variant>
      <vt:variant>
        <vt:i4>0</vt:i4>
      </vt:variant>
      <vt:variant>
        <vt:i4>5</vt:i4>
      </vt:variant>
      <vt:variant>
        <vt:lpwstr/>
      </vt:variant>
      <vt:variant>
        <vt:lpwstr>_Toc147767300</vt:lpwstr>
      </vt:variant>
      <vt:variant>
        <vt:i4>1703986</vt:i4>
      </vt:variant>
      <vt:variant>
        <vt:i4>221</vt:i4>
      </vt:variant>
      <vt:variant>
        <vt:i4>0</vt:i4>
      </vt:variant>
      <vt:variant>
        <vt:i4>5</vt:i4>
      </vt:variant>
      <vt:variant>
        <vt:lpwstr/>
      </vt:variant>
      <vt:variant>
        <vt:lpwstr>_Toc147767299</vt:lpwstr>
      </vt:variant>
      <vt:variant>
        <vt:i4>1703986</vt:i4>
      </vt:variant>
      <vt:variant>
        <vt:i4>215</vt:i4>
      </vt:variant>
      <vt:variant>
        <vt:i4>0</vt:i4>
      </vt:variant>
      <vt:variant>
        <vt:i4>5</vt:i4>
      </vt:variant>
      <vt:variant>
        <vt:lpwstr/>
      </vt:variant>
      <vt:variant>
        <vt:lpwstr>_Toc147767298</vt:lpwstr>
      </vt:variant>
      <vt:variant>
        <vt:i4>1703986</vt:i4>
      </vt:variant>
      <vt:variant>
        <vt:i4>209</vt:i4>
      </vt:variant>
      <vt:variant>
        <vt:i4>0</vt:i4>
      </vt:variant>
      <vt:variant>
        <vt:i4>5</vt:i4>
      </vt:variant>
      <vt:variant>
        <vt:lpwstr/>
      </vt:variant>
      <vt:variant>
        <vt:lpwstr>_Toc147767297</vt:lpwstr>
      </vt:variant>
      <vt:variant>
        <vt:i4>1703986</vt:i4>
      </vt:variant>
      <vt:variant>
        <vt:i4>203</vt:i4>
      </vt:variant>
      <vt:variant>
        <vt:i4>0</vt:i4>
      </vt:variant>
      <vt:variant>
        <vt:i4>5</vt:i4>
      </vt:variant>
      <vt:variant>
        <vt:lpwstr/>
      </vt:variant>
      <vt:variant>
        <vt:lpwstr>_Toc147767296</vt:lpwstr>
      </vt:variant>
      <vt:variant>
        <vt:i4>1703986</vt:i4>
      </vt:variant>
      <vt:variant>
        <vt:i4>197</vt:i4>
      </vt:variant>
      <vt:variant>
        <vt:i4>0</vt:i4>
      </vt:variant>
      <vt:variant>
        <vt:i4>5</vt:i4>
      </vt:variant>
      <vt:variant>
        <vt:lpwstr/>
      </vt:variant>
      <vt:variant>
        <vt:lpwstr>_Toc147767295</vt:lpwstr>
      </vt:variant>
      <vt:variant>
        <vt:i4>1703986</vt:i4>
      </vt:variant>
      <vt:variant>
        <vt:i4>191</vt:i4>
      </vt:variant>
      <vt:variant>
        <vt:i4>0</vt:i4>
      </vt:variant>
      <vt:variant>
        <vt:i4>5</vt:i4>
      </vt:variant>
      <vt:variant>
        <vt:lpwstr/>
      </vt:variant>
      <vt:variant>
        <vt:lpwstr>_Toc147767294</vt:lpwstr>
      </vt:variant>
      <vt:variant>
        <vt:i4>1703986</vt:i4>
      </vt:variant>
      <vt:variant>
        <vt:i4>185</vt:i4>
      </vt:variant>
      <vt:variant>
        <vt:i4>0</vt:i4>
      </vt:variant>
      <vt:variant>
        <vt:i4>5</vt:i4>
      </vt:variant>
      <vt:variant>
        <vt:lpwstr/>
      </vt:variant>
      <vt:variant>
        <vt:lpwstr>_Toc147767293</vt:lpwstr>
      </vt:variant>
      <vt:variant>
        <vt:i4>1703986</vt:i4>
      </vt:variant>
      <vt:variant>
        <vt:i4>179</vt:i4>
      </vt:variant>
      <vt:variant>
        <vt:i4>0</vt:i4>
      </vt:variant>
      <vt:variant>
        <vt:i4>5</vt:i4>
      </vt:variant>
      <vt:variant>
        <vt:lpwstr/>
      </vt:variant>
      <vt:variant>
        <vt:lpwstr>_Toc147767292</vt:lpwstr>
      </vt:variant>
      <vt:variant>
        <vt:i4>1703986</vt:i4>
      </vt:variant>
      <vt:variant>
        <vt:i4>173</vt:i4>
      </vt:variant>
      <vt:variant>
        <vt:i4>0</vt:i4>
      </vt:variant>
      <vt:variant>
        <vt:i4>5</vt:i4>
      </vt:variant>
      <vt:variant>
        <vt:lpwstr/>
      </vt:variant>
      <vt:variant>
        <vt:lpwstr>_Toc147767291</vt:lpwstr>
      </vt:variant>
      <vt:variant>
        <vt:i4>1703986</vt:i4>
      </vt:variant>
      <vt:variant>
        <vt:i4>167</vt:i4>
      </vt:variant>
      <vt:variant>
        <vt:i4>0</vt:i4>
      </vt:variant>
      <vt:variant>
        <vt:i4>5</vt:i4>
      </vt:variant>
      <vt:variant>
        <vt:lpwstr/>
      </vt:variant>
      <vt:variant>
        <vt:lpwstr>_Toc147767290</vt:lpwstr>
      </vt:variant>
      <vt:variant>
        <vt:i4>1769522</vt:i4>
      </vt:variant>
      <vt:variant>
        <vt:i4>161</vt:i4>
      </vt:variant>
      <vt:variant>
        <vt:i4>0</vt:i4>
      </vt:variant>
      <vt:variant>
        <vt:i4>5</vt:i4>
      </vt:variant>
      <vt:variant>
        <vt:lpwstr/>
      </vt:variant>
      <vt:variant>
        <vt:lpwstr>_Toc147767289</vt:lpwstr>
      </vt:variant>
      <vt:variant>
        <vt:i4>1769522</vt:i4>
      </vt:variant>
      <vt:variant>
        <vt:i4>155</vt:i4>
      </vt:variant>
      <vt:variant>
        <vt:i4>0</vt:i4>
      </vt:variant>
      <vt:variant>
        <vt:i4>5</vt:i4>
      </vt:variant>
      <vt:variant>
        <vt:lpwstr/>
      </vt:variant>
      <vt:variant>
        <vt:lpwstr>_Toc147767288</vt:lpwstr>
      </vt:variant>
      <vt:variant>
        <vt:i4>1769522</vt:i4>
      </vt:variant>
      <vt:variant>
        <vt:i4>149</vt:i4>
      </vt:variant>
      <vt:variant>
        <vt:i4>0</vt:i4>
      </vt:variant>
      <vt:variant>
        <vt:i4>5</vt:i4>
      </vt:variant>
      <vt:variant>
        <vt:lpwstr/>
      </vt:variant>
      <vt:variant>
        <vt:lpwstr>_Toc147767287</vt:lpwstr>
      </vt:variant>
      <vt:variant>
        <vt:i4>1769522</vt:i4>
      </vt:variant>
      <vt:variant>
        <vt:i4>143</vt:i4>
      </vt:variant>
      <vt:variant>
        <vt:i4>0</vt:i4>
      </vt:variant>
      <vt:variant>
        <vt:i4>5</vt:i4>
      </vt:variant>
      <vt:variant>
        <vt:lpwstr/>
      </vt:variant>
      <vt:variant>
        <vt:lpwstr>_Toc147767286</vt:lpwstr>
      </vt:variant>
      <vt:variant>
        <vt:i4>1769522</vt:i4>
      </vt:variant>
      <vt:variant>
        <vt:i4>137</vt:i4>
      </vt:variant>
      <vt:variant>
        <vt:i4>0</vt:i4>
      </vt:variant>
      <vt:variant>
        <vt:i4>5</vt:i4>
      </vt:variant>
      <vt:variant>
        <vt:lpwstr/>
      </vt:variant>
      <vt:variant>
        <vt:lpwstr>_Toc147767285</vt:lpwstr>
      </vt:variant>
      <vt:variant>
        <vt:i4>1769522</vt:i4>
      </vt:variant>
      <vt:variant>
        <vt:i4>131</vt:i4>
      </vt:variant>
      <vt:variant>
        <vt:i4>0</vt:i4>
      </vt:variant>
      <vt:variant>
        <vt:i4>5</vt:i4>
      </vt:variant>
      <vt:variant>
        <vt:lpwstr/>
      </vt:variant>
      <vt:variant>
        <vt:lpwstr>_Toc147767284</vt:lpwstr>
      </vt:variant>
      <vt:variant>
        <vt:i4>1769522</vt:i4>
      </vt:variant>
      <vt:variant>
        <vt:i4>125</vt:i4>
      </vt:variant>
      <vt:variant>
        <vt:i4>0</vt:i4>
      </vt:variant>
      <vt:variant>
        <vt:i4>5</vt:i4>
      </vt:variant>
      <vt:variant>
        <vt:lpwstr/>
      </vt:variant>
      <vt:variant>
        <vt:lpwstr>_Toc147767283</vt:lpwstr>
      </vt:variant>
      <vt:variant>
        <vt:i4>1769522</vt:i4>
      </vt:variant>
      <vt:variant>
        <vt:i4>119</vt:i4>
      </vt:variant>
      <vt:variant>
        <vt:i4>0</vt:i4>
      </vt:variant>
      <vt:variant>
        <vt:i4>5</vt:i4>
      </vt:variant>
      <vt:variant>
        <vt:lpwstr/>
      </vt:variant>
      <vt:variant>
        <vt:lpwstr>_Toc147767282</vt:lpwstr>
      </vt:variant>
      <vt:variant>
        <vt:i4>1769522</vt:i4>
      </vt:variant>
      <vt:variant>
        <vt:i4>113</vt:i4>
      </vt:variant>
      <vt:variant>
        <vt:i4>0</vt:i4>
      </vt:variant>
      <vt:variant>
        <vt:i4>5</vt:i4>
      </vt:variant>
      <vt:variant>
        <vt:lpwstr/>
      </vt:variant>
      <vt:variant>
        <vt:lpwstr>_Toc147767281</vt:lpwstr>
      </vt:variant>
      <vt:variant>
        <vt:i4>1769522</vt:i4>
      </vt:variant>
      <vt:variant>
        <vt:i4>107</vt:i4>
      </vt:variant>
      <vt:variant>
        <vt:i4>0</vt:i4>
      </vt:variant>
      <vt:variant>
        <vt:i4>5</vt:i4>
      </vt:variant>
      <vt:variant>
        <vt:lpwstr/>
      </vt:variant>
      <vt:variant>
        <vt:lpwstr>_Toc147767280</vt:lpwstr>
      </vt:variant>
      <vt:variant>
        <vt:i4>1310770</vt:i4>
      </vt:variant>
      <vt:variant>
        <vt:i4>101</vt:i4>
      </vt:variant>
      <vt:variant>
        <vt:i4>0</vt:i4>
      </vt:variant>
      <vt:variant>
        <vt:i4>5</vt:i4>
      </vt:variant>
      <vt:variant>
        <vt:lpwstr/>
      </vt:variant>
      <vt:variant>
        <vt:lpwstr>_Toc147767279</vt:lpwstr>
      </vt:variant>
      <vt:variant>
        <vt:i4>1310770</vt:i4>
      </vt:variant>
      <vt:variant>
        <vt:i4>95</vt:i4>
      </vt:variant>
      <vt:variant>
        <vt:i4>0</vt:i4>
      </vt:variant>
      <vt:variant>
        <vt:i4>5</vt:i4>
      </vt:variant>
      <vt:variant>
        <vt:lpwstr/>
      </vt:variant>
      <vt:variant>
        <vt:lpwstr>_Toc147767278</vt:lpwstr>
      </vt:variant>
      <vt:variant>
        <vt:i4>1310770</vt:i4>
      </vt:variant>
      <vt:variant>
        <vt:i4>89</vt:i4>
      </vt:variant>
      <vt:variant>
        <vt:i4>0</vt:i4>
      </vt:variant>
      <vt:variant>
        <vt:i4>5</vt:i4>
      </vt:variant>
      <vt:variant>
        <vt:lpwstr/>
      </vt:variant>
      <vt:variant>
        <vt:lpwstr>_Toc147767277</vt:lpwstr>
      </vt:variant>
      <vt:variant>
        <vt:i4>1310770</vt:i4>
      </vt:variant>
      <vt:variant>
        <vt:i4>83</vt:i4>
      </vt:variant>
      <vt:variant>
        <vt:i4>0</vt:i4>
      </vt:variant>
      <vt:variant>
        <vt:i4>5</vt:i4>
      </vt:variant>
      <vt:variant>
        <vt:lpwstr/>
      </vt:variant>
      <vt:variant>
        <vt:lpwstr>_Toc147767276</vt:lpwstr>
      </vt:variant>
      <vt:variant>
        <vt:i4>1310770</vt:i4>
      </vt:variant>
      <vt:variant>
        <vt:i4>77</vt:i4>
      </vt:variant>
      <vt:variant>
        <vt:i4>0</vt:i4>
      </vt:variant>
      <vt:variant>
        <vt:i4>5</vt:i4>
      </vt:variant>
      <vt:variant>
        <vt:lpwstr/>
      </vt:variant>
      <vt:variant>
        <vt:lpwstr>_Toc147767275</vt:lpwstr>
      </vt:variant>
      <vt:variant>
        <vt:i4>1310770</vt:i4>
      </vt:variant>
      <vt:variant>
        <vt:i4>71</vt:i4>
      </vt:variant>
      <vt:variant>
        <vt:i4>0</vt:i4>
      </vt:variant>
      <vt:variant>
        <vt:i4>5</vt:i4>
      </vt:variant>
      <vt:variant>
        <vt:lpwstr/>
      </vt:variant>
      <vt:variant>
        <vt:lpwstr>_Toc147767274</vt:lpwstr>
      </vt:variant>
      <vt:variant>
        <vt:i4>1310770</vt:i4>
      </vt:variant>
      <vt:variant>
        <vt:i4>65</vt:i4>
      </vt:variant>
      <vt:variant>
        <vt:i4>0</vt:i4>
      </vt:variant>
      <vt:variant>
        <vt:i4>5</vt:i4>
      </vt:variant>
      <vt:variant>
        <vt:lpwstr/>
      </vt:variant>
      <vt:variant>
        <vt:lpwstr>_Toc147767273</vt:lpwstr>
      </vt:variant>
      <vt:variant>
        <vt:i4>1310770</vt:i4>
      </vt:variant>
      <vt:variant>
        <vt:i4>59</vt:i4>
      </vt:variant>
      <vt:variant>
        <vt:i4>0</vt:i4>
      </vt:variant>
      <vt:variant>
        <vt:i4>5</vt:i4>
      </vt:variant>
      <vt:variant>
        <vt:lpwstr/>
      </vt:variant>
      <vt:variant>
        <vt:lpwstr>_Toc147767272</vt:lpwstr>
      </vt:variant>
      <vt:variant>
        <vt:i4>1310770</vt:i4>
      </vt:variant>
      <vt:variant>
        <vt:i4>53</vt:i4>
      </vt:variant>
      <vt:variant>
        <vt:i4>0</vt:i4>
      </vt:variant>
      <vt:variant>
        <vt:i4>5</vt:i4>
      </vt:variant>
      <vt:variant>
        <vt:lpwstr/>
      </vt:variant>
      <vt:variant>
        <vt:lpwstr>_Toc147767271</vt:lpwstr>
      </vt:variant>
      <vt:variant>
        <vt:i4>1310770</vt:i4>
      </vt:variant>
      <vt:variant>
        <vt:i4>47</vt:i4>
      </vt:variant>
      <vt:variant>
        <vt:i4>0</vt:i4>
      </vt:variant>
      <vt:variant>
        <vt:i4>5</vt:i4>
      </vt:variant>
      <vt:variant>
        <vt:lpwstr/>
      </vt:variant>
      <vt:variant>
        <vt:lpwstr>_Toc147767270</vt:lpwstr>
      </vt:variant>
      <vt:variant>
        <vt:i4>1376306</vt:i4>
      </vt:variant>
      <vt:variant>
        <vt:i4>41</vt:i4>
      </vt:variant>
      <vt:variant>
        <vt:i4>0</vt:i4>
      </vt:variant>
      <vt:variant>
        <vt:i4>5</vt:i4>
      </vt:variant>
      <vt:variant>
        <vt:lpwstr/>
      </vt:variant>
      <vt:variant>
        <vt:lpwstr>_Toc147767269</vt:lpwstr>
      </vt:variant>
      <vt:variant>
        <vt:i4>1376306</vt:i4>
      </vt:variant>
      <vt:variant>
        <vt:i4>35</vt:i4>
      </vt:variant>
      <vt:variant>
        <vt:i4>0</vt:i4>
      </vt:variant>
      <vt:variant>
        <vt:i4>5</vt:i4>
      </vt:variant>
      <vt:variant>
        <vt:lpwstr/>
      </vt:variant>
      <vt:variant>
        <vt:lpwstr>_Toc147767268</vt:lpwstr>
      </vt:variant>
      <vt:variant>
        <vt:i4>1376306</vt:i4>
      </vt:variant>
      <vt:variant>
        <vt:i4>29</vt:i4>
      </vt:variant>
      <vt:variant>
        <vt:i4>0</vt:i4>
      </vt:variant>
      <vt:variant>
        <vt:i4>5</vt:i4>
      </vt:variant>
      <vt:variant>
        <vt:lpwstr/>
      </vt:variant>
      <vt:variant>
        <vt:lpwstr>_Toc147767267</vt:lpwstr>
      </vt:variant>
      <vt:variant>
        <vt:i4>1376306</vt:i4>
      </vt:variant>
      <vt:variant>
        <vt:i4>23</vt:i4>
      </vt:variant>
      <vt:variant>
        <vt:i4>0</vt:i4>
      </vt:variant>
      <vt:variant>
        <vt:i4>5</vt:i4>
      </vt:variant>
      <vt:variant>
        <vt:lpwstr/>
      </vt:variant>
      <vt:variant>
        <vt:lpwstr>_Toc147767266</vt:lpwstr>
      </vt:variant>
      <vt:variant>
        <vt:i4>1376306</vt:i4>
      </vt:variant>
      <vt:variant>
        <vt:i4>17</vt:i4>
      </vt:variant>
      <vt:variant>
        <vt:i4>0</vt:i4>
      </vt:variant>
      <vt:variant>
        <vt:i4>5</vt:i4>
      </vt:variant>
      <vt:variant>
        <vt:lpwstr/>
      </vt:variant>
      <vt:variant>
        <vt:lpwstr>_Toc147767265</vt:lpwstr>
      </vt:variant>
      <vt:variant>
        <vt:i4>1376306</vt:i4>
      </vt:variant>
      <vt:variant>
        <vt:i4>11</vt:i4>
      </vt:variant>
      <vt:variant>
        <vt:i4>0</vt:i4>
      </vt:variant>
      <vt:variant>
        <vt:i4>5</vt:i4>
      </vt:variant>
      <vt:variant>
        <vt:lpwstr/>
      </vt:variant>
      <vt:variant>
        <vt:lpwstr>_Toc147767264</vt:lpwstr>
      </vt:variant>
      <vt:variant>
        <vt:i4>1376306</vt:i4>
      </vt:variant>
      <vt:variant>
        <vt:i4>5</vt:i4>
      </vt:variant>
      <vt:variant>
        <vt:i4>0</vt:i4>
      </vt:variant>
      <vt:variant>
        <vt:i4>5</vt:i4>
      </vt:variant>
      <vt:variant>
        <vt:lpwstr/>
      </vt:variant>
      <vt:variant>
        <vt:lpwstr>_Toc147767263</vt:lpwstr>
      </vt:variant>
      <vt:variant>
        <vt:i4>6291548</vt:i4>
      </vt:variant>
      <vt:variant>
        <vt:i4>0</vt:i4>
      </vt:variant>
      <vt:variant>
        <vt:i4>0</vt:i4>
      </vt:variant>
      <vt:variant>
        <vt:i4>5</vt:i4>
      </vt:variant>
      <vt:variant>
        <vt:lpwstr>mailto:tga.copyright@tga.gov.au</vt:lpwstr>
      </vt:variant>
      <vt:variant>
        <vt:lpwstr/>
      </vt:variant>
      <vt:variant>
        <vt:i4>6750334</vt:i4>
      </vt:variant>
      <vt:variant>
        <vt:i4>249</vt:i4>
      </vt:variant>
      <vt:variant>
        <vt:i4>0</vt:i4>
      </vt:variant>
      <vt:variant>
        <vt:i4>5</vt:i4>
      </vt:variant>
      <vt:variant>
        <vt:lpwstr>https://www.statista.com/statistics/1189066/australia-electronic-cigarette-and-vaping-sales-value/</vt:lpwstr>
      </vt:variant>
      <vt:variant>
        <vt:lpwstr/>
      </vt:variant>
      <vt:variant>
        <vt:i4>2949177</vt:i4>
      </vt:variant>
      <vt:variant>
        <vt:i4>246</vt:i4>
      </vt:variant>
      <vt:variant>
        <vt:i4>0</vt:i4>
      </vt:variant>
      <vt:variant>
        <vt:i4>5</vt:i4>
      </vt:variant>
      <vt:variant>
        <vt:lpwstr>https://www.psa.org.au/wp-content/uploads/2018/07/PSA-Code-of-Ethics-2017.pdf</vt:lpwstr>
      </vt:variant>
      <vt:variant>
        <vt:lpwstr>:~:text=These%20values%20reflect%20the%20commitment%20of%20pharmacists%20to,ensure%20fair%20and%20equitable%20allocation%20of%20resources%20%28justice%29.</vt:lpwstr>
      </vt:variant>
      <vt:variant>
        <vt:i4>5767197</vt:i4>
      </vt:variant>
      <vt:variant>
        <vt:i4>243</vt:i4>
      </vt:variant>
      <vt:variant>
        <vt:i4>0</vt:i4>
      </vt:variant>
      <vt:variant>
        <vt:i4>5</vt:i4>
      </vt:variant>
      <vt:variant>
        <vt:lpwstr>https://smokefreeclinic.com.au/nicotine-vapes-australia/</vt:lpwstr>
      </vt:variant>
      <vt:variant>
        <vt:lpwstr/>
      </vt:variant>
      <vt:variant>
        <vt:i4>7143456</vt:i4>
      </vt:variant>
      <vt:variant>
        <vt:i4>240</vt:i4>
      </vt:variant>
      <vt:variant>
        <vt:i4>0</vt:i4>
      </vt:variant>
      <vt:variant>
        <vt:i4>5</vt:i4>
      </vt:variant>
      <vt:variant>
        <vt:lpwstr>https://smokefreeclinic.com.au/</vt:lpwstr>
      </vt:variant>
      <vt:variant>
        <vt:lpwstr/>
      </vt:variant>
      <vt:variant>
        <vt:i4>2687032</vt:i4>
      </vt:variant>
      <vt:variant>
        <vt:i4>237</vt:i4>
      </vt:variant>
      <vt:variant>
        <vt:i4>0</vt:i4>
      </vt:variant>
      <vt:variant>
        <vt:i4>5</vt:i4>
      </vt:variant>
      <vt:variant>
        <vt:lpwstr>https://www.tga.gov.au/resources/resource/guidance/nicotine-vaping-products-information-pharmacist</vt:lpwstr>
      </vt:variant>
      <vt:variant>
        <vt:lpwstr/>
      </vt:variant>
      <vt:variant>
        <vt:i4>5439559</vt:i4>
      </vt:variant>
      <vt:variant>
        <vt:i4>234</vt:i4>
      </vt:variant>
      <vt:variant>
        <vt:i4>0</vt:i4>
      </vt:variant>
      <vt:variant>
        <vt:i4>5</vt:i4>
      </vt:variant>
      <vt:variant>
        <vt:lpwstr>C:\Users\DarrenMoore\Downloads\Nursingand-Midwifery-Board---Report---Registration-Data---30-June-2023.PDF</vt:lpwstr>
      </vt:variant>
      <vt:variant>
        <vt:lpwstr/>
      </vt:variant>
      <vt:variant>
        <vt:i4>8323120</vt:i4>
      </vt:variant>
      <vt:variant>
        <vt:i4>231</vt:i4>
      </vt:variant>
      <vt:variant>
        <vt:i4>0</vt:i4>
      </vt:variant>
      <vt:variant>
        <vt:i4>5</vt:i4>
      </vt:variant>
      <vt:variant>
        <vt:lpwstr>https://www.tga.gov.au/form/authorised-prescribers</vt:lpwstr>
      </vt:variant>
      <vt:variant>
        <vt:lpwstr/>
      </vt:variant>
      <vt:variant>
        <vt:i4>5374017</vt:i4>
      </vt:variant>
      <vt:variant>
        <vt:i4>228</vt:i4>
      </vt:variant>
      <vt:variant>
        <vt:i4>0</vt:i4>
      </vt:variant>
      <vt:variant>
        <vt:i4>5</vt:i4>
      </vt:variant>
      <vt:variant>
        <vt:lpwstr>https://www.tga.gov.au/form/special-access-scheme</vt:lpwstr>
      </vt:variant>
      <vt:variant>
        <vt:lpwstr/>
      </vt:variant>
      <vt:variant>
        <vt:i4>4849749</vt:i4>
      </vt:variant>
      <vt:variant>
        <vt:i4>225</vt:i4>
      </vt:variant>
      <vt:variant>
        <vt:i4>0</vt:i4>
      </vt:variant>
      <vt:variant>
        <vt:i4>5</vt:i4>
      </vt:variant>
      <vt:variant>
        <vt:lpwstr>https://www.tga.gov.au/accessing-e-cigarettes-containing-liquid-nicotine</vt:lpwstr>
      </vt:variant>
      <vt:variant>
        <vt:lpwstr/>
      </vt:variant>
      <vt:variant>
        <vt:i4>4259964</vt:i4>
      </vt:variant>
      <vt:variant>
        <vt:i4>222</vt:i4>
      </vt:variant>
      <vt:variant>
        <vt:i4>0</vt:i4>
      </vt:variant>
      <vt:variant>
        <vt:i4>5</vt:i4>
      </vt:variant>
      <vt:variant>
        <vt:lpwstr>http://www.wsmi.org/wp-content/uploads/2015/06/CONSUMER-BEHAVIOUR-FACT-BOOK_MARCH-2015.pdf</vt:lpwstr>
      </vt:variant>
      <vt:variant>
        <vt:lpwstr/>
      </vt:variant>
      <vt:variant>
        <vt:i4>2031645</vt:i4>
      </vt:variant>
      <vt:variant>
        <vt:i4>219</vt:i4>
      </vt:variant>
      <vt:variant>
        <vt:i4>0</vt:i4>
      </vt:variant>
      <vt:variant>
        <vt:i4>5</vt:i4>
      </vt:variant>
      <vt:variant>
        <vt:lpwstr>https://www.abs.gov.au/statistics/labour/earnings-and-work-hours/employee-earnings-and-hours-australia/latest-release</vt:lpwstr>
      </vt:variant>
      <vt:variant>
        <vt:lpwstr>data-download</vt:lpwstr>
      </vt:variant>
      <vt:variant>
        <vt:i4>5963842</vt:i4>
      </vt:variant>
      <vt:variant>
        <vt:i4>216</vt:i4>
      </vt:variant>
      <vt:variant>
        <vt:i4>0</vt:i4>
      </vt:variant>
      <vt:variant>
        <vt:i4>5</vt:i4>
      </vt:variant>
      <vt:variant>
        <vt:lpwstr>https://oia.pmc.gov.au/published-impact-analyses-and-reports/review-tobacco-control-legislative-framework-thematic-review</vt:lpwstr>
      </vt:variant>
      <vt:variant>
        <vt:lpwstr/>
      </vt:variant>
      <vt:variant>
        <vt:i4>5963842</vt:i4>
      </vt:variant>
      <vt:variant>
        <vt:i4>213</vt:i4>
      </vt:variant>
      <vt:variant>
        <vt:i4>0</vt:i4>
      </vt:variant>
      <vt:variant>
        <vt:i4>5</vt:i4>
      </vt:variant>
      <vt:variant>
        <vt:lpwstr>https://oia.pmc.gov.au/published-impact-analyses-and-reports/review-tobacco-control-legislative-framework-thematic-review</vt:lpwstr>
      </vt:variant>
      <vt:variant>
        <vt:lpwstr/>
      </vt:variant>
      <vt:variant>
        <vt:i4>7012385</vt:i4>
      </vt:variant>
      <vt:variant>
        <vt:i4>210</vt:i4>
      </vt:variant>
      <vt:variant>
        <vt:i4>0</vt:i4>
      </vt:variant>
      <vt:variant>
        <vt:i4>5</vt:i4>
      </vt:variant>
      <vt:variant>
        <vt:lpwstr>https://www.gov.uk/government/calls-for-evidence/youth-vaping-call-for-evidence/youth-vaping-call-for-evidence</vt:lpwstr>
      </vt:variant>
      <vt:variant>
        <vt:lpwstr/>
      </vt:variant>
      <vt:variant>
        <vt:i4>7209059</vt:i4>
      </vt:variant>
      <vt:variant>
        <vt:i4>207</vt:i4>
      </vt:variant>
      <vt:variant>
        <vt:i4>0</vt:i4>
      </vt:variant>
      <vt:variant>
        <vt:i4>5</vt:i4>
      </vt:variant>
      <vt:variant>
        <vt:lpwstr>https://www.health.govt.nz/news-media/news-items/new-policies-will-help-reach-smokefree-goal-and-address-increase-youth-vaping</vt:lpwstr>
      </vt:variant>
      <vt:variant>
        <vt:lpwstr/>
      </vt:variant>
      <vt:variant>
        <vt:i4>5898270</vt:i4>
      </vt:variant>
      <vt:variant>
        <vt:i4>204</vt:i4>
      </vt:variant>
      <vt:variant>
        <vt:i4>0</vt:i4>
      </vt:variant>
      <vt:variant>
        <vt:i4>5</vt:i4>
      </vt:variant>
      <vt:variant>
        <vt:lpwstr>https://www.health.govt.nz/publication/smoking-status-daily-vapers-new-zealand-health-survey-2017-18-2021-22</vt:lpwstr>
      </vt:variant>
      <vt:variant>
        <vt:lpwstr/>
      </vt:variant>
      <vt:variant>
        <vt:i4>5963842</vt:i4>
      </vt:variant>
      <vt:variant>
        <vt:i4>201</vt:i4>
      </vt:variant>
      <vt:variant>
        <vt:i4>0</vt:i4>
      </vt:variant>
      <vt:variant>
        <vt:i4>5</vt:i4>
      </vt:variant>
      <vt:variant>
        <vt:lpwstr>https://oia.pmc.gov.au/published-impact-analyses-and-reports/review-tobacco-control-legislative-framework-thematic-review</vt:lpwstr>
      </vt:variant>
      <vt:variant>
        <vt:lpwstr/>
      </vt:variant>
      <vt:variant>
        <vt:i4>458762</vt:i4>
      </vt:variant>
      <vt:variant>
        <vt:i4>198</vt:i4>
      </vt:variant>
      <vt:variant>
        <vt:i4>0</vt:i4>
      </vt:variant>
      <vt:variant>
        <vt:i4>5</vt:i4>
      </vt:variant>
      <vt:variant>
        <vt:lpwstr>https://www.health.govt.nz/our-work/regulation-health-and-disability-system/vaping-herbal-smoking-and-smokeless-tobacco-products-regulation/information-retailers-notifiable-products/obligations-notifiable-products</vt:lpwstr>
      </vt:variant>
      <vt:variant>
        <vt:lpwstr/>
      </vt:variant>
      <vt:variant>
        <vt:i4>5963847</vt:i4>
      </vt:variant>
      <vt:variant>
        <vt:i4>195</vt:i4>
      </vt:variant>
      <vt:variant>
        <vt:i4>0</vt:i4>
      </vt:variant>
      <vt:variant>
        <vt:i4>5</vt:i4>
      </vt:variant>
      <vt:variant>
        <vt:lpwstr>https://www.health.govt.nz/our-work/regulation-health-and-disability-system/vaping-herbal-smoking-and-smokeless-tobacco-products-regulation/about-smokefree-environments-and-regulated-products-vaping-amendment-act</vt:lpwstr>
      </vt:variant>
      <vt:variant>
        <vt:lpwstr/>
      </vt:variant>
      <vt:variant>
        <vt:i4>720917</vt:i4>
      </vt:variant>
      <vt:variant>
        <vt:i4>192</vt:i4>
      </vt:variant>
      <vt:variant>
        <vt:i4>0</vt:i4>
      </vt:variant>
      <vt:variant>
        <vt:i4>5</vt:i4>
      </vt:variant>
      <vt:variant>
        <vt:lpwstr>https://www.tga.gov.au/resources/lab-test-reports</vt:lpwstr>
      </vt:variant>
      <vt:variant>
        <vt:lpwstr/>
      </vt:variant>
      <vt:variant>
        <vt:i4>4522061</vt:i4>
      </vt:variant>
      <vt:variant>
        <vt:i4>189</vt:i4>
      </vt:variant>
      <vt:variant>
        <vt:i4>0</vt:i4>
      </vt:variant>
      <vt:variant>
        <vt:i4>5</vt:i4>
      </vt:variant>
      <vt:variant>
        <vt:lpwstr>https://www.abc.net.au/news/2023-03-19/vape-disposal-waste-environment/102104946</vt:lpwstr>
      </vt:variant>
      <vt:variant>
        <vt:lpwstr/>
      </vt:variant>
      <vt:variant>
        <vt:i4>7798908</vt:i4>
      </vt:variant>
      <vt:variant>
        <vt:i4>186</vt:i4>
      </vt:variant>
      <vt:variant>
        <vt:i4>0</vt:i4>
      </vt:variant>
      <vt:variant>
        <vt:i4>5</vt:i4>
      </vt:variant>
      <vt:variant>
        <vt:lpwstr>https://www.australiangeographic.com.au/news/2023/02/e-cigarettes-pose-a-triple-threat-to-the-environment-says-clean-up-australia-waste-report/</vt:lpwstr>
      </vt:variant>
      <vt:variant>
        <vt:lpwstr/>
      </vt:variant>
      <vt:variant>
        <vt:i4>5636189</vt:i4>
      </vt:variant>
      <vt:variant>
        <vt:i4>183</vt:i4>
      </vt:variant>
      <vt:variant>
        <vt:i4>0</vt:i4>
      </vt:variant>
      <vt:variant>
        <vt:i4>5</vt:i4>
      </vt:variant>
      <vt:variant>
        <vt:lpwstr>https://www.cleanup.org.au/rubbish-report</vt:lpwstr>
      </vt:variant>
      <vt:variant>
        <vt:lpwstr/>
      </vt:variant>
      <vt:variant>
        <vt:i4>5767174</vt:i4>
      </vt:variant>
      <vt:variant>
        <vt:i4>180</vt:i4>
      </vt:variant>
      <vt:variant>
        <vt:i4>0</vt:i4>
      </vt:variant>
      <vt:variant>
        <vt:i4>5</vt:i4>
      </vt:variant>
      <vt:variant>
        <vt:lpwstr>https://www.vichealth.vic.gov.au/news-publications/media-releases/bad-vapefluence</vt:lpwstr>
      </vt:variant>
      <vt:variant>
        <vt:lpwstr/>
      </vt:variant>
      <vt:variant>
        <vt:i4>1114206</vt:i4>
      </vt:variant>
      <vt:variant>
        <vt:i4>174</vt:i4>
      </vt:variant>
      <vt:variant>
        <vt:i4>0</vt:i4>
      </vt:variant>
      <vt:variant>
        <vt:i4>5</vt:i4>
      </vt:variant>
      <vt:variant>
        <vt:lpwstr>https://www.tga.gov.au/resources/publication/scheduling-decisions-final/notice-final-decision-amend-current-poisons-standard-nicotine</vt:lpwstr>
      </vt:variant>
      <vt:variant>
        <vt:lpwstr/>
      </vt:variant>
      <vt:variant>
        <vt:i4>262147</vt:i4>
      </vt:variant>
      <vt:variant>
        <vt:i4>171</vt:i4>
      </vt:variant>
      <vt:variant>
        <vt:i4>0</vt:i4>
      </vt:variant>
      <vt:variant>
        <vt:i4>5</vt:i4>
      </vt:variant>
      <vt:variant>
        <vt:lpwstr>https://findanexpert.unimelb.edu.au/news/31387-the-pros-and-cons-of-prescription-only-liquid-nicotine</vt:lpwstr>
      </vt:variant>
      <vt:variant>
        <vt:lpwstr/>
      </vt:variant>
      <vt:variant>
        <vt:i4>8323130</vt:i4>
      </vt:variant>
      <vt:variant>
        <vt:i4>168</vt:i4>
      </vt:variant>
      <vt:variant>
        <vt:i4>0</vt:i4>
      </vt:variant>
      <vt:variant>
        <vt:i4>5</vt:i4>
      </vt:variant>
      <vt:variant>
        <vt:lpwstr>https://www.gov.uk/government/publications/the-khan-review-making-smoking-obsolete</vt:lpwstr>
      </vt:variant>
      <vt:variant>
        <vt:lpwstr/>
      </vt:variant>
      <vt:variant>
        <vt:i4>2162731</vt:i4>
      </vt:variant>
      <vt:variant>
        <vt:i4>165</vt:i4>
      </vt:variant>
      <vt:variant>
        <vt:i4>0</vt:i4>
      </vt:variant>
      <vt:variant>
        <vt:i4>5</vt:i4>
      </vt:variant>
      <vt:variant>
        <vt:lpwstr>https://www.gov.uk/government/news/smokers-urged-to-swap-cigarettes-for-vapes-in-world-first-scheme</vt:lpwstr>
      </vt:variant>
      <vt:variant>
        <vt:lpwstr/>
      </vt:variant>
      <vt:variant>
        <vt:i4>1179664</vt:i4>
      </vt:variant>
      <vt:variant>
        <vt:i4>162</vt:i4>
      </vt:variant>
      <vt:variant>
        <vt:i4>0</vt:i4>
      </vt:variant>
      <vt:variant>
        <vt:i4>5</vt:i4>
      </vt:variant>
      <vt:variant>
        <vt:lpwstr>https://www.cochranelibrary.com/cdsr/doi/10.1002/14651858.CD010216.pub7/full</vt:lpwstr>
      </vt:variant>
      <vt:variant>
        <vt:lpwstr/>
      </vt:variant>
      <vt:variant>
        <vt:i4>262152</vt:i4>
      </vt:variant>
      <vt:variant>
        <vt:i4>159</vt:i4>
      </vt:variant>
      <vt:variant>
        <vt:i4>0</vt:i4>
      </vt:variant>
      <vt:variant>
        <vt:i4>5</vt:i4>
      </vt:variant>
      <vt:variant>
        <vt:lpwstr>https://www.aihw.gov.au/reports/burden-of-disease/abds-2018-interactive-data-risk-factors</vt:lpwstr>
      </vt:variant>
      <vt:variant>
        <vt:lpwstr/>
      </vt:variant>
      <vt:variant>
        <vt:i4>1114206</vt:i4>
      </vt:variant>
      <vt:variant>
        <vt:i4>156</vt:i4>
      </vt:variant>
      <vt:variant>
        <vt:i4>0</vt:i4>
      </vt:variant>
      <vt:variant>
        <vt:i4>5</vt:i4>
      </vt:variant>
      <vt:variant>
        <vt:lpwstr>https://www.tga.gov.au/resources/publication/scheduling-decisions-final/notice-final-decision-amend-current-poisons-standard-nicotine</vt:lpwstr>
      </vt:variant>
      <vt:variant>
        <vt:lpwstr/>
      </vt:variant>
      <vt:variant>
        <vt:i4>720965</vt:i4>
      </vt:variant>
      <vt:variant>
        <vt:i4>153</vt:i4>
      </vt:variant>
      <vt:variant>
        <vt:i4>0</vt:i4>
      </vt:variant>
      <vt:variant>
        <vt:i4>5</vt:i4>
      </vt:variant>
      <vt:variant>
        <vt:lpwstr>https://openresearch-repository.anu.edu.au/bitstream/1885/211618/3/E-cigarettes smoking behaviour summary report final 200924.pdf</vt:lpwstr>
      </vt:variant>
      <vt:variant>
        <vt:lpwstr/>
      </vt:variant>
      <vt:variant>
        <vt:i4>2883620</vt:i4>
      </vt:variant>
      <vt:variant>
        <vt:i4>150</vt:i4>
      </vt:variant>
      <vt:variant>
        <vt:i4>0</vt:i4>
      </vt:variant>
      <vt:variant>
        <vt:i4>5</vt:i4>
      </vt:variant>
      <vt:variant>
        <vt:lpwstr>https://e-cigarettes.surgeongeneral.gov/documents/2016_SGR_Exec_Summ_508.pdf</vt:lpwstr>
      </vt:variant>
      <vt:variant>
        <vt:lpwstr/>
      </vt:variant>
      <vt:variant>
        <vt:i4>4849682</vt:i4>
      </vt:variant>
      <vt:variant>
        <vt:i4>147</vt:i4>
      </vt:variant>
      <vt:variant>
        <vt:i4>0</vt:i4>
      </vt:variant>
      <vt:variant>
        <vt:i4>5</vt:i4>
      </vt:variant>
      <vt:variant>
        <vt:lpwstr>https://openresearch-repository.anu.edu.au/handle/1885/262914</vt:lpwstr>
      </vt:variant>
      <vt:variant>
        <vt:lpwstr/>
      </vt:variant>
      <vt:variant>
        <vt:i4>393231</vt:i4>
      </vt:variant>
      <vt:variant>
        <vt:i4>144</vt:i4>
      </vt:variant>
      <vt:variant>
        <vt:i4>0</vt:i4>
      </vt:variant>
      <vt:variant>
        <vt:i4>5</vt:i4>
      </vt:variant>
      <vt:variant>
        <vt:lpwstr>https://pubmed.ncbi.nlm.nih.gov/33785493/</vt:lpwstr>
      </vt:variant>
      <vt:variant>
        <vt:lpwstr/>
      </vt:variant>
      <vt:variant>
        <vt:i4>6357050</vt:i4>
      </vt:variant>
      <vt:variant>
        <vt:i4>141</vt:i4>
      </vt:variant>
      <vt:variant>
        <vt:i4>0</vt:i4>
      </vt:variant>
      <vt:variant>
        <vt:i4>5</vt:i4>
      </vt:variant>
      <vt:variant>
        <vt:lpwstr>https://www.tga.gov.au/resources/publication/scheduling-decisions-final/notice-final-decision-amend-current-poisons-standard-nicotine</vt:lpwstr>
      </vt:variant>
      <vt:variant>
        <vt:lpwstr>:~:text=Pursuant%20to%20regulation%2042ZCZR%20of,to%20be%20fitted%20in%20liquid</vt:lpwstr>
      </vt:variant>
      <vt:variant>
        <vt:i4>4653075</vt:i4>
      </vt:variant>
      <vt:variant>
        <vt:i4>138</vt:i4>
      </vt:variant>
      <vt:variant>
        <vt:i4>0</vt:i4>
      </vt:variant>
      <vt:variant>
        <vt:i4>5</vt:i4>
      </vt:variant>
      <vt:variant>
        <vt:lpwstr>https://www.uts.edu.au/news/health-science/navigating-hazards</vt:lpwstr>
      </vt:variant>
      <vt:variant>
        <vt:lpwstr/>
      </vt:variant>
      <vt:variant>
        <vt:i4>7405680</vt:i4>
      </vt:variant>
      <vt:variant>
        <vt:i4>135</vt:i4>
      </vt:variant>
      <vt:variant>
        <vt:i4>0</vt:i4>
      </vt:variant>
      <vt:variant>
        <vt:i4>5</vt:i4>
      </vt:variant>
      <vt:variant>
        <vt:lpwstr>https://nap.nationalacademies.org/catalog/24952/public-health-consequences-of-e-cigarettes</vt:lpwstr>
      </vt:variant>
      <vt:variant>
        <vt:lpwstr/>
      </vt:variant>
      <vt:variant>
        <vt:i4>4849682</vt:i4>
      </vt:variant>
      <vt:variant>
        <vt:i4>132</vt:i4>
      </vt:variant>
      <vt:variant>
        <vt:i4>0</vt:i4>
      </vt:variant>
      <vt:variant>
        <vt:i4>5</vt:i4>
      </vt:variant>
      <vt:variant>
        <vt:lpwstr>https://openresearch-repository.anu.edu.au/handle/1885/262914</vt:lpwstr>
      </vt:variant>
      <vt:variant>
        <vt:lpwstr/>
      </vt:variant>
      <vt:variant>
        <vt:i4>4587610</vt:i4>
      </vt:variant>
      <vt:variant>
        <vt:i4>129</vt:i4>
      </vt:variant>
      <vt:variant>
        <vt:i4>0</vt:i4>
      </vt:variant>
      <vt:variant>
        <vt:i4>5</vt:i4>
      </vt:variant>
      <vt:variant>
        <vt:lpwstr>https://www.nhmrc.gov.au/health-advice/all-topics/electronic-cigarettes/ceo-statement</vt:lpwstr>
      </vt:variant>
      <vt:variant>
        <vt:lpwstr/>
      </vt:variant>
      <vt:variant>
        <vt:i4>65627</vt:i4>
      </vt:variant>
      <vt:variant>
        <vt:i4>126</vt:i4>
      </vt:variant>
      <vt:variant>
        <vt:i4>0</vt:i4>
      </vt:variant>
      <vt:variant>
        <vt:i4>5</vt:i4>
      </vt:variant>
      <vt:variant>
        <vt:lpwstr>https://www.health.gov.au/topics/smoking-and-tobacco/about-smoking-and-tobacco/about-e-cigarettes</vt:lpwstr>
      </vt:variant>
      <vt:variant>
        <vt:lpwstr/>
      </vt:variant>
      <vt:variant>
        <vt:i4>65615</vt:i4>
      </vt:variant>
      <vt:variant>
        <vt:i4>123</vt:i4>
      </vt:variant>
      <vt:variant>
        <vt:i4>0</vt:i4>
      </vt:variant>
      <vt:variant>
        <vt:i4>5</vt:i4>
      </vt:variant>
      <vt:variant>
        <vt:lpwstr>https://www.health.nsw.gov.au/tobacco/Pages/vaping-evidence-summary.aspx</vt:lpwstr>
      </vt:variant>
      <vt:variant>
        <vt:lpwstr/>
      </vt:variant>
      <vt:variant>
        <vt:i4>2687098</vt:i4>
      </vt:variant>
      <vt:variant>
        <vt:i4>120</vt:i4>
      </vt:variant>
      <vt:variant>
        <vt:i4>0</vt:i4>
      </vt:variant>
      <vt:variant>
        <vt:i4>5</vt:i4>
      </vt:variant>
      <vt:variant>
        <vt:lpwstr>https://www.tga.gov.au/sites/default/files/2022-11/nicotine-vaping-products-analysis-evidence-university-wollongong.pdf</vt:lpwstr>
      </vt:variant>
      <vt:variant>
        <vt:lpwstr/>
      </vt:variant>
      <vt:variant>
        <vt:i4>4587610</vt:i4>
      </vt:variant>
      <vt:variant>
        <vt:i4>117</vt:i4>
      </vt:variant>
      <vt:variant>
        <vt:i4>0</vt:i4>
      </vt:variant>
      <vt:variant>
        <vt:i4>5</vt:i4>
      </vt:variant>
      <vt:variant>
        <vt:lpwstr>https://www.nhmrc.gov.au/health-advice/all-topics/electronic-cigarettes/ceo-statement</vt:lpwstr>
      </vt:variant>
      <vt:variant>
        <vt:lpwstr/>
      </vt:variant>
      <vt:variant>
        <vt:i4>7405680</vt:i4>
      </vt:variant>
      <vt:variant>
        <vt:i4>114</vt:i4>
      </vt:variant>
      <vt:variant>
        <vt:i4>0</vt:i4>
      </vt:variant>
      <vt:variant>
        <vt:i4>5</vt:i4>
      </vt:variant>
      <vt:variant>
        <vt:lpwstr>https://nap.nationalacademies.org/catalog/24952/public-health-consequences-of-e-cigarettes</vt:lpwstr>
      </vt:variant>
      <vt:variant>
        <vt:lpwstr/>
      </vt:variant>
      <vt:variant>
        <vt:i4>4849682</vt:i4>
      </vt:variant>
      <vt:variant>
        <vt:i4>111</vt:i4>
      </vt:variant>
      <vt:variant>
        <vt:i4>0</vt:i4>
      </vt:variant>
      <vt:variant>
        <vt:i4>5</vt:i4>
      </vt:variant>
      <vt:variant>
        <vt:lpwstr>https://openresearch-repository.anu.edu.au/handle/1885/262914</vt:lpwstr>
      </vt:variant>
      <vt:variant>
        <vt:lpwstr/>
      </vt:variant>
      <vt:variant>
        <vt:i4>65615</vt:i4>
      </vt:variant>
      <vt:variant>
        <vt:i4>108</vt:i4>
      </vt:variant>
      <vt:variant>
        <vt:i4>0</vt:i4>
      </vt:variant>
      <vt:variant>
        <vt:i4>5</vt:i4>
      </vt:variant>
      <vt:variant>
        <vt:lpwstr>https://www.health.nsw.gov.au/tobacco/Pages/vaping-evidence-summary.aspx</vt:lpwstr>
      </vt:variant>
      <vt:variant>
        <vt:lpwstr/>
      </vt:variant>
      <vt:variant>
        <vt:i4>1507411</vt:i4>
      </vt:variant>
      <vt:variant>
        <vt:i4>105</vt:i4>
      </vt:variant>
      <vt:variant>
        <vt:i4>0</vt:i4>
      </vt:variant>
      <vt:variant>
        <vt:i4>5</vt:i4>
      </vt:variant>
      <vt:variant>
        <vt:lpwstr>https://www.anu.edu.au/news/all-news/vaping-increasing-among-young-aussies-as-risks-confirmed</vt:lpwstr>
      </vt:variant>
      <vt:variant>
        <vt:lpwstr/>
      </vt:variant>
      <vt:variant>
        <vt:i4>4849682</vt:i4>
      </vt:variant>
      <vt:variant>
        <vt:i4>102</vt:i4>
      </vt:variant>
      <vt:variant>
        <vt:i4>0</vt:i4>
      </vt:variant>
      <vt:variant>
        <vt:i4>5</vt:i4>
      </vt:variant>
      <vt:variant>
        <vt:lpwstr>https://openresearch-repository.anu.edu.au/handle/1885/262914</vt:lpwstr>
      </vt:variant>
      <vt:variant>
        <vt:lpwstr/>
      </vt:variant>
      <vt:variant>
        <vt:i4>7405680</vt:i4>
      </vt:variant>
      <vt:variant>
        <vt:i4>99</vt:i4>
      </vt:variant>
      <vt:variant>
        <vt:i4>0</vt:i4>
      </vt:variant>
      <vt:variant>
        <vt:i4>5</vt:i4>
      </vt:variant>
      <vt:variant>
        <vt:lpwstr>https://nap.nationalacademies.org/catalog/24952/public-health-consequences-of-e-cigarettes</vt:lpwstr>
      </vt:variant>
      <vt:variant>
        <vt:lpwstr/>
      </vt:variant>
      <vt:variant>
        <vt:i4>4587610</vt:i4>
      </vt:variant>
      <vt:variant>
        <vt:i4>96</vt:i4>
      </vt:variant>
      <vt:variant>
        <vt:i4>0</vt:i4>
      </vt:variant>
      <vt:variant>
        <vt:i4>5</vt:i4>
      </vt:variant>
      <vt:variant>
        <vt:lpwstr>https://www.nhmrc.gov.au/health-advice/all-topics/electronic-cigarettes/ceo-statement</vt:lpwstr>
      </vt:variant>
      <vt:variant>
        <vt:lpwstr/>
      </vt:variant>
      <vt:variant>
        <vt:i4>3932272</vt:i4>
      </vt:variant>
      <vt:variant>
        <vt:i4>93</vt:i4>
      </vt:variant>
      <vt:variant>
        <vt:i4>0</vt:i4>
      </vt:variant>
      <vt:variant>
        <vt:i4>5</vt:i4>
      </vt:variant>
      <vt:variant>
        <vt:lpwstr>https://doi.org/10.1111/1753-6405.13316</vt:lpwstr>
      </vt:variant>
      <vt:variant>
        <vt:lpwstr/>
      </vt:variant>
      <vt:variant>
        <vt:i4>3932272</vt:i4>
      </vt:variant>
      <vt:variant>
        <vt:i4>90</vt:i4>
      </vt:variant>
      <vt:variant>
        <vt:i4>0</vt:i4>
      </vt:variant>
      <vt:variant>
        <vt:i4>5</vt:i4>
      </vt:variant>
      <vt:variant>
        <vt:lpwstr>https://doi.org/10.1111/1753-6405.13316</vt:lpwstr>
      </vt:variant>
      <vt:variant>
        <vt:lpwstr/>
      </vt:variant>
      <vt:variant>
        <vt:i4>2228282</vt:i4>
      </vt:variant>
      <vt:variant>
        <vt:i4>87</vt:i4>
      </vt:variant>
      <vt:variant>
        <vt:i4>0</vt:i4>
      </vt:variant>
      <vt:variant>
        <vt:i4>5</vt:i4>
      </vt:variant>
      <vt:variant>
        <vt:lpwstr>https://doi.org/10.1186/s12889-023-15142-8</vt:lpwstr>
      </vt:variant>
      <vt:variant>
        <vt:lpwstr/>
      </vt:variant>
      <vt:variant>
        <vt:i4>4456468</vt:i4>
      </vt:variant>
      <vt:variant>
        <vt:i4>84</vt:i4>
      </vt:variant>
      <vt:variant>
        <vt:i4>0</vt:i4>
      </vt:variant>
      <vt:variant>
        <vt:i4>5</vt:i4>
      </vt:variant>
      <vt:variant>
        <vt:lpwstr>https://www.aihw.gov.au/reports/alcohol/alcohol-tobacco-other-drugs-australia/contents/about</vt:lpwstr>
      </vt:variant>
      <vt:variant>
        <vt:lpwstr/>
      </vt:variant>
      <vt:variant>
        <vt:i4>131151</vt:i4>
      </vt:variant>
      <vt:variant>
        <vt:i4>81</vt:i4>
      </vt:variant>
      <vt:variant>
        <vt:i4>0</vt:i4>
      </vt:variant>
      <vt:variant>
        <vt:i4>5</vt:i4>
      </vt:variant>
      <vt:variant>
        <vt:lpwstr>https://www.aihw.gov.au/reports/illicit-use-of-drugs/national-drug-strategy-household-survey-2019/contents/table-of-contents</vt:lpwstr>
      </vt:variant>
      <vt:variant>
        <vt:lpwstr/>
      </vt:variant>
      <vt:variant>
        <vt:i4>2555937</vt:i4>
      </vt:variant>
      <vt:variant>
        <vt:i4>78</vt:i4>
      </vt:variant>
      <vt:variant>
        <vt:i4>0</vt:i4>
      </vt:variant>
      <vt:variant>
        <vt:i4>5</vt:i4>
      </vt:variant>
      <vt:variant>
        <vt:lpwstr>https://www.health.gov.au/resources/publications/current-vaping-and-smoking-in-the-australian-population-aged-14-years-or-older-february-2018-to-march-2023?language=en</vt:lpwstr>
      </vt:variant>
      <vt:variant>
        <vt:lpwstr/>
      </vt:variant>
      <vt:variant>
        <vt:i4>2555937</vt:i4>
      </vt:variant>
      <vt:variant>
        <vt:i4>75</vt:i4>
      </vt:variant>
      <vt:variant>
        <vt:i4>0</vt:i4>
      </vt:variant>
      <vt:variant>
        <vt:i4>5</vt:i4>
      </vt:variant>
      <vt:variant>
        <vt:lpwstr>https://www.health.gov.au/resources/publications/current-vaping-and-smoking-in-the-australian-population-aged-14-years-or-older-february-2018-to-march-2023?language=en</vt:lpwstr>
      </vt:variant>
      <vt:variant>
        <vt:lpwstr/>
      </vt:variant>
      <vt:variant>
        <vt:i4>7274550</vt:i4>
      </vt:variant>
      <vt:variant>
        <vt:i4>72</vt:i4>
      </vt:variant>
      <vt:variant>
        <vt:i4>0</vt:i4>
      </vt:variant>
      <vt:variant>
        <vt:i4>5</vt:i4>
      </vt:variant>
      <vt:variant>
        <vt:lpwstr>http://www.euro.who.int/en/health-topics/disease-prevention/tobacco/publications/2020/summary-results-of-the-global-youth-tobacco-survey-in-selected-countries-of-the-who-european-region-2020</vt:lpwstr>
      </vt:variant>
      <vt:variant>
        <vt:lpwstr/>
      </vt:variant>
      <vt:variant>
        <vt:i4>131151</vt:i4>
      </vt:variant>
      <vt:variant>
        <vt:i4>69</vt:i4>
      </vt:variant>
      <vt:variant>
        <vt:i4>0</vt:i4>
      </vt:variant>
      <vt:variant>
        <vt:i4>5</vt:i4>
      </vt:variant>
      <vt:variant>
        <vt:lpwstr>https://www.aihw.gov.au/reports/illicit-use-of-drugs/national-drug-strategy-household-survey-2019/contents/table-of-contents</vt:lpwstr>
      </vt:variant>
      <vt:variant>
        <vt:lpwstr/>
      </vt:variant>
      <vt:variant>
        <vt:i4>983114</vt:i4>
      </vt:variant>
      <vt:variant>
        <vt:i4>66</vt:i4>
      </vt:variant>
      <vt:variant>
        <vt:i4>0</vt:i4>
      </vt:variant>
      <vt:variant>
        <vt:i4>5</vt:i4>
      </vt:variant>
      <vt:variant>
        <vt:lpwstr>https://onlinelibrary.wiley.com/doi/full/10.1111/1753-6405.13056</vt:lpwstr>
      </vt:variant>
      <vt:variant>
        <vt:lpwstr/>
      </vt:variant>
      <vt:variant>
        <vt:i4>1441863</vt:i4>
      </vt:variant>
      <vt:variant>
        <vt:i4>63</vt:i4>
      </vt:variant>
      <vt:variant>
        <vt:i4>0</vt:i4>
      </vt:variant>
      <vt:variant>
        <vt:i4>5</vt:i4>
      </vt:variant>
      <vt:variant>
        <vt:lpwstr>https://www.ncbi.nlm.nih.gov/pmc/articles/PMC6651627/</vt:lpwstr>
      </vt:variant>
      <vt:variant>
        <vt:lpwstr/>
      </vt:variant>
      <vt:variant>
        <vt:i4>1310784</vt:i4>
      </vt:variant>
      <vt:variant>
        <vt:i4>60</vt:i4>
      </vt:variant>
      <vt:variant>
        <vt:i4>0</vt:i4>
      </vt:variant>
      <vt:variant>
        <vt:i4>5</vt:i4>
      </vt:variant>
      <vt:variant>
        <vt:lpwstr>https://www.ncbi.nlm.nih.gov/pmc/articles/PMC6655516/</vt:lpwstr>
      </vt:variant>
      <vt:variant>
        <vt:lpwstr/>
      </vt:variant>
      <vt:variant>
        <vt:i4>2555937</vt:i4>
      </vt:variant>
      <vt:variant>
        <vt:i4>57</vt:i4>
      </vt:variant>
      <vt:variant>
        <vt:i4>0</vt:i4>
      </vt:variant>
      <vt:variant>
        <vt:i4>5</vt:i4>
      </vt:variant>
      <vt:variant>
        <vt:lpwstr>https://www.health.gov.au/resources/publications/current-vaping-and-smoking-in-the-australian-population-aged-14-years-or-older-february-2018-to-march-2023?language=en</vt:lpwstr>
      </vt:variant>
      <vt:variant>
        <vt:lpwstr/>
      </vt:variant>
      <vt:variant>
        <vt:i4>655444</vt:i4>
      </vt:variant>
      <vt:variant>
        <vt:i4>54</vt:i4>
      </vt:variant>
      <vt:variant>
        <vt:i4>0</vt:i4>
      </vt:variant>
      <vt:variant>
        <vt:i4>5</vt:i4>
      </vt:variant>
      <vt:variant>
        <vt:lpwstr>https://www.ncbi.nlm.nih.gov/pubmed/36977623</vt:lpwstr>
      </vt:variant>
      <vt:variant>
        <vt:lpwstr/>
      </vt:variant>
      <vt:variant>
        <vt:i4>6881390</vt:i4>
      </vt:variant>
      <vt:variant>
        <vt:i4>51</vt:i4>
      </vt:variant>
      <vt:variant>
        <vt:i4>0</vt:i4>
      </vt:variant>
      <vt:variant>
        <vt:i4>5</vt:i4>
      </vt:variant>
      <vt:variant>
        <vt:lpwstr>https://www.cancer.nsw.gov.au/about-cancer/document-library/nsw-smoking-health-survey-2021</vt:lpwstr>
      </vt:variant>
      <vt:variant>
        <vt:lpwstr/>
      </vt:variant>
      <vt:variant>
        <vt:i4>8126588</vt:i4>
      </vt:variant>
      <vt:variant>
        <vt:i4>48</vt:i4>
      </vt:variant>
      <vt:variant>
        <vt:i4>0</vt:i4>
      </vt:variant>
      <vt:variant>
        <vt:i4>5</vt:i4>
      </vt:variant>
      <vt:variant>
        <vt:lpwstr>https://www.quit.org.au/facts-evidence/research-evaluation</vt:lpwstr>
      </vt:variant>
      <vt:variant>
        <vt:lpwstr/>
      </vt:variant>
      <vt:variant>
        <vt:i4>6946924</vt:i4>
      </vt:variant>
      <vt:variant>
        <vt:i4>45</vt:i4>
      </vt:variant>
      <vt:variant>
        <vt:i4>0</vt:i4>
      </vt:variant>
      <vt:variant>
        <vt:i4>5</vt:i4>
      </vt:variant>
      <vt:variant>
        <vt:lpwstr>https://onlinelibrary.wiley.com/doi/10.5694/mja2.51280</vt:lpwstr>
      </vt:variant>
      <vt:variant>
        <vt:lpwstr/>
      </vt:variant>
      <vt:variant>
        <vt:i4>3604533</vt:i4>
      </vt:variant>
      <vt:variant>
        <vt:i4>42</vt:i4>
      </vt:variant>
      <vt:variant>
        <vt:i4>0</vt:i4>
      </vt:variant>
      <vt:variant>
        <vt:i4>5</vt:i4>
      </vt:variant>
      <vt:variant>
        <vt:lpwstr>https://onlinelibrary.wiley.com/doi/full/10.5694/mja2.12059</vt:lpwstr>
      </vt:variant>
      <vt:variant>
        <vt:lpwstr/>
      </vt:variant>
      <vt:variant>
        <vt:i4>6357047</vt:i4>
      </vt:variant>
      <vt:variant>
        <vt:i4>39</vt:i4>
      </vt:variant>
      <vt:variant>
        <vt:i4>0</vt:i4>
      </vt:variant>
      <vt:variant>
        <vt:i4>5</vt:i4>
      </vt:variant>
      <vt:variant>
        <vt:lpwstr>https://www.tga.gov.au/news/media-releases/large-numbers-illegal-nicotine-vaping-products-seized-joint-tga-act-health-operation</vt:lpwstr>
      </vt:variant>
      <vt:variant>
        <vt:lpwstr/>
      </vt:variant>
      <vt:variant>
        <vt:i4>3276926</vt:i4>
      </vt:variant>
      <vt:variant>
        <vt:i4>36</vt:i4>
      </vt:variant>
      <vt:variant>
        <vt:i4>0</vt:i4>
      </vt:variant>
      <vt:variant>
        <vt:i4>5</vt:i4>
      </vt:variant>
      <vt:variant>
        <vt:lpwstr>https://www.theguardian.com/australia-news/2023/sep/25/toxic-chemicals-found-in-vapes-seized-from-nsw-schools-and-retailers</vt:lpwstr>
      </vt:variant>
      <vt:variant>
        <vt:lpwstr/>
      </vt:variant>
      <vt:variant>
        <vt:i4>2621567</vt:i4>
      </vt:variant>
      <vt:variant>
        <vt:i4>33</vt:i4>
      </vt:variant>
      <vt:variant>
        <vt:i4>0</vt:i4>
      </vt:variant>
      <vt:variant>
        <vt:i4>5</vt:i4>
      </vt:variant>
      <vt:variant>
        <vt:lpwstr>https://www.abc.net.au/news/2018-06-12/not-all-e-juices-are-as-nicotine-free-as-they-claim/9857540</vt:lpwstr>
      </vt:variant>
      <vt:variant>
        <vt:lpwstr/>
      </vt:variant>
      <vt:variant>
        <vt:i4>8126571</vt:i4>
      </vt:variant>
      <vt:variant>
        <vt:i4>30</vt:i4>
      </vt:variant>
      <vt:variant>
        <vt:i4>0</vt:i4>
      </vt:variant>
      <vt:variant>
        <vt:i4>5</vt:i4>
      </vt:variant>
      <vt:variant>
        <vt:lpwstr>https://tobaccocontrol.bmj.com/content/tobaccocontrol/31/6/689.full.pdf</vt:lpwstr>
      </vt:variant>
      <vt:variant>
        <vt:lpwstr/>
      </vt:variant>
      <vt:variant>
        <vt:i4>6357047</vt:i4>
      </vt:variant>
      <vt:variant>
        <vt:i4>27</vt:i4>
      </vt:variant>
      <vt:variant>
        <vt:i4>0</vt:i4>
      </vt:variant>
      <vt:variant>
        <vt:i4>5</vt:i4>
      </vt:variant>
      <vt:variant>
        <vt:lpwstr>https://www.tga.gov.au/news/media-releases/large-numbers-illegal-nicotine-vaping-products-seized-joint-tga-act-health-operation</vt:lpwstr>
      </vt:variant>
      <vt:variant>
        <vt:lpwstr/>
      </vt:variant>
      <vt:variant>
        <vt:i4>8323118</vt:i4>
      </vt:variant>
      <vt:variant>
        <vt:i4>24</vt:i4>
      </vt:variant>
      <vt:variant>
        <vt:i4>0</vt:i4>
      </vt:variant>
      <vt:variant>
        <vt:i4>5</vt:i4>
      </vt:variant>
      <vt:variant>
        <vt:lpwstr>https://aacs.org.au/wp-content/uploads/2022/08/AACS-CMA-Research-Attachment.pdf</vt:lpwstr>
      </vt:variant>
      <vt:variant>
        <vt:lpwstr/>
      </vt:variant>
      <vt:variant>
        <vt:i4>6750334</vt:i4>
      </vt:variant>
      <vt:variant>
        <vt:i4>21</vt:i4>
      </vt:variant>
      <vt:variant>
        <vt:i4>0</vt:i4>
      </vt:variant>
      <vt:variant>
        <vt:i4>5</vt:i4>
      </vt:variant>
      <vt:variant>
        <vt:lpwstr>https://www.statista.com/statistics/1189066/australia-electronic-cigarette-and-vaping-sales-value/</vt:lpwstr>
      </vt:variant>
      <vt:variant>
        <vt:lpwstr/>
      </vt:variant>
      <vt:variant>
        <vt:i4>8323118</vt:i4>
      </vt:variant>
      <vt:variant>
        <vt:i4>18</vt:i4>
      </vt:variant>
      <vt:variant>
        <vt:i4>0</vt:i4>
      </vt:variant>
      <vt:variant>
        <vt:i4>5</vt:i4>
      </vt:variant>
      <vt:variant>
        <vt:lpwstr>https://aacs.org.au/wp-content/uploads/2022/08/AACS-CMA-Research-Attachment.pdf</vt:lpwstr>
      </vt:variant>
      <vt:variant>
        <vt:lpwstr/>
      </vt:variant>
      <vt:variant>
        <vt:i4>458783</vt:i4>
      </vt:variant>
      <vt:variant>
        <vt:i4>15</vt:i4>
      </vt:variant>
      <vt:variant>
        <vt:i4>0</vt:i4>
      </vt:variant>
      <vt:variant>
        <vt:i4>5</vt:i4>
      </vt:variant>
      <vt:variant>
        <vt:lpwstr>https://ndarc.med.unsw.edu.au/sites/default/files/ndarc/resources/National_IDRS_2022_Report_16.01.23.pdf</vt:lpwstr>
      </vt:variant>
      <vt:variant>
        <vt:lpwstr/>
      </vt:variant>
      <vt:variant>
        <vt:i4>2555937</vt:i4>
      </vt:variant>
      <vt:variant>
        <vt:i4>12</vt:i4>
      </vt:variant>
      <vt:variant>
        <vt:i4>0</vt:i4>
      </vt:variant>
      <vt:variant>
        <vt:i4>5</vt:i4>
      </vt:variant>
      <vt:variant>
        <vt:lpwstr>https://www.health.gov.au/resources/publications/current-vaping-and-smoking-in-the-australian-population-aged-14-years-or-older-february-2018-to-march-2023?language=en</vt:lpwstr>
      </vt:variant>
      <vt:variant>
        <vt:lpwstr/>
      </vt:variant>
      <vt:variant>
        <vt:i4>7471155</vt:i4>
      </vt:variant>
      <vt:variant>
        <vt:i4>9</vt:i4>
      </vt:variant>
      <vt:variant>
        <vt:i4>0</vt:i4>
      </vt:variant>
      <vt:variant>
        <vt:i4>5</vt:i4>
      </vt:variant>
      <vt:variant>
        <vt:lpwstr>http://pediatrics.aappublications.org/cgi/reprint/peds.2009-0238v1</vt:lpwstr>
      </vt:variant>
      <vt:variant>
        <vt:lpwstr/>
      </vt:variant>
      <vt:variant>
        <vt:i4>2818053</vt:i4>
      </vt:variant>
      <vt:variant>
        <vt:i4>6</vt:i4>
      </vt:variant>
      <vt:variant>
        <vt:i4>0</vt:i4>
      </vt:variant>
      <vt:variant>
        <vt:i4>5</vt:i4>
      </vt:variant>
      <vt:variant>
        <vt:lpwstr>https://www.cdc.gov/tobacco/data_statistics/sgr/e-cigarettes/pdfs/2016_sgr_entire_report_508.pdf</vt:lpwstr>
      </vt:variant>
      <vt:variant>
        <vt:lpwstr/>
      </vt:variant>
      <vt:variant>
        <vt:i4>7864438</vt:i4>
      </vt:variant>
      <vt:variant>
        <vt:i4>3</vt:i4>
      </vt:variant>
      <vt:variant>
        <vt:i4>0</vt:i4>
      </vt:variant>
      <vt:variant>
        <vt:i4>5</vt:i4>
      </vt:variant>
      <vt:variant>
        <vt:lpwstr>https://openresearch-repository.anu.edu.au/bitstream/1885/262914/1/Electronic cigarettes health outcomes review_2022_WCAG.pdf</vt:lpwstr>
      </vt:variant>
      <vt:variant>
        <vt:lpwstr/>
      </vt:variant>
      <vt:variant>
        <vt:i4>2555937</vt:i4>
      </vt:variant>
      <vt:variant>
        <vt:i4>0</vt:i4>
      </vt:variant>
      <vt:variant>
        <vt:i4>0</vt:i4>
      </vt:variant>
      <vt:variant>
        <vt:i4>5</vt:i4>
      </vt:variant>
      <vt:variant>
        <vt:lpwstr>https://www.health.gov.au/resources/publications/current-vaping-and-smoking-in-the-australian-population-aged-14-years-or-older-february-2018-to-march-2023?language=en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2024-01-04T04:55:00Z</dcterms:created>
  <dcterms:modified xsi:type="dcterms:W3CDTF">2024-01-05T01:05:00Z</dcterms:modified>
</cp:coreProperties>
</file>