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4D1B2" w14:textId="26EE094D" w:rsidR="003E0B34" w:rsidRDefault="00B35917" w:rsidP="0081579A">
      <w:pPr>
        <w:pStyle w:val="BodyText"/>
        <w:rPr>
          <w:color w:val="FFFFFF" w:themeColor="background1"/>
        </w:rPr>
      </w:pPr>
      <w:bookmarkStart w:id="0" w:name="_GoBack"/>
      <w:bookmarkEnd w:id="0"/>
      <w:r>
        <w:rPr>
          <w:noProof/>
          <w:color w:val="FFFFFF" w:themeColor="background1"/>
        </w:rPr>
        <w:drawing>
          <wp:anchor distT="0" distB="0" distL="114300" distR="114300" simplePos="0" relativeHeight="251665408" behindDoc="1" locked="0" layoutInCell="1" allowOverlap="1" wp14:anchorId="3B028579" wp14:editId="1CC89347">
            <wp:simplePos x="0" y="0"/>
            <wp:positionH relativeFrom="column">
              <wp:posOffset>-903767</wp:posOffset>
            </wp:positionH>
            <wp:positionV relativeFrom="paragraph">
              <wp:posOffset>4445</wp:posOffset>
            </wp:positionV>
            <wp:extent cx="7602279" cy="10752617"/>
            <wp:effectExtent l="0" t="0" r="0" b="0"/>
            <wp:wrapNone/>
            <wp:docPr id="1174544085" name="Picture 1174544085" descr="A close-up of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44085" name="Picture 1" descr="A close-up of a cov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2279" cy="10752617"/>
                    </a:xfrm>
                    <a:prstGeom prst="rect">
                      <a:avLst/>
                    </a:prstGeom>
                  </pic:spPr>
                </pic:pic>
              </a:graphicData>
            </a:graphic>
            <wp14:sizeRelH relativeFrom="page">
              <wp14:pctWidth>0</wp14:pctWidth>
            </wp14:sizeRelH>
            <wp14:sizeRelV relativeFrom="page">
              <wp14:pctHeight>0</wp14:pctHeight>
            </wp14:sizeRelV>
          </wp:anchor>
        </w:drawing>
      </w:r>
      <w:r w:rsidR="006F197A">
        <w:rPr>
          <w:color w:val="FFFFFF" w:themeColor="background1"/>
        </w:rPr>
        <w:t>penalties</w:t>
      </w:r>
      <w:r w:rsidR="004B6EB4">
        <w:rPr>
          <w:color w:val="FFFFFF" w:themeColor="background1"/>
        </w:rPr>
        <w:t xml:space="preserve"> </w:t>
      </w:r>
    </w:p>
    <w:p w14:paraId="332C54BE" w14:textId="434BC2D1" w:rsidR="0031394D" w:rsidRDefault="0031394D" w:rsidP="008642DD">
      <w:pPr>
        <w:pStyle w:val="BodyText"/>
        <w:rPr>
          <w:color w:val="FFFFFF" w:themeColor="background1"/>
        </w:rPr>
      </w:pPr>
    </w:p>
    <w:p w14:paraId="40690600" w14:textId="77777777" w:rsidR="008642DD" w:rsidRDefault="008642DD" w:rsidP="0031394D">
      <w:pPr>
        <w:pStyle w:val="DocumentTitle"/>
      </w:pPr>
    </w:p>
    <w:p w14:paraId="3B1ED6B9" w14:textId="77777777" w:rsidR="008642DD" w:rsidRDefault="008642DD" w:rsidP="0031394D">
      <w:pPr>
        <w:pStyle w:val="DocumentTitle"/>
      </w:pPr>
    </w:p>
    <w:p w14:paraId="1C5339B6" w14:textId="77777777" w:rsidR="00B35917" w:rsidRDefault="00B35917" w:rsidP="0031394D">
      <w:pPr>
        <w:pStyle w:val="DocumentTitle"/>
      </w:pPr>
    </w:p>
    <w:p w14:paraId="5954B309" w14:textId="77777777" w:rsidR="009F2701" w:rsidRDefault="009F2701" w:rsidP="00076A7C">
      <w:pPr>
        <w:pStyle w:val="BodyText"/>
      </w:pPr>
    </w:p>
    <w:p w14:paraId="459DDCE2" w14:textId="77777777" w:rsidR="009F2701" w:rsidRDefault="009F2701" w:rsidP="00076A7C">
      <w:pPr>
        <w:pStyle w:val="BodyText"/>
      </w:pPr>
    </w:p>
    <w:p w14:paraId="4429B548" w14:textId="77777777" w:rsidR="009F2701" w:rsidRDefault="009F2701" w:rsidP="00076A7C">
      <w:pPr>
        <w:pStyle w:val="BodyText"/>
      </w:pPr>
    </w:p>
    <w:p w14:paraId="4EDFC1DE" w14:textId="77777777" w:rsidR="009F2701" w:rsidRDefault="009F2701" w:rsidP="00076A7C">
      <w:pPr>
        <w:pStyle w:val="BodyText"/>
      </w:pPr>
    </w:p>
    <w:p w14:paraId="6C3706E8" w14:textId="08E4BE45" w:rsidR="002C635C" w:rsidRPr="00076A7C" w:rsidRDefault="0031394D" w:rsidP="00076A7C">
      <w:pPr>
        <w:pStyle w:val="BodyText"/>
        <w:rPr>
          <w:b/>
          <w:bCs/>
          <w:sz w:val="40"/>
          <w:szCs w:val="40"/>
        </w:rPr>
      </w:pPr>
      <w:r w:rsidRPr="009F2701">
        <w:rPr>
          <w:b/>
          <w:sz w:val="40"/>
          <w:szCs w:val="40"/>
        </w:rPr>
        <w:t>Impact Analysis</w:t>
      </w:r>
      <w:r w:rsidR="009F2701">
        <w:rPr>
          <w:b/>
          <w:bCs/>
          <w:sz w:val="40"/>
          <w:szCs w:val="40"/>
        </w:rPr>
        <w:t xml:space="preserve">: </w:t>
      </w:r>
      <w:r w:rsidR="0025360D">
        <w:rPr>
          <w:b/>
          <w:bCs/>
          <w:sz w:val="40"/>
          <w:szCs w:val="40"/>
        </w:rPr>
        <w:t xml:space="preserve">Legislating the </w:t>
      </w:r>
      <w:r w:rsidR="00EA016B" w:rsidRPr="00076A7C">
        <w:rPr>
          <w:b/>
          <w:bCs/>
          <w:sz w:val="40"/>
          <w:szCs w:val="40"/>
        </w:rPr>
        <w:t xml:space="preserve">Australian Government </w:t>
      </w:r>
      <w:r w:rsidR="002C635C" w:rsidRPr="00076A7C">
        <w:rPr>
          <w:b/>
          <w:bCs/>
          <w:sz w:val="40"/>
          <w:szCs w:val="40"/>
        </w:rPr>
        <w:t xml:space="preserve">Digital ID </w:t>
      </w:r>
      <w:r w:rsidR="00CC55D4" w:rsidRPr="00076A7C">
        <w:rPr>
          <w:b/>
          <w:bCs/>
          <w:sz w:val="40"/>
          <w:szCs w:val="40"/>
        </w:rPr>
        <w:t>Program</w:t>
      </w:r>
    </w:p>
    <w:p w14:paraId="097778AF" w14:textId="77777777" w:rsidR="0031394D" w:rsidRDefault="0031394D" w:rsidP="0081579A">
      <w:pPr>
        <w:pStyle w:val="BodyText"/>
        <w:rPr>
          <w:color w:val="FFFFFF" w:themeColor="background1"/>
        </w:rPr>
      </w:pPr>
    </w:p>
    <w:p w14:paraId="1BC5C2EF" w14:textId="7AB0F1D7" w:rsidR="0031394D" w:rsidRDefault="00745EFC" w:rsidP="0081579A">
      <w:pPr>
        <w:pStyle w:val="BodyText"/>
        <w:rPr>
          <w:color w:val="FFFFFF" w:themeColor="background1"/>
        </w:rPr>
      </w:pPr>
      <w:r w:rsidRPr="00745EFC">
        <w:rPr>
          <w:noProof/>
          <w:color w:val="FFFFFF" w:themeColor="background1"/>
        </w:rPr>
        <mc:AlternateContent>
          <mc:Choice Requires="wps">
            <w:drawing>
              <wp:anchor distT="0" distB="0" distL="114300" distR="114300" simplePos="0" relativeHeight="251648000" behindDoc="0" locked="0" layoutInCell="1" allowOverlap="1" wp14:anchorId="38A415E1" wp14:editId="0797B7DD">
                <wp:simplePos x="0" y="0"/>
                <wp:positionH relativeFrom="column">
                  <wp:posOffset>9633526</wp:posOffset>
                </wp:positionH>
                <wp:positionV relativeFrom="paragraph">
                  <wp:posOffset>3580057</wp:posOffset>
                </wp:positionV>
                <wp:extent cx="1768779" cy="380181"/>
                <wp:effectExtent l="0" t="0" r="0" b="0"/>
                <wp:wrapNone/>
                <wp:docPr id="1690972257" name="Text Box 1690972257"/>
                <wp:cNvGraphicFramePr/>
                <a:graphic xmlns:a="http://schemas.openxmlformats.org/drawingml/2006/main">
                  <a:graphicData uri="http://schemas.microsoft.com/office/word/2010/wordprocessingShape">
                    <wps:wsp>
                      <wps:cNvSpPr txBox="1"/>
                      <wps:spPr>
                        <a:xfrm>
                          <a:off x="0" y="0"/>
                          <a:ext cx="1768779" cy="380181"/>
                        </a:xfrm>
                        <a:prstGeom prst="rect">
                          <a:avLst/>
                        </a:prstGeom>
                      </wps:spPr>
                      <wps:txbx>
                        <w:txbxContent>
                          <w:p w14:paraId="67335775" w14:textId="77777777" w:rsidR="00745EFC" w:rsidRDefault="006E3B9A" w:rsidP="00745EFC">
                            <w:pPr>
                              <w:spacing w:line="232" w:lineRule="exact"/>
                              <w:ind w:left="14"/>
                              <w:rPr>
                                <w:color w:val="FFFFFF"/>
                                <w:spacing w:val="-2"/>
                                <w:sz w:val="23"/>
                                <w:szCs w:val="23"/>
                              </w:rPr>
                            </w:pPr>
                            <w:hyperlink r:id="rId9" w:history="1">
                              <w:r w:rsidR="00745EFC">
                                <w:rPr>
                                  <w:rStyle w:val="Hyperlink"/>
                                  <w:color w:val="FFFFFF"/>
                                  <w:spacing w:val="-2"/>
                                  <w:sz w:val="23"/>
                                  <w:szCs w:val="23"/>
                                </w:rPr>
                                <w:t>www.digitalidentity.gov.au</w:t>
                              </w:r>
                            </w:hyperlink>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A415E1" id="_x0000_t202" coordsize="21600,21600" o:spt="202" path="m,l,21600r21600,l21600,xe">
                <v:stroke joinstyle="miter"/>
                <v:path gradientshapeok="t" o:connecttype="rect"/>
              </v:shapetype>
              <v:shape id="Text Box 1690972257" o:spid="_x0000_s1026" type="#_x0000_t202" style="position:absolute;margin-left:758.55pt;margin-top:281.9pt;width:139.25pt;height:2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" filled="f" stroked="f">
                <v:textbox inset="0,0,0,0">
                  <w:txbxContent>
                    <w:p w14:paraId="67335775" w14:textId="77777777" w:rsidR="00745EFC" w:rsidRDefault="003D428C" w:rsidP="00745EFC">
                      <w:pPr>
                        <w:spacing w:line="232" w:lineRule="exact"/>
                        <w:ind w:left="14"/>
                        <w:rPr>
                          <w:color w:val="FFFFFF"/>
                          <w:spacing w:val="-2"/>
                          <w:sz w:val="23"/>
                          <w:szCs w:val="23"/>
                        </w:rPr>
                      </w:pPr>
                      <w:hyperlink r:id="rId15" w:history="1">
                        <w:r w:rsidR="00745EFC">
                          <w:rPr>
                            <w:rStyle w:val="Hyperlink"/>
                            <w:color w:val="FFFFFF"/>
                            <w:spacing w:val="-2"/>
                            <w:sz w:val="23"/>
                            <w:szCs w:val="23"/>
                          </w:rPr>
                          <w:t>www.digitalidentity.gov.au</w:t>
                        </w:r>
                      </w:hyperlink>
                    </w:p>
                  </w:txbxContent>
                </v:textbox>
              </v:shape>
            </w:pict>
          </mc:Fallback>
        </mc:AlternateContent>
      </w:r>
    </w:p>
    <w:p w14:paraId="7A0FAEA2" w14:textId="48A5CD67" w:rsidR="0031394D" w:rsidRPr="0081579A" w:rsidRDefault="0031394D" w:rsidP="0081579A">
      <w:pPr>
        <w:pStyle w:val="BodyText"/>
        <w:rPr>
          <w:color w:val="FFFFFF" w:themeColor="background1"/>
        </w:rPr>
        <w:sectPr w:rsidR="0031394D" w:rsidRPr="0081579A" w:rsidSect="001B03B9">
          <w:headerReference w:type="even" r:id="rId16"/>
          <w:headerReference w:type="default" r:id="rId17"/>
          <w:footerReference w:type="even" r:id="rId18"/>
          <w:footerReference w:type="default" r:id="rId19"/>
          <w:headerReference w:type="first" r:id="rId20"/>
          <w:footerReference w:type="first" r:id="rId21"/>
          <w:pgSz w:w="11907" w:h="16840" w:code="9"/>
          <w:pgMar w:top="-9" w:right="1389" w:bottom="1559" w:left="1389" w:header="1021" w:footer="340" w:gutter="0"/>
          <w:pgNumType w:fmt="lowerRoman" w:start="1"/>
          <w:cols w:space="720"/>
          <w:docGrid w:linePitch="326"/>
        </w:sectPr>
      </w:pPr>
    </w:p>
    <w:p w14:paraId="46AB6DD8" w14:textId="1FDC0513" w:rsidR="001010CC" w:rsidRPr="006639BF" w:rsidRDefault="009F7720" w:rsidP="001010CC">
      <w:pPr>
        <w:pStyle w:val="VersoBoldPgB4"/>
      </w:pPr>
      <w:r>
        <w:lastRenderedPageBreak/>
        <w:t>Department of Finance</w:t>
      </w:r>
    </w:p>
    <w:p w14:paraId="39A1CE03" w14:textId="77777777" w:rsidR="001010CC" w:rsidRPr="006639BF" w:rsidRDefault="001010CC" w:rsidP="001010CC">
      <w:pPr>
        <w:pStyle w:val="FiguresImagesLeft"/>
      </w:pPr>
      <w:r w:rsidRPr="00644D38">
        <w:rPr>
          <w:noProof/>
        </w:rPr>
        <w:drawing>
          <wp:inline distT="0" distB="0" distL="0" distR="0" wp14:anchorId="24BDDFAD" wp14:editId="233AA473">
            <wp:extent cx="1003300" cy="368300"/>
            <wp:effectExtent l="0" t="0" r="12700" b="12700"/>
            <wp:docPr id="6" name="Picture 6" descr="Creative Commons Logo. Attribution 4.0 International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4.0 International (CC BY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3300" cy="368300"/>
                    </a:xfrm>
                    <a:prstGeom prst="rect">
                      <a:avLst/>
                    </a:prstGeom>
                    <a:noFill/>
                    <a:ln>
                      <a:noFill/>
                    </a:ln>
                  </pic:spPr>
                </pic:pic>
              </a:graphicData>
            </a:graphic>
          </wp:inline>
        </w:drawing>
      </w:r>
    </w:p>
    <w:p w14:paraId="0F691B11" w14:textId="6EA7E093" w:rsidR="001010CC" w:rsidRPr="006639BF" w:rsidRDefault="001010CC" w:rsidP="001010CC">
      <w:pPr>
        <w:pStyle w:val="VersoPageInfo"/>
      </w:pPr>
      <w:r w:rsidRPr="006639BF">
        <w:t>© Commonwealth of Australia (</w:t>
      </w:r>
      <w:r w:rsidR="009F7720">
        <w:t>Department of Finance</w:t>
      </w:r>
      <w:r w:rsidRPr="006639BF">
        <w:t xml:space="preserve">) </w:t>
      </w:r>
      <w:r>
        <w:t>20</w:t>
      </w:r>
      <w:r w:rsidR="00493006">
        <w:t>2</w:t>
      </w:r>
      <w:r w:rsidR="231CA4F4">
        <w:t>3</w:t>
      </w:r>
    </w:p>
    <w:p w14:paraId="4E4003B6" w14:textId="77777777" w:rsidR="001010CC" w:rsidRPr="006639BF" w:rsidRDefault="001010CC" w:rsidP="001010CC">
      <w:pPr>
        <w:pStyle w:val="VersoPageInfo"/>
      </w:pPr>
      <w:r w:rsidRPr="00F131F6">
        <w:t>With the exception of the Commonwealth Coat of Arms and where otherwise noted, this product is provided under a Creative Commons Attribution 4.0 International Licence</w:t>
      </w:r>
      <w:r w:rsidRPr="006639BF">
        <w:t>. (</w:t>
      </w:r>
      <w:hyperlink r:id="rId23" w:tooltip="Creative Commons website" w:history="1">
        <w:r w:rsidRPr="00C52A40">
          <w:rPr>
            <w:rStyle w:val="Hyperlink"/>
            <w:color w:val="008675"/>
          </w:rPr>
          <w:t>http://creativecommons.org/licenses/by/4.0/legalcode</w:t>
        </w:r>
      </w:hyperlink>
      <w:r w:rsidRPr="006639BF">
        <w:t>)</w:t>
      </w:r>
    </w:p>
    <w:p w14:paraId="08DB413A" w14:textId="395F51A7" w:rsidR="001010CC" w:rsidRPr="00B82F01" w:rsidRDefault="001010CC" w:rsidP="001010CC">
      <w:pPr>
        <w:pStyle w:val="VersoPageInfo"/>
        <w:rPr>
          <w:lang w:val="en-GB"/>
        </w:rPr>
      </w:pPr>
      <w:r>
        <w:t xml:space="preserve">The </w:t>
      </w:r>
      <w:r w:rsidR="009F7720">
        <w:t>Department of Finance</w:t>
      </w:r>
      <w:r w:rsidRPr="006639BF">
        <w:t xml:space="preserve"> has tried to make the information in this product as accurate as possible. However, it does not guarantee that the information is totally accurate or complete. Therefore, you should not solely rely on this information when making a commercial decision.</w:t>
      </w:r>
    </w:p>
    <w:p w14:paraId="5E61F4F5" w14:textId="36DBE04E" w:rsidR="001010CC" w:rsidRPr="006639BF" w:rsidRDefault="002641EA" w:rsidP="001010CC">
      <w:pPr>
        <w:pStyle w:val="VersoPageInfo"/>
      </w:pPr>
      <w:r>
        <w:t>The Department of Finance</w:t>
      </w:r>
      <w:r w:rsidR="001010CC" w:rsidRPr="006639BF">
        <w:t xml:space="preserve"> is committed to providing web accessible content wherever possible. If you are having difficulties with accessing this document</w:t>
      </w:r>
      <w:r w:rsidR="001010CC">
        <w:t>,</w:t>
      </w:r>
      <w:r w:rsidR="004A5286">
        <w:t xml:space="preserve"> </w:t>
      </w:r>
      <w:r w:rsidR="004A5286" w:rsidRPr="001E728E">
        <w:t xml:space="preserve">please contact </w:t>
      </w:r>
      <w:r w:rsidR="004A5286">
        <w:t xml:space="preserve">the </w:t>
      </w:r>
      <w:r w:rsidR="00692766">
        <w:t xml:space="preserve">Digital ID </w:t>
      </w:r>
      <w:r w:rsidR="004A5286" w:rsidRPr="00B902C6">
        <w:rPr>
          <w:color w:val="1D1C1D"/>
          <w:shd w:val="clear" w:color="auto" w:fill="FFFFFF"/>
        </w:rPr>
        <w:t>Communications team</w:t>
      </w:r>
      <w:r w:rsidR="00692766">
        <w:t xml:space="preserve"> </w:t>
      </w:r>
      <w:r w:rsidR="004A5286">
        <w:t xml:space="preserve">at </w:t>
      </w:r>
      <w:hyperlink r:id="rId24" w:history="1">
        <w:r w:rsidR="003D6443" w:rsidRPr="00CC5F49">
          <w:rPr>
            <w:rStyle w:val="Hyperlink"/>
            <w:color w:val="008675"/>
          </w:rPr>
          <w:t>digitalid.communications@finance.gov.au</w:t>
        </w:r>
      </w:hyperlink>
      <w:r w:rsidR="004A5286" w:rsidRPr="001E728E">
        <w:t>.</w:t>
      </w:r>
    </w:p>
    <w:p w14:paraId="6EFF3F41" w14:textId="335CBDE4" w:rsidR="00DD0530" w:rsidRDefault="001010CC" w:rsidP="00DD0530">
      <w:pPr>
        <w:pStyle w:val="VersoPageInfo"/>
      </w:pPr>
      <w:r>
        <w:t xml:space="preserve">Version: </w:t>
      </w:r>
      <w:bookmarkStart w:id="1" w:name="_Toc80884642"/>
      <w:bookmarkStart w:id="2" w:name="_Toc81226611"/>
      <w:bookmarkStart w:id="3" w:name="_Toc81226662"/>
      <w:bookmarkStart w:id="4" w:name="_Toc81226887"/>
      <w:bookmarkStart w:id="5" w:name="_Toc81228231"/>
      <w:bookmarkStart w:id="6" w:name="_Toc83951174"/>
      <w:bookmarkStart w:id="7" w:name="_Toc84925768"/>
      <w:bookmarkStart w:id="8" w:name="_Toc84925873"/>
      <w:bookmarkStart w:id="9" w:name="_Toc86045117"/>
      <w:bookmarkStart w:id="10" w:name="_Toc86069983"/>
      <w:r w:rsidR="003D20BE">
        <w:t>1801</w:t>
      </w:r>
    </w:p>
    <w:p w14:paraId="2922A163" w14:textId="77777777" w:rsidR="00DD0530" w:rsidRPr="000B7589" w:rsidRDefault="00DD0530" w:rsidP="00DD0530">
      <w:pPr>
        <w:pStyle w:val="VersoPageInfo"/>
        <w:rPr>
          <w:lang w:eastAsia="en-US"/>
        </w:rPr>
      </w:pPr>
    </w:p>
    <w:sdt>
      <w:sdtPr>
        <w:rPr>
          <w:rFonts w:eastAsia="Times" w:cs="Arial"/>
          <w:b w:val="0"/>
          <w:bCs/>
          <w:color w:val="008675"/>
          <w:sz w:val="24"/>
          <w:szCs w:val="22"/>
        </w:rPr>
        <w:id w:val="-562495779"/>
        <w:docPartObj>
          <w:docPartGallery w:val="Table of Contents"/>
          <w:docPartUnique/>
        </w:docPartObj>
      </w:sdtPr>
      <w:sdtEndPr>
        <w:rPr>
          <w:b/>
          <w:noProof/>
          <w:color w:val="303030"/>
          <w:sz w:val="22"/>
        </w:rPr>
      </w:sdtEndPr>
      <w:sdtContent>
        <w:p w14:paraId="1291179D" w14:textId="0301984D" w:rsidR="00810676" w:rsidRPr="00CC5F49" w:rsidRDefault="00810676" w:rsidP="00076A7C">
          <w:pPr>
            <w:pStyle w:val="TOCHeading"/>
            <w:spacing w:after="120"/>
            <w:rPr>
              <w:color w:val="008675"/>
            </w:rPr>
          </w:pPr>
          <w:r w:rsidRPr="00CC5F49">
            <w:rPr>
              <w:color w:val="008675"/>
            </w:rPr>
            <w:t>Contents</w:t>
          </w:r>
        </w:p>
        <w:p w14:paraId="196D2047" w14:textId="74B048AA" w:rsidR="00154831" w:rsidRDefault="00167FAC" w:rsidP="00CC5F49">
          <w:pPr>
            <w:pStyle w:val="TOC1"/>
            <w:rPr>
              <w:rFonts w:asciiTheme="minorHAnsi" w:eastAsiaTheme="minorEastAsia" w:hAnsiTheme="minorHAnsi" w:cstheme="minorBidi"/>
              <w:noProof/>
              <w:color w:val="auto"/>
              <w:kern w:val="2"/>
              <w14:ligatures w14:val="standardContextual"/>
            </w:rPr>
          </w:pPr>
          <w:r>
            <w:rPr>
              <w:iCs/>
              <w:sz w:val="20"/>
            </w:rPr>
            <w:fldChar w:fldCharType="begin"/>
          </w:r>
          <w:r>
            <w:instrText xml:space="preserve"> TOC \o "2-2" \h \z \t "Heading 1,1,Heading1 No Numbers,1" </w:instrText>
          </w:r>
          <w:r>
            <w:rPr>
              <w:iCs/>
              <w:sz w:val="20"/>
            </w:rPr>
            <w:fldChar w:fldCharType="separate"/>
          </w:r>
          <w:hyperlink w:anchor="_Toc149740317" w:history="1">
            <w:r w:rsidR="00154831" w:rsidRPr="00480318">
              <w:rPr>
                <w:rStyle w:val="Hyperlink"/>
                <w:noProof/>
                <w:lang w:eastAsia="en-US"/>
              </w:rPr>
              <w:t>1 Executive summary</w:t>
            </w:r>
            <w:r w:rsidR="00154831">
              <w:rPr>
                <w:noProof/>
                <w:webHidden/>
              </w:rPr>
              <w:tab/>
            </w:r>
            <w:r w:rsidR="00154831">
              <w:rPr>
                <w:noProof/>
                <w:webHidden/>
              </w:rPr>
              <w:fldChar w:fldCharType="begin"/>
            </w:r>
            <w:r w:rsidR="00154831">
              <w:rPr>
                <w:noProof/>
                <w:webHidden/>
              </w:rPr>
              <w:instrText xml:space="preserve"> PAGEREF _Toc149740317 \h </w:instrText>
            </w:r>
            <w:r w:rsidR="00154831">
              <w:rPr>
                <w:noProof/>
                <w:webHidden/>
              </w:rPr>
            </w:r>
            <w:r w:rsidR="00154831">
              <w:rPr>
                <w:noProof/>
                <w:webHidden/>
              </w:rPr>
              <w:fldChar w:fldCharType="separate"/>
            </w:r>
            <w:r w:rsidR="00154831">
              <w:rPr>
                <w:noProof/>
                <w:webHidden/>
              </w:rPr>
              <w:t>8</w:t>
            </w:r>
            <w:r w:rsidR="00154831">
              <w:rPr>
                <w:noProof/>
                <w:webHidden/>
              </w:rPr>
              <w:fldChar w:fldCharType="end"/>
            </w:r>
          </w:hyperlink>
        </w:p>
        <w:p w14:paraId="0A7BFB8B" w14:textId="78CF1DB1"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18" w:history="1">
            <w:r w:rsidR="00154831" w:rsidRPr="00480318">
              <w:rPr>
                <w:rStyle w:val="Hyperlink"/>
                <w:noProof/>
                <w:lang w:eastAsia="en-US"/>
              </w:rPr>
              <w:t>1.1 Net benefit of preferred option</w:t>
            </w:r>
            <w:r w:rsidR="00154831">
              <w:rPr>
                <w:noProof/>
                <w:webHidden/>
              </w:rPr>
              <w:tab/>
            </w:r>
            <w:r w:rsidR="00154831">
              <w:rPr>
                <w:noProof/>
                <w:webHidden/>
              </w:rPr>
              <w:fldChar w:fldCharType="begin"/>
            </w:r>
            <w:r w:rsidR="00154831">
              <w:rPr>
                <w:noProof/>
                <w:webHidden/>
              </w:rPr>
              <w:instrText xml:space="preserve"> PAGEREF _Toc149740318 \h </w:instrText>
            </w:r>
            <w:r w:rsidR="00154831">
              <w:rPr>
                <w:noProof/>
                <w:webHidden/>
              </w:rPr>
            </w:r>
            <w:r w:rsidR="00154831">
              <w:rPr>
                <w:noProof/>
                <w:webHidden/>
              </w:rPr>
              <w:fldChar w:fldCharType="separate"/>
            </w:r>
            <w:r w:rsidR="00154831">
              <w:rPr>
                <w:noProof/>
                <w:webHidden/>
              </w:rPr>
              <w:t>8</w:t>
            </w:r>
            <w:r w:rsidR="00154831">
              <w:rPr>
                <w:noProof/>
                <w:webHidden/>
              </w:rPr>
              <w:fldChar w:fldCharType="end"/>
            </w:r>
          </w:hyperlink>
        </w:p>
        <w:p w14:paraId="516DBC5E" w14:textId="5343DD0E"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19" w:history="1">
            <w:r w:rsidR="00154831" w:rsidRPr="00480318">
              <w:rPr>
                <w:rStyle w:val="Hyperlink"/>
                <w:noProof/>
                <w:lang w:eastAsia="en-US"/>
              </w:rPr>
              <w:t>1.2 The benefits of Digital ID</w:t>
            </w:r>
            <w:r w:rsidR="00154831">
              <w:rPr>
                <w:noProof/>
                <w:webHidden/>
              </w:rPr>
              <w:tab/>
            </w:r>
            <w:r w:rsidR="00154831">
              <w:rPr>
                <w:noProof/>
                <w:webHidden/>
              </w:rPr>
              <w:fldChar w:fldCharType="begin"/>
            </w:r>
            <w:r w:rsidR="00154831">
              <w:rPr>
                <w:noProof/>
                <w:webHidden/>
              </w:rPr>
              <w:instrText xml:space="preserve"> PAGEREF _Toc149740319 \h </w:instrText>
            </w:r>
            <w:r w:rsidR="00154831">
              <w:rPr>
                <w:noProof/>
                <w:webHidden/>
              </w:rPr>
            </w:r>
            <w:r w:rsidR="00154831">
              <w:rPr>
                <w:noProof/>
                <w:webHidden/>
              </w:rPr>
              <w:fldChar w:fldCharType="separate"/>
            </w:r>
            <w:r w:rsidR="00154831">
              <w:rPr>
                <w:noProof/>
                <w:webHidden/>
              </w:rPr>
              <w:t>8</w:t>
            </w:r>
            <w:r w:rsidR="00154831">
              <w:rPr>
                <w:noProof/>
                <w:webHidden/>
              </w:rPr>
              <w:fldChar w:fldCharType="end"/>
            </w:r>
          </w:hyperlink>
        </w:p>
        <w:p w14:paraId="79E036D0" w14:textId="2A51693B"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0" w:history="1">
            <w:r w:rsidR="00154831" w:rsidRPr="00480318">
              <w:rPr>
                <w:rStyle w:val="Hyperlink"/>
                <w:noProof/>
                <w:lang w:eastAsia="en-US"/>
              </w:rPr>
              <w:t>1.3 The need for Government intervention</w:t>
            </w:r>
            <w:r w:rsidR="00154831">
              <w:rPr>
                <w:noProof/>
                <w:webHidden/>
              </w:rPr>
              <w:tab/>
            </w:r>
            <w:r w:rsidR="00154831">
              <w:rPr>
                <w:noProof/>
                <w:webHidden/>
              </w:rPr>
              <w:fldChar w:fldCharType="begin"/>
            </w:r>
            <w:r w:rsidR="00154831">
              <w:rPr>
                <w:noProof/>
                <w:webHidden/>
              </w:rPr>
              <w:instrText xml:space="preserve"> PAGEREF _Toc149740320 \h </w:instrText>
            </w:r>
            <w:r w:rsidR="00154831">
              <w:rPr>
                <w:noProof/>
                <w:webHidden/>
              </w:rPr>
            </w:r>
            <w:r w:rsidR="00154831">
              <w:rPr>
                <w:noProof/>
                <w:webHidden/>
              </w:rPr>
              <w:fldChar w:fldCharType="separate"/>
            </w:r>
            <w:r w:rsidR="00154831">
              <w:rPr>
                <w:noProof/>
                <w:webHidden/>
              </w:rPr>
              <w:t>10</w:t>
            </w:r>
            <w:r w:rsidR="00154831">
              <w:rPr>
                <w:noProof/>
                <w:webHidden/>
              </w:rPr>
              <w:fldChar w:fldCharType="end"/>
            </w:r>
          </w:hyperlink>
        </w:p>
        <w:p w14:paraId="29A3D382" w14:textId="7519790F"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21" w:history="1">
            <w:r w:rsidR="00154831" w:rsidRPr="00480318">
              <w:rPr>
                <w:rStyle w:val="Hyperlink"/>
                <w:noProof/>
                <w:lang w:eastAsia="en-US"/>
              </w:rPr>
              <w:t>2 Introduction</w:t>
            </w:r>
            <w:r w:rsidR="00154831">
              <w:rPr>
                <w:noProof/>
                <w:webHidden/>
              </w:rPr>
              <w:tab/>
            </w:r>
            <w:r w:rsidR="00154831">
              <w:rPr>
                <w:noProof/>
                <w:webHidden/>
              </w:rPr>
              <w:fldChar w:fldCharType="begin"/>
            </w:r>
            <w:r w:rsidR="00154831">
              <w:rPr>
                <w:noProof/>
                <w:webHidden/>
              </w:rPr>
              <w:instrText xml:space="preserve"> PAGEREF _Toc149740321 \h </w:instrText>
            </w:r>
            <w:r w:rsidR="00154831">
              <w:rPr>
                <w:noProof/>
                <w:webHidden/>
              </w:rPr>
            </w:r>
            <w:r w:rsidR="00154831">
              <w:rPr>
                <w:noProof/>
                <w:webHidden/>
              </w:rPr>
              <w:fldChar w:fldCharType="separate"/>
            </w:r>
            <w:r w:rsidR="00154831">
              <w:rPr>
                <w:noProof/>
                <w:webHidden/>
              </w:rPr>
              <w:t>12</w:t>
            </w:r>
            <w:r w:rsidR="00154831">
              <w:rPr>
                <w:noProof/>
                <w:webHidden/>
              </w:rPr>
              <w:fldChar w:fldCharType="end"/>
            </w:r>
          </w:hyperlink>
        </w:p>
        <w:p w14:paraId="0CF5E524" w14:textId="0B03880E"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2" w:history="1">
            <w:r w:rsidR="00154831" w:rsidRPr="00480318">
              <w:rPr>
                <w:rStyle w:val="Hyperlink"/>
                <w:noProof/>
                <w:lang w:eastAsia="en-US"/>
              </w:rPr>
              <w:t>2.1 Purpose of this document</w:t>
            </w:r>
            <w:r w:rsidR="00154831">
              <w:rPr>
                <w:noProof/>
                <w:webHidden/>
              </w:rPr>
              <w:tab/>
            </w:r>
            <w:r w:rsidR="00154831">
              <w:rPr>
                <w:noProof/>
                <w:webHidden/>
              </w:rPr>
              <w:fldChar w:fldCharType="begin"/>
            </w:r>
            <w:r w:rsidR="00154831">
              <w:rPr>
                <w:noProof/>
                <w:webHidden/>
              </w:rPr>
              <w:instrText xml:space="preserve"> PAGEREF _Toc149740322 \h </w:instrText>
            </w:r>
            <w:r w:rsidR="00154831">
              <w:rPr>
                <w:noProof/>
                <w:webHidden/>
              </w:rPr>
            </w:r>
            <w:r w:rsidR="00154831">
              <w:rPr>
                <w:noProof/>
                <w:webHidden/>
              </w:rPr>
              <w:fldChar w:fldCharType="separate"/>
            </w:r>
            <w:r w:rsidR="00154831">
              <w:rPr>
                <w:noProof/>
                <w:webHidden/>
              </w:rPr>
              <w:t>12</w:t>
            </w:r>
            <w:r w:rsidR="00154831">
              <w:rPr>
                <w:noProof/>
                <w:webHidden/>
              </w:rPr>
              <w:fldChar w:fldCharType="end"/>
            </w:r>
          </w:hyperlink>
        </w:p>
        <w:p w14:paraId="5064516C" w14:textId="7A423A5B"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3" w:history="1">
            <w:r w:rsidR="00154831" w:rsidRPr="00480318">
              <w:rPr>
                <w:rStyle w:val="Hyperlink"/>
                <w:noProof/>
                <w:lang w:eastAsia="en-US"/>
              </w:rPr>
              <w:t>2.2 What is a Digital ID?</w:t>
            </w:r>
            <w:r w:rsidR="00154831">
              <w:rPr>
                <w:noProof/>
                <w:webHidden/>
              </w:rPr>
              <w:tab/>
            </w:r>
            <w:r w:rsidR="00154831">
              <w:rPr>
                <w:noProof/>
                <w:webHidden/>
              </w:rPr>
              <w:fldChar w:fldCharType="begin"/>
            </w:r>
            <w:r w:rsidR="00154831">
              <w:rPr>
                <w:noProof/>
                <w:webHidden/>
              </w:rPr>
              <w:instrText xml:space="preserve"> PAGEREF _Toc149740323 \h </w:instrText>
            </w:r>
            <w:r w:rsidR="00154831">
              <w:rPr>
                <w:noProof/>
                <w:webHidden/>
              </w:rPr>
            </w:r>
            <w:r w:rsidR="00154831">
              <w:rPr>
                <w:noProof/>
                <w:webHidden/>
              </w:rPr>
              <w:fldChar w:fldCharType="separate"/>
            </w:r>
            <w:r w:rsidR="00154831">
              <w:rPr>
                <w:noProof/>
                <w:webHidden/>
              </w:rPr>
              <w:t>12</w:t>
            </w:r>
            <w:r w:rsidR="00154831">
              <w:rPr>
                <w:noProof/>
                <w:webHidden/>
              </w:rPr>
              <w:fldChar w:fldCharType="end"/>
            </w:r>
          </w:hyperlink>
        </w:p>
        <w:p w14:paraId="339470AE" w14:textId="6863926A"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4" w:history="1">
            <w:r w:rsidR="00154831" w:rsidRPr="00480318">
              <w:rPr>
                <w:rStyle w:val="Hyperlink"/>
                <w:noProof/>
                <w:lang w:eastAsia="en-US"/>
              </w:rPr>
              <w:t>2.3 Australian Government’s Digital ID System (AGDIS)</w:t>
            </w:r>
            <w:r w:rsidR="00154831">
              <w:rPr>
                <w:noProof/>
                <w:webHidden/>
              </w:rPr>
              <w:tab/>
            </w:r>
            <w:r w:rsidR="00154831">
              <w:rPr>
                <w:noProof/>
                <w:webHidden/>
              </w:rPr>
              <w:fldChar w:fldCharType="begin"/>
            </w:r>
            <w:r w:rsidR="00154831">
              <w:rPr>
                <w:noProof/>
                <w:webHidden/>
              </w:rPr>
              <w:instrText xml:space="preserve"> PAGEREF _Toc149740324 \h </w:instrText>
            </w:r>
            <w:r w:rsidR="00154831">
              <w:rPr>
                <w:noProof/>
                <w:webHidden/>
              </w:rPr>
            </w:r>
            <w:r w:rsidR="00154831">
              <w:rPr>
                <w:noProof/>
                <w:webHidden/>
              </w:rPr>
              <w:fldChar w:fldCharType="separate"/>
            </w:r>
            <w:r w:rsidR="00154831">
              <w:rPr>
                <w:noProof/>
                <w:webHidden/>
              </w:rPr>
              <w:t>13</w:t>
            </w:r>
            <w:r w:rsidR="00154831">
              <w:rPr>
                <w:noProof/>
                <w:webHidden/>
              </w:rPr>
              <w:fldChar w:fldCharType="end"/>
            </w:r>
          </w:hyperlink>
        </w:p>
        <w:p w14:paraId="60B391E2" w14:textId="2F9EF20C"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5" w:history="1">
            <w:r w:rsidR="00154831" w:rsidRPr="00480318">
              <w:rPr>
                <w:rStyle w:val="Hyperlink"/>
                <w:noProof/>
                <w:lang w:eastAsia="en-US"/>
              </w:rPr>
              <w:t>2.4 Benefits and value of Australia’s Digital ID System for stakeholders</w:t>
            </w:r>
            <w:r w:rsidR="00154831">
              <w:rPr>
                <w:noProof/>
                <w:webHidden/>
              </w:rPr>
              <w:tab/>
            </w:r>
            <w:r w:rsidR="00154831">
              <w:rPr>
                <w:noProof/>
                <w:webHidden/>
              </w:rPr>
              <w:fldChar w:fldCharType="begin"/>
            </w:r>
            <w:r w:rsidR="00154831">
              <w:rPr>
                <w:noProof/>
                <w:webHidden/>
              </w:rPr>
              <w:instrText xml:space="preserve"> PAGEREF _Toc149740325 \h </w:instrText>
            </w:r>
            <w:r w:rsidR="00154831">
              <w:rPr>
                <w:noProof/>
                <w:webHidden/>
              </w:rPr>
            </w:r>
            <w:r w:rsidR="00154831">
              <w:rPr>
                <w:noProof/>
                <w:webHidden/>
              </w:rPr>
              <w:fldChar w:fldCharType="separate"/>
            </w:r>
            <w:r w:rsidR="00154831">
              <w:rPr>
                <w:noProof/>
                <w:webHidden/>
              </w:rPr>
              <w:t>19</w:t>
            </w:r>
            <w:r w:rsidR="00154831">
              <w:rPr>
                <w:noProof/>
                <w:webHidden/>
              </w:rPr>
              <w:fldChar w:fldCharType="end"/>
            </w:r>
          </w:hyperlink>
        </w:p>
        <w:p w14:paraId="63F080AA" w14:textId="24F6BC58"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6" w:history="1">
            <w:r w:rsidR="00154831" w:rsidRPr="00480318">
              <w:rPr>
                <w:rStyle w:val="Hyperlink"/>
                <w:noProof/>
                <w:lang w:eastAsia="en-US"/>
              </w:rPr>
              <w:t>2.5 The case for expanding AGDIS</w:t>
            </w:r>
            <w:r w:rsidR="00154831">
              <w:rPr>
                <w:noProof/>
                <w:webHidden/>
              </w:rPr>
              <w:tab/>
            </w:r>
            <w:r w:rsidR="00154831">
              <w:rPr>
                <w:noProof/>
                <w:webHidden/>
              </w:rPr>
              <w:fldChar w:fldCharType="begin"/>
            </w:r>
            <w:r w:rsidR="00154831">
              <w:rPr>
                <w:noProof/>
                <w:webHidden/>
              </w:rPr>
              <w:instrText xml:space="preserve"> PAGEREF _Toc149740326 \h </w:instrText>
            </w:r>
            <w:r w:rsidR="00154831">
              <w:rPr>
                <w:noProof/>
                <w:webHidden/>
              </w:rPr>
            </w:r>
            <w:r w:rsidR="00154831">
              <w:rPr>
                <w:noProof/>
                <w:webHidden/>
              </w:rPr>
              <w:fldChar w:fldCharType="separate"/>
            </w:r>
            <w:r w:rsidR="00154831">
              <w:rPr>
                <w:noProof/>
                <w:webHidden/>
              </w:rPr>
              <w:t>24</w:t>
            </w:r>
            <w:r w:rsidR="00154831">
              <w:rPr>
                <w:noProof/>
                <w:webHidden/>
              </w:rPr>
              <w:fldChar w:fldCharType="end"/>
            </w:r>
          </w:hyperlink>
        </w:p>
        <w:p w14:paraId="1C84D360" w14:textId="75D03BF8"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27" w:history="1">
            <w:r w:rsidR="00154831" w:rsidRPr="00480318">
              <w:rPr>
                <w:rStyle w:val="Hyperlink"/>
                <w:noProof/>
                <w:lang w:eastAsia="en-US"/>
              </w:rPr>
              <w:t>3 What is the problem?</w:t>
            </w:r>
            <w:r w:rsidR="00154831">
              <w:rPr>
                <w:noProof/>
                <w:webHidden/>
              </w:rPr>
              <w:tab/>
            </w:r>
            <w:r w:rsidR="00154831">
              <w:rPr>
                <w:noProof/>
                <w:webHidden/>
              </w:rPr>
              <w:fldChar w:fldCharType="begin"/>
            </w:r>
            <w:r w:rsidR="00154831">
              <w:rPr>
                <w:noProof/>
                <w:webHidden/>
              </w:rPr>
              <w:instrText xml:space="preserve"> PAGEREF _Toc149740327 \h </w:instrText>
            </w:r>
            <w:r w:rsidR="00154831">
              <w:rPr>
                <w:noProof/>
                <w:webHidden/>
              </w:rPr>
            </w:r>
            <w:r w:rsidR="00154831">
              <w:rPr>
                <w:noProof/>
                <w:webHidden/>
              </w:rPr>
              <w:fldChar w:fldCharType="separate"/>
            </w:r>
            <w:r w:rsidR="00154831">
              <w:rPr>
                <w:noProof/>
                <w:webHidden/>
              </w:rPr>
              <w:t>28</w:t>
            </w:r>
            <w:r w:rsidR="00154831">
              <w:rPr>
                <w:noProof/>
                <w:webHidden/>
              </w:rPr>
              <w:fldChar w:fldCharType="end"/>
            </w:r>
          </w:hyperlink>
        </w:p>
        <w:p w14:paraId="2EADC6A5" w14:textId="5526C73F"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8" w:history="1">
            <w:r w:rsidR="00154831" w:rsidRPr="00480318">
              <w:rPr>
                <w:rStyle w:val="Hyperlink"/>
                <w:noProof/>
                <w:lang w:eastAsia="en-US"/>
              </w:rPr>
              <w:t>3.1 The importance of a whole-of-economy solution with global application</w:t>
            </w:r>
            <w:r w:rsidR="00154831">
              <w:rPr>
                <w:noProof/>
                <w:webHidden/>
              </w:rPr>
              <w:tab/>
            </w:r>
            <w:r w:rsidR="00154831">
              <w:rPr>
                <w:noProof/>
                <w:webHidden/>
              </w:rPr>
              <w:fldChar w:fldCharType="begin"/>
            </w:r>
            <w:r w:rsidR="00154831">
              <w:rPr>
                <w:noProof/>
                <w:webHidden/>
              </w:rPr>
              <w:instrText xml:space="preserve"> PAGEREF _Toc149740328 \h </w:instrText>
            </w:r>
            <w:r w:rsidR="00154831">
              <w:rPr>
                <w:noProof/>
                <w:webHidden/>
              </w:rPr>
            </w:r>
            <w:r w:rsidR="00154831">
              <w:rPr>
                <w:noProof/>
                <w:webHidden/>
              </w:rPr>
              <w:fldChar w:fldCharType="separate"/>
            </w:r>
            <w:r w:rsidR="00154831">
              <w:rPr>
                <w:noProof/>
                <w:webHidden/>
              </w:rPr>
              <w:t>28</w:t>
            </w:r>
            <w:r w:rsidR="00154831">
              <w:rPr>
                <w:noProof/>
                <w:webHidden/>
              </w:rPr>
              <w:fldChar w:fldCharType="end"/>
            </w:r>
          </w:hyperlink>
        </w:p>
        <w:p w14:paraId="5BAA6754" w14:textId="72351A1A"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29" w:history="1">
            <w:r w:rsidR="00154831" w:rsidRPr="00480318">
              <w:rPr>
                <w:rStyle w:val="Hyperlink"/>
                <w:noProof/>
                <w:lang w:eastAsia="en-US"/>
              </w:rPr>
              <w:t>3.2 Potential barriers to realising whole-of-economy benefits</w:t>
            </w:r>
            <w:r w:rsidR="00154831">
              <w:rPr>
                <w:noProof/>
                <w:webHidden/>
              </w:rPr>
              <w:tab/>
            </w:r>
            <w:r w:rsidR="00154831">
              <w:rPr>
                <w:noProof/>
                <w:webHidden/>
              </w:rPr>
              <w:fldChar w:fldCharType="begin"/>
            </w:r>
            <w:r w:rsidR="00154831">
              <w:rPr>
                <w:noProof/>
                <w:webHidden/>
              </w:rPr>
              <w:instrText xml:space="preserve"> PAGEREF _Toc149740329 \h </w:instrText>
            </w:r>
            <w:r w:rsidR="00154831">
              <w:rPr>
                <w:noProof/>
                <w:webHidden/>
              </w:rPr>
            </w:r>
            <w:r w:rsidR="00154831">
              <w:rPr>
                <w:noProof/>
                <w:webHidden/>
              </w:rPr>
              <w:fldChar w:fldCharType="separate"/>
            </w:r>
            <w:r w:rsidR="00154831">
              <w:rPr>
                <w:noProof/>
                <w:webHidden/>
              </w:rPr>
              <w:t>30</w:t>
            </w:r>
            <w:r w:rsidR="00154831">
              <w:rPr>
                <w:noProof/>
                <w:webHidden/>
              </w:rPr>
              <w:fldChar w:fldCharType="end"/>
            </w:r>
          </w:hyperlink>
        </w:p>
        <w:p w14:paraId="334AF4FB" w14:textId="14E9642C"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30" w:history="1">
            <w:r w:rsidR="00154831" w:rsidRPr="00480318">
              <w:rPr>
                <w:rStyle w:val="Hyperlink"/>
                <w:noProof/>
                <w:lang w:eastAsia="en-US"/>
              </w:rPr>
              <w:t>4 Requirement for government action</w:t>
            </w:r>
            <w:r w:rsidR="00154831">
              <w:rPr>
                <w:noProof/>
                <w:webHidden/>
              </w:rPr>
              <w:tab/>
            </w:r>
            <w:r w:rsidR="00154831">
              <w:rPr>
                <w:noProof/>
                <w:webHidden/>
              </w:rPr>
              <w:fldChar w:fldCharType="begin"/>
            </w:r>
            <w:r w:rsidR="00154831">
              <w:rPr>
                <w:noProof/>
                <w:webHidden/>
              </w:rPr>
              <w:instrText xml:space="preserve"> PAGEREF _Toc149740330 \h </w:instrText>
            </w:r>
            <w:r w:rsidR="00154831">
              <w:rPr>
                <w:noProof/>
                <w:webHidden/>
              </w:rPr>
            </w:r>
            <w:r w:rsidR="00154831">
              <w:rPr>
                <w:noProof/>
                <w:webHidden/>
              </w:rPr>
              <w:fldChar w:fldCharType="separate"/>
            </w:r>
            <w:r w:rsidR="00154831">
              <w:rPr>
                <w:noProof/>
                <w:webHidden/>
              </w:rPr>
              <w:t>39</w:t>
            </w:r>
            <w:r w:rsidR="00154831">
              <w:rPr>
                <w:noProof/>
                <w:webHidden/>
              </w:rPr>
              <w:fldChar w:fldCharType="end"/>
            </w:r>
          </w:hyperlink>
        </w:p>
        <w:p w14:paraId="5DA51780" w14:textId="785B20C4"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1" w:history="1">
            <w:r w:rsidR="00154831" w:rsidRPr="00480318">
              <w:rPr>
                <w:rStyle w:val="Hyperlink"/>
                <w:noProof/>
                <w:lang w:eastAsia="en-US"/>
              </w:rPr>
              <w:t>4.1 Government’s role in delivering Digital ID</w:t>
            </w:r>
            <w:r w:rsidR="00154831">
              <w:rPr>
                <w:noProof/>
                <w:webHidden/>
              </w:rPr>
              <w:tab/>
            </w:r>
            <w:r w:rsidR="00154831">
              <w:rPr>
                <w:noProof/>
                <w:webHidden/>
              </w:rPr>
              <w:fldChar w:fldCharType="begin"/>
            </w:r>
            <w:r w:rsidR="00154831">
              <w:rPr>
                <w:noProof/>
                <w:webHidden/>
              </w:rPr>
              <w:instrText xml:space="preserve"> PAGEREF _Toc149740331 \h </w:instrText>
            </w:r>
            <w:r w:rsidR="00154831">
              <w:rPr>
                <w:noProof/>
                <w:webHidden/>
              </w:rPr>
            </w:r>
            <w:r w:rsidR="00154831">
              <w:rPr>
                <w:noProof/>
                <w:webHidden/>
              </w:rPr>
              <w:fldChar w:fldCharType="separate"/>
            </w:r>
            <w:r w:rsidR="00154831">
              <w:rPr>
                <w:noProof/>
                <w:webHidden/>
              </w:rPr>
              <w:t>39</w:t>
            </w:r>
            <w:r w:rsidR="00154831">
              <w:rPr>
                <w:noProof/>
                <w:webHidden/>
              </w:rPr>
              <w:fldChar w:fldCharType="end"/>
            </w:r>
          </w:hyperlink>
        </w:p>
        <w:p w14:paraId="21836CEF" w14:textId="74849385"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2" w:history="1">
            <w:r w:rsidR="00154831" w:rsidRPr="00480318">
              <w:rPr>
                <w:rStyle w:val="Hyperlink"/>
                <w:noProof/>
                <w:lang w:eastAsia="en-US"/>
              </w:rPr>
              <w:t>4.2 Government’s regulatory role and capacity</w:t>
            </w:r>
            <w:r w:rsidR="00154831">
              <w:rPr>
                <w:noProof/>
                <w:webHidden/>
              </w:rPr>
              <w:tab/>
            </w:r>
            <w:r w:rsidR="00154831">
              <w:rPr>
                <w:noProof/>
                <w:webHidden/>
              </w:rPr>
              <w:fldChar w:fldCharType="begin"/>
            </w:r>
            <w:r w:rsidR="00154831">
              <w:rPr>
                <w:noProof/>
                <w:webHidden/>
              </w:rPr>
              <w:instrText xml:space="preserve"> PAGEREF _Toc149740332 \h </w:instrText>
            </w:r>
            <w:r w:rsidR="00154831">
              <w:rPr>
                <w:noProof/>
                <w:webHidden/>
              </w:rPr>
            </w:r>
            <w:r w:rsidR="00154831">
              <w:rPr>
                <w:noProof/>
                <w:webHidden/>
              </w:rPr>
              <w:fldChar w:fldCharType="separate"/>
            </w:r>
            <w:r w:rsidR="00154831">
              <w:rPr>
                <w:noProof/>
                <w:webHidden/>
              </w:rPr>
              <w:t>39</w:t>
            </w:r>
            <w:r w:rsidR="00154831">
              <w:rPr>
                <w:noProof/>
                <w:webHidden/>
              </w:rPr>
              <w:fldChar w:fldCharType="end"/>
            </w:r>
          </w:hyperlink>
        </w:p>
        <w:p w14:paraId="49F6C1B9" w14:textId="7D81DCC3"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3" w:history="1">
            <w:r w:rsidR="00154831" w:rsidRPr="00480318">
              <w:rPr>
                <w:rStyle w:val="Hyperlink"/>
                <w:noProof/>
                <w:lang w:eastAsia="en-US"/>
              </w:rPr>
              <w:t>4.3 Objectives for government intervention</w:t>
            </w:r>
            <w:r w:rsidR="00154831">
              <w:rPr>
                <w:noProof/>
                <w:webHidden/>
              </w:rPr>
              <w:tab/>
            </w:r>
            <w:r w:rsidR="00154831">
              <w:rPr>
                <w:noProof/>
                <w:webHidden/>
              </w:rPr>
              <w:fldChar w:fldCharType="begin"/>
            </w:r>
            <w:r w:rsidR="00154831">
              <w:rPr>
                <w:noProof/>
                <w:webHidden/>
              </w:rPr>
              <w:instrText xml:space="preserve"> PAGEREF _Toc149740333 \h </w:instrText>
            </w:r>
            <w:r w:rsidR="00154831">
              <w:rPr>
                <w:noProof/>
                <w:webHidden/>
              </w:rPr>
            </w:r>
            <w:r w:rsidR="00154831">
              <w:rPr>
                <w:noProof/>
                <w:webHidden/>
              </w:rPr>
              <w:fldChar w:fldCharType="separate"/>
            </w:r>
            <w:r w:rsidR="00154831">
              <w:rPr>
                <w:noProof/>
                <w:webHidden/>
              </w:rPr>
              <w:t>40</w:t>
            </w:r>
            <w:r w:rsidR="00154831">
              <w:rPr>
                <w:noProof/>
                <w:webHidden/>
              </w:rPr>
              <w:fldChar w:fldCharType="end"/>
            </w:r>
          </w:hyperlink>
        </w:p>
        <w:p w14:paraId="1A72B931" w14:textId="44384464"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4" w:history="1">
            <w:r w:rsidR="00154831" w:rsidRPr="00480318">
              <w:rPr>
                <w:rStyle w:val="Hyperlink"/>
                <w:noProof/>
                <w:lang w:eastAsia="en-US"/>
              </w:rPr>
              <w:t>4.4 Constraints and barriers to government intervention</w:t>
            </w:r>
            <w:r w:rsidR="00154831">
              <w:rPr>
                <w:noProof/>
                <w:webHidden/>
              </w:rPr>
              <w:tab/>
            </w:r>
            <w:r w:rsidR="00154831">
              <w:rPr>
                <w:noProof/>
                <w:webHidden/>
              </w:rPr>
              <w:fldChar w:fldCharType="begin"/>
            </w:r>
            <w:r w:rsidR="00154831">
              <w:rPr>
                <w:noProof/>
                <w:webHidden/>
              </w:rPr>
              <w:instrText xml:space="preserve"> PAGEREF _Toc149740334 \h </w:instrText>
            </w:r>
            <w:r w:rsidR="00154831">
              <w:rPr>
                <w:noProof/>
                <w:webHidden/>
              </w:rPr>
            </w:r>
            <w:r w:rsidR="00154831">
              <w:rPr>
                <w:noProof/>
                <w:webHidden/>
              </w:rPr>
              <w:fldChar w:fldCharType="separate"/>
            </w:r>
            <w:r w:rsidR="00154831">
              <w:rPr>
                <w:noProof/>
                <w:webHidden/>
              </w:rPr>
              <w:t>42</w:t>
            </w:r>
            <w:r w:rsidR="00154831">
              <w:rPr>
                <w:noProof/>
                <w:webHidden/>
              </w:rPr>
              <w:fldChar w:fldCharType="end"/>
            </w:r>
          </w:hyperlink>
        </w:p>
        <w:p w14:paraId="3E373E41" w14:textId="683A591D"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5" w:history="1">
            <w:r w:rsidR="00154831" w:rsidRPr="00480318">
              <w:rPr>
                <w:rStyle w:val="Hyperlink"/>
                <w:noProof/>
                <w:lang w:eastAsia="en-US"/>
              </w:rPr>
              <w:t>4.5 Potential alternatives to government action</w:t>
            </w:r>
            <w:r w:rsidR="00154831">
              <w:rPr>
                <w:noProof/>
                <w:webHidden/>
              </w:rPr>
              <w:tab/>
            </w:r>
            <w:r w:rsidR="00154831">
              <w:rPr>
                <w:noProof/>
                <w:webHidden/>
              </w:rPr>
              <w:fldChar w:fldCharType="begin"/>
            </w:r>
            <w:r w:rsidR="00154831">
              <w:rPr>
                <w:noProof/>
                <w:webHidden/>
              </w:rPr>
              <w:instrText xml:space="preserve"> PAGEREF _Toc149740335 \h </w:instrText>
            </w:r>
            <w:r w:rsidR="00154831">
              <w:rPr>
                <w:noProof/>
                <w:webHidden/>
              </w:rPr>
            </w:r>
            <w:r w:rsidR="00154831">
              <w:rPr>
                <w:noProof/>
                <w:webHidden/>
              </w:rPr>
              <w:fldChar w:fldCharType="separate"/>
            </w:r>
            <w:r w:rsidR="00154831">
              <w:rPr>
                <w:noProof/>
                <w:webHidden/>
              </w:rPr>
              <w:t>43</w:t>
            </w:r>
            <w:r w:rsidR="00154831">
              <w:rPr>
                <w:noProof/>
                <w:webHidden/>
              </w:rPr>
              <w:fldChar w:fldCharType="end"/>
            </w:r>
          </w:hyperlink>
        </w:p>
        <w:p w14:paraId="685C18F4" w14:textId="667001A3"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36" w:history="1">
            <w:r w:rsidR="00154831" w:rsidRPr="00480318">
              <w:rPr>
                <w:rStyle w:val="Hyperlink"/>
                <w:noProof/>
                <w:lang w:eastAsia="en-US"/>
              </w:rPr>
              <w:t>5 Policy options overview</w:t>
            </w:r>
            <w:r w:rsidR="00154831">
              <w:rPr>
                <w:noProof/>
                <w:webHidden/>
              </w:rPr>
              <w:tab/>
            </w:r>
            <w:r w:rsidR="00154831">
              <w:rPr>
                <w:noProof/>
                <w:webHidden/>
              </w:rPr>
              <w:fldChar w:fldCharType="begin"/>
            </w:r>
            <w:r w:rsidR="00154831">
              <w:rPr>
                <w:noProof/>
                <w:webHidden/>
              </w:rPr>
              <w:instrText xml:space="preserve"> PAGEREF _Toc149740336 \h </w:instrText>
            </w:r>
            <w:r w:rsidR="00154831">
              <w:rPr>
                <w:noProof/>
                <w:webHidden/>
              </w:rPr>
            </w:r>
            <w:r w:rsidR="00154831">
              <w:rPr>
                <w:noProof/>
                <w:webHidden/>
              </w:rPr>
              <w:fldChar w:fldCharType="separate"/>
            </w:r>
            <w:r w:rsidR="00154831">
              <w:rPr>
                <w:noProof/>
                <w:webHidden/>
              </w:rPr>
              <w:t>44</w:t>
            </w:r>
            <w:r w:rsidR="00154831">
              <w:rPr>
                <w:noProof/>
                <w:webHidden/>
              </w:rPr>
              <w:fldChar w:fldCharType="end"/>
            </w:r>
          </w:hyperlink>
        </w:p>
        <w:p w14:paraId="30364493" w14:textId="46F2B0C5"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7" w:history="1">
            <w:r w:rsidR="00154831" w:rsidRPr="00480318">
              <w:rPr>
                <w:rStyle w:val="Hyperlink"/>
                <w:noProof/>
                <w:lang w:eastAsia="en-US"/>
              </w:rPr>
              <w:t>5.1 Option 1: Status quo</w:t>
            </w:r>
            <w:r w:rsidR="00154831">
              <w:rPr>
                <w:noProof/>
                <w:webHidden/>
              </w:rPr>
              <w:tab/>
            </w:r>
            <w:r w:rsidR="00154831">
              <w:rPr>
                <w:noProof/>
                <w:webHidden/>
              </w:rPr>
              <w:fldChar w:fldCharType="begin"/>
            </w:r>
            <w:r w:rsidR="00154831">
              <w:rPr>
                <w:noProof/>
                <w:webHidden/>
              </w:rPr>
              <w:instrText xml:space="preserve"> PAGEREF _Toc149740337 \h </w:instrText>
            </w:r>
            <w:r w:rsidR="00154831">
              <w:rPr>
                <w:noProof/>
                <w:webHidden/>
              </w:rPr>
            </w:r>
            <w:r w:rsidR="00154831">
              <w:rPr>
                <w:noProof/>
                <w:webHidden/>
              </w:rPr>
              <w:fldChar w:fldCharType="separate"/>
            </w:r>
            <w:r w:rsidR="00154831">
              <w:rPr>
                <w:noProof/>
                <w:webHidden/>
              </w:rPr>
              <w:t>44</w:t>
            </w:r>
            <w:r w:rsidR="00154831">
              <w:rPr>
                <w:noProof/>
                <w:webHidden/>
              </w:rPr>
              <w:fldChar w:fldCharType="end"/>
            </w:r>
          </w:hyperlink>
        </w:p>
        <w:p w14:paraId="2CF17F83" w14:textId="76330274"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8" w:history="1">
            <w:r w:rsidR="00154831" w:rsidRPr="00480318">
              <w:rPr>
                <w:rStyle w:val="Hyperlink"/>
                <w:noProof/>
                <w:lang w:eastAsia="en-US"/>
              </w:rPr>
              <w:t>5.2 Option 2: Leverage existing legislative frameworks to enhance privacy safeguards</w:t>
            </w:r>
            <w:r w:rsidR="00154831">
              <w:rPr>
                <w:noProof/>
                <w:webHidden/>
              </w:rPr>
              <w:tab/>
            </w:r>
            <w:r w:rsidR="00154831">
              <w:rPr>
                <w:noProof/>
                <w:webHidden/>
              </w:rPr>
              <w:fldChar w:fldCharType="begin"/>
            </w:r>
            <w:r w:rsidR="00154831">
              <w:rPr>
                <w:noProof/>
                <w:webHidden/>
              </w:rPr>
              <w:instrText xml:space="preserve"> PAGEREF _Toc149740338 \h </w:instrText>
            </w:r>
            <w:r w:rsidR="00154831">
              <w:rPr>
                <w:noProof/>
                <w:webHidden/>
              </w:rPr>
            </w:r>
            <w:r w:rsidR="00154831">
              <w:rPr>
                <w:noProof/>
                <w:webHidden/>
              </w:rPr>
              <w:fldChar w:fldCharType="separate"/>
            </w:r>
            <w:r w:rsidR="00154831">
              <w:rPr>
                <w:noProof/>
                <w:webHidden/>
              </w:rPr>
              <w:t>45</w:t>
            </w:r>
            <w:r w:rsidR="00154831">
              <w:rPr>
                <w:noProof/>
                <w:webHidden/>
              </w:rPr>
              <w:fldChar w:fldCharType="end"/>
            </w:r>
          </w:hyperlink>
        </w:p>
        <w:p w14:paraId="47B5A2B3" w14:textId="68346964"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39" w:history="1">
            <w:r w:rsidR="00154831" w:rsidRPr="00480318">
              <w:rPr>
                <w:rStyle w:val="Hyperlink"/>
                <w:noProof/>
                <w:lang w:eastAsia="en-US"/>
              </w:rPr>
              <w:t>5.3 Option 3: Dedicated legislation to establish new regulatory scheme</w:t>
            </w:r>
            <w:r w:rsidR="00154831">
              <w:rPr>
                <w:noProof/>
                <w:webHidden/>
              </w:rPr>
              <w:tab/>
            </w:r>
            <w:r w:rsidR="00154831">
              <w:rPr>
                <w:noProof/>
                <w:webHidden/>
              </w:rPr>
              <w:fldChar w:fldCharType="begin"/>
            </w:r>
            <w:r w:rsidR="00154831">
              <w:rPr>
                <w:noProof/>
                <w:webHidden/>
              </w:rPr>
              <w:instrText xml:space="preserve"> PAGEREF _Toc149740339 \h </w:instrText>
            </w:r>
            <w:r w:rsidR="00154831">
              <w:rPr>
                <w:noProof/>
                <w:webHidden/>
              </w:rPr>
            </w:r>
            <w:r w:rsidR="00154831">
              <w:rPr>
                <w:noProof/>
                <w:webHidden/>
              </w:rPr>
              <w:fldChar w:fldCharType="separate"/>
            </w:r>
            <w:r w:rsidR="00154831">
              <w:rPr>
                <w:noProof/>
                <w:webHidden/>
              </w:rPr>
              <w:t>46</w:t>
            </w:r>
            <w:r w:rsidR="00154831">
              <w:rPr>
                <w:noProof/>
                <w:webHidden/>
              </w:rPr>
              <w:fldChar w:fldCharType="end"/>
            </w:r>
          </w:hyperlink>
        </w:p>
        <w:p w14:paraId="1E2F8C43" w14:textId="4117CD6B"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40" w:history="1">
            <w:r w:rsidR="00154831" w:rsidRPr="00480318">
              <w:rPr>
                <w:rStyle w:val="Hyperlink"/>
                <w:noProof/>
                <w:lang w:eastAsia="en-US"/>
              </w:rPr>
              <w:t>6 Approach to determining likely net benefit of options</w:t>
            </w:r>
            <w:r w:rsidR="00154831">
              <w:rPr>
                <w:noProof/>
                <w:webHidden/>
              </w:rPr>
              <w:tab/>
            </w:r>
            <w:r w:rsidR="00154831">
              <w:rPr>
                <w:noProof/>
                <w:webHidden/>
              </w:rPr>
              <w:fldChar w:fldCharType="begin"/>
            </w:r>
            <w:r w:rsidR="00154831">
              <w:rPr>
                <w:noProof/>
                <w:webHidden/>
              </w:rPr>
              <w:instrText xml:space="preserve"> PAGEREF _Toc149740340 \h </w:instrText>
            </w:r>
            <w:r w:rsidR="00154831">
              <w:rPr>
                <w:noProof/>
                <w:webHidden/>
              </w:rPr>
            </w:r>
            <w:r w:rsidR="00154831">
              <w:rPr>
                <w:noProof/>
                <w:webHidden/>
              </w:rPr>
              <w:fldChar w:fldCharType="separate"/>
            </w:r>
            <w:r w:rsidR="00154831">
              <w:rPr>
                <w:noProof/>
                <w:webHidden/>
              </w:rPr>
              <w:t>51</w:t>
            </w:r>
            <w:r w:rsidR="00154831">
              <w:rPr>
                <w:noProof/>
                <w:webHidden/>
              </w:rPr>
              <w:fldChar w:fldCharType="end"/>
            </w:r>
          </w:hyperlink>
        </w:p>
        <w:p w14:paraId="2124BB03" w14:textId="4BB4B987"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1" w:history="1">
            <w:r w:rsidR="00154831" w:rsidRPr="00480318">
              <w:rPr>
                <w:rStyle w:val="Hyperlink"/>
                <w:noProof/>
                <w:lang w:eastAsia="en-US"/>
              </w:rPr>
              <w:t>6.1 Overview</w:t>
            </w:r>
            <w:r w:rsidR="00154831">
              <w:rPr>
                <w:noProof/>
                <w:webHidden/>
              </w:rPr>
              <w:tab/>
            </w:r>
            <w:r w:rsidR="00154831">
              <w:rPr>
                <w:noProof/>
                <w:webHidden/>
              </w:rPr>
              <w:fldChar w:fldCharType="begin"/>
            </w:r>
            <w:r w:rsidR="00154831">
              <w:rPr>
                <w:noProof/>
                <w:webHidden/>
              </w:rPr>
              <w:instrText xml:space="preserve"> PAGEREF _Toc149740341 \h </w:instrText>
            </w:r>
            <w:r w:rsidR="00154831">
              <w:rPr>
                <w:noProof/>
                <w:webHidden/>
              </w:rPr>
            </w:r>
            <w:r w:rsidR="00154831">
              <w:rPr>
                <w:noProof/>
                <w:webHidden/>
              </w:rPr>
              <w:fldChar w:fldCharType="separate"/>
            </w:r>
            <w:r w:rsidR="00154831">
              <w:rPr>
                <w:noProof/>
                <w:webHidden/>
              </w:rPr>
              <w:t>51</w:t>
            </w:r>
            <w:r w:rsidR="00154831">
              <w:rPr>
                <w:noProof/>
                <w:webHidden/>
              </w:rPr>
              <w:fldChar w:fldCharType="end"/>
            </w:r>
          </w:hyperlink>
        </w:p>
        <w:p w14:paraId="19271F4F" w14:textId="747C841A"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2" w:history="1">
            <w:r w:rsidR="00154831" w:rsidRPr="00480318">
              <w:rPr>
                <w:rStyle w:val="Hyperlink"/>
                <w:noProof/>
                <w:lang w:eastAsia="en-US"/>
              </w:rPr>
              <w:t>6.2 Overall impacts</w:t>
            </w:r>
            <w:r w:rsidR="00154831">
              <w:rPr>
                <w:noProof/>
                <w:webHidden/>
              </w:rPr>
              <w:tab/>
            </w:r>
            <w:r w:rsidR="00154831">
              <w:rPr>
                <w:noProof/>
                <w:webHidden/>
              </w:rPr>
              <w:fldChar w:fldCharType="begin"/>
            </w:r>
            <w:r w:rsidR="00154831">
              <w:rPr>
                <w:noProof/>
                <w:webHidden/>
              </w:rPr>
              <w:instrText xml:space="preserve"> PAGEREF _Toc149740342 \h </w:instrText>
            </w:r>
            <w:r w:rsidR="00154831">
              <w:rPr>
                <w:noProof/>
                <w:webHidden/>
              </w:rPr>
            </w:r>
            <w:r w:rsidR="00154831">
              <w:rPr>
                <w:noProof/>
                <w:webHidden/>
              </w:rPr>
              <w:fldChar w:fldCharType="separate"/>
            </w:r>
            <w:r w:rsidR="00154831">
              <w:rPr>
                <w:noProof/>
                <w:webHidden/>
              </w:rPr>
              <w:t>51</w:t>
            </w:r>
            <w:r w:rsidR="00154831">
              <w:rPr>
                <w:noProof/>
                <w:webHidden/>
              </w:rPr>
              <w:fldChar w:fldCharType="end"/>
            </w:r>
          </w:hyperlink>
        </w:p>
        <w:p w14:paraId="0CE8DC8A" w14:textId="724C0E3F"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3" w:history="1">
            <w:r w:rsidR="00154831" w:rsidRPr="00480318">
              <w:rPr>
                <w:rStyle w:val="Hyperlink"/>
                <w:noProof/>
                <w:lang w:eastAsia="en-US"/>
              </w:rPr>
              <w:t>6.3 Regulatory impacts</w:t>
            </w:r>
            <w:r w:rsidR="00154831">
              <w:rPr>
                <w:noProof/>
                <w:webHidden/>
              </w:rPr>
              <w:tab/>
            </w:r>
            <w:r w:rsidR="00154831">
              <w:rPr>
                <w:noProof/>
                <w:webHidden/>
              </w:rPr>
              <w:fldChar w:fldCharType="begin"/>
            </w:r>
            <w:r w:rsidR="00154831">
              <w:rPr>
                <w:noProof/>
                <w:webHidden/>
              </w:rPr>
              <w:instrText xml:space="preserve"> PAGEREF _Toc149740343 \h </w:instrText>
            </w:r>
            <w:r w:rsidR="00154831">
              <w:rPr>
                <w:noProof/>
                <w:webHidden/>
              </w:rPr>
            </w:r>
            <w:r w:rsidR="00154831">
              <w:rPr>
                <w:noProof/>
                <w:webHidden/>
              </w:rPr>
              <w:fldChar w:fldCharType="separate"/>
            </w:r>
            <w:r w:rsidR="00154831">
              <w:rPr>
                <w:noProof/>
                <w:webHidden/>
              </w:rPr>
              <w:t>52</w:t>
            </w:r>
            <w:r w:rsidR="00154831">
              <w:rPr>
                <w:noProof/>
                <w:webHidden/>
              </w:rPr>
              <w:fldChar w:fldCharType="end"/>
            </w:r>
          </w:hyperlink>
        </w:p>
        <w:p w14:paraId="5C614E82" w14:textId="4DC46D55"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4" w:history="1">
            <w:r w:rsidR="00154831" w:rsidRPr="00480318">
              <w:rPr>
                <w:rStyle w:val="Hyperlink"/>
                <w:noProof/>
                <w:lang w:eastAsia="en-US"/>
              </w:rPr>
              <w:t>6.4 Impact analysis approach</w:t>
            </w:r>
            <w:r w:rsidR="00154831">
              <w:rPr>
                <w:noProof/>
                <w:webHidden/>
              </w:rPr>
              <w:tab/>
            </w:r>
            <w:r w:rsidR="00154831">
              <w:rPr>
                <w:noProof/>
                <w:webHidden/>
              </w:rPr>
              <w:fldChar w:fldCharType="begin"/>
            </w:r>
            <w:r w:rsidR="00154831">
              <w:rPr>
                <w:noProof/>
                <w:webHidden/>
              </w:rPr>
              <w:instrText xml:space="preserve"> PAGEREF _Toc149740344 \h </w:instrText>
            </w:r>
            <w:r w:rsidR="00154831">
              <w:rPr>
                <w:noProof/>
                <w:webHidden/>
              </w:rPr>
            </w:r>
            <w:r w:rsidR="00154831">
              <w:rPr>
                <w:noProof/>
                <w:webHidden/>
              </w:rPr>
              <w:fldChar w:fldCharType="separate"/>
            </w:r>
            <w:r w:rsidR="00154831">
              <w:rPr>
                <w:noProof/>
                <w:webHidden/>
              </w:rPr>
              <w:t>53</w:t>
            </w:r>
            <w:r w:rsidR="00154831">
              <w:rPr>
                <w:noProof/>
                <w:webHidden/>
              </w:rPr>
              <w:fldChar w:fldCharType="end"/>
            </w:r>
          </w:hyperlink>
        </w:p>
        <w:p w14:paraId="1C0DA9CB" w14:textId="41BF5D7D"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45" w:history="1">
            <w:r w:rsidR="00154831" w:rsidRPr="00480318">
              <w:rPr>
                <w:rStyle w:val="Hyperlink"/>
                <w:noProof/>
                <w:lang w:eastAsia="en-US"/>
              </w:rPr>
              <w:t>7 Likely net benefit of Option 1 (status quo)</w:t>
            </w:r>
            <w:r w:rsidR="00154831">
              <w:rPr>
                <w:noProof/>
                <w:webHidden/>
              </w:rPr>
              <w:tab/>
            </w:r>
            <w:r w:rsidR="00154831">
              <w:rPr>
                <w:noProof/>
                <w:webHidden/>
              </w:rPr>
              <w:fldChar w:fldCharType="begin"/>
            </w:r>
            <w:r w:rsidR="00154831">
              <w:rPr>
                <w:noProof/>
                <w:webHidden/>
              </w:rPr>
              <w:instrText xml:space="preserve"> PAGEREF _Toc149740345 \h </w:instrText>
            </w:r>
            <w:r w:rsidR="00154831">
              <w:rPr>
                <w:noProof/>
                <w:webHidden/>
              </w:rPr>
            </w:r>
            <w:r w:rsidR="00154831">
              <w:rPr>
                <w:noProof/>
                <w:webHidden/>
              </w:rPr>
              <w:fldChar w:fldCharType="separate"/>
            </w:r>
            <w:r w:rsidR="00154831">
              <w:rPr>
                <w:noProof/>
                <w:webHidden/>
              </w:rPr>
              <w:t>55</w:t>
            </w:r>
            <w:r w:rsidR="00154831">
              <w:rPr>
                <w:noProof/>
                <w:webHidden/>
              </w:rPr>
              <w:fldChar w:fldCharType="end"/>
            </w:r>
          </w:hyperlink>
        </w:p>
        <w:p w14:paraId="53379F0C" w14:textId="21E56DC6"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6" w:history="1">
            <w:r w:rsidR="00154831" w:rsidRPr="00480318">
              <w:rPr>
                <w:rStyle w:val="Hyperlink"/>
                <w:noProof/>
                <w:lang w:eastAsia="en-US"/>
              </w:rPr>
              <w:t>7.1 Overall impacts</w:t>
            </w:r>
            <w:r w:rsidR="00154831">
              <w:rPr>
                <w:noProof/>
                <w:webHidden/>
              </w:rPr>
              <w:tab/>
            </w:r>
            <w:r w:rsidR="00154831">
              <w:rPr>
                <w:noProof/>
                <w:webHidden/>
              </w:rPr>
              <w:fldChar w:fldCharType="begin"/>
            </w:r>
            <w:r w:rsidR="00154831">
              <w:rPr>
                <w:noProof/>
                <w:webHidden/>
              </w:rPr>
              <w:instrText xml:space="preserve"> PAGEREF _Toc149740346 \h </w:instrText>
            </w:r>
            <w:r w:rsidR="00154831">
              <w:rPr>
                <w:noProof/>
                <w:webHidden/>
              </w:rPr>
            </w:r>
            <w:r w:rsidR="00154831">
              <w:rPr>
                <w:noProof/>
                <w:webHidden/>
              </w:rPr>
              <w:fldChar w:fldCharType="separate"/>
            </w:r>
            <w:r w:rsidR="00154831">
              <w:rPr>
                <w:noProof/>
                <w:webHidden/>
              </w:rPr>
              <w:t>55</w:t>
            </w:r>
            <w:r w:rsidR="00154831">
              <w:rPr>
                <w:noProof/>
                <w:webHidden/>
              </w:rPr>
              <w:fldChar w:fldCharType="end"/>
            </w:r>
          </w:hyperlink>
        </w:p>
        <w:p w14:paraId="17DD6215" w14:textId="6A9226CE"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7" w:history="1">
            <w:r w:rsidR="00154831" w:rsidRPr="00480318">
              <w:rPr>
                <w:rStyle w:val="Hyperlink"/>
                <w:noProof/>
                <w:lang w:eastAsia="en-US"/>
              </w:rPr>
              <w:t>7.2 Regulatory impacts</w:t>
            </w:r>
            <w:r w:rsidR="00154831">
              <w:rPr>
                <w:noProof/>
                <w:webHidden/>
              </w:rPr>
              <w:tab/>
            </w:r>
            <w:r w:rsidR="00154831">
              <w:rPr>
                <w:noProof/>
                <w:webHidden/>
              </w:rPr>
              <w:fldChar w:fldCharType="begin"/>
            </w:r>
            <w:r w:rsidR="00154831">
              <w:rPr>
                <w:noProof/>
                <w:webHidden/>
              </w:rPr>
              <w:instrText xml:space="preserve"> PAGEREF _Toc149740347 \h </w:instrText>
            </w:r>
            <w:r w:rsidR="00154831">
              <w:rPr>
                <w:noProof/>
                <w:webHidden/>
              </w:rPr>
            </w:r>
            <w:r w:rsidR="00154831">
              <w:rPr>
                <w:noProof/>
                <w:webHidden/>
              </w:rPr>
              <w:fldChar w:fldCharType="separate"/>
            </w:r>
            <w:r w:rsidR="00154831">
              <w:rPr>
                <w:noProof/>
                <w:webHidden/>
              </w:rPr>
              <w:t>60</w:t>
            </w:r>
            <w:r w:rsidR="00154831">
              <w:rPr>
                <w:noProof/>
                <w:webHidden/>
              </w:rPr>
              <w:fldChar w:fldCharType="end"/>
            </w:r>
          </w:hyperlink>
        </w:p>
        <w:p w14:paraId="2308877D" w14:textId="1EA9BEF5" w:rsidR="00154831" w:rsidRDefault="006E3B9A" w:rsidP="00154831">
          <w:pPr>
            <w:pStyle w:val="TOC2"/>
            <w:rPr>
              <w:rFonts w:asciiTheme="minorHAnsi" w:eastAsiaTheme="minorEastAsia" w:hAnsiTheme="minorHAnsi" w:cstheme="minorBidi"/>
              <w:noProof/>
              <w:color w:val="auto"/>
              <w:kern w:val="2"/>
              <w:sz w:val="22"/>
              <w14:ligatures w14:val="standardContextual"/>
            </w:rPr>
          </w:pPr>
          <w:hyperlink w:anchor="_Toc149740348" w:history="1">
            <w:r w:rsidR="00154831" w:rsidRPr="00480318">
              <w:rPr>
                <w:rStyle w:val="Hyperlink"/>
                <w:noProof/>
                <w:lang w:eastAsia="en-US"/>
              </w:rPr>
              <w:t>7.3 Likely net benefit</w:t>
            </w:r>
            <w:r w:rsidR="00154831">
              <w:rPr>
                <w:noProof/>
                <w:webHidden/>
              </w:rPr>
              <w:tab/>
            </w:r>
            <w:r w:rsidR="00154831">
              <w:rPr>
                <w:noProof/>
                <w:webHidden/>
              </w:rPr>
              <w:fldChar w:fldCharType="begin"/>
            </w:r>
            <w:r w:rsidR="00154831">
              <w:rPr>
                <w:noProof/>
                <w:webHidden/>
              </w:rPr>
              <w:instrText xml:space="preserve"> PAGEREF _Toc149740348 \h </w:instrText>
            </w:r>
            <w:r w:rsidR="00154831">
              <w:rPr>
                <w:noProof/>
                <w:webHidden/>
              </w:rPr>
            </w:r>
            <w:r w:rsidR="00154831">
              <w:rPr>
                <w:noProof/>
                <w:webHidden/>
              </w:rPr>
              <w:fldChar w:fldCharType="separate"/>
            </w:r>
            <w:r w:rsidR="00154831">
              <w:rPr>
                <w:noProof/>
                <w:webHidden/>
              </w:rPr>
              <w:t>61</w:t>
            </w:r>
            <w:r w:rsidR="00154831">
              <w:rPr>
                <w:noProof/>
                <w:webHidden/>
              </w:rPr>
              <w:fldChar w:fldCharType="end"/>
            </w:r>
          </w:hyperlink>
        </w:p>
        <w:p w14:paraId="1942814E" w14:textId="0C60DFBD"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49" w:history="1">
            <w:r w:rsidR="00154831" w:rsidRPr="00480318">
              <w:rPr>
                <w:rStyle w:val="Hyperlink"/>
                <w:noProof/>
                <w:lang w:eastAsia="en-US"/>
              </w:rPr>
              <w:t>8 Likely net benefit of Option 2 (leverage existing regulatory frameworks)</w:t>
            </w:r>
            <w:r w:rsidR="00154831">
              <w:rPr>
                <w:noProof/>
                <w:webHidden/>
              </w:rPr>
              <w:tab/>
            </w:r>
            <w:r w:rsidR="00154831">
              <w:rPr>
                <w:noProof/>
                <w:webHidden/>
              </w:rPr>
              <w:fldChar w:fldCharType="begin"/>
            </w:r>
            <w:r w:rsidR="00154831">
              <w:rPr>
                <w:noProof/>
                <w:webHidden/>
              </w:rPr>
              <w:instrText xml:space="preserve"> PAGEREF _Toc149740349 \h </w:instrText>
            </w:r>
            <w:r w:rsidR="00154831">
              <w:rPr>
                <w:noProof/>
                <w:webHidden/>
              </w:rPr>
            </w:r>
            <w:r w:rsidR="00154831">
              <w:rPr>
                <w:noProof/>
                <w:webHidden/>
              </w:rPr>
              <w:fldChar w:fldCharType="separate"/>
            </w:r>
            <w:r w:rsidR="00154831">
              <w:rPr>
                <w:noProof/>
                <w:webHidden/>
              </w:rPr>
              <w:t>62</w:t>
            </w:r>
            <w:r w:rsidR="00154831">
              <w:rPr>
                <w:noProof/>
                <w:webHidden/>
              </w:rPr>
              <w:fldChar w:fldCharType="end"/>
            </w:r>
          </w:hyperlink>
        </w:p>
        <w:p w14:paraId="27675E56" w14:textId="2C2F74A0"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0" w:history="1">
            <w:r w:rsidR="00154831" w:rsidRPr="00480318">
              <w:rPr>
                <w:rStyle w:val="Hyperlink"/>
                <w:noProof/>
                <w:lang w:eastAsia="en-US"/>
              </w:rPr>
              <w:t>8.1 Overall impacts</w:t>
            </w:r>
            <w:r w:rsidR="00154831">
              <w:rPr>
                <w:noProof/>
                <w:webHidden/>
              </w:rPr>
              <w:tab/>
            </w:r>
            <w:r w:rsidR="00154831">
              <w:rPr>
                <w:noProof/>
                <w:webHidden/>
              </w:rPr>
              <w:fldChar w:fldCharType="begin"/>
            </w:r>
            <w:r w:rsidR="00154831">
              <w:rPr>
                <w:noProof/>
                <w:webHidden/>
              </w:rPr>
              <w:instrText xml:space="preserve"> PAGEREF _Toc149740350 \h </w:instrText>
            </w:r>
            <w:r w:rsidR="00154831">
              <w:rPr>
                <w:noProof/>
                <w:webHidden/>
              </w:rPr>
            </w:r>
            <w:r w:rsidR="00154831">
              <w:rPr>
                <w:noProof/>
                <w:webHidden/>
              </w:rPr>
              <w:fldChar w:fldCharType="separate"/>
            </w:r>
            <w:r w:rsidR="00154831">
              <w:rPr>
                <w:noProof/>
                <w:webHidden/>
              </w:rPr>
              <w:t>62</w:t>
            </w:r>
            <w:r w:rsidR="00154831">
              <w:rPr>
                <w:noProof/>
                <w:webHidden/>
              </w:rPr>
              <w:fldChar w:fldCharType="end"/>
            </w:r>
          </w:hyperlink>
        </w:p>
        <w:p w14:paraId="439ACA48" w14:textId="7460A806"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1" w:history="1">
            <w:r w:rsidR="00154831" w:rsidRPr="00480318">
              <w:rPr>
                <w:rStyle w:val="Hyperlink"/>
                <w:noProof/>
                <w:lang w:eastAsia="en-US"/>
              </w:rPr>
              <w:t>8.2 Regulatory impacts</w:t>
            </w:r>
            <w:r w:rsidR="00154831">
              <w:rPr>
                <w:noProof/>
                <w:webHidden/>
              </w:rPr>
              <w:tab/>
            </w:r>
            <w:r w:rsidR="00154831">
              <w:rPr>
                <w:noProof/>
                <w:webHidden/>
              </w:rPr>
              <w:fldChar w:fldCharType="begin"/>
            </w:r>
            <w:r w:rsidR="00154831">
              <w:rPr>
                <w:noProof/>
                <w:webHidden/>
              </w:rPr>
              <w:instrText xml:space="preserve"> PAGEREF _Toc149740351 \h </w:instrText>
            </w:r>
            <w:r w:rsidR="00154831">
              <w:rPr>
                <w:noProof/>
                <w:webHidden/>
              </w:rPr>
            </w:r>
            <w:r w:rsidR="00154831">
              <w:rPr>
                <w:noProof/>
                <w:webHidden/>
              </w:rPr>
              <w:fldChar w:fldCharType="separate"/>
            </w:r>
            <w:r w:rsidR="00154831">
              <w:rPr>
                <w:noProof/>
                <w:webHidden/>
              </w:rPr>
              <w:t>66</w:t>
            </w:r>
            <w:r w:rsidR="00154831">
              <w:rPr>
                <w:noProof/>
                <w:webHidden/>
              </w:rPr>
              <w:fldChar w:fldCharType="end"/>
            </w:r>
          </w:hyperlink>
        </w:p>
        <w:p w14:paraId="244EF91C" w14:textId="574C40D0"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2" w:history="1">
            <w:r w:rsidR="00154831" w:rsidRPr="00480318">
              <w:rPr>
                <w:rStyle w:val="Hyperlink"/>
                <w:noProof/>
                <w:lang w:eastAsia="en-US"/>
              </w:rPr>
              <w:t>8.3 Likely net benefit</w:t>
            </w:r>
            <w:r w:rsidR="00154831">
              <w:rPr>
                <w:noProof/>
                <w:webHidden/>
              </w:rPr>
              <w:tab/>
            </w:r>
            <w:r w:rsidR="00154831">
              <w:rPr>
                <w:noProof/>
                <w:webHidden/>
              </w:rPr>
              <w:fldChar w:fldCharType="begin"/>
            </w:r>
            <w:r w:rsidR="00154831">
              <w:rPr>
                <w:noProof/>
                <w:webHidden/>
              </w:rPr>
              <w:instrText xml:space="preserve"> PAGEREF _Toc149740352 \h </w:instrText>
            </w:r>
            <w:r w:rsidR="00154831">
              <w:rPr>
                <w:noProof/>
                <w:webHidden/>
              </w:rPr>
            </w:r>
            <w:r w:rsidR="00154831">
              <w:rPr>
                <w:noProof/>
                <w:webHidden/>
              </w:rPr>
              <w:fldChar w:fldCharType="separate"/>
            </w:r>
            <w:r w:rsidR="00154831">
              <w:rPr>
                <w:noProof/>
                <w:webHidden/>
              </w:rPr>
              <w:t>69</w:t>
            </w:r>
            <w:r w:rsidR="00154831">
              <w:rPr>
                <w:noProof/>
                <w:webHidden/>
              </w:rPr>
              <w:fldChar w:fldCharType="end"/>
            </w:r>
          </w:hyperlink>
        </w:p>
        <w:p w14:paraId="04B76F8E" w14:textId="0EC98C5B"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53" w:history="1">
            <w:r w:rsidR="00154831" w:rsidRPr="00480318">
              <w:rPr>
                <w:rStyle w:val="Hyperlink"/>
                <w:noProof/>
                <w:lang w:eastAsia="en-US"/>
              </w:rPr>
              <w:t>9 Likely net benefit of Option 3 (dedicated regulatory scheme)</w:t>
            </w:r>
            <w:r w:rsidR="00154831">
              <w:rPr>
                <w:noProof/>
                <w:webHidden/>
              </w:rPr>
              <w:tab/>
            </w:r>
            <w:r w:rsidR="00154831">
              <w:rPr>
                <w:noProof/>
                <w:webHidden/>
              </w:rPr>
              <w:fldChar w:fldCharType="begin"/>
            </w:r>
            <w:r w:rsidR="00154831">
              <w:rPr>
                <w:noProof/>
                <w:webHidden/>
              </w:rPr>
              <w:instrText xml:space="preserve"> PAGEREF _Toc149740353 \h </w:instrText>
            </w:r>
            <w:r w:rsidR="00154831">
              <w:rPr>
                <w:noProof/>
                <w:webHidden/>
              </w:rPr>
            </w:r>
            <w:r w:rsidR="00154831">
              <w:rPr>
                <w:noProof/>
                <w:webHidden/>
              </w:rPr>
              <w:fldChar w:fldCharType="separate"/>
            </w:r>
            <w:r w:rsidR="00154831">
              <w:rPr>
                <w:noProof/>
                <w:webHidden/>
              </w:rPr>
              <w:t>70</w:t>
            </w:r>
            <w:r w:rsidR="00154831">
              <w:rPr>
                <w:noProof/>
                <w:webHidden/>
              </w:rPr>
              <w:fldChar w:fldCharType="end"/>
            </w:r>
          </w:hyperlink>
        </w:p>
        <w:p w14:paraId="0C3F5FE6" w14:textId="1F263B5D"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4" w:history="1">
            <w:r w:rsidR="00154831" w:rsidRPr="00480318">
              <w:rPr>
                <w:rStyle w:val="Hyperlink"/>
                <w:noProof/>
                <w:lang w:eastAsia="en-US"/>
              </w:rPr>
              <w:t>9.1 Overall impacts</w:t>
            </w:r>
            <w:r w:rsidR="00154831">
              <w:rPr>
                <w:noProof/>
                <w:webHidden/>
              </w:rPr>
              <w:tab/>
            </w:r>
            <w:r w:rsidR="00154831">
              <w:rPr>
                <w:noProof/>
                <w:webHidden/>
              </w:rPr>
              <w:fldChar w:fldCharType="begin"/>
            </w:r>
            <w:r w:rsidR="00154831">
              <w:rPr>
                <w:noProof/>
                <w:webHidden/>
              </w:rPr>
              <w:instrText xml:space="preserve"> PAGEREF _Toc149740354 \h </w:instrText>
            </w:r>
            <w:r w:rsidR="00154831">
              <w:rPr>
                <w:noProof/>
                <w:webHidden/>
              </w:rPr>
            </w:r>
            <w:r w:rsidR="00154831">
              <w:rPr>
                <w:noProof/>
                <w:webHidden/>
              </w:rPr>
              <w:fldChar w:fldCharType="separate"/>
            </w:r>
            <w:r w:rsidR="00154831">
              <w:rPr>
                <w:noProof/>
                <w:webHidden/>
              </w:rPr>
              <w:t>71</w:t>
            </w:r>
            <w:r w:rsidR="00154831">
              <w:rPr>
                <w:noProof/>
                <w:webHidden/>
              </w:rPr>
              <w:fldChar w:fldCharType="end"/>
            </w:r>
          </w:hyperlink>
        </w:p>
        <w:p w14:paraId="764EAEB4" w14:textId="356E510F"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5" w:history="1">
            <w:r w:rsidR="00154831" w:rsidRPr="00480318">
              <w:rPr>
                <w:rStyle w:val="Hyperlink"/>
                <w:noProof/>
              </w:rPr>
              <w:t>9.2 Regulatory impacts</w:t>
            </w:r>
            <w:r w:rsidR="00154831">
              <w:rPr>
                <w:noProof/>
                <w:webHidden/>
              </w:rPr>
              <w:tab/>
            </w:r>
            <w:r w:rsidR="00154831">
              <w:rPr>
                <w:noProof/>
                <w:webHidden/>
              </w:rPr>
              <w:fldChar w:fldCharType="begin"/>
            </w:r>
            <w:r w:rsidR="00154831">
              <w:rPr>
                <w:noProof/>
                <w:webHidden/>
              </w:rPr>
              <w:instrText xml:space="preserve"> PAGEREF _Toc149740355 \h </w:instrText>
            </w:r>
            <w:r w:rsidR="00154831">
              <w:rPr>
                <w:noProof/>
                <w:webHidden/>
              </w:rPr>
            </w:r>
            <w:r w:rsidR="00154831">
              <w:rPr>
                <w:noProof/>
                <w:webHidden/>
              </w:rPr>
              <w:fldChar w:fldCharType="separate"/>
            </w:r>
            <w:r w:rsidR="00154831">
              <w:rPr>
                <w:noProof/>
                <w:webHidden/>
              </w:rPr>
              <w:t>86</w:t>
            </w:r>
            <w:r w:rsidR="00154831">
              <w:rPr>
                <w:noProof/>
                <w:webHidden/>
              </w:rPr>
              <w:fldChar w:fldCharType="end"/>
            </w:r>
          </w:hyperlink>
        </w:p>
        <w:p w14:paraId="4391196A" w14:textId="15AE32BF"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6" w:history="1">
            <w:r w:rsidR="00154831" w:rsidRPr="00480318">
              <w:rPr>
                <w:rStyle w:val="Hyperlink"/>
                <w:noProof/>
                <w:lang w:eastAsia="en-US"/>
              </w:rPr>
              <w:t>9.3 Likely net benefit</w:t>
            </w:r>
            <w:r w:rsidR="00154831">
              <w:rPr>
                <w:noProof/>
                <w:webHidden/>
              </w:rPr>
              <w:tab/>
            </w:r>
            <w:r w:rsidR="00154831">
              <w:rPr>
                <w:noProof/>
                <w:webHidden/>
              </w:rPr>
              <w:fldChar w:fldCharType="begin"/>
            </w:r>
            <w:r w:rsidR="00154831">
              <w:rPr>
                <w:noProof/>
                <w:webHidden/>
              </w:rPr>
              <w:instrText xml:space="preserve"> PAGEREF _Toc149740356 \h </w:instrText>
            </w:r>
            <w:r w:rsidR="00154831">
              <w:rPr>
                <w:noProof/>
                <w:webHidden/>
              </w:rPr>
            </w:r>
            <w:r w:rsidR="00154831">
              <w:rPr>
                <w:noProof/>
                <w:webHidden/>
              </w:rPr>
              <w:fldChar w:fldCharType="separate"/>
            </w:r>
            <w:r w:rsidR="00154831">
              <w:rPr>
                <w:noProof/>
                <w:webHidden/>
              </w:rPr>
              <w:t>89</w:t>
            </w:r>
            <w:r w:rsidR="00154831">
              <w:rPr>
                <w:noProof/>
                <w:webHidden/>
              </w:rPr>
              <w:fldChar w:fldCharType="end"/>
            </w:r>
          </w:hyperlink>
        </w:p>
        <w:p w14:paraId="3088D23F" w14:textId="0C01FD7B"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57" w:history="1">
            <w:r w:rsidR="00154831" w:rsidRPr="00480318">
              <w:rPr>
                <w:rStyle w:val="Hyperlink"/>
                <w:noProof/>
              </w:rPr>
              <w:t>10 Consultation</w:t>
            </w:r>
            <w:r w:rsidR="00154831">
              <w:rPr>
                <w:noProof/>
                <w:webHidden/>
              </w:rPr>
              <w:tab/>
            </w:r>
            <w:r w:rsidR="00154831">
              <w:rPr>
                <w:noProof/>
                <w:webHidden/>
              </w:rPr>
              <w:fldChar w:fldCharType="begin"/>
            </w:r>
            <w:r w:rsidR="00154831">
              <w:rPr>
                <w:noProof/>
                <w:webHidden/>
              </w:rPr>
              <w:instrText xml:space="preserve"> PAGEREF _Toc149740357 \h </w:instrText>
            </w:r>
            <w:r w:rsidR="00154831">
              <w:rPr>
                <w:noProof/>
                <w:webHidden/>
              </w:rPr>
            </w:r>
            <w:r w:rsidR="00154831">
              <w:rPr>
                <w:noProof/>
                <w:webHidden/>
              </w:rPr>
              <w:fldChar w:fldCharType="separate"/>
            </w:r>
            <w:r w:rsidR="00154831">
              <w:rPr>
                <w:noProof/>
                <w:webHidden/>
              </w:rPr>
              <w:t>92</w:t>
            </w:r>
            <w:r w:rsidR="00154831">
              <w:rPr>
                <w:noProof/>
                <w:webHidden/>
              </w:rPr>
              <w:fldChar w:fldCharType="end"/>
            </w:r>
          </w:hyperlink>
        </w:p>
        <w:p w14:paraId="0BF69375" w14:textId="222119B9"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8" w:history="1">
            <w:r w:rsidR="00154831" w:rsidRPr="00480318">
              <w:rPr>
                <w:rStyle w:val="Hyperlink"/>
                <w:noProof/>
                <w:lang w:eastAsia="en-US"/>
              </w:rPr>
              <w:t>10.1 Purpose and objectives</w:t>
            </w:r>
            <w:r w:rsidR="00154831">
              <w:rPr>
                <w:noProof/>
                <w:webHidden/>
              </w:rPr>
              <w:tab/>
            </w:r>
            <w:r w:rsidR="00154831">
              <w:rPr>
                <w:noProof/>
                <w:webHidden/>
              </w:rPr>
              <w:fldChar w:fldCharType="begin"/>
            </w:r>
            <w:r w:rsidR="00154831">
              <w:rPr>
                <w:noProof/>
                <w:webHidden/>
              </w:rPr>
              <w:instrText xml:space="preserve"> PAGEREF _Toc149740358 \h </w:instrText>
            </w:r>
            <w:r w:rsidR="00154831">
              <w:rPr>
                <w:noProof/>
                <w:webHidden/>
              </w:rPr>
            </w:r>
            <w:r w:rsidR="00154831">
              <w:rPr>
                <w:noProof/>
                <w:webHidden/>
              </w:rPr>
              <w:fldChar w:fldCharType="separate"/>
            </w:r>
            <w:r w:rsidR="00154831">
              <w:rPr>
                <w:noProof/>
                <w:webHidden/>
              </w:rPr>
              <w:t>92</w:t>
            </w:r>
            <w:r w:rsidR="00154831">
              <w:rPr>
                <w:noProof/>
                <w:webHidden/>
              </w:rPr>
              <w:fldChar w:fldCharType="end"/>
            </w:r>
          </w:hyperlink>
        </w:p>
        <w:p w14:paraId="0D839772" w14:textId="7F7ED498"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59" w:history="1">
            <w:r w:rsidR="00154831" w:rsidRPr="00480318">
              <w:rPr>
                <w:rStyle w:val="Hyperlink"/>
                <w:noProof/>
                <w:lang w:eastAsia="en-US"/>
              </w:rPr>
              <w:t>10.2 Consultation undertaken</w:t>
            </w:r>
            <w:r w:rsidR="00154831">
              <w:rPr>
                <w:noProof/>
                <w:webHidden/>
              </w:rPr>
              <w:tab/>
            </w:r>
            <w:r w:rsidR="00154831">
              <w:rPr>
                <w:noProof/>
                <w:webHidden/>
              </w:rPr>
              <w:fldChar w:fldCharType="begin"/>
            </w:r>
            <w:r w:rsidR="00154831">
              <w:rPr>
                <w:noProof/>
                <w:webHidden/>
              </w:rPr>
              <w:instrText xml:space="preserve"> PAGEREF _Toc149740359 \h </w:instrText>
            </w:r>
            <w:r w:rsidR="00154831">
              <w:rPr>
                <w:noProof/>
                <w:webHidden/>
              </w:rPr>
            </w:r>
            <w:r w:rsidR="00154831">
              <w:rPr>
                <w:noProof/>
                <w:webHidden/>
              </w:rPr>
              <w:fldChar w:fldCharType="separate"/>
            </w:r>
            <w:r w:rsidR="00154831">
              <w:rPr>
                <w:noProof/>
                <w:webHidden/>
              </w:rPr>
              <w:t>93</w:t>
            </w:r>
            <w:r w:rsidR="00154831">
              <w:rPr>
                <w:noProof/>
                <w:webHidden/>
              </w:rPr>
              <w:fldChar w:fldCharType="end"/>
            </w:r>
          </w:hyperlink>
        </w:p>
        <w:p w14:paraId="0C559CC6" w14:textId="34024EA0"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0" w:history="1">
            <w:r w:rsidR="00154831" w:rsidRPr="00480318">
              <w:rPr>
                <w:rStyle w:val="Hyperlink"/>
                <w:noProof/>
              </w:rPr>
              <w:t>10.3 Outcomes and themes of consultation to date</w:t>
            </w:r>
            <w:r w:rsidR="00154831">
              <w:rPr>
                <w:noProof/>
                <w:webHidden/>
              </w:rPr>
              <w:tab/>
            </w:r>
            <w:r w:rsidR="00154831">
              <w:rPr>
                <w:noProof/>
                <w:webHidden/>
              </w:rPr>
              <w:fldChar w:fldCharType="begin"/>
            </w:r>
            <w:r w:rsidR="00154831">
              <w:rPr>
                <w:noProof/>
                <w:webHidden/>
              </w:rPr>
              <w:instrText xml:space="preserve"> PAGEREF _Toc149740360 \h </w:instrText>
            </w:r>
            <w:r w:rsidR="00154831">
              <w:rPr>
                <w:noProof/>
                <w:webHidden/>
              </w:rPr>
            </w:r>
            <w:r w:rsidR="00154831">
              <w:rPr>
                <w:noProof/>
                <w:webHidden/>
              </w:rPr>
              <w:fldChar w:fldCharType="separate"/>
            </w:r>
            <w:r w:rsidR="00154831">
              <w:rPr>
                <w:noProof/>
                <w:webHidden/>
              </w:rPr>
              <w:t>95</w:t>
            </w:r>
            <w:r w:rsidR="00154831">
              <w:rPr>
                <w:noProof/>
                <w:webHidden/>
              </w:rPr>
              <w:fldChar w:fldCharType="end"/>
            </w:r>
          </w:hyperlink>
        </w:p>
        <w:p w14:paraId="4B6C1FC9" w14:textId="55C14387"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1" w:history="1">
            <w:r w:rsidR="00154831" w:rsidRPr="00480318">
              <w:rPr>
                <w:rStyle w:val="Hyperlink"/>
                <w:noProof/>
                <w:lang w:eastAsia="en-US"/>
              </w:rPr>
              <w:t>10.4 Ongoing consultation</w:t>
            </w:r>
            <w:r w:rsidR="00154831">
              <w:rPr>
                <w:noProof/>
                <w:webHidden/>
              </w:rPr>
              <w:tab/>
            </w:r>
            <w:r w:rsidR="00154831">
              <w:rPr>
                <w:noProof/>
                <w:webHidden/>
              </w:rPr>
              <w:fldChar w:fldCharType="begin"/>
            </w:r>
            <w:r w:rsidR="00154831">
              <w:rPr>
                <w:noProof/>
                <w:webHidden/>
              </w:rPr>
              <w:instrText xml:space="preserve"> PAGEREF _Toc149740361 \h </w:instrText>
            </w:r>
            <w:r w:rsidR="00154831">
              <w:rPr>
                <w:noProof/>
                <w:webHidden/>
              </w:rPr>
            </w:r>
            <w:r w:rsidR="00154831">
              <w:rPr>
                <w:noProof/>
                <w:webHidden/>
              </w:rPr>
              <w:fldChar w:fldCharType="separate"/>
            </w:r>
            <w:r w:rsidR="00154831">
              <w:rPr>
                <w:noProof/>
                <w:webHidden/>
              </w:rPr>
              <w:t>98</w:t>
            </w:r>
            <w:r w:rsidR="00154831">
              <w:rPr>
                <w:noProof/>
                <w:webHidden/>
              </w:rPr>
              <w:fldChar w:fldCharType="end"/>
            </w:r>
          </w:hyperlink>
        </w:p>
        <w:p w14:paraId="0E0C4348" w14:textId="489509F1"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62" w:history="1">
            <w:r w:rsidR="00154831" w:rsidRPr="00480318">
              <w:rPr>
                <w:rStyle w:val="Hyperlink"/>
                <w:noProof/>
                <w:lang w:eastAsia="en-US"/>
              </w:rPr>
              <w:t>11 Best option from those considered</w:t>
            </w:r>
            <w:r w:rsidR="00154831">
              <w:rPr>
                <w:noProof/>
                <w:webHidden/>
              </w:rPr>
              <w:tab/>
            </w:r>
            <w:r w:rsidR="00154831">
              <w:rPr>
                <w:noProof/>
                <w:webHidden/>
              </w:rPr>
              <w:fldChar w:fldCharType="begin"/>
            </w:r>
            <w:r w:rsidR="00154831">
              <w:rPr>
                <w:noProof/>
                <w:webHidden/>
              </w:rPr>
              <w:instrText xml:space="preserve"> PAGEREF _Toc149740362 \h </w:instrText>
            </w:r>
            <w:r w:rsidR="00154831">
              <w:rPr>
                <w:noProof/>
                <w:webHidden/>
              </w:rPr>
            </w:r>
            <w:r w:rsidR="00154831">
              <w:rPr>
                <w:noProof/>
                <w:webHidden/>
              </w:rPr>
              <w:fldChar w:fldCharType="separate"/>
            </w:r>
            <w:r w:rsidR="00154831">
              <w:rPr>
                <w:noProof/>
                <w:webHidden/>
              </w:rPr>
              <w:t>99</w:t>
            </w:r>
            <w:r w:rsidR="00154831">
              <w:rPr>
                <w:noProof/>
                <w:webHidden/>
              </w:rPr>
              <w:fldChar w:fldCharType="end"/>
            </w:r>
          </w:hyperlink>
        </w:p>
        <w:p w14:paraId="077DCBCB" w14:textId="288ACEE7"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63" w:history="1">
            <w:r w:rsidR="00154831" w:rsidRPr="00480318">
              <w:rPr>
                <w:rStyle w:val="Hyperlink"/>
                <w:noProof/>
                <w:lang w:eastAsia="en-US"/>
              </w:rPr>
              <w:t>12 Implementation and evaluation of selected option</w:t>
            </w:r>
            <w:r w:rsidR="00154831">
              <w:rPr>
                <w:noProof/>
                <w:webHidden/>
              </w:rPr>
              <w:tab/>
            </w:r>
            <w:r w:rsidR="00154831">
              <w:rPr>
                <w:noProof/>
                <w:webHidden/>
              </w:rPr>
              <w:fldChar w:fldCharType="begin"/>
            </w:r>
            <w:r w:rsidR="00154831">
              <w:rPr>
                <w:noProof/>
                <w:webHidden/>
              </w:rPr>
              <w:instrText xml:space="preserve"> PAGEREF _Toc149740363 \h </w:instrText>
            </w:r>
            <w:r w:rsidR="00154831">
              <w:rPr>
                <w:noProof/>
                <w:webHidden/>
              </w:rPr>
            </w:r>
            <w:r w:rsidR="00154831">
              <w:rPr>
                <w:noProof/>
                <w:webHidden/>
              </w:rPr>
              <w:fldChar w:fldCharType="separate"/>
            </w:r>
            <w:r w:rsidR="00154831">
              <w:rPr>
                <w:noProof/>
                <w:webHidden/>
              </w:rPr>
              <w:t>104</w:t>
            </w:r>
            <w:r w:rsidR="00154831">
              <w:rPr>
                <w:noProof/>
                <w:webHidden/>
              </w:rPr>
              <w:fldChar w:fldCharType="end"/>
            </w:r>
          </w:hyperlink>
        </w:p>
        <w:p w14:paraId="7FFFEBC8" w14:textId="260064A8"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4" w:history="1">
            <w:r w:rsidR="00154831" w:rsidRPr="00480318">
              <w:rPr>
                <w:rStyle w:val="Hyperlink"/>
                <w:noProof/>
                <w:lang w:eastAsia="en-US"/>
              </w:rPr>
              <w:t>12.1 Impact Analysis status at key decision points</w:t>
            </w:r>
            <w:r w:rsidR="00154831">
              <w:rPr>
                <w:noProof/>
                <w:webHidden/>
              </w:rPr>
              <w:tab/>
            </w:r>
            <w:r w:rsidR="00154831">
              <w:rPr>
                <w:noProof/>
                <w:webHidden/>
              </w:rPr>
              <w:fldChar w:fldCharType="begin"/>
            </w:r>
            <w:r w:rsidR="00154831">
              <w:rPr>
                <w:noProof/>
                <w:webHidden/>
              </w:rPr>
              <w:instrText xml:space="preserve"> PAGEREF _Toc149740364 \h </w:instrText>
            </w:r>
            <w:r w:rsidR="00154831">
              <w:rPr>
                <w:noProof/>
                <w:webHidden/>
              </w:rPr>
            </w:r>
            <w:r w:rsidR="00154831">
              <w:rPr>
                <w:noProof/>
                <w:webHidden/>
              </w:rPr>
              <w:fldChar w:fldCharType="separate"/>
            </w:r>
            <w:r w:rsidR="00154831">
              <w:rPr>
                <w:noProof/>
                <w:webHidden/>
              </w:rPr>
              <w:t>104</w:t>
            </w:r>
            <w:r w:rsidR="00154831">
              <w:rPr>
                <w:noProof/>
                <w:webHidden/>
              </w:rPr>
              <w:fldChar w:fldCharType="end"/>
            </w:r>
          </w:hyperlink>
        </w:p>
        <w:p w14:paraId="18054AF9" w14:textId="57472D32"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5" w:history="1">
            <w:r w:rsidR="00154831" w:rsidRPr="00480318">
              <w:rPr>
                <w:rStyle w:val="Hyperlink"/>
                <w:noProof/>
                <w:lang w:eastAsia="en-US"/>
              </w:rPr>
              <w:t>12.2 Implementation approach</w:t>
            </w:r>
            <w:r w:rsidR="00154831">
              <w:rPr>
                <w:noProof/>
                <w:webHidden/>
              </w:rPr>
              <w:tab/>
            </w:r>
            <w:r w:rsidR="00154831">
              <w:rPr>
                <w:noProof/>
                <w:webHidden/>
              </w:rPr>
              <w:fldChar w:fldCharType="begin"/>
            </w:r>
            <w:r w:rsidR="00154831">
              <w:rPr>
                <w:noProof/>
                <w:webHidden/>
              </w:rPr>
              <w:instrText xml:space="preserve"> PAGEREF _Toc149740365 \h </w:instrText>
            </w:r>
            <w:r w:rsidR="00154831">
              <w:rPr>
                <w:noProof/>
                <w:webHidden/>
              </w:rPr>
            </w:r>
            <w:r w:rsidR="00154831">
              <w:rPr>
                <w:noProof/>
                <w:webHidden/>
              </w:rPr>
              <w:fldChar w:fldCharType="separate"/>
            </w:r>
            <w:r w:rsidR="00154831">
              <w:rPr>
                <w:noProof/>
                <w:webHidden/>
              </w:rPr>
              <w:t>104</w:t>
            </w:r>
            <w:r w:rsidR="00154831">
              <w:rPr>
                <w:noProof/>
                <w:webHidden/>
              </w:rPr>
              <w:fldChar w:fldCharType="end"/>
            </w:r>
          </w:hyperlink>
        </w:p>
        <w:p w14:paraId="1E19FAEA" w14:textId="025AF350"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6" w:history="1">
            <w:r w:rsidR="00154831" w:rsidRPr="00480318">
              <w:rPr>
                <w:rStyle w:val="Hyperlink"/>
                <w:noProof/>
                <w:lang w:eastAsia="en-US"/>
              </w:rPr>
              <w:t>12.3 Implementation challenges and risks</w:t>
            </w:r>
            <w:r w:rsidR="00154831">
              <w:rPr>
                <w:noProof/>
                <w:webHidden/>
              </w:rPr>
              <w:tab/>
            </w:r>
            <w:r w:rsidR="00154831">
              <w:rPr>
                <w:noProof/>
                <w:webHidden/>
              </w:rPr>
              <w:fldChar w:fldCharType="begin"/>
            </w:r>
            <w:r w:rsidR="00154831">
              <w:rPr>
                <w:noProof/>
                <w:webHidden/>
              </w:rPr>
              <w:instrText xml:space="preserve"> PAGEREF _Toc149740366 \h </w:instrText>
            </w:r>
            <w:r w:rsidR="00154831">
              <w:rPr>
                <w:noProof/>
                <w:webHidden/>
              </w:rPr>
            </w:r>
            <w:r w:rsidR="00154831">
              <w:rPr>
                <w:noProof/>
                <w:webHidden/>
              </w:rPr>
              <w:fldChar w:fldCharType="separate"/>
            </w:r>
            <w:r w:rsidR="00154831">
              <w:rPr>
                <w:noProof/>
                <w:webHidden/>
              </w:rPr>
              <w:t>105</w:t>
            </w:r>
            <w:r w:rsidR="00154831">
              <w:rPr>
                <w:noProof/>
                <w:webHidden/>
              </w:rPr>
              <w:fldChar w:fldCharType="end"/>
            </w:r>
          </w:hyperlink>
        </w:p>
        <w:p w14:paraId="65BBAF48" w14:textId="5548A276"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7" w:history="1">
            <w:r w:rsidR="00154831" w:rsidRPr="009F2701">
              <w:rPr>
                <w:rStyle w:val="Hyperlink"/>
                <w:lang w:eastAsia="en-US"/>
              </w:rPr>
              <w:t>12.4 Evaluation strategy</w:t>
            </w:r>
            <w:r w:rsidR="00154831">
              <w:rPr>
                <w:noProof/>
                <w:webHidden/>
              </w:rPr>
              <w:tab/>
            </w:r>
            <w:r w:rsidR="00154831">
              <w:rPr>
                <w:noProof/>
                <w:webHidden/>
              </w:rPr>
              <w:fldChar w:fldCharType="begin"/>
            </w:r>
            <w:r w:rsidR="00154831">
              <w:rPr>
                <w:noProof/>
                <w:webHidden/>
              </w:rPr>
              <w:instrText xml:space="preserve"> PAGEREF _Toc149740367 \h </w:instrText>
            </w:r>
            <w:r w:rsidR="00154831">
              <w:rPr>
                <w:noProof/>
                <w:webHidden/>
              </w:rPr>
            </w:r>
            <w:r w:rsidR="00154831">
              <w:rPr>
                <w:noProof/>
                <w:webHidden/>
              </w:rPr>
              <w:fldChar w:fldCharType="separate"/>
            </w:r>
            <w:r w:rsidR="00154831">
              <w:rPr>
                <w:noProof/>
                <w:webHidden/>
              </w:rPr>
              <w:t>105</w:t>
            </w:r>
            <w:r w:rsidR="00154831">
              <w:rPr>
                <w:noProof/>
                <w:webHidden/>
              </w:rPr>
              <w:fldChar w:fldCharType="end"/>
            </w:r>
          </w:hyperlink>
        </w:p>
        <w:p w14:paraId="6C4059E9" w14:textId="4E2DC1C8"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68" w:history="1">
            <w:r w:rsidR="00154831" w:rsidRPr="00480318">
              <w:rPr>
                <w:rStyle w:val="Hyperlink"/>
                <w:noProof/>
                <w:lang w:eastAsia="en-US"/>
              </w:rPr>
              <w:t>12.3 Ongoing monitoring of implementation effectiveness</w:t>
            </w:r>
            <w:r w:rsidR="00154831">
              <w:rPr>
                <w:noProof/>
                <w:webHidden/>
              </w:rPr>
              <w:tab/>
            </w:r>
            <w:r w:rsidR="00154831">
              <w:rPr>
                <w:noProof/>
                <w:webHidden/>
              </w:rPr>
              <w:fldChar w:fldCharType="begin"/>
            </w:r>
            <w:r w:rsidR="00154831">
              <w:rPr>
                <w:noProof/>
                <w:webHidden/>
              </w:rPr>
              <w:instrText xml:space="preserve"> PAGEREF _Toc149740368 \h </w:instrText>
            </w:r>
            <w:r w:rsidR="00154831">
              <w:rPr>
                <w:noProof/>
                <w:webHidden/>
              </w:rPr>
            </w:r>
            <w:r w:rsidR="00154831">
              <w:rPr>
                <w:noProof/>
                <w:webHidden/>
              </w:rPr>
              <w:fldChar w:fldCharType="separate"/>
            </w:r>
            <w:r w:rsidR="00154831">
              <w:rPr>
                <w:noProof/>
                <w:webHidden/>
              </w:rPr>
              <w:t>112</w:t>
            </w:r>
            <w:r w:rsidR="00154831">
              <w:rPr>
                <w:noProof/>
                <w:webHidden/>
              </w:rPr>
              <w:fldChar w:fldCharType="end"/>
            </w:r>
          </w:hyperlink>
        </w:p>
        <w:p w14:paraId="7BC62A0A" w14:textId="49976888"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69" w:history="1">
            <w:r w:rsidR="00154831" w:rsidRPr="00480318">
              <w:rPr>
                <w:rStyle w:val="Hyperlink"/>
                <w:noProof/>
                <w:lang w:eastAsia="en-US"/>
              </w:rPr>
              <w:t xml:space="preserve">Appendix A </w:t>
            </w:r>
            <w:r w:rsidR="00154831" w:rsidRPr="00480318">
              <w:rPr>
                <w:rStyle w:val="Hyperlink"/>
                <w:noProof/>
              </w:rPr>
              <w:t>–</w:t>
            </w:r>
            <w:r w:rsidR="00154831" w:rsidRPr="00480318">
              <w:rPr>
                <w:rStyle w:val="Hyperlink"/>
                <w:noProof/>
                <w:lang w:eastAsia="en-US"/>
              </w:rPr>
              <w:t xml:space="preserve"> Glossary</w:t>
            </w:r>
            <w:r w:rsidR="00154831">
              <w:rPr>
                <w:noProof/>
                <w:webHidden/>
              </w:rPr>
              <w:tab/>
            </w:r>
            <w:r w:rsidR="00154831">
              <w:rPr>
                <w:noProof/>
                <w:webHidden/>
              </w:rPr>
              <w:fldChar w:fldCharType="begin"/>
            </w:r>
            <w:r w:rsidR="00154831">
              <w:rPr>
                <w:noProof/>
                <w:webHidden/>
              </w:rPr>
              <w:instrText xml:space="preserve"> PAGEREF _Toc149740369 \h </w:instrText>
            </w:r>
            <w:r w:rsidR="00154831">
              <w:rPr>
                <w:noProof/>
                <w:webHidden/>
              </w:rPr>
            </w:r>
            <w:r w:rsidR="00154831">
              <w:rPr>
                <w:noProof/>
                <w:webHidden/>
              </w:rPr>
              <w:fldChar w:fldCharType="separate"/>
            </w:r>
            <w:r w:rsidR="00154831">
              <w:rPr>
                <w:noProof/>
                <w:webHidden/>
              </w:rPr>
              <w:t>114</w:t>
            </w:r>
            <w:r w:rsidR="00154831">
              <w:rPr>
                <w:noProof/>
                <w:webHidden/>
              </w:rPr>
              <w:fldChar w:fldCharType="end"/>
            </w:r>
          </w:hyperlink>
        </w:p>
        <w:p w14:paraId="7C47BF22" w14:textId="4F3666DD"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70" w:history="1">
            <w:r w:rsidR="00154831" w:rsidRPr="00480318">
              <w:rPr>
                <w:rStyle w:val="Hyperlink"/>
                <w:noProof/>
                <w:lang w:eastAsia="en-US"/>
              </w:rPr>
              <w:t>Appendix B – Entities, interactions and incentives within the current Digital ID System</w:t>
            </w:r>
            <w:r w:rsidR="00154831">
              <w:rPr>
                <w:noProof/>
                <w:webHidden/>
              </w:rPr>
              <w:tab/>
            </w:r>
            <w:r w:rsidR="00154831">
              <w:rPr>
                <w:noProof/>
                <w:webHidden/>
              </w:rPr>
              <w:fldChar w:fldCharType="begin"/>
            </w:r>
            <w:r w:rsidR="00154831">
              <w:rPr>
                <w:noProof/>
                <w:webHidden/>
              </w:rPr>
              <w:instrText xml:space="preserve"> PAGEREF _Toc149740370 \h </w:instrText>
            </w:r>
            <w:r w:rsidR="00154831">
              <w:rPr>
                <w:noProof/>
                <w:webHidden/>
              </w:rPr>
            </w:r>
            <w:r w:rsidR="00154831">
              <w:rPr>
                <w:noProof/>
                <w:webHidden/>
              </w:rPr>
              <w:fldChar w:fldCharType="separate"/>
            </w:r>
            <w:r w:rsidR="00154831">
              <w:rPr>
                <w:noProof/>
                <w:webHidden/>
              </w:rPr>
              <w:t>119</w:t>
            </w:r>
            <w:r w:rsidR="00154831">
              <w:rPr>
                <w:noProof/>
                <w:webHidden/>
              </w:rPr>
              <w:fldChar w:fldCharType="end"/>
            </w:r>
          </w:hyperlink>
        </w:p>
        <w:p w14:paraId="677C8525" w14:textId="207363AE"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71" w:history="1">
            <w:r w:rsidR="00154831" w:rsidRPr="00480318">
              <w:rPr>
                <w:rStyle w:val="Hyperlink"/>
                <w:noProof/>
                <w:lang w:eastAsia="en-US"/>
              </w:rPr>
              <w:t xml:space="preserve">Appendix C </w:t>
            </w:r>
            <w:r w:rsidR="00154831" w:rsidRPr="00480318">
              <w:rPr>
                <w:rStyle w:val="Hyperlink"/>
                <w:noProof/>
              </w:rPr>
              <w:t>–</w:t>
            </w:r>
            <w:r w:rsidR="00154831" w:rsidRPr="00480318">
              <w:rPr>
                <w:rStyle w:val="Hyperlink"/>
                <w:noProof/>
                <w:lang w:eastAsia="en-US"/>
              </w:rPr>
              <w:t xml:space="preserve"> Entities, interactions and incentives within an expanded Digital ID System</w:t>
            </w:r>
            <w:r w:rsidR="00154831">
              <w:rPr>
                <w:noProof/>
                <w:webHidden/>
              </w:rPr>
              <w:tab/>
            </w:r>
            <w:r w:rsidR="00154831">
              <w:rPr>
                <w:noProof/>
                <w:webHidden/>
              </w:rPr>
              <w:fldChar w:fldCharType="begin"/>
            </w:r>
            <w:r w:rsidR="00154831">
              <w:rPr>
                <w:noProof/>
                <w:webHidden/>
              </w:rPr>
              <w:instrText xml:space="preserve"> PAGEREF _Toc149740371 \h </w:instrText>
            </w:r>
            <w:r w:rsidR="00154831">
              <w:rPr>
                <w:noProof/>
                <w:webHidden/>
              </w:rPr>
            </w:r>
            <w:r w:rsidR="00154831">
              <w:rPr>
                <w:noProof/>
                <w:webHidden/>
              </w:rPr>
              <w:fldChar w:fldCharType="separate"/>
            </w:r>
            <w:r w:rsidR="00154831">
              <w:rPr>
                <w:noProof/>
                <w:webHidden/>
              </w:rPr>
              <w:t>124</w:t>
            </w:r>
            <w:r w:rsidR="00154831">
              <w:rPr>
                <w:noProof/>
                <w:webHidden/>
              </w:rPr>
              <w:fldChar w:fldCharType="end"/>
            </w:r>
          </w:hyperlink>
        </w:p>
        <w:p w14:paraId="2F0CB7C8" w14:textId="770E5CE4"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72" w:history="1">
            <w:r w:rsidR="00154831" w:rsidRPr="00480318">
              <w:rPr>
                <w:rStyle w:val="Hyperlink"/>
                <w:noProof/>
                <w:lang w:eastAsia="en-US"/>
              </w:rPr>
              <w:t xml:space="preserve">Appendix D </w:t>
            </w:r>
            <w:r w:rsidR="00154831" w:rsidRPr="00480318">
              <w:rPr>
                <w:rStyle w:val="Hyperlink"/>
                <w:noProof/>
              </w:rPr>
              <w:t>–</w:t>
            </w:r>
            <w:r w:rsidR="00154831" w:rsidRPr="00480318">
              <w:rPr>
                <w:rStyle w:val="Hyperlink"/>
                <w:noProof/>
                <w:lang w:eastAsia="en-US"/>
              </w:rPr>
              <w:t xml:space="preserve"> Consultation Details</w:t>
            </w:r>
            <w:r w:rsidR="00154831">
              <w:rPr>
                <w:noProof/>
                <w:webHidden/>
              </w:rPr>
              <w:tab/>
            </w:r>
            <w:r w:rsidR="00154831">
              <w:rPr>
                <w:noProof/>
                <w:webHidden/>
              </w:rPr>
              <w:fldChar w:fldCharType="begin"/>
            </w:r>
            <w:r w:rsidR="00154831">
              <w:rPr>
                <w:noProof/>
                <w:webHidden/>
              </w:rPr>
              <w:instrText xml:space="preserve"> PAGEREF _Toc149740372 \h </w:instrText>
            </w:r>
            <w:r w:rsidR="00154831">
              <w:rPr>
                <w:noProof/>
                <w:webHidden/>
              </w:rPr>
            </w:r>
            <w:r w:rsidR="00154831">
              <w:rPr>
                <w:noProof/>
                <w:webHidden/>
              </w:rPr>
              <w:fldChar w:fldCharType="separate"/>
            </w:r>
            <w:r w:rsidR="00154831">
              <w:rPr>
                <w:noProof/>
                <w:webHidden/>
              </w:rPr>
              <w:t>130</w:t>
            </w:r>
            <w:r w:rsidR="00154831">
              <w:rPr>
                <w:noProof/>
                <w:webHidden/>
              </w:rPr>
              <w:fldChar w:fldCharType="end"/>
            </w:r>
          </w:hyperlink>
        </w:p>
        <w:p w14:paraId="15F3373F" w14:textId="7739B932"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73" w:history="1">
            <w:r w:rsidR="00154831" w:rsidRPr="00480318">
              <w:rPr>
                <w:rStyle w:val="Hyperlink"/>
                <w:noProof/>
                <w:lang w:eastAsia="en-US"/>
              </w:rPr>
              <w:t>Consultation September-October 2023</w:t>
            </w:r>
            <w:r w:rsidR="00154831">
              <w:rPr>
                <w:noProof/>
                <w:webHidden/>
              </w:rPr>
              <w:tab/>
            </w:r>
            <w:r w:rsidR="00154831">
              <w:rPr>
                <w:noProof/>
                <w:webHidden/>
              </w:rPr>
              <w:fldChar w:fldCharType="begin"/>
            </w:r>
            <w:r w:rsidR="00154831">
              <w:rPr>
                <w:noProof/>
                <w:webHidden/>
              </w:rPr>
              <w:instrText xml:space="preserve"> PAGEREF _Toc149740373 \h </w:instrText>
            </w:r>
            <w:r w:rsidR="00154831">
              <w:rPr>
                <w:noProof/>
                <w:webHidden/>
              </w:rPr>
            </w:r>
            <w:r w:rsidR="00154831">
              <w:rPr>
                <w:noProof/>
                <w:webHidden/>
              </w:rPr>
              <w:fldChar w:fldCharType="separate"/>
            </w:r>
            <w:r w:rsidR="00154831">
              <w:rPr>
                <w:noProof/>
                <w:webHidden/>
              </w:rPr>
              <w:t>134</w:t>
            </w:r>
            <w:r w:rsidR="00154831">
              <w:rPr>
                <w:noProof/>
                <w:webHidden/>
              </w:rPr>
              <w:fldChar w:fldCharType="end"/>
            </w:r>
          </w:hyperlink>
        </w:p>
        <w:p w14:paraId="2E9B1938" w14:textId="7347A604"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74" w:history="1">
            <w:r w:rsidR="00154831" w:rsidRPr="00480318">
              <w:rPr>
                <w:rStyle w:val="Hyperlink"/>
                <w:noProof/>
                <w:lang w:eastAsia="en-US"/>
              </w:rPr>
              <w:t>Details October 2021 Public Consultation Round</w:t>
            </w:r>
            <w:r w:rsidR="00154831">
              <w:rPr>
                <w:noProof/>
                <w:webHidden/>
              </w:rPr>
              <w:tab/>
            </w:r>
            <w:r w:rsidR="00154831">
              <w:rPr>
                <w:noProof/>
                <w:webHidden/>
              </w:rPr>
              <w:fldChar w:fldCharType="begin"/>
            </w:r>
            <w:r w:rsidR="00154831">
              <w:rPr>
                <w:noProof/>
                <w:webHidden/>
              </w:rPr>
              <w:instrText xml:space="preserve"> PAGEREF _Toc149740374 \h </w:instrText>
            </w:r>
            <w:r w:rsidR="00154831">
              <w:rPr>
                <w:noProof/>
                <w:webHidden/>
              </w:rPr>
            </w:r>
            <w:r w:rsidR="00154831">
              <w:rPr>
                <w:noProof/>
                <w:webHidden/>
              </w:rPr>
              <w:fldChar w:fldCharType="separate"/>
            </w:r>
            <w:r w:rsidR="00154831">
              <w:rPr>
                <w:noProof/>
                <w:webHidden/>
              </w:rPr>
              <w:t>136</w:t>
            </w:r>
            <w:r w:rsidR="00154831">
              <w:rPr>
                <w:noProof/>
                <w:webHidden/>
              </w:rPr>
              <w:fldChar w:fldCharType="end"/>
            </w:r>
          </w:hyperlink>
        </w:p>
        <w:p w14:paraId="0F234F11" w14:textId="61B6E99F"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75" w:history="1">
            <w:r w:rsidR="00154831" w:rsidRPr="00480318">
              <w:rPr>
                <w:rStyle w:val="Hyperlink"/>
                <w:noProof/>
                <w:lang w:eastAsia="en-US"/>
              </w:rPr>
              <w:t>Details September-October 2023 Consultation Round</w:t>
            </w:r>
            <w:r w:rsidR="00154831">
              <w:rPr>
                <w:noProof/>
                <w:webHidden/>
              </w:rPr>
              <w:tab/>
            </w:r>
            <w:r w:rsidR="00154831">
              <w:rPr>
                <w:noProof/>
                <w:webHidden/>
              </w:rPr>
              <w:fldChar w:fldCharType="begin"/>
            </w:r>
            <w:r w:rsidR="00154831">
              <w:rPr>
                <w:noProof/>
                <w:webHidden/>
              </w:rPr>
              <w:instrText xml:space="preserve"> PAGEREF _Toc149740375 \h </w:instrText>
            </w:r>
            <w:r w:rsidR="00154831">
              <w:rPr>
                <w:noProof/>
                <w:webHidden/>
              </w:rPr>
            </w:r>
            <w:r w:rsidR="00154831">
              <w:rPr>
                <w:noProof/>
                <w:webHidden/>
              </w:rPr>
              <w:fldChar w:fldCharType="separate"/>
            </w:r>
            <w:r w:rsidR="00154831">
              <w:rPr>
                <w:noProof/>
                <w:webHidden/>
              </w:rPr>
              <w:t>139</w:t>
            </w:r>
            <w:r w:rsidR="00154831">
              <w:rPr>
                <w:noProof/>
                <w:webHidden/>
              </w:rPr>
              <w:fldChar w:fldCharType="end"/>
            </w:r>
          </w:hyperlink>
        </w:p>
        <w:p w14:paraId="589CEADC" w14:textId="13724F52"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76" w:history="1">
            <w:r w:rsidR="00154831" w:rsidRPr="00480318">
              <w:rPr>
                <w:rStyle w:val="Hyperlink"/>
                <w:noProof/>
                <w:lang w:eastAsia="en-US"/>
              </w:rPr>
              <w:t>Evolution of stakeholder views throughout consultation</w:t>
            </w:r>
            <w:r w:rsidR="00154831">
              <w:rPr>
                <w:noProof/>
                <w:webHidden/>
              </w:rPr>
              <w:tab/>
            </w:r>
            <w:r w:rsidR="00154831">
              <w:rPr>
                <w:noProof/>
                <w:webHidden/>
              </w:rPr>
              <w:fldChar w:fldCharType="begin"/>
            </w:r>
            <w:r w:rsidR="00154831">
              <w:rPr>
                <w:noProof/>
                <w:webHidden/>
              </w:rPr>
              <w:instrText xml:space="preserve"> PAGEREF _Toc149740376 \h </w:instrText>
            </w:r>
            <w:r w:rsidR="00154831">
              <w:rPr>
                <w:noProof/>
                <w:webHidden/>
              </w:rPr>
            </w:r>
            <w:r w:rsidR="00154831">
              <w:rPr>
                <w:noProof/>
                <w:webHidden/>
              </w:rPr>
              <w:fldChar w:fldCharType="separate"/>
            </w:r>
            <w:r w:rsidR="00154831">
              <w:rPr>
                <w:noProof/>
                <w:webHidden/>
              </w:rPr>
              <w:t>144</w:t>
            </w:r>
            <w:r w:rsidR="00154831">
              <w:rPr>
                <w:noProof/>
                <w:webHidden/>
              </w:rPr>
              <w:fldChar w:fldCharType="end"/>
            </w:r>
          </w:hyperlink>
        </w:p>
        <w:p w14:paraId="16EACFCB" w14:textId="4981552E"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77" w:history="1">
            <w:r w:rsidR="00154831" w:rsidRPr="00480318">
              <w:rPr>
                <w:rStyle w:val="Hyperlink"/>
                <w:noProof/>
              </w:rPr>
              <w:t>Appendix E – Regulatory costs: Methodology and assumptions</w:t>
            </w:r>
            <w:r w:rsidR="00154831">
              <w:rPr>
                <w:noProof/>
                <w:webHidden/>
              </w:rPr>
              <w:tab/>
            </w:r>
            <w:r w:rsidR="00154831">
              <w:rPr>
                <w:noProof/>
                <w:webHidden/>
              </w:rPr>
              <w:fldChar w:fldCharType="begin"/>
            </w:r>
            <w:r w:rsidR="00154831">
              <w:rPr>
                <w:noProof/>
                <w:webHidden/>
              </w:rPr>
              <w:instrText xml:space="preserve"> PAGEREF _Toc149740377 \h </w:instrText>
            </w:r>
            <w:r w:rsidR="00154831">
              <w:rPr>
                <w:noProof/>
                <w:webHidden/>
              </w:rPr>
            </w:r>
            <w:r w:rsidR="00154831">
              <w:rPr>
                <w:noProof/>
                <w:webHidden/>
              </w:rPr>
              <w:fldChar w:fldCharType="separate"/>
            </w:r>
            <w:r w:rsidR="00154831">
              <w:rPr>
                <w:noProof/>
                <w:webHidden/>
              </w:rPr>
              <w:t>148</w:t>
            </w:r>
            <w:r w:rsidR="00154831">
              <w:rPr>
                <w:noProof/>
                <w:webHidden/>
              </w:rPr>
              <w:fldChar w:fldCharType="end"/>
            </w:r>
          </w:hyperlink>
        </w:p>
        <w:p w14:paraId="4932585E" w14:textId="24955C64"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78" w:history="1">
            <w:r w:rsidR="00154831" w:rsidRPr="00480318">
              <w:rPr>
                <w:rStyle w:val="Hyperlink"/>
                <w:noProof/>
              </w:rPr>
              <w:t>Methodology</w:t>
            </w:r>
            <w:r w:rsidR="00154831">
              <w:rPr>
                <w:noProof/>
                <w:webHidden/>
              </w:rPr>
              <w:tab/>
            </w:r>
            <w:r w:rsidR="00154831">
              <w:rPr>
                <w:noProof/>
                <w:webHidden/>
              </w:rPr>
              <w:fldChar w:fldCharType="begin"/>
            </w:r>
            <w:r w:rsidR="00154831">
              <w:rPr>
                <w:noProof/>
                <w:webHidden/>
              </w:rPr>
              <w:instrText xml:space="preserve"> PAGEREF _Toc149740378 \h </w:instrText>
            </w:r>
            <w:r w:rsidR="00154831">
              <w:rPr>
                <w:noProof/>
                <w:webHidden/>
              </w:rPr>
            </w:r>
            <w:r w:rsidR="00154831">
              <w:rPr>
                <w:noProof/>
                <w:webHidden/>
              </w:rPr>
              <w:fldChar w:fldCharType="separate"/>
            </w:r>
            <w:r w:rsidR="00154831">
              <w:rPr>
                <w:noProof/>
                <w:webHidden/>
              </w:rPr>
              <w:t>148</w:t>
            </w:r>
            <w:r w:rsidR="00154831">
              <w:rPr>
                <w:noProof/>
                <w:webHidden/>
              </w:rPr>
              <w:fldChar w:fldCharType="end"/>
            </w:r>
          </w:hyperlink>
        </w:p>
        <w:p w14:paraId="2B74DBC7" w14:textId="5A7964E2"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79" w:history="1">
            <w:r w:rsidR="00154831" w:rsidRPr="00480318">
              <w:rPr>
                <w:rStyle w:val="Hyperlink"/>
                <w:bCs/>
                <w:noProof/>
              </w:rPr>
              <w:t>Assumptions and sources</w:t>
            </w:r>
            <w:r w:rsidR="00154831">
              <w:rPr>
                <w:noProof/>
                <w:webHidden/>
              </w:rPr>
              <w:tab/>
            </w:r>
            <w:r w:rsidR="00154831">
              <w:rPr>
                <w:noProof/>
                <w:webHidden/>
              </w:rPr>
              <w:fldChar w:fldCharType="begin"/>
            </w:r>
            <w:r w:rsidR="00154831">
              <w:rPr>
                <w:noProof/>
                <w:webHidden/>
              </w:rPr>
              <w:instrText xml:space="preserve"> PAGEREF _Toc149740379 \h </w:instrText>
            </w:r>
            <w:r w:rsidR="00154831">
              <w:rPr>
                <w:noProof/>
                <w:webHidden/>
              </w:rPr>
            </w:r>
            <w:r w:rsidR="00154831">
              <w:rPr>
                <w:noProof/>
                <w:webHidden/>
              </w:rPr>
              <w:fldChar w:fldCharType="separate"/>
            </w:r>
            <w:r w:rsidR="00154831">
              <w:rPr>
                <w:noProof/>
                <w:webHidden/>
              </w:rPr>
              <w:t>149</w:t>
            </w:r>
            <w:r w:rsidR="00154831">
              <w:rPr>
                <w:noProof/>
                <w:webHidden/>
              </w:rPr>
              <w:fldChar w:fldCharType="end"/>
            </w:r>
          </w:hyperlink>
        </w:p>
        <w:p w14:paraId="3D201BAA" w14:textId="09CC3F62"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80" w:history="1">
            <w:r w:rsidR="00154831" w:rsidRPr="00480318">
              <w:rPr>
                <w:rStyle w:val="Hyperlink"/>
                <w:bCs/>
                <w:noProof/>
              </w:rPr>
              <w:t>Detailed Calculations</w:t>
            </w:r>
            <w:r w:rsidR="00154831">
              <w:rPr>
                <w:noProof/>
                <w:webHidden/>
              </w:rPr>
              <w:tab/>
            </w:r>
            <w:r w:rsidR="00154831">
              <w:rPr>
                <w:noProof/>
                <w:webHidden/>
              </w:rPr>
              <w:fldChar w:fldCharType="begin"/>
            </w:r>
            <w:r w:rsidR="00154831">
              <w:rPr>
                <w:noProof/>
                <w:webHidden/>
              </w:rPr>
              <w:instrText xml:space="preserve"> PAGEREF _Toc149740380 \h </w:instrText>
            </w:r>
            <w:r w:rsidR="00154831">
              <w:rPr>
                <w:noProof/>
                <w:webHidden/>
              </w:rPr>
            </w:r>
            <w:r w:rsidR="00154831">
              <w:rPr>
                <w:noProof/>
                <w:webHidden/>
              </w:rPr>
              <w:fldChar w:fldCharType="separate"/>
            </w:r>
            <w:r w:rsidR="00154831">
              <w:rPr>
                <w:noProof/>
                <w:webHidden/>
              </w:rPr>
              <w:t>153</w:t>
            </w:r>
            <w:r w:rsidR="00154831">
              <w:rPr>
                <w:noProof/>
                <w:webHidden/>
              </w:rPr>
              <w:fldChar w:fldCharType="end"/>
            </w:r>
          </w:hyperlink>
        </w:p>
        <w:p w14:paraId="13D20F58" w14:textId="12A2E374"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81" w:history="1">
            <w:r w:rsidR="00154831" w:rsidRPr="00480318">
              <w:rPr>
                <w:rStyle w:val="Hyperlink"/>
                <w:noProof/>
                <w:lang w:eastAsia="en-US"/>
              </w:rPr>
              <w:t>Appendix F – Figures and tables</w:t>
            </w:r>
            <w:r w:rsidR="00154831">
              <w:rPr>
                <w:noProof/>
                <w:webHidden/>
              </w:rPr>
              <w:tab/>
            </w:r>
            <w:r w:rsidR="00154831">
              <w:rPr>
                <w:noProof/>
                <w:webHidden/>
              </w:rPr>
              <w:fldChar w:fldCharType="begin"/>
            </w:r>
            <w:r w:rsidR="00154831">
              <w:rPr>
                <w:noProof/>
                <w:webHidden/>
              </w:rPr>
              <w:instrText xml:space="preserve"> PAGEREF _Toc149740381 \h </w:instrText>
            </w:r>
            <w:r w:rsidR="00154831">
              <w:rPr>
                <w:noProof/>
                <w:webHidden/>
              </w:rPr>
            </w:r>
            <w:r w:rsidR="00154831">
              <w:rPr>
                <w:noProof/>
                <w:webHidden/>
              </w:rPr>
              <w:fldChar w:fldCharType="separate"/>
            </w:r>
            <w:r w:rsidR="00154831">
              <w:rPr>
                <w:noProof/>
                <w:webHidden/>
              </w:rPr>
              <w:t>160</w:t>
            </w:r>
            <w:r w:rsidR="00154831">
              <w:rPr>
                <w:noProof/>
                <w:webHidden/>
              </w:rPr>
              <w:fldChar w:fldCharType="end"/>
            </w:r>
          </w:hyperlink>
        </w:p>
        <w:p w14:paraId="7CA35A7D" w14:textId="44572DFE"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82" w:history="1">
            <w:r w:rsidR="00154831" w:rsidRPr="00480318">
              <w:rPr>
                <w:rStyle w:val="Hyperlink"/>
                <w:noProof/>
                <w:lang w:eastAsia="en-US"/>
              </w:rPr>
              <w:t>A.1 Figures</w:t>
            </w:r>
            <w:r w:rsidR="00154831">
              <w:rPr>
                <w:noProof/>
                <w:webHidden/>
              </w:rPr>
              <w:tab/>
            </w:r>
            <w:r w:rsidR="00154831">
              <w:rPr>
                <w:noProof/>
                <w:webHidden/>
              </w:rPr>
              <w:fldChar w:fldCharType="begin"/>
            </w:r>
            <w:r w:rsidR="00154831">
              <w:rPr>
                <w:noProof/>
                <w:webHidden/>
              </w:rPr>
              <w:instrText xml:space="preserve"> PAGEREF _Toc149740382 \h </w:instrText>
            </w:r>
            <w:r w:rsidR="00154831">
              <w:rPr>
                <w:noProof/>
                <w:webHidden/>
              </w:rPr>
            </w:r>
            <w:r w:rsidR="00154831">
              <w:rPr>
                <w:noProof/>
                <w:webHidden/>
              </w:rPr>
              <w:fldChar w:fldCharType="separate"/>
            </w:r>
            <w:r w:rsidR="00154831">
              <w:rPr>
                <w:noProof/>
                <w:webHidden/>
              </w:rPr>
              <w:t>160</w:t>
            </w:r>
            <w:r w:rsidR="00154831">
              <w:rPr>
                <w:noProof/>
                <w:webHidden/>
              </w:rPr>
              <w:fldChar w:fldCharType="end"/>
            </w:r>
          </w:hyperlink>
        </w:p>
        <w:p w14:paraId="21D35E1B" w14:textId="70E89D36" w:rsidR="00154831" w:rsidRDefault="006E3B9A" w:rsidP="00CC5F49">
          <w:pPr>
            <w:pStyle w:val="TOC2"/>
            <w:rPr>
              <w:rFonts w:asciiTheme="minorHAnsi" w:eastAsiaTheme="minorEastAsia" w:hAnsiTheme="minorHAnsi" w:cstheme="minorBidi"/>
              <w:noProof/>
              <w:color w:val="auto"/>
              <w:kern w:val="2"/>
              <w:sz w:val="22"/>
              <w14:ligatures w14:val="standardContextual"/>
            </w:rPr>
          </w:pPr>
          <w:hyperlink w:anchor="_Toc149740383" w:history="1">
            <w:r w:rsidR="00154831" w:rsidRPr="00480318">
              <w:rPr>
                <w:rStyle w:val="Hyperlink"/>
                <w:noProof/>
                <w:lang w:eastAsia="en-US"/>
              </w:rPr>
              <w:t>A.2 Tables</w:t>
            </w:r>
            <w:r w:rsidR="00154831">
              <w:rPr>
                <w:noProof/>
                <w:webHidden/>
              </w:rPr>
              <w:tab/>
            </w:r>
            <w:r w:rsidR="00154831">
              <w:rPr>
                <w:noProof/>
                <w:webHidden/>
              </w:rPr>
              <w:fldChar w:fldCharType="begin"/>
            </w:r>
            <w:r w:rsidR="00154831">
              <w:rPr>
                <w:noProof/>
                <w:webHidden/>
              </w:rPr>
              <w:instrText xml:space="preserve"> PAGEREF _Toc149740383 \h </w:instrText>
            </w:r>
            <w:r w:rsidR="00154831">
              <w:rPr>
                <w:noProof/>
                <w:webHidden/>
              </w:rPr>
            </w:r>
            <w:r w:rsidR="00154831">
              <w:rPr>
                <w:noProof/>
                <w:webHidden/>
              </w:rPr>
              <w:fldChar w:fldCharType="separate"/>
            </w:r>
            <w:r w:rsidR="00154831">
              <w:rPr>
                <w:noProof/>
                <w:webHidden/>
              </w:rPr>
              <w:t>160</w:t>
            </w:r>
            <w:r w:rsidR="00154831">
              <w:rPr>
                <w:noProof/>
                <w:webHidden/>
              </w:rPr>
              <w:fldChar w:fldCharType="end"/>
            </w:r>
          </w:hyperlink>
        </w:p>
        <w:p w14:paraId="44CDEC7A" w14:textId="2EB77A79" w:rsidR="00154831" w:rsidRDefault="006E3B9A" w:rsidP="00CC5F49">
          <w:pPr>
            <w:pStyle w:val="TOC1"/>
            <w:rPr>
              <w:rFonts w:asciiTheme="minorHAnsi" w:eastAsiaTheme="minorEastAsia" w:hAnsiTheme="minorHAnsi" w:cstheme="minorBidi"/>
              <w:noProof/>
              <w:color w:val="auto"/>
              <w:kern w:val="2"/>
              <w14:ligatures w14:val="standardContextual"/>
            </w:rPr>
          </w:pPr>
          <w:hyperlink w:anchor="_Toc149740384" w:history="1">
            <w:r w:rsidR="00154831" w:rsidRPr="00480318">
              <w:rPr>
                <w:rStyle w:val="Hyperlink"/>
                <w:noProof/>
                <w:lang w:eastAsia="en-US"/>
              </w:rPr>
              <w:t xml:space="preserve">Appendix G </w:t>
            </w:r>
            <w:r w:rsidR="00154831" w:rsidRPr="00480318">
              <w:rPr>
                <w:rStyle w:val="Hyperlink"/>
                <w:noProof/>
              </w:rPr>
              <w:t>–</w:t>
            </w:r>
            <w:r w:rsidR="00154831" w:rsidRPr="00480318">
              <w:rPr>
                <w:rStyle w:val="Hyperlink"/>
                <w:noProof/>
                <w:lang w:eastAsia="en-US"/>
              </w:rPr>
              <w:t xml:space="preserve"> Risk Matrix</w:t>
            </w:r>
            <w:r w:rsidR="00154831">
              <w:rPr>
                <w:noProof/>
                <w:webHidden/>
              </w:rPr>
              <w:tab/>
            </w:r>
            <w:r w:rsidR="00154831">
              <w:rPr>
                <w:noProof/>
                <w:webHidden/>
              </w:rPr>
              <w:fldChar w:fldCharType="begin"/>
            </w:r>
            <w:r w:rsidR="00154831">
              <w:rPr>
                <w:noProof/>
                <w:webHidden/>
              </w:rPr>
              <w:instrText xml:space="preserve"> PAGEREF _Toc149740384 \h </w:instrText>
            </w:r>
            <w:r w:rsidR="00154831">
              <w:rPr>
                <w:noProof/>
                <w:webHidden/>
              </w:rPr>
            </w:r>
            <w:r w:rsidR="00154831">
              <w:rPr>
                <w:noProof/>
                <w:webHidden/>
              </w:rPr>
              <w:fldChar w:fldCharType="separate"/>
            </w:r>
            <w:r w:rsidR="00154831">
              <w:rPr>
                <w:noProof/>
                <w:webHidden/>
              </w:rPr>
              <w:t>162</w:t>
            </w:r>
            <w:r w:rsidR="00154831">
              <w:rPr>
                <w:noProof/>
                <w:webHidden/>
              </w:rPr>
              <w:fldChar w:fldCharType="end"/>
            </w:r>
          </w:hyperlink>
        </w:p>
        <w:p w14:paraId="092293A3" w14:textId="6DFDE69B" w:rsidR="0039539C" w:rsidRPr="00A60647" w:rsidRDefault="00167FAC" w:rsidP="00CC5F49">
          <w:pPr>
            <w:pStyle w:val="TOC1"/>
          </w:pPr>
          <w:r>
            <w:fldChar w:fldCharType="end"/>
          </w:r>
        </w:p>
      </w:sdtContent>
    </w:sdt>
    <w:p w14:paraId="44CA10C3" w14:textId="05368EF2" w:rsidR="00E6232E" w:rsidRDefault="00E6232E">
      <w:pPr>
        <w:pStyle w:val="Heading1NoNumbers"/>
        <w:rPr>
          <w:color w:val="008675"/>
          <w:lang w:eastAsia="en-US"/>
        </w:rPr>
      </w:pPr>
      <w:bookmarkStart w:id="11" w:name="_Toc149740317"/>
      <w:r w:rsidRPr="00C52A40">
        <w:rPr>
          <w:color w:val="008675"/>
          <w:lang w:eastAsia="en-US"/>
        </w:rPr>
        <w:lastRenderedPageBreak/>
        <w:t xml:space="preserve">1 Executive </w:t>
      </w:r>
      <w:r w:rsidR="00A054EC" w:rsidRPr="00C52A40">
        <w:rPr>
          <w:color w:val="008675"/>
          <w:lang w:eastAsia="en-US"/>
        </w:rPr>
        <w:t>s</w:t>
      </w:r>
      <w:r w:rsidRPr="00C52A40">
        <w:rPr>
          <w:color w:val="008675"/>
          <w:lang w:eastAsia="en-US"/>
        </w:rPr>
        <w:t>ummary</w:t>
      </w:r>
      <w:bookmarkEnd w:id="1"/>
      <w:bookmarkEnd w:id="2"/>
      <w:bookmarkEnd w:id="3"/>
      <w:bookmarkEnd w:id="4"/>
      <w:bookmarkEnd w:id="5"/>
      <w:bookmarkEnd w:id="6"/>
      <w:bookmarkEnd w:id="7"/>
      <w:bookmarkEnd w:id="8"/>
      <w:bookmarkEnd w:id="9"/>
      <w:bookmarkEnd w:id="10"/>
      <w:bookmarkEnd w:id="11"/>
      <w:r w:rsidRPr="00C52A40">
        <w:rPr>
          <w:color w:val="008675"/>
          <w:lang w:eastAsia="en-US"/>
        </w:rPr>
        <w:t xml:space="preserve"> </w:t>
      </w:r>
    </w:p>
    <w:p w14:paraId="329435EC" w14:textId="31A692BF" w:rsidR="008170B9" w:rsidRPr="000B7589" w:rsidRDefault="008170B9" w:rsidP="008170B9">
      <w:pPr>
        <w:pStyle w:val="BodyText"/>
        <w:rPr>
          <w:lang w:eastAsia="en-US"/>
        </w:rPr>
      </w:pPr>
      <w:r w:rsidRPr="0DFA586A">
        <w:rPr>
          <w:lang w:eastAsia="en-US"/>
        </w:rPr>
        <w:t xml:space="preserve">A Digital ID is a </w:t>
      </w:r>
      <w:r>
        <w:rPr>
          <w:lang w:eastAsia="en-US"/>
        </w:rPr>
        <w:t>safe, secure and convenient</w:t>
      </w:r>
      <w:r w:rsidRPr="0DFA586A">
        <w:rPr>
          <w:lang w:eastAsia="en-US"/>
        </w:rPr>
        <w:t xml:space="preserve"> way for Australians to prove who they are online. Digital ID </w:t>
      </w:r>
      <w:r>
        <w:rPr>
          <w:lang w:eastAsia="en-US"/>
        </w:rPr>
        <w:t>allows users to verify</w:t>
      </w:r>
      <w:r w:rsidRPr="0DFA586A">
        <w:rPr>
          <w:lang w:eastAsia="en-US"/>
        </w:rPr>
        <w:t xml:space="preserve"> existing issued government identity documents online</w:t>
      </w:r>
      <w:r>
        <w:rPr>
          <w:lang w:eastAsia="en-US"/>
        </w:rPr>
        <w:t xml:space="preserve">, which once </w:t>
      </w:r>
      <w:r w:rsidRPr="0DFA586A">
        <w:rPr>
          <w:lang w:eastAsia="en-US"/>
        </w:rPr>
        <w:t>created, can be reused whenever a person is asked to prove online who they are when accessing a linked</w:t>
      </w:r>
      <w:r w:rsidR="00DC59A8">
        <w:rPr>
          <w:lang w:eastAsia="en-US"/>
        </w:rPr>
        <w:t xml:space="preserve"> government</w:t>
      </w:r>
      <w:r w:rsidRPr="0DFA586A">
        <w:rPr>
          <w:lang w:eastAsia="en-US"/>
        </w:rPr>
        <w:t xml:space="preserve"> service. When rolled out across a variety of government entities and businesses, individuals can securely access connected services online. Digital ID also provides efficiencies for the public and private sector, giving small and medium enterprises more time to manage and grow their businesses. </w:t>
      </w:r>
    </w:p>
    <w:p w14:paraId="0CC5B106" w14:textId="02F20B9D" w:rsidR="008170B9" w:rsidRPr="00B96B79" w:rsidRDefault="00297577" w:rsidP="008170B9">
      <w:pPr>
        <w:pStyle w:val="BodyText"/>
        <w:rPr>
          <w:vertAlign w:val="superscript"/>
          <w:lang w:eastAsia="en-US"/>
        </w:rPr>
      </w:pPr>
      <w:r>
        <w:rPr>
          <w:lang w:eastAsia="en-US"/>
        </w:rPr>
        <w:t>The Australian Government Digital ID System (</w:t>
      </w:r>
      <w:r w:rsidR="008170B9">
        <w:rPr>
          <w:lang w:eastAsia="en-US"/>
        </w:rPr>
        <w:t>AGDIS</w:t>
      </w:r>
      <w:r>
        <w:rPr>
          <w:lang w:eastAsia="en-US"/>
        </w:rPr>
        <w:t>)</w:t>
      </w:r>
      <w:r w:rsidR="008170B9" w:rsidRPr="67353464">
        <w:rPr>
          <w:lang w:eastAsia="en-US"/>
        </w:rPr>
        <w:t xml:space="preserve"> </w:t>
      </w:r>
      <w:r w:rsidR="00A725E6">
        <w:rPr>
          <w:lang w:eastAsia="en-US"/>
        </w:rPr>
        <w:t>is a</w:t>
      </w:r>
      <w:r w:rsidR="008170B9" w:rsidRPr="67353464">
        <w:rPr>
          <w:lang w:eastAsia="en-US"/>
        </w:rPr>
        <w:t xml:space="preserve"> </w:t>
      </w:r>
      <w:r w:rsidR="008170B9">
        <w:rPr>
          <w:lang w:eastAsia="en-US"/>
        </w:rPr>
        <w:t>federated</w:t>
      </w:r>
      <w:r w:rsidR="008170B9" w:rsidRPr="67353464">
        <w:rPr>
          <w:lang w:eastAsia="en-US"/>
        </w:rPr>
        <w:t xml:space="preserve"> model where </w:t>
      </w:r>
      <w:r w:rsidR="00383D45">
        <w:rPr>
          <w:lang w:eastAsia="en-US"/>
        </w:rPr>
        <w:t>accredited entities</w:t>
      </w:r>
      <w:r w:rsidR="00383D45" w:rsidRPr="67353464">
        <w:rPr>
          <w:lang w:eastAsia="en-US"/>
        </w:rPr>
        <w:t xml:space="preserve"> establish and authenticate </w:t>
      </w:r>
      <w:r w:rsidR="00932F63">
        <w:rPr>
          <w:lang w:eastAsia="en-US"/>
        </w:rPr>
        <w:t xml:space="preserve">Digital IDs </w:t>
      </w:r>
      <w:r w:rsidR="00AF73A2">
        <w:rPr>
          <w:lang w:eastAsia="en-US"/>
        </w:rPr>
        <w:t>for</w:t>
      </w:r>
      <w:r w:rsidR="00C43830">
        <w:rPr>
          <w:lang w:eastAsia="en-US"/>
        </w:rPr>
        <w:t xml:space="preserve"> </w:t>
      </w:r>
      <w:r w:rsidR="008170B9" w:rsidRPr="67353464">
        <w:rPr>
          <w:lang w:eastAsia="en-US"/>
        </w:rPr>
        <w:t xml:space="preserve">people </w:t>
      </w:r>
      <w:r w:rsidR="00C43830">
        <w:rPr>
          <w:lang w:eastAsia="en-US"/>
        </w:rPr>
        <w:t>in a</w:t>
      </w:r>
      <w:r w:rsidR="00C43830" w:rsidRPr="67353464">
        <w:rPr>
          <w:lang w:eastAsia="en-US"/>
        </w:rPr>
        <w:t xml:space="preserve"> </w:t>
      </w:r>
      <w:r w:rsidR="008170B9" w:rsidRPr="67353464">
        <w:rPr>
          <w:lang w:eastAsia="en-US"/>
        </w:rPr>
        <w:t>trust</w:t>
      </w:r>
      <w:r w:rsidR="00C43830">
        <w:rPr>
          <w:lang w:eastAsia="en-US"/>
        </w:rPr>
        <w:t>ed</w:t>
      </w:r>
      <w:r w:rsidR="008170B9" w:rsidRPr="67353464">
        <w:rPr>
          <w:lang w:eastAsia="en-US"/>
        </w:rPr>
        <w:t xml:space="preserve"> </w:t>
      </w:r>
      <w:r w:rsidR="00C43830">
        <w:rPr>
          <w:lang w:eastAsia="en-US"/>
        </w:rPr>
        <w:t>environment.</w:t>
      </w:r>
      <w:r w:rsidR="008170B9" w:rsidRPr="67353464">
        <w:rPr>
          <w:lang w:eastAsia="en-US"/>
        </w:rPr>
        <w:t xml:space="preserve"> The </w:t>
      </w:r>
      <w:r w:rsidR="008170B9">
        <w:rPr>
          <w:lang w:eastAsia="en-US"/>
        </w:rPr>
        <w:t>AGDIS</w:t>
      </w:r>
      <w:r w:rsidR="008170B9" w:rsidRPr="67353464">
        <w:rPr>
          <w:lang w:eastAsia="en-US"/>
        </w:rPr>
        <w:t xml:space="preserve"> is currently used by over </w:t>
      </w:r>
      <w:r w:rsidR="008170B9">
        <w:rPr>
          <w:lang w:eastAsia="en-US"/>
        </w:rPr>
        <w:t>11</w:t>
      </w:r>
      <w:r w:rsidR="008170B9" w:rsidRPr="67353464">
        <w:rPr>
          <w:lang w:eastAsia="en-US"/>
        </w:rPr>
        <w:t xml:space="preserve"> million people and over 1.</w:t>
      </w:r>
      <w:r w:rsidR="008170B9">
        <w:rPr>
          <w:lang w:eastAsia="en-US"/>
        </w:rPr>
        <w:t>5</w:t>
      </w:r>
      <w:r w:rsidR="008170B9" w:rsidRPr="67353464">
        <w:rPr>
          <w:lang w:eastAsia="en-US"/>
        </w:rPr>
        <w:t xml:space="preserve"> million businesses to access more than </w:t>
      </w:r>
      <w:r w:rsidR="008170B9">
        <w:rPr>
          <w:lang w:eastAsia="en-US"/>
        </w:rPr>
        <w:t>135</w:t>
      </w:r>
      <w:r w:rsidR="008170B9" w:rsidRPr="67353464">
        <w:rPr>
          <w:lang w:eastAsia="en-US"/>
        </w:rPr>
        <w:t xml:space="preserve"> digital government services</w:t>
      </w:r>
      <w:r w:rsidR="008170B9">
        <w:rPr>
          <w:lang w:eastAsia="en-US"/>
        </w:rPr>
        <w:t xml:space="preserve">. </w:t>
      </w:r>
      <w:r w:rsidR="002A74D6">
        <w:rPr>
          <w:lang w:eastAsia="en-US"/>
        </w:rPr>
        <w:t xml:space="preserve">Expansion of the AGDIS </w:t>
      </w:r>
      <w:r w:rsidR="00D621A6">
        <w:rPr>
          <w:lang w:eastAsia="en-US"/>
        </w:rPr>
        <w:t>and establishment of the</w:t>
      </w:r>
      <w:r w:rsidR="002A74D6">
        <w:rPr>
          <w:lang w:eastAsia="en-US"/>
        </w:rPr>
        <w:t xml:space="preserve"> </w:t>
      </w:r>
      <w:r w:rsidR="000B469D">
        <w:rPr>
          <w:lang w:eastAsia="en-US"/>
        </w:rPr>
        <w:t xml:space="preserve">permanent Accreditation Scheme </w:t>
      </w:r>
      <w:r w:rsidR="00B31713">
        <w:rPr>
          <w:lang w:eastAsia="en-US"/>
        </w:rPr>
        <w:t xml:space="preserve">will </w:t>
      </w:r>
      <w:r w:rsidR="00D019B1">
        <w:rPr>
          <w:lang w:eastAsia="en-US"/>
        </w:rPr>
        <w:t>enable</w:t>
      </w:r>
      <w:r w:rsidR="002A74D6">
        <w:rPr>
          <w:lang w:eastAsia="en-US"/>
        </w:rPr>
        <w:t xml:space="preserve"> </w:t>
      </w:r>
      <w:r w:rsidR="003836EB">
        <w:rPr>
          <w:lang w:eastAsia="en-US"/>
        </w:rPr>
        <w:t xml:space="preserve">state and territory governments and </w:t>
      </w:r>
      <w:r w:rsidR="008170B9">
        <w:rPr>
          <w:lang w:eastAsia="en-US"/>
        </w:rPr>
        <w:t>private sector involvement.</w:t>
      </w:r>
    </w:p>
    <w:p w14:paraId="1724E649" w14:textId="69ED220E" w:rsidR="008170B9" w:rsidRDefault="008170B9" w:rsidP="008170B9">
      <w:pPr>
        <w:pStyle w:val="BodyText"/>
        <w:rPr>
          <w:lang w:eastAsia="en-US"/>
        </w:rPr>
      </w:pPr>
      <w:r w:rsidRPr="3F602A1E">
        <w:rPr>
          <w:lang w:eastAsia="en-US"/>
        </w:rPr>
        <w:t xml:space="preserve">The </w:t>
      </w:r>
      <w:r w:rsidR="00AC7289">
        <w:rPr>
          <w:lang w:eastAsia="en-US"/>
        </w:rPr>
        <w:t xml:space="preserve">Government’s </w:t>
      </w:r>
      <w:r w:rsidRPr="3F602A1E">
        <w:rPr>
          <w:lang w:eastAsia="en-US"/>
        </w:rPr>
        <w:t xml:space="preserve">vision for </w:t>
      </w:r>
      <w:r w:rsidR="00AC7289">
        <w:rPr>
          <w:lang w:eastAsia="en-US"/>
        </w:rPr>
        <w:t>the AGDIS</w:t>
      </w:r>
      <w:r w:rsidRPr="3F602A1E">
        <w:rPr>
          <w:lang w:eastAsia="en-US"/>
        </w:rPr>
        <w:t xml:space="preserve"> is a national, economy-wide system that provides Australians with a voluntary, secure, convenient and inclusive way of verifying who they are when interacting with government and businesses online. People will be able to verify their identity with their choice of identity providers to create a Digital ID. They will be able to simply, safely and securely reuse their chosen Digital ID to transact across all tiers of government and with private sector services, in a way that ensures their privacy. Australia’s Data and Digital Ministers have agreed to work towards a consistent approach for Digital ID across Australia. This means the future </w:t>
      </w:r>
      <w:r w:rsidR="00DD5E4C">
        <w:rPr>
          <w:lang w:eastAsia="en-US"/>
        </w:rPr>
        <w:t>AGDIS</w:t>
      </w:r>
      <w:r w:rsidRPr="3F602A1E">
        <w:rPr>
          <w:lang w:eastAsia="en-US"/>
        </w:rPr>
        <w:t xml:space="preserve"> will have domestic interoperability across states and territories. </w:t>
      </w:r>
    </w:p>
    <w:p w14:paraId="7DA32D59" w14:textId="49406068" w:rsidR="008170B9" w:rsidRDefault="008170B9" w:rsidP="008170B9">
      <w:pPr>
        <w:pStyle w:val="BodyText"/>
        <w:rPr>
          <w:lang w:eastAsia="en-US"/>
        </w:rPr>
      </w:pPr>
      <w:r w:rsidRPr="000B7589">
        <w:rPr>
          <w:lang w:eastAsia="en-US"/>
        </w:rPr>
        <w:t>Having delivered the foundational capability and infrastructure, governing policy, security and risk management framework</w:t>
      </w:r>
      <w:r>
        <w:rPr>
          <w:lang w:eastAsia="en-US"/>
        </w:rPr>
        <w:t>s</w:t>
      </w:r>
      <w:r w:rsidRPr="000B7589">
        <w:rPr>
          <w:lang w:eastAsia="en-US"/>
        </w:rPr>
        <w:t xml:space="preserve">, and underlying operational support, </w:t>
      </w:r>
      <w:r>
        <w:rPr>
          <w:lang w:eastAsia="en-US"/>
        </w:rPr>
        <w:t xml:space="preserve">Digital ID </w:t>
      </w:r>
      <w:r w:rsidRPr="00DE5E04">
        <w:rPr>
          <w:lang w:eastAsia="en-US"/>
        </w:rPr>
        <w:t>is now looking to expand in several phases. This expansion will first focus on making</w:t>
      </w:r>
      <w:r w:rsidRPr="000B7589">
        <w:rPr>
          <w:lang w:eastAsia="en-US"/>
        </w:rPr>
        <w:t xml:space="preserve"> </w:t>
      </w:r>
      <w:r>
        <w:rPr>
          <w:lang w:eastAsia="en-US"/>
        </w:rPr>
        <w:t xml:space="preserve">the AGDIS </w:t>
      </w:r>
      <w:r w:rsidRPr="000B7589">
        <w:rPr>
          <w:lang w:eastAsia="en-US"/>
        </w:rPr>
        <w:t>available</w:t>
      </w:r>
      <w:r>
        <w:rPr>
          <w:lang w:eastAsia="en-US"/>
        </w:rPr>
        <w:t xml:space="preserve"> to more Commonwealth and s</w:t>
      </w:r>
      <w:r w:rsidRPr="0DFA586A">
        <w:rPr>
          <w:lang w:eastAsia="en-US"/>
        </w:rPr>
        <w:t>tate</w:t>
      </w:r>
      <w:r>
        <w:rPr>
          <w:lang w:eastAsia="en-US"/>
        </w:rPr>
        <w:t xml:space="preserve"> entities, before becoming </w:t>
      </w:r>
      <w:r w:rsidR="00D44645">
        <w:rPr>
          <w:lang w:eastAsia="en-US"/>
        </w:rPr>
        <w:t>integrating further</w:t>
      </w:r>
      <w:r>
        <w:rPr>
          <w:lang w:eastAsia="en-US"/>
        </w:rPr>
        <w:t xml:space="preserve"> with state and territory government </w:t>
      </w:r>
      <w:r w:rsidRPr="0DFA586A">
        <w:rPr>
          <w:lang w:eastAsia="en-US"/>
        </w:rPr>
        <w:t xml:space="preserve">Digital ID </w:t>
      </w:r>
      <w:r>
        <w:rPr>
          <w:lang w:eastAsia="en-US"/>
        </w:rPr>
        <w:t>services</w:t>
      </w:r>
      <w:r w:rsidR="00F51C46">
        <w:rPr>
          <w:lang w:eastAsia="en-US"/>
        </w:rPr>
        <w:t>,</w:t>
      </w:r>
      <w:r>
        <w:rPr>
          <w:lang w:eastAsia="en-US"/>
        </w:rPr>
        <w:t xml:space="preserve"> then finally private sector services. The end state of Digital ID being available</w:t>
      </w:r>
      <w:r w:rsidRPr="000B7589">
        <w:rPr>
          <w:lang w:eastAsia="en-US"/>
        </w:rPr>
        <w:t xml:space="preserve"> as a ‘whole</w:t>
      </w:r>
      <w:r w:rsidRPr="0DFA586A">
        <w:rPr>
          <w:lang w:eastAsia="en-US"/>
        </w:rPr>
        <w:t>-</w:t>
      </w:r>
      <w:r w:rsidRPr="000B7589">
        <w:rPr>
          <w:lang w:eastAsia="en-US"/>
        </w:rPr>
        <w:t>of</w:t>
      </w:r>
      <w:r w:rsidRPr="0DFA586A">
        <w:rPr>
          <w:lang w:eastAsia="en-US"/>
        </w:rPr>
        <w:t>-</w:t>
      </w:r>
      <w:r w:rsidRPr="000B7589">
        <w:rPr>
          <w:lang w:eastAsia="en-US"/>
        </w:rPr>
        <w:t>economy solution’</w:t>
      </w:r>
      <w:r>
        <w:rPr>
          <w:lang w:eastAsia="en-US"/>
        </w:rPr>
        <w:t xml:space="preserve"> would</w:t>
      </w:r>
      <w:r w:rsidRPr="000B7589">
        <w:rPr>
          <w:lang w:eastAsia="en-US"/>
        </w:rPr>
        <w:t xml:space="preserve"> enabl</w:t>
      </w:r>
      <w:r>
        <w:rPr>
          <w:lang w:eastAsia="en-US"/>
        </w:rPr>
        <w:t>e</w:t>
      </w:r>
      <w:r w:rsidRPr="000B7589">
        <w:rPr>
          <w:lang w:eastAsia="en-US"/>
        </w:rPr>
        <w:t xml:space="preserve"> all individuals and businesses to have </w:t>
      </w:r>
      <w:r w:rsidRPr="000B7589">
        <w:rPr>
          <w:lang w:eastAsia="en-US"/>
        </w:rPr>
        <w:lastRenderedPageBreak/>
        <w:t xml:space="preserve">more secure and convenient engagement with government (including state, territory and local) services and the private sector. </w:t>
      </w:r>
    </w:p>
    <w:p w14:paraId="07E17A77" w14:textId="77777777" w:rsidR="002218B4" w:rsidRDefault="002218B4" w:rsidP="002218B4">
      <w:pPr>
        <w:pStyle w:val="Heading2NoNumbers"/>
        <w:rPr>
          <w:color w:val="008675"/>
          <w:lang w:eastAsia="en-US"/>
        </w:rPr>
      </w:pPr>
      <w:r w:rsidRPr="00E31E7D">
        <w:rPr>
          <w:color w:val="008675"/>
          <w:lang w:eastAsia="en-US"/>
        </w:rPr>
        <w:t>1.3 The need for Government intervention</w:t>
      </w:r>
    </w:p>
    <w:p w14:paraId="2B7E5E0B" w14:textId="77777777" w:rsidR="002218B4" w:rsidRPr="000B7589" w:rsidRDefault="002218B4" w:rsidP="002218B4">
      <w:pPr>
        <w:pStyle w:val="BodyText"/>
        <w:rPr>
          <w:lang w:eastAsia="en-US"/>
        </w:rPr>
      </w:pPr>
      <w:r w:rsidRPr="000B7589">
        <w:rPr>
          <w:lang w:eastAsia="en-US"/>
        </w:rPr>
        <w:t xml:space="preserve">To date, the </w:t>
      </w:r>
      <w:r>
        <w:rPr>
          <w:lang w:eastAsia="en-US"/>
        </w:rPr>
        <w:t>Australian Government</w:t>
      </w:r>
      <w:r w:rsidRPr="000B7589">
        <w:rPr>
          <w:lang w:eastAsia="en-US"/>
        </w:rPr>
        <w:t xml:space="preserve"> has built the foundations of a trusted, nationally consistent identity verification system. However, several risks and gaps have been identified with the potential to impact the full realisation of Digital I</w:t>
      </w:r>
      <w:r>
        <w:rPr>
          <w:lang w:eastAsia="en-US"/>
        </w:rPr>
        <w:t>D</w:t>
      </w:r>
      <w:r w:rsidRPr="000B7589">
        <w:rPr>
          <w:lang w:eastAsia="en-US"/>
        </w:rPr>
        <w:t>’s benefits, particularly as it expands across the Australian economy. These are:</w:t>
      </w:r>
    </w:p>
    <w:p w14:paraId="29EA8DB6" w14:textId="77777777" w:rsidR="002218B4" w:rsidRPr="009D2BA7" w:rsidRDefault="002218B4" w:rsidP="002218B4">
      <w:pPr>
        <w:pStyle w:val="ListBulletLevel1"/>
        <w:rPr>
          <w:lang w:eastAsia="en-US"/>
        </w:rPr>
      </w:pPr>
      <w:r>
        <w:rPr>
          <w:lang w:eastAsia="en-US"/>
        </w:rPr>
        <w:t>t</w:t>
      </w:r>
      <w:r w:rsidRPr="000B7589">
        <w:rPr>
          <w:lang w:eastAsia="en-US"/>
        </w:rPr>
        <w:t>he absence of legal authority for participation of non-</w:t>
      </w:r>
      <w:r>
        <w:rPr>
          <w:lang w:eastAsia="en-US"/>
        </w:rPr>
        <w:t>Commonwealth Government</w:t>
      </w:r>
      <w:r w:rsidRPr="000B7589">
        <w:rPr>
          <w:lang w:eastAsia="en-US"/>
        </w:rPr>
        <w:t xml:space="preserve"> </w:t>
      </w:r>
      <w:r>
        <w:rPr>
          <w:lang w:eastAsia="en-US"/>
        </w:rPr>
        <w:t>agencies</w:t>
      </w:r>
      <w:r w:rsidRPr="000B7589">
        <w:rPr>
          <w:lang w:eastAsia="en-US"/>
        </w:rPr>
        <w:t xml:space="preserve"> in </w:t>
      </w:r>
      <w:r>
        <w:rPr>
          <w:lang w:eastAsia="en-US"/>
        </w:rPr>
        <w:t>AGDIS</w:t>
      </w:r>
      <w:r w:rsidRPr="000B7589">
        <w:rPr>
          <w:lang w:eastAsia="en-US"/>
        </w:rPr>
        <w:t xml:space="preserve"> as </w:t>
      </w:r>
      <w:r>
        <w:rPr>
          <w:lang w:eastAsia="en-US"/>
        </w:rPr>
        <w:t>r</w:t>
      </w:r>
      <w:r w:rsidRPr="000B7589">
        <w:rPr>
          <w:lang w:eastAsia="en-US"/>
        </w:rPr>
        <w:t xml:space="preserve">elying </w:t>
      </w:r>
      <w:r>
        <w:rPr>
          <w:lang w:eastAsia="en-US"/>
        </w:rPr>
        <w:t>p</w:t>
      </w:r>
      <w:r w:rsidRPr="000B7589">
        <w:rPr>
          <w:lang w:eastAsia="en-US"/>
        </w:rPr>
        <w:t xml:space="preserve">arties (providing online digital services to people </w:t>
      </w:r>
      <w:r w:rsidRPr="003D2741">
        <w:rPr>
          <w:lang w:eastAsia="en-US"/>
        </w:rPr>
        <w:t>with a d</w:t>
      </w:r>
      <w:r w:rsidRPr="009D2BA7">
        <w:rPr>
          <w:lang w:eastAsia="en-US"/>
        </w:rPr>
        <w:t xml:space="preserve">igital </w:t>
      </w:r>
      <w:r>
        <w:rPr>
          <w:lang w:eastAsia="en-US"/>
        </w:rPr>
        <w:t>ID</w:t>
      </w:r>
      <w:r w:rsidRPr="009D2BA7">
        <w:rPr>
          <w:lang w:eastAsia="en-US"/>
        </w:rPr>
        <w:t>), and a charging framework</w:t>
      </w:r>
      <w:r>
        <w:rPr>
          <w:lang w:eastAsia="en-US"/>
        </w:rPr>
        <w:t>;</w:t>
      </w:r>
    </w:p>
    <w:p w14:paraId="264B3E0F" w14:textId="45BF5025" w:rsidR="002218B4" w:rsidRPr="000B7589" w:rsidRDefault="002218B4" w:rsidP="002218B4">
      <w:pPr>
        <w:pStyle w:val="ListBulletLevel1"/>
        <w:rPr>
          <w:lang w:eastAsia="en-US"/>
        </w:rPr>
      </w:pPr>
      <w:r w:rsidRPr="000B7589">
        <w:rPr>
          <w:lang w:eastAsia="en-US"/>
        </w:rPr>
        <w:t xml:space="preserve">a potential lack of trust in the </w:t>
      </w:r>
      <w:r w:rsidR="00FA4853">
        <w:rPr>
          <w:lang w:eastAsia="en-US"/>
        </w:rPr>
        <w:t>AGDIS’s</w:t>
      </w:r>
      <w:r w:rsidRPr="000B7589">
        <w:rPr>
          <w:lang w:eastAsia="en-US"/>
        </w:rPr>
        <w:t xml:space="preserve"> privacy and security safeguards</w:t>
      </w:r>
      <w:r>
        <w:rPr>
          <w:lang w:eastAsia="en-US"/>
        </w:rPr>
        <w:t>; and</w:t>
      </w:r>
    </w:p>
    <w:p w14:paraId="5F99ACEE" w14:textId="0226D485" w:rsidR="002218B4" w:rsidRPr="002218B4" w:rsidRDefault="002218B4" w:rsidP="002218B4">
      <w:pPr>
        <w:pStyle w:val="ListBulletLevel1"/>
        <w:rPr>
          <w:lang w:eastAsia="en-US"/>
        </w:rPr>
      </w:pPr>
      <w:r w:rsidRPr="001C64D7">
        <w:rPr>
          <w:lang w:eastAsia="en-US"/>
        </w:rPr>
        <w:t>the absence of a permanent oversight body and legislative governance framework.</w:t>
      </w:r>
    </w:p>
    <w:p w14:paraId="7023CA85" w14:textId="54413320" w:rsidR="002218B4" w:rsidRDefault="002218B4" w:rsidP="002218B4">
      <w:pPr>
        <w:pStyle w:val="BodyText"/>
        <w:rPr>
          <w:lang w:eastAsia="en-US"/>
        </w:rPr>
      </w:pPr>
      <w:r w:rsidRPr="000B7589">
        <w:rPr>
          <w:lang w:eastAsia="en-US"/>
        </w:rPr>
        <w:t>Regulatory action is required to address</w:t>
      </w:r>
      <w:r>
        <w:rPr>
          <w:lang w:eastAsia="en-US"/>
        </w:rPr>
        <w:t xml:space="preserve"> the above barriers to uptake of individuals and market entry by firms</w:t>
      </w:r>
      <w:r w:rsidRPr="000B7589">
        <w:rPr>
          <w:lang w:eastAsia="en-US"/>
        </w:rPr>
        <w:t>, enabling non-</w:t>
      </w:r>
      <w:r>
        <w:rPr>
          <w:lang w:eastAsia="en-US"/>
        </w:rPr>
        <w:t>Government</w:t>
      </w:r>
      <w:r w:rsidRPr="000B7589">
        <w:rPr>
          <w:lang w:eastAsia="en-US"/>
        </w:rPr>
        <w:t xml:space="preserve"> participation</w:t>
      </w:r>
      <w:r>
        <w:rPr>
          <w:lang w:eastAsia="en-US"/>
        </w:rPr>
        <w:t>;</w:t>
      </w:r>
      <w:r w:rsidRPr="000B7589">
        <w:rPr>
          <w:lang w:eastAsia="en-US"/>
        </w:rPr>
        <w:t xml:space="preserve"> and leg</w:t>
      </w:r>
      <w:r>
        <w:rPr>
          <w:lang w:eastAsia="en-US"/>
        </w:rPr>
        <w:t>islatively</w:t>
      </w:r>
      <w:r w:rsidRPr="000B7589">
        <w:rPr>
          <w:lang w:eastAsia="en-US"/>
        </w:rPr>
        <w:t xml:space="preserve"> entrenching privacy, security and </w:t>
      </w:r>
      <w:r>
        <w:rPr>
          <w:lang w:eastAsia="en-US"/>
        </w:rPr>
        <w:t xml:space="preserve">permanent </w:t>
      </w:r>
      <w:r w:rsidRPr="000B7589">
        <w:rPr>
          <w:lang w:eastAsia="en-US"/>
        </w:rPr>
        <w:t xml:space="preserve">governance </w:t>
      </w:r>
      <w:r>
        <w:rPr>
          <w:lang w:eastAsia="en-US"/>
        </w:rPr>
        <w:t>arrangements</w:t>
      </w:r>
      <w:r w:rsidRPr="000B7589">
        <w:rPr>
          <w:lang w:eastAsia="en-US"/>
        </w:rPr>
        <w:t xml:space="preserve"> to enhance confidence and trust in </w:t>
      </w:r>
      <w:r w:rsidR="00647857">
        <w:rPr>
          <w:lang w:eastAsia="en-US"/>
        </w:rPr>
        <w:t>the AGDIS</w:t>
      </w:r>
      <w:r w:rsidR="0021335D">
        <w:rPr>
          <w:lang w:eastAsia="en-US"/>
        </w:rPr>
        <w:t xml:space="preserve"> and the </w:t>
      </w:r>
      <w:r w:rsidR="005C20EC">
        <w:rPr>
          <w:lang w:eastAsia="en-US"/>
        </w:rPr>
        <w:t>Accreditation Scheme</w:t>
      </w:r>
      <w:r w:rsidRPr="000B7589">
        <w:rPr>
          <w:lang w:eastAsia="en-US"/>
        </w:rPr>
        <w:t>. Three options have been considered to address these gaps</w:t>
      </w:r>
      <w:r>
        <w:rPr>
          <w:lang w:eastAsia="en-US"/>
        </w:rPr>
        <w:t>:</w:t>
      </w:r>
      <w:r w:rsidRPr="000B7589">
        <w:rPr>
          <w:lang w:eastAsia="en-US"/>
        </w:rPr>
        <w:t xml:space="preserve"> </w:t>
      </w:r>
    </w:p>
    <w:p w14:paraId="281D3F5D" w14:textId="77777777" w:rsidR="002218B4" w:rsidRDefault="002218B4" w:rsidP="002218B4">
      <w:pPr>
        <w:pStyle w:val="ListBulletLevel1"/>
        <w:rPr>
          <w:lang w:eastAsia="en-US"/>
        </w:rPr>
      </w:pPr>
      <w:r w:rsidRPr="78F42BF0">
        <w:rPr>
          <w:lang w:eastAsia="en-US"/>
        </w:rPr>
        <w:t>retaining the status quo (i.e. no regulatory action taken)</w:t>
      </w:r>
    </w:p>
    <w:p w14:paraId="05148DC2" w14:textId="77777777" w:rsidR="002218B4" w:rsidRDefault="002218B4" w:rsidP="002218B4">
      <w:pPr>
        <w:pStyle w:val="ListBulletLevel1"/>
        <w:rPr>
          <w:lang w:eastAsia="en-US"/>
        </w:rPr>
      </w:pPr>
      <w:r w:rsidRPr="000B7589">
        <w:rPr>
          <w:lang w:eastAsia="en-US"/>
        </w:rPr>
        <w:t>leveraging existing regulatory schemes (primarily addressing privacy-related issues)</w:t>
      </w:r>
    </w:p>
    <w:p w14:paraId="008EFD15" w14:textId="77777777" w:rsidR="002218B4" w:rsidRPr="000B7589" w:rsidRDefault="002218B4" w:rsidP="002218B4">
      <w:pPr>
        <w:pStyle w:val="ListBulletLevel1"/>
        <w:rPr>
          <w:lang w:eastAsia="en-US"/>
        </w:rPr>
      </w:pPr>
      <w:r w:rsidRPr="0DFA586A">
        <w:rPr>
          <w:lang w:eastAsia="en-US"/>
        </w:rPr>
        <w:t xml:space="preserve">establishing a dedicated Digital ID regulatory scheme through legislation </w:t>
      </w:r>
      <w:r>
        <w:rPr>
          <w:lang w:eastAsia="en-US"/>
        </w:rPr>
        <w:t xml:space="preserve">and nominating </w:t>
      </w:r>
      <w:r w:rsidRPr="0DFA586A">
        <w:rPr>
          <w:lang w:eastAsia="en-US"/>
        </w:rPr>
        <w:t xml:space="preserve">the Australian Competition and Consumer Commission (ACCC) as the initial regulator. </w:t>
      </w:r>
    </w:p>
    <w:p w14:paraId="780F9D53" w14:textId="43F9860E" w:rsidR="008170B9" w:rsidRDefault="008170B9" w:rsidP="008170B9">
      <w:pPr>
        <w:pStyle w:val="BodyText"/>
        <w:rPr>
          <w:lang w:eastAsia="en-US"/>
        </w:rPr>
      </w:pPr>
      <w:r>
        <w:rPr>
          <w:lang w:eastAsia="en-US"/>
        </w:rPr>
        <w:t>In recent years,</w:t>
      </w:r>
      <w:r w:rsidRPr="000B7589">
        <w:rPr>
          <w:lang w:eastAsia="en-US"/>
        </w:rPr>
        <w:t xml:space="preserve"> </w:t>
      </w:r>
      <w:r>
        <w:rPr>
          <w:lang w:eastAsia="en-US"/>
        </w:rPr>
        <w:t>t</w:t>
      </w:r>
      <w:r w:rsidRPr="000B7589">
        <w:rPr>
          <w:lang w:eastAsia="en-US"/>
        </w:rPr>
        <w:t xml:space="preserve">he </w:t>
      </w:r>
      <w:r>
        <w:rPr>
          <w:lang w:eastAsia="en-US"/>
        </w:rPr>
        <w:t>potential and growing demand for</w:t>
      </w:r>
      <w:r w:rsidRPr="000B7589">
        <w:rPr>
          <w:lang w:eastAsia="en-US"/>
        </w:rPr>
        <w:t xml:space="preserve"> </w:t>
      </w:r>
      <w:r>
        <w:rPr>
          <w:lang w:eastAsia="en-US"/>
        </w:rPr>
        <w:t xml:space="preserve">the AGDIS </w:t>
      </w:r>
      <w:r w:rsidRPr="000B7589">
        <w:rPr>
          <w:lang w:eastAsia="en-US"/>
        </w:rPr>
        <w:t>has been clearly demonstrated</w:t>
      </w:r>
      <w:r>
        <w:rPr>
          <w:lang w:eastAsia="en-US"/>
        </w:rPr>
        <w:t xml:space="preserve">, with large scale events effecting a number of Australians in some capacity such as </w:t>
      </w:r>
      <w:r w:rsidRPr="3F95ABA3">
        <w:rPr>
          <w:lang w:eastAsia="en-US"/>
        </w:rPr>
        <w:t xml:space="preserve">the </w:t>
      </w:r>
      <w:r>
        <w:rPr>
          <w:lang w:eastAsia="en-US"/>
        </w:rPr>
        <w:t>private sector cyber security breaches of Optus, Medibank Private and Latitude Financial (the recent cyber breaches)</w:t>
      </w:r>
      <w:r w:rsidRPr="000B7589">
        <w:rPr>
          <w:lang w:eastAsia="en-US"/>
        </w:rPr>
        <w:t xml:space="preserve">. </w:t>
      </w:r>
      <w:r>
        <w:rPr>
          <w:lang w:eastAsia="en-US"/>
        </w:rPr>
        <w:t xml:space="preserve">The Black Summer bushfires of 2019-20 and </w:t>
      </w:r>
      <w:r w:rsidRPr="000B7589">
        <w:rPr>
          <w:lang w:eastAsia="en-US"/>
        </w:rPr>
        <w:t>COVID-19 pandemic</w:t>
      </w:r>
      <w:r>
        <w:rPr>
          <w:lang w:eastAsia="en-US"/>
        </w:rPr>
        <w:t xml:space="preserve"> both</w:t>
      </w:r>
      <w:r w:rsidRPr="000B7589">
        <w:rPr>
          <w:lang w:eastAsia="en-US"/>
        </w:rPr>
        <w:t xml:space="preserve"> </w:t>
      </w:r>
      <w:r>
        <w:rPr>
          <w:lang w:eastAsia="en-US"/>
        </w:rPr>
        <w:t>saw</w:t>
      </w:r>
      <w:r w:rsidRPr="000B7589">
        <w:rPr>
          <w:lang w:eastAsia="en-US"/>
        </w:rPr>
        <w:t xml:space="preserve"> an unprecedented </w:t>
      </w:r>
      <w:r>
        <w:rPr>
          <w:lang w:eastAsia="en-US"/>
        </w:rPr>
        <w:t xml:space="preserve">increase </w:t>
      </w:r>
      <w:r>
        <w:rPr>
          <w:lang w:eastAsia="en-US"/>
        </w:rPr>
        <w:lastRenderedPageBreak/>
        <w:t>in the use of</w:t>
      </w:r>
      <w:r w:rsidRPr="000B7589">
        <w:rPr>
          <w:lang w:eastAsia="en-US"/>
        </w:rPr>
        <w:t xml:space="preserve"> digital channels </w:t>
      </w:r>
      <w:r>
        <w:rPr>
          <w:lang w:eastAsia="en-US"/>
        </w:rPr>
        <w:t>to access</w:t>
      </w:r>
      <w:r w:rsidRPr="000B7589">
        <w:rPr>
          <w:lang w:eastAsia="en-US"/>
        </w:rPr>
        <w:t xml:space="preserve"> stimulus measures</w:t>
      </w:r>
      <w:r>
        <w:rPr>
          <w:lang w:eastAsia="en-US"/>
        </w:rPr>
        <w:t xml:space="preserve">, closely followed by floods in early 2022. </w:t>
      </w:r>
    </w:p>
    <w:p w14:paraId="0A18CDFF" w14:textId="702180E8" w:rsidR="002218B4" w:rsidRPr="008C56D6" w:rsidRDefault="002218B4" w:rsidP="002218B4">
      <w:pPr>
        <w:pStyle w:val="BodyText"/>
      </w:pPr>
      <w:r>
        <w:t xml:space="preserve">This Impact Analysis has been developed to examine the case for establishing a dedicated regulatory scheme for the </w:t>
      </w:r>
      <w:r w:rsidR="00F33717">
        <w:t>AGDIS</w:t>
      </w:r>
      <w:r>
        <w:t xml:space="preserve"> and the likely impacts (regulatory and non-regulatory) of proposed measures. It describes the problem that Government is trying to solve and proposes options. These have been informed by</w:t>
      </w:r>
      <w:r w:rsidDel="009B0A35">
        <w:t xml:space="preserve"> </w:t>
      </w:r>
      <w:r>
        <w:t xml:space="preserve">wide stakeholder consultation to validate expected impacts. The Impact Analysis recommends that </w:t>
      </w:r>
      <w:r w:rsidR="007A7D1F">
        <w:t>Government implement</w:t>
      </w:r>
      <w:r>
        <w:t xml:space="preserve"> the option with the highest net benefit – a dedicated regulatory scheme established through legislation. Each of the </w:t>
      </w:r>
      <w:hyperlink r:id="rId25">
        <w:r w:rsidRPr="00C52A40">
          <w:rPr>
            <w:rStyle w:val="Hyperlink"/>
            <w:color w:val="008675"/>
          </w:rPr>
          <w:t>seven Impact Analysis questions</w:t>
        </w:r>
      </w:hyperlink>
      <w:r w:rsidRPr="0DFA586A">
        <w:rPr>
          <w:i/>
          <w:iCs/>
          <w:sz w:val="16"/>
          <w:szCs w:val="16"/>
        </w:rPr>
        <w:t>,</w:t>
      </w:r>
      <w:r w:rsidRPr="0DFA586A">
        <w:rPr>
          <w:rStyle w:val="FootnoteReference"/>
        </w:rPr>
        <w:t xml:space="preserve"> </w:t>
      </w:r>
      <w:r>
        <w:t>and the applicable section(s) that address them, are set out in Table 1.</w:t>
      </w:r>
    </w:p>
    <w:tbl>
      <w:tblPr>
        <w:tblStyle w:val="GridTable2-Accent3"/>
        <w:tblW w:w="9067" w:type="dxa"/>
        <w:tblLook w:val="04A0" w:firstRow="1" w:lastRow="0" w:firstColumn="1" w:lastColumn="0" w:noHBand="0" w:noVBand="1"/>
      </w:tblPr>
      <w:tblGrid>
        <w:gridCol w:w="3969"/>
        <w:gridCol w:w="5098"/>
      </w:tblGrid>
      <w:tr w:rsidR="002218B4" w:rsidRPr="00C52A40" w14:paraId="5D0A41F2" w14:textId="77777777" w:rsidTr="00E31E7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8675"/>
            </w:tcBorders>
          </w:tcPr>
          <w:p w14:paraId="74A3553F" w14:textId="77777777" w:rsidR="002218B4" w:rsidRPr="00C52A40" w:rsidRDefault="002218B4" w:rsidP="00E31E7D">
            <w:pPr>
              <w:pStyle w:val="TableTextLeft"/>
              <w:spacing w:after="0"/>
              <w:rPr>
                <w:color w:val="008675"/>
                <w:szCs w:val="28"/>
                <w:lang w:eastAsia="en-US"/>
              </w:rPr>
            </w:pPr>
            <w:r w:rsidRPr="00C52A40">
              <w:rPr>
                <w:color w:val="008675"/>
                <w:szCs w:val="28"/>
              </w:rPr>
              <w:t>Impact Analysis question</w:t>
            </w:r>
          </w:p>
        </w:tc>
        <w:tc>
          <w:tcPr>
            <w:tcW w:w="0" w:type="dxa"/>
            <w:tcBorders>
              <w:bottom w:val="single" w:sz="4" w:space="0" w:color="008675"/>
            </w:tcBorders>
          </w:tcPr>
          <w:p w14:paraId="390A5922" w14:textId="77777777" w:rsidR="002218B4" w:rsidRPr="00C52A40" w:rsidRDefault="002218B4" w:rsidP="00E31E7D">
            <w:pPr>
              <w:pStyle w:val="TableTextLeft"/>
              <w:spacing w:after="0"/>
              <w:cnfStyle w:val="100000000000" w:firstRow="1" w:lastRow="0" w:firstColumn="0" w:lastColumn="0" w:oddVBand="0" w:evenVBand="0" w:oddHBand="0" w:evenHBand="0" w:firstRowFirstColumn="0" w:firstRowLastColumn="0" w:lastRowFirstColumn="0" w:lastRowLastColumn="0"/>
              <w:rPr>
                <w:color w:val="008675"/>
                <w:szCs w:val="28"/>
                <w:lang w:eastAsia="en-US"/>
              </w:rPr>
            </w:pPr>
            <w:r w:rsidRPr="00C52A40">
              <w:rPr>
                <w:color w:val="008675"/>
                <w:szCs w:val="28"/>
                <w:lang w:eastAsia="en-US"/>
              </w:rPr>
              <w:t>Relevant document section</w:t>
            </w:r>
          </w:p>
        </w:tc>
      </w:tr>
      <w:tr w:rsidR="002218B4" w:rsidRPr="000B7589" w14:paraId="4183F970" w14:textId="77777777" w:rsidTr="00E31E7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6D90BD86" w14:textId="77777777" w:rsidR="002218B4" w:rsidRPr="00C91791" w:rsidRDefault="002218B4" w:rsidP="00E31E7D">
            <w:pPr>
              <w:pStyle w:val="TableTextLeft"/>
              <w:spacing w:before="0" w:after="0"/>
              <w:rPr>
                <w:b w:val="0"/>
                <w:bCs w:val="0"/>
                <w:szCs w:val="28"/>
              </w:rPr>
            </w:pPr>
            <w:r w:rsidRPr="00C91791">
              <w:rPr>
                <w:b w:val="0"/>
                <w:bCs w:val="0"/>
                <w:szCs w:val="28"/>
              </w:rPr>
              <w:t>1 What is the policy problem you are trying to solve</w:t>
            </w:r>
            <w:r>
              <w:rPr>
                <w:b w:val="0"/>
                <w:bCs w:val="0"/>
                <w:szCs w:val="28"/>
              </w:rPr>
              <w:t xml:space="preserve"> and what data are available</w:t>
            </w:r>
            <w:r w:rsidRPr="00C91791">
              <w:rPr>
                <w:b w:val="0"/>
                <w:bCs w:val="0"/>
                <w:szCs w:val="28"/>
              </w:rPr>
              <w:t>?</w:t>
            </w:r>
          </w:p>
        </w:tc>
        <w:tc>
          <w:tcPr>
            <w:tcW w:w="0" w:type="dxa"/>
            <w:tcBorders>
              <w:top w:val="single" w:sz="4" w:space="0" w:color="008675"/>
              <w:left w:val="single" w:sz="4" w:space="0" w:color="008675"/>
              <w:bottom w:val="single" w:sz="4" w:space="0" w:color="008675"/>
            </w:tcBorders>
            <w:shd w:val="clear" w:color="auto" w:fill="D2EEED"/>
          </w:tcPr>
          <w:p w14:paraId="64C3AB00" w14:textId="77777777" w:rsidR="002218B4" w:rsidRPr="00C91791" w:rsidRDefault="006E3B9A" w:rsidP="00E31E7D">
            <w:pPr>
              <w:pStyle w:val="TableTextLeft"/>
              <w:spacing w:before="0" w:after="0"/>
              <w:cnfStyle w:val="000000100000" w:firstRow="0" w:lastRow="0" w:firstColumn="0" w:lastColumn="0" w:oddVBand="0" w:evenVBand="0" w:oddHBand="1" w:evenHBand="0" w:firstRowFirstColumn="0" w:firstRowLastColumn="0" w:lastRowFirstColumn="0" w:lastRowLastColumn="0"/>
              <w:rPr>
                <w:szCs w:val="28"/>
              </w:rPr>
            </w:pPr>
            <w:hyperlink w:anchor="_3_What_is" w:history="1">
              <w:r w:rsidR="002218B4" w:rsidRPr="00C91791">
                <w:rPr>
                  <w:szCs w:val="28"/>
                </w:rPr>
                <w:fldChar w:fldCharType="begin"/>
              </w:r>
              <w:r w:rsidR="002218B4" w:rsidRPr="00C91791">
                <w:rPr>
                  <w:szCs w:val="28"/>
                </w:rPr>
                <w:instrText xml:space="preserve"> REF _Ref63778339 \h  \* MERGEFORMAT </w:instrText>
              </w:r>
              <w:r w:rsidR="002218B4" w:rsidRPr="00C91791">
                <w:rPr>
                  <w:szCs w:val="28"/>
                </w:rPr>
              </w:r>
              <w:r w:rsidR="002218B4" w:rsidRPr="00C91791">
                <w:rPr>
                  <w:szCs w:val="28"/>
                </w:rPr>
                <w:fldChar w:fldCharType="separate"/>
              </w:r>
              <w:r w:rsidR="002218B4" w:rsidRPr="00C91791">
                <w:rPr>
                  <w:szCs w:val="28"/>
                </w:rPr>
                <w:br w:type="page"/>
                <w:t xml:space="preserve">3 What is the </w:t>
              </w:r>
              <w:r w:rsidR="002218B4">
                <w:rPr>
                  <w:szCs w:val="28"/>
                </w:rPr>
                <w:t>p</w:t>
              </w:r>
              <w:r w:rsidR="002218B4" w:rsidRPr="00C91791">
                <w:rPr>
                  <w:szCs w:val="28"/>
                </w:rPr>
                <w:t>roblem?</w:t>
              </w:r>
              <w:r w:rsidR="002218B4" w:rsidRPr="00C91791">
                <w:rPr>
                  <w:szCs w:val="28"/>
                </w:rPr>
                <w:fldChar w:fldCharType="end"/>
              </w:r>
            </w:hyperlink>
          </w:p>
        </w:tc>
      </w:tr>
      <w:tr w:rsidR="002218B4" w:rsidRPr="000B7589" w14:paraId="7FC0917E" w14:textId="77777777" w:rsidTr="00E31E7D">
        <w:trPr>
          <w:trHeight w:val="43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08675"/>
              <w:bottom w:val="single" w:sz="4" w:space="0" w:color="008675"/>
              <w:right w:val="single" w:sz="4" w:space="0" w:color="008675"/>
            </w:tcBorders>
          </w:tcPr>
          <w:p w14:paraId="7F0520BD" w14:textId="77777777" w:rsidR="002218B4" w:rsidRPr="00C91791" w:rsidRDefault="002218B4" w:rsidP="00E31E7D">
            <w:pPr>
              <w:pStyle w:val="TableTextLeft"/>
              <w:spacing w:before="0" w:after="0"/>
              <w:rPr>
                <w:b w:val="0"/>
                <w:bCs w:val="0"/>
                <w:szCs w:val="28"/>
              </w:rPr>
            </w:pPr>
            <w:r w:rsidRPr="00C91791">
              <w:rPr>
                <w:b w:val="0"/>
                <w:bCs w:val="0"/>
                <w:szCs w:val="28"/>
              </w:rPr>
              <w:t>2 Why is government action needed</w:t>
            </w:r>
            <w:r>
              <w:rPr>
                <w:b w:val="0"/>
                <w:bCs w:val="0"/>
                <w:szCs w:val="28"/>
              </w:rPr>
              <w:t>, and how will success be measured</w:t>
            </w:r>
            <w:r w:rsidRPr="00C91791">
              <w:rPr>
                <w:b w:val="0"/>
                <w:bCs w:val="0"/>
                <w:szCs w:val="28"/>
              </w:rPr>
              <w:t>?</w:t>
            </w:r>
          </w:p>
        </w:tc>
        <w:tc>
          <w:tcPr>
            <w:tcW w:w="5098" w:type="dxa"/>
            <w:tcBorders>
              <w:top w:val="single" w:sz="4" w:space="0" w:color="008675"/>
              <w:left w:val="single" w:sz="4" w:space="0" w:color="008675"/>
              <w:bottom w:val="single" w:sz="4" w:space="0" w:color="008675"/>
            </w:tcBorders>
          </w:tcPr>
          <w:p w14:paraId="02C5F7D0" w14:textId="77777777" w:rsidR="002218B4" w:rsidRPr="00C91791" w:rsidRDefault="006E3B9A" w:rsidP="00E31E7D">
            <w:pPr>
              <w:pStyle w:val="TableTextLeft"/>
              <w:spacing w:before="0" w:after="0"/>
              <w:cnfStyle w:val="000000000000" w:firstRow="0" w:lastRow="0" w:firstColumn="0" w:lastColumn="0" w:oddVBand="0" w:evenVBand="0" w:oddHBand="0" w:evenHBand="0" w:firstRowFirstColumn="0" w:firstRowLastColumn="0" w:lastRowFirstColumn="0" w:lastRowLastColumn="0"/>
              <w:rPr>
                <w:szCs w:val="28"/>
              </w:rPr>
            </w:pPr>
            <w:hyperlink w:anchor="_4_Requirement_for" w:history="1">
              <w:r w:rsidR="002218B4" w:rsidRPr="00C91791">
                <w:rPr>
                  <w:szCs w:val="28"/>
                </w:rPr>
                <w:fldChar w:fldCharType="begin"/>
              </w:r>
              <w:r w:rsidR="002218B4" w:rsidRPr="00C91791">
                <w:rPr>
                  <w:szCs w:val="28"/>
                </w:rPr>
                <w:instrText xml:space="preserve"> REF _Ref63778353 \h  \* MERGEFORMAT </w:instrText>
              </w:r>
              <w:r w:rsidR="002218B4" w:rsidRPr="00C91791">
                <w:rPr>
                  <w:szCs w:val="28"/>
                </w:rPr>
              </w:r>
              <w:r w:rsidR="002218B4" w:rsidRPr="00C91791">
                <w:rPr>
                  <w:szCs w:val="28"/>
                </w:rPr>
                <w:fldChar w:fldCharType="separate"/>
              </w:r>
              <w:r w:rsidR="002218B4" w:rsidRPr="00C91791">
                <w:rPr>
                  <w:szCs w:val="28"/>
                </w:rPr>
                <w:t xml:space="preserve">4 Requirement for </w:t>
              </w:r>
              <w:r w:rsidR="002218B4">
                <w:rPr>
                  <w:szCs w:val="28"/>
                </w:rPr>
                <w:t>g</w:t>
              </w:r>
              <w:r w:rsidR="002218B4" w:rsidRPr="00C91791">
                <w:rPr>
                  <w:szCs w:val="28"/>
                </w:rPr>
                <w:t xml:space="preserve">overnment </w:t>
              </w:r>
              <w:r w:rsidR="002218B4">
                <w:rPr>
                  <w:szCs w:val="28"/>
                </w:rPr>
                <w:t>a</w:t>
              </w:r>
              <w:r w:rsidR="002218B4" w:rsidRPr="00C91791">
                <w:rPr>
                  <w:szCs w:val="28"/>
                </w:rPr>
                <w:t>ction</w:t>
              </w:r>
              <w:r w:rsidR="002218B4" w:rsidRPr="00C91791">
                <w:rPr>
                  <w:szCs w:val="28"/>
                </w:rPr>
                <w:fldChar w:fldCharType="end"/>
              </w:r>
            </w:hyperlink>
          </w:p>
        </w:tc>
      </w:tr>
      <w:tr w:rsidR="002218B4" w:rsidRPr="000B7589" w14:paraId="46FFAED9" w14:textId="77777777" w:rsidTr="00E31E7D">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199A920E" w14:textId="77777777" w:rsidR="002218B4" w:rsidRPr="00C91791" w:rsidRDefault="002218B4" w:rsidP="00E31E7D">
            <w:pPr>
              <w:pStyle w:val="TableTextLeft"/>
              <w:spacing w:before="0" w:after="0"/>
              <w:rPr>
                <w:b w:val="0"/>
                <w:bCs w:val="0"/>
                <w:szCs w:val="28"/>
              </w:rPr>
            </w:pPr>
            <w:r w:rsidRPr="00C91791">
              <w:rPr>
                <w:b w:val="0"/>
                <w:bCs w:val="0"/>
                <w:szCs w:val="28"/>
              </w:rPr>
              <w:t>3 What policy options are you considering?</w:t>
            </w:r>
          </w:p>
        </w:tc>
        <w:tc>
          <w:tcPr>
            <w:tcW w:w="0" w:type="dxa"/>
            <w:tcBorders>
              <w:top w:val="single" w:sz="4" w:space="0" w:color="008675"/>
              <w:left w:val="single" w:sz="4" w:space="0" w:color="008675"/>
              <w:bottom w:val="single" w:sz="4" w:space="0" w:color="008675"/>
            </w:tcBorders>
            <w:shd w:val="clear" w:color="auto" w:fill="D2EEED"/>
          </w:tcPr>
          <w:p w14:paraId="59E1D044" w14:textId="77777777" w:rsidR="002218B4" w:rsidRPr="00C91791" w:rsidRDefault="002218B4" w:rsidP="00E31E7D">
            <w:pPr>
              <w:pStyle w:val="TableTextLeft"/>
              <w:spacing w:before="0" w:after="0"/>
              <w:cnfStyle w:val="000000100000" w:firstRow="0" w:lastRow="0" w:firstColumn="0" w:lastColumn="0" w:oddVBand="0" w:evenVBand="0" w:oddHBand="1" w:evenHBand="0" w:firstRowFirstColumn="0" w:firstRowLastColumn="0" w:lastRowFirstColumn="0" w:lastRowLastColumn="0"/>
              <w:rPr>
                <w:szCs w:val="28"/>
              </w:rPr>
            </w:pPr>
            <w:r w:rsidRPr="00C91791">
              <w:rPr>
                <w:szCs w:val="28"/>
              </w:rPr>
              <w:fldChar w:fldCharType="begin"/>
            </w:r>
            <w:r w:rsidRPr="00C91791">
              <w:rPr>
                <w:szCs w:val="28"/>
              </w:rPr>
              <w:instrText xml:space="preserve"> REF _Ref65505481 \h  \* MERGEFORMAT </w:instrText>
            </w:r>
            <w:r w:rsidRPr="00C91791">
              <w:rPr>
                <w:szCs w:val="28"/>
              </w:rPr>
            </w:r>
            <w:r w:rsidRPr="00C91791">
              <w:rPr>
                <w:szCs w:val="28"/>
              </w:rPr>
              <w:fldChar w:fldCharType="separate"/>
            </w:r>
            <w:r w:rsidRPr="00C91791">
              <w:rPr>
                <w:szCs w:val="28"/>
              </w:rPr>
              <w:t xml:space="preserve">5 Policy </w:t>
            </w:r>
            <w:r>
              <w:rPr>
                <w:szCs w:val="28"/>
              </w:rPr>
              <w:t>o</w:t>
            </w:r>
            <w:r w:rsidRPr="00C91791">
              <w:rPr>
                <w:szCs w:val="28"/>
              </w:rPr>
              <w:t xml:space="preserve">ptions </w:t>
            </w:r>
            <w:r>
              <w:rPr>
                <w:szCs w:val="28"/>
              </w:rPr>
              <w:t>o</w:t>
            </w:r>
            <w:r w:rsidRPr="00C91791">
              <w:rPr>
                <w:szCs w:val="28"/>
              </w:rPr>
              <w:t>verview</w:t>
            </w:r>
            <w:r w:rsidRPr="00C91791">
              <w:rPr>
                <w:szCs w:val="28"/>
              </w:rPr>
              <w:fldChar w:fldCharType="end"/>
            </w:r>
          </w:p>
        </w:tc>
      </w:tr>
      <w:tr w:rsidR="002218B4" w:rsidRPr="000B7589" w14:paraId="218879AE" w14:textId="77777777" w:rsidTr="00E31E7D">
        <w:trPr>
          <w:trHeight w:val="794"/>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8675"/>
              <w:right w:val="single" w:sz="4" w:space="0" w:color="008675"/>
            </w:tcBorders>
          </w:tcPr>
          <w:p w14:paraId="59E3951F" w14:textId="77777777" w:rsidR="002218B4" w:rsidRPr="00C91791" w:rsidRDefault="002218B4" w:rsidP="00E31E7D">
            <w:pPr>
              <w:pStyle w:val="TableTextLeft"/>
              <w:spacing w:before="0" w:after="0"/>
              <w:rPr>
                <w:b w:val="0"/>
                <w:bCs w:val="0"/>
                <w:szCs w:val="28"/>
              </w:rPr>
            </w:pPr>
            <w:r w:rsidRPr="00C91791">
              <w:rPr>
                <w:b w:val="0"/>
                <w:bCs w:val="0"/>
                <w:szCs w:val="28"/>
              </w:rPr>
              <w:t>4 What is the likely net benefit of</w:t>
            </w:r>
            <w:r>
              <w:rPr>
                <w:b w:val="0"/>
                <w:bCs w:val="0"/>
                <w:szCs w:val="28"/>
              </w:rPr>
              <w:br/>
            </w:r>
            <w:r w:rsidRPr="00C91791">
              <w:rPr>
                <w:b w:val="0"/>
                <w:bCs w:val="0"/>
                <w:szCs w:val="28"/>
              </w:rPr>
              <w:t>each option?</w:t>
            </w:r>
          </w:p>
        </w:tc>
        <w:tc>
          <w:tcPr>
            <w:tcW w:w="5098" w:type="dxa"/>
            <w:tcBorders>
              <w:left w:val="single" w:sz="4" w:space="0" w:color="008675"/>
              <w:bottom w:val="single" w:sz="4" w:space="0" w:color="008675"/>
            </w:tcBorders>
          </w:tcPr>
          <w:p w14:paraId="0ADC9B62" w14:textId="77777777" w:rsidR="002218B4" w:rsidRPr="00C91791" w:rsidRDefault="002218B4" w:rsidP="00E31E7D">
            <w:pPr>
              <w:pStyle w:val="TableTextLeft"/>
              <w:spacing w:before="0" w:after="0"/>
              <w:cnfStyle w:val="000000000000" w:firstRow="0" w:lastRow="0" w:firstColumn="0" w:lastColumn="0" w:oddVBand="0" w:evenVBand="0" w:oddHBand="0" w:evenHBand="0" w:firstRowFirstColumn="0" w:firstRowLastColumn="0" w:lastRowFirstColumn="0" w:lastRowLastColumn="0"/>
              <w:rPr>
                <w:szCs w:val="28"/>
              </w:rPr>
            </w:pPr>
            <w:r w:rsidRPr="00C91791">
              <w:rPr>
                <w:szCs w:val="28"/>
              </w:rPr>
              <w:fldChar w:fldCharType="begin"/>
            </w:r>
            <w:r w:rsidRPr="00C91791">
              <w:rPr>
                <w:szCs w:val="28"/>
              </w:rPr>
              <w:instrText xml:space="preserve"> REF _Ref65505506 \h  \* MERGEFORMAT </w:instrText>
            </w:r>
            <w:r w:rsidRPr="00C91791">
              <w:rPr>
                <w:szCs w:val="28"/>
              </w:rPr>
            </w:r>
            <w:r w:rsidRPr="00C91791">
              <w:rPr>
                <w:szCs w:val="28"/>
              </w:rPr>
              <w:fldChar w:fldCharType="separate"/>
            </w:r>
            <w:r w:rsidRPr="00C91791">
              <w:rPr>
                <w:szCs w:val="28"/>
              </w:rPr>
              <w:t xml:space="preserve">6 Approach to </w:t>
            </w:r>
            <w:r>
              <w:rPr>
                <w:szCs w:val="28"/>
              </w:rPr>
              <w:t>d</w:t>
            </w:r>
            <w:r w:rsidRPr="00C91791">
              <w:rPr>
                <w:szCs w:val="28"/>
              </w:rPr>
              <w:t xml:space="preserve">etermining </w:t>
            </w:r>
            <w:r>
              <w:rPr>
                <w:szCs w:val="28"/>
              </w:rPr>
              <w:t>c</w:t>
            </w:r>
            <w:r w:rsidRPr="00C91791">
              <w:rPr>
                <w:szCs w:val="28"/>
              </w:rPr>
              <w:t xml:space="preserve">osts and </w:t>
            </w:r>
            <w:r>
              <w:rPr>
                <w:szCs w:val="28"/>
              </w:rPr>
              <w:t>b</w:t>
            </w:r>
            <w:r w:rsidRPr="00C91791">
              <w:rPr>
                <w:szCs w:val="28"/>
              </w:rPr>
              <w:t xml:space="preserve">enefits of </w:t>
            </w:r>
            <w:r>
              <w:rPr>
                <w:szCs w:val="28"/>
              </w:rPr>
              <w:t>o</w:t>
            </w:r>
            <w:r w:rsidRPr="00C91791">
              <w:rPr>
                <w:szCs w:val="28"/>
              </w:rPr>
              <w:t>ptions</w:t>
            </w:r>
            <w:r w:rsidRPr="00C91791">
              <w:rPr>
                <w:szCs w:val="28"/>
              </w:rPr>
              <w:fldChar w:fldCharType="end"/>
            </w:r>
          </w:p>
          <w:p w14:paraId="4C41BF44" w14:textId="77777777" w:rsidR="002218B4" w:rsidRPr="00C91791" w:rsidRDefault="002218B4" w:rsidP="00E31E7D">
            <w:pPr>
              <w:pStyle w:val="TableTextLeft"/>
              <w:spacing w:before="0" w:after="0"/>
              <w:cnfStyle w:val="000000000000" w:firstRow="0" w:lastRow="0" w:firstColumn="0" w:lastColumn="0" w:oddVBand="0" w:evenVBand="0" w:oddHBand="0" w:evenHBand="0" w:firstRowFirstColumn="0" w:firstRowLastColumn="0" w:lastRowFirstColumn="0" w:lastRowLastColumn="0"/>
              <w:rPr>
                <w:szCs w:val="28"/>
              </w:rPr>
            </w:pPr>
            <w:r w:rsidRPr="00C91791">
              <w:rPr>
                <w:szCs w:val="28"/>
              </w:rPr>
              <w:fldChar w:fldCharType="begin"/>
            </w:r>
            <w:r w:rsidRPr="00C91791">
              <w:rPr>
                <w:szCs w:val="28"/>
              </w:rPr>
              <w:instrText xml:space="preserve"> REF _Ref65069236 \h  \* MERGEFORMAT </w:instrText>
            </w:r>
            <w:r w:rsidRPr="00C91791">
              <w:rPr>
                <w:szCs w:val="28"/>
              </w:rPr>
            </w:r>
            <w:r w:rsidRPr="00C91791">
              <w:rPr>
                <w:szCs w:val="28"/>
              </w:rPr>
              <w:fldChar w:fldCharType="separate"/>
            </w:r>
            <w:r w:rsidRPr="00C91791">
              <w:rPr>
                <w:szCs w:val="28"/>
              </w:rPr>
              <w:t xml:space="preserve">7 Likely </w:t>
            </w:r>
            <w:r>
              <w:rPr>
                <w:szCs w:val="28"/>
              </w:rPr>
              <w:t>n</w:t>
            </w:r>
            <w:r w:rsidRPr="00C91791">
              <w:rPr>
                <w:szCs w:val="28"/>
              </w:rPr>
              <w:t xml:space="preserve">et </w:t>
            </w:r>
            <w:r>
              <w:rPr>
                <w:szCs w:val="28"/>
              </w:rPr>
              <w:t>b</w:t>
            </w:r>
            <w:r w:rsidRPr="00C91791">
              <w:rPr>
                <w:szCs w:val="28"/>
              </w:rPr>
              <w:t xml:space="preserve">enefit of </w:t>
            </w:r>
            <w:r>
              <w:rPr>
                <w:szCs w:val="28"/>
              </w:rPr>
              <w:t>O</w:t>
            </w:r>
            <w:r w:rsidRPr="00C91791">
              <w:rPr>
                <w:szCs w:val="28"/>
              </w:rPr>
              <w:t xml:space="preserve">ption 1 – </w:t>
            </w:r>
            <w:r>
              <w:rPr>
                <w:szCs w:val="28"/>
              </w:rPr>
              <w:t>S</w:t>
            </w:r>
            <w:r w:rsidRPr="00C91791">
              <w:rPr>
                <w:szCs w:val="28"/>
              </w:rPr>
              <w:t xml:space="preserve">tatus </w:t>
            </w:r>
            <w:r>
              <w:rPr>
                <w:szCs w:val="28"/>
              </w:rPr>
              <w:t>q</w:t>
            </w:r>
            <w:r w:rsidRPr="00C91791">
              <w:rPr>
                <w:szCs w:val="28"/>
              </w:rPr>
              <w:t>uo</w:t>
            </w:r>
            <w:r w:rsidRPr="00C91791">
              <w:rPr>
                <w:szCs w:val="28"/>
              </w:rPr>
              <w:fldChar w:fldCharType="end"/>
            </w:r>
          </w:p>
          <w:p w14:paraId="1153642E" w14:textId="77777777" w:rsidR="002218B4" w:rsidRPr="00C91791" w:rsidRDefault="002218B4" w:rsidP="00E31E7D">
            <w:pPr>
              <w:pStyle w:val="TableTextLeft"/>
              <w:spacing w:before="0" w:after="0"/>
              <w:cnfStyle w:val="000000000000" w:firstRow="0" w:lastRow="0" w:firstColumn="0" w:lastColumn="0" w:oddVBand="0" w:evenVBand="0" w:oddHBand="0" w:evenHBand="0" w:firstRowFirstColumn="0" w:firstRowLastColumn="0" w:lastRowFirstColumn="0" w:lastRowLastColumn="0"/>
              <w:rPr>
                <w:szCs w:val="28"/>
              </w:rPr>
            </w:pPr>
            <w:r w:rsidRPr="00C91791">
              <w:rPr>
                <w:szCs w:val="28"/>
              </w:rPr>
              <w:fldChar w:fldCharType="begin"/>
            </w:r>
            <w:r w:rsidRPr="00C91791">
              <w:rPr>
                <w:szCs w:val="28"/>
              </w:rPr>
              <w:instrText xml:space="preserve"> REF _Ref65505527 \h  \* MERGEFORMAT </w:instrText>
            </w:r>
            <w:r w:rsidRPr="00C91791">
              <w:rPr>
                <w:szCs w:val="28"/>
              </w:rPr>
            </w:r>
            <w:r w:rsidRPr="00C91791">
              <w:rPr>
                <w:szCs w:val="28"/>
              </w:rPr>
              <w:fldChar w:fldCharType="separate"/>
            </w:r>
            <w:r w:rsidRPr="00C91791">
              <w:rPr>
                <w:szCs w:val="28"/>
              </w:rPr>
              <w:t xml:space="preserve">8 Likely </w:t>
            </w:r>
            <w:r>
              <w:rPr>
                <w:szCs w:val="28"/>
              </w:rPr>
              <w:t>n</w:t>
            </w:r>
            <w:r w:rsidRPr="00C91791">
              <w:rPr>
                <w:szCs w:val="28"/>
              </w:rPr>
              <w:t xml:space="preserve">et </w:t>
            </w:r>
            <w:r>
              <w:rPr>
                <w:szCs w:val="28"/>
              </w:rPr>
              <w:t>b</w:t>
            </w:r>
            <w:r w:rsidRPr="00C91791">
              <w:rPr>
                <w:szCs w:val="28"/>
              </w:rPr>
              <w:t xml:space="preserve">enefit of Option 2 – Leverage </w:t>
            </w:r>
            <w:r>
              <w:rPr>
                <w:szCs w:val="28"/>
              </w:rPr>
              <w:t>e</w:t>
            </w:r>
            <w:r w:rsidRPr="00C91791">
              <w:rPr>
                <w:szCs w:val="28"/>
              </w:rPr>
              <w:t xml:space="preserve">xisting </w:t>
            </w:r>
            <w:r>
              <w:rPr>
                <w:szCs w:val="28"/>
              </w:rPr>
              <w:t>r</w:t>
            </w:r>
            <w:r w:rsidRPr="00C91791">
              <w:rPr>
                <w:szCs w:val="28"/>
              </w:rPr>
              <w:t xml:space="preserve">egulatory </w:t>
            </w:r>
            <w:r>
              <w:rPr>
                <w:szCs w:val="28"/>
              </w:rPr>
              <w:t>f</w:t>
            </w:r>
            <w:r w:rsidRPr="00C91791">
              <w:rPr>
                <w:szCs w:val="28"/>
              </w:rPr>
              <w:t>rameworks</w:t>
            </w:r>
            <w:r w:rsidRPr="00C91791">
              <w:rPr>
                <w:szCs w:val="28"/>
              </w:rPr>
              <w:fldChar w:fldCharType="end"/>
            </w:r>
          </w:p>
          <w:p w14:paraId="4736EF55" w14:textId="77777777" w:rsidR="002218B4" w:rsidRPr="00C91791" w:rsidRDefault="006E3B9A" w:rsidP="00E31E7D">
            <w:pPr>
              <w:pStyle w:val="TableTextLeft"/>
              <w:spacing w:before="0" w:after="0"/>
              <w:cnfStyle w:val="000000000000" w:firstRow="0" w:lastRow="0" w:firstColumn="0" w:lastColumn="0" w:oddVBand="0" w:evenVBand="0" w:oddHBand="0" w:evenHBand="0" w:firstRowFirstColumn="0" w:firstRowLastColumn="0" w:lastRowFirstColumn="0" w:lastRowLastColumn="0"/>
              <w:rPr>
                <w:szCs w:val="28"/>
              </w:rPr>
            </w:pPr>
            <w:hyperlink w:anchor="_9_Likely_Net" w:history="1">
              <w:r w:rsidR="002218B4" w:rsidRPr="00C91791">
                <w:rPr>
                  <w:szCs w:val="28"/>
                </w:rPr>
                <w:fldChar w:fldCharType="begin"/>
              </w:r>
              <w:r w:rsidR="002218B4" w:rsidRPr="00C91791">
                <w:rPr>
                  <w:szCs w:val="28"/>
                </w:rPr>
                <w:instrText xml:space="preserve"> REF _Ref64938104 \h  \* MERGEFORMAT </w:instrText>
              </w:r>
              <w:r w:rsidR="002218B4" w:rsidRPr="00C91791">
                <w:rPr>
                  <w:szCs w:val="28"/>
                </w:rPr>
              </w:r>
              <w:r w:rsidR="002218B4" w:rsidRPr="00C91791">
                <w:rPr>
                  <w:szCs w:val="28"/>
                </w:rPr>
                <w:fldChar w:fldCharType="separate"/>
              </w:r>
              <w:r w:rsidR="002218B4" w:rsidRPr="00C91791">
                <w:rPr>
                  <w:szCs w:val="28"/>
                </w:rPr>
                <w:t xml:space="preserve">9 Likely </w:t>
              </w:r>
              <w:r w:rsidR="002218B4">
                <w:rPr>
                  <w:szCs w:val="28"/>
                </w:rPr>
                <w:t>n</w:t>
              </w:r>
              <w:r w:rsidR="002218B4" w:rsidRPr="00C91791">
                <w:rPr>
                  <w:szCs w:val="28"/>
                </w:rPr>
                <w:t xml:space="preserve">et </w:t>
              </w:r>
              <w:r w:rsidR="002218B4">
                <w:rPr>
                  <w:szCs w:val="28"/>
                </w:rPr>
                <w:t>b</w:t>
              </w:r>
              <w:r w:rsidR="002218B4" w:rsidRPr="00C91791">
                <w:rPr>
                  <w:szCs w:val="28"/>
                </w:rPr>
                <w:t xml:space="preserve">enefit of Option 3 – Dedicated </w:t>
              </w:r>
              <w:r w:rsidR="002218B4">
                <w:rPr>
                  <w:szCs w:val="28"/>
                </w:rPr>
                <w:t>r</w:t>
              </w:r>
              <w:r w:rsidR="002218B4" w:rsidRPr="00C91791">
                <w:rPr>
                  <w:szCs w:val="28"/>
                </w:rPr>
                <w:t xml:space="preserve">egulatory </w:t>
              </w:r>
              <w:r w:rsidR="002218B4">
                <w:rPr>
                  <w:szCs w:val="28"/>
                </w:rPr>
                <w:t>s</w:t>
              </w:r>
              <w:r w:rsidR="002218B4" w:rsidRPr="00C91791">
                <w:rPr>
                  <w:szCs w:val="28"/>
                </w:rPr>
                <w:t>cheme</w:t>
              </w:r>
              <w:r w:rsidR="002218B4" w:rsidRPr="00C91791">
                <w:rPr>
                  <w:szCs w:val="28"/>
                </w:rPr>
                <w:fldChar w:fldCharType="end"/>
              </w:r>
            </w:hyperlink>
          </w:p>
        </w:tc>
      </w:tr>
      <w:tr w:rsidR="002218B4" w:rsidRPr="000B7589" w14:paraId="1195C763" w14:textId="77777777" w:rsidTr="00E31E7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0BB0CDF9" w14:textId="77777777" w:rsidR="002218B4" w:rsidRPr="00C91791" w:rsidRDefault="002218B4" w:rsidP="00E31E7D">
            <w:pPr>
              <w:pStyle w:val="TableTextLeft"/>
              <w:spacing w:before="0" w:after="0"/>
              <w:rPr>
                <w:b w:val="0"/>
                <w:bCs w:val="0"/>
                <w:szCs w:val="28"/>
              </w:rPr>
            </w:pPr>
            <w:r w:rsidRPr="00C91791">
              <w:rPr>
                <w:b w:val="0"/>
                <w:bCs w:val="0"/>
                <w:szCs w:val="28"/>
              </w:rPr>
              <w:t>5 Who did you consult and how did you incorporate their feedback?</w:t>
            </w:r>
          </w:p>
        </w:tc>
        <w:tc>
          <w:tcPr>
            <w:tcW w:w="0" w:type="dxa"/>
            <w:tcBorders>
              <w:top w:val="single" w:sz="4" w:space="0" w:color="008675"/>
              <w:left w:val="single" w:sz="4" w:space="0" w:color="008675"/>
              <w:bottom w:val="single" w:sz="4" w:space="0" w:color="008675"/>
            </w:tcBorders>
            <w:shd w:val="clear" w:color="auto" w:fill="D2EEED"/>
          </w:tcPr>
          <w:p w14:paraId="18DA810E" w14:textId="77777777" w:rsidR="002218B4" w:rsidRPr="00C91791" w:rsidRDefault="002218B4" w:rsidP="00E31E7D">
            <w:pPr>
              <w:pStyle w:val="TableTextLeft"/>
              <w:spacing w:before="0" w:after="0"/>
              <w:cnfStyle w:val="000000100000" w:firstRow="0" w:lastRow="0" w:firstColumn="0" w:lastColumn="0" w:oddVBand="0" w:evenVBand="0" w:oddHBand="1" w:evenHBand="0" w:firstRowFirstColumn="0" w:firstRowLastColumn="0" w:lastRowFirstColumn="0" w:lastRowLastColumn="0"/>
              <w:rPr>
                <w:szCs w:val="28"/>
              </w:rPr>
            </w:pPr>
            <w:r w:rsidRPr="00C91791">
              <w:rPr>
                <w:szCs w:val="28"/>
              </w:rPr>
              <w:fldChar w:fldCharType="begin"/>
            </w:r>
            <w:r w:rsidRPr="00C91791">
              <w:rPr>
                <w:szCs w:val="28"/>
              </w:rPr>
              <w:instrText xml:space="preserve"> REF _Ref64937951 \h  \* MERGEFORMAT </w:instrText>
            </w:r>
            <w:r w:rsidRPr="00C91791">
              <w:rPr>
                <w:szCs w:val="28"/>
              </w:rPr>
            </w:r>
            <w:r w:rsidRPr="00C91791">
              <w:rPr>
                <w:szCs w:val="28"/>
              </w:rPr>
              <w:fldChar w:fldCharType="separate"/>
            </w:r>
            <w:r w:rsidRPr="00950E9C">
              <w:rPr>
                <w:szCs w:val="28"/>
              </w:rPr>
              <w:t xml:space="preserve">10 Consultation </w:t>
            </w:r>
            <w:r w:rsidRPr="00C91791">
              <w:rPr>
                <w:szCs w:val="28"/>
              </w:rPr>
              <w:fldChar w:fldCharType="end"/>
            </w:r>
          </w:p>
        </w:tc>
      </w:tr>
      <w:tr w:rsidR="002218B4" w:rsidRPr="000B7589" w14:paraId="3CE6BC1D" w14:textId="77777777" w:rsidTr="00E31E7D">
        <w:trPr>
          <w:trHeight w:val="695"/>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08675"/>
              <w:bottom w:val="single" w:sz="4" w:space="0" w:color="008675"/>
              <w:right w:val="single" w:sz="4" w:space="0" w:color="008675"/>
            </w:tcBorders>
          </w:tcPr>
          <w:p w14:paraId="3A0ED783" w14:textId="77777777" w:rsidR="002218B4" w:rsidRPr="00C91791" w:rsidRDefault="002218B4" w:rsidP="00E31E7D">
            <w:pPr>
              <w:pStyle w:val="TableTextLeft"/>
              <w:spacing w:before="0" w:after="0"/>
              <w:rPr>
                <w:b w:val="0"/>
                <w:bCs w:val="0"/>
                <w:szCs w:val="28"/>
              </w:rPr>
            </w:pPr>
            <w:r w:rsidRPr="00C91791">
              <w:rPr>
                <w:b w:val="0"/>
                <w:bCs w:val="0"/>
                <w:szCs w:val="28"/>
              </w:rPr>
              <w:t>6 What is the best option from those you have considered</w:t>
            </w:r>
            <w:r>
              <w:rPr>
                <w:b w:val="0"/>
                <w:bCs w:val="0"/>
                <w:szCs w:val="28"/>
              </w:rPr>
              <w:t xml:space="preserve"> and how will it be implemented?</w:t>
            </w:r>
          </w:p>
        </w:tc>
        <w:tc>
          <w:tcPr>
            <w:tcW w:w="5098" w:type="dxa"/>
            <w:tcBorders>
              <w:top w:val="single" w:sz="4" w:space="0" w:color="008675"/>
              <w:left w:val="single" w:sz="4" w:space="0" w:color="008675"/>
              <w:bottom w:val="single" w:sz="4" w:space="0" w:color="008675"/>
            </w:tcBorders>
          </w:tcPr>
          <w:p w14:paraId="666E9F6B" w14:textId="77777777" w:rsidR="002218B4" w:rsidRPr="00C91791" w:rsidRDefault="006E3B9A" w:rsidP="00E31E7D">
            <w:pPr>
              <w:pStyle w:val="TableTextLeft"/>
              <w:spacing w:before="0" w:after="0"/>
              <w:cnfStyle w:val="000000000000" w:firstRow="0" w:lastRow="0" w:firstColumn="0" w:lastColumn="0" w:oddVBand="0" w:evenVBand="0" w:oddHBand="0" w:evenHBand="0" w:firstRowFirstColumn="0" w:firstRowLastColumn="0" w:lastRowFirstColumn="0" w:lastRowLastColumn="0"/>
              <w:rPr>
                <w:szCs w:val="28"/>
              </w:rPr>
            </w:pPr>
            <w:hyperlink w:anchor="_11_Best_Option" w:history="1">
              <w:r w:rsidR="002218B4" w:rsidRPr="00C91791">
                <w:rPr>
                  <w:szCs w:val="28"/>
                </w:rPr>
                <w:fldChar w:fldCharType="begin"/>
              </w:r>
              <w:r w:rsidR="002218B4" w:rsidRPr="00C91791">
                <w:rPr>
                  <w:szCs w:val="28"/>
                </w:rPr>
                <w:instrText xml:space="preserve"> REF _Ref65505558 \h  \* MERGEFORMAT </w:instrText>
              </w:r>
              <w:r w:rsidR="002218B4" w:rsidRPr="00C91791">
                <w:rPr>
                  <w:szCs w:val="28"/>
                </w:rPr>
              </w:r>
              <w:r w:rsidR="002218B4" w:rsidRPr="00C91791">
                <w:rPr>
                  <w:szCs w:val="28"/>
                </w:rPr>
                <w:fldChar w:fldCharType="separate"/>
              </w:r>
              <w:r w:rsidR="002218B4" w:rsidRPr="00C91791">
                <w:rPr>
                  <w:szCs w:val="28"/>
                </w:rPr>
                <w:t xml:space="preserve">11 Best </w:t>
              </w:r>
              <w:r w:rsidR="002218B4">
                <w:rPr>
                  <w:szCs w:val="28"/>
                </w:rPr>
                <w:t>o</w:t>
              </w:r>
              <w:r w:rsidR="002218B4" w:rsidRPr="00C91791">
                <w:rPr>
                  <w:szCs w:val="28"/>
                </w:rPr>
                <w:t xml:space="preserve">ption from those </w:t>
              </w:r>
              <w:r w:rsidR="002218B4">
                <w:rPr>
                  <w:szCs w:val="28"/>
                </w:rPr>
                <w:t>c</w:t>
              </w:r>
              <w:r w:rsidR="002218B4" w:rsidRPr="00C91791">
                <w:rPr>
                  <w:szCs w:val="28"/>
                </w:rPr>
                <w:t>onsidered</w:t>
              </w:r>
              <w:r w:rsidR="002218B4" w:rsidRPr="00C91791">
                <w:rPr>
                  <w:szCs w:val="28"/>
                </w:rPr>
                <w:fldChar w:fldCharType="end"/>
              </w:r>
            </w:hyperlink>
          </w:p>
        </w:tc>
      </w:tr>
      <w:tr w:rsidR="002218B4" w:rsidRPr="000B7589" w14:paraId="2F4854C9" w14:textId="77777777" w:rsidTr="00E31E7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right w:val="single" w:sz="4" w:space="0" w:color="008675"/>
            </w:tcBorders>
            <w:shd w:val="clear" w:color="auto" w:fill="D2EEED"/>
          </w:tcPr>
          <w:p w14:paraId="7ACB821E" w14:textId="77777777" w:rsidR="002218B4" w:rsidRPr="00C91791" w:rsidRDefault="002218B4" w:rsidP="00E31E7D">
            <w:pPr>
              <w:pStyle w:val="TableTextLeft"/>
              <w:spacing w:before="0" w:after="0"/>
              <w:rPr>
                <w:b w:val="0"/>
                <w:bCs w:val="0"/>
                <w:szCs w:val="28"/>
              </w:rPr>
            </w:pPr>
            <w:r w:rsidRPr="00C91791">
              <w:rPr>
                <w:b w:val="0"/>
                <w:bCs w:val="0"/>
                <w:szCs w:val="28"/>
              </w:rPr>
              <w:t>7 How will you implement and evaluate your chosen option?</w:t>
            </w:r>
          </w:p>
        </w:tc>
        <w:tc>
          <w:tcPr>
            <w:tcW w:w="0" w:type="dxa"/>
            <w:tcBorders>
              <w:top w:val="single" w:sz="4" w:space="0" w:color="008675"/>
              <w:left w:val="single" w:sz="4" w:space="0" w:color="008675"/>
            </w:tcBorders>
            <w:shd w:val="clear" w:color="auto" w:fill="D2EEED"/>
          </w:tcPr>
          <w:p w14:paraId="6C4BB414" w14:textId="77777777" w:rsidR="002218B4" w:rsidRPr="00C91791" w:rsidRDefault="002218B4" w:rsidP="00E31E7D">
            <w:pPr>
              <w:pStyle w:val="TableTextLeft"/>
              <w:spacing w:before="0" w:after="0"/>
              <w:cnfStyle w:val="000000100000" w:firstRow="0" w:lastRow="0" w:firstColumn="0" w:lastColumn="0" w:oddVBand="0" w:evenVBand="0" w:oddHBand="1" w:evenHBand="0" w:firstRowFirstColumn="0" w:firstRowLastColumn="0" w:lastRowFirstColumn="0" w:lastRowLastColumn="0"/>
              <w:rPr>
                <w:szCs w:val="28"/>
              </w:rPr>
            </w:pPr>
            <w:r w:rsidRPr="00C51BB3">
              <w:rPr>
                <w:szCs w:val="28"/>
              </w:rPr>
              <w:fldChar w:fldCharType="begin"/>
            </w:r>
            <w:r w:rsidRPr="00B31874">
              <w:rPr>
                <w:szCs w:val="28"/>
              </w:rPr>
              <w:instrText xml:space="preserve"> REF _Ref70492068 \h  \* MERGEFORMAT </w:instrText>
            </w:r>
            <w:r w:rsidRPr="00C51BB3">
              <w:rPr>
                <w:szCs w:val="28"/>
              </w:rPr>
            </w:r>
            <w:r w:rsidRPr="00C51BB3">
              <w:rPr>
                <w:szCs w:val="28"/>
              </w:rPr>
              <w:fldChar w:fldCharType="separate"/>
            </w:r>
            <w:r w:rsidRPr="00950E9C">
              <w:rPr>
                <w:szCs w:val="28"/>
              </w:rPr>
              <w:t>12 Implementation and evaluation of</w:t>
            </w:r>
            <w:r w:rsidRPr="00950E9C">
              <w:rPr>
                <w:lang w:eastAsia="en-US"/>
              </w:rPr>
              <w:t xml:space="preserve"> selected option</w:t>
            </w:r>
            <w:r w:rsidRPr="00C51BB3">
              <w:rPr>
                <w:szCs w:val="28"/>
              </w:rPr>
              <w:fldChar w:fldCharType="end"/>
            </w:r>
          </w:p>
        </w:tc>
      </w:tr>
    </w:tbl>
    <w:p w14:paraId="04E95DB1" w14:textId="77777777" w:rsidR="002218B4" w:rsidRPr="00F70837" w:rsidRDefault="002218B4" w:rsidP="002218B4">
      <w:pPr>
        <w:pStyle w:val="Caption"/>
        <w:rPr>
          <w:rFonts w:eastAsia="Calibri"/>
        </w:rPr>
      </w:pPr>
      <w:r w:rsidRPr="00F70837">
        <w:rPr>
          <w:rFonts w:eastAsia="Calibri"/>
        </w:rPr>
        <w:t xml:space="preserve">Table </w:t>
      </w:r>
      <w:r>
        <w:rPr>
          <w:rFonts w:eastAsia="Calibri"/>
        </w:rPr>
        <w:fldChar w:fldCharType="begin"/>
      </w:r>
      <w:r>
        <w:rPr>
          <w:rFonts w:eastAsia="Calibri"/>
        </w:rPr>
        <w:instrText xml:space="preserve"> SEQ Table \* ARABIC </w:instrText>
      </w:r>
      <w:r>
        <w:rPr>
          <w:rFonts w:eastAsia="Calibri"/>
        </w:rPr>
        <w:fldChar w:fldCharType="separate"/>
      </w:r>
      <w:r>
        <w:rPr>
          <w:rFonts w:eastAsia="Calibri"/>
          <w:noProof/>
        </w:rPr>
        <w:t>1</w:t>
      </w:r>
      <w:r>
        <w:rPr>
          <w:rFonts w:eastAsia="Calibri"/>
        </w:rPr>
        <w:fldChar w:fldCharType="end"/>
      </w:r>
      <w:r w:rsidRPr="00F70837">
        <w:rPr>
          <w:rFonts w:eastAsia="Calibri"/>
        </w:rPr>
        <w:t xml:space="preserve">: </w:t>
      </w:r>
      <w:r>
        <w:rPr>
          <w:rFonts w:eastAsia="Calibri"/>
        </w:rPr>
        <w:t>Impact Analysis</w:t>
      </w:r>
      <w:r w:rsidRPr="00F70837">
        <w:rPr>
          <w:rFonts w:eastAsia="Calibri"/>
        </w:rPr>
        <w:t xml:space="preserve"> </w:t>
      </w:r>
      <w:r>
        <w:rPr>
          <w:rFonts w:eastAsia="Calibri"/>
        </w:rPr>
        <w:t>q</w:t>
      </w:r>
      <w:r w:rsidRPr="00F70837">
        <w:rPr>
          <w:rFonts w:eastAsia="Calibri"/>
        </w:rPr>
        <w:t xml:space="preserve">uestions and </w:t>
      </w:r>
      <w:r>
        <w:rPr>
          <w:rFonts w:eastAsia="Calibri"/>
        </w:rPr>
        <w:t>r</w:t>
      </w:r>
      <w:r w:rsidRPr="00F70837">
        <w:rPr>
          <w:rFonts w:eastAsia="Calibri"/>
        </w:rPr>
        <w:t xml:space="preserve">elevant </w:t>
      </w:r>
      <w:r>
        <w:rPr>
          <w:rFonts w:eastAsia="Calibri"/>
        </w:rPr>
        <w:t>document s</w:t>
      </w:r>
      <w:r w:rsidRPr="00F70837">
        <w:rPr>
          <w:rFonts w:eastAsia="Calibri"/>
        </w:rPr>
        <w:t>ection</w:t>
      </w:r>
      <w:r>
        <w:rPr>
          <w:rFonts w:eastAsia="Calibri"/>
        </w:rPr>
        <w:t>(</w:t>
      </w:r>
      <w:r w:rsidRPr="00F70837">
        <w:rPr>
          <w:rFonts w:eastAsia="Calibri"/>
        </w:rPr>
        <w:t>s</w:t>
      </w:r>
      <w:r>
        <w:rPr>
          <w:rFonts w:eastAsia="Calibri"/>
        </w:rPr>
        <w:t>)</w:t>
      </w:r>
    </w:p>
    <w:p w14:paraId="024ADE97" w14:textId="77777777" w:rsidR="002218B4" w:rsidRDefault="002218B4" w:rsidP="008170B9">
      <w:pPr>
        <w:pStyle w:val="BodyText"/>
        <w:rPr>
          <w:lang w:eastAsia="en-US"/>
        </w:rPr>
      </w:pPr>
    </w:p>
    <w:p w14:paraId="0A136BDF" w14:textId="66E72650" w:rsidR="008170B9" w:rsidRDefault="008170B9" w:rsidP="008170B9">
      <w:pPr>
        <w:pStyle w:val="BodyText"/>
      </w:pPr>
      <w:r w:rsidRPr="3F95ABA3">
        <w:rPr>
          <w:lang w:eastAsia="en-US"/>
        </w:rPr>
        <w:t>Benefits to the owners of a Digital ID in these events include the ability to identify themselves immediately</w:t>
      </w:r>
      <w:r>
        <w:rPr>
          <w:lang w:eastAsia="en-US"/>
        </w:rPr>
        <w:t xml:space="preserve"> and help</w:t>
      </w:r>
      <w:r w:rsidRPr="3F95ABA3">
        <w:rPr>
          <w:lang w:eastAsia="en-US"/>
        </w:rPr>
        <w:t xml:space="preserve"> provid</w:t>
      </w:r>
      <w:r>
        <w:rPr>
          <w:lang w:eastAsia="en-US"/>
        </w:rPr>
        <w:t>e</w:t>
      </w:r>
      <w:r w:rsidRPr="3F95ABA3">
        <w:rPr>
          <w:lang w:eastAsia="en-US"/>
        </w:rPr>
        <w:t xml:space="preserve"> rapid access to government support.</w:t>
      </w:r>
      <w:r>
        <w:rPr>
          <w:lang w:eastAsia="en-US"/>
        </w:rPr>
        <w:t xml:space="preserve"> </w:t>
      </w:r>
      <w:r w:rsidRPr="3F95ABA3">
        <w:rPr>
          <w:lang w:eastAsia="en-US"/>
        </w:rPr>
        <w:t xml:space="preserve">In </w:t>
      </w:r>
      <w:r>
        <w:rPr>
          <w:lang w:eastAsia="en-US"/>
        </w:rPr>
        <w:t xml:space="preserve">regard to </w:t>
      </w:r>
      <w:r w:rsidRPr="3F95ABA3">
        <w:rPr>
          <w:lang w:eastAsia="en-US"/>
        </w:rPr>
        <w:t>the recent cyber breaches</w:t>
      </w:r>
      <w:r>
        <w:rPr>
          <w:lang w:eastAsia="en-US"/>
        </w:rPr>
        <w:t xml:space="preserve"> one of the underlying challenges has been the </w:t>
      </w:r>
      <w:r>
        <w:rPr>
          <w:lang w:eastAsia="en-US"/>
        </w:rPr>
        <w:lastRenderedPageBreak/>
        <w:t>amount of personal information held by organisations.</w:t>
      </w:r>
      <w:r w:rsidRPr="3F95ABA3">
        <w:rPr>
          <w:lang w:eastAsia="en-US"/>
        </w:rPr>
        <w:t xml:space="preserve"> Digital IDs</w:t>
      </w:r>
      <w:r>
        <w:rPr>
          <w:lang w:eastAsia="en-US"/>
        </w:rPr>
        <w:t xml:space="preserve"> present a clear benefit in that they</w:t>
      </w:r>
      <w:r w:rsidRPr="3F95ABA3">
        <w:rPr>
          <w:lang w:eastAsia="en-US"/>
        </w:rPr>
        <w:t xml:space="preserve"> limit the</w:t>
      </w:r>
      <w:r>
        <w:rPr>
          <w:lang w:eastAsia="en-US"/>
        </w:rPr>
        <w:t xml:space="preserve"> need for organisations to collect and store</w:t>
      </w:r>
      <w:r w:rsidRPr="3F95ABA3">
        <w:rPr>
          <w:lang w:eastAsia="en-US"/>
        </w:rPr>
        <w:t xml:space="preserve"> personal information. </w:t>
      </w:r>
      <w:r>
        <w:t xml:space="preserve">Research on the whole-of-economy value of Digital ID and the specific scope and parameters of this analysis, is discussed further at </w:t>
      </w:r>
      <w:hyperlink w:anchor="_2.5_The_case">
        <w:r w:rsidRPr="00C52A40">
          <w:rPr>
            <w:rStyle w:val="Hyperlink"/>
            <w:color w:val="008675"/>
          </w:rPr>
          <w:t>Section 2.5. The case for expanding the AGDIS</w:t>
        </w:r>
      </w:hyperlink>
      <w:r w:rsidRPr="3F95ABA3">
        <w:rPr>
          <w:rStyle w:val="Hyperlink"/>
        </w:rPr>
        <w:t>.</w:t>
      </w:r>
    </w:p>
    <w:p w14:paraId="261E0116" w14:textId="77777777" w:rsidR="008170B9" w:rsidRDefault="008170B9" w:rsidP="008170B9">
      <w:pPr>
        <w:pStyle w:val="BodyText"/>
        <w:rPr>
          <w:lang w:eastAsia="en-US"/>
        </w:rPr>
      </w:pPr>
      <w:r w:rsidRPr="3F95ABA3">
        <w:rPr>
          <w:lang w:eastAsia="en-US"/>
        </w:rPr>
        <w:t>Expan</w:t>
      </w:r>
      <w:r>
        <w:rPr>
          <w:lang w:eastAsia="en-US"/>
        </w:rPr>
        <w:t>ding Digital ID</w:t>
      </w:r>
      <w:r w:rsidRPr="3F95ABA3">
        <w:rPr>
          <w:lang w:eastAsia="en-US"/>
        </w:rPr>
        <w:t xml:space="preserve"> to state, territory and local governments presents efficiency opportunities across the multiple touchpoints between individuals and </w:t>
      </w:r>
      <w:r>
        <w:rPr>
          <w:lang w:eastAsia="en-US"/>
        </w:rPr>
        <w:t>governments</w:t>
      </w:r>
      <w:r w:rsidRPr="3F95ABA3">
        <w:rPr>
          <w:lang w:eastAsia="en-US"/>
        </w:rPr>
        <w:t xml:space="preserve"> (for example in driver licensing authorities; using information from registers of births, deaths and marriages; healthcare; education; and utilities). However, even without this expansion, the AGDIS is a viable way to deliver Australian Government digital services more efficiently. </w:t>
      </w:r>
    </w:p>
    <w:p w14:paraId="275EDBBA" w14:textId="1AB440B5" w:rsidR="002218B4" w:rsidRPr="002218B4" w:rsidRDefault="008170B9" w:rsidP="002218B4">
      <w:pPr>
        <w:pStyle w:val="BodyText"/>
        <w:rPr>
          <w:lang w:eastAsia="en-US"/>
        </w:rPr>
      </w:pPr>
      <w:r w:rsidRPr="523ACB49">
        <w:rPr>
          <w:lang w:eastAsia="en-US"/>
        </w:rPr>
        <w:t xml:space="preserve">Another cornerstone of the proposed reforms is to establish an </w:t>
      </w:r>
      <w:r>
        <w:rPr>
          <w:lang w:eastAsia="en-US"/>
        </w:rPr>
        <w:t>A</w:t>
      </w:r>
      <w:r w:rsidRPr="523ACB49">
        <w:rPr>
          <w:lang w:eastAsia="en-US"/>
        </w:rPr>
        <w:t xml:space="preserve">ccreditation </w:t>
      </w:r>
      <w:r>
        <w:rPr>
          <w:lang w:eastAsia="en-US"/>
        </w:rPr>
        <w:t>Scheme</w:t>
      </w:r>
      <w:r w:rsidRPr="523ACB49">
        <w:rPr>
          <w:lang w:eastAsia="en-US"/>
        </w:rPr>
        <w:t xml:space="preserve"> that strengthens the existing accreditation framework for Digital ID service</w:t>
      </w:r>
      <w:r>
        <w:rPr>
          <w:lang w:eastAsia="en-US"/>
        </w:rPr>
        <w:t xml:space="preserve"> providers</w:t>
      </w:r>
      <w:r w:rsidRPr="523ACB49">
        <w:rPr>
          <w:lang w:eastAsia="en-US"/>
        </w:rPr>
        <w:t xml:space="preserve">. The Accreditation Scheme will be underpinned by rigorous technical standards and robust enforcement mechanisms. Accreditation demonstrates that Digital ID providers meet high standards </w:t>
      </w:r>
      <w:r>
        <w:rPr>
          <w:lang w:eastAsia="en-US"/>
        </w:rPr>
        <w:t>in areas such as</w:t>
      </w:r>
      <w:r w:rsidRPr="523ACB49">
        <w:rPr>
          <w:lang w:eastAsia="en-US"/>
        </w:rPr>
        <w:t xml:space="preserve"> privacy, cyber security</w:t>
      </w:r>
      <w:r>
        <w:rPr>
          <w:lang w:eastAsia="en-US"/>
        </w:rPr>
        <w:t xml:space="preserve"> and</w:t>
      </w:r>
      <w:r w:rsidRPr="523ACB49">
        <w:rPr>
          <w:lang w:eastAsia="en-US"/>
        </w:rPr>
        <w:t xml:space="preserve"> user experience.</w:t>
      </w:r>
    </w:p>
    <w:p w14:paraId="1B37F26B" w14:textId="79DE985F" w:rsidR="00947E96" w:rsidRDefault="007F5948" w:rsidP="007F5948">
      <w:pPr>
        <w:pStyle w:val="Heading2NoNumbers"/>
        <w:rPr>
          <w:color w:val="008675"/>
          <w:lang w:eastAsia="en-US"/>
        </w:rPr>
      </w:pPr>
      <w:bookmarkStart w:id="12" w:name="_Toc149740319"/>
      <w:r w:rsidRPr="00C52A40">
        <w:rPr>
          <w:color w:val="008675"/>
          <w:lang w:eastAsia="en-US"/>
        </w:rPr>
        <w:t>1</w:t>
      </w:r>
      <w:r w:rsidR="002218B4">
        <w:rPr>
          <w:color w:val="008675"/>
          <w:lang w:eastAsia="en-US"/>
        </w:rPr>
        <w:t>.2 The</w:t>
      </w:r>
      <w:r w:rsidR="0094745F">
        <w:rPr>
          <w:color w:val="008675"/>
          <w:lang w:eastAsia="en-US"/>
        </w:rPr>
        <w:t xml:space="preserve"> Net</w:t>
      </w:r>
      <w:r w:rsidR="002218B4">
        <w:rPr>
          <w:color w:val="008675"/>
          <w:lang w:eastAsia="en-US"/>
        </w:rPr>
        <w:t xml:space="preserve"> Benefits of Digital ID</w:t>
      </w:r>
      <w:bookmarkEnd w:id="12"/>
    </w:p>
    <w:p w14:paraId="3F1A2FB1" w14:textId="73994F45" w:rsidR="002218B4" w:rsidRPr="006369A1" w:rsidRDefault="002218B4" w:rsidP="002218B4">
      <w:pPr>
        <w:pStyle w:val="BodyText"/>
        <w:rPr>
          <w:color w:val="000000" w:themeColor="text1"/>
        </w:rPr>
      </w:pPr>
      <w:r w:rsidRPr="26547FC8">
        <w:rPr>
          <w:lang w:eastAsia="en-US"/>
        </w:rPr>
        <w:t xml:space="preserve">The Department of Finance (Finance), in collaboration with other government entities, is leading the development of </w:t>
      </w:r>
      <w:r w:rsidR="004C2E9C">
        <w:rPr>
          <w:lang w:eastAsia="en-US"/>
        </w:rPr>
        <w:t>the</w:t>
      </w:r>
      <w:r w:rsidR="004C2E9C" w:rsidRPr="26547FC8">
        <w:rPr>
          <w:lang w:eastAsia="en-US"/>
        </w:rPr>
        <w:t xml:space="preserve"> </w:t>
      </w:r>
      <w:r w:rsidRPr="26547FC8">
        <w:rPr>
          <w:lang w:eastAsia="en-US"/>
        </w:rPr>
        <w:t xml:space="preserve">whole-of-economy Digital ID System, also known as </w:t>
      </w:r>
      <w:r w:rsidR="00CC4A62">
        <w:rPr>
          <w:lang w:eastAsia="en-US"/>
        </w:rPr>
        <w:t>the AGDIS</w:t>
      </w:r>
      <w:r w:rsidR="00B00E62">
        <w:rPr>
          <w:lang w:eastAsia="en-US"/>
        </w:rPr>
        <w:t xml:space="preserve"> and the </w:t>
      </w:r>
      <w:r w:rsidR="009F5626">
        <w:rPr>
          <w:lang w:eastAsia="en-US"/>
        </w:rPr>
        <w:t>Accreditation Scheme</w:t>
      </w:r>
      <w:r w:rsidRPr="26547FC8">
        <w:rPr>
          <w:lang w:eastAsia="en-US"/>
        </w:rPr>
        <w:t xml:space="preserve">. This Regulation Impact Statement (Impact Analysis) finds that the preferred option for Australia’s Digital ID System combines reform of the AGDIS, alongside the establishment of a voluntary accreditation system for non-Government ID providers, as it has the highest net benefit. This includes additional regulatory costs for newly regulated entities, estimated to </w:t>
      </w:r>
      <w:r>
        <w:rPr>
          <w:lang w:eastAsia="en-US"/>
        </w:rPr>
        <w:t>total around $1.5 million per</w:t>
      </w:r>
      <w:r w:rsidRPr="26547FC8">
        <w:rPr>
          <w:lang w:eastAsia="en-US"/>
        </w:rPr>
        <w:t xml:space="preserve"> year. However, these costs will be offset by select indirect benefits across the whole of economy, estimated to be around $3 billion</w:t>
      </w:r>
      <w:r>
        <w:rPr>
          <w:lang w:eastAsia="en-US"/>
        </w:rPr>
        <w:t xml:space="preserve"> per year.</w:t>
      </w:r>
      <w:r w:rsidRPr="26547FC8">
        <w:rPr>
          <w:lang w:eastAsia="en-US"/>
        </w:rPr>
        <w:t xml:space="preserve"> These impacts have been consulted on and are discussed in this document.</w:t>
      </w:r>
    </w:p>
    <w:p w14:paraId="3975E319" w14:textId="77777777" w:rsidR="002218B4" w:rsidRPr="002218B4" w:rsidRDefault="002218B4" w:rsidP="002218B4">
      <w:pPr>
        <w:pStyle w:val="BodyText"/>
        <w:rPr>
          <w:lang w:eastAsia="en-US"/>
        </w:rPr>
      </w:pPr>
    </w:p>
    <w:p w14:paraId="4BC33193" w14:textId="34E999EA" w:rsidR="00E6232E" w:rsidRPr="00CF48C1" w:rsidRDefault="00E6232E" w:rsidP="00E307D9">
      <w:pPr>
        <w:pStyle w:val="Heading1NoNumbers"/>
        <w:rPr>
          <w:color w:val="008675"/>
          <w:lang w:eastAsia="en-US"/>
        </w:rPr>
      </w:pPr>
      <w:bookmarkStart w:id="13" w:name="_2_Introduction"/>
      <w:bookmarkStart w:id="14" w:name="_Toc80884643"/>
      <w:bookmarkStart w:id="15" w:name="_Toc81226612"/>
      <w:bookmarkStart w:id="16" w:name="_Toc81226663"/>
      <w:bookmarkStart w:id="17" w:name="_Toc81226888"/>
      <w:bookmarkStart w:id="18" w:name="_Toc81228232"/>
      <w:bookmarkStart w:id="19" w:name="_Toc83951175"/>
      <w:bookmarkStart w:id="20" w:name="_Toc84925769"/>
      <w:bookmarkStart w:id="21" w:name="_Toc84925874"/>
      <w:bookmarkStart w:id="22" w:name="_Toc86045118"/>
      <w:bookmarkStart w:id="23" w:name="_Toc86069984"/>
      <w:bookmarkStart w:id="24" w:name="_Toc149740321"/>
      <w:bookmarkEnd w:id="13"/>
      <w:r w:rsidRPr="00CF48C1">
        <w:rPr>
          <w:color w:val="008675"/>
          <w:lang w:eastAsia="en-US"/>
        </w:rPr>
        <w:lastRenderedPageBreak/>
        <w:t>2 Introduction</w:t>
      </w:r>
      <w:bookmarkEnd w:id="14"/>
      <w:bookmarkEnd w:id="15"/>
      <w:bookmarkEnd w:id="16"/>
      <w:bookmarkEnd w:id="17"/>
      <w:bookmarkEnd w:id="18"/>
      <w:bookmarkEnd w:id="19"/>
      <w:bookmarkEnd w:id="20"/>
      <w:bookmarkEnd w:id="21"/>
      <w:bookmarkEnd w:id="22"/>
      <w:bookmarkEnd w:id="23"/>
      <w:bookmarkEnd w:id="24"/>
    </w:p>
    <w:p w14:paraId="1A51B0F2" w14:textId="2CC27840" w:rsidR="00E6232E" w:rsidRPr="00CF48C1" w:rsidRDefault="00E6232E" w:rsidP="00E21379">
      <w:pPr>
        <w:pStyle w:val="Heading2NoNumbers"/>
        <w:rPr>
          <w:color w:val="008675"/>
          <w:lang w:eastAsia="en-US"/>
        </w:rPr>
      </w:pPr>
      <w:bookmarkStart w:id="25" w:name="_Toc80884644"/>
      <w:bookmarkStart w:id="26" w:name="_Toc81226613"/>
      <w:bookmarkStart w:id="27" w:name="_Toc81226889"/>
      <w:bookmarkStart w:id="28" w:name="_Toc81228233"/>
      <w:bookmarkStart w:id="29" w:name="_Toc83951176"/>
      <w:bookmarkStart w:id="30" w:name="_Toc84925770"/>
      <w:bookmarkStart w:id="31" w:name="_Toc84925875"/>
      <w:bookmarkStart w:id="32" w:name="_Toc86045119"/>
      <w:bookmarkStart w:id="33" w:name="_Toc86069985"/>
      <w:bookmarkStart w:id="34" w:name="_Toc149740322"/>
      <w:r w:rsidRPr="00CF48C1">
        <w:rPr>
          <w:color w:val="008675"/>
          <w:lang w:eastAsia="en-US"/>
        </w:rPr>
        <w:t xml:space="preserve">2.1 Purpose of this </w:t>
      </w:r>
      <w:r w:rsidR="00A054EC" w:rsidRPr="00CF48C1">
        <w:rPr>
          <w:color w:val="008675"/>
          <w:lang w:eastAsia="en-US"/>
        </w:rPr>
        <w:t>d</w:t>
      </w:r>
      <w:r w:rsidRPr="00CF48C1">
        <w:rPr>
          <w:color w:val="008675"/>
          <w:lang w:eastAsia="en-US"/>
        </w:rPr>
        <w:t>ocument</w:t>
      </w:r>
      <w:bookmarkEnd w:id="25"/>
      <w:bookmarkEnd w:id="26"/>
      <w:bookmarkEnd w:id="27"/>
      <w:bookmarkEnd w:id="28"/>
      <w:bookmarkEnd w:id="29"/>
      <w:bookmarkEnd w:id="30"/>
      <w:bookmarkEnd w:id="31"/>
      <w:bookmarkEnd w:id="32"/>
      <w:bookmarkEnd w:id="33"/>
      <w:bookmarkEnd w:id="34"/>
      <w:r w:rsidRPr="00CF48C1">
        <w:rPr>
          <w:color w:val="008675"/>
          <w:lang w:eastAsia="en-US"/>
        </w:rPr>
        <w:t xml:space="preserve"> </w:t>
      </w:r>
    </w:p>
    <w:p w14:paraId="4AFDE48B" w14:textId="5B8300C0" w:rsidR="00E6232E" w:rsidRDefault="00E6232E" w:rsidP="008C56D6">
      <w:pPr>
        <w:pStyle w:val="BodyText"/>
        <w:rPr>
          <w:lang w:eastAsia="en-US"/>
        </w:rPr>
      </w:pPr>
      <w:r w:rsidRPr="000B7589">
        <w:rPr>
          <w:lang w:eastAsia="en-US"/>
        </w:rPr>
        <w:t xml:space="preserve">This document </w:t>
      </w:r>
      <w:r w:rsidR="008575DA">
        <w:rPr>
          <w:lang w:eastAsia="en-US"/>
        </w:rPr>
        <w:t xml:space="preserve">examines the case for </w:t>
      </w:r>
      <w:r w:rsidRPr="000B7589">
        <w:rPr>
          <w:lang w:eastAsia="en-US"/>
        </w:rPr>
        <w:t>regulat</w:t>
      </w:r>
      <w:r w:rsidR="008575DA">
        <w:rPr>
          <w:lang w:eastAsia="en-US"/>
        </w:rPr>
        <w:t>ing</w:t>
      </w:r>
      <w:r w:rsidRPr="000B7589">
        <w:rPr>
          <w:lang w:eastAsia="en-US"/>
        </w:rPr>
        <w:t xml:space="preserve"> </w:t>
      </w:r>
      <w:r w:rsidR="00B52CBE">
        <w:rPr>
          <w:lang w:eastAsia="en-US"/>
        </w:rPr>
        <w:t>the AGDIS</w:t>
      </w:r>
      <w:r w:rsidRPr="000B7589">
        <w:rPr>
          <w:lang w:eastAsia="en-US"/>
        </w:rPr>
        <w:t>, including the relative costs and benefits of all viable options considered.</w:t>
      </w:r>
      <w:r w:rsidR="00737BA2">
        <w:rPr>
          <w:lang w:eastAsia="en-US"/>
        </w:rPr>
        <w:t xml:space="preserve"> </w:t>
      </w:r>
      <w:r w:rsidRPr="000B7589">
        <w:rPr>
          <w:lang w:eastAsia="en-US"/>
        </w:rPr>
        <w:t xml:space="preserve">It assesses the estimated regulatory impact of all options, with particular focus on the </w:t>
      </w:r>
      <w:r w:rsidR="00B2366C">
        <w:rPr>
          <w:lang w:eastAsia="en-US"/>
        </w:rPr>
        <w:t xml:space="preserve">recommended </w:t>
      </w:r>
      <w:r w:rsidRPr="000B7589">
        <w:rPr>
          <w:lang w:eastAsia="en-US"/>
        </w:rPr>
        <w:t>option (</w:t>
      </w:r>
      <w:hyperlink w:anchor="Option" w:history="1">
        <w:r w:rsidR="00AA1585" w:rsidRPr="00CF48C1">
          <w:rPr>
            <w:rStyle w:val="Hyperlink"/>
            <w:color w:val="008675"/>
            <w:lang w:eastAsia="en-US"/>
          </w:rPr>
          <w:t xml:space="preserve">Option 3: Dedicated </w:t>
        </w:r>
        <w:r w:rsidR="009D2BA7" w:rsidRPr="00CF48C1">
          <w:rPr>
            <w:rStyle w:val="Hyperlink"/>
            <w:color w:val="008675"/>
            <w:lang w:eastAsia="en-US"/>
          </w:rPr>
          <w:t>l</w:t>
        </w:r>
        <w:r w:rsidR="00AA1585" w:rsidRPr="00CF48C1">
          <w:rPr>
            <w:rStyle w:val="Hyperlink"/>
            <w:color w:val="008675"/>
            <w:lang w:eastAsia="en-US"/>
          </w:rPr>
          <w:t xml:space="preserve">egislation to </w:t>
        </w:r>
        <w:r w:rsidR="009D2BA7" w:rsidRPr="00CF48C1">
          <w:rPr>
            <w:rStyle w:val="Hyperlink"/>
            <w:color w:val="008675"/>
            <w:lang w:eastAsia="en-US"/>
          </w:rPr>
          <w:t>e</w:t>
        </w:r>
        <w:r w:rsidR="00AA1585" w:rsidRPr="00CF48C1">
          <w:rPr>
            <w:rStyle w:val="Hyperlink"/>
            <w:color w:val="008675"/>
            <w:lang w:eastAsia="en-US"/>
          </w:rPr>
          <w:t xml:space="preserve">stablish </w:t>
        </w:r>
        <w:r w:rsidR="009D2BA7" w:rsidRPr="00CF48C1">
          <w:rPr>
            <w:rStyle w:val="Hyperlink"/>
            <w:color w:val="008675"/>
            <w:lang w:eastAsia="en-US"/>
          </w:rPr>
          <w:t>n</w:t>
        </w:r>
        <w:r w:rsidR="00AA1585" w:rsidRPr="00CF48C1">
          <w:rPr>
            <w:rStyle w:val="Hyperlink"/>
            <w:color w:val="008675"/>
            <w:lang w:eastAsia="en-US"/>
          </w:rPr>
          <w:t xml:space="preserve">ew </w:t>
        </w:r>
        <w:r w:rsidR="009D2BA7" w:rsidRPr="00CF48C1">
          <w:rPr>
            <w:rStyle w:val="Hyperlink"/>
            <w:color w:val="008675"/>
            <w:lang w:eastAsia="en-US"/>
          </w:rPr>
          <w:t>r</w:t>
        </w:r>
        <w:r w:rsidR="00AA1585" w:rsidRPr="00CF48C1">
          <w:rPr>
            <w:rStyle w:val="Hyperlink"/>
            <w:color w:val="008675"/>
            <w:lang w:eastAsia="en-US"/>
          </w:rPr>
          <w:t xml:space="preserve">egulatory </w:t>
        </w:r>
        <w:r w:rsidR="009D2BA7" w:rsidRPr="00CF48C1">
          <w:rPr>
            <w:rStyle w:val="Hyperlink"/>
            <w:color w:val="008675"/>
            <w:lang w:eastAsia="en-US"/>
          </w:rPr>
          <w:t>s</w:t>
        </w:r>
        <w:r w:rsidR="00AA1585" w:rsidRPr="00CF48C1">
          <w:rPr>
            <w:rStyle w:val="Hyperlink"/>
            <w:color w:val="008675"/>
            <w:lang w:eastAsia="en-US"/>
          </w:rPr>
          <w:t>cheme</w:t>
        </w:r>
      </w:hyperlink>
      <w:r w:rsidRPr="000B7589">
        <w:rPr>
          <w:lang w:eastAsia="en-US"/>
        </w:rPr>
        <w:t xml:space="preserve">). </w:t>
      </w:r>
    </w:p>
    <w:p w14:paraId="5EAAF39C" w14:textId="29377C7A" w:rsidR="00D522D9" w:rsidRPr="00000AE2" w:rsidRDefault="002A74C5" w:rsidP="00D915C0">
      <w:pPr>
        <w:pStyle w:val="BodyText"/>
        <w:rPr>
          <w:noProof/>
          <w:color w:val="FF0000"/>
        </w:rPr>
      </w:pPr>
      <w:r w:rsidRPr="00950E9C">
        <w:rPr>
          <w:lang w:eastAsia="en-US"/>
        </w:rPr>
        <w:t xml:space="preserve">Consistent with Australian Government guidance, the </w:t>
      </w:r>
      <w:r w:rsidR="00465F3F">
        <w:rPr>
          <w:lang w:eastAsia="en-US"/>
        </w:rPr>
        <w:t>Impact Analysis</w:t>
      </w:r>
      <w:r w:rsidRPr="00950E9C">
        <w:rPr>
          <w:lang w:eastAsia="en-US"/>
        </w:rPr>
        <w:t xml:space="preserve"> has been developed </w:t>
      </w:r>
      <w:r w:rsidR="00D961AA" w:rsidRPr="00950E9C">
        <w:rPr>
          <w:lang w:eastAsia="en-US"/>
        </w:rPr>
        <w:t>iteratively</w:t>
      </w:r>
      <w:r w:rsidR="00BE555C">
        <w:rPr>
          <w:lang w:eastAsia="en-US"/>
        </w:rPr>
        <w:t xml:space="preserve"> alongside </w:t>
      </w:r>
      <w:r w:rsidR="00D961AA" w:rsidRPr="00950E9C">
        <w:rPr>
          <w:lang w:eastAsia="en-US"/>
        </w:rPr>
        <w:t xml:space="preserve">the policy development process. </w:t>
      </w:r>
      <w:r w:rsidR="00AD2EC0" w:rsidRPr="00950E9C">
        <w:rPr>
          <w:lang w:eastAsia="en-US"/>
        </w:rPr>
        <w:t>A</w:t>
      </w:r>
      <w:r w:rsidR="00561C5E" w:rsidRPr="00950E9C">
        <w:rPr>
          <w:lang w:eastAsia="en-US"/>
        </w:rPr>
        <w:t xml:space="preserve">n earlier version was released publicly for consultation </w:t>
      </w:r>
      <w:r w:rsidR="00F76124" w:rsidRPr="00950E9C">
        <w:rPr>
          <w:lang w:eastAsia="en-US"/>
        </w:rPr>
        <w:t>in October 2021</w:t>
      </w:r>
      <w:r w:rsidR="00375986">
        <w:rPr>
          <w:lang w:eastAsia="en-US"/>
        </w:rPr>
        <w:t xml:space="preserve"> </w:t>
      </w:r>
      <w:r w:rsidR="00C032AB" w:rsidRPr="00950E9C">
        <w:rPr>
          <w:lang w:eastAsia="en-US"/>
        </w:rPr>
        <w:t xml:space="preserve">to test and validate the </w:t>
      </w:r>
      <w:r w:rsidR="00F76124" w:rsidRPr="00950E9C">
        <w:rPr>
          <w:lang w:eastAsia="en-US"/>
        </w:rPr>
        <w:t xml:space="preserve">impacts of options </w:t>
      </w:r>
      <w:r w:rsidR="00C032AB" w:rsidRPr="00950E9C">
        <w:rPr>
          <w:lang w:eastAsia="en-US"/>
        </w:rPr>
        <w:t>on stakeholders</w:t>
      </w:r>
      <w:r w:rsidR="15524C7F" w:rsidRPr="08A8B384">
        <w:rPr>
          <w:lang w:eastAsia="en-US"/>
        </w:rPr>
        <w:t>,</w:t>
      </w:r>
      <w:r w:rsidR="003C2D91">
        <w:rPr>
          <w:lang w:eastAsia="en-US"/>
        </w:rPr>
        <w:t xml:space="preserve"> </w:t>
      </w:r>
      <w:r w:rsidR="15524C7F" w:rsidRPr="08A8B384">
        <w:rPr>
          <w:lang w:eastAsia="en-US"/>
        </w:rPr>
        <w:t xml:space="preserve">with feedback received used to inform the </w:t>
      </w:r>
      <w:r w:rsidR="15524C7F" w:rsidRPr="05E4CD9B">
        <w:rPr>
          <w:lang w:eastAsia="en-US"/>
        </w:rPr>
        <w:t>most recent Draft Bill</w:t>
      </w:r>
      <w:r w:rsidR="00C032AB" w:rsidRPr="05E4CD9B">
        <w:rPr>
          <w:lang w:eastAsia="en-US"/>
        </w:rPr>
        <w:t>.</w:t>
      </w:r>
      <w:r w:rsidR="00C032AB" w:rsidRPr="00950E9C">
        <w:rPr>
          <w:lang w:eastAsia="en-US"/>
        </w:rPr>
        <w:t xml:space="preserve"> </w:t>
      </w:r>
      <w:bookmarkStart w:id="35" w:name="_Toc80884645"/>
      <w:bookmarkStart w:id="36" w:name="_Toc81226614"/>
      <w:bookmarkStart w:id="37" w:name="_Toc81226890"/>
      <w:bookmarkStart w:id="38" w:name="_Toc81228234"/>
      <w:bookmarkStart w:id="39" w:name="_Toc83951177"/>
      <w:bookmarkStart w:id="40" w:name="_Toc84925771"/>
      <w:bookmarkStart w:id="41" w:name="_Toc84925876"/>
      <w:bookmarkStart w:id="42" w:name="_Toc86045120"/>
      <w:bookmarkStart w:id="43" w:name="_Toc86069986"/>
      <w:r w:rsidR="00A4558C">
        <w:rPr>
          <w:lang w:eastAsia="en-US"/>
        </w:rPr>
        <w:t>Additional</w:t>
      </w:r>
      <w:r w:rsidR="00F06179">
        <w:rPr>
          <w:lang w:eastAsia="en-US"/>
        </w:rPr>
        <w:t xml:space="preserve"> </w:t>
      </w:r>
      <w:r w:rsidR="0041127C">
        <w:rPr>
          <w:lang w:eastAsia="en-US"/>
        </w:rPr>
        <w:t xml:space="preserve">public </w:t>
      </w:r>
      <w:r w:rsidR="00A4558C">
        <w:rPr>
          <w:lang w:eastAsia="en-US"/>
        </w:rPr>
        <w:t>consultation</w:t>
      </w:r>
      <w:r w:rsidR="00F06179">
        <w:rPr>
          <w:lang w:eastAsia="en-US"/>
        </w:rPr>
        <w:t xml:space="preserve"> </w:t>
      </w:r>
      <w:r w:rsidR="00984DE6">
        <w:rPr>
          <w:lang w:eastAsia="en-US"/>
        </w:rPr>
        <w:t xml:space="preserve">as well as </w:t>
      </w:r>
      <w:r w:rsidR="00F06179">
        <w:rPr>
          <w:lang w:eastAsia="en-US"/>
        </w:rPr>
        <w:t>a submission and survey process</w:t>
      </w:r>
      <w:r w:rsidR="00A4558C">
        <w:rPr>
          <w:lang w:eastAsia="en-US"/>
        </w:rPr>
        <w:t xml:space="preserve"> commenced in September 2023</w:t>
      </w:r>
      <w:r w:rsidR="007F5948">
        <w:rPr>
          <w:lang w:eastAsia="en-US"/>
        </w:rPr>
        <w:t>, and have informed advice to the Minister on the development of legislation.</w:t>
      </w:r>
    </w:p>
    <w:p w14:paraId="04577B52" w14:textId="6F47C530" w:rsidR="00E6232E" w:rsidRPr="00CF48C1" w:rsidRDefault="00E6232E" w:rsidP="00E21379">
      <w:pPr>
        <w:pStyle w:val="Heading2NoNumbers"/>
        <w:rPr>
          <w:color w:val="008675"/>
          <w:lang w:eastAsia="en-US"/>
        </w:rPr>
      </w:pPr>
      <w:bookmarkStart w:id="44" w:name="_Toc149740323"/>
      <w:r w:rsidRPr="00CF48C1">
        <w:rPr>
          <w:color w:val="008675"/>
          <w:lang w:eastAsia="en-US"/>
        </w:rPr>
        <w:t xml:space="preserve">2.2 What is a </w:t>
      </w:r>
      <w:r w:rsidR="00411025" w:rsidRPr="00CF48C1">
        <w:rPr>
          <w:color w:val="008675"/>
          <w:lang w:eastAsia="en-US"/>
        </w:rPr>
        <w:t>D</w:t>
      </w:r>
      <w:r w:rsidRPr="00CF48C1">
        <w:rPr>
          <w:color w:val="008675"/>
          <w:lang w:eastAsia="en-US"/>
        </w:rPr>
        <w:t xml:space="preserve">igital </w:t>
      </w:r>
      <w:r w:rsidR="00411025" w:rsidRPr="00CF48C1">
        <w:rPr>
          <w:color w:val="008675"/>
          <w:lang w:eastAsia="en-US"/>
        </w:rPr>
        <w:t>I</w:t>
      </w:r>
      <w:r w:rsidR="00EB2443" w:rsidRPr="00CF48C1">
        <w:rPr>
          <w:color w:val="008675"/>
          <w:lang w:eastAsia="en-US"/>
        </w:rPr>
        <w:t>D</w:t>
      </w:r>
      <w:r w:rsidRPr="00CF48C1">
        <w:rPr>
          <w:color w:val="008675"/>
          <w:lang w:eastAsia="en-US"/>
        </w:rPr>
        <w:t>?</w:t>
      </w:r>
      <w:bookmarkEnd w:id="35"/>
      <w:bookmarkEnd w:id="36"/>
      <w:bookmarkEnd w:id="37"/>
      <w:bookmarkEnd w:id="38"/>
      <w:bookmarkEnd w:id="39"/>
      <w:bookmarkEnd w:id="40"/>
      <w:bookmarkEnd w:id="41"/>
      <w:bookmarkEnd w:id="42"/>
      <w:bookmarkEnd w:id="43"/>
      <w:bookmarkEnd w:id="44"/>
    </w:p>
    <w:p w14:paraId="2B22AE24" w14:textId="53A22F4E" w:rsidR="00E6232E" w:rsidRPr="000B7589" w:rsidRDefault="00E6232E" w:rsidP="008C56D6">
      <w:pPr>
        <w:pStyle w:val="BodyText"/>
        <w:rPr>
          <w:lang w:eastAsia="en-US"/>
        </w:rPr>
      </w:pPr>
      <w:r w:rsidRPr="0DFA586A">
        <w:rPr>
          <w:lang w:eastAsia="en-US"/>
        </w:rPr>
        <w:t xml:space="preserve">A </w:t>
      </w:r>
      <w:r w:rsidR="00EB2443" w:rsidRPr="0DFA586A">
        <w:rPr>
          <w:lang w:eastAsia="en-US"/>
        </w:rPr>
        <w:t>Digital ID</w:t>
      </w:r>
      <w:r w:rsidRPr="0DFA586A">
        <w:rPr>
          <w:lang w:eastAsia="en-US"/>
        </w:rPr>
        <w:t xml:space="preserve"> is a </w:t>
      </w:r>
      <w:r w:rsidR="00993FE8">
        <w:rPr>
          <w:lang w:eastAsia="en-US"/>
        </w:rPr>
        <w:t>safe, secure and convenient</w:t>
      </w:r>
      <w:r w:rsidR="009D2BA7" w:rsidRPr="0DFA586A">
        <w:rPr>
          <w:lang w:eastAsia="en-US"/>
        </w:rPr>
        <w:t xml:space="preserve"> </w:t>
      </w:r>
      <w:r w:rsidRPr="0DFA586A">
        <w:rPr>
          <w:lang w:eastAsia="en-US"/>
        </w:rPr>
        <w:t xml:space="preserve">way for Australians to prove who they are online. </w:t>
      </w:r>
      <w:r w:rsidR="000121DB" w:rsidRPr="0DFA586A">
        <w:rPr>
          <w:lang w:eastAsia="en-US"/>
        </w:rPr>
        <w:t>The user will create a Digital ID by using</w:t>
      </w:r>
      <w:r w:rsidR="008A1960" w:rsidRPr="0DFA586A">
        <w:rPr>
          <w:lang w:eastAsia="en-US"/>
        </w:rPr>
        <w:t xml:space="preserve"> existing issued government identity documents</w:t>
      </w:r>
      <w:r w:rsidR="008B2ABD" w:rsidRPr="0DFA586A">
        <w:rPr>
          <w:lang w:eastAsia="en-US"/>
        </w:rPr>
        <w:t xml:space="preserve"> which</w:t>
      </w:r>
      <w:r w:rsidR="00804693" w:rsidRPr="0DFA586A">
        <w:rPr>
          <w:lang w:eastAsia="en-US"/>
        </w:rPr>
        <w:t xml:space="preserve"> are verified online with the issuing source</w:t>
      </w:r>
      <w:r w:rsidR="00113084" w:rsidRPr="0DFA586A">
        <w:rPr>
          <w:lang w:eastAsia="en-US"/>
        </w:rPr>
        <w:t xml:space="preserve"> (</w:t>
      </w:r>
      <w:r w:rsidR="00D94206" w:rsidRPr="0DFA586A">
        <w:rPr>
          <w:lang w:eastAsia="en-US"/>
        </w:rPr>
        <w:t xml:space="preserve">for </w:t>
      </w:r>
      <w:r w:rsidR="00113084" w:rsidRPr="0DFA586A">
        <w:rPr>
          <w:lang w:eastAsia="en-US"/>
        </w:rPr>
        <w:t>example</w:t>
      </w:r>
      <w:r w:rsidR="00D94206" w:rsidRPr="0DFA586A">
        <w:rPr>
          <w:lang w:eastAsia="en-US"/>
        </w:rPr>
        <w:t xml:space="preserve"> - </w:t>
      </w:r>
      <w:r w:rsidR="00113084" w:rsidRPr="0DFA586A">
        <w:rPr>
          <w:lang w:eastAsia="en-US"/>
        </w:rPr>
        <w:t xml:space="preserve">verifying a </w:t>
      </w:r>
      <w:r w:rsidR="00E07CA7" w:rsidRPr="0DFA586A">
        <w:rPr>
          <w:lang w:eastAsia="en-US"/>
        </w:rPr>
        <w:t xml:space="preserve">driver licence with the issuing </w:t>
      </w:r>
      <w:r w:rsidR="6898A82D" w:rsidRPr="0DFA586A">
        <w:rPr>
          <w:lang w:eastAsia="en-US"/>
        </w:rPr>
        <w:t>r</w:t>
      </w:r>
      <w:r w:rsidR="00E07CA7" w:rsidRPr="0DFA586A">
        <w:rPr>
          <w:lang w:eastAsia="en-US"/>
        </w:rPr>
        <w:t xml:space="preserve">oad </w:t>
      </w:r>
      <w:r w:rsidR="13051EE5" w:rsidRPr="0DFA586A">
        <w:rPr>
          <w:lang w:eastAsia="en-US"/>
        </w:rPr>
        <w:t>a</w:t>
      </w:r>
      <w:r w:rsidR="00E07CA7" w:rsidRPr="0DFA586A">
        <w:rPr>
          <w:lang w:eastAsia="en-US"/>
        </w:rPr>
        <w:t>uthority</w:t>
      </w:r>
      <w:r w:rsidR="00BE2944" w:rsidRPr="0DFA586A">
        <w:rPr>
          <w:lang w:eastAsia="en-US"/>
        </w:rPr>
        <w:t xml:space="preserve"> and a birth certificate with the relevant Birth, Deaths and Marriages</w:t>
      </w:r>
      <w:r w:rsidR="00DD7787" w:rsidRPr="0DFA586A">
        <w:rPr>
          <w:lang w:eastAsia="en-US"/>
        </w:rPr>
        <w:t xml:space="preserve"> Registry</w:t>
      </w:r>
      <w:r w:rsidR="00D94206" w:rsidRPr="0DFA586A">
        <w:rPr>
          <w:lang w:eastAsia="en-US"/>
        </w:rPr>
        <w:t>)</w:t>
      </w:r>
      <w:r w:rsidR="00DD7787" w:rsidRPr="0DFA586A">
        <w:rPr>
          <w:lang w:eastAsia="en-US"/>
        </w:rPr>
        <w:t>.</w:t>
      </w:r>
      <w:r w:rsidR="00804693" w:rsidRPr="0DFA586A">
        <w:rPr>
          <w:lang w:eastAsia="en-US"/>
        </w:rPr>
        <w:t xml:space="preserve"> </w:t>
      </w:r>
      <w:r w:rsidRPr="0DFA586A">
        <w:rPr>
          <w:lang w:eastAsia="en-US"/>
        </w:rPr>
        <w:t xml:space="preserve">It only needs to be created once, then can be reused whenever a person is asked to prove online who they are when accessing a linked service. When rolled out across a variety of government entities and businesses, individuals can securely access connected services </w:t>
      </w:r>
      <w:r w:rsidR="00E022D1" w:rsidRPr="0DFA586A">
        <w:rPr>
          <w:lang w:eastAsia="en-US"/>
        </w:rPr>
        <w:t>online</w:t>
      </w:r>
      <w:r w:rsidRPr="0DFA586A">
        <w:rPr>
          <w:lang w:eastAsia="en-US"/>
        </w:rPr>
        <w:t xml:space="preserve">. </w:t>
      </w:r>
      <w:r w:rsidR="00EB2443" w:rsidRPr="0DFA586A">
        <w:rPr>
          <w:lang w:eastAsia="en-US"/>
        </w:rPr>
        <w:t>Digital ID</w:t>
      </w:r>
      <w:r w:rsidRPr="0DFA586A">
        <w:rPr>
          <w:lang w:eastAsia="en-US"/>
        </w:rPr>
        <w:t xml:space="preserve"> also provides efficiencies for the public and private sector, giving small and medium enterprises more time to manage and grow their businesses. </w:t>
      </w:r>
    </w:p>
    <w:p w14:paraId="4417C76B" w14:textId="5945BBD4" w:rsidR="00E6232E" w:rsidRPr="000B7589" w:rsidRDefault="00E6232E" w:rsidP="002218B4">
      <w:pPr>
        <w:pStyle w:val="BodyText"/>
      </w:pPr>
      <w:r w:rsidRPr="1F102146">
        <w:rPr>
          <w:lang w:eastAsia="en-US"/>
        </w:rPr>
        <w:t xml:space="preserve">While it can be reused once created, a </w:t>
      </w:r>
      <w:r w:rsidR="00EB2443" w:rsidRPr="1F102146">
        <w:rPr>
          <w:lang w:eastAsia="en-US"/>
        </w:rPr>
        <w:t>Digital ID</w:t>
      </w:r>
      <w:r w:rsidRPr="1F102146">
        <w:rPr>
          <w:lang w:eastAsia="en-US"/>
        </w:rPr>
        <w:t xml:space="preserve"> is not a single, universal or mandatory number,</w:t>
      </w:r>
      <w:r w:rsidR="008B4706" w:rsidRPr="1F102146">
        <w:rPr>
          <w:lang w:eastAsia="en-US"/>
        </w:rPr>
        <w:t xml:space="preserve"> identifier</w:t>
      </w:r>
      <w:r w:rsidRPr="1F102146">
        <w:rPr>
          <w:lang w:eastAsia="en-US"/>
        </w:rPr>
        <w:t xml:space="preserve"> or an online profile. Personal information remains private and protected. People must provide consent before their details are shared with the service they wish to access. A </w:t>
      </w:r>
      <w:r w:rsidR="00EB2443" w:rsidRPr="1F102146">
        <w:rPr>
          <w:lang w:eastAsia="en-US"/>
        </w:rPr>
        <w:t>Digital ID</w:t>
      </w:r>
      <w:r w:rsidR="00411025" w:rsidRPr="1F102146">
        <w:rPr>
          <w:lang w:eastAsia="en-US"/>
        </w:rPr>
        <w:t xml:space="preserve"> does </w:t>
      </w:r>
      <w:r w:rsidRPr="1F102146">
        <w:rPr>
          <w:lang w:eastAsia="en-US"/>
        </w:rPr>
        <w:t>not replace physical identification documents such as a birth certificate, visa or driver’s licence</w:t>
      </w:r>
      <w:r w:rsidR="448D8F04" w:rsidRPr="1F102146">
        <w:rPr>
          <w:lang w:eastAsia="en-US"/>
        </w:rPr>
        <w:t xml:space="preserve"> and still remain</w:t>
      </w:r>
      <w:r w:rsidR="003605D1" w:rsidRPr="1F102146">
        <w:rPr>
          <w:lang w:eastAsia="en-US"/>
        </w:rPr>
        <w:t>s</w:t>
      </w:r>
      <w:r w:rsidR="448D8F04" w:rsidRPr="1F102146">
        <w:rPr>
          <w:lang w:eastAsia="en-US"/>
        </w:rPr>
        <w:t xml:space="preserve"> voluntary in most cases</w:t>
      </w:r>
      <w:r w:rsidRPr="1F102146">
        <w:rPr>
          <w:lang w:eastAsia="en-US"/>
        </w:rPr>
        <w:t>.</w:t>
      </w:r>
      <w:r w:rsidR="1AFC5257" w:rsidRPr="1F102146">
        <w:t xml:space="preserve"> </w:t>
      </w:r>
      <w:r w:rsidR="1AFC5257" w:rsidRPr="1F102146">
        <w:rPr>
          <w:lang w:eastAsia="en-US"/>
        </w:rPr>
        <w:t xml:space="preserve">For Government services, there is an explicit </w:t>
      </w:r>
      <w:r w:rsidR="1AFC5257" w:rsidRPr="1F102146">
        <w:rPr>
          <w:lang w:eastAsia="en-US"/>
        </w:rPr>
        <w:lastRenderedPageBreak/>
        <w:t xml:space="preserve">provision in the Bill (s71(1)) relating to the (AGDIS that requires an entity who is relying on a person’s attributes (a “participating relying party”) not to require an individual to create a Digital ID. This </w:t>
      </w:r>
      <w:r w:rsidR="1AFC5257" w:rsidRPr="1F102146">
        <w:t>provision</w:t>
      </w:r>
      <w:r w:rsidR="1AFC5257" w:rsidRPr="1F102146">
        <w:rPr>
          <w:lang w:eastAsia="en-US"/>
        </w:rPr>
        <w:t xml:space="preserve"> is designed to ensure that Digital ID does not change existing service requirements, and that it doesn’t impede services being available to individuals. The choice to use a Digital ID to access these services will not replace existing options and is instead designed to add a secure and convenient channel, in addition to existing channels. This means existing alternate channels (such as telephone) need to be maintained as alternatives. There are two exceptions to voluntariness for an individual adopting a Digital ID, outlined in s71(3). </w:t>
      </w:r>
    </w:p>
    <w:p w14:paraId="233781D6" w14:textId="4BF23FD6" w:rsidR="00E6232E" w:rsidRPr="000B7589" w:rsidRDefault="1AFC5257" w:rsidP="002218B4">
      <w:pPr>
        <w:pStyle w:val="BodyText"/>
        <w:rPr>
          <w:lang w:eastAsia="en-US"/>
        </w:rPr>
      </w:pPr>
      <w:r w:rsidRPr="1F102146">
        <w:rPr>
          <w:lang w:eastAsia="en-US"/>
        </w:rPr>
        <w:t>For non-Commonwealth Government services, there are no explicit voluntariness requirements in the legislation where services are operating outside of AGDIS. Voluntariness is intended to be achieved through competition and the ability for an individual to choose alternative service offerings.</w:t>
      </w:r>
    </w:p>
    <w:p w14:paraId="6C7F5B24" w14:textId="10FF36E5" w:rsidR="00E6232E" w:rsidRPr="000B7589" w:rsidRDefault="00E6232E" w:rsidP="008C56D6">
      <w:pPr>
        <w:pStyle w:val="BodyText"/>
        <w:rPr>
          <w:lang w:eastAsia="en-US"/>
        </w:rPr>
      </w:pPr>
      <w:r w:rsidRPr="0DFA586A">
        <w:rPr>
          <w:lang w:eastAsia="en-US"/>
        </w:rPr>
        <w:t>There are multiple identity proofing levels offering different degrees of proofing rigo</w:t>
      </w:r>
      <w:r w:rsidR="003605D1" w:rsidRPr="0DFA586A">
        <w:rPr>
          <w:lang w:eastAsia="en-US"/>
        </w:rPr>
        <w:t>u</w:t>
      </w:r>
      <w:r w:rsidRPr="0DFA586A">
        <w:rPr>
          <w:lang w:eastAsia="en-US"/>
        </w:rPr>
        <w:t>r and identity confidence which can be used for differing purposes</w:t>
      </w:r>
      <w:r w:rsidR="00967074" w:rsidRPr="0DFA586A">
        <w:rPr>
          <w:lang w:eastAsia="en-US"/>
        </w:rPr>
        <w:t xml:space="preserve"> (and  can offer cost efficiencies, as lower standards of identity proofing </w:t>
      </w:r>
      <w:r w:rsidR="00CE07FF" w:rsidRPr="0DFA586A">
        <w:rPr>
          <w:lang w:eastAsia="en-US"/>
        </w:rPr>
        <w:t>require less information from the user and can be undertaken at lesser cost)</w:t>
      </w:r>
      <w:r w:rsidRPr="0DFA586A">
        <w:rPr>
          <w:lang w:eastAsia="en-US"/>
        </w:rPr>
        <w:t xml:space="preserve">. Importantly, Australians will retain their choice to use a </w:t>
      </w:r>
      <w:r w:rsidR="00EB2443" w:rsidRPr="0DFA586A">
        <w:rPr>
          <w:lang w:eastAsia="en-US"/>
        </w:rPr>
        <w:t>Digital ID</w:t>
      </w:r>
      <w:r w:rsidR="004640F9" w:rsidRPr="0DFA586A">
        <w:rPr>
          <w:lang w:eastAsia="en-US"/>
        </w:rPr>
        <w:t xml:space="preserve">, </w:t>
      </w:r>
      <w:r w:rsidR="00EF0FDF" w:rsidRPr="0DFA586A">
        <w:rPr>
          <w:lang w:eastAsia="en-US"/>
        </w:rPr>
        <w:t>must consent to each transaction,</w:t>
      </w:r>
      <w:r w:rsidRPr="0DFA586A">
        <w:rPr>
          <w:lang w:eastAsia="en-US"/>
        </w:rPr>
        <w:t xml:space="preserve"> and will be able to close their account </w:t>
      </w:r>
      <w:r w:rsidR="00EF0FDF" w:rsidRPr="0DFA586A">
        <w:rPr>
          <w:lang w:eastAsia="en-US"/>
        </w:rPr>
        <w:t xml:space="preserve">at </w:t>
      </w:r>
      <w:r w:rsidRPr="0DFA586A">
        <w:rPr>
          <w:lang w:eastAsia="en-US"/>
        </w:rPr>
        <w:t>any time they wish.</w:t>
      </w:r>
    </w:p>
    <w:p w14:paraId="6CD85987" w14:textId="43529FE4" w:rsidR="00E6232E" w:rsidRPr="00CF48C1" w:rsidRDefault="00E6232E" w:rsidP="00411025">
      <w:pPr>
        <w:pStyle w:val="Heading2NoNumbers"/>
        <w:rPr>
          <w:color w:val="008675"/>
          <w:lang w:eastAsia="en-US"/>
        </w:rPr>
      </w:pPr>
      <w:bookmarkStart w:id="45" w:name="_Toc80884646"/>
      <w:bookmarkStart w:id="46" w:name="_Toc81226615"/>
      <w:bookmarkStart w:id="47" w:name="_Toc81226891"/>
      <w:bookmarkStart w:id="48" w:name="_Toc81228235"/>
      <w:bookmarkStart w:id="49" w:name="_Toc83951178"/>
      <w:bookmarkStart w:id="50" w:name="_Toc84925772"/>
      <w:bookmarkStart w:id="51" w:name="_Toc84925877"/>
      <w:bookmarkStart w:id="52" w:name="_Toc86045121"/>
      <w:bookmarkStart w:id="53" w:name="_Toc86069987"/>
      <w:bookmarkStart w:id="54" w:name="_Toc149740324"/>
      <w:r w:rsidRPr="00CF48C1">
        <w:rPr>
          <w:color w:val="008675"/>
          <w:lang w:eastAsia="en-US"/>
        </w:rPr>
        <w:t xml:space="preserve">2.3 </w:t>
      </w:r>
      <w:r w:rsidR="00A054EC" w:rsidRPr="00CF48C1">
        <w:rPr>
          <w:color w:val="008675"/>
          <w:lang w:eastAsia="en-US"/>
        </w:rPr>
        <w:t xml:space="preserve">Australian </w:t>
      </w:r>
      <w:r w:rsidRPr="00CF48C1">
        <w:rPr>
          <w:color w:val="008675"/>
          <w:lang w:eastAsia="en-US"/>
        </w:rPr>
        <w:t>Government</w:t>
      </w:r>
      <w:r w:rsidR="00ED278A" w:rsidRPr="00CF48C1">
        <w:rPr>
          <w:color w:val="008675"/>
          <w:lang w:eastAsia="en-US"/>
        </w:rPr>
        <w:t>’s</w:t>
      </w:r>
      <w:r w:rsidRPr="00CF48C1">
        <w:rPr>
          <w:color w:val="008675"/>
          <w:lang w:eastAsia="en-US"/>
        </w:rPr>
        <w:t xml:space="preserve"> </w:t>
      </w:r>
      <w:r w:rsidR="00EB2443" w:rsidRPr="00CF48C1">
        <w:rPr>
          <w:color w:val="008675"/>
          <w:lang w:eastAsia="en-US"/>
        </w:rPr>
        <w:t>Digital ID</w:t>
      </w:r>
      <w:r w:rsidRPr="00CF48C1">
        <w:rPr>
          <w:color w:val="008675"/>
          <w:lang w:eastAsia="en-US"/>
        </w:rPr>
        <w:t xml:space="preserve"> System</w:t>
      </w:r>
      <w:bookmarkEnd w:id="45"/>
      <w:bookmarkEnd w:id="46"/>
      <w:bookmarkEnd w:id="47"/>
      <w:bookmarkEnd w:id="48"/>
      <w:bookmarkEnd w:id="49"/>
      <w:bookmarkEnd w:id="50"/>
      <w:bookmarkEnd w:id="51"/>
      <w:bookmarkEnd w:id="52"/>
      <w:bookmarkEnd w:id="53"/>
      <w:r w:rsidR="00D614C8" w:rsidRPr="00CF48C1">
        <w:rPr>
          <w:color w:val="008675"/>
          <w:lang w:eastAsia="en-US"/>
        </w:rPr>
        <w:t xml:space="preserve"> (AGDIS)</w:t>
      </w:r>
      <w:bookmarkEnd w:id="54"/>
    </w:p>
    <w:p w14:paraId="42EF8E26" w14:textId="7DC23A86" w:rsidR="00E6232E" w:rsidRPr="00CF48C1" w:rsidRDefault="00E6232E" w:rsidP="00411025">
      <w:pPr>
        <w:pStyle w:val="Heading3NoNumbers"/>
        <w:rPr>
          <w:color w:val="008675"/>
          <w:lang w:eastAsia="en-US"/>
        </w:rPr>
      </w:pPr>
      <w:bookmarkStart w:id="55" w:name="_Toc64549237"/>
      <w:bookmarkStart w:id="56" w:name="_Toc80884647"/>
      <w:bookmarkStart w:id="57" w:name="_Toc84925773"/>
      <w:bookmarkStart w:id="58" w:name="_Toc86069988"/>
      <w:r w:rsidRPr="00CF48C1">
        <w:rPr>
          <w:color w:val="008675"/>
          <w:lang w:eastAsia="en-US"/>
        </w:rPr>
        <w:t>2.3.1 Background</w:t>
      </w:r>
      <w:bookmarkEnd w:id="55"/>
      <w:bookmarkEnd w:id="56"/>
      <w:bookmarkEnd w:id="57"/>
      <w:bookmarkEnd w:id="58"/>
    </w:p>
    <w:p w14:paraId="6601C7F2" w14:textId="77777777" w:rsidR="00DD6D7D" w:rsidRPr="00154831" w:rsidRDefault="00E6232E" w:rsidP="00411025">
      <w:pPr>
        <w:pStyle w:val="Quote"/>
        <w:keepNext/>
        <w:rPr>
          <w:i/>
          <w:color w:val="008675"/>
        </w:rPr>
      </w:pPr>
      <w:r w:rsidRPr="00154831">
        <w:rPr>
          <w:i/>
          <w:color w:val="008675"/>
        </w:rPr>
        <w:t>Australia’s current identity infrastructure is fragmented, consisting of a largely uncoordinated network of identity credentials. The System has developed organically, driven by different standards, policies, and legislative requirements.</w:t>
      </w:r>
      <w:r w:rsidR="009702E0" w:rsidRPr="00154831">
        <w:rPr>
          <w:i/>
          <w:color w:val="008675"/>
        </w:rPr>
        <w:t xml:space="preserve"> </w:t>
      </w:r>
    </w:p>
    <w:p w14:paraId="3766E932" w14:textId="1E24F4EE" w:rsidR="00E6232E" w:rsidRPr="00793B20" w:rsidRDefault="009702E0" w:rsidP="007E17E5">
      <w:pPr>
        <w:pStyle w:val="Quote"/>
        <w:jc w:val="right"/>
        <w:rPr>
          <w:i/>
          <w:color w:val="000000" w:themeColor="text1"/>
          <w:sz w:val="22"/>
          <w:szCs w:val="22"/>
        </w:rPr>
      </w:pPr>
      <w:r w:rsidRPr="007E17E5">
        <w:rPr>
          <w:color w:val="auto"/>
          <w:sz w:val="22"/>
          <w:szCs w:val="22"/>
        </w:rPr>
        <w:t>(Source: Commonwealth Treasury 2014,</w:t>
      </w:r>
      <w:r w:rsidRPr="007E17E5">
        <w:rPr>
          <w:sz w:val="22"/>
          <w:szCs w:val="22"/>
        </w:rPr>
        <w:t xml:space="preserve"> </w:t>
      </w:r>
      <w:hyperlink r:id="rId26" w:history="1">
        <w:r w:rsidRPr="00CF48C1">
          <w:rPr>
            <w:rStyle w:val="Hyperlink"/>
            <w:i/>
            <w:color w:val="008675"/>
            <w:sz w:val="22"/>
            <w:szCs w:val="22"/>
          </w:rPr>
          <w:t>Financial System Inquiry</w:t>
        </w:r>
      </w:hyperlink>
      <w:r w:rsidR="003E4EA1" w:rsidRPr="00793B20">
        <w:rPr>
          <w:i/>
          <w:color w:val="000000" w:themeColor="text1"/>
          <w:sz w:val="22"/>
          <w:szCs w:val="22"/>
        </w:rPr>
        <w:t>).</w:t>
      </w:r>
    </w:p>
    <w:p w14:paraId="020CECBF" w14:textId="40035C0D" w:rsidR="00E6232E" w:rsidRPr="000B7589" w:rsidRDefault="00E6232E" w:rsidP="008C56D6">
      <w:pPr>
        <w:pStyle w:val="BodyText"/>
        <w:rPr>
          <w:lang w:eastAsia="en-US"/>
        </w:rPr>
      </w:pPr>
      <w:r w:rsidRPr="000B7589">
        <w:rPr>
          <w:lang w:eastAsia="en-US"/>
        </w:rPr>
        <w:t>The 2014 Financial System Inquiry (</w:t>
      </w:r>
      <w:r w:rsidRPr="00046AC0">
        <w:rPr>
          <w:lang w:eastAsia="en-US"/>
        </w:rPr>
        <w:t xml:space="preserve">Murray </w:t>
      </w:r>
      <w:r w:rsidR="001F0D22" w:rsidRPr="00046AC0">
        <w:rPr>
          <w:lang w:eastAsia="en-US"/>
        </w:rPr>
        <w:t>inquiry</w:t>
      </w:r>
      <w:r w:rsidRPr="00046AC0">
        <w:rPr>
          <w:lang w:eastAsia="en-US"/>
        </w:rPr>
        <w:t xml:space="preserve">) found </w:t>
      </w:r>
      <w:r w:rsidRPr="000B7589">
        <w:rPr>
          <w:lang w:eastAsia="en-US"/>
        </w:rPr>
        <w:t xml:space="preserve">that Australia’s current identity environment is fragmented and uncoordinated. In the past, government entities have largely operated in silos, developing bespoke identity initiatives to manage internal fraud risks or to deliver specific policy outcomes. As described in the Murray </w:t>
      </w:r>
      <w:r w:rsidR="00C46CF9">
        <w:rPr>
          <w:lang w:eastAsia="en-US"/>
        </w:rPr>
        <w:t>inquiry</w:t>
      </w:r>
      <w:r w:rsidRPr="000B7589">
        <w:rPr>
          <w:lang w:eastAsia="en-US"/>
        </w:rPr>
        <w:t xml:space="preserve">, this has resulted in duplicated investment, wasted resources, a </w:t>
      </w:r>
      <w:r w:rsidRPr="000B7589">
        <w:rPr>
          <w:lang w:eastAsia="en-US"/>
        </w:rPr>
        <w:lastRenderedPageBreak/>
        <w:t xml:space="preserve">fragmented identity environment and poor customer experiences. People and businesses wanting to engage with government often do so at high cost, leading to frustration and reduced confidence in government. This has the potential to result in a reluctance to trust and use government digital services. The Murray </w:t>
      </w:r>
      <w:r w:rsidR="00C46CF9">
        <w:rPr>
          <w:lang w:eastAsia="en-US"/>
        </w:rPr>
        <w:t>inquiry</w:t>
      </w:r>
      <w:r w:rsidR="00C46CF9" w:rsidRPr="000B7589">
        <w:rPr>
          <w:lang w:eastAsia="en-US"/>
        </w:rPr>
        <w:t xml:space="preserve"> </w:t>
      </w:r>
      <w:r w:rsidRPr="000B7589">
        <w:rPr>
          <w:lang w:eastAsia="en-US"/>
        </w:rPr>
        <w:t>recommended a national identity strategy that would improve efficiency and security across the digital economy.</w:t>
      </w:r>
    </w:p>
    <w:p w14:paraId="65731DDD" w14:textId="50273615" w:rsidR="00544BBE" w:rsidRDefault="00E6232E" w:rsidP="008C56D6">
      <w:pPr>
        <w:pStyle w:val="BodyText"/>
        <w:rPr>
          <w:lang w:eastAsia="en-US"/>
        </w:rPr>
      </w:pPr>
      <w:r w:rsidRPr="000B7589">
        <w:rPr>
          <w:lang w:eastAsia="en-US"/>
        </w:rPr>
        <w:t xml:space="preserve">Through </w:t>
      </w:r>
      <w:r w:rsidR="001F4EAE">
        <w:rPr>
          <w:lang w:eastAsia="en-US"/>
        </w:rPr>
        <w:t xml:space="preserve">the </w:t>
      </w:r>
      <w:r w:rsidR="002C094C">
        <w:rPr>
          <w:lang w:eastAsia="en-US"/>
        </w:rPr>
        <w:t>Digital ID</w:t>
      </w:r>
      <w:r w:rsidR="001F4EAE">
        <w:rPr>
          <w:lang w:eastAsia="en-US"/>
        </w:rPr>
        <w:t xml:space="preserve"> Program</w:t>
      </w:r>
      <w:r w:rsidRPr="000B7589">
        <w:rPr>
          <w:lang w:eastAsia="en-US"/>
        </w:rPr>
        <w:t xml:space="preserve">, the </w:t>
      </w:r>
      <w:r w:rsidR="005B63AD">
        <w:rPr>
          <w:lang w:eastAsia="en-US"/>
        </w:rPr>
        <w:t>Australian Government</w:t>
      </w:r>
      <w:r w:rsidR="005B63AD" w:rsidRPr="000B7589">
        <w:rPr>
          <w:lang w:eastAsia="en-US"/>
        </w:rPr>
        <w:t xml:space="preserve"> </w:t>
      </w:r>
      <w:r w:rsidRPr="000B7589">
        <w:rPr>
          <w:lang w:eastAsia="en-US"/>
        </w:rPr>
        <w:t xml:space="preserve">is working to deliver better outcomes for all Australians by making it easier for them to access the services they need. </w:t>
      </w:r>
      <w:r w:rsidR="001F4EAE">
        <w:rPr>
          <w:lang w:eastAsia="en-US"/>
        </w:rPr>
        <w:t xml:space="preserve">The Program </w:t>
      </w:r>
      <w:r w:rsidRPr="000B7589">
        <w:rPr>
          <w:lang w:eastAsia="en-US"/>
        </w:rPr>
        <w:t xml:space="preserve">is building a trusted </w:t>
      </w:r>
      <w:r w:rsidR="00AE6646" w:rsidRPr="00556A33">
        <w:rPr>
          <w:lang w:eastAsia="en-US"/>
        </w:rPr>
        <w:t xml:space="preserve">Digital ID </w:t>
      </w:r>
      <w:r w:rsidR="00556A33">
        <w:rPr>
          <w:lang w:eastAsia="en-US"/>
        </w:rPr>
        <w:t>s</w:t>
      </w:r>
      <w:r w:rsidR="00556A33" w:rsidRPr="00556A33">
        <w:rPr>
          <w:lang w:eastAsia="en-US"/>
        </w:rPr>
        <w:t>ystem</w:t>
      </w:r>
      <w:r w:rsidR="00556A33">
        <w:rPr>
          <w:lang w:eastAsia="en-US"/>
        </w:rPr>
        <w:t xml:space="preserve"> – the AGDIS</w:t>
      </w:r>
      <w:proofErr w:type="gramStart"/>
      <w:r w:rsidR="00A75DA8">
        <w:rPr>
          <w:lang w:eastAsia="en-US"/>
        </w:rPr>
        <w:t>,</w:t>
      </w:r>
      <w:r w:rsidR="00556A33">
        <w:rPr>
          <w:lang w:eastAsia="en-US"/>
        </w:rPr>
        <w:t xml:space="preserve">  for</w:t>
      </w:r>
      <w:proofErr w:type="gramEnd"/>
      <w:r w:rsidR="00556A33">
        <w:rPr>
          <w:lang w:eastAsia="en-US"/>
        </w:rPr>
        <w:t xml:space="preserve"> </w:t>
      </w:r>
      <w:r w:rsidRPr="000B7589">
        <w:rPr>
          <w:lang w:eastAsia="en-US"/>
        </w:rPr>
        <w:t xml:space="preserve">the entire Australian economy, with the potential to transform the way people and businesses access services online. Already, significant progress has been made towards building a nationally consistent identity verification system, alleviating pain points, and </w:t>
      </w:r>
      <w:r w:rsidR="00011CE4">
        <w:rPr>
          <w:lang w:eastAsia="en-US"/>
        </w:rPr>
        <w:t>narrowing</w:t>
      </w:r>
      <w:r w:rsidR="005170DF">
        <w:rPr>
          <w:lang w:eastAsia="en-US"/>
        </w:rPr>
        <w:t xml:space="preserve"> the difference between</w:t>
      </w:r>
      <w:r w:rsidR="00011CE4">
        <w:rPr>
          <w:lang w:eastAsia="en-US"/>
        </w:rPr>
        <w:t xml:space="preserve"> </w:t>
      </w:r>
      <w:r w:rsidRPr="000B7589">
        <w:rPr>
          <w:lang w:eastAsia="en-US"/>
        </w:rPr>
        <w:t xml:space="preserve">customer experience offered by government and the private sector. </w:t>
      </w:r>
    </w:p>
    <w:p w14:paraId="44E31D19" w14:textId="487BAFB5" w:rsidR="00E6232E" w:rsidRPr="000B7589" w:rsidRDefault="00E6232E" w:rsidP="008C56D6">
      <w:pPr>
        <w:pStyle w:val="BodyText"/>
        <w:rPr>
          <w:lang w:eastAsia="en-US"/>
        </w:rPr>
      </w:pPr>
      <w:r w:rsidRPr="000B7589">
        <w:rPr>
          <w:lang w:eastAsia="en-US"/>
        </w:rPr>
        <w:t xml:space="preserve">To date, </w:t>
      </w:r>
      <w:r w:rsidR="00193DD4">
        <w:rPr>
          <w:lang w:eastAsia="en-US"/>
        </w:rPr>
        <w:t>the</w:t>
      </w:r>
      <w:r w:rsidRPr="002E5988">
        <w:rPr>
          <w:lang w:eastAsia="en-US"/>
        </w:rPr>
        <w:t xml:space="preserve"> </w:t>
      </w:r>
      <w:r w:rsidR="00193DD4">
        <w:rPr>
          <w:lang w:eastAsia="en-US"/>
        </w:rPr>
        <w:t xml:space="preserve">Program </w:t>
      </w:r>
      <w:r w:rsidRPr="002E5988">
        <w:rPr>
          <w:lang w:eastAsia="en-US"/>
        </w:rPr>
        <w:t xml:space="preserve">has delivered the core foundations for the platform and is currently used by </w:t>
      </w:r>
      <w:r w:rsidR="009A4941">
        <w:rPr>
          <w:lang w:eastAsia="en-US"/>
        </w:rPr>
        <w:t>nearly half the population aged over 15 years (</w:t>
      </w:r>
      <w:r w:rsidR="002A08CA">
        <w:rPr>
          <w:lang w:eastAsia="en-US"/>
        </w:rPr>
        <w:t xml:space="preserve">approximately </w:t>
      </w:r>
      <w:r w:rsidR="001A2FD1">
        <w:rPr>
          <w:lang w:eastAsia="en-US"/>
        </w:rPr>
        <w:t>1</w:t>
      </w:r>
      <w:r w:rsidR="006E2D89">
        <w:rPr>
          <w:lang w:eastAsia="en-US"/>
        </w:rPr>
        <w:t>1</w:t>
      </w:r>
      <w:r w:rsidR="00544BBE">
        <w:rPr>
          <w:lang w:eastAsia="en-US"/>
        </w:rPr>
        <w:t> </w:t>
      </w:r>
      <w:r w:rsidRPr="00852F47">
        <w:rPr>
          <w:lang w:eastAsia="en-US"/>
        </w:rPr>
        <w:t xml:space="preserve">million people and </w:t>
      </w:r>
      <w:r w:rsidR="006027C5" w:rsidRPr="00852F47">
        <w:rPr>
          <w:lang w:eastAsia="en-US"/>
        </w:rPr>
        <w:t xml:space="preserve">over </w:t>
      </w:r>
      <w:r w:rsidRPr="00852F47">
        <w:rPr>
          <w:lang w:eastAsia="en-US"/>
        </w:rPr>
        <w:t>1.</w:t>
      </w:r>
      <w:r w:rsidR="009A4941">
        <w:rPr>
          <w:lang w:eastAsia="en-US"/>
        </w:rPr>
        <w:t>5</w:t>
      </w:r>
      <w:r w:rsidR="00B40E38" w:rsidRPr="00852F47">
        <w:rPr>
          <w:lang w:eastAsia="en-US"/>
        </w:rPr>
        <w:t xml:space="preserve"> </w:t>
      </w:r>
      <w:r w:rsidRPr="00852F47">
        <w:rPr>
          <w:lang w:eastAsia="en-US"/>
        </w:rPr>
        <w:t>million businesses</w:t>
      </w:r>
      <w:r w:rsidR="00ED5786">
        <w:rPr>
          <w:lang w:eastAsia="en-US"/>
        </w:rPr>
        <w:t>)</w:t>
      </w:r>
      <w:r w:rsidRPr="00852F47" w:rsidDel="00466FA0">
        <w:rPr>
          <w:lang w:eastAsia="en-US"/>
        </w:rPr>
        <w:t xml:space="preserve"> </w:t>
      </w:r>
      <w:r w:rsidRPr="00852F47">
        <w:rPr>
          <w:lang w:eastAsia="en-US"/>
        </w:rPr>
        <w:t xml:space="preserve">to access more than </w:t>
      </w:r>
      <w:r w:rsidR="001A2FD1">
        <w:rPr>
          <w:lang w:eastAsia="en-US"/>
        </w:rPr>
        <w:t>1</w:t>
      </w:r>
      <w:r w:rsidR="00930B59">
        <w:rPr>
          <w:lang w:eastAsia="en-US"/>
        </w:rPr>
        <w:t>3</w:t>
      </w:r>
      <w:r w:rsidR="001A2FD1">
        <w:rPr>
          <w:lang w:eastAsia="en-US"/>
        </w:rPr>
        <w:t>5</w:t>
      </w:r>
      <w:r w:rsidR="001A2FD1" w:rsidRPr="00852F47">
        <w:rPr>
          <w:lang w:eastAsia="en-US"/>
        </w:rPr>
        <w:t xml:space="preserve"> </w:t>
      </w:r>
      <w:r w:rsidRPr="00852F47">
        <w:rPr>
          <w:lang w:eastAsia="en-US"/>
        </w:rPr>
        <w:t>d</w:t>
      </w:r>
      <w:r w:rsidRPr="002E5988">
        <w:rPr>
          <w:lang w:eastAsia="en-US"/>
        </w:rPr>
        <w:t xml:space="preserve">igital </w:t>
      </w:r>
      <w:r w:rsidR="00513086">
        <w:rPr>
          <w:lang w:eastAsia="en-US"/>
        </w:rPr>
        <w:t xml:space="preserve">government </w:t>
      </w:r>
      <w:r w:rsidRPr="002E5988">
        <w:rPr>
          <w:lang w:eastAsia="en-US"/>
        </w:rPr>
        <w:t>services.</w:t>
      </w:r>
    </w:p>
    <w:p w14:paraId="57E02D63" w14:textId="15D1095E" w:rsidR="00E6232E" w:rsidRPr="00CF48C1" w:rsidRDefault="00E6232E" w:rsidP="00E21379">
      <w:pPr>
        <w:pStyle w:val="Heading3NoNumbers"/>
        <w:rPr>
          <w:color w:val="008675"/>
          <w:lang w:eastAsia="en-US"/>
        </w:rPr>
      </w:pPr>
      <w:bookmarkStart w:id="59" w:name="_Toc64549238"/>
      <w:bookmarkStart w:id="60" w:name="_Toc80884648"/>
      <w:bookmarkStart w:id="61" w:name="_Toc84925774"/>
      <w:bookmarkStart w:id="62" w:name="_Toc86069989"/>
      <w:r w:rsidRPr="00CF48C1">
        <w:rPr>
          <w:color w:val="008675"/>
          <w:lang w:eastAsia="en-US"/>
        </w:rPr>
        <w:t xml:space="preserve">2.3.2 </w:t>
      </w:r>
      <w:r w:rsidR="00AE6646" w:rsidRPr="00CF48C1">
        <w:rPr>
          <w:color w:val="008675"/>
          <w:lang w:eastAsia="en-US"/>
        </w:rPr>
        <w:t xml:space="preserve">Digital ID </w:t>
      </w:r>
      <w:r w:rsidRPr="00CF48C1">
        <w:rPr>
          <w:color w:val="008675"/>
          <w:lang w:eastAsia="en-US"/>
        </w:rPr>
        <w:t xml:space="preserve">System </w:t>
      </w:r>
      <w:r w:rsidR="00A054EC" w:rsidRPr="00CF48C1">
        <w:rPr>
          <w:color w:val="008675"/>
          <w:lang w:eastAsia="en-US"/>
        </w:rPr>
        <w:t>g</w:t>
      </w:r>
      <w:r w:rsidRPr="00CF48C1">
        <w:rPr>
          <w:color w:val="008675"/>
          <w:lang w:eastAsia="en-US"/>
        </w:rPr>
        <w:t>overnance: Trusted Digital Id</w:t>
      </w:r>
      <w:r w:rsidR="00EB2443" w:rsidRPr="00CF48C1">
        <w:rPr>
          <w:color w:val="008675"/>
          <w:lang w:eastAsia="en-US"/>
        </w:rPr>
        <w:t>entity</w:t>
      </w:r>
      <w:r w:rsidRPr="00CF48C1">
        <w:rPr>
          <w:color w:val="008675"/>
          <w:lang w:eastAsia="en-US"/>
        </w:rPr>
        <w:t xml:space="preserve"> Framework (TDIF)</w:t>
      </w:r>
      <w:bookmarkEnd w:id="59"/>
      <w:bookmarkEnd w:id="60"/>
      <w:bookmarkEnd w:id="61"/>
      <w:bookmarkEnd w:id="62"/>
      <w:r w:rsidRPr="00CF48C1">
        <w:rPr>
          <w:color w:val="008675"/>
          <w:lang w:eastAsia="en-US"/>
        </w:rPr>
        <w:t xml:space="preserve"> </w:t>
      </w:r>
    </w:p>
    <w:p w14:paraId="4E3A0F9F" w14:textId="4B3F33F1" w:rsidR="00E6232E" w:rsidRPr="000B7589" w:rsidRDefault="00E6232E" w:rsidP="008C56D6">
      <w:pPr>
        <w:pStyle w:val="BodyText"/>
        <w:rPr>
          <w:lang w:eastAsia="en-US"/>
        </w:rPr>
      </w:pPr>
      <w:r w:rsidRPr="000B7589">
        <w:rPr>
          <w:lang w:eastAsia="en-US"/>
        </w:rPr>
        <w:t xml:space="preserve">The TDIF, developed in collaboration with government entities, peak industry bodies, privacy commissioners and other stakeholders, is </w:t>
      </w:r>
      <w:r w:rsidR="00000497" w:rsidRPr="000B7589">
        <w:rPr>
          <w:lang w:eastAsia="en-US"/>
        </w:rPr>
        <w:t>how</w:t>
      </w:r>
      <w:r w:rsidRPr="000B7589">
        <w:rPr>
          <w:lang w:eastAsia="en-US"/>
        </w:rPr>
        <w:t xml:space="preserve"> the </w:t>
      </w:r>
      <w:r w:rsidR="0079381B">
        <w:rPr>
          <w:lang w:eastAsia="en-US"/>
        </w:rPr>
        <w:t>AGIDS</w:t>
      </w:r>
      <w:r w:rsidR="00AE6646" w:rsidRPr="000B7589">
        <w:rPr>
          <w:lang w:eastAsia="en-US"/>
        </w:rPr>
        <w:t xml:space="preserve"> </w:t>
      </w:r>
      <w:r w:rsidRPr="000B7589">
        <w:rPr>
          <w:lang w:eastAsia="en-US"/>
        </w:rPr>
        <w:t xml:space="preserve">is governed and protected. It mandates strict operational standards by defining a complete set of requirements, roles and operating responsibilities for </w:t>
      </w:r>
      <w:proofErr w:type="gramStart"/>
      <w:r w:rsidRPr="000B7589">
        <w:rPr>
          <w:lang w:eastAsia="en-US"/>
        </w:rPr>
        <w:t>participants, that</w:t>
      </w:r>
      <w:proofErr w:type="gramEnd"/>
      <w:r w:rsidRPr="000B7589">
        <w:rPr>
          <w:lang w:eastAsia="en-US"/>
        </w:rPr>
        <w:t xml:space="preserve"> establish a nationally consistent approach to accredit</w:t>
      </w:r>
      <w:r w:rsidR="007840CB">
        <w:rPr>
          <w:lang w:eastAsia="en-US"/>
        </w:rPr>
        <w:t xml:space="preserve"> </w:t>
      </w:r>
      <w:r w:rsidRPr="000B7589">
        <w:rPr>
          <w:lang w:eastAsia="en-US"/>
        </w:rPr>
        <w:t xml:space="preserve">the </w:t>
      </w:r>
      <w:r w:rsidR="00AE6646" w:rsidRPr="00832EAF">
        <w:rPr>
          <w:lang w:eastAsia="en-US"/>
        </w:rPr>
        <w:t>Digital ID System</w:t>
      </w:r>
      <w:r w:rsidR="00AE6646" w:rsidRPr="000B7589">
        <w:rPr>
          <w:lang w:eastAsia="en-US"/>
        </w:rPr>
        <w:t xml:space="preserve"> </w:t>
      </w:r>
      <w:r w:rsidRPr="000B7589">
        <w:rPr>
          <w:lang w:eastAsia="en-US"/>
        </w:rPr>
        <w:t>in Australia.</w:t>
      </w:r>
    </w:p>
    <w:p w14:paraId="4A1ADA13" w14:textId="0CA8EC51" w:rsidR="00E6232E" w:rsidRPr="000B7589" w:rsidRDefault="00E6232E" w:rsidP="008C56D6">
      <w:pPr>
        <w:pStyle w:val="BodyText"/>
        <w:rPr>
          <w:lang w:eastAsia="en-US"/>
        </w:rPr>
      </w:pPr>
      <w:r w:rsidRPr="78F42BF0">
        <w:rPr>
          <w:lang w:eastAsia="en-US"/>
        </w:rPr>
        <w:t>The TDIF is built around eight guiding principles: user centric, voluntary and transparent, service delivery focused, privacy enhancing, collaborative, interoperable, adaptable</w:t>
      </w:r>
      <w:r w:rsidR="00045A1A" w:rsidRPr="78F42BF0">
        <w:rPr>
          <w:lang w:eastAsia="en-US"/>
        </w:rPr>
        <w:t>,</w:t>
      </w:r>
      <w:r w:rsidR="00CF105D" w:rsidRPr="78F42BF0">
        <w:rPr>
          <w:lang w:eastAsia="en-US"/>
        </w:rPr>
        <w:t xml:space="preserve"> </w:t>
      </w:r>
      <w:r w:rsidR="31672A65" w:rsidRPr="78F42BF0">
        <w:rPr>
          <w:lang w:eastAsia="en-US"/>
        </w:rPr>
        <w:t xml:space="preserve">and </w:t>
      </w:r>
      <w:r w:rsidRPr="78F42BF0">
        <w:rPr>
          <w:lang w:eastAsia="en-US"/>
        </w:rPr>
        <w:t xml:space="preserve">secure and resilient. These principles work to ensure that privacy and the security of personal information remain central </w:t>
      </w:r>
      <w:r w:rsidR="000032F0" w:rsidRPr="78F42BF0">
        <w:rPr>
          <w:lang w:eastAsia="en-US"/>
        </w:rPr>
        <w:t>to</w:t>
      </w:r>
      <w:r w:rsidRPr="78F42BF0">
        <w:rPr>
          <w:lang w:eastAsia="en-US"/>
        </w:rPr>
        <w:t xml:space="preserve"> the </w:t>
      </w:r>
      <w:r w:rsidR="00AE6646" w:rsidRPr="00832EAF">
        <w:rPr>
          <w:lang w:eastAsia="en-US"/>
        </w:rPr>
        <w:t xml:space="preserve">Digital ID </w:t>
      </w:r>
      <w:r w:rsidRPr="00832EAF">
        <w:rPr>
          <w:lang w:eastAsia="en-US"/>
        </w:rPr>
        <w:t>System</w:t>
      </w:r>
      <w:r w:rsidRPr="78F42BF0">
        <w:rPr>
          <w:lang w:eastAsia="en-US"/>
        </w:rPr>
        <w:t xml:space="preserve">. An individual may have multiple </w:t>
      </w:r>
      <w:r w:rsidR="000032F0" w:rsidRPr="78F42BF0">
        <w:rPr>
          <w:lang w:eastAsia="en-US"/>
        </w:rPr>
        <w:t>Digital I</w:t>
      </w:r>
      <w:r w:rsidR="00EB2443" w:rsidRPr="78F42BF0">
        <w:rPr>
          <w:lang w:eastAsia="en-US"/>
        </w:rPr>
        <w:t>D</w:t>
      </w:r>
      <w:r w:rsidR="000032F0" w:rsidRPr="78F42BF0">
        <w:rPr>
          <w:lang w:eastAsia="en-US"/>
        </w:rPr>
        <w:t>s</w:t>
      </w:r>
      <w:r w:rsidRPr="78F42BF0">
        <w:rPr>
          <w:lang w:eastAsia="en-US"/>
        </w:rPr>
        <w:t xml:space="preserve">, but the TDIF ensures consistency in </w:t>
      </w:r>
      <w:r w:rsidR="00B50137" w:rsidRPr="78F42BF0">
        <w:rPr>
          <w:lang w:eastAsia="en-US"/>
        </w:rPr>
        <w:t>how they are established and managed</w:t>
      </w:r>
      <w:r w:rsidRPr="78F42BF0">
        <w:rPr>
          <w:lang w:eastAsia="en-US"/>
        </w:rPr>
        <w:t>.</w:t>
      </w:r>
    </w:p>
    <w:p w14:paraId="032CEF76" w14:textId="19975928" w:rsidR="00E6232E" w:rsidRPr="00CF48C1" w:rsidRDefault="00E6232E" w:rsidP="00973F87">
      <w:pPr>
        <w:pStyle w:val="Heading4NoNumbers"/>
        <w:rPr>
          <w:color w:val="008675"/>
          <w:lang w:eastAsia="en-US"/>
        </w:rPr>
      </w:pPr>
      <w:r w:rsidRPr="00CF48C1">
        <w:rPr>
          <w:color w:val="008675"/>
          <w:lang w:eastAsia="en-US"/>
        </w:rPr>
        <w:lastRenderedPageBreak/>
        <w:t xml:space="preserve">Accreditation and </w:t>
      </w:r>
      <w:r w:rsidR="000032F0" w:rsidRPr="00CF48C1">
        <w:rPr>
          <w:color w:val="008675"/>
          <w:lang w:eastAsia="en-US"/>
        </w:rPr>
        <w:t>o</w:t>
      </w:r>
      <w:r w:rsidRPr="00CF48C1">
        <w:rPr>
          <w:color w:val="008675"/>
          <w:lang w:eastAsia="en-US"/>
        </w:rPr>
        <w:t>nboarding</w:t>
      </w:r>
    </w:p>
    <w:p w14:paraId="14B26B72" w14:textId="7A04AA1B" w:rsidR="005163FC" w:rsidRDefault="00E6232E" w:rsidP="008C56D6">
      <w:pPr>
        <w:pStyle w:val="BodyText"/>
        <w:rPr>
          <w:lang w:eastAsia="en-US"/>
        </w:rPr>
      </w:pPr>
      <w:r w:rsidRPr="78F42BF0">
        <w:rPr>
          <w:lang w:eastAsia="en-US"/>
        </w:rPr>
        <w:t xml:space="preserve">Accreditation and onboarding are key concepts within the TDIF, ensuring that the </w:t>
      </w:r>
      <w:r w:rsidR="00802C47">
        <w:rPr>
          <w:lang w:eastAsia="en-US"/>
        </w:rPr>
        <w:t>AGDIS</w:t>
      </w:r>
      <w:r w:rsidRPr="78F42BF0">
        <w:rPr>
          <w:lang w:eastAsia="en-US"/>
        </w:rPr>
        <w:t xml:space="preserve"> remains secure and trustworthy.</w:t>
      </w:r>
      <w:r w:rsidR="00737BA2" w:rsidRPr="78F42BF0">
        <w:rPr>
          <w:lang w:eastAsia="en-US"/>
        </w:rPr>
        <w:t xml:space="preserve"> </w:t>
      </w:r>
      <w:r w:rsidRPr="78F42BF0">
        <w:rPr>
          <w:lang w:eastAsia="en-US"/>
        </w:rPr>
        <w:t xml:space="preserve">Entities are accredited as </w:t>
      </w:r>
      <w:r w:rsidR="00757F07" w:rsidRPr="78F42BF0">
        <w:rPr>
          <w:lang w:eastAsia="en-US"/>
        </w:rPr>
        <w:t xml:space="preserve">one </w:t>
      </w:r>
      <w:r w:rsidR="009511EE" w:rsidRPr="78F42BF0">
        <w:rPr>
          <w:lang w:eastAsia="en-US"/>
        </w:rPr>
        <w:t xml:space="preserve">or multiple </w:t>
      </w:r>
      <w:r w:rsidRPr="78F42BF0">
        <w:rPr>
          <w:lang w:eastAsia="en-US"/>
        </w:rPr>
        <w:t xml:space="preserve">roles </w:t>
      </w:r>
      <w:r w:rsidR="00757F07" w:rsidRPr="78F42BF0">
        <w:rPr>
          <w:lang w:eastAsia="en-US"/>
        </w:rPr>
        <w:t xml:space="preserve">specified </w:t>
      </w:r>
      <w:r w:rsidRPr="78F42BF0">
        <w:rPr>
          <w:lang w:eastAsia="en-US"/>
        </w:rPr>
        <w:t xml:space="preserve">within the </w:t>
      </w:r>
      <w:r w:rsidR="00C51573" w:rsidRPr="78F42BF0">
        <w:rPr>
          <w:lang w:eastAsia="en-US"/>
        </w:rPr>
        <w:t xml:space="preserve">TDIF </w:t>
      </w:r>
      <w:r w:rsidRPr="78F42BF0">
        <w:rPr>
          <w:lang w:eastAsia="en-US"/>
        </w:rPr>
        <w:t>(</w:t>
      </w:r>
      <w:r w:rsidR="11B6496D" w:rsidRPr="78F42BF0">
        <w:rPr>
          <w:lang w:eastAsia="en-US"/>
        </w:rPr>
        <w:t>e.g.</w:t>
      </w:r>
      <w:r w:rsidRPr="78F42BF0">
        <w:rPr>
          <w:lang w:eastAsia="en-US"/>
        </w:rPr>
        <w:t xml:space="preserve"> </w:t>
      </w:r>
      <w:r w:rsidR="0031107F" w:rsidRPr="78F42BF0">
        <w:rPr>
          <w:lang w:eastAsia="en-US"/>
        </w:rPr>
        <w:t>a</w:t>
      </w:r>
      <w:r w:rsidRPr="78F42BF0">
        <w:rPr>
          <w:lang w:eastAsia="en-US"/>
        </w:rPr>
        <w:t xml:space="preserve">ttribute </w:t>
      </w:r>
      <w:r w:rsidR="0031107F" w:rsidRPr="78F42BF0">
        <w:rPr>
          <w:lang w:eastAsia="en-US"/>
        </w:rPr>
        <w:t>p</w:t>
      </w:r>
      <w:r w:rsidRPr="78F42BF0">
        <w:rPr>
          <w:lang w:eastAsia="en-US"/>
        </w:rPr>
        <w:t>rovider</w:t>
      </w:r>
      <w:r w:rsidR="000032F0" w:rsidRPr="78F42BF0">
        <w:rPr>
          <w:lang w:eastAsia="en-US"/>
        </w:rPr>
        <w:t xml:space="preserve"> or</w:t>
      </w:r>
      <w:r w:rsidRPr="78F42BF0">
        <w:rPr>
          <w:lang w:eastAsia="en-US"/>
        </w:rPr>
        <w:t xml:space="preserve"> </w:t>
      </w:r>
      <w:r w:rsidR="0031107F" w:rsidRPr="78F42BF0">
        <w:rPr>
          <w:lang w:eastAsia="en-US"/>
        </w:rPr>
        <w:t>i</w:t>
      </w:r>
      <w:r w:rsidRPr="78F42BF0">
        <w:rPr>
          <w:lang w:eastAsia="en-US"/>
        </w:rPr>
        <w:t xml:space="preserve">dentity </w:t>
      </w:r>
      <w:r w:rsidR="000032F0" w:rsidRPr="78F42BF0">
        <w:rPr>
          <w:lang w:eastAsia="en-US"/>
        </w:rPr>
        <w:t>p</w:t>
      </w:r>
      <w:r w:rsidRPr="78F42BF0">
        <w:rPr>
          <w:lang w:eastAsia="en-US"/>
        </w:rPr>
        <w:t xml:space="preserve">rovider). </w:t>
      </w:r>
    </w:p>
    <w:p w14:paraId="0A766C81" w14:textId="77777777" w:rsidR="00317BFF" w:rsidRDefault="005163FC" w:rsidP="008C56D6">
      <w:pPr>
        <w:pStyle w:val="BodyText"/>
        <w:rPr>
          <w:lang w:eastAsia="en-US"/>
        </w:rPr>
      </w:pPr>
      <w:r>
        <w:rPr>
          <w:lang w:eastAsia="en-US"/>
        </w:rPr>
        <w:t xml:space="preserve">Accredited entities </w:t>
      </w:r>
      <w:r w:rsidR="00D04B6E">
        <w:rPr>
          <w:lang w:eastAsia="en-US"/>
        </w:rPr>
        <w:t>may choose one of three ways to participate in the Commonwealth’s ecosystem</w:t>
      </w:r>
      <w:r w:rsidR="00317BFF">
        <w:rPr>
          <w:lang w:eastAsia="en-US"/>
        </w:rPr>
        <w:t>:</w:t>
      </w:r>
    </w:p>
    <w:p w14:paraId="7D5490C1" w14:textId="4C77E89C" w:rsidR="00E969CE" w:rsidRDefault="00317BFF" w:rsidP="00F409BB">
      <w:pPr>
        <w:pStyle w:val="BodyText"/>
        <w:numPr>
          <w:ilvl w:val="0"/>
          <w:numId w:val="22"/>
        </w:numPr>
        <w:rPr>
          <w:lang w:eastAsia="en-US"/>
        </w:rPr>
      </w:pPr>
      <w:r>
        <w:rPr>
          <w:lang w:eastAsia="en-US"/>
        </w:rPr>
        <w:t xml:space="preserve">Achieve accreditation </w:t>
      </w:r>
      <w:r w:rsidR="00E969CE">
        <w:rPr>
          <w:lang w:eastAsia="en-US"/>
        </w:rPr>
        <w:t xml:space="preserve">to be recognised as meeting the </w:t>
      </w:r>
      <w:r w:rsidR="001F27B0">
        <w:rPr>
          <w:lang w:eastAsia="en-US"/>
        </w:rPr>
        <w:t>Commonwealth Government</w:t>
      </w:r>
      <w:r w:rsidR="00E969CE">
        <w:rPr>
          <w:lang w:eastAsia="en-US"/>
        </w:rPr>
        <w:t xml:space="preserve">’s high standards </w:t>
      </w:r>
      <w:r w:rsidR="00D530F9">
        <w:rPr>
          <w:lang w:eastAsia="en-US"/>
        </w:rPr>
        <w:t>in</w:t>
      </w:r>
      <w:r w:rsidR="00E969CE">
        <w:rPr>
          <w:lang w:eastAsia="en-US"/>
        </w:rPr>
        <w:t xml:space="preserve"> </w:t>
      </w:r>
      <w:r w:rsidR="00D530F9">
        <w:rPr>
          <w:lang w:eastAsia="en-US"/>
        </w:rPr>
        <w:t>providing</w:t>
      </w:r>
      <w:r w:rsidR="00E969CE">
        <w:rPr>
          <w:lang w:eastAsia="en-US"/>
        </w:rPr>
        <w:t xml:space="preserve"> identity services.</w:t>
      </w:r>
    </w:p>
    <w:p w14:paraId="0A734021" w14:textId="481C104B" w:rsidR="00C42EB9" w:rsidRDefault="00E969CE" w:rsidP="00C42EB9">
      <w:pPr>
        <w:pStyle w:val="BodyText"/>
        <w:numPr>
          <w:ilvl w:val="0"/>
          <w:numId w:val="22"/>
        </w:numPr>
        <w:rPr>
          <w:lang w:eastAsia="en-US"/>
        </w:rPr>
      </w:pPr>
      <w:r>
        <w:rPr>
          <w:lang w:eastAsia="en-US"/>
        </w:rPr>
        <w:t>Achieve a</w:t>
      </w:r>
      <w:r w:rsidR="00D530F9">
        <w:rPr>
          <w:lang w:eastAsia="en-US"/>
        </w:rPr>
        <w:t xml:space="preserve">ccreditation </w:t>
      </w:r>
      <w:r w:rsidR="001F27B0">
        <w:rPr>
          <w:lang w:eastAsia="en-US"/>
        </w:rPr>
        <w:t xml:space="preserve">to participate in the </w:t>
      </w:r>
      <w:r w:rsidR="00E02599">
        <w:rPr>
          <w:lang w:eastAsia="en-US"/>
        </w:rPr>
        <w:t>AGDIS</w:t>
      </w:r>
      <w:r w:rsidR="00C42EB9">
        <w:rPr>
          <w:lang w:eastAsia="en-US"/>
        </w:rPr>
        <w:t xml:space="preserve">. </w:t>
      </w:r>
      <w:r w:rsidR="00E6232E" w:rsidRPr="000B7589">
        <w:rPr>
          <w:lang w:eastAsia="en-US"/>
        </w:rPr>
        <w:t xml:space="preserve">The accreditation process is rigorous and involves undertaking various activities and providing documentation to the </w:t>
      </w:r>
      <w:r w:rsidR="0047394A">
        <w:rPr>
          <w:lang w:eastAsia="en-US"/>
        </w:rPr>
        <w:t>accreditor (</w:t>
      </w:r>
      <w:r w:rsidR="00CF3394">
        <w:rPr>
          <w:lang w:eastAsia="en-US"/>
        </w:rPr>
        <w:t>i.e.,</w:t>
      </w:r>
      <w:r w:rsidR="00AD0FB3">
        <w:rPr>
          <w:lang w:eastAsia="en-US"/>
        </w:rPr>
        <w:t xml:space="preserve"> </w:t>
      </w:r>
      <w:r w:rsidR="0047394A">
        <w:rPr>
          <w:lang w:eastAsia="en-US"/>
        </w:rPr>
        <w:t>the Interim Oversight Authority, discussed further below)</w:t>
      </w:r>
      <w:r w:rsidR="00E6232E" w:rsidRPr="000B7589">
        <w:rPr>
          <w:lang w:eastAsia="en-US"/>
        </w:rPr>
        <w:t xml:space="preserve">, third party evaluations and operational testing. </w:t>
      </w:r>
    </w:p>
    <w:p w14:paraId="6DEB2C33" w14:textId="2885607C" w:rsidR="00E6232E" w:rsidRPr="000B7589" w:rsidRDefault="00E6232E" w:rsidP="00C42EB9">
      <w:pPr>
        <w:pStyle w:val="BodyText"/>
        <w:numPr>
          <w:ilvl w:val="0"/>
          <w:numId w:val="22"/>
        </w:numPr>
        <w:rPr>
          <w:lang w:eastAsia="en-US"/>
        </w:rPr>
      </w:pPr>
      <w:r w:rsidRPr="000B7589">
        <w:rPr>
          <w:lang w:eastAsia="en-US"/>
        </w:rPr>
        <w:t xml:space="preserve">Entities </w:t>
      </w:r>
      <w:r w:rsidR="00C15C1B">
        <w:rPr>
          <w:lang w:eastAsia="en-US"/>
        </w:rPr>
        <w:t>that</w:t>
      </w:r>
      <w:r w:rsidRPr="000B7589">
        <w:rPr>
          <w:lang w:eastAsia="en-US"/>
        </w:rPr>
        <w:t xml:space="preserve"> are accredited may or may not also be </w:t>
      </w:r>
      <w:r w:rsidR="00BA06AB">
        <w:rPr>
          <w:lang w:eastAsia="en-US"/>
        </w:rPr>
        <w:t>‘</w:t>
      </w:r>
      <w:r w:rsidRPr="000B7589">
        <w:rPr>
          <w:lang w:eastAsia="en-US"/>
        </w:rPr>
        <w:t>onboarded</w:t>
      </w:r>
      <w:r w:rsidR="00BA06AB">
        <w:rPr>
          <w:lang w:eastAsia="en-US"/>
        </w:rPr>
        <w:t>’</w:t>
      </w:r>
      <w:r w:rsidRPr="000B7589">
        <w:rPr>
          <w:lang w:eastAsia="en-US"/>
        </w:rPr>
        <w:t xml:space="preserve"> to </w:t>
      </w:r>
      <w:r w:rsidR="00832EAF">
        <w:rPr>
          <w:lang w:eastAsia="en-US"/>
        </w:rPr>
        <w:t>AGDIS</w:t>
      </w:r>
      <w:r w:rsidRPr="000B7589">
        <w:rPr>
          <w:lang w:eastAsia="en-US"/>
        </w:rPr>
        <w:t xml:space="preserve">, referring to </w:t>
      </w:r>
      <w:r w:rsidR="002E40F5">
        <w:rPr>
          <w:lang w:eastAsia="en-US"/>
        </w:rPr>
        <w:t>establishing</w:t>
      </w:r>
      <w:r w:rsidRPr="000B7589">
        <w:rPr>
          <w:lang w:eastAsia="en-US"/>
        </w:rPr>
        <w:t xml:space="preserve"> the physical </w:t>
      </w:r>
      <w:r w:rsidR="004C6F60">
        <w:rPr>
          <w:lang w:eastAsia="en-US"/>
        </w:rPr>
        <w:t xml:space="preserve">technical </w:t>
      </w:r>
      <w:r w:rsidRPr="000B7589">
        <w:rPr>
          <w:lang w:eastAsia="en-US"/>
        </w:rPr>
        <w:t xml:space="preserve">connection of the entity’s system to </w:t>
      </w:r>
      <w:r w:rsidR="00AE6646">
        <w:rPr>
          <w:lang w:eastAsia="en-US"/>
        </w:rPr>
        <w:t>AGDIS</w:t>
      </w:r>
      <w:r w:rsidRPr="000B7589">
        <w:rPr>
          <w:lang w:eastAsia="en-US"/>
        </w:rPr>
        <w:t>.</w:t>
      </w:r>
      <w:r w:rsidR="00737BA2">
        <w:rPr>
          <w:lang w:eastAsia="en-US"/>
        </w:rPr>
        <w:t xml:space="preserve"> </w:t>
      </w:r>
      <w:r w:rsidRPr="000B7589">
        <w:rPr>
          <w:lang w:eastAsia="en-US"/>
        </w:rPr>
        <w:t xml:space="preserve">Onboarding may occur </w:t>
      </w:r>
      <w:r w:rsidR="00BA06AB">
        <w:rPr>
          <w:lang w:eastAsia="en-US"/>
        </w:rPr>
        <w:t>‘</w:t>
      </w:r>
      <w:r w:rsidRPr="000B7589">
        <w:rPr>
          <w:lang w:eastAsia="en-US"/>
        </w:rPr>
        <w:t>indirectly</w:t>
      </w:r>
      <w:r w:rsidR="00BA06AB">
        <w:rPr>
          <w:lang w:eastAsia="en-US"/>
        </w:rPr>
        <w:t>’</w:t>
      </w:r>
      <w:r w:rsidRPr="000B7589">
        <w:rPr>
          <w:lang w:eastAsia="en-US"/>
        </w:rPr>
        <w:t xml:space="preserve"> in some cases (particularly for </w:t>
      </w:r>
      <w:r w:rsidR="0031107F">
        <w:rPr>
          <w:lang w:eastAsia="en-US"/>
        </w:rPr>
        <w:t>c</w:t>
      </w:r>
      <w:r w:rsidRPr="000B7589">
        <w:rPr>
          <w:lang w:eastAsia="en-US"/>
        </w:rPr>
        <w:t xml:space="preserve">redential </w:t>
      </w:r>
      <w:r w:rsidR="0031107F">
        <w:rPr>
          <w:lang w:eastAsia="en-US"/>
        </w:rPr>
        <w:t>s</w:t>
      </w:r>
      <w:r w:rsidRPr="000B7589">
        <w:rPr>
          <w:lang w:eastAsia="en-US"/>
        </w:rPr>
        <w:t xml:space="preserve">ervice </w:t>
      </w:r>
      <w:r w:rsidR="0031107F" w:rsidRPr="0031107F">
        <w:rPr>
          <w:lang w:eastAsia="en-US"/>
        </w:rPr>
        <w:t>p</w:t>
      </w:r>
      <w:r w:rsidRPr="0031107F">
        <w:rPr>
          <w:lang w:eastAsia="en-US"/>
        </w:rPr>
        <w:t xml:space="preserve">roviders, which may connect only to an </w:t>
      </w:r>
      <w:r w:rsidR="0031107F" w:rsidRPr="0031107F">
        <w:rPr>
          <w:lang w:eastAsia="en-US"/>
        </w:rPr>
        <w:t>i</w:t>
      </w:r>
      <w:r w:rsidRPr="0031107F">
        <w:rPr>
          <w:lang w:eastAsia="en-US"/>
        </w:rPr>
        <w:t xml:space="preserve">dentity </w:t>
      </w:r>
      <w:r w:rsidR="0031107F" w:rsidRPr="0031107F">
        <w:rPr>
          <w:lang w:eastAsia="en-US"/>
        </w:rPr>
        <w:t>p</w:t>
      </w:r>
      <w:r w:rsidRPr="0031107F">
        <w:rPr>
          <w:lang w:eastAsia="en-US"/>
        </w:rPr>
        <w:t>rovider).</w:t>
      </w:r>
    </w:p>
    <w:p w14:paraId="720B926B" w14:textId="734CB218" w:rsidR="00E6232E" w:rsidRPr="000B7589" w:rsidRDefault="00E6232E" w:rsidP="008C56D6">
      <w:pPr>
        <w:pStyle w:val="BodyText"/>
        <w:rPr>
          <w:lang w:eastAsia="en-US"/>
        </w:rPr>
      </w:pPr>
      <w:r w:rsidRPr="000B7589">
        <w:rPr>
          <w:lang w:eastAsia="en-US"/>
        </w:rPr>
        <w:t xml:space="preserve">The key roles within and related to the </w:t>
      </w:r>
      <w:r w:rsidR="00AE6646">
        <w:rPr>
          <w:lang w:eastAsia="en-US"/>
        </w:rPr>
        <w:t>AGDIS</w:t>
      </w:r>
      <w:r w:rsidR="00AE6646" w:rsidRPr="000B7589">
        <w:rPr>
          <w:lang w:eastAsia="en-US"/>
        </w:rPr>
        <w:t xml:space="preserve"> </w:t>
      </w:r>
      <w:r w:rsidRPr="000B7589">
        <w:rPr>
          <w:lang w:eastAsia="en-US"/>
        </w:rPr>
        <w:t xml:space="preserve">are described further </w:t>
      </w:r>
      <w:r w:rsidRPr="00A058A6">
        <w:rPr>
          <w:color w:val="000000" w:themeColor="text1"/>
          <w:lang w:eastAsia="en-US"/>
        </w:rPr>
        <w:t>in</w:t>
      </w:r>
      <w:r w:rsidR="004758CA" w:rsidRPr="00A058A6">
        <w:rPr>
          <w:color w:val="000000" w:themeColor="text1"/>
          <w:lang w:eastAsia="en-US"/>
        </w:rPr>
        <w:t xml:space="preserve"> </w:t>
      </w:r>
      <w:r w:rsidRPr="00CF48C1">
        <w:rPr>
          <w:color w:val="008675"/>
          <w:lang w:eastAsia="en-US"/>
        </w:rPr>
        <w:t xml:space="preserve">Section </w:t>
      </w:r>
      <w:r w:rsidRPr="00CF48C1">
        <w:rPr>
          <w:color w:val="008675"/>
        </w:rPr>
        <w:fldChar w:fldCharType="begin"/>
      </w:r>
      <w:r w:rsidRPr="00CF48C1">
        <w:rPr>
          <w:color w:val="008675"/>
        </w:rPr>
        <w:instrText xml:space="preserve"> REF _Ref65134391 \h  \* MERGEFORMAT </w:instrText>
      </w:r>
      <w:r w:rsidRPr="00CF48C1">
        <w:rPr>
          <w:color w:val="008675"/>
        </w:rPr>
      </w:r>
      <w:r w:rsidRPr="00CF48C1">
        <w:rPr>
          <w:color w:val="008675"/>
        </w:rPr>
        <w:fldChar w:fldCharType="separate"/>
      </w:r>
      <w:r w:rsidR="009158AC" w:rsidRPr="00CF48C1">
        <w:rPr>
          <w:color w:val="008675"/>
          <w:lang w:eastAsia="en-US"/>
        </w:rPr>
        <w:t xml:space="preserve">2.3.3 Entities, </w:t>
      </w:r>
      <w:r w:rsidR="0031107F" w:rsidRPr="00CF48C1">
        <w:rPr>
          <w:color w:val="008675"/>
          <w:lang w:eastAsia="en-US"/>
        </w:rPr>
        <w:t>i</w:t>
      </w:r>
      <w:r w:rsidR="009158AC" w:rsidRPr="00CF48C1">
        <w:rPr>
          <w:color w:val="008675"/>
          <w:lang w:eastAsia="en-US"/>
        </w:rPr>
        <w:t xml:space="preserve">nteractions and </w:t>
      </w:r>
      <w:r w:rsidR="0031107F" w:rsidRPr="00CF48C1">
        <w:rPr>
          <w:color w:val="008675"/>
          <w:lang w:eastAsia="en-US"/>
        </w:rPr>
        <w:t>i</w:t>
      </w:r>
      <w:r w:rsidR="009158AC" w:rsidRPr="00CF48C1">
        <w:rPr>
          <w:color w:val="008675"/>
          <w:lang w:eastAsia="en-US"/>
        </w:rPr>
        <w:t xml:space="preserve">ncentives within the </w:t>
      </w:r>
      <w:r w:rsidR="0031107F" w:rsidRPr="00CF48C1">
        <w:rPr>
          <w:color w:val="008675"/>
          <w:lang w:eastAsia="en-US"/>
        </w:rPr>
        <w:t>c</w:t>
      </w:r>
      <w:r w:rsidR="009158AC" w:rsidRPr="00CF48C1">
        <w:rPr>
          <w:color w:val="008675"/>
          <w:lang w:eastAsia="en-US"/>
        </w:rPr>
        <w:t>urrent System</w:t>
      </w:r>
      <w:r w:rsidRPr="00CF48C1">
        <w:rPr>
          <w:color w:val="008675"/>
        </w:rPr>
        <w:fldChar w:fldCharType="end"/>
      </w:r>
      <w:r w:rsidRPr="000B7589">
        <w:rPr>
          <w:lang w:eastAsia="en-US"/>
        </w:rPr>
        <w:t xml:space="preserve">. In summary, </w:t>
      </w:r>
      <w:r w:rsidR="003D6034">
        <w:rPr>
          <w:lang w:eastAsia="en-US"/>
        </w:rPr>
        <w:t>roles</w:t>
      </w:r>
      <w:r w:rsidR="003D6034" w:rsidRPr="000B7589">
        <w:rPr>
          <w:lang w:eastAsia="en-US"/>
        </w:rPr>
        <w:t xml:space="preserve"> </w:t>
      </w:r>
      <w:r w:rsidRPr="000B7589">
        <w:rPr>
          <w:lang w:eastAsia="en-US"/>
        </w:rPr>
        <w:t xml:space="preserve">in the ecosystem fall into </w:t>
      </w:r>
      <w:r w:rsidR="003D6034">
        <w:rPr>
          <w:lang w:eastAsia="en-US"/>
        </w:rPr>
        <w:t>the following</w:t>
      </w:r>
      <w:r w:rsidR="003D6034" w:rsidRPr="000B7589">
        <w:rPr>
          <w:lang w:eastAsia="en-US"/>
        </w:rPr>
        <w:t xml:space="preserve"> </w:t>
      </w:r>
      <w:r w:rsidRPr="000B7589">
        <w:rPr>
          <w:lang w:eastAsia="en-US"/>
        </w:rPr>
        <w:t>primary categories:</w:t>
      </w:r>
    </w:p>
    <w:p w14:paraId="40FD0763" w14:textId="519DF25E" w:rsidR="00E6232E" w:rsidRPr="000B7589" w:rsidRDefault="005867A4" w:rsidP="008C56D6">
      <w:pPr>
        <w:pStyle w:val="ListBulletLevel1"/>
        <w:rPr>
          <w:lang w:eastAsia="en-US"/>
        </w:rPr>
      </w:pPr>
      <w:r>
        <w:rPr>
          <w:b/>
          <w:bCs/>
          <w:lang w:eastAsia="en-US"/>
        </w:rPr>
        <w:t>u</w:t>
      </w:r>
      <w:r w:rsidR="00E6232E" w:rsidRPr="000B7589">
        <w:rPr>
          <w:b/>
          <w:bCs/>
          <w:lang w:eastAsia="en-US"/>
        </w:rPr>
        <w:t>ser</w:t>
      </w:r>
      <w:r w:rsidR="00E6232E" w:rsidRPr="000B7589">
        <w:rPr>
          <w:lang w:eastAsia="en-US"/>
        </w:rPr>
        <w:t xml:space="preserve"> – </w:t>
      </w:r>
      <w:r>
        <w:rPr>
          <w:lang w:eastAsia="en-US"/>
        </w:rPr>
        <w:t>a</w:t>
      </w:r>
      <w:r w:rsidR="00E6232E" w:rsidRPr="000B7589">
        <w:rPr>
          <w:lang w:eastAsia="en-US"/>
        </w:rPr>
        <w:t xml:space="preserve">n individual seeking to use </w:t>
      </w:r>
      <w:r w:rsidR="00AE6646" w:rsidRPr="00406CDC">
        <w:rPr>
          <w:lang w:eastAsia="en-US"/>
        </w:rPr>
        <w:t>Digital ID</w:t>
      </w:r>
      <w:r w:rsidR="00E6232E" w:rsidRPr="000B7589">
        <w:rPr>
          <w:lang w:eastAsia="en-US"/>
        </w:rPr>
        <w:t>. Does not need to be accredited nor onboarded</w:t>
      </w:r>
    </w:p>
    <w:p w14:paraId="461125D3" w14:textId="3BA07FCE" w:rsidR="00E6232E" w:rsidRPr="000B7589" w:rsidRDefault="00023430" w:rsidP="008C56D6">
      <w:pPr>
        <w:pStyle w:val="ListBulletLevel1"/>
        <w:rPr>
          <w:lang w:eastAsia="en-US"/>
        </w:rPr>
      </w:pPr>
      <w:r>
        <w:rPr>
          <w:b/>
          <w:bCs/>
          <w:lang w:eastAsia="en-US"/>
        </w:rPr>
        <w:t xml:space="preserve">onboarded accredited </w:t>
      </w:r>
      <w:r w:rsidR="007525B9">
        <w:rPr>
          <w:b/>
          <w:bCs/>
          <w:lang w:eastAsia="en-US"/>
        </w:rPr>
        <w:t xml:space="preserve">(participating) </w:t>
      </w:r>
      <w:r>
        <w:rPr>
          <w:b/>
          <w:bCs/>
          <w:lang w:eastAsia="en-US"/>
        </w:rPr>
        <w:t>entitie</w:t>
      </w:r>
      <w:r w:rsidR="00E6232E" w:rsidRPr="000B7589">
        <w:rPr>
          <w:b/>
          <w:bCs/>
          <w:lang w:eastAsia="en-US"/>
        </w:rPr>
        <w:t>s</w:t>
      </w:r>
      <w:r w:rsidR="00E6232E" w:rsidRPr="000B7589">
        <w:rPr>
          <w:lang w:eastAsia="en-US"/>
        </w:rPr>
        <w:t xml:space="preserve"> </w:t>
      </w:r>
      <w:r w:rsidR="0031107F" w:rsidRPr="000B7589">
        <w:rPr>
          <w:lang w:eastAsia="en-US"/>
        </w:rPr>
        <w:t>–</w:t>
      </w:r>
      <w:r w:rsidR="00E6232E" w:rsidRPr="000B7589">
        <w:rPr>
          <w:lang w:eastAsia="en-US"/>
        </w:rPr>
        <w:t xml:space="preserve"> </w:t>
      </w:r>
      <w:r w:rsidR="005867A4">
        <w:rPr>
          <w:lang w:eastAsia="en-US"/>
        </w:rPr>
        <w:t>e</w:t>
      </w:r>
      <w:r w:rsidR="00E6232E" w:rsidRPr="000B7589">
        <w:rPr>
          <w:lang w:eastAsia="en-US"/>
        </w:rPr>
        <w:t xml:space="preserve">ntities that are accredited and onboarded to </w:t>
      </w:r>
      <w:r w:rsidR="00406CDC">
        <w:rPr>
          <w:lang w:eastAsia="en-US"/>
        </w:rPr>
        <w:t>AGDIS</w:t>
      </w:r>
      <w:r w:rsidR="00E6232E" w:rsidRPr="000B7589">
        <w:rPr>
          <w:lang w:eastAsia="en-US"/>
        </w:rPr>
        <w:t>.</w:t>
      </w:r>
      <w:r w:rsidR="00737BA2">
        <w:rPr>
          <w:lang w:eastAsia="en-US"/>
        </w:rPr>
        <w:t xml:space="preserve"> </w:t>
      </w:r>
      <w:r w:rsidR="00E6232E" w:rsidRPr="000B7589">
        <w:rPr>
          <w:lang w:eastAsia="en-US"/>
        </w:rPr>
        <w:t xml:space="preserve">Roles which require accreditation are </w:t>
      </w:r>
      <w:r w:rsidR="0031107F">
        <w:rPr>
          <w:lang w:eastAsia="en-US"/>
        </w:rPr>
        <w:t>a</w:t>
      </w:r>
      <w:r w:rsidR="00E6232E" w:rsidRPr="000B7589">
        <w:rPr>
          <w:lang w:eastAsia="en-US"/>
        </w:rPr>
        <w:t xml:space="preserve">ttribute </w:t>
      </w:r>
      <w:r w:rsidR="0031107F">
        <w:rPr>
          <w:lang w:eastAsia="en-US"/>
        </w:rPr>
        <w:t>p</w:t>
      </w:r>
      <w:r w:rsidR="00E6232E" w:rsidRPr="000B7589">
        <w:rPr>
          <w:lang w:eastAsia="en-US"/>
        </w:rPr>
        <w:t>rovider</w:t>
      </w:r>
      <w:r w:rsidR="0095124A">
        <w:rPr>
          <w:lang w:eastAsia="en-US"/>
        </w:rPr>
        <w:t xml:space="preserve"> (</w:t>
      </w:r>
      <w:r w:rsidR="0095124A" w:rsidRPr="00653E85">
        <w:rPr>
          <w:b/>
          <w:bCs/>
          <w:lang w:eastAsia="en-US"/>
        </w:rPr>
        <w:t>AP</w:t>
      </w:r>
      <w:r w:rsidR="0095124A">
        <w:rPr>
          <w:lang w:eastAsia="en-US"/>
        </w:rPr>
        <w:t>)</w:t>
      </w:r>
      <w:r w:rsidR="00E6232E" w:rsidRPr="000B7589">
        <w:rPr>
          <w:lang w:eastAsia="en-US"/>
        </w:rPr>
        <w:t xml:space="preserve">, </w:t>
      </w:r>
      <w:r w:rsidR="0031107F">
        <w:rPr>
          <w:lang w:eastAsia="en-US"/>
        </w:rPr>
        <w:t>c</w:t>
      </w:r>
      <w:r w:rsidR="00E6232E" w:rsidRPr="000B7589">
        <w:rPr>
          <w:lang w:eastAsia="en-US"/>
        </w:rPr>
        <w:t xml:space="preserve">redential </w:t>
      </w:r>
      <w:r w:rsidR="0031107F">
        <w:rPr>
          <w:lang w:eastAsia="en-US"/>
        </w:rPr>
        <w:t>s</w:t>
      </w:r>
      <w:r w:rsidR="00E6232E" w:rsidRPr="000B7589">
        <w:rPr>
          <w:lang w:eastAsia="en-US"/>
        </w:rPr>
        <w:t xml:space="preserve">ervice </w:t>
      </w:r>
      <w:r w:rsidR="0031107F">
        <w:rPr>
          <w:lang w:eastAsia="en-US"/>
        </w:rPr>
        <w:t>p</w:t>
      </w:r>
      <w:r w:rsidR="00E6232E" w:rsidRPr="000B7589">
        <w:rPr>
          <w:lang w:eastAsia="en-US"/>
        </w:rPr>
        <w:t>rovider</w:t>
      </w:r>
      <w:r w:rsidR="00145184">
        <w:rPr>
          <w:lang w:eastAsia="en-US"/>
        </w:rPr>
        <w:t xml:space="preserve"> (</w:t>
      </w:r>
      <w:r w:rsidR="00145184" w:rsidRPr="00653E85">
        <w:rPr>
          <w:b/>
          <w:bCs/>
          <w:lang w:eastAsia="en-US"/>
        </w:rPr>
        <w:t>CSP</w:t>
      </w:r>
      <w:r w:rsidR="00145184">
        <w:rPr>
          <w:lang w:eastAsia="en-US"/>
        </w:rPr>
        <w:t>)</w:t>
      </w:r>
      <w:r w:rsidR="00E6232E" w:rsidRPr="000B7589">
        <w:rPr>
          <w:lang w:eastAsia="en-US"/>
        </w:rPr>
        <w:t xml:space="preserve">, </w:t>
      </w:r>
      <w:r w:rsidR="0031107F">
        <w:rPr>
          <w:lang w:eastAsia="en-US"/>
        </w:rPr>
        <w:t>i</w:t>
      </w:r>
      <w:r w:rsidR="00E6232E" w:rsidRPr="000B7589">
        <w:rPr>
          <w:lang w:eastAsia="en-US"/>
        </w:rPr>
        <w:t xml:space="preserve">dentity </w:t>
      </w:r>
      <w:r w:rsidR="0031107F">
        <w:rPr>
          <w:lang w:eastAsia="en-US"/>
        </w:rPr>
        <w:t>e</w:t>
      </w:r>
      <w:r w:rsidR="00E6232E" w:rsidRPr="000B7589">
        <w:rPr>
          <w:lang w:eastAsia="en-US"/>
        </w:rPr>
        <w:t>xchange</w:t>
      </w:r>
      <w:r w:rsidR="00144815">
        <w:rPr>
          <w:lang w:eastAsia="en-US"/>
        </w:rPr>
        <w:t xml:space="preserve"> (</w:t>
      </w:r>
      <w:r w:rsidR="00144815" w:rsidRPr="00653E85">
        <w:rPr>
          <w:b/>
          <w:bCs/>
          <w:lang w:eastAsia="en-US"/>
        </w:rPr>
        <w:t>IDX</w:t>
      </w:r>
      <w:r w:rsidR="00144815">
        <w:rPr>
          <w:lang w:eastAsia="en-US"/>
        </w:rPr>
        <w:t>)</w:t>
      </w:r>
      <w:r w:rsidR="00E6232E" w:rsidRPr="000B7589">
        <w:rPr>
          <w:lang w:eastAsia="en-US"/>
        </w:rPr>
        <w:t xml:space="preserve"> and </w:t>
      </w:r>
      <w:r w:rsidR="0031107F">
        <w:rPr>
          <w:lang w:eastAsia="en-US"/>
        </w:rPr>
        <w:t>i</w:t>
      </w:r>
      <w:r w:rsidR="00E6232E" w:rsidRPr="000B7589">
        <w:rPr>
          <w:lang w:eastAsia="en-US"/>
        </w:rPr>
        <w:t xml:space="preserve">dentity </w:t>
      </w:r>
      <w:r w:rsidR="0031107F">
        <w:rPr>
          <w:lang w:eastAsia="en-US"/>
        </w:rPr>
        <w:t>p</w:t>
      </w:r>
      <w:r w:rsidR="00E6232E" w:rsidRPr="000B7589">
        <w:rPr>
          <w:lang w:eastAsia="en-US"/>
        </w:rPr>
        <w:t>rovider</w:t>
      </w:r>
      <w:r w:rsidR="00145184">
        <w:rPr>
          <w:lang w:eastAsia="en-US"/>
        </w:rPr>
        <w:t xml:space="preserve"> (</w:t>
      </w:r>
      <w:r w:rsidR="00145184" w:rsidRPr="00653E85">
        <w:rPr>
          <w:b/>
          <w:bCs/>
          <w:lang w:eastAsia="en-US"/>
        </w:rPr>
        <w:t>IDP</w:t>
      </w:r>
      <w:r w:rsidR="00145184">
        <w:rPr>
          <w:lang w:eastAsia="en-US"/>
        </w:rPr>
        <w:t>)</w:t>
      </w:r>
    </w:p>
    <w:p w14:paraId="2EC698DA" w14:textId="08BA5B08" w:rsidR="00E6232E" w:rsidRPr="003D21E8" w:rsidRDefault="005867A4" w:rsidP="003D21E8">
      <w:pPr>
        <w:pStyle w:val="ListBulletLevel1"/>
        <w:rPr>
          <w:lang w:eastAsia="en-US"/>
        </w:rPr>
      </w:pPr>
      <w:r>
        <w:rPr>
          <w:b/>
          <w:bCs/>
          <w:lang w:eastAsia="en-US"/>
        </w:rPr>
        <w:t>r</w:t>
      </w:r>
      <w:r w:rsidR="00E6232E" w:rsidRPr="000B7589">
        <w:rPr>
          <w:b/>
          <w:bCs/>
          <w:lang w:eastAsia="en-US"/>
        </w:rPr>
        <w:t xml:space="preserve">elying </w:t>
      </w:r>
      <w:r w:rsidR="007F0E75">
        <w:rPr>
          <w:b/>
          <w:bCs/>
          <w:lang w:eastAsia="en-US"/>
        </w:rPr>
        <w:t>p</w:t>
      </w:r>
      <w:r w:rsidR="00E6232E" w:rsidRPr="000B7589">
        <w:rPr>
          <w:b/>
          <w:bCs/>
          <w:lang w:eastAsia="en-US"/>
        </w:rPr>
        <w:t>arties</w:t>
      </w:r>
      <w:r w:rsidR="00604D21">
        <w:rPr>
          <w:b/>
          <w:bCs/>
          <w:lang w:eastAsia="en-US"/>
        </w:rPr>
        <w:t xml:space="preserve"> </w:t>
      </w:r>
      <w:r w:rsidR="00604D21" w:rsidRPr="009A2A29">
        <w:rPr>
          <w:lang w:eastAsia="en-US"/>
        </w:rPr>
        <w:t>(services)</w:t>
      </w:r>
      <w:r w:rsidR="00E6232E" w:rsidRPr="000B7589">
        <w:rPr>
          <w:lang w:eastAsia="en-US"/>
        </w:rPr>
        <w:t xml:space="preserve"> – </w:t>
      </w:r>
      <w:r w:rsidR="001E49CF">
        <w:rPr>
          <w:lang w:eastAsia="en-US"/>
        </w:rPr>
        <w:t>a party that</w:t>
      </w:r>
      <w:r w:rsidR="00186E0B">
        <w:rPr>
          <w:lang w:eastAsia="en-US"/>
        </w:rPr>
        <w:t xml:space="preserve"> </w:t>
      </w:r>
      <w:r>
        <w:rPr>
          <w:lang w:eastAsia="en-US"/>
        </w:rPr>
        <w:t>r</w:t>
      </w:r>
      <w:r w:rsidR="00E6232E" w:rsidRPr="000B7589">
        <w:rPr>
          <w:lang w:eastAsia="en-US"/>
        </w:rPr>
        <w:t>el</w:t>
      </w:r>
      <w:r w:rsidR="001E49CF">
        <w:rPr>
          <w:lang w:eastAsia="en-US"/>
        </w:rPr>
        <w:t>ies</w:t>
      </w:r>
      <w:r w:rsidR="00E6232E" w:rsidRPr="000B7589">
        <w:rPr>
          <w:lang w:eastAsia="en-US"/>
        </w:rPr>
        <w:t xml:space="preserve"> upon verified information provided through the </w:t>
      </w:r>
      <w:r w:rsidR="00406CDC">
        <w:rPr>
          <w:lang w:eastAsia="en-US"/>
        </w:rPr>
        <w:t>AGDIS</w:t>
      </w:r>
      <w:r w:rsidR="00E6232E" w:rsidRPr="000B7589">
        <w:rPr>
          <w:lang w:eastAsia="en-US"/>
        </w:rPr>
        <w:t xml:space="preserve"> to provide a digital service.</w:t>
      </w:r>
      <w:r w:rsidR="00737BA2">
        <w:rPr>
          <w:lang w:eastAsia="en-US"/>
        </w:rPr>
        <w:t xml:space="preserve"> </w:t>
      </w:r>
      <w:r w:rsidR="00E6232E" w:rsidRPr="000B7589">
        <w:rPr>
          <w:lang w:eastAsia="en-US"/>
        </w:rPr>
        <w:t>Must be onboarded, but not accredited.</w:t>
      </w:r>
    </w:p>
    <w:p w14:paraId="13E2A390" w14:textId="21258FC8" w:rsidR="00E6232E" w:rsidRPr="000B7589" w:rsidRDefault="009D7E20" w:rsidP="00806489">
      <w:pPr>
        <w:pStyle w:val="BodyText"/>
        <w:rPr>
          <w:lang w:eastAsia="en-US"/>
        </w:rPr>
      </w:pPr>
      <w:r>
        <w:rPr>
          <w:lang w:eastAsia="en-US"/>
        </w:rPr>
        <w:lastRenderedPageBreak/>
        <w:t>In addition to the above, e</w:t>
      </w:r>
      <w:r w:rsidR="00E6232E" w:rsidRPr="000B7589">
        <w:rPr>
          <w:lang w:eastAsia="en-US"/>
        </w:rPr>
        <w:t xml:space="preserve">ntities may choose to be accredited under the TDIF but not onboarded to </w:t>
      </w:r>
      <w:r w:rsidR="005B508C">
        <w:rPr>
          <w:lang w:eastAsia="en-US"/>
        </w:rPr>
        <w:t xml:space="preserve">the </w:t>
      </w:r>
      <w:r w:rsidR="00406CDC">
        <w:rPr>
          <w:lang w:eastAsia="en-US"/>
        </w:rPr>
        <w:t>AGDIS</w:t>
      </w:r>
      <w:r w:rsidR="00E6232E" w:rsidRPr="000B7589">
        <w:rPr>
          <w:lang w:eastAsia="en-US"/>
        </w:rPr>
        <w:t xml:space="preserve"> for </w:t>
      </w:r>
      <w:r w:rsidR="00285550" w:rsidRPr="000B7589">
        <w:rPr>
          <w:lang w:eastAsia="en-US"/>
        </w:rPr>
        <w:t>several</w:t>
      </w:r>
      <w:r w:rsidR="00E6232E" w:rsidRPr="000B7589">
        <w:rPr>
          <w:lang w:eastAsia="en-US"/>
        </w:rPr>
        <w:t xml:space="preserve"> reasons, including to enhance the perceived assurance of their identity system</w:t>
      </w:r>
      <w:r>
        <w:rPr>
          <w:lang w:eastAsia="en-US"/>
        </w:rPr>
        <w:t xml:space="preserve"> (</w:t>
      </w:r>
      <w:r w:rsidR="005867A4">
        <w:rPr>
          <w:b/>
          <w:bCs/>
          <w:lang w:eastAsia="en-US"/>
        </w:rPr>
        <w:t>a</w:t>
      </w:r>
      <w:r>
        <w:rPr>
          <w:b/>
          <w:bCs/>
          <w:lang w:eastAsia="en-US"/>
        </w:rPr>
        <w:t xml:space="preserve">ccredited </w:t>
      </w:r>
      <w:r w:rsidR="005867A4">
        <w:rPr>
          <w:b/>
          <w:bCs/>
          <w:lang w:eastAsia="en-US"/>
        </w:rPr>
        <w:t>e</w:t>
      </w:r>
      <w:r>
        <w:rPr>
          <w:b/>
          <w:bCs/>
          <w:lang w:eastAsia="en-US"/>
        </w:rPr>
        <w:t>ntities</w:t>
      </w:r>
      <w:r>
        <w:rPr>
          <w:lang w:eastAsia="en-US"/>
        </w:rPr>
        <w:t>)</w:t>
      </w:r>
      <w:r w:rsidR="00E6232E" w:rsidRPr="000B7589">
        <w:rPr>
          <w:lang w:eastAsia="en-US"/>
        </w:rPr>
        <w:t>.</w:t>
      </w:r>
      <w:r w:rsidR="00737BA2">
        <w:rPr>
          <w:lang w:eastAsia="en-US"/>
        </w:rPr>
        <w:t xml:space="preserve"> </w:t>
      </w:r>
      <w:r w:rsidR="00E6232E" w:rsidRPr="000B7589">
        <w:rPr>
          <w:lang w:eastAsia="en-US"/>
        </w:rPr>
        <w:t xml:space="preserve">Once accredited or onboarded, entities need to continually demonstrate they meet their TDIF obligations as relevant to their role </w:t>
      </w:r>
      <w:r w:rsidR="00462CA0">
        <w:rPr>
          <w:lang w:eastAsia="en-US"/>
        </w:rPr>
        <w:t xml:space="preserve">and prove this </w:t>
      </w:r>
      <w:r w:rsidR="0035210D">
        <w:rPr>
          <w:lang w:eastAsia="en-US"/>
        </w:rPr>
        <w:t>through</w:t>
      </w:r>
      <w:r w:rsidR="00E6232E" w:rsidRPr="000B7589">
        <w:rPr>
          <w:lang w:eastAsia="en-US"/>
        </w:rPr>
        <w:t xml:space="preserve"> annual assessments.</w:t>
      </w:r>
    </w:p>
    <w:p w14:paraId="78A97FE9" w14:textId="5A11216B" w:rsidR="00E6232E" w:rsidRPr="00CF48C1" w:rsidRDefault="00E6232E" w:rsidP="00973F87">
      <w:pPr>
        <w:pStyle w:val="Heading4NoNumbers"/>
        <w:rPr>
          <w:color w:val="008675"/>
          <w:lang w:eastAsia="en-US"/>
        </w:rPr>
      </w:pPr>
      <w:r w:rsidRPr="00CF48C1">
        <w:rPr>
          <w:color w:val="008675"/>
          <w:lang w:eastAsia="en-US"/>
        </w:rPr>
        <w:t xml:space="preserve">Interim </w:t>
      </w:r>
      <w:r w:rsidRPr="00CF48C1">
        <w:rPr>
          <w:color w:val="008675"/>
        </w:rPr>
        <w:t>Oversight Authority</w:t>
      </w:r>
    </w:p>
    <w:p w14:paraId="199CFB1E" w14:textId="4FEE9002" w:rsidR="00E6232E" w:rsidRPr="000B7589" w:rsidRDefault="00E6232E" w:rsidP="00283018">
      <w:pPr>
        <w:pStyle w:val="BodyText"/>
        <w:rPr>
          <w:lang w:eastAsia="en-US"/>
        </w:rPr>
      </w:pPr>
      <w:r w:rsidRPr="000B7589">
        <w:rPr>
          <w:lang w:eastAsia="en-US"/>
        </w:rPr>
        <w:t>The Interim Oversight Authorit</w:t>
      </w:r>
      <w:r w:rsidR="00DF4541">
        <w:rPr>
          <w:lang w:eastAsia="en-US"/>
        </w:rPr>
        <w:t xml:space="preserve">y is responsible for the administration and oversight of the </w:t>
      </w:r>
      <w:r w:rsidR="00AE6646">
        <w:rPr>
          <w:lang w:eastAsia="en-US"/>
        </w:rPr>
        <w:t>AGDIS</w:t>
      </w:r>
      <w:r w:rsidR="00DF4541">
        <w:rPr>
          <w:lang w:eastAsia="en-US"/>
        </w:rPr>
        <w:t xml:space="preserve">. </w:t>
      </w:r>
      <w:r w:rsidR="005867A4">
        <w:rPr>
          <w:lang w:eastAsia="en-US"/>
        </w:rPr>
        <w:t>Its</w:t>
      </w:r>
      <w:r w:rsidR="006314EF">
        <w:rPr>
          <w:lang w:eastAsia="en-US"/>
        </w:rPr>
        <w:t xml:space="preserve"> functions are shared by </w:t>
      </w:r>
      <w:r w:rsidR="00475E9C">
        <w:rPr>
          <w:lang w:eastAsia="en-US"/>
        </w:rPr>
        <w:t>Finance</w:t>
      </w:r>
      <w:r w:rsidR="006314EF">
        <w:rPr>
          <w:lang w:eastAsia="en-US"/>
        </w:rPr>
        <w:t xml:space="preserve"> and Services Australia and are performed independently from their broader agency responsibilities. Effective governance is essential to the efficient operation of</w:t>
      </w:r>
      <w:r w:rsidR="005D1591">
        <w:rPr>
          <w:lang w:eastAsia="en-US"/>
        </w:rPr>
        <w:t xml:space="preserve">, and instilling public trust and confidence in, the </w:t>
      </w:r>
      <w:r w:rsidR="00AE6646" w:rsidRPr="009E5A72">
        <w:rPr>
          <w:lang w:eastAsia="en-US"/>
        </w:rPr>
        <w:t xml:space="preserve">Digital ID </w:t>
      </w:r>
      <w:r w:rsidR="005D1591" w:rsidRPr="009E5A72">
        <w:rPr>
          <w:lang w:eastAsia="en-US"/>
        </w:rPr>
        <w:t>System</w:t>
      </w:r>
      <w:r w:rsidR="005D1591">
        <w:rPr>
          <w:lang w:eastAsia="en-US"/>
        </w:rPr>
        <w:t xml:space="preserve">. Accordingly, the </w:t>
      </w:r>
      <w:r w:rsidR="00B57D75">
        <w:rPr>
          <w:lang w:eastAsia="en-US"/>
        </w:rPr>
        <w:t xml:space="preserve">Interim Oversight Authority </w:t>
      </w:r>
      <w:r w:rsidR="005D1591">
        <w:rPr>
          <w:lang w:eastAsia="en-US"/>
        </w:rPr>
        <w:t xml:space="preserve">holds </w:t>
      </w:r>
      <w:r w:rsidRPr="000B7589">
        <w:rPr>
          <w:lang w:eastAsia="en-US"/>
        </w:rPr>
        <w:t xml:space="preserve">a broad range of powers established through the </w:t>
      </w:r>
      <w:r w:rsidR="00AE6646">
        <w:rPr>
          <w:lang w:eastAsia="en-US"/>
        </w:rPr>
        <w:t xml:space="preserve">AGDIS </w:t>
      </w:r>
      <w:r w:rsidRPr="000B7589">
        <w:rPr>
          <w:lang w:eastAsia="en-US"/>
        </w:rPr>
        <w:t xml:space="preserve">Governance </w:t>
      </w:r>
      <w:r w:rsidR="00A529EA">
        <w:rPr>
          <w:lang w:eastAsia="en-US"/>
        </w:rPr>
        <w:t xml:space="preserve">Agreement </w:t>
      </w:r>
      <w:r w:rsidR="00620511">
        <w:rPr>
          <w:lang w:eastAsia="en-US"/>
        </w:rPr>
        <w:t xml:space="preserve">that enable it to carry out its governance and operational responsibilities. These </w:t>
      </w:r>
      <w:r w:rsidRPr="000B7589">
        <w:rPr>
          <w:lang w:eastAsia="en-US"/>
        </w:rPr>
        <w:t>include:</w:t>
      </w:r>
    </w:p>
    <w:p w14:paraId="365A6FE9" w14:textId="5F975EE0" w:rsidR="00E6232E" w:rsidRDefault="005655A1" w:rsidP="00283018">
      <w:pPr>
        <w:pStyle w:val="ListBulletLevel1"/>
        <w:rPr>
          <w:rFonts w:eastAsia="Calibri"/>
          <w:lang w:eastAsia="en-US"/>
        </w:rPr>
      </w:pPr>
      <w:r>
        <w:rPr>
          <w:rFonts w:eastAsia="Calibri"/>
          <w:lang w:eastAsia="en-US"/>
        </w:rPr>
        <w:t xml:space="preserve">applicant </w:t>
      </w:r>
      <w:r w:rsidR="00E6232E" w:rsidRPr="000B7589">
        <w:rPr>
          <w:rFonts w:eastAsia="Calibri"/>
          <w:lang w:eastAsia="en-US"/>
        </w:rPr>
        <w:t>accreditation</w:t>
      </w:r>
      <w:r>
        <w:rPr>
          <w:rFonts w:eastAsia="Calibri"/>
          <w:lang w:eastAsia="en-US"/>
        </w:rPr>
        <w:t xml:space="preserve"> and annual assessment </w:t>
      </w:r>
    </w:p>
    <w:p w14:paraId="3546A859" w14:textId="1FDFEEF8" w:rsidR="005655A1" w:rsidRDefault="005655A1" w:rsidP="00283018">
      <w:pPr>
        <w:pStyle w:val="ListBulletLevel1"/>
        <w:rPr>
          <w:rFonts w:eastAsia="Calibri"/>
          <w:lang w:eastAsia="en-US"/>
        </w:rPr>
      </w:pPr>
      <w:r>
        <w:rPr>
          <w:rFonts w:eastAsia="Calibri"/>
          <w:lang w:eastAsia="en-US"/>
        </w:rPr>
        <w:t xml:space="preserve">approval of </w:t>
      </w:r>
      <w:r w:rsidR="005867A4">
        <w:rPr>
          <w:rFonts w:eastAsia="Calibri"/>
          <w:lang w:eastAsia="en-US"/>
        </w:rPr>
        <w:t>p</w:t>
      </w:r>
      <w:r>
        <w:rPr>
          <w:rFonts w:eastAsia="Calibri"/>
          <w:lang w:eastAsia="en-US"/>
        </w:rPr>
        <w:t xml:space="preserve">articipants and management of the </w:t>
      </w:r>
      <w:r w:rsidR="005867A4">
        <w:rPr>
          <w:rFonts w:eastAsia="Calibri"/>
          <w:lang w:eastAsia="en-US"/>
        </w:rPr>
        <w:t>p</w:t>
      </w:r>
      <w:r>
        <w:rPr>
          <w:rFonts w:eastAsia="Calibri"/>
          <w:lang w:eastAsia="en-US"/>
        </w:rPr>
        <w:t xml:space="preserve">articipant </w:t>
      </w:r>
      <w:r w:rsidR="005867A4">
        <w:rPr>
          <w:rFonts w:eastAsia="Calibri"/>
          <w:lang w:eastAsia="en-US"/>
        </w:rPr>
        <w:t>r</w:t>
      </w:r>
      <w:r>
        <w:rPr>
          <w:rFonts w:eastAsia="Calibri"/>
          <w:lang w:eastAsia="en-US"/>
        </w:rPr>
        <w:t>egister</w:t>
      </w:r>
    </w:p>
    <w:p w14:paraId="315AB2B0" w14:textId="0E1775E5" w:rsidR="005655A1" w:rsidRPr="000B7589" w:rsidRDefault="006848E7" w:rsidP="00283018">
      <w:pPr>
        <w:pStyle w:val="ListBulletLevel1"/>
        <w:rPr>
          <w:rFonts w:eastAsia="Calibri"/>
          <w:lang w:eastAsia="en-US"/>
        </w:rPr>
      </w:pPr>
      <w:r>
        <w:rPr>
          <w:rFonts w:eastAsia="Calibri"/>
          <w:lang w:eastAsia="en-US"/>
        </w:rPr>
        <w:t xml:space="preserve">onboarding </w:t>
      </w:r>
      <w:r w:rsidR="005867A4">
        <w:rPr>
          <w:rFonts w:eastAsia="Calibri"/>
          <w:lang w:eastAsia="en-US"/>
        </w:rPr>
        <w:t>p</w:t>
      </w:r>
      <w:r>
        <w:rPr>
          <w:rFonts w:eastAsia="Calibri"/>
          <w:lang w:eastAsia="en-US"/>
        </w:rPr>
        <w:t xml:space="preserve">articipants to the </w:t>
      </w:r>
      <w:r w:rsidR="00AE6646">
        <w:rPr>
          <w:rFonts w:eastAsia="Calibri"/>
          <w:lang w:eastAsia="en-US"/>
        </w:rPr>
        <w:t>AGDIS</w:t>
      </w:r>
    </w:p>
    <w:p w14:paraId="46841875" w14:textId="1F47DCB7" w:rsidR="00E6232E" w:rsidRPr="000B7589" w:rsidRDefault="00E6232E" w:rsidP="00283018">
      <w:pPr>
        <w:pStyle w:val="ListBulletLevel1"/>
        <w:rPr>
          <w:rFonts w:eastAsia="Calibri"/>
          <w:lang w:eastAsia="en-US"/>
        </w:rPr>
      </w:pPr>
      <w:r w:rsidRPr="000B7589">
        <w:rPr>
          <w:rFonts w:eastAsia="Calibri"/>
          <w:lang w:eastAsia="en-US"/>
        </w:rPr>
        <w:t xml:space="preserve">monitoring </w:t>
      </w:r>
      <w:r w:rsidR="005867A4">
        <w:rPr>
          <w:rFonts w:eastAsia="Calibri"/>
          <w:lang w:eastAsia="en-US"/>
        </w:rPr>
        <w:t>p</w:t>
      </w:r>
      <w:r w:rsidR="006848E7">
        <w:rPr>
          <w:rFonts w:eastAsia="Calibri"/>
          <w:lang w:eastAsia="en-US"/>
        </w:rPr>
        <w:t xml:space="preserve">articipant compliance </w:t>
      </w:r>
      <w:r w:rsidRPr="000B7589">
        <w:rPr>
          <w:rFonts w:eastAsia="Calibri"/>
          <w:lang w:eastAsia="en-US"/>
        </w:rPr>
        <w:t xml:space="preserve">in accordance with the TDIF and </w:t>
      </w:r>
      <w:r w:rsidR="006848E7">
        <w:rPr>
          <w:rFonts w:eastAsia="Calibri"/>
          <w:lang w:eastAsia="en-US"/>
        </w:rPr>
        <w:t>operating rules</w:t>
      </w:r>
    </w:p>
    <w:p w14:paraId="43F8E9D0" w14:textId="35128B83" w:rsidR="00E6232E" w:rsidRDefault="00E6232E" w:rsidP="00283018">
      <w:pPr>
        <w:pStyle w:val="ListBulletLevel1"/>
        <w:rPr>
          <w:rFonts w:eastAsia="Calibri"/>
          <w:lang w:eastAsia="en-US"/>
        </w:rPr>
      </w:pPr>
      <w:r w:rsidRPr="000B7589">
        <w:rPr>
          <w:rFonts w:eastAsia="Calibri"/>
          <w:lang w:eastAsia="en-US"/>
        </w:rPr>
        <w:t>inquiries</w:t>
      </w:r>
      <w:r w:rsidR="00417655">
        <w:rPr>
          <w:rFonts w:eastAsia="Calibri"/>
          <w:lang w:eastAsia="en-US"/>
        </w:rPr>
        <w:t xml:space="preserve">, </w:t>
      </w:r>
      <w:r w:rsidRPr="000B7589">
        <w:rPr>
          <w:rFonts w:eastAsia="Calibri"/>
          <w:lang w:eastAsia="en-US"/>
        </w:rPr>
        <w:t>investigations</w:t>
      </w:r>
      <w:r w:rsidR="00417655">
        <w:rPr>
          <w:rFonts w:eastAsia="Calibri"/>
          <w:lang w:eastAsia="en-US"/>
        </w:rPr>
        <w:t xml:space="preserve"> and coordination</w:t>
      </w:r>
      <w:r w:rsidRPr="000B7589">
        <w:rPr>
          <w:rFonts w:eastAsia="Calibri"/>
          <w:lang w:eastAsia="en-US"/>
        </w:rPr>
        <w:t xml:space="preserve"> (but not limited to) </w:t>
      </w:r>
      <w:r w:rsidR="002F713B">
        <w:rPr>
          <w:rFonts w:eastAsia="Calibri"/>
          <w:lang w:eastAsia="en-US"/>
        </w:rPr>
        <w:t xml:space="preserve">of </w:t>
      </w:r>
      <w:r w:rsidR="00AE6646">
        <w:rPr>
          <w:rFonts w:eastAsia="Calibri"/>
          <w:lang w:eastAsia="en-US"/>
        </w:rPr>
        <w:t>AGDIS</w:t>
      </w:r>
      <w:r w:rsidR="00AE6646" w:rsidRPr="000B7589">
        <w:rPr>
          <w:rFonts w:eastAsia="Calibri"/>
          <w:lang w:eastAsia="en-US"/>
        </w:rPr>
        <w:t xml:space="preserve"> </w:t>
      </w:r>
      <w:r w:rsidRPr="000B7589">
        <w:rPr>
          <w:rFonts w:eastAsia="Calibri"/>
          <w:lang w:eastAsia="en-US"/>
        </w:rPr>
        <w:t>incidents,</w:t>
      </w:r>
      <w:r w:rsidR="002F713B">
        <w:rPr>
          <w:rFonts w:eastAsia="Calibri"/>
          <w:lang w:eastAsia="en-US"/>
        </w:rPr>
        <w:t xml:space="preserve"> change and release</w:t>
      </w:r>
      <w:r w:rsidR="00002275">
        <w:rPr>
          <w:rFonts w:eastAsia="Calibri"/>
          <w:lang w:eastAsia="en-US"/>
        </w:rPr>
        <w:t>,</w:t>
      </w:r>
      <w:r w:rsidRPr="000B7589">
        <w:rPr>
          <w:rFonts w:eastAsia="Calibri"/>
          <w:lang w:eastAsia="en-US"/>
        </w:rPr>
        <w:t xml:space="preserve"> fraud and security</w:t>
      </w:r>
      <w:r w:rsidR="00002275">
        <w:rPr>
          <w:rFonts w:eastAsia="Calibri"/>
          <w:lang w:eastAsia="en-US"/>
        </w:rPr>
        <w:t xml:space="preserve"> events</w:t>
      </w:r>
    </w:p>
    <w:p w14:paraId="1085D695" w14:textId="45435285" w:rsidR="008E7C12" w:rsidRDefault="005867A4" w:rsidP="00283018">
      <w:pPr>
        <w:pStyle w:val="ListBulletLevel1"/>
        <w:rPr>
          <w:rFonts w:eastAsia="Calibri"/>
          <w:lang w:eastAsia="en-US"/>
        </w:rPr>
      </w:pPr>
      <w:r>
        <w:rPr>
          <w:rFonts w:eastAsia="Calibri"/>
          <w:lang w:eastAsia="en-US"/>
        </w:rPr>
        <w:t>s</w:t>
      </w:r>
      <w:r w:rsidR="008E7C12">
        <w:rPr>
          <w:rFonts w:eastAsia="Calibri"/>
          <w:lang w:eastAsia="en-US"/>
        </w:rPr>
        <w:t xml:space="preserve">ervice </w:t>
      </w:r>
      <w:r>
        <w:rPr>
          <w:rFonts w:eastAsia="Calibri"/>
          <w:lang w:eastAsia="en-US"/>
        </w:rPr>
        <w:t xml:space="preserve">level </w:t>
      </w:r>
      <w:r w:rsidR="008E7C12">
        <w:rPr>
          <w:rFonts w:eastAsia="Calibri"/>
          <w:lang w:eastAsia="en-US"/>
        </w:rPr>
        <w:t>reporting and management</w:t>
      </w:r>
    </w:p>
    <w:p w14:paraId="18C7A55E" w14:textId="20030280" w:rsidR="006848E7" w:rsidRPr="000B7589" w:rsidRDefault="005867A4" w:rsidP="00283018">
      <w:pPr>
        <w:pStyle w:val="ListBulletLevel1"/>
        <w:rPr>
          <w:rFonts w:eastAsia="Calibri"/>
          <w:lang w:eastAsia="en-US"/>
        </w:rPr>
      </w:pPr>
      <w:r>
        <w:rPr>
          <w:rFonts w:eastAsia="Calibri"/>
          <w:lang w:eastAsia="en-US"/>
        </w:rPr>
        <w:t>s</w:t>
      </w:r>
      <w:r w:rsidR="006848E7">
        <w:rPr>
          <w:rFonts w:eastAsia="Calibri"/>
          <w:lang w:eastAsia="en-US"/>
        </w:rPr>
        <w:t xml:space="preserve">uspension and termination of </w:t>
      </w:r>
      <w:r>
        <w:rPr>
          <w:rFonts w:eastAsia="Calibri"/>
          <w:lang w:eastAsia="en-US"/>
        </w:rPr>
        <w:t>p</w:t>
      </w:r>
      <w:r w:rsidR="006848E7">
        <w:rPr>
          <w:rFonts w:eastAsia="Calibri"/>
          <w:lang w:eastAsia="en-US"/>
        </w:rPr>
        <w:t>articipants</w:t>
      </w:r>
    </w:p>
    <w:p w14:paraId="3F2EA3A9" w14:textId="40491E39" w:rsidR="00E6232E" w:rsidRPr="000B7589" w:rsidRDefault="00E6232E" w:rsidP="00283018">
      <w:pPr>
        <w:pStyle w:val="ListBulletLevel1"/>
        <w:rPr>
          <w:rFonts w:eastAsia="Calibri"/>
          <w:lang w:eastAsia="en-US"/>
        </w:rPr>
      </w:pPr>
      <w:r w:rsidRPr="000B7589">
        <w:rPr>
          <w:rFonts w:eastAsia="Calibri"/>
          <w:lang w:eastAsia="en-US"/>
        </w:rPr>
        <w:t xml:space="preserve">complaints and issue handling, including complaints from one </w:t>
      </w:r>
      <w:r w:rsidR="005867A4">
        <w:rPr>
          <w:rFonts w:eastAsia="Calibri"/>
          <w:lang w:eastAsia="en-US"/>
        </w:rPr>
        <w:t>p</w:t>
      </w:r>
      <w:r w:rsidRPr="000B7589">
        <w:rPr>
          <w:rFonts w:eastAsia="Calibri"/>
          <w:lang w:eastAsia="en-US"/>
        </w:rPr>
        <w:t xml:space="preserve">articipant about another </w:t>
      </w:r>
      <w:r w:rsidR="005867A4">
        <w:rPr>
          <w:rFonts w:eastAsia="Calibri"/>
          <w:lang w:eastAsia="en-US"/>
        </w:rPr>
        <w:t>p</w:t>
      </w:r>
      <w:r w:rsidRPr="000B7589">
        <w:rPr>
          <w:rFonts w:eastAsia="Calibri"/>
          <w:lang w:eastAsia="en-US"/>
        </w:rPr>
        <w:t>articipant</w:t>
      </w:r>
    </w:p>
    <w:p w14:paraId="7B494EBA" w14:textId="237EF8B5" w:rsidR="00E6232E" w:rsidRPr="000B7589" w:rsidRDefault="00E6232E" w:rsidP="00283018">
      <w:pPr>
        <w:pStyle w:val="ListBulletLevel1"/>
        <w:rPr>
          <w:rFonts w:eastAsia="Calibri"/>
          <w:lang w:eastAsia="en-US"/>
        </w:rPr>
      </w:pPr>
      <w:r w:rsidRPr="000B7589">
        <w:rPr>
          <w:rFonts w:eastAsia="Calibri"/>
          <w:lang w:eastAsia="en-US"/>
        </w:rPr>
        <w:t xml:space="preserve">preparing and coordinating all public statements and communications in relation to the </w:t>
      </w:r>
      <w:r w:rsidR="00AE6646">
        <w:rPr>
          <w:rFonts w:eastAsia="Calibri"/>
          <w:lang w:eastAsia="en-US"/>
        </w:rPr>
        <w:t>AGDIS</w:t>
      </w:r>
      <w:r w:rsidRPr="000B7589">
        <w:rPr>
          <w:rFonts w:eastAsia="Calibri"/>
          <w:lang w:eastAsia="en-US"/>
        </w:rPr>
        <w:t xml:space="preserve">. </w:t>
      </w:r>
    </w:p>
    <w:p w14:paraId="465E2896" w14:textId="413ECC1E" w:rsidR="00E6232E" w:rsidRPr="00CF48C1" w:rsidRDefault="00E6232E" w:rsidP="00526677">
      <w:pPr>
        <w:pStyle w:val="Heading3NoNumbers"/>
        <w:rPr>
          <w:color w:val="008675"/>
        </w:rPr>
      </w:pPr>
      <w:bookmarkStart w:id="63" w:name="_2.3.3__Entities,"/>
      <w:bookmarkStart w:id="64" w:name="_Toc64549239"/>
      <w:bookmarkStart w:id="65" w:name="_Ref64882727"/>
      <w:bookmarkStart w:id="66" w:name="_Ref65134391"/>
      <w:bookmarkStart w:id="67" w:name="_Ref65139810"/>
      <w:bookmarkStart w:id="68" w:name="_Ref72268829"/>
      <w:bookmarkStart w:id="69" w:name="_Toc80884649"/>
      <w:bookmarkStart w:id="70" w:name="_Toc84925775"/>
      <w:bookmarkStart w:id="71" w:name="_Toc86069990"/>
      <w:bookmarkEnd w:id="63"/>
      <w:r w:rsidRPr="00CF48C1">
        <w:rPr>
          <w:color w:val="008675"/>
        </w:rPr>
        <w:lastRenderedPageBreak/>
        <w:t xml:space="preserve">2.3.3 Entities, </w:t>
      </w:r>
      <w:r w:rsidR="00082E69" w:rsidRPr="00CF48C1">
        <w:rPr>
          <w:color w:val="008675"/>
        </w:rPr>
        <w:t>i</w:t>
      </w:r>
      <w:r w:rsidRPr="00CF48C1">
        <w:rPr>
          <w:color w:val="008675"/>
        </w:rPr>
        <w:t xml:space="preserve">nteractions and </w:t>
      </w:r>
      <w:r w:rsidR="00082E69" w:rsidRPr="00CF48C1">
        <w:rPr>
          <w:color w:val="008675"/>
        </w:rPr>
        <w:t>i</w:t>
      </w:r>
      <w:r w:rsidRPr="00CF48C1">
        <w:rPr>
          <w:color w:val="008675"/>
        </w:rPr>
        <w:t xml:space="preserve">ncentives within the </w:t>
      </w:r>
      <w:r w:rsidR="00082E69" w:rsidRPr="00CF48C1">
        <w:rPr>
          <w:color w:val="008675"/>
        </w:rPr>
        <w:t>c</w:t>
      </w:r>
      <w:r w:rsidRPr="00CF48C1">
        <w:rPr>
          <w:color w:val="008675"/>
        </w:rPr>
        <w:t xml:space="preserve">urrent </w:t>
      </w:r>
      <w:bookmarkEnd w:id="64"/>
      <w:bookmarkEnd w:id="65"/>
      <w:bookmarkEnd w:id="66"/>
      <w:bookmarkEnd w:id="67"/>
      <w:bookmarkEnd w:id="68"/>
      <w:bookmarkEnd w:id="69"/>
      <w:bookmarkEnd w:id="70"/>
      <w:bookmarkEnd w:id="71"/>
      <w:r w:rsidR="00216DC9" w:rsidRPr="00CF48C1">
        <w:rPr>
          <w:color w:val="008675"/>
        </w:rPr>
        <w:t>AGDIS</w:t>
      </w:r>
      <w:r w:rsidRPr="00CF48C1">
        <w:rPr>
          <w:color w:val="008675"/>
        </w:rPr>
        <w:t xml:space="preserve"> </w:t>
      </w:r>
    </w:p>
    <w:p w14:paraId="2547D571" w14:textId="7EB847E6" w:rsidR="00E6232E" w:rsidRPr="000B7589" w:rsidRDefault="005867A4" w:rsidP="00283018">
      <w:pPr>
        <w:pStyle w:val="BodyText"/>
        <w:rPr>
          <w:lang w:eastAsia="en-US"/>
        </w:rPr>
      </w:pPr>
      <w:r>
        <w:rPr>
          <w:lang w:eastAsia="en-US"/>
        </w:rPr>
        <w:t xml:space="preserve">Figure </w:t>
      </w:r>
      <w:r w:rsidR="003448FB">
        <w:rPr>
          <w:lang w:eastAsia="en-US"/>
        </w:rPr>
        <w:t>1</w:t>
      </w:r>
      <w:r w:rsidR="00E6232E" w:rsidRPr="000B7589">
        <w:rPr>
          <w:lang w:eastAsia="en-US"/>
        </w:rPr>
        <w:t xml:space="preserve"> portrays the entities currently involved in the </w:t>
      </w:r>
      <w:r w:rsidR="00216DC9">
        <w:rPr>
          <w:lang w:eastAsia="en-US"/>
        </w:rPr>
        <w:t>AGDIS</w:t>
      </w:r>
      <w:r w:rsidR="00E6232E" w:rsidRPr="000B7589">
        <w:rPr>
          <w:lang w:eastAsia="en-US"/>
        </w:rPr>
        <w:t xml:space="preserve"> and explains their interactions and likely incentives. A more detailed description of the</w:t>
      </w:r>
      <w:r w:rsidR="00D2027C">
        <w:rPr>
          <w:lang w:eastAsia="en-US"/>
        </w:rPr>
        <w:t>se</w:t>
      </w:r>
      <w:r w:rsidR="00E6232E" w:rsidRPr="000B7589">
        <w:rPr>
          <w:lang w:eastAsia="en-US"/>
        </w:rPr>
        <w:t xml:space="preserve"> </w:t>
      </w:r>
      <w:r w:rsidR="00D2027C">
        <w:rPr>
          <w:lang w:eastAsia="en-US"/>
        </w:rPr>
        <w:t xml:space="preserve">for </w:t>
      </w:r>
      <w:r w:rsidR="00E6232E" w:rsidRPr="000B7589">
        <w:rPr>
          <w:lang w:eastAsia="en-US"/>
        </w:rPr>
        <w:t xml:space="preserve">each type of entity </w:t>
      </w:r>
      <w:r w:rsidR="004C4CDC">
        <w:rPr>
          <w:lang w:eastAsia="en-US"/>
        </w:rPr>
        <w:t>is</w:t>
      </w:r>
      <w:r w:rsidR="00E6232E" w:rsidRPr="000B7589">
        <w:rPr>
          <w:lang w:eastAsia="en-US"/>
        </w:rPr>
        <w:t xml:space="preserve"> at </w:t>
      </w:r>
      <w:r w:rsidR="006A28D0" w:rsidRPr="00CF48C1">
        <w:rPr>
          <w:color w:val="008675"/>
        </w:rPr>
        <w:t xml:space="preserve">Appendix B </w:t>
      </w:r>
      <w:r w:rsidR="00DB5CEF" w:rsidRPr="00CF48C1">
        <w:rPr>
          <w:color w:val="008675"/>
        </w:rPr>
        <w:fldChar w:fldCharType="begin"/>
      </w:r>
      <w:r w:rsidR="00DB5CEF" w:rsidRPr="00CF48C1">
        <w:rPr>
          <w:color w:val="008675"/>
        </w:rPr>
        <w:instrText xml:space="preserve"> REF _Ref72270364 \h </w:instrText>
      </w:r>
      <w:r w:rsidR="006A28D0" w:rsidRPr="00CF48C1">
        <w:rPr>
          <w:color w:val="008675"/>
        </w:rPr>
        <w:instrText xml:space="preserve"> \* MERGEFORMAT </w:instrText>
      </w:r>
      <w:r w:rsidR="00DB5CEF" w:rsidRPr="00CF48C1">
        <w:rPr>
          <w:color w:val="008675"/>
        </w:rPr>
      </w:r>
      <w:r w:rsidR="00DB5CEF" w:rsidRPr="00CF48C1">
        <w:rPr>
          <w:color w:val="008675"/>
        </w:rPr>
        <w:fldChar w:fldCharType="separate"/>
      </w:r>
      <w:r w:rsidR="00004406" w:rsidRPr="00CF48C1">
        <w:rPr>
          <w:color w:val="008675"/>
        </w:rPr>
        <w:t xml:space="preserve">Detailed </w:t>
      </w:r>
      <w:r w:rsidRPr="00CF48C1">
        <w:rPr>
          <w:color w:val="008675"/>
        </w:rPr>
        <w:t>e</w:t>
      </w:r>
      <w:r w:rsidR="00004406" w:rsidRPr="00CF48C1">
        <w:rPr>
          <w:color w:val="008675"/>
        </w:rPr>
        <w:t xml:space="preserve">ntities, </w:t>
      </w:r>
      <w:r w:rsidRPr="00CF48C1">
        <w:rPr>
          <w:color w:val="008675"/>
        </w:rPr>
        <w:t>i</w:t>
      </w:r>
      <w:r w:rsidR="00004406" w:rsidRPr="00CF48C1">
        <w:rPr>
          <w:color w:val="008675"/>
        </w:rPr>
        <w:t xml:space="preserve">nteractions and </w:t>
      </w:r>
      <w:r w:rsidRPr="00CF48C1">
        <w:rPr>
          <w:color w:val="008675"/>
        </w:rPr>
        <w:t>i</w:t>
      </w:r>
      <w:r w:rsidR="00004406" w:rsidRPr="00CF48C1">
        <w:rPr>
          <w:color w:val="008675"/>
        </w:rPr>
        <w:t xml:space="preserve">ncentives within the </w:t>
      </w:r>
      <w:r w:rsidRPr="00CF48C1">
        <w:rPr>
          <w:color w:val="008675"/>
        </w:rPr>
        <w:t>c</w:t>
      </w:r>
      <w:r w:rsidR="00004406" w:rsidRPr="00CF48C1">
        <w:rPr>
          <w:color w:val="008675"/>
        </w:rPr>
        <w:t>urrent System</w:t>
      </w:r>
      <w:r w:rsidR="00DB5CEF" w:rsidRPr="00CF48C1">
        <w:rPr>
          <w:color w:val="008675"/>
        </w:rPr>
        <w:fldChar w:fldCharType="end"/>
      </w:r>
      <w:r w:rsidR="00E6232E" w:rsidRPr="00793861">
        <w:rPr>
          <w:color w:val="0000FF"/>
        </w:rPr>
        <w:t>.</w:t>
      </w:r>
      <w:r w:rsidR="00E6232E" w:rsidRPr="00793861">
        <w:rPr>
          <w:color w:val="0000FF"/>
          <w:lang w:eastAsia="en-US"/>
        </w:rPr>
        <w:t xml:space="preserve"> </w:t>
      </w:r>
      <w:r w:rsidR="00E6232E" w:rsidRPr="0027472A">
        <w:rPr>
          <w:lang w:eastAsia="en-US"/>
        </w:rPr>
        <w:t>Th</w:t>
      </w:r>
      <w:r w:rsidR="00E6232E" w:rsidRPr="000B7589">
        <w:rPr>
          <w:lang w:eastAsia="en-US"/>
        </w:rPr>
        <w:t xml:space="preserve">ese key entities are </w:t>
      </w:r>
      <w:r w:rsidR="00023430">
        <w:rPr>
          <w:lang w:eastAsia="en-US"/>
        </w:rPr>
        <w:t xml:space="preserve">onboarded </w:t>
      </w:r>
      <w:r>
        <w:rPr>
          <w:lang w:eastAsia="en-US"/>
        </w:rPr>
        <w:t>a</w:t>
      </w:r>
      <w:r w:rsidR="00E6232E" w:rsidRPr="000B7589">
        <w:rPr>
          <w:lang w:eastAsia="en-US"/>
        </w:rPr>
        <w:t xml:space="preserve">ccredited </w:t>
      </w:r>
      <w:r w:rsidR="00023430">
        <w:rPr>
          <w:lang w:eastAsia="en-US"/>
        </w:rPr>
        <w:t xml:space="preserve">entities </w:t>
      </w:r>
      <w:r w:rsidR="00E6232E" w:rsidRPr="000B7589">
        <w:rPr>
          <w:lang w:eastAsia="en-US"/>
        </w:rPr>
        <w:t xml:space="preserve">(various types), </w:t>
      </w:r>
      <w:r w:rsidR="007F0E75">
        <w:rPr>
          <w:lang w:eastAsia="en-US"/>
        </w:rPr>
        <w:t>r</w:t>
      </w:r>
      <w:r w:rsidR="00E6232E" w:rsidRPr="000B7589">
        <w:rPr>
          <w:lang w:eastAsia="en-US"/>
        </w:rPr>
        <w:t xml:space="preserve">elying </w:t>
      </w:r>
      <w:r w:rsidR="007F0E75">
        <w:rPr>
          <w:lang w:eastAsia="en-US"/>
        </w:rPr>
        <w:t>p</w:t>
      </w:r>
      <w:r w:rsidR="00E6232E" w:rsidRPr="000B7589">
        <w:rPr>
          <w:lang w:eastAsia="en-US"/>
        </w:rPr>
        <w:t xml:space="preserve">arties, the Interim Oversight Authority, and </w:t>
      </w:r>
      <w:r>
        <w:rPr>
          <w:lang w:eastAsia="en-US"/>
        </w:rPr>
        <w:t>u</w:t>
      </w:r>
      <w:r w:rsidR="00462CA0">
        <w:rPr>
          <w:lang w:eastAsia="en-US"/>
        </w:rPr>
        <w:t>sers</w:t>
      </w:r>
      <w:r w:rsidR="00E6232E" w:rsidRPr="000B7589">
        <w:rPr>
          <w:lang w:eastAsia="en-US"/>
        </w:rPr>
        <w:t>.</w:t>
      </w:r>
    </w:p>
    <w:p w14:paraId="14083EAD" w14:textId="4843C3CB" w:rsidR="00E6232E" w:rsidRPr="0027472A" w:rsidRDefault="00FE45C6" w:rsidP="009147C6">
      <w:pPr>
        <w:pStyle w:val="BodyText"/>
      </w:pPr>
      <w:r>
        <w:rPr>
          <w:lang w:eastAsia="en-US"/>
        </w:rPr>
        <w:t>Onboarded a</w:t>
      </w:r>
      <w:r w:rsidR="00E6232E" w:rsidRPr="000B7589">
        <w:rPr>
          <w:lang w:eastAsia="en-US"/>
        </w:rPr>
        <w:t xml:space="preserve">ccredited entities are accredited under the TDIF to fulfil particular roles within the System and can be conceptualised as the </w:t>
      </w:r>
      <w:r w:rsidR="00E6232E" w:rsidRPr="0DFA586A">
        <w:rPr>
          <w:i/>
          <w:iCs/>
          <w:lang w:eastAsia="en-US"/>
        </w:rPr>
        <w:t>providers</w:t>
      </w:r>
      <w:r w:rsidR="00E6232E" w:rsidRPr="000B7589">
        <w:rPr>
          <w:lang w:eastAsia="en-US"/>
        </w:rPr>
        <w:t xml:space="preserve"> of the different components required to deliver the </w:t>
      </w:r>
      <w:r w:rsidR="00216DC9">
        <w:rPr>
          <w:lang w:eastAsia="en-US"/>
        </w:rPr>
        <w:t>AGDIS</w:t>
      </w:r>
      <w:r w:rsidR="00E6232E" w:rsidRPr="000B7589">
        <w:rPr>
          <w:lang w:eastAsia="en-US"/>
        </w:rPr>
        <w:t xml:space="preserve">. To achieve accreditation, these entities must </w:t>
      </w:r>
      <w:r w:rsidR="00E6232E" w:rsidRPr="000B7589">
        <w:rPr>
          <w:shd w:val="clear" w:color="auto" w:fill="FFFFFF"/>
          <w:lang w:eastAsia="en-US"/>
        </w:rPr>
        <w:t>undergo a series of rigorous evaluations across all aspects of their operations. This includes demonstrating how their service</w:t>
      </w:r>
      <w:r w:rsidR="00E82A6D">
        <w:rPr>
          <w:shd w:val="clear" w:color="auto" w:fill="FFFFFF"/>
          <w:lang w:eastAsia="en-US"/>
        </w:rPr>
        <w:t>(</w:t>
      </w:r>
      <w:r w:rsidR="00E6232E" w:rsidRPr="000B7589">
        <w:rPr>
          <w:shd w:val="clear" w:color="auto" w:fill="FFFFFF"/>
          <w:lang w:eastAsia="en-US"/>
        </w:rPr>
        <w:t>s</w:t>
      </w:r>
      <w:r w:rsidR="00E82A6D">
        <w:rPr>
          <w:shd w:val="clear" w:color="auto" w:fill="FFFFFF"/>
          <w:lang w:eastAsia="en-US"/>
        </w:rPr>
        <w:t>)</w:t>
      </w:r>
      <w:r w:rsidR="00E6232E" w:rsidRPr="000B7589">
        <w:rPr>
          <w:shd w:val="clear" w:color="auto" w:fill="FFFFFF"/>
          <w:lang w:eastAsia="en-US"/>
        </w:rPr>
        <w:t xml:space="preserve"> meet strict requirements for usability, accessibility, privacy protection, security, risk management, fraud control and more.</w:t>
      </w:r>
      <w:r w:rsidR="00737BA2">
        <w:rPr>
          <w:shd w:val="clear" w:color="auto" w:fill="FFFFFF"/>
          <w:lang w:eastAsia="en-US"/>
        </w:rPr>
        <w:t xml:space="preserve"> </w:t>
      </w:r>
      <w:r w:rsidR="00E6232E" w:rsidRPr="000B7589">
        <w:rPr>
          <w:shd w:val="clear" w:color="auto" w:fill="FFFFFF"/>
          <w:lang w:eastAsia="en-US"/>
        </w:rPr>
        <w:t xml:space="preserve">Accredited roles include </w:t>
      </w:r>
      <w:r w:rsidR="0053584D">
        <w:rPr>
          <w:shd w:val="clear" w:color="auto" w:fill="FFFFFF"/>
          <w:lang w:eastAsia="en-US"/>
        </w:rPr>
        <w:t>Identity Exchange (</w:t>
      </w:r>
      <w:r w:rsidR="0012696A">
        <w:rPr>
          <w:b/>
          <w:bCs/>
          <w:shd w:val="clear" w:color="auto" w:fill="FFFFFF"/>
          <w:lang w:eastAsia="en-US"/>
        </w:rPr>
        <w:t>IDX</w:t>
      </w:r>
      <w:r w:rsidR="0053584D">
        <w:rPr>
          <w:b/>
          <w:bCs/>
          <w:shd w:val="clear" w:color="auto" w:fill="FFFFFF"/>
          <w:lang w:eastAsia="en-US"/>
        </w:rPr>
        <w:t>)</w:t>
      </w:r>
      <w:r w:rsidR="00E6232E" w:rsidRPr="000B7589">
        <w:rPr>
          <w:shd w:val="clear" w:color="auto" w:fill="FFFFFF"/>
          <w:lang w:eastAsia="en-US"/>
        </w:rPr>
        <w:t>,</w:t>
      </w:r>
      <w:r w:rsidR="0053584D">
        <w:rPr>
          <w:shd w:val="clear" w:color="auto" w:fill="FFFFFF"/>
          <w:lang w:eastAsia="en-US"/>
        </w:rPr>
        <w:t xml:space="preserve"> Attribute Service Provider (</w:t>
      </w:r>
      <w:r w:rsidR="00E6232E" w:rsidRPr="000B7589">
        <w:rPr>
          <w:b/>
          <w:bCs/>
          <w:shd w:val="clear" w:color="auto" w:fill="FFFFFF"/>
          <w:lang w:eastAsia="en-US"/>
        </w:rPr>
        <w:t>A</w:t>
      </w:r>
      <w:r w:rsidR="00D8355C">
        <w:rPr>
          <w:b/>
          <w:bCs/>
          <w:shd w:val="clear" w:color="auto" w:fill="FFFFFF"/>
          <w:lang w:eastAsia="en-US"/>
        </w:rPr>
        <w:t>P</w:t>
      </w:r>
      <w:r w:rsidR="0053584D">
        <w:rPr>
          <w:b/>
          <w:bCs/>
          <w:shd w:val="clear" w:color="auto" w:fill="FFFFFF"/>
          <w:lang w:eastAsia="en-US"/>
        </w:rPr>
        <w:t>)</w:t>
      </w:r>
      <w:r w:rsidR="00E6232E" w:rsidRPr="000B7589">
        <w:rPr>
          <w:shd w:val="clear" w:color="auto" w:fill="FFFFFF"/>
          <w:lang w:eastAsia="en-US"/>
        </w:rPr>
        <w:t xml:space="preserve">, </w:t>
      </w:r>
      <w:r w:rsidR="0053584D">
        <w:rPr>
          <w:shd w:val="clear" w:color="auto" w:fill="FFFFFF"/>
          <w:lang w:eastAsia="en-US"/>
        </w:rPr>
        <w:t>Credential Service Provider (</w:t>
      </w:r>
      <w:r w:rsidR="008C46C4">
        <w:rPr>
          <w:b/>
          <w:bCs/>
          <w:shd w:val="clear" w:color="auto" w:fill="FFFFFF"/>
          <w:lang w:eastAsia="en-US"/>
        </w:rPr>
        <w:t>CSP</w:t>
      </w:r>
      <w:r w:rsidR="0053584D">
        <w:rPr>
          <w:b/>
          <w:bCs/>
          <w:shd w:val="clear" w:color="auto" w:fill="FFFFFF"/>
          <w:lang w:eastAsia="en-US"/>
        </w:rPr>
        <w:t>)</w:t>
      </w:r>
      <w:r w:rsidR="00E6232E" w:rsidRPr="000B7589">
        <w:rPr>
          <w:shd w:val="clear" w:color="auto" w:fill="FFFFFF"/>
          <w:lang w:eastAsia="en-US"/>
        </w:rPr>
        <w:t xml:space="preserve"> and </w:t>
      </w:r>
      <w:r w:rsidR="0053584D">
        <w:rPr>
          <w:shd w:val="clear" w:color="auto" w:fill="FFFFFF"/>
          <w:lang w:eastAsia="en-US"/>
        </w:rPr>
        <w:t>Identity Provider (</w:t>
      </w:r>
      <w:r w:rsidR="00B54D96">
        <w:rPr>
          <w:b/>
          <w:bCs/>
          <w:shd w:val="clear" w:color="auto" w:fill="FFFFFF"/>
          <w:lang w:eastAsia="en-US"/>
        </w:rPr>
        <w:t>IDP</w:t>
      </w:r>
      <w:r w:rsidR="0053584D">
        <w:rPr>
          <w:b/>
          <w:bCs/>
          <w:shd w:val="clear" w:color="auto" w:fill="FFFFFF"/>
          <w:lang w:eastAsia="en-US"/>
        </w:rPr>
        <w:t>)</w:t>
      </w:r>
      <w:r w:rsidR="00B54D96">
        <w:rPr>
          <w:b/>
          <w:bCs/>
          <w:shd w:val="clear" w:color="auto" w:fill="FFFFFF"/>
          <w:lang w:eastAsia="en-US"/>
        </w:rPr>
        <w:t>.</w:t>
      </w:r>
      <w:r w:rsidR="00712DFA">
        <w:rPr>
          <w:b/>
          <w:bCs/>
          <w:shd w:val="clear" w:color="auto" w:fill="FFFFFF"/>
          <w:lang w:eastAsia="en-US"/>
        </w:rPr>
        <w:t xml:space="preserve"> </w:t>
      </w:r>
      <w:r w:rsidR="00E6232E" w:rsidRPr="0027472A">
        <w:t xml:space="preserve">There are also key entities within the </w:t>
      </w:r>
      <w:r w:rsidR="00216DC9">
        <w:t>AGDIS</w:t>
      </w:r>
      <w:r w:rsidR="00E6232E" w:rsidRPr="0027472A">
        <w:t xml:space="preserve"> which are not accredited under the TDIF. These are: </w:t>
      </w:r>
    </w:p>
    <w:p w14:paraId="1B591E9C" w14:textId="7954372D" w:rsidR="00E6232E" w:rsidRPr="0027472A" w:rsidRDefault="00DA5241" w:rsidP="0027472A">
      <w:pPr>
        <w:pStyle w:val="ListBulletLevel1"/>
        <w:rPr>
          <w:rFonts w:eastAsia="Calibri"/>
        </w:rPr>
      </w:pPr>
      <w:r w:rsidRPr="0DFA586A">
        <w:rPr>
          <w:rFonts w:eastAsia="Calibri"/>
          <w:b/>
          <w:bCs/>
        </w:rPr>
        <w:t>r</w:t>
      </w:r>
      <w:r w:rsidR="00E6232E" w:rsidRPr="0DFA586A">
        <w:rPr>
          <w:rFonts w:eastAsia="Calibri"/>
          <w:b/>
          <w:bCs/>
        </w:rPr>
        <w:t xml:space="preserve">elying </w:t>
      </w:r>
      <w:r w:rsidRPr="0DFA586A">
        <w:rPr>
          <w:rFonts w:eastAsia="Calibri"/>
          <w:b/>
          <w:bCs/>
        </w:rPr>
        <w:t>p</w:t>
      </w:r>
      <w:r w:rsidR="00E6232E" w:rsidRPr="0DFA586A">
        <w:rPr>
          <w:rFonts w:eastAsia="Calibri"/>
          <w:b/>
          <w:bCs/>
        </w:rPr>
        <w:t>arties</w:t>
      </w:r>
      <w:r w:rsidR="00C5742F" w:rsidRPr="0DFA586A">
        <w:rPr>
          <w:rFonts w:eastAsia="Calibri"/>
          <w:b/>
          <w:bCs/>
        </w:rPr>
        <w:t xml:space="preserve"> </w:t>
      </w:r>
      <w:r w:rsidR="005867A4" w:rsidRPr="0DFA586A">
        <w:rPr>
          <w:lang w:eastAsia="en-US"/>
        </w:rPr>
        <w:t>–</w:t>
      </w:r>
      <w:r w:rsidR="00E6232E" w:rsidRPr="0DFA586A">
        <w:rPr>
          <w:rFonts w:eastAsia="Calibri"/>
        </w:rPr>
        <w:t xml:space="preserve"> approved entities</w:t>
      </w:r>
      <w:r w:rsidR="00C5742F" w:rsidRPr="0DFA586A">
        <w:rPr>
          <w:rFonts w:eastAsia="Calibri"/>
        </w:rPr>
        <w:t xml:space="preserve"> (including </w:t>
      </w:r>
      <w:r w:rsidR="00905C15" w:rsidRPr="0DFA586A">
        <w:rPr>
          <w:rFonts w:eastAsia="Calibri"/>
        </w:rPr>
        <w:t>h</w:t>
      </w:r>
      <w:r w:rsidR="00C5742F" w:rsidRPr="0DFA586A">
        <w:rPr>
          <w:rFonts w:eastAsia="Calibri"/>
        </w:rPr>
        <w:t xml:space="preserve">ubs and </w:t>
      </w:r>
      <w:r w:rsidR="00905C15" w:rsidRPr="0DFA586A">
        <w:rPr>
          <w:rFonts w:eastAsia="Calibri"/>
        </w:rPr>
        <w:t>p</w:t>
      </w:r>
      <w:r w:rsidR="00C5742F" w:rsidRPr="0DFA586A">
        <w:rPr>
          <w:rFonts w:eastAsia="Calibri"/>
        </w:rPr>
        <w:t>ortals)</w:t>
      </w:r>
      <w:r w:rsidR="00E6232E" w:rsidRPr="0DFA586A">
        <w:rPr>
          <w:rFonts w:eastAsia="Calibri"/>
        </w:rPr>
        <w:t xml:space="preserve"> providing online services to people with a </w:t>
      </w:r>
      <w:r w:rsidR="009210C4" w:rsidRPr="0DFA586A">
        <w:rPr>
          <w:rFonts w:eastAsia="Calibri"/>
        </w:rPr>
        <w:t>d</w:t>
      </w:r>
      <w:r w:rsidR="00E6232E" w:rsidRPr="0DFA586A">
        <w:rPr>
          <w:rFonts w:eastAsia="Calibri"/>
        </w:rPr>
        <w:t xml:space="preserve">igital </w:t>
      </w:r>
      <w:r w:rsidR="00500088" w:rsidRPr="0DFA586A">
        <w:rPr>
          <w:rFonts w:eastAsia="Calibri"/>
        </w:rPr>
        <w:t>ID</w:t>
      </w:r>
      <w:r w:rsidR="002B0A5E" w:rsidRPr="0DFA586A">
        <w:rPr>
          <w:rFonts w:eastAsia="Calibri"/>
        </w:rPr>
        <w:t>. (</w:t>
      </w:r>
      <w:r w:rsidR="002B0A5E" w:rsidRPr="0DFA586A">
        <w:rPr>
          <w:lang w:val="en-US"/>
        </w:rPr>
        <w:t xml:space="preserve">Hubs and </w:t>
      </w:r>
      <w:r w:rsidRPr="0DFA586A">
        <w:rPr>
          <w:lang w:val="en-US"/>
        </w:rPr>
        <w:t>po</w:t>
      </w:r>
      <w:r w:rsidR="002B0A5E" w:rsidRPr="0DFA586A">
        <w:rPr>
          <w:lang w:val="en-US"/>
        </w:rPr>
        <w:t xml:space="preserve">rtals are relying </w:t>
      </w:r>
      <w:r w:rsidRPr="0DFA586A">
        <w:rPr>
          <w:lang w:val="en-US"/>
        </w:rPr>
        <w:t>p</w:t>
      </w:r>
      <w:r w:rsidR="002B0A5E" w:rsidRPr="0DFA586A">
        <w:rPr>
          <w:lang w:val="en-US"/>
        </w:rPr>
        <w:t xml:space="preserve">arties that provide attributes to services downstream. Through a </w:t>
      </w:r>
      <w:r w:rsidR="005E1219" w:rsidRPr="0DFA586A">
        <w:rPr>
          <w:lang w:val="en-US"/>
        </w:rPr>
        <w:t>h</w:t>
      </w:r>
      <w:r w:rsidR="002B0A5E" w:rsidRPr="0DFA586A">
        <w:rPr>
          <w:lang w:val="en-US"/>
        </w:rPr>
        <w:t>ub, a user may be able to access multiple services or service brands, without linking. Through a portal, a user may be able to link and access multiple services or service brands</w:t>
      </w:r>
      <w:r w:rsidR="2105F3A4" w:rsidRPr="0DFA586A">
        <w:rPr>
          <w:lang w:val="en-US"/>
        </w:rPr>
        <w:t>.</w:t>
      </w:r>
      <w:r w:rsidR="002B0A5E" w:rsidRPr="0DFA586A">
        <w:rPr>
          <w:lang w:val="en-US"/>
        </w:rPr>
        <w:t>)</w:t>
      </w:r>
      <w:r w:rsidR="00E6232E" w:rsidRPr="0DFA586A">
        <w:rPr>
          <w:rFonts w:eastAsia="Calibri"/>
        </w:rPr>
        <w:t xml:space="preserve"> </w:t>
      </w:r>
    </w:p>
    <w:p w14:paraId="3FBC7A78" w14:textId="70D805EB" w:rsidR="00944035" w:rsidRPr="0027472A" w:rsidRDefault="00E6232E" w:rsidP="0027472A">
      <w:pPr>
        <w:pStyle w:val="ListBulletLevel1"/>
        <w:rPr>
          <w:rFonts w:eastAsia="Calibri"/>
        </w:rPr>
      </w:pPr>
      <w:r w:rsidRPr="009147C6">
        <w:rPr>
          <w:rFonts w:eastAsia="Calibri"/>
          <w:b/>
          <w:bCs/>
        </w:rPr>
        <w:t>Interim Oversight Authority</w:t>
      </w:r>
      <w:r w:rsidRPr="0027472A">
        <w:rPr>
          <w:rFonts w:eastAsia="Calibri"/>
        </w:rPr>
        <w:t xml:space="preserve"> </w:t>
      </w:r>
      <w:r w:rsidR="005867A4" w:rsidRPr="000B7589">
        <w:rPr>
          <w:lang w:eastAsia="en-US"/>
        </w:rPr>
        <w:t>–</w:t>
      </w:r>
      <w:r w:rsidRPr="0027472A">
        <w:rPr>
          <w:rFonts w:eastAsia="Calibri"/>
        </w:rPr>
        <w:t xml:space="preserve"> the governing body for the </w:t>
      </w:r>
      <w:r w:rsidR="00216DC9">
        <w:rPr>
          <w:rFonts w:eastAsia="Calibri"/>
        </w:rPr>
        <w:t>AGDIS</w:t>
      </w:r>
      <w:r w:rsidRPr="0027472A">
        <w:rPr>
          <w:rFonts w:eastAsia="Calibri"/>
        </w:rPr>
        <w:t xml:space="preserve"> </w:t>
      </w:r>
    </w:p>
    <w:p w14:paraId="654BC9AA" w14:textId="27AFFC2F" w:rsidR="00E6232E" w:rsidRPr="000B7589" w:rsidRDefault="00DA5241" w:rsidP="00D915C0">
      <w:pPr>
        <w:pStyle w:val="ListBulletLevel1"/>
        <w:rPr>
          <w:rFonts w:eastAsia="Calibri"/>
          <w:sz w:val="22"/>
          <w:szCs w:val="22"/>
          <w:lang w:eastAsia="en-US"/>
        </w:rPr>
        <w:sectPr w:rsidR="00E6232E" w:rsidRPr="000B7589" w:rsidSect="000A1253">
          <w:headerReference w:type="default" r:id="rId27"/>
          <w:footerReference w:type="default" r:id="rId28"/>
          <w:pgSz w:w="11906" w:h="16838"/>
          <w:pgMar w:top="1440" w:right="1440" w:bottom="1440" w:left="1440" w:header="708" w:footer="708" w:gutter="0"/>
          <w:cols w:space="708"/>
          <w:docGrid w:linePitch="360"/>
        </w:sectPr>
      </w:pPr>
      <w:r w:rsidRPr="00944035">
        <w:rPr>
          <w:rFonts w:eastAsia="Calibri"/>
          <w:b/>
          <w:bCs/>
        </w:rPr>
        <w:t>u</w:t>
      </w:r>
      <w:r w:rsidR="00E6232E" w:rsidRPr="00944035">
        <w:rPr>
          <w:rFonts w:eastAsia="Calibri"/>
          <w:b/>
          <w:bCs/>
        </w:rPr>
        <w:t>sers</w:t>
      </w:r>
      <w:r w:rsidR="00E6232E" w:rsidRPr="00944035">
        <w:rPr>
          <w:rFonts w:eastAsia="Calibri"/>
        </w:rPr>
        <w:t xml:space="preserve"> </w:t>
      </w:r>
      <w:r w:rsidR="005867A4" w:rsidRPr="000B7589">
        <w:rPr>
          <w:lang w:eastAsia="en-US"/>
        </w:rPr>
        <w:t>–</w:t>
      </w:r>
      <w:r w:rsidR="00E6232E" w:rsidRPr="00944035">
        <w:rPr>
          <w:rFonts w:eastAsia="Calibri"/>
        </w:rPr>
        <w:t xml:space="preserve"> who create one or more </w:t>
      </w:r>
      <w:r w:rsidR="003C42C7" w:rsidRPr="00944035">
        <w:rPr>
          <w:rFonts w:eastAsia="Calibri"/>
        </w:rPr>
        <w:t>d</w:t>
      </w:r>
      <w:r w:rsidR="00E6232E" w:rsidRPr="00944035">
        <w:rPr>
          <w:rFonts w:eastAsia="Calibri"/>
        </w:rPr>
        <w:t xml:space="preserve">igital </w:t>
      </w:r>
      <w:r w:rsidR="003C42C7" w:rsidRPr="00944035">
        <w:rPr>
          <w:rFonts w:eastAsia="Calibri"/>
        </w:rPr>
        <w:t>i</w:t>
      </w:r>
      <w:r w:rsidR="00E6232E" w:rsidRPr="00944035">
        <w:rPr>
          <w:rFonts w:eastAsia="Calibri"/>
        </w:rPr>
        <w:t xml:space="preserve">dentities and use these to access services via </w:t>
      </w:r>
      <w:r w:rsidR="007F0E75" w:rsidRPr="00944035">
        <w:rPr>
          <w:rFonts w:eastAsia="Calibri"/>
        </w:rPr>
        <w:t>r</w:t>
      </w:r>
      <w:r w:rsidR="00E6232E" w:rsidRPr="00944035">
        <w:rPr>
          <w:rFonts w:eastAsia="Calibri"/>
        </w:rPr>
        <w:t xml:space="preserve">elying </w:t>
      </w:r>
      <w:r w:rsidR="007F0E75" w:rsidRPr="00944035">
        <w:rPr>
          <w:rFonts w:eastAsia="Calibri"/>
        </w:rPr>
        <w:t>p</w:t>
      </w:r>
      <w:r w:rsidR="00E6232E" w:rsidRPr="00944035">
        <w:rPr>
          <w:rFonts w:eastAsia="Calibri"/>
        </w:rPr>
        <w:t xml:space="preserve">arties. </w:t>
      </w:r>
    </w:p>
    <w:p w14:paraId="3CF0FC2C" w14:textId="20971279" w:rsidR="00F54154" w:rsidRDefault="00257DF3" w:rsidP="00F54154">
      <w:pPr>
        <w:keepNext/>
        <w:spacing w:before="0" w:after="160" w:line="259" w:lineRule="auto"/>
        <w:jc w:val="both"/>
      </w:pPr>
      <w:r w:rsidRPr="00257DF3">
        <w:rPr>
          <w:noProof/>
        </w:rPr>
        <w:lastRenderedPageBreak/>
        <w:t xml:space="preserve"> </w:t>
      </w:r>
      <w:r w:rsidR="00752ABC" w:rsidRPr="00752ABC">
        <w:rPr>
          <w:noProof/>
        </w:rPr>
        <w:drawing>
          <wp:inline distT="0" distB="0" distL="0" distR="0" wp14:anchorId="5EAC6ABF" wp14:editId="160FB7CC">
            <wp:extent cx="7288823" cy="4995056"/>
            <wp:effectExtent l="0" t="0" r="7620" b="0"/>
            <wp:docPr id="529878318" name="Picture 52987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8318" name=""/>
                    <pic:cNvPicPr/>
                  </pic:nvPicPr>
                  <pic:blipFill>
                    <a:blip r:embed="rId29"/>
                    <a:stretch>
                      <a:fillRect/>
                    </a:stretch>
                  </pic:blipFill>
                  <pic:spPr>
                    <a:xfrm>
                      <a:off x="0" y="0"/>
                      <a:ext cx="7294800" cy="4999152"/>
                    </a:xfrm>
                    <a:prstGeom prst="rect">
                      <a:avLst/>
                    </a:prstGeom>
                  </pic:spPr>
                </pic:pic>
              </a:graphicData>
            </a:graphic>
          </wp:inline>
        </w:drawing>
      </w:r>
    </w:p>
    <w:p w14:paraId="63B15687" w14:textId="2A67E98E" w:rsidR="00E6232E" w:rsidRPr="000D6521" w:rsidRDefault="00F54154" w:rsidP="00E6232E">
      <w:pPr>
        <w:spacing w:before="0" w:after="160" w:line="259" w:lineRule="auto"/>
        <w:jc w:val="both"/>
        <w:rPr>
          <w:rFonts w:eastAsia="Times New Roman"/>
          <w:color w:val="auto"/>
          <w:sz w:val="22"/>
          <w:szCs w:val="22"/>
          <w:lang w:eastAsia="en-US"/>
        </w:rPr>
        <w:sectPr w:rsidR="00E6232E" w:rsidRPr="000D6521" w:rsidSect="0089078C">
          <w:footerReference w:type="default" r:id="rId30"/>
          <w:pgSz w:w="16838" w:h="11906" w:orient="landscape"/>
          <w:pgMar w:top="1440" w:right="1440" w:bottom="1440" w:left="1440" w:header="708" w:footer="708" w:gutter="0"/>
          <w:cols w:space="708"/>
          <w:docGrid w:linePitch="360"/>
        </w:sectPr>
      </w:pPr>
      <w:bookmarkStart w:id="72" w:name="_Toc81399004"/>
      <w:bookmarkStart w:id="73" w:name="_Toc86073571"/>
      <w:bookmarkStart w:id="74" w:name="_Toc130390594"/>
      <w:r w:rsidRPr="000D6521">
        <w:rPr>
          <w:color w:val="auto"/>
        </w:rPr>
        <w:t xml:space="preserve">Figure </w:t>
      </w:r>
      <w:r w:rsidR="003448FB" w:rsidRPr="000D6521">
        <w:rPr>
          <w:color w:val="auto"/>
        </w:rPr>
        <w:t>1</w:t>
      </w:r>
      <w:r w:rsidRPr="000D6521">
        <w:rPr>
          <w:color w:val="auto"/>
        </w:rPr>
        <w:t xml:space="preserve">: Entities, interactions and incentives within the current </w:t>
      </w:r>
      <w:bookmarkEnd w:id="72"/>
      <w:bookmarkEnd w:id="73"/>
      <w:bookmarkEnd w:id="74"/>
      <w:r w:rsidR="00216DC9">
        <w:rPr>
          <w:color w:val="auto"/>
        </w:rPr>
        <w:t>AGDIS</w:t>
      </w:r>
    </w:p>
    <w:p w14:paraId="2551585B" w14:textId="43D5E750" w:rsidR="00E6232E" w:rsidRPr="00CF48C1" w:rsidRDefault="00E6232E" w:rsidP="0026606E">
      <w:pPr>
        <w:pStyle w:val="Heading2NoNumbers"/>
        <w:rPr>
          <w:color w:val="008675"/>
          <w:lang w:eastAsia="en-US"/>
        </w:rPr>
      </w:pPr>
      <w:bookmarkStart w:id="75" w:name="_Ref65150380"/>
      <w:bookmarkStart w:id="76" w:name="_Toc80884650"/>
      <w:bookmarkStart w:id="77" w:name="_Toc81226616"/>
      <w:bookmarkStart w:id="78" w:name="_Toc81226892"/>
      <w:bookmarkStart w:id="79" w:name="_Toc81228236"/>
      <w:bookmarkStart w:id="80" w:name="_Toc83951179"/>
      <w:bookmarkStart w:id="81" w:name="_Toc84925776"/>
      <w:bookmarkStart w:id="82" w:name="_Toc84925878"/>
      <w:bookmarkStart w:id="83" w:name="_Toc86045122"/>
      <w:bookmarkStart w:id="84" w:name="_Toc86069991"/>
      <w:bookmarkStart w:id="85" w:name="_Toc149740325"/>
      <w:r w:rsidRPr="00CF48C1">
        <w:rPr>
          <w:color w:val="008675"/>
          <w:lang w:eastAsia="en-US"/>
        </w:rPr>
        <w:lastRenderedPageBreak/>
        <w:t xml:space="preserve">2.4 Benefits and value of </w:t>
      </w:r>
      <w:r w:rsidR="00214333" w:rsidRPr="00CF48C1">
        <w:rPr>
          <w:color w:val="008675"/>
          <w:lang w:eastAsia="en-US"/>
        </w:rPr>
        <w:t xml:space="preserve">Australia’s Digital ID </w:t>
      </w:r>
      <w:r w:rsidRPr="00CF48C1">
        <w:rPr>
          <w:color w:val="008675"/>
          <w:lang w:eastAsia="en-US"/>
        </w:rPr>
        <w:t>System</w:t>
      </w:r>
      <w:bookmarkEnd w:id="75"/>
      <w:bookmarkEnd w:id="76"/>
      <w:bookmarkEnd w:id="77"/>
      <w:bookmarkEnd w:id="78"/>
      <w:bookmarkEnd w:id="79"/>
      <w:bookmarkEnd w:id="80"/>
      <w:bookmarkEnd w:id="81"/>
      <w:bookmarkEnd w:id="82"/>
      <w:r w:rsidR="000B2130" w:rsidRPr="00CF48C1">
        <w:rPr>
          <w:color w:val="008675"/>
          <w:lang w:eastAsia="en-US"/>
        </w:rPr>
        <w:t xml:space="preserve"> for stakeholders</w:t>
      </w:r>
      <w:bookmarkEnd w:id="83"/>
      <w:bookmarkEnd w:id="84"/>
      <w:bookmarkEnd w:id="85"/>
    </w:p>
    <w:p w14:paraId="3CB75055" w14:textId="2EB79B9A" w:rsidR="00E6232E" w:rsidRPr="00046AC0" w:rsidRDefault="00214333" w:rsidP="00283018">
      <w:pPr>
        <w:pStyle w:val="BodyText"/>
        <w:rPr>
          <w:lang w:eastAsia="en-US"/>
        </w:rPr>
      </w:pPr>
      <w:r w:rsidRPr="00216DC9">
        <w:rPr>
          <w:lang w:eastAsia="en-US"/>
        </w:rPr>
        <w:t xml:space="preserve">Digital ID </w:t>
      </w:r>
      <w:r w:rsidR="004F3F93" w:rsidRPr="00046AC0">
        <w:rPr>
          <w:lang w:eastAsia="en-US"/>
        </w:rPr>
        <w:t>offers</w:t>
      </w:r>
      <w:r w:rsidR="00340863" w:rsidRPr="00046AC0">
        <w:rPr>
          <w:lang w:eastAsia="en-US"/>
        </w:rPr>
        <w:t xml:space="preserve"> the potential </w:t>
      </w:r>
      <w:r w:rsidR="00E6232E" w:rsidRPr="00046AC0">
        <w:rPr>
          <w:lang w:eastAsia="en-US"/>
        </w:rPr>
        <w:t xml:space="preserve">to assist individuals, businesses, government, and the overall economy in many different ways. The </w:t>
      </w:r>
      <w:r w:rsidR="005115CC" w:rsidRPr="00046AC0">
        <w:rPr>
          <w:lang w:eastAsia="en-US"/>
        </w:rPr>
        <w:t xml:space="preserve">key benefits available from </w:t>
      </w:r>
      <w:r w:rsidR="000B2130" w:rsidRPr="00046AC0">
        <w:rPr>
          <w:lang w:eastAsia="en-US"/>
        </w:rPr>
        <w:t xml:space="preserve">a whole-of-economy </w:t>
      </w:r>
      <w:r w:rsidR="00EB2443" w:rsidRPr="00216DC9">
        <w:rPr>
          <w:lang w:eastAsia="en-US"/>
        </w:rPr>
        <w:t>Digital ID</w:t>
      </w:r>
      <w:r w:rsidR="005115CC" w:rsidRPr="00216DC9">
        <w:rPr>
          <w:lang w:eastAsia="en-US"/>
        </w:rPr>
        <w:t xml:space="preserve"> </w:t>
      </w:r>
      <w:r w:rsidR="00216DC9" w:rsidRPr="00216DC9">
        <w:rPr>
          <w:lang w:eastAsia="en-US"/>
        </w:rPr>
        <w:t>system</w:t>
      </w:r>
      <w:r w:rsidR="00E6232E" w:rsidRPr="00046AC0">
        <w:rPr>
          <w:lang w:eastAsia="en-US"/>
        </w:rPr>
        <w:t xml:space="preserve">, which will also help to drive uptake, include: </w:t>
      </w:r>
    </w:p>
    <w:p w14:paraId="5F91AC56" w14:textId="6C0C3BAC" w:rsidR="00E6232E" w:rsidRPr="00046AC0" w:rsidRDefault="00E6232E" w:rsidP="00283018">
      <w:pPr>
        <w:pStyle w:val="ListBulletLevel1"/>
        <w:rPr>
          <w:rFonts w:eastAsia="Calibri"/>
          <w:lang w:eastAsia="en-US"/>
        </w:rPr>
      </w:pPr>
      <w:r w:rsidRPr="00046AC0">
        <w:rPr>
          <w:rFonts w:eastAsia="Calibri"/>
          <w:lang w:eastAsia="en-US"/>
        </w:rPr>
        <w:t xml:space="preserve">For </w:t>
      </w:r>
      <w:r w:rsidR="004956EF" w:rsidRPr="00046AC0">
        <w:rPr>
          <w:rFonts w:eastAsia="Calibri"/>
          <w:lang w:eastAsia="en-US"/>
        </w:rPr>
        <w:t>individuals (</w:t>
      </w:r>
      <w:r w:rsidR="005867A4" w:rsidRPr="00046AC0">
        <w:rPr>
          <w:rFonts w:eastAsia="Calibri"/>
          <w:lang w:eastAsia="en-US"/>
        </w:rPr>
        <w:t>u</w:t>
      </w:r>
      <w:r w:rsidR="004956EF" w:rsidRPr="00046AC0">
        <w:rPr>
          <w:rFonts w:eastAsia="Calibri"/>
          <w:lang w:eastAsia="en-US"/>
        </w:rPr>
        <w:t>sers)</w:t>
      </w:r>
      <w:r w:rsidRPr="00046AC0">
        <w:rPr>
          <w:rFonts w:eastAsia="Calibri"/>
          <w:lang w:eastAsia="en-US"/>
        </w:rPr>
        <w:t xml:space="preserve">: </w:t>
      </w:r>
    </w:p>
    <w:p w14:paraId="657721DC" w14:textId="6452AB81" w:rsidR="00E6232E" w:rsidRPr="00046AC0" w:rsidRDefault="626DABFC" w:rsidP="00880622">
      <w:pPr>
        <w:pStyle w:val="ListBulletLevel2"/>
        <w:rPr>
          <w:rFonts w:eastAsia="Calibri"/>
          <w:lang w:eastAsia="en-US"/>
        </w:rPr>
      </w:pPr>
      <w:r w:rsidRPr="3997285F">
        <w:rPr>
          <w:rFonts w:eastAsia="Calibri"/>
          <w:lang w:eastAsia="en-US"/>
        </w:rPr>
        <w:t xml:space="preserve">reduced risk of information or data loss, data spill and identity fraud, encouraging greater confidence in Digital ID </w:t>
      </w:r>
    </w:p>
    <w:p w14:paraId="728D48D0" w14:textId="6452AB81" w:rsidR="00E6232E" w:rsidRPr="00046AC0" w:rsidRDefault="00E6232E" w:rsidP="00880622">
      <w:pPr>
        <w:pStyle w:val="ListBulletLevel2"/>
        <w:rPr>
          <w:rFonts w:eastAsia="Calibri"/>
          <w:lang w:eastAsia="en-US"/>
        </w:rPr>
      </w:pPr>
      <w:r w:rsidRPr="00046AC0">
        <w:rPr>
          <w:rFonts w:eastAsia="Calibri"/>
          <w:lang w:eastAsia="en-US"/>
        </w:rPr>
        <w:t xml:space="preserve">improved speed of interaction with a wider range of </w:t>
      </w:r>
      <w:r w:rsidR="00F94BBD" w:rsidRPr="00046AC0">
        <w:rPr>
          <w:rFonts w:eastAsia="Calibri"/>
          <w:lang w:eastAsia="en-US"/>
        </w:rPr>
        <w:t>Australian Government</w:t>
      </w:r>
      <w:r w:rsidRPr="00046AC0">
        <w:rPr>
          <w:rFonts w:eastAsia="Calibri"/>
          <w:lang w:eastAsia="en-US"/>
        </w:rPr>
        <w:t xml:space="preserve">, state, territory and local government entities, as well as private sector businesses </w:t>
      </w:r>
    </w:p>
    <w:p w14:paraId="312F5125" w14:textId="0374D430" w:rsidR="00E6232E" w:rsidRPr="00046AC0" w:rsidRDefault="00E6232E" w:rsidP="00880622">
      <w:pPr>
        <w:pStyle w:val="ListBulletLevel2"/>
        <w:rPr>
          <w:rFonts w:eastAsia="Calibri"/>
          <w:lang w:eastAsia="en-US"/>
        </w:rPr>
      </w:pPr>
      <w:r w:rsidRPr="00046AC0">
        <w:rPr>
          <w:rFonts w:eastAsia="Calibri"/>
          <w:lang w:eastAsia="en-US"/>
        </w:rPr>
        <w:t xml:space="preserve">greater choice and flexibility in interactions with </w:t>
      </w:r>
      <w:r w:rsidR="005867A4" w:rsidRPr="00046AC0">
        <w:rPr>
          <w:rFonts w:eastAsia="Calibri"/>
          <w:lang w:eastAsia="en-US"/>
        </w:rPr>
        <w:t>i</w:t>
      </w:r>
      <w:r w:rsidRPr="00046AC0">
        <w:rPr>
          <w:rFonts w:eastAsia="Calibri"/>
          <w:lang w:eastAsia="en-US"/>
        </w:rPr>
        <w:t xml:space="preserve">dentity </w:t>
      </w:r>
      <w:r w:rsidR="005867A4" w:rsidRPr="00046AC0">
        <w:rPr>
          <w:rFonts w:eastAsia="Calibri"/>
          <w:lang w:eastAsia="en-US"/>
        </w:rPr>
        <w:t>p</w:t>
      </w:r>
      <w:r w:rsidRPr="00046AC0">
        <w:rPr>
          <w:rFonts w:eastAsia="Calibri"/>
          <w:lang w:eastAsia="en-US"/>
        </w:rPr>
        <w:t xml:space="preserve">roviders, appealing to </w:t>
      </w:r>
      <w:r w:rsidR="00785C94" w:rsidRPr="00046AC0">
        <w:rPr>
          <w:rFonts w:eastAsia="Calibri"/>
          <w:lang w:eastAsia="en-US"/>
        </w:rPr>
        <w:t xml:space="preserve">individuals’ </w:t>
      </w:r>
      <w:r w:rsidRPr="00046AC0">
        <w:rPr>
          <w:rFonts w:eastAsia="Calibri"/>
          <w:lang w:eastAsia="en-US"/>
        </w:rPr>
        <w:t xml:space="preserve">varying preferences </w:t>
      </w:r>
    </w:p>
    <w:p w14:paraId="24708B98" w14:textId="29BC9801" w:rsidR="00E6232E" w:rsidRPr="00046AC0" w:rsidRDefault="00E6232E" w:rsidP="00880622">
      <w:pPr>
        <w:pStyle w:val="ListBulletLevel2"/>
        <w:rPr>
          <w:rFonts w:eastAsia="Calibri"/>
          <w:lang w:eastAsia="en-US"/>
        </w:rPr>
      </w:pPr>
      <w:r w:rsidRPr="00046AC0">
        <w:rPr>
          <w:rFonts w:eastAsia="Calibri"/>
          <w:lang w:eastAsia="en-US"/>
        </w:rPr>
        <w:t>strong levels of autonomy and control compared with other emerging ‘</w:t>
      </w:r>
      <w:r w:rsidR="00CF314E" w:rsidRPr="00046AC0">
        <w:rPr>
          <w:rFonts w:eastAsia="Calibri"/>
          <w:lang w:eastAsia="en-US"/>
        </w:rPr>
        <w:t>de</w:t>
      </w:r>
      <w:r w:rsidR="00CF314E">
        <w:rPr>
          <w:rFonts w:eastAsia="Calibri"/>
          <w:lang w:eastAsia="en-US"/>
        </w:rPr>
        <w:t> </w:t>
      </w:r>
      <w:r w:rsidRPr="00046AC0">
        <w:rPr>
          <w:rFonts w:eastAsia="Calibri"/>
          <w:lang w:eastAsia="en-US"/>
        </w:rPr>
        <w:t xml:space="preserve">facto’ identity solutions which are increasingly used to transact with private companies online. </w:t>
      </w:r>
    </w:p>
    <w:p w14:paraId="0C34A951" w14:textId="5B0E49EB" w:rsidR="00965A11" w:rsidRPr="00046AC0" w:rsidRDefault="00A715AF" w:rsidP="00D44FE0">
      <w:pPr>
        <w:pStyle w:val="ListBulletLevel2"/>
        <w:numPr>
          <w:ilvl w:val="0"/>
          <w:numId w:val="0"/>
        </w:numPr>
        <w:tabs>
          <w:tab w:val="clear" w:pos="454"/>
        </w:tabs>
        <w:ind w:left="596"/>
        <w:rPr>
          <w:rFonts w:eastAsia="Calibri"/>
          <w:lang w:eastAsia="en-US"/>
        </w:rPr>
      </w:pPr>
      <w:r w:rsidRPr="00046AC0">
        <w:rPr>
          <w:rFonts w:eastAsia="Calibri"/>
          <w:lang w:eastAsia="en-US"/>
        </w:rPr>
        <w:t xml:space="preserve">The benefits available to individuals and families are illustrated </w:t>
      </w:r>
      <w:r w:rsidR="00843AA8" w:rsidRPr="00046AC0">
        <w:rPr>
          <w:rFonts w:eastAsia="Calibri"/>
          <w:lang w:eastAsia="en-US"/>
        </w:rPr>
        <w:t>through</w:t>
      </w:r>
      <w:r w:rsidRPr="00046AC0">
        <w:rPr>
          <w:rFonts w:eastAsia="Calibri"/>
          <w:lang w:eastAsia="en-US"/>
        </w:rPr>
        <w:t xml:space="preserve"> the example</w:t>
      </w:r>
      <w:r w:rsidR="00300C51" w:rsidRPr="00046AC0">
        <w:rPr>
          <w:rFonts w:eastAsia="Calibri"/>
          <w:lang w:eastAsia="en-US"/>
        </w:rPr>
        <w:t>s</w:t>
      </w:r>
      <w:r w:rsidR="005E72CA" w:rsidRPr="00046AC0">
        <w:rPr>
          <w:rFonts w:eastAsia="Calibri"/>
          <w:lang w:eastAsia="en-US"/>
        </w:rPr>
        <w:t xml:space="preserve"> below</w:t>
      </w:r>
      <w:r w:rsidRPr="00046AC0">
        <w:rPr>
          <w:rFonts w:eastAsia="Calibri"/>
          <w:lang w:eastAsia="en-US"/>
        </w:rPr>
        <w:t>.</w:t>
      </w:r>
    </w:p>
    <w:bookmarkStart w:id="86" w:name="_Toc80884651"/>
    <w:bookmarkStart w:id="87" w:name="_Toc84925777"/>
    <w:bookmarkStart w:id="88" w:name="_Toc86069992"/>
    <w:p w14:paraId="1B2E2417" w14:textId="146169DB" w:rsidR="00D24E0A" w:rsidRPr="00CF48C1" w:rsidRDefault="00DA68ED" w:rsidP="00B368C1">
      <w:pPr>
        <w:pStyle w:val="Heading3"/>
        <w:numPr>
          <w:ilvl w:val="0"/>
          <w:numId w:val="0"/>
        </w:numPr>
        <w:ind w:left="454"/>
        <w:rPr>
          <w:rFonts w:eastAsia="Times New Roman"/>
          <w:color w:val="008675"/>
          <w:sz w:val="36"/>
          <w:szCs w:val="36"/>
        </w:rPr>
      </w:pPr>
      <w:r w:rsidRPr="00CF48C1">
        <w:rPr>
          <w:noProof/>
          <w:color w:val="008675"/>
        </w:rPr>
        <w:lastRenderedPageBreak/>
        <mc:AlternateContent>
          <mc:Choice Requires="wps">
            <w:drawing>
              <wp:anchor distT="0" distB="0" distL="114300" distR="114300" simplePos="0" relativeHeight="251649024" behindDoc="0" locked="0" layoutInCell="1" allowOverlap="1" wp14:anchorId="4ED91E22" wp14:editId="38ACF275">
                <wp:simplePos x="0" y="0"/>
                <wp:positionH relativeFrom="column">
                  <wp:posOffset>292735</wp:posOffset>
                </wp:positionH>
                <wp:positionV relativeFrom="paragraph">
                  <wp:posOffset>-52070</wp:posOffset>
                </wp:positionV>
                <wp:extent cx="5236234" cy="0"/>
                <wp:effectExtent l="0" t="0" r="0" b="0"/>
                <wp:wrapNone/>
                <wp:docPr id="22" name="Straight Connector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236234"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F3B818" id="Straight Connector 22" o:spid="_x0000_s1026" alt="&quot;&quot;"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3.05pt,-4.1pt" to="43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" strokecolor="#008675" strokeweight="1.5pt">
                <v:stroke joinstyle="miter"/>
              </v:line>
            </w:pict>
          </mc:Fallback>
        </mc:AlternateContent>
      </w:r>
      <w:r w:rsidRPr="00CF48C1">
        <w:rPr>
          <w:color w:val="008675"/>
        </w:rPr>
        <w:t xml:space="preserve">Case study: </w:t>
      </w:r>
      <w:r w:rsidR="00D24E0A" w:rsidRPr="00CF48C1">
        <w:rPr>
          <w:color w:val="008675"/>
        </w:rPr>
        <w:t>Regional families affected by natural disaster</w:t>
      </w:r>
      <w:bookmarkEnd w:id="86"/>
      <w:bookmarkEnd w:id="87"/>
      <w:bookmarkEnd w:id="88"/>
    </w:p>
    <w:p w14:paraId="1BD77537" w14:textId="378C285F" w:rsidR="00D24E0A" w:rsidRPr="00DB2009" w:rsidRDefault="00D36751" w:rsidP="00B368C1">
      <w:pPr>
        <w:pStyle w:val="ListBulletLevel2"/>
        <w:numPr>
          <w:ilvl w:val="0"/>
          <w:numId w:val="0"/>
        </w:numPr>
        <w:tabs>
          <w:tab w:val="clear" w:pos="454"/>
        </w:tabs>
        <w:ind w:left="454"/>
        <w:rPr>
          <w:rFonts w:eastAsia="Calibri"/>
          <w:lang w:eastAsia="en-US"/>
        </w:rPr>
      </w:pPr>
      <w:r w:rsidRPr="00DB2009">
        <w:rPr>
          <w:rFonts w:eastAsia="Calibri"/>
          <w:noProof/>
        </w:rPr>
        <w:drawing>
          <wp:anchor distT="0" distB="0" distL="114300" distR="114300" simplePos="0" relativeHeight="251657216" behindDoc="0" locked="0" layoutInCell="1" allowOverlap="1" wp14:anchorId="4B9A9939" wp14:editId="4EC98C8A">
            <wp:simplePos x="0" y="0"/>
            <wp:positionH relativeFrom="margin">
              <wp:align>right</wp:align>
            </wp:positionH>
            <wp:positionV relativeFrom="paragraph">
              <wp:posOffset>55978</wp:posOffset>
            </wp:positionV>
            <wp:extent cx="2224405" cy="2734310"/>
            <wp:effectExtent l="0" t="0" r="4445" b="8890"/>
            <wp:wrapSquare wrapText="bothSides"/>
            <wp:docPr id="15" name="Picture 15" descr="In the future, by using Digital Identity, a family affected by a natural disaster can save $128 in avoided costs and 4 hours applying to replace identity documents and driving into town to apply for assistance. They save up to an additional 4 weeks by not having to wait for new identity documents to be created and sent before they can apply for assist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 the future, by using Digital Identity, a family affected by a natural disaster can save $128 in avoided costs and 4 hours applying to replace identity documents and driving into town to apply for assistance. They save up to an additional 4 weeks by not having to wait for new identity documents to be created and sent before they can apply for assistanc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rotWithShape="1">
                    <a:blip r:embed="rId31" cstate="print">
                      <a:extLst>
                        <a:ext uri="{28A0092B-C50C-407E-A947-70E740481C1C}">
                          <a14:useLocalDpi xmlns:a14="http://schemas.microsoft.com/office/drawing/2010/main" val="0"/>
                        </a:ext>
                      </a:extLst>
                    </a:blip>
                    <a:srcRect r="-1309"/>
                    <a:stretch/>
                  </pic:blipFill>
                  <pic:spPr bwMode="auto">
                    <a:xfrm>
                      <a:off x="0" y="0"/>
                      <a:ext cx="2224405" cy="273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E0A" w:rsidRPr="00DB2009">
        <w:rPr>
          <w:rFonts w:eastAsia="Calibri"/>
          <w:lang w:eastAsia="en-US"/>
        </w:rPr>
        <w:t>Henry is a farmer who has been reluctant to use online government services in the past, preferring to make an hour-long drive to visit a Services Australia service centre or an Australia Post shop front instead.</w:t>
      </w:r>
    </w:p>
    <w:p w14:paraId="33B873BB" w14:textId="1D3F2BB1" w:rsidR="00D24E0A" w:rsidRPr="00046AC0" w:rsidRDefault="00D24E0A" w:rsidP="00B368C1">
      <w:pPr>
        <w:pStyle w:val="ListBulletLevel2"/>
        <w:numPr>
          <w:ilvl w:val="0"/>
          <w:numId w:val="0"/>
        </w:numPr>
        <w:tabs>
          <w:tab w:val="clear" w:pos="454"/>
        </w:tabs>
        <w:ind w:left="454"/>
        <w:rPr>
          <w:rFonts w:eastAsia="Calibri"/>
          <w:lang w:eastAsia="en-US"/>
        </w:rPr>
      </w:pPr>
      <w:r w:rsidRPr="00DB2009">
        <w:rPr>
          <w:rFonts w:eastAsia="Calibri"/>
          <w:lang w:eastAsia="en-US"/>
        </w:rPr>
        <w:t xml:space="preserve">After battling extreme drought, Henry decides it is time to use government services online and create his </w:t>
      </w:r>
      <w:r w:rsidR="00EB2443">
        <w:rPr>
          <w:rFonts w:eastAsia="Calibri"/>
          <w:lang w:eastAsia="en-US"/>
        </w:rPr>
        <w:t>Digital ID</w:t>
      </w:r>
      <w:r w:rsidR="00257DF3">
        <w:rPr>
          <w:rFonts w:eastAsia="Calibri"/>
          <w:lang w:eastAsia="en-US"/>
        </w:rPr>
        <w:t xml:space="preserve"> </w:t>
      </w:r>
      <w:r w:rsidRPr="00DB2009">
        <w:rPr>
          <w:rFonts w:eastAsia="Calibri"/>
          <w:lang w:eastAsia="en-US"/>
        </w:rPr>
        <w:t xml:space="preserve">so he can quickly set up new online accounts. He can </w:t>
      </w:r>
      <w:r w:rsidRPr="00046AC0">
        <w:rPr>
          <w:rFonts w:eastAsia="Calibri"/>
          <w:lang w:eastAsia="en-US"/>
        </w:rPr>
        <w:t>no longer afford to lose hours on the road when he needs to be on the farm.</w:t>
      </w:r>
    </w:p>
    <w:p w14:paraId="463CA1FA" w14:textId="68EC9102" w:rsidR="00D24E0A" w:rsidRPr="00046AC0" w:rsidRDefault="00D24E0A" w:rsidP="00B368C1">
      <w:pPr>
        <w:pStyle w:val="ListBulletLevel2"/>
        <w:numPr>
          <w:ilvl w:val="0"/>
          <w:numId w:val="0"/>
        </w:numPr>
        <w:tabs>
          <w:tab w:val="clear" w:pos="454"/>
        </w:tabs>
        <w:ind w:left="454"/>
        <w:rPr>
          <w:rFonts w:eastAsia="Calibri"/>
          <w:lang w:eastAsia="en-US"/>
        </w:rPr>
      </w:pPr>
      <w:r w:rsidRPr="00046AC0">
        <w:rPr>
          <w:rFonts w:eastAsia="Calibri"/>
          <w:lang w:eastAsia="en-US"/>
        </w:rPr>
        <w:t xml:space="preserve">When a bushfire tears through the family property and destroys his family’s birth certificates and passports, Henry realises the value of his </w:t>
      </w:r>
      <w:r w:rsidR="00EB2443">
        <w:rPr>
          <w:rFonts w:eastAsia="Calibri"/>
          <w:lang w:eastAsia="en-US"/>
        </w:rPr>
        <w:t>Digital ID</w:t>
      </w:r>
      <w:r w:rsidRPr="00046AC0">
        <w:rPr>
          <w:rFonts w:eastAsia="Calibri"/>
          <w:lang w:eastAsia="en-US"/>
        </w:rPr>
        <w:t xml:space="preserve">. With his </w:t>
      </w:r>
      <w:r w:rsidR="00EB2443">
        <w:rPr>
          <w:rFonts w:eastAsia="Calibri"/>
          <w:lang w:eastAsia="en-US"/>
        </w:rPr>
        <w:t>Digital ID</w:t>
      </w:r>
      <w:r w:rsidRPr="00046AC0">
        <w:rPr>
          <w:rFonts w:eastAsia="Calibri"/>
          <w:lang w:eastAsia="en-US"/>
        </w:rPr>
        <w:t>, he doesn’t need to wait for replacement documents</w:t>
      </w:r>
      <w:r w:rsidR="007949A8" w:rsidRPr="00046AC0">
        <w:rPr>
          <w:rFonts w:eastAsia="Calibri"/>
          <w:lang w:eastAsia="en-US"/>
        </w:rPr>
        <w:t>,</w:t>
      </w:r>
      <w:r w:rsidRPr="00046AC0">
        <w:rPr>
          <w:rFonts w:eastAsia="Calibri"/>
          <w:lang w:eastAsia="en-US"/>
        </w:rPr>
        <w:t xml:space="preserve"> and he can still access </w:t>
      </w:r>
      <w:r w:rsidR="00A77DB4" w:rsidRPr="00046AC0">
        <w:rPr>
          <w:rFonts w:eastAsia="Calibri"/>
          <w:lang w:eastAsia="en-US"/>
        </w:rPr>
        <w:t>all</w:t>
      </w:r>
      <w:r w:rsidRPr="00046AC0">
        <w:rPr>
          <w:rFonts w:eastAsia="Calibri"/>
          <w:lang w:eastAsia="en-US"/>
        </w:rPr>
        <w:t xml:space="preserve"> the government services he needs.</w:t>
      </w:r>
    </w:p>
    <w:bookmarkStart w:id="89" w:name="_Toc86069993"/>
    <w:p w14:paraId="1C257509" w14:textId="4A4B6025" w:rsidR="00D92CCA" w:rsidRPr="00CF48C1" w:rsidRDefault="00D92CCA" w:rsidP="00D92CCA">
      <w:pPr>
        <w:pStyle w:val="Heading3"/>
        <w:numPr>
          <w:ilvl w:val="0"/>
          <w:numId w:val="0"/>
        </w:numPr>
        <w:ind w:left="454"/>
        <w:rPr>
          <w:rFonts w:eastAsia="Times New Roman"/>
          <w:color w:val="008675"/>
          <w:sz w:val="36"/>
          <w:szCs w:val="36"/>
        </w:rPr>
      </w:pPr>
      <w:r w:rsidRPr="00CF48C1">
        <w:rPr>
          <w:noProof/>
          <w:color w:val="008675"/>
        </w:rPr>
        <mc:AlternateContent>
          <mc:Choice Requires="wps">
            <w:drawing>
              <wp:anchor distT="0" distB="0" distL="114300" distR="114300" simplePos="0" relativeHeight="251655168" behindDoc="0" locked="0" layoutInCell="1" allowOverlap="1" wp14:anchorId="24528FDD" wp14:editId="42B7B98B">
                <wp:simplePos x="0" y="0"/>
                <wp:positionH relativeFrom="column">
                  <wp:posOffset>293298</wp:posOffset>
                </wp:positionH>
                <wp:positionV relativeFrom="paragraph">
                  <wp:posOffset>100522</wp:posOffset>
                </wp:positionV>
                <wp:extent cx="5236234" cy="0"/>
                <wp:effectExtent l="0" t="0" r="0" b="0"/>
                <wp:wrapNone/>
                <wp:docPr id="1" name="Straight Connector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236234"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4591A9" id="Straight Connector 1" o:spid="_x0000_s1026" alt="&quot;&quot;"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1pt,7.9pt" to="435.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" strokecolor="#008675" strokeweight="1.5pt">
                <v:stroke joinstyle="miter"/>
              </v:line>
            </w:pict>
          </mc:Fallback>
        </mc:AlternateContent>
      </w:r>
      <w:r w:rsidRPr="00CF48C1">
        <w:rPr>
          <w:color w:val="008675"/>
        </w:rPr>
        <w:t xml:space="preserve">Case study: </w:t>
      </w:r>
      <w:r w:rsidR="006662D0" w:rsidRPr="00CF48C1">
        <w:rPr>
          <w:color w:val="008675"/>
        </w:rPr>
        <w:t>Onboarding new employees</w:t>
      </w:r>
      <w:bookmarkEnd w:id="89"/>
    </w:p>
    <w:p w14:paraId="3B8ACBB1" w14:textId="1DD06FE6" w:rsidR="00E74C05" w:rsidRPr="00DB2009" w:rsidRDefault="00076E4C" w:rsidP="004D1C19">
      <w:pPr>
        <w:pStyle w:val="ListBulletLevel2"/>
        <w:numPr>
          <w:ilvl w:val="0"/>
          <w:numId w:val="0"/>
        </w:numPr>
        <w:tabs>
          <w:tab w:val="clear" w:pos="454"/>
        </w:tabs>
        <w:ind w:left="454"/>
        <w:rPr>
          <w:rFonts w:eastAsia="Calibri"/>
          <w:lang w:eastAsia="en-US"/>
        </w:rPr>
      </w:pPr>
      <w:r>
        <w:rPr>
          <w:rFonts w:eastAsia="Calibri"/>
          <w:noProof/>
        </w:rPr>
        <w:drawing>
          <wp:anchor distT="0" distB="0" distL="114300" distR="114300" simplePos="0" relativeHeight="251658240" behindDoc="1" locked="0" layoutInCell="1" allowOverlap="1" wp14:anchorId="63D2D431" wp14:editId="2C32A454">
            <wp:simplePos x="0" y="0"/>
            <wp:positionH relativeFrom="column">
              <wp:posOffset>3252596</wp:posOffset>
            </wp:positionH>
            <wp:positionV relativeFrom="paragraph">
              <wp:posOffset>158989</wp:posOffset>
            </wp:positionV>
            <wp:extent cx="2206625" cy="3151505"/>
            <wp:effectExtent l="0" t="0" r="3175" b="0"/>
            <wp:wrapTight wrapText="bothSides">
              <wp:wrapPolygon edited="0">
                <wp:start x="0" y="0"/>
                <wp:lineTo x="0" y="21413"/>
                <wp:lineTo x="21445" y="21413"/>
                <wp:lineTo x="21445" y="0"/>
                <wp:lineTo x="0" y="0"/>
              </wp:wrapPolygon>
            </wp:wrapTight>
            <wp:docPr id="40" name="Picture 40" descr="In an expanded System, by using Digital Identity, a new starter completing a National Police Check can save $69 in avoided costs and one hour 55 minutes by not having to gather, verify, scan and upload their documents. ">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 an expanded System, by using Digital Identity, a new starter completing a National Police Check can save $69 in avoided costs and one hour 55 minutes by not having to gather, verify, scan and upload their documents. ">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6625" cy="315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2D0">
        <w:rPr>
          <w:rFonts w:eastAsia="Calibri"/>
          <w:lang w:eastAsia="en-US"/>
        </w:rPr>
        <w:t xml:space="preserve">Jenny is an engineer who has recently secured a new job at a large Australian engineering company. Due to the number of sensitive and government projects they deliver, </w:t>
      </w:r>
      <w:r w:rsidR="00536391">
        <w:rPr>
          <w:rFonts w:eastAsia="Calibri"/>
          <w:lang w:eastAsia="en-US"/>
        </w:rPr>
        <w:t xml:space="preserve">the company </w:t>
      </w:r>
      <w:r w:rsidR="006662D0">
        <w:rPr>
          <w:rFonts w:eastAsia="Calibri"/>
          <w:lang w:eastAsia="en-US"/>
        </w:rPr>
        <w:t>require</w:t>
      </w:r>
      <w:r w:rsidR="00536391">
        <w:rPr>
          <w:rFonts w:eastAsia="Calibri"/>
          <w:lang w:eastAsia="en-US"/>
        </w:rPr>
        <w:t>s</w:t>
      </w:r>
      <w:r w:rsidR="006662D0">
        <w:rPr>
          <w:rFonts w:eastAsia="Calibri"/>
          <w:lang w:eastAsia="en-US"/>
        </w:rPr>
        <w:t xml:space="preserve"> all new starters to complete a National Police Check (NPC). </w:t>
      </w:r>
    </w:p>
    <w:p w14:paraId="12459982" w14:textId="17C54506" w:rsidR="00D92CCA" w:rsidRPr="00DB2009" w:rsidRDefault="008D0F89" w:rsidP="00D92CCA">
      <w:pPr>
        <w:pStyle w:val="ListBulletLevel2"/>
        <w:numPr>
          <w:ilvl w:val="0"/>
          <w:numId w:val="0"/>
        </w:numPr>
        <w:tabs>
          <w:tab w:val="clear" w:pos="454"/>
        </w:tabs>
        <w:ind w:left="454"/>
        <w:rPr>
          <w:rFonts w:eastAsia="Calibri"/>
          <w:lang w:eastAsia="en-US"/>
        </w:rPr>
      </w:pPr>
      <w:r>
        <w:rPr>
          <w:rFonts w:eastAsia="Calibri"/>
          <w:lang w:eastAsia="en-US"/>
        </w:rPr>
        <w:t>Having completed a</w:t>
      </w:r>
      <w:r w:rsidR="00586694">
        <w:rPr>
          <w:rFonts w:eastAsia="Calibri"/>
          <w:lang w:eastAsia="en-US"/>
        </w:rPr>
        <w:t>n</w:t>
      </w:r>
      <w:r>
        <w:rPr>
          <w:rFonts w:eastAsia="Calibri"/>
          <w:lang w:eastAsia="en-US"/>
        </w:rPr>
        <w:t xml:space="preserve"> NPC previously, Jenny knows that this process requires her to provide 100 points of ID and can take up to 2 hours due to the number of steps including </w:t>
      </w:r>
      <w:r w:rsidR="00996180">
        <w:rPr>
          <w:rFonts w:eastAsia="Calibri"/>
          <w:lang w:eastAsia="en-US"/>
        </w:rPr>
        <w:t xml:space="preserve">physically gathering, verifying, digitally scanning and uploading all relevant documentation. </w:t>
      </w:r>
    </w:p>
    <w:p w14:paraId="3F061B81" w14:textId="1FC774C2" w:rsidR="00711179" w:rsidRPr="005B4E92" w:rsidRDefault="00996180" w:rsidP="005B4E92">
      <w:pPr>
        <w:pStyle w:val="ListBulletLevel2"/>
        <w:numPr>
          <w:ilvl w:val="0"/>
          <w:numId w:val="0"/>
        </w:numPr>
        <w:tabs>
          <w:tab w:val="clear" w:pos="454"/>
        </w:tabs>
        <w:ind w:left="454"/>
        <w:rPr>
          <w:rFonts w:eastAsia="Calibri"/>
          <w:lang w:eastAsia="en-US"/>
        </w:rPr>
      </w:pPr>
      <w:r>
        <w:rPr>
          <w:rFonts w:eastAsia="Calibri"/>
          <w:lang w:eastAsia="en-US"/>
        </w:rPr>
        <w:lastRenderedPageBreak/>
        <w:t xml:space="preserve">Jenny already has a </w:t>
      </w:r>
      <w:r w:rsidR="00EB2443">
        <w:rPr>
          <w:rFonts w:eastAsia="Calibri"/>
          <w:lang w:eastAsia="en-US"/>
        </w:rPr>
        <w:t>Digital ID</w:t>
      </w:r>
      <w:r>
        <w:rPr>
          <w:rFonts w:eastAsia="Calibri"/>
          <w:lang w:eastAsia="en-US"/>
        </w:rPr>
        <w:t xml:space="preserve"> account and finds </w:t>
      </w:r>
      <w:r w:rsidR="00784E2B">
        <w:rPr>
          <w:rFonts w:eastAsia="Calibri"/>
          <w:lang w:eastAsia="en-US"/>
        </w:rPr>
        <w:t xml:space="preserve">that by </w:t>
      </w:r>
      <w:r w:rsidR="0068550A">
        <w:rPr>
          <w:rFonts w:eastAsia="Calibri"/>
          <w:lang w:eastAsia="en-US"/>
        </w:rPr>
        <w:t>consenting for her Identity Service Provider to share</w:t>
      </w:r>
      <w:r w:rsidR="00586694">
        <w:rPr>
          <w:rFonts w:eastAsia="Calibri"/>
          <w:lang w:eastAsia="en-US"/>
        </w:rPr>
        <w:t xml:space="preserve"> some</w:t>
      </w:r>
      <w:r w:rsidR="0068550A">
        <w:rPr>
          <w:rFonts w:eastAsia="Calibri"/>
          <w:lang w:eastAsia="en-US"/>
        </w:rPr>
        <w:t xml:space="preserve"> information from her (already provided and verified) identity documents for the purposes of obtaining a</w:t>
      </w:r>
      <w:r>
        <w:rPr>
          <w:rFonts w:eastAsia="Calibri"/>
          <w:lang w:eastAsia="en-US"/>
        </w:rPr>
        <w:t xml:space="preserve"> NPC</w:t>
      </w:r>
      <w:r w:rsidR="0068550A">
        <w:rPr>
          <w:rFonts w:eastAsia="Calibri"/>
          <w:lang w:eastAsia="en-US"/>
        </w:rPr>
        <w:t>,</w:t>
      </w:r>
      <w:r>
        <w:rPr>
          <w:rFonts w:eastAsia="Calibri"/>
          <w:lang w:eastAsia="en-US"/>
        </w:rPr>
        <w:t xml:space="preserve"> the process takes significantly less time than it otherwise would have</w:t>
      </w:r>
      <w:r w:rsidR="00B73C27">
        <w:rPr>
          <w:rFonts w:eastAsia="Calibri"/>
          <w:lang w:eastAsia="en-US"/>
        </w:rPr>
        <w:t>. Using the System</w:t>
      </w:r>
      <w:r>
        <w:rPr>
          <w:rFonts w:eastAsia="Calibri"/>
          <w:lang w:eastAsia="en-US"/>
        </w:rPr>
        <w:t xml:space="preserve"> sav</w:t>
      </w:r>
      <w:r w:rsidR="00B73C27">
        <w:rPr>
          <w:rFonts w:eastAsia="Calibri"/>
          <w:lang w:eastAsia="en-US"/>
        </w:rPr>
        <w:t>es</w:t>
      </w:r>
      <w:r>
        <w:rPr>
          <w:rFonts w:eastAsia="Calibri"/>
          <w:lang w:eastAsia="en-US"/>
        </w:rPr>
        <w:t xml:space="preserve"> her 1</w:t>
      </w:r>
      <w:r w:rsidR="005D361B">
        <w:rPr>
          <w:rFonts w:eastAsia="Calibri"/>
          <w:lang w:eastAsia="en-US"/>
        </w:rPr>
        <w:t xml:space="preserve"> hour </w:t>
      </w:r>
      <w:r>
        <w:rPr>
          <w:rFonts w:eastAsia="Calibri"/>
          <w:lang w:eastAsia="en-US"/>
        </w:rPr>
        <w:t>5</w:t>
      </w:r>
      <w:r w:rsidR="005D361B">
        <w:rPr>
          <w:rFonts w:eastAsia="Calibri"/>
          <w:lang w:eastAsia="en-US"/>
        </w:rPr>
        <w:t>5</w:t>
      </w:r>
      <w:r>
        <w:rPr>
          <w:rFonts w:eastAsia="Calibri"/>
          <w:lang w:eastAsia="en-US"/>
        </w:rPr>
        <w:t xml:space="preserve"> minutes and $69 in avoided costs. </w:t>
      </w:r>
    </w:p>
    <w:p w14:paraId="0BA719F6" w14:textId="1AAA8E01" w:rsidR="00A8148E" w:rsidRPr="004B7F1E" w:rsidRDefault="009003D4" w:rsidP="0036064A">
      <w:pPr>
        <w:pStyle w:val="BodyText"/>
        <w:ind w:left="454"/>
      </w:pPr>
      <w:r w:rsidRPr="004B7F1E">
        <w:rPr>
          <w:b/>
        </w:rPr>
        <w:t xml:space="preserve">Note </w:t>
      </w:r>
      <w:r>
        <w:t xml:space="preserve">- </w:t>
      </w:r>
      <w:r w:rsidRPr="004B7F1E">
        <w:t xml:space="preserve">the benefits </w:t>
      </w:r>
      <w:r w:rsidR="00711179" w:rsidRPr="004B7F1E">
        <w:t xml:space="preserve">in this case study are </w:t>
      </w:r>
      <w:r w:rsidRPr="004B7F1E">
        <w:t xml:space="preserve">available under an expanded </w:t>
      </w:r>
      <w:r w:rsidR="00711179" w:rsidRPr="004B7F1E">
        <w:t>S</w:t>
      </w:r>
      <w:r w:rsidRPr="004B7F1E">
        <w:t>ystem only</w:t>
      </w:r>
      <w:r w:rsidR="00711179" w:rsidRPr="004B7F1E">
        <w:t>.</w:t>
      </w:r>
    </w:p>
    <w:p w14:paraId="0CB1F302" w14:textId="1C168858" w:rsidR="00986346" w:rsidRPr="00986346" w:rsidRDefault="006F551D" w:rsidP="00986346">
      <w:pPr>
        <w:pStyle w:val="BodyText"/>
      </w:pPr>
      <w:r w:rsidRPr="00986346">
        <w:rPr>
          <w:b/>
          <w:noProof/>
          <w:color w:val="2C476E"/>
          <w:kern w:val="28"/>
          <w:sz w:val="28"/>
          <w:szCs w:val="30"/>
          <w:highlight w:val="yellow"/>
        </w:rPr>
        <mc:AlternateContent>
          <mc:Choice Requires="wps">
            <w:drawing>
              <wp:anchor distT="0" distB="0" distL="114300" distR="114300" simplePos="0" relativeHeight="251652096" behindDoc="0" locked="0" layoutInCell="1" allowOverlap="1" wp14:anchorId="00E11398" wp14:editId="6D257DB6">
                <wp:simplePos x="0" y="0"/>
                <wp:positionH relativeFrom="margin">
                  <wp:posOffset>247650</wp:posOffset>
                </wp:positionH>
                <wp:positionV relativeFrom="paragraph">
                  <wp:posOffset>82712</wp:posOffset>
                </wp:positionV>
                <wp:extent cx="5236210" cy="0"/>
                <wp:effectExtent l="0" t="0" r="0" b="0"/>
                <wp:wrapNone/>
                <wp:docPr id="38" name="Straight Connector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236210"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606CA3" id="Straight Connector 38" o:spid="_x0000_s1026" alt="&quot;&quot;" style="position:absolute;z-index:251652096;visibility:visible;mso-wrap-style:square;mso-wrap-distance-left:9pt;mso-wrap-distance-top:0;mso-wrap-distance-right:9pt;mso-wrap-distance-bottom:0;mso-position-horizontal:absolute;mso-position-horizontal-relative:margin;mso-position-vertical:absolute;mso-position-vertical-relative:text" from="19.5pt,6.5pt" to="431.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" strokecolor="#008675" strokeweight="1.5pt">
                <v:stroke joinstyle="miter"/>
                <w10:wrap anchorx="margin"/>
              </v:line>
            </w:pict>
          </mc:Fallback>
        </mc:AlternateContent>
      </w:r>
    </w:p>
    <w:p w14:paraId="275CE249" w14:textId="5A149A8E" w:rsidR="007E5D8A" w:rsidRPr="00513094" w:rsidRDefault="006E26A4" w:rsidP="00513094">
      <w:pPr>
        <w:pStyle w:val="ListBulletLevel1"/>
        <w:rPr>
          <w:rFonts w:eastAsia="Calibri"/>
          <w:lang w:eastAsia="en-US"/>
        </w:rPr>
      </w:pPr>
      <w:r>
        <w:rPr>
          <w:rFonts w:eastAsia="Calibri"/>
          <w:lang w:eastAsia="en-US"/>
        </w:rPr>
        <w:t>F</w:t>
      </w:r>
      <w:r w:rsidR="00555DDE" w:rsidRPr="00513094">
        <w:rPr>
          <w:rFonts w:eastAsia="Calibri"/>
          <w:lang w:eastAsia="en-US"/>
        </w:rPr>
        <w:t>or businesses</w:t>
      </w:r>
    </w:p>
    <w:p w14:paraId="2533DB8B" w14:textId="50581423" w:rsidR="00E6232E" w:rsidRPr="000B7589" w:rsidRDefault="00E6232E" w:rsidP="006E26A4">
      <w:pPr>
        <w:pStyle w:val="ListBulletLevel2"/>
        <w:rPr>
          <w:rFonts w:eastAsia="Calibri"/>
          <w:lang w:eastAsia="en-US"/>
        </w:rPr>
      </w:pPr>
      <w:r w:rsidRPr="000B7589">
        <w:rPr>
          <w:rFonts w:eastAsia="Calibri"/>
          <w:lang w:eastAsia="en-US"/>
        </w:rPr>
        <w:t xml:space="preserve">time, cost savings and enhanced productivity, as a result of the increased speed of transacting with multiple </w:t>
      </w:r>
      <w:r w:rsidR="0037752F">
        <w:rPr>
          <w:rFonts w:eastAsia="Calibri"/>
          <w:lang w:eastAsia="en-US"/>
        </w:rPr>
        <w:t>government agencies</w:t>
      </w:r>
      <w:r w:rsidR="0037752F" w:rsidRPr="000B7589">
        <w:rPr>
          <w:rFonts w:eastAsia="Calibri"/>
          <w:lang w:eastAsia="en-US"/>
        </w:rPr>
        <w:t xml:space="preserve"> </w:t>
      </w:r>
      <w:r w:rsidRPr="000B7589">
        <w:rPr>
          <w:rFonts w:eastAsia="Calibri"/>
          <w:lang w:eastAsia="en-US"/>
        </w:rPr>
        <w:t>or businesses</w:t>
      </w:r>
    </w:p>
    <w:p w14:paraId="517A1F83" w14:textId="5E0967CB" w:rsidR="00E6232E" w:rsidRPr="000B7589" w:rsidRDefault="00E6232E" w:rsidP="006E26A4">
      <w:pPr>
        <w:pStyle w:val="ListBulletLevel2"/>
        <w:rPr>
          <w:rFonts w:eastAsia="Calibri"/>
          <w:lang w:eastAsia="en-US"/>
        </w:rPr>
      </w:pPr>
      <w:r w:rsidRPr="000B7589">
        <w:rPr>
          <w:rFonts w:eastAsia="Calibri"/>
          <w:lang w:eastAsia="en-US"/>
        </w:rPr>
        <w:t>improved efficiency of customer operations and reduced manual handling</w:t>
      </w:r>
    </w:p>
    <w:p w14:paraId="5517D162" w14:textId="689C5E4E" w:rsidR="00E6232E" w:rsidRPr="000B7589" w:rsidRDefault="00E6232E" w:rsidP="006E26A4">
      <w:pPr>
        <w:pStyle w:val="ListBulletLevel2"/>
        <w:rPr>
          <w:rFonts w:eastAsia="Calibri"/>
          <w:lang w:eastAsia="en-US"/>
        </w:rPr>
      </w:pPr>
      <w:r w:rsidRPr="0DFA586A">
        <w:rPr>
          <w:rFonts w:eastAsia="Calibri"/>
          <w:lang w:eastAsia="en-US"/>
        </w:rPr>
        <w:t>reduced instances of customer fraud, which is particularly beneficial for banking and financial service providers</w:t>
      </w:r>
      <w:r w:rsidR="00154280" w:rsidRPr="0DFA586A">
        <w:rPr>
          <w:rFonts w:eastAsia="Calibri"/>
          <w:lang w:eastAsia="en-US"/>
        </w:rPr>
        <w:t xml:space="preserve">, </w:t>
      </w:r>
      <w:r w:rsidRPr="0DFA586A">
        <w:rPr>
          <w:rFonts w:eastAsia="Calibri"/>
          <w:lang w:eastAsia="en-US"/>
        </w:rPr>
        <w:t xml:space="preserve">as well as any entity with ‘Know Your Customer’ </w:t>
      </w:r>
      <w:r w:rsidR="00154280" w:rsidRPr="0DFA586A">
        <w:rPr>
          <w:rFonts w:eastAsia="Calibri"/>
          <w:lang w:eastAsia="en-US"/>
        </w:rPr>
        <w:t>o</w:t>
      </w:r>
      <w:r w:rsidRPr="0DFA586A">
        <w:rPr>
          <w:rFonts w:eastAsia="Calibri"/>
          <w:lang w:eastAsia="en-US"/>
        </w:rPr>
        <w:t>bligations</w:t>
      </w:r>
      <w:r w:rsidR="00154280" w:rsidRPr="0DFA586A">
        <w:rPr>
          <w:rFonts w:eastAsia="Calibri"/>
          <w:lang w:eastAsia="en-US"/>
        </w:rPr>
        <w:t xml:space="preserve">. (Reporting entities under the </w:t>
      </w:r>
      <w:r w:rsidR="00154280" w:rsidRPr="0DFA586A">
        <w:rPr>
          <w:rFonts w:eastAsia="Calibri"/>
          <w:i/>
          <w:iCs/>
          <w:lang w:eastAsia="en-US"/>
        </w:rPr>
        <w:t>Anti-Money Laundering and Counter-Terrorism Financing Act 2006</w:t>
      </w:r>
      <w:r w:rsidR="00154280" w:rsidRPr="0DFA586A">
        <w:rPr>
          <w:rFonts w:eastAsia="Calibri"/>
          <w:lang w:eastAsia="en-US"/>
        </w:rPr>
        <w:t xml:space="preserve"> (</w:t>
      </w:r>
      <w:proofErr w:type="spellStart"/>
      <w:r w:rsidR="00154280" w:rsidRPr="0DFA586A">
        <w:rPr>
          <w:rFonts w:eastAsia="Calibri"/>
          <w:lang w:eastAsia="en-US"/>
        </w:rPr>
        <w:t>Cth</w:t>
      </w:r>
      <w:proofErr w:type="spellEnd"/>
      <w:r w:rsidR="00154280" w:rsidRPr="0DFA586A">
        <w:rPr>
          <w:rFonts w:eastAsia="Calibri"/>
          <w:lang w:eastAsia="en-US"/>
        </w:rPr>
        <w:t>) have obligations to apply customer identification procedures to all customers, and alter their procedures based upon the level of money</w:t>
      </w:r>
      <w:r w:rsidR="683C69F8" w:rsidRPr="0DFA586A">
        <w:rPr>
          <w:rFonts w:eastAsia="Calibri"/>
          <w:lang w:eastAsia="en-US"/>
        </w:rPr>
        <w:t xml:space="preserve"> </w:t>
      </w:r>
      <w:r w:rsidR="00154280" w:rsidRPr="0DFA586A">
        <w:rPr>
          <w:rFonts w:eastAsia="Calibri"/>
          <w:lang w:eastAsia="en-US"/>
        </w:rPr>
        <w:t>laundering/counter-terrorism financing risk that different customers pose</w:t>
      </w:r>
      <w:r w:rsidR="00813927" w:rsidRPr="0DFA586A">
        <w:rPr>
          <w:rFonts w:eastAsia="Calibri"/>
          <w:lang w:eastAsia="en-US"/>
        </w:rPr>
        <w:t>)</w:t>
      </w:r>
      <w:r w:rsidRPr="0DFA586A">
        <w:rPr>
          <w:rFonts w:eastAsia="Calibri"/>
          <w:lang w:eastAsia="en-US"/>
        </w:rPr>
        <w:t xml:space="preserve"> </w:t>
      </w:r>
    </w:p>
    <w:p w14:paraId="0DC892EB" w14:textId="1DD26F68" w:rsidR="00E6232E" w:rsidRPr="000B7589" w:rsidRDefault="00E6232E" w:rsidP="000E241A">
      <w:pPr>
        <w:pStyle w:val="ListBulletLevel2"/>
        <w:rPr>
          <w:rFonts w:eastAsia="Calibri"/>
          <w:lang w:eastAsia="en-US"/>
        </w:rPr>
      </w:pPr>
      <w:r w:rsidRPr="000B7589">
        <w:rPr>
          <w:rFonts w:eastAsia="Calibri"/>
          <w:lang w:eastAsia="en-US"/>
        </w:rPr>
        <w:t xml:space="preserve">provides the same means of accessing </w:t>
      </w:r>
      <w:r w:rsidR="004C429F">
        <w:rPr>
          <w:rFonts w:eastAsia="Calibri"/>
          <w:lang w:eastAsia="en-US"/>
        </w:rPr>
        <w:t>personal</w:t>
      </w:r>
      <w:r w:rsidR="004C429F" w:rsidRPr="000B7589">
        <w:rPr>
          <w:rFonts w:eastAsia="Calibri"/>
          <w:lang w:eastAsia="en-US"/>
        </w:rPr>
        <w:t xml:space="preserve"> </w:t>
      </w:r>
      <w:r w:rsidRPr="000B7589">
        <w:rPr>
          <w:rFonts w:eastAsia="Calibri"/>
          <w:lang w:eastAsia="en-US"/>
        </w:rPr>
        <w:t xml:space="preserve">and business services saving time and effort </w:t>
      </w:r>
    </w:p>
    <w:p w14:paraId="0AE20D58" w14:textId="21DEF542" w:rsidR="00654600" w:rsidRPr="00046AC0" w:rsidRDefault="00E6232E" w:rsidP="000D0B32">
      <w:pPr>
        <w:pStyle w:val="ListBulletLevel2"/>
        <w:rPr>
          <w:rFonts w:eastAsia="Calibri"/>
          <w:lang w:eastAsia="en-US"/>
        </w:rPr>
      </w:pPr>
      <w:bookmarkStart w:id="90" w:name="_Hlk65743811"/>
      <w:r w:rsidRPr="000B7589">
        <w:rPr>
          <w:rFonts w:eastAsia="Calibri"/>
          <w:lang w:eastAsia="en-US"/>
        </w:rPr>
        <w:t xml:space="preserve">greater opportunities for growth in domestic markets, particularly in sectors </w:t>
      </w:r>
      <w:r w:rsidRPr="00046AC0">
        <w:rPr>
          <w:rFonts w:eastAsia="Calibri"/>
          <w:lang w:eastAsia="en-US"/>
        </w:rPr>
        <w:t xml:space="preserve">such as </w:t>
      </w:r>
      <w:r w:rsidR="00813927" w:rsidRPr="00046AC0">
        <w:rPr>
          <w:rFonts w:eastAsia="Calibri"/>
          <w:lang w:eastAsia="en-US"/>
        </w:rPr>
        <w:t>f</w:t>
      </w:r>
      <w:r w:rsidRPr="00046AC0">
        <w:rPr>
          <w:rFonts w:eastAsia="Calibri"/>
          <w:lang w:eastAsia="en-US"/>
        </w:rPr>
        <w:t xml:space="preserve">inancial </w:t>
      </w:r>
      <w:r w:rsidR="00813927" w:rsidRPr="00046AC0">
        <w:rPr>
          <w:rFonts w:eastAsia="Calibri"/>
          <w:lang w:eastAsia="en-US"/>
        </w:rPr>
        <w:t>t</w:t>
      </w:r>
      <w:r w:rsidRPr="00046AC0">
        <w:rPr>
          <w:rFonts w:eastAsia="Calibri"/>
          <w:lang w:eastAsia="en-US"/>
        </w:rPr>
        <w:t>echnology</w:t>
      </w:r>
      <w:r w:rsidR="00C11DB9" w:rsidRPr="00046AC0">
        <w:rPr>
          <w:rFonts w:eastAsia="Calibri"/>
          <w:lang w:eastAsia="en-US"/>
        </w:rPr>
        <w:t xml:space="preserve"> (FinTech)</w:t>
      </w:r>
      <w:r w:rsidRPr="00046AC0">
        <w:rPr>
          <w:rFonts w:eastAsia="Calibri"/>
          <w:lang w:eastAsia="en-US"/>
        </w:rPr>
        <w:t xml:space="preserve"> and </w:t>
      </w:r>
      <w:r w:rsidR="00813927" w:rsidRPr="00046AC0">
        <w:rPr>
          <w:rFonts w:eastAsia="Calibri"/>
          <w:lang w:eastAsia="en-US"/>
        </w:rPr>
        <w:t>r</w:t>
      </w:r>
      <w:r w:rsidRPr="00046AC0">
        <w:rPr>
          <w:rFonts w:eastAsia="Calibri"/>
          <w:lang w:eastAsia="en-US"/>
        </w:rPr>
        <w:t>egulat</w:t>
      </w:r>
      <w:r w:rsidR="009769E2" w:rsidRPr="00046AC0">
        <w:rPr>
          <w:rFonts w:eastAsia="Calibri"/>
          <w:lang w:eastAsia="en-US"/>
        </w:rPr>
        <w:t>ory</w:t>
      </w:r>
      <w:r w:rsidRPr="00046AC0">
        <w:rPr>
          <w:rFonts w:eastAsia="Calibri"/>
          <w:lang w:eastAsia="en-US"/>
        </w:rPr>
        <w:t xml:space="preserve"> </w:t>
      </w:r>
      <w:r w:rsidR="00813927" w:rsidRPr="00046AC0">
        <w:rPr>
          <w:rFonts w:eastAsia="Calibri"/>
          <w:lang w:eastAsia="en-US"/>
        </w:rPr>
        <w:t>t</w:t>
      </w:r>
      <w:r w:rsidRPr="00046AC0">
        <w:rPr>
          <w:rFonts w:eastAsia="Calibri"/>
          <w:lang w:eastAsia="en-US"/>
        </w:rPr>
        <w:t>echnology (</w:t>
      </w:r>
      <w:proofErr w:type="spellStart"/>
      <w:r w:rsidRPr="00046AC0">
        <w:rPr>
          <w:rFonts w:eastAsia="Calibri"/>
          <w:lang w:eastAsia="en-US"/>
        </w:rPr>
        <w:t>RegTech</w:t>
      </w:r>
      <w:proofErr w:type="spellEnd"/>
      <w:r w:rsidRPr="00046AC0">
        <w:rPr>
          <w:rFonts w:eastAsia="Calibri"/>
          <w:lang w:eastAsia="en-US"/>
        </w:rPr>
        <w:t>), and the broader Australian economy through realising the efficiencies above.</w:t>
      </w:r>
    </w:p>
    <w:bookmarkEnd w:id="90"/>
    <w:p w14:paraId="62B8ED94" w14:textId="51BA1167" w:rsidR="00E6232E" w:rsidRPr="00046AC0" w:rsidRDefault="00654600" w:rsidP="00513094">
      <w:pPr>
        <w:pStyle w:val="ListBulletLevel1"/>
        <w:numPr>
          <w:ilvl w:val="0"/>
          <w:numId w:val="0"/>
        </w:numPr>
        <w:ind w:left="142"/>
        <w:rPr>
          <w:rFonts w:eastAsia="Calibri"/>
          <w:lang w:eastAsia="en-US"/>
        </w:rPr>
      </w:pPr>
      <w:r w:rsidRPr="00046AC0">
        <w:rPr>
          <w:rFonts w:eastAsia="Calibri"/>
          <w:lang w:eastAsia="en-US"/>
        </w:rPr>
        <w:t>The efficiencies and benefits available to businesses and business</w:t>
      </w:r>
      <w:r w:rsidR="00813927" w:rsidRPr="00046AC0">
        <w:rPr>
          <w:rFonts w:eastAsia="Calibri"/>
          <w:lang w:eastAsia="en-US"/>
        </w:rPr>
        <w:t xml:space="preserve"> </w:t>
      </w:r>
      <w:r w:rsidRPr="00046AC0">
        <w:rPr>
          <w:rFonts w:eastAsia="Calibri"/>
          <w:lang w:eastAsia="en-US"/>
        </w:rPr>
        <w:t>owners are illustrated by the example</w:t>
      </w:r>
      <w:r w:rsidR="00300C51" w:rsidRPr="00046AC0">
        <w:rPr>
          <w:rFonts w:eastAsia="Calibri"/>
          <w:lang w:eastAsia="en-US"/>
        </w:rPr>
        <w:t>s</w:t>
      </w:r>
      <w:r w:rsidR="00003894" w:rsidRPr="00046AC0">
        <w:rPr>
          <w:rFonts w:eastAsia="Calibri"/>
          <w:lang w:eastAsia="en-US"/>
        </w:rPr>
        <w:t xml:space="preserve"> below</w:t>
      </w:r>
      <w:r w:rsidRPr="00046AC0">
        <w:rPr>
          <w:rFonts w:eastAsia="Calibri"/>
          <w:lang w:eastAsia="en-US"/>
        </w:rPr>
        <w:t>.</w:t>
      </w:r>
    </w:p>
    <w:bookmarkStart w:id="91" w:name="_Toc80884652"/>
    <w:bookmarkStart w:id="92" w:name="_Toc84925778"/>
    <w:bookmarkStart w:id="93" w:name="_Toc86069994"/>
    <w:p w14:paraId="51AB0A76" w14:textId="18C8FDEC" w:rsidR="00181FF1" w:rsidRPr="00CF48C1" w:rsidRDefault="005B4E92" w:rsidP="00157B26">
      <w:pPr>
        <w:pStyle w:val="Heading3"/>
        <w:numPr>
          <w:ilvl w:val="0"/>
          <w:numId w:val="0"/>
        </w:numPr>
        <w:ind w:left="454"/>
        <w:rPr>
          <w:color w:val="008675"/>
        </w:rPr>
      </w:pPr>
      <w:r w:rsidRPr="00CF48C1">
        <w:rPr>
          <w:noProof/>
          <w:color w:val="008675"/>
        </w:rPr>
        <w:lastRenderedPageBreak/>
        <mc:AlternateContent>
          <mc:Choice Requires="wps">
            <w:drawing>
              <wp:anchor distT="0" distB="0" distL="114300" distR="114300" simplePos="0" relativeHeight="251650048" behindDoc="0" locked="0" layoutInCell="1" allowOverlap="1" wp14:anchorId="3385BAD7" wp14:editId="66744BB0">
                <wp:simplePos x="0" y="0"/>
                <wp:positionH relativeFrom="margin">
                  <wp:posOffset>247650</wp:posOffset>
                </wp:positionH>
                <wp:positionV relativeFrom="paragraph">
                  <wp:posOffset>-33020</wp:posOffset>
                </wp:positionV>
                <wp:extent cx="5236234" cy="0"/>
                <wp:effectExtent l="0" t="0" r="0" b="0"/>
                <wp:wrapNone/>
                <wp:docPr id="23" name="Straight Connector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236234"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F536E5" id="Straight Connector 23" o:spid="_x0000_s1026" alt="&quot;&quot;" style="position:absolute;z-index:251650048;visibility:visible;mso-wrap-style:square;mso-wrap-distance-left:9pt;mso-wrap-distance-top:0;mso-wrap-distance-right:9pt;mso-wrap-distance-bottom:0;mso-position-horizontal:absolute;mso-position-horizontal-relative:margin;mso-position-vertical:absolute;mso-position-vertical-relative:text" from="19.5pt,-2.6pt" to="431.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" strokecolor="#008675" strokeweight="1.5pt">
                <v:stroke joinstyle="miter"/>
                <w10:wrap anchorx="margin"/>
              </v:line>
            </w:pict>
          </mc:Fallback>
        </mc:AlternateContent>
      </w:r>
      <w:r w:rsidR="00DA68ED" w:rsidRPr="00CF48C1">
        <w:rPr>
          <w:color w:val="008675"/>
        </w:rPr>
        <w:t xml:space="preserve">Case study: </w:t>
      </w:r>
      <w:r w:rsidR="00181FF1" w:rsidRPr="00CF48C1">
        <w:rPr>
          <w:color w:val="008675"/>
        </w:rPr>
        <w:t>Starting a new business</w:t>
      </w:r>
      <w:bookmarkEnd w:id="91"/>
      <w:bookmarkEnd w:id="92"/>
      <w:bookmarkEnd w:id="93"/>
    </w:p>
    <w:p w14:paraId="5B0D7D0D" w14:textId="0450CC67" w:rsidR="00181FF1" w:rsidRPr="00DB2009" w:rsidRDefault="00181FF1" w:rsidP="00157B26">
      <w:pPr>
        <w:pStyle w:val="NormalWeb"/>
        <w:shd w:val="clear" w:color="auto" w:fill="FFFFFF"/>
        <w:spacing w:before="0" w:beforeAutospacing="0" w:after="140" w:afterAutospacing="0" w:line="336" w:lineRule="auto"/>
        <w:ind w:left="454"/>
        <w:rPr>
          <w:rFonts w:ascii="Arial" w:eastAsia="Calibri" w:hAnsi="Arial" w:cs="Arial"/>
          <w:lang w:eastAsia="en-US"/>
        </w:rPr>
      </w:pPr>
      <w:r w:rsidRPr="00DB2009">
        <w:rPr>
          <w:rFonts w:ascii="Arial" w:eastAsia="Calibri" w:hAnsi="Arial" w:cs="Arial"/>
          <w:noProof/>
        </w:rPr>
        <w:drawing>
          <wp:anchor distT="0" distB="0" distL="114300" distR="114300" simplePos="0" relativeHeight="251661312" behindDoc="0" locked="0" layoutInCell="1" allowOverlap="1" wp14:anchorId="4FB1AA61" wp14:editId="06484F2E">
            <wp:simplePos x="0" y="0"/>
            <wp:positionH relativeFrom="margin">
              <wp:align>right</wp:align>
            </wp:positionH>
            <wp:positionV relativeFrom="paragraph">
              <wp:posOffset>5715</wp:posOffset>
            </wp:positionV>
            <wp:extent cx="2249805" cy="2519147"/>
            <wp:effectExtent l="0" t="0" r="0" b="0"/>
            <wp:wrapSquare wrapText="bothSides"/>
            <wp:docPr id="13" name="Picture 13" descr="In the future, by using Digital Identity, a new business owner can save $128 in avoided costs and one hour 45 minutes by not having to post certified documents to the Australian Business Register for review and processing. They save up to an additional 4 weeks by not having to wait for identity documents to be manually reviewed and processed.">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 the future, by using Digital Identity, a new business owner can save $128 in avoided costs and one hour 45 minutes by not having to post certified documents to the Australian Business Register for review and processing. They save up to an additional 4 weeks by not having to wait for identity documents to be manually reviewed and processed.">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49805" cy="2519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2009">
        <w:rPr>
          <w:rFonts w:ascii="Arial" w:eastAsia="Calibri" w:hAnsi="Arial" w:cs="Arial"/>
          <w:lang w:eastAsia="en-US"/>
        </w:rPr>
        <w:t>Alex is an IT specialist who decides to fulfill his long-term ambition of starting his own small business. He wants to get his new business off the ground as quickly as possible, particularly because he is the primary earner in his family.</w:t>
      </w:r>
    </w:p>
    <w:p w14:paraId="2F834513" w14:textId="2630757F" w:rsidR="00181FF1" w:rsidRPr="00DB2009" w:rsidRDefault="00181FF1" w:rsidP="00157B26">
      <w:pPr>
        <w:pStyle w:val="NormalWeb"/>
        <w:shd w:val="clear" w:color="auto" w:fill="FFFFFF"/>
        <w:spacing w:before="0" w:beforeAutospacing="0" w:after="140" w:afterAutospacing="0" w:line="336" w:lineRule="auto"/>
        <w:ind w:left="454"/>
        <w:rPr>
          <w:rFonts w:ascii="Arial" w:eastAsia="Calibri" w:hAnsi="Arial" w:cs="Arial"/>
          <w:lang w:eastAsia="en-US"/>
        </w:rPr>
      </w:pPr>
      <w:r w:rsidRPr="00DB2009">
        <w:rPr>
          <w:rFonts w:ascii="Arial" w:eastAsia="Calibri" w:hAnsi="Arial" w:cs="Arial"/>
          <w:lang w:eastAsia="en-US"/>
        </w:rPr>
        <w:t>Alex has a number of steps to complete including applying for an ABN and registering his business name.</w:t>
      </w:r>
    </w:p>
    <w:p w14:paraId="4714BC23" w14:textId="52824F4A" w:rsidR="007878EF" w:rsidRPr="00046AC0" w:rsidRDefault="002B134C" w:rsidP="00046AC0">
      <w:pPr>
        <w:pStyle w:val="NormalWeb"/>
        <w:shd w:val="clear" w:color="auto" w:fill="FFFFFF"/>
        <w:spacing w:before="0" w:beforeAutospacing="0" w:after="720" w:afterAutospacing="0" w:line="336" w:lineRule="auto"/>
        <w:ind w:left="454"/>
        <w:rPr>
          <w:rFonts w:ascii="Arial" w:eastAsia="Calibri" w:hAnsi="Arial" w:cs="Arial"/>
          <w:lang w:eastAsia="en-US"/>
        </w:rPr>
      </w:pPr>
      <w:r>
        <w:rPr>
          <w:noProof/>
        </w:rPr>
        <mc:AlternateContent>
          <mc:Choice Requires="wps">
            <w:drawing>
              <wp:anchor distT="0" distB="0" distL="114300" distR="114300" simplePos="0" relativeHeight="251656192" behindDoc="0" locked="0" layoutInCell="1" allowOverlap="1" wp14:anchorId="64FC51A1" wp14:editId="1D8AE121">
                <wp:simplePos x="0" y="0"/>
                <wp:positionH relativeFrom="margin">
                  <wp:posOffset>278130</wp:posOffset>
                </wp:positionH>
                <wp:positionV relativeFrom="paragraph">
                  <wp:posOffset>762000</wp:posOffset>
                </wp:positionV>
                <wp:extent cx="5236210" cy="0"/>
                <wp:effectExtent l="0" t="0" r="0" b="0"/>
                <wp:wrapNone/>
                <wp:docPr id="10" name="Straight Connector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236210"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D874EA" id="Straight Connector 10" o:spid="_x0000_s1026" alt="&quot;&quot;" style="position:absolute;z-index:251656192;visibility:visible;mso-wrap-style:square;mso-wrap-distance-left:9pt;mso-wrap-distance-top:0;mso-wrap-distance-right:9pt;mso-wrap-distance-bottom:0;mso-position-horizontal:absolute;mso-position-horizontal-relative:margin;mso-position-vertical:absolute;mso-position-vertical-relative:text" from="21.9pt,60pt" to="434.2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" strokecolor="#008675" strokeweight="1.5pt">
                <v:stroke joinstyle="miter"/>
                <w10:wrap anchorx="margin"/>
              </v:line>
            </w:pict>
          </mc:Fallback>
        </mc:AlternateContent>
      </w:r>
      <w:r w:rsidR="00181FF1" w:rsidRPr="00DB2009">
        <w:rPr>
          <w:rFonts w:ascii="Arial" w:eastAsia="Calibri" w:hAnsi="Arial" w:cs="Arial"/>
          <w:lang w:eastAsia="en-US"/>
        </w:rPr>
        <w:t xml:space="preserve">A former colleague urges Alex to try using </w:t>
      </w:r>
      <w:r w:rsidR="00EB2443">
        <w:rPr>
          <w:rFonts w:ascii="Arial" w:eastAsia="Calibri" w:hAnsi="Arial" w:cs="Arial"/>
          <w:lang w:eastAsia="en-US"/>
        </w:rPr>
        <w:t>Digital ID</w:t>
      </w:r>
      <w:r w:rsidR="00181FF1" w:rsidRPr="00DB2009">
        <w:rPr>
          <w:rFonts w:ascii="Arial" w:eastAsia="Calibri" w:hAnsi="Arial" w:cs="Arial"/>
          <w:lang w:eastAsia="en-US"/>
        </w:rPr>
        <w:t>. Alex finds the process</w:t>
      </w:r>
      <w:r w:rsidR="00181FF1" w:rsidRPr="005867A4">
        <w:rPr>
          <w:rFonts w:ascii="Arial" w:eastAsia="Calibri" w:hAnsi="Arial" w:cs="Arial"/>
          <w:lang w:eastAsia="en-US"/>
        </w:rPr>
        <w:t> </w:t>
      </w:r>
      <w:r w:rsidR="00181FF1" w:rsidRPr="00DB2009">
        <w:rPr>
          <w:rFonts w:ascii="Arial" w:eastAsia="Calibri" w:hAnsi="Arial" w:cs="Arial"/>
          <w:lang w:eastAsia="en-US"/>
        </w:rPr>
        <w:t>takes a quarter of the time it otherwise would have, and he also saves $128 in avoided costs. </w:t>
      </w:r>
      <w:bookmarkStart w:id="94" w:name="_Toc86069995"/>
    </w:p>
    <w:p w14:paraId="6E713B3C" w14:textId="3CF03841" w:rsidR="005B4E92" w:rsidRPr="00CF48C1" w:rsidRDefault="005B4E92" w:rsidP="00F947F7">
      <w:pPr>
        <w:pStyle w:val="Heading3NoNumbers"/>
        <w:ind w:left="454"/>
        <w:rPr>
          <w:color w:val="008675"/>
        </w:rPr>
      </w:pPr>
      <w:r w:rsidRPr="00CF48C1">
        <w:rPr>
          <w:color w:val="008675"/>
        </w:rPr>
        <w:t xml:space="preserve">Case study: </w:t>
      </w:r>
      <w:r w:rsidR="008F047C" w:rsidRPr="00CF48C1">
        <w:rPr>
          <w:color w:val="008675"/>
        </w:rPr>
        <w:t>Applying for a business loan</w:t>
      </w:r>
      <w:bookmarkEnd w:id="94"/>
    </w:p>
    <w:p w14:paraId="08FA576C" w14:textId="102EC54A" w:rsidR="005B4E92" w:rsidRPr="00DB2009" w:rsidRDefault="00C01969" w:rsidP="005B4E92">
      <w:pPr>
        <w:pStyle w:val="NormalWeb"/>
        <w:shd w:val="clear" w:color="auto" w:fill="FFFFFF"/>
        <w:spacing w:before="0" w:beforeAutospacing="0" w:after="140" w:afterAutospacing="0" w:line="336" w:lineRule="auto"/>
        <w:ind w:left="454"/>
        <w:rPr>
          <w:rFonts w:ascii="Arial" w:eastAsia="Calibri" w:hAnsi="Arial" w:cs="Arial"/>
          <w:lang w:eastAsia="en-US"/>
        </w:rPr>
      </w:pPr>
      <w:r>
        <w:rPr>
          <w:rFonts w:ascii="Arial" w:eastAsia="Calibri" w:hAnsi="Arial" w:cs="Arial"/>
          <w:noProof/>
        </w:rPr>
        <w:drawing>
          <wp:anchor distT="0" distB="0" distL="114300" distR="114300" simplePos="0" relativeHeight="251662336" behindDoc="0" locked="0" layoutInCell="1" allowOverlap="1" wp14:anchorId="23BA5886" wp14:editId="6EC887F1">
            <wp:simplePos x="0" y="0"/>
            <wp:positionH relativeFrom="column">
              <wp:posOffset>3406304</wp:posOffset>
            </wp:positionH>
            <wp:positionV relativeFrom="paragraph">
              <wp:posOffset>65512</wp:posOffset>
            </wp:positionV>
            <wp:extent cx="2018030" cy="3599815"/>
            <wp:effectExtent l="0" t="0" r="1270" b="635"/>
            <wp:wrapThrough wrapText="bothSides">
              <wp:wrapPolygon edited="0">
                <wp:start x="0" y="0"/>
                <wp:lineTo x="0" y="21490"/>
                <wp:lineTo x="21410" y="21490"/>
                <wp:lineTo x="21410" y="0"/>
                <wp:lineTo x="0" y="0"/>
              </wp:wrapPolygon>
            </wp:wrapThrough>
            <wp:docPr id="41" name="Picture 41" descr="In an expanded System, by using Digital Identity, a business owner applying for a business loan can save $140 in avoided costs and 1 hour 55 minute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 an expanded System, by using Digital Identity, a business owner applying for a business loan can save $140 in avoided costs and 1 hour 55 minutes.">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03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lang w:eastAsia="en-US"/>
        </w:rPr>
        <w:t>Having started his new IT business, Alex is now seeking a l</w:t>
      </w:r>
      <w:r w:rsidR="00CA5FB8">
        <w:rPr>
          <w:rFonts w:ascii="Arial" w:eastAsia="Calibri" w:hAnsi="Arial" w:cs="Arial"/>
          <w:lang w:eastAsia="en-US"/>
        </w:rPr>
        <w:t>oan to cover up-front costs, such as purchasing equipment and leasing office space</w:t>
      </w:r>
      <w:r w:rsidR="009A45AB">
        <w:rPr>
          <w:rFonts w:ascii="Arial" w:eastAsia="Calibri" w:hAnsi="Arial" w:cs="Arial"/>
          <w:lang w:eastAsia="en-US"/>
        </w:rPr>
        <w:t>.</w:t>
      </w:r>
    </w:p>
    <w:p w14:paraId="06F88FFF" w14:textId="26CA8DAC" w:rsidR="005B4E92" w:rsidRPr="00DB2009" w:rsidRDefault="009A45AB" w:rsidP="005B4E92">
      <w:pPr>
        <w:pStyle w:val="NormalWeb"/>
        <w:shd w:val="clear" w:color="auto" w:fill="FFFFFF"/>
        <w:spacing w:before="0" w:beforeAutospacing="0" w:after="140" w:afterAutospacing="0" w:line="336" w:lineRule="auto"/>
        <w:ind w:left="454"/>
        <w:rPr>
          <w:rFonts w:ascii="Arial" w:eastAsia="Calibri" w:hAnsi="Arial" w:cs="Arial"/>
          <w:lang w:eastAsia="en-US"/>
        </w:rPr>
      </w:pPr>
      <w:r>
        <w:rPr>
          <w:rFonts w:ascii="Arial" w:eastAsia="Calibri" w:hAnsi="Arial" w:cs="Arial"/>
          <w:lang w:eastAsia="en-US"/>
        </w:rPr>
        <w:t xml:space="preserve">Typically, there would be </w:t>
      </w:r>
      <w:r w:rsidR="00A77DB4">
        <w:rPr>
          <w:rFonts w:ascii="Arial" w:eastAsia="Calibri" w:hAnsi="Arial" w:cs="Arial"/>
          <w:lang w:eastAsia="en-US"/>
        </w:rPr>
        <w:t>several</w:t>
      </w:r>
      <w:r>
        <w:rPr>
          <w:rFonts w:ascii="Arial" w:eastAsia="Calibri" w:hAnsi="Arial" w:cs="Arial"/>
          <w:lang w:eastAsia="en-US"/>
        </w:rPr>
        <w:t xml:space="preserve"> steps </w:t>
      </w:r>
      <w:r w:rsidR="007722A1">
        <w:rPr>
          <w:rFonts w:ascii="Arial" w:eastAsia="Calibri" w:hAnsi="Arial" w:cs="Arial"/>
          <w:lang w:eastAsia="en-US"/>
        </w:rPr>
        <w:t>for Alex to apply for the loan</w:t>
      </w:r>
      <w:r w:rsidR="008A0452">
        <w:rPr>
          <w:rFonts w:ascii="Arial" w:eastAsia="Calibri" w:hAnsi="Arial" w:cs="Arial"/>
          <w:lang w:eastAsia="en-US"/>
        </w:rPr>
        <w:t>,</w:t>
      </w:r>
      <w:r w:rsidR="007722A1">
        <w:rPr>
          <w:rFonts w:ascii="Arial" w:eastAsia="Calibri" w:hAnsi="Arial" w:cs="Arial"/>
          <w:lang w:eastAsia="en-US"/>
        </w:rPr>
        <w:t xml:space="preserve"> including gathering identity and other documentation, completing information collection and application processes, and potentially visiting the bank in person. </w:t>
      </w:r>
    </w:p>
    <w:p w14:paraId="08B8E13D" w14:textId="642BAC08" w:rsidR="005B4E92" w:rsidRPr="00986346" w:rsidRDefault="007722A1" w:rsidP="005B4E92">
      <w:pPr>
        <w:pStyle w:val="NormalWeb"/>
        <w:shd w:val="clear" w:color="auto" w:fill="FFFFFF"/>
        <w:spacing w:before="0" w:beforeAutospacing="0" w:after="140" w:afterAutospacing="0" w:line="336" w:lineRule="auto"/>
        <w:ind w:left="454"/>
        <w:rPr>
          <w:rFonts w:ascii="Arial" w:eastAsia="Calibri" w:hAnsi="Arial" w:cs="Arial"/>
          <w:lang w:eastAsia="en-US"/>
        </w:rPr>
      </w:pPr>
      <w:r>
        <w:rPr>
          <w:rFonts w:ascii="Arial" w:eastAsia="Calibri" w:hAnsi="Arial" w:cs="Arial"/>
          <w:lang w:eastAsia="en-US"/>
        </w:rPr>
        <w:t xml:space="preserve">Alex’s bank offers the option of </w:t>
      </w:r>
      <w:r w:rsidR="00901185">
        <w:rPr>
          <w:rFonts w:ascii="Arial" w:eastAsia="Calibri" w:hAnsi="Arial" w:cs="Arial"/>
          <w:lang w:eastAsia="en-US"/>
        </w:rPr>
        <w:t xml:space="preserve">using his </w:t>
      </w:r>
      <w:r w:rsidR="00EB2443">
        <w:rPr>
          <w:rFonts w:ascii="Arial" w:eastAsia="Calibri" w:hAnsi="Arial" w:cs="Arial"/>
          <w:lang w:eastAsia="en-US"/>
        </w:rPr>
        <w:t>Digital ID</w:t>
      </w:r>
      <w:r w:rsidR="00901185">
        <w:rPr>
          <w:rFonts w:ascii="Arial" w:eastAsia="Calibri" w:hAnsi="Arial" w:cs="Arial"/>
          <w:lang w:eastAsia="en-US"/>
        </w:rPr>
        <w:t xml:space="preserve"> to complete the information collection and application process. </w:t>
      </w:r>
      <w:r w:rsidR="00A7479E">
        <w:rPr>
          <w:rFonts w:ascii="Arial" w:eastAsia="Calibri" w:hAnsi="Arial" w:cs="Arial"/>
          <w:lang w:eastAsia="en-US"/>
        </w:rPr>
        <w:t xml:space="preserve">Alex finds the process takes significantly less time than it otherwise would have, </w:t>
      </w:r>
      <w:r w:rsidR="00461B03">
        <w:rPr>
          <w:rFonts w:ascii="Arial" w:eastAsia="Calibri" w:hAnsi="Arial" w:cs="Arial"/>
          <w:lang w:eastAsia="en-US"/>
        </w:rPr>
        <w:t xml:space="preserve">saving him $140 in avoided costs. Alex is able to start operating </w:t>
      </w:r>
      <w:r w:rsidR="00982C94">
        <w:rPr>
          <w:rFonts w:ascii="Arial" w:eastAsia="Calibri" w:hAnsi="Arial" w:cs="Arial"/>
          <w:lang w:eastAsia="en-US"/>
        </w:rPr>
        <w:t xml:space="preserve">his business sooner by spending less time applying for the loan and verifying his identity. </w:t>
      </w:r>
    </w:p>
    <w:p w14:paraId="71374A6C" w14:textId="21ADA932" w:rsidR="005B4E92" w:rsidRPr="00136C3D" w:rsidRDefault="00582E2C" w:rsidP="0036064A">
      <w:pPr>
        <w:pStyle w:val="BodyText"/>
        <w:ind w:left="454"/>
      </w:pPr>
      <w:r w:rsidRPr="00136C3D">
        <w:rPr>
          <w:b/>
        </w:rPr>
        <w:lastRenderedPageBreak/>
        <w:t xml:space="preserve">Note </w:t>
      </w:r>
      <w:r>
        <w:t xml:space="preserve">- </w:t>
      </w:r>
      <w:r w:rsidRPr="00136C3D">
        <w:t xml:space="preserve">the benefits in this case study are available under an expanded </w:t>
      </w:r>
      <w:r w:rsidR="002B134C">
        <w:t xml:space="preserve">Digital ID </w:t>
      </w:r>
      <w:r w:rsidR="00C46B3A">
        <w:t>s</w:t>
      </w:r>
      <w:r w:rsidR="00C46B3A" w:rsidRPr="00136C3D">
        <w:t xml:space="preserve">ystem </w:t>
      </w:r>
      <w:r w:rsidRPr="00136C3D">
        <w:t>only.</w:t>
      </w:r>
    </w:p>
    <w:p w14:paraId="3D3D5C4B" w14:textId="16E398A8" w:rsidR="005B4E92" w:rsidRPr="005B4E92" w:rsidRDefault="006F551D" w:rsidP="00986346">
      <w:pPr>
        <w:pStyle w:val="BodyText"/>
        <w:rPr>
          <w:i/>
          <w:iCs/>
        </w:rPr>
      </w:pPr>
      <w:r w:rsidRPr="00986346">
        <w:rPr>
          <w:b/>
          <w:noProof/>
          <w:color w:val="2C476E"/>
          <w:kern w:val="28"/>
          <w:sz w:val="28"/>
          <w:szCs w:val="30"/>
          <w:highlight w:val="yellow"/>
        </w:rPr>
        <mc:AlternateContent>
          <mc:Choice Requires="wps">
            <w:drawing>
              <wp:anchor distT="0" distB="0" distL="114300" distR="114300" simplePos="0" relativeHeight="251651072" behindDoc="0" locked="0" layoutInCell="1" allowOverlap="1" wp14:anchorId="71C1CDD4" wp14:editId="77EEF645">
                <wp:simplePos x="0" y="0"/>
                <wp:positionH relativeFrom="margin">
                  <wp:posOffset>247650</wp:posOffset>
                </wp:positionH>
                <wp:positionV relativeFrom="paragraph">
                  <wp:posOffset>128743</wp:posOffset>
                </wp:positionV>
                <wp:extent cx="5236210" cy="0"/>
                <wp:effectExtent l="0" t="0" r="0" b="0"/>
                <wp:wrapNone/>
                <wp:docPr id="37" name="Straight Connector 3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236210"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D508FD" id="Straight Connector 37" o:spid="_x0000_s1026" alt="&quot;&quot;" style="position:absolute;z-index:251651072;visibility:visible;mso-wrap-style:square;mso-wrap-distance-left:9pt;mso-wrap-distance-top:0;mso-wrap-distance-right:9pt;mso-wrap-distance-bottom:0;mso-position-horizontal:absolute;mso-position-horizontal-relative:margin;mso-position-vertical:absolute;mso-position-vertical-relative:text" from="19.5pt,10.15pt" to="431.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" strokecolor="#008675" strokeweight="1.5pt">
                <v:stroke joinstyle="miter"/>
                <w10:wrap anchorx="margin"/>
              </v:line>
            </w:pict>
          </mc:Fallback>
        </mc:AlternateContent>
      </w:r>
    </w:p>
    <w:p w14:paraId="6B7F270C" w14:textId="0F2A2BD8" w:rsidR="00E6232E" w:rsidRPr="000B7589" w:rsidRDefault="00E6232E" w:rsidP="009315A9">
      <w:pPr>
        <w:pStyle w:val="ListBulletLevel1"/>
        <w:rPr>
          <w:rFonts w:eastAsia="Calibri"/>
          <w:lang w:eastAsia="en-US"/>
        </w:rPr>
      </w:pPr>
      <w:r w:rsidRPr="000B7589">
        <w:rPr>
          <w:rFonts w:eastAsia="Calibri"/>
          <w:lang w:eastAsia="en-US"/>
        </w:rPr>
        <w:t>For governments of all levels:</w:t>
      </w:r>
    </w:p>
    <w:p w14:paraId="0809E0DD" w14:textId="53486304" w:rsidR="00E6232E" w:rsidRPr="00AD57F2" w:rsidRDefault="009E71DB" w:rsidP="00AD57F2">
      <w:pPr>
        <w:pStyle w:val="ListBulletLevel2"/>
        <w:rPr>
          <w:rFonts w:eastAsia="Calibri"/>
        </w:rPr>
      </w:pPr>
      <w:r w:rsidRPr="00AD57F2">
        <w:rPr>
          <w:rFonts w:eastAsia="Calibri"/>
        </w:rPr>
        <w:t>r</w:t>
      </w:r>
      <w:r w:rsidR="00E6232E" w:rsidRPr="00AD57F2">
        <w:rPr>
          <w:rFonts w:eastAsia="Calibri"/>
        </w:rPr>
        <w:t>educed time and demand for government services to verify an identity, and people may engage in end-to-end digital transactions</w:t>
      </w:r>
      <w:r w:rsidR="00CA4AE8">
        <w:rPr>
          <w:rFonts w:eastAsia="Calibri"/>
        </w:rPr>
        <w:t>, which</w:t>
      </w:r>
      <w:r w:rsidR="00E6232E" w:rsidRPr="00AD57F2">
        <w:rPr>
          <w:rFonts w:eastAsia="Calibri"/>
        </w:rPr>
        <w:t xml:space="preserve"> further </w:t>
      </w:r>
      <w:r w:rsidR="00CA4AE8">
        <w:rPr>
          <w:rFonts w:eastAsia="Calibri"/>
        </w:rPr>
        <w:t>reduces</w:t>
      </w:r>
      <w:r w:rsidR="00E6232E" w:rsidRPr="00AD57F2">
        <w:rPr>
          <w:rFonts w:eastAsia="Calibri"/>
        </w:rPr>
        <w:t xml:space="preserve"> transaction times </w:t>
      </w:r>
    </w:p>
    <w:p w14:paraId="7E04282B" w14:textId="357749E2" w:rsidR="00E6232E" w:rsidRPr="00AD57F2" w:rsidRDefault="009E71DB" w:rsidP="00AD57F2">
      <w:pPr>
        <w:pStyle w:val="ListBulletLevel2"/>
        <w:rPr>
          <w:rFonts w:eastAsia="Calibri"/>
        </w:rPr>
      </w:pPr>
      <w:r w:rsidRPr="00AD57F2">
        <w:rPr>
          <w:rFonts w:eastAsia="Calibri"/>
        </w:rPr>
        <w:t>r</w:t>
      </w:r>
      <w:r w:rsidR="00E6232E" w:rsidRPr="00AD57F2">
        <w:rPr>
          <w:rFonts w:eastAsia="Calibri"/>
        </w:rPr>
        <w:t xml:space="preserve">educed need to maintain agency-specific identity and access management systems and associated support systems </w:t>
      </w:r>
    </w:p>
    <w:p w14:paraId="0085E812" w14:textId="6C03652E" w:rsidR="00E6232E" w:rsidRPr="00AD57F2" w:rsidRDefault="009E71DB" w:rsidP="00AD57F2">
      <w:pPr>
        <w:pStyle w:val="ListBulletLevel2"/>
        <w:rPr>
          <w:rFonts w:eastAsia="Calibri"/>
        </w:rPr>
      </w:pPr>
      <w:r w:rsidRPr="00AD57F2">
        <w:rPr>
          <w:rFonts w:eastAsia="Calibri"/>
        </w:rPr>
        <w:t>i</w:t>
      </w:r>
      <w:r w:rsidR="00E6232E" w:rsidRPr="00AD57F2">
        <w:rPr>
          <w:rFonts w:eastAsia="Calibri"/>
        </w:rPr>
        <w:t>ncreased security of people’s information, reduction in the cost of fraud and improved detection, monitoring and response</w:t>
      </w:r>
    </w:p>
    <w:p w14:paraId="2C24A420" w14:textId="09691E77" w:rsidR="00E6232E" w:rsidRPr="00AD57F2" w:rsidRDefault="009E71DB" w:rsidP="00AD57F2">
      <w:pPr>
        <w:pStyle w:val="ListBulletLevel2"/>
        <w:rPr>
          <w:rFonts w:eastAsia="Calibri"/>
        </w:rPr>
      </w:pPr>
      <w:proofErr w:type="gramStart"/>
      <w:r w:rsidRPr="00AD57F2">
        <w:rPr>
          <w:rFonts w:eastAsia="Calibri"/>
        </w:rPr>
        <w:t>i</w:t>
      </w:r>
      <w:r w:rsidR="00E6232E" w:rsidRPr="00AD57F2">
        <w:rPr>
          <w:rFonts w:eastAsia="Calibri"/>
        </w:rPr>
        <w:t>mproved</w:t>
      </w:r>
      <w:proofErr w:type="gramEnd"/>
      <w:r w:rsidR="00E6232E" w:rsidRPr="00AD57F2">
        <w:rPr>
          <w:rFonts w:eastAsia="Calibri"/>
        </w:rPr>
        <w:t xml:space="preserve"> integrity of service provision, contributing to improved user experience, knowledge and public trust. </w:t>
      </w:r>
    </w:p>
    <w:p w14:paraId="14B93233" w14:textId="77777777" w:rsidR="00E6232E" w:rsidRPr="000B7589" w:rsidRDefault="00E6232E" w:rsidP="000F4CBB">
      <w:pPr>
        <w:pStyle w:val="ListBulletLevel1"/>
        <w:rPr>
          <w:rFonts w:eastAsia="Calibri"/>
          <w:lang w:eastAsia="en-US"/>
        </w:rPr>
      </w:pPr>
      <w:r w:rsidRPr="000B7589">
        <w:rPr>
          <w:rFonts w:eastAsia="Calibri"/>
          <w:lang w:eastAsia="en-US"/>
        </w:rPr>
        <w:t>For the economy:</w:t>
      </w:r>
    </w:p>
    <w:p w14:paraId="1FC793F3" w14:textId="32861938" w:rsidR="00E6232E" w:rsidRPr="00AD57F2" w:rsidRDefault="00E6232E" w:rsidP="00AD57F2">
      <w:pPr>
        <w:pStyle w:val="ListBulletLevel2"/>
        <w:rPr>
          <w:rFonts w:eastAsia="Calibri"/>
        </w:rPr>
      </w:pPr>
      <w:r w:rsidRPr="00AD57F2">
        <w:rPr>
          <w:rFonts w:eastAsia="Calibri"/>
        </w:rPr>
        <w:t xml:space="preserve">increased productivity with the use of </w:t>
      </w:r>
      <w:r w:rsidR="00C46B3A">
        <w:rPr>
          <w:rFonts w:eastAsia="Calibri"/>
        </w:rPr>
        <w:t>AGDIS</w:t>
      </w:r>
      <w:r w:rsidR="00E84B5B" w:rsidRPr="00AD57F2">
        <w:rPr>
          <w:rFonts w:eastAsia="Calibri"/>
        </w:rPr>
        <w:t xml:space="preserve"> </w:t>
      </w:r>
      <w:r w:rsidRPr="00AD57F2">
        <w:rPr>
          <w:rFonts w:eastAsia="Calibri"/>
        </w:rPr>
        <w:t>and associated increased in digital service consumption, saving people and businesses time and money</w:t>
      </w:r>
    </w:p>
    <w:p w14:paraId="4683A310" w14:textId="40CCF0F8" w:rsidR="00E6232E" w:rsidRPr="00AD57F2" w:rsidRDefault="00E6232E" w:rsidP="00AD57F2">
      <w:pPr>
        <w:pStyle w:val="ListBulletLevel2"/>
        <w:rPr>
          <w:rFonts w:eastAsia="Calibri"/>
        </w:rPr>
      </w:pPr>
      <w:r w:rsidRPr="00AD57F2">
        <w:rPr>
          <w:rFonts w:eastAsia="Calibri"/>
        </w:rPr>
        <w:t xml:space="preserve">efficiency benefits flowing from the opportunity for financial institutions to reuse customer data stored in </w:t>
      </w:r>
      <w:r w:rsidR="00EB2443">
        <w:rPr>
          <w:rFonts w:eastAsia="Calibri"/>
        </w:rPr>
        <w:t>Digital ID</w:t>
      </w:r>
      <w:r w:rsidRPr="00AD57F2">
        <w:rPr>
          <w:rFonts w:eastAsia="Calibri"/>
        </w:rPr>
        <w:t xml:space="preserve"> </w:t>
      </w:r>
    </w:p>
    <w:p w14:paraId="43136D79" w14:textId="3AF7A0FD" w:rsidR="00E6232E" w:rsidRPr="00AD57F2" w:rsidRDefault="00415B55" w:rsidP="00AD57F2">
      <w:pPr>
        <w:pStyle w:val="ListBulletLevel2"/>
        <w:rPr>
          <w:rFonts w:eastAsia="Calibri"/>
        </w:rPr>
      </w:pPr>
      <w:r>
        <w:rPr>
          <w:rFonts w:eastAsia="Calibri"/>
        </w:rPr>
        <w:t>reduced</w:t>
      </w:r>
      <w:r w:rsidR="00E6232E" w:rsidRPr="00AD57F2">
        <w:rPr>
          <w:rFonts w:eastAsia="Calibri"/>
        </w:rPr>
        <w:t xml:space="preserve"> costs to the economy, linked to </w:t>
      </w:r>
      <w:r w:rsidR="00BB6A33">
        <w:rPr>
          <w:rFonts w:eastAsia="Calibri"/>
        </w:rPr>
        <w:t>reduced</w:t>
      </w:r>
      <w:r w:rsidR="00E6232E" w:rsidRPr="00AD57F2">
        <w:rPr>
          <w:rFonts w:eastAsia="Calibri"/>
        </w:rPr>
        <w:t xml:space="preserve"> rate</w:t>
      </w:r>
      <w:r w:rsidR="00BB6A33">
        <w:rPr>
          <w:rFonts w:eastAsia="Calibri"/>
        </w:rPr>
        <w:t>s</w:t>
      </w:r>
      <w:r w:rsidR="00E6232E" w:rsidRPr="00AD57F2">
        <w:rPr>
          <w:rFonts w:eastAsia="Calibri"/>
        </w:rPr>
        <w:t xml:space="preserve"> of fraud and identity theft</w:t>
      </w:r>
    </w:p>
    <w:p w14:paraId="5B5B9638" w14:textId="77777777" w:rsidR="00E6232E" w:rsidRPr="00AD57F2" w:rsidRDefault="00E6232E" w:rsidP="00AD57F2">
      <w:pPr>
        <w:pStyle w:val="ListBulletLevel2"/>
        <w:rPr>
          <w:rFonts w:eastAsia="Calibri"/>
        </w:rPr>
      </w:pPr>
      <w:r w:rsidRPr="00AD57F2">
        <w:rPr>
          <w:rFonts w:eastAsia="Calibri"/>
        </w:rPr>
        <w:t>increased productivity as people and businesses can complete essential transactions with government and other organisations more quickly.</w:t>
      </w:r>
    </w:p>
    <w:p w14:paraId="639EC552" w14:textId="4F12F076" w:rsidR="00E6232E" w:rsidRPr="000B7589" w:rsidRDefault="00E6232E" w:rsidP="000F4CBB">
      <w:pPr>
        <w:pStyle w:val="BodyText"/>
        <w:rPr>
          <w:lang w:eastAsia="en-US"/>
        </w:rPr>
      </w:pPr>
      <w:r w:rsidRPr="000B7589">
        <w:rPr>
          <w:lang w:eastAsia="en-US"/>
        </w:rPr>
        <w:t>With a fundamental design principle of</w:t>
      </w:r>
      <w:r w:rsidR="00E84B5B">
        <w:rPr>
          <w:lang w:eastAsia="en-US"/>
        </w:rPr>
        <w:t xml:space="preserve"> the</w:t>
      </w:r>
      <w:r w:rsidRPr="000B7589">
        <w:rPr>
          <w:lang w:eastAsia="en-US"/>
        </w:rPr>
        <w:t xml:space="preserve"> </w:t>
      </w:r>
      <w:r w:rsidR="00C46B3A">
        <w:rPr>
          <w:lang w:eastAsia="en-US"/>
        </w:rPr>
        <w:t xml:space="preserve">AGDIS </w:t>
      </w:r>
      <w:r w:rsidRPr="000B7589">
        <w:rPr>
          <w:lang w:eastAsia="en-US"/>
        </w:rPr>
        <w:t>being that people</w:t>
      </w:r>
      <w:r w:rsidR="00FD6440">
        <w:rPr>
          <w:lang w:eastAsia="en-US"/>
        </w:rPr>
        <w:t>, businesses and agencies</w:t>
      </w:r>
      <w:r w:rsidRPr="000B7589">
        <w:rPr>
          <w:lang w:eastAsia="en-US"/>
        </w:rPr>
        <w:t xml:space="preserve"> choose to become a part of the </w:t>
      </w:r>
      <w:r w:rsidR="00C46B3A">
        <w:rPr>
          <w:lang w:eastAsia="en-US"/>
        </w:rPr>
        <w:t>AGDIS</w:t>
      </w:r>
      <w:r w:rsidRPr="000B7589">
        <w:rPr>
          <w:lang w:eastAsia="en-US"/>
        </w:rPr>
        <w:t xml:space="preserve">, a broad range of </w:t>
      </w:r>
      <w:r w:rsidR="00FD6440">
        <w:rPr>
          <w:lang w:eastAsia="en-US"/>
        </w:rPr>
        <w:t>stakeholder</w:t>
      </w:r>
      <w:r w:rsidR="00FD6440" w:rsidRPr="000B7589">
        <w:rPr>
          <w:lang w:eastAsia="en-US"/>
        </w:rPr>
        <w:t xml:space="preserve"> </w:t>
      </w:r>
      <w:r w:rsidRPr="000B7589">
        <w:rPr>
          <w:lang w:eastAsia="en-US"/>
        </w:rPr>
        <w:t xml:space="preserve">expectations have been consistently considered to ensure </w:t>
      </w:r>
      <w:r w:rsidR="00B83D2C">
        <w:rPr>
          <w:lang w:eastAsia="en-US"/>
        </w:rPr>
        <w:t>AGDIS</w:t>
      </w:r>
      <w:r w:rsidRPr="000B7589">
        <w:rPr>
          <w:lang w:eastAsia="en-US"/>
        </w:rPr>
        <w:t xml:space="preserve"> provides a service that benefits all </w:t>
      </w:r>
      <w:r w:rsidR="00FD6440">
        <w:rPr>
          <w:lang w:eastAsia="en-US"/>
        </w:rPr>
        <w:t>that</w:t>
      </w:r>
      <w:r w:rsidR="00FD6440" w:rsidRPr="000B7589">
        <w:rPr>
          <w:lang w:eastAsia="en-US"/>
        </w:rPr>
        <w:t xml:space="preserve"> </w:t>
      </w:r>
      <w:r w:rsidRPr="000B7589">
        <w:rPr>
          <w:lang w:eastAsia="en-US"/>
        </w:rPr>
        <w:t>us</w:t>
      </w:r>
      <w:r w:rsidR="00FD6440">
        <w:rPr>
          <w:lang w:eastAsia="en-US"/>
        </w:rPr>
        <w:t>e</w:t>
      </w:r>
      <w:r w:rsidRPr="000B7589">
        <w:rPr>
          <w:lang w:eastAsia="en-US"/>
        </w:rPr>
        <w:t xml:space="preserve"> it.</w:t>
      </w:r>
    </w:p>
    <w:p w14:paraId="5D04D8F8" w14:textId="4B2FD943" w:rsidR="00E6232E" w:rsidRPr="00CF48C1" w:rsidRDefault="00E6232E" w:rsidP="00157B26">
      <w:pPr>
        <w:pStyle w:val="Heading2"/>
        <w:numPr>
          <w:ilvl w:val="0"/>
          <w:numId w:val="0"/>
        </w:numPr>
        <w:rPr>
          <w:color w:val="008675"/>
          <w:lang w:eastAsia="en-US"/>
        </w:rPr>
      </w:pPr>
      <w:bookmarkStart w:id="95" w:name="_2.5_The_case"/>
      <w:bookmarkStart w:id="96" w:name="_Ref64938143"/>
      <w:bookmarkStart w:id="97" w:name="Regulatory"/>
      <w:bookmarkStart w:id="98" w:name="_Toc80884653"/>
      <w:bookmarkStart w:id="99" w:name="_Toc81226617"/>
      <w:bookmarkStart w:id="100" w:name="_Toc81226893"/>
      <w:bookmarkStart w:id="101" w:name="_Toc81228237"/>
      <w:bookmarkStart w:id="102" w:name="_Toc83951180"/>
      <w:bookmarkStart w:id="103" w:name="_Toc84925779"/>
      <w:bookmarkStart w:id="104" w:name="_Toc84925879"/>
      <w:bookmarkStart w:id="105" w:name="_Toc86045123"/>
      <w:bookmarkStart w:id="106" w:name="_Toc86069996"/>
      <w:bookmarkStart w:id="107" w:name="_Toc149740326"/>
      <w:bookmarkEnd w:id="95"/>
      <w:r w:rsidRPr="00CF48C1">
        <w:rPr>
          <w:color w:val="008675"/>
          <w:lang w:eastAsia="en-US"/>
        </w:rPr>
        <w:lastRenderedPageBreak/>
        <w:t xml:space="preserve">2.5 The </w:t>
      </w:r>
      <w:r w:rsidR="00082E69" w:rsidRPr="00CF48C1">
        <w:rPr>
          <w:color w:val="008675"/>
          <w:lang w:eastAsia="en-US"/>
        </w:rPr>
        <w:t>c</w:t>
      </w:r>
      <w:r w:rsidRPr="00CF48C1">
        <w:rPr>
          <w:color w:val="008675"/>
          <w:lang w:eastAsia="en-US"/>
        </w:rPr>
        <w:t xml:space="preserve">ase for </w:t>
      </w:r>
      <w:r w:rsidR="00082E69" w:rsidRPr="00CF48C1">
        <w:rPr>
          <w:color w:val="008675"/>
          <w:lang w:eastAsia="en-US"/>
        </w:rPr>
        <w:t>e</w:t>
      </w:r>
      <w:r w:rsidRPr="00CF48C1">
        <w:rPr>
          <w:color w:val="008675"/>
          <w:lang w:eastAsia="en-US"/>
        </w:rPr>
        <w:t>xpan</w:t>
      </w:r>
      <w:r w:rsidR="00082E69" w:rsidRPr="00CF48C1">
        <w:rPr>
          <w:color w:val="008675"/>
          <w:lang w:eastAsia="en-US"/>
        </w:rPr>
        <w:t>ding</w:t>
      </w:r>
      <w:r w:rsidRPr="00CF48C1">
        <w:rPr>
          <w:color w:val="008675"/>
          <w:lang w:eastAsia="en-US"/>
        </w:rPr>
        <w:t xml:space="preserve"> </w:t>
      </w:r>
      <w:bookmarkEnd w:id="96"/>
      <w:bookmarkEnd w:id="97"/>
      <w:bookmarkEnd w:id="98"/>
      <w:bookmarkEnd w:id="99"/>
      <w:bookmarkEnd w:id="100"/>
      <w:bookmarkEnd w:id="101"/>
      <w:bookmarkEnd w:id="102"/>
      <w:bookmarkEnd w:id="103"/>
      <w:bookmarkEnd w:id="104"/>
      <w:bookmarkEnd w:id="105"/>
      <w:bookmarkEnd w:id="106"/>
      <w:r w:rsidR="00B83D2C" w:rsidRPr="00CF48C1">
        <w:rPr>
          <w:color w:val="008675"/>
          <w:lang w:eastAsia="en-US"/>
        </w:rPr>
        <w:t>AGDIS</w:t>
      </w:r>
      <w:bookmarkEnd w:id="107"/>
    </w:p>
    <w:p w14:paraId="1E047771" w14:textId="1A01BCCF" w:rsidR="00E6232E" w:rsidRPr="00CF48C1" w:rsidRDefault="00E6232E" w:rsidP="0026606E">
      <w:pPr>
        <w:pStyle w:val="Heading3NoNumbers"/>
        <w:rPr>
          <w:color w:val="008675"/>
          <w:lang w:eastAsia="en-US"/>
        </w:rPr>
      </w:pPr>
      <w:bookmarkStart w:id="108" w:name="_Toc80884654"/>
      <w:bookmarkStart w:id="109" w:name="_Toc84925780"/>
      <w:bookmarkStart w:id="110" w:name="_Toc86069997"/>
      <w:r w:rsidRPr="00CF48C1">
        <w:rPr>
          <w:color w:val="008675"/>
          <w:lang w:eastAsia="en-US"/>
        </w:rPr>
        <w:t xml:space="preserve">2.5.1 Benefits of </w:t>
      </w:r>
      <w:r w:rsidR="00082E69" w:rsidRPr="00CF48C1">
        <w:rPr>
          <w:color w:val="008675"/>
          <w:lang w:eastAsia="en-US"/>
        </w:rPr>
        <w:t>e</w:t>
      </w:r>
      <w:r w:rsidRPr="00CF48C1">
        <w:rPr>
          <w:color w:val="008675"/>
          <w:lang w:eastAsia="en-US"/>
        </w:rPr>
        <w:t>xpansion</w:t>
      </w:r>
      <w:bookmarkEnd w:id="108"/>
      <w:bookmarkEnd w:id="109"/>
      <w:bookmarkEnd w:id="110"/>
    </w:p>
    <w:p w14:paraId="00A97D17" w14:textId="37F05B30" w:rsidR="00E6232E" w:rsidRPr="000B7589" w:rsidRDefault="00E6232E" w:rsidP="000F4CBB">
      <w:pPr>
        <w:pStyle w:val="BodyText"/>
        <w:rPr>
          <w:lang w:eastAsia="en-US"/>
        </w:rPr>
      </w:pPr>
      <w:r w:rsidRPr="000B7589">
        <w:rPr>
          <w:lang w:eastAsia="en-US"/>
        </w:rPr>
        <w:t xml:space="preserve">The </w:t>
      </w:r>
      <w:r w:rsidR="00B83D2C">
        <w:rPr>
          <w:lang w:eastAsia="en-US"/>
        </w:rPr>
        <w:t xml:space="preserve">Australian Governments </w:t>
      </w:r>
      <w:r w:rsidR="00B83D2C" w:rsidRPr="0094745F">
        <w:rPr>
          <w:lang w:eastAsia="en-US"/>
        </w:rPr>
        <w:t xml:space="preserve">Digital ID </w:t>
      </w:r>
      <w:r w:rsidR="00E84B5B" w:rsidRPr="0094745F">
        <w:rPr>
          <w:lang w:eastAsia="en-US"/>
        </w:rPr>
        <w:t xml:space="preserve">System’s </w:t>
      </w:r>
      <w:r w:rsidRPr="0094745F">
        <w:rPr>
          <w:lang w:eastAsia="en-US"/>
        </w:rPr>
        <w:t>value</w:t>
      </w:r>
      <w:r w:rsidRPr="000B7589">
        <w:rPr>
          <w:lang w:eastAsia="en-US"/>
        </w:rPr>
        <w:t xml:space="preserve"> was clearly demonstrated during Australia’s response to the COVID</w:t>
      </w:r>
      <w:r w:rsidR="0F498508" w:rsidRPr="000B7589">
        <w:rPr>
          <w:lang w:eastAsia="en-US"/>
        </w:rPr>
        <w:t>-</w:t>
      </w:r>
      <w:r w:rsidR="00C912E1">
        <w:rPr>
          <w:lang w:eastAsia="en-US"/>
        </w:rPr>
        <w:noBreakHyphen/>
      </w:r>
      <w:r w:rsidRPr="000B7589">
        <w:rPr>
          <w:lang w:eastAsia="en-US"/>
        </w:rPr>
        <w:t xml:space="preserve">19 pandemic, which has seen an unprecedented </w:t>
      </w:r>
      <w:r w:rsidR="00C54C61">
        <w:rPr>
          <w:lang w:eastAsia="en-US"/>
        </w:rPr>
        <w:t xml:space="preserve">increase in the </w:t>
      </w:r>
      <w:r w:rsidR="003B2B16">
        <w:rPr>
          <w:lang w:eastAsia="en-US"/>
        </w:rPr>
        <w:t>use of digital channels</w:t>
      </w:r>
      <w:r w:rsidRPr="000B7589">
        <w:rPr>
          <w:lang w:eastAsia="en-US"/>
        </w:rPr>
        <w:t xml:space="preserve">. </w:t>
      </w:r>
      <w:r w:rsidR="00313210">
        <w:rPr>
          <w:lang w:eastAsia="en-US"/>
        </w:rPr>
        <w:t xml:space="preserve">Rather than being a tactical solution designed to address the immediate issues faced as a result of COVID-19, </w:t>
      </w:r>
      <w:r w:rsidR="00B83D2C">
        <w:rPr>
          <w:lang w:eastAsia="en-US"/>
        </w:rPr>
        <w:t>AGDIS</w:t>
      </w:r>
      <w:r w:rsidR="00313210">
        <w:rPr>
          <w:lang w:eastAsia="en-US"/>
        </w:rPr>
        <w:t xml:space="preserve"> provides a more strategic and longer</w:t>
      </w:r>
      <w:r w:rsidR="00DB6680">
        <w:rPr>
          <w:lang w:eastAsia="en-US"/>
        </w:rPr>
        <w:t>-</w:t>
      </w:r>
      <w:r w:rsidR="00313210">
        <w:rPr>
          <w:lang w:eastAsia="en-US"/>
        </w:rPr>
        <w:t>term whole</w:t>
      </w:r>
      <w:r w:rsidR="00E978B8">
        <w:rPr>
          <w:lang w:eastAsia="en-US"/>
        </w:rPr>
        <w:t>-</w:t>
      </w:r>
      <w:r w:rsidR="00313210">
        <w:rPr>
          <w:lang w:eastAsia="en-US"/>
        </w:rPr>
        <w:t>of</w:t>
      </w:r>
      <w:r w:rsidR="00E978B8">
        <w:rPr>
          <w:lang w:eastAsia="en-US"/>
        </w:rPr>
        <w:t>-</w:t>
      </w:r>
      <w:r w:rsidR="00313210">
        <w:rPr>
          <w:lang w:eastAsia="en-US"/>
        </w:rPr>
        <w:t>economy solution.</w:t>
      </w:r>
    </w:p>
    <w:p w14:paraId="05241E29" w14:textId="2254B738" w:rsidR="00754A31" w:rsidRPr="000F4CBB" w:rsidRDefault="00E6232E" w:rsidP="000F4CBB">
      <w:pPr>
        <w:pStyle w:val="BodyText"/>
      </w:pPr>
      <w:r w:rsidRPr="000B7589">
        <w:rPr>
          <w:lang w:eastAsia="en-US"/>
        </w:rPr>
        <w:t xml:space="preserve">While </w:t>
      </w:r>
      <w:r w:rsidR="00EB2443">
        <w:rPr>
          <w:lang w:eastAsia="en-US"/>
        </w:rPr>
        <w:t>Digital ID</w:t>
      </w:r>
      <w:r w:rsidRPr="000B7589">
        <w:rPr>
          <w:lang w:eastAsia="en-US"/>
        </w:rPr>
        <w:t>’s value is ongoing, events such as the</w:t>
      </w:r>
      <w:r w:rsidR="00E16123">
        <w:rPr>
          <w:lang w:eastAsia="en-US"/>
        </w:rPr>
        <w:t xml:space="preserve"> pandemic and the</w:t>
      </w:r>
      <w:r w:rsidRPr="000B7589">
        <w:rPr>
          <w:lang w:eastAsia="en-US"/>
        </w:rPr>
        <w:t xml:space="preserve"> 2019</w:t>
      </w:r>
      <w:r w:rsidR="454E9FFC" w:rsidRPr="000B7589">
        <w:rPr>
          <w:lang w:eastAsia="en-US"/>
        </w:rPr>
        <w:t>-</w:t>
      </w:r>
      <w:r w:rsidR="00B47717">
        <w:rPr>
          <w:lang w:eastAsia="en-US"/>
        </w:rPr>
        <w:noBreakHyphen/>
      </w:r>
      <w:r w:rsidRPr="000B7589">
        <w:rPr>
          <w:lang w:eastAsia="en-US"/>
        </w:rPr>
        <w:t>20 bushfires have reinforced the critical role technology plays in enabling people and businesses to deliver and receive trusted services in times of crisis.</w:t>
      </w:r>
      <w:r w:rsidR="00737BA2">
        <w:rPr>
          <w:lang w:eastAsia="en-US"/>
        </w:rPr>
        <w:t xml:space="preserve"> </w:t>
      </w:r>
      <w:r w:rsidR="00056785">
        <w:rPr>
          <w:lang w:eastAsia="en-US"/>
        </w:rPr>
        <w:t>Australian Bureau of Statistics</w:t>
      </w:r>
      <w:r w:rsidR="00B44F3A">
        <w:rPr>
          <w:lang w:eastAsia="en-US"/>
        </w:rPr>
        <w:t xml:space="preserve"> (ABS)</w:t>
      </w:r>
      <w:r w:rsidR="00056785" w:rsidRPr="00C36827">
        <w:rPr>
          <w:lang w:eastAsia="en-US"/>
        </w:rPr>
        <w:t xml:space="preserve"> </w:t>
      </w:r>
      <w:r w:rsidRPr="00C36827">
        <w:rPr>
          <w:lang w:eastAsia="en-US"/>
        </w:rPr>
        <w:t>data</w:t>
      </w:r>
      <w:r w:rsidRPr="00B1529C">
        <w:rPr>
          <w:lang w:eastAsia="en-US"/>
        </w:rPr>
        <w:t xml:space="preserve"> reinforces the expectation</w:t>
      </w:r>
      <w:r w:rsidRPr="000B7589">
        <w:rPr>
          <w:lang w:eastAsia="en-US"/>
        </w:rPr>
        <w:t xml:space="preserve"> that increased demand for government services will continue, with small, medium and regional businesses</w:t>
      </w:r>
      <w:r w:rsidR="4F82DD2B" w:rsidRPr="000B7589">
        <w:rPr>
          <w:lang w:eastAsia="en-US"/>
        </w:rPr>
        <w:t>,</w:t>
      </w:r>
      <w:r w:rsidRPr="000B7589">
        <w:rPr>
          <w:lang w:eastAsia="en-US"/>
        </w:rPr>
        <w:t xml:space="preserve"> in particular, urgently needing a </w:t>
      </w:r>
      <w:r w:rsidR="001B5989">
        <w:rPr>
          <w:lang w:eastAsia="en-US"/>
        </w:rPr>
        <w:t xml:space="preserve">simple, </w:t>
      </w:r>
      <w:r w:rsidRPr="000B7589">
        <w:rPr>
          <w:lang w:eastAsia="en-US"/>
        </w:rPr>
        <w:t xml:space="preserve">safe and secure way to access critical services, payments and support to assist </w:t>
      </w:r>
      <w:r w:rsidRPr="00B1529C">
        <w:rPr>
          <w:lang w:eastAsia="en-US"/>
        </w:rPr>
        <w:t xml:space="preserve">their ongoing recovery. </w:t>
      </w:r>
      <w:r w:rsidR="00644087">
        <w:rPr>
          <w:lang w:eastAsia="en-US"/>
        </w:rPr>
        <w:t>R</w:t>
      </w:r>
      <w:r w:rsidR="00644087" w:rsidRPr="00DB25D5">
        <w:rPr>
          <w:lang w:eastAsia="en-US"/>
        </w:rPr>
        <w:t xml:space="preserve">ecent ABS statistics indicate there are </w:t>
      </w:r>
      <w:r w:rsidR="00644087" w:rsidRPr="29984951">
        <w:rPr>
          <w:lang w:eastAsia="en-US"/>
        </w:rPr>
        <w:t>539</w:t>
      </w:r>
      <w:r w:rsidR="00644087">
        <w:rPr>
          <w:lang w:eastAsia="en-US"/>
        </w:rPr>
        <w:t>,</w:t>
      </w:r>
      <w:r w:rsidR="00644087" w:rsidRPr="29984951">
        <w:rPr>
          <w:lang w:eastAsia="en-US"/>
        </w:rPr>
        <w:t>7</w:t>
      </w:r>
      <w:r w:rsidR="00644087" w:rsidRPr="00DB25D5">
        <w:rPr>
          <w:lang w:eastAsia="en-US"/>
        </w:rPr>
        <w:t xml:space="preserve">00 unemployed </w:t>
      </w:r>
      <w:r w:rsidR="00644087">
        <w:rPr>
          <w:lang w:eastAsia="en-US"/>
        </w:rPr>
        <w:t>Australians</w:t>
      </w:r>
      <w:r w:rsidR="00644087" w:rsidRPr="00DB25D5">
        <w:rPr>
          <w:lang w:eastAsia="en-US"/>
        </w:rPr>
        <w:t xml:space="preserve"> as of August 2023</w:t>
      </w:r>
      <w:r w:rsidR="00644087">
        <w:rPr>
          <w:lang w:eastAsia="en-US"/>
        </w:rPr>
        <w:t xml:space="preserve">, most of whom would be accessing some type of government support. However, in more extreme cases, </w:t>
      </w:r>
      <w:proofErr w:type="gramStart"/>
      <w:r w:rsidR="00644087">
        <w:rPr>
          <w:lang w:eastAsia="en-US"/>
        </w:rPr>
        <w:t>This</w:t>
      </w:r>
      <w:proofErr w:type="gramEnd"/>
      <w:r w:rsidR="00644087">
        <w:rPr>
          <w:lang w:eastAsia="en-US"/>
        </w:rPr>
        <w:t xml:space="preserve"> includes the ability to access services in times of increased need, more quickly, such as black swan events (COVID-19) that lead to people needing to access welfare services. </w:t>
      </w:r>
      <w:r w:rsidRPr="000B7589">
        <w:rPr>
          <w:lang w:eastAsia="en-US"/>
        </w:rPr>
        <w:t>The expansion</w:t>
      </w:r>
      <w:r w:rsidR="00DB25D5" w:rsidRPr="00DB25D5">
        <w:rPr>
          <w:lang w:eastAsia="en-US"/>
        </w:rPr>
        <w:t xml:space="preserve"> of </w:t>
      </w:r>
      <w:bookmarkStart w:id="111" w:name="_Hlk65052313"/>
      <w:r w:rsidR="00B83D2C">
        <w:rPr>
          <w:lang w:eastAsia="en-US"/>
        </w:rPr>
        <w:t>AGDIS</w:t>
      </w:r>
      <w:r w:rsidR="00E84B5B">
        <w:rPr>
          <w:lang w:eastAsia="en-US"/>
        </w:rPr>
        <w:t xml:space="preserve"> </w:t>
      </w:r>
      <w:r w:rsidRPr="000B7589">
        <w:rPr>
          <w:lang w:eastAsia="en-US"/>
        </w:rPr>
        <w:t xml:space="preserve">also presents opportunities to modernise public services at a state, territory and local government level. The extent and frequency of individuals’ touchpoints with state, territory and local government-provided services means </w:t>
      </w:r>
      <w:r w:rsidR="00B83D2C">
        <w:rPr>
          <w:lang w:eastAsia="en-US"/>
        </w:rPr>
        <w:t xml:space="preserve">AGDIS </w:t>
      </w:r>
      <w:r w:rsidR="4C48756C" w:rsidRPr="0DFA586A">
        <w:rPr>
          <w:lang w:eastAsia="en-US"/>
        </w:rPr>
        <w:t xml:space="preserve">can generate significant administrative efficiency, </w:t>
      </w:r>
      <w:r w:rsidR="0073399F">
        <w:rPr>
          <w:lang w:eastAsia="en-US"/>
        </w:rPr>
        <w:t>by enabling</w:t>
      </w:r>
      <w:r w:rsidRPr="000B7589">
        <w:rPr>
          <w:lang w:eastAsia="en-US"/>
        </w:rPr>
        <w:t xml:space="preserve"> reduced paperwork, faster transactions and improved convenience</w:t>
      </w:r>
      <w:r w:rsidR="4827B1F1" w:rsidRPr="000B7589">
        <w:rPr>
          <w:lang w:eastAsia="en-US"/>
        </w:rPr>
        <w:t>.</w:t>
      </w:r>
      <w:r w:rsidRPr="000B7589">
        <w:rPr>
          <w:lang w:eastAsia="en-US"/>
        </w:rPr>
        <w:t xml:space="preserve"> These benefits are expected to support state and territory government services</w:t>
      </w:r>
      <w:r w:rsidR="00F56ADB">
        <w:rPr>
          <w:lang w:eastAsia="en-US"/>
        </w:rPr>
        <w:t>,</w:t>
      </w:r>
      <w:r w:rsidRPr="000B7589">
        <w:rPr>
          <w:lang w:eastAsia="en-US"/>
        </w:rPr>
        <w:t xml:space="preserve"> including the registration of births, deaths and marriages</w:t>
      </w:r>
      <w:r w:rsidR="00F56ADB">
        <w:rPr>
          <w:lang w:eastAsia="en-US"/>
        </w:rPr>
        <w:t>;</w:t>
      </w:r>
      <w:r w:rsidR="00F56ADB" w:rsidRPr="000B7589">
        <w:rPr>
          <w:lang w:eastAsia="en-US"/>
        </w:rPr>
        <w:t xml:space="preserve"> </w:t>
      </w:r>
      <w:r w:rsidRPr="000F4CBB">
        <w:t>licensing</w:t>
      </w:r>
      <w:r w:rsidR="00F56ADB">
        <w:t>;</w:t>
      </w:r>
      <w:r w:rsidR="00F56ADB" w:rsidRPr="000F4CBB">
        <w:t xml:space="preserve"> </w:t>
      </w:r>
      <w:r w:rsidRPr="000F4CBB">
        <w:t>utilities</w:t>
      </w:r>
      <w:r w:rsidR="00F56ADB">
        <w:t>;</w:t>
      </w:r>
      <w:r w:rsidR="00F56ADB" w:rsidRPr="000F4CBB">
        <w:t xml:space="preserve"> </w:t>
      </w:r>
      <w:r w:rsidRPr="000F4CBB">
        <w:t>healthcare</w:t>
      </w:r>
      <w:r w:rsidR="00F56ADB">
        <w:t>;</w:t>
      </w:r>
      <w:r w:rsidRPr="000F4CBB">
        <w:t xml:space="preserve"> and education. These levels of government would also reali</w:t>
      </w:r>
      <w:r w:rsidR="006222C3">
        <w:t>se</w:t>
      </w:r>
      <w:r w:rsidRPr="000F4CBB">
        <w:t xml:space="preserve"> other benefits described above, including reduc</w:t>
      </w:r>
      <w:r w:rsidR="00F56ADB">
        <w:t xml:space="preserve">ed </w:t>
      </w:r>
      <w:r w:rsidRPr="000F4CBB">
        <w:t>identity fraud.</w:t>
      </w:r>
    </w:p>
    <w:bookmarkEnd w:id="111"/>
    <w:p w14:paraId="35A9835A" w14:textId="2823238F" w:rsidR="007D0552" w:rsidRDefault="001A2FD1" w:rsidP="000F4CBB">
      <w:pPr>
        <w:pStyle w:val="BodyText"/>
      </w:pPr>
      <w:r>
        <w:t>D</w:t>
      </w:r>
      <w:r w:rsidR="00E6232E">
        <w:t xml:space="preserve">igital </w:t>
      </w:r>
      <w:r>
        <w:t>ID</w:t>
      </w:r>
      <w:r w:rsidR="00E6232E">
        <w:t xml:space="preserve"> is essential for the growth of the digital economy more broadly</w:t>
      </w:r>
      <w:r w:rsidR="006D5324">
        <w:t>.</w:t>
      </w:r>
      <w:r w:rsidR="00E6232E">
        <w:t xml:space="preserve"> </w:t>
      </w:r>
      <w:r w:rsidR="00A772C6">
        <w:t>I</w:t>
      </w:r>
      <w:r w:rsidR="00313210">
        <w:t xml:space="preserve">t </w:t>
      </w:r>
      <w:r w:rsidR="00E6232E">
        <w:t>has a pivotal role to play in rebooting the global economy in the aftermath of the COVID-19 pandemic and beyond</w:t>
      </w:r>
      <w:r w:rsidR="00A772C6">
        <w:t xml:space="preserve"> through</w:t>
      </w:r>
      <w:r w:rsidR="006C64C1">
        <w:t xml:space="preserve"> digital and physical</w:t>
      </w:r>
      <w:r w:rsidR="00A772C6">
        <w:t xml:space="preserve"> en</w:t>
      </w:r>
      <w:r w:rsidR="00A06D39">
        <w:t>gagement with public and private sector services</w:t>
      </w:r>
      <w:r w:rsidR="00000497">
        <w:t>.</w:t>
      </w:r>
      <w:r w:rsidR="0076002F">
        <w:t xml:space="preserve"> </w:t>
      </w:r>
    </w:p>
    <w:p w14:paraId="66009261" w14:textId="1A634D6D" w:rsidR="00E6232E" w:rsidRPr="000F4CBB" w:rsidRDefault="0076002F" w:rsidP="000F4CBB">
      <w:pPr>
        <w:pStyle w:val="BodyText"/>
      </w:pPr>
      <w:r w:rsidRPr="0076002F">
        <w:lastRenderedPageBreak/>
        <w:t>Th</w:t>
      </w:r>
      <w:r w:rsidR="00025E87">
        <w:t>is assessment of the</w:t>
      </w:r>
      <w:r w:rsidR="008B1BDC">
        <w:t xml:space="preserve"> </w:t>
      </w:r>
      <w:r w:rsidR="00025E87">
        <w:t xml:space="preserve">commercial opportunities available is supported by </w:t>
      </w:r>
      <w:r w:rsidRPr="0076002F">
        <w:t xml:space="preserve">analysis commissioned in 2016 by the </w:t>
      </w:r>
      <w:r w:rsidR="00D83603">
        <w:t>Digital Transformation Agency (DTA)</w:t>
      </w:r>
      <w:r w:rsidR="00D83603" w:rsidRPr="0076002F">
        <w:t xml:space="preserve"> </w:t>
      </w:r>
      <w:r w:rsidRPr="0076002F">
        <w:t xml:space="preserve">(then the 'Digital Transformation Office') from Deloitte Access Economics, which found that System expansion </w:t>
      </w:r>
      <w:r w:rsidR="00A647DA">
        <w:t xml:space="preserve">presented expanded </w:t>
      </w:r>
      <w:r w:rsidRPr="0076002F">
        <w:t xml:space="preserve">market opportunities across </w:t>
      </w:r>
      <w:r w:rsidR="00D359FF">
        <w:t xml:space="preserve">several </w:t>
      </w:r>
      <w:r w:rsidRPr="0076002F">
        <w:t>integrated service offerings</w:t>
      </w:r>
      <w:r w:rsidR="00A647DA">
        <w:t xml:space="preserve">. </w:t>
      </w:r>
      <w:r w:rsidR="00D359FF">
        <w:t xml:space="preserve">These included </w:t>
      </w:r>
      <w:r w:rsidRPr="0076002F">
        <w:t>in design, maintenance and operation of credentials and tokens, identity provision and disruptive emerging models for financial transactions and online communications, as well as for identity providers</w:t>
      </w:r>
      <w:r w:rsidR="00B53824">
        <w:t xml:space="preserve"> in general</w:t>
      </w:r>
      <w:r w:rsidRPr="0076002F">
        <w:t xml:space="preserve"> (for example</w:t>
      </w:r>
      <w:r w:rsidR="002B4AF5">
        <w:t>,</w:t>
      </w:r>
      <w:r w:rsidRPr="0076002F">
        <w:t xml:space="preserve"> </w:t>
      </w:r>
      <w:r w:rsidR="002B4AF5" w:rsidRPr="0076002F">
        <w:t xml:space="preserve">vendors </w:t>
      </w:r>
      <w:r w:rsidR="002B4AF5">
        <w:t>may</w:t>
      </w:r>
      <w:r w:rsidRPr="0076002F">
        <w:t xml:space="preserve"> potentially sell other services to individuals as part of a verification 'one-stop shop').</w:t>
      </w:r>
      <w:r w:rsidR="00A647DA">
        <w:t xml:space="preserve"> Th</w:t>
      </w:r>
      <w:r w:rsidR="00264805">
        <w:t xml:space="preserve">e commercial appeal of these opportunities </w:t>
      </w:r>
      <w:r w:rsidR="002D645E">
        <w:t>was</w:t>
      </w:r>
      <w:r w:rsidR="00264805">
        <w:t xml:space="preserve"> </w:t>
      </w:r>
      <w:r w:rsidR="00480664">
        <w:t xml:space="preserve">recently </w:t>
      </w:r>
      <w:r w:rsidR="00264805">
        <w:t xml:space="preserve">validated </w:t>
      </w:r>
      <w:r w:rsidR="00556765">
        <w:t>with</w:t>
      </w:r>
      <w:r w:rsidR="00264805">
        <w:t xml:space="preserve"> </w:t>
      </w:r>
      <w:r w:rsidR="00556765">
        <w:t xml:space="preserve">Australian payment network </w:t>
      </w:r>
      <w:proofErr w:type="spellStart"/>
      <w:r w:rsidR="00AA6CFC">
        <w:t>eftpos</w:t>
      </w:r>
      <w:proofErr w:type="spellEnd"/>
      <w:r w:rsidR="00AA6CFC">
        <w:t xml:space="preserve"> </w:t>
      </w:r>
      <w:r w:rsidR="00556765">
        <w:t xml:space="preserve">achieving the </w:t>
      </w:r>
      <w:hyperlink r:id="rId35" w:history="1">
        <w:r w:rsidR="00556765" w:rsidRPr="00CF48C1">
          <w:rPr>
            <w:rStyle w:val="Hyperlink"/>
            <w:color w:val="008675"/>
          </w:rPr>
          <w:t>first private sector exchange accreditation under the TDIF</w:t>
        </w:r>
      </w:hyperlink>
      <w:r w:rsidR="00480664">
        <w:t xml:space="preserve"> in September 2021</w:t>
      </w:r>
      <w:r w:rsidR="00D24390">
        <w:t>.</w:t>
      </w:r>
      <w:r w:rsidR="00264805">
        <w:t xml:space="preserve"> </w:t>
      </w:r>
    </w:p>
    <w:p w14:paraId="3EFC6E80" w14:textId="3FB3D9B6" w:rsidR="00E6232E" w:rsidRPr="00CF48C1" w:rsidRDefault="00E6232E" w:rsidP="00227257">
      <w:pPr>
        <w:pStyle w:val="Heading3NoNumbers"/>
        <w:rPr>
          <w:color w:val="008675"/>
          <w:lang w:eastAsia="en-US"/>
        </w:rPr>
      </w:pPr>
      <w:bookmarkStart w:id="112" w:name="_2.5.2_Entities,_Interactions"/>
      <w:bookmarkStart w:id="113" w:name="_Ref72269031"/>
      <w:bookmarkStart w:id="114" w:name="_Toc80884655"/>
      <w:bookmarkStart w:id="115" w:name="_Toc84925781"/>
      <w:bookmarkStart w:id="116" w:name="_Toc86069998"/>
      <w:bookmarkEnd w:id="112"/>
      <w:r w:rsidRPr="00CF48C1">
        <w:rPr>
          <w:color w:val="008675"/>
          <w:lang w:eastAsia="en-US"/>
        </w:rPr>
        <w:t xml:space="preserve">2.5.2 Entities, </w:t>
      </w:r>
      <w:r w:rsidR="00082E69" w:rsidRPr="00CF48C1">
        <w:rPr>
          <w:color w:val="008675"/>
          <w:lang w:eastAsia="en-US"/>
        </w:rPr>
        <w:t>i</w:t>
      </w:r>
      <w:r w:rsidRPr="00CF48C1">
        <w:rPr>
          <w:color w:val="008675"/>
          <w:lang w:eastAsia="en-US"/>
        </w:rPr>
        <w:t xml:space="preserve">nteractions and </w:t>
      </w:r>
      <w:r w:rsidR="001A6833" w:rsidRPr="00CF48C1">
        <w:rPr>
          <w:color w:val="008675"/>
          <w:lang w:eastAsia="en-US"/>
        </w:rPr>
        <w:t>i</w:t>
      </w:r>
      <w:r w:rsidRPr="00CF48C1">
        <w:rPr>
          <w:color w:val="008675"/>
          <w:lang w:eastAsia="en-US"/>
        </w:rPr>
        <w:t xml:space="preserve">ncentives within an </w:t>
      </w:r>
      <w:r w:rsidR="00082E69" w:rsidRPr="00CF48C1">
        <w:rPr>
          <w:color w:val="008675"/>
          <w:lang w:eastAsia="en-US"/>
        </w:rPr>
        <w:t>e</w:t>
      </w:r>
      <w:r w:rsidRPr="00CF48C1">
        <w:rPr>
          <w:color w:val="008675"/>
          <w:lang w:eastAsia="en-US"/>
        </w:rPr>
        <w:t xml:space="preserve">xpanded </w:t>
      </w:r>
      <w:bookmarkEnd w:id="113"/>
      <w:bookmarkEnd w:id="114"/>
      <w:bookmarkEnd w:id="115"/>
      <w:bookmarkEnd w:id="116"/>
      <w:r w:rsidR="006E550E" w:rsidRPr="00CF48C1">
        <w:rPr>
          <w:color w:val="008675"/>
          <w:lang w:eastAsia="en-US"/>
        </w:rPr>
        <w:t>AGDIS</w:t>
      </w:r>
      <w:r w:rsidRPr="00CF48C1">
        <w:rPr>
          <w:color w:val="008675"/>
          <w:lang w:eastAsia="en-US"/>
        </w:rPr>
        <w:t xml:space="preserve"> </w:t>
      </w:r>
    </w:p>
    <w:p w14:paraId="7528077A" w14:textId="0B718DED" w:rsidR="00E6232E" w:rsidRPr="000B7589" w:rsidRDefault="001817FE" w:rsidP="00793861">
      <w:pPr>
        <w:pStyle w:val="BodyText"/>
        <w:rPr>
          <w:lang w:eastAsia="en-US"/>
        </w:rPr>
      </w:pPr>
      <w:r>
        <w:rPr>
          <w:lang w:eastAsia="en-US"/>
        </w:rPr>
        <w:t>F</w:t>
      </w:r>
      <w:r w:rsidR="00E6232E" w:rsidRPr="000B7589">
        <w:rPr>
          <w:lang w:eastAsia="en-US"/>
        </w:rPr>
        <w:t xml:space="preserve">igure </w:t>
      </w:r>
      <w:r w:rsidR="003448FB">
        <w:rPr>
          <w:lang w:eastAsia="en-US"/>
        </w:rPr>
        <w:t>2</w:t>
      </w:r>
      <w:r w:rsidR="00623720">
        <w:rPr>
          <w:lang w:eastAsia="en-US"/>
        </w:rPr>
        <w:t xml:space="preserve"> below</w:t>
      </w:r>
      <w:r w:rsidR="00E6232E" w:rsidRPr="000B7589">
        <w:rPr>
          <w:lang w:eastAsia="en-US"/>
        </w:rPr>
        <w:t xml:space="preserve"> </w:t>
      </w:r>
      <w:r w:rsidR="00623720">
        <w:rPr>
          <w:lang w:eastAsia="en-US"/>
        </w:rPr>
        <w:t xml:space="preserve">depicts </w:t>
      </w:r>
      <w:r w:rsidR="00E6232E" w:rsidRPr="000B7589">
        <w:rPr>
          <w:lang w:eastAsia="en-US"/>
        </w:rPr>
        <w:t xml:space="preserve">the entities that would be able to participate in an expanded </w:t>
      </w:r>
      <w:r w:rsidR="006E550E">
        <w:rPr>
          <w:lang w:eastAsia="en-US"/>
        </w:rPr>
        <w:t>AGDIS</w:t>
      </w:r>
      <w:r w:rsidR="00E6232E" w:rsidRPr="000B7589">
        <w:rPr>
          <w:lang w:eastAsia="en-US"/>
        </w:rPr>
        <w:t>, including their likely interactions and incentives. A more detailed description of the</w:t>
      </w:r>
      <w:r w:rsidR="008D66D8">
        <w:rPr>
          <w:lang w:eastAsia="en-US"/>
        </w:rPr>
        <w:t xml:space="preserve">se </w:t>
      </w:r>
      <w:r w:rsidR="00E6232E" w:rsidRPr="000B7589">
        <w:rPr>
          <w:lang w:eastAsia="en-US"/>
        </w:rPr>
        <w:t xml:space="preserve">can be found </w:t>
      </w:r>
      <w:r w:rsidR="00E6232E" w:rsidRPr="00DA58A5">
        <w:rPr>
          <w:lang w:eastAsia="en-US"/>
        </w:rPr>
        <w:t xml:space="preserve">at </w:t>
      </w:r>
      <w:r w:rsidR="00E6232E" w:rsidRPr="00CF48C1">
        <w:rPr>
          <w:color w:val="008675"/>
        </w:rPr>
        <w:fldChar w:fldCharType="begin"/>
      </w:r>
      <w:r w:rsidR="00E6232E" w:rsidRPr="00CF48C1">
        <w:rPr>
          <w:color w:val="008675"/>
        </w:rPr>
        <w:instrText xml:space="preserve"> REF _Ref72270305 \h  \* MERGEFORMAT </w:instrText>
      </w:r>
      <w:r w:rsidR="00E6232E" w:rsidRPr="00CF48C1">
        <w:rPr>
          <w:color w:val="008675"/>
        </w:rPr>
      </w:r>
      <w:r w:rsidR="00E6232E" w:rsidRPr="00CF48C1">
        <w:rPr>
          <w:color w:val="008675"/>
        </w:rPr>
        <w:fldChar w:fldCharType="separate"/>
      </w:r>
      <w:r w:rsidR="004861D4" w:rsidRPr="00CF48C1">
        <w:rPr>
          <w:color w:val="008675"/>
        </w:rPr>
        <w:t>Appendix C: D</w:t>
      </w:r>
      <w:r w:rsidR="007F08B6" w:rsidRPr="00CF48C1">
        <w:rPr>
          <w:color w:val="008675"/>
        </w:rPr>
        <w:t xml:space="preserve">etailed </w:t>
      </w:r>
      <w:r w:rsidR="004861D4" w:rsidRPr="00CF48C1">
        <w:rPr>
          <w:color w:val="008675"/>
        </w:rPr>
        <w:t>e</w:t>
      </w:r>
      <w:r w:rsidR="007F08B6" w:rsidRPr="00CF48C1">
        <w:rPr>
          <w:color w:val="008675"/>
        </w:rPr>
        <w:t xml:space="preserve">ntities, </w:t>
      </w:r>
      <w:r w:rsidR="004861D4" w:rsidRPr="00CF48C1">
        <w:rPr>
          <w:color w:val="008675"/>
        </w:rPr>
        <w:t>i</w:t>
      </w:r>
      <w:r w:rsidR="007F08B6" w:rsidRPr="00CF48C1">
        <w:rPr>
          <w:color w:val="008675"/>
        </w:rPr>
        <w:t xml:space="preserve">nteractions and </w:t>
      </w:r>
      <w:r w:rsidR="004861D4" w:rsidRPr="00CF48C1">
        <w:rPr>
          <w:color w:val="008675"/>
        </w:rPr>
        <w:t>i</w:t>
      </w:r>
      <w:r w:rsidR="007F08B6" w:rsidRPr="00CF48C1">
        <w:rPr>
          <w:color w:val="008675"/>
        </w:rPr>
        <w:t xml:space="preserve">ncentives within an </w:t>
      </w:r>
      <w:r w:rsidR="004861D4" w:rsidRPr="00CF48C1">
        <w:rPr>
          <w:color w:val="008675"/>
        </w:rPr>
        <w:t>e</w:t>
      </w:r>
      <w:r w:rsidR="007F08B6" w:rsidRPr="00CF48C1">
        <w:rPr>
          <w:color w:val="008675"/>
        </w:rPr>
        <w:t xml:space="preserve">xpanded </w:t>
      </w:r>
      <w:r w:rsidR="004861D4" w:rsidRPr="00CF48C1">
        <w:rPr>
          <w:color w:val="008675"/>
        </w:rPr>
        <w:t>s</w:t>
      </w:r>
      <w:r w:rsidR="007F08B6" w:rsidRPr="00CF48C1">
        <w:rPr>
          <w:color w:val="008675"/>
        </w:rPr>
        <w:t>ystem</w:t>
      </w:r>
      <w:r w:rsidR="00E6232E" w:rsidRPr="00CF48C1">
        <w:rPr>
          <w:color w:val="008675"/>
        </w:rPr>
        <w:fldChar w:fldCharType="end"/>
      </w:r>
      <w:r w:rsidR="00E6232E" w:rsidRPr="000B7589">
        <w:rPr>
          <w:lang w:eastAsia="en-US"/>
        </w:rPr>
        <w:t xml:space="preserve">. One of the primary points of difference between the below </w:t>
      </w:r>
      <w:r w:rsidR="00E6232E" w:rsidRPr="00644CAB">
        <w:rPr>
          <w:color w:val="000000" w:themeColor="text1"/>
          <w:lang w:eastAsia="en-US"/>
        </w:rPr>
        <w:t xml:space="preserve">and </w:t>
      </w:r>
      <w:r w:rsidR="00E6232E" w:rsidRPr="00CF48C1">
        <w:rPr>
          <w:color w:val="008675"/>
        </w:rPr>
        <w:t xml:space="preserve">Section </w:t>
      </w:r>
      <w:r w:rsidR="00E6232E" w:rsidRPr="00CF48C1">
        <w:rPr>
          <w:color w:val="008675"/>
        </w:rPr>
        <w:fldChar w:fldCharType="begin"/>
      </w:r>
      <w:r w:rsidR="00E6232E" w:rsidRPr="00CF48C1">
        <w:rPr>
          <w:color w:val="008675"/>
        </w:rPr>
        <w:instrText xml:space="preserve"> REF _Ref64882727 \h  \* MERGEFORMAT </w:instrText>
      </w:r>
      <w:r w:rsidR="00E6232E" w:rsidRPr="00CF48C1">
        <w:rPr>
          <w:color w:val="008675"/>
        </w:rPr>
      </w:r>
      <w:r w:rsidR="00E6232E" w:rsidRPr="00CF48C1">
        <w:rPr>
          <w:color w:val="008675"/>
        </w:rPr>
        <w:fldChar w:fldCharType="separate"/>
      </w:r>
      <w:r w:rsidR="00E6232E" w:rsidRPr="00CF48C1">
        <w:rPr>
          <w:color w:val="008675"/>
        </w:rPr>
        <w:t xml:space="preserve">2.3.3 Entities, </w:t>
      </w:r>
      <w:r w:rsidR="004861D4" w:rsidRPr="00CF48C1">
        <w:rPr>
          <w:color w:val="008675"/>
        </w:rPr>
        <w:t>i</w:t>
      </w:r>
      <w:r w:rsidR="00E6232E" w:rsidRPr="00CF48C1">
        <w:rPr>
          <w:color w:val="008675"/>
        </w:rPr>
        <w:t xml:space="preserve">nteractions and </w:t>
      </w:r>
      <w:r w:rsidR="004861D4" w:rsidRPr="00CF48C1">
        <w:rPr>
          <w:color w:val="008675"/>
        </w:rPr>
        <w:t>i</w:t>
      </w:r>
      <w:r w:rsidR="00E6232E" w:rsidRPr="00CF48C1">
        <w:rPr>
          <w:color w:val="008675"/>
        </w:rPr>
        <w:t xml:space="preserve">ncentives within the </w:t>
      </w:r>
      <w:r w:rsidR="004861D4" w:rsidRPr="00CF48C1">
        <w:rPr>
          <w:color w:val="008675"/>
        </w:rPr>
        <w:t>c</w:t>
      </w:r>
      <w:r w:rsidR="00E6232E" w:rsidRPr="00CF48C1">
        <w:rPr>
          <w:color w:val="008675"/>
        </w:rPr>
        <w:t xml:space="preserve">urrent </w:t>
      </w:r>
      <w:r w:rsidR="00E42AD7" w:rsidRPr="00CF48C1">
        <w:rPr>
          <w:color w:val="008675"/>
          <w:lang w:eastAsia="en-US"/>
        </w:rPr>
        <w:t xml:space="preserve">AGDIS </w:t>
      </w:r>
      <w:r w:rsidR="00E6232E" w:rsidRPr="00CF48C1">
        <w:rPr>
          <w:color w:val="008675"/>
        </w:rPr>
        <w:fldChar w:fldCharType="end"/>
      </w:r>
      <w:r w:rsidR="00E6232E" w:rsidRPr="000B7589">
        <w:rPr>
          <w:lang w:eastAsia="en-US"/>
        </w:rPr>
        <w:t xml:space="preserve">, is the inclusion of </w:t>
      </w:r>
      <w:r w:rsidR="00112364">
        <w:rPr>
          <w:lang w:eastAsia="en-US"/>
        </w:rPr>
        <w:t>non-Australian Government</w:t>
      </w:r>
      <w:r w:rsidR="00E6232E" w:rsidRPr="000B7589">
        <w:rPr>
          <w:lang w:eastAsia="en-US"/>
        </w:rPr>
        <w:t xml:space="preserve"> </w:t>
      </w:r>
      <w:r w:rsidR="00A913A2">
        <w:rPr>
          <w:lang w:eastAsia="en-US"/>
        </w:rPr>
        <w:t>agencies</w:t>
      </w:r>
      <w:r w:rsidR="00A913A2" w:rsidRPr="000B7589">
        <w:rPr>
          <w:lang w:eastAsia="en-US"/>
        </w:rPr>
        <w:t xml:space="preserve"> </w:t>
      </w:r>
      <w:r w:rsidR="00E6232E" w:rsidRPr="000B7589">
        <w:rPr>
          <w:lang w:eastAsia="en-US"/>
        </w:rPr>
        <w:t xml:space="preserve">as </w:t>
      </w:r>
      <w:r w:rsidR="007F0E75">
        <w:rPr>
          <w:lang w:eastAsia="en-US"/>
        </w:rPr>
        <w:t>r</w:t>
      </w:r>
      <w:r w:rsidR="00E6232E" w:rsidRPr="000B7589">
        <w:rPr>
          <w:lang w:eastAsia="en-US"/>
        </w:rPr>
        <w:t xml:space="preserve">elying </w:t>
      </w:r>
      <w:r w:rsidR="007F0E75">
        <w:rPr>
          <w:lang w:eastAsia="en-US"/>
        </w:rPr>
        <w:t>p</w:t>
      </w:r>
      <w:r w:rsidR="00E6232E" w:rsidRPr="000B7589">
        <w:rPr>
          <w:lang w:eastAsia="en-US"/>
        </w:rPr>
        <w:t xml:space="preserve">arties and the expansion of </w:t>
      </w:r>
      <w:r w:rsidR="00023430">
        <w:rPr>
          <w:lang w:eastAsia="en-US"/>
        </w:rPr>
        <w:t xml:space="preserve">onboarded </w:t>
      </w:r>
      <w:r w:rsidR="004861D4">
        <w:rPr>
          <w:lang w:eastAsia="en-US"/>
        </w:rPr>
        <w:t>a</w:t>
      </w:r>
      <w:r w:rsidR="00E6232E" w:rsidRPr="000B7589">
        <w:rPr>
          <w:lang w:eastAsia="en-US"/>
        </w:rPr>
        <w:t xml:space="preserve">ccredited </w:t>
      </w:r>
      <w:r w:rsidR="00023430">
        <w:rPr>
          <w:lang w:eastAsia="en-US"/>
        </w:rPr>
        <w:t xml:space="preserve">entities </w:t>
      </w:r>
      <w:r w:rsidR="00E6232E" w:rsidRPr="000B7589">
        <w:rPr>
          <w:lang w:eastAsia="en-US"/>
        </w:rPr>
        <w:t xml:space="preserve">that would be enabled by a legislative </w:t>
      </w:r>
      <w:r w:rsidR="006D5324">
        <w:rPr>
          <w:lang w:eastAsia="en-US"/>
        </w:rPr>
        <w:t>c</w:t>
      </w:r>
      <w:r w:rsidR="00E6232E" w:rsidRPr="000B7589">
        <w:rPr>
          <w:lang w:eastAsia="en-US"/>
        </w:rPr>
        <w:t xml:space="preserve">harging </w:t>
      </w:r>
      <w:r w:rsidR="006D5324">
        <w:rPr>
          <w:lang w:eastAsia="en-US"/>
        </w:rPr>
        <w:t>f</w:t>
      </w:r>
      <w:r w:rsidR="00E6232E" w:rsidRPr="000B7589">
        <w:rPr>
          <w:lang w:eastAsia="en-US"/>
        </w:rPr>
        <w:t>ramework. Unless otherwise stated, the nature of the roles for each type of entity remain</w:t>
      </w:r>
      <w:r w:rsidR="006D4784">
        <w:rPr>
          <w:lang w:eastAsia="en-US"/>
        </w:rPr>
        <w:t>s</w:t>
      </w:r>
      <w:r w:rsidR="00E6232E" w:rsidRPr="000B7589">
        <w:rPr>
          <w:lang w:eastAsia="en-US"/>
        </w:rPr>
        <w:t xml:space="preserve"> broadly the same. </w:t>
      </w:r>
    </w:p>
    <w:p w14:paraId="1BB3D181" w14:textId="2892361F" w:rsidR="00E6232E" w:rsidRPr="000B7589" w:rsidRDefault="00112364" w:rsidP="006C131E">
      <w:pPr>
        <w:pStyle w:val="BodyText"/>
        <w:rPr>
          <w:lang w:eastAsia="en-US"/>
        </w:rPr>
      </w:pPr>
      <w:r w:rsidRPr="0DFA586A">
        <w:rPr>
          <w:lang w:eastAsia="en-US"/>
        </w:rPr>
        <w:t>Non-</w:t>
      </w:r>
      <w:r w:rsidR="00B1693E">
        <w:rPr>
          <w:lang w:eastAsia="en-US"/>
        </w:rPr>
        <w:t>Commonwealth</w:t>
      </w:r>
      <w:r w:rsidR="00E6232E" w:rsidRPr="0DFA586A">
        <w:rPr>
          <w:lang w:eastAsia="en-US"/>
        </w:rPr>
        <w:t xml:space="preserve"> </w:t>
      </w:r>
      <w:r w:rsidR="00A913A2" w:rsidRPr="0DFA586A">
        <w:rPr>
          <w:lang w:eastAsia="en-US"/>
        </w:rPr>
        <w:t xml:space="preserve">agencies </w:t>
      </w:r>
      <w:r w:rsidR="00E6232E" w:rsidRPr="0DFA586A">
        <w:rPr>
          <w:lang w:eastAsia="en-US"/>
        </w:rPr>
        <w:t xml:space="preserve">can currently participate in </w:t>
      </w:r>
      <w:r w:rsidR="00B52708">
        <w:rPr>
          <w:lang w:eastAsia="en-US"/>
        </w:rPr>
        <w:t>AGDIS</w:t>
      </w:r>
      <w:r w:rsidR="00B52708" w:rsidRPr="0DFA586A">
        <w:rPr>
          <w:lang w:eastAsia="en-US"/>
        </w:rPr>
        <w:t xml:space="preserve"> </w:t>
      </w:r>
      <w:r w:rsidR="00E6232E" w:rsidRPr="0DFA586A">
        <w:rPr>
          <w:lang w:eastAsia="en-US"/>
        </w:rPr>
        <w:t xml:space="preserve">as </w:t>
      </w:r>
      <w:r w:rsidR="0002440F" w:rsidRPr="0DFA586A">
        <w:rPr>
          <w:lang w:eastAsia="en-US"/>
        </w:rPr>
        <w:t>onboarded accredited entities</w:t>
      </w:r>
      <w:r w:rsidR="009F3A67" w:rsidRPr="0DFA586A">
        <w:rPr>
          <w:lang w:eastAsia="en-US"/>
        </w:rPr>
        <w:t xml:space="preserve">, and as </w:t>
      </w:r>
      <w:r w:rsidR="007F0E75" w:rsidRPr="0DFA586A">
        <w:rPr>
          <w:lang w:eastAsia="en-US"/>
        </w:rPr>
        <w:t>r</w:t>
      </w:r>
      <w:r w:rsidR="009F3A67" w:rsidRPr="0DFA586A">
        <w:rPr>
          <w:lang w:eastAsia="en-US"/>
        </w:rPr>
        <w:t xml:space="preserve">elying </w:t>
      </w:r>
      <w:r w:rsidR="007F0E75" w:rsidRPr="0DFA586A">
        <w:rPr>
          <w:lang w:eastAsia="en-US"/>
        </w:rPr>
        <w:t>p</w:t>
      </w:r>
      <w:r w:rsidR="009F3A67" w:rsidRPr="0DFA586A">
        <w:rPr>
          <w:lang w:eastAsia="en-US"/>
        </w:rPr>
        <w:t>arties in a test (beta) capacity</w:t>
      </w:r>
      <w:r w:rsidR="004861D4" w:rsidRPr="0DFA586A">
        <w:rPr>
          <w:lang w:eastAsia="en-US"/>
        </w:rPr>
        <w:t>. H</w:t>
      </w:r>
      <w:r w:rsidR="00E6232E" w:rsidRPr="0DFA586A">
        <w:rPr>
          <w:lang w:eastAsia="en-US"/>
        </w:rPr>
        <w:t>owever</w:t>
      </w:r>
      <w:r w:rsidR="004861D4" w:rsidRPr="0DFA586A">
        <w:rPr>
          <w:lang w:eastAsia="en-US"/>
        </w:rPr>
        <w:t>,</w:t>
      </w:r>
      <w:r w:rsidR="00E6232E" w:rsidRPr="0DFA586A">
        <w:rPr>
          <w:lang w:eastAsia="en-US"/>
        </w:rPr>
        <w:t xml:space="preserve"> as discussed below</w:t>
      </w:r>
      <w:r w:rsidR="004861D4" w:rsidRPr="0DFA586A">
        <w:rPr>
          <w:lang w:eastAsia="en-US"/>
        </w:rPr>
        <w:t>,</w:t>
      </w:r>
      <w:r w:rsidR="00E6232E" w:rsidRPr="0DFA586A">
        <w:rPr>
          <w:lang w:eastAsia="en-US"/>
        </w:rPr>
        <w:t xml:space="preserve"> they face reduced incentives to do so </w:t>
      </w:r>
      <w:proofErr w:type="gramStart"/>
      <w:r w:rsidR="00E6232E" w:rsidRPr="0DFA586A">
        <w:rPr>
          <w:lang w:eastAsia="en-US"/>
        </w:rPr>
        <w:t>compared</w:t>
      </w:r>
      <w:r w:rsidR="00B1693E">
        <w:rPr>
          <w:lang w:eastAsia="en-US"/>
        </w:rPr>
        <w:t xml:space="preserve"> </w:t>
      </w:r>
      <w:r w:rsidRPr="0DFA586A" w:rsidDel="00E6232E">
        <w:rPr>
          <w:lang w:eastAsia="en-US"/>
        </w:rPr>
        <w:t xml:space="preserve"> </w:t>
      </w:r>
      <w:r w:rsidR="12020121" w:rsidRPr="0DFA586A">
        <w:rPr>
          <w:lang w:eastAsia="en-US"/>
        </w:rPr>
        <w:t>with</w:t>
      </w:r>
      <w:proofErr w:type="gramEnd"/>
      <w:r w:rsidR="00E6232E" w:rsidRPr="0DFA586A">
        <w:rPr>
          <w:lang w:eastAsia="en-US"/>
        </w:rPr>
        <w:t xml:space="preserve"> an expanded scheme with a legislative </w:t>
      </w:r>
      <w:r w:rsidR="006D5324" w:rsidRPr="0DFA586A">
        <w:rPr>
          <w:lang w:eastAsia="en-US"/>
        </w:rPr>
        <w:t>c</w:t>
      </w:r>
      <w:r w:rsidR="00E6232E" w:rsidRPr="0DFA586A">
        <w:rPr>
          <w:lang w:eastAsia="en-US"/>
        </w:rPr>
        <w:t xml:space="preserve">harging </w:t>
      </w:r>
      <w:r w:rsidR="006D5324" w:rsidRPr="0DFA586A">
        <w:rPr>
          <w:lang w:eastAsia="en-US"/>
        </w:rPr>
        <w:t>fr</w:t>
      </w:r>
      <w:r w:rsidR="00E6232E" w:rsidRPr="0DFA586A">
        <w:rPr>
          <w:lang w:eastAsia="en-US"/>
        </w:rPr>
        <w:t xml:space="preserve">amework. Under an expanded </w:t>
      </w:r>
      <w:r w:rsidR="00E42AD7">
        <w:rPr>
          <w:lang w:eastAsia="en-US"/>
        </w:rPr>
        <w:t>AGDIS</w:t>
      </w:r>
      <w:r w:rsidR="00E6232E" w:rsidRPr="0DFA586A">
        <w:rPr>
          <w:lang w:eastAsia="en-US"/>
        </w:rPr>
        <w:t xml:space="preserve"> with appropriate statutory basis, </w:t>
      </w:r>
      <w:r w:rsidRPr="0DFA586A">
        <w:rPr>
          <w:lang w:eastAsia="en-US"/>
        </w:rPr>
        <w:t>non-</w:t>
      </w:r>
      <w:r w:rsidR="00913EE7">
        <w:rPr>
          <w:lang w:eastAsia="en-US"/>
        </w:rPr>
        <w:t>Commonwealth</w:t>
      </w:r>
      <w:r w:rsidR="00E6232E" w:rsidRPr="0DFA586A">
        <w:rPr>
          <w:lang w:eastAsia="en-US"/>
        </w:rPr>
        <w:t xml:space="preserve"> </w:t>
      </w:r>
      <w:r w:rsidR="00A913A2" w:rsidRPr="0DFA586A">
        <w:rPr>
          <w:lang w:eastAsia="en-US"/>
        </w:rPr>
        <w:t xml:space="preserve">agencies </w:t>
      </w:r>
      <w:r w:rsidR="00E6232E" w:rsidRPr="0DFA586A">
        <w:rPr>
          <w:lang w:eastAsia="en-US"/>
        </w:rPr>
        <w:t xml:space="preserve">would be better incentivised to participate as </w:t>
      </w:r>
      <w:r w:rsidR="00755138" w:rsidRPr="0DFA586A">
        <w:rPr>
          <w:lang w:eastAsia="en-US"/>
        </w:rPr>
        <w:t xml:space="preserve">onboarded </w:t>
      </w:r>
      <w:r w:rsidR="004861D4" w:rsidRPr="0DFA586A">
        <w:rPr>
          <w:lang w:eastAsia="en-US"/>
        </w:rPr>
        <w:t>a</w:t>
      </w:r>
      <w:r w:rsidR="00E6232E" w:rsidRPr="0DFA586A">
        <w:rPr>
          <w:lang w:eastAsia="en-US"/>
        </w:rPr>
        <w:t xml:space="preserve">ccredited </w:t>
      </w:r>
      <w:r w:rsidR="00755138" w:rsidRPr="0DFA586A">
        <w:rPr>
          <w:lang w:eastAsia="en-US"/>
        </w:rPr>
        <w:t xml:space="preserve">entities </w:t>
      </w:r>
      <w:r w:rsidR="00E6232E" w:rsidRPr="0DFA586A">
        <w:rPr>
          <w:lang w:eastAsia="en-US"/>
        </w:rPr>
        <w:t xml:space="preserve">and legally enabled to participate as </w:t>
      </w:r>
      <w:r w:rsidR="007F0E75" w:rsidRPr="0DFA586A">
        <w:rPr>
          <w:lang w:eastAsia="en-US"/>
        </w:rPr>
        <w:t>r</w:t>
      </w:r>
      <w:r w:rsidR="00E6232E" w:rsidRPr="0DFA586A">
        <w:rPr>
          <w:lang w:eastAsia="en-US"/>
        </w:rPr>
        <w:t xml:space="preserve">elying </w:t>
      </w:r>
      <w:r w:rsidR="007F0E75" w:rsidRPr="0DFA586A">
        <w:rPr>
          <w:lang w:eastAsia="en-US"/>
        </w:rPr>
        <w:t>p</w:t>
      </w:r>
      <w:r w:rsidR="00E6232E" w:rsidRPr="0DFA586A">
        <w:rPr>
          <w:lang w:eastAsia="en-US"/>
        </w:rPr>
        <w:t xml:space="preserve">arties. </w:t>
      </w:r>
    </w:p>
    <w:p w14:paraId="3D91A190" w14:textId="77777777" w:rsidR="00985325" w:rsidRDefault="00985325" w:rsidP="00E6232E">
      <w:pPr>
        <w:spacing w:before="0" w:after="0" w:line="240" w:lineRule="auto"/>
        <w:jc w:val="both"/>
        <w:rPr>
          <w:rFonts w:eastAsia="Times New Roman"/>
          <w:color w:val="auto"/>
          <w:sz w:val="22"/>
          <w:szCs w:val="22"/>
          <w:lang w:eastAsia="en-US"/>
        </w:rPr>
        <w:sectPr w:rsidR="00985325" w:rsidSect="000A1253">
          <w:footerReference w:type="default" r:id="rId36"/>
          <w:pgSz w:w="11906" w:h="16838"/>
          <w:pgMar w:top="1440" w:right="1440" w:bottom="1440" w:left="1440" w:header="708" w:footer="708" w:gutter="0"/>
          <w:cols w:space="708"/>
          <w:docGrid w:linePitch="360"/>
        </w:sectPr>
      </w:pPr>
    </w:p>
    <w:p w14:paraId="6BAAEE1D" w14:textId="1B593D3B" w:rsidR="00272623" w:rsidRDefault="00164F3F" w:rsidP="00FA5D7B">
      <w:pPr>
        <w:keepNext/>
        <w:spacing w:before="0" w:after="0" w:line="240" w:lineRule="auto"/>
        <w:jc w:val="center"/>
      </w:pPr>
      <w:r>
        <w:rPr>
          <w:noProof/>
        </w:rPr>
        <w:lastRenderedPageBreak/>
        <w:drawing>
          <wp:inline distT="0" distB="0" distL="0" distR="0" wp14:anchorId="442CDE17" wp14:editId="3108DDB2">
            <wp:extent cx="7438347" cy="5461539"/>
            <wp:effectExtent l="0" t="0" r="0" b="6350"/>
            <wp:docPr id="2" name="Picture 2" descr="Diagram showing the entities, interactions and incentives within an expanded Australian Government System. Refer to Appendix C for a detailed description of each type of entity, its interactions and likely inc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entities, interactions and incentives within an expanded Australian Government System. Refer to Appendix C for a detailed description of each type of entity, its interactions and likely incentive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438347" cy="5461539"/>
                    </a:xfrm>
                    <a:prstGeom prst="rect">
                      <a:avLst/>
                    </a:prstGeom>
                    <a:noFill/>
                    <a:ln>
                      <a:noFill/>
                    </a:ln>
                  </pic:spPr>
                </pic:pic>
              </a:graphicData>
            </a:graphic>
          </wp:inline>
        </w:drawing>
      </w:r>
    </w:p>
    <w:p w14:paraId="04D3F446" w14:textId="0C331696" w:rsidR="00272623" w:rsidRDefault="00272623" w:rsidP="00685559">
      <w:pPr>
        <w:pStyle w:val="Caption"/>
        <w:jc w:val="both"/>
      </w:pPr>
      <w:bookmarkStart w:id="117" w:name="_Toc81399005"/>
      <w:bookmarkStart w:id="118" w:name="_Toc86073572"/>
      <w:bookmarkStart w:id="119" w:name="_Toc130390595"/>
      <w:r>
        <w:t>Figure</w:t>
      </w:r>
      <w:r w:rsidR="003448FB">
        <w:t xml:space="preserve"> 2</w:t>
      </w:r>
      <w:r>
        <w:t xml:space="preserve">: </w:t>
      </w:r>
      <w:r w:rsidRPr="00523592">
        <w:t xml:space="preserve">Entities, interactions and incentives within an expanded </w:t>
      </w:r>
      <w:bookmarkEnd w:id="117"/>
      <w:bookmarkEnd w:id="118"/>
      <w:bookmarkEnd w:id="119"/>
      <w:r w:rsidR="00E42AD7">
        <w:rPr>
          <w:lang w:eastAsia="en-US"/>
        </w:rPr>
        <w:t>AGDIS</w:t>
      </w:r>
    </w:p>
    <w:p w14:paraId="245697BF" w14:textId="19FB30C4" w:rsidR="00985325" w:rsidRPr="00985325" w:rsidRDefault="00985325" w:rsidP="00685559">
      <w:pPr>
        <w:pStyle w:val="Caption"/>
        <w:jc w:val="both"/>
        <w:rPr>
          <w:lang w:eastAsia="en-US"/>
        </w:rPr>
        <w:sectPr w:rsidR="00985325" w:rsidRPr="00985325" w:rsidSect="00576419">
          <w:footerReference w:type="default" r:id="rId38"/>
          <w:pgSz w:w="16838" w:h="11906" w:orient="landscape"/>
          <w:pgMar w:top="1440" w:right="1440" w:bottom="1440" w:left="1440" w:header="708" w:footer="708" w:gutter="0"/>
          <w:cols w:space="708"/>
          <w:docGrid w:linePitch="360"/>
        </w:sectPr>
      </w:pPr>
    </w:p>
    <w:p w14:paraId="29083223" w14:textId="033756FF" w:rsidR="00E6232E" w:rsidRPr="00CF48C1" w:rsidRDefault="00E6232E" w:rsidP="000A1253">
      <w:pPr>
        <w:pStyle w:val="Heading1NoNumbers"/>
        <w:rPr>
          <w:color w:val="008675"/>
          <w:lang w:eastAsia="en-US"/>
        </w:rPr>
      </w:pPr>
      <w:bookmarkStart w:id="120" w:name="_Ref63778339"/>
      <w:bookmarkStart w:id="121" w:name="_Toc80884656"/>
      <w:bookmarkStart w:id="122" w:name="_Toc81226618"/>
      <w:bookmarkStart w:id="123" w:name="_Toc81226664"/>
      <w:bookmarkStart w:id="124" w:name="_Toc81226894"/>
      <w:bookmarkStart w:id="125" w:name="_Toc81228238"/>
      <w:bookmarkStart w:id="126" w:name="_Toc83951181"/>
      <w:bookmarkStart w:id="127" w:name="_Toc84925782"/>
      <w:bookmarkStart w:id="128" w:name="_Toc84925880"/>
      <w:bookmarkStart w:id="129" w:name="_Toc86045124"/>
      <w:bookmarkStart w:id="130" w:name="_Toc86069999"/>
      <w:bookmarkStart w:id="131" w:name="_Toc149740327"/>
      <w:r w:rsidRPr="00CF48C1">
        <w:rPr>
          <w:color w:val="008675"/>
          <w:lang w:eastAsia="en-US"/>
        </w:rPr>
        <w:lastRenderedPageBreak/>
        <w:t xml:space="preserve">3 What is the </w:t>
      </w:r>
      <w:r w:rsidR="00082E69" w:rsidRPr="00CF48C1">
        <w:rPr>
          <w:color w:val="008675"/>
          <w:lang w:eastAsia="en-US"/>
        </w:rPr>
        <w:t>p</w:t>
      </w:r>
      <w:r w:rsidRPr="00CF48C1">
        <w:rPr>
          <w:color w:val="008675"/>
          <w:lang w:eastAsia="en-US"/>
        </w:rPr>
        <w:t>roblem?</w:t>
      </w:r>
      <w:bookmarkStart w:id="132" w:name="What"/>
      <w:bookmarkEnd w:id="120"/>
      <w:bookmarkEnd w:id="121"/>
      <w:bookmarkEnd w:id="122"/>
      <w:bookmarkEnd w:id="123"/>
      <w:bookmarkEnd w:id="124"/>
      <w:bookmarkEnd w:id="125"/>
      <w:bookmarkEnd w:id="126"/>
      <w:bookmarkEnd w:id="127"/>
      <w:bookmarkEnd w:id="128"/>
      <w:bookmarkEnd w:id="129"/>
      <w:bookmarkEnd w:id="130"/>
      <w:bookmarkEnd w:id="131"/>
    </w:p>
    <w:p w14:paraId="3A782196" w14:textId="0B87B445" w:rsidR="00E6232E" w:rsidRPr="00CF48C1" w:rsidRDefault="00E6232E" w:rsidP="00A27FE4">
      <w:pPr>
        <w:pStyle w:val="Heading2NoNumbers"/>
        <w:rPr>
          <w:color w:val="008675"/>
          <w:lang w:eastAsia="en-US"/>
        </w:rPr>
      </w:pPr>
      <w:bookmarkStart w:id="133" w:name="_Toc80884657"/>
      <w:bookmarkStart w:id="134" w:name="_Toc81226619"/>
      <w:bookmarkStart w:id="135" w:name="_Toc81226895"/>
      <w:bookmarkStart w:id="136" w:name="_Toc81228239"/>
      <w:bookmarkStart w:id="137" w:name="_Toc83951182"/>
      <w:bookmarkStart w:id="138" w:name="_Toc84925783"/>
      <w:bookmarkStart w:id="139" w:name="_Toc84925881"/>
      <w:bookmarkStart w:id="140" w:name="_Toc86045125"/>
      <w:bookmarkStart w:id="141" w:name="_Toc86070000"/>
      <w:bookmarkStart w:id="142" w:name="_Toc149740328"/>
      <w:bookmarkEnd w:id="132"/>
      <w:r w:rsidRPr="00CF48C1">
        <w:rPr>
          <w:color w:val="008675"/>
          <w:lang w:eastAsia="en-US"/>
        </w:rPr>
        <w:t xml:space="preserve">3.1 The </w:t>
      </w:r>
      <w:r w:rsidR="00082E69" w:rsidRPr="00CF48C1">
        <w:rPr>
          <w:color w:val="008675"/>
          <w:lang w:eastAsia="en-US"/>
        </w:rPr>
        <w:t>i</w:t>
      </w:r>
      <w:r w:rsidRPr="00CF48C1">
        <w:rPr>
          <w:color w:val="008675"/>
          <w:lang w:eastAsia="en-US"/>
        </w:rPr>
        <w:t xml:space="preserve">mportance of a </w:t>
      </w:r>
      <w:r w:rsidR="00082E69" w:rsidRPr="00CF48C1">
        <w:rPr>
          <w:color w:val="008675"/>
          <w:lang w:eastAsia="en-US"/>
        </w:rPr>
        <w:t>w</w:t>
      </w:r>
      <w:r w:rsidRPr="00CF48C1">
        <w:rPr>
          <w:color w:val="008675"/>
          <w:lang w:eastAsia="en-US"/>
        </w:rPr>
        <w:t>hole-of-</w:t>
      </w:r>
      <w:r w:rsidR="00082E69" w:rsidRPr="00CF48C1">
        <w:rPr>
          <w:color w:val="008675"/>
          <w:lang w:eastAsia="en-US"/>
        </w:rPr>
        <w:t>e</w:t>
      </w:r>
      <w:r w:rsidRPr="00CF48C1">
        <w:rPr>
          <w:color w:val="008675"/>
          <w:lang w:eastAsia="en-US"/>
        </w:rPr>
        <w:t xml:space="preserve">conomy </w:t>
      </w:r>
      <w:r w:rsidR="00082E69" w:rsidRPr="00CF48C1">
        <w:rPr>
          <w:color w:val="008675"/>
          <w:lang w:eastAsia="en-US"/>
        </w:rPr>
        <w:t>s</w:t>
      </w:r>
      <w:r w:rsidRPr="00CF48C1">
        <w:rPr>
          <w:color w:val="008675"/>
          <w:lang w:eastAsia="en-US"/>
        </w:rPr>
        <w:t xml:space="preserve">olution </w:t>
      </w:r>
      <w:r w:rsidR="00CA7875" w:rsidRPr="00CF48C1">
        <w:rPr>
          <w:color w:val="008675"/>
          <w:lang w:eastAsia="en-US"/>
        </w:rPr>
        <w:t xml:space="preserve">with </w:t>
      </w:r>
      <w:r w:rsidR="00082E69" w:rsidRPr="00CF48C1">
        <w:rPr>
          <w:color w:val="008675"/>
          <w:lang w:eastAsia="en-US"/>
        </w:rPr>
        <w:t>g</w:t>
      </w:r>
      <w:r w:rsidR="00CA7875" w:rsidRPr="00CF48C1">
        <w:rPr>
          <w:color w:val="008675"/>
          <w:lang w:eastAsia="en-US"/>
        </w:rPr>
        <w:t xml:space="preserve">lobal </w:t>
      </w:r>
      <w:r w:rsidR="00082E69" w:rsidRPr="00CF48C1">
        <w:rPr>
          <w:color w:val="008675"/>
          <w:lang w:eastAsia="en-US"/>
        </w:rPr>
        <w:t>a</w:t>
      </w:r>
      <w:r w:rsidR="00CA7875" w:rsidRPr="00CF48C1">
        <w:rPr>
          <w:color w:val="008675"/>
          <w:lang w:eastAsia="en-US"/>
        </w:rPr>
        <w:t>pplication</w:t>
      </w:r>
      <w:bookmarkEnd w:id="133"/>
      <w:bookmarkEnd w:id="134"/>
      <w:bookmarkEnd w:id="135"/>
      <w:bookmarkEnd w:id="136"/>
      <w:bookmarkEnd w:id="137"/>
      <w:bookmarkEnd w:id="138"/>
      <w:bookmarkEnd w:id="139"/>
      <w:bookmarkEnd w:id="140"/>
      <w:bookmarkEnd w:id="141"/>
      <w:bookmarkEnd w:id="142"/>
    </w:p>
    <w:p w14:paraId="2DAD4C2A" w14:textId="0BE41F98" w:rsidR="00E6232E" w:rsidRPr="000B7589" w:rsidRDefault="00E6232E" w:rsidP="00D55359">
      <w:pPr>
        <w:pStyle w:val="BodyText"/>
        <w:rPr>
          <w:lang w:eastAsia="en-US"/>
        </w:rPr>
      </w:pPr>
      <w:r w:rsidRPr="000B7589">
        <w:rPr>
          <w:lang w:eastAsia="en-US"/>
        </w:rPr>
        <w:t xml:space="preserve">The foundations of a trusted, nationally consistent </w:t>
      </w:r>
      <w:r w:rsidR="009942C4">
        <w:rPr>
          <w:lang w:eastAsia="en-US"/>
        </w:rPr>
        <w:t>Digital ID system</w:t>
      </w:r>
      <w:r w:rsidR="009942C4" w:rsidRPr="000B7589">
        <w:rPr>
          <w:lang w:eastAsia="en-US"/>
        </w:rPr>
        <w:t xml:space="preserve"> </w:t>
      </w:r>
      <w:r w:rsidRPr="000B7589">
        <w:rPr>
          <w:lang w:eastAsia="en-US"/>
        </w:rPr>
        <w:t xml:space="preserve">have been established. However, full realisation of its long-term benefits will only be achieved through adoption of </w:t>
      </w:r>
      <w:r w:rsidR="00864AD1">
        <w:rPr>
          <w:lang w:eastAsia="en-US"/>
        </w:rPr>
        <w:t>Digital ID</w:t>
      </w:r>
      <w:r w:rsidR="00E84B5B">
        <w:rPr>
          <w:lang w:eastAsia="en-US"/>
        </w:rPr>
        <w:t xml:space="preserve"> </w:t>
      </w:r>
      <w:r w:rsidRPr="000B7589">
        <w:rPr>
          <w:lang w:eastAsia="en-US"/>
        </w:rPr>
        <w:t xml:space="preserve">across the economy, eventually connecting state, territory and private sector services as well as </w:t>
      </w:r>
      <w:r w:rsidR="00402E24">
        <w:rPr>
          <w:lang w:eastAsia="en-US"/>
        </w:rPr>
        <w:t>Australian Government</w:t>
      </w:r>
      <w:r w:rsidR="00402E24" w:rsidRPr="000B7589">
        <w:rPr>
          <w:lang w:eastAsia="en-US"/>
        </w:rPr>
        <w:t xml:space="preserve"> </w:t>
      </w:r>
      <w:r w:rsidR="002F75BF" w:rsidRPr="000B7589">
        <w:rPr>
          <w:lang w:eastAsia="en-US"/>
        </w:rPr>
        <w:t>services</w:t>
      </w:r>
      <w:r w:rsidRPr="000B7589">
        <w:rPr>
          <w:lang w:eastAsia="en-US"/>
        </w:rPr>
        <w:t xml:space="preserve">. Successfully delivering </w:t>
      </w:r>
      <w:r w:rsidRPr="000B7589" w:rsidDel="00864AD1">
        <w:rPr>
          <w:lang w:eastAsia="en-US"/>
        </w:rPr>
        <w:t xml:space="preserve">the </w:t>
      </w:r>
      <w:r w:rsidRPr="000B7589">
        <w:rPr>
          <w:lang w:eastAsia="en-US"/>
        </w:rPr>
        <w:t>expansion</w:t>
      </w:r>
      <w:r w:rsidR="00E94E59">
        <w:rPr>
          <w:lang w:eastAsia="en-US"/>
        </w:rPr>
        <w:t xml:space="preserve"> of</w:t>
      </w:r>
      <w:r w:rsidRPr="000B7589">
        <w:rPr>
          <w:lang w:eastAsia="en-US"/>
        </w:rPr>
        <w:t xml:space="preserve"> </w:t>
      </w:r>
      <w:r w:rsidR="00E94E59">
        <w:rPr>
          <w:lang w:eastAsia="en-US"/>
        </w:rPr>
        <w:t>AGDIS</w:t>
      </w:r>
      <w:r w:rsidR="00E94E59" w:rsidRPr="000B7589">
        <w:rPr>
          <w:lang w:eastAsia="en-US"/>
        </w:rPr>
        <w:t xml:space="preserve"> </w:t>
      </w:r>
      <w:r w:rsidRPr="000B7589">
        <w:rPr>
          <w:lang w:eastAsia="en-US"/>
        </w:rPr>
        <w:t xml:space="preserve">will further change the way online verification occurs, unlock value across the broader economy, and transform service delivery across Australia. Legal and regulatory foundations play an important role in building strong governance for </w:t>
      </w:r>
      <w:r w:rsidR="00D7367E">
        <w:rPr>
          <w:lang w:eastAsia="en-US"/>
        </w:rPr>
        <w:t>AGDIS</w:t>
      </w:r>
      <w:r w:rsidRPr="000B7589">
        <w:rPr>
          <w:lang w:eastAsia="en-US"/>
        </w:rPr>
        <w:t xml:space="preserve">, and are essential in building confidence for the service providers connected and citizens choosing to use their </w:t>
      </w:r>
      <w:r w:rsidR="00EB2443">
        <w:rPr>
          <w:lang w:eastAsia="en-US"/>
        </w:rPr>
        <w:t>Digital ID</w:t>
      </w:r>
      <w:r w:rsidRPr="000B7589">
        <w:rPr>
          <w:lang w:eastAsia="en-US"/>
        </w:rPr>
        <w:t>.</w:t>
      </w:r>
    </w:p>
    <w:p w14:paraId="328F6998" w14:textId="34B98D73" w:rsidR="004976E7" w:rsidRDefault="009A70F1" w:rsidP="00D55359">
      <w:pPr>
        <w:pStyle w:val="BodyText"/>
      </w:pPr>
      <w:r>
        <w:t xml:space="preserve">Numerous studies have recognised the global potential of digital </w:t>
      </w:r>
      <w:r w:rsidR="00500088">
        <w:t>ID</w:t>
      </w:r>
      <w:r>
        <w:t xml:space="preserve">. </w:t>
      </w:r>
      <w:r w:rsidR="00BF576F" w:rsidRPr="000B7589">
        <w:t xml:space="preserve">McKinsey Global Institute's 2019 research paper </w:t>
      </w:r>
      <w:hyperlink r:id="rId39" w:history="1">
        <w:r w:rsidR="00BF576F" w:rsidRPr="00CF48C1">
          <w:rPr>
            <w:rStyle w:val="Hyperlink"/>
            <w:color w:val="008675"/>
          </w:rPr>
          <w:t xml:space="preserve">'Digital identification: A </w:t>
        </w:r>
        <w:r w:rsidR="001860C0" w:rsidRPr="00CF48C1">
          <w:rPr>
            <w:rStyle w:val="Hyperlink"/>
            <w:color w:val="008675"/>
          </w:rPr>
          <w:t>k</w:t>
        </w:r>
        <w:r w:rsidR="00BF576F" w:rsidRPr="00CF48C1">
          <w:rPr>
            <w:rStyle w:val="Hyperlink"/>
            <w:color w:val="008675"/>
          </w:rPr>
          <w:t xml:space="preserve">ey to </w:t>
        </w:r>
        <w:r w:rsidR="001860C0" w:rsidRPr="00CF48C1">
          <w:rPr>
            <w:rStyle w:val="Hyperlink"/>
            <w:color w:val="008675"/>
          </w:rPr>
          <w:t>i</w:t>
        </w:r>
        <w:r w:rsidR="00BF576F" w:rsidRPr="00CF48C1">
          <w:rPr>
            <w:rStyle w:val="Hyperlink"/>
            <w:color w:val="008675"/>
          </w:rPr>
          <w:t xml:space="preserve">nclusive </w:t>
        </w:r>
        <w:r w:rsidR="001860C0" w:rsidRPr="00CF48C1">
          <w:rPr>
            <w:rStyle w:val="Hyperlink"/>
            <w:color w:val="008675"/>
          </w:rPr>
          <w:t>g</w:t>
        </w:r>
        <w:r w:rsidR="00BF576F" w:rsidRPr="00CF48C1">
          <w:rPr>
            <w:rStyle w:val="Hyperlink"/>
            <w:color w:val="008675"/>
          </w:rPr>
          <w:t>rowth</w:t>
        </w:r>
      </w:hyperlink>
      <w:r w:rsidR="00BF576F" w:rsidRPr="00CF48C1">
        <w:rPr>
          <w:color w:val="008675"/>
        </w:rPr>
        <w:t>'</w:t>
      </w:r>
      <w:r w:rsidR="00BF576F" w:rsidRPr="000B7589">
        <w:t xml:space="preserve"> found that extending full </w:t>
      </w:r>
      <w:r w:rsidR="00BF576F">
        <w:t>d</w:t>
      </w:r>
      <w:r w:rsidR="00BF576F" w:rsidRPr="000B7589">
        <w:t xml:space="preserve">igital </w:t>
      </w:r>
      <w:r w:rsidR="00500088">
        <w:t>ID</w:t>
      </w:r>
      <w:r w:rsidR="00500088" w:rsidRPr="000B7589">
        <w:t xml:space="preserve"> </w:t>
      </w:r>
      <w:r w:rsidR="00BF576F" w:rsidRPr="000B7589">
        <w:t>coverage could unlock economic value equivalent to 3</w:t>
      </w:r>
      <w:r w:rsidR="005E3A22">
        <w:rPr>
          <w:lang w:eastAsia="en-US"/>
        </w:rPr>
        <w:noBreakHyphen/>
      </w:r>
      <w:r w:rsidR="00BF576F" w:rsidRPr="000B7589">
        <w:t xml:space="preserve">13% of GDP in 2030, reduce institutional customer onboarding costs and payroll fraud, saving up to US$1.6 trillion globally, and save approximately 100 billion hours through streamlined e-government services. </w:t>
      </w:r>
    </w:p>
    <w:p w14:paraId="6C4FA479" w14:textId="2C457030" w:rsidR="00E6232E" w:rsidRPr="000B7589" w:rsidRDefault="004976E7" w:rsidP="00D55359">
      <w:pPr>
        <w:pStyle w:val="BodyText"/>
      </w:pPr>
      <w:r>
        <w:t xml:space="preserve">Estimates of the benefits to the Australian economy vary in scale and scope, however </w:t>
      </w:r>
      <w:r w:rsidR="00B37EF0">
        <w:t>i</w:t>
      </w:r>
      <w:r w:rsidR="004E3240">
        <w:t>t is</w:t>
      </w:r>
      <w:r w:rsidR="00B37EF0">
        <w:t xml:space="preserve"> difficult to verify these. Irrespective, it is</w:t>
      </w:r>
      <w:r w:rsidR="004E3240">
        <w:t xml:space="preserve"> clear that Digital ID has potential for real benefits across the economy.</w:t>
      </w:r>
    </w:p>
    <w:p w14:paraId="46659F28" w14:textId="7F791A25" w:rsidR="00E6232E" w:rsidRPr="000B7589" w:rsidRDefault="00E6232E" w:rsidP="00D55359">
      <w:pPr>
        <w:pStyle w:val="BodyText"/>
      </w:pPr>
      <w:r>
        <w:t xml:space="preserve">Research has also identified those sectors of the </w:t>
      </w:r>
      <w:r w:rsidR="00666813">
        <w:t xml:space="preserve">domestic </w:t>
      </w:r>
      <w:r>
        <w:t xml:space="preserve">economy which would particularly benefit from a full expansion of </w:t>
      </w:r>
      <w:r w:rsidR="009D5B97">
        <w:rPr>
          <w:lang w:eastAsia="en-US"/>
        </w:rPr>
        <w:t>AGDIS</w:t>
      </w:r>
      <w:r w:rsidR="009D5B97" w:rsidRPr="0DFA586A">
        <w:rPr>
          <w:lang w:eastAsia="en-US"/>
        </w:rPr>
        <w:t xml:space="preserve"> </w:t>
      </w:r>
      <w:r>
        <w:t xml:space="preserve">capability. For example, enabling private sector participation in </w:t>
      </w:r>
      <w:r w:rsidR="00E814E2">
        <w:t xml:space="preserve">the </w:t>
      </w:r>
      <w:r w:rsidR="009D5B97">
        <w:rPr>
          <w:lang w:eastAsia="en-US"/>
        </w:rPr>
        <w:t>AGDIS</w:t>
      </w:r>
      <w:r w:rsidR="009D5B97" w:rsidRPr="0DFA586A">
        <w:rPr>
          <w:lang w:eastAsia="en-US"/>
        </w:rPr>
        <w:t xml:space="preserve"> </w:t>
      </w:r>
      <w:r>
        <w:t xml:space="preserve">would expand local opportunities for Australian </w:t>
      </w:r>
      <w:proofErr w:type="spellStart"/>
      <w:r>
        <w:t>RegTech</w:t>
      </w:r>
      <w:proofErr w:type="spellEnd"/>
      <w:r w:rsidR="00C11DB9">
        <w:t xml:space="preserve"> </w:t>
      </w:r>
      <w:r>
        <w:t xml:space="preserve">and </w:t>
      </w:r>
      <w:proofErr w:type="spellStart"/>
      <w:r>
        <w:t>FinTech</w:t>
      </w:r>
      <w:proofErr w:type="spellEnd"/>
      <w:r>
        <w:t xml:space="preserve"> businesses, supporting growth of a homegrown market and economy. In 2020, Australia had the third-highest number of </w:t>
      </w:r>
      <w:proofErr w:type="spellStart"/>
      <w:r>
        <w:t>RegTech</w:t>
      </w:r>
      <w:proofErr w:type="spellEnd"/>
      <w:r>
        <w:t xml:space="preserve"> companies globally, with more than 80 headquartered in the country. However, a recent study by BCG and </w:t>
      </w:r>
      <w:r w:rsidR="00DE27FA">
        <w:t>t</w:t>
      </w:r>
      <w:r>
        <w:t xml:space="preserve">he </w:t>
      </w:r>
      <w:proofErr w:type="spellStart"/>
      <w:r>
        <w:t>RegTech</w:t>
      </w:r>
      <w:proofErr w:type="spellEnd"/>
      <w:r>
        <w:t xml:space="preserve"> Association found that this strong position is under threat, with investment in local </w:t>
      </w:r>
      <w:proofErr w:type="spellStart"/>
      <w:r>
        <w:t>RegTech</w:t>
      </w:r>
      <w:proofErr w:type="spellEnd"/>
      <w:r>
        <w:t xml:space="preserve"> declining 50% since 2018, whil</w:t>
      </w:r>
      <w:r w:rsidR="679A6D46">
        <w:t>e</w:t>
      </w:r>
      <w:r>
        <w:t xml:space="preserve"> a corresponding increase to record investment levels has occurred globally. Research from </w:t>
      </w:r>
      <w:hyperlink r:id="rId40">
        <w:r w:rsidRPr="00CF48C1">
          <w:rPr>
            <w:rStyle w:val="Hyperlink"/>
            <w:color w:val="008675"/>
          </w:rPr>
          <w:t xml:space="preserve">BCG and </w:t>
        </w:r>
        <w:r w:rsidR="00DE27FA" w:rsidRPr="00CF48C1">
          <w:rPr>
            <w:rStyle w:val="Hyperlink"/>
            <w:color w:val="008675"/>
          </w:rPr>
          <w:t>t</w:t>
        </w:r>
        <w:r w:rsidRPr="00CF48C1">
          <w:rPr>
            <w:rStyle w:val="Hyperlink"/>
            <w:color w:val="008675"/>
          </w:rPr>
          <w:t xml:space="preserve">he </w:t>
        </w:r>
        <w:proofErr w:type="spellStart"/>
        <w:r w:rsidRPr="00CF48C1">
          <w:rPr>
            <w:rStyle w:val="Hyperlink"/>
            <w:color w:val="008675"/>
          </w:rPr>
          <w:t>RegTech</w:t>
        </w:r>
        <w:proofErr w:type="spellEnd"/>
        <w:r w:rsidRPr="00CF48C1">
          <w:rPr>
            <w:rStyle w:val="Hyperlink"/>
            <w:color w:val="008675"/>
          </w:rPr>
          <w:t xml:space="preserve"> Association</w:t>
        </w:r>
      </w:hyperlink>
      <w:r>
        <w:t xml:space="preserve"> highlights regulatory reform as critical to addressing this trend, identifying that enhancements to regulatory and policy </w:t>
      </w:r>
      <w:r>
        <w:lastRenderedPageBreak/>
        <w:t xml:space="preserve">frameworks must ‘encourage innovation’. </w:t>
      </w:r>
      <w:r w:rsidR="009D5B97">
        <w:rPr>
          <w:lang w:eastAsia="en-US"/>
        </w:rPr>
        <w:t>AGDIS</w:t>
      </w:r>
      <w:r w:rsidR="00E814E2" w:rsidDel="009D5B97">
        <w:t xml:space="preserve"> </w:t>
      </w:r>
      <w:r>
        <w:t xml:space="preserve">provides an opportunity for government to invest in a whole-of-economy business tool, which can contribute to </w:t>
      </w:r>
      <w:r w:rsidR="00A03166">
        <w:t>retaining and developing</w:t>
      </w:r>
      <w:r>
        <w:t xml:space="preserve"> a vibrant Australian </w:t>
      </w:r>
      <w:proofErr w:type="spellStart"/>
      <w:r>
        <w:t>RegTech</w:t>
      </w:r>
      <w:proofErr w:type="spellEnd"/>
      <w:r>
        <w:t xml:space="preserve"> sector, whil</w:t>
      </w:r>
      <w:r w:rsidR="7E7D014D">
        <w:t>e</w:t>
      </w:r>
      <w:r>
        <w:t xml:space="preserve"> supporting the export of Australian solutions into overseas markets.</w:t>
      </w:r>
    </w:p>
    <w:p w14:paraId="43979C45" w14:textId="17A5C6FE" w:rsidR="00E6232E" w:rsidRPr="000B7589" w:rsidRDefault="00E6232E" w:rsidP="00D55359">
      <w:pPr>
        <w:pStyle w:val="BodyText"/>
      </w:pPr>
      <w:r>
        <w:t xml:space="preserve">With global spending on </w:t>
      </w:r>
      <w:proofErr w:type="spellStart"/>
      <w:r>
        <w:t>RegTech</w:t>
      </w:r>
      <w:proofErr w:type="spellEnd"/>
      <w:r>
        <w:t xml:space="preserve"> expected to more than double by 2025 to USD</w:t>
      </w:r>
      <w:r w:rsidR="0014151F">
        <w:t> </w:t>
      </w:r>
      <w:r>
        <w:t>$50</w:t>
      </w:r>
      <w:r w:rsidR="00BF1B1B" w:rsidRPr="78F42BF0">
        <w:rPr>
          <w:lang w:eastAsia="en-US"/>
        </w:rPr>
        <w:t>–</w:t>
      </w:r>
      <w:r w:rsidR="0014151F">
        <w:t>$</w:t>
      </w:r>
      <w:r>
        <w:t>75 billion, this is an area of pronounced opportunity for growth in the Australian economy and the creation of new jobs</w:t>
      </w:r>
      <w:r w:rsidR="00892AE2">
        <w:t xml:space="preserve"> (</w:t>
      </w:r>
      <w:r w:rsidR="00345D7C">
        <w:t>s</w:t>
      </w:r>
      <w:r w:rsidR="00892AE2">
        <w:t xml:space="preserve">ource: </w:t>
      </w:r>
      <w:r w:rsidR="00892AE2" w:rsidRPr="78F42BF0">
        <w:rPr>
          <w:rFonts w:eastAsia="Calibri"/>
          <w:lang w:eastAsia="en-US"/>
        </w:rPr>
        <w:t xml:space="preserve">Parliament of Australia 2020, </w:t>
      </w:r>
      <w:r w:rsidR="00892AE2" w:rsidRPr="78F42BF0">
        <w:rPr>
          <w:rFonts w:eastAsia="Calibri"/>
          <w:i/>
          <w:iCs/>
          <w:lang w:eastAsia="en-US"/>
        </w:rPr>
        <w:t>Submission to the Senate Select Committee for Financial Technology and Regulatory Technology</w:t>
      </w:r>
      <w:r w:rsidR="00294CAF" w:rsidRPr="78F42BF0">
        <w:rPr>
          <w:rFonts w:eastAsia="Calibri"/>
          <w:lang w:eastAsia="en-US"/>
        </w:rPr>
        <w:t>).</w:t>
      </w:r>
      <w:r w:rsidR="00294CAF">
        <w:t xml:space="preserve"> </w:t>
      </w:r>
      <w:bookmarkStart w:id="143" w:name="_Int_V78osbLD"/>
      <w:proofErr w:type="spellStart"/>
      <w:r>
        <w:t>RegTech</w:t>
      </w:r>
      <w:bookmarkEnd w:id="143"/>
      <w:proofErr w:type="spellEnd"/>
      <w:r>
        <w:t xml:space="preserve"> firm </w:t>
      </w:r>
      <w:hyperlink r:id="rId41">
        <w:proofErr w:type="spellStart"/>
        <w:r w:rsidRPr="00CF48C1">
          <w:rPr>
            <w:rStyle w:val="Hyperlink"/>
            <w:color w:val="008675"/>
          </w:rPr>
          <w:t>HooYu</w:t>
        </w:r>
        <w:proofErr w:type="spellEnd"/>
      </w:hyperlink>
      <w:r>
        <w:t xml:space="preserve"> reported in 2016, </w:t>
      </w:r>
      <w:r w:rsidR="00FF3821">
        <w:t>“</w:t>
      </w:r>
      <w:r>
        <w:t xml:space="preserve">with 61% of individuals surveyed saying they would not trust other parties in a peer-to-peer transaction, good </w:t>
      </w:r>
      <w:r w:rsidR="009210C4">
        <w:t>d</w:t>
      </w:r>
      <w:r>
        <w:t xml:space="preserve">igital </w:t>
      </w:r>
      <w:r w:rsidR="00500088">
        <w:t xml:space="preserve">ID </w:t>
      </w:r>
      <w:r>
        <w:t>will enable the creation of new marketplaces and business models based on trusted interactions, and through them, new revenue streams</w:t>
      </w:r>
      <w:r w:rsidR="00FF3821">
        <w:t>”</w:t>
      </w:r>
      <w:r>
        <w:t>.</w:t>
      </w:r>
      <w:r w:rsidRPr="78F42BF0">
        <w:rPr>
          <w:vertAlign w:val="superscript"/>
        </w:rPr>
        <w:t xml:space="preserve"> </w:t>
      </w:r>
    </w:p>
    <w:p w14:paraId="45A7E1C4" w14:textId="4D745103" w:rsidR="00645ED1" w:rsidRDefault="00E6232E" w:rsidP="00D55359">
      <w:pPr>
        <w:pStyle w:val="BodyText"/>
      </w:pPr>
      <w:r w:rsidRPr="000B7589">
        <w:t>Additionally,</w:t>
      </w:r>
      <w:r w:rsidR="000A45AF">
        <w:t xml:space="preserve"> expan</w:t>
      </w:r>
      <w:r w:rsidR="00C05E1F">
        <w:t>ding</w:t>
      </w:r>
      <w:r w:rsidR="000A45AF">
        <w:t xml:space="preserve"> Digital </w:t>
      </w:r>
      <w:r w:rsidR="00EB2443">
        <w:t xml:space="preserve">ID </w:t>
      </w:r>
      <w:r w:rsidR="00230E07">
        <w:t xml:space="preserve">could </w:t>
      </w:r>
      <w:r w:rsidR="00050B10">
        <w:t>deliver</w:t>
      </w:r>
      <w:r w:rsidR="00230E07">
        <w:t xml:space="preserve"> time</w:t>
      </w:r>
      <w:r w:rsidR="00050B10">
        <w:t xml:space="preserve"> </w:t>
      </w:r>
      <w:r w:rsidR="00230E07">
        <w:t>saving</w:t>
      </w:r>
      <w:r w:rsidR="00167236">
        <w:t>s</w:t>
      </w:r>
      <w:r w:rsidR="00230E07">
        <w:t xml:space="preserve"> and economic benefits for the FinTech sector</w:t>
      </w:r>
      <w:r w:rsidR="00F12C7B">
        <w:t xml:space="preserve">. </w:t>
      </w:r>
      <w:r w:rsidR="008C6ADD">
        <w:t xml:space="preserve">Currently, the FinTech sector </w:t>
      </w:r>
      <w:r w:rsidR="00ED062F">
        <w:t xml:space="preserve">experiences significant financial loss </w:t>
      </w:r>
      <w:r w:rsidR="000B2462">
        <w:t xml:space="preserve">through </w:t>
      </w:r>
      <w:r w:rsidR="001B6616">
        <w:t xml:space="preserve">identity fraud, with global financial authorities </w:t>
      </w:r>
      <w:r w:rsidR="00645ED1">
        <w:t xml:space="preserve">having </w:t>
      </w:r>
      <w:r w:rsidR="001B6616">
        <w:t>fin</w:t>
      </w:r>
      <w:r w:rsidR="00645ED1">
        <w:t>ed</w:t>
      </w:r>
      <w:r w:rsidR="001B6616">
        <w:t xml:space="preserve"> businesses </w:t>
      </w:r>
      <w:r w:rsidR="00425C62">
        <w:t>a record $8.1 billion for improper identity verification processes.</w:t>
      </w:r>
      <w:r w:rsidR="00CF2F97">
        <w:t xml:space="preserve"> </w:t>
      </w:r>
      <w:r w:rsidR="00E55AB7">
        <w:t>Out of 94 Australian FinTech companies surveyed in 2020, 59</w:t>
      </w:r>
      <w:r w:rsidR="00B52C34">
        <w:t xml:space="preserve"> per </w:t>
      </w:r>
      <w:r w:rsidR="00341E24">
        <w:t>cent</w:t>
      </w:r>
      <w:r w:rsidR="00B52C34">
        <w:t xml:space="preserve"> </w:t>
      </w:r>
      <w:r w:rsidR="00D10140">
        <w:t xml:space="preserve">believed that digital </w:t>
      </w:r>
      <w:r w:rsidR="004A7432">
        <w:t>IDs</w:t>
      </w:r>
      <w:r w:rsidR="00D10140">
        <w:t xml:space="preserve"> </w:t>
      </w:r>
      <w:r w:rsidR="00F24084">
        <w:t>w</w:t>
      </w:r>
      <w:r w:rsidR="00F65FC9">
        <w:t>ould</w:t>
      </w:r>
      <w:r w:rsidR="00F24084">
        <w:t xml:space="preserve"> deliver cost savings</w:t>
      </w:r>
      <w:r w:rsidR="00AD2AA7">
        <w:t xml:space="preserve"> at a projected average of $124</w:t>
      </w:r>
      <w:r w:rsidR="00167236">
        <w:t>,</w:t>
      </w:r>
      <w:r w:rsidR="00AD2AA7">
        <w:t xml:space="preserve">700 per annum. </w:t>
      </w:r>
      <w:r w:rsidR="00E65B30">
        <w:t>These savings would be attributable to time saved from internal identity verification processes and fraud reduction</w:t>
      </w:r>
      <w:r w:rsidR="007D45B5">
        <w:t xml:space="preserve"> (source:</w:t>
      </w:r>
      <w:r w:rsidR="00FA5C25">
        <w:t xml:space="preserve"> </w:t>
      </w:r>
      <w:r w:rsidR="00FA5C25" w:rsidRPr="00FA5C25">
        <w:t>Ernst &amp; Young, 2020</w:t>
      </w:r>
      <w:r w:rsidR="00FA5C25" w:rsidRPr="00986346">
        <w:rPr>
          <w:i/>
          <w:iCs/>
        </w:rPr>
        <w:t xml:space="preserve">, </w:t>
      </w:r>
      <w:hyperlink r:id="rId42" w:history="1">
        <w:r w:rsidR="00FA5C25" w:rsidRPr="00CF48C1">
          <w:rPr>
            <w:rStyle w:val="Hyperlink"/>
            <w:i/>
            <w:color w:val="008675"/>
          </w:rPr>
          <w:t>Fintech Australia Census 2020: Profiling and defining the FinTech sector</w:t>
        </w:r>
      </w:hyperlink>
      <w:r w:rsidR="00FA5C25">
        <w:t>)</w:t>
      </w:r>
      <w:r w:rsidR="00E65B30">
        <w:t xml:space="preserve">. </w:t>
      </w:r>
      <w:r w:rsidR="00411F22">
        <w:t>This translates to potential savings of between</w:t>
      </w:r>
      <w:r w:rsidR="00A52119">
        <w:t xml:space="preserve"> $50</w:t>
      </w:r>
      <w:r w:rsidR="004A2BEF" w:rsidRPr="000B7589">
        <w:rPr>
          <w:lang w:eastAsia="en-US"/>
        </w:rPr>
        <w:t>–</w:t>
      </w:r>
      <w:r w:rsidR="00333274">
        <w:t xml:space="preserve">$100 million </w:t>
      </w:r>
      <w:r w:rsidR="009A09B4">
        <w:t xml:space="preserve">per annum for the </w:t>
      </w:r>
      <w:r w:rsidR="00B32C27">
        <w:t>sector</w:t>
      </w:r>
      <w:r w:rsidR="00395E31">
        <w:t xml:space="preserve">, </w:t>
      </w:r>
      <w:r w:rsidR="00EA4E66">
        <w:t>which</w:t>
      </w:r>
      <w:r w:rsidR="00B32C27">
        <w:t xml:space="preserve"> currently has around 800 active companies</w:t>
      </w:r>
      <w:r w:rsidR="00044347">
        <w:t xml:space="preserve"> (</w:t>
      </w:r>
      <w:r w:rsidR="000C7289">
        <w:t xml:space="preserve">source: KPMG, 2020, </w:t>
      </w:r>
      <w:hyperlink r:id="rId43" w:history="1">
        <w:r w:rsidR="006B46F9" w:rsidRPr="00CF48C1">
          <w:rPr>
            <w:rStyle w:val="Hyperlink"/>
            <w:color w:val="008675"/>
          </w:rPr>
          <w:t xml:space="preserve">More than 100 </w:t>
        </w:r>
        <w:proofErr w:type="spellStart"/>
        <w:r w:rsidR="006B46F9" w:rsidRPr="00CF48C1">
          <w:rPr>
            <w:rStyle w:val="Hyperlink"/>
            <w:color w:val="008675"/>
          </w:rPr>
          <w:t>Fi</w:t>
        </w:r>
        <w:r w:rsidR="001D36D5" w:rsidRPr="00CF48C1">
          <w:rPr>
            <w:rStyle w:val="Hyperlink"/>
            <w:color w:val="008675"/>
          </w:rPr>
          <w:t>n</w:t>
        </w:r>
        <w:r w:rsidR="006B46F9" w:rsidRPr="00CF48C1">
          <w:rPr>
            <w:rStyle w:val="Hyperlink"/>
            <w:color w:val="008675"/>
          </w:rPr>
          <w:t>Techs</w:t>
        </w:r>
        <w:proofErr w:type="spellEnd"/>
        <w:r w:rsidR="006B46F9" w:rsidRPr="00CF48C1">
          <w:rPr>
            <w:rStyle w:val="Hyperlink"/>
            <w:color w:val="008675"/>
          </w:rPr>
          <w:t xml:space="preserve"> added to the FinTech landscape</w:t>
        </w:r>
      </w:hyperlink>
      <w:r w:rsidR="006B46F9">
        <w:t>)</w:t>
      </w:r>
      <w:r w:rsidR="00B32C27">
        <w:t xml:space="preserve">. </w:t>
      </w:r>
      <w:r w:rsidR="00F32F65">
        <w:t>This data has led to a prevalent view within this sector that w</w:t>
      </w:r>
      <w:r w:rsidR="008F7130" w:rsidRPr="000B7589">
        <w:t xml:space="preserve">here FinTech companies seek to capitalise on digital </w:t>
      </w:r>
      <w:r w:rsidR="00500088">
        <w:t>ID</w:t>
      </w:r>
      <w:r w:rsidR="00500088" w:rsidRPr="000B7589">
        <w:t xml:space="preserve"> </w:t>
      </w:r>
      <w:r w:rsidR="008F7130" w:rsidRPr="000B7589">
        <w:t>solutions, Australians’ traditional interactions with financial and banking services can be improved</w:t>
      </w:r>
      <w:r w:rsidR="008F7130">
        <w:t xml:space="preserve"> (source: </w:t>
      </w:r>
      <w:r w:rsidR="008F7130" w:rsidRPr="002651B1">
        <w:rPr>
          <w:rFonts w:eastAsia="Calibri"/>
          <w:szCs w:val="16"/>
          <w:lang w:eastAsia="en-US"/>
        </w:rPr>
        <w:t xml:space="preserve">Stellar, D 2021, </w:t>
      </w:r>
      <w:hyperlink r:id="rId44" w:history="1">
        <w:r w:rsidR="008F7130" w:rsidRPr="00CF48C1">
          <w:rPr>
            <w:rStyle w:val="Hyperlink"/>
            <w:rFonts w:eastAsia="Calibri"/>
            <w:color w:val="008675"/>
            <w:szCs w:val="16"/>
            <w:lang w:eastAsia="en-US"/>
          </w:rPr>
          <w:t>Digital identity the next frontier for FinTech innovation</w:t>
        </w:r>
      </w:hyperlink>
      <w:r w:rsidR="008F7130">
        <w:rPr>
          <w:rFonts w:eastAsia="Calibri"/>
          <w:szCs w:val="16"/>
          <w:lang w:eastAsia="en-US"/>
        </w:rPr>
        <w:t>)</w:t>
      </w:r>
      <w:r w:rsidR="008F7130" w:rsidRPr="000B7589">
        <w:t>.</w:t>
      </w:r>
    </w:p>
    <w:p w14:paraId="47C0A427" w14:textId="76155A5B" w:rsidR="00E6232E" w:rsidRPr="00CF48C1" w:rsidRDefault="00E6232E" w:rsidP="00A27FE4">
      <w:pPr>
        <w:pStyle w:val="Heading2NoNumbers"/>
        <w:rPr>
          <w:color w:val="008675"/>
          <w:lang w:eastAsia="en-US"/>
        </w:rPr>
      </w:pPr>
      <w:bookmarkStart w:id="144" w:name="_Toc80884658"/>
      <w:bookmarkStart w:id="145" w:name="_Toc81226620"/>
      <w:bookmarkStart w:id="146" w:name="_Toc81226896"/>
      <w:bookmarkStart w:id="147" w:name="_Toc81228240"/>
      <w:bookmarkStart w:id="148" w:name="_Toc83951183"/>
      <w:bookmarkStart w:id="149" w:name="_Toc84925784"/>
      <w:bookmarkStart w:id="150" w:name="_Toc84925882"/>
      <w:bookmarkStart w:id="151" w:name="_Toc86045126"/>
      <w:bookmarkStart w:id="152" w:name="_Toc86070001"/>
      <w:bookmarkStart w:id="153" w:name="_Toc149740329"/>
      <w:r w:rsidRPr="00CF48C1">
        <w:rPr>
          <w:color w:val="008675"/>
          <w:lang w:eastAsia="en-US"/>
        </w:rPr>
        <w:t xml:space="preserve">3.2 Potential </w:t>
      </w:r>
      <w:r w:rsidR="00082E69" w:rsidRPr="00CF48C1">
        <w:rPr>
          <w:color w:val="008675"/>
          <w:lang w:eastAsia="en-US"/>
        </w:rPr>
        <w:t>b</w:t>
      </w:r>
      <w:r w:rsidRPr="00CF48C1">
        <w:rPr>
          <w:color w:val="008675"/>
          <w:lang w:eastAsia="en-US"/>
        </w:rPr>
        <w:t xml:space="preserve">arriers to </w:t>
      </w:r>
      <w:r w:rsidR="00082E69" w:rsidRPr="00CF48C1">
        <w:rPr>
          <w:color w:val="008675"/>
          <w:lang w:eastAsia="en-US"/>
        </w:rPr>
        <w:t>r</w:t>
      </w:r>
      <w:r w:rsidRPr="00CF48C1">
        <w:rPr>
          <w:color w:val="008675"/>
          <w:lang w:eastAsia="en-US"/>
        </w:rPr>
        <w:t xml:space="preserve">ealising </w:t>
      </w:r>
      <w:r w:rsidR="00082E69" w:rsidRPr="00CF48C1">
        <w:rPr>
          <w:color w:val="008675"/>
          <w:lang w:eastAsia="en-US"/>
        </w:rPr>
        <w:t>w</w:t>
      </w:r>
      <w:r w:rsidRPr="00CF48C1">
        <w:rPr>
          <w:color w:val="008675"/>
          <w:lang w:eastAsia="en-US"/>
        </w:rPr>
        <w:t>hole-of-</w:t>
      </w:r>
      <w:r w:rsidR="00082E69" w:rsidRPr="00CF48C1">
        <w:rPr>
          <w:color w:val="008675"/>
          <w:lang w:eastAsia="en-US"/>
        </w:rPr>
        <w:t>e</w:t>
      </w:r>
      <w:r w:rsidRPr="00CF48C1">
        <w:rPr>
          <w:color w:val="008675"/>
          <w:lang w:eastAsia="en-US"/>
        </w:rPr>
        <w:t xml:space="preserve">conomy </w:t>
      </w:r>
      <w:r w:rsidR="00082E69" w:rsidRPr="00CF48C1">
        <w:rPr>
          <w:color w:val="008675"/>
          <w:lang w:eastAsia="en-US"/>
        </w:rPr>
        <w:t>b</w:t>
      </w:r>
      <w:r w:rsidRPr="00CF48C1">
        <w:rPr>
          <w:color w:val="008675"/>
          <w:lang w:eastAsia="en-US"/>
        </w:rPr>
        <w:t>enefits</w:t>
      </w:r>
      <w:bookmarkEnd w:id="144"/>
      <w:bookmarkEnd w:id="145"/>
      <w:bookmarkEnd w:id="146"/>
      <w:bookmarkEnd w:id="147"/>
      <w:bookmarkEnd w:id="148"/>
      <w:bookmarkEnd w:id="149"/>
      <w:bookmarkEnd w:id="150"/>
      <w:bookmarkEnd w:id="151"/>
      <w:bookmarkEnd w:id="152"/>
      <w:bookmarkEnd w:id="153"/>
    </w:p>
    <w:p w14:paraId="697C1AE7" w14:textId="0FC30E1A" w:rsidR="00A421CD" w:rsidRDefault="00E6232E" w:rsidP="00A421CD">
      <w:pPr>
        <w:pStyle w:val="BodyText"/>
        <w:rPr>
          <w:lang w:eastAsia="en-US"/>
        </w:rPr>
      </w:pPr>
      <w:r w:rsidRPr="000B7589">
        <w:rPr>
          <w:lang w:eastAsia="en-US"/>
        </w:rPr>
        <w:t>There are several barriers which have the potential to impact the expansion</w:t>
      </w:r>
      <w:r w:rsidR="00E1338D">
        <w:rPr>
          <w:lang w:eastAsia="en-US"/>
        </w:rPr>
        <w:t xml:space="preserve"> of AGDIS</w:t>
      </w:r>
      <w:r w:rsidRPr="000B7589">
        <w:rPr>
          <w:lang w:eastAsia="en-US"/>
        </w:rPr>
        <w:t xml:space="preserve"> across the Australian economy, and the full realisation of benefits described above. These are:</w:t>
      </w:r>
    </w:p>
    <w:p w14:paraId="56E27926" w14:textId="4900A8DA" w:rsidR="002B7BA4" w:rsidRDefault="00A549D5" w:rsidP="00741473">
      <w:pPr>
        <w:pStyle w:val="ListBulletLevel1"/>
        <w:rPr>
          <w:lang w:eastAsia="en-US"/>
        </w:rPr>
      </w:pPr>
      <w:r>
        <w:rPr>
          <w:lang w:eastAsia="en-US"/>
        </w:rPr>
        <w:lastRenderedPageBreak/>
        <w:t>n</w:t>
      </w:r>
      <w:r w:rsidR="002B7BA4">
        <w:rPr>
          <w:lang w:eastAsia="en-US"/>
        </w:rPr>
        <w:t>o legal basis for participation o</w:t>
      </w:r>
      <w:r w:rsidR="001C02D9">
        <w:rPr>
          <w:lang w:eastAsia="en-US"/>
        </w:rPr>
        <w:t>f</w:t>
      </w:r>
      <w:r w:rsidR="002B7BA4">
        <w:rPr>
          <w:lang w:eastAsia="en-US"/>
        </w:rPr>
        <w:t xml:space="preserve"> non-</w:t>
      </w:r>
      <w:r w:rsidR="00795ED8">
        <w:rPr>
          <w:lang w:eastAsia="en-US"/>
        </w:rPr>
        <w:t>Commonwealth</w:t>
      </w:r>
      <w:r w:rsidR="002B7BA4">
        <w:rPr>
          <w:lang w:eastAsia="en-US"/>
        </w:rPr>
        <w:t xml:space="preserve"> </w:t>
      </w:r>
      <w:r w:rsidR="00605FAC">
        <w:rPr>
          <w:lang w:eastAsia="en-US"/>
        </w:rPr>
        <w:t>agencies as relying parties</w:t>
      </w:r>
      <w:r w:rsidR="002B7BA4">
        <w:rPr>
          <w:lang w:eastAsia="en-US"/>
        </w:rPr>
        <w:t>, nor for a charging framework</w:t>
      </w:r>
    </w:p>
    <w:p w14:paraId="583063B8" w14:textId="4A823697" w:rsidR="002B7BA4" w:rsidRDefault="00A549D5" w:rsidP="00741473">
      <w:pPr>
        <w:pStyle w:val="ListBulletLevel1"/>
        <w:rPr>
          <w:lang w:eastAsia="en-US"/>
        </w:rPr>
      </w:pPr>
      <w:r>
        <w:rPr>
          <w:lang w:eastAsia="en-US"/>
        </w:rPr>
        <w:t>l</w:t>
      </w:r>
      <w:r w:rsidR="002B7BA4">
        <w:rPr>
          <w:lang w:eastAsia="en-US"/>
        </w:rPr>
        <w:t>ack of trust in privacy and security safeguards</w:t>
      </w:r>
      <w:r w:rsidR="00C1034D">
        <w:rPr>
          <w:lang w:eastAsia="en-US"/>
        </w:rPr>
        <w:t xml:space="preserve"> of Digital ID</w:t>
      </w:r>
    </w:p>
    <w:p w14:paraId="775C82BE" w14:textId="2E505704" w:rsidR="002B7BA4" w:rsidRDefault="00A549D5" w:rsidP="00741473">
      <w:pPr>
        <w:pStyle w:val="ListBulletLevel1"/>
        <w:rPr>
          <w:lang w:eastAsia="en-US"/>
        </w:rPr>
      </w:pPr>
      <w:r>
        <w:rPr>
          <w:lang w:eastAsia="en-US"/>
        </w:rPr>
        <w:t>i</w:t>
      </w:r>
      <w:r w:rsidR="002B7BA4">
        <w:rPr>
          <w:lang w:eastAsia="en-US"/>
        </w:rPr>
        <w:t>nterim, non-legislative governance framework.</w:t>
      </w:r>
    </w:p>
    <w:p w14:paraId="08DFA917" w14:textId="7D37A5C8" w:rsidR="00670AF2" w:rsidRDefault="00670AF2" w:rsidP="00670AF2">
      <w:pPr>
        <w:pStyle w:val="ListBulletLevel1"/>
        <w:numPr>
          <w:ilvl w:val="0"/>
          <w:numId w:val="0"/>
        </w:numPr>
        <w:rPr>
          <w:lang w:eastAsia="en-US"/>
        </w:rPr>
      </w:pPr>
      <w:r>
        <w:rPr>
          <w:lang w:eastAsia="en-US"/>
        </w:rPr>
        <w:t>There are also additional competition and market concentration risks that may reduce the realisation of benefits. These will be continually assessed</w:t>
      </w:r>
      <w:r w:rsidR="001F6F42">
        <w:rPr>
          <w:lang w:eastAsia="en-US"/>
        </w:rPr>
        <w:t xml:space="preserve"> as </w:t>
      </w:r>
      <w:r>
        <w:rPr>
          <w:lang w:eastAsia="en-US"/>
        </w:rPr>
        <w:t xml:space="preserve">future phases of </w:t>
      </w:r>
      <w:r w:rsidR="00E1338D">
        <w:rPr>
          <w:lang w:eastAsia="en-US"/>
        </w:rPr>
        <w:t>AGDIS</w:t>
      </w:r>
      <w:r w:rsidR="00E1338D" w:rsidRPr="0DFA586A">
        <w:rPr>
          <w:lang w:eastAsia="en-US"/>
        </w:rPr>
        <w:t xml:space="preserve"> </w:t>
      </w:r>
      <w:r w:rsidR="005A6559">
        <w:rPr>
          <w:lang w:eastAsia="en-US"/>
        </w:rPr>
        <w:t>are developed.</w:t>
      </w:r>
    </w:p>
    <w:p w14:paraId="35E124EA" w14:textId="5ADFEC7B" w:rsidR="00C946F0" w:rsidRPr="00CF48C1" w:rsidRDefault="00C946F0" w:rsidP="00C946F0">
      <w:pPr>
        <w:pStyle w:val="Heading3NoNumbers"/>
        <w:rPr>
          <w:color w:val="008675"/>
          <w:lang w:eastAsia="en-US"/>
        </w:rPr>
      </w:pPr>
      <w:bookmarkStart w:id="154" w:name="_Toc80884659"/>
      <w:bookmarkStart w:id="155" w:name="_Toc84925785"/>
      <w:bookmarkStart w:id="156" w:name="_Toc86070002"/>
      <w:bookmarkStart w:id="157" w:name="section321"/>
      <w:r w:rsidRPr="00CF48C1">
        <w:rPr>
          <w:color w:val="008675"/>
          <w:lang w:eastAsia="en-US"/>
        </w:rPr>
        <w:t xml:space="preserve">3.2.1 No </w:t>
      </w:r>
      <w:r w:rsidR="00082E69" w:rsidRPr="00CF48C1">
        <w:rPr>
          <w:color w:val="008675"/>
          <w:lang w:eastAsia="en-US"/>
        </w:rPr>
        <w:t>l</w:t>
      </w:r>
      <w:r w:rsidRPr="00CF48C1">
        <w:rPr>
          <w:color w:val="008675"/>
          <w:lang w:eastAsia="en-US"/>
        </w:rPr>
        <w:t xml:space="preserve">egal </w:t>
      </w:r>
      <w:r w:rsidR="00082E69" w:rsidRPr="00CF48C1">
        <w:rPr>
          <w:color w:val="008675"/>
          <w:lang w:eastAsia="en-US"/>
        </w:rPr>
        <w:t>b</w:t>
      </w:r>
      <w:r w:rsidR="004B0A04" w:rsidRPr="00CF48C1">
        <w:rPr>
          <w:color w:val="008675"/>
          <w:lang w:eastAsia="en-US"/>
        </w:rPr>
        <w:t xml:space="preserve">asis for </w:t>
      </w:r>
      <w:r w:rsidR="00082E69" w:rsidRPr="00CF48C1">
        <w:rPr>
          <w:color w:val="008675"/>
          <w:lang w:eastAsia="en-US"/>
        </w:rPr>
        <w:t>p</w:t>
      </w:r>
      <w:r w:rsidR="004B0A04" w:rsidRPr="00CF48C1">
        <w:rPr>
          <w:color w:val="008675"/>
          <w:lang w:eastAsia="en-US"/>
        </w:rPr>
        <w:t xml:space="preserve">articipation of </w:t>
      </w:r>
      <w:r w:rsidR="00082E69" w:rsidRPr="00CF48C1">
        <w:rPr>
          <w:color w:val="008675"/>
          <w:lang w:eastAsia="en-US"/>
        </w:rPr>
        <w:t>n</w:t>
      </w:r>
      <w:r w:rsidR="004B0A04" w:rsidRPr="00CF48C1">
        <w:rPr>
          <w:color w:val="008675"/>
          <w:lang w:eastAsia="en-US"/>
        </w:rPr>
        <w:t>on-</w:t>
      </w:r>
      <w:r w:rsidR="003D6432" w:rsidRPr="00CF48C1">
        <w:rPr>
          <w:color w:val="008675"/>
          <w:lang w:eastAsia="en-US"/>
        </w:rPr>
        <w:t>Commonwealth</w:t>
      </w:r>
      <w:r w:rsidR="00C71E8D" w:rsidRPr="00CF48C1">
        <w:rPr>
          <w:color w:val="008675"/>
          <w:lang w:eastAsia="en-US"/>
        </w:rPr>
        <w:t xml:space="preserve"> </w:t>
      </w:r>
      <w:r w:rsidR="00082E69" w:rsidRPr="00CF48C1">
        <w:rPr>
          <w:color w:val="008675"/>
          <w:lang w:eastAsia="en-US"/>
        </w:rPr>
        <w:t>a</w:t>
      </w:r>
      <w:r w:rsidR="004B0A04" w:rsidRPr="00CF48C1">
        <w:rPr>
          <w:color w:val="008675"/>
          <w:lang w:eastAsia="en-US"/>
        </w:rPr>
        <w:t xml:space="preserve">gencies as </w:t>
      </w:r>
      <w:r w:rsidR="00082E69" w:rsidRPr="00CF48C1">
        <w:rPr>
          <w:color w:val="008675"/>
          <w:lang w:eastAsia="en-US"/>
        </w:rPr>
        <w:t>r</w:t>
      </w:r>
      <w:r w:rsidR="004B0A04" w:rsidRPr="00CF48C1">
        <w:rPr>
          <w:color w:val="008675"/>
          <w:lang w:eastAsia="en-US"/>
        </w:rPr>
        <w:t xml:space="preserve">elying </w:t>
      </w:r>
      <w:r w:rsidR="00082E69" w:rsidRPr="00CF48C1">
        <w:rPr>
          <w:color w:val="008675"/>
          <w:lang w:eastAsia="en-US"/>
        </w:rPr>
        <w:t>p</w:t>
      </w:r>
      <w:r w:rsidR="004B0A04" w:rsidRPr="00CF48C1">
        <w:rPr>
          <w:color w:val="008675"/>
          <w:lang w:eastAsia="en-US"/>
        </w:rPr>
        <w:t xml:space="preserve">arties, </w:t>
      </w:r>
      <w:r w:rsidR="00082E69" w:rsidRPr="00CF48C1">
        <w:rPr>
          <w:color w:val="008675"/>
          <w:lang w:eastAsia="en-US"/>
        </w:rPr>
        <w:t>n</w:t>
      </w:r>
      <w:r w:rsidR="004B0A04" w:rsidRPr="00CF48C1">
        <w:rPr>
          <w:color w:val="008675"/>
          <w:lang w:eastAsia="en-US"/>
        </w:rPr>
        <w:t xml:space="preserve">or for a </w:t>
      </w:r>
      <w:r w:rsidR="00082E69" w:rsidRPr="00CF48C1">
        <w:rPr>
          <w:color w:val="008675"/>
          <w:lang w:eastAsia="en-US"/>
        </w:rPr>
        <w:t>c</w:t>
      </w:r>
      <w:r w:rsidR="004B0A04" w:rsidRPr="00CF48C1">
        <w:rPr>
          <w:color w:val="008675"/>
          <w:lang w:eastAsia="en-US"/>
        </w:rPr>
        <w:t xml:space="preserve">harging </w:t>
      </w:r>
      <w:r w:rsidR="00082E69" w:rsidRPr="00CF48C1">
        <w:rPr>
          <w:color w:val="008675"/>
          <w:lang w:eastAsia="en-US"/>
        </w:rPr>
        <w:t>f</w:t>
      </w:r>
      <w:r w:rsidR="004B0A04" w:rsidRPr="00CF48C1">
        <w:rPr>
          <w:color w:val="008675"/>
          <w:lang w:eastAsia="en-US"/>
        </w:rPr>
        <w:t>ramework</w:t>
      </w:r>
      <w:bookmarkStart w:id="158" w:name="_Toc61605156"/>
      <w:bookmarkEnd w:id="154"/>
      <w:bookmarkEnd w:id="155"/>
      <w:bookmarkEnd w:id="156"/>
      <w:bookmarkEnd w:id="157"/>
    </w:p>
    <w:bookmarkEnd w:id="158"/>
    <w:p w14:paraId="04DD68C0" w14:textId="5E7D3C8D" w:rsidR="00E6232E" w:rsidRPr="000B7589" w:rsidRDefault="00E6232E" w:rsidP="00D55359">
      <w:pPr>
        <w:pStyle w:val="BodyText"/>
        <w:rPr>
          <w:lang w:eastAsia="en-US"/>
        </w:rPr>
      </w:pPr>
      <w:r w:rsidRPr="000B7589">
        <w:rPr>
          <w:lang w:eastAsia="en-US"/>
        </w:rPr>
        <w:t>The eventual participation of non-</w:t>
      </w:r>
      <w:r w:rsidR="00C71E8D">
        <w:rPr>
          <w:lang w:eastAsia="en-US"/>
        </w:rPr>
        <w:t>Australian Government</w:t>
      </w:r>
      <w:r w:rsidR="00C71E8D" w:rsidRPr="000B7589">
        <w:rPr>
          <w:lang w:eastAsia="en-US"/>
        </w:rPr>
        <w:t xml:space="preserve"> </w:t>
      </w:r>
      <w:r w:rsidR="00A913A2">
        <w:rPr>
          <w:lang w:eastAsia="en-US"/>
        </w:rPr>
        <w:t>agencies</w:t>
      </w:r>
      <w:r w:rsidRPr="000B7589">
        <w:rPr>
          <w:lang w:eastAsia="en-US"/>
        </w:rPr>
        <w:t xml:space="preserve">, such as state, territory and local governments, private sector and community organisations, and foreign governments, is critical to unlocking </w:t>
      </w:r>
      <w:r w:rsidR="001F6F42">
        <w:rPr>
          <w:lang w:eastAsia="en-US"/>
        </w:rPr>
        <w:t>Digital ID’s</w:t>
      </w:r>
      <w:r w:rsidRPr="000B7589">
        <w:rPr>
          <w:lang w:eastAsia="en-US"/>
        </w:rPr>
        <w:t xml:space="preserve"> whole-of-economy value. While </w:t>
      </w:r>
      <w:r w:rsidRPr="00B57D75">
        <w:rPr>
          <w:lang w:eastAsia="en-US"/>
        </w:rPr>
        <w:t>non-</w:t>
      </w:r>
      <w:r w:rsidR="00692033">
        <w:rPr>
          <w:lang w:eastAsia="en-US"/>
        </w:rPr>
        <w:t>Commonwealth</w:t>
      </w:r>
      <w:r w:rsidR="00C71E8D" w:rsidRPr="00B57D75">
        <w:rPr>
          <w:lang w:eastAsia="en-US"/>
        </w:rPr>
        <w:t xml:space="preserve"> </w:t>
      </w:r>
      <w:r w:rsidR="00A913A2" w:rsidRPr="00B57D75">
        <w:rPr>
          <w:lang w:eastAsia="en-US"/>
        </w:rPr>
        <w:t xml:space="preserve">agencies </w:t>
      </w:r>
      <w:r w:rsidRPr="00B57D75">
        <w:rPr>
          <w:lang w:eastAsia="en-US"/>
        </w:rPr>
        <w:t xml:space="preserve">can currently become </w:t>
      </w:r>
      <w:r w:rsidR="00755138">
        <w:rPr>
          <w:lang w:eastAsia="en-US"/>
        </w:rPr>
        <w:t xml:space="preserve">onboarded </w:t>
      </w:r>
      <w:r w:rsidR="00317DBF" w:rsidRPr="00B57D75">
        <w:rPr>
          <w:lang w:eastAsia="en-US"/>
        </w:rPr>
        <w:t>a</w:t>
      </w:r>
      <w:r w:rsidRPr="00B57D75">
        <w:rPr>
          <w:lang w:eastAsia="en-US"/>
        </w:rPr>
        <w:t xml:space="preserve">ccredited </w:t>
      </w:r>
      <w:r w:rsidR="00755138">
        <w:rPr>
          <w:lang w:eastAsia="en-US"/>
        </w:rPr>
        <w:t xml:space="preserve">entities </w:t>
      </w:r>
      <w:r w:rsidRPr="00B57D75">
        <w:rPr>
          <w:lang w:eastAsia="en-US"/>
        </w:rPr>
        <w:t>(for</w:t>
      </w:r>
      <w:r w:rsidRPr="0054624F">
        <w:rPr>
          <w:lang w:eastAsia="en-US"/>
        </w:rPr>
        <w:t xml:space="preserve"> example, Australia Post’s Digital </w:t>
      </w:r>
      <w:proofErr w:type="spellStart"/>
      <w:r w:rsidRPr="0054624F">
        <w:rPr>
          <w:lang w:eastAsia="en-US"/>
        </w:rPr>
        <w:t>iD</w:t>
      </w:r>
      <w:proofErr w:type="spellEnd"/>
      <w:r w:rsidRPr="0054624F">
        <w:rPr>
          <w:lang w:eastAsia="en-US"/>
        </w:rPr>
        <w:t xml:space="preserve"> solution –</w:t>
      </w:r>
      <w:r w:rsidR="00112AFA">
        <w:rPr>
          <w:lang w:eastAsia="en-US"/>
        </w:rPr>
        <w:t xml:space="preserve"> which is</w:t>
      </w:r>
      <w:r w:rsidRPr="0054624F">
        <w:rPr>
          <w:lang w:eastAsia="en-US"/>
        </w:rPr>
        <w:t xml:space="preserve"> accredited but not onboarded</w:t>
      </w:r>
      <w:r w:rsidRPr="000B7589">
        <w:rPr>
          <w:lang w:eastAsia="en-US"/>
        </w:rPr>
        <w:t>), legislative authority is required to include non</w:t>
      </w:r>
      <w:r w:rsidR="5DBC14AA" w:rsidRPr="000B7589">
        <w:rPr>
          <w:lang w:eastAsia="en-US"/>
        </w:rPr>
        <w:t>-</w:t>
      </w:r>
      <w:r w:rsidR="0091095D">
        <w:rPr>
          <w:lang w:eastAsia="en-US"/>
        </w:rPr>
        <w:noBreakHyphen/>
      </w:r>
      <w:r w:rsidR="00692033">
        <w:rPr>
          <w:lang w:eastAsia="en-US"/>
        </w:rPr>
        <w:t>Commonwealth</w:t>
      </w:r>
      <w:r w:rsidR="00C71E8D" w:rsidRPr="000B7589">
        <w:rPr>
          <w:lang w:eastAsia="en-US"/>
        </w:rPr>
        <w:t xml:space="preserve"> </w:t>
      </w:r>
      <w:r w:rsidR="00A913A2">
        <w:rPr>
          <w:lang w:eastAsia="en-US"/>
        </w:rPr>
        <w:t>agencies</w:t>
      </w:r>
      <w:r w:rsidR="00A913A2" w:rsidRPr="000B7589">
        <w:rPr>
          <w:lang w:eastAsia="en-US"/>
        </w:rPr>
        <w:t xml:space="preserve"> </w:t>
      </w:r>
      <w:r w:rsidRPr="000B7589">
        <w:rPr>
          <w:lang w:eastAsia="en-US"/>
        </w:rPr>
        <w:t xml:space="preserve">as </w:t>
      </w:r>
      <w:r w:rsidR="007F0E75">
        <w:rPr>
          <w:lang w:eastAsia="en-US"/>
        </w:rPr>
        <w:t>r</w:t>
      </w:r>
      <w:r w:rsidRPr="000B7589">
        <w:rPr>
          <w:lang w:eastAsia="en-US"/>
        </w:rPr>
        <w:t xml:space="preserve">elying </w:t>
      </w:r>
      <w:r w:rsidR="007F0E75">
        <w:rPr>
          <w:lang w:eastAsia="en-US"/>
        </w:rPr>
        <w:t>p</w:t>
      </w:r>
      <w:r w:rsidRPr="000B7589">
        <w:rPr>
          <w:lang w:eastAsia="en-US"/>
        </w:rPr>
        <w:t>arties</w:t>
      </w:r>
      <w:r w:rsidR="00BE6B46">
        <w:rPr>
          <w:lang w:eastAsia="en-US"/>
        </w:rPr>
        <w:t xml:space="preserve"> (</w:t>
      </w:r>
      <w:r w:rsidR="004D5E7E">
        <w:rPr>
          <w:lang w:eastAsia="en-US"/>
        </w:rPr>
        <w:t>except in limited circumstances)</w:t>
      </w:r>
      <w:r w:rsidRPr="000B7589">
        <w:rPr>
          <w:lang w:eastAsia="en-US"/>
        </w:rPr>
        <w:t>.</w:t>
      </w:r>
    </w:p>
    <w:p w14:paraId="3D082FC5" w14:textId="7C9B50E0" w:rsidR="00E6232E" w:rsidRPr="000B7589" w:rsidRDefault="00E6232E" w:rsidP="00D55359">
      <w:pPr>
        <w:pStyle w:val="BodyText"/>
        <w:rPr>
          <w:lang w:eastAsia="en-US"/>
        </w:rPr>
      </w:pPr>
      <w:r w:rsidRPr="000B7589">
        <w:rPr>
          <w:lang w:eastAsia="en-US"/>
        </w:rPr>
        <w:t xml:space="preserve">Without the legal authority for participation of these entities as </w:t>
      </w:r>
      <w:r w:rsidR="007F0E75">
        <w:rPr>
          <w:lang w:eastAsia="en-US"/>
        </w:rPr>
        <w:t>r</w:t>
      </w:r>
      <w:r w:rsidRPr="000B7589">
        <w:rPr>
          <w:lang w:eastAsia="en-US"/>
        </w:rPr>
        <w:t xml:space="preserve">elying </w:t>
      </w:r>
      <w:r w:rsidR="007F0E75">
        <w:rPr>
          <w:lang w:eastAsia="en-US"/>
        </w:rPr>
        <w:t>p</w:t>
      </w:r>
      <w:r w:rsidRPr="000B7589">
        <w:rPr>
          <w:lang w:eastAsia="en-US"/>
        </w:rPr>
        <w:t xml:space="preserve">arties, </w:t>
      </w:r>
      <w:r w:rsidR="001F6F42">
        <w:rPr>
          <w:lang w:eastAsia="en-US"/>
        </w:rPr>
        <w:t>AGDIS</w:t>
      </w:r>
      <w:r w:rsidRPr="000B7589">
        <w:rPr>
          <w:lang w:eastAsia="en-US"/>
        </w:rPr>
        <w:t xml:space="preserve"> could be used to transact with </w:t>
      </w:r>
      <w:r w:rsidR="00C71E8D">
        <w:rPr>
          <w:lang w:eastAsia="en-US"/>
        </w:rPr>
        <w:t>Australian Government</w:t>
      </w:r>
      <w:r w:rsidR="00C71E8D" w:rsidRPr="000B7589">
        <w:rPr>
          <w:lang w:eastAsia="en-US"/>
        </w:rPr>
        <w:t xml:space="preserve"> </w:t>
      </w:r>
      <w:r w:rsidRPr="000B7589">
        <w:rPr>
          <w:lang w:eastAsia="en-US"/>
        </w:rPr>
        <w:t>agency services only. This represents a missed opportunity for the Australian economy as it would deprive the private sector and a large share of the public sector</w:t>
      </w:r>
      <w:r w:rsidR="00E814E2">
        <w:rPr>
          <w:lang w:eastAsia="en-US"/>
        </w:rPr>
        <w:t xml:space="preserve"> </w:t>
      </w:r>
      <w:r w:rsidRPr="000B7589">
        <w:rPr>
          <w:lang w:eastAsia="en-US"/>
        </w:rPr>
        <w:t xml:space="preserve">efficiency benefits and limit the growth and innovation of industry segments such as </w:t>
      </w:r>
      <w:proofErr w:type="spellStart"/>
      <w:r w:rsidRPr="000B7589">
        <w:rPr>
          <w:lang w:eastAsia="en-US"/>
        </w:rPr>
        <w:t>FinTech</w:t>
      </w:r>
      <w:proofErr w:type="spellEnd"/>
      <w:r w:rsidRPr="000B7589">
        <w:rPr>
          <w:lang w:eastAsia="en-US"/>
        </w:rPr>
        <w:t xml:space="preserve"> and </w:t>
      </w:r>
      <w:proofErr w:type="spellStart"/>
      <w:r w:rsidRPr="000B7589">
        <w:rPr>
          <w:lang w:eastAsia="en-US"/>
        </w:rPr>
        <w:t>RegTech</w:t>
      </w:r>
      <w:proofErr w:type="spellEnd"/>
      <w:r w:rsidRPr="000B7589">
        <w:rPr>
          <w:lang w:eastAsia="en-US"/>
        </w:rPr>
        <w:t>.</w:t>
      </w:r>
      <w:bookmarkStart w:id="159" w:name="_Toc61426877"/>
      <w:r w:rsidRPr="000B7589">
        <w:rPr>
          <w:lang w:eastAsia="en-US"/>
        </w:rPr>
        <w:t xml:space="preserve"> It would also not address the </w:t>
      </w:r>
      <w:hyperlink r:id="rId45" w:history="1">
        <w:r w:rsidR="00E7096D" w:rsidRPr="00CF48C1">
          <w:rPr>
            <w:rStyle w:val="Hyperlink"/>
            <w:color w:val="008675"/>
            <w:lang w:eastAsia="en-US"/>
          </w:rPr>
          <w:t>Murray inquiry's</w:t>
        </w:r>
      </w:hyperlink>
      <w:r w:rsidRPr="000B7589">
        <w:rPr>
          <w:lang w:eastAsia="en-US"/>
        </w:rPr>
        <w:t xml:space="preserve"> </w:t>
      </w:r>
      <w:r w:rsidR="00C370BC">
        <w:rPr>
          <w:lang w:eastAsia="en-US"/>
        </w:rPr>
        <w:t xml:space="preserve">conclusion that a </w:t>
      </w:r>
      <w:r w:rsidRPr="000B7589">
        <w:rPr>
          <w:lang w:eastAsia="en-US"/>
        </w:rPr>
        <w:t>whole</w:t>
      </w:r>
      <w:r w:rsidR="2ECB7C00" w:rsidRPr="000B7589">
        <w:rPr>
          <w:lang w:eastAsia="en-US"/>
        </w:rPr>
        <w:t>-</w:t>
      </w:r>
      <w:r w:rsidR="00500BED">
        <w:rPr>
          <w:lang w:eastAsia="en-US"/>
        </w:rPr>
        <w:noBreakHyphen/>
      </w:r>
      <w:r w:rsidRPr="000B7589">
        <w:rPr>
          <w:lang w:eastAsia="en-US"/>
        </w:rPr>
        <w:t>of</w:t>
      </w:r>
      <w:r w:rsidR="004422C1">
        <w:rPr>
          <w:lang w:eastAsia="en-US"/>
        </w:rPr>
        <w:t>-</w:t>
      </w:r>
      <w:r w:rsidRPr="000B7589">
        <w:rPr>
          <w:lang w:eastAsia="en-US"/>
        </w:rPr>
        <w:t>economy solution</w:t>
      </w:r>
      <w:r w:rsidR="00C370BC">
        <w:rPr>
          <w:lang w:eastAsia="en-US"/>
        </w:rPr>
        <w:t xml:space="preserve"> is necessary</w:t>
      </w:r>
      <w:r w:rsidRPr="000B7589">
        <w:rPr>
          <w:lang w:eastAsia="en-US"/>
        </w:rPr>
        <w:t xml:space="preserve">, where public and private sector </w:t>
      </w:r>
      <w:r w:rsidR="007A45CA">
        <w:rPr>
          <w:lang w:eastAsia="en-US"/>
        </w:rPr>
        <w:t>i</w:t>
      </w:r>
      <w:r w:rsidRPr="000B7589">
        <w:rPr>
          <w:lang w:eastAsia="en-US"/>
        </w:rPr>
        <w:t xml:space="preserve">dentity </w:t>
      </w:r>
      <w:r w:rsidR="007A45CA">
        <w:rPr>
          <w:lang w:eastAsia="en-US"/>
        </w:rPr>
        <w:t>p</w:t>
      </w:r>
      <w:r w:rsidRPr="000B7589">
        <w:rPr>
          <w:lang w:eastAsia="en-US"/>
        </w:rPr>
        <w:t xml:space="preserve">roviders compete to supply trusted digital </w:t>
      </w:r>
      <w:r w:rsidR="00376437">
        <w:rPr>
          <w:lang w:eastAsia="en-US"/>
        </w:rPr>
        <w:t>IDs</w:t>
      </w:r>
      <w:r w:rsidR="00376437" w:rsidRPr="000B7589">
        <w:rPr>
          <w:lang w:eastAsia="en-US"/>
        </w:rPr>
        <w:t xml:space="preserve"> </w:t>
      </w:r>
      <w:r w:rsidRPr="000B7589">
        <w:rPr>
          <w:lang w:eastAsia="en-US"/>
        </w:rPr>
        <w:t>to individuals and businesses.</w:t>
      </w:r>
    </w:p>
    <w:p w14:paraId="7E1D5DDF" w14:textId="0CED03B5" w:rsidR="00E6232E" w:rsidRPr="000B7589" w:rsidRDefault="00E6232E" w:rsidP="00D55359">
      <w:pPr>
        <w:pStyle w:val="BodyText"/>
        <w:rPr>
          <w:lang w:eastAsia="en-US"/>
        </w:rPr>
      </w:pPr>
      <w:r w:rsidRPr="0DFA586A">
        <w:rPr>
          <w:lang w:eastAsia="en-US"/>
        </w:rPr>
        <w:t xml:space="preserve">Additionally, there is currently no legal basis for a charging framework to be established for the </w:t>
      </w:r>
      <w:r w:rsidR="00CF3506" w:rsidRPr="0DFA586A">
        <w:rPr>
          <w:lang w:eastAsia="en-US"/>
        </w:rPr>
        <w:t>AGDIS</w:t>
      </w:r>
      <w:r w:rsidRPr="0DFA586A">
        <w:rPr>
          <w:lang w:eastAsia="en-US"/>
        </w:rPr>
        <w:t xml:space="preserve">. </w:t>
      </w:r>
      <w:r w:rsidR="006E09EB" w:rsidRPr="0DFA586A">
        <w:rPr>
          <w:lang w:eastAsia="en-US"/>
        </w:rPr>
        <w:t>T</w:t>
      </w:r>
      <w:r w:rsidRPr="0DFA586A">
        <w:rPr>
          <w:lang w:eastAsia="en-US"/>
        </w:rPr>
        <w:t>he absence of a permanent, transparent, consistent charging framework limits the incentives for non-</w:t>
      </w:r>
      <w:r w:rsidR="00B650AF">
        <w:rPr>
          <w:lang w:eastAsia="en-US"/>
        </w:rPr>
        <w:t>Commonwealth</w:t>
      </w:r>
      <w:r w:rsidR="00C71E8D" w:rsidRPr="0DFA586A">
        <w:rPr>
          <w:lang w:eastAsia="en-US"/>
        </w:rPr>
        <w:t xml:space="preserve"> </w:t>
      </w:r>
      <w:r w:rsidR="00A913A2" w:rsidRPr="0DFA586A">
        <w:rPr>
          <w:lang w:eastAsia="en-US"/>
        </w:rPr>
        <w:t xml:space="preserve">agencies </w:t>
      </w:r>
      <w:r w:rsidRPr="0DFA586A">
        <w:rPr>
          <w:lang w:eastAsia="en-US"/>
        </w:rPr>
        <w:t xml:space="preserve">to become </w:t>
      </w:r>
      <w:r w:rsidR="00755138" w:rsidRPr="0DFA586A">
        <w:rPr>
          <w:lang w:eastAsia="en-US"/>
        </w:rPr>
        <w:t xml:space="preserve">onboarded </w:t>
      </w:r>
      <w:r w:rsidR="00317DBF" w:rsidRPr="0DFA586A">
        <w:rPr>
          <w:lang w:eastAsia="en-US"/>
        </w:rPr>
        <w:t>a</w:t>
      </w:r>
      <w:r w:rsidRPr="0DFA586A">
        <w:rPr>
          <w:lang w:eastAsia="en-US"/>
        </w:rPr>
        <w:t xml:space="preserve">ccredited </w:t>
      </w:r>
      <w:r w:rsidR="00755138" w:rsidRPr="0DFA586A">
        <w:rPr>
          <w:lang w:eastAsia="en-US"/>
        </w:rPr>
        <w:t>entities</w:t>
      </w:r>
      <w:r w:rsidRPr="0DFA586A">
        <w:rPr>
          <w:lang w:eastAsia="en-US"/>
        </w:rPr>
        <w:t xml:space="preserve">. Unlike </w:t>
      </w:r>
      <w:r w:rsidR="007F0E75" w:rsidRPr="0DFA586A">
        <w:rPr>
          <w:lang w:eastAsia="en-US"/>
        </w:rPr>
        <w:t>r</w:t>
      </w:r>
      <w:r w:rsidRPr="0DFA586A">
        <w:rPr>
          <w:lang w:eastAsia="en-US"/>
        </w:rPr>
        <w:t xml:space="preserve">elying </w:t>
      </w:r>
      <w:r w:rsidR="007F0E75" w:rsidRPr="0DFA586A">
        <w:rPr>
          <w:lang w:eastAsia="en-US"/>
        </w:rPr>
        <w:t>p</w:t>
      </w:r>
      <w:r w:rsidRPr="0DFA586A">
        <w:rPr>
          <w:lang w:eastAsia="en-US"/>
        </w:rPr>
        <w:t>arties, there is no legal impediment to non-</w:t>
      </w:r>
      <w:r w:rsidR="00B650AF">
        <w:rPr>
          <w:lang w:eastAsia="en-US"/>
        </w:rPr>
        <w:t>Commonwealth</w:t>
      </w:r>
      <w:r w:rsidR="00C71E8D" w:rsidRPr="0DFA586A">
        <w:rPr>
          <w:lang w:eastAsia="en-US"/>
        </w:rPr>
        <w:t xml:space="preserve"> </w:t>
      </w:r>
      <w:r w:rsidR="00A913A2" w:rsidRPr="0DFA586A">
        <w:rPr>
          <w:lang w:eastAsia="en-US"/>
        </w:rPr>
        <w:t xml:space="preserve">agencies </w:t>
      </w:r>
      <w:r w:rsidRPr="0DFA586A">
        <w:rPr>
          <w:lang w:eastAsia="en-US"/>
        </w:rPr>
        <w:t xml:space="preserve">choosing to become </w:t>
      </w:r>
      <w:r w:rsidR="00B57D75" w:rsidRPr="0DFA586A">
        <w:rPr>
          <w:lang w:eastAsia="en-US"/>
        </w:rPr>
        <w:t>a</w:t>
      </w:r>
      <w:r w:rsidRPr="0DFA586A">
        <w:rPr>
          <w:lang w:eastAsia="en-US"/>
        </w:rPr>
        <w:t>ccredited and deliver services.</w:t>
      </w:r>
      <w:r w:rsidR="00737BA2" w:rsidRPr="0DFA586A">
        <w:rPr>
          <w:lang w:eastAsia="en-US"/>
        </w:rPr>
        <w:t xml:space="preserve"> </w:t>
      </w:r>
      <w:r w:rsidRPr="0DFA586A">
        <w:rPr>
          <w:lang w:eastAsia="en-US"/>
        </w:rPr>
        <w:t>However, from a practical perspective, it is not expected that non-</w:t>
      </w:r>
      <w:r w:rsidR="00B650AF">
        <w:rPr>
          <w:lang w:eastAsia="en-US"/>
        </w:rPr>
        <w:t>Commonwealth</w:t>
      </w:r>
      <w:r w:rsidR="00C71E8D" w:rsidRPr="0DFA586A">
        <w:rPr>
          <w:lang w:eastAsia="en-US"/>
        </w:rPr>
        <w:t xml:space="preserve"> </w:t>
      </w:r>
      <w:r w:rsidR="00A913A2" w:rsidRPr="0DFA586A">
        <w:rPr>
          <w:lang w:eastAsia="en-US"/>
        </w:rPr>
        <w:t xml:space="preserve">agencies </w:t>
      </w:r>
      <w:r w:rsidRPr="0DFA586A">
        <w:rPr>
          <w:lang w:eastAsia="en-US"/>
        </w:rPr>
        <w:t>would be adequately incentivised to do so</w:t>
      </w:r>
      <w:r w:rsidR="007A76EC" w:rsidRPr="0DFA586A">
        <w:rPr>
          <w:lang w:eastAsia="en-US"/>
        </w:rPr>
        <w:t xml:space="preserve"> </w:t>
      </w:r>
      <w:r w:rsidRPr="0DFA586A">
        <w:rPr>
          <w:lang w:eastAsia="en-US"/>
        </w:rPr>
        <w:t>without a charging framework underpinned by legislation.</w:t>
      </w:r>
    </w:p>
    <w:p w14:paraId="47A734E3" w14:textId="39B7B6A1" w:rsidR="00E6232E" w:rsidRPr="000B7589" w:rsidRDefault="00E6232E" w:rsidP="00D55359">
      <w:pPr>
        <w:pStyle w:val="BodyText"/>
        <w:rPr>
          <w:lang w:eastAsia="en-US"/>
        </w:rPr>
      </w:pPr>
      <w:r w:rsidRPr="000B7589">
        <w:rPr>
          <w:lang w:eastAsia="en-US"/>
        </w:rPr>
        <w:lastRenderedPageBreak/>
        <w:t xml:space="preserve">This problem presents a fundamental obstacle to </w:t>
      </w:r>
      <w:r w:rsidR="008E1210">
        <w:rPr>
          <w:lang w:eastAsia="en-US"/>
        </w:rPr>
        <w:t xml:space="preserve">Digital ID </w:t>
      </w:r>
      <w:r w:rsidRPr="000B7589">
        <w:rPr>
          <w:lang w:eastAsia="en-US"/>
        </w:rPr>
        <w:t>expansion</w:t>
      </w:r>
      <w:r w:rsidR="008E1210">
        <w:rPr>
          <w:lang w:eastAsia="en-US"/>
        </w:rPr>
        <w:t xml:space="preserve"> across the economy</w:t>
      </w:r>
      <w:r w:rsidRPr="000B7589">
        <w:rPr>
          <w:lang w:eastAsia="en-US"/>
        </w:rPr>
        <w:t>, and therefore impacts a broad range of stakeholders who would potentially benefit from such expansion</w:t>
      </w:r>
      <w:r w:rsidR="00DC4DFF">
        <w:rPr>
          <w:lang w:eastAsia="en-US"/>
        </w:rPr>
        <w:t>,</w:t>
      </w:r>
      <w:r w:rsidRPr="000B7589">
        <w:rPr>
          <w:lang w:eastAsia="en-US"/>
        </w:rPr>
        <w:t xml:space="preserve"> including current and potential </w:t>
      </w:r>
      <w:r w:rsidR="00B57D75">
        <w:rPr>
          <w:lang w:eastAsia="en-US"/>
        </w:rPr>
        <w:t>p</w:t>
      </w:r>
      <w:r w:rsidRPr="000B7589">
        <w:rPr>
          <w:lang w:eastAsia="en-US"/>
        </w:rPr>
        <w:t xml:space="preserve">articipants, </w:t>
      </w:r>
      <w:r w:rsidR="007F0E75">
        <w:rPr>
          <w:lang w:eastAsia="en-US"/>
        </w:rPr>
        <w:t>r</w:t>
      </w:r>
      <w:r w:rsidRPr="000B7589">
        <w:rPr>
          <w:lang w:eastAsia="en-US"/>
        </w:rPr>
        <w:t xml:space="preserve">elying </w:t>
      </w:r>
      <w:r w:rsidR="007F0E75">
        <w:rPr>
          <w:lang w:eastAsia="en-US"/>
        </w:rPr>
        <w:t>p</w:t>
      </w:r>
      <w:r w:rsidRPr="000B7589">
        <w:rPr>
          <w:lang w:eastAsia="en-US"/>
        </w:rPr>
        <w:t xml:space="preserve">arties and </w:t>
      </w:r>
      <w:r w:rsidR="007F0E75">
        <w:rPr>
          <w:lang w:eastAsia="en-US"/>
        </w:rPr>
        <w:t>u</w:t>
      </w:r>
      <w:r w:rsidR="0002270C">
        <w:rPr>
          <w:lang w:eastAsia="en-US"/>
        </w:rPr>
        <w:t>sers</w:t>
      </w:r>
      <w:r w:rsidRPr="000B7589">
        <w:rPr>
          <w:lang w:eastAsia="en-US"/>
        </w:rPr>
        <w:t>. It also has a broader impact on the economy and community at large, due to the foregone benefits of an expa</w:t>
      </w:r>
      <w:r w:rsidR="008E1210">
        <w:rPr>
          <w:lang w:eastAsia="en-US"/>
        </w:rPr>
        <w:t>nsion beyond AGDIS</w:t>
      </w:r>
      <w:r w:rsidRPr="000B7589">
        <w:rPr>
          <w:lang w:eastAsia="en-US"/>
        </w:rPr>
        <w:t>.</w:t>
      </w:r>
    </w:p>
    <w:p w14:paraId="74A4D27C" w14:textId="43470769" w:rsidR="00E6232E" w:rsidRPr="00CF48C1" w:rsidRDefault="00E6232E" w:rsidP="000C11D7">
      <w:pPr>
        <w:pStyle w:val="Heading3NoNumbers"/>
        <w:rPr>
          <w:color w:val="008675"/>
          <w:lang w:eastAsia="en-US"/>
        </w:rPr>
      </w:pPr>
      <w:bookmarkStart w:id="160" w:name="_Toc61605155"/>
      <w:bookmarkStart w:id="161" w:name="_Toc61618220"/>
      <w:bookmarkStart w:id="162" w:name="_Ref63154240"/>
      <w:bookmarkStart w:id="163" w:name="_Toc64549247"/>
      <w:bookmarkStart w:id="164" w:name="_Ref72159716"/>
      <w:bookmarkStart w:id="165" w:name="_Toc80884660"/>
      <w:bookmarkStart w:id="166" w:name="_Toc84925786"/>
      <w:bookmarkStart w:id="167" w:name="_Toc86070003"/>
      <w:r w:rsidRPr="00CF48C1">
        <w:rPr>
          <w:color w:val="008675"/>
          <w:lang w:eastAsia="en-US"/>
        </w:rPr>
        <w:t xml:space="preserve">3.2.2 Lack of </w:t>
      </w:r>
      <w:r w:rsidR="00082E69" w:rsidRPr="00CF48C1">
        <w:rPr>
          <w:color w:val="008675"/>
          <w:lang w:eastAsia="en-US"/>
        </w:rPr>
        <w:t>t</w:t>
      </w:r>
      <w:r w:rsidRPr="00CF48C1">
        <w:rPr>
          <w:color w:val="008675"/>
          <w:lang w:eastAsia="en-US"/>
        </w:rPr>
        <w:t xml:space="preserve">rust in </w:t>
      </w:r>
      <w:r w:rsidR="00082E69" w:rsidRPr="00CF48C1">
        <w:rPr>
          <w:color w:val="008675"/>
          <w:lang w:eastAsia="en-US"/>
        </w:rPr>
        <w:t>p</w:t>
      </w:r>
      <w:r w:rsidRPr="00CF48C1">
        <w:rPr>
          <w:color w:val="008675"/>
          <w:lang w:eastAsia="en-US"/>
        </w:rPr>
        <w:t xml:space="preserve">rivacy and </w:t>
      </w:r>
      <w:r w:rsidR="00082E69" w:rsidRPr="00CF48C1">
        <w:rPr>
          <w:color w:val="008675"/>
          <w:lang w:eastAsia="en-US"/>
        </w:rPr>
        <w:t>s</w:t>
      </w:r>
      <w:r w:rsidRPr="00CF48C1">
        <w:rPr>
          <w:color w:val="008675"/>
          <w:lang w:eastAsia="en-US"/>
        </w:rPr>
        <w:t xml:space="preserve">ecurity </w:t>
      </w:r>
      <w:r w:rsidR="00082E69" w:rsidRPr="00CF48C1">
        <w:rPr>
          <w:color w:val="008675"/>
          <w:lang w:eastAsia="en-US"/>
        </w:rPr>
        <w:t>s</w:t>
      </w:r>
      <w:r w:rsidRPr="00CF48C1">
        <w:rPr>
          <w:color w:val="008675"/>
          <w:lang w:eastAsia="en-US"/>
        </w:rPr>
        <w:t>afeguards</w:t>
      </w:r>
      <w:bookmarkEnd w:id="159"/>
      <w:bookmarkEnd w:id="160"/>
      <w:bookmarkEnd w:id="161"/>
      <w:bookmarkEnd w:id="162"/>
      <w:bookmarkEnd w:id="163"/>
      <w:bookmarkEnd w:id="164"/>
      <w:bookmarkEnd w:id="165"/>
      <w:bookmarkEnd w:id="166"/>
      <w:bookmarkEnd w:id="167"/>
    </w:p>
    <w:p w14:paraId="722BE012" w14:textId="06EB888C" w:rsidR="00E6232E" w:rsidRPr="000B7589" w:rsidRDefault="001B6E5F" w:rsidP="00D55359">
      <w:pPr>
        <w:pStyle w:val="BodyText"/>
        <w:rPr>
          <w:lang w:eastAsia="en-US"/>
        </w:rPr>
      </w:pPr>
      <w:r>
        <w:rPr>
          <w:lang w:eastAsia="en-US"/>
        </w:rPr>
        <w:t>AGDIS</w:t>
      </w:r>
      <w:r w:rsidR="003B1CB6" w:rsidRPr="000B7589" w:rsidDel="001B6E5F">
        <w:rPr>
          <w:lang w:eastAsia="en-US"/>
        </w:rPr>
        <w:t xml:space="preserve"> </w:t>
      </w:r>
      <w:r w:rsidR="00E6232E" w:rsidRPr="000B7589">
        <w:rPr>
          <w:lang w:eastAsia="en-US"/>
        </w:rPr>
        <w:t xml:space="preserve">has been designed and built with a central focus on privacy, security and consumer protection. Notwithstanding this, </w:t>
      </w:r>
      <w:r w:rsidR="00702094">
        <w:rPr>
          <w:lang w:eastAsia="en-US"/>
        </w:rPr>
        <w:t xml:space="preserve">an expanded </w:t>
      </w:r>
      <w:r w:rsidR="00F72743">
        <w:rPr>
          <w:lang w:eastAsia="en-US"/>
        </w:rPr>
        <w:t>Digital ID market</w:t>
      </w:r>
      <w:r w:rsidR="00702094">
        <w:rPr>
          <w:lang w:eastAsia="en-US"/>
        </w:rPr>
        <w:t xml:space="preserve"> </w:t>
      </w:r>
      <w:r w:rsidR="009A56C3">
        <w:rPr>
          <w:lang w:eastAsia="en-US"/>
        </w:rPr>
        <w:t xml:space="preserve">may render certain </w:t>
      </w:r>
      <w:r w:rsidR="00E6232E" w:rsidRPr="000B7589">
        <w:rPr>
          <w:lang w:eastAsia="en-US"/>
        </w:rPr>
        <w:t xml:space="preserve">aspects of privacy and security </w:t>
      </w:r>
      <w:r w:rsidR="009A56C3">
        <w:rPr>
          <w:lang w:eastAsia="en-US"/>
        </w:rPr>
        <w:t xml:space="preserve">more difficult to enforce if not backed by </w:t>
      </w:r>
      <w:r w:rsidR="007C502B">
        <w:rPr>
          <w:lang w:eastAsia="en-US"/>
        </w:rPr>
        <w:t>legislation</w:t>
      </w:r>
      <w:r w:rsidR="009A56C3">
        <w:rPr>
          <w:lang w:eastAsia="en-US"/>
        </w:rPr>
        <w:t xml:space="preserve">, </w:t>
      </w:r>
      <w:r w:rsidR="00E6232E" w:rsidRPr="000B7589">
        <w:rPr>
          <w:lang w:eastAsia="en-US"/>
        </w:rPr>
        <w:t xml:space="preserve">with potential adverse impacts upon the level of trust and confidence Australians have in </w:t>
      </w:r>
      <w:r w:rsidR="00F72743">
        <w:rPr>
          <w:lang w:eastAsia="en-US"/>
        </w:rPr>
        <w:t>using Digital ID</w:t>
      </w:r>
      <w:r w:rsidR="00E6232E" w:rsidRPr="000B7589">
        <w:rPr>
          <w:lang w:eastAsia="en-US"/>
        </w:rPr>
        <w:t xml:space="preserve">. </w:t>
      </w:r>
    </w:p>
    <w:p w14:paraId="18400AA7" w14:textId="6D055203" w:rsidR="00E6232E" w:rsidRPr="00CF48C1" w:rsidRDefault="00E6232E" w:rsidP="0036415F">
      <w:pPr>
        <w:pStyle w:val="Heading4NoNumbers"/>
        <w:rPr>
          <w:color w:val="008675"/>
          <w:lang w:eastAsia="en-US"/>
        </w:rPr>
      </w:pPr>
      <w:r w:rsidRPr="00CF48C1">
        <w:rPr>
          <w:color w:val="008675"/>
          <w:lang w:eastAsia="en-US"/>
        </w:rPr>
        <w:t xml:space="preserve">Privacy and </w:t>
      </w:r>
      <w:r w:rsidR="00082E69" w:rsidRPr="00CF48C1">
        <w:rPr>
          <w:color w:val="008675"/>
          <w:lang w:eastAsia="en-US"/>
        </w:rPr>
        <w:t>s</w:t>
      </w:r>
      <w:r w:rsidRPr="00CF48C1">
        <w:rPr>
          <w:color w:val="008675"/>
          <w:lang w:eastAsia="en-US"/>
        </w:rPr>
        <w:t xml:space="preserve">ecurity by </w:t>
      </w:r>
      <w:r w:rsidR="00082E69" w:rsidRPr="00CF48C1">
        <w:rPr>
          <w:color w:val="008675"/>
          <w:lang w:eastAsia="en-US"/>
        </w:rPr>
        <w:t>d</w:t>
      </w:r>
      <w:r w:rsidRPr="00CF48C1">
        <w:rPr>
          <w:color w:val="008675"/>
          <w:lang w:eastAsia="en-US"/>
        </w:rPr>
        <w:t>esign</w:t>
      </w:r>
    </w:p>
    <w:p w14:paraId="6BE562BC" w14:textId="41D8A365" w:rsidR="00E6232E" w:rsidRPr="000B7589" w:rsidRDefault="00F72743" w:rsidP="00D55359">
      <w:pPr>
        <w:pStyle w:val="BodyText"/>
        <w:rPr>
          <w:lang w:eastAsia="en-US"/>
        </w:rPr>
      </w:pPr>
      <w:r>
        <w:rPr>
          <w:lang w:eastAsia="en-US"/>
        </w:rPr>
        <w:t>Digital ID under AGDIS</w:t>
      </w:r>
      <w:r w:rsidR="00E6232E" w:rsidRPr="000B7589">
        <w:rPr>
          <w:lang w:eastAsia="en-US"/>
        </w:rPr>
        <w:t xml:space="preserve"> is designed to ensure the privacy of individuals is protected and strong safeguards are in place to protect data and personal information. While using </w:t>
      </w:r>
      <w:r w:rsidR="00EB2443">
        <w:rPr>
          <w:lang w:eastAsia="en-US"/>
        </w:rPr>
        <w:t>Digital ID</w:t>
      </w:r>
      <w:r w:rsidR="00E6232E" w:rsidRPr="000B7589">
        <w:rPr>
          <w:lang w:eastAsia="en-US"/>
        </w:rPr>
        <w:t>, personal information is securely encrypted</w:t>
      </w:r>
      <w:r w:rsidR="00FD48BF">
        <w:rPr>
          <w:lang w:eastAsia="en-US"/>
        </w:rPr>
        <w:t xml:space="preserve"> </w:t>
      </w:r>
      <w:r w:rsidR="00E6232E" w:rsidRPr="000B7589">
        <w:rPr>
          <w:lang w:eastAsia="en-US"/>
        </w:rPr>
        <w:t xml:space="preserve">and protected by strict Australian </w:t>
      </w:r>
      <w:r w:rsidR="00CA5435">
        <w:rPr>
          <w:lang w:eastAsia="en-US"/>
        </w:rPr>
        <w:t>G</w:t>
      </w:r>
      <w:r w:rsidR="00E6232E" w:rsidRPr="000B7589">
        <w:rPr>
          <w:lang w:eastAsia="en-US"/>
        </w:rPr>
        <w:t xml:space="preserve">overnment security protocols. Additionally, the TDIF </w:t>
      </w:r>
      <w:r w:rsidR="000317CE">
        <w:rPr>
          <w:lang w:eastAsia="en-US"/>
        </w:rPr>
        <w:t>framework</w:t>
      </w:r>
      <w:r w:rsidR="000317CE" w:rsidRPr="000B7589">
        <w:rPr>
          <w:lang w:eastAsia="en-US"/>
        </w:rPr>
        <w:t xml:space="preserve"> </w:t>
      </w:r>
      <w:r w:rsidR="00E6232E" w:rsidRPr="000B7589">
        <w:rPr>
          <w:lang w:eastAsia="en-US"/>
        </w:rPr>
        <w:t xml:space="preserve">governing </w:t>
      </w:r>
      <w:r w:rsidR="00347934">
        <w:rPr>
          <w:lang w:eastAsia="en-US"/>
        </w:rPr>
        <w:t xml:space="preserve">the </w:t>
      </w:r>
      <w:r w:rsidR="00E6232E" w:rsidRPr="000B7589">
        <w:rPr>
          <w:lang w:eastAsia="en-US"/>
        </w:rPr>
        <w:t xml:space="preserve">use of the </w:t>
      </w:r>
      <w:r w:rsidR="00E265C9">
        <w:rPr>
          <w:lang w:eastAsia="en-US"/>
        </w:rPr>
        <w:t xml:space="preserve">Digital ID </w:t>
      </w:r>
      <w:r w:rsidR="00E6232E" w:rsidRPr="000B7589">
        <w:rPr>
          <w:lang w:eastAsia="en-US"/>
        </w:rPr>
        <w:t>currently include</w:t>
      </w:r>
      <w:r w:rsidR="000317CE">
        <w:rPr>
          <w:lang w:eastAsia="en-US"/>
        </w:rPr>
        <w:t>s</w:t>
      </w:r>
      <w:r w:rsidR="00E6232E" w:rsidRPr="000B7589">
        <w:rPr>
          <w:lang w:eastAsia="en-US"/>
        </w:rPr>
        <w:t xml:space="preserve"> a range of </w:t>
      </w:r>
      <w:r w:rsidR="00024ADB">
        <w:rPr>
          <w:lang w:eastAsia="en-US"/>
        </w:rPr>
        <w:t>AGDIS</w:t>
      </w:r>
      <w:r w:rsidR="00E6232E" w:rsidRPr="000B7589">
        <w:rPr>
          <w:lang w:eastAsia="en-US"/>
        </w:rPr>
        <w:t>-specific privacy and consumer protections for individuals. These include:</w:t>
      </w:r>
    </w:p>
    <w:p w14:paraId="5A09BDBB" w14:textId="109FDA63" w:rsidR="00E6232E" w:rsidRPr="000B7589" w:rsidRDefault="00E6232E" w:rsidP="00D55359">
      <w:pPr>
        <w:pStyle w:val="ListBulletLevel1"/>
        <w:rPr>
          <w:rFonts w:eastAsia="Calibri"/>
          <w:lang w:eastAsia="en-US"/>
        </w:rPr>
      </w:pPr>
      <w:r w:rsidRPr="000B7589">
        <w:rPr>
          <w:rFonts w:eastAsia="Calibri"/>
          <w:lang w:eastAsia="en-US"/>
        </w:rPr>
        <w:t>restrictions on the creation and use of a single identifier</w:t>
      </w:r>
    </w:p>
    <w:p w14:paraId="42C09D74" w14:textId="212C0A5C" w:rsidR="00E6232E" w:rsidRPr="000B7589" w:rsidRDefault="00E6232E" w:rsidP="00D55359">
      <w:pPr>
        <w:pStyle w:val="ListBulletLevel1"/>
        <w:rPr>
          <w:rFonts w:eastAsia="Calibri"/>
          <w:lang w:eastAsia="en-US"/>
        </w:rPr>
      </w:pPr>
      <w:r w:rsidRPr="000B7589">
        <w:rPr>
          <w:rFonts w:eastAsia="Calibri"/>
          <w:lang w:eastAsia="en-US"/>
        </w:rPr>
        <w:t>restrictions on data profiling</w:t>
      </w:r>
    </w:p>
    <w:p w14:paraId="726541E8" w14:textId="31962F29" w:rsidR="00E6232E" w:rsidRPr="000B7589" w:rsidRDefault="00E6232E" w:rsidP="00D55359">
      <w:pPr>
        <w:pStyle w:val="ListBulletLevel1"/>
        <w:rPr>
          <w:rFonts w:eastAsia="Calibri"/>
          <w:lang w:eastAsia="en-US"/>
        </w:rPr>
      </w:pPr>
      <w:r w:rsidRPr="000B7589">
        <w:rPr>
          <w:rFonts w:eastAsia="Calibri"/>
          <w:lang w:eastAsia="en-US"/>
        </w:rPr>
        <w:t>restrictions on the collection and use of biometric information</w:t>
      </w:r>
    </w:p>
    <w:p w14:paraId="319E4829" w14:textId="77777777" w:rsidR="00E6232E" w:rsidRPr="000B7589" w:rsidRDefault="00E6232E" w:rsidP="00D55359">
      <w:pPr>
        <w:pStyle w:val="ListBulletLevel1"/>
        <w:rPr>
          <w:rFonts w:eastAsia="Calibri"/>
          <w:lang w:eastAsia="en-US"/>
        </w:rPr>
      </w:pPr>
      <w:r w:rsidRPr="000B7589">
        <w:rPr>
          <w:rFonts w:eastAsia="Calibri"/>
          <w:lang w:eastAsia="en-US"/>
        </w:rPr>
        <w:t>requiring express consent before enabling user authentication to a service.</w:t>
      </w:r>
    </w:p>
    <w:p w14:paraId="20430F82" w14:textId="19BF8A65" w:rsidR="00E6232E" w:rsidRPr="000B7589" w:rsidRDefault="00755138" w:rsidP="00D55359">
      <w:pPr>
        <w:pStyle w:val="BodyText"/>
        <w:rPr>
          <w:lang w:eastAsia="en-US"/>
        </w:rPr>
      </w:pPr>
      <w:r>
        <w:rPr>
          <w:lang w:eastAsia="en-US"/>
        </w:rPr>
        <w:t>Onboarded a</w:t>
      </w:r>
      <w:r w:rsidR="00E6232E" w:rsidRPr="000B7589">
        <w:rPr>
          <w:lang w:eastAsia="en-US"/>
        </w:rPr>
        <w:t xml:space="preserve">ccredited </w:t>
      </w:r>
      <w:r>
        <w:rPr>
          <w:lang w:eastAsia="en-US"/>
        </w:rPr>
        <w:t xml:space="preserve">entities </w:t>
      </w:r>
      <w:r w:rsidR="00E6232E" w:rsidRPr="000B7589">
        <w:rPr>
          <w:lang w:eastAsia="en-US"/>
        </w:rPr>
        <w:t xml:space="preserve">are bound to comply with these </w:t>
      </w:r>
      <w:r w:rsidR="000317CE">
        <w:rPr>
          <w:lang w:eastAsia="en-US"/>
        </w:rPr>
        <w:t>requirements</w:t>
      </w:r>
      <w:r w:rsidR="00E6232E" w:rsidRPr="000B7589">
        <w:rPr>
          <w:lang w:eastAsia="en-US"/>
        </w:rPr>
        <w:t xml:space="preserve">, which are established by the Interim Oversight Authority. A breach may result in a participant </w:t>
      </w:r>
      <w:r w:rsidR="00E6232E" w:rsidRPr="00B57D75">
        <w:rPr>
          <w:lang w:eastAsia="en-US"/>
        </w:rPr>
        <w:t xml:space="preserve">losing its </w:t>
      </w:r>
      <w:r w:rsidR="00B57D75">
        <w:rPr>
          <w:lang w:eastAsia="en-US"/>
        </w:rPr>
        <w:t>a</w:t>
      </w:r>
      <w:r w:rsidR="00E6232E" w:rsidRPr="00B57D75">
        <w:rPr>
          <w:lang w:eastAsia="en-US"/>
        </w:rPr>
        <w:t>ccreditation status. However, the TDIF is not law, and the Interim</w:t>
      </w:r>
      <w:r w:rsidR="00E6232E" w:rsidRPr="000B7589">
        <w:rPr>
          <w:lang w:eastAsia="en-US"/>
        </w:rPr>
        <w:t xml:space="preserve"> Oversight Authority has no legal or regulatory enforcement powers outside the established governance arrangements. As a result, </w:t>
      </w:r>
      <w:r w:rsidR="00AC0451">
        <w:rPr>
          <w:lang w:eastAsia="en-US"/>
        </w:rPr>
        <w:t xml:space="preserve">the Interim Oversight Authority </w:t>
      </w:r>
      <w:r w:rsidR="00C636B1">
        <w:rPr>
          <w:lang w:eastAsia="en-US"/>
        </w:rPr>
        <w:t>has limited ability to enforce</w:t>
      </w:r>
      <w:r w:rsidR="00313BFC">
        <w:rPr>
          <w:lang w:eastAsia="en-US"/>
        </w:rPr>
        <w:t xml:space="preserve"> existing</w:t>
      </w:r>
      <w:r w:rsidR="00C636B1">
        <w:rPr>
          <w:lang w:eastAsia="en-US"/>
        </w:rPr>
        <w:t xml:space="preserve"> requirements </w:t>
      </w:r>
      <w:r w:rsidR="00E6232E" w:rsidRPr="000B7589">
        <w:rPr>
          <w:lang w:eastAsia="en-US"/>
        </w:rPr>
        <w:t xml:space="preserve">unless </w:t>
      </w:r>
      <w:r w:rsidR="00C636B1">
        <w:rPr>
          <w:lang w:eastAsia="en-US"/>
        </w:rPr>
        <w:t xml:space="preserve">they </w:t>
      </w:r>
      <w:r w:rsidR="00E6232E" w:rsidRPr="000B7589">
        <w:rPr>
          <w:lang w:eastAsia="en-US"/>
        </w:rPr>
        <w:t xml:space="preserve">are also contained in other applicable legislation or regulations. This is a manageable state of affairs when all participants are </w:t>
      </w:r>
      <w:r w:rsidR="000D1176">
        <w:rPr>
          <w:lang w:eastAsia="en-US"/>
        </w:rPr>
        <w:t>Australian</w:t>
      </w:r>
      <w:r w:rsidR="000D1176" w:rsidRPr="000B7589">
        <w:rPr>
          <w:lang w:eastAsia="en-US"/>
        </w:rPr>
        <w:t xml:space="preserve"> </w:t>
      </w:r>
      <w:r w:rsidR="000D1176">
        <w:rPr>
          <w:lang w:eastAsia="en-US"/>
        </w:rPr>
        <w:t>G</w:t>
      </w:r>
      <w:r w:rsidR="000D1176" w:rsidRPr="000B7589">
        <w:rPr>
          <w:lang w:eastAsia="en-US"/>
        </w:rPr>
        <w:t xml:space="preserve">overnment </w:t>
      </w:r>
      <w:r w:rsidR="002C2004" w:rsidRPr="000B7589">
        <w:rPr>
          <w:lang w:eastAsia="en-US"/>
        </w:rPr>
        <w:t>entities but</w:t>
      </w:r>
      <w:r w:rsidR="00E6232E" w:rsidRPr="000B7589">
        <w:rPr>
          <w:lang w:eastAsia="en-US"/>
        </w:rPr>
        <w:t xml:space="preserve"> is not sustainable if </w:t>
      </w:r>
      <w:r w:rsidR="00313BFC">
        <w:rPr>
          <w:lang w:eastAsia="en-US"/>
        </w:rPr>
        <w:t>Digital ID</w:t>
      </w:r>
      <w:r w:rsidR="00E6232E" w:rsidRPr="000B7589">
        <w:rPr>
          <w:lang w:eastAsia="en-US"/>
        </w:rPr>
        <w:t xml:space="preserve"> were to expand to encompass other </w:t>
      </w:r>
      <w:r w:rsidR="00313BFC">
        <w:rPr>
          <w:lang w:eastAsia="en-US"/>
        </w:rPr>
        <w:t>accredited entities</w:t>
      </w:r>
      <w:r w:rsidR="00E6232E" w:rsidRPr="000B7589">
        <w:rPr>
          <w:lang w:eastAsia="en-US"/>
        </w:rPr>
        <w:t xml:space="preserve">. </w:t>
      </w:r>
    </w:p>
    <w:p w14:paraId="47B6B40F" w14:textId="23966B03" w:rsidR="00E6232E" w:rsidRPr="00CF48C1" w:rsidRDefault="00E6232E" w:rsidP="0036415F">
      <w:pPr>
        <w:pStyle w:val="Heading4NoNumbers"/>
        <w:rPr>
          <w:color w:val="008675"/>
          <w:lang w:eastAsia="en-US"/>
        </w:rPr>
      </w:pPr>
      <w:r w:rsidRPr="00CF48C1">
        <w:rPr>
          <w:color w:val="008675"/>
          <w:lang w:eastAsia="en-US"/>
        </w:rPr>
        <w:lastRenderedPageBreak/>
        <w:t xml:space="preserve">Existing </w:t>
      </w:r>
      <w:r w:rsidR="00082E69" w:rsidRPr="00CF48C1">
        <w:rPr>
          <w:color w:val="008675"/>
          <w:lang w:eastAsia="en-US"/>
        </w:rPr>
        <w:t>p</w:t>
      </w:r>
      <w:r w:rsidRPr="00CF48C1">
        <w:rPr>
          <w:color w:val="008675"/>
          <w:lang w:eastAsia="en-US"/>
        </w:rPr>
        <w:t xml:space="preserve">rivacy </w:t>
      </w:r>
      <w:r w:rsidR="00082E69" w:rsidRPr="00CF48C1">
        <w:rPr>
          <w:color w:val="008675"/>
          <w:lang w:eastAsia="en-US"/>
        </w:rPr>
        <w:t>s</w:t>
      </w:r>
      <w:r w:rsidRPr="00CF48C1">
        <w:rPr>
          <w:color w:val="008675"/>
          <w:lang w:eastAsia="en-US"/>
        </w:rPr>
        <w:t>afeguards</w:t>
      </w:r>
    </w:p>
    <w:p w14:paraId="47268861" w14:textId="71A1095F" w:rsidR="00E6232E" w:rsidRPr="000B7589" w:rsidRDefault="00E6232E" w:rsidP="00D55359">
      <w:pPr>
        <w:pStyle w:val="BodyText"/>
        <w:rPr>
          <w:lang w:eastAsia="en-US"/>
        </w:rPr>
      </w:pPr>
      <w:r w:rsidRPr="78F42BF0">
        <w:rPr>
          <w:lang w:eastAsia="en-US"/>
        </w:rPr>
        <w:t xml:space="preserve">This existing framework of legal and other requirements, which also may apply to the activities of </w:t>
      </w:r>
      <w:r w:rsidR="00E779C8" w:rsidRPr="78F42BF0">
        <w:rPr>
          <w:lang w:eastAsia="en-US"/>
        </w:rPr>
        <w:t xml:space="preserve">onboarded </w:t>
      </w:r>
      <w:r w:rsidR="00317DBF" w:rsidRPr="78F42BF0">
        <w:rPr>
          <w:lang w:eastAsia="en-US"/>
        </w:rPr>
        <w:t>a</w:t>
      </w:r>
      <w:r w:rsidRPr="78F42BF0">
        <w:rPr>
          <w:lang w:eastAsia="en-US"/>
        </w:rPr>
        <w:t xml:space="preserve">ccredited </w:t>
      </w:r>
      <w:r w:rsidR="00335BF5" w:rsidRPr="78F42BF0">
        <w:rPr>
          <w:lang w:eastAsia="en-US"/>
        </w:rPr>
        <w:t>entities</w:t>
      </w:r>
      <w:r w:rsidRPr="78F42BF0">
        <w:rPr>
          <w:lang w:eastAsia="en-US"/>
        </w:rPr>
        <w:t xml:space="preserve">, includes the </w:t>
      </w:r>
      <w:r w:rsidRPr="78F42BF0">
        <w:rPr>
          <w:i/>
          <w:iCs/>
          <w:lang w:eastAsia="en-US"/>
        </w:rPr>
        <w:t xml:space="preserve">Privacy Act 1988 </w:t>
      </w:r>
      <w:r w:rsidRPr="78F42BF0">
        <w:rPr>
          <w:lang w:eastAsia="en-US"/>
        </w:rPr>
        <w:t>(</w:t>
      </w:r>
      <w:bookmarkStart w:id="168" w:name="_Int_A6U0BbVW"/>
      <w:proofErr w:type="spellStart"/>
      <w:r w:rsidRPr="78F42BF0">
        <w:rPr>
          <w:lang w:eastAsia="en-US"/>
        </w:rPr>
        <w:t>Cth</w:t>
      </w:r>
      <w:bookmarkEnd w:id="168"/>
      <w:proofErr w:type="spellEnd"/>
      <w:r w:rsidRPr="78F42BF0">
        <w:rPr>
          <w:lang w:eastAsia="en-US"/>
        </w:rPr>
        <w:t>) (Privacy Act), Australian Privacy Principles</w:t>
      </w:r>
      <w:r w:rsidR="00CC4FF2" w:rsidRPr="78F42BF0">
        <w:rPr>
          <w:lang w:eastAsia="en-US"/>
        </w:rPr>
        <w:t>,</w:t>
      </w:r>
      <w:r w:rsidRPr="78F42BF0">
        <w:rPr>
          <w:lang w:eastAsia="en-US"/>
        </w:rPr>
        <w:t xml:space="preserve"> </w:t>
      </w:r>
      <w:r w:rsidR="0002608E" w:rsidRPr="78F42BF0">
        <w:rPr>
          <w:lang w:eastAsia="en-US"/>
        </w:rPr>
        <w:t xml:space="preserve">Australian Government Agencies </w:t>
      </w:r>
      <w:r w:rsidRPr="78F42BF0">
        <w:rPr>
          <w:lang w:eastAsia="en-US"/>
        </w:rPr>
        <w:t xml:space="preserve">Privacy Code, Information Security Registered Assessors Program, Australian Government Protective Security Policy Framework and Information Security Manual and Australian Signals Directorate’s Essential Eight cyber security mitigations. </w:t>
      </w:r>
    </w:p>
    <w:p w14:paraId="2C4ABE6A" w14:textId="5CB2739C" w:rsidR="00E6232E" w:rsidRPr="000B7589" w:rsidRDefault="00E6232E" w:rsidP="00D55359">
      <w:pPr>
        <w:pStyle w:val="BodyText"/>
        <w:rPr>
          <w:lang w:eastAsia="en-US"/>
        </w:rPr>
      </w:pPr>
      <w:r w:rsidRPr="000B7589">
        <w:rPr>
          <w:lang w:eastAsia="en-US"/>
        </w:rPr>
        <w:t>The Privacy Act is Australia’s principal piece of legislation for the protection of personal information, including its handling, collection, use, storage and disclosures</w:t>
      </w:r>
      <w:r w:rsidR="003B22BA">
        <w:rPr>
          <w:lang w:eastAsia="en-US"/>
        </w:rPr>
        <w:t xml:space="preserve"> </w:t>
      </w:r>
      <w:r w:rsidR="003B22BA" w:rsidRPr="00B1529C">
        <w:rPr>
          <w:lang w:eastAsia="en-US"/>
        </w:rPr>
        <w:t xml:space="preserve">(source: </w:t>
      </w:r>
      <w:r w:rsidR="003B22BA" w:rsidRPr="002A0522">
        <w:rPr>
          <w:rFonts w:eastAsia="Calibri"/>
          <w:lang w:eastAsia="en-US"/>
        </w:rPr>
        <w:t xml:space="preserve">Commonwealth Attorney-General’s Department 2021, </w:t>
      </w:r>
      <w:hyperlink r:id="rId46" w:history="1">
        <w:r w:rsidR="003B22BA" w:rsidRPr="00CF48C1">
          <w:rPr>
            <w:rStyle w:val="Hyperlink"/>
            <w:rFonts w:eastAsia="Calibri"/>
            <w:color w:val="008675"/>
            <w:lang w:eastAsia="en-US"/>
          </w:rPr>
          <w:t>Privacy</w:t>
        </w:r>
      </w:hyperlink>
      <w:r w:rsidR="003B22BA" w:rsidRPr="002A0522">
        <w:rPr>
          <w:rFonts w:eastAsia="Calibri"/>
          <w:i/>
          <w:lang w:eastAsia="en-US"/>
        </w:rPr>
        <w:t>)</w:t>
      </w:r>
      <w:r w:rsidRPr="00B1529C">
        <w:rPr>
          <w:lang w:eastAsia="en-US"/>
        </w:rPr>
        <w:t>. There are various circumstances</w:t>
      </w:r>
      <w:r w:rsidRPr="000B7589">
        <w:rPr>
          <w:lang w:eastAsia="en-US"/>
        </w:rPr>
        <w:t xml:space="preserve"> in which an entity may be excluded from compliance with the Privacy Act. For example, in many cases, the acts and practices of state and territory agencies, private individuals, universities, and small business operators are not covered by the Privacy Act</w:t>
      </w:r>
      <w:r w:rsidR="00B81259">
        <w:rPr>
          <w:lang w:eastAsia="en-US"/>
        </w:rPr>
        <w:t xml:space="preserve"> (source: </w:t>
      </w:r>
      <w:r w:rsidR="00B81259" w:rsidRPr="002651B1">
        <w:rPr>
          <w:rFonts w:eastAsia="Calibri"/>
          <w:szCs w:val="16"/>
          <w:lang w:eastAsia="en-US"/>
        </w:rPr>
        <w:t xml:space="preserve">Office of the Australian Information Commissioner 2021, </w:t>
      </w:r>
      <w:hyperlink r:id="rId47" w:history="1">
        <w:r w:rsidR="00B81259" w:rsidRPr="00CF48C1">
          <w:rPr>
            <w:rStyle w:val="Hyperlink"/>
            <w:rFonts w:eastAsia="Calibri"/>
            <w:color w:val="008675"/>
            <w:szCs w:val="16"/>
            <w:lang w:eastAsia="en-US"/>
          </w:rPr>
          <w:t>Rights and responsibilities</w:t>
        </w:r>
      </w:hyperlink>
      <w:r w:rsidR="00B81259">
        <w:rPr>
          <w:rFonts w:eastAsia="Calibri"/>
          <w:i/>
          <w:iCs/>
          <w:szCs w:val="16"/>
          <w:lang w:eastAsia="en-US"/>
        </w:rPr>
        <w:t>)</w:t>
      </w:r>
      <w:r w:rsidR="00B81259" w:rsidRPr="002651B1">
        <w:rPr>
          <w:rFonts w:eastAsia="Calibri"/>
          <w:szCs w:val="16"/>
          <w:lang w:eastAsia="en-US"/>
        </w:rPr>
        <w:t>.</w:t>
      </w:r>
      <w:r w:rsidRPr="000B7589">
        <w:rPr>
          <w:lang w:eastAsia="en-US"/>
        </w:rPr>
        <w:t xml:space="preserve"> In the absence of </w:t>
      </w:r>
      <w:r w:rsidR="007E10CE">
        <w:rPr>
          <w:lang w:eastAsia="en-US"/>
        </w:rPr>
        <w:t>AGDIS</w:t>
      </w:r>
      <w:r w:rsidRPr="000B7589">
        <w:rPr>
          <w:lang w:eastAsia="en-US"/>
        </w:rPr>
        <w:t xml:space="preserve">-specific legislative requirements, the legal obligations applying to a </w:t>
      </w:r>
      <w:r w:rsidR="00CC4FF2">
        <w:rPr>
          <w:lang w:eastAsia="en-US"/>
        </w:rPr>
        <w:t>p</w:t>
      </w:r>
      <w:r w:rsidRPr="000B7589">
        <w:rPr>
          <w:lang w:eastAsia="en-US"/>
        </w:rPr>
        <w:t xml:space="preserve">articipant’s activities within the </w:t>
      </w:r>
      <w:r w:rsidR="007E10CE">
        <w:rPr>
          <w:lang w:eastAsia="en-US"/>
        </w:rPr>
        <w:t>AGDIS</w:t>
      </w:r>
      <w:r w:rsidR="007E10CE" w:rsidRPr="0DFA586A">
        <w:rPr>
          <w:lang w:eastAsia="en-US"/>
        </w:rPr>
        <w:t xml:space="preserve"> </w:t>
      </w:r>
      <w:r w:rsidRPr="000B7589">
        <w:rPr>
          <w:lang w:eastAsia="en-US"/>
        </w:rPr>
        <w:t xml:space="preserve">are dependent upon </w:t>
      </w:r>
      <w:r w:rsidR="006A6770" w:rsidRPr="000B7589">
        <w:rPr>
          <w:lang w:eastAsia="en-US"/>
        </w:rPr>
        <w:t>whether</w:t>
      </w:r>
      <w:r w:rsidRPr="000B7589">
        <w:rPr>
          <w:lang w:eastAsia="en-US"/>
        </w:rPr>
        <w:t xml:space="preserve"> they are bound by the Privacy Act.</w:t>
      </w:r>
    </w:p>
    <w:p w14:paraId="4A77C5CB" w14:textId="04FF8429" w:rsidR="00E6232E" w:rsidRPr="00D24E0A" w:rsidRDefault="00E6232E" w:rsidP="00D55359">
      <w:pPr>
        <w:pStyle w:val="BodyText"/>
        <w:rPr>
          <w:lang w:eastAsia="en-US"/>
        </w:rPr>
      </w:pPr>
      <w:r w:rsidRPr="000B7589">
        <w:rPr>
          <w:lang w:eastAsia="en-US"/>
        </w:rPr>
        <w:t>Currently, where an entity is captured by the Privacy Act’s provisions, the Notifiable Data Breaches Scheme (NDB</w:t>
      </w:r>
      <w:r w:rsidR="003407A4">
        <w:rPr>
          <w:lang w:eastAsia="en-US"/>
        </w:rPr>
        <w:t xml:space="preserve"> </w:t>
      </w:r>
      <w:r w:rsidR="00953815">
        <w:rPr>
          <w:lang w:eastAsia="en-US"/>
        </w:rPr>
        <w:t>S</w:t>
      </w:r>
      <w:r w:rsidR="003407A4">
        <w:rPr>
          <w:lang w:eastAsia="en-US"/>
        </w:rPr>
        <w:t>cheme</w:t>
      </w:r>
      <w:r w:rsidRPr="000B7589">
        <w:rPr>
          <w:lang w:eastAsia="en-US"/>
        </w:rPr>
        <w:t>) mandates reporting to both the affected person/s and the Office of the Australian Information Commissioner (OAIC), when a data breach occurs. However, if an entity is exempt from or has only security obligations under the Privacy Act (such as a small business operator’s obligation to secure Tax File Number information), such reporting requirements will not apply</w:t>
      </w:r>
      <w:r w:rsidR="00026007">
        <w:rPr>
          <w:lang w:eastAsia="en-US"/>
        </w:rPr>
        <w:t xml:space="preserve"> </w:t>
      </w:r>
      <w:r w:rsidR="00026007" w:rsidRPr="00B1529C">
        <w:rPr>
          <w:lang w:eastAsia="en-US"/>
        </w:rPr>
        <w:t>(source</w:t>
      </w:r>
      <w:r w:rsidR="00026007" w:rsidRPr="00D24E0A">
        <w:rPr>
          <w:lang w:eastAsia="en-US"/>
        </w:rPr>
        <w:t xml:space="preserve">: </w:t>
      </w:r>
      <w:r w:rsidR="00026007" w:rsidRPr="002A0522">
        <w:rPr>
          <w:rFonts w:eastAsia="Calibri"/>
          <w:lang w:eastAsia="en-US"/>
        </w:rPr>
        <w:t>O</w:t>
      </w:r>
      <w:r w:rsidR="00714FE9">
        <w:rPr>
          <w:rFonts w:eastAsia="Calibri"/>
          <w:lang w:eastAsia="en-US"/>
        </w:rPr>
        <w:t xml:space="preserve">AIC </w:t>
      </w:r>
      <w:r w:rsidR="00026007" w:rsidRPr="002A0522">
        <w:rPr>
          <w:rFonts w:eastAsia="Calibri"/>
          <w:lang w:eastAsia="en-US"/>
        </w:rPr>
        <w:t xml:space="preserve">2019, </w:t>
      </w:r>
      <w:hyperlink r:id="rId48" w:history="1">
        <w:r w:rsidR="00026007" w:rsidRPr="00CF48C1">
          <w:rPr>
            <w:rStyle w:val="Hyperlink"/>
            <w:rFonts w:eastAsia="Calibri"/>
            <w:color w:val="008675"/>
            <w:lang w:eastAsia="en-US"/>
          </w:rPr>
          <w:t>Part 4: Notifiable Data Breaches Scheme</w:t>
        </w:r>
      </w:hyperlink>
      <w:r w:rsidR="000E0527" w:rsidRPr="00D62AA0">
        <w:rPr>
          <w:rFonts w:eastAsia="Calibri"/>
          <w:lang w:eastAsia="en-US"/>
        </w:rPr>
        <w:t>)</w:t>
      </w:r>
      <w:r w:rsidRPr="00B1529C">
        <w:rPr>
          <w:lang w:eastAsia="en-US"/>
        </w:rPr>
        <w:t xml:space="preserve">. </w:t>
      </w:r>
    </w:p>
    <w:p w14:paraId="6FEBDC0D" w14:textId="53E2FD93" w:rsidR="00E6232E" w:rsidRPr="000B7589" w:rsidRDefault="00E6232E" w:rsidP="00D55359">
      <w:pPr>
        <w:pStyle w:val="BodyText"/>
        <w:rPr>
          <w:lang w:eastAsia="en-US"/>
        </w:rPr>
      </w:pPr>
      <w:r w:rsidRPr="000B7589">
        <w:rPr>
          <w:lang w:eastAsia="en-US"/>
        </w:rPr>
        <w:t xml:space="preserve">The OAIC is the national privacy regulator, responsible for upholding Australia’s privacy legislation and initiatives. The OAIC is allocated various </w:t>
      </w:r>
      <w:hyperlink r:id="rId49" w:history="1">
        <w:r w:rsidRPr="00CF48C1">
          <w:rPr>
            <w:rStyle w:val="Hyperlink"/>
            <w:color w:val="008675"/>
            <w:lang w:eastAsia="en-US"/>
          </w:rPr>
          <w:t>powers and responsibilities</w:t>
        </w:r>
      </w:hyperlink>
      <w:r w:rsidRPr="000B7589">
        <w:rPr>
          <w:lang w:eastAsia="en-US"/>
        </w:rPr>
        <w:t xml:space="preserve"> under </w:t>
      </w:r>
      <w:r w:rsidRPr="004529B5">
        <w:rPr>
          <w:lang w:eastAsia="en-US"/>
        </w:rPr>
        <w:t xml:space="preserve">the </w:t>
      </w:r>
      <w:r w:rsidRPr="002651B1">
        <w:rPr>
          <w:i/>
          <w:iCs/>
          <w:lang w:eastAsia="en-US"/>
        </w:rPr>
        <w:t>Australian Information Commissioner Act 2010</w:t>
      </w:r>
      <w:r w:rsidRPr="004529B5">
        <w:rPr>
          <w:lang w:eastAsia="en-US"/>
        </w:rPr>
        <w:t xml:space="preserve"> (</w:t>
      </w:r>
      <w:proofErr w:type="spellStart"/>
      <w:r w:rsidRPr="004529B5">
        <w:rPr>
          <w:lang w:eastAsia="en-US"/>
        </w:rPr>
        <w:t>Cth</w:t>
      </w:r>
      <w:proofErr w:type="spellEnd"/>
      <w:r w:rsidRPr="004529B5">
        <w:rPr>
          <w:lang w:eastAsia="en-US"/>
        </w:rPr>
        <w:t>)</w:t>
      </w:r>
      <w:r w:rsidR="00775B67">
        <w:rPr>
          <w:lang w:eastAsia="en-US"/>
        </w:rPr>
        <w:t xml:space="preserve"> (‘AIC Act’)</w:t>
      </w:r>
      <w:r w:rsidRPr="004529B5">
        <w:rPr>
          <w:lang w:eastAsia="en-US"/>
        </w:rPr>
        <w:t>,</w:t>
      </w:r>
      <w:r w:rsidRPr="000B7589">
        <w:rPr>
          <w:lang w:eastAsia="en-US"/>
        </w:rPr>
        <w:t xml:space="preserve"> including investigating potential acts or practices which breach privacy legislation, conducting privacy assessments on entities’ handling of personal information, and compelling entities to develop enforceable privacy codes</w:t>
      </w:r>
      <w:r w:rsidR="007C77E0" w:rsidRPr="002651B1">
        <w:rPr>
          <w:rFonts w:eastAsia="Calibri"/>
          <w:szCs w:val="16"/>
          <w:lang w:eastAsia="en-US"/>
        </w:rPr>
        <w:t>.</w:t>
      </w:r>
    </w:p>
    <w:p w14:paraId="4665E0B9" w14:textId="648B8BBC" w:rsidR="00E6232E" w:rsidRPr="00CF48C1" w:rsidRDefault="00E6232E" w:rsidP="0036415F">
      <w:pPr>
        <w:pStyle w:val="Heading4NoNumbers"/>
        <w:rPr>
          <w:color w:val="008675"/>
          <w:lang w:eastAsia="en-US"/>
        </w:rPr>
      </w:pPr>
      <w:bookmarkStart w:id="169" w:name="_Ref72159708"/>
      <w:r w:rsidRPr="00CF48C1">
        <w:rPr>
          <w:color w:val="008675"/>
          <w:lang w:eastAsia="en-US"/>
        </w:rPr>
        <w:lastRenderedPageBreak/>
        <w:t>Potential</w:t>
      </w:r>
      <w:r w:rsidR="00026007" w:rsidRPr="00CF48C1">
        <w:rPr>
          <w:color w:val="008675"/>
          <w:lang w:eastAsia="en-US"/>
        </w:rPr>
        <w:t xml:space="preserve"> </w:t>
      </w:r>
      <w:r w:rsidR="00082E69" w:rsidRPr="00CF48C1">
        <w:rPr>
          <w:color w:val="008675"/>
          <w:lang w:eastAsia="en-US"/>
        </w:rPr>
        <w:t>i</w:t>
      </w:r>
      <w:r w:rsidRPr="00CF48C1">
        <w:rPr>
          <w:color w:val="008675"/>
          <w:lang w:eastAsia="en-US"/>
        </w:rPr>
        <w:t xml:space="preserve">nconsistencies in </w:t>
      </w:r>
      <w:r w:rsidR="00082E69" w:rsidRPr="00CF48C1">
        <w:rPr>
          <w:color w:val="008675"/>
          <w:lang w:eastAsia="en-US"/>
        </w:rPr>
        <w:t>l</w:t>
      </w:r>
      <w:r w:rsidRPr="00CF48C1">
        <w:rPr>
          <w:color w:val="008675"/>
          <w:lang w:eastAsia="en-US"/>
        </w:rPr>
        <w:t xml:space="preserve">egal </w:t>
      </w:r>
      <w:r w:rsidR="00082E69" w:rsidRPr="00CF48C1">
        <w:rPr>
          <w:color w:val="008675"/>
          <w:lang w:eastAsia="en-US"/>
        </w:rPr>
        <w:t>o</w:t>
      </w:r>
      <w:r w:rsidRPr="00CF48C1">
        <w:rPr>
          <w:color w:val="008675"/>
          <w:lang w:eastAsia="en-US"/>
        </w:rPr>
        <w:t xml:space="preserve">bligations </w:t>
      </w:r>
      <w:r w:rsidR="00082E69" w:rsidRPr="00CF48C1">
        <w:rPr>
          <w:color w:val="008675"/>
          <w:lang w:eastAsia="en-US"/>
        </w:rPr>
        <w:t>a</w:t>
      </w:r>
      <w:r w:rsidRPr="00CF48C1">
        <w:rPr>
          <w:color w:val="008675"/>
          <w:lang w:eastAsia="en-US"/>
        </w:rPr>
        <w:t xml:space="preserve">pplying to </w:t>
      </w:r>
      <w:r w:rsidR="00082E69" w:rsidRPr="00CF48C1">
        <w:rPr>
          <w:color w:val="008675"/>
          <w:lang w:eastAsia="en-US"/>
        </w:rPr>
        <w:t>p</w:t>
      </w:r>
      <w:r w:rsidRPr="00CF48C1">
        <w:rPr>
          <w:color w:val="008675"/>
          <w:lang w:eastAsia="en-US"/>
        </w:rPr>
        <w:t>articipants</w:t>
      </w:r>
      <w:bookmarkEnd w:id="169"/>
      <w:r w:rsidRPr="00CF48C1">
        <w:rPr>
          <w:color w:val="008675"/>
          <w:lang w:eastAsia="en-US"/>
        </w:rPr>
        <w:t xml:space="preserve"> </w:t>
      </w:r>
    </w:p>
    <w:p w14:paraId="4D6AF8BD" w14:textId="25B6AECB" w:rsidR="00E6232E" w:rsidRPr="000B7589" w:rsidRDefault="00E6232E" w:rsidP="00D55359">
      <w:pPr>
        <w:pStyle w:val="BodyText"/>
        <w:rPr>
          <w:lang w:eastAsia="en-US"/>
        </w:rPr>
      </w:pPr>
      <w:r w:rsidRPr="000B7589">
        <w:rPr>
          <w:lang w:eastAsia="en-US"/>
        </w:rPr>
        <w:t>Whilst the above privacy and security protections have provided appropriate coverage for the limited use and participants to date, expansion to non</w:t>
      </w:r>
      <w:r w:rsidR="2157C436" w:rsidRPr="000B7589">
        <w:rPr>
          <w:lang w:eastAsia="en-US"/>
        </w:rPr>
        <w:t>-</w:t>
      </w:r>
      <w:r w:rsidR="006D0B1E">
        <w:rPr>
          <w:lang w:eastAsia="en-US"/>
        </w:rPr>
        <w:noBreakHyphen/>
      </w:r>
      <w:r w:rsidR="00C85BFC">
        <w:rPr>
          <w:lang w:eastAsia="en-US"/>
        </w:rPr>
        <w:t>Commonwealth</w:t>
      </w:r>
      <w:r w:rsidR="00EE251A" w:rsidRPr="000B7589">
        <w:rPr>
          <w:lang w:eastAsia="en-US"/>
        </w:rPr>
        <w:t xml:space="preserve"> </w:t>
      </w:r>
      <w:r w:rsidR="00A913A2">
        <w:rPr>
          <w:lang w:eastAsia="en-US"/>
        </w:rPr>
        <w:t>agencies</w:t>
      </w:r>
      <w:r w:rsidR="00A913A2" w:rsidRPr="000B7589">
        <w:rPr>
          <w:lang w:eastAsia="en-US"/>
        </w:rPr>
        <w:t xml:space="preserve"> </w:t>
      </w:r>
      <w:r w:rsidRPr="000B7589">
        <w:rPr>
          <w:lang w:eastAsia="en-US"/>
        </w:rPr>
        <w:t xml:space="preserve">may result in inconsistent legal coverage. Expanding to a whole-of-economy </w:t>
      </w:r>
      <w:r w:rsidR="00A96230">
        <w:rPr>
          <w:lang w:eastAsia="en-US"/>
        </w:rPr>
        <w:t>Digital ID, including AGDIS and the accreditation scheme,</w:t>
      </w:r>
      <w:r w:rsidR="00E814E2">
        <w:rPr>
          <w:lang w:eastAsia="en-US"/>
        </w:rPr>
        <w:t xml:space="preserve"> </w:t>
      </w:r>
      <w:r w:rsidRPr="000B7589">
        <w:rPr>
          <w:lang w:eastAsia="en-US"/>
        </w:rPr>
        <w:t xml:space="preserve">under existing privacy and security settings, may surface the below potential gaps across </w:t>
      </w:r>
      <w:r w:rsidR="00035A49">
        <w:rPr>
          <w:lang w:eastAsia="en-US"/>
        </w:rPr>
        <w:t>Australian Government</w:t>
      </w:r>
      <w:r w:rsidRPr="000B7589">
        <w:rPr>
          <w:lang w:eastAsia="en-US"/>
        </w:rPr>
        <w:t xml:space="preserve">, state and territory level legislation: </w:t>
      </w:r>
    </w:p>
    <w:p w14:paraId="1BD55B34" w14:textId="6A90342A" w:rsidR="00E6232E" w:rsidRPr="000B7589" w:rsidRDefault="00372783" w:rsidP="00D55359">
      <w:pPr>
        <w:pStyle w:val="ListBulletLevel1"/>
        <w:rPr>
          <w:rFonts w:eastAsia="Calibri"/>
          <w:lang w:eastAsia="en-US"/>
        </w:rPr>
      </w:pPr>
      <w:r>
        <w:rPr>
          <w:rFonts w:eastAsia="Calibri"/>
          <w:lang w:eastAsia="en-US"/>
        </w:rPr>
        <w:t>I</w:t>
      </w:r>
      <w:r w:rsidR="00E6232E" w:rsidRPr="000B7589">
        <w:rPr>
          <w:rFonts w:eastAsia="Calibri"/>
          <w:lang w:eastAsia="en-US"/>
        </w:rPr>
        <w:t xml:space="preserve">ndividuals may not be able to seek redress about the actions or practices of </w:t>
      </w:r>
      <w:r w:rsidR="00353A8A">
        <w:rPr>
          <w:rFonts w:eastAsia="Calibri"/>
          <w:lang w:eastAsia="en-US"/>
        </w:rPr>
        <w:t>IDPs</w:t>
      </w:r>
      <w:r w:rsidR="00E6232E" w:rsidRPr="000B7589">
        <w:rPr>
          <w:rFonts w:eastAsia="Calibri"/>
          <w:lang w:eastAsia="en-US"/>
        </w:rPr>
        <w:t xml:space="preserve">, </w:t>
      </w:r>
      <w:r w:rsidR="00353A8A">
        <w:rPr>
          <w:rFonts w:eastAsia="Calibri"/>
          <w:lang w:eastAsia="en-US"/>
        </w:rPr>
        <w:t>IDXs</w:t>
      </w:r>
      <w:r w:rsidR="00E6232E" w:rsidRPr="000B7589">
        <w:rPr>
          <w:rFonts w:eastAsia="Calibri"/>
          <w:lang w:eastAsia="en-US"/>
        </w:rPr>
        <w:t xml:space="preserve"> and </w:t>
      </w:r>
      <w:r w:rsidR="00353A8A">
        <w:rPr>
          <w:rFonts w:eastAsia="Calibri"/>
          <w:lang w:eastAsia="en-US"/>
        </w:rPr>
        <w:t>APs</w:t>
      </w:r>
      <w:r w:rsidR="00E6232E" w:rsidRPr="000B7589">
        <w:rPr>
          <w:rFonts w:eastAsia="Calibri"/>
          <w:lang w:eastAsia="en-US"/>
        </w:rPr>
        <w:t xml:space="preserve"> that breach the Privacy Act, where </w:t>
      </w:r>
      <w:r w:rsidR="00335BF5">
        <w:rPr>
          <w:rFonts w:eastAsia="Calibri"/>
          <w:lang w:eastAsia="en-US"/>
        </w:rPr>
        <w:t xml:space="preserve">onboarded </w:t>
      </w:r>
      <w:r w:rsidR="00317DBF">
        <w:rPr>
          <w:rFonts w:eastAsia="Calibri"/>
          <w:lang w:eastAsia="en-US"/>
        </w:rPr>
        <w:t>a</w:t>
      </w:r>
      <w:r w:rsidR="00E6232E" w:rsidRPr="000B7589">
        <w:rPr>
          <w:rFonts w:eastAsia="Calibri"/>
          <w:lang w:eastAsia="en-US"/>
        </w:rPr>
        <w:t xml:space="preserve">ccredited </w:t>
      </w:r>
      <w:r w:rsidR="00335BF5">
        <w:rPr>
          <w:rFonts w:eastAsia="Calibri"/>
          <w:lang w:eastAsia="en-US"/>
        </w:rPr>
        <w:t xml:space="preserve">entities </w:t>
      </w:r>
      <w:r w:rsidR="00E6232E" w:rsidRPr="000B7589">
        <w:rPr>
          <w:rFonts w:eastAsia="Calibri"/>
          <w:lang w:eastAsia="en-US"/>
        </w:rPr>
        <w:t>are state or territory agencies</w:t>
      </w:r>
      <w:r>
        <w:rPr>
          <w:rFonts w:eastAsia="Calibri"/>
          <w:lang w:eastAsia="en-US"/>
        </w:rPr>
        <w:t>.</w:t>
      </w:r>
    </w:p>
    <w:p w14:paraId="6318ACFC" w14:textId="4002B4FC" w:rsidR="00E6232E" w:rsidRPr="000B7589" w:rsidRDefault="008342DF" w:rsidP="00D55359">
      <w:pPr>
        <w:pStyle w:val="ListBulletLevel1"/>
        <w:rPr>
          <w:rFonts w:eastAsia="Calibri"/>
          <w:lang w:eastAsia="en-US"/>
        </w:rPr>
      </w:pPr>
      <w:r>
        <w:rPr>
          <w:rFonts w:eastAsia="Calibri"/>
          <w:lang w:eastAsia="en-US"/>
        </w:rPr>
        <w:t>Australian Government</w:t>
      </w:r>
      <w:r w:rsidRPr="000B7589">
        <w:rPr>
          <w:rFonts w:eastAsia="Calibri"/>
          <w:lang w:eastAsia="en-US"/>
        </w:rPr>
        <w:t xml:space="preserve"> </w:t>
      </w:r>
      <w:r w:rsidR="00A913A2">
        <w:rPr>
          <w:rFonts w:eastAsia="Calibri"/>
          <w:lang w:eastAsia="en-US"/>
        </w:rPr>
        <w:t>agencies</w:t>
      </w:r>
      <w:r w:rsidR="00A913A2" w:rsidRPr="000B7589">
        <w:rPr>
          <w:rFonts w:eastAsia="Calibri"/>
          <w:lang w:eastAsia="en-US"/>
        </w:rPr>
        <w:t xml:space="preserve"> </w:t>
      </w:r>
      <w:r w:rsidR="00E6232E" w:rsidRPr="000B7589">
        <w:rPr>
          <w:rFonts w:eastAsia="Calibri"/>
          <w:lang w:eastAsia="en-US"/>
        </w:rPr>
        <w:t>must conduct Privacy Impact Assessments (PIAs) for high privacy risk projects under the Australian Government Agencies Privacy Code and Privacy Act</w:t>
      </w:r>
      <w:r w:rsidR="00E6232E" w:rsidRPr="000B7589">
        <w:rPr>
          <w:rFonts w:eastAsia="Calibri"/>
          <w:i/>
          <w:iCs/>
          <w:lang w:eastAsia="en-US"/>
        </w:rPr>
        <w:t xml:space="preserve">. </w:t>
      </w:r>
      <w:r w:rsidR="00E6232E" w:rsidRPr="000B7589">
        <w:rPr>
          <w:rFonts w:eastAsia="Calibri"/>
          <w:lang w:eastAsia="en-US"/>
        </w:rPr>
        <w:t>This</w:t>
      </w:r>
      <w:r w:rsidR="00E6232E" w:rsidRPr="000B7589">
        <w:rPr>
          <w:rFonts w:eastAsia="Calibri"/>
          <w:i/>
          <w:iCs/>
          <w:lang w:eastAsia="en-US"/>
        </w:rPr>
        <w:t xml:space="preserve"> </w:t>
      </w:r>
      <w:r w:rsidR="00E6232E" w:rsidRPr="000B7589">
        <w:rPr>
          <w:rFonts w:eastAsia="Calibri"/>
          <w:lang w:eastAsia="en-US"/>
        </w:rPr>
        <w:t>identifies a project’s impact on the privacy of individuals and ensures that they have a plan in place to safeguard it. However, this is not an explicit requirement for private sector organisations covered by the Privacy Act, nor for organisations not covered by the Act</w:t>
      </w:r>
      <w:r w:rsidR="00372783">
        <w:rPr>
          <w:rFonts w:eastAsia="Calibri"/>
          <w:lang w:eastAsia="en-US"/>
        </w:rPr>
        <w:t>.</w:t>
      </w:r>
    </w:p>
    <w:p w14:paraId="44B12A3F" w14:textId="3061E972" w:rsidR="00E6232E" w:rsidRPr="000B7589" w:rsidRDefault="00372783" w:rsidP="00D55359">
      <w:pPr>
        <w:pStyle w:val="ListBulletLevel1"/>
        <w:rPr>
          <w:rFonts w:eastAsia="Calibri"/>
          <w:lang w:eastAsia="en-US"/>
        </w:rPr>
      </w:pPr>
      <w:r>
        <w:rPr>
          <w:rFonts w:eastAsia="Calibri"/>
          <w:lang w:eastAsia="en-US"/>
        </w:rPr>
        <w:t>L</w:t>
      </w:r>
      <w:r w:rsidR="00E6232E" w:rsidRPr="78F42BF0">
        <w:rPr>
          <w:rFonts w:eastAsia="Calibri"/>
          <w:lang w:eastAsia="en-US"/>
        </w:rPr>
        <w:t>egislative penalties and sanctions for prohibited disclosure of sensitive and other personal information currently apply to participants as a result of the Privacy Act</w:t>
      </w:r>
      <w:r w:rsidR="00E6232E" w:rsidRPr="78F42BF0">
        <w:rPr>
          <w:rFonts w:eastAsia="Calibri"/>
          <w:i/>
          <w:iCs/>
          <w:lang w:eastAsia="en-US"/>
        </w:rPr>
        <w:t xml:space="preserve">. </w:t>
      </w:r>
      <w:r w:rsidR="00E6232E" w:rsidRPr="78F42BF0">
        <w:rPr>
          <w:rFonts w:eastAsia="Calibri"/>
          <w:lang w:eastAsia="en-US"/>
        </w:rPr>
        <w:t>However, the Act</w:t>
      </w:r>
      <w:r w:rsidR="00E6232E" w:rsidRPr="78F42BF0">
        <w:rPr>
          <w:rFonts w:eastAsia="Calibri"/>
          <w:i/>
          <w:iCs/>
          <w:lang w:eastAsia="en-US"/>
        </w:rPr>
        <w:t xml:space="preserve"> </w:t>
      </w:r>
      <w:r w:rsidR="00E6232E" w:rsidRPr="78F42BF0">
        <w:rPr>
          <w:rFonts w:eastAsia="Calibri"/>
          <w:lang w:eastAsia="en-US"/>
        </w:rPr>
        <w:t xml:space="preserve">currently only applies to ‘APP entities’ – primarily Australian </w:t>
      </w:r>
      <w:r w:rsidR="00CA5435" w:rsidRPr="78F42BF0">
        <w:rPr>
          <w:rFonts w:eastAsia="Calibri"/>
          <w:lang w:eastAsia="en-US"/>
        </w:rPr>
        <w:t>G</w:t>
      </w:r>
      <w:r w:rsidR="00E6232E" w:rsidRPr="78F42BF0">
        <w:rPr>
          <w:rFonts w:eastAsia="Calibri"/>
          <w:lang w:eastAsia="en-US"/>
        </w:rPr>
        <w:t>overnment entities and private sector organisations with a turnover of more than $3 million.</w:t>
      </w:r>
      <w:r w:rsidR="00737BA2" w:rsidRPr="78F42BF0">
        <w:rPr>
          <w:rFonts w:eastAsia="Calibri"/>
          <w:lang w:eastAsia="en-US"/>
        </w:rPr>
        <w:t xml:space="preserve"> </w:t>
      </w:r>
      <w:r w:rsidR="00E6232E" w:rsidRPr="78F42BF0">
        <w:rPr>
          <w:rFonts w:eastAsia="Calibri"/>
          <w:lang w:eastAsia="en-US"/>
        </w:rPr>
        <w:t xml:space="preserve">Under these arrangements, there would be no legal recourse for breach of the Privacy Act by an </w:t>
      </w:r>
      <w:r w:rsidR="00335BF5" w:rsidRPr="78F42BF0">
        <w:rPr>
          <w:rFonts w:eastAsia="Calibri"/>
          <w:lang w:eastAsia="en-US"/>
        </w:rPr>
        <w:t xml:space="preserve">onboarded </w:t>
      </w:r>
      <w:r w:rsidR="00317DBF" w:rsidRPr="78F42BF0">
        <w:rPr>
          <w:rFonts w:eastAsia="Calibri"/>
          <w:lang w:eastAsia="en-US"/>
        </w:rPr>
        <w:t>a</w:t>
      </w:r>
      <w:r w:rsidR="00E6232E" w:rsidRPr="78F42BF0">
        <w:rPr>
          <w:rFonts w:eastAsia="Calibri"/>
          <w:lang w:eastAsia="en-US"/>
        </w:rPr>
        <w:t xml:space="preserve">ccredited </w:t>
      </w:r>
      <w:r w:rsidR="00335BF5" w:rsidRPr="78F42BF0">
        <w:rPr>
          <w:rFonts w:eastAsia="Calibri"/>
          <w:lang w:eastAsia="en-US"/>
        </w:rPr>
        <w:t xml:space="preserve">entity </w:t>
      </w:r>
      <w:r w:rsidR="00E6232E" w:rsidRPr="78F42BF0">
        <w:rPr>
          <w:rFonts w:eastAsia="Calibri"/>
          <w:lang w:eastAsia="en-US"/>
        </w:rPr>
        <w:t xml:space="preserve">that is a small business or start-up with less than $3 million turnover, nor a state or territory agency. </w:t>
      </w:r>
    </w:p>
    <w:p w14:paraId="5BAE7F89" w14:textId="6C5C779D" w:rsidR="00E6232E" w:rsidRPr="000B7589" w:rsidRDefault="00E6232E" w:rsidP="00932392">
      <w:pPr>
        <w:pStyle w:val="BodyText"/>
        <w:rPr>
          <w:lang w:eastAsia="en-US"/>
        </w:rPr>
      </w:pPr>
      <w:r w:rsidRPr="000B7589">
        <w:rPr>
          <w:lang w:eastAsia="en-US"/>
        </w:rPr>
        <w:t xml:space="preserve">The interaction between </w:t>
      </w:r>
      <w:r w:rsidR="008342DF">
        <w:rPr>
          <w:lang w:eastAsia="en-US"/>
        </w:rPr>
        <w:t>Australian Government</w:t>
      </w:r>
      <w:r w:rsidRPr="000B7589">
        <w:rPr>
          <w:lang w:eastAsia="en-US"/>
        </w:rPr>
        <w:t xml:space="preserve">, state and territory privacy laws is particularly important to provide a uniform level of protection for information used in connection with </w:t>
      </w:r>
      <w:r w:rsidR="00242A8B">
        <w:rPr>
          <w:lang w:eastAsia="en-US"/>
        </w:rPr>
        <w:t>Digital ID</w:t>
      </w:r>
      <w:r w:rsidRPr="000B7589">
        <w:rPr>
          <w:lang w:eastAsia="en-US"/>
        </w:rPr>
        <w:t xml:space="preserve">. Privacy legislation operates in most states and territories. However, even for jurisdictions without privacy legislation, there are common guidance documents and non-binding policies which seek to regulate the approach to privacy. </w:t>
      </w:r>
      <w:r w:rsidR="007B75B4">
        <w:rPr>
          <w:lang w:eastAsia="en-US"/>
        </w:rPr>
        <w:t>These</w:t>
      </w:r>
      <w:r w:rsidR="007B75B4" w:rsidRPr="000B7589">
        <w:rPr>
          <w:lang w:eastAsia="en-US"/>
        </w:rPr>
        <w:t xml:space="preserve"> </w:t>
      </w:r>
      <w:r w:rsidRPr="000B7589">
        <w:rPr>
          <w:lang w:eastAsia="en-US"/>
        </w:rPr>
        <w:t xml:space="preserve">requirements and enforcement mechanisms vary across jurisdictions to varying degrees. To instil confidence and trust amongst individuals and prospective </w:t>
      </w:r>
      <w:r w:rsidR="003D4FAC">
        <w:rPr>
          <w:lang w:eastAsia="en-US"/>
        </w:rPr>
        <w:t>AGDIS</w:t>
      </w:r>
      <w:r w:rsidR="003D4FAC" w:rsidRPr="0DFA586A">
        <w:rPr>
          <w:lang w:eastAsia="en-US"/>
        </w:rPr>
        <w:t xml:space="preserve"> </w:t>
      </w:r>
      <w:r w:rsidRPr="000B7589">
        <w:rPr>
          <w:lang w:eastAsia="en-US"/>
        </w:rPr>
        <w:t xml:space="preserve">participants, it is preferable that privacy protections apply as uniformly as possible. </w:t>
      </w:r>
    </w:p>
    <w:p w14:paraId="505FA401" w14:textId="642CF984" w:rsidR="00E6232E" w:rsidRPr="000B7589" w:rsidRDefault="00E6232E" w:rsidP="00932392">
      <w:pPr>
        <w:pStyle w:val="BodyText"/>
        <w:rPr>
          <w:lang w:eastAsia="en-US"/>
        </w:rPr>
      </w:pPr>
      <w:r w:rsidRPr="000B7589">
        <w:rPr>
          <w:lang w:eastAsia="en-US"/>
        </w:rPr>
        <w:lastRenderedPageBreak/>
        <w:t xml:space="preserve">This problem particularly </w:t>
      </w:r>
      <w:r w:rsidR="00100EBF">
        <w:rPr>
          <w:lang w:eastAsia="en-US"/>
        </w:rPr>
        <w:t>affects</w:t>
      </w:r>
      <w:r w:rsidRPr="000B7589">
        <w:rPr>
          <w:lang w:eastAsia="en-US"/>
        </w:rPr>
        <w:t xml:space="preserve"> individuals impacted by a data breach or misuse of their personal information through, for example, not being able to seek redress from the OAIC. Apparent inconsistencies in privacy protection (potentially affected by variables such as </w:t>
      </w:r>
      <w:r w:rsidR="00335BF5">
        <w:rPr>
          <w:lang w:eastAsia="en-US"/>
        </w:rPr>
        <w:t xml:space="preserve">onboarded </w:t>
      </w:r>
      <w:r w:rsidR="00317DBF">
        <w:rPr>
          <w:lang w:eastAsia="en-US"/>
        </w:rPr>
        <w:t>a</w:t>
      </w:r>
      <w:r w:rsidRPr="000B7589">
        <w:rPr>
          <w:lang w:eastAsia="en-US"/>
        </w:rPr>
        <w:t>ccredited entity type and jurisdiction) also impacts broader community confidence with potential impacts on uptake, as discussed further below.</w:t>
      </w:r>
    </w:p>
    <w:p w14:paraId="00239029" w14:textId="4B04E8C4" w:rsidR="00E6232E" w:rsidRPr="00372783" w:rsidRDefault="00E6232E" w:rsidP="0036415F">
      <w:pPr>
        <w:pStyle w:val="Heading4NoNumbers"/>
        <w:rPr>
          <w:color w:val="008675"/>
          <w:lang w:eastAsia="en-US"/>
        </w:rPr>
      </w:pPr>
      <w:r w:rsidRPr="00372783">
        <w:rPr>
          <w:color w:val="008675"/>
          <w:lang w:eastAsia="en-US"/>
        </w:rPr>
        <w:t xml:space="preserve">Instilling </w:t>
      </w:r>
      <w:r w:rsidR="00082E69" w:rsidRPr="00372783">
        <w:rPr>
          <w:color w:val="008675"/>
          <w:lang w:eastAsia="en-US"/>
        </w:rPr>
        <w:t>g</w:t>
      </w:r>
      <w:r w:rsidRPr="00372783">
        <w:rPr>
          <w:color w:val="008675"/>
          <w:lang w:eastAsia="en-US"/>
        </w:rPr>
        <w:t xml:space="preserve">reater </w:t>
      </w:r>
      <w:r w:rsidR="00082E69" w:rsidRPr="00372783">
        <w:rPr>
          <w:color w:val="008675"/>
          <w:lang w:eastAsia="en-US"/>
        </w:rPr>
        <w:t>t</w:t>
      </w:r>
      <w:r w:rsidRPr="00372783">
        <w:rPr>
          <w:color w:val="008675"/>
          <w:lang w:eastAsia="en-US"/>
        </w:rPr>
        <w:t xml:space="preserve">rust through </w:t>
      </w:r>
      <w:r w:rsidR="00082E69" w:rsidRPr="00372783">
        <w:rPr>
          <w:color w:val="008675"/>
          <w:lang w:eastAsia="en-US"/>
        </w:rPr>
        <w:t>c</w:t>
      </w:r>
      <w:r w:rsidRPr="00372783">
        <w:rPr>
          <w:color w:val="008675"/>
          <w:lang w:eastAsia="en-US"/>
        </w:rPr>
        <w:t xml:space="preserve">onsistent </w:t>
      </w:r>
      <w:r w:rsidR="00082E69" w:rsidRPr="00372783">
        <w:rPr>
          <w:color w:val="008675"/>
          <w:lang w:eastAsia="en-US"/>
        </w:rPr>
        <w:t>s</w:t>
      </w:r>
      <w:r w:rsidRPr="00372783">
        <w:rPr>
          <w:color w:val="008675"/>
          <w:lang w:eastAsia="en-US"/>
        </w:rPr>
        <w:t xml:space="preserve">afeguards </w:t>
      </w:r>
    </w:p>
    <w:p w14:paraId="6F5E278B" w14:textId="1BFC7AB2" w:rsidR="00E6232E" w:rsidRPr="000B7589" w:rsidRDefault="00E6232E" w:rsidP="00932392">
      <w:pPr>
        <w:pStyle w:val="BodyText"/>
        <w:rPr>
          <w:lang w:eastAsia="en-US"/>
        </w:rPr>
      </w:pPr>
      <w:r w:rsidRPr="000B7589">
        <w:rPr>
          <w:lang w:eastAsia="en-US"/>
        </w:rPr>
        <w:t xml:space="preserve">The importance of strong, consistent privacy and security safeguards was highlighted in September 2018, by the </w:t>
      </w:r>
      <w:hyperlink r:id="rId50" w:history="1">
        <w:r w:rsidRPr="00372783">
          <w:rPr>
            <w:rStyle w:val="Hyperlink"/>
            <w:color w:val="008675"/>
            <w:lang w:eastAsia="en-US"/>
          </w:rPr>
          <w:t>second PIA</w:t>
        </w:r>
      </w:hyperlink>
      <w:r w:rsidRPr="000B7589">
        <w:rPr>
          <w:lang w:eastAsia="en-US"/>
        </w:rPr>
        <w:t xml:space="preserve">. Consulting with stakeholders, this assessment reported a strong prevailing view that a single set of legally enforceable rules would provide participants with consistency, and the broader Australian community with trust and confidence in using </w:t>
      </w:r>
      <w:r w:rsidR="006E660E">
        <w:rPr>
          <w:lang w:eastAsia="en-US"/>
        </w:rPr>
        <w:t>Digital ID</w:t>
      </w:r>
      <w:r w:rsidRPr="000B7589">
        <w:rPr>
          <w:lang w:eastAsia="en-US"/>
        </w:rPr>
        <w:t>. Of particular significance, it noted, was the fact that incorporating key privacy protections into l</w:t>
      </w:r>
      <w:r w:rsidR="0016033C">
        <w:rPr>
          <w:lang w:eastAsia="en-US"/>
        </w:rPr>
        <w:t>aw w</w:t>
      </w:r>
      <w:r w:rsidRPr="000B7589">
        <w:rPr>
          <w:lang w:eastAsia="en-US"/>
        </w:rPr>
        <w:t xml:space="preserve">ould ensure </w:t>
      </w:r>
      <w:r w:rsidR="006E0999">
        <w:rPr>
          <w:lang w:eastAsia="en-US"/>
        </w:rPr>
        <w:t>“</w:t>
      </w:r>
      <w:r w:rsidRPr="000B7589">
        <w:rPr>
          <w:lang w:eastAsia="en-US"/>
        </w:rPr>
        <w:t>they cannot be removed or weakened without scrutin</w:t>
      </w:r>
      <w:r w:rsidR="006E0999">
        <w:rPr>
          <w:lang w:eastAsia="en-US"/>
        </w:rPr>
        <w:t>y”</w:t>
      </w:r>
      <w:r w:rsidRPr="000B7589">
        <w:rPr>
          <w:lang w:eastAsia="en-US"/>
        </w:rPr>
        <w:t>.</w:t>
      </w:r>
    </w:p>
    <w:p w14:paraId="0A1FF79C" w14:textId="34338B02" w:rsidR="00E6232E" w:rsidRPr="000B7589" w:rsidRDefault="00E6232E" w:rsidP="00932392">
      <w:pPr>
        <w:pStyle w:val="BodyText"/>
      </w:pPr>
      <w:r w:rsidRPr="000B7589">
        <w:rPr>
          <w:lang w:eastAsia="en-US"/>
        </w:rPr>
        <w:t xml:space="preserve">There is evidence to indicate that, at a community-wide level, Australian attitudes and views about privacy are rapidly evolving. </w:t>
      </w:r>
      <w:r w:rsidRPr="000B7589">
        <w:t xml:space="preserve">Research shows the increasing importance of data security to individuals and potential </w:t>
      </w:r>
      <w:r w:rsidR="00B37A46">
        <w:t>participants</w:t>
      </w:r>
      <w:r w:rsidRPr="000B7589">
        <w:t xml:space="preserve">, with protection of personal information cited as a paramount consideration in business’ </w:t>
      </w:r>
      <w:r w:rsidRPr="00B1529C">
        <w:t>and individual’s digital activities</w:t>
      </w:r>
      <w:r w:rsidR="00127ED5" w:rsidRPr="00B1529C">
        <w:t xml:space="preserve"> (source: </w:t>
      </w:r>
      <w:r w:rsidR="0098637C" w:rsidRPr="002A0522">
        <w:rPr>
          <w:rFonts w:eastAsia="Calibri"/>
          <w:lang w:eastAsia="en-US"/>
        </w:rPr>
        <w:t>McKinsey Global Institute</w:t>
      </w:r>
      <w:r w:rsidR="00A36362">
        <w:rPr>
          <w:rFonts w:eastAsia="Calibri"/>
          <w:lang w:eastAsia="en-US"/>
        </w:rPr>
        <w:t>, 2019</w:t>
      </w:r>
      <w:r w:rsidR="0098637C">
        <w:t xml:space="preserve">, </w:t>
      </w:r>
      <w:hyperlink r:id="rId51" w:history="1">
        <w:r w:rsidR="00127ED5" w:rsidRPr="002638DE">
          <w:rPr>
            <w:rStyle w:val="Hyperlink"/>
            <w:rFonts w:eastAsia="Calibri"/>
            <w:color w:val="008675"/>
            <w:lang w:eastAsia="en-US"/>
          </w:rPr>
          <w:t>Digital Identification: A key to inclusive growth</w:t>
        </w:r>
      </w:hyperlink>
      <w:r w:rsidR="00AE444A" w:rsidRPr="002638DE">
        <w:rPr>
          <w:rFonts w:eastAsia="Calibri"/>
          <w:color w:val="008675"/>
          <w:lang w:eastAsia="en-US"/>
        </w:rPr>
        <w:t>)</w:t>
      </w:r>
      <w:r w:rsidRPr="002638DE">
        <w:rPr>
          <w:color w:val="008675"/>
        </w:rPr>
        <w:t xml:space="preserve">. </w:t>
      </w:r>
      <w:hyperlink r:id="rId52" w:history="1">
        <w:r w:rsidR="0040286C" w:rsidRPr="002638DE">
          <w:rPr>
            <w:rStyle w:val="Hyperlink"/>
            <w:color w:val="008675"/>
            <w:lang w:eastAsia="en-US"/>
          </w:rPr>
          <w:t>P</w:t>
        </w:r>
        <w:r w:rsidR="00C912B3" w:rsidRPr="002638DE">
          <w:rPr>
            <w:rStyle w:val="Hyperlink"/>
            <w:color w:val="008675"/>
            <w:lang w:eastAsia="en-US"/>
          </w:rPr>
          <w:t>olling by the OAIC</w:t>
        </w:r>
      </w:hyperlink>
      <w:r w:rsidR="00C912B3" w:rsidRPr="00D24E0A">
        <w:rPr>
          <w:lang w:eastAsia="en-US"/>
        </w:rPr>
        <w:t xml:space="preserve"> </w:t>
      </w:r>
      <w:r w:rsidR="0040286C">
        <w:rPr>
          <w:lang w:eastAsia="en-US"/>
        </w:rPr>
        <w:t xml:space="preserve">in 2020 </w:t>
      </w:r>
      <w:r w:rsidR="00C912B3" w:rsidRPr="00D24E0A">
        <w:rPr>
          <w:lang w:eastAsia="en-US"/>
        </w:rPr>
        <w:t>found that 97</w:t>
      </w:r>
      <w:r w:rsidR="008857BF">
        <w:rPr>
          <w:lang w:eastAsia="en-US"/>
        </w:rPr>
        <w:t xml:space="preserve"> per cent</w:t>
      </w:r>
      <w:r w:rsidR="00C912B3" w:rsidRPr="00D24E0A">
        <w:rPr>
          <w:lang w:eastAsia="en-US"/>
        </w:rPr>
        <w:t xml:space="preserve"> of Australians </w:t>
      </w:r>
      <w:r w:rsidR="00607EB6" w:rsidRPr="00D24E0A">
        <w:rPr>
          <w:lang w:eastAsia="en-US"/>
        </w:rPr>
        <w:t>consider</w:t>
      </w:r>
      <w:r w:rsidR="00607EB6">
        <w:rPr>
          <w:lang w:eastAsia="en-US"/>
        </w:rPr>
        <w:t xml:space="preserve"> privacy important when choosing a digital service and </w:t>
      </w:r>
      <w:r w:rsidR="00AB43F0">
        <w:rPr>
          <w:lang w:eastAsia="en-US"/>
        </w:rPr>
        <w:t>8</w:t>
      </w:r>
      <w:r w:rsidR="00607EB6">
        <w:rPr>
          <w:lang w:eastAsia="en-US"/>
        </w:rPr>
        <w:t>7</w:t>
      </w:r>
      <w:r w:rsidR="008857BF">
        <w:rPr>
          <w:lang w:eastAsia="en-US"/>
        </w:rPr>
        <w:t xml:space="preserve"> per cent</w:t>
      </w:r>
      <w:r w:rsidR="00607EB6">
        <w:rPr>
          <w:lang w:eastAsia="en-US"/>
        </w:rPr>
        <w:t xml:space="preserve"> of Australians</w:t>
      </w:r>
      <w:r w:rsidR="00C04D27">
        <w:rPr>
          <w:lang w:eastAsia="en-US"/>
        </w:rPr>
        <w:t xml:space="preserve"> want more control and choice over the collection and use of their personal information.</w:t>
      </w:r>
      <w:r w:rsidR="003B56BA">
        <w:rPr>
          <w:lang w:eastAsia="en-US"/>
        </w:rPr>
        <w:t xml:space="preserve"> A majority (</w:t>
      </w:r>
      <w:r w:rsidR="00E5070A">
        <w:rPr>
          <w:lang w:eastAsia="en-US"/>
        </w:rPr>
        <w:t>66</w:t>
      </w:r>
      <w:r w:rsidR="008857BF">
        <w:rPr>
          <w:lang w:eastAsia="en-US"/>
        </w:rPr>
        <w:t xml:space="preserve"> </w:t>
      </w:r>
      <w:r w:rsidR="00A63BA0">
        <w:rPr>
          <w:lang w:eastAsia="en-US"/>
        </w:rPr>
        <w:t>per cent</w:t>
      </w:r>
      <w:r w:rsidR="00E5070A">
        <w:rPr>
          <w:lang w:eastAsia="en-US"/>
        </w:rPr>
        <w:t xml:space="preserve">) of Australians </w:t>
      </w:r>
      <w:r w:rsidR="00E45D47">
        <w:rPr>
          <w:lang w:eastAsia="en-US"/>
        </w:rPr>
        <w:t>were f</w:t>
      </w:r>
      <w:r w:rsidR="006A1FA2">
        <w:rPr>
          <w:lang w:eastAsia="en-US"/>
        </w:rPr>
        <w:t>ound to be</w:t>
      </w:r>
      <w:r w:rsidR="00E5070A">
        <w:rPr>
          <w:lang w:eastAsia="en-US"/>
        </w:rPr>
        <w:t xml:space="preserve"> reluctant to provide biometric information to a business</w:t>
      </w:r>
      <w:r w:rsidR="004E1A4D">
        <w:rPr>
          <w:lang w:eastAsia="en-US"/>
        </w:rPr>
        <w:t>, organisation or government agency</w:t>
      </w:r>
      <w:r w:rsidR="0040286C">
        <w:rPr>
          <w:lang w:eastAsia="en-US"/>
        </w:rPr>
        <w:t xml:space="preserve">. </w:t>
      </w:r>
      <w:r w:rsidRPr="000B7589">
        <w:rPr>
          <w:lang w:eastAsia="en-US"/>
        </w:rPr>
        <w:t xml:space="preserve">This wariness is not limited to potential commercialisation of personal data. OAIC’s survey also found that only </w:t>
      </w:r>
      <w:r w:rsidR="00E77BFE">
        <w:rPr>
          <w:lang w:eastAsia="en-US"/>
        </w:rPr>
        <w:t>36</w:t>
      </w:r>
      <w:r w:rsidR="00A63BA0">
        <w:rPr>
          <w:lang w:eastAsia="en-US"/>
        </w:rPr>
        <w:t xml:space="preserve"> per cent</w:t>
      </w:r>
      <w:r w:rsidR="009C2154">
        <w:rPr>
          <w:lang w:eastAsia="en-US"/>
        </w:rPr>
        <w:t xml:space="preserve"> </w:t>
      </w:r>
      <w:r w:rsidRPr="000B7589">
        <w:rPr>
          <w:lang w:eastAsia="en-US"/>
        </w:rPr>
        <w:t>of Australians are comfortable with their personal information being shared between government entities, and only 1</w:t>
      </w:r>
      <w:r w:rsidR="00E77BFE">
        <w:rPr>
          <w:lang w:eastAsia="en-US"/>
        </w:rPr>
        <w:t>3</w:t>
      </w:r>
      <w:r w:rsidR="00A63BA0">
        <w:rPr>
          <w:lang w:eastAsia="en-US"/>
        </w:rPr>
        <w:t xml:space="preserve"> per cent</w:t>
      </w:r>
      <w:r w:rsidRPr="000B7589">
        <w:rPr>
          <w:lang w:eastAsia="en-US"/>
        </w:rPr>
        <w:t xml:space="preserve"> are comfortable with businesses sharing their information with other organisations</w:t>
      </w:r>
      <w:r w:rsidR="0019659E" w:rsidRPr="00F42399">
        <w:rPr>
          <w:lang w:eastAsia="en-US"/>
        </w:rPr>
        <w:t>.</w:t>
      </w:r>
    </w:p>
    <w:p w14:paraId="076AE422" w14:textId="3265A205" w:rsidR="00E6232E" w:rsidRPr="000B7589" w:rsidRDefault="00E6232E" w:rsidP="00932392">
      <w:pPr>
        <w:pStyle w:val="BodyText"/>
        <w:rPr>
          <w:lang w:eastAsia="en-US"/>
        </w:rPr>
      </w:pPr>
      <w:r w:rsidRPr="78F42BF0">
        <w:rPr>
          <w:lang w:eastAsia="en-US"/>
        </w:rPr>
        <w:t xml:space="preserve">This increasing level of concern is driven, in part, by the growing prevalence of identity crime, which is now one of the most common forms of criminal activity in Australia </w:t>
      </w:r>
      <w:r w:rsidR="00A05E52" w:rsidRPr="78F42BF0">
        <w:rPr>
          <w:lang w:eastAsia="en-US"/>
        </w:rPr>
        <w:t xml:space="preserve">and was estimated to cost </w:t>
      </w:r>
      <w:r w:rsidR="00A22A5A" w:rsidRPr="78F42BF0">
        <w:rPr>
          <w:lang w:eastAsia="en-US"/>
        </w:rPr>
        <w:t>$3.1 billion (including direct and indirect costs) in 2018</w:t>
      </w:r>
      <w:r w:rsidR="00657D7A" w:rsidRPr="78F42BF0">
        <w:rPr>
          <w:lang w:eastAsia="en-US"/>
        </w:rPr>
        <w:t>–</w:t>
      </w:r>
      <w:r w:rsidR="00A22A5A" w:rsidRPr="78F42BF0">
        <w:rPr>
          <w:lang w:eastAsia="en-US"/>
        </w:rPr>
        <w:t>19</w:t>
      </w:r>
      <w:r w:rsidR="00657D7A" w:rsidRPr="78F42BF0">
        <w:rPr>
          <w:lang w:eastAsia="en-US"/>
        </w:rPr>
        <w:t xml:space="preserve"> (source: </w:t>
      </w:r>
      <w:r w:rsidR="00657D7A" w:rsidRPr="78F42BF0">
        <w:rPr>
          <w:rFonts w:eastAsia="Calibri"/>
          <w:lang w:eastAsia="en-US"/>
        </w:rPr>
        <w:t>Franks, C &amp; Smith R 2020,</w:t>
      </w:r>
      <w:r w:rsidR="00657D7A" w:rsidRPr="78F42BF0">
        <w:rPr>
          <w:rFonts w:eastAsia="Calibri"/>
          <w:i/>
          <w:iCs/>
          <w:lang w:eastAsia="en-US"/>
        </w:rPr>
        <w:t xml:space="preserve"> </w:t>
      </w:r>
      <w:hyperlink r:id="rId53">
        <w:r w:rsidR="00657D7A" w:rsidRPr="003C1A07">
          <w:rPr>
            <w:rStyle w:val="Hyperlink"/>
            <w:rFonts w:eastAsia="Calibri"/>
            <w:i/>
            <w:iCs/>
            <w:color w:val="008675"/>
            <w:lang w:eastAsia="en-US"/>
          </w:rPr>
          <w:t xml:space="preserve">Identity crime and misuse in Australia: </w:t>
        </w:r>
        <w:r w:rsidR="00657D7A" w:rsidRPr="003C1A07">
          <w:rPr>
            <w:rStyle w:val="Hyperlink"/>
            <w:rFonts w:eastAsia="Calibri"/>
            <w:i/>
            <w:iCs/>
            <w:color w:val="008675"/>
            <w:lang w:eastAsia="en-US"/>
          </w:rPr>
          <w:lastRenderedPageBreak/>
          <w:t>Results of the 2019 online survey</w:t>
        </w:r>
      </w:hyperlink>
      <w:r w:rsidR="00657D7A" w:rsidRPr="78F42BF0">
        <w:rPr>
          <w:rFonts w:eastAsia="Calibri"/>
          <w:i/>
          <w:iCs/>
          <w:lang w:eastAsia="en-US"/>
        </w:rPr>
        <w:t>)</w:t>
      </w:r>
      <w:r w:rsidRPr="78F42BF0">
        <w:rPr>
          <w:lang w:eastAsia="en-US"/>
        </w:rPr>
        <w:t>. The risk posed by this criminal behaviour has</w:t>
      </w:r>
      <w:r w:rsidRPr="78F42BF0" w:rsidDel="00E6232E">
        <w:rPr>
          <w:lang w:eastAsia="en-US"/>
        </w:rPr>
        <w:t xml:space="preserve"> </w:t>
      </w:r>
      <w:r w:rsidRPr="78F42BF0">
        <w:rPr>
          <w:lang w:eastAsia="en-US"/>
        </w:rPr>
        <w:t xml:space="preserve">increased during the COVID-19 pandemic, with figures released from the </w:t>
      </w:r>
      <w:hyperlink r:id="rId54">
        <w:r w:rsidRPr="003C1A07">
          <w:rPr>
            <w:rStyle w:val="Hyperlink"/>
            <w:color w:val="008675"/>
            <w:lang w:eastAsia="en-US"/>
          </w:rPr>
          <w:t>Australian Consumer and Competition</w:t>
        </w:r>
      </w:hyperlink>
      <w:r w:rsidRPr="78F42BF0">
        <w:rPr>
          <w:lang w:eastAsia="en-US"/>
        </w:rPr>
        <w:t xml:space="preserve"> (ACCC) in August 2020 showing identity theft </w:t>
      </w:r>
      <w:r w:rsidR="00C23178" w:rsidRPr="78F42BF0">
        <w:rPr>
          <w:lang w:eastAsia="en-US"/>
        </w:rPr>
        <w:t xml:space="preserve">was </w:t>
      </w:r>
      <w:r w:rsidRPr="78F42BF0">
        <w:rPr>
          <w:lang w:eastAsia="en-US"/>
        </w:rPr>
        <w:t>up 55</w:t>
      </w:r>
      <w:r w:rsidR="008E7B2A" w:rsidRPr="78F42BF0">
        <w:rPr>
          <w:lang w:eastAsia="en-US"/>
        </w:rPr>
        <w:t xml:space="preserve"> per cent</w:t>
      </w:r>
      <w:r w:rsidRPr="78F42BF0">
        <w:rPr>
          <w:lang w:eastAsia="en-US"/>
        </w:rPr>
        <w:t xml:space="preserve"> on the same period in 2019.</w:t>
      </w:r>
      <w:r w:rsidR="62D4171A" w:rsidRPr="78F42BF0">
        <w:rPr>
          <w:lang w:eastAsia="en-US"/>
        </w:rPr>
        <w:t xml:space="preserve"> </w:t>
      </w:r>
      <w:r w:rsidRPr="78F42BF0">
        <w:rPr>
          <w:lang w:eastAsia="en-US"/>
        </w:rPr>
        <w:t xml:space="preserve">In this context, Australia’s growing concern with privacy and the security of personal data could significantly impact the uptake of </w:t>
      </w:r>
      <w:r w:rsidR="00EB2443" w:rsidRPr="78F42BF0">
        <w:rPr>
          <w:lang w:eastAsia="en-US"/>
        </w:rPr>
        <w:t>Digital ID</w:t>
      </w:r>
      <w:r w:rsidRPr="78F42BF0">
        <w:rPr>
          <w:lang w:eastAsia="en-US"/>
        </w:rPr>
        <w:t>, which requires sharing of personal data, including biometrics.</w:t>
      </w:r>
      <w:r w:rsidR="00BA35BA" w:rsidRPr="78F42BF0">
        <w:rPr>
          <w:lang w:eastAsia="en-US"/>
        </w:rPr>
        <w:t xml:space="preserve"> (</w:t>
      </w:r>
      <w:r w:rsidR="00BA35BA" w:rsidRPr="78F42BF0">
        <w:rPr>
          <w:rFonts w:eastAsia="Calibri"/>
          <w:lang w:eastAsia="en-US"/>
        </w:rPr>
        <w:t xml:space="preserve">Internal Program research has validated the high priority that individuals place on </w:t>
      </w:r>
      <w:r w:rsidR="00351259" w:rsidRPr="78F42BF0">
        <w:rPr>
          <w:rFonts w:eastAsia="Calibri"/>
          <w:lang w:eastAsia="en-US"/>
        </w:rPr>
        <w:t>r</w:t>
      </w:r>
      <w:r w:rsidR="00BA35BA" w:rsidRPr="78F42BF0">
        <w:rPr>
          <w:rFonts w:eastAsia="Calibri"/>
          <w:lang w:eastAsia="en-US"/>
        </w:rPr>
        <w:t xml:space="preserve">eassurance that their information is safe and secure, and </w:t>
      </w:r>
      <w:r w:rsidR="00351259" w:rsidRPr="78F42BF0">
        <w:rPr>
          <w:rFonts w:eastAsia="Calibri"/>
          <w:lang w:eastAsia="en-US"/>
        </w:rPr>
        <w:t>p</w:t>
      </w:r>
      <w:r w:rsidR="00BA35BA" w:rsidRPr="78F42BF0">
        <w:rPr>
          <w:rFonts w:eastAsia="Calibri"/>
          <w:lang w:eastAsia="en-US"/>
        </w:rPr>
        <w:t>roactive security monitoring.)</w:t>
      </w:r>
      <w:r w:rsidRPr="78F42BF0">
        <w:rPr>
          <w:lang w:eastAsia="en-US"/>
        </w:rPr>
        <w:t xml:space="preserve"> If </w:t>
      </w:r>
      <w:r w:rsidR="0048444F" w:rsidRPr="78F42BF0">
        <w:rPr>
          <w:lang w:eastAsia="en-US"/>
        </w:rPr>
        <w:t>AGDIS</w:t>
      </w:r>
      <w:r w:rsidR="00CE6E56" w:rsidRPr="78F42BF0">
        <w:rPr>
          <w:lang w:eastAsia="en-US"/>
        </w:rPr>
        <w:t xml:space="preserve"> is to retain public trust whilst it expands across the economy, </w:t>
      </w:r>
      <w:r w:rsidR="00FF5EF1" w:rsidRPr="78F42BF0">
        <w:rPr>
          <w:lang w:eastAsia="en-US"/>
        </w:rPr>
        <w:t>realising</w:t>
      </w:r>
      <w:r w:rsidR="00F30855" w:rsidRPr="78F42BF0">
        <w:rPr>
          <w:lang w:eastAsia="en-US"/>
        </w:rPr>
        <w:t xml:space="preserve"> whole-of-economy benefits, </w:t>
      </w:r>
      <w:r w:rsidRPr="78F42BF0">
        <w:rPr>
          <w:lang w:eastAsia="en-US"/>
        </w:rPr>
        <w:t>public concern</w:t>
      </w:r>
      <w:r w:rsidR="00375AB0" w:rsidRPr="78F42BF0">
        <w:rPr>
          <w:lang w:eastAsia="en-US"/>
        </w:rPr>
        <w:t>s</w:t>
      </w:r>
      <w:r w:rsidRPr="78F42BF0">
        <w:rPr>
          <w:lang w:eastAsia="en-US"/>
        </w:rPr>
        <w:t xml:space="preserve"> over data privacy and security </w:t>
      </w:r>
      <w:r w:rsidR="00375AB0" w:rsidRPr="78F42BF0">
        <w:rPr>
          <w:lang w:eastAsia="en-US"/>
        </w:rPr>
        <w:t xml:space="preserve">need to be </w:t>
      </w:r>
      <w:r w:rsidR="00F30855" w:rsidRPr="78F42BF0">
        <w:rPr>
          <w:lang w:eastAsia="en-US"/>
        </w:rPr>
        <w:t xml:space="preserve">decisively and permanently </w:t>
      </w:r>
      <w:r w:rsidRPr="78F42BF0">
        <w:rPr>
          <w:lang w:eastAsia="en-US"/>
        </w:rPr>
        <w:t>addressed.</w:t>
      </w:r>
      <w:r w:rsidRPr="78F42BF0">
        <w:rPr>
          <w:highlight w:val="green"/>
          <w:lang w:eastAsia="en-US"/>
        </w:rPr>
        <w:t xml:space="preserve"> </w:t>
      </w:r>
    </w:p>
    <w:p w14:paraId="2ABE9244" w14:textId="60CD7395" w:rsidR="00E6232E" w:rsidRPr="006019B4" w:rsidRDefault="00E6232E" w:rsidP="0036415F">
      <w:pPr>
        <w:pStyle w:val="Heading3NoNumbers"/>
        <w:rPr>
          <w:color w:val="008675"/>
          <w:lang w:eastAsia="en-US"/>
        </w:rPr>
      </w:pPr>
      <w:bookmarkStart w:id="170" w:name="_Toc61618221"/>
      <w:bookmarkStart w:id="171" w:name="_Toc64549248"/>
      <w:bookmarkStart w:id="172" w:name="_Toc80884661"/>
      <w:bookmarkStart w:id="173" w:name="_Toc84925787"/>
      <w:bookmarkStart w:id="174" w:name="_Toc86070004"/>
      <w:bookmarkStart w:id="175" w:name="section323"/>
      <w:r w:rsidRPr="006019B4">
        <w:rPr>
          <w:color w:val="008675"/>
          <w:lang w:eastAsia="en-US"/>
        </w:rPr>
        <w:t xml:space="preserve">3.2.3 Interim, </w:t>
      </w:r>
      <w:r w:rsidR="00082E69" w:rsidRPr="006019B4">
        <w:rPr>
          <w:color w:val="008675"/>
          <w:lang w:eastAsia="en-US"/>
        </w:rPr>
        <w:t>n</w:t>
      </w:r>
      <w:r w:rsidRPr="006019B4">
        <w:rPr>
          <w:color w:val="008675"/>
          <w:lang w:eastAsia="en-US"/>
        </w:rPr>
        <w:t>on-</w:t>
      </w:r>
      <w:r w:rsidR="00082E69" w:rsidRPr="006019B4">
        <w:rPr>
          <w:color w:val="008675"/>
          <w:lang w:eastAsia="en-US"/>
        </w:rPr>
        <w:t>l</w:t>
      </w:r>
      <w:r w:rsidRPr="006019B4">
        <w:rPr>
          <w:color w:val="008675"/>
          <w:lang w:eastAsia="en-US"/>
        </w:rPr>
        <w:t>eg</w:t>
      </w:r>
      <w:r w:rsidR="006C76E8" w:rsidRPr="006019B4">
        <w:rPr>
          <w:color w:val="008675"/>
          <w:lang w:eastAsia="en-US"/>
        </w:rPr>
        <w:t xml:space="preserve">islative </w:t>
      </w:r>
      <w:r w:rsidR="00082E69" w:rsidRPr="006019B4">
        <w:rPr>
          <w:color w:val="008675"/>
          <w:lang w:eastAsia="en-US"/>
        </w:rPr>
        <w:t>g</w:t>
      </w:r>
      <w:r w:rsidRPr="006019B4">
        <w:rPr>
          <w:color w:val="008675"/>
          <w:lang w:eastAsia="en-US"/>
        </w:rPr>
        <w:t xml:space="preserve">overnance </w:t>
      </w:r>
      <w:r w:rsidR="00082E69" w:rsidRPr="006019B4">
        <w:rPr>
          <w:color w:val="008675"/>
          <w:lang w:eastAsia="en-US"/>
        </w:rPr>
        <w:t>f</w:t>
      </w:r>
      <w:r w:rsidRPr="006019B4">
        <w:rPr>
          <w:color w:val="008675"/>
          <w:lang w:eastAsia="en-US"/>
        </w:rPr>
        <w:t>ramework</w:t>
      </w:r>
      <w:bookmarkStart w:id="176" w:name="Interim"/>
      <w:bookmarkEnd w:id="170"/>
      <w:bookmarkEnd w:id="171"/>
      <w:bookmarkEnd w:id="172"/>
      <w:bookmarkEnd w:id="173"/>
      <w:bookmarkEnd w:id="174"/>
    </w:p>
    <w:bookmarkEnd w:id="175"/>
    <w:bookmarkEnd w:id="176"/>
    <w:p w14:paraId="6BFE1118" w14:textId="00056785" w:rsidR="00E6232E" w:rsidRPr="000B7589" w:rsidRDefault="00E6232E" w:rsidP="00932392">
      <w:pPr>
        <w:pStyle w:val="BodyText"/>
        <w:rPr>
          <w:lang w:eastAsia="en-US"/>
        </w:rPr>
      </w:pPr>
      <w:r w:rsidRPr="000B7589">
        <w:rPr>
          <w:lang w:eastAsia="en-US"/>
        </w:rPr>
        <w:t xml:space="preserve">Effective governance of the </w:t>
      </w:r>
      <w:r w:rsidR="0048444F">
        <w:rPr>
          <w:lang w:eastAsia="en-US"/>
        </w:rPr>
        <w:t>Digital ID</w:t>
      </w:r>
      <w:r w:rsidRPr="000B7589">
        <w:rPr>
          <w:lang w:eastAsia="en-US"/>
        </w:rPr>
        <w:t xml:space="preserve"> is essential for its efficient operation, to instil public trust and confidence and promote individual uptake. While the interim governance structure has proven effective to date, there is a risk that the current arrangements may not sufficiently enable</w:t>
      </w:r>
      <w:r w:rsidR="0048444F">
        <w:rPr>
          <w:lang w:eastAsia="en-US"/>
        </w:rPr>
        <w:t xml:space="preserve"> AGDIS</w:t>
      </w:r>
      <w:r w:rsidRPr="000B7589">
        <w:rPr>
          <w:lang w:eastAsia="en-US"/>
        </w:rPr>
        <w:t xml:space="preserve"> to expand beyond non</w:t>
      </w:r>
      <w:r w:rsidR="1A3E3ABA" w:rsidRPr="000B7589">
        <w:rPr>
          <w:lang w:eastAsia="en-US"/>
        </w:rPr>
        <w:t>-</w:t>
      </w:r>
      <w:r w:rsidR="006F76B6">
        <w:rPr>
          <w:lang w:eastAsia="en-US"/>
        </w:rPr>
        <w:t>Commonwealth</w:t>
      </w:r>
      <w:r w:rsidR="00276E0D" w:rsidRPr="000B7589">
        <w:rPr>
          <w:lang w:eastAsia="en-US"/>
        </w:rPr>
        <w:t xml:space="preserve"> </w:t>
      </w:r>
      <w:r w:rsidR="00A913A2">
        <w:rPr>
          <w:lang w:eastAsia="en-US"/>
        </w:rPr>
        <w:t>agencies,</w:t>
      </w:r>
      <w:r w:rsidR="00A913A2" w:rsidRPr="000B7589">
        <w:rPr>
          <w:lang w:eastAsia="en-US"/>
        </w:rPr>
        <w:t xml:space="preserve"> </w:t>
      </w:r>
      <w:r w:rsidRPr="000B7589">
        <w:rPr>
          <w:lang w:eastAsia="en-US"/>
        </w:rPr>
        <w:t>while maintaining high standards of integrity.</w:t>
      </w:r>
    </w:p>
    <w:p w14:paraId="0CE2B01F" w14:textId="6759995C" w:rsidR="00E6232E" w:rsidRPr="006019B4" w:rsidRDefault="00E6232E" w:rsidP="0036415F">
      <w:pPr>
        <w:pStyle w:val="Heading4NoNumbers"/>
        <w:rPr>
          <w:color w:val="008675"/>
          <w:lang w:eastAsia="en-US"/>
        </w:rPr>
      </w:pPr>
      <w:r w:rsidRPr="006019B4">
        <w:rPr>
          <w:color w:val="008675"/>
          <w:lang w:eastAsia="en-US"/>
        </w:rPr>
        <w:t xml:space="preserve">What </w:t>
      </w:r>
      <w:r w:rsidR="00082E69" w:rsidRPr="006019B4">
        <w:rPr>
          <w:color w:val="008675"/>
          <w:lang w:eastAsia="en-US"/>
        </w:rPr>
        <w:t>c</w:t>
      </w:r>
      <w:r w:rsidRPr="006019B4">
        <w:rPr>
          <w:color w:val="008675"/>
          <w:lang w:eastAsia="en-US"/>
        </w:rPr>
        <w:t xml:space="preserve">ould be </w:t>
      </w:r>
      <w:r w:rsidR="00082E69" w:rsidRPr="006019B4">
        <w:rPr>
          <w:color w:val="008675"/>
          <w:lang w:eastAsia="en-US"/>
        </w:rPr>
        <w:t>i</w:t>
      </w:r>
      <w:r w:rsidRPr="006019B4">
        <w:rPr>
          <w:color w:val="008675"/>
          <w:lang w:eastAsia="en-US"/>
        </w:rPr>
        <w:t xml:space="preserve">mproved in the </w:t>
      </w:r>
      <w:r w:rsidR="00082E69" w:rsidRPr="006019B4">
        <w:rPr>
          <w:color w:val="008675"/>
          <w:lang w:eastAsia="en-US"/>
        </w:rPr>
        <w:t>c</w:t>
      </w:r>
      <w:r w:rsidRPr="006019B4">
        <w:rPr>
          <w:color w:val="008675"/>
          <w:lang w:eastAsia="en-US"/>
        </w:rPr>
        <w:t xml:space="preserve">urrent </w:t>
      </w:r>
      <w:r w:rsidR="00082E69" w:rsidRPr="006019B4">
        <w:rPr>
          <w:color w:val="008675"/>
          <w:lang w:eastAsia="en-US"/>
        </w:rPr>
        <w:t>g</w:t>
      </w:r>
      <w:r w:rsidRPr="006019B4">
        <w:rPr>
          <w:color w:val="008675"/>
          <w:lang w:eastAsia="en-US"/>
        </w:rPr>
        <w:t xml:space="preserve">overnance </w:t>
      </w:r>
      <w:r w:rsidR="00082E69" w:rsidRPr="006019B4">
        <w:rPr>
          <w:color w:val="008675"/>
          <w:lang w:eastAsia="en-US"/>
        </w:rPr>
        <w:t>f</w:t>
      </w:r>
      <w:r w:rsidRPr="006019B4">
        <w:rPr>
          <w:color w:val="008675"/>
          <w:lang w:eastAsia="en-US"/>
        </w:rPr>
        <w:t>ramework?</w:t>
      </w:r>
    </w:p>
    <w:p w14:paraId="6F8B460A" w14:textId="6A611AA7" w:rsidR="00E6232E" w:rsidRPr="000B7589" w:rsidRDefault="00E6232E" w:rsidP="00932392">
      <w:pPr>
        <w:pStyle w:val="BodyText"/>
        <w:rPr>
          <w:b/>
          <w:bCs/>
          <w:lang w:eastAsia="en-US"/>
        </w:rPr>
      </w:pPr>
      <w:r w:rsidRPr="000B7589">
        <w:rPr>
          <w:lang w:eastAsia="en-US"/>
        </w:rPr>
        <w:t xml:space="preserve">The interim arrangements have, to date, proven to be an effective governance model. However, an expansion of </w:t>
      </w:r>
      <w:r w:rsidR="00A24316">
        <w:rPr>
          <w:lang w:eastAsia="en-US"/>
        </w:rPr>
        <w:t>Digital ID</w:t>
      </w:r>
      <w:r w:rsidR="00E814E2">
        <w:rPr>
          <w:lang w:eastAsia="en-US"/>
        </w:rPr>
        <w:t xml:space="preserve"> </w:t>
      </w:r>
      <w:r w:rsidRPr="000B7589">
        <w:rPr>
          <w:lang w:eastAsia="en-US"/>
        </w:rPr>
        <w:t xml:space="preserve">is likely to encourage greater participation from private sector </w:t>
      </w:r>
      <w:r w:rsidR="00335BF5">
        <w:rPr>
          <w:lang w:eastAsia="en-US"/>
        </w:rPr>
        <w:t xml:space="preserve">onboarded </w:t>
      </w:r>
      <w:r w:rsidR="00317DBF">
        <w:rPr>
          <w:lang w:eastAsia="en-US"/>
        </w:rPr>
        <w:t>a</w:t>
      </w:r>
      <w:r w:rsidRPr="000B7589">
        <w:rPr>
          <w:lang w:eastAsia="en-US"/>
        </w:rPr>
        <w:t xml:space="preserve">ccredited </w:t>
      </w:r>
      <w:r w:rsidR="00335BF5">
        <w:rPr>
          <w:lang w:eastAsia="en-US"/>
        </w:rPr>
        <w:t xml:space="preserve">entities </w:t>
      </w:r>
      <w:r w:rsidRPr="000B7589">
        <w:rPr>
          <w:lang w:eastAsia="en-US"/>
        </w:rPr>
        <w:t>and, for the first time, support the participation of non-</w:t>
      </w:r>
      <w:r w:rsidR="000F4E0E">
        <w:rPr>
          <w:lang w:eastAsia="en-US"/>
        </w:rPr>
        <w:t>Commonwealth</w:t>
      </w:r>
      <w:r w:rsidR="00276E0D" w:rsidRPr="000B7589">
        <w:rPr>
          <w:lang w:eastAsia="en-US"/>
        </w:rPr>
        <w:t xml:space="preserve"> </w:t>
      </w:r>
      <w:r w:rsidR="007F0E75">
        <w:rPr>
          <w:lang w:eastAsia="en-US"/>
        </w:rPr>
        <w:t>r</w:t>
      </w:r>
      <w:r w:rsidRPr="000B7589">
        <w:rPr>
          <w:lang w:eastAsia="en-US"/>
        </w:rPr>
        <w:t xml:space="preserve">elying </w:t>
      </w:r>
      <w:r w:rsidR="007F0E75">
        <w:rPr>
          <w:lang w:eastAsia="en-US"/>
        </w:rPr>
        <w:t>p</w:t>
      </w:r>
      <w:r w:rsidRPr="000B7589">
        <w:rPr>
          <w:lang w:eastAsia="en-US"/>
        </w:rPr>
        <w:t xml:space="preserve">arties. Without making corresponding amendments to the current governance framework, greater participation could result in several problems occurring, as described below: </w:t>
      </w:r>
    </w:p>
    <w:p w14:paraId="4D0AD0FD" w14:textId="2A48617F" w:rsidR="00E6232E" w:rsidRPr="000B7589" w:rsidRDefault="00E6232E" w:rsidP="00932392">
      <w:pPr>
        <w:pStyle w:val="ListBulletLevel1"/>
        <w:rPr>
          <w:rFonts w:eastAsia="Calibri"/>
          <w:lang w:eastAsia="en-US"/>
        </w:rPr>
      </w:pPr>
      <w:r w:rsidRPr="000B7589">
        <w:rPr>
          <w:rFonts w:eastAsia="Calibri"/>
          <w:b/>
          <w:bCs/>
          <w:lang w:eastAsia="en-US"/>
        </w:rPr>
        <w:t>Certainty</w:t>
      </w:r>
      <w:r w:rsidRPr="000B7589">
        <w:rPr>
          <w:rFonts w:eastAsia="Calibri"/>
          <w:lang w:eastAsia="en-US"/>
        </w:rPr>
        <w:t xml:space="preserve"> – the current governance arrangements are interim</w:t>
      </w:r>
      <w:r w:rsidR="007D0973">
        <w:rPr>
          <w:rFonts w:eastAsia="Calibri"/>
          <w:lang w:eastAsia="en-US"/>
        </w:rPr>
        <w:t xml:space="preserve"> and not underpinned by legislation</w:t>
      </w:r>
      <w:r w:rsidRPr="000B7589">
        <w:rPr>
          <w:rFonts w:eastAsia="Calibri"/>
          <w:lang w:eastAsia="en-US"/>
        </w:rPr>
        <w:t xml:space="preserve">. The absence of an established, permanent structure to govern the </w:t>
      </w:r>
      <w:r w:rsidR="00E90D43">
        <w:rPr>
          <w:rFonts w:eastAsia="Calibri"/>
          <w:lang w:eastAsia="en-US"/>
        </w:rPr>
        <w:t>AGDIS</w:t>
      </w:r>
      <w:r w:rsidRPr="000B7589">
        <w:rPr>
          <w:rFonts w:eastAsia="Calibri"/>
          <w:lang w:eastAsia="en-US"/>
        </w:rPr>
        <w:t xml:space="preserve"> may lead potential non-</w:t>
      </w:r>
      <w:r w:rsidR="000F7B4D">
        <w:rPr>
          <w:rFonts w:eastAsia="Calibri"/>
          <w:lang w:eastAsia="en-US"/>
        </w:rPr>
        <w:t>Commo</w:t>
      </w:r>
      <w:r w:rsidR="00E84CC2">
        <w:rPr>
          <w:rFonts w:eastAsia="Calibri"/>
          <w:lang w:eastAsia="en-US"/>
        </w:rPr>
        <w:t>nwealth</w:t>
      </w:r>
      <w:r w:rsidR="00CC0F76" w:rsidRPr="000B7589">
        <w:rPr>
          <w:rFonts w:eastAsia="Calibri"/>
          <w:lang w:eastAsia="en-US"/>
        </w:rPr>
        <w:t xml:space="preserve"> </w:t>
      </w:r>
      <w:r w:rsidRPr="000B7589">
        <w:rPr>
          <w:rFonts w:eastAsia="Calibri"/>
          <w:lang w:eastAsia="en-US"/>
        </w:rPr>
        <w:t xml:space="preserve">participants (in their capacity as </w:t>
      </w:r>
      <w:r w:rsidR="00726612">
        <w:rPr>
          <w:rFonts w:eastAsia="Calibri"/>
          <w:lang w:eastAsia="en-US"/>
        </w:rPr>
        <w:t xml:space="preserve">onboarded </w:t>
      </w:r>
      <w:r w:rsidR="007F0E75">
        <w:rPr>
          <w:rFonts w:eastAsia="Calibri"/>
          <w:lang w:eastAsia="en-US"/>
        </w:rPr>
        <w:t>a</w:t>
      </w:r>
      <w:r w:rsidRPr="000B7589">
        <w:rPr>
          <w:rFonts w:eastAsia="Calibri"/>
          <w:lang w:eastAsia="en-US"/>
        </w:rPr>
        <w:t xml:space="preserve">ccredited </w:t>
      </w:r>
      <w:r w:rsidR="00726612">
        <w:rPr>
          <w:rFonts w:eastAsia="Calibri"/>
          <w:lang w:eastAsia="en-US"/>
        </w:rPr>
        <w:t xml:space="preserve">entities </w:t>
      </w:r>
      <w:r w:rsidRPr="000B7589">
        <w:rPr>
          <w:rFonts w:eastAsia="Calibri"/>
          <w:lang w:eastAsia="en-US"/>
        </w:rPr>
        <w:t xml:space="preserve">or </w:t>
      </w:r>
      <w:r w:rsidR="007F0E75">
        <w:rPr>
          <w:rFonts w:eastAsia="Calibri"/>
          <w:lang w:eastAsia="en-US"/>
        </w:rPr>
        <w:t>r</w:t>
      </w:r>
      <w:r w:rsidRPr="000B7589">
        <w:rPr>
          <w:rFonts w:eastAsia="Calibri"/>
          <w:lang w:eastAsia="en-US"/>
        </w:rPr>
        <w:t xml:space="preserve">elying </w:t>
      </w:r>
      <w:r w:rsidR="007F0E75">
        <w:rPr>
          <w:rFonts w:eastAsia="Calibri"/>
          <w:lang w:eastAsia="en-US"/>
        </w:rPr>
        <w:t>p</w:t>
      </w:r>
      <w:r w:rsidRPr="000B7589">
        <w:rPr>
          <w:rFonts w:eastAsia="Calibri"/>
          <w:lang w:eastAsia="en-US"/>
        </w:rPr>
        <w:t>arties) to doubt its long-term viability, and therefore impair uptake</w:t>
      </w:r>
      <w:r w:rsidR="007A723C">
        <w:rPr>
          <w:rFonts w:eastAsia="Calibri"/>
          <w:lang w:eastAsia="en-US"/>
        </w:rPr>
        <w:t>.</w:t>
      </w:r>
    </w:p>
    <w:p w14:paraId="33004E5B" w14:textId="35D10AE5" w:rsidR="00E6232E" w:rsidRPr="000B7589" w:rsidRDefault="00E6232E" w:rsidP="00932392">
      <w:pPr>
        <w:pStyle w:val="ListBulletLevel1"/>
        <w:rPr>
          <w:rFonts w:eastAsia="Calibri"/>
          <w:lang w:eastAsia="en-US"/>
        </w:rPr>
      </w:pPr>
      <w:r w:rsidRPr="000B7589">
        <w:rPr>
          <w:rFonts w:eastAsia="Calibri"/>
          <w:b/>
          <w:bCs/>
          <w:lang w:eastAsia="en-US"/>
        </w:rPr>
        <w:t>Enforceability</w:t>
      </w:r>
      <w:r w:rsidRPr="000B7589">
        <w:rPr>
          <w:rFonts w:eastAsia="Calibri"/>
          <w:lang w:eastAsia="en-US"/>
        </w:rPr>
        <w:t xml:space="preserve"> </w:t>
      </w:r>
      <w:r w:rsidR="00A93349" w:rsidRPr="000B7589">
        <w:rPr>
          <w:rFonts w:eastAsia="Calibri"/>
          <w:lang w:eastAsia="en-US"/>
        </w:rPr>
        <w:t xml:space="preserve">– </w:t>
      </w:r>
      <w:r w:rsidRPr="000B7589">
        <w:rPr>
          <w:rFonts w:eastAsia="Calibri"/>
          <w:lang w:eastAsia="en-US"/>
        </w:rPr>
        <w:t xml:space="preserve">the </w:t>
      </w:r>
      <w:r w:rsidR="004D4077">
        <w:rPr>
          <w:lang w:eastAsia="en-US"/>
        </w:rPr>
        <w:t>AGDIS</w:t>
      </w:r>
      <w:r w:rsidR="004D4077" w:rsidRPr="0DFA586A">
        <w:rPr>
          <w:lang w:eastAsia="en-US"/>
        </w:rPr>
        <w:t xml:space="preserve"> </w:t>
      </w:r>
      <w:r w:rsidR="00664DF9">
        <w:rPr>
          <w:rFonts w:eastAsia="Calibri"/>
          <w:lang w:eastAsia="en-US"/>
        </w:rPr>
        <w:t xml:space="preserve">Governance </w:t>
      </w:r>
      <w:r w:rsidR="00BC56E5">
        <w:rPr>
          <w:rFonts w:eastAsia="Calibri"/>
          <w:lang w:eastAsia="en-US"/>
        </w:rPr>
        <w:t>Agreement</w:t>
      </w:r>
      <w:r w:rsidR="00F024FA">
        <w:rPr>
          <w:rFonts w:eastAsia="Calibri"/>
          <w:lang w:eastAsia="en-US"/>
        </w:rPr>
        <w:t xml:space="preserve">, </w:t>
      </w:r>
      <w:r w:rsidRPr="000B7589">
        <w:rPr>
          <w:rFonts w:eastAsia="Calibri"/>
          <w:lang w:eastAsia="en-US"/>
        </w:rPr>
        <w:t>which sets the role and powers of the Interim Oversight Authority</w:t>
      </w:r>
      <w:r w:rsidR="00F024FA">
        <w:rPr>
          <w:rFonts w:eastAsia="Calibri"/>
          <w:lang w:eastAsia="en-US"/>
        </w:rPr>
        <w:t>,</w:t>
      </w:r>
      <w:r w:rsidRPr="000B7589">
        <w:rPr>
          <w:rFonts w:eastAsia="Calibri"/>
          <w:lang w:eastAsia="en-US"/>
        </w:rPr>
        <w:t xml:space="preserve"> </w:t>
      </w:r>
      <w:r w:rsidR="005B6AE5">
        <w:rPr>
          <w:rFonts w:eastAsia="Calibri"/>
          <w:lang w:eastAsia="en-US"/>
        </w:rPr>
        <w:t xml:space="preserve">provides contractual and policy </w:t>
      </w:r>
      <w:r w:rsidR="005B6AE5">
        <w:rPr>
          <w:rFonts w:eastAsia="Calibri"/>
          <w:lang w:eastAsia="en-US"/>
        </w:rPr>
        <w:lastRenderedPageBreak/>
        <w:t xml:space="preserve">powers, but not regulatory ones. </w:t>
      </w:r>
      <w:r w:rsidRPr="000B7589">
        <w:rPr>
          <w:rFonts w:eastAsia="Calibri"/>
          <w:lang w:eastAsia="en-US"/>
        </w:rPr>
        <w:t xml:space="preserve">Specifically, the Interim </w:t>
      </w:r>
      <w:r w:rsidR="003E5ECF">
        <w:rPr>
          <w:rFonts w:eastAsia="Calibri"/>
          <w:lang w:eastAsia="en-US"/>
        </w:rPr>
        <w:t xml:space="preserve">Oversight </w:t>
      </w:r>
      <w:r w:rsidRPr="000B7589">
        <w:rPr>
          <w:rFonts w:eastAsia="Calibri"/>
          <w:lang w:eastAsia="en-US"/>
        </w:rPr>
        <w:t xml:space="preserve">Authority does not have the </w:t>
      </w:r>
      <w:r w:rsidR="00B42466">
        <w:rPr>
          <w:rFonts w:eastAsia="Calibri"/>
          <w:lang w:eastAsia="en-US"/>
        </w:rPr>
        <w:t xml:space="preserve">regulatory </w:t>
      </w:r>
      <w:r w:rsidRPr="000B7589">
        <w:rPr>
          <w:rFonts w:eastAsia="Calibri"/>
          <w:lang w:eastAsia="en-US"/>
        </w:rPr>
        <w:t>power to:</w:t>
      </w:r>
    </w:p>
    <w:p w14:paraId="2DCAC7BC" w14:textId="17DFDE8A" w:rsidR="00E6232E" w:rsidRPr="004662C0" w:rsidRDefault="00E6232E" w:rsidP="004662C0">
      <w:pPr>
        <w:pStyle w:val="ListBulletLevel2"/>
        <w:rPr>
          <w:rFonts w:eastAsia="Calibri"/>
        </w:rPr>
      </w:pPr>
      <w:r w:rsidRPr="004662C0">
        <w:rPr>
          <w:rFonts w:eastAsia="Calibri"/>
        </w:rPr>
        <w:t xml:space="preserve">where justified, initiate enforcement action against </w:t>
      </w:r>
      <w:r w:rsidR="003E5ECF" w:rsidRPr="004662C0">
        <w:rPr>
          <w:rFonts w:eastAsia="Calibri"/>
        </w:rPr>
        <w:t>p</w:t>
      </w:r>
      <w:r w:rsidRPr="004662C0">
        <w:rPr>
          <w:rFonts w:eastAsia="Calibri"/>
        </w:rPr>
        <w:t>articipants to ensure rules are upheld and breaches addressed</w:t>
      </w:r>
    </w:p>
    <w:p w14:paraId="575D467F" w14:textId="02690896" w:rsidR="00E6232E" w:rsidRPr="004662C0" w:rsidRDefault="00E6232E" w:rsidP="004662C0">
      <w:pPr>
        <w:pStyle w:val="ListBulletLevel2"/>
        <w:rPr>
          <w:rFonts w:eastAsia="Calibri"/>
        </w:rPr>
      </w:pPr>
      <w:r w:rsidRPr="004662C0">
        <w:rPr>
          <w:rFonts w:eastAsia="Calibri"/>
        </w:rPr>
        <w:t xml:space="preserve">take certain investigatory actions, such as compelling or directing participants to undertake an action or provide certain information in the course of making inquiries and undertaking investigations into the activities of participants </w:t>
      </w:r>
    </w:p>
    <w:p w14:paraId="2B664D65" w14:textId="3374C65E" w:rsidR="00833F73" w:rsidRPr="004662C0" w:rsidRDefault="00E6232E" w:rsidP="004662C0">
      <w:pPr>
        <w:pStyle w:val="ListBulletLevel2"/>
        <w:rPr>
          <w:rFonts w:eastAsia="Calibri"/>
        </w:rPr>
      </w:pPr>
      <w:r w:rsidRPr="004662C0">
        <w:rPr>
          <w:rFonts w:eastAsia="Calibri"/>
        </w:rPr>
        <w:t xml:space="preserve">administer charging for </w:t>
      </w:r>
      <w:r w:rsidR="00A10DF5" w:rsidRPr="004662C0">
        <w:rPr>
          <w:rFonts w:eastAsia="Calibri"/>
        </w:rPr>
        <w:t xml:space="preserve">authentication, to varying degrees of </w:t>
      </w:r>
      <w:r w:rsidRPr="004662C0">
        <w:rPr>
          <w:rFonts w:eastAsia="Calibri"/>
        </w:rPr>
        <w:t xml:space="preserve">identity proofing, once the </w:t>
      </w:r>
      <w:r w:rsidR="006019B4">
        <w:rPr>
          <w:rFonts w:eastAsia="Calibri"/>
        </w:rPr>
        <w:t>AGDIS</w:t>
      </w:r>
      <w:r w:rsidRPr="004662C0">
        <w:rPr>
          <w:rFonts w:eastAsia="Calibri"/>
        </w:rPr>
        <w:t xml:space="preserve"> is sufficiently mature</w:t>
      </w:r>
    </w:p>
    <w:p w14:paraId="42156611" w14:textId="75CF00E8" w:rsidR="00F024FA" w:rsidRPr="004662C0" w:rsidRDefault="00833F73" w:rsidP="004662C0">
      <w:pPr>
        <w:pStyle w:val="ListBulletLevel2"/>
        <w:rPr>
          <w:rFonts w:eastAsia="Calibri"/>
        </w:rPr>
      </w:pPr>
      <w:r w:rsidRPr="004662C0">
        <w:rPr>
          <w:rFonts w:eastAsia="Calibri"/>
        </w:rPr>
        <w:t>impose civil penalties</w:t>
      </w:r>
      <w:r w:rsidR="00F024FA" w:rsidRPr="004662C0">
        <w:rPr>
          <w:rFonts w:eastAsia="Calibri"/>
        </w:rPr>
        <w:t>.</w:t>
      </w:r>
    </w:p>
    <w:p w14:paraId="600E5BE1" w14:textId="09DA79E1" w:rsidR="00E6232E" w:rsidRPr="000B7589" w:rsidRDefault="00E6232E" w:rsidP="00727E24">
      <w:pPr>
        <w:pStyle w:val="ListBulletLevel1"/>
        <w:rPr>
          <w:rFonts w:eastAsia="Calibri"/>
          <w:lang w:eastAsia="en-US"/>
        </w:rPr>
      </w:pPr>
      <w:r w:rsidRPr="78F42BF0">
        <w:rPr>
          <w:rFonts w:eastAsia="Calibri"/>
          <w:b/>
          <w:bCs/>
          <w:lang w:eastAsia="en-US"/>
        </w:rPr>
        <w:t>Transparency</w:t>
      </w:r>
      <w:r w:rsidRPr="78F42BF0">
        <w:rPr>
          <w:rFonts w:eastAsia="Calibri"/>
          <w:lang w:eastAsia="en-US"/>
        </w:rPr>
        <w:t xml:space="preserve"> – </w:t>
      </w:r>
      <w:r w:rsidR="00DB3AC3" w:rsidRPr="78F42BF0">
        <w:rPr>
          <w:rFonts w:eastAsia="Calibri"/>
          <w:lang w:eastAsia="en-US"/>
        </w:rPr>
        <w:t>a</w:t>
      </w:r>
      <w:r w:rsidR="00025505" w:rsidRPr="78F42BF0">
        <w:rPr>
          <w:rFonts w:eastAsia="Calibri"/>
          <w:lang w:eastAsia="en-US"/>
        </w:rPr>
        <w:t xml:space="preserve">s </w:t>
      </w:r>
      <w:r w:rsidRPr="78F42BF0">
        <w:rPr>
          <w:rFonts w:eastAsia="Calibri"/>
          <w:lang w:eastAsia="en-US"/>
        </w:rPr>
        <w:t xml:space="preserve">the arrangements governing the Interim Oversight Authority are not </w:t>
      </w:r>
      <w:r w:rsidR="00025505" w:rsidRPr="78F42BF0">
        <w:rPr>
          <w:rFonts w:eastAsia="Calibri"/>
          <w:lang w:eastAsia="en-US"/>
        </w:rPr>
        <w:t xml:space="preserve">publicly accessible, </w:t>
      </w:r>
      <w:r w:rsidR="00364241" w:rsidRPr="78F42BF0">
        <w:rPr>
          <w:rFonts w:eastAsia="Calibri"/>
          <w:lang w:eastAsia="en-US"/>
        </w:rPr>
        <w:t xml:space="preserve">they are not </w:t>
      </w:r>
      <w:r w:rsidRPr="78F42BF0">
        <w:rPr>
          <w:rFonts w:eastAsia="Calibri"/>
          <w:lang w:eastAsia="en-US"/>
        </w:rPr>
        <w:t>as transparent as having a permanent Oversight Authority, with a legislated role. While TDIF rules do currently require some transparency measures</w:t>
      </w:r>
      <w:r w:rsidR="001A5486" w:rsidRPr="78F42BF0">
        <w:rPr>
          <w:rFonts w:eastAsia="Calibri"/>
          <w:lang w:eastAsia="en-US"/>
        </w:rPr>
        <w:t xml:space="preserve"> for </w:t>
      </w:r>
      <w:r w:rsidR="00726612" w:rsidRPr="78F42BF0">
        <w:rPr>
          <w:rFonts w:eastAsia="Calibri"/>
          <w:lang w:eastAsia="en-US"/>
        </w:rPr>
        <w:t xml:space="preserve">onboarded </w:t>
      </w:r>
      <w:r w:rsidR="001A5486" w:rsidRPr="78F42BF0">
        <w:rPr>
          <w:rFonts w:eastAsia="Calibri"/>
          <w:lang w:eastAsia="en-US"/>
        </w:rPr>
        <w:t xml:space="preserve">accredited </w:t>
      </w:r>
      <w:r w:rsidR="00726612" w:rsidRPr="78F42BF0">
        <w:rPr>
          <w:rFonts w:eastAsia="Calibri"/>
          <w:lang w:eastAsia="en-US"/>
        </w:rPr>
        <w:t xml:space="preserve">entities </w:t>
      </w:r>
      <w:r w:rsidRPr="78F42BF0">
        <w:rPr>
          <w:rFonts w:eastAsia="Calibri"/>
          <w:lang w:eastAsia="en-US"/>
        </w:rPr>
        <w:t>(</w:t>
      </w:r>
      <w:r w:rsidR="37F8076E" w:rsidRPr="78F42BF0">
        <w:rPr>
          <w:rFonts w:eastAsia="Calibri"/>
          <w:lang w:eastAsia="en-US"/>
        </w:rPr>
        <w:t>e.g.,</w:t>
      </w:r>
      <w:r w:rsidRPr="78F42BF0">
        <w:rPr>
          <w:rFonts w:eastAsia="Calibri"/>
          <w:lang w:eastAsia="en-US"/>
        </w:rPr>
        <w:t xml:space="preserve"> that </w:t>
      </w:r>
      <w:r w:rsidR="00353A8A" w:rsidRPr="78F42BF0">
        <w:rPr>
          <w:rFonts w:eastAsia="Calibri"/>
          <w:lang w:eastAsia="en-US"/>
        </w:rPr>
        <w:t>IDXs</w:t>
      </w:r>
      <w:r w:rsidRPr="78F42BF0">
        <w:rPr>
          <w:rFonts w:eastAsia="Calibri"/>
          <w:lang w:eastAsia="en-US"/>
        </w:rPr>
        <w:t xml:space="preserve"> publish Annual Transparency Reports), a permanent governance authority could also en</w:t>
      </w:r>
      <w:r w:rsidR="002756CB" w:rsidRPr="78F42BF0">
        <w:rPr>
          <w:rFonts w:eastAsia="Calibri"/>
          <w:lang w:eastAsia="en-US"/>
        </w:rPr>
        <w:t>force and comply with</w:t>
      </w:r>
      <w:r w:rsidR="007468CA" w:rsidRPr="78F42BF0">
        <w:rPr>
          <w:rFonts w:eastAsia="Calibri"/>
          <w:lang w:eastAsia="en-US"/>
        </w:rPr>
        <w:t xml:space="preserve"> publicly accessible</w:t>
      </w:r>
      <w:r w:rsidR="002756CB" w:rsidRPr="78F42BF0">
        <w:rPr>
          <w:rFonts w:eastAsia="Calibri"/>
          <w:lang w:eastAsia="en-US"/>
        </w:rPr>
        <w:t xml:space="preserve"> legislative provisions and rules that are </w:t>
      </w:r>
      <w:r w:rsidRPr="78F42BF0">
        <w:rPr>
          <w:rFonts w:eastAsia="Calibri"/>
          <w:lang w:eastAsia="en-US"/>
        </w:rPr>
        <w:t xml:space="preserve">put in place to ensure transparency in the operation of the </w:t>
      </w:r>
      <w:r w:rsidR="00E90D43" w:rsidRPr="78F42BF0">
        <w:rPr>
          <w:rFonts w:eastAsia="Calibri"/>
          <w:lang w:eastAsia="en-US"/>
        </w:rPr>
        <w:t>Digital ID.</w:t>
      </w:r>
    </w:p>
    <w:p w14:paraId="21E7AC7E" w14:textId="658F522D" w:rsidR="00E6232E" w:rsidRPr="000B7589" w:rsidRDefault="00E6232E" w:rsidP="00727E24">
      <w:pPr>
        <w:pStyle w:val="ListBulletLevel1"/>
        <w:rPr>
          <w:rFonts w:eastAsia="Calibri"/>
          <w:lang w:eastAsia="en-US"/>
        </w:rPr>
      </w:pPr>
      <w:r w:rsidRPr="000B7589">
        <w:rPr>
          <w:rFonts w:eastAsia="Calibri"/>
          <w:b/>
          <w:bCs/>
          <w:lang w:eastAsia="en-US"/>
        </w:rPr>
        <w:t>Independence</w:t>
      </w:r>
      <w:r w:rsidRPr="000B7589">
        <w:rPr>
          <w:rFonts w:eastAsia="Calibri"/>
          <w:lang w:eastAsia="en-US"/>
        </w:rPr>
        <w:t xml:space="preserve"> – the Interim Oversight Authority </w:t>
      </w:r>
      <w:r w:rsidR="002756CB">
        <w:rPr>
          <w:rFonts w:eastAsia="Calibri"/>
          <w:lang w:eastAsia="en-US"/>
        </w:rPr>
        <w:t xml:space="preserve">is structurally independent </w:t>
      </w:r>
      <w:r w:rsidR="00C86B5E">
        <w:rPr>
          <w:rFonts w:eastAsia="Calibri"/>
          <w:lang w:eastAsia="en-US"/>
        </w:rPr>
        <w:t xml:space="preserve">from other participants in </w:t>
      </w:r>
      <w:r w:rsidR="003D49C1">
        <w:rPr>
          <w:rFonts w:eastAsia="Calibri"/>
        </w:rPr>
        <w:t>AGDIS</w:t>
      </w:r>
      <w:r w:rsidR="003D49C1" w:rsidRPr="004662C0">
        <w:rPr>
          <w:rFonts w:eastAsia="Calibri"/>
        </w:rPr>
        <w:t xml:space="preserve"> </w:t>
      </w:r>
      <w:r w:rsidR="00C86B5E">
        <w:rPr>
          <w:rFonts w:eastAsia="Calibri"/>
          <w:lang w:eastAsia="en-US"/>
        </w:rPr>
        <w:t xml:space="preserve">but comprises officials from two </w:t>
      </w:r>
      <w:r w:rsidR="00667E8F">
        <w:rPr>
          <w:rFonts w:eastAsia="Calibri"/>
          <w:lang w:eastAsia="en-US"/>
        </w:rPr>
        <w:t xml:space="preserve">Australian Government </w:t>
      </w:r>
      <w:r w:rsidR="00A913A2">
        <w:rPr>
          <w:rFonts w:eastAsia="Calibri"/>
          <w:lang w:eastAsia="en-US"/>
        </w:rPr>
        <w:t>agencies</w:t>
      </w:r>
      <w:r w:rsidR="00C86B5E">
        <w:rPr>
          <w:rFonts w:eastAsia="Calibri"/>
          <w:lang w:eastAsia="en-US"/>
        </w:rPr>
        <w:t xml:space="preserve"> who have policy and operational roles. </w:t>
      </w:r>
      <w:r w:rsidRPr="000B7589">
        <w:rPr>
          <w:rFonts w:eastAsia="Calibri"/>
          <w:lang w:eastAsia="en-US"/>
        </w:rPr>
        <w:t xml:space="preserve">To ensure trust in the </w:t>
      </w:r>
      <w:r w:rsidR="00650AE3">
        <w:rPr>
          <w:rFonts w:eastAsia="Calibri"/>
          <w:lang w:eastAsia="en-US"/>
        </w:rPr>
        <w:t>Digital ID</w:t>
      </w:r>
      <w:r w:rsidRPr="000B7589">
        <w:rPr>
          <w:rFonts w:eastAsia="Calibri"/>
          <w:lang w:eastAsia="en-US"/>
        </w:rPr>
        <w:t xml:space="preserve"> and its governance model as expansion occurs, it is important that </w:t>
      </w:r>
      <w:r w:rsidR="00C86B5E">
        <w:rPr>
          <w:rFonts w:eastAsia="Calibri"/>
          <w:lang w:eastAsia="en-US"/>
        </w:rPr>
        <w:t xml:space="preserve">independence of the </w:t>
      </w:r>
      <w:r w:rsidRPr="000B7589">
        <w:rPr>
          <w:rFonts w:eastAsia="Calibri"/>
          <w:lang w:eastAsia="en-US"/>
        </w:rPr>
        <w:t xml:space="preserve">oversight body </w:t>
      </w:r>
      <w:r w:rsidR="00A345F4">
        <w:rPr>
          <w:rFonts w:eastAsia="Calibri"/>
          <w:lang w:eastAsia="en-US"/>
        </w:rPr>
        <w:t xml:space="preserve">increases commensurately with the scale in a way that makes it </w:t>
      </w:r>
      <w:r w:rsidRPr="000B7589">
        <w:rPr>
          <w:rFonts w:eastAsia="Calibri"/>
          <w:lang w:eastAsia="en-US"/>
        </w:rPr>
        <w:t>independent from other government functions and entities</w:t>
      </w:r>
      <w:r w:rsidR="00A345F4">
        <w:rPr>
          <w:rFonts w:eastAsia="Calibri"/>
          <w:lang w:eastAsia="en-US"/>
        </w:rPr>
        <w:t xml:space="preserve"> participating</w:t>
      </w:r>
      <w:r w:rsidRPr="000B7589">
        <w:rPr>
          <w:rFonts w:eastAsia="Calibri"/>
          <w:lang w:eastAsia="en-US"/>
        </w:rPr>
        <w:t>. The independence of t</w:t>
      </w:r>
      <w:r w:rsidR="00F018D9">
        <w:rPr>
          <w:rFonts w:eastAsia="Calibri"/>
          <w:lang w:eastAsia="en-US"/>
        </w:rPr>
        <w:t>he Interim Oversight Authority</w:t>
      </w:r>
      <w:r w:rsidRPr="000B7589">
        <w:rPr>
          <w:rFonts w:eastAsia="Calibri"/>
          <w:lang w:eastAsia="en-US"/>
        </w:rPr>
        <w:t xml:space="preserve"> is also not clearly entrenched within and guaranteed by law, which may impact public trust in the governance integrity </w:t>
      </w:r>
      <w:r w:rsidR="00351399">
        <w:rPr>
          <w:rFonts w:eastAsia="Calibri"/>
          <w:lang w:eastAsia="en-US"/>
        </w:rPr>
        <w:t xml:space="preserve">as it expands beyond </w:t>
      </w:r>
      <w:r w:rsidR="003B2ED2">
        <w:rPr>
          <w:rFonts w:eastAsia="Calibri"/>
          <w:lang w:eastAsia="en-US"/>
        </w:rPr>
        <w:t xml:space="preserve">Australian Government </w:t>
      </w:r>
      <w:r w:rsidR="00351399">
        <w:rPr>
          <w:rFonts w:eastAsia="Calibri"/>
          <w:lang w:eastAsia="en-US"/>
        </w:rPr>
        <w:t>agencies</w:t>
      </w:r>
      <w:r w:rsidR="00816C66">
        <w:rPr>
          <w:rFonts w:eastAsia="Calibri"/>
          <w:lang w:eastAsia="en-US"/>
        </w:rPr>
        <w:t>.</w:t>
      </w:r>
    </w:p>
    <w:p w14:paraId="4FD12AE0" w14:textId="2F9BD127" w:rsidR="00E6232E" w:rsidRPr="000B7589" w:rsidRDefault="00E6232E" w:rsidP="00727E24">
      <w:pPr>
        <w:pStyle w:val="ListBulletLevel1"/>
        <w:rPr>
          <w:rFonts w:eastAsia="Calibri"/>
          <w:lang w:eastAsia="en-US"/>
        </w:rPr>
      </w:pPr>
      <w:r w:rsidRPr="000B7589">
        <w:rPr>
          <w:rFonts w:eastAsia="Calibri"/>
          <w:b/>
          <w:bCs/>
          <w:lang w:eastAsia="en-US"/>
        </w:rPr>
        <w:t>Accountability</w:t>
      </w:r>
      <w:r w:rsidRPr="000B7589">
        <w:rPr>
          <w:rFonts w:eastAsia="Calibri"/>
          <w:lang w:eastAsia="en-US"/>
        </w:rPr>
        <w:t xml:space="preserve"> – while the </w:t>
      </w:r>
      <w:r w:rsidR="00377100">
        <w:rPr>
          <w:lang w:eastAsia="en-US"/>
        </w:rPr>
        <w:t>AGDIS</w:t>
      </w:r>
      <w:r w:rsidR="00454A6E" w:rsidDel="00377100">
        <w:rPr>
          <w:rFonts w:eastAsia="Calibri"/>
          <w:lang w:eastAsia="en-US"/>
        </w:rPr>
        <w:t xml:space="preserve"> </w:t>
      </w:r>
      <w:r w:rsidR="00454A6E">
        <w:rPr>
          <w:rFonts w:eastAsia="Calibri"/>
          <w:lang w:eastAsia="en-US"/>
        </w:rPr>
        <w:t xml:space="preserve">Governance Agreement </w:t>
      </w:r>
      <w:r w:rsidR="00EB5EE3">
        <w:rPr>
          <w:rFonts w:eastAsia="Calibri"/>
          <w:lang w:eastAsia="en-US"/>
        </w:rPr>
        <w:t>imposes</w:t>
      </w:r>
      <w:r w:rsidR="00EB5EE3" w:rsidRPr="000B7589">
        <w:rPr>
          <w:rFonts w:eastAsia="Calibri"/>
          <w:lang w:eastAsia="en-US"/>
        </w:rPr>
        <w:t xml:space="preserve"> </w:t>
      </w:r>
      <w:r w:rsidRPr="000B7589">
        <w:rPr>
          <w:rFonts w:eastAsia="Calibri"/>
          <w:lang w:eastAsia="en-US"/>
        </w:rPr>
        <w:t xml:space="preserve">reporting </w:t>
      </w:r>
      <w:r w:rsidR="00EB5EE3">
        <w:rPr>
          <w:rFonts w:eastAsia="Calibri"/>
          <w:lang w:eastAsia="en-US"/>
        </w:rPr>
        <w:t>requirements on participants</w:t>
      </w:r>
      <w:r w:rsidR="00CB4BCB">
        <w:rPr>
          <w:rFonts w:eastAsia="Calibri"/>
          <w:lang w:eastAsia="en-US"/>
        </w:rPr>
        <w:t xml:space="preserve"> and the </w:t>
      </w:r>
      <w:r w:rsidR="00EB2443">
        <w:rPr>
          <w:rFonts w:eastAsia="Calibri"/>
          <w:lang w:eastAsia="en-US"/>
        </w:rPr>
        <w:t>Digital ID</w:t>
      </w:r>
      <w:r w:rsidR="00CB4BCB">
        <w:rPr>
          <w:rFonts w:eastAsia="Calibri"/>
          <w:lang w:eastAsia="en-US"/>
        </w:rPr>
        <w:t xml:space="preserve"> Program reports to Parliament (</w:t>
      </w:r>
      <w:r w:rsidR="00977351">
        <w:rPr>
          <w:rFonts w:eastAsia="Calibri"/>
          <w:lang w:eastAsia="en-US"/>
        </w:rPr>
        <w:t>e.g.,</w:t>
      </w:r>
      <w:r w:rsidR="00CB4BCB">
        <w:rPr>
          <w:rFonts w:eastAsia="Calibri"/>
          <w:lang w:eastAsia="en-US"/>
        </w:rPr>
        <w:t xml:space="preserve"> through Senate Estimates)</w:t>
      </w:r>
      <w:r w:rsidRPr="000B7589">
        <w:rPr>
          <w:rFonts w:eastAsia="Calibri"/>
          <w:lang w:eastAsia="en-US"/>
        </w:rPr>
        <w:t xml:space="preserve">, the oversight body would benefit from clear, legislated lines of </w:t>
      </w:r>
      <w:r w:rsidR="00CB4BCB">
        <w:rPr>
          <w:rFonts w:eastAsia="Calibri"/>
          <w:lang w:eastAsia="en-US"/>
        </w:rPr>
        <w:t xml:space="preserve">public and Parliamentary </w:t>
      </w:r>
      <w:r w:rsidRPr="000B7589">
        <w:rPr>
          <w:rFonts w:eastAsia="Calibri"/>
          <w:lang w:eastAsia="en-US"/>
        </w:rPr>
        <w:t xml:space="preserve">accountability </w:t>
      </w:r>
      <w:r w:rsidR="00D95464">
        <w:rPr>
          <w:rFonts w:eastAsia="Calibri"/>
          <w:lang w:eastAsia="en-US"/>
        </w:rPr>
        <w:t xml:space="preserve">specifically tailored to </w:t>
      </w:r>
      <w:r w:rsidR="007230A1">
        <w:rPr>
          <w:rFonts w:eastAsia="Calibri"/>
          <w:lang w:eastAsia="en-US"/>
        </w:rPr>
        <w:lastRenderedPageBreak/>
        <w:t>AGDIS and accredited entities</w:t>
      </w:r>
      <w:r w:rsidRPr="000B7589">
        <w:rPr>
          <w:rFonts w:eastAsia="Calibri"/>
          <w:lang w:eastAsia="en-US"/>
        </w:rPr>
        <w:t xml:space="preserve">, as well as any additional reporting requirements considered suitable (such as periodic and ad hoc reporting). </w:t>
      </w:r>
    </w:p>
    <w:p w14:paraId="2666A9B2" w14:textId="5CE80976" w:rsidR="00E6232E" w:rsidRPr="000B7589" w:rsidRDefault="00E6232E" w:rsidP="00727E24">
      <w:pPr>
        <w:pStyle w:val="BodyText"/>
        <w:rPr>
          <w:lang w:eastAsia="en-US"/>
        </w:rPr>
      </w:pPr>
      <w:r w:rsidRPr="000B7589">
        <w:rPr>
          <w:lang w:eastAsia="en-US"/>
        </w:rPr>
        <w:t>This</w:t>
      </w:r>
      <w:r w:rsidR="00D95464">
        <w:rPr>
          <w:lang w:eastAsia="en-US"/>
        </w:rPr>
        <w:t xml:space="preserve"> presents an opportunity to improve</w:t>
      </w:r>
      <w:r w:rsidRPr="000B7589">
        <w:rPr>
          <w:lang w:eastAsia="en-US"/>
        </w:rPr>
        <w:t xml:space="preserve"> governance </w:t>
      </w:r>
      <w:r w:rsidR="00D95464">
        <w:rPr>
          <w:lang w:eastAsia="en-US"/>
        </w:rPr>
        <w:t xml:space="preserve">for a broad range of stakeholders, </w:t>
      </w:r>
      <w:r w:rsidRPr="000B7589">
        <w:rPr>
          <w:lang w:eastAsia="en-US"/>
        </w:rPr>
        <w:t xml:space="preserve">including current participants, operating under non-legally enforceable rules, and future participants, </w:t>
      </w:r>
      <w:r w:rsidR="00D95464">
        <w:rPr>
          <w:lang w:eastAsia="en-US"/>
        </w:rPr>
        <w:t xml:space="preserve">by increasing their incentive to </w:t>
      </w:r>
      <w:r w:rsidR="00E818BC">
        <w:rPr>
          <w:lang w:eastAsia="en-US"/>
        </w:rPr>
        <w:t>provide Digital ID services</w:t>
      </w:r>
      <w:r w:rsidRPr="000B7589">
        <w:rPr>
          <w:lang w:eastAsia="en-US"/>
        </w:rPr>
        <w:t xml:space="preserve">. The impact of not having a trusted, robust governance framework is described further below. </w:t>
      </w:r>
    </w:p>
    <w:p w14:paraId="4B88CEBB" w14:textId="4FE36D12" w:rsidR="00E6232E" w:rsidRPr="003010B1" w:rsidRDefault="00E6232E" w:rsidP="0036415F">
      <w:pPr>
        <w:pStyle w:val="Heading4NoNumbers"/>
        <w:rPr>
          <w:color w:val="008675"/>
          <w:lang w:eastAsia="en-US"/>
        </w:rPr>
      </w:pPr>
      <w:r w:rsidRPr="003010B1">
        <w:rPr>
          <w:color w:val="008675"/>
          <w:lang w:eastAsia="en-US"/>
        </w:rPr>
        <w:t xml:space="preserve">Impact of </w:t>
      </w:r>
      <w:r w:rsidR="00082E69" w:rsidRPr="003010B1">
        <w:rPr>
          <w:color w:val="008675"/>
          <w:lang w:eastAsia="en-US"/>
        </w:rPr>
        <w:t>n</w:t>
      </w:r>
      <w:r w:rsidRPr="003010B1">
        <w:rPr>
          <w:color w:val="008675"/>
          <w:lang w:eastAsia="en-US"/>
        </w:rPr>
        <w:t xml:space="preserve">ot </w:t>
      </w:r>
      <w:r w:rsidR="00082E69" w:rsidRPr="003010B1">
        <w:rPr>
          <w:color w:val="008675"/>
          <w:lang w:eastAsia="en-US"/>
        </w:rPr>
        <w:t>h</w:t>
      </w:r>
      <w:r w:rsidRPr="003010B1">
        <w:rPr>
          <w:color w:val="008675"/>
          <w:lang w:eastAsia="en-US"/>
        </w:rPr>
        <w:t xml:space="preserve">aving a </w:t>
      </w:r>
      <w:r w:rsidR="00082E69" w:rsidRPr="003010B1">
        <w:rPr>
          <w:color w:val="008675"/>
          <w:lang w:eastAsia="en-US"/>
        </w:rPr>
        <w:t>t</w:t>
      </w:r>
      <w:r w:rsidRPr="003010B1">
        <w:rPr>
          <w:color w:val="008675"/>
          <w:lang w:eastAsia="en-US"/>
        </w:rPr>
        <w:t xml:space="preserve">rusted, </w:t>
      </w:r>
      <w:r w:rsidR="00082E69" w:rsidRPr="003010B1">
        <w:rPr>
          <w:color w:val="008675"/>
          <w:lang w:eastAsia="en-US"/>
        </w:rPr>
        <w:t>r</w:t>
      </w:r>
      <w:r w:rsidRPr="003010B1">
        <w:rPr>
          <w:color w:val="008675"/>
          <w:lang w:eastAsia="en-US"/>
        </w:rPr>
        <w:t xml:space="preserve">obust </w:t>
      </w:r>
      <w:r w:rsidR="00082E69" w:rsidRPr="003010B1">
        <w:rPr>
          <w:color w:val="008675"/>
          <w:lang w:eastAsia="en-US"/>
        </w:rPr>
        <w:t>g</w:t>
      </w:r>
      <w:r w:rsidRPr="003010B1">
        <w:rPr>
          <w:color w:val="008675"/>
          <w:lang w:eastAsia="en-US"/>
        </w:rPr>
        <w:t xml:space="preserve">overnance </w:t>
      </w:r>
      <w:r w:rsidR="00082E69" w:rsidRPr="003010B1">
        <w:rPr>
          <w:color w:val="008675"/>
          <w:lang w:eastAsia="en-US"/>
        </w:rPr>
        <w:t>f</w:t>
      </w:r>
      <w:r w:rsidRPr="003010B1">
        <w:rPr>
          <w:color w:val="008675"/>
          <w:lang w:eastAsia="en-US"/>
        </w:rPr>
        <w:t>ramework</w:t>
      </w:r>
    </w:p>
    <w:p w14:paraId="5A6FB732" w14:textId="1A83EA2E" w:rsidR="00E6232E" w:rsidRPr="000B7589" w:rsidRDefault="00E6232E" w:rsidP="00727E24">
      <w:pPr>
        <w:pStyle w:val="BodyText"/>
        <w:rPr>
          <w:lang w:eastAsia="en-US"/>
        </w:rPr>
      </w:pPr>
      <w:r w:rsidRPr="000B7589">
        <w:rPr>
          <w:lang w:eastAsia="en-US"/>
        </w:rPr>
        <w:t xml:space="preserve">The importance of a strong, trusted and independent governance framework has been recognised since before the commencement of the Program. </w:t>
      </w:r>
      <w:r w:rsidRPr="009439B6">
        <w:rPr>
          <w:lang w:eastAsia="en-US"/>
        </w:rPr>
        <w:t xml:space="preserve">The 2014 </w:t>
      </w:r>
      <w:hyperlink r:id="rId55" w:history="1">
        <w:r w:rsidR="00CB7FB3" w:rsidRPr="009439B6">
          <w:rPr>
            <w:rStyle w:val="Hyperlink"/>
            <w:color w:val="auto"/>
            <w:lang w:eastAsia="en-US"/>
          </w:rPr>
          <w:t>Murray inquiry</w:t>
        </w:r>
      </w:hyperlink>
      <w:r w:rsidR="00CB7FB3" w:rsidRPr="009439B6">
        <w:rPr>
          <w:lang w:eastAsia="en-US"/>
        </w:rPr>
        <w:t xml:space="preserve"> </w:t>
      </w:r>
      <w:r w:rsidRPr="009439B6">
        <w:rPr>
          <w:lang w:eastAsia="en-US"/>
        </w:rPr>
        <w:t xml:space="preserve">specifically identified fragmented governance arrangements as a contributor </w:t>
      </w:r>
      <w:r w:rsidRPr="000B7589">
        <w:rPr>
          <w:lang w:eastAsia="en-US"/>
        </w:rPr>
        <w:t xml:space="preserve">to the initial </w:t>
      </w:r>
      <w:r w:rsidR="00190DFA" w:rsidRPr="000B7589">
        <w:rPr>
          <w:lang w:eastAsia="en-US"/>
        </w:rPr>
        <w:t>problem</w:t>
      </w:r>
      <w:r w:rsidRPr="000B7589">
        <w:rPr>
          <w:lang w:eastAsia="en-US"/>
        </w:rPr>
        <w:t xml:space="preserve">, observing that </w:t>
      </w:r>
      <w:r w:rsidR="00D87A62">
        <w:rPr>
          <w:lang w:eastAsia="en-US"/>
        </w:rPr>
        <w:t>“</w:t>
      </w:r>
      <w:r w:rsidRPr="000B7589">
        <w:rPr>
          <w:lang w:eastAsia="en-US"/>
        </w:rPr>
        <w:t>although government has some existing governance mechanisms, the lack of clear ownership of identity policy is impeding progress</w:t>
      </w:r>
      <w:r w:rsidR="00D87A62">
        <w:rPr>
          <w:lang w:eastAsia="en-US"/>
        </w:rPr>
        <w:t>”</w:t>
      </w:r>
      <w:r w:rsidRPr="000B7589">
        <w:rPr>
          <w:lang w:eastAsia="en-US"/>
        </w:rPr>
        <w:t xml:space="preserve">. There is a risk that an interim governance framework, whilst appropriate to cover the limited participants and activities to date, may not meet community and prospective participant expectations for its future expansion. </w:t>
      </w:r>
    </w:p>
    <w:p w14:paraId="7CB14F41" w14:textId="0FA03025" w:rsidR="00E6232E" w:rsidRPr="00986346" w:rsidRDefault="00E6232E" w:rsidP="00D44FE0">
      <w:pPr>
        <w:pStyle w:val="BodyText"/>
      </w:pPr>
      <w:r w:rsidRPr="000B7589">
        <w:rPr>
          <w:lang w:eastAsia="en-US"/>
        </w:rPr>
        <w:t>Confidence in the robustness of governance mechanisms is equally important as having privacy, security and consumer protections. Governance is relied upon to put mechanisms in place to ensure compliance with the rules and take enforcement action when breaches occur. Without a strong governance framework there is heightened risk that</w:t>
      </w:r>
      <w:r w:rsidR="001159BD">
        <w:rPr>
          <w:lang w:eastAsia="en-US"/>
        </w:rPr>
        <w:t xml:space="preserve"> Digital ID</w:t>
      </w:r>
      <w:r w:rsidRPr="000B7589">
        <w:rPr>
          <w:lang w:eastAsia="en-US"/>
        </w:rPr>
        <w:t xml:space="preserve"> will not operate as intended, resulting in potential low levels of public trust and a resultant reduction in uptake </w:t>
      </w:r>
      <w:r w:rsidR="001159BD">
        <w:rPr>
          <w:lang w:eastAsia="en-US"/>
        </w:rPr>
        <w:t xml:space="preserve">of digital identification </w:t>
      </w:r>
      <w:r w:rsidRPr="000B7589">
        <w:rPr>
          <w:lang w:eastAsia="en-US"/>
        </w:rPr>
        <w:t xml:space="preserve">and online services. </w:t>
      </w:r>
    </w:p>
    <w:p w14:paraId="393A6C52" w14:textId="4E7CC41F" w:rsidR="00E6232E" w:rsidRPr="000B7589" w:rsidRDefault="00E6232E" w:rsidP="00A05C17">
      <w:pPr>
        <w:pStyle w:val="BodyText"/>
        <w:rPr>
          <w:lang w:eastAsia="en-US"/>
        </w:rPr>
      </w:pPr>
      <w:r w:rsidRPr="000B7589">
        <w:rPr>
          <w:lang w:eastAsia="en-US"/>
        </w:rPr>
        <w:t xml:space="preserve">The Program’s achievement of whole-of-economy outcomes, stimulation of innovation and economic development is reliant upon broad participation in the </w:t>
      </w:r>
      <w:r w:rsidR="00786335">
        <w:rPr>
          <w:lang w:eastAsia="en-US"/>
        </w:rPr>
        <w:t>market</w:t>
      </w:r>
      <w:r w:rsidR="005B0E82">
        <w:rPr>
          <w:lang w:eastAsia="en-US"/>
        </w:rPr>
        <w:t xml:space="preserve"> </w:t>
      </w:r>
      <w:r w:rsidRPr="000B7589">
        <w:rPr>
          <w:lang w:eastAsia="en-US"/>
        </w:rPr>
        <w:t xml:space="preserve">– from individuals, </w:t>
      </w:r>
      <w:r w:rsidR="00726612">
        <w:rPr>
          <w:lang w:eastAsia="en-US"/>
        </w:rPr>
        <w:t xml:space="preserve">onboarded </w:t>
      </w:r>
      <w:r w:rsidR="007F0E75">
        <w:rPr>
          <w:lang w:eastAsia="en-US"/>
        </w:rPr>
        <w:t>a</w:t>
      </w:r>
      <w:r w:rsidR="007F0E75" w:rsidRPr="000B7589">
        <w:rPr>
          <w:lang w:eastAsia="en-US"/>
        </w:rPr>
        <w:t xml:space="preserve">ccredited </w:t>
      </w:r>
      <w:r w:rsidR="00726612">
        <w:rPr>
          <w:lang w:eastAsia="en-US"/>
        </w:rPr>
        <w:t xml:space="preserve">entities </w:t>
      </w:r>
      <w:r w:rsidRPr="000B7589">
        <w:rPr>
          <w:lang w:eastAsia="en-US"/>
        </w:rPr>
        <w:t xml:space="preserve">and </w:t>
      </w:r>
      <w:r w:rsidR="007F0E75">
        <w:rPr>
          <w:lang w:eastAsia="en-US"/>
        </w:rPr>
        <w:t>r</w:t>
      </w:r>
      <w:r w:rsidR="007F0E75" w:rsidRPr="000B7589">
        <w:rPr>
          <w:lang w:eastAsia="en-US"/>
        </w:rPr>
        <w:t xml:space="preserve">elying </w:t>
      </w:r>
      <w:r w:rsidR="007F0E75">
        <w:rPr>
          <w:lang w:eastAsia="en-US"/>
        </w:rPr>
        <w:t>p</w:t>
      </w:r>
      <w:r w:rsidR="007F0E75" w:rsidRPr="000B7589">
        <w:rPr>
          <w:lang w:eastAsia="en-US"/>
        </w:rPr>
        <w:t>arties</w:t>
      </w:r>
      <w:r w:rsidR="00B87018">
        <w:rPr>
          <w:lang w:eastAsia="en-US"/>
        </w:rPr>
        <w:t xml:space="preserve"> -</w:t>
      </w:r>
      <w:r w:rsidRPr="000B7589">
        <w:rPr>
          <w:lang w:eastAsia="en-US"/>
        </w:rPr>
        <w:t xml:space="preserve"> among other key actors. Expanding the </w:t>
      </w:r>
      <w:r w:rsidR="00786335">
        <w:rPr>
          <w:lang w:eastAsia="en-US"/>
        </w:rPr>
        <w:t>AGDIS</w:t>
      </w:r>
      <w:r w:rsidRPr="000B7589">
        <w:rPr>
          <w:lang w:eastAsia="en-US"/>
        </w:rPr>
        <w:t xml:space="preserve"> without making corresponding amendments to strengthen its governance framework could jeopardise this participation. A permanent </w:t>
      </w:r>
      <w:r w:rsidR="006634E5">
        <w:rPr>
          <w:rFonts w:eastAsia="Calibri"/>
          <w:szCs w:val="20"/>
          <w:lang w:eastAsia="en-US"/>
        </w:rPr>
        <w:t xml:space="preserve">Oversight </w:t>
      </w:r>
      <w:r w:rsidR="006634E5">
        <w:rPr>
          <w:lang w:eastAsia="en-US"/>
        </w:rPr>
        <w:t>A</w:t>
      </w:r>
      <w:r w:rsidRPr="000B7589">
        <w:rPr>
          <w:lang w:eastAsia="en-US"/>
        </w:rPr>
        <w:t xml:space="preserve">uthority, maintaining and establishing a set of operating rules, would provide a greater level of certainty to all participants. This certainty is essential in persuading prospective </w:t>
      </w:r>
      <w:r w:rsidR="00AC189A">
        <w:rPr>
          <w:lang w:eastAsia="en-US"/>
        </w:rPr>
        <w:t>participants</w:t>
      </w:r>
      <w:r w:rsidRPr="000B7589">
        <w:rPr>
          <w:lang w:eastAsia="en-US"/>
        </w:rPr>
        <w:t xml:space="preserve"> to make the required investments and participate.</w:t>
      </w:r>
    </w:p>
    <w:p w14:paraId="115A5B6F" w14:textId="73466978" w:rsidR="00E6232E" w:rsidRPr="000B7589" w:rsidRDefault="00E6232E" w:rsidP="00A05C17">
      <w:pPr>
        <w:pStyle w:val="BodyText"/>
        <w:rPr>
          <w:lang w:eastAsia="en-US"/>
        </w:rPr>
      </w:pPr>
      <w:r w:rsidRPr="000B7589">
        <w:rPr>
          <w:lang w:eastAsia="en-US"/>
        </w:rPr>
        <w:lastRenderedPageBreak/>
        <w:t xml:space="preserve">Stakeholder </w:t>
      </w:r>
      <w:r w:rsidRPr="00901FA4">
        <w:rPr>
          <w:lang w:eastAsia="en-US"/>
        </w:rPr>
        <w:t>consultation conducted</w:t>
      </w:r>
      <w:r w:rsidR="00ED0144" w:rsidRPr="00901FA4">
        <w:rPr>
          <w:lang w:eastAsia="en-US"/>
        </w:rPr>
        <w:t xml:space="preserve"> over a number of years </w:t>
      </w:r>
      <w:r w:rsidRPr="000B7589">
        <w:rPr>
          <w:lang w:eastAsia="en-US"/>
        </w:rPr>
        <w:t xml:space="preserve">has reinforced the importance of a robust governance framework entrenched, ideally, through legislation. </w:t>
      </w:r>
      <w:r w:rsidR="00150F4C">
        <w:rPr>
          <w:lang w:eastAsia="en-US"/>
        </w:rPr>
        <w:t>The</w:t>
      </w:r>
      <w:r w:rsidRPr="000B7589">
        <w:rPr>
          <w:lang w:eastAsia="en-US"/>
        </w:rPr>
        <w:t xml:space="preserve"> </w:t>
      </w:r>
      <w:r w:rsidR="00F35356">
        <w:rPr>
          <w:lang w:eastAsia="en-US"/>
        </w:rPr>
        <w:t xml:space="preserve">Program’s </w:t>
      </w:r>
      <w:r w:rsidRPr="000B7589">
        <w:rPr>
          <w:lang w:eastAsia="en-US"/>
        </w:rPr>
        <w:t xml:space="preserve">PIA process </w:t>
      </w:r>
      <w:r w:rsidR="00C13FF1">
        <w:rPr>
          <w:lang w:eastAsia="en-US"/>
        </w:rPr>
        <w:t>in relation to</w:t>
      </w:r>
      <w:r w:rsidR="00C13FF1" w:rsidRPr="000B7589">
        <w:rPr>
          <w:lang w:eastAsia="en-US"/>
        </w:rPr>
        <w:t xml:space="preserve"> </w:t>
      </w:r>
      <w:r w:rsidR="002F2CC8">
        <w:rPr>
          <w:lang w:eastAsia="en-US"/>
        </w:rPr>
        <w:t xml:space="preserve">AGDIS </w:t>
      </w:r>
      <w:r w:rsidR="00150F4C">
        <w:rPr>
          <w:lang w:eastAsia="en-US"/>
        </w:rPr>
        <w:t xml:space="preserve">commenced in </w:t>
      </w:r>
      <w:r w:rsidRPr="000B7589">
        <w:rPr>
          <w:lang w:eastAsia="en-US"/>
        </w:rPr>
        <w:t xml:space="preserve">2016, </w:t>
      </w:r>
      <w:r w:rsidR="00970081">
        <w:rPr>
          <w:lang w:eastAsia="en-US"/>
        </w:rPr>
        <w:t xml:space="preserve">and saw </w:t>
      </w:r>
      <w:r w:rsidRPr="000B7589">
        <w:rPr>
          <w:lang w:eastAsia="en-US"/>
        </w:rPr>
        <w:t xml:space="preserve">numerous stakeholders raise concerns about the lack of underlying legal authority for the establishment of the TDIF. The </w:t>
      </w:r>
      <w:hyperlink r:id="rId56" w:history="1">
        <w:r w:rsidRPr="004B4004">
          <w:rPr>
            <w:rStyle w:val="Hyperlink"/>
            <w:color w:val="008675"/>
            <w:lang w:eastAsia="en-US"/>
          </w:rPr>
          <w:t>PIA</w:t>
        </w:r>
      </w:hyperlink>
      <w:r w:rsidRPr="000B7589">
        <w:rPr>
          <w:lang w:eastAsia="en-US"/>
        </w:rPr>
        <w:t xml:space="preserve"> observed that:</w:t>
      </w:r>
    </w:p>
    <w:p w14:paraId="52727C67" w14:textId="2F71E751" w:rsidR="00E6232E" w:rsidRPr="004B4004" w:rsidRDefault="00E6232E" w:rsidP="00051734">
      <w:pPr>
        <w:pStyle w:val="Quote"/>
        <w:rPr>
          <w:i/>
          <w:color w:val="008675"/>
        </w:rPr>
      </w:pPr>
      <w:r w:rsidRPr="004B4004">
        <w:rPr>
          <w:i/>
          <w:color w:val="008675"/>
        </w:rPr>
        <w:t>It is possible the low expectations of success for the TDIF accreditation/revocation proposal are linked to the absence of any legislative basis or national agreement (such as Council of Australian Governments (COAG) directive) for the TDIF. If stakeholders could see a firm commitment backed by powers in legislation, some of the doubts regarding enforcement may lessen.</w:t>
      </w:r>
    </w:p>
    <w:p w14:paraId="0D1B5569" w14:textId="5092CBFE" w:rsidR="00E6232E" w:rsidRPr="00A05C17" w:rsidRDefault="00283F0B" w:rsidP="00A05C17">
      <w:pPr>
        <w:pStyle w:val="BodyText"/>
        <w:rPr>
          <w:highlight w:val="green"/>
        </w:rPr>
      </w:pPr>
      <w:r>
        <w:t xml:space="preserve">Since </w:t>
      </w:r>
      <w:r w:rsidR="0054390F">
        <w:t>2016</w:t>
      </w:r>
      <w:r w:rsidR="00617A05">
        <w:t xml:space="preserve">, </w:t>
      </w:r>
      <w:r w:rsidR="009436D4">
        <w:t xml:space="preserve">progress has been made between states, territories and the </w:t>
      </w:r>
      <w:r w:rsidR="00627D5E">
        <w:t xml:space="preserve">Australian Government </w:t>
      </w:r>
      <w:r w:rsidR="009436D4">
        <w:t xml:space="preserve">towards establishing </w:t>
      </w:r>
      <w:r w:rsidR="0054390F">
        <w:t>a</w:t>
      </w:r>
      <w:r w:rsidR="009436D4">
        <w:t xml:space="preserve"> </w:t>
      </w:r>
      <w:hyperlink r:id="rId57" w:history="1">
        <w:r w:rsidR="009436D4" w:rsidRPr="004B4004">
          <w:rPr>
            <w:rStyle w:val="Hyperlink"/>
            <w:color w:val="008675"/>
          </w:rPr>
          <w:t>National Digital Identity Roadmap</w:t>
        </w:r>
      </w:hyperlink>
      <w:r w:rsidR="0066010E">
        <w:rPr>
          <w:rStyle w:val="Hyperlink"/>
        </w:rPr>
        <w:t>.</w:t>
      </w:r>
      <w:r w:rsidR="0054390F">
        <w:t xml:space="preserve"> </w:t>
      </w:r>
      <w:r w:rsidR="0066010E">
        <w:t>O</w:t>
      </w:r>
      <w:r w:rsidR="0054390F">
        <w:t>ne of the aims</w:t>
      </w:r>
      <w:r w:rsidR="0066010E">
        <w:t xml:space="preserve"> of this is to</w:t>
      </w:r>
      <w:r w:rsidR="0054390F">
        <w:t xml:space="preserve"> understand the customer experience across the range of potential digital </w:t>
      </w:r>
      <w:r w:rsidR="00500088">
        <w:t xml:space="preserve">ID </w:t>
      </w:r>
      <w:r w:rsidR="0054390F">
        <w:t>systems and what will be needed from a governance and oversight perspective to ensure the systems and any customer transactions are proactiv</w:t>
      </w:r>
      <w:r w:rsidR="002302A0">
        <w:t>ely managed from a customer-focused perspective</w:t>
      </w:r>
      <w:r w:rsidR="009436D4">
        <w:t xml:space="preserve">. </w:t>
      </w:r>
      <w:r w:rsidR="001E60E5">
        <w:t>However, stakeholder views on the absence of legislation remain</w:t>
      </w:r>
      <w:r w:rsidR="00C27E5E">
        <w:t xml:space="preserve"> relevant</w:t>
      </w:r>
      <w:r w:rsidR="00064F79">
        <w:t>.</w:t>
      </w:r>
      <w:r w:rsidR="001E60E5">
        <w:t xml:space="preserve"> </w:t>
      </w:r>
      <w:r w:rsidR="00E6232E" w:rsidRPr="00A05C17">
        <w:t xml:space="preserve">To address this issue, government regulatory action would need to establish a permanent, clear and nationally-applicable legal framework for </w:t>
      </w:r>
      <w:r w:rsidR="002D05D0">
        <w:t xml:space="preserve">AGDIS </w:t>
      </w:r>
      <w:r w:rsidR="00E6232E" w:rsidRPr="00A05C17">
        <w:t xml:space="preserve">which applies consistently across all potential future participants – including </w:t>
      </w:r>
      <w:r w:rsidR="00401B7F">
        <w:t>Australian Government</w:t>
      </w:r>
      <w:r w:rsidR="00E6232E" w:rsidRPr="00A05C17">
        <w:t>, state, territory governments, private sector and community entities.</w:t>
      </w:r>
      <w:r w:rsidR="00737BA2">
        <w:t xml:space="preserve"> </w:t>
      </w:r>
      <w:r w:rsidR="00E6232E" w:rsidRPr="00A05C17">
        <w:rPr>
          <w:highlight w:val="green"/>
        </w:rPr>
        <w:br w:type="page"/>
      </w:r>
    </w:p>
    <w:p w14:paraId="6CA85663" w14:textId="76DED295" w:rsidR="00E6232E" w:rsidRPr="00890503" w:rsidRDefault="00E6232E" w:rsidP="00860EDC">
      <w:pPr>
        <w:pStyle w:val="Heading1NoNumbers"/>
        <w:rPr>
          <w:color w:val="008675"/>
          <w:lang w:eastAsia="en-US"/>
        </w:rPr>
      </w:pPr>
      <w:bookmarkStart w:id="177" w:name="_4_Requirement_for"/>
      <w:bookmarkStart w:id="178" w:name="_Ref63778353"/>
      <w:bookmarkStart w:id="179" w:name="_Toc80884662"/>
      <w:bookmarkStart w:id="180" w:name="_Toc81226621"/>
      <w:bookmarkStart w:id="181" w:name="_Toc81226665"/>
      <w:bookmarkStart w:id="182" w:name="_Toc81226897"/>
      <w:bookmarkStart w:id="183" w:name="_Toc81228241"/>
      <w:bookmarkStart w:id="184" w:name="_Toc83951184"/>
      <w:bookmarkStart w:id="185" w:name="_Toc84925788"/>
      <w:bookmarkStart w:id="186" w:name="_Toc84925883"/>
      <w:bookmarkStart w:id="187" w:name="_Toc86045127"/>
      <w:bookmarkStart w:id="188" w:name="_Toc86070005"/>
      <w:bookmarkStart w:id="189" w:name="_Toc149740330"/>
      <w:bookmarkEnd w:id="177"/>
      <w:r w:rsidRPr="00890503">
        <w:rPr>
          <w:color w:val="008675"/>
          <w:lang w:eastAsia="en-US"/>
        </w:rPr>
        <w:lastRenderedPageBreak/>
        <w:t xml:space="preserve">4 Requirement for </w:t>
      </w:r>
      <w:r w:rsidR="004C2EDC" w:rsidRPr="00890503">
        <w:rPr>
          <w:color w:val="008675"/>
          <w:lang w:eastAsia="en-US"/>
        </w:rPr>
        <w:t>g</w:t>
      </w:r>
      <w:r w:rsidRPr="00890503">
        <w:rPr>
          <w:color w:val="008675"/>
          <w:lang w:eastAsia="en-US"/>
        </w:rPr>
        <w:t xml:space="preserve">overnment </w:t>
      </w:r>
      <w:r w:rsidR="004C2EDC" w:rsidRPr="00890503">
        <w:rPr>
          <w:color w:val="008675"/>
          <w:lang w:eastAsia="en-US"/>
        </w:rPr>
        <w:t>a</w:t>
      </w:r>
      <w:r w:rsidRPr="00890503">
        <w:rPr>
          <w:color w:val="008675"/>
          <w:lang w:eastAsia="en-US"/>
        </w:rPr>
        <w:t>ction</w:t>
      </w:r>
      <w:bookmarkStart w:id="190" w:name="Requirement"/>
      <w:bookmarkEnd w:id="178"/>
      <w:bookmarkEnd w:id="179"/>
      <w:bookmarkEnd w:id="180"/>
      <w:bookmarkEnd w:id="181"/>
      <w:bookmarkEnd w:id="182"/>
      <w:bookmarkEnd w:id="183"/>
      <w:bookmarkEnd w:id="184"/>
      <w:bookmarkEnd w:id="185"/>
      <w:bookmarkEnd w:id="186"/>
      <w:bookmarkEnd w:id="187"/>
      <w:bookmarkEnd w:id="188"/>
      <w:bookmarkEnd w:id="189"/>
    </w:p>
    <w:p w14:paraId="11070B7B" w14:textId="5430DF81" w:rsidR="00E6232E" w:rsidRPr="00890503" w:rsidRDefault="00E6232E" w:rsidP="00E269DB">
      <w:pPr>
        <w:pStyle w:val="Heading2NoNumbers"/>
        <w:rPr>
          <w:color w:val="008675"/>
          <w:lang w:eastAsia="en-US"/>
        </w:rPr>
      </w:pPr>
      <w:bookmarkStart w:id="191" w:name="_Toc80884663"/>
      <w:bookmarkStart w:id="192" w:name="_Toc81226622"/>
      <w:bookmarkStart w:id="193" w:name="_Toc81226898"/>
      <w:bookmarkStart w:id="194" w:name="_Toc81228242"/>
      <w:bookmarkStart w:id="195" w:name="_Toc83951185"/>
      <w:bookmarkStart w:id="196" w:name="_Toc84925789"/>
      <w:bookmarkStart w:id="197" w:name="_Toc84925884"/>
      <w:bookmarkStart w:id="198" w:name="_Toc86045128"/>
      <w:bookmarkStart w:id="199" w:name="_Toc86070006"/>
      <w:bookmarkStart w:id="200" w:name="_Toc149740331"/>
      <w:bookmarkEnd w:id="190"/>
      <w:r w:rsidRPr="00890503">
        <w:rPr>
          <w:color w:val="008675"/>
          <w:lang w:eastAsia="en-US"/>
        </w:rPr>
        <w:t xml:space="preserve">4.1 Government’s </w:t>
      </w:r>
      <w:r w:rsidR="004C2EDC" w:rsidRPr="00890503">
        <w:rPr>
          <w:color w:val="008675"/>
          <w:lang w:eastAsia="en-US"/>
        </w:rPr>
        <w:t>r</w:t>
      </w:r>
      <w:r w:rsidRPr="00890503">
        <w:rPr>
          <w:color w:val="008675"/>
          <w:lang w:eastAsia="en-US"/>
        </w:rPr>
        <w:t xml:space="preserve">ole in </w:t>
      </w:r>
      <w:r w:rsidR="004C2EDC" w:rsidRPr="00890503">
        <w:rPr>
          <w:color w:val="008675"/>
          <w:lang w:eastAsia="en-US"/>
        </w:rPr>
        <w:t>d</w:t>
      </w:r>
      <w:r w:rsidRPr="00890503">
        <w:rPr>
          <w:color w:val="008675"/>
          <w:lang w:eastAsia="en-US"/>
        </w:rPr>
        <w:t>elivering Digital I</w:t>
      </w:r>
      <w:bookmarkStart w:id="201" w:name="_Hlk61777763"/>
      <w:bookmarkEnd w:id="191"/>
      <w:bookmarkEnd w:id="192"/>
      <w:bookmarkEnd w:id="193"/>
      <w:bookmarkEnd w:id="194"/>
      <w:bookmarkEnd w:id="195"/>
      <w:bookmarkEnd w:id="196"/>
      <w:bookmarkEnd w:id="197"/>
      <w:bookmarkEnd w:id="198"/>
      <w:bookmarkEnd w:id="199"/>
      <w:r w:rsidR="00EB2443" w:rsidRPr="00890503">
        <w:rPr>
          <w:color w:val="008675"/>
          <w:lang w:eastAsia="en-US"/>
        </w:rPr>
        <w:t>D</w:t>
      </w:r>
      <w:bookmarkEnd w:id="200"/>
    </w:p>
    <w:bookmarkEnd w:id="201"/>
    <w:p w14:paraId="59770630" w14:textId="43BF313C" w:rsidR="00E6232E" w:rsidRPr="000B7589" w:rsidRDefault="00E6232E" w:rsidP="00C8355E">
      <w:pPr>
        <w:pStyle w:val="BodyText"/>
        <w:rPr>
          <w:lang w:eastAsia="en-US"/>
        </w:rPr>
      </w:pPr>
      <w:r w:rsidRPr="000B7589">
        <w:rPr>
          <w:lang w:eastAsia="en-US"/>
        </w:rPr>
        <w:t xml:space="preserve">The leading role taken by the </w:t>
      </w:r>
      <w:r w:rsidR="0055501A">
        <w:rPr>
          <w:lang w:eastAsia="en-US"/>
        </w:rPr>
        <w:t>Australian Government</w:t>
      </w:r>
      <w:r w:rsidR="0055501A" w:rsidRPr="000B7589">
        <w:rPr>
          <w:lang w:eastAsia="en-US"/>
        </w:rPr>
        <w:t xml:space="preserve"> </w:t>
      </w:r>
      <w:r w:rsidRPr="000B7589">
        <w:rPr>
          <w:lang w:eastAsia="en-US"/>
        </w:rPr>
        <w:t>in delivering</w:t>
      </w:r>
      <w:r w:rsidR="00BB0493">
        <w:rPr>
          <w:lang w:eastAsia="en-US"/>
        </w:rPr>
        <w:t xml:space="preserve"> an economy-wide Digital ID solution</w:t>
      </w:r>
      <w:r w:rsidR="00E814E2">
        <w:rPr>
          <w:lang w:eastAsia="en-US"/>
        </w:rPr>
        <w:t xml:space="preserve"> </w:t>
      </w:r>
      <w:r w:rsidRPr="000B7589">
        <w:rPr>
          <w:lang w:eastAsia="en-US"/>
        </w:rPr>
        <w:t xml:space="preserve">is legitimate, as government is best-placed to facilitate public-private sector collaboration in this area. The </w:t>
      </w:r>
      <w:hyperlink r:id="rId58" w:history="1">
        <w:r w:rsidR="00CB7FB3" w:rsidRPr="00890503">
          <w:rPr>
            <w:rStyle w:val="Hyperlink"/>
            <w:color w:val="008675"/>
            <w:lang w:eastAsia="en-US"/>
          </w:rPr>
          <w:t>Murray inquiry</w:t>
        </w:r>
      </w:hyperlink>
      <w:r w:rsidRPr="00890503">
        <w:rPr>
          <w:color w:val="008675"/>
          <w:lang w:eastAsia="en-US"/>
        </w:rPr>
        <w:t xml:space="preserve"> </w:t>
      </w:r>
      <w:r w:rsidRPr="000B7589">
        <w:rPr>
          <w:lang w:eastAsia="en-US"/>
        </w:rPr>
        <w:t xml:space="preserve">observed that previous industry-only attempts to manage and innovate on issues of identity have shown little success, and cited </w:t>
      </w:r>
      <w:r w:rsidR="00824B5F">
        <w:rPr>
          <w:lang w:eastAsia="en-US"/>
        </w:rPr>
        <w:t>d</w:t>
      </w:r>
      <w:r w:rsidRPr="000B7589">
        <w:rPr>
          <w:lang w:eastAsia="en-US"/>
        </w:rPr>
        <w:t xml:space="preserve">igital </w:t>
      </w:r>
      <w:r w:rsidR="00500088">
        <w:rPr>
          <w:lang w:eastAsia="en-US"/>
        </w:rPr>
        <w:t>ID</w:t>
      </w:r>
      <w:r w:rsidR="00500088" w:rsidRPr="000B7589">
        <w:rPr>
          <w:lang w:eastAsia="en-US"/>
        </w:rPr>
        <w:t xml:space="preserve"> </w:t>
      </w:r>
      <w:r w:rsidRPr="000B7589">
        <w:rPr>
          <w:lang w:eastAsia="en-US"/>
        </w:rPr>
        <w:t>as:</w:t>
      </w:r>
    </w:p>
    <w:p w14:paraId="46354ACF" w14:textId="4032B9A9" w:rsidR="00E6232E" w:rsidRPr="00890503" w:rsidRDefault="00E6232E" w:rsidP="00051734">
      <w:pPr>
        <w:pStyle w:val="Quote"/>
        <w:rPr>
          <w:i/>
          <w:color w:val="008675"/>
        </w:rPr>
      </w:pPr>
      <w:r w:rsidRPr="00890503">
        <w:rPr>
          <w:i/>
          <w:color w:val="008675"/>
        </w:rPr>
        <w:t>…</w:t>
      </w:r>
      <w:r w:rsidR="003F12A4" w:rsidRPr="00890503">
        <w:rPr>
          <w:i/>
          <w:color w:val="008675"/>
        </w:rPr>
        <w:t xml:space="preserve"> </w:t>
      </w:r>
      <w:r w:rsidRPr="00890503">
        <w:rPr>
          <w:i/>
          <w:color w:val="008675"/>
        </w:rPr>
        <w:t>a significant current example of an area where network benefits can be harnessed more effectively through public-private sector collaboration, and government facilitating industry action.</w:t>
      </w:r>
    </w:p>
    <w:p w14:paraId="66C15A25" w14:textId="237CC17D" w:rsidR="00CD3AD3" w:rsidRPr="00986346" w:rsidRDefault="00E6232E" w:rsidP="00C8355E">
      <w:pPr>
        <w:pStyle w:val="BodyText"/>
        <w:rPr>
          <w:lang w:eastAsia="en-US"/>
        </w:rPr>
      </w:pPr>
      <w:r w:rsidRPr="000B7589">
        <w:rPr>
          <w:lang w:eastAsia="en-US"/>
        </w:rPr>
        <w:t xml:space="preserve">Importantly, the </w:t>
      </w:r>
      <w:r w:rsidRPr="009439B6">
        <w:rPr>
          <w:lang w:eastAsia="en-US"/>
        </w:rPr>
        <w:t xml:space="preserve">Murray </w:t>
      </w:r>
      <w:r w:rsidR="00CB7FB3" w:rsidRPr="009439B6">
        <w:rPr>
          <w:lang w:eastAsia="en-US"/>
        </w:rPr>
        <w:t xml:space="preserve">inquiry </w:t>
      </w:r>
      <w:r w:rsidRPr="009439B6">
        <w:rPr>
          <w:lang w:eastAsia="en-US"/>
        </w:rPr>
        <w:t xml:space="preserve">did not recommend government action </w:t>
      </w:r>
      <w:r w:rsidR="00A65FDB" w:rsidRPr="009439B6">
        <w:rPr>
          <w:lang w:eastAsia="en-US"/>
        </w:rPr>
        <w:t>at</w:t>
      </w:r>
      <w:r w:rsidRPr="009439B6">
        <w:rPr>
          <w:lang w:eastAsia="en-US"/>
        </w:rPr>
        <w:t xml:space="preserve"> the exclusion of the private sector. Rather, </w:t>
      </w:r>
      <w:r w:rsidR="00A65FDB" w:rsidRPr="009439B6">
        <w:rPr>
          <w:lang w:eastAsia="en-US"/>
        </w:rPr>
        <w:t xml:space="preserve">it recommended </w:t>
      </w:r>
      <w:r w:rsidR="00A65FDB">
        <w:rPr>
          <w:lang w:eastAsia="en-US"/>
        </w:rPr>
        <w:t xml:space="preserve">that </w:t>
      </w:r>
      <w:r w:rsidRPr="000B7589">
        <w:rPr>
          <w:lang w:eastAsia="en-US"/>
        </w:rPr>
        <w:t xml:space="preserve">government intervention should focus on facilitating industry action and enabling private-public sector </w:t>
      </w:r>
      <w:r w:rsidRPr="00B1529C">
        <w:rPr>
          <w:lang w:eastAsia="en-US"/>
        </w:rPr>
        <w:t xml:space="preserve">collaboration, through the right policy settings and risk-based regulation. </w:t>
      </w:r>
      <w:r w:rsidR="00A83087">
        <w:rPr>
          <w:lang w:eastAsia="en-US"/>
        </w:rPr>
        <w:t>(</w:t>
      </w:r>
      <w:r w:rsidR="00A83087" w:rsidRPr="00A83087">
        <w:rPr>
          <w:lang w:eastAsia="en-US"/>
        </w:rPr>
        <w:t xml:space="preserve">Currently, </w:t>
      </w:r>
      <w:r w:rsidR="00A00971">
        <w:rPr>
          <w:lang w:eastAsia="en-US"/>
        </w:rPr>
        <w:t xml:space="preserve">countries </w:t>
      </w:r>
      <w:r w:rsidR="00256628">
        <w:rPr>
          <w:lang w:eastAsia="en-US"/>
        </w:rPr>
        <w:t>like the UK, Belgium and Germany</w:t>
      </w:r>
      <w:r w:rsidR="00531B5D">
        <w:rPr>
          <w:lang w:eastAsia="en-US"/>
        </w:rPr>
        <w:t xml:space="preserve"> offer</w:t>
      </w:r>
      <w:r w:rsidR="001146FB">
        <w:rPr>
          <w:lang w:eastAsia="en-US"/>
        </w:rPr>
        <w:t xml:space="preserve"> comparable </w:t>
      </w:r>
      <w:r w:rsidR="00531B5D">
        <w:rPr>
          <w:lang w:eastAsia="en-US"/>
        </w:rPr>
        <w:t>private-public sector model use cases, with Belgium having achieved greater than 30</w:t>
      </w:r>
      <w:r w:rsidR="00392E92">
        <w:rPr>
          <w:lang w:eastAsia="en-US"/>
        </w:rPr>
        <w:t xml:space="preserve"> per cent</w:t>
      </w:r>
      <w:r w:rsidR="00062014">
        <w:rPr>
          <w:lang w:eastAsia="en-US"/>
        </w:rPr>
        <w:t xml:space="preserve"> </w:t>
      </w:r>
      <w:r w:rsidR="005271CB">
        <w:rPr>
          <w:lang w:eastAsia="en-US"/>
        </w:rPr>
        <w:t xml:space="preserve">adoption </w:t>
      </w:r>
      <w:r w:rsidR="00062014">
        <w:rPr>
          <w:lang w:eastAsia="en-US"/>
        </w:rPr>
        <w:t xml:space="preserve">of their digital </w:t>
      </w:r>
      <w:r w:rsidR="00500088">
        <w:rPr>
          <w:lang w:eastAsia="en-US"/>
        </w:rPr>
        <w:t xml:space="preserve">ID </w:t>
      </w:r>
      <w:r w:rsidR="00062014">
        <w:rPr>
          <w:lang w:eastAsia="en-US"/>
        </w:rPr>
        <w:t xml:space="preserve">initiative within 5 years. </w:t>
      </w:r>
      <w:r w:rsidR="00A83087" w:rsidRPr="00A83087">
        <w:rPr>
          <w:lang w:eastAsia="en-US"/>
        </w:rPr>
        <w:t xml:space="preserve">Source: </w:t>
      </w:r>
      <w:r w:rsidR="00E16925">
        <w:rPr>
          <w:lang w:eastAsia="en-US"/>
        </w:rPr>
        <w:t>In</w:t>
      </w:r>
      <w:r w:rsidR="000037F8">
        <w:rPr>
          <w:lang w:eastAsia="en-US"/>
        </w:rPr>
        <w:t xml:space="preserve">ternal </w:t>
      </w:r>
      <w:r w:rsidR="00151DC6">
        <w:rPr>
          <w:lang w:eastAsia="en-US"/>
        </w:rPr>
        <w:t>Program research</w:t>
      </w:r>
      <w:r w:rsidR="00A83087" w:rsidRPr="00A83087">
        <w:rPr>
          <w:lang w:eastAsia="en-US"/>
        </w:rPr>
        <w:t xml:space="preserve">, 2021). </w:t>
      </w:r>
    </w:p>
    <w:p w14:paraId="0583CC35" w14:textId="0417A54A" w:rsidR="00E6232E" w:rsidRPr="000B7589" w:rsidRDefault="00E6232E" w:rsidP="00C8355E">
      <w:pPr>
        <w:pStyle w:val="BodyText"/>
        <w:rPr>
          <w:lang w:eastAsia="en-US"/>
        </w:rPr>
      </w:pPr>
      <w:r w:rsidRPr="000B7589">
        <w:rPr>
          <w:lang w:eastAsia="en-US"/>
        </w:rPr>
        <w:t xml:space="preserve">Governments can also lead and coordinate investment in the underlying infrastructure, systems and processes which enable an effective national approach to </w:t>
      </w:r>
      <w:r w:rsidR="001D60A2">
        <w:rPr>
          <w:lang w:eastAsia="en-US"/>
        </w:rPr>
        <w:t>D</w:t>
      </w:r>
      <w:r w:rsidRPr="000B7589">
        <w:rPr>
          <w:lang w:eastAsia="en-US"/>
        </w:rPr>
        <w:t xml:space="preserve">igital </w:t>
      </w:r>
      <w:r w:rsidR="00500088">
        <w:rPr>
          <w:lang w:eastAsia="en-US"/>
        </w:rPr>
        <w:t>ID</w:t>
      </w:r>
      <w:r w:rsidRPr="000B7589">
        <w:rPr>
          <w:lang w:eastAsia="en-US"/>
        </w:rPr>
        <w:t xml:space="preserve">, as the </w:t>
      </w:r>
      <w:r w:rsidR="00A53155">
        <w:rPr>
          <w:lang w:eastAsia="en-US"/>
        </w:rPr>
        <w:t>Australian Government</w:t>
      </w:r>
      <w:r w:rsidR="00A53155" w:rsidRPr="000B7589">
        <w:rPr>
          <w:lang w:eastAsia="en-US"/>
        </w:rPr>
        <w:t xml:space="preserve"> </w:t>
      </w:r>
      <w:r w:rsidRPr="000B7589">
        <w:rPr>
          <w:lang w:eastAsia="en-US"/>
        </w:rPr>
        <w:t>has done in recent years.</w:t>
      </w:r>
      <w:r w:rsidR="00737BA2">
        <w:rPr>
          <w:lang w:eastAsia="en-US"/>
        </w:rPr>
        <w:t xml:space="preserve"> </w:t>
      </w:r>
    </w:p>
    <w:p w14:paraId="2C3DBB09" w14:textId="47616C0C" w:rsidR="00E6232E" w:rsidRPr="000B7589" w:rsidRDefault="00E6232E" w:rsidP="00C8355E">
      <w:pPr>
        <w:pStyle w:val="BodyText"/>
        <w:rPr>
          <w:lang w:eastAsia="en-US"/>
        </w:rPr>
      </w:pPr>
      <w:r w:rsidRPr="000B7589">
        <w:rPr>
          <w:lang w:eastAsia="en-US"/>
        </w:rPr>
        <w:t xml:space="preserve">In addition, the inherent sensitivities surrounding the collection of data and personal information </w:t>
      </w:r>
      <w:r w:rsidR="00880CBD">
        <w:rPr>
          <w:lang w:eastAsia="en-US"/>
        </w:rPr>
        <w:t xml:space="preserve">have led many </w:t>
      </w:r>
      <w:r w:rsidR="0041570C">
        <w:rPr>
          <w:lang w:eastAsia="en-US"/>
        </w:rPr>
        <w:t>to conclude that governments</w:t>
      </w:r>
      <w:r w:rsidR="002631FF">
        <w:rPr>
          <w:lang w:eastAsia="en-US"/>
        </w:rPr>
        <w:t xml:space="preserve"> —</w:t>
      </w:r>
      <w:r w:rsidR="0041570C">
        <w:rPr>
          <w:lang w:eastAsia="en-US"/>
        </w:rPr>
        <w:t xml:space="preserve"> rather than the private sector</w:t>
      </w:r>
      <w:r w:rsidR="002631FF">
        <w:rPr>
          <w:lang w:eastAsia="en-US"/>
        </w:rPr>
        <w:t xml:space="preserve"> —</w:t>
      </w:r>
      <w:r w:rsidR="0041570C">
        <w:rPr>
          <w:lang w:eastAsia="en-US"/>
        </w:rPr>
        <w:t xml:space="preserve"> are </w:t>
      </w:r>
      <w:r w:rsidRPr="000B7589">
        <w:rPr>
          <w:lang w:eastAsia="en-US"/>
        </w:rPr>
        <w:t xml:space="preserve">best placed to manage and mitigate these concerns. </w:t>
      </w:r>
      <w:r w:rsidR="0041570C">
        <w:rPr>
          <w:lang w:eastAsia="en-US"/>
        </w:rPr>
        <w:t>For example, t</w:t>
      </w:r>
      <w:r w:rsidRPr="000B7589">
        <w:rPr>
          <w:lang w:eastAsia="en-US"/>
        </w:rPr>
        <w:t xml:space="preserve">he </w:t>
      </w:r>
      <w:hyperlink r:id="rId59" w:history="1">
        <w:r w:rsidRPr="00E825FD">
          <w:rPr>
            <w:rStyle w:val="Hyperlink"/>
            <w:color w:val="008675"/>
            <w:lang w:eastAsia="en-US"/>
          </w:rPr>
          <w:t>McKinsey Digital Identification Report</w:t>
        </w:r>
      </w:hyperlink>
      <w:r w:rsidRPr="000B7589">
        <w:rPr>
          <w:lang w:eastAsia="en-US"/>
        </w:rPr>
        <w:t xml:space="preserve"> focused upon the importance of government action</w:t>
      </w:r>
      <w:r w:rsidR="00800FD7">
        <w:rPr>
          <w:lang w:eastAsia="en-US"/>
        </w:rPr>
        <w:t>,</w:t>
      </w:r>
      <w:r w:rsidRPr="000B7589">
        <w:rPr>
          <w:lang w:eastAsia="en-US"/>
        </w:rPr>
        <w:t xml:space="preserve"> in its capacity as a regulator and policy maker, for the development of policies and legal frameworks that enable acceptance of </w:t>
      </w:r>
      <w:r w:rsidR="00AC2F28">
        <w:rPr>
          <w:lang w:eastAsia="en-US"/>
        </w:rPr>
        <w:t>d</w:t>
      </w:r>
      <w:r w:rsidRPr="000B7589">
        <w:rPr>
          <w:lang w:eastAsia="en-US"/>
        </w:rPr>
        <w:t xml:space="preserve">igital </w:t>
      </w:r>
      <w:r w:rsidR="00500088">
        <w:rPr>
          <w:lang w:eastAsia="en-US"/>
        </w:rPr>
        <w:t>ID</w:t>
      </w:r>
      <w:r w:rsidR="00500088" w:rsidRPr="000B7589">
        <w:rPr>
          <w:lang w:eastAsia="en-US"/>
        </w:rPr>
        <w:t xml:space="preserve"> </w:t>
      </w:r>
      <w:r w:rsidRPr="000B7589">
        <w:rPr>
          <w:lang w:eastAsia="en-US"/>
        </w:rPr>
        <w:t>technology, while prioritising the protection of individuals’ privacy.</w:t>
      </w:r>
    </w:p>
    <w:p w14:paraId="573D216F" w14:textId="51985F85" w:rsidR="00E6232E" w:rsidRPr="00E825FD" w:rsidRDefault="00E6232E" w:rsidP="00E269DB">
      <w:pPr>
        <w:pStyle w:val="Heading2NoNumbers"/>
        <w:rPr>
          <w:color w:val="008675"/>
          <w:lang w:eastAsia="en-US"/>
        </w:rPr>
      </w:pPr>
      <w:bookmarkStart w:id="202" w:name="_Toc80884664"/>
      <w:bookmarkStart w:id="203" w:name="_Toc81226623"/>
      <w:bookmarkStart w:id="204" w:name="_Toc81226899"/>
      <w:bookmarkStart w:id="205" w:name="_Toc81228243"/>
      <w:bookmarkStart w:id="206" w:name="_Toc83951186"/>
      <w:bookmarkStart w:id="207" w:name="_Toc84925790"/>
      <w:bookmarkStart w:id="208" w:name="_Toc84925885"/>
      <w:bookmarkStart w:id="209" w:name="_Toc86045129"/>
      <w:bookmarkStart w:id="210" w:name="_Toc86070007"/>
      <w:bookmarkStart w:id="211" w:name="_Toc149740332"/>
      <w:r w:rsidRPr="00E825FD">
        <w:rPr>
          <w:color w:val="008675"/>
          <w:lang w:eastAsia="en-US"/>
        </w:rPr>
        <w:t xml:space="preserve">4.2 Government’s </w:t>
      </w:r>
      <w:r w:rsidR="004C2EDC" w:rsidRPr="00E825FD">
        <w:rPr>
          <w:color w:val="008675"/>
          <w:lang w:eastAsia="en-US"/>
        </w:rPr>
        <w:t>r</w:t>
      </w:r>
      <w:r w:rsidRPr="00E825FD">
        <w:rPr>
          <w:color w:val="008675"/>
          <w:lang w:eastAsia="en-US"/>
        </w:rPr>
        <w:t xml:space="preserve">egulatory </w:t>
      </w:r>
      <w:r w:rsidR="004C2EDC" w:rsidRPr="00E825FD">
        <w:rPr>
          <w:color w:val="008675"/>
          <w:lang w:eastAsia="en-US"/>
        </w:rPr>
        <w:t>r</w:t>
      </w:r>
      <w:r w:rsidRPr="00E825FD">
        <w:rPr>
          <w:color w:val="008675"/>
          <w:lang w:eastAsia="en-US"/>
        </w:rPr>
        <w:t xml:space="preserve">ole and </w:t>
      </w:r>
      <w:r w:rsidR="004C2EDC" w:rsidRPr="00E825FD">
        <w:rPr>
          <w:color w:val="008675"/>
          <w:lang w:eastAsia="en-US"/>
        </w:rPr>
        <w:t>c</w:t>
      </w:r>
      <w:r w:rsidRPr="00E825FD">
        <w:rPr>
          <w:color w:val="008675"/>
          <w:lang w:eastAsia="en-US"/>
        </w:rPr>
        <w:t>apacity</w:t>
      </w:r>
      <w:bookmarkEnd w:id="202"/>
      <w:bookmarkEnd w:id="203"/>
      <w:bookmarkEnd w:id="204"/>
      <w:bookmarkEnd w:id="205"/>
      <w:bookmarkEnd w:id="206"/>
      <w:bookmarkEnd w:id="207"/>
      <w:bookmarkEnd w:id="208"/>
      <w:bookmarkEnd w:id="209"/>
      <w:bookmarkEnd w:id="210"/>
      <w:bookmarkEnd w:id="211"/>
      <w:r w:rsidRPr="00E825FD">
        <w:rPr>
          <w:color w:val="008675"/>
          <w:lang w:eastAsia="en-US"/>
        </w:rPr>
        <w:t xml:space="preserve"> </w:t>
      </w:r>
    </w:p>
    <w:p w14:paraId="5F387F02" w14:textId="61389DD6" w:rsidR="00E6232E" w:rsidRPr="000B7589" w:rsidRDefault="00E6232E" w:rsidP="00C8355E">
      <w:pPr>
        <w:pStyle w:val="BodyText"/>
        <w:rPr>
          <w:lang w:eastAsia="en-US"/>
        </w:rPr>
      </w:pPr>
      <w:r w:rsidRPr="000B7589">
        <w:rPr>
          <w:lang w:eastAsia="en-US"/>
        </w:rPr>
        <w:t xml:space="preserve">Having delivered </w:t>
      </w:r>
      <w:r w:rsidR="00E532A4">
        <w:rPr>
          <w:lang w:eastAsia="en-US"/>
        </w:rPr>
        <w:t>AGDIS</w:t>
      </w:r>
      <w:r w:rsidRPr="000B7589">
        <w:rPr>
          <w:lang w:eastAsia="en-US"/>
        </w:rPr>
        <w:t xml:space="preserve">, it is reasonable </w:t>
      </w:r>
      <w:r w:rsidR="007B19B1">
        <w:rPr>
          <w:lang w:eastAsia="en-US"/>
        </w:rPr>
        <w:t xml:space="preserve">for the community, </w:t>
      </w:r>
      <w:r w:rsidR="00A4665E">
        <w:rPr>
          <w:lang w:eastAsia="en-US"/>
        </w:rPr>
        <w:t xml:space="preserve">businesses and other actual and prospective users </w:t>
      </w:r>
      <w:r w:rsidRPr="000B7589">
        <w:rPr>
          <w:lang w:eastAsia="en-US"/>
        </w:rPr>
        <w:t xml:space="preserve">to expect that the </w:t>
      </w:r>
      <w:r w:rsidR="002E09C5">
        <w:rPr>
          <w:lang w:eastAsia="en-US"/>
        </w:rPr>
        <w:t>Australian Government</w:t>
      </w:r>
      <w:r w:rsidR="002E09C5" w:rsidRPr="000B7589">
        <w:rPr>
          <w:lang w:eastAsia="en-US"/>
        </w:rPr>
        <w:t xml:space="preserve"> </w:t>
      </w:r>
      <w:r w:rsidRPr="000B7589">
        <w:rPr>
          <w:lang w:eastAsia="en-US"/>
        </w:rPr>
        <w:t xml:space="preserve">regulates and </w:t>
      </w:r>
      <w:r w:rsidRPr="000B7589">
        <w:rPr>
          <w:lang w:eastAsia="en-US"/>
        </w:rPr>
        <w:lastRenderedPageBreak/>
        <w:t xml:space="preserve">controls it. In relation to the problem areas of legal authority for expansion, privacy and security safeguards and governance, it is not appropriate for the </w:t>
      </w:r>
      <w:r w:rsidR="002E09C5">
        <w:rPr>
          <w:lang w:eastAsia="en-US"/>
        </w:rPr>
        <w:t>Government</w:t>
      </w:r>
      <w:r w:rsidR="002E09C5" w:rsidRPr="000B7589" w:rsidDel="002E09C5">
        <w:rPr>
          <w:lang w:eastAsia="en-US"/>
        </w:rPr>
        <w:t xml:space="preserve"> </w:t>
      </w:r>
      <w:r w:rsidRPr="000B7589">
        <w:rPr>
          <w:lang w:eastAsia="en-US"/>
        </w:rPr>
        <w:t xml:space="preserve">to step back and allow ‘the market’ to deal with this. In this instance, the </w:t>
      </w:r>
      <w:r w:rsidR="002E09C5">
        <w:rPr>
          <w:lang w:eastAsia="en-US"/>
        </w:rPr>
        <w:t>Government</w:t>
      </w:r>
      <w:r w:rsidR="002E09C5" w:rsidRPr="000B7589" w:rsidDel="002E09C5">
        <w:rPr>
          <w:lang w:eastAsia="en-US"/>
        </w:rPr>
        <w:t xml:space="preserve"> </w:t>
      </w:r>
      <w:r w:rsidRPr="000B7589">
        <w:rPr>
          <w:lang w:eastAsia="en-US"/>
        </w:rPr>
        <w:t xml:space="preserve">has created the market </w:t>
      </w:r>
      <w:r w:rsidR="0056286A">
        <w:rPr>
          <w:lang w:eastAsia="en-US"/>
        </w:rPr>
        <w:t>(noting that there are other</w:t>
      </w:r>
      <w:r w:rsidR="00B1782D">
        <w:rPr>
          <w:lang w:eastAsia="en-US"/>
        </w:rPr>
        <w:t xml:space="preserve"> private markets </w:t>
      </w:r>
      <w:r w:rsidR="00EF04AC">
        <w:rPr>
          <w:lang w:eastAsia="en-US"/>
        </w:rPr>
        <w:t xml:space="preserve">also currently </w:t>
      </w:r>
      <w:r w:rsidR="00B1782D">
        <w:rPr>
          <w:lang w:eastAsia="en-US"/>
        </w:rPr>
        <w:t xml:space="preserve">operating in Australia) </w:t>
      </w:r>
      <w:r w:rsidRPr="000B7589">
        <w:rPr>
          <w:lang w:eastAsia="en-US"/>
        </w:rPr>
        <w:t xml:space="preserve">and therefore, should appropriately ensure it operates in a manner that enables the full, whole-of-economy benefits to be realised. </w:t>
      </w:r>
    </w:p>
    <w:p w14:paraId="156D47D8" w14:textId="153B582C" w:rsidR="00E6232E" w:rsidRPr="000B7589" w:rsidRDefault="00E6232E" w:rsidP="00C8355E">
      <w:pPr>
        <w:pStyle w:val="BodyText"/>
        <w:rPr>
          <w:rFonts w:eastAsia="Calibri"/>
          <w:lang w:eastAsia="en-US"/>
        </w:rPr>
      </w:pPr>
      <w:r w:rsidRPr="000B7589">
        <w:rPr>
          <w:rFonts w:eastAsia="Calibri"/>
          <w:lang w:eastAsia="en-US"/>
        </w:rPr>
        <w:t xml:space="preserve">The </w:t>
      </w:r>
      <w:r w:rsidR="002E09C5">
        <w:rPr>
          <w:lang w:eastAsia="en-US"/>
        </w:rPr>
        <w:t>Australian Government</w:t>
      </w:r>
      <w:r w:rsidR="002E09C5" w:rsidRPr="000B7589" w:rsidDel="002E09C5">
        <w:rPr>
          <w:rFonts w:eastAsia="Calibri"/>
          <w:lang w:eastAsia="en-US"/>
        </w:rPr>
        <w:t xml:space="preserve"> </w:t>
      </w:r>
      <w:r w:rsidRPr="000B7589">
        <w:rPr>
          <w:rFonts w:eastAsia="Calibri"/>
          <w:lang w:eastAsia="en-US"/>
        </w:rPr>
        <w:t>also has the capacity to intervene successfully. Given the leading role it has played to date in delivering Digital I</w:t>
      </w:r>
      <w:r w:rsidR="00EB2443">
        <w:rPr>
          <w:rFonts w:eastAsia="Calibri"/>
          <w:lang w:eastAsia="en-US"/>
        </w:rPr>
        <w:t>D</w:t>
      </w:r>
      <w:r w:rsidRPr="000B7589">
        <w:rPr>
          <w:rFonts w:eastAsia="Calibri"/>
          <w:lang w:eastAsia="en-US"/>
        </w:rPr>
        <w:t xml:space="preserve">, and the regulatory options it has available, the </w:t>
      </w:r>
      <w:r w:rsidR="002E09C5">
        <w:rPr>
          <w:rFonts w:eastAsia="Calibri"/>
          <w:lang w:eastAsia="en-US"/>
        </w:rPr>
        <w:t>Government</w:t>
      </w:r>
      <w:r w:rsidR="002E09C5" w:rsidRPr="000B7589">
        <w:rPr>
          <w:rFonts w:eastAsia="Calibri"/>
          <w:lang w:eastAsia="en-US"/>
        </w:rPr>
        <w:t xml:space="preserve"> </w:t>
      </w:r>
      <w:r w:rsidRPr="000B7589">
        <w:rPr>
          <w:rFonts w:eastAsia="Calibri"/>
          <w:lang w:eastAsia="en-US"/>
        </w:rPr>
        <w:t xml:space="preserve">is well positioned to ensure </w:t>
      </w:r>
      <w:r w:rsidR="006E2F21">
        <w:rPr>
          <w:rFonts w:eastAsia="Calibri"/>
          <w:lang w:eastAsia="en-US"/>
        </w:rPr>
        <w:t xml:space="preserve">any </w:t>
      </w:r>
      <w:r w:rsidRPr="000B7589">
        <w:rPr>
          <w:rFonts w:eastAsia="Calibri"/>
          <w:lang w:eastAsia="en-US"/>
        </w:rPr>
        <w:t xml:space="preserve">expansion </w:t>
      </w:r>
      <w:r w:rsidR="006E2F21">
        <w:rPr>
          <w:rFonts w:eastAsia="Calibri"/>
          <w:lang w:eastAsia="en-US"/>
        </w:rPr>
        <w:t xml:space="preserve">of the use of </w:t>
      </w:r>
      <w:r w:rsidR="00366F88">
        <w:rPr>
          <w:rFonts w:eastAsia="Calibri"/>
        </w:rPr>
        <w:t>AGDIS</w:t>
      </w:r>
      <w:r w:rsidR="00366F88" w:rsidRPr="004662C0">
        <w:rPr>
          <w:rFonts w:eastAsia="Calibri"/>
        </w:rPr>
        <w:t xml:space="preserve"> </w:t>
      </w:r>
      <w:r w:rsidRPr="000B7589">
        <w:rPr>
          <w:rFonts w:eastAsia="Calibri"/>
          <w:lang w:eastAsia="en-US"/>
        </w:rPr>
        <w:t xml:space="preserve">meets the expectations of all Australians and promotes confidence in its integrity. Research from </w:t>
      </w:r>
      <w:hyperlink r:id="rId60" w:history="1">
        <w:r w:rsidRPr="00366F88">
          <w:rPr>
            <w:rStyle w:val="Hyperlink"/>
            <w:rFonts w:eastAsia="Calibri"/>
            <w:color w:val="008675"/>
            <w:lang w:eastAsia="en-US"/>
          </w:rPr>
          <w:t>McKinsey</w:t>
        </w:r>
      </w:hyperlink>
      <w:r w:rsidRPr="000B7589">
        <w:rPr>
          <w:rFonts w:eastAsia="Calibri"/>
          <w:lang w:eastAsia="en-US"/>
        </w:rPr>
        <w:t xml:space="preserve"> concluded that governments are well-placed to address both the technical and legal components of Digital I</w:t>
      </w:r>
      <w:r w:rsidR="00EB2443">
        <w:rPr>
          <w:rFonts w:eastAsia="Calibri"/>
          <w:lang w:eastAsia="en-US"/>
        </w:rPr>
        <w:t>D</w:t>
      </w:r>
      <w:r w:rsidRPr="000B7589">
        <w:rPr>
          <w:rFonts w:eastAsia="Calibri"/>
          <w:lang w:eastAsia="en-US"/>
        </w:rPr>
        <w:t xml:space="preserve">, while ensuring accessibility and positive user experiences for all citizens. Comparable international examples where governments have introduced </w:t>
      </w:r>
      <w:r w:rsidR="001D435C">
        <w:rPr>
          <w:rFonts w:eastAsia="Calibri"/>
          <w:lang w:eastAsia="en-US"/>
        </w:rPr>
        <w:t>d</w:t>
      </w:r>
      <w:r w:rsidRPr="000B7589">
        <w:rPr>
          <w:rFonts w:eastAsia="Calibri"/>
          <w:lang w:eastAsia="en-US"/>
        </w:rPr>
        <w:t xml:space="preserve">igital </w:t>
      </w:r>
      <w:r w:rsidR="00500088">
        <w:rPr>
          <w:rFonts w:eastAsia="Calibri"/>
          <w:lang w:eastAsia="en-US"/>
        </w:rPr>
        <w:t>ID</w:t>
      </w:r>
      <w:r w:rsidR="00500088" w:rsidRPr="000B7589">
        <w:rPr>
          <w:rFonts w:eastAsia="Calibri"/>
          <w:lang w:eastAsia="en-US"/>
        </w:rPr>
        <w:t xml:space="preserve"> </w:t>
      </w:r>
      <w:r w:rsidRPr="000B7589">
        <w:rPr>
          <w:rFonts w:eastAsia="Calibri"/>
          <w:lang w:eastAsia="en-US"/>
        </w:rPr>
        <w:t>regulation further demonstrate the viability of government intervention in this space.</w:t>
      </w:r>
      <w:r w:rsidR="00B01841" w:rsidRPr="000B7589" w:rsidDel="00B01841">
        <w:rPr>
          <w:rFonts w:eastAsia="Calibri"/>
          <w:vertAlign w:val="superscript"/>
          <w:lang w:eastAsia="en-US"/>
        </w:rPr>
        <w:t xml:space="preserve"> </w:t>
      </w:r>
      <w:r w:rsidR="00E7590F">
        <w:rPr>
          <w:rFonts w:eastAsia="Calibri"/>
          <w:szCs w:val="16"/>
          <w:lang w:eastAsia="en-US"/>
        </w:rPr>
        <w:t>(F</w:t>
      </w:r>
      <w:r w:rsidR="00B01841" w:rsidRPr="002651B1">
        <w:rPr>
          <w:rFonts w:eastAsia="Calibri"/>
          <w:szCs w:val="16"/>
          <w:lang w:eastAsia="en-US"/>
        </w:rPr>
        <w:t xml:space="preserve">or example, in </w:t>
      </w:r>
      <w:hyperlink r:id="rId61" w:history="1">
        <w:r w:rsidR="00B01841" w:rsidRPr="001A3D09">
          <w:rPr>
            <w:rStyle w:val="Hyperlink"/>
            <w:rFonts w:eastAsia="Calibri"/>
            <w:color w:val="008675"/>
            <w:szCs w:val="16"/>
            <w:lang w:eastAsia="en-US"/>
          </w:rPr>
          <w:t>Denmark</w:t>
        </w:r>
      </w:hyperlink>
      <w:r w:rsidR="00B01841" w:rsidRPr="002651B1">
        <w:rPr>
          <w:rFonts w:eastAsia="Calibri"/>
          <w:szCs w:val="16"/>
          <w:lang w:eastAsia="en-US"/>
        </w:rPr>
        <w:t>, the issuance, revocation and suspension of ‘</w:t>
      </w:r>
      <w:proofErr w:type="spellStart"/>
      <w:r w:rsidR="00B01841" w:rsidRPr="002651B1">
        <w:rPr>
          <w:rFonts w:eastAsia="Calibri"/>
          <w:szCs w:val="16"/>
          <w:lang w:eastAsia="en-US"/>
        </w:rPr>
        <w:t>NemID</w:t>
      </w:r>
      <w:proofErr w:type="spellEnd"/>
      <w:r w:rsidR="00B01841" w:rsidRPr="002651B1">
        <w:rPr>
          <w:rFonts w:eastAsia="Calibri"/>
          <w:szCs w:val="16"/>
          <w:lang w:eastAsia="en-US"/>
        </w:rPr>
        <w:t xml:space="preserve">’ is regulated by two legislative instruments. In </w:t>
      </w:r>
      <w:hyperlink r:id="rId62" w:history="1">
        <w:r w:rsidR="00B01841" w:rsidRPr="001A3D09">
          <w:rPr>
            <w:rStyle w:val="Hyperlink"/>
            <w:rFonts w:eastAsia="Calibri"/>
            <w:color w:val="008675"/>
            <w:szCs w:val="16"/>
            <w:lang w:eastAsia="en-US"/>
          </w:rPr>
          <w:t>Finland</w:t>
        </w:r>
      </w:hyperlink>
      <w:r w:rsidR="00B01841" w:rsidRPr="002651B1">
        <w:rPr>
          <w:rFonts w:eastAsia="Calibri"/>
          <w:szCs w:val="16"/>
          <w:lang w:eastAsia="en-US"/>
        </w:rPr>
        <w:t>, ‘</w:t>
      </w:r>
      <w:proofErr w:type="spellStart"/>
      <w:r w:rsidR="00B01841" w:rsidRPr="002651B1">
        <w:rPr>
          <w:rFonts w:eastAsia="Calibri"/>
          <w:szCs w:val="16"/>
          <w:lang w:eastAsia="en-US"/>
        </w:rPr>
        <w:t>FINeID</w:t>
      </w:r>
      <w:proofErr w:type="spellEnd"/>
      <w:r w:rsidR="00B01841" w:rsidRPr="002651B1">
        <w:rPr>
          <w:rFonts w:eastAsia="Calibri"/>
          <w:szCs w:val="16"/>
          <w:lang w:eastAsia="en-US"/>
        </w:rPr>
        <w:t xml:space="preserve">’ is administered by the government’s Population Register Centre and regulated through a special, specific legislative scheme. The </w:t>
      </w:r>
      <w:hyperlink r:id="rId63" w:history="1">
        <w:r w:rsidR="00B01841" w:rsidRPr="001A3D09">
          <w:rPr>
            <w:rStyle w:val="Hyperlink"/>
            <w:rFonts w:eastAsia="Calibri"/>
            <w:color w:val="008675"/>
            <w:szCs w:val="16"/>
            <w:lang w:eastAsia="en-US"/>
          </w:rPr>
          <w:t>United Kingdom’s</w:t>
        </w:r>
      </w:hyperlink>
      <w:r w:rsidR="00B01841" w:rsidRPr="002651B1">
        <w:rPr>
          <w:rFonts w:eastAsia="Calibri"/>
          <w:szCs w:val="16"/>
          <w:lang w:eastAsia="en-US"/>
        </w:rPr>
        <w:t xml:space="preserve"> Department for Digital, Culture, Media and Sport has shared plans for a UK digital </w:t>
      </w:r>
      <w:r w:rsidR="00500088">
        <w:rPr>
          <w:rFonts w:eastAsia="Calibri"/>
          <w:szCs w:val="16"/>
          <w:lang w:eastAsia="en-US"/>
        </w:rPr>
        <w:t>ID</w:t>
      </w:r>
      <w:r w:rsidR="00500088" w:rsidRPr="002651B1">
        <w:rPr>
          <w:rFonts w:eastAsia="Calibri"/>
          <w:szCs w:val="16"/>
          <w:lang w:eastAsia="en-US"/>
        </w:rPr>
        <w:t xml:space="preserve"> </w:t>
      </w:r>
      <w:r w:rsidR="00B01841" w:rsidRPr="002651B1">
        <w:rPr>
          <w:rFonts w:eastAsia="Calibri"/>
          <w:szCs w:val="16"/>
          <w:lang w:eastAsia="en-US"/>
        </w:rPr>
        <w:t>and ‘attributes trust framework’ including the introduction of a new legal framework.</w:t>
      </w:r>
      <w:r w:rsidR="007D0D72">
        <w:rPr>
          <w:rFonts w:eastAsia="Calibri"/>
          <w:szCs w:val="16"/>
          <w:lang w:eastAsia="en-US"/>
        </w:rPr>
        <w:t>)</w:t>
      </w:r>
      <w:r w:rsidR="00B01841" w:rsidRPr="002651B1">
        <w:rPr>
          <w:rFonts w:eastAsia="Calibri"/>
          <w:szCs w:val="16"/>
          <w:lang w:eastAsia="en-US"/>
        </w:rPr>
        <w:t xml:space="preserve"> </w:t>
      </w:r>
    </w:p>
    <w:p w14:paraId="1C69F453" w14:textId="20B25572" w:rsidR="00E6232E" w:rsidRPr="000B7589" w:rsidRDefault="00C7625C" w:rsidP="006817C2">
      <w:pPr>
        <w:pStyle w:val="BodyText"/>
        <w:rPr>
          <w:rFonts w:eastAsia="Calibri"/>
          <w:lang w:eastAsia="en-US"/>
        </w:rPr>
      </w:pPr>
      <w:r w:rsidRPr="78F42BF0">
        <w:rPr>
          <w:rFonts w:eastAsia="Calibri"/>
          <w:lang w:eastAsia="en-US"/>
        </w:rPr>
        <w:t xml:space="preserve">The </w:t>
      </w:r>
      <w:r w:rsidR="003A2387">
        <w:rPr>
          <w:rFonts w:eastAsia="Calibri"/>
          <w:lang w:eastAsia="en-US"/>
        </w:rPr>
        <w:t xml:space="preserve">Australian </w:t>
      </w:r>
      <w:r w:rsidRPr="78F42BF0">
        <w:rPr>
          <w:rFonts w:eastAsia="Calibri"/>
          <w:lang w:eastAsia="en-US"/>
        </w:rPr>
        <w:t>Government’s Data and Digital Strategy</w:t>
      </w:r>
      <w:r w:rsidR="00E6232E" w:rsidRPr="78F42BF0">
        <w:rPr>
          <w:rFonts w:eastAsia="Calibri"/>
          <w:lang w:eastAsia="en-US"/>
        </w:rPr>
        <w:t xml:space="preserve"> </w:t>
      </w:r>
      <w:r w:rsidR="006817C2" w:rsidRPr="78F42BF0">
        <w:rPr>
          <w:rFonts w:eastAsia="Calibri"/>
          <w:lang w:eastAsia="en-US"/>
        </w:rPr>
        <w:t xml:space="preserve">notes </w:t>
      </w:r>
      <w:r w:rsidR="00E6232E" w:rsidRPr="78F42BF0">
        <w:rPr>
          <w:rFonts w:eastAsia="Calibri"/>
          <w:lang w:eastAsia="en-US"/>
        </w:rPr>
        <w:t xml:space="preserve">the use of </w:t>
      </w:r>
      <w:r w:rsidR="006817C2" w:rsidRPr="78F42BF0">
        <w:rPr>
          <w:rFonts w:eastAsia="Calibri"/>
          <w:lang w:eastAsia="en-US"/>
        </w:rPr>
        <w:t>a robust Digital ID framework will enable simpler and safer ways for people to access public services</w:t>
      </w:r>
      <w:r w:rsidR="00B67FE9" w:rsidRPr="78F42BF0">
        <w:rPr>
          <w:rFonts w:eastAsia="Calibri"/>
          <w:lang w:eastAsia="en-US"/>
        </w:rPr>
        <w:t xml:space="preserve"> </w:t>
      </w:r>
      <w:r w:rsidR="006817C2" w:rsidRPr="78F42BF0">
        <w:rPr>
          <w:rFonts w:eastAsia="Calibri"/>
          <w:lang w:eastAsia="en-US"/>
        </w:rPr>
        <w:t>and provide more secure ways to share data</w:t>
      </w:r>
      <w:r w:rsidR="00B67FE9" w:rsidRPr="78F42BF0">
        <w:rPr>
          <w:rFonts w:eastAsia="Calibri"/>
          <w:lang w:eastAsia="en-US"/>
        </w:rPr>
        <w:t xml:space="preserve"> </w:t>
      </w:r>
      <w:r w:rsidR="006817C2" w:rsidRPr="78F42BF0">
        <w:rPr>
          <w:rFonts w:eastAsia="Calibri"/>
          <w:lang w:eastAsia="en-US"/>
        </w:rPr>
        <w:t>across jurisdictions</w:t>
      </w:r>
      <w:r w:rsidR="00E6232E" w:rsidRPr="78F42BF0">
        <w:rPr>
          <w:rFonts w:eastAsia="Calibri"/>
          <w:lang w:eastAsia="en-US"/>
        </w:rPr>
        <w:t xml:space="preserve">. This alignment suggests government intervention has already commenced and can be sustained and enhanced to support expansion. </w:t>
      </w:r>
    </w:p>
    <w:p w14:paraId="27CED93D" w14:textId="248D394A" w:rsidR="00E6232E" w:rsidRPr="003A2387" w:rsidRDefault="00E6232E" w:rsidP="00E269DB">
      <w:pPr>
        <w:pStyle w:val="Heading2NoNumbers"/>
        <w:rPr>
          <w:color w:val="008675"/>
          <w:lang w:eastAsia="en-US"/>
        </w:rPr>
      </w:pPr>
      <w:bookmarkStart w:id="212" w:name="_4.3_Objectives_for"/>
      <w:bookmarkStart w:id="213" w:name="_Toc80884665"/>
      <w:bookmarkStart w:id="214" w:name="_Toc81226624"/>
      <w:bookmarkStart w:id="215" w:name="_Toc81226900"/>
      <w:bookmarkStart w:id="216" w:name="_Toc81228244"/>
      <w:bookmarkStart w:id="217" w:name="_Toc83951187"/>
      <w:bookmarkStart w:id="218" w:name="_Toc84925791"/>
      <w:bookmarkStart w:id="219" w:name="_Toc84925886"/>
      <w:bookmarkStart w:id="220" w:name="_Toc86045130"/>
      <w:bookmarkStart w:id="221" w:name="_Toc86070008"/>
      <w:bookmarkStart w:id="222" w:name="_Toc149740333"/>
      <w:bookmarkEnd w:id="212"/>
      <w:r w:rsidRPr="003A2387">
        <w:rPr>
          <w:color w:val="008675"/>
          <w:lang w:eastAsia="en-US"/>
        </w:rPr>
        <w:t xml:space="preserve">4.3 Objectives for </w:t>
      </w:r>
      <w:r w:rsidR="004C2EDC" w:rsidRPr="003A2387">
        <w:rPr>
          <w:color w:val="008675"/>
          <w:lang w:eastAsia="en-US"/>
        </w:rPr>
        <w:t>g</w:t>
      </w:r>
      <w:r w:rsidRPr="003A2387">
        <w:rPr>
          <w:color w:val="008675"/>
          <w:lang w:eastAsia="en-US"/>
        </w:rPr>
        <w:t xml:space="preserve">overnment </w:t>
      </w:r>
      <w:r w:rsidR="004C2EDC" w:rsidRPr="003A2387">
        <w:rPr>
          <w:color w:val="008675"/>
          <w:lang w:eastAsia="en-US"/>
        </w:rPr>
        <w:t>i</w:t>
      </w:r>
      <w:r w:rsidRPr="003A2387">
        <w:rPr>
          <w:color w:val="008675"/>
          <w:lang w:eastAsia="en-US"/>
        </w:rPr>
        <w:t>ntervention</w:t>
      </w:r>
      <w:bookmarkStart w:id="223" w:name="Objectives"/>
      <w:bookmarkEnd w:id="213"/>
      <w:bookmarkEnd w:id="214"/>
      <w:bookmarkEnd w:id="215"/>
      <w:bookmarkEnd w:id="216"/>
      <w:bookmarkEnd w:id="217"/>
      <w:bookmarkEnd w:id="218"/>
      <w:bookmarkEnd w:id="219"/>
      <w:bookmarkEnd w:id="220"/>
      <w:bookmarkEnd w:id="221"/>
      <w:bookmarkEnd w:id="222"/>
    </w:p>
    <w:bookmarkEnd w:id="223"/>
    <w:p w14:paraId="4570BEC5" w14:textId="093AE016" w:rsidR="00E6232E" w:rsidRPr="000B7589" w:rsidRDefault="00E6232E" w:rsidP="00C8355E">
      <w:pPr>
        <w:pStyle w:val="BodyText"/>
        <w:rPr>
          <w:lang w:eastAsia="en-US"/>
        </w:rPr>
      </w:pPr>
      <w:r w:rsidRPr="000B7589">
        <w:rPr>
          <w:lang w:eastAsia="en-US"/>
        </w:rPr>
        <w:t xml:space="preserve">There are several specific objectives for government action, aligned with the identified problem areas. These are outlined in </w:t>
      </w:r>
      <w:r w:rsidR="00C520F5">
        <w:rPr>
          <w:lang w:eastAsia="en-US"/>
        </w:rPr>
        <w:t>T</w:t>
      </w:r>
      <w:r w:rsidRPr="000B7589">
        <w:rPr>
          <w:lang w:eastAsia="en-US"/>
        </w:rPr>
        <w:t xml:space="preserve">able </w:t>
      </w:r>
      <w:r w:rsidR="00C520F5">
        <w:rPr>
          <w:lang w:eastAsia="en-US"/>
        </w:rPr>
        <w:t>2</w:t>
      </w:r>
      <w:r w:rsidRPr="000B7589">
        <w:rPr>
          <w:lang w:eastAsia="en-US"/>
        </w:rPr>
        <w:t xml:space="preserve">: </w:t>
      </w:r>
    </w:p>
    <w:tbl>
      <w:tblPr>
        <w:tblStyle w:val="GridTable2-Accent3"/>
        <w:tblW w:w="0" w:type="auto"/>
        <w:tblLook w:val="04A0" w:firstRow="1" w:lastRow="0" w:firstColumn="1" w:lastColumn="0" w:noHBand="0" w:noVBand="1"/>
      </w:tblPr>
      <w:tblGrid>
        <w:gridCol w:w="421"/>
        <w:gridCol w:w="2693"/>
        <w:gridCol w:w="5902"/>
      </w:tblGrid>
      <w:tr w:rsidR="003A2387" w:rsidRPr="003A2387" w14:paraId="44BCC3DA" w14:textId="77777777" w:rsidTr="003A23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gridSpan w:val="2"/>
            <w:tcBorders>
              <w:bottom w:val="single" w:sz="4" w:space="0" w:color="008675"/>
            </w:tcBorders>
            <w:vAlign w:val="bottom"/>
          </w:tcPr>
          <w:p w14:paraId="11535B98" w14:textId="24F260D2" w:rsidR="00E6232E" w:rsidRPr="003A2387" w:rsidRDefault="00E6232E" w:rsidP="00C8355E">
            <w:pPr>
              <w:pStyle w:val="TableTextLeft"/>
              <w:rPr>
                <w:color w:val="008675"/>
                <w:szCs w:val="28"/>
                <w:lang w:eastAsia="en-US"/>
              </w:rPr>
            </w:pPr>
            <w:r w:rsidRPr="003A2387">
              <w:rPr>
                <w:color w:val="008675"/>
                <w:szCs w:val="28"/>
              </w:rPr>
              <w:lastRenderedPageBreak/>
              <w:t xml:space="preserve">Identified </w:t>
            </w:r>
            <w:r w:rsidR="00A52B4B" w:rsidRPr="003A2387">
              <w:rPr>
                <w:color w:val="008675"/>
                <w:szCs w:val="28"/>
              </w:rPr>
              <w:t>p</w:t>
            </w:r>
            <w:r w:rsidRPr="003A2387">
              <w:rPr>
                <w:color w:val="008675"/>
                <w:szCs w:val="28"/>
              </w:rPr>
              <w:t xml:space="preserve">roblem </w:t>
            </w:r>
            <w:r w:rsidR="00A52B4B" w:rsidRPr="003A2387">
              <w:rPr>
                <w:color w:val="008675"/>
                <w:szCs w:val="28"/>
              </w:rPr>
              <w:t>a</w:t>
            </w:r>
            <w:r w:rsidRPr="003A2387">
              <w:rPr>
                <w:color w:val="008675"/>
                <w:szCs w:val="28"/>
              </w:rPr>
              <w:t>rea</w:t>
            </w:r>
          </w:p>
        </w:tc>
        <w:tc>
          <w:tcPr>
            <w:tcW w:w="0" w:type="dxa"/>
            <w:tcBorders>
              <w:bottom w:val="single" w:sz="4" w:space="0" w:color="008675"/>
            </w:tcBorders>
          </w:tcPr>
          <w:p w14:paraId="45ED8965" w14:textId="2003BEFE" w:rsidR="00E6232E" w:rsidRPr="003A2387" w:rsidRDefault="00E6232E" w:rsidP="00C8355E">
            <w:pPr>
              <w:pStyle w:val="TableTextLeft"/>
              <w:cnfStyle w:val="100000000000" w:firstRow="1" w:lastRow="0" w:firstColumn="0" w:lastColumn="0" w:oddVBand="0" w:evenVBand="0" w:oddHBand="0" w:evenHBand="0" w:firstRowFirstColumn="0" w:firstRowLastColumn="0" w:lastRowFirstColumn="0" w:lastRowLastColumn="0"/>
              <w:rPr>
                <w:color w:val="008675"/>
                <w:szCs w:val="28"/>
              </w:rPr>
            </w:pPr>
            <w:r w:rsidRPr="003A2387">
              <w:rPr>
                <w:color w:val="008675"/>
                <w:szCs w:val="28"/>
              </w:rPr>
              <w:t xml:space="preserve">Objectives for </w:t>
            </w:r>
            <w:r w:rsidR="00A52B4B" w:rsidRPr="003A2387">
              <w:rPr>
                <w:color w:val="008675"/>
                <w:szCs w:val="28"/>
              </w:rPr>
              <w:t>g</w:t>
            </w:r>
            <w:r w:rsidRPr="003A2387">
              <w:rPr>
                <w:color w:val="008675"/>
                <w:szCs w:val="28"/>
              </w:rPr>
              <w:t xml:space="preserve">overnment </w:t>
            </w:r>
            <w:r w:rsidR="00A52B4B" w:rsidRPr="003A2387">
              <w:rPr>
                <w:color w:val="008675"/>
                <w:szCs w:val="28"/>
              </w:rPr>
              <w:t>a</w:t>
            </w:r>
            <w:r w:rsidRPr="003A2387">
              <w:rPr>
                <w:color w:val="008675"/>
                <w:szCs w:val="28"/>
              </w:rPr>
              <w:t>ction</w:t>
            </w:r>
          </w:p>
        </w:tc>
      </w:tr>
      <w:tr w:rsidR="00E6232E" w:rsidRPr="000B7589" w14:paraId="32C61B2B" w14:textId="77777777" w:rsidTr="00942C3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18B26C12" w14:textId="77777777" w:rsidR="00E6232E" w:rsidRPr="003A2387" w:rsidRDefault="00E6232E" w:rsidP="007132FE">
            <w:pPr>
              <w:pStyle w:val="TableTextLeft"/>
              <w:rPr>
                <w:color w:val="008675"/>
                <w:szCs w:val="28"/>
              </w:rPr>
            </w:pPr>
            <w:r w:rsidRPr="003A2387">
              <w:rPr>
                <w:color w:val="008675"/>
                <w:szCs w:val="28"/>
              </w:rPr>
              <w:t>1</w:t>
            </w:r>
          </w:p>
        </w:tc>
        <w:tc>
          <w:tcPr>
            <w:tcW w:w="0" w:type="dxa"/>
            <w:tcBorders>
              <w:top w:val="single" w:sz="4" w:space="0" w:color="008675"/>
              <w:left w:val="single" w:sz="4" w:space="0" w:color="008675"/>
              <w:bottom w:val="single" w:sz="4" w:space="0" w:color="008675"/>
              <w:right w:val="single" w:sz="4" w:space="0" w:color="008675"/>
            </w:tcBorders>
            <w:shd w:val="clear" w:color="auto" w:fill="D2EEED"/>
          </w:tcPr>
          <w:p w14:paraId="0FE8BB45" w14:textId="11B6F4E0" w:rsidR="00E6232E" w:rsidRPr="00C91791" w:rsidRDefault="00E6232E" w:rsidP="007132FE">
            <w:pPr>
              <w:pStyle w:val="TableTextLeft"/>
              <w:cnfStyle w:val="000000100000" w:firstRow="0" w:lastRow="0" w:firstColumn="0" w:lastColumn="0" w:oddVBand="0" w:evenVBand="0" w:oddHBand="1" w:evenHBand="0" w:firstRowFirstColumn="0" w:firstRowLastColumn="0" w:lastRowFirstColumn="0" w:lastRowLastColumn="0"/>
              <w:rPr>
                <w:szCs w:val="28"/>
              </w:rPr>
            </w:pPr>
            <w:r w:rsidRPr="00C91791">
              <w:rPr>
                <w:szCs w:val="28"/>
              </w:rPr>
              <w:t>No legal basis for participation of non-</w:t>
            </w:r>
            <w:r w:rsidR="003D3778">
              <w:rPr>
                <w:lang w:eastAsia="en-US"/>
              </w:rPr>
              <w:t>Commonwealth</w:t>
            </w:r>
            <w:r w:rsidRPr="00C91791">
              <w:rPr>
                <w:szCs w:val="28"/>
              </w:rPr>
              <w:t xml:space="preserve"> </w:t>
            </w:r>
            <w:r w:rsidR="00351399">
              <w:rPr>
                <w:szCs w:val="28"/>
              </w:rPr>
              <w:t>agencies</w:t>
            </w:r>
            <w:r w:rsidR="00351399" w:rsidRPr="00C91791">
              <w:rPr>
                <w:szCs w:val="28"/>
              </w:rPr>
              <w:t xml:space="preserve"> </w:t>
            </w:r>
            <w:r w:rsidRPr="00C91791">
              <w:rPr>
                <w:szCs w:val="28"/>
              </w:rPr>
              <w:t xml:space="preserve">as </w:t>
            </w:r>
            <w:r w:rsidR="007F0E75">
              <w:rPr>
                <w:szCs w:val="28"/>
              </w:rPr>
              <w:t>r</w:t>
            </w:r>
            <w:r w:rsidRPr="00C91791">
              <w:rPr>
                <w:szCs w:val="28"/>
              </w:rPr>
              <w:t xml:space="preserve">elying </w:t>
            </w:r>
            <w:r w:rsidR="007F0E75">
              <w:rPr>
                <w:szCs w:val="28"/>
              </w:rPr>
              <w:t>p</w:t>
            </w:r>
            <w:r w:rsidRPr="00C91791">
              <w:rPr>
                <w:szCs w:val="28"/>
              </w:rPr>
              <w:t xml:space="preserve">arties, nor for a charging framework. </w:t>
            </w:r>
          </w:p>
        </w:tc>
        <w:tc>
          <w:tcPr>
            <w:tcW w:w="0" w:type="dxa"/>
            <w:tcBorders>
              <w:top w:val="single" w:sz="4" w:space="0" w:color="008675"/>
              <w:left w:val="single" w:sz="4" w:space="0" w:color="008675"/>
              <w:bottom w:val="single" w:sz="4" w:space="0" w:color="008675"/>
            </w:tcBorders>
            <w:shd w:val="clear" w:color="auto" w:fill="D2EEED"/>
          </w:tcPr>
          <w:p w14:paraId="6E64F98A" w14:textId="75ADEE00" w:rsidR="00E6232E" w:rsidRPr="00C91791" w:rsidRDefault="00E6232E" w:rsidP="007132FE">
            <w:pPr>
              <w:pStyle w:val="TableTextLeft"/>
              <w:cnfStyle w:val="000000100000" w:firstRow="0" w:lastRow="0" w:firstColumn="0" w:lastColumn="0" w:oddVBand="0" w:evenVBand="0" w:oddHBand="1" w:evenHBand="0" w:firstRowFirstColumn="0" w:firstRowLastColumn="0" w:lastRowFirstColumn="0" w:lastRowLastColumn="0"/>
              <w:rPr>
                <w:szCs w:val="28"/>
              </w:rPr>
            </w:pPr>
            <w:r w:rsidRPr="00C91791">
              <w:rPr>
                <w:szCs w:val="28"/>
              </w:rPr>
              <w:t xml:space="preserve">Government action enables expansion of the </w:t>
            </w:r>
            <w:r w:rsidR="00180807">
              <w:rPr>
                <w:szCs w:val="28"/>
              </w:rPr>
              <w:t>AGDIS</w:t>
            </w:r>
            <w:r w:rsidRPr="00C91791">
              <w:rPr>
                <w:szCs w:val="28"/>
              </w:rPr>
              <w:t xml:space="preserve"> to include non-</w:t>
            </w:r>
            <w:r w:rsidR="003D3778">
              <w:rPr>
                <w:szCs w:val="28"/>
              </w:rPr>
              <w:t>Commonwealth</w:t>
            </w:r>
            <w:r w:rsidR="00CF00AF" w:rsidRPr="00C91791">
              <w:rPr>
                <w:szCs w:val="28"/>
              </w:rPr>
              <w:t xml:space="preserve"> </w:t>
            </w:r>
            <w:r w:rsidR="00351399">
              <w:rPr>
                <w:szCs w:val="28"/>
              </w:rPr>
              <w:t>agencies</w:t>
            </w:r>
            <w:r w:rsidR="00351399" w:rsidRPr="00C91791">
              <w:rPr>
                <w:szCs w:val="28"/>
              </w:rPr>
              <w:t xml:space="preserve"> </w:t>
            </w:r>
            <w:r w:rsidRPr="00C91791">
              <w:rPr>
                <w:szCs w:val="28"/>
              </w:rPr>
              <w:t xml:space="preserve">as </w:t>
            </w:r>
            <w:r w:rsidR="007F0E75">
              <w:rPr>
                <w:szCs w:val="28"/>
              </w:rPr>
              <w:t>r</w:t>
            </w:r>
            <w:r w:rsidRPr="00C91791">
              <w:rPr>
                <w:szCs w:val="28"/>
              </w:rPr>
              <w:t xml:space="preserve">elying </w:t>
            </w:r>
            <w:r w:rsidR="007F0E75">
              <w:rPr>
                <w:szCs w:val="28"/>
              </w:rPr>
              <w:t>p</w:t>
            </w:r>
            <w:r w:rsidRPr="00C91791">
              <w:rPr>
                <w:szCs w:val="28"/>
              </w:rPr>
              <w:t xml:space="preserve">arties, and providing a legal basis for charging by </w:t>
            </w:r>
            <w:r w:rsidR="00726612">
              <w:rPr>
                <w:szCs w:val="28"/>
              </w:rPr>
              <w:t xml:space="preserve">onboarded </w:t>
            </w:r>
            <w:r w:rsidR="007F0E75">
              <w:rPr>
                <w:szCs w:val="28"/>
              </w:rPr>
              <w:t>a</w:t>
            </w:r>
            <w:r w:rsidRPr="00C91791">
              <w:rPr>
                <w:szCs w:val="28"/>
              </w:rPr>
              <w:t xml:space="preserve">ccredited </w:t>
            </w:r>
            <w:r w:rsidR="00726612">
              <w:rPr>
                <w:szCs w:val="28"/>
              </w:rPr>
              <w:t xml:space="preserve">entities </w:t>
            </w:r>
            <w:r w:rsidRPr="00C91791">
              <w:rPr>
                <w:szCs w:val="28"/>
              </w:rPr>
              <w:t>(</w:t>
            </w:r>
            <w:r w:rsidR="003D3778">
              <w:rPr>
                <w:lang w:eastAsia="en-US"/>
              </w:rPr>
              <w:t>Commonwealth</w:t>
            </w:r>
            <w:r w:rsidR="00CF00AF" w:rsidRPr="00C91791" w:rsidDel="00CF00AF">
              <w:rPr>
                <w:szCs w:val="28"/>
              </w:rPr>
              <w:t xml:space="preserve"> </w:t>
            </w:r>
            <w:r w:rsidRPr="00C91791">
              <w:rPr>
                <w:szCs w:val="28"/>
              </w:rPr>
              <w:t>and non-</w:t>
            </w:r>
            <w:r w:rsidR="003D3778">
              <w:rPr>
                <w:lang w:eastAsia="en-US"/>
              </w:rPr>
              <w:t>Commonwealth</w:t>
            </w:r>
            <w:r w:rsidRPr="00C91791">
              <w:rPr>
                <w:szCs w:val="28"/>
              </w:rPr>
              <w:t>), maximising the benefits.</w:t>
            </w:r>
          </w:p>
        </w:tc>
      </w:tr>
      <w:tr w:rsidR="00E6232E" w:rsidRPr="000B7589" w14:paraId="5175D957" w14:textId="77777777" w:rsidTr="003A2387">
        <w:trPr>
          <w:trHeight w:val="1361"/>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8675"/>
              <w:bottom w:val="single" w:sz="4" w:space="0" w:color="008675"/>
              <w:right w:val="single" w:sz="4" w:space="0" w:color="008675"/>
            </w:tcBorders>
          </w:tcPr>
          <w:p w14:paraId="750D1A28" w14:textId="77777777" w:rsidR="00E6232E" w:rsidRPr="003A2387" w:rsidRDefault="00E6232E" w:rsidP="007132FE">
            <w:pPr>
              <w:pStyle w:val="TableTextLeft"/>
              <w:rPr>
                <w:color w:val="008675"/>
                <w:szCs w:val="28"/>
              </w:rPr>
            </w:pPr>
            <w:r w:rsidRPr="003A2387">
              <w:rPr>
                <w:color w:val="008675"/>
                <w:szCs w:val="28"/>
              </w:rPr>
              <w:t>2</w:t>
            </w:r>
          </w:p>
        </w:tc>
        <w:tc>
          <w:tcPr>
            <w:tcW w:w="2693" w:type="dxa"/>
            <w:tcBorders>
              <w:top w:val="single" w:sz="4" w:space="0" w:color="008675"/>
              <w:left w:val="single" w:sz="4" w:space="0" w:color="008675"/>
              <w:bottom w:val="single" w:sz="4" w:space="0" w:color="008675"/>
              <w:right w:val="single" w:sz="4" w:space="0" w:color="008675"/>
            </w:tcBorders>
          </w:tcPr>
          <w:p w14:paraId="12B1730F" w14:textId="1EF6C051" w:rsidR="00E6232E" w:rsidRPr="00C91791" w:rsidRDefault="00E6232E" w:rsidP="007132FE">
            <w:pPr>
              <w:pStyle w:val="TableTextLeft"/>
              <w:cnfStyle w:val="000000000000" w:firstRow="0" w:lastRow="0" w:firstColumn="0" w:lastColumn="0" w:oddVBand="0" w:evenVBand="0" w:oddHBand="0" w:evenHBand="0" w:firstRowFirstColumn="0" w:firstRowLastColumn="0" w:lastRowFirstColumn="0" w:lastRowLastColumn="0"/>
              <w:rPr>
                <w:szCs w:val="28"/>
              </w:rPr>
            </w:pPr>
            <w:r w:rsidRPr="00C91791">
              <w:rPr>
                <w:szCs w:val="28"/>
              </w:rPr>
              <w:t>Inconsistent privacy and security safeguards may become increasingly problematic a</w:t>
            </w:r>
            <w:r w:rsidR="009210C4">
              <w:rPr>
                <w:szCs w:val="28"/>
              </w:rPr>
              <w:t>s</w:t>
            </w:r>
            <w:r w:rsidRPr="00C91791">
              <w:rPr>
                <w:szCs w:val="28"/>
              </w:rPr>
              <w:t xml:space="preserve"> </w:t>
            </w:r>
            <w:r w:rsidR="00D639B1">
              <w:rPr>
                <w:szCs w:val="28"/>
              </w:rPr>
              <w:t>AGDIS</w:t>
            </w:r>
            <w:r w:rsidR="00E814E2">
              <w:rPr>
                <w:szCs w:val="28"/>
              </w:rPr>
              <w:t xml:space="preserve"> </w:t>
            </w:r>
            <w:r w:rsidRPr="00C91791">
              <w:rPr>
                <w:szCs w:val="28"/>
              </w:rPr>
              <w:t xml:space="preserve">expands. </w:t>
            </w:r>
          </w:p>
        </w:tc>
        <w:tc>
          <w:tcPr>
            <w:tcW w:w="5902" w:type="dxa"/>
            <w:tcBorders>
              <w:top w:val="single" w:sz="4" w:space="0" w:color="008675"/>
              <w:left w:val="single" w:sz="4" w:space="0" w:color="008675"/>
              <w:bottom w:val="single" w:sz="4" w:space="0" w:color="008675"/>
            </w:tcBorders>
          </w:tcPr>
          <w:p w14:paraId="3C97CA1C" w14:textId="77777777" w:rsidR="00E6232E" w:rsidRPr="00C91791" w:rsidRDefault="00E6232E" w:rsidP="007132FE">
            <w:pPr>
              <w:pStyle w:val="TableTextLeft"/>
              <w:cnfStyle w:val="000000000000" w:firstRow="0" w:lastRow="0" w:firstColumn="0" w:lastColumn="0" w:oddVBand="0" w:evenVBand="0" w:oddHBand="0" w:evenHBand="0" w:firstRowFirstColumn="0" w:firstRowLastColumn="0" w:lastRowFirstColumn="0" w:lastRowLastColumn="0"/>
              <w:rPr>
                <w:szCs w:val="28"/>
              </w:rPr>
            </w:pPr>
            <w:r w:rsidRPr="00C91791">
              <w:rPr>
                <w:szCs w:val="28"/>
              </w:rPr>
              <w:t xml:space="preserve">Government action enhances community confidence, trust and clarity regarding the Program’s privacy and security safeguards. </w:t>
            </w:r>
          </w:p>
          <w:p w14:paraId="26316ED6" w14:textId="77777777" w:rsidR="00E6232E" w:rsidRPr="00C91791" w:rsidRDefault="00E6232E" w:rsidP="007132FE">
            <w:pPr>
              <w:pStyle w:val="TableTextLeft"/>
              <w:cnfStyle w:val="000000000000" w:firstRow="0" w:lastRow="0" w:firstColumn="0" w:lastColumn="0" w:oddVBand="0" w:evenVBand="0" w:oddHBand="0" w:evenHBand="0" w:firstRowFirstColumn="0" w:firstRowLastColumn="0" w:lastRowFirstColumn="0" w:lastRowLastColumn="0"/>
              <w:rPr>
                <w:szCs w:val="28"/>
              </w:rPr>
            </w:pPr>
          </w:p>
        </w:tc>
      </w:tr>
      <w:tr w:rsidR="00E6232E" w:rsidRPr="000B7589" w14:paraId="2B57E1C1" w14:textId="77777777" w:rsidTr="00942C3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right w:val="single" w:sz="4" w:space="0" w:color="008675"/>
            </w:tcBorders>
            <w:shd w:val="clear" w:color="auto" w:fill="D2EEED"/>
          </w:tcPr>
          <w:p w14:paraId="311FB107" w14:textId="77777777" w:rsidR="00E6232E" w:rsidRPr="003A2387" w:rsidRDefault="00E6232E" w:rsidP="007132FE">
            <w:pPr>
              <w:pStyle w:val="TableTextLeft"/>
              <w:rPr>
                <w:color w:val="008675"/>
                <w:szCs w:val="28"/>
              </w:rPr>
            </w:pPr>
            <w:r w:rsidRPr="003A2387">
              <w:rPr>
                <w:color w:val="008675"/>
                <w:szCs w:val="28"/>
              </w:rPr>
              <w:t>3</w:t>
            </w:r>
          </w:p>
        </w:tc>
        <w:tc>
          <w:tcPr>
            <w:tcW w:w="0" w:type="dxa"/>
            <w:tcBorders>
              <w:top w:val="single" w:sz="4" w:space="0" w:color="008675"/>
              <w:left w:val="single" w:sz="4" w:space="0" w:color="008675"/>
              <w:right w:val="single" w:sz="4" w:space="0" w:color="008675"/>
            </w:tcBorders>
            <w:shd w:val="clear" w:color="auto" w:fill="D2EEED"/>
          </w:tcPr>
          <w:p w14:paraId="27D72BE4" w14:textId="176C8E96" w:rsidR="00E6232E" w:rsidRPr="00C91791" w:rsidRDefault="00E6232E" w:rsidP="007132FE">
            <w:pPr>
              <w:pStyle w:val="TableTextLeft"/>
              <w:cnfStyle w:val="000000100000" w:firstRow="0" w:lastRow="0" w:firstColumn="0" w:lastColumn="0" w:oddVBand="0" w:evenVBand="0" w:oddHBand="1" w:evenHBand="0" w:firstRowFirstColumn="0" w:firstRowLastColumn="0" w:lastRowFirstColumn="0" w:lastRowLastColumn="0"/>
              <w:rPr>
                <w:szCs w:val="28"/>
              </w:rPr>
            </w:pPr>
            <w:r w:rsidRPr="00C91791">
              <w:rPr>
                <w:szCs w:val="28"/>
              </w:rPr>
              <w:t>Interim, non-leg</w:t>
            </w:r>
            <w:r w:rsidR="006C76E8">
              <w:rPr>
                <w:szCs w:val="28"/>
              </w:rPr>
              <w:t xml:space="preserve">islative </w:t>
            </w:r>
            <w:r w:rsidRPr="00C91791">
              <w:rPr>
                <w:szCs w:val="28"/>
              </w:rPr>
              <w:t xml:space="preserve">governance framework not sufficiently robust. </w:t>
            </w:r>
          </w:p>
        </w:tc>
        <w:tc>
          <w:tcPr>
            <w:tcW w:w="0" w:type="dxa"/>
            <w:tcBorders>
              <w:top w:val="single" w:sz="4" w:space="0" w:color="008675"/>
              <w:left w:val="single" w:sz="4" w:space="0" w:color="008675"/>
            </w:tcBorders>
            <w:shd w:val="clear" w:color="auto" w:fill="D2EEED"/>
          </w:tcPr>
          <w:p w14:paraId="04BB9536" w14:textId="2D1580AB" w:rsidR="00E6232E" w:rsidRPr="00C91791" w:rsidRDefault="00E6232E" w:rsidP="007132FE">
            <w:pPr>
              <w:pStyle w:val="TableTextLeft"/>
              <w:cnfStyle w:val="000000100000" w:firstRow="0" w:lastRow="0" w:firstColumn="0" w:lastColumn="0" w:oddVBand="0" w:evenVBand="0" w:oddHBand="1" w:evenHBand="0" w:firstRowFirstColumn="0" w:firstRowLastColumn="0" w:lastRowFirstColumn="0" w:lastRowLastColumn="0"/>
              <w:rPr>
                <w:szCs w:val="28"/>
              </w:rPr>
            </w:pPr>
            <w:r w:rsidRPr="00C91791">
              <w:rPr>
                <w:szCs w:val="28"/>
              </w:rPr>
              <w:t>Government action</w:t>
            </w:r>
            <w:r w:rsidR="00866632">
              <w:rPr>
                <w:szCs w:val="28"/>
              </w:rPr>
              <w:t xml:space="preserve"> to elevate existing </w:t>
            </w:r>
            <w:r w:rsidR="00A750C9">
              <w:rPr>
                <w:szCs w:val="28"/>
              </w:rPr>
              <w:t>protections into regulation</w:t>
            </w:r>
            <w:r w:rsidRPr="00C91791">
              <w:rPr>
                <w:szCs w:val="28"/>
              </w:rPr>
              <w:t xml:space="preserve"> enhances community confidence, trust and clarity in the integrity, </w:t>
            </w:r>
            <w:r w:rsidRPr="00C91791">
              <w:rPr>
                <w:szCs w:val="28"/>
                <w:shd w:val="clear" w:color="auto" w:fill="E5F5FB"/>
              </w:rPr>
              <w:t>permanence and rigor</w:t>
            </w:r>
            <w:r w:rsidR="00D639B1">
              <w:rPr>
                <w:szCs w:val="28"/>
                <w:shd w:val="clear" w:color="auto" w:fill="E5F5FB"/>
              </w:rPr>
              <w:t xml:space="preserve"> of</w:t>
            </w:r>
            <w:r w:rsidRPr="00C91791">
              <w:rPr>
                <w:szCs w:val="28"/>
              </w:rPr>
              <w:t xml:space="preserve"> governance. </w:t>
            </w:r>
          </w:p>
        </w:tc>
      </w:tr>
    </w:tbl>
    <w:p w14:paraId="2BE1E120" w14:textId="781BFC05" w:rsidR="00046D22" w:rsidRPr="00C8355E" w:rsidRDefault="00E6232E" w:rsidP="00DB7012">
      <w:pPr>
        <w:pStyle w:val="Caption"/>
        <w:rPr>
          <w:rFonts w:eastAsia="Calibri"/>
          <w:lang w:eastAsia="en-US"/>
        </w:rPr>
      </w:pPr>
      <w:bookmarkStart w:id="224" w:name="_Toc82532397"/>
      <w:bookmarkStart w:id="225" w:name="_Toc130390609"/>
      <w:r w:rsidRPr="00C8355E">
        <w:rPr>
          <w:rFonts w:eastAsia="Calibri"/>
          <w:lang w:eastAsia="en-US"/>
        </w:rPr>
        <w:t xml:space="preserve">Table </w:t>
      </w:r>
      <w:r w:rsidR="00C64E33">
        <w:rPr>
          <w:rFonts w:eastAsia="Calibri"/>
          <w:lang w:eastAsia="en-US"/>
        </w:rPr>
        <w:fldChar w:fldCharType="begin"/>
      </w:r>
      <w:r w:rsidR="00C64E33">
        <w:rPr>
          <w:rFonts w:eastAsia="Calibri"/>
          <w:lang w:eastAsia="en-US"/>
        </w:rPr>
        <w:instrText xml:space="preserve"> SEQ Table \* ARABIC </w:instrText>
      </w:r>
      <w:r w:rsidR="00C64E33">
        <w:rPr>
          <w:rFonts w:eastAsia="Calibri"/>
          <w:lang w:eastAsia="en-US"/>
        </w:rPr>
        <w:fldChar w:fldCharType="separate"/>
      </w:r>
      <w:r w:rsidR="00C64E33">
        <w:rPr>
          <w:rFonts w:eastAsia="Calibri"/>
          <w:noProof/>
          <w:lang w:eastAsia="en-US"/>
        </w:rPr>
        <w:t>2</w:t>
      </w:r>
      <w:r w:rsidR="00C64E33">
        <w:rPr>
          <w:rFonts w:eastAsia="Calibri"/>
          <w:lang w:eastAsia="en-US"/>
        </w:rPr>
        <w:fldChar w:fldCharType="end"/>
      </w:r>
      <w:r w:rsidRPr="00C8355E">
        <w:rPr>
          <w:rFonts w:eastAsia="Calibri"/>
          <w:lang w:eastA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rPr>
          <w:rFonts w:eastAsia="Calibri"/>
          <w:lang w:eastAsia="en-US"/>
        </w:rPr>
        <w:t>a</w:t>
      </w:r>
      <w:r w:rsidRPr="00C8355E">
        <w:rPr>
          <w:rFonts w:eastAsia="Calibri"/>
          <w:lang w:eastAsia="en-US"/>
        </w:rPr>
        <w:t>ction</w:t>
      </w:r>
      <w:bookmarkEnd w:id="224"/>
      <w:bookmarkEnd w:id="225"/>
    </w:p>
    <w:p w14:paraId="731D8ECE" w14:textId="11B2AD41" w:rsidR="00E6232E" w:rsidRPr="000B7589" w:rsidRDefault="00E6232E" w:rsidP="007132FE">
      <w:pPr>
        <w:pStyle w:val="BodyText"/>
        <w:rPr>
          <w:lang w:eastAsia="en-US"/>
        </w:rPr>
      </w:pPr>
      <w:r w:rsidRPr="000B7589">
        <w:rPr>
          <w:lang w:eastAsia="en-US"/>
        </w:rPr>
        <w:t xml:space="preserve">In addition to the above, it is expected that any government intervention will maintain or enhance the </w:t>
      </w:r>
      <w:r w:rsidR="006D73AA" w:rsidRPr="00D44FE0">
        <w:t>principles</w:t>
      </w:r>
      <w:r w:rsidRPr="000B7589">
        <w:rPr>
          <w:lang w:eastAsia="en-US"/>
        </w:rPr>
        <w:t xml:space="preserve"> upon which the </w:t>
      </w:r>
      <w:r w:rsidR="00D639B1">
        <w:rPr>
          <w:lang w:eastAsia="en-US"/>
        </w:rPr>
        <w:t>AGDIS and the accreditation system</w:t>
      </w:r>
      <w:r w:rsidRPr="000B7589">
        <w:rPr>
          <w:lang w:eastAsia="en-US"/>
        </w:rPr>
        <w:t xml:space="preserve"> is based. These are:</w:t>
      </w:r>
    </w:p>
    <w:p w14:paraId="4FFC5C16" w14:textId="541D48DD" w:rsidR="00E6232E" w:rsidRPr="000B7589" w:rsidRDefault="00CB5F3E" w:rsidP="007132FE">
      <w:pPr>
        <w:pStyle w:val="ListBulletLevel1"/>
        <w:rPr>
          <w:rFonts w:eastAsia="Calibri"/>
          <w:lang w:eastAsia="en-US"/>
        </w:rPr>
      </w:pPr>
      <w:r>
        <w:rPr>
          <w:rFonts w:eastAsia="Calibri"/>
          <w:b/>
          <w:bCs/>
          <w:color w:val="000000" w:themeColor="text1"/>
          <w:lang w:eastAsia="en-US"/>
        </w:rPr>
        <w:t>Voluntarine</w:t>
      </w:r>
      <w:r w:rsidR="00FA1E15">
        <w:rPr>
          <w:rFonts w:eastAsia="Calibri"/>
          <w:b/>
          <w:bCs/>
          <w:color w:val="000000" w:themeColor="text1"/>
          <w:lang w:eastAsia="en-US"/>
        </w:rPr>
        <w:t xml:space="preserve">ss </w:t>
      </w:r>
      <w:r w:rsidR="00E6232E" w:rsidRPr="000B7589">
        <w:rPr>
          <w:rFonts w:eastAsia="Calibri"/>
          <w:lang w:eastAsia="en-US"/>
        </w:rPr>
        <w:t xml:space="preserve">– ensuring that creation and use of a </w:t>
      </w:r>
      <w:r w:rsidR="009210C4">
        <w:rPr>
          <w:rFonts w:eastAsia="Calibri"/>
          <w:lang w:eastAsia="en-US"/>
        </w:rPr>
        <w:t>d</w:t>
      </w:r>
      <w:r w:rsidR="00E6232E" w:rsidRPr="000B7589">
        <w:rPr>
          <w:rFonts w:eastAsia="Calibri"/>
          <w:lang w:eastAsia="en-US"/>
        </w:rPr>
        <w:t xml:space="preserve">igital </w:t>
      </w:r>
      <w:r w:rsidR="00A65E3B">
        <w:rPr>
          <w:rFonts w:eastAsia="Calibri"/>
          <w:lang w:eastAsia="en-US"/>
        </w:rPr>
        <w:t>ID</w:t>
      </w:r>
      <w:r w:rsidR="00A65E3B" w:rsidRPr="000B7589">
        <w:rPr>
          <w:rFonts w:eastAsia="Calibri"/>
          <w:lang w:eastAsia="en-US"/>
        </w:rPr>
        <w:t xml:space="preserve"> </w:t>
      </w:r>
      <w:r w:rsidR="00E6232E" w:rsidRPr="000B7589">
        <w:rPr>
          <w:rFonts w:eastAsia="Calibri"/>
          <w:lang w:eastAsia="en-US"/>
        </w:rPr>
        <w:t xml:space="preserve">is voluntary at whatever </w:t>
      </w:r>
      <w:r w:rsidR="00394FB9">
        <w:rPr>
          <w:rFonts w:eastAsia="Calibri"/>
          <w:lang w:eastAsia="en-US"/>
        </w:rPr>
        <w:t>i</w:t>
      </w:r>
      <w:r w:rsidR="00E6232E" w:rsidRPr="000B7589">
        <w:rPr>
          <w:rFonts w:eastAsia="Calibri"/>
          <w:lang w:eastAsia="en-US"/>
        </w:rPr>
        <w:t xml:space="preserve">dentity </w:t>
      </w:r>
      <w:r w:rsidR="00394FB9">
        <w:rPr>
          <w:rFonts w:eastAsia="Calibri"/>
          <w:lang w:eastAsia="en-US"/>
        </w:rPr>
        <w:t>p</w:t>
      </w:r>
      <w:r w:rsidR="00E6232E" w:rsidRPr="000B7589">
        <w:rPr>
          <w:rFonts w:eastAsia="Calibri"/>
          <w:lang w:eastAsia="en-US"/>
        </w:rPr>
        <w:t xml:space="preserve">roofing </w:t>
      </w:r>
      <w:r w:rsidR="00394FB9">
        <w:rPr>
          <w:rFonts w:eastAsia="Calibri"/>
          <w:lang w:eastAsia="en-US"/>
        </w:rPr>
        <w:t>l</w:t>
      </w:r>
      <w:r w:rsidR="00E6232E" w:rsidRPr="000B7589">
        <w:rPr>
          <w:rFonts w:eastAsia="Calibri"/>
          <w:lang w:eastAsia="en-US"/>
        </w:rPr>
        <w:t xml:space="preserve">evel a person chooses to have, and that individuals also have the option to select from multiple </w:t>
      </w:r>
      <w:r w:rsidR="00B26602">
        <w:rPr>
          <w:rFonts w:eastAsia="Calibri"/>
          <w:lang w:eastAsia="en-US"/>
        </w:rPr>
        <w:t>i</w:t>
      </w:r>
      <w:r w:rsidR="00E6232E" w:rsidRPr="000B7589">
        <w:rPr>
          <w:rFonts w:eastAsia="Calibri"/>
          <w:lang w:eastAsia="en-US"/>
        </w:rPr>
        <w:t xml:space="preserve">dentity </w:t>
      </w:r>
      <w:r w:rsidR="00B26602">
        <w:rPr>
          <w:rFonts w:eastAsia="Calibri"/>
          <w:lang w:eastAsia="en-US"/>
        </w:rPr>
        <w:t>p</w:t>
      </w:r>
      <w:r w:rsidR="00E6232E" w:rsidRPr="000B7589">
        <w:rPr>
          <w:rFonts w:eastAsia="Calibri"/>
          <w:lang w:eastAsia="en-US"/>
        </w:rPr>
        <w:t xml:space="preserve">roviders </w:t>
      </w:r>
    </w:p>
    <w:p w14:paraId="1F659D86" w14:textId="0EAD5C13" w:rsidR="00E6232E" w:rsidRPr="000B7589" w:rsidRDefault="00E6232E" w:rsidP="007132FE">
      <w:pPr>
        <w:pStyle w:val="ListBulletLevel1"/>
        <w:rPr>
          <w:rFonts w:eastAsia="Calibri"/>
          <w:lang w:eastAsia="en-US"/>
        </w:rPr>
      </w:pPr>
      <w:r w:rsidRPr="000B7589">
        <w:rPr>
          <w:rFonts w:eastAsia="Calibri"/>
          <w:b/>
          <w:bCs/>
          <w:color w:val="000000"/>
          <w:lang w:eastAsia="en-US"/>
        </w:rPr>
        <w:t>Consent</w:t>
      </w:r>
      <w:r w:rsidRPr="000B7589">
        <w:rPr>
          <w:rFonts w:eastAsia="Yu Gothic Light"/>
          <w:color w:val="1F3763"/>
          <w:lang w:eastAsia="en-US"/>
        </w:rPr>
        <w:t xml:space="preserve"> </w:t>
      </w:r>
      <w:r w:rsidRPr="000B7589">
        <w:rPr>
          <w:rFonts w:eastAsia="Calibri"/>
          <w:lang w:eastAsia="en-US"/>
        </w:rPr>
        <w:t xml:space="preserve">– requiring consent at multiple occasions when an individual interacts, and the ability for that individual to withdraw consent at any time through an easily-understood process </w:t>
      </w:r>
    </w:p>
    <w:p w14:paraId="1858D5E1" w14:textId="2BB206FE" w:rsidR="00E6232E" w:rsidRPr="000B7589" w:rsidRDefault="00E6232E" w:rsidP="007132FE">
      <w:pPr>
        <w:pStyle w:val="ListBulletLevel1"/>
        <w:rPr>
          <w:rFonts w:eastAsia="Calibri"/>
          <w:lang w:eastAsia="en-US"/>
        </w:rPr>
      </w:pPr>
      <w:r w:rsidRPr="000B7589">
        <w:rPr>
          <w:rFonts w:eastAsia="Calibri"/>
          <w:b/>
          <w:bCs/>
          <w:color w:val="000000"/>
          <w:lang w:eastAsia="en-US"/>
        </w:rPr>
        <w:t>Privacy</w:t>
      </w:r>
      <w:r w:rsidRPr="000B7589">
        <w:rPr>
          <w:rFonts w:eastAsia="Yu Gothic Light"/>
          <w:color w:val="000000"/>
          <w:lang w:eastAsia="en-US"/>
        </w:rPr>
        <w:t xml:space="preserve"> </w:t>
      </w:r>
      <w:r w:rsidRPr="000B7589">
        <w:rPr>
          <w:rFonts w:eastAsia="Calibri"/>
          <w:lang w:eastAsia="en-US"/>
        </w:rPr>
        <w:t>– safeguarding the personal information of individuals is the single most important design feature, with privacy-enhancing principles embedded in its design and architecture</w:t>
      </w:r>
    </w:p>
    <w:p w14:paraId="2311D50F" w14:textId="7E02B7B0" w:rsidR="00E6232E" w:rsidRPr="000B7589" w:rsidRDefault="00E6232E" w:rsidP="007132FE">
      <w:pPr>
        <w:pStyle w:val="ListBulletLevel1"/>
        <w:rPr>
          <w:rFonts w:eastAsia="Calibri"/>
          <w:lang w:eastAsia="en-US"/>
        </w:rPr>
      </w:pPr>
      <w:r w:rsidRPr="000B7589">
        <w:rPr>
          <w:rFonts w:eastAsia="Calibri"/>
          <w:b/>
          <w:bCs/>
          <w:color w:val="000000"/>
          <w:lang w:eastAsia="en-US"/>
        </w:rPr>
        <w:t>Security</w:t>
      </w:r>
      <w:r w:rsidRPr="000B7589">
        <w:rPr>
          <w:rFonts w:eastAsia="Yu Gothic Light"/>
          <w:color w:val="1F3763"/>
          <w:lang w:eastAsia="en-US"/>
        </w:rPr>
        <w:t xml:space="preserve"> </w:t>
      </w:r>
      <w:r w:rsidRPr="000B7589">
        <w:rPr>
          <w:rFonts w:eastAsia="Calibri"/>
          <w:lang w:eastAsia="en-US"/>
        </w:rPr>
        <w:t xml:space="preserve">– including specific security requirements which participants must comply with to become and remain accredited, and otherwise embedding security protocols in </w:t>
      </w:r>
      <w:r w:rsidR="00782C0E">
        <w:rPr>
          <w:rFonts w:eastAsia="Calibri"/>
        </w:rPr>
        <w:t>AGDIS</w:t>
      </w:r>
      <w:r w:rsidR="00782C0E" w:rsidRPr="004662C0">
        <w:rPr>
          <w:rFonts w:eastAsia="Calibri"/>
        </w:rPr>
        <w:t xml:space="preserve"> </w:t>
      </w:r>
      <w:r w:rsidRPr="000B7589">
        <w:rPr>
          <w:rFonts w:eastAsia="Calibri"/>
          <w:lang w:eastAsia="en-US"/>
        </w:rPr>
        <w:t>design</w:t>
      </w:r>
    </w:p>
    <w:p w14:paraId="7E275C63" w14:textId="063CC0DB" w:rsidR="00E6232E" w:rsidRPr="000B7589" w:rsidRDefault="00E6232E" w:rsidP="007132FE">
      <w:pPr>
        <w:pStyle w:val="ListBulletLevel1"/>
        <w:rPr>
          <w:rFonts w:eastAsia="Calibri"/>
          <w:lang w:eastAsia="en-US"/>
        </w:rPr>
      </w:pPr>
      <w:r w:rsidRPr="000B7589">
        <w:rPr>
          <w:rFonts w:eastAsia="Calibri"/>
          <w:b/>
          <w:bCs/>
          <w:color w:val="000000"/>
          <w:lang w:eastAsia="en-US"/>
        </w:rPr>
        <w:t>Integrity</w:t>
      </w:r>
      <w:r w:rsidRPr="000B7589">
        <w:rPr>
          <w:rFonts w:eastAsia="Calibri"/>
          <w:b/>
          <w:bCs/>
          <w:lang w:eastAsia="en-US"/>
        </w:rPr>
        <w:t xml:space="preserve"> </w:t>
      </w:r>
      <w:r w:rsidRPr="000B7589">
        <w:rPr>
          <w:rFonts w:eastAsia="Calibri"/>
          <w:lang w:eastAsia="en-US"/>
        </w:rPr>
        <w:t>–</w:t>
      </w:r>
      <w:r w:rsidRPr="000B7589">
        <w:rPr>
          <w:rFonts w:eastAsia="Calibri"/>
          <w:b/>
          <w:bCs/>
          <w:lang w:eastAsia="en-US"/>
        </w:rPr>
        <w:t xml:space="preserve"> </w:t>
      </w:r>
      <w:r w:rsidRPr="000B7589">
        <w:rPr>
          <w:rFonts w:eastAsia="Calibri"/>
          <w:lang w:eastAsia="en-US"/>
        </w:rPr>
        <w:t>ensuring</w:t>
      </w:r>
      <w:r w:rsidRPr="000B7589">
        <w:rPr>
          <w:rFonts w:eastAsia="Calibri"/>
          <w:b/>
          <w:bCs/>
          <w:lang w:eastAsia="en-US"/>
        </w:rPr>
        <w:t xml:space="preserve"> </w:t>
      </w:r>
      <w:r w:rsidRPr="000B7589">
        <w:rPr>
          <w:rFonts w:eastAsia="Calibri"/>
          <w:lang w:eastAsia="en-US"/>
        </w:rPr>
        <w:t>that</w:t>
      </w:r>
      <w:r w:rsidRPr="000B7589">
        <w:rPr>
          <w:rFonts w:eastAsia="Calibri"/>
          <w:b/>
          <w:bCs/>
          <w:lang w:eastAsia="en-US"/>
        </w:rPr>
        <w:t xml:space="preserve"> </w:t>
      </w:r>
      <w:r w:rsidRPr="000B7589">
        <w:rPr>
          <w:rFonts w:eastAsia="Calibri"/>
          <w:lang w:eastAsia="en-US"/>
        </w:rPr>
        <w:t xml:space="preserve">an appropriate governance structure is in place, with an </w:t>
      </w:r>
      <w:r w:rsidR="00B41DEE">
        <w:rPr>
          <w:rFonts w:eastAsia="Calibri"/>
          <w:szCs w:val="20"/>
          <w:lang w:eastAsia="en-US"/>
        </w:rPr>
        <w:t xml:space="preserve">Oversight </w:t>
      </w:r>
      <w:r w:rsidR="00B41DEE">
        <w:rPr>
          <w:rFonts w:eastAsia="Calibri"/>
          <w:lang w:eastAsia="en-US"/>
        </w:rPr>
        <w:t>A</w:t>
      </w:r>
      <w:r w:rsidRPr="000B7589">
        <w:rPr>
          <w:rFonts w:eastAsia="Calibri"/>
          <w:lang w:eastAsia="en-US"/>
        </w:rPr>
        <w:t>uthority responsible for operational assurance, as well as safety, reliability and efficient operation.</w:t>
      </w:r>
    </w:p>
    <w:p w14:paraId="47104E28" w14:textId="2E614DB3" w:rsidR="00E6232E" w:rsidRPr="000B7589" w:rsidRDefault="00E6232E" w:rsidP="00043D16">
      <w:pPr>
        <w:pStyle w:val="BodyText"/>
        <w:rPr>
          <w:lang w:eastAsia="en-US"/>
        </w:rPr>
      </w:pPr>
      <w:r w:rsidRPr="000B7589">
        <w:rPr>
          <w:lang w:eastAsia="en-US"/>
        </w:rPr>
        <w:lastRenderedPageBreak/>
        <w:t xml:space="preserve">Considering these objectives for government intervention, a number of policy options have been formulated, discussed </w:t>
      </w:r>
      <w:r w:rsidR="004D4421">
        <w:rPr>
          <w:lang w:eastAsia="en-US"/>
        </w:rPr>
        <w:t>below</w:t>
      </w:r>
      <w:r w:rsidRPr="000B7589">
        <w:rPr>
          <w:lang w:eastAsia="en-US"/>
        </w:rPr>
        <w:t xml:space="preserve"> in </w:t>
      </w:r>
      <w:hyperlink w:anchor="section5" w:history="1">
        <w:r w:rsidRPr="00782C0E">
          <w:rPr>
            <w:rStyle w:val="Hyperlink"/>
            <w:color w:val="008675"/>
            <w:lang w:eastAsia="en-US"/>
          </w:rPr>
          <w:t>Section</w:t>
        </w:r>
        <w:r w:rsidRPr="00782C0E">
          <w:rPr>
            <w:rStyle w:val="Hyperlink"/>
            <w:b/>
            <w:color w:val="008675"/>
            <w:lang w:eastAsia="en-US"/>
          </w:rPr>
          <w:t xml:space="preserve"> </w:t>
        </w:r>
        <w:r w:rsidR="00EC068A" w:rsidRPr="00782C0E">
          <w:rPr>
            <w:rStyle w:val="Hyperlink"/>
            <w:color w:val="008675"/>
            <w:lang w:eastAsia="en-US"/>
          </w:rPr>
          <w:t>5 Policy options overview</w:t>
        </w:r>
      </w:hyperlink>
      <w:r w:rsidRPr="000B7589">
        <w:rPr>
          <w:lang w:eastAsia="en-US"/>
        </w:rPr>
        <w:t>.</w:t>
      </w:r>
    </w:p>
    <w:p w14:paraId="579328AD" w14:textId="4E989E27" w:rsidR="00E6232E" w:rsidRPr="00782C0E" w:rsidRDefault="00E6232E" w:rsidP="00E269DB">
      <w:pPr>
        <w:pStyle w:val="Heading2NoNumbers"/>
        <w:rPr>
          <w:color w:val="008675"/>
          <w:lang w:eastAsia="en-US"/>
        </w:rPr>
      </w:pPr>
      <w:bookmarkStart w:id="226" w:name="_Ref65156523"/>
      <w:bookmarkStart w:id="227" w:name="_Toc80884666"/>
      <w:bookmarkStart w:id="228" w:name="_Toc81226625"/>
      <w:bookmarkStart w:id="229" w:name="_Toc81226901"/>
      <w:bookmarkStart w:id="230" w:name="_Toc81228245"/>
      <w:bookmarkStart w:id="231" w:name="_Toc83951188"/>
      <w:bookmarkStart w:id="232" w:name="_Toc84925792"/>
      <w:bookmarkStart w:id="233" w:name="_Toc84925887"/>
      <w:bookmarkStart w:id="234" w:name="_Toc86045131"/>
      <w:bookmarkStart w:id="235" w:name="_Toc86070009"/>
      <w:bookmarkStart w:id="236" w:name="_Toc149740334"/>
      <w:r w:rsidRPr="00782C0E">
        <w:rPr>
          <w:color w:val="008675"/>
          <w:lang w:eastAsia="en-US"/>
        </w:rPr>
        <w:t xml:space="preserve">4.4 Constraints and </w:t>
      </w:r>
      <w:r w:rsidR="004C2EDC" w:rsidRPr="00782C0E">
        <w:rPr>
          <w:color w:val="008675"/>
          <w:lang w:eastAsia="en-US"/>
        </w:rPr>
        <w:t>b</w:t>
      </w:r>
      <w:r w:rsidRPr="00782C0E">
        <w:rPr>
          <w:color w:val="008675"/>
          <w:lang w:eastAsia="en-US"/>
        </w:rPr>
        <w:t xml:space="preserve">arriers to </w:t>
      </w:r>
      <w:r w:rsidR="004C2EDC" w:rsidRPr="00782C0E">
        <w:rPr>
          <w:color w:val="008675"/>
          <w:lang w:eastAsia="en-US"/>
        </w:rPr>
        <w:t>g</w:t>
      </w:r>
      <w:r w:rsidRPr="00782C0E">
        <w:rPr>
          <w:color w:val="008675"/>
          <w:lang w:eastAsia="en-US"/>
        </w:rPr>
        <w:t xml:space="preserve">overnment </w:t>
      </w:r>
      <w:r w:rsidR="004C2EDC" w:rsidRPr="00782C0E">
        <w:rPr>
          <w:color w:val="008675"/>
          <w:lang w:eastAsia="en-US"/>
        </w:rPr>
        <w:t>i</w:t>
      </w:r>
      <w:r w:rsidRPr="00782C0E">
        <w:rPr>
          <w:color w:val="008675"/>
          <w:lang w:eastAsia="en-US"/>
        </w:rPr>
        <w:t>ntervention</w:t>
      </w:r>
      <w:bookmarkEnd w:id="226"/>
      <w:bookmarkEnd w:id="227"/>
      <w:bookmarkEnd w:id="228"/>
      <w:bookmarkEnd w:id="229"/>
      <w:bookmarkEnd w:id="230"/>
      <w:bookmarkEnd w:id="231"/>
      <w:bookmarkEnd w:id="232"/>
      <w:bookmarkEnd w:id="233"/>
      <w:bookmarkEnd w:id="234"/>
      <w:bookmarkEnd w:id="235"/>
      <w:bookmarkEnd w:id="236"/>
    </w:p>
    <w:p w14:paraId="438C4E03" w14:textId="1AD24260" w:rsidR="00E6232E" w:rsidRPr="000B7589" w:rsidRDefault="00E6232E" w:rsidP="007132FE">
      <w:pPr>
        <w:pStyle w:val="BodyText"/>
        <w:rPr>
          <w:lang w:eastAsia="en-US"/>
        </w:rPr>
      </w:pPr>
      <w:r w:rsidRPr="000B7589">
        <w:rPr>
          <w:lang w:eastAsia="en-US"/>
        </w:rPr>
        <w:t xml:space="preserve">Any potential government intervention must be undertaken with an awareness of constraints and barriers (either actual or potential). An inherent constraint upon any government action in </w:t>
      </w:r>
      <w:r w:rsidR="00E814E2">
        <w:rPr>
          <w:lang w:eastAsia="en-US"/>
        </w:rPr>
        <w:t>d</w:t>
      </w:r>
      <w:r w:rsidRPr="000B7589">
        <w:rPr>
          <w:lang w:eastAsia="en-US"/>
        </w:rPr>
        <w:t xml:space="preserve">igital </w:t>
      </w:r>
      <w:r w:rsidR="00500088">
        <w:rPr>
          <w:lang w:eastAsia="en-US"/>
        </w:rPr>
        <w:t>ID</w:t>
      </w:r>
      <w:r w:rsidR="00500088" w:rsidRPr="000B7589">
        <w:rPr>
          <w:lang w:eastAsia="en-US"/>
        </w:rPr>
        <w:t xml:space="preserve"> </w:t>
      </w:r>
      <w:r w:rsidRPr="000B7589">
        <w:rPr>
          <w:lang w:eastAsia="en-US"/>
        </w:rPr>
        <w:t xml:space="preserve">is the complexity of this subject matter and the low familiarity and exposure of the community to </w:t>
      </w:r>
      <w:r w:rsidR="00E814E2">
        <w:rPr>
          <w:lang w:eastAsia="en-US"/>
        </w:rPr>
        <w:t xml:space="preserve">this concept and </w:t>
      </w:r>
      <w:r w:rsidR="008F4D44">
        <w:rPr>
          <w:lang w:eastAsia="en-US"/>
        </w:rPr>
        <w:t>AGDIS</w:t>
      </w:r>
      <w:r w:rsidRPr="000B7589">
        <w:rPr>
          <w:lang w:eastAsia="en-US"/>
        </w:rPr>
        <w:t xml:space="preserve"> to date. This apparent low level of public understanding could lead to any </w:t>
      </w:r>
      <w:r w:rsidR="00851227">
        <w:rPr>
          <w:lang w:eastAsia="en-US"/>
        </w:rPr>
        <w:t>Australian Government</w:t>
      </w:r>
      <w:r w:rsidR="00851227" w:rsidRPr="000B7589" w:rsidDel="00851227">
        <w:rPr>
          <w:lang w:eastAsia="en-US"/>
        </w:rPr>
        <w:t xml:space="preserve"> </w:t>
      </w:r>
      <w:r w:rsidRPr="000B7589">
        <w:rPr>
          <w:lang w:eastAsia="en-US"/>
        </w:rPr>
        <w:t xml:space="preserve">regulation in this area to be misconstrued or viewed with hesitation and distrust. </w:t>
      </w:r>
    </w:p>
    <w:p w14:paraId="7899A8C5" w14:textId="1BEFE16E" w:rsidR="00E6232E" w:rsidRPr="000B7589" w:rsidRDefault="00712242" w:rsidP="007132FE">
      <w:pPr>
        <w:pStyle w:val="BodyText"/>
        <w:rPr>
          <w:lang w:eastAsia="en-US"/>
        </w:rPr>
      </w:pPr>
      <w:r w:rsidRPr="78F42BF0">
        <w:rPr>
          <w:lang w:eastAsia="en-US"/>
        </w:rPr>
        <w:t>I</w:t>
      </w:r>
      <w:r w:rsidR="00E6232E" w:rsidRPr="78F42BF0">
        <w:rPr>
          <w:lang w:eastAsia="en-US"/>
        </w:rPr>
        <w:t xml:space="preserve">nternal research undertaken by the </w:t>
      </w:r>
      <w:r w:rsidR="00B42D00" w:rsidRPr="78F42BF0">
        <w:rPr>
          <w:lang w:eastAsia="en-US"/>
        </w:rPr>
        <w:t xml:space="preserve">Australian Government </w:t>
      </w:r>
      <w:r w:rsidR="003B662A" w:rsidRPr="78F42BF0">
        <w:rPr>
          <w:lang w:eastAsia="en-US"/>
        </w:rPr>
        <w:t>indicates</w:t>
      </w:r>
      <w:r w:rsidRPr="78F42BF0">
        <w:rPr>
          <w:lang w:eastAsia="en-US"/>
        </w:rPr>
        <w:t xml:space="preserve"> that </w:t>
      </w:r>
      <w:r w:rsidR="0075610D" w:rsidRPr="78F42BF0">
        <w:rPr>
          <w:lang w:eastAsia="en-US"/>
        </w:rPr>
        <w:t>most</w:t>
      </w:r>
      <w:r w:rsidRPr="78F42BF0">
        <w:rPr>
          <w:lang w:eastAsia="en-US"/>
        </w:rPr>
        <w:t xml:space="preserve"> Australians </w:t>
      </w:r>
      <w:r w:rsidR="0075610D" w:rsidRPr="78F42BF0">
        <w:rPr>
          <w:lang w:eastAsia="en-US"/>
        </w:rPr>
        <w:t xml:space="preserve">do not </w:t>
      </w:r>
      <w:r w:rsidRPr="78F42BF0">
        <w:rPr>
          <w:lang w:eastAsia="en-US"/>
        </w:rPr>
        <w:t xml:space="preserve">have a strong understanding of </w:t>
      </w:r>
      <w:r w:rsidR="00F21E16" w:rsidRPr="78F42BF0">
        <w:rPr>
          <w:lang w:eastAsia="en-US"/>
        </w:rPr>
        <w:t xml:space="preserve">Digital </w:t>
      </w:r>
      <w:r w:rsidR="00500088" w:rsidRPr="78F42BF0">
        <w:rPr>
          <w:lang w:eastAsia="en-US"/>
        </w:rPr>
        <w:t>ID</w:t>
      </w:r>
      <w:r w:rsidR="00D60D1D" w:rsidRPr="78F42BF0">
        <w:rPr>
          <w:lang w:eastAsia="en-US"/>
        </w:rPr>
        <w:t>.</w:t>
      </w:r>
      <w:r w:rsidR="00E6232E" w:rsidRPr="78F42BF0">
        <w:rPr>
          <w:lang w:eastAsia="en-US"/>
        </w:rPr>
        <w:t xml:space="preserve"> In February 2019, a </w:t>
      </w:r>
      <w:r w:rsidR="25669D60" w:rsidRPr="78F42BF0">
        <w:rPr>
          <w:lang w:eastAsia="en-US"/>
        </w:rPr>
        <w:t>12-month</w:t>
      </w:r>
      <w:r w:rsidR="00E6232E" w:rsidRPr="78F42BF0">
        <w:rPr>
          <w:lang w:eastAsia="en-US"/>
        </w:rPr>
        <w:t xml:space="preserve"> assessment of user insights found that most individuals did not understand the concept or value of </w:t>
      </w:r>
      <w:r w:rsidR="00E814E2" w:rsidRPr="78F42BF0">
        <w:rPr>
          <w:lang w:eastAsia="en-US"/>
        </w:rPr>
        <w:t xml:space="preserve">digital </w:t>
      </w:r>
      <w:r w:rsidR="00500088" w:rsidRPr="78F42BF0">
        <w:rPr>
          <w:lang w:eastAsia="en-US"/>
        </w:rPr>
        <w:t xml:space="preserve">ID </w:t>
      </w:r>
      <w:r w:rsidR="00E6232E" w:rsidRPr="78F42BF0">
        <w:rPr>
          <w:lang w:eastAsia="en-US"/>
        </w:rPr>
        <w:t xml:space="preserve">and were seeking more information regarding learning and trusting </w:t>
      </w:r>
      <w:r w:rsidR="00FA1E15" w:rsidRPr="78F42BF0">
        <w:rPr>
          <w:lang w:eastAsia="en-US"/>
        </w:rPr>
        <w:t xml:space="preserve">the </w:t>
      </w:r>
      <w:r w:rsidR="0028790B">
        <w:rPr>
          <w:rFonts w:eastAsia="Calibri"/>
        </w:rPr>
        <w:t>AGDIS</w:t>
      </w:r>
      <w:r w:rsidR="0028790B" w:rsidRPr="004662C0">
        <w:rPr>
          <w:rFonts w:eastAsia="Calibri"/>
        </w:rPr>
        <w:t xml:space="preserve"> </w:t>
      </w:r>
      <w:r w:rsidR="00E6232E" w:rsidRPr="78F42BF0">
        <w:rPr>
          <w:lang w:eastAsia="en-US"/>
        </w:rPr>
        <w:t>itself. More recent</w:t>
      </w:r>
      <w:r w:rsidR="000326C7" w:rsidRPr="78F42BF0">
        <w:rPr>
          <w:lang w:eastAsia="en-US"/>
        </w:rPr>
        <w:t xml:space="preserve"> </w:t>
      </w:r>
      <w:r w:rsidR="00E6232E" w:rsidRPr="78F42BF0">
        <w:rPr>
          <w:lang w:eastAsia="en-US"/>
        </w:rPr>
        <w:t xml:space="preserve">public consultation undertaken </w:t>
      </w:r>
      <w:r w:rsidR="000326C7" w:rsidRPr="78F42BF0">
        <w:rPr>
          <w:lang w:eastAsia="en-US"/>
        </w:rPr>
        <w:t xml:space="preserve">has also </w:t>
      </w:r>
      <w:r w:rsidR="00E6232E" w:rsidRPr="78F42BF0">
        <w:rPr>
          <w:lang w:eastAsia="en-US"/>
        </w:rPr>
        <w:t>elicited expectation</w:t>
      </w:r>
      <w:r w:rsidR="00AF153C" w:rsidRPr="78F42BF0">
        <w:rPr>
          <w:lang w:eastAsia="en-US"/>
        </w:rPr>
        <w:t>s including</w:t>
      </w:r>
      <w:r w:rsidR="00E6232E" w:rsidRPr="78F42BF0">
        <w:rPr>
          <w:lang w:eastAsia="en-US"/>
        </w:rPr>
        <w:t xml:space="preserve"> that the </w:t>
      </w:r>
      <w:r w:rsidR="00851227" w:rsidRPr="78F42BF0">
        <w:rPr>
          <w:lang w:eastAsia="en-US"/>
        </w:rPr>
        <w:t xml:space="preserve">Australian Government </w:t>
      </w:r>
      <w:r w:rsidR="00DA467F" w:rsidRPr="78F42BF0">
        <w:rPr>
          <w:lang w:eastAsia="en-US"/>
        </w:rPr>
        <w:t>“</w:t>
      </w:r>
      <w:r w:rsidR="00E6232E" w:rsidRPr="78F42BF0">
        <w:rPr>
          <w:lang w:eastAsia="en-US"/>
        </w:rPr>
        <w:t>take advantage of lessons learned from earlier ‘trust the government’ initiatives with the proposed Digital I</w:t>
      </w:r>
      <w:r w:rsidR="00EB2443" w:rsidRPr="78F42BF0">
        <w:rPr>
          <w:lang w:eastAsia="en-US"/>
        </w:rPr>
        <w:t>D</w:t>
      </w:r>
      <w:r w:rsidR="00E6232E" w:rsidRPr="78F42BF0">
        <w:rPr>
          <w:lang w:eastAsia="en-US"/>
        </w:rPr>
        <w:t xml:space="preserve"> </w:t>
      </w:r>
      <w:r w:rsidR="00E814E2" w:rsidRPr="78F42BF0">
        <w:rPr>
          <w:lang w:eastAsia="en-US"/>
        </w:rPr>
        <w:t xml:space="preserve">System </w:t>
      </w:r>
      <w:r w:rsidR="00E6232E" w:rsidRPr="78F42BF0">
        <w:rPr>
          <w:lang w:eastAsia="en-US"/>
        </w:rPr>
        <w:t>legislation</w:t>
      </w:r>
      <w:r w:rsidR="00AD62BC" w:rsidRPr="78F42BF0">
        <w:rPr>
          <w:lang w:eastAsia="en-US"/>
        </w:rPr>
        <w:t>”</w:t>
      </w:r>
      <w:r w:rsidR="00F72CE7" w:rsidRPr="78F42BF0">
        <w:rPr>
          <w:lang w:eastAsia="en-US"/>
        </w:rPr>
        <w:t xml:space="preserve"> (source: </w:t>
      </w:r>
      <w:r w:rsidR="00F72CE7">
        <w:t xml:space="preserve">Digital Transformation Agency 2020, </w:t>
      </w:r>
      <w:hyperlink r:id="rId64">
        <w:r w:rsidR="00F72CE7" w:rsidRPr="004C77DE">
          <w:rPr>
            <w:rStyle w:val="Hyperlink"/>
            <w:color w:val="008675"/>
          </w:rPr>
          <w:t>Submission by the Northern Territory Government</w:t>
        </w:r>
      </w:hyperlink>
      <w:r w:rsidR="00C60EB8">
        <w:t>)</w:t>
      </w:r>
      <w:r w:rsidR="00E6232E" w:rsidRPr="78F42BF0">
        <w:rPr>
          <w:lang w:eastAsia="en-US"/>
        </w:rPr>
        <w:t xml:space="preserve"> and that </w:t>
      </w:r>
      <w:r w:rsidR="00AD62BC" w:rsidRPr="78F42BF0">
        <w:rPr>
          <w:lang w:eastAsia="en-US"/>
        </w:rPr>
        <w:t>“</w:t>
      </w:r>
      <w:r w:rsidR="00E6232E" w:rsidRPr="78F42BF0">
        <w:rPr>
          <w:lang w:eastAsia="en-US"/>
        </w:rPr>
        <w:t>government</w:t>
      </w:r>
      <w:r w:rsidR="00C60EB8" w:rsidRPr="78F42BF0">
        <w:rPr>
          <w:lang w:eastAsia="en-US"/>
        </w:rPr>
        <w:t xml:space="preserve"> </w:t>
      </w:r>
      <w:r w:rsidR="00E6232E" w:rsidRPr="78F42BF0">
        <w:rPr>
          <w:lang w:eastAsia="en-US"/>
        </w:rPr>
        <w:t>…</w:t>
      </w:r>
      <w:r w:rsidR="00C60EB8" w:rsidRPr="78F42BF0">
        <w:rPr>
          <w:lang w:eastAsia="en-US"/>
        </w:rPr>
        <w:t xml:space="preserve"> </w:t>
      </w:r>
      <w:r w:rsidR="00E6232E" w:rsidRPr="78F42BF0">
        <w:rPr>
          <w:lang w:eastAsia="en-US"/>
        </w:rPr>
        <w:t>must take responsibility for the impact and accuracy of their Systems</w:t>
      </w:r>
      <w:r w:rsidR="00AD62BC" w:rsidRPr="78F42BF0">
        <w:rPr>
          <w:lang w:eastAsia="en-US"/>
        </w:rPr>
        <w:t>”</w:t>
      </w:r>
      <w:r w:rsidR="00C60EB8" w:rsidRPr="78F42BF0">
        <w:rPr>
          <w:lang w:eastAsia="en-US"/>
        </w:rPr>
        <w:t xml:space="preserve"> (source: </w:t>
      </w:r>
      <w:r w:rsidR="00C60EB8">
        <w:t xml:space="preserve">Digital Transformation Agency 2020, </w:t>
      </w:r>
      <w:hyperlink r:id="rId65">
        <w:r w:rsidR="0059713B" w:rsidRPr="004C77DE">
          <w:rPr>
            <w:rStyle w:val="Hyperlink"/>
            <w:color w:val="008675"/>
          </w:rPr>
          <w:t>Submission by Access Now</w:t>
        </w:r>
      </w:hyperlink>
      <w:r w:rsidR="0017646F">
        <w:t>).</w:t>
      </w:r>
      <w:r w:rsidR="00E6232E" w:rsidRPr="78F42BF0">
        <w:rPr>
          <w:lang w:eastAsia="en-US"/>
        </w:rPr>
        <w:t xml:space="preserve"> </w:t>
      </w:r>
    </w:p>
    <w:p w14:paraId="0C3B4BCA" w14:textId="7A45C28B" w:rsidR="006F553F" w:rsidRPr="006F553F" w:rsidRDefault="00E6232E" w:rsidP="00F8256F">
      <w:pPr>
        <w:pStyle w:val="BodyText"/>
        <w:rPr>
          <w:vertAlign w:val="superscript"/>
        </w:rPr>
      </w:pPr>
      <w:r w:rsidRPr="00382FFE">
        <w:t xml:space="preserve">This low level of understanding and public confidence may also stem from previous </w:t>
      </w:r>
      <w:r w:rsidR="00812126">
        <w:rPr>
          <w:lang w:eastAsia="en-US"/>
        </w:rPr>
        <w:t>Australian Government</w:t>
      </w:r>
      <w:r w:rsidR="00812126" w:rsidRPr="00382FFE" w:rsidDel="00812126">
        <w:t xml:space="preserve"> </w:t>
      </w:r>
      <w:r w:rsidRPr="00382FFE">
        <w:t>activity in national multi-use identity schemes</w:t>
      </w:r>
      <w:r w:rsidR="00E0145F">
        <w:t xml:space="preserve"> (source: </w:t>
      </w:r>
      <w:r w:rsidR="00E0145F" w:rsidRPr="002651B1">
        <w:rPr>
          <w:szCs w:val="16"/>
        </w:rPr>
        <w:t xml:space="preserve">Hanson, F 2018, </w:t>
      </w:r>
      <w:hyperlink r:id="rId66" w:history="1">
        <w:r w:rsidR="00E0145F" w:rsidRPr="005A2AC8">
          <w:rPr>
            <w:rStyle w:val="Hyperlink"/>
            <w:i/>
            <w:color w:val="008675"/>
            <w:szCs w:val="16"/>
          </w:rPr>
          <w:t>Preventing another Australia Card fail</w:t>
        </w:r>
      </w:hyperlink>
      <w:r w:rsidR="00081DBA">
        <w:rPr>
          <w:szCs w:val="16"/>
        </w:rPr>
        <w:t>)</w:t>
      </w:r>
      <w:r w:rsidRPr="00382FFE">
        <w:t>.</w:t>
      </w:r>
      <w:r w:rsidRPr="002651B1">
        <w:rPr>
          <w:vertAlign w:val="superscript"/>
        </w:rPr>
        <w:t xml:space="preserve"> </w:t>
      </w:r>
      <w:r w:rsidRPr="00382FFE">
        <w:t xml:space="preserve">As the New Payments Platform chairman Bob McKinnon observed in 2019, </w:t>
      </w:r>
      <w:r w:rsidR="006F553F">
        <w:t>AGDIS</w:t>
      </w:r>
      <w:r w:rsidR="00E814E2">
        <w:t xml:space="preserve"> </w:t>
      </w:r>
      <w:r w:rsidRPr="00382FFE">
        <w:t xml:space="preserve">stands at risk </w:t>
      </w:r>
      <w:r w:rsidR="00AD62BC">
        <w:t>“</w:t>
      </w:r>
      <w:r w:rsidRPr="00382FFE">
        <w:t>of getting tied up to a whole lot of politics around what used to be the Australia Card</w:t>
      </w:r>
      <w:r w:rsidR="00AD62BC">
        <w:t>”</w:t>
      </w:r>
      <w:r w:rsidRPr="00382FFE">
        <w:t>,</w:t>
      </w:r>
      <w:r w:rsidRPr="002651B1">
        <w:rPr>
          <w:vertAlign w:val="superscript"/>
        </w:rPr>
        <w:t xml:space="preserve"> </w:t>
      </w:r>
      <w:r w:rsidRPr="00382FFE">
        <w:t>as well as other projects of a similar nature that were not ultimately pursued, such as the 2006</w:t>
      </w:r>
      <w:r w:rsidR="00730E25">
        <w:t>–07</w:t>
      </w:r>
      <w:r w:rsidRPr="00382FFE">
        <w:t xml:space="preserve"> Access Card initiative</w:t>
      </w:r>
      <w:r w:rsidR="00F06679">
        <w:t>. (</w:t>
      </w:r>
      <w:r w:rsidR="00F06679">
        <w:rPr>
          <w:szCs w:val="16"/>
        </w:rPr>
        <w:t xml:space="preserve">See, for example, </w:t>
      </w:r>
      <w:r w:rsidR="00F06679" w:rsidRPr="002651B1">
        <w:rPr>
          <w:szCs w:val="16"/>
        </w:rPr>
        <w:t xml:space="preserve">Bajkowski, J 2019, </w:t>
      </w:r>
      <w:hyperlink r:id="rId67" w:history="1">
        <w:r w:rsidR="00F06679" w:rsidRPr="00F032E5">
          <w:rPr>
            <w:rStyle w:val="Hyperlink"/>
            <w:color w:val="008675"/>
            <w:szCs w:val="16"/>
          </w:rPr>
          <w:t xml:space="preserve">How NPP chairman Bob McKinnon beats </w:t>
        </w:r>
        <w:proofErr w:type="spellStart"/>
        <w:r w:rsidR="00F06679" w:rsidRPr="00F032E5">
          <w:rPr>
            <w:rStyle w:val="Hyperlink"/>
            <w:color w:val="008675"/>
            <w:szCs w:val="16"/>
          </w:rPr>
          <w:t>banktech</w:t>
        </w:r>
        <w:proofErr w:type="spellEnd"/>
        <w:r w:rsidR="00F06679" w:rsidRPr="00F032E5">
          <w:rPr>
            <w:rStyle w:val="Hyperlink"/>
            <w:color w:val="008675"/>
            <w:szCs w:val="16"/>
          </w:rPr>
          <w:t xml:space="preserve"> delaying tactics</w:t>
        </w:r>
      </w:hyperlink>
      <w:r w:rsidR="00F06679" w:rsidRPr="002651B1">
        <w:rPr>
          <w:szCs w:val="16"/>
        </w:rPr>
        <w:t xml:space="preserve">, </w:t>
      </w:r>
      <w:r w:rsidR="00F06679">
        <w:rPr>
          <w:szCs w:val="16"/>
        </w:rPr>
        <w:t xml:space="preserve">and </w:t>
      </w:r>
      <w:r w:rsidR="00F06679" w:rsidRPr="002651B1">
        <w:rPr>
          <w:rFonts w:eastAsia="Calibri"/>
          <w:szCs w:val="16"/>
          <w:lang w:eastAsia="en-US"/>
        </w:rPr>
        <w:t xml:space="preserve">Jordan, R 2010, </w:t>
      </w:r>
      <w:hyperlink r:id="rId68" w:history="1">
        <w:r w:rsidR="00F06679" w:rsidRPr="00F032E5">
          <w:rPr>
            <w:rStyle w:val="Hyperlink"/>
            <w:rFonts w:eastAsia="Calibri"/>
            <w:color w:val="008675"/>
            <w:szCs w:val="16"/>
            <w:lang w:eastAsia="en-US"/>
          </w:rPr>
          <w:t>Identity cards and the Access Card</w:t>
        </w:r>
      </w:hyperlink>
      <w:r w:rsidR="00B26602" w:rsidRPr="00913C9F">
        <w:rPr>
          <w:rFonts w:eastAsia="Calibri"/>
          <w:szCs w:val="16"/>
          <w:lang w:eastAsia="en-US"/>
        </w:rPr>
        <w:t>.</w:t>
      </w:r>
      <w:r w:rsidR="00AA23CD">
        <w:rPr>
          <w:rFonts w:eastAsia="Calibri"/>
          <w:szCs w:val="16"/>
          <w:lang w:eastAsia="en-US"/>
        </w:rPr>
        <w:t>)</w:t>
      </w:r>
      <w:r w:rsidR="005070F3" w:rsidRPr="005070F3">
        <w:rPr>
          <w:vertAlign w:val="superscript"/>
        </w:rPr>
        <w:t xml:space="preserve"> </w:t>
      </w:r>
    </w:p>
    <w:p w14:paraId="42C57337" w14:textId="6B682424" w:rsidR="00E6232E" w:rsidRPr="00382FFE" w:rsidRDefault="00E6232E" w:rsidP="00F8256F">
      <w:pPr>
        <w:pStyle w:val="BodyText"/>
      </w:pPr>
      <w:r w:rsidRPr="00382FFE">
        <w:t>Successful regulatory intervention in this area will depend on clear and strategic communication to the broader Australian community on exactly what</w:t>
      </w:r>
      <w:r w:rsidR="00E814E2">
        <w:t xml:space="preserve"> </w:t>
      </w:r>
      <w:r w:rsidR="002563B2">
        <w:t>d</w:t>
      </w:r>
      <w:r w:rsidRPr="00382FFE">
        <w:t xml:space="preserve">igital </w:t>
      </w:r>
      <w:r w:rsidR="00500088">
        <w:t>ID</w:t>
      </w:r>
      <w:r w:rsidR="00500088" w:rsidRPr="00382FFE">
        <w:t xml:space="preserve"> </w:t>
      </w:r>
      <w:r w:rsidRPr="00382FFE">
        <w:t xml:space="preserve">is and is not. </w:t>
      </w:r>
      <w:r w:rsidR="002563B2">
        <w:t xml:space="preserve">Under the </w:t>
      </w:r>
      <w:r w:rsidR="006F553F">
        <w:t>proposed approach</w:t>
      </w:r>
      <w:r w:rsidR="002563B2">
        <w:t xml:space="preserve">, </w:t>
      </w:r>
      <w:r w:rsidR="00DD01EF">
        <w:t xml:space="preserve">a </w:t>
      </w:r>
      <w:r w:rsidR="002563B2">
        <w:t>d</w:t>
      </w:r>
      <w:r w:rsidRPr="00382FFE">
        <w:t xml:space="preserve">igital </w:t>
      </w:r>
      <w:r w:rsidR="00500088">
        <w:t>ID</w:t>
      </w:r>
      <w:r w:rsidR="00500088" w:rsidRPr="00382FFE">
        <w:t xml:space="preserve"> </w:t>
      </w:r>
      <w:r w:rsidRPr="00382FFE">
        <w:t xml:space="preserve">is not a single, universal or </w:t>
      </w:r>
      <w:r w:rsidRPr="00382FFE">
        <w:lastRenderedPageBreak/>
        <w:t xml:space="preserve">mandatory number, nor </w:t>
      </w:r>
      <w:proofErr w:type="gramStart"/>
      <w:r w:rsidRPr="00382FFE">
        <w:t>an online profile, and it will</w:t>
      </w:r>
      <w:proofErr w:type="gramEnd"/>
      <w:r w:rsidRPr="00382FFE">
        <w:t xml:space="preserve"> be important that this distinction is consistently conveyed. The Program has recognised this issue and has embedded this messaging within its public and stakeholder engagement efforts to date. As described further in </w:t>
      </w:r>
      <w:hyperlink w:anchor="section10" w:history="1">
        <w:r w:rsidR="00DB21BF" w:rsidRPr="00F032E5">
          <w:rPr>
            <w:rStyle w:val="Hyperlink"/>
            <w:color w:val="008675"/>
            <w:lang w:eastAsia="en-US"/>
          </w:rPr>
          <w:t>Section 1</w:t>
        </w:r>
        <w:r w:rsidR="00174465" w:rsidRPr="00F032E5">
          <w:rPr>
            <w:rStyle w:val="Hyperlink"/>
            <w:color w:val="008675"/>
            <w:lang w:eastAsia="en-US"/>
          </w:rPr>
          <w:t>0 Consultation</w:t>
        </w:r>
      </w:hyperlink>
      <w:r w:rsidRPr="00382FFE">
        <w:t>, future engagement will continue to address this misconception specifically as it relates to regulatory action.</w:t>
      </w:r>
    </w:p>
    <w:p w14:paraId="2BE1CA11" w14:textId="4ED9399E" w:rsidR="00E6232E" w:rsidRPr="00F032E5" w:rsidRDefault="00E6232E" w:rsidP="00E269DB">
      <w:pPr>
        <w:pStyle w:val="Heading2NoNumbers"/>
        <w:rPr>
          <w:color w:val="008675"/>
          <w:lang w:eastAsia="en-US"/>
        </w:rPr>
      </w:pPr>
      <w:bookmarkStart w:id="237" w:name="_Toc80884667"/>
      <w:bookmarkStart w:id="238" w:name="_Toc81226626"/>
      <w:bookmarkStart w:id="239" w:name="_Toc81226902"/>
      <w:bookmarkStart w:id="240" w:name="_Toc81228246"/>
      <w:bookmarkStart w:id="241" w:name="_Toc83951189"/>
      <w:bookmarkStart w:id="242" w:name="_Toc84925793"/>
      <w:bookmarkStart w:id="243" w:name="_Toc84925888"/>
      <w:bookmarkStart w:id="244" w:name="_Toc86045132"/>
      <w:bookmarkStart w:id="245" w:name="_Toc86070010"/>
      <w:bookmarkStart w:id="246" w:name="_Toc149740335"/>
      <w:r w:rsidRPr="00F032E5">
        <w:rPr>
          <w:color w:val="008675"/>
          <w:lang w:eastAsia="en-US"/>
        </w:rPr>
        <w:t xml:space="preserve">4.5 Potential </w:t>
      </w:r>
      <w:r w:rsidR="00192D9D" w:rsidRPr="00F032E5">
        <w:rPr>
          <w:color w:val="008675"/>
          <w:lang w:eastAsia="en-US"/>
        </w:rPr>
        <w:t>a</w:t>
      </w:r>
      <w:r w:rsidRPr="00F032E5">
        <w:rPr>
          <w:color w:val="008675"/>
          <w:lang w:eastAsia="en-US"/>
        </w:rPr>
        <w:t xml:space="preserve">lternatives to </w:t>
      </w:r>
      <w:r w:rsidR="00192D9D" w:rsidRPr="00F032E5">
        <w:rPr>
          <w:color w:val="008675"/>
          <w:lang w:eastAsia="en-US"/>
        </w:rPr>
        <w:t>g</w:t>
      </w:r>
      <w:r w:rsidRPr="00F032E5">
        <w:rPr>
          <w:color w:val="008675"/>
          <w:lang w:eastAsia="en-US"/>
        </w:rPr>
        <w:t xml:space="preserve">overnment </w:t>
      </w:r>
      <w:r w:rsidR="00192D9D" w:rsidRPr="00F032E5">
        <w:rPr>
          <w:color w:val="008675"/>
          <w:lang w:eastAsia="en-US"/>
        </w:rPr>
        <w:t>a</w:t>
      </w:r>
      <w:r w:rsidRPr="00F032E5">
        <w:rPr>
          <w:color w:val="008675"/>
          <w:lang w:eastAsia="en-US"/>
        </w:rPr>
        <w:t>ction</w:t>
      </w:r>
      <w:bookmarkEnd w:id="237"/>
      <w:bookmarkEnd w:id="238"/>
      <w:bookmarkEnd w:id="239"/>
      <w:bookmarkEnd w:id="240"/>
      <w:bookmarkEnd w:id="241"/>
      <w:bookmarkEnd w:id="242"/>
      <w:bookmarkEnd w:id="243"/>
      <w:bookmarkEnd w:id="244"/>
      <w:bookmarkEnd w:id="245"/>
      <w:bookmarkEnd w:id="246"/>
      <w:r w:rsidRPr="00F032E5">
        <w:rPr>
          <w:color w:val="008675"/>
          <w:lang w:eastAsia="en-US"/>
        </w:rPr>
        <w:t xml:space="preserve"> </w:t>
      </w:r>
    </w:p>
    <w:p w14:paraId="122AF60C" w14:textId="7AF062CE" w:rsidR="00E6232E" w:rsidRPr="000B7589" w:rsidRDefault="00E6232E" w:rsidP="00382FFE">
      <w:pPr>
        <w:pStyle w:val="BodyText"/>
        <w:rPr>
          <w:lang w:eastAsia="en-US"/>
        </w:rPr>
      </w:pPr>
      <w:r w:rsidRPr="000B7589">
        <w:t xml:space="preserve">Alternatives to government action </w:t>
      </w:r>
      <w:r w:rsidR="00B26602">
        <w:t>are</w:t>
      </w:r>
      <w:r w:rsidR="00B26602" w:rsidRPr="000B7589">
        <w:t xml:space="preserve"> </w:t>
      </w:r>
      <w:r w:rsidRPr="000B7589">
        <w:t xml:space="preserve">considered in </w:t>
      </w:r>
      <w:hyperlink w:anchor="section5" w:history="1">
        <w:r w:rsidR="00B26602" w:rsidRPr="00F032E5">
          <w:rPr>
            <w:rStyle w:val="Hyperlink"/>
            <w:color w:val="008675"/>
          </w:rPr>
          <w:t>Section 5</w:t>
        </w:r>
      </w:hyperlink>
      <w:r w:rsidRPr="000B7589">
        <w:t>, namely within the ‘</w:t>
      </w:r>
      <w:r w:rsidR="00E17D7B">
        <w:t>s</w:t>
      </w:r>
      <w:r w:rsidRPr="000B7589">
        <w:t xml:space="preserve">tatus </w:t>
      </w:r>
      <w:r w:rsidR="00E17D7B">
        <w:t>q</w:t>
      </w:r>
      <w:r w:rsidRPr="000B7589">
        <w:t xml:space="preserve">uo’ option. This alternative would not support the </w:t>
      </w:r>
      <w:r w:rsidR="004C1881">
        <w:t xml:space="preserve">AGDIS </w:t>
      </w:r>
      <w:r w:rsidRPr="000B7589">
        <w:t>expansion to non-</w:t>
      </w:r>
      <w:r w:rsidR="007D15CB">
        <w:rPr>
          <w:lang w:eastAsia="en-US"/>
        </w:rPr>
        <w:t>Australian Government</w:t>
      </w:r>
      <w:r w:rsidR="007D15CB" w:rsidRPr="000B7589" w:rsidDel="007D15CB">
        <w:t xml:space="preserve"> </w:t>
      </w:r>
      <w:r w:rsidR="007F0E75">
        <w:t>r</w:t>
      </w:r>
      <w:r w:rsidRPr="000B7589">
        <w:t xml:space="preserve">elying </w:t>
      </w:r>
      <w:r w:rsidR="007F0E75">
        <w:t>p</w:t>
      </w:r>
      <w:r w:rsidRPr="000B7589">
        <w:t xml:space="preserve">arties and legislatively enable charging by </w:t>
      </w:r>
      <w:r w:rsidR="00726612">
        <w:t xml:space="preserve">onboarded </w:t>
      </w:r>
      <w:r w:rsidR="00471AEB">
        <w:t>a</w:t>
      </w:r>
      <w:r w:rsidRPr="000B7589">
        <w:t xml:space="preserve">ccredited </w:t>
      </w:r>
      <w:r w:rsidR="00726612">
        <w:t>entities</w:t>
      </w:r>
      <w:r w:rsidRPr="000B7589">
        <w:t xml:space="preserve">, and would not address the privacy, security, and governance problem areas identified in this document. </w:t>
      </w:r>
      <w:r w:rsidRPr="000B7589">
        <w:rPr>
          <w:lang w:eastAsia="en-US"/>
        </w:rPr>
        <w:br w:type="page"/>
      </w:r>
    </w:p>
    <w:p w14:paraId="152DDD8A" w14:textId="2647BF1F" w:rsidR="00E6232E" w:rsidRPr="004D4407" w:rsidRDefault="00E6232E" w:rsidP="009D0D37">
      <w:pPr>
        <w:pStyle w:val="Heading1NoNumbers"/>
        <w:rPr>
          <w:color w:val="008675"/>
          <w:lang w:eastAsia="en-US"/>
        </w:rPr>
      </w:pPr>
      <w:bookmarkStart w:id="247" w:name="_Ref65505481"/>
      <w:bookmarkStart w:id="248" w:name="_Toc80884668"/>
      <w:bookmarkStart w:id="249" w:name="_Toc81226627"/>
      <w:bookmarkStart w:id="250" w:name="_Toc81226666"/>
      <w:bookmarkStart w:id="251" w:name="_Toc81226903"/>
      <w:bookmarkStart w:id="252" w:name="_Toc81228247"/>
      <w:bookmarkStart w:id="253" w:name="_Toc83951190"/>
      <w:bookmarkStart w:id="254" w:name="_Toc84925794"/>
      <w:bookmarkStart w:id="255" w:name="_Toc84925889"/>
      <w:bookmarkStart w:id="256" w:name="_Toc86045133"/>
      <w:bookmarkStart w:id="257" w:name="_Toc86070011"/>
      <w:bookmarkStart w:id="258" w:name="_Toc149740336"/>
      <w:bookmarkStart w:id="259" w:name="section5policyoptionsoverview"/>
      <w:bookmarkStart w:id="260" w:name="section5"/>
      <w:bookmarkStart w:id="261" w:name="_Ref63778366"/>
      <w:bookmarkStart w:id="262" w:name="_Toc60817963"/>
      <w:bookmarkStart w:id="263" w:name="_Hlk61348959"/>
      <w:r w:rsidRPr="004D4407">
        <w:rPr>
          <w:color w:val="008675"/>
          <w:lang w:eastAsia="en-US"/>
        </w:rPr>
        <w:lastRenderedPageBreak/>
        <w:t xml:space="preserve">5 Policy </w:t>
      </w:r>
      <w:r w:rsidR="00192D9D" w:rsidRPr="004D4407">
        <w:rPr>
          <w:color w:val="008675"/>
          <w:lang w:eastAsia="en-US"/>
        </w:rPr>
        <w:t>o</w:t>
      </w:r>
      <w:r w:rsidRPr="004D4407">
        <w:rPr>
          <w:color w:val="008675"/>
          <w:lang w:eastAsia="en-US"/>
        </w:rPr>
        <w:t xml:space="preserve">ptions </w:t>
      </w:r>
      <w:r w:rsidR="00192D9D" w:rsidRPr="004D4407">
        <w:rPr>
          <w:color w:val="008675"/>
          <w:lang w:eastAsia="en-US"/>
        </w:rPr>
        <w:t>o</w:t>
      </w:r>
      <w:r w:rsidRPr="004D4407">
        <w:rPr>
          <w:color w:val="008675"/>
          <w:lang w:eastAsia="en-US"/>
        </w:rPr>
        <w:t>verview</w:t>
      </w:r>
      <w:bookmarkEnd w:id="247"/>
      <w:bookmarkEnd w:id="248"/>
      <w:bookmarkEnd w:id="249"/>
      <w:bookmarkEnd w:id="250"/>
      <w:bookmarkEnd w:id="251"/>
      <w:bookmarkEnd w:id="252"/>
      <w:bookmarkEnd w:id="253"/>
      <w:bookmarkEnd w:id="254"/>
      <w:bookmarkEnd w:id="255"/>
      <w:bookmarkEnd w:id="256"/>
      <w:bookmarkEnd w:id="257"/>
      <w:bookmarkEnd w:id="258"/>
      <w:r w:rsidRPr="004D4407">
        <w:rPr>
          <w:color w:val="008675"/>
          <w:lang w:eastAsia="en-US"/>
        </w:rPr>
        <w:t xml:space="preserve"> </w:t>
      </w:r>
    </w:p>
    <w:bookmarkEnd w:id="259"/>
    <w:bookmarkEnd w:id="260"/>
    <w:p w14:paraId="1B98ACEF" w14:textId="77777777" w:rsidR="00E6232E" w:rsidRPr="000B7589" w:rsidRDefault="00E6232E" w:rsidP="00382FFE">
      <w:pPr>
        <w:pStyle w:val="BodyText"/>
        <w:rPr>
          <w:lang w:eastAsia="en-US"/>
        </w:rPr>
      </w:pPr>
      <w:r w:rsidRPr="000B7589">
        <w:rPr>
          <w:lang w:eastAsia="en-US"/>
        </w:rPr>
        <w:t xml:space="preserve">Three options have been considered in response to the identified problems: </w:t>
      </w:r>
    </w:p>
    <w:p w14:paraId="4B2F1056" w14:textId="0960051B" w:rsidR="00E6232E" w:rsidRPr="000B7589" w:rsidRDefault="00E6232E" w:rsidP="00382FFE">
      <w:pPr>
        <w:pStyle w:val="ListBulletLevel1"/>
        <w:rPr>
          <w:rFonts w:eastAsia="Calibri"/>
          <w:lang w:eastAsia="en-US"/>
        </w:rPr>
      </w:pPr>
      <w:r w:rsidRPr="000B7589">
        <w:rPr>
          <w:rFonts w:eastAsia="Calibri"/>
          <w:b/>
          <w:bCs/>
          <w:lang w:eastAsia="en-US"/>
        </w:rPr>
        <w:t>Option 1</w:t>
      </w:r>
      <w:r w:rsidRPr="000B7589">
        <w:rPr>
          <w:rFonts w:eastAsia="Calibri"/>
          <w:lang w:eastAsia="en-US"/>
        </w:rPr>
        <w:t xml:space="preserve"> - Maintain the status quo</w:t>
      </w:r>
      <w:r w:rsidR="00B94B62">
        <w:rPr>
          <w:rFonts w:eastAsia="Calibri"/>
          <w:lang w:eastAsia="en-US"/>
        </w:rPr>
        <w:t>.</w:t>
      </w:r>
    </w:p>
    <w:p w14:paraId="67927FF7" w14:textId="63AC429F" w:rsidR="00E6232E" w:rsidRPr="000B7589" w:rsidRDefault="00E6232E" w:rsidP="00382FFE">
      <w:pPr>
        <w:pStyle w:val="ListBulletLevel1"/>
        <w:rPr>
          <w:rFonts w:eastAsia="Calibri"/>
          <w:lang w:eastAsia="en-US"/>
        </w:rPr>
      </w:pPr>
      <w:r w:rsidRPr="000B7589">
        <w:rPr>
          <w:rFonts w:eastAsia="Calibri"/>
          <w:b/>
          <w:bCs/>
          <w:lang w:eastAsia="en-US"/>
        </w:rPr>
        <w:t>Option 2</w:t>
      </w:r>
      <w:r w:rsidRPr="000B7589">
        <w:rPr>
          <w:rFonts w:eastAsia="Calibri"/>
          <w:lang w:eastAsia="en-US"/>
        </w:rPr>
        <w:t xml:space="preserve"> - Leverage existing legislative frameworks to enhance privacy safeguards</w:t>
      </w:r>
      <w:r w:rsidR="00B94B62">
        <w:rPr>
          <w:rFonts w:eastAsia="Calibri"/>
          <w:lang w:eastAsia="en-US"/>
        </w:rPr>
        <w:t>.</w:t>
      </w:r>
    </w:p>
    <w:p w14:paraId="7A4426EE" w14:textId="43B080A0" w:rsidR="00E6232E" w:rsidRPr="000B7589" w:rsidRDefault="00E6232E" w:rsidP="00382FFE">
      <w:pPr>
        <w:pStyle w:val="ListBulletLevel1"/>
        <w:rPr>
          <w:rFonts w:eastAsia="Calibri"/>
          <w:lang w:eastAsia="en-US"/>
        </w:rPr>
      </w:pPr>
      <w:r w:rsidRPr="000B7589">
        <w:rPr>
          <w:rFonts w:eastAsia="Calibri"/>
          <w:b/>
          <w:bCs/>
          <w:lang w:eastAsia="en-US"/>
        </w:rPr>
        <w:t>Option 3</w:t>
      </w:r>
      <w:r w:rsidRPr="000B7589">
        <w:rPr>
          <w:rFonts w:eastAsia="Calibri"/>
          <w:lang w:eastAsia="en-US"/>
        </w:rPr>
        <w:t xml:space="preserve"> - Dedicated legislation to establish a new regulatory scheme for </w:t>
      </w:r>
      <w:r w:rsidR="00EB2443">
        <w:rPr>
          <w:rFonts w:eastAsia="Calibri"/>
          <w:lang w:eastAsia="en-US"/>
        </w:rPr>
        <w:t>Digital ID</w:t>
      </w:r>
      <w:r w:rsidRPr="000B7589">
        <w:rPr>
          <w:rFonts w:eastAsia="Calibri"/>
          <w:lang w:eastAsia="en-US"/>
        </w:rPr>
        <w:t xml:space="preserve">, enabling its expansion, entrenching privacy and other consumer protections, and establishing permanent governance arrangements. </w:t>
      </w:r>
      <w:r w:rsidR="00916CC7">
        <w:rPr>
          <w:rFonts w:eastAsia="Calibri"/>
          <w:lang w:eastAsia="en-US"/>
        </w:rPr>
        <w:t xml:space="preserve">This would be regulated </w:t>
      </w:r>
      <w:r w:rsidR="0055667B">
        <w:rPr>
          <w:rFonts w:eastAsia="Calibri"/>
          <w:lang w:eastAsia="en-US"/>
        </w:rPr>
        <w:t>an independent Australian Digital ID Regulator (initially the ACCC)</w:t>
      </w:r>
      <w:r w:rsidR="00B94B62">
        <w:rPr>
          <w:rFonts w:eastAsia="Calibri"/>
          <w:lang w:eastAsia="en-US"/>
        </w:rPr>
        <w:t>.</w:t>
      </w:r>
    </w:p>
    <w:p w14:paraId="23967080" w14:textId="71991C57" w:rsidR="00E6232E" w:rsidRPr="000B7589" w:rsidRDefault="00E6232E" w:rsidP="00382FFE">
      <w:pPr>
        <w:pStyle w:val="BodyText"/>
        <w:rPr>
          <w:lang w:eastAsia="en-US"/>
        </w:rPr>
      </w:pPr>
      <w:r w:rsidRPr="000B7589">
        <w:rPr>
          <w:lang w:eastAsia="en-US"/>
        </w:rPr>
        <w:t xml:space="preserve">Each option is described below, including </w:t>
      </w:r>
      <w:r w:rsidR="00B815A6">
        <w:rPr>
          <w:lang w:eastAsia="en-US"/>
        </w:rPr>
        <w:t xml:space="preserve">applicable </w:t>
      </w:r>
      <w:r w:rsidRPr="000B7589">
        <w:rPr>
          <w:lang w:eastAsia="en-US"/>
        </w:rPr>
        <w:t>implementation considerations</w:t>
      </w:r>
      <w:r w:rsidR="00B815A6">
        <w:rPr>
          <w:lang w:eastAsia="en-US"/>
        </w:rPr>
        <w:t>.</w:t>
      </w:r>
    </w:p>
    <w:p w14:paraId="5D6691AD" w14:textId="002F239C" w:rsidR="00E6232E" w:rsidRPr="00B94B62" w:rsidRDefault="00E6232E" w:rsidP="00F00A6E">
      <w:pPr>
        <w:pStyle w:val="Heading2NoNumbers"/>
        <w:rPr>
          <w:color w:val="008675"/>
          <w:lang w:eastAsia="en-US"/>
        </w:rPr>
      </w:pPr>
      <w:bookmarkStart w:id="264" w:name="_Toc80884669"/>
      <w:bookmarkStart w:id="265" w:name="_Toc81226628"/>
      <w:bookmarkStart w:id="266" w:name="_Toc81226904"/>
      <w:bookmarkStart w:id="267" w:name="_Toc81228248"/>
      <w:bookmarkStart w:id="268" w:name="_Toc83951191"/>
      <w:bookmarkStart w:id="269" w:name="_Toc84925795"/>
      <w:bookmarkStart w:id="270" w:name="_Toc84925890"/>
      <w:bookmarkStart w:id="271" w:name="_Toc86045134"/>
      <w:bookmarkStart w:id="272" w:name="_Toc86070012"/>
      <w:bookmarkStart w:id="273" w:name="_Toc149740337"/>
      <w:r w:rsidRPr="00B94B62">
        <w:rPr>
          <w:color w:val="008675"/>
          <w:lang w:eastAsia="en-US"/>
        </w:rPr>
        <w:t xml:space="preserve">5.1 Option 1: Status </w:t>
      </w:r>
      <w:r w:rsidR="00192D9D" w:rsidRPr="00B94B62">
        <w:rPr>
          <w:color w:val="008675"/>
          <w:lang w:eastAsia="en-US"/>
        </w:rPr>
        <w:t>q</w:t>
      </w:r>
      <w:r w:rsidRPr="00B94B62">
        <w:rPr>
          <w:color w:val="008675"/>
          <w:lang w:eastAsia="en-US"/>
        </w:rPr>
        <w:t>uo</w:t>
      </w:r>
      <w:bookmarkEnd w:id="264"/>
      <w:bookmarkEnd w:id="265"/>
      <w:bookmarkEnd w:id="266"/>
      <w:bookmarkEnd w:id="267"/>
      <w:bookmarkEnd w:id="268"/>
      <w:bookmarkEnd w:id="269"/>
      <w:bookmarkEnd w:id="270"/>
      <w:bookmarkEnd w:id="271"/>
      <w:bookmarkEnd w:id="272"/>
      <w:bookmarkEnd w:id="273"/>
      <w:r w:rsidRPr="00B94B62">
        <w:rPr>
          <w:i/>
          <w:color w:val="008675"/>
          <w:lang w:eastAsia="en-US"/>
        </w:rPr>
        <w:t xml:space="preserve"> </w:t>
      </w:r>
    </w:p>
    <w:p w14:paraId="42EF7602" w14:textId="61F6480A" w:rsidR="00E6232E" w:rsidRPr="000B7589" w:rsidRDefault="00E6232E" w:rsidP="00382FFE">
      <w:pPr>
        <w:pStyle w:val="BodyText"/>
        <w:rPr>
          <w:lang w:eastAsia="en-US"/>
        </w:rPr>
      </w:pPr>
      <w:r w:rsidRPr="000B7589">
        <w:rPr>
          <w:lang w:eastAsia="en-US"/>
        </w:rPr>
        <w:t xml:space="preserve">As Option 1 involves no regulatory action, it would see the existing </w:t>
      </w:r>
      <w:r w:rsidR="004C1881">
        <w:rPr>
          <w:lang w:eastAsia="en-US"/>
        </w:rPr>
        <w:t>AGDIS</w:t>
      </w:r>
      <w:r w:rsidRPr="000B7589">
        <w:rPr>
          <w:lang w:eastAsia="en-US"/>
        </w:rPr>
        <w:t xml:space="preserve"> entities, interactions and incentives described in</w:t>
      </w:r>
      <w:r w:rsidR="008C4BD8">
        <w:rPr>
          <w:lang w:eastAsia="en-US"/>
        </w:rPr>
        <w:t xml:space="preserve"> </w:t>
      </w:r>
      <w:r w:rsidR="008C4BD8" w:rsidRPr="00B94B62">
        <w:rPr>
          <w:color w:val="008675"/>
        </w:rPr>
        <w:t xml:space="preserve">Section </w:t>
      </w:r>
      <w:r w:rsidRPr="00B94B62">
        <w:rPr>
          <w:color w:val="008675"/>
        </w:rPr>
        <w:fldChar w:fldCharType="begin"/>
      </w:r>
      <w:r w:rsidRPr="00B94B62">
        <w:rPr>
          <w:color w:val="008675"/>
        </w:rPr>
        <w:instrText xml:space="preserve"> REF _Ref65139810 \h </w:instrText>
      </w:r>
      <w:r w:rsidR="000B7589" w:rsidRPr="00B94B62">
        <w:rPr>
          <w:color w:val="008675"/>
        </w:rPr>
        <w:instrText xml:space="preserve"> \* MERGEFORMAT </w:instrText>
      </w:r>
      <w:r w:rsidRPr="00B94B62">
        <w:rPr>
          <w:color w:val="008675"/>
        </w:rPr>
      </w:r>
      <w:r w:rsidRPr="00B94B62">
        <w:rPr>
          <w:color w:val="008675"/>
        </w:rPr>
        <w:fldChar w:fldCharType="separate"/>
      </w:r>
      <w:r w:rsidR="00DF50AB" w:rsidRPr="00B94B62">
        <w:rPr>
          <w:color w:val="008675"/>
        </w:rPr>
        <w:t xml:space="preserve">2.3.3 Entities, interactions and incentives within the current </w:t>
      </w:r>
      <w:r w:rsidR="00B94B62">
        <w:rPr>
          <w:rFonts w:eastAsia="Calibri"/>
        </w:rPr>
        <w:t>AGDIS</w:t>
      </w:r>
      <w:r w:rsidR="00B94B62" w:rsidRPr="004662C0">
        <w:rPr>
          <w:rFonts w:eastAsia="Calibri"/>
        </w:rPr>
        <w:t xml:space="preserve"> </w:t>
      </w:r>
      <w:r w:rsidRPr="00B94B62">
        <w:rPr>
          <w:color w:val="008675"/>
        </w:rPr>
        <w:fldChar w:fldCharType="end"/>
      </w:r>
      <w:r w:rsidRPr="000B7589">
        <w:rPr>
          <w:lang w:eastAsia="en-US"/>
        </w:rPr>
        <w:t xml:space="preserve"> continue. This would entail ongoing application of TDIF policy to </w:t>
      </w:r>
      <w:r w:rsidR="00726612">
        <w:rPr>
          <w:lang w:eastAsia="en-US"/>
        </w:rPr>
        <w:t xml:space="preserve">onboarded </w:t>
      </w:r>
      <w:r w:rsidR="006E797D">
        <w:rPr>
          <w:lang w:eastAsia="en-US"/>
        </w:rPr>
        <w:t>a</w:t>
      </w:r>
      <w:r w:rsidRPr="000B7589">
        <w:rPr>
          <w:lang w:eastAsia="en-US"/>
        </w:rPr>
        <w:t xml:space="preserve">ccredited </w:t>
      </w:r>
      <w:r w:rsidR="00726612">
        <w:rPr>
          <w:lang w:eastAsia="en-US"/>
        </w:rPr>
        <w:t xml:space="preserve">entities </w:t>
      </w:r>
      <w:r w:rsidRPr="000B7589">
        <w:rPr>
          <w:lang w:eastAsia="en-US"/>
        </w:rPr>
        <w:t>and continued oversight by an interim governance body. Th</w:t>
      </w:r>
      <w:r w:rsidR="004C1881">
        <w:rPr>
          <w:lang w:eastAsia="en-US"/>
        </w:rPr>
        <w:t>is</w:t>
      </w:r>
      <w:r w:rsidRPr="000B7589">
        <w:rPr>
          <w:lang w:eastAsia="en-US"/>
        </w:rPr>
        <w:t xml:space="preserve"> would remain </w:t>
      </w:r>
      <w:r w:rsidR="00EB1F18">
        <w:rPr>
          <w:lang w:eastAsia="en-US"/>
        </w:rPr>
        <w:t xml:space="preserve">fully </w:t>
      </w:r>
      <w:r w:rsidRPr="000B7589">
        <w:rPr>
          <w:lang w:eastAsia="en-US"/>
        </w:rPr>
        <w:t xml:space="preserve">accessible by </w:t>
      </w:r>
      <w:r w:rsidR="007D15CB">
        <w:rPr>
          <w:lang w:eastAsia="en-US"/>
        </w:rPr>
        <w:t>Australian Government</w:t>
      </w:r>
      <w:r w:rsidR="007D15CB" w:rsidRPr="000B7589" w:rsidDel="007D15CB">
        <w:rPr>
          <w:lang w:eastAsia="en-US"/>
        </w:rPr>
        <w:t xml:space="preserve"> </w:t>
      </w:r>
      <w:r w:rsidR="00471AEB">
        <w:rPr>
          <w:lang w:eastAsia="en-US"/>
        </w:rPr>
        <w:t>r</w:t>
      </w:r>
      <w:r w:rsidRPr="000B7589">
        <w:rPr>
          <w:lang w:eastAsia="en-US"/>
        </w:rPr>
        <w:t xml:space="preserve">elying </w:t>
      </w:r>
      <w:r w:rsidR="00471AEB">
        <w:rPr>
          <w:lang w:eastAsia="en-US"/>
        </w:rPr>
        <w:t>p</w:t>
      </w:r>
      <w:r w:rsidRPr="000B7589">
        <w:rPr>
          <w:lang w:eastAsia="en-US"/>
        </w:rPr>
        <w:t xml:space="preserve">arties only, with involvement continuing to be managed through </w:t>
      </w:r>
      <w:r w:rsidR="00BA6A25">
        <w:rPr>
          <w:lang w:eastAsia="en-US"/>
        </w:rPr>
        <w:t>System G</w:t>
      </w:r>
      <w:r w:rsidR="006560C1">
        <w:rPr>
          <w:lang w:eastAsia="en-US"/>
        </w:rPr>
        <w:t>overnance Agreements/</w:t>
      </w:r>
      <w:r w:rsidR="000E4A90" w:rsidRPr="000E4A90">
        <w:rPr>
          <w:szCs w:val="20"/>
          <w:lang w:eastAsia="en-US"/>
        </w:rPr>
        <w:t xml:space="preserve">Memoranda of Understanding </w:t>
      </w:r>
      <w:r w:rsidR="000E4A90">
        <w:rPr>
          <w:szCs w:val="20"/>
          <w:lang w:eastAsia="en-US"/>
        </w:rPr>
        <w:t>(</w:t>
      </w:r>
      <w:proofErr w:type="spellStart"/>
      <w:r w:rsidRPr="000B7589">
        <w:rPr>
          <w:lang w:eastAsia="en-US"/>
        </w:rPr>
        <w:t>MoU</w:t>
      </w:r>
      <w:r w:rsidR="000E4A90">
        <w:rPr>
          <w:lang w:eastAsia="en-US"/>
        </w:rPr>
        <w:t>s</w:t>
      </w:r>
      <w:proofErr w:type="spellEnd"/>
      <w:r w:rsidR="000E4A90">
        <w:rPr>
          <w:lang w:eastAsia="en-US"/>
        </w:rPr>
        <w:t>)</w:t>
      </w:r>
      <w:r w:rsidRPr="000B7589">
        <w:rPr>
          <w:lang w:eastAsia="en-US"/>
        </w:rPr>
        <w:t xml:space="preserve"> between </w:t>
      </w:r>
      <w:r w:rsidR="007D15CB">
        <w:rPr>
          <w:lang w:eastAsia="en-US"/>
        </w:rPr>
        <w:t>Australian Government</w:t>
      </w:r>
      <w:r w:rsidR="007D15CB" w:rsidRPr="000B7589" w:rsidDel="007D15CB">
        <w:rPr>
          <w:lang w:eastAsia="en-US"/>
        </w:rPr>
        <w:t xml:space="preserve"> </w:t>
      </w:r>
      <w:r w:rsidR="00351399">
        <w:rPr>
          <w:lang w:eastAsia="en-US"/>
        </w:rPr>
        <w:t>agencies</w:t>
      </w:r>
      <w:r w:rsidRPr="000B7589">
        <w:rPr>
          <w:lang w:eastAsia="en-US"/>
        </w:rPr>
        <w:t xml:space="preserve">. </w:t>
      </w:r>
      <w:r w:rsidR="00726612">
        <w:rPr>
          <w:lang w:eastAsia="en-US"/>
        </w:rPr>
        <w:t>Onboarded a</w:t>
      </w:r>
      <w:r w:rsidRPr="000B7589">
        <w:rPr>
          <w:lang w:eastAsia="en-US"/>
        </w:rPr>
        <w:t xml:space="preserve">ccredited </w:t>
      </w:r>
      <w:r w:rsidR="00726612">
        <w:rPr>
          <w:lang w:eastAsia="en-US"/>
        </w:rPr>
        <w:t xml:space="preserve">entities </w:t>
      </w:r>
      <w:r w:rsidRPr="000B7589">
        <w:rPr>
          <w:lang w:eastAsia="en-US"/>
        </w:rPr>
        <w:t xml:space="preserve">using </w:t>
      </w:r>
      <w:r w:rsidR="00635C9C">
        <w:rPr>
          <w:lang w:eastAsia="en-US"/>
        </w:rPr>
        <w:t>Digital ID</w:t>
      </w:r>
      <w:r w:rsidRPr="000B7589">
        <w:rPr>
          <w:lang w:eastAsia="en-US"/>
        </w:rPr>
        <w:t xml:space="preserve"> would continue to be subject to existing legislative requirements which apply to them, including the Privacy Act.</w:t>
      </w:r>
    </w:p>
    <w:p w14:paraId="778F1499" w14:textId="09D7A52E" w:rsidR="00E6232E" w:rsidRPr="000B7589" w:rsidRDefault="00E6232E" w:rsidP="00382FFE">
      <w:pPr>
        <w:pStyle w:val="BodyText"/>
        <w:rPr>
          <w:lang w:eastAsia="en-US"/>
        </w:rPr>
      </w:pPr>
      <w:r w:rsidRPr="000B7589">
        <w:rPr>
          <w:lang w:eastAsia="en-US"/>
        </w:rPr>
        <w:t xml:space="preserve">Under the status quo, individuals can currently use </w:t>
      </w:r>
      <w:r w:rsidR="00635C9C">
        <w:rPr>
          <w:lang w:eastAsia="en-US"/>
        </w:rPr>
        <w:t>Digital ID</w:t>
      </w:r>
      <w:r w:rsidRPr="000B7589">
        <w:rPr>
          <w:lang w:eastAsia="en-US"/>
        </w:rPr>
        <w:t xml:space="preserve"> through </w:t>
      </w:r>
      <w:r w:rsidR="006E43DC">
        <w:rPr>
          <w:lang w:eastAsia="en-US"/>
        </w:rPr>
        <w:t>a</w:t>
      </w:r>
      <w:r w:rsidR="00DF1F98">
        <w:rPr>
          <w:lang w:eastAsia="en-US"/>
        </w:rPr>
        <w:t>n</w:t>
      </w:r>
      <w:r w:rsidRPr="000B7589">
        <w:rPr>
          <w:lang w:eastAsia="en-US"/>
        </w:rPr>
        <w:t xml:space="preserve"> </w:t>
      </w:r>
      <w:r w:rsidR="00B26602">
        <w:rPr>
          <w:lang w:eastAsia="en-US"/>
        </w:rPr>
        <w:t>i</w:t>
      </w:r>
      <w:r w:rsidRPr="000B7589">
        <w:rPr>
          <w:lang w:eastAsia="en-US"/>
        </w:rPr>
        <w:t xml:space="preserve">dentity </w:t>
      </w:r>
      <w:r w:rsidR="00B26602">
        <w:rPr>
          <w:lang w:eastAsia="en-US"/>
        </w:rPr>
        <w:t>p</w:t>
      </w:r>
      <w:r w:rsidRPr="000B7589">
        <w:rPr>
          <w:lang w:eastAsia="en-US"/>
        </w:rPr>
        <w:t xml:space="preserve">rovider: the </w:t>
      </w:r>
      <w:r w:rsidR="007D15CB">
        <w:rPr>
          <w:lang w:eastAsia="en-US"/>
        </w:rPr>
        <w:t>Australian Government</w:t>
      </w:r>
      <w:r w:rsidR="007D15CB" w:rsidRPr="000B7589" w:rsidDel="007D15CB">
        <w:rPr>
          <w:lang w:eastAsia="en-US"/>
        </w:rPr>
        <w:t xml:space="preserve"> </w:t>
      </w:r>
      <w:r w:rsidRPr="000B7589">
        <w:rPr>
          <w:lang w:eastAsia="en-US"/>
        </w:rPr>
        <w:t>identity solution</w:t>
      </w:r>
      <w:r w:rsidR="001A7A7B">
        <w:rPr>
          <w:lang w:eastAsia="en-US"/>
        </w:rPr>
        <w:t>,</w:t>
      </w:r>
      <w:r w:rsidRPr="000B7589">
        <w:rPr>
          <w:lang w:eastAsia="en-US"/>
        </w:rPr>
        <w:t xml:space="preserve"> </w:t>
      </w:r>
      <w:proofErr w:type="spellStart"/>
      <w:r w:rsidRPr="000B7589">
        <w:rPr>
          <w:lang w:eastAsia="en-US"/>
        </w:rPr>
        <w:t>myGovID</w:t>
      </w:r>
      <w:proofErr w:type="spellEnd"/>
      <w:r w:rsidRPr="000B7589">
        <w:rPr>
          <w:lang w:eastAsia="en-US"/>
        </w:rPr>
        <w:t xml:space="preserve">. </w:t>
      </w:r>
      <w:r w:rsidR="00C14922">
        <w:rPr>
          <w:lang w:eastAsia="en-US"/>
        </w:rPr>
        <w:t>I</w:t>
      </w:r>
      <w:r w:rsidRPr="000B7589">
        <w:rPr>
          <w:lang w:eastAsia="en-US"/>
        </w:rPr>
        <w:t xml:space="preserve">ndividuals can continue to transact with a select range of </w:t>
      </w:r>
      <w:r w:rsidR="007D15CB">
        <w:rPr>
          <w:lang w:eastAsia="en-US"/>
        </w:rPr>
        <w:t>Government</w:t>
      </w:r>
      <w:r w:rsidR="007D15CB" w:rsidRPr="000B7589" w:rsidDel="007D15CB">
        <w:rPr>
          <w:lang w:eastAsia="en-US"/>
        </w:rPr>
        <w:t xml:space="preserve"> </w:t>
      </w:r>
      <w:r w:rsidRPr="000B7589">
        <w:rPr>
          <w:lang w:eastAsia="en-US"/>
        </w:rPr>
        <w:t>services and entities. As described above, it is not legally permitted for non-</w:t>
      </w:r>
      <w:r w:rsidR="00B94B62">
        <w:rPr>
          <w:lang w:eastAsia="en-US"/>
        </w:rPr>
        <w:t>Commonwealth</w:t>
      </w:r>
      <w:r w:rsidR="007D15CB" w:rsidRPr="000B7589" w:rsidDel="007D15CB">
        <w:rPr>
          <w:lang w:eastAsia="en-US"/>
        </w:rPr>
        <w:t xml:space="preserve"> </w:t>
      </w:r>
      <w:r w:rsidR="00351399">
        <w:rPr>
          <w:lang w:eastAsia="en-US"/>
        </w:rPr>
        <w:t>agencies</w:t>
      </w:r>
      <w:r w:rsidR="00351399" w:rsidRPr="000B7589">
        <w:rPr>
          <w:lang w:eastAsia="en-US"/>
        </w:rPr>
        <w:t xml:space="preserve"> </w:t>
      </w:r>
      <w:r w:rsidRPr="000B7589">
        <w:rPr>
          <w:lang w:eastAsia="en-US"/>
        </w:rPr>
        <w:t xml:space="preserve">– including businesses or community organisations – to become </w:t>
      </w:r>
      <w:r w:rsidR="00A32F98">
        <w:rPr>
          <w:lang w:eastAsia="en-US"/>
        </w:rPr>
        <w:t xml:space="preserve">fully operational </w:t>
      </w:r>
      <w:r w:rsidR="00FC55EA">
        <w:rPr>
          <w:lang w:eastAsia="en-US"/>
        </w:rPr>
        <w:t>r</w:t>
      </w:r>
      <w:r w:rsidRPr="000B7589">
        <w:rPr>
          <w:lang w:eastAsia="en-US"/>
        </w:rPr>
        <w:t xml:space="preserve">elying </w:t>
      </w:r>
      <w:r w:rsidR="00FC55EA">
        <w:rPr>
          <w:lang w:eastAsia="en-US"/>
        </w:rPr>
        <w:t>p</w:t>
      </w:r>
      <w:r w:rsidRPr="000B7589">
        <w:rPr>
          <w:lang w:eastAsia="en-US"/>
        </w:rPr>
        <w:t>arties</w:t>
      </w:r>
      <w:r w:rsidR="002F7ADF">
        <w:rPr>
          <w:lang w:eastAsia="en-US"/>
        </w:rPr>
        <w:t xml:space="preserve"> (</w:t>
      </w:r>
      <w:r w:rsidR="00342775">
        <w:rPr>
          <w:lang w:eastAsia="en-US"/>
        </w:rPr>
        <w:t>except in limited circumstances</w:t>
      </w:r>
      <w:r w:rsidR="00FD163C">
        <w:rPr>
          <w:lang w:eastAsia="en-US"/>
        </w:rPr>
        <w:t>)</w:t>
      </w:r>
      <w:r w:rsidRPr="000B7589">
        <w:rPr>
          <w:lang w:eastAsia="en-US"/>
        </w:rPr>
        <w:t>.</w:t>
      </w:r>
      <w:r w:rsidR="00737BA2">
        <w:rPr>
          <w:lang w:eastAsia="en-US"/>
        </w:rPr>
        <w:t xml:space="preserve"> </w:t>
      </w:r>
      <w:r w:rsidRPr="000B7589">
        <w:rPr>
          <w:lang w:eastAsia="en-US"/>
        </w:rPr>
        <w:t xml:space="preserve">Nor is there a legislative framework for charging outside the </w:t>
      </w:r>
      <w:r w:rsidR="007D15CB">
        <w:rPr>
          <w:lang w:eastAsia="en-US"/>
        </w:rPr>
        <w:t>Australian Government</w:t>
      </w:r>
      <w:r w:rsidRPr="000B7589">
        <w:rPr>
          <w:lang w:eastAsia="en-US"/>
        </w:rPr>
        <w:t>, practically limiting the incentives for non-</w:t>
      </w:r>
      <w:r w:rsidR="00B94B62">
        <w:rPr>
          <w:lang w:eastAsia="en-US"/>
        </w:rPr>
        <w:t>Commonwealth</w:t>
      </w:r>
      <w:r w:rsidR="007D15CB" w:rsidRPr="000B7589" w:rsidDel="007D15CB">
        <w:rPr>
          <w:lang w:eastAsia="en-US"/>
        </w:rPr>
        <w:t xml:space="preserve"> </w:t>
      </w:r>
      <w:r w:rsidR="00351399">
        <w:rPr>
          <w:lang w:eastAsia="en-US"/>
        </w:rPr>
        <w:t>agencies</w:t>
      </w:r>
      <w:r w:rsidR="00351399" w:rsidRPr="000B7589">
        <w:rPr>
          <w:lang w:eastAsia="en-US"/>
        </w:rPr>
        <w:t xml:space="preserve"> </w:t>
      </w:r>
      <w:r w:rsidRPr="000B7589">
        <w:rPr>
          <w:lang w:eastAsia="en-US"/>
        </w:rPr>
        <w:t>to become</w:t>
      </w:r>
      <w:r w:rsidR="00726612">
        <w:rPr>
          <w:lang w:eastAsia="en-US"/>
        </w:rPr>
        <w:t xml:space="preserve"> onboarded</w:t>
      </w:r>
      <w:r w:rsidRPr="000B7589">
        <w:rPr>
          <w:lang w:eastAsia="en-US"/>
        </w:rPr>
        <w:t xml:space="preserve"> </w:t>
      </w:r>
      <w:r w:rsidR="006E797D">
        <w:rPr>
          <w:lang w:eastAsia="en-US"/>
        </w:rPr>
        <w:t>a</w:t>
      </w:r>
      <w:r w:rsidRPr="000B7589">
        <w:rPr>
          <w:lang w:eastAsia="en-US"/>
        </w:rPr>
        <w:t xml:space="preserve">ccredited </w:t>
      </w:r>
      <w:r w:rsidR="00726612">
        <w:rPr>
          <w:lang w:eastAsia="en-US"/>
        </w:rPr>
        <w:t>entities</w:t>
      </w:r>
      <w:r w:rsidRPr="000B7589">
        <w:rPr>
          <w:lang w:eastAsia="en-US"/>
        </w:rPr>
        <w:t>.</w:t>
      </w:r>
    </w:p>
    <w:p w14:paraId="471624AC" w14:textId="63488F17" w:rsidR="00E6232E" w:rsidRPr="000B7589" w:rsidRDefault="00E6232E" w:rsidP="00382FFE">
      <w:pPr>
        <w:pStyle w:val="BodyText"/>
        <w:rPr>
          <w:lang w:eastAsia="en-US"/>
        </w:rPr>
      </w:pPr>
      <w:r w:rsidRPr="000B7589">
        <w:rPr>
          <w:lang w:eastAsia="en-US"/>
        </w:rPr>
        <w:lastRenderedPageBreak/>
        <w:t xml:space="preserve">Under the status quo option, no discrete implementation activity would be required from the </w:t>
      </w:r>
      <w:r w:rsidR="007D15CB">
        <w:rPr>
          <w:lang w:eastAsia="en-US"/>
        </w:rPr>
        <w:t>Australian Government</w:t>
      </w:r>
      <w:r w:rsidRPr="000B7589">
        <w:rPr>
          <w:lang w:eastAsia="en-US"/>
        </w:rPr>
        <w:t xml:space="preserve">. However, it would be expected that the </w:t>
      </w:r>
      <w:r w:rsidR="007D15CB">
        <w:rPr>
          <w:lang w:eastAsia="en-US"/>
        </w:rPr>
        <w:t>Government</w:t>
      </w:r>
      <w:r w:rsidR="007D15CB" w:rsidRPr="000B7589" w:rsidDel="007D15CB">
        <w:rPr>
          <w:lang w:eastAsia="en-US"/>
        </w:rPr>
        <w:t xml:space="preserve"> </w:t>
      </w:r>
      <w:r w:rsidRPr="000B7589">
        <w:rPr>
          <w:lang w:eastAsia="en-US"/>
        </w:rPr>
        <w:t>would continue to serve its existing role leading delivery. That is, continue to provide oversight, make incremental adjustments as needed to the TDIF governance framework, and manage the entry of new participants. The entry of non-</w:t>
      </w:r>
      <w:r w:rsidR="000F49BE">
        <w:rPr>
          <w:lang w:eastAsia="en-US"/>
        </w:rPr>
        <w:t>Commonwealth</w:t>
      </w:r>
      <w:r w:rsidR="007D15CB" w:rsidRPr="000B7589" w:rsidDel="007D15CB">
        <w:rPr>
          <w:lang w:eastAsia="en-US"/>
        </w:rPr>
        <w:t xml:space="preserve"> </w:t>
      </w:r>
      <w:r w:rsidRPr="000B7589">
        <w:rPr>
          <w:lang w:eastAsia="en-US"/>
        </w:rPr>
        <w:t>participants, and further expansion, would be limited by the absence of legislative authority for non-</w:t>
      </w:r>
      <w:r w:rsidR="000F49BE">
        <w:rPr>
          <w:lang w:eastAsia="en-US"/>
        </w:rPr>
        <w:t>Commonwealth</w:t>
      </w:r>
      <w:r w:rsidR="007D15CB" w:rsidRPr="000B7589" w:rsidDel="007D15CB">
        <w:rPr>
          <w:lang w:eastAsia="en-US"/>
        </w:rPr>
        <w:t xml:space="preserve"> </w:t>
      </w:r>
      <w:r w:rsidR="00FC55EA">
        <w:rPr>
          <w:lang w:eastAsia="en-US"/>
        </w:rPr>
        <w:t>r</w:t>
      </w:r>
      <w:r w:rsidRPr="000B7589">
        <w:rPr>
          <w:lang w:eastAsia="en-US"/>
        </w:rPr>
        <w:t xml:space="preserve">elying </w:t>
      </w:r>
      <w:r w:rsidR="00FC55EA">
        <w:rPr>
          <w:lang w:eastAsia="en-US"/>
        </w:rPr>
        <w:t>p</w:t>
      </w:r>
      <w:r w:rsidRPr="000B7589">
        <w:rPr>
          <w:lang w:eastAsia="en-US"/>
        </w:rPr>
        <w:t xml:space="preserve">arties and charging by </w:t>
      </w:r>
      <w:r w:rsidR="00726612">
        <w:rPr>
          <w:lang w:eastAsia="en-US"/>
        </w:rPr>
        <w:t xml:space="preserve">onboarded </w:t>
      </w:r>
      <w:r w:rsidR="00FC55EA">
        <w:rPr>
          <w:lang w:eastAsia="en-US"/>
        </w:rPr>
        <w:t>a</w:t>
      </w:r>
      <w:r w:rsidR="00FC55EA" w:rsidRPr="000B7589">
        <w:rPr>
          <w:lang w:eastAsia="en-US"/>
        </w:rPr>
        <w:t xml:space="preserve">ccredited </w:t>
      </w:r>
      <w:r w:rsidR="00726612">
        <w:rPr>
          <w:lang w:eastAsia="en-US"/>
        </w:rPr>
        <w:t>entities</w:t>
      </w:r>
      <w:r w:rsidRPr="000B7589">
        <w:rPr>
          <w:lang w:eastAsia="en-US"/>
        </w:rPr>
        <w:t>.</w:t>
      </w:r>
    </w:p>
    <w:p w14:paraId="3789B453" w14:textId="1C8EB29D" w:rsidR="00E6232E" w:rsidRPr="000F49BE" w:rsidRDefault="00E6232E" w:rsidP="00F00A6E">
      <w:pPr>
        <w:pStyle w:val="Heading2NoNumbers"/>
        <w:rPr>
          <w:color w:val="008675"/>
          <w:lang w:eastAsia="en-US"/>
        </w:rPr>
      </w:pPr>
      <w:bookmarkStart w:id="274" w:name="_Toc80884670"/>
      <w:bookmarkStart w:id="275" w:name="_Toc81226629"/>
      <w:bookmarkStart w:id="276" w:name="_Toc81226905"/>
      <w:bookmarkStart w:id="277" w:name="_Toc81228249"/>
      <w:bookmarkStart w:id="278" w:name="_Toc83951192"/>
      <w:bookmarkStart w:id="279" w:name="_Toc84925796"/>
      <w:bookmarkStart w:id="280" w:name="_Toc84925891"/>
      <w:bookmarkStart w:id="281" w:name="_Toc86045135"/>
      <w:bookmarkStart w:id="282" w:name="_Toc86070013"/>
      <w:bookmarkStart w:id="283" w:name="_Toc149740338"/>
      <w:bookmarkStart w:id="284" w:name="Leverage"/>
      <w:r w:rsidRPr="000F49BE">
        <w:rPr>
          <w:color w:val="008675"/>
          <w:lang w:eastAsia="en-US"/>
        </w:rPr>
        <w:t xml:space="preserve">5.2 Option 2: Leverage </w:t>
      </w:r>
      <w:r w:rsidR="00192D9D" w:rsidRPr="000F49BE">
        <w:rPr>
          <w:color w:val="008675"/>
          <w:lang w:eastAsia="en-US"/>
        </w:rPr>
        <w:t>e</w:t>
      </w:r>
      <w:r w:rsidRPr="000F49BE">
        <w:rPr>
          <w:color w:val="008675"/>
          <w:lang w:eastAsia="en-US"/>
        </w:rPr>
        <w:t xml:space="preserve">xisting </w:t>
      </w:r>
      <w:r w:rsidR="00192D9D" w:rsidRPr="000F49BE">
        <w:rPr>
          <w:color w:val="008675"/>
          <w:lang w:eastAsia="en-US"/>
        </w:rPr>
        <w:t>l</w:t>
      </w:r>
      <w:r w:rsidRPr="000F49BE">
        <w:rPr>
          <w:color w:val="008675"/>
          <w:lang w:eastAsia="en-US"/>
        </w:rPr>
        <w:t xml:space="preserve">egislative </w:t>
      </w:r>
      <w:r w:rsidR="00192D9D" w:rsidRPr="000F49BE">
        <w:rPr>
          <w:color w:val="008675"/>
          <w:lang w:eastAsia="en-US"/>
        </w:rPr>
        <w:t>f</w:t>
      </w:r>
      <w:r w:rsidRPr="000F49BE">
        <w:rPr>
          <w:color w:val="008675"/>
          <w:lang w:eastAsia="en-US"/>
        </w:rPr>
        <w:t xml:space="preserve">rameworks to </w:t>
      </w:r>
      <w:r w:rsidR="00192D9D" w:rsidRPr="000F49BE">
        <w:rPr>
          <w:color w:val="008675"/>
          <w:lang w:eastAsia="en-US"/>
        </w:rPr>
        <w:t>e</w:t>
      </w:r>
      <w:r w:rsidRPr="000F49BE">
        <w:rPr>
          <w:color w:val="008675"/>
          <w:lang w:eastAsia="en-US"/>
        </w:rPr>
        <w:t xml:space="preserve">nhance </w:t>
      </w:r>
      <w:r w:rsidR="00192D9D" w:rsidRPr="000F49BE">
        <w:rPr>
          <w:color w:val="008675"/>
          <w:lang w:eastAsia="en-US"/>
        </w:rPr>
        <w:t>p</w:t>
      </w:r>
      <w:r w:rsidRPr="000F49BE">
        <w:rPr>
          <w:color w:val="008675"/>
          <w:lang w:eastAsia="en-US"/>
        </w:rPr>
        <w:t xml:space="preserve">rivacy </w:t>
      </w:r>
      <w:r w:rsidR="00192D9D" w:rsidRPr="000F49BE">
        <w:rPr>
          <w:color w:val="008675"/>
          <w:lang w:eastAsia="en-US"/>
        </w:rPr>
        <w:t>s</w:t>
      </w:r>
      <w:r w:rsidRPr="000F49BE">
        <w:rPr>
          <w:color w:val="008675"/>
          <w:lang w:eastAsia="en-US"/>
        </w:rPr>
        <w:t>afeguards</w:t>
      </w:r>
      <w:bookmarkEnd w:id="274"/>
      <w:bookmarkEnd w:id="275"/>
      <w:bookmarkEnd w:id="276"/>
      <w:bookmarkEnd w:id="277"/>
      <w:bookmarkEnd w:id="278"/>
      <w:bookmarkEnd w:id="279"/>
      <w:bookmarkEnd w:id="280"/>
      <w:bookmarkEnd w:id="281"/>
      <w:bookmarkEnd w:id="282"/>
      <w:bookmarkEnd w:id="283"/>
    </w:p>
    <w:bookmarkEnd w:id="284"/>
    <w:p w14:paraId="38D7A5D3" w14:textId="77777777" w:rsidR="00E6232E" w:rsidRPr="000B7589" w:rsidRDefault="00E6232E" w:rsidP="00382FFE">
      <w:pPr>
        <w:pStyle w:val="BodyText"/>
        <w:rPr>
          <w:rFonts w:eastAsia="Calibri"/>
          <w:lang w:eastAsia="en-US"/>
        </w:rPr>
      </w:pPr>
      <w:r w:rsidRPr="000B7589">
        <w:rPr>
          <w:lang w:eastAsia="en-US"/>
        </w:rPr>
        <w:t xml:space="preserve">Option 2 involves leveraging existing regulatory frameworks to issue new instruments which address, to the greatest extent possible, the identified problems. The specific existing legislative framework which has been explored under this option are enforceable Registered Codes issued under the Privacy Act. While subordinate to primary legislation, </w:t>
      </w:r>
      <w:r w:rsidRPr="000B7589">
        <w:rPr>
          <w:rFonts w:eastAsia="Calibri"/>
          <w:lang w:eastAsia="en-US"/>
        </w:rPr>
        <w:t xml:space="preserve">Registered Codes are legally binding and will impose additional regulatory measures, including a bespoke enforcement regime. </w:t>
      </w:r>
    </w:p>
    <w:p w14:paraId="4401690B" w14:textId="2749701A" w:rsidR="00E6232E" w:rsidRPr="000B7589" w:rsidRDefault="00E6232E" w:rsidP="00382FFE">
      <w:pPr>
        <w:pStyle w:val="BodyText"/>
        <w:rPr>
          <w:lang w:eastAsia="en-US"/>
        </w:rPr>
      </w:pPr>
      <w:r w:rsidRPr="000B7589">
        <w:rPr>
          <w:rFonts w:eastAsia="Calibri"/>
          <w:lang w:eastAsia="en-US"/>
        </w:rPr>
        <w:t xml:space="preserve">Under this option, private individuals would continue to be able to use the services offered by </w:t>
      </w:r>
      <w:r w:rsidR="00B26602">
        <w:rPr>
          <w:rFonts w:eastAsia="Calibri"/>
          <w:lang w:eastAsia="en-US"/>
        </w:rPr>
        <w:t>i</w:t>
      </w:r>
      <w:r w:rsidRPr="000B7589">
        <w:rPr>
          <w:rFonts w:eastAsia="Calibri"/>
          <w:lang w:eastAsia="en-US"/>
        </w:rPr>
        <w:t xml:space="preserve">dentity </w:t>
      </w:r>
      <w:r w:rsidR="00B26602">
        <w:rPr>
          <w:rFonts w:eastAsia="Calibri"/>
          <w:lang w:eastAsia="en-US"/>
        </w:rPr>
        <w:t>p</w:t>
      </w:r>
      <w:r w:rsidRPr="000B7589">
        <w:rPr>
          <w:rFonts w:eastAsia="Calibri"/>
          <w:lang w:eastAsia="en-US"/>
        </w:rPr>
        <w:t xml:space="preserve">roviders and other </w:t>
      </w:r>
      <w:r w:rsidR="00726612">
        <w:rPr>
          <w:rFonts w:eastAsia="Calibri"/>
          <w:lang w:eastAsia="en-US"/>
        </w:rPr>
        <w:t xml:space="preserve">onboarded </w:t>
      </w:r>
      <w:r w:rsidR="006E797D">
        <w:rPr>
          <w:rFonts w:eastAsia="Calibri"/>
          <w:lang w:eastAsia="en-US"/>
        </w:rPr>
        <w:t>a</w:t>
      </w:r>
      <w:r w:rsidRPr="000B7589">
        <w:rPr>
          <w:rFonts w:eastAsia="Calibri"/>
          <w:lang w:eastAsia="en-US"/>
        </w:rPr>
        <w:t xml:space="preserve">ccredited </w:t>
      </w:r>
      <w:r w:rsidR="00726612">
        <w:rPr>
          <w:rFonts w:eastAsia="Calibri"/>
          <w:lang w:eastAsia="en-US"/>
        </w:rPr>
        <w:t xml:space="preserve">entities </w:t>
      </w:r>
      <w:r w:rsidRPr="000B7589">
        <w:rPr>
          <w:rFonts w:eastAsia="Calibri"/>
          <w:lang w:eastAsia="en-US"/>
        </w:rPr>
        <w:t xml:space="preserve">operating </w:t>
      </w:r>
      <w:r w:rsidR="000C7ECF">
        <w:rPr>
          <w:rFonts w:eastAsia="Calibri"/>
          <w:lang w:eastAsia="en-US"/>
        </w:rPr>
        <w:t>Digital ID</w:t>
      </w:r>
      <w:r w:rsidRPr="000B7589">
        <w:rPr>
          <w:rFonts w:eastAsia="Calibri"/>
          <w:lang w:eastAsia="en-US"/>
        </w:rPr>
        <w:t>. Participating entities would be accountable to a designated entity – such as the OAIC or a nominated Code administrator.</w:t>
      </w:r>
    </w:p>
    <w:p w14:paraId="0527993A" w14:textId="0F994D1D" w:rsidR="00E6232E" w:rsidRPr="000B7589" w:rsidRDefault="00E6232E" w:rsidP="00382FFE">
      <w:pPr>
        <w:pStyle w:val="BodyText"/>
        <w:rPr>
          <w:lang w:eastAsia="en-US"/>
        </w:rPr>
      </w:pPr>
      <w:r w:rsidRPr="000B7589">
        <w:rPr>
          <w:lang w:eastAsia="en-US"/>
        </w:rPr>
        <w:t xml:space="preserve">Part IIIB of the Privacy Act allows the Information Commissioner to approve and register enforceable Codes developed by entities on their own initiative, on request by the Information Commissioner or by the Commissioner directly. A Code developed for </w:t>
      </w:r>
      <w:r w:rsidR="000C7ECF">
        <w:rPr>
          <w:lang w:eastAsia="en-US"/>
        </w:rPr>
        <w:t>Digital ID</w:t>
      </w:r>
      <w:r w:rsidRPr="000B7589">
        <w:rPr>
          <w:lang w:eastAsia="en-US"/>
        </w:rPr>
        <w:t xml:space="preserve"> would operate in addition to the requirements of the Privacy Act, and could address some of the shortcomings described in </w:t>
      </w:r>
      <w:r w:rsidR="007D2384" w:rsidRPr="00E6521F">
        <w:rPr>
          <w:color w:val="008675"/>
          <w:lang w:eastAsia="en-US"/>
        </w:rPr>
        <w:t>S</w:t>
      </w:r>
      <w:r w:rsidRPr="00E6521F">
        <w:rPr>
          <w:color w:val="008675"/>
          <w:lang w:eastAsia="en-US"/>
        </w:rPr>
        <w:t xml:space="preserve">ection </w:t>
      </w:r>
      <w:r w:rsidRPr="00E6521F">
        <w:rPr>
          <w:color w:val="008675"/>
          <w:lang w:eastAsia="en-US"/>
        </w:rPr>
        <w:fldChar w:fldCharType="begin"/>
      </w:r>
      <w:r w:rsidRPr="00E6521F">
        <w:rPr>
          <w:color w:val="008675"/>
          <w:lang w:eastAsia="en-US"/>
        </w:rPr>
        <w:instrText xml:space="preserve"> REF _Ref63154240 \h  \* MERGEFORMAT </w:instrText>
      </w:r>
      <w:r w:rsidRPr="00E6521F">
        <w:rPr>
          <w:color w:val="008675"/>
          <w:lang w:eastAsia="en-US"/>
        </w:rPr>
      </w:r>
      <w:r w:rsidRPr="00E6521F">
        <w:rPr>
          <w:color w:val="008675"/>
          <w:lang w:eastAsia="en-US"/>
        </w:rPr>
        <w:fldChar w:fldCharType="separate"/>
      </w:r>
      <w:r w:rsidRPr="00E6521F">
        <w:rPr>
          <w:color w:val="008675"/>
          <w:lang w:eastAsia="en-US"/>
        </w:rPr>
        <w:t xml:space="preserve">3.2.2 Lack of </w:t>
      </w:r>
      <w:r w:rsidR="00E63253" w:rsidRPr="00E6521F">
        <w:rPr>
          <w:color w:val="008675"/>
          <w:lang w:eastAsia="en-US"/>
        </w:rPr>
        <w:t>t</w:t>
      </w:r>
      <w:r w:rsidRPr="00E6521F">
        <w:rPr>
          <w:color w:val="008675"/>
          <w:lang w:eastAsia="en-US"/>
        </w:rPr>
        <w:t xml:space="preserve">rust in </w:t>
      </w:r>
      <w:r w:rsidR="00E63253" w:rsidRPr="00E6521F">
        <w:rPr>
          <w:color w:val="008675"/>
          <w:lang w:eastAsia="en-US"/>
        </w:rPr>
        <w:t>s</w:t>
      </w:r>
      <w:r w:rsidRPr="00E6521F">
        <w:rPr>
          <w:color w:val="008675"/>
          <w:lang w:eastAsia="en-US"/>
        </w:rPr>
        <w:t xml:space="preserve">ystem’s </w:t>
      </w:r>
      <w:r w:rsidR="00E63253" w:rsidRPr="00E6521F">
        <w:rPr>
          <w:color w:val="008675"/>
          <w:lang w:eastAsia="en-US"/>
        </w:rPr>
        <w:t>p</w:t>
      </w:r>
      <w:r w:rsidRPr="00E6521F">
        <w:rPr>
          <w:color w:val="008675"/>
          <w:lang w:eastAsia="en-US"/>
        </w:rPr>
        <w:t xml:space="preserve">rivacy and </w:t>
      </w:r>
      <w:r w:rsidR="00E63253" w:rsidRPr="00E6521F">
        <w:rPr>
          <w:color w:val="008675"/>
          <w:lang w:eastAsia="en-US"/>
        </w:rPr>
        <w:t>s</w:t>
      </w:r>
      <w:r w:rsidRPr="00E6521F">
        <w:rPr>
          <w:color w:val="008675"/>
          <w:lang w:eastAsia="en-US"/>
        </w:rPr>
        <w:t xml:space="preserve">ecurity </w:t>
      </w:r>
      <w:r w:rsidR="00E63253" w:rsidRPr="00E6521F">
        <w:rPr>
          <w:color w:val="008675"/>
          <w:lang w:eastAsia="en-US"/>
        </w:rPr>
        <w:t>s</w:t>
      </w:r>
      <w:r w:rsidRPr="00E6521F">
        <w:rPr>
          <w:color w:val="008675"/>
          <w:lang w:eastAsia="en-US"/>
        </w:rPr>
        <w:t>afeguards</w:t>
      </w:r>
      <w:r w:rsidRPr="00E6521F">
        <w:rPr>
          <w:color w:val="008675"/>
          <w:lang w:eastAsia="en-US"/>
        </w:rPr>
        <w:fldChar w:fldCharType="end"/>
      </w:r>
      <w:r w:rsidRPr="00466780">
        <w:rPr>
          <w:color w:val="00B0F0"/>
          <w:lang w:eastAsia="en-US"/>
        </w:rPr>
        <w:t xml:space="preserve"> </w:t>
      </w:r>
      <w:r w:rsidRPr="000B7589">
        <w:rPr>
          <w:lang w:eastAsia="en-US"/>
        </w:rPr>
        <w:t>as well as providing an enforcement regime. As Codes under the Privacy Act are disallowable legislative instruments, this approach may address, to a certain extent, the identified problems relating to scrutiny and transparency of privacy rules and requirements.</w:t>
      </w:r>
    </w:p>
    <w:p w14:paraId="5B2DEB75" w14:textId="51ECF6F5" w:rsidR="00E6232E" w:rsidRPr="000B7589" w:rsidRDefault="00E6232E" w:rsidP="00382FFE">
      <w:pPr>
        <w:pStyle w:val="BodyText"/>
        <w:rPr>
          <w:lang w:eastAsia="en-US"/>
        </w:rPr>
      </w:pPr>
      <w:r w:rsidRPr="000B7589">
        <w:rPr>
          <w:lang w:eastAsia="en-US"/>
        </w:rPr>
        <w:t xml:space="preserve">As it leverages existing regulatory arrangements, Option 2 would not be capable of providing legal authority for expansion of </w:t>
      </w:r>
      <w:r w:rsidR="00337582">
        <w:rPr>
          <w:lang w:eastAsia="en-US"/>
        </w:rPr>
        <w:t>Digital ID</w:t>
      </w:r>
      <w:r w:rsidRPr="000B7589">
        <w:rPr>
          <w:lang w:eastAsia="en-US"/>
        </w:rPr>
        <w:t xml:space="preserve"> to private sector </w:t>
      </w:r>
      <w:r w:rsidR="00FC55EA">
        <w:rPr>
          <w:lang w:eastAsia="en-US"/>
        </w:rPr>
        <w:t>r</w:t>
      </w:r>
      <w:r w:rsidRPr="000B7589">
        <w:rPr>
          <w:lang w:eastAsia="en-US"/>
        </w:rPr>
        <w:t xml:space="preserve">elying </w:t>
      </w:r>
      <w:r w:rsidR="00FC55EA">
        <w:rPr>
          <w:lang w:eastAsia="en-US"/>
        </w:rPr>
        <w:t>p</w:t>
      </w:r>
      <w:r w:rsidRPr="000B7589">
        <w:rPr>
          <w:lang w:eastAsia="en-US"/>
        </w:rPr>
        <w:t xml:space="preserve">arties, implement a </w:t>
      </w:r>
      <w:r w:rsidR="006D5324">
        <w:rPr>
          <w:lang w:eastAsia="en-US"/>
        </w:rPr>
        <w:t>c</w:t>
      </w:r>
      <w:r w:rsidRPr="000B7589">
        <w:rPr>
          <w:lang w:eastAsia="en-US"/>
        </w:rPr>
        <w:t xml:space="preserve">harging </w:t>
      </w:r>
      <w:r w:rsidR="006D5324">
        <w:rPr>
          <w:lang w:eastAsia="en-US"/>
        </w:rPr>
        <w:t>f</w:t>
      </w:r>
      <w:r w:rsidRPr="000B7589">
        <w:rPr>
          <w:lang w:eastAsia="en-US"/>
        </w:rPr>
        <w:t xml:space="preserve">ramework, nor establishing a permanent </w:t>
      </w:r>
      <w:r w:rsidR="004B0885">
        <w:rPr>
          <w:rFonts w:eastAsia="Calibri"/>
          <w:szCs w:val="20"/>
          <w:lang w:eastAsia="en-US"/>
        </w:rPr>
        <w:t xml:space="preserve">Oversight </w:t>
      </w:r>
      <w:r w:rsidRPr="000B7589">
        <w:rPr>
          <w:lang w:eastAsia="en-US"/>
        </w:rPr>
        <w:t xml:space="preserve">Authority. </w:t>
      </w:r>
      <w:r w:rsidRPr="000B7589">
        <w:rPr>
          <w:lang w:eastAsia="en-US"/>
        </w:rPr>
        <w:lastRenderedPageBreak/>
        <w:t>Therefore, it would see a continuation of the current governance arrangement, featuring joint oversight by Services Australia and the DTA, unless an alternative non-permanent, non-legislated governance arrangement is made.</w:t>
      </w:r>
    </w:p>
    <w:p w14:paraId="0BAED9D9" w14:textId="6685CA08" w:rsidR="00E6232E" w:rsidRPr="00AF23F4" w:rsidRDefault="00E6232E" w:rsidP="00F00A6E">
      <w:pPr>
        <w:pStyle w:val="Heading2NoNumbers"/>
        <w:rPr>
          <w:color w:val="008675"/>
          <w:lang w:eastAsia="en-US"/>
        </w:rPr>
      </w:pPr>
      <w:bookmarkStart w:id="285" w:name="_Ref64886692"/>
      <w:bookmarkStart w:id="286" w:name="_Toc80884671"/>
      <w:bookmarkStart w:id="287" w:name="_Toc81226630"/>
      <w:bookmarkStart w:id="288" w:name="_Toc81226906"/>
      <w:bookmarkStart w:id="289" w:name="_Toc81228250"/>
      <w:bookmarkStart w:id="290" w:name="_Toc83951193"/>
      <w:bookmarkStart w:id="291" w:name="_Toc84925797"/>
      <w:bookmarkStart w:id="292" w:name="_Toc84925892"/>
      <w:bookmarkStart w:id="293" w:name="_Toc86045136"/>
      <w:bookmarkStart w:id="294" w:name="_Toc86070014"/>
      <w:bookmarkStart w:id="295" w:name="_Toc149740339"/>
      <w:bookmarkStart w:id="296" w:name="Option"/>
      <w:bookmarkStart w:id="297" w:name="Dedicated"/>
      <w:r w:rsidRPr="00AF23F4">
        <w:rPr>
          <w:color w:val="008675"/>
          <w:lang w:eastAsia="en-US"/>
        </w:rPr>
        <w:t xml:space="preserve">5.3 Option 3: Dedicated </w:t>
      </w:r>
      <w:r w:rsidR="008B523F" w:rsidRPr="00AF23F4">
        <w:rPr>
          <w:color w:val="008675"/>
          <w:lang w:eastAsia="en-US"/>
        </w:rPr>
        <w:t>l</w:t>
      </w:r>
      <w:r w:rsidRPr="00AF23F4">
        <w:rPr>
          <w:color w:val="008675"/>
          <w:lang w:eastAsia="en-US"/>
        </w:rPr>
        <w:t xml:space="preserve">egislation to </w:t>
      </w:r>
      <w:r w:rsidR="008B523F" w:rsidRPr="00AF23F4">
        <w:rPr>
          <w:color w:val="008675"/>
          <w:lang w:eastAsia="en-US"/>
        </w:rPr>
        <w:t>e</w:t>
      </w:r>
      <w:r w:rsidRPr="00AF23F4">
        <w:rPr>
          <w:color w:val="008675"/>
          <w:lang w:eastAsia="en-US"/>
        </w:rPr>
        <w:t xml:space="preserve">stablish </w:t>
      </w:r>
      <w:r w:rsidR="008B523F" w:rsidRPr="00AF23F4">
        <w:rPr>
          <w:color w:val="008675"/>
          <w:lang w:eastAsia="en-US"/>
        </w:rPr>
        <w:t>n</w:t>
      </w:r>
      <w:r w:rsidRPr="00AF23F4">
        <w:rPr>
          <w:color w:val="008675"/>
          <w:lang w:eastAsia="en-US"/>
        </w:rPr>
        <w:t xml:space="preserve">ew </w:t>
      </w:r>
      <w:r w:rsidR="008B523F" w:rsidRPr="00AF23F4">
        <w:rPr>
          <w:color w:val="008675"/>
          <w:lang w:eastAsia="en-US"/>
        </w:rPr>
        <w:t>r</w:t>
      </w:r>
      <w:r w:rsidRPr="00AF23F4">
        <w:rPr>
          <w:color w:val="008675"/>
          <w:lang w:eastAsia="en-US"/>
        </w:rPr>
        <w:t xml:space="preserve">egulatory </w:t>
      </w:r>
      <w:r w:rsidR="008B523F" w:rsidRPr="00AF23F4">
        <w:rPr>
          <w:color w:val="008675"/>
          <w:lang w:eastAsia="en-US"/>
        </w:rPr>
        <w:t>s</w:t>
      </w:r>
      <w:r w:rsidRPr="00AF23F4">
        <w:rPr>
          <w:color w:val="008675"/>
          <w:lang w:eastAsia="en-US"/>
        </w:rPr>
        <w:t>cheme</w:t>
      </w:r>
      <w:bookmarkEnd w:id="285"/>
      <w:bookmarkEnd w:id="286"/>
      <w:bookmarkEnd w:id="287"/>
      <w:bookmarkEnd w:id="288"/>
      <w:bookmarkEnd w:id="289"/>
      <w:bookmarkEnd w:id="290"/>
      <w:bookmarkEnd w:id="291"/>
      <w:bookmarkEnd w:id="292"/>
      <w:bookmarkEnd w:id="293"/>
      <w:bookmarkEnd w:id="294"/>
      <w:bookmarkEnd w:id="295"/>
      <w:r w:rsidRPr="00AF23F4">
        <w:rPr>
          <w:color w:val="008675"/>
          <w:lang w:eastAsia="en-US"/>
        </w:rPr>
        <w:t xml:space="preserve"> </w:t>
      </w:r>
    </w:p>
    <w:p w14:paraId="0CEE7F1F" w14:textId="4E1BB986" w:rsidR="00D1186A" w:rsidRDefault="009C0D46" w:rsidP="009C0D46">
      <w:pPr>
        <w:pStyle w:val="BodyText"/>
      </w:pPr>
      <w:bookmarkStart w:id="298" w:name="_Toc64549261"/>
      <w:bookmarkStart w:id="299" w:name="_Toc80884672"/>
      <w:bookmarkStart w:id="300" w:name="_Toc84925798"/>
      <w:bookmarkStart w:id="301" w:name="_Toc86070015"/>
      <w:bookmarkEnd w:id="296"/>
      <w:bookmarkEnd w:id="297"/>
      <w:r>
        <w:t xml:space="preserve">Option 3 involves establishment of a dedicated regulatory scheme for </w:t>
      </w:r>
      <w:r w:rsidR="00337582">
        <w:t>AGDIS and an accreditation scheme</w:t>
      </w:r>
      <w:r w:rsidR="00ED042E">
        <w:t xml:space="preserve">, including an established role for the </w:t>
      </w:r>
      <w:r w:rsidR="004A630F">
        <w:t>ACCC as the initial Australian Digital ID Regulator</w:t>
      </w:r>
      <w:r>
        <w:t>.</w:t>
      </w:r>
      <w:r w:rsidR="00D44FE0">
        <w:t xml:space="preserve"> </w:t>
      </w:r>
      <w:r>
        <w:t xml:space="preserve">The regulatory scheme will be established through a package of instruments including the </w:t>
      </w:r>
      <w:r w:rsidR="2C105A80" w:rsidRPr="00513094">
        <w:rPr>
          <w:i/>
          <w:iCs/>
        </w:rPr>
        <w:t>Digital ID</w:t>
      </w:r>
      <w:r>
        <w:rPr>
          <w:i/>
          <w:iCs/>
        </w:rPr>
        <w:t xml:space="preserve"> Bill</w:t>
      </w:r>
      <w:r>
        <w:t xml:space="preserve"> </w:t>
      </w:r>
      <w:r w:rsidR="6860D17D" w:rsidRPr="00D915C0">
        <w:rPr>
          <w:i/>
          <w:iCs/>
        </w:rPr>
        <w:t>2023</w:t>
      </w:r>
      <w:r w:rsidR="00337582">
        <w:rPr>
          <w:i/>
          <w:iCs/>
        </w:rPr>
        <w:t xml:space="preserve"> </w:t>
      </w:r>
      <w:r>
        <w:t>and associated rules (the Bill), as well as further legislation covering transitional and consequential matters.</w:t>
      </w:r>
      <w:r w:rsidR="00D44FE0">
        <w:t xml:space="preserve"> </w:t>
      </w:r>
      <w:r>
        <w:t xml:space="preserve">Both pieces of primary legislation would become law upon Parliamentary approval, whereas the </w:t>
      </w:r>
      <w:r w:rsidR="00570C1A">
        <w:t>Digital ID A</w:t>
      </w:r>
      <w:r>
        <w:t>ccreditation</w:t>
      </w:r>
      <w:r w:rsidDel="00570C1A">
        <w:t xml:space="preserve"> </w:t>
      </w:r>
      <w:r w:rsidR="00570C1A">
        <w:t xml:space="preserve">Rules </w:t>
      </w:r>
      <w:r>
        <w:t xml:space="preserve">and </w:t>
      </w:r>
      <w:r w:rsidR="00570C1A">
        <w:t>Digital ID Rules</w:t>
      </w:r>
      <w:r>
        <w:t xml:space="preserve"> are legally binding instruments which must be tabled in, and can be ‘disallowed’ by, Parliament.</w:t>
      </w:r>
      <w:r w:rsidR="00D44FE0">
        <w:t xml:space="preserve"> </w:t>
      </w:r>
      <w:r>
        <w:t xml:space="preserve">Various other documents will give operational effect to the regulatory scheme, including technical standards which </w:t>
      </w:r>
      <w:r w:rsidR="00D1186A" w:rsidRPr="00D1186A">
        <w:t>will be legislative instruments not subject to disallowance</w:t>
      </w:r>
      <w:r w:rsidR="00D1186A">
        <w:t>.</w:t>
      </w:r>
    </w:p>
    <w:p w14:paraId="3CA4F43E" w14:textId="18A924A5" w:rsidR="009C0D46" w:rsidRPr="008849C0" w:rsidRDefault="009C0D46" w:rsidP="009C0D46">
      <w:pPr>
        <w:pStyle w:val="BodyText"/>
        <w:rPr>
          <w:rFonts w:ascii="Calibri" w:eastAsiaTheme="minorHAnsi" w:hAnsi="Calibri" w:cs="Calibri"/>
          <w:sz w:val="22"/>
          <w:szCs w:val="22"/>
        </w:rPr>
      </w:pPr>
      <w:r>
        <w:rPr>
          <w:lang w:eastAsia="en-US"/>
        </w:rPr>
        <w:t xml:space="preserve">Option 3 </w:t>
      </w:r>
      <w:r w:rsidRPr="000B7589">
        <w:rPr>
          <w:lang w:eastAsia="en-US"/>
        </w:rPr>
        <w:t xml:space="preserve">supports an expansion of </w:t>
      </w:r>
      <w:r w:rsidR="00337582">
        <w:rPr>
          <w:lang w:eastAsia="en-US"/>
        </w:rPr>
        <w:t>Digital ID</w:t>
      </w:r>
      <w:r w:rsidRPr="000B7589">
        <w:rPr>
          <w:lang w:eastAsia="en-US"/>
        </w:rPr>
        <w:t>, by providing both the legislative authority to involve non-</w:t>
      </w:r>
      <w:r w:rsidR="001F7573">
        <w:rPr>
          <w:lang w:eastAsia="en-US"/>
        </w:rPr>
        <w:t>Commonwealth</w:t>
      </w:r>
      <w:r w:rsidRPr="000B7589" w:rsidDel="004875A8">
        <w:rPr>
          <w:lang w:eastAsia="en-US"/>
        </w:rPr>
        <w:t xml:space="preserve"> </w:t>
      </w:r>
      <w:r>
        <w:rPr>
          <w:lang w:eastAsia="en-US"/>
        </w:rPr>
        <w:t>r</w:t>
      </w:r>
      <w:r w:rsidRPr="000B7589">
        <w:rPr>
          <w:lang w:eastAsia="en-US"/>
        </w:rPr>
        <w:t xml:space="preserve">elying </w:t>
      </w:r>
      <w:r>
        <w:rPr>
          <w:lang w:eastAsia="en-US"/>
        </w:rPr>
        <w:t>p</w:t>
      </w:r>
      <w:r w:rsidRPr="000B7589">
        <w:rPr>
          <w:lang w:eastAsia="en-US"/>
        </w:rPr>
        <w:t>arties, and the ability for</w:t>
      </w:r>
      <w:r>
        <w:rPr>
          <w:lang w:eastAsia="en-US"/>
        </w:rPr>
        <w:t xml:space="preserve"> onboarded</w:t>
      </w:r>
      <w:r w:rsidRPr="000B7589">
        <w:rPr>
          <w:lang w:eastAsia="en-US"/>
        </w:rPr>
        <w:t xml:space="preserve"> </w:t>
      </w:r>
      <w:r>
        <w:rPr>
          <w:lang w:eastAsia="en-US"/>
        </w:rPr>
        <w:t>a</w:t>
      </w:r>
      <w:r w:rsidRPr="000B7589">
        <w:rPr>
          <w:lang w:eastAsia="en-US"/>
        </w:rPr>
        <w:t xml:space="preserve">ccredited </w:t>
      </w:r>
      <w:r>
        <w:rPr>
          <w:lang w:eastAsia="en-US"/>
        </w:rPr>
        <w:t xml:space="preserve">entities </w:t>
      </w:r>
      <w:r w:rsidRPr="000B7589">
        <w:rPr>
          <w:lang w:eastAsia="en-US"/>
        </w:rPr>
        <w:t xml:space="preserve">to be subject to a legislated </w:t>
      </w:r>
      <w:r>
        <w:rPr>
          <w:lang w:eastAsia="en-US"/>
        </w:rPr>
        <w:t>c</w:t>
      </w:r>
      <w:r w:rsidRPr="000B7589">
        <w:rPr>
          <w:lang w:eastAsia="en-US"/>
        </w:rPr>
        <w:t xml:space="preserve">harging </w:t>
      </w:r>
      <w:r>
        <w:rPr>
          <w:lang w:eastAsia="en-US"/>
        </w:rPr>
        <w:t>f</w:t>
      </w:r>
      <w:r w:rsidRPr="000B7589">
        <w:rPr>
          <w:lang w:eastAsia="en-US"/>
        </w:rPr>
        <w:t xml:space="preserve">ramework. In addition to other measures described below, this new regulatory scheme would only apply to </w:t>
      </w:r>
      <w:r w:rsidR="00F92B70">
        <w:rPr>
          <w:lang w:eastAsia="en-US"/>
        </w:rPr>
        <w:t>AGDIS</w:t>
      </w:r>
      <w:r w:rsidR="00B53EBD">
        <w:rPr>
          <w:lang w:eastAsia="en-US"/>
        </w:rPr>
        <w:t xml:space="preserve"> and accredited providers</w:t>
      </w:r>
      <w:r w:rsidRPr="000B7589">
        <w:rPr>
          <w:lang w:eastAsia="en-US"/>
        </w:rPr>
        <w:t xml:space="preserve"> (not digital </w:t>
      </w:r>
      <w:r w:rsidR="00500088">
        <w:rPr>
          <w:lang w:eastAsia="en-US"/>
        </w:rPr>
        <w:t>ID</w:t>
      </w:r>
      <w:r w:rsidR="00500088" w:rsidRPr="000B7589">
        <w:rPr>
          <w:lang w:eastAsia="en-US"/>
        </w:rPr>
        <w:t xml:space="preserve"> </w:t>
      </w:r>
      <w:r w:rsidRPr="000B7589">
        <w:rPr>
          <w:lang w:eastAsia="en-US"/>
        </w:rPr>
        <w:t>systems in general</w:t>
      </w:r>
      <w:r>
        <w:rPr>
          <w:lang w:eastAsia="en-US"/>
        </w:rPr>
        <w:t xml:space="preserve">, though other digital </w:t>
      </w:r>
      <w:r w:rsidR="00500088">
        <w:rPr>
          <w:lang w:eastAsia="en-US"/>
        </w:rPr>
        <w:t xml:space="preserve">ID </w:t>
      </w:r>
      <w:r>
        <w:rPr>
          <w:lang w:eastAsia="en-US"/>
        </w:rPr>
        <w:t>systems may choose to join the Government’s System</w:t>
      </w:r>
      <w:r w:rsidRPr="000B7589">
        <w:rPr>
          <w:lang w:eastAsia="en-US"/>
        </w:rPr>
        <w:t>)</w:t>
      </w:r>
      <w:r>
        <w:rPr>
          <w:lang w:eastAsia="en-US"/>
        </w:rPr>
        <w:t xml:space="preserve"> </w:t>
      </w:r>
      <w:r w:rsidRPr="000B7589">
        <w:rPr>
          <w:lang w:eastAsia="en-US"/>
        </w:rPr>
        <w:t>and would ensure th</w:t>
      </w:r>
      <w:r>
        <w:rPr>
          <w:lang w:eastAsia="en-US"/>
        </w:rPr>
        <w:t xml:space="preserve">at it </w:t>
      </w:r>
      <w:r w:rsidRPr="000B7589">
        <w:rPr>
          <w:lang w:eastAsia="en-US"/>
        </w:rPr>
        <w:t xml:space="preserve">remains voluntary. Should individuals choose to participate, they will be able to select from a wider range of </w:t>
      </w:r>
      <w:r>
        <w:rPr>
          <w:lang w:eastAsia="en-US"/>
        </w:rPr>
        <w:t>onboarded a</w:t>
      </w:r>
      <w:r w:rsidRPr="000B7589">
        <w:rPr>
          <w:lang w:eastAsia="en-US"/>
        </w:rPr>
        <w:t xml:space="preserve">ccredited and </w:t>
      </w:r>
      <w:r>
        <w:rPr>
          <w:lang w:eastAsia="en-US"/>
        </w:rPr>
        <w:t>r</w:t>
      </w:r>
      <w:r w:rsidRPr="000B7589">
        <w:rPr>
          <w:lang w:eastAsia="en-US"/>
        </w:rPr>
        <w:t xml:space="preserve">elying </w:t>
      </w:r>
      <w:r>
        <w:rPr>
          <w:lang w:eastAsia="en-US"/>
        </w:rPr>
        <w:t>p</w:t>
      </w:r>
      <w:r w:rsidRPr="000B7589">
        <w:rPr>
          <w:lang w:eastAsia="en-US"/>
        </w:rPr>
        <w:t>arties,</w:t>
      </w:r>
      <w:r w:rsidR="00F92B70">
        <w:rPr>
          <w:lang w:eastAsia="en-US"/>
        </w:rPr>
        <w:t xml:space="preserve"> with economic incentives in place </w:t>
      </w:r>
      <w:r w:rsidR="00D07600">
        <w:rPr>
          <w:lang w:eastAsia="en-US"/>
        </w:rPr>
        <w:t>for private sector engagement,</w:t>
      </w:r>
      <w:r w:rsidRPr="000B7589">
        <w:rPr>
          <w:lang w:eastAsia="en-US"/>
        </w:rPr>
        <w:t xml:space="preserve"> beyond the current pool of </w:t>
      </w:r>
      <w:r>
        <w:rPr>
          <w:lang w:eastAsia="en-US"/>
        </w:rPr>
        <w:t>Australian Government</w:t>
      </w:r>
      <w:r w:rsidRPr="000B7589">
        <w:rPr>
          <w:lang w:eastAsia="en-US"/>
        </w:rPr>
        <w:t>-only entities.</w:t>
      </w:r>
    </w:p>
    <w:p w14:paraId="5B619537" w14:textId="581D6896" w:rsidR="00E6232E" w:rsidRPr="00274291" w:rsidRDefault="00E6232E" w:rsidP="00F00A6E">
      <w:pPr>
        <w:pStyle w:val="Heading3NoNumbers"/>
        <w:rPr>
          <w:color w:val="008675"/>
          <w:lang w:eastAsia="en-US"/>
        </w:rPr>
      </w:pPr>
      <w:r w:rsidRPr="00274291">
        <w:rPr>
          <w:color w:val="008675"/>
          <w:lang w:eastAsia="en-US"/>
        </w:rPr>
        <w:t xml:space="preserve">5.3.1 Key </w:t>
      </w:r>
      <w:r w:rsidR="008B523F" w:rsidRPr="00274291">
        <w:rPr>
          <w:color w:val="008675"/>
          <w:lang w:eastAsia="en-US"/>
        </w:rPr>
        <w:t>e</w:t>
      </w:r>
      <w:r w:rsidRPr="00274291">
        <w:rPr>
          <w:color w:val="008675"/>
          <w:lang w:eastAsia="en-US"/>
        </w:rPr>
        <w:t xml:space="preserve">lements of </w:t>
      </w:r>
      <w:r w:rsidR="008B523F" w:rsidRPr="00274291">
        <w:rPr>
          <w:color w:val="008675"/>
          <w:lang w:eastAsia="en-US"/>
        </w:rPr>
        <w:t>d</w:t>
      </w:r>
      <w:r w:rsidRPr="00274291">
        <w:rPr>
          <w:color w:val="008675"/>
          <w:lang w:eastAsia="en-US"/>
        </w:rPr>
        <w:t xml:space="preserve">edicated </w:t>
      </w:r>
      <w:r w:rsidR="008B523F" w:rsidRPr="00274291">
        <w:rPr>
          <w:color w:val="008675"/>
          <w:lang w:eastAsia="en-US"/>
        </w:rPr>
        <w:t>r</w:t>
      </w:r>
      <w:r w:rsidRPr="00274291">
        <w:rPr>
          <w:color w:val="008675"/>
          <w:lang w:eastAsia="en-US"/>
        </w:rPr>
        <w:t xml:space="preserve">egulatory </w:t>
      </w:r>
      <w:r w:rsidR="008B523F" w:rsidRPr="00274291">
        <w:rPr>
          <w:color w:val="008675"/>
          <w:lang w:eastAsia="en-US"/>
        </w:rPr>
        <w:t>s</w:t>
      </w:r>
      <w:r w:rsidRPr="00274291">
        <w:rPr>
          <w:color w:val="008675"/>
          <w:lang w:eastAsia="en-US"/>
        </w:rPr>
        <w:t>cheme</w:t>
      </w:r>
      <w:bookmarkEnd w:id="298"/>
      <w:bookmarkEnd w:id="299"/>
      <w:bookmarkEnd w:id="300"/>
      <w:bookmarkEnd w:id="301"/>
    </w:p>
    <w:p w14:paraId="49A634A0" w14:textId="4C99356A" w:rsidR="00E6232E" w:rsidRPr="000B7589" w:rsidRDefault="00E6232E" w:rsidP="00382FFE">
      <w:pPr>
        <w:pStyle w:val="BodyText"/>
        <w:rPr>
          <w:lang w:eastAsia="en-US"/>
        </w:rPr>
      </w:pPr>
      <w:r w:rsidRPr="000B7589">
        <w:rPr>
          <w:lang w:eastAsia="en-US"/>
        </w:rPr>
        <w:t xml:space="preserve">Key measures proposed to be included in the regulatory scheme, which align with and address the identified problem areas, are listed below. As described in </w:t>
      </w:r>
      <w:bookmarkStart w:id="302" w:name="section10consultationundertaken"/>
      <w:r w:rsidR="00AB3255" w:rsidRPr="00274291">
        <w:rPr>
          <w:color w:val="008675"/>
          <w:lang w:eastAsia="en-US"/>
        </w:rPr>
        <w:fldChar w:fldCharType="begin"/>
      </w:r>
      <w:r w:rsidR="00AB3255" w:rsidRPr="00274291">
        <w:rPr>
          <w:color w:val="008675"/>
          <w:lang w:eastAsia="en-US"/>
        </w:rPr>
        <w:instrText xml:space="preserve"> HYPERLINK  \l "section10" </w:instrText>
      </w:r>
      <w:r w:rsidR="00AB3255" w:rsidRPr="00274291">
        <w:rPr>
          <w:color w:val="008675"/>
          <w:lang w:eastAsia="en-US"/>
        </w:rPr>
        <w:fldChar w:fldCharType="separate"/>
      </w:r>
      <w:r w:rsidR="006219B8" w:rsidRPr="00274291">
        <w:rPr>
          <w:rStyle w:val="Hyperlink"/>
          <w:color w:val="008675"/>
          <w:lang w:eastAsia="en-US"/>
        </w:rPr>
        <w:fldChar w:fldCharType="begin"/>
      </w:r>
      <w:r w:rsidR="006219B8" w:rsidRPr="00274291">
        <w:rPr>
          <w:rStyle w:val="Hyperlink"/>
          <w:color w:val="008675"/>
          <w:lang w:eastAsia="en-US"/>
        </w:rPr>
        <w:instrText xml:space="preserve"> REF _10_Consultation_Conducted \h </w:instrText>
      </w:r>
      <w:r w:rsidR="00F15A59" w:rsidRPr="00274291">
        <w:rPr>
          <w:rStyle w:val="Hyperlink"/>
          <w:color w:val="008675"/>
          <w:lang w:eastAsia="en-US"/>
        </w:rPr>
        <w:instrText xml:space="preserve"> \* MERGEFORMAT </w:instrText>
      </w:r>
      <w:r w:rsidR="006219B8" w:rsidRPr="00274291">
        <w:rPr>
          <w:rStyle w:val="Hyperlink"/>
          <w:color w:val="008675"/>
          <w:lang w:eastAsia="en-US"/>
        </w:rPr>
      </w:r>
      <w:r w:rsidR="006219B8" w:rsidRPr="00274291">
        <w:rPr>
          <w:rStyle w:val="Hyperlink"/>
          <w:color w:val="008675"/>
          <w:lang w:eastAsia="en-US"/>
        </w:rPr>
        <w:fldChar w:fldCharType="end"/>
      </w:r>
      <w:r w:rsidR="006219B8" w:rsidRPr="00274291">
        <w:rPr>
          <w:rStyle w:val="Hyperlink"/>
          <w:color w:val="008675"/>
          <w:lang w:eastAsia="en-US"/>
        </w:rPr>
        <w:fldChar w:fldCharType="begin"/>
      </w:r>
      <w:r w:rsidR="006219B8" w:rsidRPr="00274291">
        <w:rPr>
          <w:rStyle w:val="Hyperlink"/>
          <w:color w:val="008675"/>
          <w:lang w:eastAsia="en-US"/>
        </w:rPr>
        <w:instrText xml:space="preserve"> REF _10_Consultation_Conducted \h </w:instrText>
      </w:r>
      <w:r w:rsidR="00F15A59" w:rsidRPr="00274291">
        <w:rPr>
          <w:rStyle w:val="Hyperlink"/>
          <w:color w:val="008675"/>
          <w:lang w:eastAsia="en-US"/>
        </w:rPr>
        <w:instrText xml:space="preserve"> \* MERGEFORMAT </w:instrText>
      </w:r>
      <w:r w:rsidR="006219B8" w:rsidRPr="00274291">
        <w:rPr>
          <w:rStyle w:val="Hyperlink"/>
          <w:color w:val="008675"/>
          <w:lang w:eastAsia="en-US"/>
        </w:rPr>
      </w:r>
      <w:r w:rsidR="006219B8" w:rsidRPr="00274291">
        <w:rPr>
          <w:rStyle w:val="Hyperlink"/>
          <w:color w:val="008675"/>
          <w:lang w:eastAsia="en-US"/>
        </w:rPr>
        <w:fldChar w:fldCharType="end"/>
      </w:r>
      <w:r w:rsidR="006219B8" w:rsidRPr="00274291">
        <w:rPr>
          <w:rStyle w:val="Hyperlink"/>
          <w:color w:val="008675"/>
          <w:lang w:eastAsia="en-US"/>
        </w:rPr>
        <w:fldChar w:fldCharType="begin"/>
      </w:r>
      <w:r w:rsidR="006219B8" w:rsidRPr="00274291">
        <w:rPr>
          <w:rStyle w:val="Hyperlink"/>
          <w:color w:val="008675"/>
          <w:lang w:eastAsia="en-US"/>
        </w:rPr>
        <w:instrText xml:space="preserve"> REF _10_Consultation_Conducted \h </w:instrText>
      </w:r>
      <w:r w:rsidR="00F15A59" w:rsidRPr="00274291">
        <w:rPr>
          <w:rStyle w:val="Hyperlink"/>
          <w:color w:val="008675"/>
          <w:lang w:eastAsia="en-US"/>
        </w:rPr>
        <w:instrText xml:space="preserve"> \* MERGEFORMAT </w:instrText>
      </w:r>
      <w:r w:rsidR="006219B8" w:rsidRPr="00274291">
        <w:rPr>
          <w:rStyle w:val="Hyperlink"/>
          <w:color w:val="008675"/>
          <w:lang w:eastAsia="en-US"/>
        </w:rPr>
      </w:r>
      <w:r w:rsidR="006219B8" w:rsidRPr="00274291">
        <w:rPr>
          <w:rStyle w:val="Hyperlink"/>
          <w:color w:val="008675"/>
          <w:lang w:eastAsia="en-US"/>
        </w:rPr>
        <w:fldChar w:fldCharType="end"/>
      </w:r>
      <w:r w:rsidR="006219B8" w:rsidRPr="00274291">
        <w:rPr>
          <w:rStyle w:val="Hyperlink"/>
          <w:color w:val="008675"/>
          <w:lang w:eastAsia="en-US"/>
        </w:rPr>
        <w:fldChar w:fldCharType="begin"/>
      </w:r>
      <w:r w:rsidR="006219B8" w:rsidRPr="00274291">
        <w:rPr>
          <w:rStyle w:val="Hyperlink"/>
          <w:color w:val="008675"/>
          <w:lang w:eastAsia="en-US"/>
        </w:rPr>
        <w:instrText xml:space="preserve"> REF _10_Consultation_Conducted \h </w:instrText>
      </w:r>
      <w:r w:rsidR="00F15A59" w:rsidRPr="00274291">
        <w:rPr>
          <w:rStyle w:val="Hyperlink"/>
          <w:color w:val="008675"/>
          <w:lang w:eastAsia="en-US"/>
        </w:rPr>
        <w:instrText xml:space="preserve"> \* MERGEFORMAT </w:instrText>
      </w:r>
      <w:r w:rsidR="006219B8" w:rsidRPr="00274291">
        <w:rPr>
          <w:rStyle w:val="Hyperlink"/>
          <w:color w:val="008675"/>
          <w:lang w:eastAsia="en-US"/>
        </w:rPr>
      </w:r>
      <w:r w:rsidR="006219B8" w:rsidRPr="00274291">
        <w:rPr>
          <w:rStyle w:val="Hyperlink"/>
          <w:color w:val="008675"/>
          <w:lang w:eastAsia="en-US"/>
        </w:rPr>
        <w:fldChar w:fldCharType="end"/>
      </w:r>
      <w:bookmarkEnd w:id="302"/>
      <w:r w:rsidR="00681F26" w:rsidRPr="00274291">
        <w:rPr>
          <w:rStyle w:val="Hyperlink"/>
          <w:color w:val="008675"/>
          <w:lang w:eastAsia="en-US"/>
        </w:rPr>
        <w:t>Section</w:t>
      </w:r>
      <w:r w:rsidR="00492EB8" w:rsidRPr="00274291">
        <w:rPr>
          <w:rStyle w:val="Hyperlink"/>
          <w:color w:val="008675"/>
          <w:lang w:eastAsia="en-US"/>
        </w:rPr>
        <w:t> </w:t>
      </w:r>
      <w:r w:rsidR="00681F26" w:rsidRPr="00274291">
        <w:rPr>
          <w:rStyle w:val="Hyperlink"/>
          <w:color w:val="008675"/>
          <w:lang w:eastAsia="en-US"/>
        </w:rPr>
        <w:t>10 Consultation</w:t>
      </w:r>
      <w:r w:rsidR="00AB3255" w:rsidRPr="00274291">
        <w:rPr>
          <w:color w:val="008675"/>
          <w:lang w:eastAsia="en-US"/>
        </w:rPr>
        <w:fldChar w:fldCharType="end"/>
      </w:r>
      <w:r w:rsidRPr="000B7589">
        <w:rPr>
          <w:lang w:eastAsia="en-US"/>
        </w:rPr>
        <w:t xml:space="preserve">, the </w:t>
      </w:r>
      <w:r w:rsidR="00686671">
        <w:rPr>
          <w:lang w:eastAsia="en-US"/>
        </w:rPr>
        <w:t xml:space="preserve">Australian Government’s </w:t>
      </w:r>
      <w:r w:rsidRPr="000B7589">
        <w:rPr>
          <w:lang w:eastAsia="en-US"/>
        </w:rPr>
        <w:t>position on each of these areas has been informed by ongoing analysis and consultation</w:t>
      </w:r>
      <w:r w:rsidR="001E6A84">
        <w:rPr>
          <w:lang w:eastAsia="en-US"/>
        </w:rPr>
        <w:t xml:space="preserve"> inside and outside the </w:t>
      </w:r>
      <w:r w:rsidR="00686671">
        <w:rPr>
          <w:lang w:eastAsia="en-US"/>
        </w:rPr>
        <w:t>Government</w:t>
      </w:r>
      <w:r w:rsidR="00960CE9">
        <w:rPr>
          <w:lang w:eastAsia="en-US"/>
        </w:rPr>
        <w:t xml:space="preserve">, </w:t>
      </w:r>
      <w:r w:rsidR="00681F26">
        <w:rPr>
          <w:lang w:eastAsia="en-US"/>
        </w:rPr>
        <w:t>including</w:t>
      </w:r>
      <w:r w:rsidR="00960CE9">
        <w:rPr>
          <w:lang w:eastAsia="en-US"/>
        </w:rPr>
        <w:t xml:space="preserve"> release of </w:t>
      </w:r>
      <w:r w:rsidR="00681F26">
        <w:rPr>
          <w:lang w:eastAsia="en-US"/>
        </w:rPr>
        <w:t>an exposure draft Bill</w:t>
      </w:r>
      <w:r w:rsidR="003626F2">
        <w:rPr>
          <w:lang w:eastAsia="en-US"/>
        </w:rPr>
        <w:t xml:space="preserve">. </w:t>
      </w:r>
      <w:r w:rsidR="00FC78BF">
        <w:rPr>
          <w:lang w:eastAsia="en-US"/>
        </w:rPr>
        <w:t>The most recent consultation</w:t>
      </w:r>
      <w:r w:rsidR="00F76D34">
        <w:rPr>
          <w:lang w:eastAsia="en-US"/>
        </w:rPr>
        <w:t xml:space="preserve"> </w:t>
      </w:r>
      <w:r w:rsidR="00F76D34">
        <w:rPr>
          <w:lang w:eastAsia="en-US"/>
        </w:rPr>
        <w:lastRenderedPageBreak/>
        <w:t xml:space="preserve">sought </w:t>
      </w:r>
      <w:r w:rsidR="00B66270">
        <w:rPr>
          <w:lang w:eastAsia="en-US"/>
        </w:rPr>
        <w:t xml:space="preserve">direct </w:t>
      </w:r>
      <w:r w:rsidR="00F76D34">
        <w:rPr>
          <w:lang w:eastAsia="en-US"/>
        </w:rPr>
        <w:t xml:space="preserve">feedback on the </w:t>
      </w:r>
      <w:hyperlink r:id="rId69" w:history="1">
        <w:r w:rsidR="00B66270" w:rsidRPr="00274291">
          <w:rPr>
            <w:rStyle w:val="Hyperlink"/>
            <w:color w:val="008675"/>
            <w:lang w:eastAsia="en-US"/>
          </w:rPr>
          <w:t>Digital ID Bill</w:t>
        </w:r>
      </w:hyperlink>
      <w:r w:rsidR="00B66270" w:rsidRPr="00274291">
        <w:rPr>
          <w:color w:val="008675"/>
          <w:lang w:eastAsia="en-US"/>
        </w:rPr>
        <w:t xml:space="preserve"> </w:t>
      </w:r>
      <w:r w:rsidR="00B66270">
        <w:rPr>
          <w:lang w:eastAsia="en-US"/>
        </w:rPr>
        <w:t xml:space="preserve">and the </w:t>
      </w:r>
      <w:hyperlink r:id="rId70" w:history="1">
        <w:r w:rsidR="00B66270" w:rsidRPr="00274291">
          <w:rPr>
            <w:rStyle w:val="Hyperlink"/>
            <w:color w:val="008675"/>
            <w:lang w:eastAsia="en-US"/>
          </w:rPr>
          <w:t>Digital ID Rules</w:t>
        </w:r>
      </w:hyperlink>
      <w:r w:rsidR="00B66270">
        <w:rPr>
          <w:lang w:eastAsia="en-US"/>
        </w:rPr>
        <w:t xml:space="preserve"> which outline the proposed regulatory framework and regulator establishment.</w:t>
      </w:r>
    </w:p>
    <w:p w14:paraId="083DA935" w14:textId="2CF6B50F" w:rsidR="00E6232E" w:rsidRPr="00274291" w:rsidRDefault="00E6232E" w:rsidP="00F00A6E">
      <w:pPr>
        <w:pStyle w:val="Heading4NoNumbers"/>
        <w:rPr>
          <w:color w:val="008675"/>
          <w:lang w:eastAsia="en-US"/>
        </w:rPr>
      </w:pPr>
      <w:r w:rsidRPr="00274291">
        <w:rPr>
          <w:color w:val="008675"/>
          <w:lang w:eastAsia="en-US"/>
        </w:rPr>
        <w:t xml:space="preserve">Application of </w:t>
      </w:r>
      <w:r w:rsidR="008B523F" w:rsidRPr="00274291">
        <w:rPr>
          <w:color w:val="008675"/>
          <w:lang w:eastAsia="en-US"/>
        </w:rPr>
        <w:t>r</w:t>
      </w:r>
      <w:r w:rsidRPr="00274291">
        <w:rPr>
          <w:color w:val="008675"/>
          <w:lang w:eastAsia="en-US"/>
        </w:rPr>
        <w:t xml:space="preserve">egulatory </w:t>
      </w:r>
      <w:r w:rsidR="008B523F" w:rsidRPr="00274291">
        <w:rPr>
          <w:color w:val="008675"/>
          <w:lang w:eastAsia="en-US"/>
        </w:rPr>
        <w:t>s</w:t>
      </w:r>
      <w:r w:rsidRPr="00274291">
        <w:rPr>
          <w:color w:val="008675"/>
          <w:lang w:eastAsia="en-US"/>
        </w:rPr>
        <w:t xml:space="preserve">cheme </w:t>
      </w:r>
    </w:p>
    <w:p w14:paraId="409109E1" w14:textId="7140D156" w:rsidR="00E6232E" w:rsidRPr="000B7589" w:rsidRDefault="00E6232E" w:rsidP="00382FFE">
      <w:pPr>
        <w:pStyle w:val="BodyText"/>
        <w:rPr>
          <w:lang w:eastAsia="en-US"/>
        </w:rPr>
      </w:pPr>
      <w:r w:rsidRPr="000B7589">
        <w:rPr>
          <w:lang w:eastAsia="en-US"/>
        </w:rPr>
        <w:t xml:space="preserve">Under Option 3, legislation would </w:t>
      </w:r>
      <w:r w:rsidR="00960CE9">
        <w:rPr>
          <w:lang w:eastAsia="en-US"/>
        </w:rPr>
        <w:t>enable</w:t>
      </w:r>
      <w:r w:rsidR="00960CE9" w:rsidRPr="000B7589">
        <w:rPr>
          <w:lang w:eastAsia="en-US"/>
        </w:rPr>
        <w:t xml:space="preserve"> </w:t>
      </w:r>
      <w:r w:rsidR="00686671">
        <w:rPr>
          <w:lang w:eastAsia="en-US"/>
        </w:rPr>
        <w:t>Australian Government</w:t>
      </w:r>
      <w:r w:rsidRPr="000B7589">
        <w:rPr>
          <w:lang w:eastAsia="en-US"/>
        </w:rPr>
        <w:t xml:space="preserve">, state and territory entities (including local governments) and private entities to connect to </w:t>
      </w:r>
      <w:r w:rsidR="00D07600">
        <w:rPr>
          <w:lang w:eastAsia="en-US"/>
        </w:rPr>
        <w:t>AGDIS</w:t>
      </w:r>
      <w:r w:rsidRPr="000B7589">
        <w:rPr>
          <w:lang w:eastAsia="en-US"/>
        </w:rPr>
        <w:t xml:space="preserve"> to offer or use digital </w:t>
      </w:r>
      <w:r w:rsidR="00500088">
        <w:rPr>
          <w:lang w:eastAsia="en-US"/>
        </w:rPr>
        <w:t>ID</w:t>
      </w:r>
      <w:r w:rsidR="00500088" w:rsidRPr="000B7589">
        <w:rPr>
          <w:lang w:eastAsia="en-US"/>
        </w:rPr>
        <w:t xml:space="preserve"> </w:t>
      </w:r>
      <w:r w:rsidRPr="000B7589">
        <w:rPr>
          <w:lang w:eastAsia="en-US"/>
        </w:rPr>
        <w:t xml:space="preserve">services in accordance with embedded privacy and security safeguards. It would not apply to digital identities in Australia generally and would ensure that use of the </w:t>
      </w:r>
      <w:r w:rsidR="00261B7B">
        <w:rPr>
          <w:lang w:eastAsia="en-US"/>
        </w:rPr>
        <w:t>g</w:t>
      </w:r>
      <w:r w:rsidRPr="000B7589">
        <w:rPr>
          <w:lang w:eastAsia="en-US"/>
        </w:rPr>
        <w:t xml:space="preserve">overnment </w:t>
      </w:r>
      <w:r w:rsidR="006C5CED">
        <w:rPr>
          <w:lang w:eastAsia="en-US"/>
        </w:rPr>
        <w:t>Digital ID</w:t>
      </w:r>
      <w:r w:rsidRPr="000B7589">
        <w:rPr>
          <w:lang w:eastAsia="en-US"/>
        </w:rPr>
        <w:t xml:space="preserve"> remains voluntary.</w:t>
      </w:r>
      <w:r w:rsidR="00737BA2">
        <w:rPr>
          <w:lang w:eastAsia="en-US"/>
        </w:rPr>
        <w:t xml:space="preserve"> </w:t>
      </w:r>
      <w:r w:rsidRPr="000B7589">
        <w:rPr>
          <w:lang w:eastAsia="en-US"/>
        </w:rPr>
        <w:t xml:space="preserve">Additionally, </w:t>
      </w:r>
      <w:r w:rsidR="00135C22">
        <w:rPr>
          <w:lang w:eastAsia="en-US"/>
        </w:rPr>
        <w:t xml:space="preserve">in most </w:t>
      </w:r>
      <w:r w:rsidR="005E396F">
        <w:rPr>
          <w:lang w:eastAsia="en-US"/>
        </w:rPr>
        <w:t xml:space="preserve">circumstances </w:t>
      </w:r>
      <w:r w:rsidR="00F32BA1">
        <w:rPr>
          <w:lang w:eastAsia="en-US"/>
        </w:rPr>
        <w:t xml:space="preserve">(such as where </w:t>
      </w:r>
      <w:r w:rsidR="00BB62DC">
        <w:rPr>
          <w:lang w:eastAsia="en-US"/>
        </w:rPr>
        <w:t>r</w:t>
      </w:r>
      <w:r w:rsidR="00F32BA1">
        <w:rPr>
          <w:lang w:eastAsia="en-US"/>
        </w:rPr>
        <w:t xml:space="preserve">estricted </w:t>
      </w:r>
      <w:r w:rsidR="00BB62DC">
        <w:rPr>
          <w:lang w:eastAsia="en-US"/>
        </w:rPr>
        <w:t>a</w:t>
      </w:r>
      <w:r w:rsidR="00F32BA1">
        <w:rPr>
          <w:lang w:eastAsia="en-US"/>
        </w:rPr>
        <w:t>ttributes are not involved</w:t>
      </w:r>
      <w:r w:rsidR="003D2B51">
        <w:rPr>
          <w:lang w:eastAsia="en-US"/>
        </w:rPr>
        <w:t xml:space="preserve">) </w:t>
      </w:r>
      <w:r w:rsidRPr="000B7589">
        <w:rPr>
          <w:lang w:eastAsia="en-US"/>
        </w:rPr>
        <w:t xml:space="preserve">the </w:t>
      </w:r>
      <w:r w:rsidR="00383DFB">
        <w:rPr>
          <w:lang w:eastAsia="en-US"/>
        </w:rPr>
        <w:t>scheme</w:t>
      </w:r>
      <w:r w:rsidR="00383DFB" w:rsidRPr="000B7589">
        <w:rPr>
          <w:lang w:eastAsia="en-US"/>
        </w:rPr>
        <w:t xml:space="preserve"> </w:t>
      </w:r>
      <w:r w:rsidRPr="000B7589">
        <w:rPr>
          <w:lang w:eastAsia="en-US"/>
        </w:rPr>
        <w:t xml:space="preserve">would not regulate services provided by a </w:t>
      </w:r>
      <w:r w:rsidR="00FC55EA">
        <w:rPr>
          <w:lang w:eastAsia="en-US"/>
        </w:rPr>
        <w:t>r</w:t>
      </w:r>
      <w:r w:rsidRPr="000B7589">
        <w:rPr>
          <w:lang w:eastAsia="en-US"/>
        </w:rPr>
        <w:t xml:space="preserve">elying </w:t>
      </w:r>
      <w:r w:rsidR="00FC55EA">
        <w:rPr>
          <w:lang w:eastAsia="en-US"/>
        </w:rPr>
        <w:t>p</w:t>
      </w:r>
      <w:r w:rsidRPr="000B7589">
        <w:rPr>
          <w:lang w:eastAsia="en-US"/>
        </w:rPr>
        <w:t xml:space="preserve">arty in reliance upon a digital </w:t>
      </w:r>
      <w:r w:rsidR="00500088">
        <w:rPr>
          <w:lang w:eastAsia="en-US"/>
        </w:rPr>
        <w:t>ID</w:t>
      </w:r>
      <w:r w:rsidR="00500088" w:rsidRPr="000B7589">
        <w:rPr>
          <w:lang w:eastAsia="en-US"/>
        </w:rPr>
        <w:t xml:space="preserve"> </w:t>
      </w:r>
      <w:r w:rsidRPr="000B7589">
        <w:rPr>
          <w:lang w:eastAsia="en-US"/>
        </w:rPr>
        <w:t xml:space="preserve">– regulation stops once the </w:t>
      </w:r>
      <w:r w:rsidR="00FC55EA">
        <w:rPr>
          <w:lang w:eastAsia="en-US"/>
        </w:rPr>
        <w:t>r</w:t>
      </w:r>
      <w:r w:rsidRPr="000B7589">
        <w:rPr>
          <w:lang w:eastAsia="en-US"/>
        </w:rPr>
        <w:t xml:space="preserve">elying </w:t>
      </w:r>
      <w:r w:rsidR="00FC55EA">
        <w:rPr>
          <w:lang w:eastAsia="en-US"/>
        </w:rPr>
        <w:t>p</w:t>
      </w:r>
      <w:r w:rsidRPr="000B7589">
        <w:rPr>
          <w:lang w:eastAsia="en-US"/>
        </w:rPr>
        <w:t xml:space="preserve">arty has received verification of the person’s digital </w:t>
      </w:r>
      <w:r w:rsidR="00500088">
        <w:rPr>
          <w:lang w:eastAsia="en-US"/>
        </w:rPr>
        <w:t>ID</w:t>
      </w:r>
      <w:r w:rsidRPr="000B7589">
        <w:rPr>
          <w:lang w:eastAsia="en-US"/>
        </w:rPr>
        <w:t>.</w:t>
      </w:r>
    </w:p>
    <w:p w14:paraId="1734DC59" w14:textId="212A9520" w:rsidR="00E6232E" w:rsidRPr="000B7589" w:rsidRDefault="00E6232E" w:rsidP="00382FFE">
      <w:pPr>
        <w:pStyle w:val="BodyText"/>
        <w:rPr>
          <w:lang w:eastAsia="en-US"/>
        </w:rPr>
      </w:pPr>
      <w:r w:rsidRPr="000B7589">
        <w:rPr>
          <w:lang w:eastAsia="en-US"/>
        </w:rPr>
        <w:t xml:space="preserve">The Bill’s provisions apply primarily to the activities of </w:t>
      </w:r>
      <w:r w:rsidR="00726612">
        <w:rPr>
          <w:lang w:eastAsia="en-US"/>
        </w:rPr>
        <w:t xml:space="preserve">onboarded </w:t>
      </w:r>
      <w:r w:rsidR="00FC55EA">
        <w:rPr>
          <w:lang w:eastAsia="en-US"/>
        </w:rPr>
        <w:t>a</w:t>
      </w:r>
      <w:r w:rsidRPr="000B7589">
        <w:rPr>
          <w:lang w:eastAsia="en-US"/>
        </w:rPr>
        <w:t xml:space="preserve">ccredited </w:t>
      </w:r>
      <w:r w:rsidR="00726612">
        <w:rPr>
          <w:lang w:eastAsia="en-US"/>
        </w:rPr>
        <w:t>entities</w:t>
      </w:r>
      <w:r w:rsidRPr="000B7589">
        <w:rPr>
          <w:lang w:eastAsia="en-US"/>
        </w:rPr>
        <w:t xml:space="preserve">, </w:t>
      </w:r>
      <w:r w:rsidR="00FC55EA">
        <w:rPr>
          <w:lang w:eastAsia="en-US"/>
        </w:rPr>
        <w:t>r</w:t>
      </w:r>
      <w:r w:rsidRPr="000B7589">
        <w:rPr>
          <w:lang w:eastAsia="en-US"/>
        </w:rPr>
        <w:t xml:space="preserve">elying </w:t>
      </w:r>
      <w:r w:rsidR="00FC55EA">
        <w:rPr>
          <w:lang w:eastAsia="en-US"/>
        </w:rPr>
        <w:t>p</w:t>
      </w:r>
      <w:r w:rsidRPr="000B7589">
        <w:rPr>
          <w:lang w:eastAsia="en-US"/>
        </w:rPr>
        <w:t xml:space="preserve">arties and </w:t>
      </w:r>
      <w:r w:rsidR="00FC55EA">
        <w:rPr>
          <w:lang w:eastAsia="en-US"/>
        </w:rPr>
        <w:t>a</w:t>
      </w:r>
      <w:r w:rsidRPr="000B7589">
        <w:rPr>
          <w:lang w:eastAsia="en-US"/>
        </w:rPr>
        <w:t xml:space="preserve">ccredited </w:t>
      </w:r>
      <w:r w:rsidR="00FC55EA">
        <w:rPr>
          <w:lang w:eastAsia="en-US"/>
        </w:rPr>
        <w:t>e</w:t>
      </w:r>
      <w:r w:rsidRPr="000B7589">
        <w:rPr>
          <w:lang w:eastAsia="en-US"/>
        </w:rPr>
        <w:t>ntities</w:t>
      </w:r>
      <w:r w:rsidR="005602C5">
        <w:rPr>
          <w:lang w:eastAsia="en-US"/>
        </w:rPr>
        <w:t xml:space="preserve">, with regulatory powers </w:t>
      </w:r>
      <w:r w:rsidR="00E73392">
        <w:rPr>
          <w:lang w:eastAsia="en-US"/>
        </w:rPr>
        <w:t xml:space="preserve">and authority </w:t>
      </w:r>
      <w:r w:rsidR="005602C5">
        <w:rPr>
          <w:lang w:eastAsia="en-US"/>
        </w:rPr>
        <w:t>granted to</w:t>
      </w:r>
      <w:r w:rsidR="005A70F4">
        <w:rPr>
          <w:lang w:eastAsia="en-US"/>
        </w:rPr>
        <w:t xml:space="preserve"> Services Australia as the system administrator,</w:t>
      </w:r>
      <w:r w:rsidR="005602C5">
        <w:rPr>
          <w:lang w:eastAsia="en-US"/>
        </w:rPr>
        <w:t xml:space="preserve"> </w:t>
      </w:r>
      <w:r w:rsidR="00E73392">
        <w:rPr>
          <w:lang w:eastAsia="en-US"/>
        </w:rPr>
        <w:t xml:space="preserve">the </w:t>
      </w:r>
      <w:r w:rsidR="007E437B">
        <w:rPr>
          <w:lang w:eastAsia="en-US"/>
        </w:rPr>
        <w:t>ACCC as the initial independent regulator</w:t>
      </w:r>
      <w:r w:rsidR="005A70F4">
        <w:rPr>
          <w:lang w:eastAsia="en-US"/>
        </w:rPr>
        <w:t>,</w:t>
      </w:r>
      <w:r w:rsidR="00E73392">
        <w:rPr>
          <w:lang w:eastAsia="en-US"/>
        </w:rPr>
        <w:t xml:space="preserve"> and </w:t>
      </w:r>
      <w:r w:rsidR="0AC647CF" w:rsidRPr="4F978D65">
        <w:rPr>
          <w:lang w:eastAsia="en-US"/>
        </w:rPr>
        <w:t xml:space="preserve">the </w:t>
      </w:r>
      <w:r w:rsidR="00E73392" w:rsidRPr="4F978D65">
        <w:rPr>
          <w:lang w:eastAsia="en-US"/>
        </w:rPr>
        <w:t>OAIC</w:t>
      </w:r>
      <w:r w:rsidRPr="4F978D65">
        <w:rPr>
          <w:lang w:eastAsia="en-US"/>
        </w:rPr>
        <w:t>.</w:t>
      </w:r>
      <w:r w:rsidRPr="000B7589">
        <w:rPr>
          <w:lang w:eastAsia="en-US"/>
        </w:rPr>
        <w:t xml:space="preserve"> The extent to which </w:t>
      </w:r>
      <w:r w:rsidR="00383DFB">
        <w:rPr>
          <w:lang w:eastAsia="en-US"/>
        </w:rPr>
        <w:t>regulatory</w:t>
      </w:r>
      <w:r w:rsidR="00383DFB" w:rsidRPr="000B7589">
        <w:rPr>
          <w:lang w:eastAsia="en-US"/>
        </w:rPr>
        <w:t xml:space="preserve"> </w:t>
      </w:r>
      <w:r w:rsidRPr="000B7589">
        <w:rPr>
          <w:lang w:eastAsia="en-US"/>
        </w:rPr>
        <w:t xml:space="preserve">requirements apply is dependent upon what is appropriate given the </w:t>
      </w:r>
      <w:r w:rsidR="00920289" w:rsidRPr="000B7589">
        <w:rPr>
          <w:lang w:eastAsia="en-US"/>
        </w:rPr>
        <w:t>role</w:t>
      </w:r>
      <w:r w:rsidRPr="000B7589">
        <w:rPr>
          <w:lang w:eastAsia="en-US"/>
        </w:rPr>
        <w:t xml:space="preserve"> and interactions of the entity. For example, the integrity requirements dealing mainly with privacy obligations will not apply to </w:t>
      </w:r>
      <w:r w:rsidR="00FC55EA">
        <w:rPr>
          <w:lang w:eastAsia="en-US"/>
        </w:rPr>
        <w:t>r</w:t>
      </w:r>
      <w:r w:rsidRPr="000B7589">
        <w:rPr>
          <w:lang w:eastAsia="en-US"/>
        </w:rPr>
        <w:t xml:space="preserve">elying </w:t>
      </w:r>
      <w:r w:rsidR="00FC55EA">
        <w:rPr>
          <w:lang w:eastAsia="en-US"/>
        </w:rPr>
        <w:t>p</w:t>
      </w:r>
      <w:r w:rsidRPr="000B7589">
        <w:rPr>
          <w:lang w:eastAsia="en-US"/>
        </w:rPr>
        <w:t xml:space="preserve">arties (unless otherwise stated). This is because </w:t>
      </w:r>
      <w:r w:rsidR="00FC55EA">
        <w:rPr>
          <w:lang w:eastAsia="en-US"/>
        </w:rPr>
        <w:t>r</w:t>
      </w:r>
      <w:r w:rsidRPr="000B7589">
        <w:rPr>
          <w:lang w:eastAsia="en-US"/>
        </w:rPr>
        <w:t xml:space="preserve">elying </w:t>
      </w:r>
      <w:r w:rsidR="00FC55EA">
        <w:rPr>
          <w:lang w:eastAsia="en-US"/>
        </w:rPr>
        <w:t>p</w:t>
      </w:r>
      <w:r w:rsidRPr="000B7589">
        <w:rPr>
          <w:lang w:eastAsia="en-US"/>
        </w:rPr>
        <w:t xml:space="preserve">arties represent a low risk by obtaining limited information through </w:t>
      </w:r>
      <w:r w:rsidR="00DD2B04">
        <w:rPr>
          <w:lang w:eastAsia="en-US"/>
        </w:rPr>
        <w:t>AGDIS</w:t>
      </w:r>
      <w:r w:rsidRPr="000B7589">
        <w:rPr>
          <w:lang w:eastAsia="en-US"/>
        </w:rPr>
        <w:t xml:space="preserve">, usually only the ‘core attributes’ for a digital </w:t>
      </w:r>
      <w:r w:rsidR="00500088">
        <w:rPr>
          <w:lang w:eastAsia="en-US"/>
        </w:rPr>
        <w:t>ID</w:t>
      </w:r>
      <w:r w:rsidRPr="000B7589">
        <w:rPr>
          <w:lang w:eastAsia="en-US"/>
        </w:rPr>
        <w:t xml:space="preserve">. </w:t>
      </w:r>
    </w:p>
    <w:p w14:paraId="61F6137A" w14:textId="384062FA" w:rsidR="00E6232E" w:rsidRPr="008F6050" w:rsidRDefault="00E6232E" w:rsidP="00F00A6E">
      <w:pPr>
        <w:pStyle w:val="Heading4NoNumbers"/>
        <w:rPr>
          <w:color w:val="008675"/>
          <w:lang w:eastAsia="en-US"/>
        </w:rPr>
      </w:pPr>
      <w:r w:rsidRPr="008F6050">
        <w:rPr>
          <w:color w:val="008675"/>
          <w:lang w:eastAsia="en-US"/>
        </w:rPr>
        <w:t xml:space="preserve">Features of </w:t>
      </w:r>
      <w:r w:rsidR="008B523F" w:rsidRPr="008F6050">
        <w:rPr>
          <w:color w:val="008675"/>
          <w:lang w:eastAsia="en-US"/>
        </w:rPr>
        <w:t>r</w:t>
      </w:r>
      <w:r w:rsidRPr="008F6050">
        <w:rPr>
          <w:color w:val="008675"/>
          <w:lang w:eastAsia="en-US"/>
        </w:rPr>
        <w:t xml:space="preserve">egulatory </w:t>
      </w:r>
      <w:r w:rsidR="008B523F" w:rsidRPr="008F6050">
        <w:rPr>
          <w:color w:val="008675"/>
          <w:lang w:eastAsia="en-US"/>
        </w:rPr>
        <w:t>s</w:t>
      </w:r>
      <w:r w:rsidRPr="008F6050">
        <w:rPr>
          <w:color w:val="008675"/>
          <w:lang w:eastAsia="en-US"/>
        </w:rPr>
        <w:t xml:space="preserve">cheme </w:t>
      </w:r>
    </w:p>
    <w:p w14:paraId="385624A9" w14:textId="50881802" w:rsidR="00E6232E" w:rsidRPr="000B7589" w:rsidRDefault="00E6232E" w:rsidP="00382FFE">
      <w:pPr>
        <w:pStyle w:val="BodyText"/>
        <w:rPr>
          <w:lang w:eastAsia="en-US"/>
        </w:rPr>
      </w:pPr>
      <w:r w:rsidRPr="000B7589">
        <w:rPr>
          <w:lang w:eastAsia="en-US"/>
        </w:rPr>
        <w:t xml:space="preserve">As set out in the </w:t>
      </w:r>
      <w:r w:rsidR="003626F2">
        <w:rPr>
          <w:lang w:eastAsia="en-US"/>
        </w:rPr>
        <w:t>Bill</w:t>
      </w:r>
      <w:r w:rsidRPr="000B7589">
        <w:rPr>
          <w:lang w:eastAsia="en-US"/>
        </w:rPr>
        <w:t>, it is proposed that under this dedicated regulatory scheme, the implementation and operation would become a legislated function of</w:t>
      </w:r>
      <w:r w:rsidR="002E615E">
        <w:rPr>
          <w:lang w:eastAsia="en-US"/>
        </w:rPr>
        <w:t xml:space="preserve"> the ACCC, supported by a system administrator being Services Australia</w:t>
      </w:r>
      <w:r w:rsidR="00EF3145">
        <w:rPr>
          <w:lang w:eastAsia="en-US"/>
        </w:rPr>
        <w:t>.</w:t>
      </w:r>
      <w:r w:rsidRPr="000B7589">
        <w:rPr>
          <w:lang w:eastAsia="en-US"/>
        </w:rPr>
        <w:t xml:space="preserve"> Once enacted, the new regulat</w:t>
      </w:r>
      <w:r w:rsidR="006E0BF2">
        <w:rPr>
          <w:lang w:eastAsia="en-US"/>
        </w:rPr>
        <w:t>ory scheme</w:t>
      </w:r>
      <w:r w:rsidRPr="000B7589">
        <w:rPr>
          <w:lang w:eastAsia="en-US"/>
        </w:rPr>
        <w:t xml:space="preserve"> would impose its own enforcement regime, </w:t>
      </w:r>
      <w:r w:rsidR="006E0BF2">
        <w:rPr>
          <w:lang w:eastAsia="en-US"/>
        </w:rPr>
        <w:t>including in some cases</w:t>
      </w:r>
      <w:r w:rsidR="006E0BF2" w:rsidRPr="000B7589">
        <w:rPr>
          <w:lang w:eastAsia="en-US"/>
        </w:rPr>
        <w:t xml:space="preserve"> </w:t>
      </w:r>
      <w:r w:rsidRPr="000B7589">
        <w:rPr>
          <w:lang w:eastAsia="en-US"/>
        </w:rPr>
        <w:t>civil penalties for breaches of requirements. It would also cover the following:</w:t>
      </w:r>
      <w:r w:rsidR="00737BA2">
        <w:rPr>
          <w:lang w:eastAsia="en-US"/>
        </w:rPr>
        <w:t xml:space="preserve"> </w:t>
      </w:r>
    </w:p>
    <w:p w14:paraId="4031D530" w14:textId="2BEF950D" w:rsidR="0067045B" w:rsidRDefault="00273B70" w:rsidP="005C5C13">
      <w:pPr>
        <w:pStyle w:val="ListBulletLevel1"/>
        <w:rPr>
          <w:lang w:eastAsia="en-US"/>
        </w:rPr>
      </w:pPr>
      <w:r>
        <w:rPr>
          <w:lang w:eastAsia="en-US"/>
        </w:rPr>
        <w:t xml:space="preserve">A </w:t>
      </w:r>
      <w:r w:rsidR="0084555D">
        <w:rPr>
          <w:lang w:eastAsia="en-US"/>
        </w:rPr>
        <w:t xml:space="preserve">legislative definition of digital </w:t>
      </w:r>
      <w:r w:rsidR="00500088">
        <w:rPr>
          <w:lang w:eastAsia="en-US"/>
        </w:rPr>
        <w:t xml:space="preserve">ID </w:t>
      </w:r>
      <w:r w:rsidR="00F86E28">
        <w:rPr>
          <w:lang w:eastAsia="en-US"/>
        </w:rPr>
        <w:t xml:space="preserve">(the set of information about attributes of a </w:t>
      </w:r>
      <w:r w:rsidR="00D55B85">
        <w:rPr>
          <w:lang w:eastAsia="en-US"/>
        </w:rPr>
        <w:t>u</w:t>
      </w:r>
      <w:r w:rsidR="00F86E28">
        <w:rPr>
          <w:lang w:eastAsia="en-US"/>
        </w:rPr>
        <w:t>ser which, taken together, allow an individual to be distinguished from another person</w:t>
      </w:r>
      <w:r w:rsidR="00C90AA2">
        <w:rPr>
          <w:lang w:eastAsia="en-US"/>
        </w:rPr>
        <w:t>)</w:t>
      </w:r>
      <w:r w:rsidR="0084555D">
        <w:rPr>
          <w:lang w:eastAsia="en-US"/>
        </w:rPr>
        <w:t>, recognis</w:t>
      </w:r>
      <w:r w:rsidR="00C90AA2">
        <w:rPr>
          <w:lang w:eastAsia="en-US"/>
        </w:rPr>
        <w:t>ing</w:t>
      </w:r>
      <w:r w:rsidR="0084555D">
        <w:rPr>
          <w:lang w:eastAsia="en-US"/>
        </w:rPr>
        <w:t xml:space="preserve"> that a person m</w:t>
      </w:r>
      <w:r w:rsidR="00C90AA2">
        <w:rPr>
          <w:lang w:eastAsia="en-US"/>
        </w:rPr>
        <w:t>a</w:t>
      </w:r>
      <w:r w:rsidR="0084555D">
        <w:rPr>
          <w:lang w:eastAsia="en-US"/>
        </w:rPr>
        <w:t xml:space="preserve">y have more than one digital </w:t>
      </w:r>
      <w:r w:rsidR="00500088">
        <w:rPr>
          <w:lang w:eastAsia="en-US"/>
        </w:rPr>
        <w:t>ID</w:t>
      </w:r>
      <w:r w:rsidR="00BF4F2E">
        <w:rPr>
          <w:lang w:eastAsia="en-US"/>
        </w:rPr>
        <w:t>. (</w:t>
      </w:r>
      <w:r w:rsidR="00BF4F2E">
        <w:rPr>
          <w:lang w:val="en-US"/>
        </w:rPr>
        <w:t xml:space="preserve">Where the term “digital </w:t>
      </w:r>
      <w:r w:rsidR="00500088">
        <w:rPr>
          <w:lang w:val="en-US"/>
        </w:rPr>
        <w:t>ID</w:t>
      </w:r>
      <w:r w:rsidR="00BF4F2E">
        <w:rPr>
          <w:lang w:val="en-US"/>
        </w:rPr>
        <w:t xml:space="preserve">” is used in the context of Option 3, it can be assumed that this refers to the term as defined in legislation. In other sections of the </w:t>
      </w:r>
      <w:r w:rsidR="00BF4F2E">
        <w:rPr>
          <w:lang w:val="en-US"/>
        </w:rPr>
        <w:lastRenderedPageBreak/>
        <w:t xml:space="preserve">document, “digital </w:t>
      </w:r>
      <w:r w:rsidR="00500088">
        <w:rPr>
          <w:lang w:val="en-US"/>
        </w:rPr>
        <w:t>ID</w:t>
      </w:r>
      <w:r w:rsidR="00BF4F2E">
        <w:rPr>
          <w:lang w:val="en-US"/>
        </w:rPr>
        <w:t>” has the meaning set out in the Glossary at Attachment A</w:t>
      </w:r>
      <w:r w:rsidR="000C5008">
        <w:rPr>
          <w:lang w:val="en-US"/>
        </w:rPr>
        <w:t>)</w:t>
      </w:r>
      <w:r>
        <w:rPr>
          <w:lang w:val="en-US"/>
        </w:rPr>
        <w:t>.</w:t>
      </w:r>
    </w:p>
    <w:p w14:paraId="4F889C59" w14:textId="77777777" w:rsidR="006478FA" w:rsidRPr="006478FA" w:rsidRDefault="00273B70" w:rsidP="006478FA">
      <w:pPr>
        <w:pStyle w:val="ListBulletLevel1"/>
        <w:rPr>
          <w:lang w:eastAsia="en-US"/>
        </w:rPr>
      </w:pPr>
      <w:r>
        <w:rPr>
          <w:lang w:eastAsia="en-US"/>
        </w:rPr>
        <w:t>E</w:t>
      </w:r>
      <w:r w:rsidRPr="000B7589">
        <w:rPr>
          <w:lang w:eastAsia="en-US"/>
        </w:rPr>
        <w:t xml:space="preserve">stablishment </w:t>
      </w:r>
      <w:r w:rsidR="00E6232E" w:rsidRPr="000B7589">
        <w:rPr>
          <w:lang w:eastAsia="en-US"/>
        </w:rPr>
        <w:t xml:space="preserve">of an </w:t>
      </w:r>
      <w:r w:rsidR="006478FA" w:rsidRPr="006478FA">
        <w:rPr>
          <w:lang w:eastAsia="en-US"/>
        </w:rPr>
        <w:t>Establishment of a Regulator to oversee AGDIS and the accreditation scheme. There is also a role for a system administrator and the Information Commissioner</w:t>
      </w:r>
    </w:p>
    <w:p w14:paraId="5BC92C1A" w14:textId="46E2E1A4" w:rsidR="00E6232E" w:rsidRPr="000B7589" w:rsidRDefault="00E6232E" w:rsidP="005C5C13">
      <w:pPr>
        <w:pStyle w:val="ListBulletLevel1"/>
        <w:rPr>
          <w:lang w:eastAsia="en-US"/>
        </w:rPr>
      </w:pPr>
      <w:r w:rsidRPr="000B7589">
        <w:rPr>
          <w:lang w:eastAsia="en-US"/>
        </w:rPr>
        <w:t xml:space="preserve"> to oversee </w:t>
      </w:r>
      <w:r w:rsidR="0029357F">
        <w:rPr>
          <w:lang w:eastAsia="en-US"/>
        </w:rPr>
        <w:t>AGDIS</w:t>
      </w:r>
      <w:r w:rsidRPr="000B7589">
        <w:rPr>
          <w:lang w:eastAsia="en-US"/>
        </w:rPr>
        <w:t xml:space="preserve"> and </w:t>
      </w:r>
      <w:r w:rsidR="0029357F">
        <w:rPr>
          <w:lang w:eastAsia="en-US"/>
        </w:rPr>
        <w:t xml:space="preserve">the </w:t>
      </w:r>
      <w:r w:rsidRPr="000B7589">
        <w:rPr>
          <w:lang w:eastAsia="en-US"/>
        </w:rPr>
        <w:t>accreditation scheme</w:t>
      </w:r>
      <w:r w:rsidR="00ED33EC">
        <w:rPr>
          <w:lang w:eastAsia="en-US"/>
        </w:rPr>
        <w:t xml:space="preserve"> – the </w:t>
      </w:r>
      <w:r w:rsidR="00D83AFC">
        <w:rPr>
          <w:lang w:eastAsia="en-US"/>
        </w:rPr>
        <w:t xml:space="preserve">Oversight </w:t>
      </w:r>
      <w:r w:rsidRPr="000B7589">
        <w:rPr>
          <w:lang w:eastAsia="en-US"/>
        </w:rPr>
        <w:t>Authority</w:t>
      </w:r>
      <w:r w:rsidR="00273B70">
        <w:rPr>
          <w:lang w:eastAsia="en-US"/>
        </w:rPr>
        <w:t>.</w:t>
      </w:r>
    </w:p>
    <w:p w14:paraId="56F2F42E" w14:textId="0F6B6EBC" w:rsidR="00386AB9" w:rsidRPr="000B7589" w:rsidRDefault="00273B70" w:rsidP="00386AB9">
      <w:pPr>
        <w:pStyle w:val="ListBulletLevel1"/>
        <w:rPr>
          <w:lang w:eastAsia="en-US"/>
        </w:rPr>
      </w:pPr>
      <w:r>
        <w:rPr>
          <w:lang w:eastAsia="en-US"/>
        </w:rPr>
        <w:t>O</w:t>
      </w:r>
      <w:r w:rsidRPr="000B7589">
        <w:rPr>
          <w:lang w:eastAsia="en-US"/>
        </w:rPr>
        <w:t xml:space="preserve">bligations </w:t>
      </w:r>
      <w:r w:rsidR="00386AB9" w:rsidRPr="000B7589">
        <w:rPr>
          <w:lang w:eastAsia="en-US"/>
        </w:rPr>
        <w:t xml:space="preserve">for </w:t>
      </w:r>
      <w:r w:rsidR="00386AB9">
        <w:rPr>
          <w:lang w:eastAsia="en-US"/>
        </w:rPr>
        <w:t>a</w:t>
      </w:r>
      <w:r w:rsidR="00386AB9" w:rsidRPr="000B7589">
        <w:rPr>
          <w:lang w:eastAsia="en-US"/>
        </w:rPr>
        <w:t xml:space="preserve">ccredited </w:t>
      </w:r>
      <w:r w:rsidR="00386AB9">
        <w:rPr>
          <w:lang w:eastAsia="en-US"/>
        </w:rPr>
        <w:t>e</w:t>
      </w:r>
      <w:r w:rsidR="00386AB9" w:rsidRPr="000B7589">
        <w:rPr>
          <w:lang w:eastAsia="en-US"/>
        </w:rPr>
        <w:t xml:space="preserve">ntities (i.e., entities not using the </w:t>
      </w:r>
      <w:r w:rsidR="00386AB9">
        <w:rPr>
          <w:lang w:eastAsia="en-US"/>
        </w:rPr>
        <w:t>AGDIS</w:t>
      </w:r>
      <w:r w:rsidR="00386AB9" w:rsidRPr="000B7589">
        <w:rPr>
          <w:lang w:eastAsia="en-US"/>
        </w:rPr>
        <w:t>)</w:t>
      </w:r>
      <w:r>
        <w:rPr>
          <w:lang w:eastAsia="en-US"/>
        </w:rPr>
        <w:t>.</w:t>
      </w:r>
    </w:p>
    <w:p w14:paraId="5AC545F0" w14:textId="0E93D085" w:rsidR="00875A21" w:rsidRPr="00875A21" w:rsidRDefault="00875A21" w:rsidP="00875A21">
      <w:pPr>
        <w:pStyle w:val="ListBulletLevel1"/>
        <w:rPr>
          <w:lang w:eastAsia="en-US"/>
        </w:rPr>
      </w:pPr>
      <w:r w:rsidRPr="00875A21">
        <w:rPr>
          <w:lang w:eastAsia="en-US"/>
        </w:rPr>
        <w:t>The ability of the Minister to appoint advisory committees</w:t>
      </w:r>
      <w:r>
        <w:rPr>
          <w:lang w:eastAsia="en-US"/>
        </w:rPr>
        <w:t>.</w:t>
      </w:r>
    </w:p>
    <w:p w14:paraId="5A356BD1" w14:textId="07239FC1" w:rsidR="00E6232E" w:rsidRPr="000B7589" w:rsidRDefault="00273B70" w:rsidP="005C5C13">
      <w:pPr>
        <w:pStyle w:val="ListBulletLevel1"/>
        <w:rPr>
          <w:lang w:eastAsia="en-US"/>
        </w:rPr>
      </w:pPr>
      <w:r>
        <w:rPr>
          <w:lang w:eastAsia="en-US"/>
        </w:rPr>
        <w:t>A</w:t>
      </w:r>
      <w:r w:rsidRPr="000B7589">
        <w:rPr>
          <w:lang w:eastAsia="en-US"/>
        </w:rPr>
        <w:t xml:space="preserve">pplications </w:t>
      </w:r>
      <w:r w:rsidR="00E6232E" w:rsidRPr="000B7589">
        <w:rPr>
          <w:lang w:eastAsia="en-US"/>
        </w:rPr>
        <w:t>for accreditation and onboarding and related matters</w:t>
      </w:r>
      <w:r>
        <w:rPr>
          <w:lang w:eastAsia="en-US"/>
        </w:rPr>
        <w:t>.</w:t>
      </w:r>
    </w:p>
    <w:p w14:paraId="4E760897" w14:textId="2CCD0855" w:rsidR="00E6232E" w:rsidRPr="000B7589" w:rsidRDefault="00273B70" w:rsidP="005C5C13">
      <w:pPr>
        <w:pStyle w:val="ListBulletLevel1"/>
        <w:rPr>
          <w:lang w:eastAsia="en-US"/>
        </w:rPr>
      </w:pPr>
      <w:r>
        <w:rPr>
          <w:lang w:eastAsia="en-US"/>
        </w:rPr>
        <w:t>N</w:t>
      </w:r>
      <w:r w:rsidRPr="000B7589">
        <w:rPr>
          <w:lang w:eastAsia="en-US"/>
        </w:rPr>
        <w:t xml:space="preserve">otice </w:t>
      </w:r>
      <w:r w:rsidR="00E6232E" w:rsidRPr="000B7589">
        <w:rPr>
          <w:lang w:eastAsia="en-US"/>
        </w:rPr>
        <w:t>of decisions</w:t>
      </w:r>
      <w:r>
        <w:rPr>
          <w:lang w:eastAsia="en-US"/>
        </w:rPr>
        <w:t>.</w:t>
      </w:r>
    </w:p>
    <w:p w14:paraId="213476A1" w14:textId="4419A4D3" w:rsidR="00E6232E" w:rsidRPr="000B7589" w:rsidRDefault="00273B70" w:rsidP="005C5C13">
      <w:pPr>
        <w:pStyle w:val="ListBulletLevel1"/>
        <w:rPr>
          <w:lang w:eastAsia="en-US"/>
        </w:rPr>
      </w:pPr>
      <w:r>
        <w:rPr>
          <w:lang w:eastAsia="en-US"/>
        </w:rPr>
        <w:t>I</w:t>
      </w:r>
      <w:r w:rsidRPr="000B7589">
        <w:rPr>
          <w:lang w:eastAsia="en-US"/>
        </w:rPr>
        <w:t xml:space="preserve">nternal </w:t>
      </w:r>
      <w:r w:rsidR="00E6232E" w:rsidRPr="000B7589">
        <w:rPr>
          <w:lang w:eastAsia="en-US"/>
        </w:rPr>
        <w:t>and A</w:t>
      </w:r>
      <w:r w:rsidR="00A606A8">
        <w:rPr>
          <w:lang w:eastAsia="en-US"/>
        </w:rPr>
        <w:t xml:space="preserve">dministrative </w:t>
      </w:r>
      <w:r w:rsidR="00E6232E" w:rsidRPr="000B7589">
        <w:rPr>
          <w:lang w:eastAsia="en-US"/>
        </w:rPr>
        <w:t>A</w:t>
      </w:r>
      <w:r w:rsidR="00A606A8">
        <w:rPr>
          <w:lang w:eastAsia="en-US"/>
        </w:rPr>
        <w:t xml:space="preserve">ppeal </w:t>
      </w:r>
      <w:r w:rsidR="00E6232E" w:rsidRPr="000B7589">
        <w:rPr>
          <w:lang w:eastAsia="en-US"/>
        </w:rPr>
        <w:t>T</w:t>
      </w:r>
      <w:r w:rsidR="00A606A8">
        <w:rPr>
          <w:lang w:eastAsia="en-US"/>
        </w:rPr>
        <w:t>ribunal</w:t>
      </w:r>
      <w:r w:rsidR="00E6232E" w:rsidRPr="000B7589">
        <w:rPr>
          <w:lang w:eastAsia="en-US"/>
        </w:rPr>
        <w:t xml:space="preserve"> review of decisions</w:t>
      </w:r>
      <w:r>
        <w:rPr>
          <w:lang w:eastAsia="en-US"/>
        </w:rPr>
        <w:t>.</w:t>
      </w:r>
    </w:p>
    <w:p w14:paraId="74B7B5EF" w14:textId="57CE3E1D" w:rsidR="00E6232E" w:rsidRPr="000B7589" w:rsidRDefault="00273B70" w:rsidP="005C5C13">
      <w:pPr>
        <w:pStyle w:val="ListBulletLevel1"/>
        <w:rPr>
          <w:lang w:eastAsia="en-US"/>
        </w:rPr>
      </w:pPr>
      <w:r>
        <w:rPr>
          <w:lang w:eastAsia="en-US"/>
        </w:rPr>
        <w:t>R</w:t>
      </w:r>
      <w:r w:rsidRPr="000B7589">
        <w:rPr>
          <w:lang w:eastAsia="en-US"/>
        </w:rPr>
        <w:t xml:space="preserve">egisters </w:t>
      </w:r>
      <w:r w:rsidR="00E6232E" w:rsidRPr="000B7589">
        <w:rPr>
          <w:lang w:eastAsia="en-US"/>
        </w:rPr>
        <w:t xml:space="preserve">to show entities that are participating or are </w:t>
      </w:r>
      <w:proofErr w:type="gramStart"/>
      <w:r w:rsidR="00E6232E" w:rsidRPr="000B7589">
        <w:rPr>
          <w:lang w:eastAsia="en-US"/>
        </w:rPr>
        <w:t xml:space="preserve">accredited </w:t>
      </w:r>
      <w:r>
        <w:rPr>
          <w:lang w:eastAsia="en-US"/>
        </w:rPr>
        <w:t>.</w:t>
      </w:r>
      <w:proofErr w:type="gramEnd"/>
    </w:p>
    <w:p w14:paraId="46CB7B8C" w14:textId="77E4E53B" w:rsidR="00E6232E" w:rsidRPr="000B7589" w:rsidRDefault="00273B70" w:rsidP="005C5C13">
      <w:pPr>
        <w:pStyle w:val="ListBulletLevel1"/>
        <w:rPr>
          <w:lang w:eastAsia="en-US"/>
        </w:rPr>
      </w:pPr>
      <w:r>
        <w:rPr>
          <w:lang w:eastAsia="en-US"/>
        </w:rPr>
        <w:t>P</w:t>
      </w:r>
      <w:r w:rsidRPr="000B7589">
        <w:rPr>
          <w:lang w:eastAsia="en-US"/>
        </w:rPr>
        <w:t xml:space="preserve">rivacy </w:t>
      </w:r>
      <w:r w:rsidR="00E6232E" w:rsidRPr="000B7589">
        <w:rPr>
          <w:lang w:eastAsia="en-US"/>
        </w:rPr>
        <w:t xml:space="preserve">and other consumer safeguards, security and fraud-prevention requirements applying to participants in a </w:t>
      </w:r>
      <w:r w:rsidR="0003093B">
        <w:rPr>
          <w:lang w:eastAsia="en-US"/>
        </w:rPr>
        <w:t>d</w:t>
      </w:r>
      <w:r w:rsidR="00E6232E" w:rsidRPr="000B7589">
        <w:rPr>
          <w:lang w:eastAsia="en-US"/>
        </w:rPr>
        <w:t xml:space="preserve">igital </w:t>
      </w:r>
      <w:r w:rsidR="00500088">
        <w:rPr>
          <w:lang w:eastAsia="en-US"/>
        </w:rPr>
        <w:t>ID</w:t>
      </w:r>
      <w:r w:rsidR="00500088" w:rsidRPr="000B7589">
        <w:rPr>
          <w:lang w:eastAsia="en-US"/>
        </w:rPr>
        <w:t xml:space="preserve"> </w:t>
      </w:r>
      <w:r w:rsidR="00E6232E" w:rsidRPr="000B7589">
        <w:rPr>
          <w:lang w:eastAsia="en-US"/>
        </w:rPr>
        <w:t>system</w:t>
      </w:r>
      <w:r>
        <w:rPr>
          <w:lang w:eastAsia="en-US"/>
        </w:rPr>
        <w:t>.</w:t>
      </w:r>
    </w:p>
    <w:p w14:paraId="074F8F17" w14:textId="26F01331" w:rsidR="00E6232E" w:rsidRPr="000B7589" w:rsidRDefault="00273B70" w:rsidP="005C5C13">
      <w:pPr>
        <w:pStyle w:val="ListBulletLevel1"/>
        <w:rPr>
          <w:lang w:eastAsia="en-US"/>
        </w:rPr>
      </w:pPr>
      <w:r>
        <w:rPr>
          <w:lang w:eastAsia="en-US"/>
        </w:rPr>
        <w:t>C</w:t>
      </w:r>
      <w:r w:rsidRPr="000B7589">
        <w:rPr>
          <w:lang w:eastAsia="en-US"/>
        </w:rPr>
        <w:t xml:space="preserve">ompliance </w:t>
      </w:r>
      <w:r w:rsidR="00E6232E" w:rsidRPr="000B7589">
        <w:rPr>
          <w:lang w:eastAsia="en-US"/>
        </w:rPr>
        <w:t>powers</w:t>
      </w:r>
      <w:r>
        <w:rPr>
          <w:lang w:eastAsia="en-US"/>
        </w:rPr>
        <w:t>.</w:t>
      </w:r>
    </w:p>
    <w:p w14:paraId="1231280B" w14:textId="6DC00353" w:rsidR="00E6232E" w:rsidRPr="000B7589" w:rsidRDefault="00273B70" w:rsidP="005C5C13">
      <w:pPr>
        <w:pStyle w:val="ListBulletLevel1"/>
        <w:rPr>
          <w:lang w:eastAsia="en-US"/>
        </w:rPr>
      </w:pPr>
      <w:r>
        <w:rPr>
          <w:lang w:eastAsia="en-US"/>
        </w:rPr>
        <w:t>F</w:t>
      </w:r>
      <w:r w:rsidRPr="000B7589">
        <w:rPr>
          <w:lang w:eastAsia="en-US"/>
        </w:rPr>
        <w:t xml:space="preserve">or </w:t>
      </w:r>
      <w:r w:rsidR="00E6232E" w:rsidRPr="000B7589">
        <w:rPr>
          <w:lang w:eastAsia="en-US"/>
        </w:rPr>
        <w:t>participants:</w:t>
      </w:r>
    </w:p>
    <w:p w14:paraId="7F7744EA" w14:textId="0C22518F" w:rsidR="00E6232E" w:rsidRPr="000B7589" w:rsidRDefault="00AC1644" w:rsidP="00336C29">
      <w:pPr>
        <w:pStyle w:val="ListBulletLevel2"/>
        <w:rPr>
          <w:lang w:eastAsia="en-US"/>
        </w:rPr>
      </w:pPr>
      <w:r>
        <w:rPr>
          <w:lang w:eastAsia="en-US"/>
        </w:rPr>
        <w:t xml:space="preserve">the ability to </w:t>
      </w:r>
      <w:r w:rsidR="00B0130A">
        <w:rPr>
          <w:lang w:eastAsia="en-US"/>
        </w:rPr>
        <w:t xml:space="preserve">establish </w:t>
      </w:r>
      <w:r w:rsidR="00910D07">
        <w:rPr>
          <w:lang w:eastAsia="en-US"/>
        </w:rPr>
        <w:t>a</w:t>
      </w:r>
      <w:r w:rsidR="00E6232E" w:rsidRPr="000B7589">
        <w:rPr>
          <w:lang w:eastAsia="en-US"/>
        </w:rPr>
        <w:t xml:space="preserve"> </w:t>
      </w:r>
      <w:r w:rsidR="006D5324">
        <w:rPr>
          <w:lang w:eastAsia="en-US"/>
        </w:rPr>
        <w:t>c</w:t>
      </w:r>
      <w:r w:rsidR="00E6232E" w:rsidRPr="000B7589">
        <w:rPr>
          <w:lang w:eastAsia="en-US"/>
        </w:rPr>
        <w:t xml:space="preserve">harging </w:t>
      </w:r>
      <w:r w:rsidR="006D5324">
        <w:rPr>
          <w:lang w:eastAsia="en-US"/>
        </w:rPr>
        <w:t>f</w:t>
      </w:r>
      <w:r w:rsidR="00E6232E" w:rsidRPr="000B7589">
        <w:rPr>
          <w:lang w:eastAsia="en-US"/>
        </w:rPr>
        <w:t>ramework</w:t>
      </w:r>
    </w:p>
    <w:p w14:paraId="1D9BB8ED" w14:textId="352A08CF" w:rsidR="00E6232E" w:rsidRPr="000B7589" w:rsidRDefault="00910D07" w:rsidP="00336C29">
      <w:pPr>
        <w:pStyle w:val="ListBulletLevel2"/>
        <w:rPr>
          <w:lang w:eastAsia="en-US"/>
        </w:rPr>
      </w:pPr>
      <w:r>
        <w:rPr>
          <w:lang w:eastAsia="en-US"/>
        </w:rPr>
        <w:t>a</w:t>
      </w:r>
      <w:r w:rsidR="00E6232E" w:rsidRPr="000B7589">
        <w:rPr>
          <w:lang w:eastAsia="en-US"/>
        </w:rPr>
        <w:t xml:space="preserve"> liability framework</w:t>
      </w:r>
    </w:p>
    <w:p w14:paraId="7A122680" w14:textId="6EA87ACC" w:rsidR="00E6232E" w:rsidRPr="000B7589" w:rsidRDefault="00910D07" w:rsidP="00336C29">
      <w:pPr>
        <w:pStyle w:val="ListBulletLevel2"/>
        <w:rPr>
          <w:lang w:eastAsia="en-US"/>
        </w:rPr>
      </w:pPr>
      <w:proofErr w:type="gramStart"/>
      <w:r>
        <w:rPr>
          <w:lang w:eastAsia="en-US"/>
        </w:rPr>
        <w:t>e</w:t>
      </w:r>
      <w:r w:rsidR="00E6232E" w:rsidRPr="000B7589">
        <w:rPr>
          <w:lang w:eastAsia="en-US"/>
        </w:rPr>
        <w:t>nforcement</w:t>
      </w:r>
      <w:proofErr w:type="gramEnd"/>
      <w:r w:rsidR="00E6232E" w:rsidRPr="000B7589">
        <w:rPr>
          <w:lang w:eastAsia="en-US"/>
        </w:rPr>
        <w:t xml:space="preserve"> including triggering of some parts of the </w:t>
      </w:r>
      <w:r w:rsidR="00E6232E" w:rsidRPr="002663EE">
        <w:rPr>
          <w:i/>
          <w:iCs/>
        </w:rPr>
        <w:t>Regulatory Powers (Standard Provisions) Act 2014</w:t>
      </w:r>
      <w:r w:rsidR="00E6232E" w:rsidRPr="00336C29">
        <w:t xml:space="preserve"> </w:t>
      </w:r>
      <w:r w:rsidR="00E6232E" w:rsidRPr="000B7589">
        <w:rPr>
          <w:lang w:eastAsia="en-US"/>
        </w:rPr>
        <w:t>(</w:t>
      </w:r>
      <w:r w:rsidR="00BD3879">
        <w:rPr>
          <w:lang w:eastAsia="en-US"/>
        </w:rPr>
        <w:t>‘</w:t>
      </w:r>
      <w:r w:rsidR="00E6232E" w:rsidRPr="004A1125">
        <w:rPr>
          <w:lang w:eastAsia="en-US"/>
        </w:rPr>
        <w:t>Regulatory Powers Act</w:t>
      </w:r>
      <w:r w:rsidR="00BD3879">
        <w:rPr>
          <w:lang w:eastAsia="en-US"/>
        </w:rPr>
        <w:t>’</w:t>
      </w:r>
      <w:r w:rsidR="00E6232E" w:rsidRPr="000B7589">
        <w:rPr>
          <w:lang w:eastAsia="en-US"/>
        </w:rPr>
        <w:t>), namely the civil penalty provisions, enforceable undertakings and injunctions</w:t>
      </w:r>
      <w:r w:rsidR="00273B70">
        <w:rPr>
          <w:lang w:eastAsia="en-US"/>
        </w:rPr>
        <w:t>.</w:t>
      </w:r>
    </w:p>
    <w:p w14:paraId="00133F86" w14:textId="65281D6C" w:rsidR="00E6232E" w:rsidRPr="000B7589" w:rsidRDefault="00273B70" w:rsidP="005C5C13">
      <w:pPr>
        <w:pStyle w:val="ListBulletLevel1"/>
        <w:rPr>
          <w:lang w:eastAsia="en-US"/>
        </w:rPr>
      </w:pPr>
      <w:r>
        <w:rPr>
          <w:lang w:eastAsia="en-US"/>
        </w:rPr>
        <w:t>A</w:t>
      </w:r>
      <w:r w:rsidRPr="000B7589">
        <w:rPr>
          <w:lang w:eastAsia="en-US"/>
        </w:rPr>
        <w:t xml:space="preserve"> </w:t>
      </w:r>
      <w:r w:rsidR="00E6232E" w:rsidRPr="000B7589">
        <w:rPr>
          <w:lang w:eastAsia="en-US"/>
        </w:rPr>
        <w:t>trust mark framework with a civil penalty for unauthorised use by a person.</w:t>
      </w:r>
    </w:p>
    <w:p w14:paraId="16AA4D78" w14:textId="79BEC932" w:rsidR="00E6232E" w:rsidRPr="000B7589" w:rsidRDefault="00E6232E" w:rsidP="005C5C13">
      <w:pPr>
        <w:pStyle w:val="BodyText"/>
        <w:rPr>
          <w:lang w:eastAsia="en-US"/>
        </w:rPr>
      </w:pPr>
      <w:r w:rsidRPr="000B7589">
        <w:rPr>
          <w:lang w:eastAsia="en-US"/>
        </w:rPr>
        <w:t xml:space="preserve">The primary legislation itself </w:t>
      </w:r>
      <w:r w:rsidR="00EC11E1">
        <w:rPr>
          <w:lang w:eastAsia="en-US"/>
        </w:rPr>
        <w:t>is not</w:t>
      </w:r>
      <w:r w:rsidR="00B36A3B">
        <w:rPr>
          <w:lang w:eastAsia="en-US"/>
        </w:rPr>
        <w:t xml:space="preserve"> </w:t>
      </w:r>
      <w:r w:rsidRPr="000B7589">
        <w:rPr>
          <w:lang w:eastAsia="en-US"/>
        </w:rPr>
        <w:t>prescriptive, but establish</w:t>
      </w:r>
      <w:r w:rsidR="00B36A3B">
        <w:rPr>
          <w:lang w:eastAsia="en-US"/>
        </w:rPr>
        <w:t>es</w:t>
      </w:r>
      <w:r w:rsidRPr="000B7589">
        <w:rPr>
          <w:lang w:eastAsia="en-US"/>
        </w:rPr>
        <w:t xml:space="preserve"> powers to regulate in several areas, with further specific details to be set through subordinate legislation. Some aspects of the expected regulatory </w:t>
      </w:r>
      <w:r w:rsidR="00B0130A">
        <w:rPr>
          <w:lang w:eastAsia="en-US"/>
        </w:rPr>
        <w:t>impacts</w:t>
      </w:r>
      <w:r w:rsidRPr="000B7589">
        <w:rPr>
          <w:lang w:eastAsia="en-US"/>
        </w:rPr>
        <w:t xml:space="preserve"> will be determined by the specifics of this subordinate legislation.</w:t>
      </w:r>
    </w:p>
    <w:p w14:paraId="7F876C22" w14:textId="2DB719EE" w:rsidR="00E6232E" w:rsidRPr="00273B70" w:rsidRDefault="00E6232E" w:rsidP="005C5C13">
      <w:pPr>
        <w:pStyle w:val="BodyText"/>
        <w:rPr>
          <w:color w:val="008675"/>
        </w:rPr>
      </w:pPr>
      <w:r w:rsidRPr="000B7589">
        <w:rPr>
          <w:lang w:eastAsia="en-US"/>
        </w:rPr>
        <w:t xml:space="preserve">Further detail on the regulatory measures contained within </w:t>
      </w:r>
      <w:r w:rsidR="00B36A3B">
        <w:rPr>
          <w:lang w:eastAsia="en-US"/>
        </w:rPr>
        <w:t xml:space="preserve">Option 3 and </w:t>
      </w:r>
      <w:r w:rsidRPr="000B7589">
        <w:rPr>
          <w:lang w:eastAsia="en-US"/>
        </w:rPr>
        <w:t xml:space="preserve">their impact on regulated entities, is set out in </w:t>
      </w:r>
      <w:r w:rsidRPr="00273B70">
        <w:rPr>
          <w:color w:val="008675"/>
        </w:rPr>
        <w:t xml:space="preserve">Section </w:t>
      </w:r>
      <w:r w:rsidRPr="00273B70">
        <w:rPr>
          <w:color w:val="008675"/>
        </w:rPr>
        <w:fldChar w:fldCharType="begin"/>
      </w:r>
      <w:r w:rsidRPr="00273B70">
        <w:rPr>
          <w:color w:val="008675"/>
        </w:rPr>
        <w:instrText xml:space="preserve"> REF _Ref64938104 \h </w:instrText>
      </w:r>
      <w:r w:rsidR="000B7589" w:rsidRPr="00273B70">
        <w:rPr>
          <w:color w:val="008675"/>
        </w:rPr>
        <w:instrText xml:space="preserve"> \* MERGEFORMAT </w:instrText>
      </w:r>
      <w:r w:rsidRPr="00273B70">
        <w:rPr>
          <w:color w:val="008675"/>
        </w:rPr>
      </w:r>
      <w:r w:rsidRPr="00273B70">
        <w:rPr>
          <w:color w:val="008675"/>
        </w:rPr>
        <w:fldChar w:fldCharType="separate"/>
      </w:r>
      <w:r w:rsidRPr="00273B70">
        <w:rPr>
          <w:color w:val="008675"/>
        </w:rPr>
        <w:t xml:space="preserve">9 Likely </w:t>
      </w:r>
      <w:r w:rsidR="00D55B85" w:rsidRPr="00273B70">
        <w:rPr>
          <w:color w:val="008675"/>
        </w:rPr>
        <w:t>n</w:t>
      </w:r>
      <w:r w:rsidRPr="00273B70">
        <w:rPr>
          <w:color w:val="008675"/>
        </w:rPr>
        <w:t xml:space="preserve">et </w:t>
      </w:r>
      <w:r w:rsidR="00D55B85" w:rsidRPr="00273B70">
        <w:rPr>
          <w:color w:val="008675"/>
        </w:rPr>
        <w:t>b</w:t>
      </w:r>
      <w:r w:rsidRPr="00273B70">
        <w:rPr>
          <w:color w:val="008675"/>
        </w:rPr>
        <w:t>enefit of Option 3</w:t>
      </w:r>
      <w:r w:rsidR="00EE489F" w:rsidRPr="00273B70">
        <w:rPr>
          <w:color w:val="008675"/>
        </w:rPr>
        <w:t xml:space="preserve"> (d</w:t>
      </w:r>
      <w:r w:rsidRPr="00273B70">
        <w:rPr>
          <w:color w:val="008675"/>
        </w:rPr>
        <w:t xml:space="preserve">edicated </w:t>
      </w:r>
      <w:r w:rsidR="00D55B85" w:rsidRPr="00273B70">
        <w:rPr>
          <w:color w:val="008675"/>
        </w:rPr>
        <w:t>r</w:t>
      </w:r>
      <w:r w:rsidRPr="00273B70">
        <w:rPr>
          <w:color w:val="008675"/>
        </w:rPr>
        <w:t xml:space="preserve">egulatory </w:t>
      </w:r>
      <w:r w:rsidR="00D55B85" w:rsidRPr="00273B70">
        <w:rPr>
          <w:color w:val="008675"/>
        </w:rPr>
        <w:t>s</w:t>
      </w:r>
      <w:r w:rsidRPr="00273B70">
        <w:rPr>
          <w:color w:val="008675"/>
        </w:rPr>
        <w:t>chem</w:t>
      </w:r>
      <w:r w:rsidR="00EE489F" w:rsidRPr="00273B70">
        <w:rPr>
          <w:color w:val="008675"/>
        </w:rPr>
        <w:t>e)</w:t>
      </w:r>
      <w:r w:rsidRPr="00273B70">
        <w:rPr>
          <w:color w:val="008675"/>
        </w:rPr>
        <w:fldChar w:fldCharType="end"/>
      </w:r>
      <w:r w:rsidRPr="00273B70">
        <w:rPr>
          <w:color w:val="008675"/>
        </w:rPr>
        <w:t>.</w:t>
      </w:r>
    </w:p>
    <w:p w14:paraId="094C61E5" w14:textId="1B61DD70" w:rsidR="00E6232E" w:rsidRPr="00E678D1" w:rsidRDefault="00E6232E" w:rsidP="00F00A6E">
      <w:pPr>
        <w:pStyle w:val="Heading4NoNumbers"/>
        <w:rPr>
          <w:color w:val="008675"/>
          <w:lang w:eastAsia="en-US"/>
        </w:rPr>
      </w:pPr>
      <w:r w:rsidRPr="00E678D1">
        <w:rPr>
          <w:color w:val="008675"/>
          <w:lang w:eastAsia="en-US"/>
        </w:rPr>
        <w:lastRenderedPageBreak/>
        <w:t xml:space="preserve">Charging </w:t>
      </w:r>
      <w:r w:rsidR="00DB260F" w:rsidRPr="00E678D1">
        <w:rPr>
          <w:color w:val="008675"/>
          <w:lang w:eastAsia="en-US"/>
        </w:rPr>
        <w:t>f</w:t>
      </w:r>
      <w:r w:rsidRPr="00E678D1">
        <w:rPr>
          <w:color w:val="008675"/>
          <w:lang w:eastAsia="en-US"/>
        </w:rPr>
        <w:t xml:space="preserve">ramework </w:t>
      </w:r>
    </w:p>
    <w:p w14:paraId="52544650" w14:textId="779077A7" w:rsidR="00E6232E" w:rsidRPr="000B7589" w:rsidRDefault="00E6232E" w:rsidP="002D3231">
      <w:pPr>
        <w:pStyle w:val="BodyText"/>
        <w:rPr>
          <w:lang w:eastAsia="en-US"/>
        </w:rPr>
      </w:pPr>
      <w:r w:rsidRPr="000B7589">
        <w:rPr>
          <w:lang w:eastAsia="en-US"/>
        </w:rPr>
        <w:t xml:space="preserve">As outlined above, proposed legislation under Option 3 would enable the introduction of a </w:t>
      </w:r>
      <w:r w:rsidR="006D5324">
        <w:rPr>
          <w:lang w:eastAsia="en-US"/>
        </w:rPr>
        <w:t>c</w:t>
      </w:r>
      <w:r w:rsidRPr="000B7589">
        <w:rPr>
          <w:lang w:eastAsia="en-US"/>
        </w:rPr>
        <w:t xml:space="preserve">harging </w:t>
      </w:r>
      <w:r w:rsidR="006D5324">
        <w:rPr>
          <w:lang w:eastAsia="en-US"/>
        </w:rPr>
        <w:t>f</w:t>
      </w:r>
      <w:r w:rsidRPr="000B7589">
        <w:rPr>
          <w:lang w:eastAsia="en-US"/>
        </w:rPr>
        <w:t>ramework. Whilst the details of this framework remain under development and the subject of ongoing consultation, it is expected to follow the broad principles below.</w:t>
      </w:r>
    </w:p>
    <w:p w14:paraId="061A46C7" w14:textId="4FB77E8A" w:rsidR="00E6232E" w:rsidRPr="000B7589" w:rsidRDefault="00752FE5" w:rsidP="002D3231">
      <w:pPr>
        <w:pStyle w:val="BodyText"/>
        <w:rPr>
          <w:lang w:eastAsia="en-US"/>
        </w:rPr>
      </w:pPr>
      <w:r>
        <w:rPr>
          <w:lang w:eastAsia="en-US"/>
        </w:rPr>
        <w:t>T</w:t>
      </w:r>
      <w:r w:rsidR="00E6232E" w:rsidRPr="000B7589">
        <w:rPr>
          <w:lang w:eastAsia="en-US"/>
        </w:rPr>
        <w:t xml:space="preserve">he </w:t>
      </w:r>
      <w:r w:rsidR="006D5324">
        <w:rPr>
          <w:lang w:eastAsia="en-US"/>
        </w:rPr>
        <w:t>c</w:t>
      </w:r>
      <w:r w:rsidR="00E6232E" w:rsidRPr="000B7589">
        <w:rPr>
          <w:lang w:eastAsia="en-US"/>
        </w:rPr>
        <w:t xml:space="preserve">harging </w:t>
      </w:r>
      <w:r w:rsidR="006D5324">
        <w:rPr>
          <w:lang w:eastAsia="en-US"/>
        </w:rPr>
        <w:t>f</w:t>
      </w:r>
      <w:r w:rsidR="00E6232E" w:rsidRPr="000B7589">
        <w:rPr>
          <w:lang w:eastAsia="en-US"/>
        </w:rPr>
        <w:t>ramework may provide</w:t>
      </w:r>
      <w:r w:rsidR="00C109F5">
        <w:rPr>
          <w:lang w:eastAsia="en-US"/>
        </w:rPr>
        <w:t xml:space="preserve"> for</w:t>
      </w:r>
      <w:r w:rsidR="00E6232E" w:rsidRPr="000B7589">
        <w:rPr>
          <w:lang w:eastAsia="en-US"/>
        </w:rPr>
        <w:t>:</w:t>
      </w:r>
    </w:p>
    <w:p w14:paraId="391A005B" w14:textId="79AC1CDB" w:rsidR="00E6232E" w:rsidRPr="000B7589" w:rsidRDefault="00E6232E" w:rsidP="002D3231">
      <w:pPr>
        <w:pStyle w:val="ListBulletLevel1"/>
        <w:rPr>
          <w:rFonts w:eastAsia="Calibri"/>
          <w:lang w:eastAsia="en-US"/>
        </w:rPr>
      </w:pPr>
      <w:r w:rsidRPr="000B7589">
        <w:rPr>
          <w:rFonts w:eastAsia="Calibri"/>
          <w:lang w:eastAsia="en-US"/>
        </w:rPr>
        <w:t>fees for the assessments necessary to consider an application for accreditation, reaccreditation and annual accreditations</w:t>
      </w:r>
    </w:p>
    <w:p w14:paraId="358C8883" w14:textId="1BD8723A" w:rsidR="00E6232E" w:rsidRPr="000B7589" w:rsidRDefault="00864EFE" w:rsidP="002D3231">
      <w:pPr>
        <w:pStyle w:val="ListBulletLevel1"/>
        <w:rPr>
          <w:rFonts w:eastAsia="Calibri"/>
          <w:lang w:eastAsia="en-US"/>
        </w:rPr>
      </w:pPr>
      <w:r>
        <w:rPr>
          <w:rFonts w:eastAsia="Calibri"/>
          <w:lang w:eastAsia="en-US"/>
        </w:rPr>
        <w:t>c</w:t>
      </w:r>
      <w:r w:rsidR="00E6232E" w:rsidRPr="000B7589">
        <w:rPr>
          <w:rFonts w:eastAsia="Calibri"/>
          <w:lang w:eastAsia="en-US"/>
        </w:rPr>
        <w:t xml:space="preserve">harges for use of </w:t>
      </w:r>
      <w:r w:rsidR="00F03C3A">
        <w:rPr>
          <w:rFonts w:eastAsia="Calibri"/>
          <w:lang w:eastAsia="en-US"/>
        </w:rPr>
        <w:t>AGDIS</w:t>
      </w:r>
      <w:r w:rsidR="00E6232E" w:rsidRPr="000B7589">
        <w:rPr>
          <w:rFonts w:eastAsia="Calibri"/>
          <w:lang w:eastAsia="en-US"/>
        </w:rPr>
        <w:t xml:space="preserve"> by </w:t>
      </w:r>
      <w:r w:rsidR="00D55B85">
        <w:rPr>
          <w:rFonts w:eastAsia="Calibri"/>
          <w:lang w:eastAsia="en-US"/>
        </w:rPr>
        <w:t>p</w:t>
      </w:r>
      <w:r w:rsidR="00E6232E" w:rsidRPr="000B7589">
        <w:rPr>
          <w:rFonts w:eastAsia="Calibri"/>
          <w:lang w:eastAsia="en-US"/>
        </w:rPr>
        <w:t>articipants.</w:t>
      </w:r>
    </w:p>
    <w:p w14:paraId="6B5DE12E" w14:textId="0A9AF0C1" w:rsidR="00E6232E" w:rsidRPr="000B7589" w:rsidRDefault="00E6232E" w:rsidP="002D3231">
      <w:pPr>
        <w:pStyle w:val="BodyText"/>
        <w:rPr>
          <w:rFonts w:eastAsia="Calibri"/>
          <w:szCs w:val="22"/>
          <w:lang w:eastAsia="en-US"/>
        </w:rPr>
      </w:pPr>
      <w:r w:rsidRPr="000B7589">
        <w:t xml:space="preserve">The framework will not directly impose charges on individuals using </w:t>
      </w:r>
      <w:r w:rsidR="00910C25">
        <w:t>Digital ID</w:t>
      </w:r>
      <w:r w:rsidR="00E10981" w:rsidRPr="000B7589">
        <w:t xml:space="preserve"> but</w:t>
      </w:r>
      <w:r w:rsidR="0057101F">
        <w:t xml:space="preserve"> also</w:t>
      </w:r>
      <w:r w:rsidRPr="000B7589">
        <w:t xml:space="preserve"> will not regulate fees charged by </w:t>
      </w:r>
      <w:r w:rsidR="00FC55EA">
        <w:t>r</w:t>
      </w:r>
      <w:r w:rsidRPr="000B7589">
        <w:t xml:space="preserve">elying </w:t>
      </w:r>
      <w:r w:rsidR="00FC55EA">
        <w:t>p</w:t>
      </w:r>
      <w:r w:rsidRPr="000B7589">
        <w:t>arties wanting access to provide a service to an individual.</w:t>
      </w:r>
      <w:r w:rsidR="00737BA2">
        <w:t xml:space="preserve"> </w:t>
      </w:r>
      <w:r w:rsidRPr="000B7589">
        <w:t xml:space="preserve">The Bill will allow the </w:t>
      </w:r>
      <w:r w:rsidR="00D3012A">
        <w:rPr>
          <w:lang w:eastAsia="en-US"/>
        </w:rPr>
        <w:t>Australian Government</w:t>
      </w:r>
      <w:r w:rsidR="00D3012A" w:rsidRPr="000B7589" w:rsidDel="00D3012A">
        <w:t xml:space="preserve"> </w:t>
      </w:r>
      <w:r w:rsidRPr="000B7589">
        <w:t xml:space="preserve">to charge and set out criteria for </w:t>
      </w:r>
      <w:r w:rsidR="00261B7B">
        <w:t>g</w:t>
      </w:r>
      <w:r w:rsidRPr="000B7589">
        <w:t>overnment charging, and secondary legislation (likely rules) will provide the amount of the charge, and</w:t>
      </w:r>
      <w:r w:rsidR="00737BA2">
        <w:t>/</w:t>
      </w:r>
      <w:r w:rsidRPr="000B7589">
        <w:t>or any formula for determining the charge, as well as charging arrangements.</w:t>
      </w:r>
      <w:r w:rsidR="00737BA2">
        <w:t xml:space="preserve"> </w:t>
      </w:r>
      <w:r w:rsidRPr="000B7589">
        <w:t xml:space="preserve">The </w:t>
      </w:r>
      <w:r w:rsidR="006D5324">
        <w:t>c</w:t>
      </w:r>
      <w:r w:rsidRPr="000B7589">
        <w:t xml:space="preserve">harging </w:t>
      </w:r>
      <w:r w:rsidR="006D5324">
        <w:t>f</w:t>
      </w:r>
      <w:r w:rsidRPr="000B7589">
        <w:t xml:space="preserve">ramework will be developed in compliance with </w:t>
      </w:r>
      <w:hyperlink r:id="rId71" w:history="1">
        <w:r w:rsidRPr="00E678D1">
          <w:rPr>
            <w:rStyle w:val="Hyperlink"/>
            <w:color w:val="008675"/>
          </w:rPr>
          <w:t xml:space="preserve">Australian </w:t>
        </w:r>
        <w:r w:rsidR="00CA5435" w:rsidRPr="00E678D1">
          <w:rPr>
            <w:rStyle w:val="Hyperlink"/>
            <w:color w:val="008675"/>
          </w:rPr>
          <w:t>G</w:t>
        </w:r>
        <w:r w:rsidRPr="00E678D1">
          <w:rPr>
            <w:rStyle w:val="Hyperlink"/>
            <w:color w:val="008675"/>
          </w:rPr>
          <w:t xml:space="preserve">overnment </w:t>
        </w:r>
        <w:r w:rsidR="006D5324" w:rsidRPr="00E678D1">
          <w:rPr>
            <w:rStyle w:val="Hyperlink"/>
            <w:color w:val="008675"/>
          </w:rPr>
          <w:t>c</w:t>
        </w:r>
        <w:r w:rsidRPr="00E678D1">
          <w:rPr>
            <w:rStyle w:val="Hyperlink"/>
            <w:color w:val="008675"/>
          </w:rPr>
          <w:t xml:space="preserve">harging </w:t>
        </w:r>
        <w:r w:rsidR="006D5324" w:rsidRPr="00E678D1">
          <w:rPr>
            <w:rStyle w:val="Hyperlink"/>
            <w:color w:val="008675"/>
          </w:rPr>
          <w:t>f</w:t>
        </w:r>
        <w:r w:rsidRPr="00E678D1">
          <w:rPr>
            <w:rStyle w:val="Hyperlink"/>
            <w:color w:val="008675"/>
          </w:rPr>
          <w:t>ramework</w:t>
        </w:r>
      </w:hyperlink>
      <w:r w:rsidRPr="000B7589">
        <w:t xml:space="preserve"> and related requirements and guidelines.</w:t>
      </w:r>
    </w:p>
    <w:p w14:paraId="0B948884" w14:textId="3D6F0E28" w:rsidR="00E6232E" w:rsidRPr="004A1125" w:rsidRDefault="00E6232E" w:rsidP="002D3231">
      <w:pPr>
        <w:pStyle w:val="BodyText"/>
        <w:rPr>
          <w:b/>
          <w:bCs/>
          <w:szCs w:val="22"/>
          <w:lang w:eastAsia="en-US"/>
        </w:rPr>
      </w:pPr>
      <w:r w:rsidRPr="000B7589">
        <w:rPr>
          <w:szCs w:val="22"/>
          <w:lang w:eastAsia="en-US"/>
        </w:rPr>
        <w:t xml:space="preserve">Development of the </w:t>
      </w:r>
      <w:r w:rsidR="006D5324">
        <w:rPr>
          <w:szCs w:val="22"/>
          <w:lang w:eastAsia="en-US"/>
        </w:rPr>
        <w:t>c</w:t>
      </w:r>
      <w:r w:rsidRPr="000B7589">
        <w:rPr>
          <w:szCs w:val="22"/>
          <w:lang w:eastAsia="en-US"/>
        </w:rPr>
        <w:t xml:space="preserve">harging </w:t>
      </w:r>
      <w:r w:rsidR="006D5324">
        <w:rPr>
          <w:szCs w:val="22"/>
          <w:lang w:eastAsia="en-US"/>
        </w:rPr>
        <w:t>f</w:t>
      </w:r>
      <w:r w:rsidRPr="000B7589">
        <w:rPr>
          <w:szCs w:val="22"/>
          <w:lang w:eastAsia="en-US"/>
        </w:rPr>
        <w:t xml:space="preserve">ramework </w:t>
      </w:r>
      <w:r w:rsidR="00CB6E2B">
        <w:rPr>
          <w:szCs w:val="22"/>
          <w:lang w:eastAsia="en-US"/>
        </w:rPr>
        <w:t>has continued</w:t>
      </w:r>
      <w:r w:rsidRPr="000B7589">
        <w:rPr>
          <w:szCs w:val="22"/>
          <w:lang w:eastAsia="en-US"/>
        </w:rPr>
        <w:t xml:space="preserve"> throughout 202</w:t>
      </w:r>
      <w:r w:rsidR="00B92C73">
        <w:rPr>
          <w:szCs w:val="22"/>
          <w:lang w:eastAsia="en-US"/>
        </w:rPr>
        <w:t>3</w:t>
      </w:r>
      <w:r w:rsidRPr="000B7589">
        <w:rPr>
          <w:szCs w:val="22"/>
          <w:lang w:eastAsia="en-US"/>
        </w:rPr>
        <w:t xml:space="preserve">, </w:t>
      </w:r>
      <w:r w:rsidR="00FB6276">
        <w:rPr>
          <w:szCs w:val="22"/>
          <w:lang w:eastAsia="en-US"/>
        </w:rPr>
        <w:t>through</w:t>
      </w:r>
      <w:r w:rsidRPr="000B7589">
        <w:rPr>
          <w:szCs w:val="22"/>
          <w:lang w:eastAsia="en-US"/>
        </w:rPr>
        <w:t xml:space="preserve"> consultation with key stakeholders including state and territory governments, the private sector and a range of </w:t>
      </w:r>
      <w:r w:rsidR="008A7639">
        <w:rPr>
          <w:lang w:eastAsia="en-US"/>
        </w:rPr>
        <w:t>Australian Government</w:t>
      </w:r>
      <w:r w:rsidR="008A7639" w:rsidRPr="000B7589" w:rsidDel="008A7639">
        <w:rPr>
          <w:szCs w:val="22"/>
          <w:lang w:eastAsia="en-US"/>
        </w:rPr>
        <w:t xml:space="preserve"> </w:t>
      </w:r>
      <w:r w:rsidRPr="000B7589">
        <w:rPr>
          <w:szCs w:val="22"/>
          <w:lang w:eastAsia="en-US"/>
        </w:rPr>
        <w:t xml:space="preserve">departments and entities. This and other Program consultation </w:t>
      </w:r>
      <w:r w:rsidR="00CE1177">
        <w:rPr>
          <w:szCs w:val="22"/>
          <w:lang w:eastAsia="en-US"/>
        </w:rPr>
        <w:t xml:space="preserve">conducted </w:t>
      </w:r>
      <w:r w:rsidRPr="000B7589">
        <w:rPr>
          <w:szCs w:val="22"/>
          <w:lang w:eastAsia="en-US"/>
        </w:rPr>
        <w:t xml:space="preserve">is described in more detail at </w:t>
      </w:r>
      <w:hyperlink w:anchor="section10" w:history="1">
        <w:r w:rsidR="00AA6445" w:rsidRPr="008A7FE6">
          <w:rPr>
            <w:rStyle w:val="Hyperlink"/>
            <w:color w:val="008675"/>
            <w:lang w:eastAsia="en-US"/>
          </w:rPr>
          <w:t>Section 10 Consultation</w:t>
        </w:r>
      </w:hyperlink>
      <w:r w:rsidRPr="004A1125">
        <w:rPr>
          <w:b/>
          <w:bCs/>
          <w:szCs w:val="22"/>
          <w:lang w:eastAsia="en-US"/>
        </w:rPr>
        <w:t>.</w:t>
      </w:r>
    </w:p>
    <w:p w14:paraId="5C45EB85" w14:textId="4B1A676B" w:rsidR="00E6232E" w:rsidRPr="00963BCC" w:rsidRDefault="00E6232E" w:rsidP="00F00A6E">
      <w:pPr>
        <w:pStyle w:val="Heading4NoNumbers"/>
        <w:rPr>
          <w:color w:val="008675"/>
          <w:lang w:eastAsia="en-US"/>
        </w:rPr>
      </w:pPr>
      <w:r w:rsidRPr="00963BCC">
        <w:rPr>
          <w:color w:val="008675"/>
          <w:lang w:eastAsia="en-US"/>
        </w:rPr>
        <w:t xml:space="preserve">Mitigating </w:t>
      </w:r>
      <w:r w:rsidR="00DB260F" w:rsidRPr="00963BCC">
        <w:rPr>
          <w:color w:val="008675"/>
          <w:lang w:eastAsia="en-US"/>
        </w:rPr>
        <w:t>r</w:t>
      </w:r>
      <w:r w:rsidRPr="00963BCC">
        <w:rPr>
          <w:color w:val="008675"/>
          <w:lang w:eastAsia="en-US"/>
        </w:rPr>
        <w:t xml:space="preserve">egulatory </w:t>
      </w:r>
      <w:r w:rsidR="00DB260F" w:rsidRPr="00963BCC">
        <w:rPr>
          <w:color w:val="008675"/>
          <w:lang w:eastAsia="en-US"/>
        </w:rPr>
        <w:t>i</w:t>
      </w:r>
      <w:r w:rsidRPr="00963BCC">
        <w:rPr>
          <w:color w:val="008675"/>
          <w:lang w:eastAsia="en-US"/>
        </w:rPr>
        <w:t>mpact</w:t>
      </w:r>
    </w:p>
    <w:p w14:paraId="016936AB" w14:textId="38094D0F" w:rsidR="00E6232E" w:rsidRPr="000B7589" w:rsidRDefault="00E6232E" w:rsidP="002D3231">
      <w:pPr>
        <w:pStyle w:val="BodyText"/>
        <w:rPr>
          <w:lang w:eastAsia="en-US"/>
        </w:rPr>
      </w:pPr>
      <w:r w:rsidRPr="000B7589">
        <w:rPr>
          <w:lang w:eastAsia="en-US"/>
        </w:rPr>
        <w:t xml:space="preserve">A key feature of </w:t>
      </w:r>
      <w:r w:rsidR="002B1BF9">
        <w:rPr>
          <w:lang w:eastAsia="en-US"/>
        </w:rPr>
        <w:t xml:space="preserve">Option 3, reflected in </w:t>
      </w:r>
      <w:r w:rsidRPr="000B7589">
        <w:rPr>
          <w:lang w:eastAsia="en-US"/>
        </w:rPr>
        <w:t xml:space="preserve">the </w:t>
      </w:r>
      <w:r w:rsidR="00973425">
        <w:rPr>
          <w:lang w:eastAsia="en-US"/>
        </w:rPr>
        <w:t>Bill</w:t>
      </w:r>
      <w:r w:rsidR="002B1BF9">
        <w:rPr>
          <w:lang w:eastAsia="en-US"/>
        </w:rPr>
        <w:t>,</w:t>
      </w:r>
      <w:r w:rsidR="006D79E8" w:rsidRPr="000B7589">
        <w:rPr>
          <w:lang w:eastAsia="en-US"/>
        </w:rPr>
        <w:t xml:space="preserve"> </w:t>
      </w:r>
      <w:r w:rsidRPr="000B7589">
        <w:rPr>
          <w:lang w:eastAsia="en-US"/>
        </w:rPr>
        <w:t>is a focus on mitigating complexity and regulatory burden for Australian businesses, individuals and government.</w:t>
      </w:r>
      <w:r w:rsidR="00737BA2">
        <w:rPr>
          <w:lang w:eastAsia="en-US"/>
        </w:rPr>
        <w:t xml:space="preserve"> </w:t>
      </w:r>
      <w:r w:rsidRPr="000B7589">
        <w:rPr>
          <w:lang w:eastAsia="en-US"/>
        </w:rPr>
        <w:t xml:space="preserve">To that end, </w:t>
      </w:r>
      <w:r w:rsidR="00FC57E5">
        <w:rPr>
          <w:lang w:eastAsia="en-US"/>
        </w:rPr>
        <w:t xml:space="preserve">it </w:t>
      </w:r>
      <w:r w:rsidR="005B2AC9">
        <w:rPr>
          <w:lang w:eastAsia="en-US"/>
        </w:rPr>
        <w:t>seek</w:t>
      </w:r>
      <w:r w:rsidR="00FC57E5">
        <w:rPr>
          <w:lang w:eastAsia="en-US"/>
        </w:rPr>
        <w:t>s</w:t>
      </w:r>
      <w:r w:rsidR="005B2AC9">
        <w:rPr>
          <w:lang w:eastAsia="en-US"/>
        </w:rPr>
        <w:t xml:space="preserve"> </w:t>
      </w:r>
      <w:r w:rsidRPr="000B7589">
        <w:rPr>
          <w:lang w:eastAsia="en-US"/>
        </w:rPr>
        <w:t>to leverage existing laws, definitions and concepts wherever possible instead of creating a unique set of arrangements.</w:t>
      </w:r>
    </w:p>
    <w:p w14:paraId="3C63006F" w14:textId="77777777" w:rsidR="00E6232E" w:rsidRPr="000B7589" w:rsidRDefault="00E6232E" w:rsidP="002D3231">
      <w:pPr>
        <w:pStyle w:val="BodyText"/>
        <w:rPr>
          <w:lang w:eastAsia="en-US"/>
        </w:rPr>
      </w:pPr>
      <w:r w:rsidRPr="000B7589">
        <w:rPr>
          <w:lang w:eastAsia="en-US"/>
        </w:rPr>
        <w:t>Key examples of this include:</w:t>
      </w:r>
    </w:p>
    <w:p w14:paraId="3D1472A6" w14:textId="7A4E76A2" w:rsidR="00E6232E" w:rsidRPr="000B7589" w:rsidRDefault="00864EFE" w:rsidP="002D3231">
      <w:pPr>
        <w:pStyle w:val="ListBulletLevel1"/>
        <w:rPr>
          <w:rFonts w:eastAsia="Calibri"/>
          <w:lang w:eastAsia="en-US"/>
        </w:rPr>
      </w:pPr>
      <w:r>
        <w:rPr>
          <w:rFonts w:eastAsia="Calibri"/>
          <w:lang w:eastAsia="en-US"/>
        </w:rPr>
        <w:t>e</w:t>
      </w:r>
      <w:r w:rsidR="00E6232E" w:rsidRPr="000B7589">
        <w:rPr>
          <w:rFonts w:eastAsia="Calibri"/>
          <w:lang w:eastAsia="en-US"/>
        </w:rPr>
        <w:t xml:space="preserve">xisting definitions and terminology from the Privacy Act used within the </w:t>
      </w:r>
      <w:r w:rsidR="00973425">
        <w:rPr>
          <w:rFonts w:eastAsia="Calibri"/>
          <w:lang w:eastAsia="en-US"/>
        </w:rPr>
        <w:t>Bill</w:t>
      </w:r>
      <w:r w:rsidR="006D79E8" w:rsidRPr="000B7589">
        <w:rPr>
          <w:rFonts w:eastAsia="Calibri"/>
          <w:lang w:eastAsia="en-US"/>
        </w:rPr>
        <w:t xml:space="preserve"> </w:t>
      </w:r>
      <w:r w:rsidR="00E6232E" w:rsidRPr="000B7589">
        <w:rPr>
          <w:rFonts w:eastAsia="Calibri"/>
          <w:lang w:eastAsia="en-US"/>
        </w:rPr>
        <w:t xml:space="preserve">(such as personal information). This enhances consistency and also mitigates </w:t>
      </w:r>
      <w:r w:rsidR="00E6232E" w:rsidRPr="000B7589">
        <w:rPr>
          <w:rFonts w:eastAsia="Calibri"/>
          <w:lang w:eastAsia="en-US"/>
        </w:rPr>
        <w:lastRenderedPageBreak/>
        <w:t>regulatory impact, as many entities should have an existing level of familiarity with these concepts</w:t>
      </w:r>
      <w:r w:rsidR="008B3F18">
        <w:rPr>
          <w:rFonts w:eastAsia="Calibri"/>
          <w:lang w:eastAsia="en-US"/>
        </w:rPr>
        <w:t xml:space="preserve"> and the </w:t>
      </w:r>
      <w:r w:rsidR="006C55FC">
        <w:rPr>
          <w:rFonts w:eastAsia="Calibri"/>
          <w:lang w:eastAsia="en-US"/>
        </w:rPr>
        <w:t xml:space="preserve">regulatory framework </w:t>
      </w:r>
      <w:r w:rsidR="008B3F18">
        <w:rPr>
          <w:rFonts w:eastAsia="Calibri"/>
          <w:lang w:eastAsia="en-US"/>
        </w:rPr>
        <w:t>will leverage known processes and mechanisms</w:t>
      </w:r>
    </w:p>
    <w:p w14:paraId="547F24D1" w14:textId="687EE467" w:rsidR="00E6232E" w:rsidRPr="000B7589" w:rsidRDefault="00864EFE" w:rsidP="002D3231">
      <w:pPr>
        <w:pStyle w:val="ListBulletLevel1"/>
        <w:rPr>
          <w:rFonts w:eastAsia="Calibri"/>
          <w:lang w:eastAsia="en-US"/>
        </w:rPr>
      </w:pPr>
      <w:r>
        <w:rPr>
          <w:rFonts w:eastAsia="Calibri"/>
          <w:lang w:eastAsia="en-US"/>
        </w:rPr>
        <w:t>c</w:t>
      </w:r>
      <w:r w:rsidR="00E6232E" w:rsidRPr="000B7589">
        <w:rPr>
          <w:rFonts w:eastAsia="Calibri"/>
          <w:lang w:eastAsia="en-US"/>
        </w:rPr>
        <w:t xml:space="preserve">ontinued use of </w:t>
      </w:r>
      <w:r w:rsidR="00910C25">
        <w:rPr>
          <w:rFonts w:eastAsia="Calibri"/>
          <w:lang w:eastAsia="en-US"/>
        </w:rPr>
        <w:t xml:space="preserve">specific </w:t>
      </w:r>
      <w:r w:rsidR="00E6232E" w:rsidRPr="000B7589">
        <w:rPr>
          <w:rFonts w:eastAsia="Calibri"/>
          <w:lang w:eastAsia="en-US"/>
        </w:rPr>
        <w:t>terminology and concepts that are already established within sources such as the TDIF and National Identity Proofing Guidelines</w:t>
      </w:r>
      <w:r w:rsidR="00910C25">
        <w:rPr>
          <w:rFonts w:eastAsia="Calibri"/>
          <w:lang w:eastAsia="en-US"/>
        </w:rPr>
        <w:t xml:space="preserve">, under the accreditation </w:t>
      </w:r>
      <w:r w:rsidR="00EB0FD3">
        <w:rPr>
          <w:rFonts w:eastAsia="Calibri"/>
          <w:lang w:eastAsia="en-US"/>
        </w:rPr>
        <w:t>system</w:t>
      </w:r>
      <w:r w:rsidR="00E6232E" w:rsidRPr="000B7589">
        <w:rPr>
          <w:rFonts w:eastAsia="Calibri"/>
          <w:lang w:eastAsia="en-US"/>
        </w:rPr>
        <w:t xml:space="preserve">. This will be of particular benefit for entities which are already participating or interacting prior to the legislation being passed </w:t>
      </w:r>
    </w:p>
    <w:p w14:paraId="2CB44FF3" w14:textId="2F2A237B" w:rsidR="00E6232E" w:rsidRPr="000B7589" w:rsidRDefault="00EF526E" w:rsidP="002D3231">
      <w:pPr>
        <w:pStyle w:val="ListBulletLevel1"/>
        <w:rPr>
          <w:rFonts w:eastAsia="Calibri"/>
          <w:lang w:eastAsia="en-US"/>
        </w:rPr>
      </w:pPr>
      <w:r>
        <w:rPr>
          <w:rFonts w:eastAsia="Calibri"/>
          <w:lang w:eastAsia="en-US"/>
        </w:rPr>
        <w:t xml:space="preserve">the </w:t>
      </w:r>
      <w:r w:rsidR="00864EFE">
        <w:rPr>
          <w:rFonts w:eastAsia="Calibri"/>
          <w:lang w:eastAsia="en-US"/>
        </w:rPr>
        <w:t>a</w:t>
      </w:r>
      <w:r w:rsidR="00E6232E" w:rsidRPr="000B7589">
        <w:rPr>
          <w:rFonts w:eastAsia="Calibri"/>
          <w:lang w:eastAsia="en-US"/>
        </w:rPr>
        <w:t>dopt</w:t>
      </w:r>
      <w:r w:rsidR="003332E3">
        <w:rPr>
          <w:rFonts w:eastAsia="Calibri"/>
          <w:lang w:eastAsia="en-US"/>
        </w:rPr>
        <w:t>ion of</w:t>
      </w:r>
      <w:r w:rsidR="00E6232E" w:rsidRPr="000B7589">
        <w:rPr>
          <w:rFonts w:eastAsia="Calibri"/>
          <w:lang w:eastAsia="en-US"/>
        </w:rPr>
        <w:t xml:space="preserve"> terms </w:t>
      </w:r>
      <w:r w:rsidR="00315943">
        <w:rPr>
          <w:rFonts w:eastAsia="Calibri"/>
          <w:lang w:eastAsia="en-US"/>
        </w:rPr>
        <w:t xml:space="preserve">and processes </w:t>
      </w:r>
      <w:r w:rsidR="00E6232E" w:rsidRPr="000B7589">
        <w:rPr>
          <w:rFonts w:eastAsia="Calibri"/>
          <w:lang w:eastAsia="en-US"/>
        </w:rPr>
        <w:t xml:space="preserve">from other legislation </w:t>
      </w:r>
      <w:r>
        <w:rPr>
          <w:rFonts w:eastAsia="Calibri"/>
          <w:lang w:eastAsia="en-US"/>
        </w:rPr>
        <w:t xml:space="preserve">(and pending legislation) </w:t>
      </w:r>
      <w:r w:rsidR="00E6232E" w:rsidRPr="000B7589">
        <w:rPr>
          <w:rFonts w:eastAsia="Calibri"/>
          <w:lang w:eastAsia="en-US"/>
        </w:rPr>
        <w:t xml:space="preserve">as relevant, for example, </w:t>
      </w:r>
      <w:r w:rsidR="00646143">
        <w:rPr>
          <w:rFonts w:eastAsia="Calibri"/>
          <w:lang w:eastAsia="en-US"/>
        </w:rPr>
        <w:t>‘</w:t>
      </w:r>
      <w:r w:rsidR="00E6232E" w:rsidRPr="000B7589">
        <w:rPr>
          <w:rFonts w:eastAsia="Calibri"/>
          <w:lang w:eastAsia="en-US"/>
        </w:rPr>
        <w:t>cyber security incident</w:t>
      </w:r>
      <w:r w:rsidR="00646143">
        <w:rPr>
          <w:rFonts w:eastAsia="Calibri"/>
          <w:lang w:eastAsia="en-US"/>
        </w:rPr>
        <w:t>’</w:t>
      </w:r>
      <w:r w:rsidR="00E6232E" w:rsidRPr="000B7589">
        <w:rPr>
          <w:rFonts w:eastAsia="Calibri"/>
          <w:lang w:eastAsia="en-US"/>
        </w:rPr>
        <w:t xml:space="preserve"> from the </w:t>
      </w:r>
      <w:r w:rsidR="00E6232E" w:rsidRPr="000B7589">
        <w:rPr>
          <w:rFonts w:eastAsia="Calibri"/>
          <w:i/>
          <w:iCs/>
          <w:lang w:eastAsia="en-US"/>
        </w:rPr>
        <w:t>Security Legislation Amendment (Critical Infrastructure) Bill 2020</w:t>
      </w:r>
      <w:r w:rsidR="00315943">
        <w:rPr>
          <w:rFonts w:eastAsia="Calibri"/>
          <w:i/>
          <w:iCs/>
          <w:lang w:eastAsia="en-US"/>
        </w:rPr>
        <w:t xml:space="preserve"> </w:t>
      </w:r>
      <w:r w:rsidR="00315943">
        <w:rPr>
          <w:rFonts w:eastAsia="Calibri"/>
          <w:lang w:eastAsia="en-US"/>
        </w:rPr>
        <w:t xml:space="preserve">and the ‘adverse assessment and recommendations’ process from the </w:t>
      </w:r>
      <w:r w:rsidR="00315943">
        <w:rPr>
          <w:rFonts w:eastAsia="Calibri"/>
          <w:i/>
          <w:iCs/>
          <w:lang w:eastAsia="en-US"/>
        </w:rPr>
        <w:t>D</w:t>
      </w:r>
      <w:r w:rsidR="00127581">
        <w:rPr>
          <w:rFonts w:eastAsia="Calibri"/>
          <w:i/>
          <w:iCs/>
          <w:lang w:eastAsia="en-US"/>
        </w:rPr>
        <w:t>ata Availability and Transparency Bill 2020</w:t>
      </w:r>
      <w:r w:rsidR="00E6232E" w:rsidRPr="000B7589">
        <w:rPr>
          <w:rFonts w:eastAsia="Calibri"/>
          <w:i/>
          <w:iCs/>
          <w:lang w:eastAsia="en-US"/>
        </w:rPr>
        <w:t>.</w:t>
      </w:r>
    </w:p>
    <w:p w14:paraId="1C6BF7F1" w14:textId="77777777" w:rsidR="00E6232E" w:rsidRPr="000B7589" w:rsidRDefault="00E6232E" w:rsidP="00E6232E">
      <w:pPr>
        <w:spacing w:before="0" w:after="160" w:line="259" w:lineRule="auto"/>
        <w:rPr>
          <w:rFonts w:eastAsia="Yu Gothic Light"/>
          <w:color w:val="2F5496"/>
          <w:sz w:val="32"/>
          <w:szCs w:val="32"/>
          <w:lang w:eastAsia="en-US"/>
        </w:rPr>
      </w:pPr>
      <w:r w:rsidRPr="000B7589">
        <w:rPr>
          <w:rFonts w:eastAsia="Times New Roman"/>
          <w:color w:val="auto"/>
          <w:sz w:val="22"/>
          <w:szCs w:val="22"/>
          <w:lang w:eastAsia="en-US"/>
        </w:rPr>
        <w:br w:type="page"/>
      </w:r>
    </w:p>
    <w:p w14:paraId="7513AA25" w14:textId="16FBC80B" w:rsidR="00E6232E" w:rsidRPr="00225CEF" w:rsidRDefault="00E6232E" w:rsidP="00860EDC">
      <w:pPr>
        <w:pStyle w:val="Heading1NoNumbers"/>
        <w:rPr>
          <w:color w:val="008675"/>
          <w:lang w:eastAsia="en-US"/>
        </w:rPr>
      </w:pPr>
      <w:bookmarkStart w:id="303" w:name="_6_Approach_to"/>
      <w:bookmarkStart w:id="304" w:name="_Ref65505506"/>
      <w:bookmarkStart w:id="305" w:name="_Toc80884673"/>
      <w:bookmarkStart w:id="306" w:name="_Toc81226631"/>
      <w:bookmarkStart w:id="307" w:name="_Toc81226667"/>
      <w:bookmarkStart w:id="308" w:name="_Toc81226907"/>
      <w:bookmarkStart w:id="309" w:name="_Toc81228251"/>
      <w:bookmarkStart w:id="310" w:name="_Toc83951194"/>
      <w:bookmarkStart w:id="311" w:name="_Toc84925799"/>
      <w:bookmarkStart w:id="312" w:name="_Toc84925893"/>
      <w:bookmarkStart w:id="313" w:name="_Toc86045137"/>
      <w:bookmarkStart w:id="314" w:name="_Toc86070016"/>
      <w:bookmarkStart w:id="315" w:name="_Toc149740340"/>
      <w:bookmarkEnd w:id="303"/>
      <w:r w:rsidRPr="00225CEF">
        <w:rPr>
          <w:color w:val="008675"/>
          <w:lang w:eastAsia="en-US"/>
        </w:rPr>
        <w:lastRenderedPageBreak/>
        <w:t xml:space="preserve">6 Approach to </w:t>
      </w:r>
      <w:r w:rsidR="00DB260F" w:rsidRPr="00225CEF">
        <w:rPr>
          <w:color w:val="008675"/>
          <w:lang w:eastAsia="en-US"/>
        </w:rPr>
        <w:t>d</w:t>
      </w:r>
      <w:r w:rsidRPr="00225CEF">
        <w:rPr>
          <w:color w:val="008675"/>
          <w:lang w:eastAsia="en-US"/>
        </w:rPr>
        <w:t xml:space="preserve">etermining </w:t>
      </w:r>
      <w:r w:rsidR="00DB260F" w:rsidRPr="00225CEF">
        <w:rPr>
          <w:color w:val="008675"/>
          <w:lang w:eastAsia="en-US"/>
        </w:rPr>
        <w:t>l</w:t>
      </w:r>
      <w:r w:rsidRPr="00225CEF">
        <w:rPr>
          <w:color w:val="008675"/>
          <w:lang w:eastAsia="en-US"/>
        </w:rPr>
        <w:t xml:space="preserve">ikely </w:t>
      </w:r>
      <w:r w:rsidR="00DB260F" w:rsidRPr="00225CEF">
        <w:rPr>
          <w:color w:val="008675"/>
          <w:lang w:eastAsia="en-US"/>
        </w:rPr>
        <w:t>n</w:t>
      </w:r>
      <w:r w:rsidRPr="00225CEF">
        <w:rPr>
          <w:color w:val="008675"/>
          <w:lang w:eastAsia="en-US"/>
        </w:rPr>
        <w:t xml:space="preserve">et </w:t>
      </w:r>
      <w:r w:rsidR="00DB260F" w:rsidRPr="00225CEF">
        <w:rPr>
          <w:color w:val="008675"/>
          <w:lang w:eastAsia="en-US"/>
        </w:rPr>
        <w:t>b</w:t>
      </w:r>
      <w:r w:rsidRPr="00225CEF">
        <w:rPr>
          <w:color w:val="008675"/>
          <w:lang w:eastAsia="en-US"/>
        </w:rPr>
        <w:t xml:space="preserve">enefit of </w:t>
      </w:r>
      <w:r w:rsidR="00DB260F" w:rsidRPr="00225CEF">
        <w:rPr>
          <w:color w:val="008675"/>
          <w:lang w:eastAsia="en-US"/>
        </w:rPr>
        <w:t>o</w:t>
      </w:r>
      <w:r w:rsidRPr="00225CEF">
        <w:rPr>
          <w:color w:val="008675"/>
          <w:lang w:eastAsia="en-US"/>
        </w:rPr>
        <w:t>ptions</w:t>
      </w:r>
      <w:bookmarkEnd w:id="304"/>
      <w:bookmarkEnd w:id="305"/>
      <w:bookmarkEnd w:id="306"/>
      <w:bookmarkEnd w:id="307"/>
      <w:bookmarkEnd w:id="308"/>
      <w:bookmarkEnd w:id="309"/>
      <w:bookmarkEnd w:id="310"/>
      <w:bookmarkEnd w:id="311"/>
      <w:bookmarkEnd w:id="312"/>
      <w:bookmarkEnd w:id="313"/>
      <w:bookmarkEnd w:id="314"/>
      <w:bookmarkEnd w:id="315"/>
    </w:p>
    <w:p w14:paraId="0E73463B" w14:textId="77777777" w:rsidR="00E6232E" w:rsidRPr="00225CEF" w:rsidRDefault="00E6232E" w:rsidP="00F00A6E">
      <w:pPr>
        <w:pStyle w:val="Heading2NoNumbers"/>
        <w:rPr>
          <w:color w:val="008675"/>
          <w:lang w:eastAsia="en-US"/>
        </w:rPr>
      </w:pPr>
      <w:bookmarkStart w:id="316" w:name="_Toc80884674"/>
      <w:bookmarkStart w:id="317" w:name="_Toc81226632"/>
      <w:bookmarkStart w:id="318" w:name="_Toc81226908"/>
      <w:bookmarkStart w:id="319" w:name="_Toc81228252"/>
      <w:bookmarkStart w:id="320" w:name="_Toc83951195"/>
      <w:bookmarkStart w:id="321" w:name="_Toc84925800"/>
      <w:bookmarkStart w:id="322" w:name="_Toc84925894"/>
      <w:bookmarkStart w:id="323" w:name="_Toc86045138"/>
      <w:bookmarkStart w:id="324" w:name="_Toc86070017"/>
      <w:bookmarkStart w:id="325" w:name="_Toc149740341"/>
      <w:r w:rsidRPr="00225CEF">
        <w:rPr>
          <w:color w:val="008675"/>
          <w:lang w:eastAsia="en-US"/>
        </w:rPr>
        <w:t>6.1 Overview</w:t>
      </w:r>
      <w:bookmarkEnd w:id="316"/>
      <w:bookmarkEnd w:id="317"/>
      <w:bookmarkEnd w:id="318"/>
      <w:bookmarkEnd w:id="319"/>
      <w:bookmarkEnd w:id="320"/>
      <w:bookmarkEnd w:id="321"/>
      <w:bookmarkEnd w:id="322"/>
      <w:bookmarkEnd w:id="323"/>
      <w:bookmarkEnd w:id="324"/>
      <w:bookmarkEnd w:id="325"/>
    </w:p>
    <w:p w14:paraId="7759F16A" w14:textId="311492FD" w:rsidR="00E6232E" w:rsidRPr="000B7589" w:rsidRDefault="00E6232E" w:rsidP="00D93603">
      <w:pPr>
        <w:pStyle w:val="BodyText"/>
        <w:rPr>
          <w:lang w:eastAsia="en-US"/>
        </w:rPr>
      </w:pPr>
      <w:r w:rsidRPr="000B7589">
        <w:rPr>
          <w:lang w:eastAsia="en-US"/>
        </w:rPr>
        <w:t xml:space="preserve">The following sections outline the impacts (both positive and negative) of each option on relevant stakeholder groups, in order to determine the likely net benefit of each option. This impact assessment is conducted at two levels: </w:t>
      </w:r>
    </w:p>
    <w:p w14:paraId="508F6140" w14:textId="0E14A415" w:rsidR="00E6232E" w:rsidRPr="000B7589" w:rsidRDefault="00E6232E" w:rsidP="00D93603">
      <w:pPr>
        <w:pStyle w:val="ListBulletLevel1"/>
        <w:rPr>
          <w:rFonts w:eastAsia="Calibri"/>
          <w:lang w:eastAsia="en-US"/>
        </w:rPr>
      </w:pPr>
      <w:r w:rsidRPr="000B7589">
        <w:rPr>
          <w:rFonts w:eastAsia="Calibri"/>
          <w:lang w:eastAsia="en-US"/>
        </w:rPr>
        <w:t xml:space="preserve">Overall impacts – including economic, competition, social, environmental or </w:t>
      </w:r>
      <w:r w:rsidR="001133E5" w:rsidRPr="000B7589">
        <w:rPr>
          <w:rFonts w:eastAsia="Calibri"/>
          <w:lang w:eastAsia="en-US"/>
        </w:rPr>
        <w:t>other.</w:t>
      </w:r>
      <w:r w:rsidRPr="000B7589">
        <w:rPr>
          <w:rFonts w:eastAsia="Calibri"/>
          <w:lang w:eastAsia="en-US"/>
        </w:rPr>
        <w:t xml:space="preserve"> </w:t>
      </w:r>
    </w:p>
    <w:p w14:paraId="2792A3E7" w14:textId="539A98FF" w:rsidR="00E6232E" w:rsidRPr="000B7589" w:rsidRDefault="00E6232E" w:rsidP="00D93603">
      <w:pPr>
        <w:pStyle w:val="ListBulletLevel1"/>
        <w:rPr>
          <w:rFonts w:eastAsia="Calibri"/>
          <w:lang w:eastAsia="en-US"/>
        </w:rPr>
      </w:pPr>
      <w:r w:rsidRPr="000B7589">
        <w:rPr>
          <w:rFonts w:eastAsia="Calibri"/>
          <w:lang w:eastAsia="en-US"/>
        </w:rPr>
        <w:t xml:space="preserve">Regulatory impacts – a subset of the overall impacts, specifically focused upon the regulatory impacts </w:t>
      </w:r>
      <w:r w:rsidR="005C04D4">
        <w:rPr>
          <w:rFonts w:eastAsia="Calibri"/>
          <w:lang w:eastAsia="en-US"/>
        </w:rPr>
        <w:t>of</w:t>
      </w:r>
      <w:r w:rsidRPr="000B7589">
        <w:rPr>
          <w:rFonts w:eastAsia="Calibri"/>
          <w:lang w:eastAsia="en-US"/>
        </w:rPr>
        <w:t xml:space="preserve"> each option and the burden on regulated entities.</w:t>
      </w:r>
    </w:p>
    <w:p w14:paraId="3FA68B9E" w14:textId="77777777" w:rsidR="00E6232E" w:rsidRPr="000B7589" w:rsidRDefault="00E6232E" w:rsidP="00D93603">
      <w:pPr>
        <w:pStyle w:val="BodyText"/>
        <w:rPr>
          <w:lang w:eastAsia="en-US"/>
        </w:rPr>
      </w:pPr>
      <w:r w:rsidRPr="000B7589">
        <w:rPr>
          <w:lang w:eastAsia="en-US"/>
        </w:rPr>
        <w:t xml:space="preserve">Each level of analysis takes a different approach, and focuses on different stakeholder groups, as set out in further detail below. </w:t>
      </w:r>
    </w:p>
    <w:p w14:paraId="7346F6CD" w14:textId="3930961E" w:rsidR="00E6232E" w:rsidRPr="00225CEF" w:rsidRDefault="00E6232E" w:rsidP="00F00A6E">
      <w:pPr>
        <w:pStyle w:val="Heading2NoNumbers"/>
        <w:rPr>
          <w:color w:val="008675"/>
          <w:lang w:eastAsia="en-US"/>
        </w:rPr>
      </w:pPr>
      <w:bookmarkStart w:id="326" w:name="_Toc80884675"/>
      <w:bookmarkStart w:id="327" w:name="_Toc81226633"/>
      <w:bookmarkStart w:id="328" w:name="_Toc81226909"/>
      <w:bookmarkStart w:id="329" w:name="_Toc81228253"/>
      <w:bookmarkStart w:id="330" w:name="_Toc83951196"/>
      <w:bookmarkStart w:id="331" w:name="_Toc84925801"/>
      <w:bookmarkStart w:id="332" w:name="_Toc84925895"/>
      <w:bookmarkStart w:id="333" w:name="_Toc86045139"/>
      <w:bookmarkStart w:id="334" w:name="_Toc86070018"/>
      <w:bookmarkStart w:id="335" w:name="_Toc149740342"/>
      <w:r w:rsidRPr="00225CEF">
        <w:rPr>
          <w:color w:val="008675"/>
          <w:lang w:eastAsia="en-US"/>
        </w:rPr>
        <w:t xml:space="preserve">6.2 Overall </w:t>
      </w:r>
      <w:r w:rsidR="00925F59" w:rsidRPr="00225CEF">
        <w:rPr>
          <w:color w:val="008675"/>
          <w:lang w:eastAsia="en-US"/>
        </w:rPr>
        <w:t>i</w:t>
      </w:r>
      <w:r w:rsidRPr="00225CEF">
        <w:rPr>
          <w:color w:val="008675"/>
          <w:lang w:eastAsia="en-US"/>
        </w:rPr>
        <w:t>mpacts</w:t>
      </w:r>
      <w:bookmarkEnd w:id="326"/>
      <w:bookmarkEnd w:id="327"/>
      <w:bookmarkEnd w:id="328"/>
      <w:bookmarkEnd w:id="329"/>
      <w:bookmarkEnd w:id="330"/>
      <w:bookmarkEnd w:id="331"/>
      <w:bookmarkEnd w:id="332"/>
      <w:bookmarkEnd w:id="333"/>
      <w:bookmarkEnd w:id="334"/>
      <w:bookmarkEnd w:id="335"/>
    </w:p>
    <w:p w14:paraId="0476FE7A" w14:textId="36C39C79" w:rsidR="00E6232E" w:rsidRPr="000B7589" w:rsidRDefault="00E6232E" w:rsidP="00077D43">
      <w:pPr>
        <w:pStyle w:val="BodyText"/>
        <w:rPr>
          <w:rFonts w:eastAsia="Yu Gothic Light"/>
          <w:lang w:eastAsia="en-US"/>
        </w:rPr>
      </w:pPr>
      <w:r w:rsidRPr="00077D43">
        <w:rPr>
          <w:rStyle w:val="BodyTextChar"/>
        </w:rPr>
        <w:t xml:space="preserve">This </w:t>
      </w:r>
      <w:r w:rsidR="00465F3F">
        <w:rPr>
          <w:rStyle w:val="BodyTextChar"/>
        </w:rPr>
        <w:t>Impact Analysis</w:t>
      </w:r>
      <w:r w:rsidRPr="00077D43">
        <w:rPr>
          <w:rStyle w:val="BodyTextChar"/>
        </w:rPr>
        <w:t xml:space="preserve"> considers</w:t>
      </w:r>
      <w:r w:rsidRPr="000B7589">
        <w:rPr>
          <w:lang w:eastAsia="en-US"/>
        </w:rPr>
        <w:t xml:space="preserve"> the overall impacts (both costs and benefits) of each option across the broad stakeholder groups that are likely to be affected – individuals, businesses, government and the community. These impacts may be economic, competition, social, environment or other. For the purposes of this assessment, the stakeholder groups have been defined as follows:</w:t>
      </w:r>
    </w:p>
    <w:p w14:paraId="640D464A" w14:textId="585D3598" w:rsidR="00E6232E" w:rsidRPr="00B0526F" w:rsidRDefault="00E6232E" w:rsidP="00B0526F">
      <w:pPr>
        <w:pStyle w:val="ListBulletLevel1"/>
        <w:rPr>
          <w:rFonts w:eastAsia="Calibri"/>
        </w:rPr>
      </w:pPr>
      <w:r w:rsidRPr="00B0526F">
        <w:rPr>
          <w:rFonts w:eastAsia="Calibri"/>
          <w:b/>
          <w:bCs/>
        </w:rPr>
        <w:t>Individuals</w:t>
      </w:r>
      <w:r w:rsidRPr="00B0526F">
        <w:rPr>
          <w:rFonts w:eastAsia="Calibri"/>
        </w:rPr>
        <w:t xml:space="preserve"> – refers to private individuals, specifically those who choose to participate, by selecting an </w:t>
      </w:r>
      <w:r w:rsidR="00D55B85">
        <w:rPr>
          <w:rFonts w:eastAsia="Calibri"/>
        </w:rPr>
        <w:t>identity provider</w:t>
      </w:r>
      <w:r w:rsidR="00D55B85" w:rsidRPr="00B0526F">
        <w:rPr>
          <w:rFonts w:eastAsia="Calibri"/>
        </w:rPr>
        <w:t xml:space="preserve"> </w:t>
      </w:r>
      <w:r w:rsidRPr="00B0526F">
        <w:rPr>
          <w:rFonts w:eastAsia="Calibri"/>
        </w:rPr>
        <w:t xml:space="preserve">and using their </w:t>
      </w:r>
      <w:r w:rsidR="00EB2443">
        <w:rPr>
          <w:rFonts w:eastAsia="Calibri"/>
        </w:rPr>
        <w:t>Digital ID</w:t>
      </w:r>
      <w:r w:rsidR="001A54FB">
        <w:rPr>
          <w:rFonts w:eastAsia="Calibri"/>
        </w:rPr>
        <w:t xml:space="preserve"> </w:t>
      </w:r>
      <w:r w:rsidRPr="00B0526F">
        <w:rPr>
          <w:rFonts w:eastAsia="Calibri"/>
        </w:rPr>
        <w:t xml:space="preserve">to transact with available services online. Individuals who are potential users are also </w:t>
      </w:r>
      <w:r w:rsidR="001133E5" w:rsidRPr="00B0526F">
        <w:rPr>
          <w:rFonts w:eastAsia="Calibri"/>
        </w:rPr>
        <w:t>considered.</w:t>
      </w:r>
    </w:p>
    <w:p w14:paraId="6C4E7905" w14:textId="0ADDFAA3" w:rsidR="00E6232E" w:rsidRPr="00B0526F" w:rsidRDefault="00E6232E" w:rsidP="00B0526F">
      <w:pPr>
        <w:pStyle w:val="ListBulletLevel1"/>
        <w:rPr>
          <w:rFonts w:eastAsia="Calibri"/>
        </w:rPr>
      </w:pPr>
      <w:r w:rsidRPr="00B0526F">
        <w:rPr>
          <w:rFonts w:eastAsia="Calibri"/>
          <w:b/>
          <w:bCs/>
        </w:rPr>
        <w:t xml:space="preserve">Businesses </w:t>
      </w:r>
      <w:r w:rsidRPr="00B0526F">
        <w:rPr>
          <w:rFonts w:eastAsia="Calibri"/>
        </w:rPr>
        <w:t xml:space="preserve">– refers to private sector entities who may wish to </w:t>
      </w:r>
      <w:r w:rsidR="008D0F3F">
        <w:rPr>
          <w:rFonts w:eastAsia="Calibri"/>
        </w:rPr>
        <w:t xml:space="preserve">be accredited or </w:t>
      </w:r>
      <w:r w:rsidRPr="00B0526F">
        <w:rPr>
          <w:rFonts w:eastAsia="Calibri"/>
        </w:rPr>
        <w:t xml:space="preserve">participate. The impacts of each policy option will differ depending on businesses’ intended form of participation, </w:t>
      </w:r>
      <w:r w:rsidR="00CE4741">
        <w:rPr>
          <w:rFonts w:eastAsia="Calibri"/>
        </w:rPr>
        <w:t xml:space="preserve">their level of digital maturity, </w:t>
      </w:r>
      <w:r w:rsidRPr="00B0526F">
        <w:rPr>
          <w:rFonts w:eastAsia="Calibri"/>
        </w:rPr>
        <w:t>as well as business size/type/</w:t>
      </w:r>
      <w:r w:rsidR="001133E5" w:rsidRPr="00B0526F">
        <w:rPr>
          <w:rFonts w:eastAsia="Calibri"/>
        </w:rPr>
        <w:t>sector.</w:t>
      </w:r>
    </w:p>
    <w:p w14:paraId="1985A37D" w14:textId="74E1E283" w:rsidR="00E6232E" w:rsidRPr="000B7589" w:rsidRDefault="00E6232E" w:rsidP="00B0526F">
      <w:pPr>
        <w:pStyle w:val="ListBulletLevel1"/>
        <w:rPr>
          <w:rFonts w:eastAsia="Calibri"/>
          <w:lang w:eastAsia="en-US"/>
        </w:rPr>
      </w:pPr>
      <w:r w:rsidRPr="00B0526F">
        <w:rPr>
          <w:rFonts w:eastAsia="Calibri"/>
          <w:b/>
          <w:bCs/>
        </w:rPr>
        <w:t>Government</w:t>
      </w:r>
      <w:r w:rsidRPr="00B0526F">
        <w:rPr>
          <w:rFonts w:eastAsia="Calibri"/>
        </w:rPr>
        <w:t xml:space="preserve"> – includes the </w:t>
      </w:r>
      <w:r w:rsidR="007329FD">
        <w:rPr>
          <w:lang w:eastAsia="en-US"/>
        </w:rPr>
        <w:t>Australian Government</w:t>
      </w:r>
      <w:r w:rsidRPr="00B0526F">
        <w:rPr>
          <w:rFonts w:eastAsia="Calibri"/>
        </w:rPr>
        <w:t>, as well as state, territory and local</w:t>
      </w:r>
      <w:r w:rsidRPr="000B7589">
        <w:rPr>
          <w:rFonts w:eastAsia="Calibri"/>
          <w:lang w:eastAsia="en-US"/>
        </w:rPr>
        <w:t xml:space="preserve"> governments. The impact analysis specifies the levels of government to which a particular cost or benefit applies, as the impacts of each policy option </w:t>
      </w:r>
      <w:r w:rsidRPr="000B7589">
        <w:rPr>
          <w:rFonts w:eastAsia="Calibri"/>
          <w:lang w:eastAsia="en-US"/>
        </w:rPr>
        <w:lastRenderedPageBreak/>
        <w:t xml:space="preserve">may vary. This reflects the fact that the </w:t>
      </w:r>
      <w:r w:rsidR="007329FD">
        <w:rPr>
          <w:rFonts w:eastAsia="Calibri"/>
          <w:lang w:eastAsia="en-US"/>
        </w:rPr>
        <w:t>Government’s</w:t>
      </w:r>
      <w:r w:rsidR="007329FD" w:rsidRPr="000B7589">
        <w:rPr>
          <w:rFonts w:eastAsia="Calibri"/>
          <w:lang w:eastAsia="en-US"/>
        </w:rPr>
        <w:t xml:space="preserve"> </w:t>
      </w:r>
      <w:r w:rsidRPr="000B7589">
        <w:rPr>
          <w:rFonts w:eastAsia="Calibri"/>
          <w:lang w:eastAsia="en-US"/>
        </w:rPr>
        <w:t>current involvement exceeds that of state, territory and local governments</w:t>
      </w:r>
      <w:r w:rsidR="00FF5E15">
        <w:rPr>
          <w:rFonts w:eastAsia="Calibri"/>
          <w:lang w:eastAsia="en-US"/>
        </w:rPr>
        <w:t>. Where the context specifies, this category also includes Government Business Enterprises (GBEs)</w:t>
      </w:r>
      <w:r w:rsidR="001133E5">
        <w:rPr>
          <w:rFonts w:eastAsia="Calibri"/>
          <w:lang w:eastAsia="en-US"/>
        </w:rPr>
        <w:t>.</w:t>
      </w:r>
    </w:p>
    <w:p w14:paraId="36DDB0D4" w14:textId="534F850C" w:rsidR="00E6232E" w:rsidRPr="005E7737" w:rsidRDefault="00E6232E" w:rsidP="00D93603">
      <w:pPr>
        <w:pStyle w:val="ListBulletLevel1"/>
        <w:rPr>
          <w:rFonts w:eastAsia="Yu Gothic Light"/>
          <w:lang w:eastAsia="en-US"/>
        </w:rPr>
      </w:pPr>
      <w:r w:rsidRPr="000B7589">
        <w:rPr>
          <w:rFonts w:eastAsia="Calibri"/>
          <w:b/>
          <w:bCs/>
          <w:lang w:eastAsia="en-US"/>
        </w:rPr>
        <w:t xml:space="preserve">Community </w:t>
      </w:r>
      <w:r w:rsidRPr="000B7589">
        <w:rPr>
          <w:rFonts w:eastAsia="Calibri"/>
          <w:lang w:eastAsia="en-US"/>
        </w:rPr>
        <w:t xml:space="preserve">– involves consideration of impacts on both the community as a whole – being a collective of individuals – and community sector organisations. </w:t>
      </w:r>
    </w:p>
    <w:p w14:paraId="24D9C725" w14:textId="4D5A885E" w:rsidR="00E6232E" w:rsidRPr="00225CEF" w:rsidRDefault="00E6232E" w:rsidP="00F00A6E">
      <w:pPr>
        <w:pStyle w:val="Heading2NoNumbers"/>
        <w:rPr>
          <w:color w:val="008675"/>
          <w:lang w:eastAsia="en-US"/>
        </w:rPr>
      </w:pPr>
      <w:bookmarkStart w:id="336" w:name="_Toc80884676"/>
      <w:bookmarkStart w:id="337" w:name="_Toc81226634"/>
      <w:bookmarkStart w:id="338" w:name="_Toc81226910"/>
      <w:bookmarkStart w:id="339" w:name="_Toc81228254"/>
      <w:bookmarkStart w:id="340" w:name="_Toc83951197"/>
      <w:bookmarkStart w:id="341" w:name="_Toc84925802"/>
      <w:bookmarkStart w:id="342" w:name="_Toc84925896"/>
      <w:bookmarkStart w:id="343" w:name="_Toc86045140"/>
      <w:bookmarkStart w:id="344" w:name="_Toc86070019"/>
      <w:bookmarkStart w:id="345" w:name="_Toc149740343"/>
      <w:bookmarkStart w:id="346" w:name="Regulatoryimpacts"/>
      <w:bookmarkStart w:id="347" w:name="Regulatoryimpacts6point3"/>
      <w:r w:rsidRPr="00225CEF">
        <w:rPr>
          <w:color w:val="008675"/>
          <w:lang w:eastAsia="en-US"/>
        </w:rPr>
        <w:t xml:space="preserve">6.3 Regulatory </w:t>
      </w:r>
      <w:r w:rsidR="00925F59" w:rsidRPr="00225CEF">
        <w:rPr>
          <w:color w:val="008675"/>
          <w:lang w:eastAsia="en-US"/>
        </w:rPr>
        <w:t>i</w:t>
      </w:r>
      <w:r w:rsidRPr="00225CEF">
        <w:rPr>
          <w:color w:val="008675"/>
          <w:lang w:eastAsia="en-US"/>
        </w:rPr>
        <w:t>mpacts</w:t>
      </w:r>
      <w:bookmarkEnd w:id="336"/>
      <w:bookmarkEnd w:id="337"/>
      <w:bookmarkEnd w:id="338"/>
      <w:bookmarkEnd w:id="339"/>
      <w:bookmarkEnd w:id="340"/>
      <w:bookmarkEnd w:id="341"/>
      <w:bookmarkEnd w:id="342"/>
      <w:bookmarkEnd w:id="343"/>
      <w:bookmarkEnd w:id="344"/>
      <w:bookmarkEnd w:id="345"/>
    </w:p>
    <w:bookmarkEnd w:id="346"/>
    <w:bookmarkEnd w:id="347"/>
    <w:p w14:paraId="78419C27" w14:textId="1A825E54" w:rsidR="00442C09" w:rsidRPr="000B7589" w:rsidRDefault="00E6232E" w:rsidP="00D93603">
      <w:pPr>
        <w:pStyle w:val="BodyText"/>
        <w:rPr>
          <w:lang w:eastAsia="en-US"/>
        </w:rPr>
      </w:pPr>
      <w:r w:rsidRPr="000B7589">
        <w:rPr>
          <w:lang w:eastAsia="en-US"/>
        </w:rPr>
        <w:t>Regulatory costs form a subset of the overall impacts (costs and benefits)</w:t>
      </w:r>
      <w:r w:rsidR="00A367C5">
        <w:rPr>
          <w:lang w:eastAsia="en-US"/>
        </w:rPr>
        <w:t xml:space="preserve"> of Digital ID</w:t>
      </w:r>
      <w:r w:rsidRPr="000B7589">
        <w:rPr>
          <w:lang w:eastAsia="en-US"/>
        </w:rPr>
        <w:t xml:space="preserve">. It is an Australian </w:t>
      </w:r>
      <w:r w:rsidR="00CA5435">
        <w:rPr>
          <w:lang w:eastAsia="en-US"/>
        </w:rPr>
        <w:t>G</w:t>
      </w:r>
      <w:r w:rsidRPr="000B7589">
        <w:rPr>
          <w:lang w:eastAsia="en-US"/>
        </w:rPr>
        <w:t>overnment requirement that any proposed new or changed regulation must include quantification of the increase or decrease in regulatory costs imposed on businesses, community organisations and individuals.</w:t>
      </w:r>
      <w:r w:rsidR="00737BA2">
        <w:rPr>
          <w:lang w:eastAsia="en-US"/>
        </w:rPr>
        <w:t xml:space="preserve"> </w:t>
      </w:r>
      <w:r w:rsidRPr="000B7589">
        <w:rPr>
          <w:lang w:eastAsia="en-US"/>
        </w:rPr>
        <w:t xml:space="preserve">The identification and quantification of regulatory costs must be conducted in accordance with the </w:t>
      </w:r>
      <w:hyperlink r:id="rId72" w:history="1">
        <w:r w:rsidRPr="00225CEF">
          <w:rPr>
            <w:rStyle w:val="Hyperlink"/>
            <w:color w:val="008675"/>
            <w:lang w:eastAsia="en-US"/>
          </w:rPr>
          <w:t>Regulatory Burden Measurement Framework</w:t>
        </w:r>
      </w:hyperlink>
      <w:r w:rsidR="00015D5C">
        <w:rPr>
          <w:lang w:eastAsia="en-US"/>
        </w:rPr>
        <w:t>.</w:t>
      </w:r>
    </w:p>
    <w:p w14:paraId="56A4C5C4" w14:textId="7D1257E6" w:rsidR="00E6232E" w:rsidRPr="000B7589" w:rsidRDefault="00E6232E" w:rsidP="00D93603">
      <w:pPr>
        <w:pStyle w:val="BodyText"/>
        <w:rPr>
          <w:lang w:eastAsia="en-US"/>
        </w:rPr>
      </w:pPr>
      <w:r w:rsidRPr="000B7589">
        <w:rPr>
          <w:lang w:eastAsia="en-US"/>
        </w:rPr>
        <w:t xml:space="preserve">In accordance with </w:t>
      </w:r>
      <w:r w:rsidR="006550A3">
        <w:rPr>
          <w:lang w:eastAsia="en-US"/>
        </w:rPr>
        <w:t>g</w:t>
      </w:r>
      <w:r w:rsidRPr="000B7589">
        <w:rPr>
          <w:lang w:eastAsia="en-US"/>
        </w:rPr>
        <w:t>overnment requirements, th</w:t>
      </w:r>
      <w:r w:rsidR="001F338F">
        <w:rPr>
          <w:lang w:eastAsia="en-US"/>
        </w:rPr>
        <w:t xml:space="preserve">is </w:t>
      </w:r>
      <w:r w:rsidR="00465F3F">
        <w:rPr>
          <w:lang w:eastAsia="en-US"/>
        </w:rPr>
        <w:t>Impact Analysis</w:t>
      </w:r>
      <w:r w:rsidRPr="000B7589">
        <w:rPr>
          <w:lang w:eastAsia="en-US"/>
        </w:rPr>
        <w:t xml:space="preserve"> calculate</w:t>
      </w:r>
      <w:r w:rsidR="001F338F">
        <w:rPr>
          <w:lang w:eastAsia="en-US"/>
        </w:rPr>
        <w:t>s</w:t>
      </w:r>
      <w:r w:rsidRPr="000B7589">
        <w:rPr>
          <w:lang w:eastAsia="en-US"/>
        </w:rPr>
        <w:t xml:space="preserve"> the estimated regulatory burden for </w:t>
      </w:r>
      <w:r w:rsidR="0020575C">
        <w:rPr>
          <w:lang w:eastAsia="en-US"/>
        </w:rPr>
        <w:t>Options 2 and 3 (noting that Option 1, as the status quo, presents no regulatory burden)</w:t>
      </w:r>
      <w:r w:rsidRPr="000B7589">
        <w:rPr>
          <w:lang w:eastAsia="en-US"/>
        </w:rPr>
        <w:t xml:space="preserve">. The approach </w:t>
      </w:r>
      <w:r w:rsidR="00FC7D62">
        <w:rPr>
          <w:lang w:eastAsia="en-US"/>
        </w:rPr>
        <w:t xml:space="preserve">to </w:t>
      </w:r>
      <w:r w:rsidR="0020575C">
        <w:rPr>
          <w:lang w:eastAsia="en-US"/>
        </w:rPr>
        <w:t xml:space="preserve">determine </w:t>
      </w:r>
      <w:r w:rsidR="001F338F">
        <w:rPr>
          <w:lang w:eastAsia="en-US"/>
        </w:rPr>
        <w:t xml:space="preserve">this </w:t>
      </w:r>
      <w:r w:rsidRPr="000B7589">
        <w:rPr>
          <w:lang w:eastAsia="en-US"/>
        </w:rPr>
        <w:t>is set out below</w:t>
      </w:r>
      <w:r w:rsidR="00F21575">
        <w:rPr>
          <w:lang w:eastAsia="en-US"/>
        </w:rPr>
        <w:t xml:space="preserve"> with further information on the costing methodology provided at </w:t>
      </w:r>
      <w:hyperlink w:anchor="appendixe" w:history="1">
        <w:r w:rsidR="00F21575" w:rsidRPr="00371CB4">
          <w:rPr>
            <w:rStyle w:val="Hyperlink"/>
            <w:color w:val="008675"/>
            <w:lang w:eastAsia="en-US"/>
          </w:rPr>
          <w:t>Appendix E</w:t>
        </w:r>
      </w:hyperlink>
      <w:r w:rsidRPr="000B7589">
        <w:rPr>
          <w:lang w:eastAsia="en-US"/>
        </w:rPr>
        <w:t>.</w:t>
      </w:r>
    </w:p>
    <w:p w14:paraId="0A43CE64" w14:textId="37026538" w:rsidR="00E6232E" w:rsidRPr="00371CB4" w:rsidRDefault="00E6232E" w:rsidP="00F00A6E">
      <w:pPr>
        <w:pStyle w:val="Heading3NoNumbers"/>
        <w:rPr>
          <w:color w:val="008675"/>
          <w:lang w:eastAsia="en-US"/>
        </w:rPr>
      </w:pPr>
      <w:bookmarkStart w:id="348" w:name="_Toc80884677"/>
      <w:bookmarkStart w:id="349" w:name="_Toc84925803"/>
      <w:bookmarkStart w:id="350" w:name="_Toc86070020"/>
      <w:r w:rsidRPr="00371CB4">
        <w:rPr>
          <w:color w:val="008675"/>
          <w:lang w:eastAsia="en-US"/>
        </w:rPr>
        <w:t xml:space="preserve">6.3.1 Regulatory </w:t>
      </w:r>
      <w:r w:rsidR="00925F59" w:rsidRPr="00371CB4">
        <w:rPr>
          <w:color w:val="008675"/>
          <w:lang w:eastAsia="en-US"/>
        </w:rPr>
        <w:t>c</w:t>
      </w:r>
      <w:r w:rsidRPr="00371CB4">
        <w:rPr>
          <w:color w:val="008675"/>
          <w:lang w:eastAsia="en-US"/>
        </w:rPr>
        <w:t>osts</w:t>
      </w:r>
      <w:bookmarkEnd w:id="348"/>
      <w:bookmarkEnd w:id="349"/>
      <w:bookmarkEnd w:id="350"/>
    </w:p>
    <w:p w14:paraId="6651922A" w14:textId="33CEF115" w:rsidR="00E6232E" w:rsidRPr="000B7589" w:rsidRDefault="00E6232E" w:rsidP="00D93603">
      <w:pPr>
        <w:pStyle w:val="BodyText"/>
        <w:rPr>
          <w:lang w:eastAsia="en-US"/>
        </w:rPr>
      </w:pPr>
      <w:r w:rsidRPr="000B7589">
        <w:rPr>
          <w:lang w:eastAsia="en-US"/>
        </w:rPr>
        <w:t xml:space="preserve">Under the Regulatory Burden Measurement Framework, only certain costs associated with the </w:t>
      </w:r>
      <w:r w:rsidR="00E00B43">
        <w:rPr>
          <w:lang w:eastAsia="en-US"/>
        </w:rPr>
        <w:t xml:space="preserve">Digital ID </w:t>
      </w:r>
      <w:r w:rsidRPr="000B7589">
        <w:rPr>
          <w:lang w:eastAsia="en-US"/>
        </w:rPr>
        <w:t xml:space="preserve">are categorised as </w:t>
      </w:r>
      <w:r w:rsidR="009651B7">
        <w:rPr>
          <w:lang w:eastAsia="en-US"/>
        </w:rPr>
        <w:t>‘</w:t>
      </w:r>
      <w:r w:rsidRPr="000B7589">
        <w:rPr>
          <w:lang w:eastAsia="en-US"/>
        </w:rPr>
        <w:t>regulatory</w:t>
      </w:r>
      <w:r w:rsidR="009651B7">
        <w:rPr>
          <w:lang w:eastAsia="en-US"/>
        </w:rPr>
        <w:t>’</w:t>
      </w:r>
      <w:r w:rsidRPr="000B7589">
        <w:rPr>
          <w:lang w:eastAsia="en-US"/>
        </w:rPr>
        <w:t>. The primary categories of regulatory costs are:</w:t>
      </w:r>
    </w:p>
    <w:p w14:paraId="62614C2B" w14:textId="6A92717F" w:rsidR="00E6232E" w:rsidRPr="000B7589" w:rsidRDefault="00E6232E" w:rsidP="00D93603">
      <w:pPr>
        <w:pStyle w:val="ListBulletLevel1"/>
        <w:rPr>
          <w:rFonts w:eastAsia="Yu Gothic Light"/>
          <w:lang w:eastAsia="en-US"/>
        </w:rPr>
      </w:pPr>
      <w:r w:rsidRPr="001E248F">
        <w:rPr>
          <w:rFonts w:eastAsia="Yu Gothic Light"/>
          <w:b/>
          <w:bCs/>
          <w:lang w:eastAsia="en-US"/>
        </w:rPr>
        <w:t xml:space="preserve">Administrative </w:t>
      </w:r>
      <w:r w:rsidR="00925F59">
        <w:rPr>
          <w:rFonts w:eastAsia="Yu Gothic Light"/>
          <w:b/>
          <w:bCs/>
          <w:lang w:eastAsia="en-US"/>
        </w:rPr>
        <w:t>c</w:t>
      </w:r>
      <w:r w:rsidRPr="001E248F">
        <w:rPr>
          <w:rFonts w:eastAsia="Yu Gothic Light"/>
          <w:b/>
          <w:bCs/>
          <w:lang w:eastAsia="en-US"/>
        </w:rPr>
        <w:t xml:space="preserve">ompliance </w:t>
      </w:r>
      <w:r w:rsidR="00925F59">
        <w:rPr>
          <w:rFonts w:eastAsia="Yu Gothic Light"/>
          <w:b/>
          <w:bCs/>
          <w:lang w:eastAsia="en-US"/>
        </w:rPr>
        <w:t>c</w:t>
      </w:r>
      <w:r w:rsidRPr="001E248F">
        <w:rPr>
          <w:rFonts w:eastAsia="Yu Gothic Light"/>
          <w:b/>
          <w:bCs/>
          <w:lang w:eastAsia="en-US"/>
        </w:rPr>
        <w:t>osts</w:t>
      </w:r>
      <w:r w:rsidRPr="000B7589">
        <w:rPr>
          <w:rFonts w:eastAsia="Yu Gothic Light"/>
          <w:lang w:eastAsia="en-US"/>
        </w:rPr>
        <w:t xml:space="preserve"> </w:t>
      </w:r>
      <w:r w:rsidR="00932E90" w:rsidRPr="000B7589">
        <w:rPr>
          <w:rFonts w:eastAsia="Yu Gothic Light"/>
          <w:lang w:eastAsia="en-US"/>
        </w:rPr>
        <w:t>–</w:t>
      </w:r>
      <w:r w:rsidRPr="000B7589">
        <w:rPr>
          <w:rFonts w:eastAsia="Yu Gothic Light"/>
          <w:lang w:eastAsia="en-US"/>
        </w:rPr>
        <w:t xml:space="preserve"> costs incurred by regulated entities primarily to demonstrate compliance with the regulation. </w:t>
      </w:r>
      <w:r w:rsidR="00335F06">
        <w:rPr>
          <w:rFonts w:eastAsia="Yu Gothic Light"/>
          <w:lang w:eastAsia="en-US"/>
        </w:rPr>
        <w:t>For example,</w:t>
      </w:r>
      <w:r w:rsidRPr="000B7589">
        <w:rPr>
          <w:rFonts w:eastAsia="Yu Gothic Light"/>
          <w:lang w:eastAsia="en-US"/>
        </w:rPr>
        <w:t xml:space="preserve"> the time and costs associated with keeping records, making an application and notifying </w:t>
      </w:r>
      <w:r w:rsidR="006550A3">
        <w:rPr>
          <w:rFonts w:eastAsia="Yu Gothic Light"/>
          <w:lang w:eastAsia="en-US"/>
        </w:rPr>
        <w:t>g</w:t>
      </w:r>
      <w:r w:rsidRPr="000B7589">
        <w:rPr>
          <w:rFonts w:eastAsia="Yu Gothic Light"/>
          <w:lang w:eastAsia="en-US"/>
        </w:rPr>
        <w:t>overnment of certain activities</w:t>
      </w:r>
      <w:r w:rsidR="00523961">
        <w:rPr>
          <w:rFonts w:eastAsia="Yu Gothic Light"/>
          <w:lang w:eastAsia="en-US"/>
        </w:rPr>
        <w:t>.</w:t>
      </w:r>
    </w:p>
    <w:p w14:paraId="49B3F193" w14:textId="56BE0369" w:rsidR="00E6232E" w:rsidRPr="000B7589" w:rsidRDefault="00E6232E" w:rsidP="00D93603">
      <w:pPr>
        <w:pStyle w:val="ListBulletLevel1"/>
        <w:rPr>
          <w:rFonts w:eastAsia="Yu Gothic Light"/>
          <w:lang w:eastAsia="en-US"/>
        </w:rPr>
      </w:pPr>
      <w:r w:rsidRPr="001E248F">
        <w:rPr>
          <w:rFonts w:eastAsia="Yu Gothic Light"/>
          <w:b/>
          <w:bCs/>
          <w:lang w:eastAsia="en-US"/>
        </w:rPr>
        <w:t xml:space="preserve">Substantive </w:t>
      </w:r>
      <w:r w:rsidR="00925F59">
        <w:rPr>
          <w:rFonts w:eastAsia="Yu Gothic Light"/>
          <w:b/>
          <w:bCs/>
          <w:lang w:eastAsia="en-US"/>
        </w:rPr>
        <w:t>c</w:t>
      </w:r>
      <w:r w:rsidRPr="001E248F">
        <w:rPr>
          <w:rFonts w:eastAsia="Yu Gothic Light"/>
          <w:b/>
          <w:bCs/>
          <w:lang w:eastAsia="en-US"/>
        </w:rPr>
        <w:t xml:space="preserve">ompliance </w:t>
      </w:r>
      <w:r w:rsidR="00925F59">
        <w:rPr>
          <w:rFonts w:eastAsia="Yu Gothic Light"/>
          <w:b/>
          <w:bCs/>
          <w:lang w:eastAsia="en-US"/>
        </w:rPr>
        <w:t>c</w:t>
      </w:r>
      <w:r w:rsidRPr="001E248F">
        <w:rPr>
          <w:rFonts w:eastAsia="Yu Gothic Light"/>
          <w:b/>
          <w:bCs/>
          <w:lang w:eastAsia="en-US"/>
        </w:rPr>
        <w:t>osts</w:t>
      </w:r>
      <w:r w:rsidRPr="000B7589">
        <w:rPr>
          <w:rFonts w:eastAsia="Yu Gothic Light"/>
          <w:lang w:eastAsia="en-US"/>
        </w:rPr>
        <w:t xml:space="preserve"> – costs incurred to deliver the regulated outcomes being sought.</w:t>
      </w:r>
      <w:r w:rsidR="00737BA2">
        <w:rPr>
          <w:rFonts w:eastAsia="Yu Gothic Light"/>
          <w:lang w:eastAsia="en-US"/>
        </w:rPr>
        <w:t xml:space="preserve"> </w:t>
      </w:r>
      <w:r w:rsidRPr="000B7589">
        <w:rPr>
          <w:rFonts w:eastAsia="Yu Gothic Light"/>
          <w:lang w:eastAsia="en-US"/>
        </w:rPr>
        <w:t>Examples: costs of training employees on regulatory requirements, professional services required to meet regulatory requirements</w:t>
      </w:r>
      <w:r w:rsidR="00523961">
        <w:rPr>
          <w:rFonts w:eastAsia="Yu Gothic Light"/>
          <w:lang w:eastAsia="en-US"/>
        </w:rPr>
        <w:t>.</w:t>
      </w:r>
    </w:p>
    <w:p w14:paraId="17477A15" w14:textId="77777777" w:rsidR="00E6232E" w:rsidRPr="000B7589" w:rsidRDefault="00E6232E" w:rsidP="00D93603">
      <w:pPr>
        <w:pStyle w:val="ListBulletLevel1"/>
        <w:rPr>
          <w:rFonts w:eastAsia="Yu Gothic Light"/>
          <w:lang w:eastAsia="en-US"/>
        </w:rPr>
      </w:pPr>
      <w:r w:rsidRPr="001E248F">
        <w:rPr>
          <w:rFonts w:eastAsia="Yu Gothic Light"/>
          <w:b/>
          <w:bCs/>
          <w:lang w:eastAsia="en-US"/>
        </w:rPr>
        <w:t>Delay costs</w:t>
      </w:r>
      <w:r w:rsidRPr="000B7589">
        <w:rPr>
          <w:rFonts w:eastAsia="Yu Gothic Light"/>
          <w:lang w:eastAsia="en-US"/>
        </w:rPr>
        <w:t xml:space="preserve"> – the expenses and loss of income incurred by a regulated income as a result of an application delay, or an approval delay.</w:t>
      </w:r>
    </w:p>
    <w:p w14:paraId="2C233DC3" w14:textId="252E00D5" w:rsidR="00E6232E" w:rsidRPr="000B7589" w:rsidRDefault="00E6232E" w:rsidP="00D93603">
      <w:pPr>
        <w:pStyle w:val="BodyText"/>
        <w:rPr>
          <w:lang w:eastAsia="en-US"/>
        </w:rPr>
      </w:pPr>
      <w:r w:rsidRPr="000B7589">
        <w:rPr>
          <w:lang w:eastAsia="en-US"/>
        </w:rPr>
        <w:lastRenderedPageBreak/>
        <w:t>There are several types of costs specifically excluded from the Regulatory Burden Measurement Framework. These include, for example, opportunity costs, business</w:t>
      </w:r>
      <w:r w:rsidR="28D1040D" w:rsidRPr="000B7589">
        <w:rPr>
          <w:lang w:eastAsia="en-US"/>
        </w:rPr>
        <w:t>-</w:t>
      </w:r>
      <w:r w:rsidR="0044176B">
        <w:rPr>
          <w:lang w:eastAsia="en-US"/>
        </w:rPr>
        <w:noBreakHyphen/>
      </w:r>
      <w:r w:rsidRPr="000B7589">
        <w:rPr>
          <w:lang w:eastAsia="en-US"/>
        </w:rPr>
        <w:t>as-usual costs, enforcement</w:t>
      </w:r>
      <w:r w:rsidR="00737BA2">
        <w:rPr>
          <w:lang w:eastAsia="en-US"/>
        </w:rPr>
        <w:t>/</w:t>
      </w:r>
      <w:r w:rsidRPr="000B7589">
        <w:rPr>
          <w:lang w:eastAsia="en-US"/>
        </w:rPr>
        <w:t xml:space="preserve">compliance costs (such as fines for failing to comply with regulation), and government-to-government regulation. Importantly, fees for services (such as any charges payable under a future </w:t>
      </w:r>
      <w:r w:rsidR="006D5324">
        <w:rPr>
          <w:lang w:eastAsia="en-US"/>
        </w:rPr>
        <w:t>c</w:t>
      </w:r>
      <w:r w:rsidRPr="000B7589">
        <w:rPr>
          <w:lang w:eastAsia="en-US"/>
        </w:rPr>
        <w:t xml:space="preserve">harging </w:t>
      </w:r>
      <w:r w:rsidR="006D5324">
        <w:rPr>
          <w:lang w:eastAsia="en-US"/>
        </w:rPr>
        <w:t>f</w:t>
      </w:r>
      <w:r w:rsidRPr="000B7589">
        <w:rPr>
          <w:lang w:eastAsia="en-US"/>
        </w:rPr>
        <w:t xml:space="preserve">ramework) are </w:t>
      </w:r>
      <w:r w:rsidRPr="000B7589">
        <w:rPr>
          <w:u w:val="single"/>
          <w:lang w:eastAsia="en-US"/>
        </w:rPr>
        <w:t>not</w:t>
      </w:r>
      <w:r w:rsidRPr="000B7589">
        <w:rPr>
          <w:lang w:eastAsia="en-US"/>
        </w:rPr>
        <w:t xml:space="preserve"> categorised as regulatory costs, and therefore </w:t>
      </w:r>
      <w:r w:rsidR="00B27490">
        <w:rPr>
          <w:lang w:eastAsia="en-US"/>
        </w:rPr>
        <w:t>are</w:t>
      </w:r>
      <w:r w:rsidR="00B27490" w:rsidRPr="000B7589">
        <w:rPr>
          <w:lang w:eastAsia="en-US"/>
        </w:rPr>
        <w:t xml:space="preserve"> </w:t>
      </w:r>
      <w:r w:rsidRPr="000B7589">
        <w:rPr>
          <w:lang w:eastAsia="en-US"/>
        </w:rPr>
        <w:t xml:space="preserve">not quantified under this </w:t>
      </w:r>
      <w:r w:rsidR="00465F3F">
        <w:rPr>
          <w:lang w:eastAsia="en-US"/>
        </w:rPr>
        <w:t>Impact Analysis</w:t>
      </w:r>
      <w:r w:rsidRPr="000B7589">
        <w:rPr>
          <w:lang w:eastAsia="en-US"/>
        </w:rPr>
        <w:t>.</w:t>
      </w:r>
    </w:p>
    <w:p w14:paraId="5F053C47" w14:textId="4AD04156" w:rsidR="00E6232E" w:rsidRPr="00FA6E05" w:rsidRDefault="00E6232E" w:rsidP="00F00A6E">
      <w:pPr>
        <w:pStyle w:val="Heading3NoNumbers"/>
        <w:rPr>
          <w:color w:val="008675"/>
          <w:lang w:eastAsia="en-US"/>
        </w:rPr>
      </w:pPr>
      <w:bookmarkStart w:id="351" w:name="_Toc80884678"/>
      <w:bookmarkStart w:id="352" w:name="_Toc84925804"/>
      <w:bookmarkStart w:id="353" w:name="_Toc86070021"/>
      <w:r w:rsidRPr="00FA6E05">
        <w:rPr>
          <w:color w:val="008675"/>
          <w:lang w:eastAsia="en-US"/>
        </w:rPr>
        <w:t>6.3.</w:t>
      </w:r>
      <w:r w:rsidR="007A2F3A" w:rsidRPr="00FA6E05">
        <w:rPr>
          <w:color w:val="008675"/>
          <w:lang w:eastAsia="en-US"/>
        </w:rPr>
        <w:t>2</w:t>
      </w:r>
      <w:r w:rsidRPr="00FA6E05">
        <w:rPr>
          <w:color w:val="008675"/>
          <w:lang w:eastAsia="en-US"/>
        </w:rPr>
        <w:t xml:space="preserve"> Regulated </w:t>
      </w:r>
      <w:r w:rsidR="00925F59" w:rsidRPr="00FA6E05">
        <w:rPr>
          <w:color w:val="008675"/>
          <w:lang w:eastAsia="en-US"/>
        </w:rPr>
        <w:t>e</w:t>
      </w:r>
      <w:r w:rsidRPr="00FA6E05">
        <w:rPr>
          <w:color w:val="008675"/>
          <w:lang w:eastAsia="en-US"/>
        </w:rPr>
        <w:t>ntities</w:t>
      </w:r>
      <w:bookmarkEnd w:id="351"/>
      <w:bookmarkEnd w:id="352"/>
      <w:bookmarkEnd w:id="353"/>
    </w:p>
    <w:p w14:paraId="66E652D9" w14:textId="5F3F587D" w:rsidR="00E6232E" w:rsidRPr="001E248F" w:rsidRDefault="00863BF1" w:rsidP="00D93603">
      <w:pPr>
        <w:pStyle w:val="BodyText"/>
        <w:rPr>
          <w:lang w:eastAsia="en-US"/>
        </w:rPr>
      </w:pPr>
      <w:r>
        <w:rPr>
          <w:rFonts w:eastAsia="Yu Gothic Light"/>
          <w:lang w:eastAsia="en-US"/>
        </w:rPr>
        <w:t>The overall impacts consider flow-on impacts of the regulation on a broad range of stakeholders across the Australian community. However</w:t>
      </w:r>
      <w:r w:rsidR="009943C4">
        <w:rPr>
          <w:rFonts w:eastAsia="Yu Gothic Light"/>
          <w:lang w:eastAsia="en-US"/>
        </w:rPr>
        <w:t>,</w:t>
      </w:r>
      <w:r>
        <w:rPr>
          <w:rFonts w:eastAsia="Yu Gothic Light"/>
          <w:lang w:eastAsia="en-US"/>
        </w:rPr>
        <w:t xml:space="preserve"> a</w:t>
      </w:r>
      <w:r w:rsidR="00E6232E" w:rsidRPr="000B7589">
        <w:rPr>
          <w:rFonts w:eastAsia="Yu Gothic Light"/>
          <w:lang w:eastAsia="en-US"/>
        </w:rPr>
        <w:t xml:space="preserve">s the </w:t>
      </w:r>
      <w:r w:rsidR="00E6232E" w:rsidRPr="000B7589">
        <w:rPr>
          <w:lang w:eastAsia="en-US"/>
        </w:rPr>
        <w:t>regulatory impact assessment focuses only on regulatory costs,</w:t>
      </w:r>
      <w:r>
        <w:rPr>
          <w:lang w:eastAsia="en-US"/>
        </w:rPr>
        <w:t xml:space="preserve"> by definition</w:t>
      </w:r>
      <w:r w:rsidR="00E6232E" w:rsidRPr="000B7589">
        <w:rPr>
          <w:lang w:eastAsia="en-US"/>
        </w:rPr>
        <w:t xml:space="preserve"> </w:t>
      </w:r>
      <w:r w:rsidR="00E6232E" w:rsidRPr="001E248F">
        <w:rPr>
          <w:lang w:eastAsia="en-US"/>
        </w:rPr>
        <w:t xml:space="preserve">it </w:t>
      </w:r>
      <w:r w:rsidR="009A5E4F">
        <w:rPr>
          <w:lang w:eastAsia="en-US"/>
        </w:rPr>
        <w:t>focuses on</w:t>
      </w:r>
      <w:r w:rsidR="00E6232E" w:rsidRPr="001E248F">
        <w:rPr>
          <w:lang w:eastAsia="en-US"/>
        </w:rPr>
        <w:t xml:space="preserve"> regulated entities only. </w:t>
      </w:r>
      <w:r>
        <w:rPr>
          <w:lang w:eastAsia="en-US"/>
        </w:rPr>
        <w:t>S</w:t>
      </w:r>
      <w:r w:rsidR="00E6232E" w:rsidRPr="001E248F">
        <w:rPr>
          <w:lang w:eastAsia="en-US"/>
        </w:rPr>
        <w:t xml:space="preserve">takeholders to which regulation would apply, and therefore the focus of </w:t>
      </w:r>
      <w:r w:rsidR="001B38EC">
        <w:rPr>
          <w:lang w:eastAsia="en-US"/>
        </w:rPr>
        <w:t xml:space="preserve">this </w:t>
      </w:r>
      <w:r w:rsidR="00E6232E" w:rsidRPr="001E248F">
        <w:rPr>
          <w:lang w:eastAsia="en-US"/>
        </w:rPr>
        <w:t>regulatory cost</w:t>
      </w:r>
      <w:r w:rsidR="009D1253">
        <w:rPr>
          <w:lang w:eastAsia="en-US"/>
        </w:rPr>
        <w:t xml:space="preserve"> analysis</w:t>
      </w:r>
      <w:r w:rsidR="00E6232E" w:rsidRPr="001E248F">
        <w:rPr>
          <w:lang w:eastAsia="en-US"/>
        </w:rPr>
        <w:t>, are:</w:t>
      </w:r>
    </w:p>
    <w:p w14:paraId="2547A5F5" w14:textId="40108E6A" w:rsidR="005D4DA6" w:rsidRPr="000B7589" w:rsidRDefault="005D4DA6" w:rsidP="005D4DA6">
      <w:pPr>
        <w:pStyle w:val="ListBulletLevel1"/>
        <w:rPr>
          <w:lang w:eastAsia="en-US"/>
        </w:rPr>
      </w:pPr>
      <w:r w:rsidRPr="000B7589">
        <w:rPr>
          <w:b/>
          <w:bCs/>
          <w:lang w:eastAsia="en-US"/>
        </w:rPr>
        <w:t xml:space="preserve">Accredited </w:t>
      </w:r>
      <w:r>
        <w:rPr>
          <w:b/>
          <w:bCs/>
          <w:lang w:eastAsia="en-US"/>
        </w:rPr>
        <w:t>e</w:t>
      </w:r>
      <w:r w:rsidRPr="000B7589">
        <w:rPr>
          <w:b/>
          <w:bCs/>
          <w:lang w:eastAsia="en-US"/>
        </w:rPr>
        <w:t xml:space="preserve">ntities </w:t>
      </w:r>
      <w:r w:rsidRPr="00B517CD">
        <w:rPr>
          <w:b/>
          <w:bCs/>
          <w:lang w:eastAsia="en-US"/>
        </w:rPr>
        <w:t>–</w:t>
      </w:r>
      <w:r w:rsidRPr="000B7589">
        <w:rPr>
          <w:b/>
          <w:bCs/>
          <w:lang w:eastAsia="en-US"/>
        </w:rPr>
        <w:t xml:space="preserve"> </w:t>
      </w:r>
      <w:r w:rsidRPr="000B7589">
        <w:rPr>
          <w:lang w:eastAsia="en-US"/>
        </w:rPr>
        <w:t>Entities accredited for a particular role which have not been onboarded</w:t>
      </w:r>
      <w:r>
        <w:rPr>
          <w:lang w:eastAsia="en-US"/>
        </w:rPr>
        <w:t>.</w:t>
      </w:r>
      <w:r w:rsidRPr="000B7589">
        <w:rPr>
          <w:lang w:eastAsia="en-US"/>
        </w:rPr>
        <w:t xml:space="preserve"> </w:t>
      </w:r>
    </w:p>
    <w:p w14:paraId="2D052D9E" w14:textId="00C5D502" w:rsidR="00E6232E" w:rsidRPr="001E248F" w:rsidRDefault="00EF42C9" w:rsidP="00D93603">
      <w:pPr>
        <w:pStyle w:val="ListBulletLevel1"/>
        <w:rPr>
          <w:rFonts w:eastAsia="Calibri"/>
          <w:lang w:eastAsia="en-US"/>
        </w:rPr>
      </w:pPr>
      <w:r>
        <w:rPr>
          <w:rFonts w:eastAsia="Calibri"/>
          <w:b/>
          <w:bCs/>
          <w:lang w:eastAsia="en-US"/>
        </w:rPr>
        <w:t>Partici</w:t>
      </w:r>
      <w:r w:rsidR="000513EA">
        <w:rPr>
          <w:rFonts w:eastAsia="Calibri"/>
          <w:b/>
          <w:bCs/>
          <w:lang w:eastAsia="en-US"/>
        </w:rPr>
        <w:t>pating</w:t>
      </w:r>
      <w:r w:rsidR="00E6232E" w:rsidRPr="001E248F">
        <w:rPr>
          <w:rFonts w:eastAsia="Calibri"/>
          <w:b/>
          <w:bCs/>
          <w:lang w:eastAsia="en-US"/>
        </w:rPr>
        <w:t xml:space="preserve"> </w:t>
      </w:r>
      <w:r w:rsidR="006D04B2">
        <w:rPr>
          <w:rFonts w:eastAsia="Calibri"/>
          <w:b/>
          <w:bCs/>
          <w:lang w:eastAsia="en-US"/>
        </w:rPr>
        <w:t xml:space="preserve">(onboarded) </w:t>
      </w:r>
      <w:r w:rsidR="00726612">
        <w:rPr>
          <w:rFonts w:eastAsia="Calibri"/>
          <w:b/>
          <w:bCs/>
          <w:lang w:eastAsia="en-US"/>
        </w:rPr>
        <w:t xml:space="preserve">entities </w:t>
      </w:r>
      <w:r w:rsidR="002D7BEF" w:rsidRPr="00513094">
        <w:rPr>
          <w:lang w:eastAsia="en-US"/>
        </w:rPr>
        <w:t>–</w:t>
      </w:r>
      <w:r w:rsidR="00E6232E" w:rsidRPr="001E248F">
        <w:rPr>
          <w:rFonts w:eastAsia="Calibri"/>
          <w:lang w:eastAsia="en-US"/>
        </w:rPr>
        <w:t xml:space="preserve"> Entities that are accredited and onboarded to the </w:t>
      </w:r>
      <w:r w:rsidR="00DF50AB">
        <w:rPr>
          <w:rFonts w:eastAsia="Calibri"/>
          <w:lang w:eastAsia="en-US"/>
        </w:rPr>
        <w:t xml:space="preserve">Digital ID </w:t>
      </w:r>
      <w:r w:rsidR="00E6232E" w:rsidRPr="001E248F">
        <w:rPr>
          <w:rFonts w:eastAsia="Calibri"/>
          <w:lang w:eastAsia="en-US"/>
        </w:rPr>
        <w:t xml:space="preserve">System as either </w:t>
      </w:r>
      <w:r w:rsidR="00563AE1" w:rsidRPr="001E248F">
        <w:rPr>
          <w:rFonts w:eastAsia="Calibri"/>
          <w:lang w:eastAsia="en-US"/>
        </w:rPr>
        <w:t>A</w:t>
      </w:r>
      <w:r w:rsidR="00DF50AB" w:rsidRPr="001E248F">
        <w:rPr>
          <w:rFonts w:eastAsia="Calibri"/>
          <w:lang w:eastAsia="en-US"/>
        </w:rPr>
        <w:t>p</w:t>
      </w:r>
      <w:r w:rsidR="00563AE1" w:rsidRPr="001E248F">
        <w:rPr>
          <w:rFonts w:eastAsia="Calibri"/>
          <w:lang w:eastAsia="en-US"/>
        </w:rPr>
        <w:t>s</w:t>
      </w:r>
      <w:r w:rsidR="00E6232E" w:rsidRPr="001E248F">
        <w:rPr>
          <w:rFonts w:eastAsia="Calibri"/>
          <w:lang w:eastAsia="en-US"/>
        </w:rPr>
        <w:t xml:space="preserve">, </w:t>
      </w:r>
      <w:r w:rsidR="00220782" w:rsidRPr="001E248F">
        <w:rPr>
          <w:rFonts w:eastAsia="Calibri"/>
          <w:lang w:eastAsia="en-US"/>
        </w:rPr>
        <w:t>CSPs</w:t>
      </w:r>
      <w:r w:rsidR="00E6232E" w:rsidRPr="001E248F">
        <w:rPr>
          <w:rFonts w:eastAsia="Calibri"/>
          <w:lang w:eastAsia="en-US"/>
        </w:rPr>
        <w:t xml:space="preserve">, </w:t>
      </w:r>
      <w:r w:rsidR="00353A8A" w:rsidRPr="001E248F">
        <w:rPr>
          <w:rFonts w:eastAsia="Calibri"/>
          <w:lang w:eastAsia="en-US"/>
        </w:rPr>
        <w:t>IDXs</w:t>
      </w:r>
      <w:r w:rsidR="00E6232E" w:rsidRPr="001E248F">
        <w:rPr>
          <w:rFonts w:eastAsia="Calibri"/>
          <w:lang w:eastAsia="en-US"/>
        </w:rPr>
        <w:t xml:space="preserve"> and/or </w:t>
      </w:r>
      <w:r w:rsidR="0064213C" w:rsidRPr="001E248F">
        <w:rPr>
          <w:rFonts w:eastAsia="Calibri"/>
          <w:lang w:eastAsia="en-US"/>
        </w:rPr>
        <w:t>IDPs</w:t>
      </w:r>
      <w:r w:rsidR="00B517CD">
        <w:rPr>
          <w:rFonts w:eastAsia="Calibri"/>
          <w:lang w:eastAsia="en-US"/>
        </w:rPr>
        <w:t>.</w:t>
      </w:r>
    </w:p>
    <w:p w14:paraId="2E7E1458" w14:textId="196D86DB" w:rsidR="00E6232E" w:rsidRPr="00D93603" w:rsidRDefault="00E6232E" w:rsidP="00D93603">
      <w:pPr>
        <w:pStyle w:val="ListBulletLevel1"/>
        <w:rPr>
          <w:lang w:eastAsia="en-US"/>
        </w:rPr>
      </w:pPr>
      <w:r w:rsidRPr="000B7589">
        <w:rPr>
          <w:b/>
          <w:bCs/>
          <w:lang w:eastAsia="en-US"/>
        </w:rPr>
        <w:t xml:space="preserve">Relying </w:t>
      </w:r>
      <w:r w:rsidR="00B2504D">
        <w:rPr>
          <w:b/>
          <w:bCs/>
          <w:lang w:eastAsia="en-US"/>
        </w:rPr>
        <w:t>p</w:t>
      </w:r>
      <w:r w:rsidRPr="000B7589">
        <w:rPr>
          <w:b/>
          <w:bCs/>
          <w:lang w:eastAsia="en-US"/>
        </w:rPr>
        <w:t>arties</w:t>
      </w:r>
      <w:r w:rsidRPr="000B7589">
        <w:rPr>
          <w:lang w:eastAsia="en-US"/>
        </w:rPr>
        <w:t xml:space="preserve"> – Rely upon verified information provided through </w:t>
      </w:r>
      <w:r w:rsidR="00060A2A">
        <w:rPr>
          <w:lang w:eastAsia="en-US"/>
        </w:rPr>
        <w:t>AGDIS or an accredited provider</w:t>
      </w:r>
      <w:r w:rsidRPr="000B7589">
        <w:rPr>
          <w:lang w:eastAsia="en-US"/>
        </w:rPr>
        <w:t xml:space="preserve"> to provide a digital service. Must be onboarded, but not accredited.</w:t>
      </w:r>
    </w:p>
    <w:p w14:paraId="35DF3D79" w14:textId="76250248" w:rsidR="00E6232E" w:rsidRPr="000B7589" w:rsidRDefault="00E6232E" w:rsidP="00D93603">
      <w:pPr>
        <w:pStyle w:val="BodyText"/>
        <w:rPr>
          <w:lang w:eastAsia="en-US"/>
        </w:rPr>
      </w:pPr>
      <w:r w:rsidRPr="000B7589">
        <w:rPr>
          <w:lang w:eastAsia="en-US"/>
        </w:rPr>
        <w:t>The regulatory costs and impacts have been considered through the lens of these specific stakeholder groups. Although governments of all levels can participate in the above roles, government-to-government regulation is excluded from the Framework</w:t>
      </w:r>
      <w:r w:rsidR="0050460F">
        <w:rPr>
          <w:lang w:eastAsia="en-US"/>
        </w:rPr>
        <w:t>.</w:t>
      </w:r>
      <w:r w:rsidR="00FA663E">
        <w:rPr>
          <w:lang w:eastAsia="en-US"/>
        </w:rPr>
        <w:t xml:space="preserve"> </w:t>
      </w:r>
      <w:r w:rsidR="0070528A" w:rsidRPr="006412B9">
        <w:rPr>
          <w:szCs w:val="16"/>
        </w:rPr>
        <w:t>This exclusion does not, however, apply to GBEs and public universities.</w:t>
      </w:r>
      <w:r w:rsidR="0070528A">
        <w:rPr>
          <w:szCs w:val="16"/>
        </w:rPr>
        <w:t xml:space="preserve"> </w:t>
      </w:r>
      <w:r w:rsidR="0070528A" w:rsidRPr="006412B9">
        <w:rPr>
          <w:szCs w:val="16"/>
        </w:rPr>
        <w:t>Noting the important role that GBEs such as Australia Post may play in the future (with Australia Post’s identity solution already accredited), these types of entities are included in the regulatory burden measurement.</w:t>
      </w:r>
    </w:p>
    <w:p w14:paraId="50462C10" w14:textId="7B880B46" w:rsidR="00E6232E" w:rsidRPr="00FA6E05" w:rsidRDefault="00E6232E" w:rsidP="00F00A6E">
      <w:pPr>
        <w:pStyle w:val="Heading2NoNumbers"/>
        <w:rPr>
          <w:color w:val="008675"/>
          <w:lang w:eastAsia="en-US"/>
        </w:rPr>
      </w:pPr>
      <w:bookmarkStart w:id="354" w:name="_Toc80884679"/>
      <w:bookmarkStart w:id="355" w:name="_Toc81226635"/>
      <w:bookmarkStart w:id="356" w:name="_Toc81226911"/>
      <w:bookmarkStart w:id="357" w:name="_Toc81228255"/>
      <w:bookmarkStart w:id="358" w:name="_Toc83951198"/>
      <w:bookmarkStart w:id="359" w:name="_Toc84925805"/>
      <w:bookmarkStart w:id="360" w:name="_Toc84925897"/>
      <w:bookmarkStart w:id="361" w:name="_Toc86045141"/>
      <w:bookmarkStart w:id="362" w:name="_Toc86070022"/>
      <w:bookmarkStart w:id="363" w:name="_Toc149740344"/>
      <w:r w:rsidRPr="00FA6E05">
        <w:rPr>
          <w:color w:val="008675"/>
          <w:lang w:eastAsia="en-US"/>
        </w:rPr>
        <w:t xml:space="preserve">6.4 Impact </w:t>
      </w:r>
      <w:r w:rsidR="00B2504D" w:rsidRPr="00FA6E05">
        <w:rPr>
          <w:color w:val="008675"/>
          <w:lang w:eastAsia="en-US"/>
        </w:rPr>
        <w:t>a</w:t>
      </w:r>
      <w:r w:rsidRPr="00FA6E05">
        <w:rPr>
          <w:color w:val="008675"/>
          <w:lang w:eastAsia="en-US"/>
        </w:rPr>
        <w:t xml:space="preserve">nalysis </w:t>
      </w:r>
      <w:r w:rsidR="00FA663E" w:rsidRPr="00FA6E05">
        <w:rPr>
          <w:color w:val="008675"/>
          <w:lang w:eastAsia="en-US"/>
        </w:rPr>
        <w:t>approach</w:t>
      </w:r>
      <w:bookmarkEnd w:id="354"/>
      <w:bookmarkEnd w:id="355"/>
      <w:bookmarkEnd w:id="356"/>
      <w:bookmarkEnd w:id="357"/>
      <w:bookmarkEnd w:id="358"/>
      <w:bookmarkEnd w:id="359"/>
      <w:bookmarkEnd w:id="360"/>
      <w:bookmarkEnd w:id="361"/>
      <w:bookmarkEnd w:id="362"/>
      <w:bookmarkEnd w:id="363"/>
    </w:p>
    <w:p w14:paraId="2F154B3D" w14:textId="29236FA1" w:rsidR="00E6232E" w:rsidRPr="000B7589" w:rsidRDefault="00E428A0" w:rsidP="00D93603">
      <w:pPr>
        <w:pStyle w:val="BodyText"/>
        <w:rPr>
          <w:sz w:val="20"/>
          <w:szCs w:val="20"/>
          <w:lang w:eastAsia="en-US"/>
        </w:rPr>
      </w:pPr>
      <w:r>
        <w:rPr>
          <w:lang w:eastAsia="en-US"/>
        </w:rPr>
        <w:t>The impact analysis has been progressed iteratively alongside the policy development process</w:t>
      </w:r>
      <w:r w:rsidR="00246041">
        <w:rPr>
          <w:lang w:eastAsia="en-US"/>
        </w:rPr>
        <w:t>, and reflects feedback received as recently as October 2023</w:t>
      </w:r>
      <w:r>
        <w:rPr>
          <w:lang w:eastAsia="en-US"/>
        </w:rPr>
        <w:t xml:space="preserve">. </w:t>
      </w:r>
      <w:r>
        <w:rPr>
          <w:lang w:eastAsia="en-US"/>
        </w:rPr>
        <w:lastRenderedPageBreak/>
        <w:t>Initially, it focused up</w:t>
      </w:r>
      <w:r w:rsidR="00E6232E" w:rsidRPr="000B7589">
        <w:rPr>
          <w:lang w:eastAsia="en-US"/>
        </w:rPr>
        <w:t xml:space="preserve">on identifying broad </w:t>
      </w:r>
      <w:r w:rsidR="00E6232E" w:rsidRPr="000B7589">
        <w:rPr>
          <w:i/>
          <w:iCs/>
          <w:lang w:eastAsia="en-US"/>
        </w:rPr>
        <w:t xml:space="preserve">categories </w:t>
      </w:r>
      <w:r w:rsidR="00E6232E" w:rsidRPr="000B7589">
        <w:rPr>
          <w:lang w:eastAsia="en-US"/>
        </w:rPr>
        <w:t>of anticipated costs and benefits arising from the proposed policy options. A comprehensive scan</w:t>
      </w:r>
      <w:r w:rsidR="00D24741">
        <w:rPr>
          <w:lang w:eastAsia="en-US"/>
        </w:rPr>
        <w:t xml:space="preserve"> </w:t>
      </w:r>
      <w:r>
        <w:rPr>
          <w:lang w:eastAsia="en-US"/>
        </w:rPr>
        <w:t xml:space="preserve">was </w:t>
      </w:r>
      <w:r w:rsidR="00E6232E" w:rsidRPr="000B7589">
        <w:rPr>
          <w:lang w:eastAsia="en-US"/>
        </w:rPr>
        <w:t xml:space="preserve">conducted of available literature and evidence on the impacts </w:t>
      </w:r>
      <w:r w:rsidR="00D567B3">
        <w:rPr>
          <w:lang w:eastAsia="en-US"/>
        </w:rPr>
        <w:t>Digital ID</w:t>
      </w:r>
      <w:r w:rsidR="002563B2">
        <w:rPr>
          <w:lang w:eastAsia="en-US"/>
        </w:rPr>
        <w:t xml:space="preserve"> </w:t>
      </w:r>
      <w:r w:rsidR="00E6232E" w:rsidRPr="000B7589">
        <w:rPr>
          <w:lang w:eastAsia="en-US"/>
        </w:rPr>
        <w:t xml:space="preserve">– both its potential benefits </w:t>
      </w:r>
      <w:r w:rsidR="00E01017">
        <w:rPr>
          <w:lang w:eastAsia="en-US"/>
        </w:rPr>
        <w:t>(</w:t>
      </w:r>
      <w:r w:rsidR="00E6232E" w:rsidRPr="000B7589">
        <w:rPr>
          <w:lang w:eastAsia="en-US"/>
        </w:rPr>
        <w:t xml:space="preserve">for individuals, businesses, government, </w:t>
      </w:r>
      <w:r w:rsidR="001C651F" w:rsidRPr="000B7589">
        <w:rPr>
          <w:lang w:eastAsia="en-US"/>
        </w:rPr>
        <w:t>community,</w:t>
      </w:r>
      <w:r w:rsidR="00E6232E" w:rsidRPr="000B7589">
        <w:rPr>
          <w:lang w:eastAsia="en-US"/>
        </w:rPr>
        <w:t xml:space="preserve"> and the economy</w:t>
      </w:r>
      <w:r w:rsidR="00E01017">
        <w:rPr>
          <w:lang w:eastAsia="en-US"/>
        </w:rPr>
        <w:t>)</w:t>
      </w:r>
      <w:r w:rsidR="00E6232E" w:rsidRPr="000B7589">
        <w:rPr>
          <w:lang w:eastAsia="en-US"/>
        </w:rPr>
        <w:t>, and potential regulatory costs of the policy positions.</w:t>
      </w:r>
    </w:p>
    <w:p w14:paraId="5EF42C70" w14:textId="5D4848EC" w:rsidR="00E6232E" w:rsidRPr="000B7589" w:rsidRDefault="00E6232E" w:rsidP="00D93603">
      <w:pPr>
        <w:pStyle w:val="BodyText"/>
        <w:rPr>
          <w:sz w:val="20"/>
          <w:szCs w:val="20"/>
          <w:lang w:eastAsia="en-US"/>
        </w:rPr>
      </w:pPr>
      <w:r w:rsidRPr="000B7589">
        <w:rPr>
          <w:lang w:eastAsia="en-US"/>
        </w:rPr>
        <w:t xml:space="preserve">There are a range of </w:t>
      </w:r>
      <w:r w:rsidR="009210C4">
        <w:rPr>
          <w:lang w:eastAsia="en-US"/>
        </w:rPr>
        <w:t>d</w:t>
      </w:r>
      <w:r w:rsidRPr="000B7589">
        <w:rPr>
          <w:lang w:eastAsia="en-US"/>
        </w:rPr>
        <w:t xml:space="preserve">igital </w:t>
      </w:r>
      <w:r w:rsidR="00500088">
        <w:rPr>
          <w:lang w:eastAsia="en-US"/>
        </w:rPr>
        <w:t>ID</w:t>
      </w:r>
      <w:r w:rsidR="00500088" w:rsidRPr="000B7589">
        <w:rPr>
          <w:lang w:eastAsia="en-US"/>
        </w:rPr>
        <w:t xml:space="preserve"> </w:t>
      </w:r>
      <w:r w:rsidR="00A0512F">
        <w:rPr>
          <w:lang w:eastAsia="en-US"/>
        </w:rPr>
        <w:t>programs</w:t>
      </w:r>
      <w:r w:rsidR="00A0512F" w:rsidRPr="000B7589">
        <w:rPr>
          <w:lang w:eastAsia="en-US"/>
        </w:rPr>
        <w:t xml:space="preserve"> </w:t>
      </w:r>
      <w:r w:rsidRPr="000B7589">
        <w:rPr>
          <w:lang w:eastAsia="en-US"/>
        </w:rPr>
        <w:t>in operation or under development around the world, including in Canada, New Zealand, Sweden, India, the United Kingdom and Estonia. The impacts of</w:t>
      </w:r>
      <w:r w:rsidR="009210C4">
        <w:rPr>
          <w:lang w:eastAsia="en-US"/>
        </w:rPr>
        <w:t xml:space="preserve"> d</w:t>
      </w:r>
      <w:r w:rsidRPr="000B7589">
        <w:rPr>
          <w:lang w:eastAsia="en-US"/>
        </w:rPr>
        <w:t xml:space="preserve">igital </w:t>
      </w:r>
      <w:r w:rsidR="00500088">
        <w:rPr>
          <w:lang w:eastAsia="en-US"/>
        </w:rPr>
        <w:t>ID</w:t>
      </w:r>
      <w:r w:rsidR="00500088" w:rsidRPr="000B7589">
        <w:rPr>
          <w:lang w:eastAsia="en-US"/>
        </w:rPr>
        <w:t xml:space="preserve"> </w:t>
      </w:r>
      <w:r w:rsidR="00A0070F">
        <w:rPr>
          <w:lang w:eastAsia="en-US"/>
        </w:rPr>
        <w:t xml:space="preserve">programs </w:t>
      </w:r>
      <w:r w:rsidRPr="000B7589">
        <w:rPr>
          <w:lang w:eastAsia="en-US"/>
        </w:rPr>
        <w:t xml:space="preserve">in these different country contexts </w:t>
      </w:r>
      <w:r w:rsidR="00E428A0">
        <w:rPr>
          <w:lang w:eastAsia="en-US"/>
        </w:rPr>
        <w:t>were</w:t>
      </w:r>
      <w:r w:rsidR="00E428A0" w:rsidRPr="000B7589">
        <w:rPr>
          <w:lang w:eastAsia="en-US"/>
        </w:rPr>
        <w:t xml:space="preserve"> </w:t>
      </w:r>
      <w:r w:rsidRPr="000B7589">
        <w:rPr>
          <w:lang w:eastAsia="en-US"/>
        </w:rPr>
        <w:t xml:space="preserve">examined, with analysis then considering their applicability to the Australian context. In some instances, this process identified costs or benefits which are unlikely to be realised through </w:t>
      </w:r>
      <w:r w:rsidR="00CE0E4B">
        <w:rPr>
          <w:lang w:eastAsia="en-US"/>
        </w:rPr>
        <w:t xml:space="preserve">the </w:t>
      </w:r>
      <w:r w:rsidR="00522B29">
        <w:rPr>
          <w:lang w:eastAsia="en-US"/>
        </w:rPr>
        <w:t>AGDIS</w:t>
      </w:r>
      <w:r w:rsidRPr="000B7589">
        <w:rPr>
          <w:lang w:eastAsia="en-US"/>
        </w:rPr>
        <w:t xml:space="preserve">, which were then excluded from analysis. For example, in India one of the most significant benefits of </w:t>
      </w:r>
      <w:r w:rsidR="009210C4">
        <w:rPr>
          <w:lang w:eastAsia="en-US"/>
        </w:rPr>
        <w:t>d</w:t>
      </w:r>
      <w:r w:rsidRPr="000B7589">
        <w:rPr>
          <w:lang w:eastAsia="en-US"/>
        </w:rPr>
        <w:t xml:space="preserve">igital </w:t>
      </w:r>
      <w:r w:rsidR="00500088">
        <w:rPr>
          <w:lang w:eastAsia="en-US"/>
        </w:rPr>
        <w:t>ID</w:t>
      </w:r>
      <w:r w:rsidR="00500088" w:rsidRPr="000B7589">
        <w:rPr>
          <w:lang w:eastAsia="en-US"/>
        </w:rPr>
        <w:t xml:space="preserve">’s </w:t>
      </w:r>
      <w:r w:rsidRPr="000B7589">
        <w:rPr>
          <w:lang w:eastAsia="en-US"/>
        </w:rPr>
        <w:t>expansion has been a major reduction in corruption, due to the reduced influence of local government officials in verifying and endorsing identity. This was not assessed as relevant in the Australian context because of significantly lower levels of government corruption risk.</w:t>
      </w:r>
    </w:p>
    <w:p w14:paraId="5859B740" w14:textId="6948F79E" w:rsidR="00E6232E" w:rsidRPr="000B7589" w:rsidRDefault="00E428A0" w:rsidP="00D93603">
      <w:pPr>
        <w:pStyle w:val="BodyText"/>
        <w:rPr>
          <w:lang w:eastAsia="en-US"/>
        </w:rPr>
      </w:pPr>
      <w:r>
        <w:rPr>
          <w:lang w:eastAsia="en-US"/>
        </w:rPr>
        <w:t>Further, c</w:t>
      </w:r>
      <w:r w:rsidR="00E6232E" w:rsidRPr="000B7589">
        <w:rPr>
          <w:lang w:eastAsia="en-US"/>
        </w:rPr>
        <w:t xml:space="preserve">onsultation conducted by the Program also supported the identification of potential costs and benefits arising from this proposed regulation. Submissions to public consultation processes were particularly examined to identify any areas which had not already been identified internally. Consultation with Program subject matter experts also supported identification of areas where the costs and benefits of Australia’s proposed approach may diverge from those observed internationally. This highlighted the differential impacts expected for </w:t>
      </w:r>
      <w:r w:rsidR="00B47226">
        <w:rPr>
          <w:lang w:eastAsia="en-US"/>
        </w:rPr>
        <w:t xml:space="preserve">onboarded </w:t>
      </w:r>
      <w:r w:rsidR="006E797D">
        <w:rPr>
          <w:lang w:eastAsia="en-US"/>
        </w:rPr>
        <w:t>a</w:t>
      </w:r>
      <w:r w:rsidR="00E6232E" w:rsidRPr="000B7589">
        <w:rPr>
          <w:lang w:eastAsia="en-US"/>
        </w:rPr>
        <w:t xml:space="preserve">ccredited </w:t>
      </w:r>
      <w:r w:rsidR="00B47226">
        <w:rPr>
          <w:lang w:eastAsia="en-US"/>
        </w:rPr>
        <w:t xml:space="preserve">entities </w:t>
      </w:r>
      <w:r w:rsidR="00E6232E" w:rsidRPr="000B7589">
        <w:rPr>
          <w:lang w:eastAsia="en-US"/>
        </w:rPr>
        <w:t xml:space="preserve">compared with </w:t>
      </w:r>
      <w:r w:rsidR="00FC55EA">
        <w:rPr>
          <w:lang w:eastAsia="en-US"/>
        </w:rPr>
        <w:t>r</w:t>
      </w:r>
      <w:r w:rsidR="00E6232E" w:rsidRPr="000B7589">
        <w:rPr>
          <w:lang w:eastAsia="en-US"/>
        </w:rPr>
        <w:t xml:space="preserve">elying </w:t>
      </w:r>
      <w:r w:rsidR="00FC55EA">
        <w:rPr>
          <w:lang w:eastAsia="en-US"/>
        </w:rPr>
        <w:t>p</w:t>
      </w:r>
      <w:r w:rsidR="00E6232E" w:rsidRPr="000B7589">
        <w:rPr>
          <w:lang w:eastAsia="en-US"/>
        </w:rPr>
        <w:t xml:space="preserve">arties (as detailed in </w:t>
      </w:r>
      <w:r w:rsidR="00E6232E" w:rsidRPr="00565831">
        <w:rPr>
          <w:color w:val="008675"/>
        </w:rPr>
        <w:t xml:space="preserve">Section </w:t>
      </w:r>
      <w:r w:rsidR="00E6232E" w:rsidRPr="00565831">
        <w:rPr>
          <w:color w:val="008675"/>
        </w:rPr>
        <w:fldChar w:fldCharType="begin"/>
      </w:r>
      <w:r w:rsidR="00E6232E" w:rsidRPr="00565831">
        <w:rPr>
          <w:color w:val="008675"/>
        </w:rPr>
        <w:instrText xml:space="preserve"> REF _Ref64938104 \h </w:instrText>
      </w:r>
      <w:r w:rsidR="000B7589" w:rsidRPr="00565831">
        <w:rPr>
          <w:color w:val="008675"/>
        </w:rPr>
        <w:instrText xml:space="preserve"> \* MERGEFORMAT </w:instrText>
      </w:r>
      <w:r w:rsidR="00E6232E" w:rsidRPr="00565831">
        <w:rPr>
          <w:color w:val="008675"/>
        </w:rPr>
      </w:r>
      <w:r w:rsidR="00E6232E" w:rsidRPr="00565831">
        <w:rPr>
          <w:color w:val="008675"/>
        </w:rPr>
        <w:fldChar w:fldCharType="separate"/>
      </w:r>
      <w:r w:rsidR="00E6232E" w:rsidRPr="00565831">
        <w:rPr>
          <w:color w:val="008675"/>
        </w:rPr>
        <w:t xml:space="preserve">9 Likely </w:t>
      </w:r>
      <w:r w:rsidR="00D55B85" w:rsidRPr="00565831">
        <w:rPr>
          <w:color w:val="008675"/>
        </w:rPr>
        <w:t>n</w:t>
      </w:r>
      <w:r w:rsidR="00E6232E" w:rsidRPr="00565831">
        <w:rPr>
          <w:color w:val="008675"/>
        </w:rPr>
        <w:t xml:space="preserve">et </w:t>
      </w:r>
      <w:r w:rsidR="00D55B85" w:rsidRPr="00565831">
        <w:rPr>
          <w:color w:val="008675"/>
        </w:rPr>
        <w:t>b</w:t>
      </w:r>
      <w:r w:rsidR="00E6232E" w:rsidRPr="00565831">
        <w:rPr>
          <w:color w:val="008675"/>
        </w:rPr>
        <w:t>enefit of Option 3</w:t>
      </w:r>
      <w:r w:rsidR="00D44FE0" w:rsidRPr="00565831">
        <w:rPr>
          <w:color w:val="008675"/>
        </w:rPr>
        <w:t xml:space="preserve"> </w:t>
      </w:r>
      <w:r w:rsidR="00D55B85" w:rsidRPr="00565831">
        <w:rPr>
          <w:color w:val="008675"/>
        </w:rPr>
        <w:t>r</w:t>
      </w:r>
      <w:r w:rsidR="00E6232E" w:rsidRPr="00565831">
        <w:rPr>
          <w:color w:val="008675"/>
        </w:rPr>
        <w:t xml:space="preserve">egulatory </w:t>
      </w:r>
      <w:r w:rsidR="00D55B85" w:rsidRPr="00565831">
        <w:rPr>
          <w:color w:val="008675"/>
        </w:rPr>
        <w:t>s</w:t>
      </w:r>
      <w:r w:rsidR="00E6232E" w:rsidRPr="00565831">
        <w:rPr>
          <w:color w:val="008675"/>
        </w:rPr>
        <w:t>cheme</w:t>
      </w:r>
      <w:r w:rsidR="00E6232E" w:rsidRPr="00565831">
        <w:rPr>
          <w:color w:val="008675"/>
        </w:rPr>
        <w:fldChar w:fldCharType="end"/>
      </w:r>
      <w:r w:rsidR="00E6232E" w:rsidRPr="000B7589">
        <w:rPr>
          <w:lang w:eastAsia="en-US"/>
        </w:rPr>
        <w:t>).</w:t>
      </w:r>
    </w:p>
    <w:p w14:paraId="58BD3F2E" w14:textId="2F50593E" w:rsidR="00505ADC" w:rsidRPr="00FB442B" w:rsidRDefault="0047207E" w:rsidP="00D93603">
      <w:pPr>
        <w:pStyle w:val="BodyText"/>
        <w:rPr>
          <w:lang w:eastAsia="en-US"/>
        </w:rPr>
      </w:pPr>
      <w:r w:rsidRPr="009439B6">
        <w:rPr>
          <w:lang w:eastAsia="en-US"/>
        </w:rPr>
        <w:t xml:space="preserve">In October 2021, </w:t>
      </w:r>
      <w:r w:rsidR="00EC1389" w:rsidRPr="009439B6">
        <w:rPr>
          <w:lang w:eastAsia="en-US"/>
        </w:rPr>
        <w:t>t</w:t>
      </w:r>
      <w:r w:rsidR="00DD375F" w:rsidRPr="009439B6">
        <w:rPr>
          <w:lang w:eastAsia="en-US"/>
        </w:rPr>
        <w:t xml:space="preserve">he </w:t>
      </w:r>
      <w:r w:rsidRPr="009439B6">
        <w:rPr>
          <w:lang w:eastAsia="en-US"/>
        </w:rPr>
        <w:t xml:space="preserve">identified </w:t>
      </w:r>
      <w:r w:rsidR="00DD375F" w:rsidRPr="009439B6">
        <w:rPr>
          <w:lang w:eastAsia="en-US"/>
        </w:rPr>
        <w:t>impacts</w:t>
      </w:r>
      <w:r w:rsidR="0074601B" w:rsidRPr="009439B6">
        <w:rPr>
          <w:lang w:eastAsia="en-US"/>
        </w:rPr>
        <w:t xml:space="preserve"> of all options</w:t>
      </w:r>
      <w:r w:rsidRPr="009439B6">
        <w:rPr>
          <w:lang w:eastAsia="en-US"/>
        </w:rPr>
        <w:t xml:space="preserve"> (both qualitative and quanti</w:t>
      </w:r>
      <w:r w:rsidR="00780B8D" w:rsidRPr="009439B6">
        <w:rPr>
          <w:lang w:eastAsia="en-US"/>
        </w:rPr>
        <w:t>tative</w:t>
      </w:r>
      <w:r w:rsidRPr="009439B6">
        <w:rPr>
          <w:lang w:eastAsia="en-US"/>
        </w:rPr>
        <w:t xml:space="preserve"> regulatory cost estimates)</w:t>
      </w:r>
      <w:r w:rsidR="00DD375F" w:rsidRPr="009439B6">
        <w:rPr>
          <w:lang w:eastAsia="en-US"/>
        </w:rPr>
        <w:t xml:space="preserve"> </w:t>
      </w:r>
      <w:r w:rsidR="00D66F99" w:rsidRPr="009439B6">
        <w:rPr>
          <w:lang w:eastAsia="en-US"/>
        </w:rPr>
        <w:t>were</w:t>
      </w:r>
      <w:r w:rsidR="00DD375F" w:rsidRPr="009439B6">
        <w:rPr>
          <w:lang w:eastAsia="en-US"/>
        </w:rPr>
        <w:t xml:space="preserve"> </w:t>
      </w:r>
      <w:r w:rsidR="00CC7AD6" w:rsidRPr="009439B6">
        <w:rPr>
          <w:lang w:eastAsia="en-US"/>
        </w:rPr>
        <w:t xml:space="preserve">validated through </w:t>
      </w:r>
      <w:r w:rsidR="003A6DEC" w:rsidRPr="009439B6">
        <w:rPr>
          <w:lang w:eastAsia="en-US"/>
        </w:rPr>
        <w:t xml:space="preserve">public release of the Consultation </w:t>
      </w:r>
      <w:r w:rsidR="00465F3F">
        <w:rPr>
          <w:lang w:eastAsia="en-US"/>
        </w:rPr>
        <w:t>Impact Analysis</w:t>
      </w:r>
      <w:r>
        <w:rPr>
          <w:lang w:eastAsia="en-US"/>
        </w:rPr>
        <w:t xml:space="preserve">. The outcomes of this and other consultation activities are discussed in more detail in </w:t>
      </w:r>
      <w:hyperlink w:anchor="section10" w:history="1">
        <w:r w:rsidR="00DC586B" w:rsidRPr="002F5DA0">
          <w:rPr>
            <w:rStyle w:val="Hyperlink"/>
            <w:color w:val="008675"/>
            <w:lang w:eastAsia="en-US"/>
          </w:rPr>
          <w:t>Section 10 Consultation</w:t>
        </w:r>
      </w:hyperlink>
      <w:r w:rsidR="008F29BA">
        <w:rPr>
          <w:lang w:eastAsia="en-US"/>
        </w:rPr>
        <w:t>.</w:t>
      </w:r>
    </w:p>
    <w:p w14:paraId="12D0BA2F" w14:textId="5900AEC9" w:rsidR="00E6232E" w:rsidRPr="000B7589" w:rsidRDefault="00E6232E" w:rsidP="00D93603">
      <w:pPr>
        <w:pStyle w:val="BodyText"/>
        <w:rPr>
          <w:lang w:eastAsia="en-US"/>
        </w:rPr>
      </w:pPr>
      <w:r w:rsidRPr="000B7589">
        <w:rPr>
          <w:lang w:eastAsia="en-US"/>
        </w:rPr>
        <w:t>The following three sections describe the costs, benefits and overall likely net benefit for each option, in accordance with the methodology described above.</w:t>
      </w:r>
      <w:r w:rsidRPr="000B7589">
        <w:rPr>
          <w:lang w:eastAsia="en-US"/>
        </w:rPr>
        <w:br w:type="page"/>
      </w:r>
    </w:p>
    <w:p w14:paraId="6C836082" w14:textId="1E471FB8" w:rsidR="00E6232E" w:rsidRPr="00B71291" w:rsidRDefault="00E6232E" w:rsidP="003C5CA3">
      <w:pPr>
        <w:pStyle w:val="Heading1NoNumbers"/>
        <w:rPr>
          <w:color w:val="008675"/>
          <w:lang w:eastAsia="en-US"/>
        </w:rPr>
      </w:pPr>
      <w:bookmarkStart w:id="364" w:name="_7_Likely_Net"/>
      <w:bookmarkStart w:id="365" w:name="_Ref65069236"/>
      <w:bookmarkStart w:id="366" w:name="_Toc80884681"/>
      <w:bookmarkStart w:id="367" w:name="_Toc81226637"/>
      <w:bookmarkStart w:id="368" w:name="_Toc81226668"/>
      <w:bookmarkStart w:id="369" w:name="_Toc81226913"/>
      <w:bookmarkStart w:id="370" w:name="_Toc81228257"/>
      <w:bookmarkStart w:id="371" w:name="_Toc83951200"/>
      <w:bookmarkStart w:id="372" w:name="_Toc84925806"/>
      <w:bookmarkStart w:id="373" w:name="_Toc84925898"/>
      <w:bookmarkStart w:id="374" w:name="_Toc86045142"/>
      <w:bookmarkStart w:id="375" w:name="_Toc86070023"/>
      <w:bookmarkStart w:id="376" w:name="_Toc149740345"/>
      <w:bookmarkEnd w:id="364"/>
      <w:r w:rsidRPr="00B71291">
        <w:rPr>
          <w:color w:val="008675"/>
          <w:lang w:eastAsia="en-US"/>
        </w:rPr>
        <w:lastRenderedPageBreak/>
        <w:t xml:space="preserve">7 Likely </w:t>
      </w:r>
      <w:r w:rsidR="00B2504D" w:rsidRPr="00B71291">
        <w:rPr>
          <w:color w:val="008675"/>
          <w:lang w:eastAsia="en-US"/>
        </w:rPr>
        <w:t>n</w:t>
      </w:r>
      <w:r w:rsidRPr="00B71291">
        <w:rPr>
          <w:color w:val="008675"/>
          <w:lang w:eastAsia="en-US"/>
        </w:rPr>
        <w:t xml:space="preserve">et </w:t>
      </w:r>
      <w:r w:rsidR="00B2504D" w:rsidRPr="00B71291">
        <w:rPr>
          <w:color w:val="008675"/>
          <w:lang w:eastAsia="en-US"/>
        </w:rPr>
        <w:t>b</w:t>
      </w:r>
      <w:r w:rsidRPr="00B71291">
        <w:rPr>
          <w:color w:val="008675"/>
          <w:lang w:eastAsia="en-US"/>
        </w:rPr>
        <w:t xml:space="preserve">enefit of Option 1 </w:t>
      </w:r>
      <w:r w:rsidR="00B2504D" w:rsidRPr="00B71291">
        <w:rPr>
          <w:color w:val="008675"/>
          <w:lang w:eastAsia="en-US"/>
        </w:rPr>
        <w:t>(</w:t>
      </w:r>
      <w:r w:rsidR="0081012C" w:rsidRPr="00B71291">
        <w:rPr>
          <w:color w:val="008675"/>
          <w:lang w:eastAsia="en-US"/>
        </w:rPr>
        <w:t>s</w:t>
      </w:r>
      <w:r w:rsidRPr="00B71291">
        <w:rPr>
          <w:color w:val="008675"/>
          <w:lang w:eastAsia="en-US"/>
        </w:rPr>
        <w:t xml:space="preserve">tatus </w:t>
      </w:r>
      <w:r w:rsidR="00B2504D" w:rsidRPr="00B71291">
        <w:rPr>
          <w:color w:val="008675"/>
          <w:lang w:eastAsia="en-US"/>
        </w:rPr>
        <w:t>q</w:t>
      </w:r>
      <w:r w:rsidRPr="00B71291">
        <w:rPr>
          <w:color w:val="008675"/>
          <w:lang w:eastAsia="en-US"/>
        </w:rPr>
        <w:t>uo</w:t>
      </w:r>
      <w:bookmarkEnd w:id="365"/>
      <w:r w:rsidR="00B2504D" w:rsidRPr="00B71291">
        <w:rPr>
          <w:color w:val="008675"/>
          <w:lang w:eastAsia="en-US"/>
        </w:rPr>
        <w:t>)</w:t>
      </w:r>
      <w:bookmarkEnd w:id="366"/>
      <w:bookmarkEnd w:id="367"/>
      <w:bookmarkEnd w:id="368"/>
      <w:bookmarkEnd w:id="369"/>
      <w:bookmarkEnd w:id="370"/>
      <w:bookmarkEnd w:id="371"/>
      <w:bookmarkEnd w:id="372"/>
      <w:bookmarkEnd w:id="373"/>
      <w:bookmarkEnd w:id="374"/>
      <w:bookmarkEnd w:id="375"/>
      <w:bookmarkEnd w:id="376"/>
      <w:r w:rsidRPr="00B71291">
        <w:rPr>
          <w:color w:val="008675"/>
          <w:lang w:eastAsia="en-US"/>
        </w:rPr>
        <w:t xml:space="preserve"> </w:t>
      </w:r>
    </w:p>
    <w:p w14:paraId="071A475A" w14:textId="0F4838B7" w:rsidR="00E6232E" w:rsidRPr="000B7589" w:rsidRDefault="00E6232E" w:rsidP="00D93603">
      <w:pPr>
        <w:pStyle w:val="BodyText"/>
        <w:rPr>
          <w:lang w:eastAsia="en-US"/>
        </w:rPr>
      </w:pPr>
      <w:r w:rsidRPr="000B7589">
        <w:rPr>
          <w:lang w:eastAsia="en-US"/>
        </w:rPr>
        <w:t xml:space="preserve">Option 1 involves continued existence </w:t>
      </w:r>
      <w:r w:rsidR="004B7CAA">
        <w:rPr>
          <w:lang w:eastAsia="en-US"/>
        </w:rPr>
        <w:t>AGDIS</w:t>
      </w:r>
      <w:r w:rsidRPr="000B7589">
        <w:rPr>
          <w:lang w:eastAsia="en-US"/>
        </w:rPr>
        <w:t xml:space="preserve"> as it currently operates, with no regulatory action. As such, there are no changes to the costs and benefits currently experienced by each stakeholder group. For completeness, these costs and benefits are described below.</w:t>
      </w:r>
    </w:p>
    <w:p w14:paraId="162FFF5F" w14:textId="30975A87" w:rsidR="00E6232E" w:rsidRPr="00B71291" w:rsidRDefault="00E6232E" w:rsidP="00A35CF9">
      <w:pPr>
        <w:pStyle w:val="Heading2NoNumbers"/>
        <w:rPr>
          <w:color w:val="008675"/>
          <w:lang w:eastAsia="en-US"/>
        </w:rPr>
      </w:pPr>
      <w:bookmarkStart w:id="377" w:name="_Toc80884682"/>
      <w:bookmarkStart w:id="378" w:name="_Toc81226638"/>
      <w:bookmarkStart w:id="379" w:name="_Toc81226914"/>
      <w:bookmarkStart w:id="380" w:name="_Toc81228258"/>
      <w:bookmarkStart w:id="381" w:name="_Toc83951201"/>
      <w:bookmarkStart w:id="382" w:name="_Toc84925807"/>
      <w:bookmarkStart w:id="383" w:name="_Toc84925899"/>
      <w:bookmarkStart w:id="384" w:name="_Toc86045143"/>
      <w:bookmarkStart w:id="385" w:name="_Toc86070024"/>
      <w:bookmarkStart w:id="386" w:name="_Toc149740346"/>
      <w:r w:rsidRPr="00B71291">
        <w:rPr>
          <w:color w:val="008675"/>
          <w:lang w:eastAsia="en-US"/>
        </w:rPr>
        <w:t xml:space="preserve">7.1 Overall </w:t>
      </w:r>
      <w:r w:rsidR="00B2504D" w:rsidRPr="00B71291">
        <w:rPr>
          <w:color w:val="008675"/>
          <w:lang w:eastAsia="en-US"/>
        </w:rPr>
        <w:t>i</w:t>
      </w:r>
      <w:r w:rsidRPr="00B71291">
        <w:rPr>
          <w:color w:val="008675"/>
          <w:lang w:eastAsia="en-US"/>
        </w:rPr>
        <w:t>mpacts</w:t>
      </w:r>
      <w:bookmarkEnd w:id="377"/>
      <w:bookmarkEnd w:id="378"/>
      <w:bookmarkEnd w:id="379"/>
      <w:bookmarkEnd w:id="380"/>
      <w:bookmarkEnd w:id="381"/>
      <w:bookmarkEnd w:id="382"/>
      <w:bookmarkEnd w:id="383"/>
      <w:bookmarkEnd w:id="384"/>
      <w:bookmarkEnd w:id="385"/>
      <w:bookmarkEnd w:id="386"/>
    </w:p>
    <w:p w14:paraId="4A64916A" w14:textId="3484688F" w:rsidR="00E6232E" w:rsidRPr="00B71291" w:rsidRDefault="00E6232E" w:rsidP="00A35CF9">
      <w:pPr>
        <w:pStyle w:val="Heading3NoNumbers"/>
        <w:rPr>
          <w:color w:val="008675"/>
          <w:lang w:eastAsia="en-US"/>
        </w:rPr>
      </w:pPr>
      <w:bookmarkStart w:id="387" w:name="_Toc80884683"/>
      <w:bookmarkStart w:id="388" w:name="_Toc84925808"/>
      <w:bookmarkStart w:id="389" w:name="_Toc86070025"/>
      <w:r w:rsidRPr="00B71291">
        <w:rPr>
          <w:color w:val="008675"/>
          <w:lang w:eastAsia="en-US"/>
        </w:rPr>
        <w:t>7.1.</w:t>
      </w:r>
      <w:r w:rsidR="00F777CD" w:rsidRPr="00B71291">
        <w:rPr>
          <w:color w:val="008675"/>
          <w:lang w:eastAsia="en-US"/>
        </w:rPr>
        <w:t>1</w:t>
      </w:r>
      <w:r w:rsidRPr="00B71291">
        <w:rPr>
          <w:color w:val="008675"/>
          <w:lang w:eastAsia="en-US"/>
        </w:rPr>
        <w:t xml:space="preserve"> Individuals</w:t>
      </w:r>
      <w:bookmarkEnd w:id="387"/>
      <w:bookmarkEnd w:id="388"/>
      <w:bookmarkEnd w:id="389"/>
    </w:p>
    <w:p w14:paraId="0F2B684D" w14:textId="5B87B01E" w:rsidR="00E6232E" w:rsidRPr="000B7589" w:rsidRDefault="00E6232E" w:rsidP="00D93603">
      <w:pPr>
        <w:pStyle w:val="BodyText"/>
        <w:rPr>
          <w:lang w:eastAsia="en-US"/>
        </w:rPr>
      </w:pPr>
      <w:r w:rsidRPr="000B7589">
        <w:rPr>
          <w:lang w:eastAsia="en-US"/>
        </w:rPr>
        <w:t xml:space="preserve">Under the status quo arrangement, individuals can access </w:t>
      </w:r>
      <w:r w:rsidR="00CB3B21">
        <w:rPr>
          <w:lang w:eastAsia="en-US"/>
        </w:rPr>
        <w:t>AGDIS t</w:t>
      </w:r>
      <w:r w:rsidRPr="000B7589">
        <w:rPr>
          <w:lang w:eastAsia="en-US"/>
        </w:rPr>
        <w:t xml:space="preserve">hrough </w:t>
      </w:r>
      <w:proofErr w:type="spellStart"/>
      <w:r w:rsidRPr="000B7589">
        <w:rPr>
          <w:lang w:eastAsia="en-US"/>
        </w:rPr>
        <w:t>myGovID</w:t>
      </w:r>
      <w:proofErr w:type="spellEnd"/>
      <w:r w:rsidRPr="000B7589">
        <w:rPr>
          <w:lang w:eastAsia="en-US"/>
        </w:rPr>
        <w:t xml:space="preserve"> (the </w:t>
      </w:r>
      <w:r w:rsidR="00E9418F">
        <w:rPr>
          <w:lang w:eastAsia="en-US"/>
        </w:rPr>
        <w:t xml:space="preserve">Australian Government’s </w:t>
      </w:r>
      <w:r w:rsidR="00C845EA">
        <w:rPr>
          <w:lang w:eastAsia="en-US"/>
        </w:rPr>
        <w:t xml:space="preserve">digital </w:t>
      </w:r>
      <w:r w:rsidR="004B52F0">
        <w:rPr>
          <w:lang w:eastAsia="en-US"/>
        </w:rPr>
        <w:t>ID</w:t>
      </w:r>
      <w:r w:rsidRPr="000B7589">
        <w:rPr>
          <w:lang w:eastAsia="en-US"/>
        </w:rPr>
        <w:t xml:space="preserve"> </w:t>
      </w:r>
      <w:r w:rsidR="00C845EA">
        <w:rPr>
          <w:lang w:eastAsia="en-US"/>
        </w:rPr>
        <w:t>provider</w:t>
      </w:r>
      <w:r w:rsidRPr="000B7589">
        <w:rPr>
          <w:lang w:eastAsia="en-US"/>
        </w:rPr>
        <w:t xml:space="preserve">), and transactions within it continue to be limited to Commonwealth </w:t>
      </w:r>
      <w:r w:rsidR="00475732">
        <w:rPr>
          <w:lang w:eastAsia="en-US"/>
        </w:rPr>
        <w:t xml:space="preserve">(and select </w:t>
      </w:r>
      <w:r w:rsidR="00BF4DBD">
        <w:rPr>
          <w:lang w:eastAsia="en-US"/>
        </w:rPr>
        <w:t xml:space="preserve">state </w:t>
      </w:r>
      <w:r w:rsidR="00475732">
        <w:rPr>
          <w:lang w:eastAsia="en-US"/>
        </w:rPr>
        <w:t xml:space="preserve">and </w:t>
      </w:r>
      <w:r w:rsidR="00BF4DBD">
        <w:rPr>
          <w:lang w:eastAsia="en-US"/>
        </w:rPr>
        <w:t>territory</w:t>
      </w:r>
      <w:r w:rsidR="00475732">
        <w:rPr>
          <w:lang w:eastAsia="en-US"/>
        </w:rPr>
        <w:t xml:space="preserve">) </w:t>
      </w:r>
      <w:r w:rsidRPr="000B7589">
        <w:rPr>
          <w:lang w:eastAsia="en-US"/>
        </w:rPr>
        <w:t xml:space="preserve">services and entities. In their interactions with participating </w:t>
      </w:r>
      <w:r w:rsidR="00E9418F">
        <w:rPr>
          <w:lang w:eastAsia="en-US"/>
        </w:rPr>
        <w:t>Australian Government</w:t>
      </w:r>
      <w:r w:rsidR="00E9418F" w:rsidRPr="000B7589">
        <w:rPr>
          <w:lang w:eastAsia="en-US"/>
        </w:rPr>
        <w:t xml:space="preserve"> </w:t>
      </w:r>
      <w:r w:rsidRPr="000B7589">
        <w:rPr>
          <w:lang w:eastAsia="en-US"/>
        </w:rPr>
        <w:t>services, individuals benefit from improved speed and convenience across a range of transactions – with</w:t>
      </w:r>
      <w:r w:rsidR="002563B2">
        <w:rPr>
          <w:lang w:eastAsia="en-US"/>
        </w:rPr>
        <w:t xml:space="preserve"> over</w:t>
      </w:r>
      <w:r w:rsidRPr="000B7589">
        <w:rPr>
          <w:lang w:eastAsia="en-US"/>
        </w:rPr>
        <w:t xml:space="preserve"> </w:t>
      </w:r>
      <w:r w:rsidR="00565D07">
        <w:rPr>
          <w:lang w:eastAsia="en-US"/>
        </w:rPr>
        <w:t>135</w:t>
      </w:r>
      <w:r w:rsidR="00565D07" w:rsidRPr="000B7589">
        <w:rPr>
          <w:lang w:eastAsia="en-US"/>
        </w:rPr>
        <w:t xml:space="preserve"> </w:t>
      </w:r>
      <w:r w:rsidR="00EF4960">
        <w:rPr>
          <w:lang w:eastAsia="en-US"/>
        </w:rPr>
        <w:t xml:space="preserve">digital government services </w:t>
      </w:r>
      <w:r w:rsidRPr="000B7589">
        <w:rPr>
          <w:lang w:eastAsia="en-US"/>
        </w:rPr>
        <w:t xml:space="preserve">currently </w:t>
      </w:r>
      <w:r w:rsidR="00EF4960">
        <w:rPr>
          <w:lang w:eastAsia="en-US"/>
        </w:rPr>
        <w:t>accessible</w:t>
      </w:r>
      <w:r w:rsidRPr="000B7589">
        <w:rPr>
          <w:lang w:eastAsia="en-US"/>
        </w:rPr>
        <w:t>. However, the exclusion of non-</w:t>
      </w:r>
      <w:r w:rsidR="00025C74">
        <w:rPr>
          <w:lang w:eastAsia="en-US"/>
        </w:rPr>
        <w:t>Commonwealth</w:t>
      </w:r>
      <w:r w:rsidR="00E9418F" w:rsidRPr="000B7589" w:rsidDel="00E9418F">
        <w:rPr>
          <w:lang w:eastAsia="en-US"/>
        </w:rPr>
        <w:t xml:space="preserve"> </w:t>
      </w:r>
      <w:r w:rsidR="00C946F0">
        <w:rPr>
          <w:lang w:eastAsia="en-US"/>
        </w:rPr>
        <w:t>agencies</w:t>
      </w:r>
      <w:r w:rsidR="00C946F0" w:rsidRPr="000B7589">
        <w:rPr>
          <w:lang w:eastAsia="en-US"/>
        </w:rPr>
        <w:t xml:space="preserve"> </w:t>
      </w:r>
      <w:r w:rsidRPr="000B7589">
        <w:rPr>
          <w:lang w:eastAsia="en-US"/>
        </w:rPr>
        <w:t xml:space="preserve">as </w:t>
      </w:r>
      <w:r w:rsidR="00FC55EA">
        <w:rPr>
          <w:lang w:eastAsia="en-US"/>
        </w:rPr>
        <w:t>r</w:t>
      </w:r>
      <w:r w:rsidRPr="000B7589">
        <w:rPr>
          <w:lang w:eastAsia="en-US"/>
        </w:rPr>
        <w:t xml:space="preserve">elying </w:t>
      </w:r>
      <w:r w:rsidR="00FC55EA">
        <w:rPr>
          <w:lang w:eastAsia="en-US"/>
        </w:rPr>
        <w:t>p</w:t>
      </w:r>
      <w:r w:rsidRPr="000B7589">
        <w:rPr>
          <w:lang w:eastAsia="en-US"/>
        </w:rPr>
        <w:t xml:space="preserve">arties </w:t>
      </w:r>
      <w:r w:rsidR="003B1421">
        <w:rPr>
          <w:lang w:eastAsia="en-US"/>
        </w:rPr>
        <w:t>(except in limited</w:t>
      </w:r>
      <w:r w:rsidR="00FE0C6B">
        <w:rPr>
          <w:lang w:eastAsia="en-US"/>
        </w:rPr>
        <w:t xml:space="preserve"> circumstances</w:t>
      </w:r>
      <w:r w:rsidR="003B1421">
        <w:rPr>
          <w:lang w:eastAsia="en-US"/>
        </w:rPr>
        <w:t xml:space="preserve">) </w:t>
      </w:r>
      <w:r w:rsidRPr="000B7589">
        <w:rPr>
          <w:lang w:eastAsia="en-US"/>
        </w:rPr>
        <w:t xml:space="preserve">and charging </w:t>
      </w:r>
      <w:r w:rsidR="00B47226">
        <w:rPr>
          <w:lang w:eastAsia="en-US"/>
        </w:rPr>
        <w:t xml:space="preserve">onboarded </w:t>
      </w:r>
      <w:r w:rsidR="00FC55EA">
        <w:rPr>
          <w:lang w:eastAsia="en-US"/>
        </w:rPr>
        <w:t>a</w:t>
      </w:r>
      <w:r w:rsidRPr="000B7589">
        <w:rPr>
          <w:lang w:eastAsia="en-US"/>
        </w:rPr>
        <w:t xml:space="preserve">ccredited </w:t>
      </w:r>
      <w:r w:rsidR="00B47226">
        <w:rPr>
          <w:lang w:eastAsia="en-US"/>
        </w:rPr>
        <w:t xml:space="preserve">entities </w:t>
      </w:r>
      <w:r w:rsidRPr="000B7589">
        <w:rPr>
          <w:lang w:eastAsia="en-US"/>
        </w:rPr>
        <w:t xml:space="preserve">under the status quo constrains the places and contexts in which individuals can use </w:t>
      </w:r>
      <w:r w:rsidR="00CB3B21">
        <w:rPr>
          <w:lang w:eastAsia="en-US"/>
        </w:rPr>
        <w:t>AGDIS</w:t>
      </w:r>
      <w:r w:rsidRPr="000B7589">
        <w:rPr>
          <w:lang w:eastAsia="en-US"/>
        </w:rPr>
        <w:t>.</w:t>
      </w:r>
    </w:p>
    <w:p w14:paraId="0F4D0ED1" w14:textId="61692504" w:rsidR="00E6232E" w:rsidRPr="000B7589" w:rsidRDefault="00E6232E" w:rsidP="00D93603">
      <w:pPr>
        <w:pStyle w:val="BodyText"/>
        <w:rPr>
          <w:lang w:eastAsia="en-US"/>
        </w:rPr>
      </w:pPr>
      <w:r w:rsidRPr="00813A5F">
        <w:rPr>
          <w:lang w:eastAsia="en-US"/>
        </w:rPr>
        <w:t>The implications of the status quo arrangement for individuals are two-fold. First,</w:t>
      </w:r>
      <w:r w:rsidRPr="000B7589">
        <w:rPr>
          <w:lang w:eastAsia="en-US"/>
        </w:rPr>
        <w:t xml:space="preserve"> </w:t>
      </w:r>
      <w:r w:rsidR="00BA6C8A">
        <w:rPr>
          <w:lang w:eastAsia="en-US"/>
        </w:rPr>
        <w:t xml:space="preserve">whilst </w:t>
      </w:r>
      <w:r w:rsidRPr="000B7589">
        <w:rPr>
          <w:lang w:eastAsia="en-US"/>
        </w:rPr>
        <w:t xml:space="preserve">individuals </w:t>
      </w:r>
      <w:r w:rsidR="00BA6C8A">
        <w:rPr>
          <w:lang w:eastAsia="en-US"/>
        </w:rPr>
        <w:t xml:space="preserve">have protections under the TDIF </w:t>
      </w:r>
      <w:r w:rsidRPr="000B7589">
        <w:rPr>
          <w:lang w:eastAsia="en-US"/>
        </w:rPr>
        <w:t>in areas such as privacy, collection and use of data, and storage of biometric information</w:t>
      </w:r>
      <w:r w:rsidR="00BA6C8A">
        <w:rPr>
          <w:lang w:eastAsia="en-US"/>
        </w:rPr>
        <w:t xml:space="preserve">, this </w:t>
      </w:r>
      <w:r w:rsidR="008761F5">
        <w:rPr>
          <w:lang w:eastAsia="en-US"/>
        </w:rPr>
        <w:t xml:space="preserve">only applies in relation to </w:t>
      </w:r>
      <w:r w:rsidR="0003266F">
        <w:rPr>
          <w:lang w:eastAsia="en-US"/>
        </w:rPr>
        <w:t xml:space="preserve">accredited </w:t>
      </w:r>
      <w:r w:rsidR="008761F5">
        <w:rPr>
          <w:lang w:eastAsia="en-US"/>
        </w:rPr>
        <w:t xml:space="preserve">services available in </w:t>
      </w:r>
      <w:r w:rsidR="00FF59B9">
        <w:rPr>
          <w:lang w:eastAsia="en-US"/>
        </w:rPr>
        <w:t>AGDIS currently</w:t>
      </w:r>
      <w:r w:rsidR="0099287C">
        <w:rPr>
          <w:lang w:eastAsia="en-US"/>
        </w:rPr>
        <w:t xml:space="preserve"> (primarily </w:t>
      </w:r>
      <w:r w:rsidR="001360C8">
        <w:rPr>
          <w:lang w:eastAsia="en-US"/>
        </w:rPr>
        <w:t>Australian Government</w:t>
      </w:r>
      <w:r w:rsidR="0099287C">
        <w:rPr>
          <w:lang w:eastAsia="en-US"/>
        </w:rPr>
        <w:t>)</w:t>
      </w:r>
      <w:r w:rsidRPr="000B7589">
        <w:rPr>
          <w:lang w:eastAsia="en-US"/>
        </w:rPr>
        <w:t>. Second, the full efficiency benefits for individuals cannot be realised due to ongoing inability to expand to the private sector. Legislation is required to bring non-</w:t>
      </w:r>
      <w:r w:rsidR="00E007CC">
        <w:rPr>
          <w:lang w:eastAsia="en-US"/>
        </w:rPr>
        <w:t>Commonwealth</w:t>
      </w:r>
      <w:r w:rsidR="001360C8" w:rsidRPr="000B7589" w:rsidDel="001360C8">
        <w:rPr>
          <w:lang w:eastAsia="en-US"/>
        </w:rPr>
        <w:t xml:space="preserve"> </w:t>
      </w:r>
      <w:r w:rsidR="0028208F">
        <w:rPr>
          <w:lang w:eastAsia="en-US"/>
        </w:rPr>
        <w:t>r</w:t>
      </w:r>
      <w:r w:rsidRPr="000B7589">
        <w:rPr>
          <w:lang w:eastAsia="en-US"/>
        </w:rPr>
        <w:t xml:space="preserve">elying </w:t>
      </w:r>
      <w:r w:rsidR="0028208F">
        <w:rPr>
          <w:lang w:eastAsia="en-US"/>
        </w:rPr>
        <w:t>p</w:t>
      </w:r>
      <w:r w:rsidRPr="000B7589">
        <w:rPr>
          <w:lang w:eastAsia="en-US"/>
        </w:rPr>
        <w:t xml:space="preserve">arties and charging </w:t>
      </w:r>
      <w:r w:rsidR="00B47226">
        <w:rPr>
          <w:lang w:eastAsia="en-US"/>
        </w:rPr>
        <w:t xml:space="preserve">onboarded </w:t>
      </w:r>
      <w:r w:rsidR="00606D8E">
        <w:rPr>
          <w:lang w:eastAsia="en-US"/>
        </w:rPr>
        <w:t>a</w:t>
      </w:r>
      <w:r w:rsidRPr="000B7589">
        <w:rPr>
          <w:lang w:eastAsia="en-US"/>
        </w:rPr>
        <w:t xml:space="preserve">ccredited </w:t>
      </w:r>
      <w:r w:rsidR="00B47226">
        <w:rPr>
          <w:lang w:eastAsia="en-US"/>
        </w:rPr>
        <w:t>entities</w:t>
      </w:r>
      <w:r w:rsidRPr="000B7589">
        <w:rPr>
          <w:lang w:eastAsia="en-US"/>
        </w:rPr>
        <w:t>, allowing full access to both government and private sector verification.</w:t>
      </w:r>
    </w:p>
    <w:p w14:paraId="1A3E2E49" w14:textId="7A9EAB20" w:rsidR="00E6232E" w:rsidRPr="000B7589" w:rsidRDefault="00E6232E" w:rsidP="00D93603">
      <w:pPr>
        <w:pStyle w:val="BodyText"/>
        <w:rPr>
          <w:lang w:eastAsia="en-US"/>
        </w:rPr>
      </w:pPr>
      <w:r w:rsidRPr="000B7589">
        <w:rPr>
          <w:lang w:eastAsia="en-US"/>
        </w:rPr>
        <w:t xml:space="preserve">Under the status quo, where private sector entities are not able to participate in </w:t>
      </w:r>
      <w:r w:rsidR="00EA3B38">
        <w:rPr>
          <w:lang w:eastAsia="en-US"/>
        </w:rPr>
        <w:t>the</w:t>
      </w:r>
      <w:r w:rsidR="00EA3B38" w:rsidRPr="000B7589">
        <w:rPr>
          <w:lang w:eastAsia="en-US"/>
        </w:rPr>
        <w:t xml:space="preserve"> </w:t>
      </w:r>
      <w:r w:rsidR="00B00327">
        <w:rPr>
          <w:lang w:eastAsia="en-US"/>
        </w:rPr>
        <w:t>AGDIS</w:t>
      </w:r>
      <w:r w:rsidRPr="000B7589">
        <w:rPr>
          <w:lang w:eastAsia="en-US"/>
        </w:rPr>
        <w:t xml:space="preserve"> as </w:t>
      </w:r>
      <w:r w:rsidR="00606D8E">
        <w:rPr>
          <w:lang w:eastAsia="en-US"/>
        </w:rPr>
        <w:t>r</w:t>
      </w:r>
      <w:r w:rsidRPr="000B7589">
        <w:rPr>
          <w:lang w:eastAsia="en-US"/>
        </w:rPr>
        <w:t xml:space="preserve">elying </w:t>
      </w:r>
      <w:r w:rsidR="00606D8E">
        <w:rPr>
          <w:lang w:eastAsia="en-US"/>
        </w:rPr>
        <w:t>p</w:t>
      </w:r>
      <w:r w:rsidRPr="000B7589">
        <w:rPr>
          <w:lang w:eastAsia="en-US"/>
        </w:rPr>
        <w:t>arties nor as</w:t>
      </w:r>
      <w:r w:rsidR="006E579A">
        <w:rPr>
          <w:lang w:eastAsia="en-US"/>
        </w:rPr>
        <w:t xml:space="preserve"> </w:t>
      </w:r>
      <w:r w:rsidR="00B47226">
        <w:rPr>
          <w:lang w:eastAsia="en-US"/>
        </w:rPr>
        <w:t xml:space="preserve">onboarded </w:t>
      </w:r>
      <w:r w:rsidR="00606D8E">
        <w:rPr>
          <w:lang w:eastAsia="en-US"/>
        </w:rPr>
        <w:t>a</w:t>
      </w:r>
      <w:r w:rsidR="00606D8E" w:rsidRPr="000B7589">
        <w:rPr>
          <w:lang w:eastAsia="en-US"/>
        </w:rPr>
        <w:t xml:space="preserve">ccredited </w:t>
      </w:r>
      <w:r w:rsidR="00B47226">
        <w:rPr>
          <w:lang w:eastAsia="en-US"/>
        </w:rPr>
        <w:t xml:space="preserve">entities </w:t>
      </w:r>
      <w:r w:rsidR="006E579A">
        <w:rPr>
          <w:lang w:eastAsia="en-US"/>
        </w:rPr>
        <w:t>with a legislative ability to charge</w:t>
      </w:r>
      <w:r w:rsidRPr="000B7589">
        <w:rPr>
          <w:lang w:eastAsia="en-US"/>
        </w:rPr>
        <w:t xml:space="preserve">, future growth in the number of participants entering as </w:t>
      </w:r>
      <w:r w:rsidR="00B54BCC">
        <w:rPr>
          <w:lang w:eastAsia="en-US"/>
        </w:rPr>
        <w:t xml:space="preserve">onboarded </w:t>
      </w:r>
      <w:r w:rsidR="00606D8E">
        <w:rPr>
          <w:lang w:eastAsia="en-US"/>
        </w:rPr>
        <w:t>a</w:t>
      </w:r>
      <w:r w:rsidR="00606D8E" w:rsidRPr="000B7589">
        <w:rPr>
          <w:lang w:eastAsia="en-US"/>
        </w:rPr>
        <w:t xml:space="preserve">ccredited </w:t>
      </w:r>
      <w:r w:rsidR="00B54BCC">
        <w:rPr>
          <w:lang w:eastAsia="en-US"/>
        </w:rPr>
        <w:t xml:space="preserve">entities </w:t>
      </w:r>
      <w:r w:rsidRPr="000B7589">
        <w:rPr>
          <w:lang w:eastAsia="en-US"/>
        </w:rPr>
        <w:t xml:space="preserve">(for example, as </w:t>
      </w:r>
      <w:r w:rsidR="00F16011">
        <w:rPr>
          <w:lang w:eastAsia="en-US"/>
        </w:rPr>
        <w:t xml:space="preserve">IDPs </w:t>
      </w:r>
      <w:r w:rsidRPr="000B7589">
        <w:rPr>
          <w:lang w:eastAsia="en-US"/>
        </w:rPr>
        <w:t xml:space="preserve">or </w:t>
      </w:r>
      <w:r w:rsidR="00F30B7B">
        <w:rPr>
          <w:lang w:eastAsia="en-US"/>
        </w:rPr>
        <w:t>A</w:t>
      </w:r>
      <w:r w:rsidR="0077063D">
        <w:rPr>
          <w:lang w:eastAsia="en-US"/>
        </w:rPr>
        <w:t>p</w:t>
      </w:r>
      <w:r w:rsidR="00F30B7B">
        <w:rPr>
          <w:lang w:eastAsia="en-US"/>
        </w:rPr>
        <w:t>s</w:t>
      </w:r>
      <w:r w:rsidRPr="000B7589">
        <w:rPr>
          <w:lang w:eastAsia="en-US"/>
        </w:rPr>
        <w:t xml:space="preserve">), may also be inhibited. While </w:t>
      </w:r>
      <w:r w:rsidR="00233533">
        <w:rPr>
          <w:lang w:eastAsia="en-US"/>
        </w:rPr>
        <w:t xml:space="preserve">AGDIS </w:t>
      </w:r>
      <w:r w:rsidRPr="000B7589">
        <w:rPr>
          <w:lang w:eastAsia="en-US"/>
        </w:rPr>
        <w:t xml:space="preserve">currently facilitates transactions with a number of </w:t>
      </w:r>
      <w:r w:rsidR="00EA3B38">
        <w:rPr>
          <w:lang w:eastAsia="en-US"/>
        </w:rPr>
        <w:t>Australian Government</w:t>
      </w:r>
      <w:r w:rsidR="00EA3B38" w:rsidRPr="000B7589" w:rsidDel="00EA3B38">
        <w:rPr>
          <w:lang w:eastAsia="en-US"/>
        </w:rPr>
        <w:t xml:space="preserve"> </w:t>
      </w:r>
      <w:r w:rsidR="00C946F0">
        <w:rPr>
          <w:lang w:eastAsia="en-US"/>
        </w:rPr>
        <w:t>agencies</w:t>
      </w:r>
      <w:r w:rsidRPr="000B7589">
        <w:rPr>
          <w:lang w:eastAsia="en-US"/>
        </w:rPr>
        <w:t xml:space="preserve">, the ongoing benefits of scale and potential market uptake would be greatly </w:t>
      </w:r>
      <w:r w:rsidRPr="000B7589">
        <w:rPr>
          <w:lang w:eastAsia="en-US"/>
        </w:rPr>
        <w:lastRenderedPageBreak/>
        <w:t xml:space="preserve">reduced if the pool of </w:t>
      </w:r>
      <w:r w:rsidR="00C7710D">
        <w:rPr>
          <w:lang w:eastAsia="en-US"/>
        </w:rPr>
        <w:t>r</w:t>
      </w:r>
      <w:r w:rsidRPr="000B7589">
        <w:rPr>
          <w:lang w:eastAsia="en-US"/>
        </w:rPr>
        <w:t xml:space="preserve">elying </w:t>
      </w:r>
      <w:r w:rsidR="00C7710D">
        <w:rPr>
          <w:lang w:eastAsia="en-US"/>
        </w:rPr>
        <w:t>p</w:t>
      </w:r>
      <w:r w:rsidRPr="000B7589">
        <w:rPr>
          <w:lang w:eastAsia="en-US"/>
        </w:rPr>
        <w:t xml:space="preserve">arty participants remains restricted to such entities. Individuals will continue to face limitations in their choice of </w:t>
      </w:r>
      <w:r w:rsidR="00813A5F">
        <w:rPr>
          <w:lang w:eastAsia="en-US"/>
        </w:rPr>
        <w:t>i</w:t>
      </w:r>
      <w:r w:rsidRPr="000B7589">
        <w:rPr>
          <w:lang w:eastAsia="en-US"/>
        </w:rPr>
        <w:t xml:space="preserve">dentity </w:t>
      </w:r>
      <w:r w:rsidR="00813A5F">
        <w:rPr>
          <w:lang w:eastAsia="en-US"/>
        </w:rPr>
        <w:t>p</w:t>
      </w:r>
      <w:r w:rsidRPr="000B7589">
        <w:rPr>
          <w:lang w:eastAsia="en-US"/>
        </w:rPr>
        <w:t xml:space="preserve">rovider, being the existing </w:t>
      </w:r>
      <w:proofErr w:type="spellStart"/>
      <w:r w:rsidRPr="000B7589">
        <w:rPr>
          <w:lang w:eastAsia="en-US"/>
        </w:rPr>
        <w:t>myGovID</w:t>
      </w:r>
      <w:proofErr w:type="spellEnd"/>
      <w:r w:rsidR="00F7751A">
        <w:rPr>
          <w:lang w:eastAsia="en-US"/>
        </w:rPr>
        <w:t>,</w:t>
      </w:r>
      <w:r w:rsidRPr="000B7589">
        <w:rPr>
          <w:lang w:eastAsia="en-US"/>
        </w:rPr>
        <w:t xml:space="preserve"> and</w:t>
      </w:r>
      <w:r w:rsidR="007479BF">
        <w:rPr>
          <w:lang w:eastAsia="en-US"/>
        </w:rPr>
        <w:t xml:space="preserve"> Digital ID</w:t>
      </w:r>
      <w:r w:rsidR="002563B2">
        <w:rPr>
          <w:lang w:eastAsia="en-US"/>
        </w:rPr>
        <w:t xml:space="preserve"> </w:t>
      </w:r>
      <w:r w:rsidRPr="000B7589">
        <w:rPr>
          <w:lang w:eastAsia="en-US"/>
        </w:rPr>
        <w:t>s</w:t>
      </w:r>
      <w:r w:rsidR="00EC2A93">
        <w:rPr>
          <w:lang w:eastAsia="en-US"/>
        </w:rPr>
        <w:t>ervice</w:t>
      </w:r>
      <w:r w:rsidRPr="000B7589">
        <w:rPr>
          <w:lang w:eastAsia="en-US"/>
        </w:rPr>
        <w:t xml:space="preserve">s. </w:t>
      </w:r>
    </w:p>
    <w:p w14:paraId="5E826F80" w14:textId="19BDF12F" w:rsidR="00E6232E" w:rsidRPr="000B7589" w:rsidRDefault="00DB1C8B" w:rsidP="0017585B">
      <w:pPr>
        <w:pStyle w:val="BodyText"/>
        <w:rPr>
          <w:lang w:eastAsia="en-US"/>
        </w:rPr>
      </w:pPr>
      <w:r>
        <w:rPr>
          <w:lang w:eastAsia="en-US"/>
        </w:rPr>
        <w:t>I</w:t>
      </w:r>
      <w:r w:rsidR="00E6232E" w:rsidRPr="000B7589">
        <w:rPr>
          <w:lang w:eastAsia="en-US"/>
        </w:rPr>
        <w:t>ndividuals who use the</w:t>
      </w:r>
      <w:r w:rsidR="00616A7D">
        <w:rPr>
          <w:lang w:eastAsia="en-US"/>
        </w:rPr>
        <w:t xml:space="preserve"> AGDIS</w:t>
      </w:r>
      <w:r w:rsidR="00E6232E" w:rsidRPr="000B7589">
        <w:rPr>
          <w:lang w:eastAsia="en-US"/>
        </w:rPr>
        <w:t xml:space="preserve"> incur no direct costs, as their use of the two </w:t>
      </w:r>
      <w:r w:rsidR="00CF4004">
        <w:rPr>
          <w:lang w:eastAsia="en-US"/>
        </w:rPr>
        <w:t xml:space="preserve">identity </w:t>
      </w:r>
      <w:r w:rsidR="00E6232E" w:rsidRPr="000B7589">
        <w:rPr>
          <w:lang w:eastAsia="en-US"/>
        </w:rPr>
        <w:t xml:space="preserve">products listed above remains free. There is no regulatory burden on this stakeholder group. If the status quo were maintained, individuals would retain access to the current benefits with available </w:t>
      </w:r>
      <w:r w:rsidR="00EA3B38">
        <w:rPr>
          <w:lang w:eastAsia="en-US"/>
        </w:rPr>
        <w:t>Government</w:t>
      </w:r>
      <w:r w:rsidR="00EA3B38" w:rsidRPr="000B7589" w:rsidDel="00EA3B38">
        <w:rPr>
          <w:lang w:eastAsia="en-US"/>
        </w:rPr>
        <w:t xml:space="preserve"> </w:t>
      </w:r>
      <w:r w:rsidR="00E6232E" w:rsidRPr="000B7589">
        <w:rPr>
          <w:lang w:eastAsia="en-US"/>
        </w:rPr>
        <w:t>services. However, they would forego the additional or compounded benefits that would arise from the expansion to non-</w:t>
      </w:r>
      <w:r w:rsidR="002537C9">
        <w:rPr>
          <w:lang w:eastAsia="en-US"/>
        </w:rPr>
        <w:t>Commonwealth</w:t>
      </w:r>
      <w:r w:rsidR="00EA3B38" w:rsidRPr="000B7589" w:rsidDel="00EA3B38">
        <w:rPr>
          <w:lang w:eastAsia="en-US"/>
        </w:rPr>
        <w:t xml:space="preserve"> </w:t>
      </w:r>
      <w:r w:rsidR="00C7710D">
        <w:rPr>
          <w:lang w:eastAsia="en-US"/>
        </w:rPr>
        <w:t>r</w:t>
      </w:r>
      <w:r w:rsidR="00E6232E" w:rsidRPr="000B7589">
        <w:rPr>
          <w:lang w:eastAsia="en-US"/>
        </w:rPr>
        <w:t xml:space="preserve">elying </w:t>
      </w:r>
      <w:r w:rsidR="00C7710D">
        <w:rPr>
          <w:lang w:eastAsia="en-US"/>
        </w:rPr>
        <w:t>p</w:t>
      </w:r>
      <w:r w:rsidR="00E6232E" w:rsidRPr="000B7589">
        <w:rPr>
          <w:lang w:eastAsia="en-US"/>
        </w:rPr>
        <w:t xml:space="preserve">arties and charging </w:t>
      </w:r>
      <w:r w:rsidR="00B54BCC">
        <w:rPr>
          <w:lang w:eastAsia="en-US"/>
        </w:rPr>
        <w:t xml:space="preserve">onboarded </w:t>
      </w:r>
      <w:r w:rsidR="006E797D">
        <w:rPr>
          <w:lang w:eastAsia="en-US"/>
        </w:rPr>
        <w:t>a</w:t>
      </w:r>
      <w:r w:rsidR="00E6232E" w:rsidRPr="000B7589">
        <w:rPr>
          <w:lang w:eastAsia="en-US"/>
        </w:rPr>
        <w:t xml:space="preserve">ccredited </w:t>
      </w:r>
      <w:r w:rsidR="00B54BCC">
        <w:rPr>
          <w:lang w:eastAsia="en-US"/>
        </w:rPr>
        <w:t>entities</w:t>
      </w:r>
      <w:r w:rsidR="00E6232E" w:rsidRPr="000B7589">
        <w:rPr>
          <w:lang w:eastAsia="en-US"/>
        </w:rPr>
        <w:t xml:space="preserve">. </w:t>
      </w:r>
    </w:p>
    <w:p w14:paraId="4CFC5831" w14:textId="77777777" w:rsidR="00E6232E" w:rsidRPr="00DE0ECD" w:rsidRDefault="00E6232E" w:rsidP="00DE0ECD">
      <w:pPr>
        <w:pStyle w:val="BodyText"/>
      </w:pPr>
      <w:r w:rsidRPr="00DE0ECD">
        <w:t>These foregone benefits are discussed in greater detail under Option 3, but include:</w:t>
      </w:r>
    </w:p>
    <w:p w14:paraId="07D02FB6" w14:textId="6C4632E8" w:rsidR="00E6232E" w:rsidRPr="000B7589" w:rsidRDefault="00E6232E" w:rsidP="0017585B">
      <w:pPr>
        <w:pStyle w:val="ListBulletLevel1"/>
        <w:rPr>
          <w:rFonts w:eastAsia="Calibri"/>
          <w:lang w:eastAsia="en-US"/>
        </w:rPr>
      </w:pPr>
      <w:r w:rsidRPr="000B7589">
        <w:rPr>
          <w:rFonts w:eastAsia="Calibri"/>
          <w:lang w:eastAsia="en-US"/>
        </w:rPr>
        <w:t>improved speed and convenience in interactions with a wider range of entities – particularly as individuals typically interact regular</w:t>
      </w:r>
      <w:r w:rsidR="001943FB">
        <w:rPr>
          <w:rFonts w:eastAsia="Calibri"/>
          <w:lang w:eastAsia="en-US"/>
        </w:rPr>
        <w:t>ly</w:t>
      </w:r>
      <w:r w:rsidRPr="000B7589">
        <w:rPr>
          <w:rFonts w:eastAsia="Calibri"/>
          <w:lang w:eastAsia="en-US"/>
        </w:rPr>
        <w:t xml:space="preserve"> with private sector providers, such as banks, utilities and telecommunications providers</w:t>
      </w:r>
    </w:p>
    <w:p w14:paraId="58C31FC6" w14:textId="2D2058D3" w:rsidR="00E6232E" w:rsidRPr="000B7589" w:rsidRDefault="00E6232E" w:rsidP="0017585B">
      <w:pPr>
        <w:pStyle w:val="ListBulletLevel1"/>
        <w:rPr>
          <w:rFonts w:eastAsia="Calibri"/>
          <w:lang w:eastAsia="en-US"/>
        </w:rPr>
      </w:pPr>
      <w:r w:rsidRPr="000B7589">
        <w:rPr>
          <w:rFonts w:eastAsia="Calibri"/>
          <w:lang w:eastAsia="en-US"/>
        </w:rPr>
        <w:t>reduced risk of identity fraud and associated financial loss – as financial services providers and other entities</w:t>
      </w:r>
      <w:r w:rsidR="00FD5D86">
        <w:rPr>
          <w:rFonts w:eastAsia="Calibri"/>
          <w:lang w:eastAsia="en-US"/>
        </w:rPr>
        <w:t xml:space="preserve"> (</w:t>
      </w:r>
      <w:r w:rsidRPr="000B7589">
        <w:rPr>
          <w:rFonts w:eastAsia="Calibri"/>
          <w:lang w:eastAsia="en-US"/>
        </w:rPr>
        <w:t>which are the most common sites for this type of fraud</w:t>
      </w:r>
      <w:r w:rsidR="00FD5D86">
        <w:rPr>
          <w:rFonts w:eastAsia="Calibri"/>
          <w:lang w:eastAsia="en-US"/>
        </w:rPr>
        <w:t>)</w:t>
      </w:r>
      <w:r w:rsidRPr="000B7589">
        <w:rPr>
          <w:rFonts w:eastAsia="Calibri"/>
          <w:lang w:eastAsia="en-US"/>
        </w:rPr>
        <w:t xml:space="preserve"> cannot participate as </w:t>
      </w:r>
      <w:r w:rsidR="00C7710D">
        <w:rPr>
          <w:rFonts w:eastAsia="Calibri"/>
          <w:lang w:eastAsia="en-US"/>
        </w:rPr>
        <w:t>r</w:t>
      </w:r>
      <w:r w:rsidRPr="000B7589">
        <w:rPr>
          <w:rFonts w:eastAsia="Calibri"/>
          <w:lang w:eastAsia="en-US"/>
        </w:rPr>
        <w:t xml:space="preserve">elying </w:t>
      </w:r>
      <w:r w:rsidR="00C7710D">
        <w:rPr>
          <w:rFonts w:eastAsia="Calibri"/>
          <w:lang w:eastAsia="en-US"/>
        </w:rPr>
        <w:t>p</w:t>
      </w:r>
      <w:r w:rsidRPr="000B7589">
        <w:rPr>
          <w:rFonts w:eastAsia="Calibri"/>
          <w:lang w:eastAsia="en-US"/>
        </w:rPr>
        <w:t>arties</w:t>
      </w:r>
    </w:p>
    <w:p w14:paraId="50A6D3C8" w14:textId="744E794B" w:rsidR="00E6232E" w:rsidRPr="000B7589" w:rsidRDefault="00E6232E" w:rsidP="0017585B">
      <w:pPr>
        <w:pStyle w:val="ListBulletLevel1"/>
        <w:rPr>
          <w:rFonts w:eastAsia="Calibri"/>
          <w:lang w:eastAsia="en-US"/>
        </w:rPr>
      </w:pPr>
      <w:r w:rsidRPr="000B7589">
        <w:rPr>
          <w:rFonts w:eastAsia="Calibri"/>
          <w:lang w:eastAsia="en-US"/>
        </w:rPr>
        <w:t xml:space="preserve">increased choice and control in how they engage </w:t>
      </w:r>
      <w:r w:rsidR="00050602">
        <w:rPr>
          <w:rFonts w:eastAsia="Calibri"/>
          <w:lang w:eastAsia="en-US"/>
        </w:rPr>
        <w:t>with Digital ID</w:t>
      </w:r>
      <w:r w:rsidRPr="000B7589">
        <w:rPr>
          <w:rFonts w:eastAsia="Calibri"/>
          <w:lang w:eastAsia="en-US"/>
        </w:rPr>
        <w:t xml:space="preserve"> – as they will likely be limited to using government and quasi-government identity solutions</w:t>
      </w:r>
    </w:p>
    <w:p w14:paraId="2B178C3B" w14:textId="14A27484" w:rsidR="00E6232E" w:rsidRPr="000B7589" w:rsidRDefault="00E6232E" w:rsidP="0017585B">
      <w:pPr>
        <w:pStyle w:val="ListBulletLevel1"/>
        <w:rPr>
          <w:rFonts w:eastAsia="Calibri"/>
          <w:lang w:eastAsia="en-US"/>
        </w:rPr>
      </w:pPr>
      <w:r w:rsidRPr="000B7589">
        <w:rPr>
          <w:rFonts w:eastAsia="Calibri"/>
          <w:lang w:eastAsia="en-US"/>
        </w:rPr>
        <w:t xml:space="preserve">strengthened consumer protections enabled both by the conversion of voluntary TDIF requirements into law and their expansion to all </w:t>
      </w:r>
      <w:r w:rsidR="00BB5C94">
        <w:rPr>
          <w:rFonts w:eastAsia="Calibri"/>
          <w:lang w:eastAsia="en-US"/>
        </w:rPr>
        <w:t>participants</w:t>
      </w:r>
      <w:r w:rsidR="0077063D">
        <w:rPr>
          <w:rFonts w:eastAsia="Calibri"/>
          <w:lang w:eastAsia="en-US"/>
        </w:rPr>
        <w:t xml:space="preserve"> </w:t>
      </w:r>
      <w:r w:rsidRPr="000B7589">
        <w:rPr>
          <w:rFonts w:eastAsia="Calibri"/>
          <w:lang w:eastAsia="en-US"/>
        </w:rPr>
        <w:t>– as these will not apply.</w:t>
      </w:r>
    </w:p>
    <w:p w14:paraId="416B6E7A" w14:textId="7D3DEC8D" w:rsidR="00E6232E" w:rsidRPr="000B7589" w:rsidRDefault="00E6232E" w:rsidP="0017585B">
      <w:pPr>
        <w:pStyle w:val="BodyText"/>
        <w:rPr>
          <w:lang w:eastAsia="en-US"/>
        </w:rPr>
      </w:pPr>
      <w:r w:rsidRPr="000B7589">
        <w:rPr>
          <w:b/>
          <w:bCs/>
          <w:lang w:eastAsia="en-US"/>
        </w:rPr>
        <w:t>Assessment of net expected benefits:</w:t>
      </w:r>
      <w:r w:rsidRPr="000B7589">
        <w:rPr>
          <w:lang w:eastAsia="en-US"/>
        </w:rPr>
        <w:t xml:space="preserve"> Under the status quo, individuals continue to benefit from the significant efficiency gains arising in interactions with </w:t>
      </w:r>
      <w:r w:rsidR="005B2D1E">
        <w:rPr>
          <w:lang w:eastAsia="en-US"/>
        </w:rPr>
        <w:t>Australian Government</w:t>
      </w:r>
      <w:r w:rsidR="005B2D1E" w:rsidRPr="000B7589" w:rsidDel="005B2D1E">
        <w:rPr>
          <w:lang w:eastAsia="en-US"/>
        </w:rPr>
        <w:t xml:space="preserve"> </w:t>
      </w:r>
      <w:r w:rsidRPr="000B7589">
        <w:rPr>
          <w:lang w:eastAsia="en-US"/>
        </w:rPr>
        <w:t>services currently participating in Digital I</w:t>
      </w:r>
      <w:r w:rsidR="00EB2443">
        <w:rPr>
          <w:lang w:eastAsia="en-US"/>
        </w:rPr>
        <w:t>D</w:t>
      </w:r>
      <w:r w:rsidRPr="000B7589">
        <w:rPr>
          <w:lang w:eastAsia="en-US"/>
        </w:rPr>
        <w:t xml:space="preserve">. This leads to an overall net positive benefit for individuals, compared to a situation where </w:t>
      </w:r>
      <w:r w:rsidR="00A82DAB">
        <w:rPr>
          <w:lang w:eastAsia="en-US"/>
        </w:rPr>
        <w:t xml:space="preserve">AGDIS </w:t>
      </w:r>
      <w:r w:rsidRPr="000B7589">
        <w:rPr>
          <w:lang w:eastAsia="en-US"/>
        </w:rPr>
        <w:t>is not available. However, considered in relative terms the net benefits of the status quo for current and potential individual users are lesser than those available under other options that may enable expansion.</w:t>
      </w:r>
    </w:p>
    <w:p w14:paraId="517A1D41" w14:textId="77777777" w:rsidR="00E6232E" w:rsidRPr="00B706ED" w:rsidRDefault="00E6232E" w:rsidP="00A35CF9">
      <w:pPr>
        <w:pStyle w:val="Heading3NoNumbers"/>
        <w:rPr>
          <w:color w:val="008675"/>
          <w:lang w:eastAsia="en-US"/>
        </w:rPr>
      </w:pPr>
      <w:bookmarkStart w:id="390" w:name="_Toc80884684"/>
      <w:bookmarkStart w:id="391" w:name="_Toc84925809"/>
      <w:bookmarkStart w:id="392" w:name="_Toc86070026"/>
      <w:r w:rsidRPr="00B706ED">
        <w:rPr>
          <w:color w:val="008675"/>
          <w:lang w:eastAsia="en-US"/>
        </w:rPr>
        <w:lastRenderedPageBreak/>
        <w:t>7.1.2 Businesses</w:t>
      </w:r>
      <w:bookmarkEnd w:id="390"/>
      <w:bookmarkEnd w:id="391"/>
      <w:bookmarkEnd w:id="392"/>
    </w:p>
    <w:p w14:paraId="54C125C5" w14:textId="0E20B2B0" w:rsidR="00E6232E" w:rsidRPr="000B7589" w:rsidRDefault="00E6232E" w:rsidP="0017585B">
      <w:pPr>
        <w:pStyle w:val="BodyText"/>
        <w:rPr>
          <w:lang w:eastAsia="en-US"/>
        </w:rPr>
      </w:pPr>
      <w:r w:rsidRPr="000B7589">
        <w:rPr>
          <w:lang w:eastAsia="en-US"/>
        </w:rPr>
        <w:t xml:space="preserve">Under the status quo, small, medium and large enterprises face no regulatory costs because their participation in </w:t>
      </w:r>
      <w:r w:rsidR="0026072E">
        <w:rPr>
          <w:lang w:eastAsia="en-US"/>
        </w:rPr>
        <w:t>AGDIS</w:t>
      </w:r>
      <w:r w:rsidRPr="000B7589">
        <w:rPr>
          <w:lang w:eastAsia="en-US"/>
        </w:rPr>
        <w:t xml:space="preserve"> is generally not supported. As with individuals, this results in considerable foregone benefits for this major segment of Australia’s economy. These foregone benefits differ according to the potential role that businesses would seek to </w:t>
      </w:r>
      <w:r w:rsidR="0026072E">
        <w:rPr>
          <w:lang w:eastAsia="en-US"/>
        </w:rPr>
        <w:t xml:space="preserve">enter the market </w:t>
      </w:r>
      <w:r w:rsidRPr="000B7589">
        <w:rPr>
          <w:lang w:eastAsia="en-US"/>
        </w:rPr>
        <w:t xml:space="preserve">– either as </w:t>
      </w:r>
      <w:r w:rsidR="00F423B6">
        <w:rPr>
          <w:lang w:eastAsia="en-US"/>
        </w:rPr>
        <w:t xml:space="preserve">onboarded </w:t>
      </w:r>
      <w:r w:rsidR="006E797D">
        <w:rPr>
          <w:lang w:eastAsia="en-US"/>
        </w:rPr>
        <w:t>a</w:t>
      </w:r>
      <w:r w:rsidRPr="000B7589">
        <w:rPr>
          <w:lang w:eastAsia="en-US"/>
        </w:rPr>
        <w:t xml:space="preserve">ccredited </w:t>
      </w:r>
      <w:r w:rsidR="00F423B6">
        <w:rPr>
          <w:lang w:eastAsia="en-US"/>
        </w:rPr>
        <w:t xml:space="preserve">entities </w:t>
      </w:r>
      <w:r w:rsidRPr="000B7589">
        <w:rPr>
          <w:lang w:eastAsia="en-US"/>
        </w:rPr>
        <w:t xml:space="preserve">or </w:t>
      </w:r>
      <w:r w:rsidR="00C7710D">
        <w:rPr>
          <w:lang w:eastAsia="en-US"/>
        </w:rPr>
        <w:t>r</w:t>
      </w:r>
      <w:r w:rsidRPr="000B7589">
        <w:rPr>
          <w:lang w:eastAsia="en-US"/>
        </w:rPr>
        <w:t xml:space="preserve">elying </w:t>
      </w:r>
      <w:r w:rsidR="00C7710D">
        <w:rPr>
          <w:lang w:eastAsia="en-US"/>
        </w:rPr>
        <w:t>p</w:t>
      </w:r>
      <w:r w:rsidRPr="000B7589">
        <w:rPr>
          <w:lang w:eastAsia="en-US"/>
        </w:rPr>
        <w:t>arties.</w:t>
      </w:r>
    </w:p>
    <w:p w14:paraId="10D2EAA2" w14:textId="63610607" w:rsidR="00E6232E" w:rsidRPr="00B706ED" w:rsidRDefault="00F423B6" w:rsidP="00A35CF9">
      <w:pPr>
        <w:pStyle w:val="Heading4NoNumbers"/>
        <w:rPr>
          <w:color w:val="008675"/>
          <w:sz w:val="22"/>
          <w:lang w:eastAsia="en-US"/>
        </w:rPr>
      </w:pPr>
      <w:r w:rsidRPr="00B706ED">
        <w:rPr>
          <w:color w:val="008675"/>
          <w:lang w:eastAsia="en-US"/>
        </w:rPr>
        <w:t>Onboarded a</w:t>
      </w:r>
      <w:r w:rsidR="00E6232E" w:rsidRPr="00B706ED">
        <w:rPr>
          <w:color w:val="008675"/>
          <w:lang w:eastAsia="en-US"/>
        </w:rPr>
        <w:t xml:space="preserve">ccredited </w:t>
      </w:r>
      <w:r w:rsidRPr="00B706ED">
        <w:rPr>
          <w:color w:val="008675"/>
          <w:lang w:eastAsia="en-US"/>
        </w:rPr>
        <w:t>entities</w:t>
      </w:r>
    </w:p>
    <w:p w14:paraId="06800A31" w14:textId="1773C343" w:rsidR="00E6232E" w:rsidRPr="000B7589" w:rsidRDefault="00E6232E" w:rsidP="0017585B">
      <w:pPr>
        <w:pStyle w:val="BodyText"/>
        <w:rPr>
          <w:lang w:eastAsia="en-US"/>
        </w:rPr>
      </w:pPr>
      <w:r w:rsidRPr="000B7589">
        <w:rPr>
          <w:lang w:eastAsia="en-US"/>
        </w:rPr>
        <w:t xml:space="preserve">Whilst there are no legal impediments to businesses becoming </w:t>
      </w:r>
      <w:r w:rsidR="00F423B6">
        <w:rPr>
          <w:lang w:eastAsia="en-US"/>
        </w:rPr>
        <w:t xml:space="preserve">onboarded </w:t>
      </w:r>
      <w:r w:rsidR="00F72DDB">
        <w:rPr>
          <w:lang w:eastAsia="en-US"/>
        </w:rPr>
        <w:t>a</w:t>
      </w:r>
      <w:r w:rsidRPr="000B7589">
        <w:rPr>
          <w:lang w:eastAsia="en-US"/>
        </w:rPr>
        <w:t xml:space="preserve">ccredited </w:t>
      </w:r>
      <w:r w:rsidR="00F423B6">
        <w:rPr>
          <w:lang w:eastAsia="en-US"/>
        </w:rPr>
        <w:t xml:space="preserve">entities </w:t>
      </w:r>
      <w:r w:rsidRPr="000B7589">
        <w:rPr>
          <w:lang w:eastAsia="en-US"/>
        </w:rPr>
        <w:t xml:space="preserve">under the status quo arrangements, there is no legislative basis for charging for services. This practicality is likely to deter most potential </w:t>
      </w:r>
      <w:r w:rsidR="00F423B6">
        <w:rPr>
          <w:lang w:eastAsia="en-US"/>
        </w:rPr>
        <w:t xml:space="preserve">onboarded </w:t>
      </w:r>
      <w:r w:rsidR="00F72DDB">
        <w:rPr>
          <w:lang w:eastAsia="en-US"/>
        </w:rPr>
        <w:t>a</w:t>
      </w:r>
      <w:r w:rsidRPr="000B7589">
        <w:rPr>
          <w:lang w:eastAsia="en-US"/>
        </w:rPr>
        <w:t xml:space="preserve">ccredited </w:t>
      </w:r>
      <w:r w:rsidR="00F423B6">
        <w:rPr>
          <w:lang w:eastAsia="en-US"/>
        </w:rPr>
        <w:t>entities</w:t>
      </w:r>
      <w:r w:rsidRPr="000B7589">
        <w:rPr>
          <w:lang w:eastAsia="en-US"/>
        </w:rPr>
        <w:t>, particularly small to medium enterprises.</w:t>
      </w:r>
    </w:p>
    <w:p w14:paraId="7913BC42" w14:textId="46F7A1FE" w:rsidR="00E6232E" w:rsidRPr="000B7589" w:rsidRDefault="00E6232E" w:rsidP="0017585B">
      <w:pPr>
        <w:pStyle w:val="BodyText"/>
        <w:rPr>
          <w:lang w:eastAsia="en-US"/>
        </w:rPr>
      </w:pPr>
      <w:r w:rsidRPr="000B7589">
        <w:rPr>
          <w:lang w:eastAsia="en-US"/>
        </w:rPr>
        <w:t xml:space="preserve">Similarly, potential large enterprise </w:t>
      </w:r>
      <w:r w:rsidR="00F423B6">
        <w:rPr>
          <w:lang w:eastAsia="en-US"/>
        </w:rPr>
        <w:t xml:space="preserve">onboarded </w:t>
      </w:r>
      <w:r w:rsidR="00F72DDB">
        <w:rPr>
          <w:lang w:eastAsia="en-US"/>
        </w:rPr>
        <w:t>a</w:t>
      </w:r>
      <w:r w:rsidRPr="000B7589">
        <w:rPr>
          <w:lang w:eastAsia="en-US"/>
        </w:rPr>
        <w:t xml:space="preserve">ccredited </w:t>
      </w:r>
      <w:r w:rsidR="00F423B6">
        <w:rPr>
          <w:lang w:eastAsia="en-US"/>
        </w:rPr>
        <w:t xml:space="preserve">entities </w:t>
      </w:r>
      <w:r w:rsidRPr="000B7589">
        <w:rPr>
          <w:lang w:eastAsia="en-US"/>
        </w:rPr>
        <w:t xml:space="preserve">would have no </w:t>
      </w:r>
      <w:r w:rsidR="00925A92">
        <w:rPr>
          <w:lang w:eastAsia="en-US"/>
        </w:rPr>
        <w:t xml:space="preserve">legislated </w:t>
      </w:r>
      <w:r w:rsidRPr="000B7589">
        <w:rPr>
          <w:lang w:eastAsia="en-US"/>
        </w:rPr>
        <w:t>ability to charge for their services. This would result in foregone benefits in relation to new business opportunities, and those expected to accrue through innovation and expansion of existing identity products or solutions.</w:t>
      </w:r>
      <w:r w:rsidR="00C621F6">
        <w:rPr>
          <w:lang w:eastAsia="en-US"/>
        </w:rPr>
        <w:t xml:space="preserve"> </w:t>
      </w:r>
    </w:p>
    <w:p w14:paraId="052A349B" w14:textId="5F90AFF0" w:rsidR="00E6232E" w:rsidRPr="000B7589" w:rsidRDefault="00E6232E" w:rsidP="0017585B">
      <w:pPr>
        <w:pStyle w:val="BodyText"/>
        <w:rPr>
          <w:lang w:eastAsia="en-US"/>
        </w:rPr>
      </w:pPr>
      <w:r w:rsidRPr="000B7589">
        <w:rPr>
          <w:lang w:eastAsia="en-US"/>
        </w:rPr>
        <w:t xml:space="preserve">Under the status quo, all potential </w:t>
      </w:r>
      <w:r w:rsidR="00F423B6">
        <w:rPr>
          <w:lang w:eastAsia="en-US"/>
        </w:rPr>
        <w:t xml:space="preserve">onboarded </w:t>
      </w:r>
      <w:r w:rsidR="00F72DDB">
        <w:rPr>
          <w:lang w:eastAsia="en-US"/>
        </w:rPr>
        <w:t>a</w:t>
      </w:r>
      <w:r w:rsidRPr="000B7589">
        <w:rPr>
          <w:lang w:eastAsia="en-US"/>
        </w:rPr>
        <w:t xml:space="preserve">ccredited </w:t>
      </w:r>
      <w:r w:rsidR="00F423B6">
        <w:rPr>
          <w:lang w:eastAsia="en-US"/>
        </w:rPr>
        <w:t xml:space="preserve">entity </w:t>
      </w:r>
      <w:r w:rsidRPr="000B7589">
        <w:rPr>
          <w:lang w:eastAsia="en-US"/>
        </w:rPr>
        <w:t>businesses would forego the legal protections associated</w:t>
      </w:r>
      <w:r w:rsidR="00E81CDF">
        <w:rPr>
          <w:lang w:eastAsia="en-US"/>
        </w:rPr>
        <w:t xml:space="preserve"> with</w:t>
      </w:r>
      <w:r w:rsidRPr="000B7589">
        <w:rPr>
          <w:lang w:eastAsia="en-US"/>
        </w:rPr>
        <w:t xml:space="preserve"> a dedicated regulatory scheme. Specifically, the proposed legislation include</w:t>
      </w:r>
      <w:r w:rsidR="00EC11E1">
        <w:rPr>
          <w:lang w:eastAsia="en-US"/>
        </w:rPr>
        <w:t>s</w:t>
      </w:r>
      <w:r w:rsidRPr="000B7589">
        <w:rPr>
          <w:lang w:eastAsia="en-US"/>
        </w:rPr>
        <w:t xml:space="preserve"> a liability regime, enabl</w:t>
      </w:r>
      <w:r w:rsidR="00AC2D1A">
        <w:rPr>
          <w:lang w:eastAsia="en-US"/>
        </w:rPr>
        <w:t>ing</w:t>
      </w:r>
      <w:r w:rsidRPr="000B7589">
        <w:rPr>
          <w:lang w:eastAsia="en-US"/>
        </w:rPr>
        <w:t xml:space="preserve"> the </w:t>
      </w:r>
      <w:r w:rsidR="009E787E">
        <w:rPr>
          <w:lang w:eastAsia="en-US"/>
        </w:rPr>
        <w:t>Australian Government</w:t>
      </w:r>
      <w:r w:rsidR="009E787E" w:rsidRPr="000B7589" w:rsidDel="009E787E">
        <w:rPr>
          <w:lang w:eastAsia="en-US"/>
        </w:rPr>
        <w:t xml:space="preserve"> </w:t>
      </w:r>
      <w:r w:rsidRPr="000B7589">
        <w:rPr>
          <w:lang w:eastAsia="en-US"/>
        </w:rPr>
        <w:t xml:space="preserve">to indemnify </w:t>
      </w:r>
      <w:r w:rsidR="00D95AF8">
        <w:rPr>
          <w:lang w:eastAsia="en-US"/>
        </w:rPr>
        <w:t>onboarded a</w:t>
      </w:r>
      <w:r w:rsidRPr="000B7589">
        <w:rPr>
          <w:lang w:eastAsia="en-US"/>
        </w:rPr>
        <w:t xml:space="preserve">ccredited </w:t>
      </w:r>
      <w:r w:rsidR="00D95AF8">
        <w:rPr>
          <w:lang w:eastAsia="en-US"/>
        </w:rPr>
        <w:t xml:space="preserve">entities </w:t>
      </w:r>
      <w:r w:rsidRPr="000B7589">
        <w:rPr>
          <w:lang w:eastAsia="en-US"/>
        </w:rPr>
        <w:t xml:space="preserve">from </w:t>
      </w:r>
      <w:r w:rsidR="000F78DA">
        <w:rPr>
          <w:lang w:eastAsia="en-US"/>
        </w:rPr>
        <w:t xml:space="preserve">civil proceedings and liability if they have provided the service in good faith and in compliance with the </w:t>
      </w:r>
      <w:r w:rsidR="007C2AAB">
        <w:rPr>
          <w:lang w:eastAsia="en-US"/>
        </w:rPr>
        <w:t xml:space="preserve">regulatory scheme </w:t>
      </w:r>
      <w:r w:rsidR="00375129">
        <w:rPr>
          <w:lang w:eastAsia="en-US"/>
        </w:rPr>
        <w:t xml:space="preserve">(whilst requiring </w:t>
      </w:r>
      <w:r w:rsidR="00D95AF8">
        <w:rPr>
          <w:lang w:eastAsia="en-US"/>
        </w:rPr>
        <w:t xml:space="preserve">them </w:t>
      </w:r>
      <w:r w:rsidR="00375129">
        <w:rPr>
          <w:lang w:eastAsia="en-US"/>
        </w:rPr>
        <w:t xml:space="preserve">to assist </w:t>
      </w:r>
      <w:r w:rsidR="00813A5F">
        <w:rPr>
          <w:lang w:eastAsia="en-US"/>
        </w:rPr>
        <w:t>u</w:t>
      </w:r>
      <w:r w:rsidR="00375129">
        <w:rPr>
          <w:lang w:eastAsia="en-US"/>
        </w:rPr>
        <w:t>sers where there has been an inappropriate disclosure of information, identity theft, or cyber security incident)</w:t>
      </w:r>
      <w:r w:rsidRPr="000B7589">
        <w:rPr>
          <w:lang w:eastAsia="en-US"/>
        </w:rPr>
        <w:t xml:space="preserve">. The benefits of this indemnity would significantly reduce </w:t>
      </w:r>
      <w:r w:rsidR="00D95AF8">
        <w:rPr>
          <w:lang w:eastAsia="en-US"/>
        </w:rPr>
        <w:t xml:space="preserve">onboarded </w:t>
      </w:r>
      <w:r w:rsidR="006E797D">
        <w:rPr>
          <w:lang w:eastAsia="en-US"/>
        </w:rPr>
        <w:t>a</w:t>
      </w:r>
      <w:r w:rsidRPr="000B7589">
        <w:rPr>
          <w:lang w:eastAsia="en-US"/>
        </w:rPr>
        <w:t xml:space="preserve">ccredited </w:t>
      </w:r>
      <w:r w:rsidR="00D95AF8">
        <w:rPr>
          <w:lang w:eastAsia="en-US"/>
        </w:rPr>
        <w:t xml:space="preserve">entity </w:t>
      </w:r>
      <w:r w:rsidRPr="000B7589">
        <w:rPr>
          <w:lang w:eastAsia="en-US"/>
        </w:rPr>
        <w:t>businesses’ exposure to financial loss and the risk of civil litigation.</w:t>
      </w:r>
      <w:r w:rsidR="0018042B">
        <w:rPr>
          <w:lang w:eastAsia="en-US"/>
        </w:rPr>
        <w:t xml:space="preserve"> </w:t>
      </w:r>
    </w:p>
    <w:p w14:paraId="3F30BEE7" w14:textId="096E489D" w:rsidR="00E6232E" w:rsidRPr="008C710A" w:rsidRDefault="00E6232E" w:rsidP="00A35CF9">
      <w:pPr>
        <w:pStyle w:val="Heading4NoNumbers"/>
        <w:rPr>
          <w:color w:val="008675"/>
          <w:lang w:eastAsia="en-US"/>
        </w:rPr>
      </w:pPr>
      <w:r w:rsidRPr="008C710A">
        <w:rPr>
          <w:color w:val="008675"/>
          <w:lang w:eastAsia="en-US"/>
        </w:rPr>
        <w:t xml:space="preserve">Relying </w:t>
      </w:r>
      <w:r w:rsidR="00B2504D" w:rsidRPr="008C710A">
        <w:rPr>
          <w:color w:val="008675"/>
          <w:lang w:eastAsia="en-US"/>
        </w:rPr>
        <w:t>p</w:t>
      </w:r>
      <w:r w:rsidRPr="008C710A">
        <w:rPr>
          <w:color w:val="008675"/>
          <w:lang w:eastAsia="en-US"/>
        </w:rPr>
        <w:t>arties</w:t>
      </w:r>
    </w:p>
    <w:p w14:paraId="4C187E48" w14:textId="782C0B36" w:rsidR="00E6232E" w:rsidRPr="000B7589" w:rsidRDefault="00E6232E" w:rsidP="00A156A5">
      <w:pPr>
        <w:pStyle w:val="BodyText"/>
        <w:rPr>
          <w:lang w:eastAsia="en-US"/>
        </w:rPr>
      </w:pPr>
      <w:r w:rsidRPr="000B7589">
        <w:rPr>
          <w:lang w:eastAsia="en-US"/>
        </w:rPr>
        <w:t xml:space="preserve">The status quo does not allow private sector entities to participate as </w:t>
      </w:r>
      <w:r w:rsidR="00F72DDB">
        <w:rPr>
          <w:lang w:eastAsia="en-US"/>
        </w:rPr>
        <w:t>r</w:t>
      </w:r>
      <w:r w:rsidRPr="000B7589">
        <w:rPr>
          <w:lang w:eastAsia="en-US"/>
        </w:rPr>
        <w:t xml:space="preserve">elying </w:t>
      </w:r>
      <w:r w:rsidR="00F72DDB">
        <w:rPr>
          <w:lang w:eastAsia="en-US"/>
        </w:rPr>
        <w:t>p</w:t>
      </w:r>
      <w:r w:rsidRPr="000B7589">
        <w:rPr>
          <w:lang w:eastAsia="en-US"/>
        </w:rPr>
        <w:t>arties. The legal rationale for this is outlined in</w:t>
      </w:r>
      <w:r w:rsidR="00560466">
        <w:rPr>
          <w:lang w:eastAsia="en-US"/>
        </w:rPr>
        <w:t xml:space="preserve"> </w:t>
      </w:r>
      <w:hyperlink w:anchor="section321" w:history="1">
        <w:r w:rsidR="002F5E9A" w:rsidRPr="008C710A">
          <w:rPr>
            <w:rStyle w:val="Hyperlink"/>
            <w:color w:val="008675"/>
            <w:lang w:eastAsia="en-US"/>
          </w:rPr>
          <w:t>Section 3.2.1 No legal basis for participation of non-Australian Government agencies as relying parties, nor for a charging framework</w:t>
        </w:r>
      </w:hyperlink>
      <w:r w:rsidR="002F5E9A" w:rsidRPr="009A303F">
        <w:rPr>
          <w:lang w:eastAsia="en-US"/>
        </w:rPr>
        <w:t>.</w:t>
      </w:r>
      <w:r w:rsidR="002F5E9A">
        <w:rPr>
          <w:lang w:eastAsia="en-US"/>
        </w:rPr>
        <w:t xml:space="preserve"> </w:t>
      </w:r>
      <w:r w:rsidRPr="000B7589">
        <w:rPr>
          <w:lang w:eastAsia="en-US"/>
        </w:rPr>
        <w:t xml:space="preserve">As a result, small, medium and large enterprises, who would otherwise </w:t>
      </w:r>
      <w:r w:rsidRPr="000B7589">
        <w:rPr>
          <w:lang w:eastAsia="en-US"/>
        </w:rPr>
        <w:lastRenderedPageBreak/>
        <w:t>seek to participate, forego all benefits expected to accrue under a dedicated regulatory scheme. These include:</w:t>
      </w:r>
    </w:p>
    <w:p w14:paraId="6608BB87" w14:textId="1FBC4FF5" w:rsidR="006127A3" w:rsidRDefault="009D4D65" w:rsidP="0017585B">
      <w:pPr>
        <w:pStyle w:val="ListBulletLevel1"/>
        <w:rPr>
          <w:rFonts w:eastAsia="Calibri"/>
          <w:lang w:eastAsia="en-US"/>
        </w:rPr>
      </w:pPr>
      <w:r>
        <w:rPr>
          <w:rFonts w:eastAsia="Calibri"/>
          <w:lang w:eastAsia="en-US"/>
        </w:rPr>
        <w:t>E</w:t>
      </w:r>
      <w:r w:rsidRPr="000B7589">
        <w:rPr>
          <w:rFonts w:eastAsia="Calibri"/>
          <w:lang w:eastAsia="en-US"/>
        </w:rPr>
        <w:t xml:space="preserve">fficiency </w:t>
      </w:r>
      <w:r w:rsidR="00E6232E" w:rsidRPr="000B7589">
        <w:rPr>
          <w:rFonts w:eastAsia="Calibri"/>
          <w:lang w:eastAsia="en-US"/>
        </w:rPr>
        <w:t xml:space="preserve">and </w:t>
      </w:r>
      <w:r w:rsidR="00762B99">
        <w:rPr>
          <w:rFonts w:eastAsia="Calibri"/>
          <w:lang w:eastAsia="en-US"/>
        </w:rPr>
        <w:t xml:space="preserve">potential for </w:t>
      </w:r>
      <w:r w:rsidR="00E6232E" w:rsidRPr="000B7589">
        <w:rPr>
          <w:rFonts w:eastAsia="Calibri"/>
          <w:lang w:eastAsia="en-US"/>
        </w:rPr>
        <w:t>productivity improvements associated with reduced manual handling of customer identification documents, reduced staff resourcing requirements associated with identity verification and increased speed of verification with other participating entities. These foregone benefits are potentially significant for many small and medium enterprises</w:t>
      </w:r>
      <w:r w:rsidR="0080017B">
        <w:rPr>
          <w:rFonts w:eastAsia="Calibri"/>
          <w:lang w:eastAsia="en-US"/>
        </w:rPr>
        <w:t xml:space="preserve"> that</w:t>
      </w:r>
      <w:r w:rsidR="00E6232E" w:rsidRPr="000B7589">
        <w:rPr>
          <w:rFonts w:eastAsia="Calibri"/>
          <w:lang w:eastAsia="en-US"/>
        </w:rPr>
        <w:t xml:space="preserve"> are heavily reliant on manual handling and staff resourcing to conduct business activities</w:t>
      </w:r>
      <w:r>
        <w:rPr>
          <w:rFonts w:eastAsia="Calibri"/>
          <w:lang w:eastAsia="en-US"/>
        </w:rPr>
        <w:t>.</w:t>
      </w:r>
    </w:p>
    <w:p w14:paraId="62B16C3E" w14:textId="36269065" w:rsidR="00E6232E" w:rsidRPr="000B7589" w:rsidRDefault="009D4D65" w:rsidP="0017585B">
      <w:pPr>
        <w:pStyle w:val="ListBulletLevel1"/>
        <w:rPr>
          <w:rFonts w:eastAsia="Calibri"/>
          <w:lang w:eastAsia="en-US"/>
        </w:rPr>
      </w:pPr>
      <w:r>
        <w:rPr>
          <w:rFonts w:eastAsia="Calibri"/>
          <w:lang w:eastAsia="en-US"/>
        </w:rPr>
        <w:t>N</w:t>
      </w:r>
      <w:r w:rsidR="006127A3">
        <w:rPr>
          <w:rFonts w:eastAsia="Calibri"/>
          <w:lang w:eastAsia="en-US"/>
        </w:rPr>
        <w:t xml:space="preserve">ew business opportunities available because of </w:t>
      </w:r>
      <w:r w:rsidR="000A4713">
        <w:rPr>
          <w:rFonts w:eastAsia="Calibri"/>
          <w:lang w:eastAsia="en-US"/>
        </w:rPr>
        <w:t>easy and cost-efficient access to verified attributes</w:t>
      </w:r>
      <w:r>
        <w:rPr>
          <w:rFonts w:eastAsia="Calibri"/>
          <w:lang w:eastAsia="en-US"/>
        </w:rPr>
        <w:t>.</w:t>
      </w:r>
    </w:p>
    <w:p w14:paraId="4B92696E" w14:textId="007E565A" w:rsidR="00E6232E" w:rsidRPr="000B7589" w:rsidRDefault="009D4D65" w:rsidP="0017585B">
      <w:pPr>
        <w:pStyle w:val="ListBulletLevel1"/>
        <w:rPr>
          <w:rFonts w:eastAsia="Calibri"/>
          <w:lang w:eastAsia="en-US"/>
        </w:rPr>
      </w:pPr>
      <w:r>
        <w:rPr>
          <w:rFonts w:eastAsia="Calibri"/>
          <w:lang w:eastAsia="en-US"/>
        </w:rPr>
        <w:t>R</w:t>
      </w:r>
      <w:r w:rsidR="00E6232E" w:rsidRPr="000B7589">
        <w:rPr>
          <w:rFonts w:eastAsia="Calibri"/>
          <w:lang w:eastAsia="en-US"/>
        </w:rPr>
        <w:t>educed instances of financial loss associated with customer fraud, as well as efficiencies gained through reduced investigation and prosecution of fraud events.</w:t>
      </w:r>
    </w:p>
    <w:p w14:paraId="4AE371CF" w14:textId="1B0AC31F" w:rsidR="00E6232E" w:rsidRPr="000B7589" w:rsidRDefault="00E6232E" w:rsidP="0017585B">
      <w:pPr>
        <w:pStyle w:val="BodyText"/>
        <w:rPr>
          <w:lang w:eastAsia="en-US"/>
        </w:rPr>
      </w:pPr>
      <w:r w:rsidRPr="000B7589">
        <w:rPr>
          <w:lang w:eastAsia="en-US"/>
        </w:rPr>
        <w:t>These foregone benefits are expected to represent the most significant share of indirect costs associated with maintaining the status quo.</w:t>
      </w:r>
    </w:p>
    <w:p w14:paraId="1291EBAB" w14:textId="09C35E24" w:rsidR="00E6232E" w:rsidRPr="000B7589" w:rsidRDefault="00E6232E" w:rsidP="0017585B">
      <w:pPr>
        <w:pStyle w:val="BodyText"/>
        <w:rPr>
          <w:lang w:eastAsia="en-US"/>
        </w:rPr>
      </w:pPr>
      <w:r w:rsidRPr="000B7589">
        <w:rPr>
          <w:b/>
          <w:bCs/>
          <w:color w:val="000000"/>
          <w:lang w:eastAsia="en-US"/>
        </w:rPr>
        <w:t>Assessment of net expected benefits:</w:t>
      </w:r>
      <w:r w:rsidRPr="000B7589">
        <w:rPr>
          <w:color w:val="000000"/>
          <w:lang w:eastAsia="en-US"/>
        </w:rPr>
        <w:t xml:space="preserve"> </w:t>
      </w:r>
      <w:r w:rsidRPr="000B7589">
        <w:rPr>
          <w:lang w:eastAsia="en-US"/>
        </w:rPr>
        <w:t>Under the status quo,</w:t>
      </w:r>
      <w:r w:rsidRPr="000B7589">
        <w:rPr>
          <w:color w:val="44546A"/>
          <w:lang w:eastAsia="en-US"/>
        </w:rPr>
        <w:t xml:space="preserve"> </w:t>
      </w:r>
      <w:r w:rsidRPr="000B7589">
        <w:rPr>
          <w:lang w:eastAsia="en-US"/>
        </w:rPr>
        <w:t xml:space="preserve">there are ongoing positive direct and indirect benefits for business users in terms of the efficiency and productivity gains. However, under this option, a significant </w:t>
      </w:r>
      <w:r w:rsidR="00884317">
        <w:rPr>
          <w:lang w:eastAsia="en-US"/>
        </w:rPr>
        <w:t>number</w:t>
      </w:r>
      <w:r w:rsidRPr="000B7589">
        <w:rPr>
          <w:lang w:eastAsia="en-US"/>
        </w:rPr>
        <w:t xml:space="preserve"> of businesses are unable to participate as </w:t>
      </w:r>
      <w:r w:rsidR="00F72DDB">
        <w:rPr>
          <w:lang w:eastAsia="en-US"/>
        </w:rPr>
        <w:t>r</w:t>
      </w:r>
      <w:r w:rsidRPr="000B7589">
        <w:rPr>
          <w:lang w:eastAsia="en-US"/>
        </w:rPr>
        <w:t xml:space="preserve">elying </w:t>
      </w:r>
      <w:r w:rsidR="00F72DDB">
        <w:rPr>
          <w:lang w:eastAsia="en-US"/>
        </w:rPr>
        <w:t>p</w:t>
      </w:r>
      <w:r w:rsidRPr="000B7589">
        <w:rPr>
          <w:lang w:eastAsia="en-US"/>
        </w:rPr>
        <w:t xml:space="preserve">arties or </w:t>
      </w:r>
      <w:r w:rsidR="00D95AF8">
        <w:rPr>
          <w:lang w:eastAsia="en-US"/>
        </w:rPr>
        <w:t>onboarded accredited entities</w:t>
      </w:r>
      <w:r w:rsidRPr="000B7589">
        <w:rPr>
          <w:lang w:eastAsia="en-US"/>
        </w:rPr>
        <w:t xml:space="preserve">. Those which may, in theory, participate lack the incentives to do so. If the status quo is maintained, the indirect costs for businesses are likely to be significant when comparing the status quo arrangement with the benefits available under a dedicated regulatory </w:t>
      </w:r>
      <w:r w:rsidR="00125A20">
        <w:rPr>
          <w:lang w:eastAsia="en-US"/>
        </w:rPr>
        <w:t>scheme</w:t>
      </w:r>
      <w:r w:rsidRPr="000B7589">
        <w:rPr>
          <w:lang w:eastAsia="en-US"/>
        </w:rPr>
        <w:t>. This means that on a relative comparison, the net expected benefits for business of the status quo are likely to be less than under other options.</w:t>
      </w:r>
    </w:p>
    <w:p w14:paraId="030AADF5" w14:textId="77777777" w:rsidR="00E6232E" w:rsidRPr="001F10FB" w:rsidRDefault="00E6232E" w:rsidP="00092119">
      <w:pPr>
        <w:pStyle w:val="Heading3NoNumbers"/>
        <w:rPr>
          <w:color w:val="008675"/>
          <w:lang w:eastAsia="en-US"/>
        </w:rPr>
      </w:pPr>
      <w:bookmarkStart w:id="393" w:name="_Toc80884685"/>
      <w:bookmarkStart w:id="394" w:name="_Toc84925810"/>
      <w:bookmarkStart w:id="395" w:name="_Toc86070027"/>
      <w:r w:rsidRPr="001F10FB">
        <w:rPr>
          <w:color w:val="008675"/>
          <w:lang w:eastAsia="en-US"/>
        </w:rPr>
        <w:t>7.1.3 Government</w:t>
      </w:r>
      <w:bookmarkEnd w:id="393"/>
      <w:bookmarkEnd w:id="394"/>
      <w:bookmarkEnd w:id="395"/>
    </w:p>
    <w:p w14:paraId="4BC03146" w14:textId="41222339" w:rsidR="00E6232E" w:rsidRPr="000B7589" w:rsidRDefault="00E6232E" w:rsidP="0017585B">
      <w:pPr>
        <w:pStyle w:val="BodyText"/>
        <w:rPr>
          <w:lang w:eastAsia="en-US"/>
        </w:rPr>
      </w:pPr>
      <w:r w:rsidRPr="000B7589">
        <w:rPr>
          <w:lang w:eastAsia="en-US"/>
        </w:rPr>
        <w:t>While continu</w:t>
      </w:r>
      <w:r w:rsidR="009D48D0">
        <w:rPr>
          <w:lang w:eastAsia="en-US"/>
        </w:rPr>
        <w:t>ing</w:t>
      </w:r>
      <w:r w:rsidRPr="000B7589">
        <w:rPr>
          <w:lang w:eastAsia="en-US"/>
        </w:rPr>
        <w:t xml:space="preserve"> the regulatory status quo arrangement may offer some certainty for government stakeholders, potential benefits may not be fully realised. In particular, the status quo may jeopardise the </w:t>
      </w:r>
      <w:r w:rsidR="007E1BC0">
        <w:rPr>
          <w:lang w:eastAsia="en-US"/>
        </w:rPr>
        <w:t>Australian Government</w:t>
      </w:r>
      <w:r w:rsidRPr="000B7589">
        <w:rPr>
          <w:lang w:eastAsia="en-US"/>
        </w:rPr>
        <w:t>’s commitment to ‘choice’ as a fundamental principle of</w:t>
      </w:r>
      <w:r w:rsidR="003243C0">
        <w:rPr>
          <w:lang w:eastAsia="en-US"/>
        </w:rPr>
        <w:t xml:space="preserve"> its approach to Digital ID expansion</w:t>
      </w:r>
      <w:r w:rsidRPr="000B7589">
        <w:rPr>
          <w:lang w:eastAsia="en-US"/>
        </w:rPr>
        <w:t xml:space="preserve">. Access to a pool of </w:t>
      </w:r>
      <w:r w:rsidR="007E1BC0">
        <w:rPr>
          <w:lang w:eastAsia="en-US"/>
        </w:rPr>
        <w:t>Australian Government</w:t>
      </w:r>
      <w:r w:rsidRPr="000B7589">
        <w:rPr>
          <w:lang w:eastAsia="en-US"/>
        </w:rPr>
        <w:t xml:space="preserve">-only services and a low number of </w:t>
      </w:r>
      <w:r w:rsidR="00B16E40">
        <w:rPr>
          <w:lang w:eastAsia="en-US"/>
        </w:rPr>
        <w:t>i</w:t>
      </w:r>
      <w:r w:rsidRPr="000B7589">
        <w:rPr>
          <w:lang w:eastAsia="en-US"/>
        </w:rPr>
        <w:t xml:space="preserve">dentity </w:t>
      </w:r>
      <w:r w:rsidR="00B16E40">
        <w:rPr>
          <w:lang w:eastAsia="en-US"/>
        </w:rPr>
        <w:t>p</w:t>
      </w:r>
      <w:r w:rsidRPr="000B7589">
        <w:rPr>
          <w:lang w:eastAsia="en-US"/>
        </w:rPr>
        <w:t xml:space="preserve">roviders </w:t>
      </w:r>
      <w:r w:rsidRPr="000B7589">
        <w:rPr>
          <w:lang w:eastAsia="en-US"/>
        </w:rPr>
        <w:lastRenderedPageBreak/>
        <w:t xml:space="preserve">means Australians’ ability to choose where and how they engage is inherently limited. </w:t>
      </w:r>
    </w:p>
    <w:p w14:paraId="272F16C9" w14:textId="5D6EE04C" w:rsidR="00E6232E" w:rsidRPr="000B7589" w:rsidRDefault="00E6232E" w:rsidP="0017585B">
      <w:pPr>
        <w:pStyle w:val="BodyText"/>
        <w:rPr>
          <w:lang w:eastAsia="en-US"/>
        </w:rPr>
      </w:pPr>
      <w:r w:rsidRPr="000B7589">
        <w:rPr>
          <w:lang w:eastAsia="en-US"/>
        </w:rPr>
        <w:t xml:space="preserve">Currently, </w:t>
      </w:r>
      <w:r w:rsidR="007E1BC0">
        <w:rPr>
          <w:lang w:eastAsia="en-US"/>
        </w:rPr>
        <w:t>Australian Government</w:t>
      </w:r>
      <w:r w:rsidR="007E1BC0" w:rsidRPr="000B7589" w:rsidDel="007E1BC0">
        <w:rPr>
          <w:lang w:eastAsia="en-US"/>
        </w:rPr>
        <w:t xml:space="preserve"> </w:t>
      </w:r>
      <w:r w:rsidRPr="000B7589">
        <w:rPr>
          <w:lang w:eastAsia="en-US"/>
        </w:rPr>
        <w:t xml:space="preserve">entities participating in </w:t>
      </w:r>
      <w:r w:rsidR="003243C0">
        <w:rPr>
          <w:lang w:eastAsia="en-US"/>
        </w:rPr>
        <w:t>AGDIS</w:t>
      </w:r>
      <w:r w:rsidRPr="000B7589">
        <w:rPr>
          <w:lang w:eastAsia="en-US"/>
        </w:rPr>
        <w:t xml:space="preserve"> benefit from increased efficiency of customer operations and productivity gains, arising from reduced manual handling. These benefits will endure for </w:t>
      </w:r>
      <w:r w:rsidR="000D1AC6">
        <w:rPr>
          <w:lang w:eastAsia="en-US"/>
        </w:rPr>
        <w:t>Government</w:t>
      </w:r>
      <w:r w:rsidR="000D1AC6" w:rsidRPr="000B7589" w:rsidDel="000D1AC6">
        <w:rPr>
          <w:lang w:eastAsia="en-US"/>
        </w:rPr>
        <w:t xml:space="preserve"> </w:t>
      </w:r>
      <w:r w:rsidR="00A913A2">
        <w:rPr>
          <w:lang w:eastAsia="en-US"/>
        </w:rPr>
        <w:t>agencies</w:t>
      </w:r>
      <w:r w:rsidR="00A913A2" w:rsidRPr="000B7589">
        <w:rPr>
          <w:lang w:eastAsia="en-US"/>
        </w:rPr>
        <w:t xml:space="preserve"> </w:t>
      </w:r>
      <w:r w:rsidRPr="000B7589">
        <w:rPr>
          <w:lang w:eastAsia="en-US"/>
        </w:rPr>
        <w:t>if the status quo arrangement were maintained.</w:t>
      </w:r>
    </w:p>
    <w:p w14:paraId="5489EB05" w14:textId="2D78BFA1" w:rsidR="00E6232E" w:rsidRPr="000B7589" w:rsidRDefault="00E6232E" w:rsidP="0017585B">
      <w:pPr>
        <w:pStyle w:val="BodyText"/>
        <w:rPr>
          <w:lang w:eastAsia="en-US"/>
        </w:rPr>
      </w:pPr>
      <w:r w:rsidRPr="000B7589">
        <w:rPr>
          <w:lang w:eastAsia="en-US"/>
        </w:rPr>
        <w:t>However, under the status quo, these benefits do not extend to state, territory or local governments. As such, with the exception</w:t>
      </w:r>
      <w:r w:rsidR="00661C30">
        <w:rPr>
          <w:lang w:eastAsia="en-US"/>
        </w:rPr>
        <w:t xml:space="preserve"> </w:t>
      </w:r>
      <w:r w:rsidRPr="000B7589">
        <w:rPr>
          <w:lang w:eastAsia="en-US"/>
        </w:rPr>
        <w:t xml:space="preserve">of current </w:t>
      </w:r>
      <w:r w:rsidR="000D1AC6">
        <w:rPr>
          <w:lang w:eastAsia="en-US"/>
        </w:rPr>
        <w:t>Government</w:t>
      </w:r>
      <w:r w:rsidRPr="000B7589">
        <w:rPr>
          <w:lang w:eastAsia="en-US"/>
        </w:rPr>
        <w:t xml:space="preserve"> participants, other levels of government forego similar benefits to private sector businesses, including:</w:t>
      </w:r>
    </w:p>
    <w:p w14:paraId="4A09FC07" w14:textId="0C5C5BFB" w:rsidR="00E6232E" w:rsidRPr="000B7589" w:rsidRDefault="00E6232E" w:rsidP="0017585B">
      <w:pPr>
        <w:pStyle w:val="ListBulletLevel1"/>
        <w:rPr>
          <w:rFonts w:eastAsia="Calibri"/>
          <w:lang w:eastAsia="en-US"/>
        </w:rPr>
      </w:pPr>
      <w:r w:rsidRPr="000B7589">
        <w:rPr>
          <w:rFonts w:eastAsia="Calibri"/>
          <w:lang w:eastAsia="en-US"/>
        </w:rPr>
        <w:t>improved efficiency of customer operations</w:t>
      </w:r>
    </w:p>
    <w:p w14:paraId="71384E9F" w14:textId="4E417384" w:rsidR="00CB17AF" w:rsidRDefault="00E6232E" w:rsidP="00CB17AF">
      <w:pPr>
        <w:pStyle w:val="ListBulletLevel1"/>
        <w:rPr>
          <w:rFonts w:eastAsia="Calibri"/>
          <w:lang w:eastAsia="en-US"/>
        </w:rPr>
      </w:pPr>
      <w:r w:rsidRPr="000B7589">
        <w:rPr>
          <w:rFonts w:eastAsia="Calibri"/>
          <w:lang w:eastAsia="en-US"/>
        </w:rPr>
        <w:t xml:space="preserve">reduced manual handling, resulting in time and cost savings </w:t>
      </w:r>
    </w:p>
    <w:p w14:paraId="7C1670E1" w14:textId="18ACBC4D" w:rsidR="00E6232E" w:rsidRPr="009E30E1" w:rsidRDefault="00CB17AF" w:rsidP="00CB17AF">
      <w:pPr>
        <w:pStyle w:val="ListBulletLevel1"/>
        <w:rPr>
          <w:rFonts w:eastAsia="Calibri"/>
          <w:lang w:eastAsia="en-US"/>
        </w:rPr>
      </w:pPr>
      <w:r>
        <w:rPr>
          <w:rFonts w:eastAsia="Calibri"/>
          <w:lang w:eastAsia="en-US"/>
        </w:rPr>
        <w:t xml:space="preserve">reduced time </w:t>
      </w:r>
      <w:r w:rsidR="00704311">
        <w:rPr>
          <w:rFonts w:eastAsia="Calibri"/>
          <w:lang w:eastAsia="en-US"/>
        </w:rPr>
        <w:t xml:space="preserve">and effort undertaking </w:t>
      </w:r>
      <w:r w:rsidR="00A424A7">
        <w:rPr>
          <w:rFonts w:eastAsia="Calibri"/>
          <w:lang w:eastAsia="en-US"/>
        </w:rPr>
        <w:t>‘</w:t>
      </w:r>
      <w:r w:rsidR="00704311">
        <w:rPr>
          <w:rFonts w:eastAsia="Calibri"/>
          <w:lang w:eastAsia="en-US"/>
        </w:rPr>
        <w:t>de-duplication</w:t>
      </w:r>
      <w:r w:rsidR="00A424A7">
        <w:rPr>
          <w:rFonts w:eastAsia="Calibri"/>
          <w:lang w:eastAsia="en-US"/>
        </w:rPr>
        <w:t>’</w:t>
      </w:r>
      <w:r w:rsidR="004C09F5">
        <w:rPr>
          <w:rFonts w:eastAsia="Calibri"/>
          <w:lang w:eastAsia="en-US"/>
        </w:rPr>
        <w:t xml:space="preserve"> </w:t>
      </w:r>
      <w:r w:rsidR="002A07F2">
        <w:rPr>
          <w:rFonts w:eastAsia="Calibri"/>
          <w:lang w:eastAsia="en-US"/>
        </w:rPr>
        <w:t xml:space="preserve">– reducing </w:t>
      </w:r>
      <w:r w:rsidR="00704311">
        <w:rPr>
          <w:rFonts w:eastAsia="Calibri"/>
          <w:lang w:eastAsia="en-US"/>
        </w:rPr>
        <w:t>the instances of duplicated entries within alternative identity systems</w:t>
      </w:r>
      <w:r w:rsidR="004C09F5">
        <w:rPr>
          <w:rFonts w:eastAsia="Calibri"/>
          <w:lang w:eastAsia="en-US"/>
        </w:rPr>
        <w:t xml:space="preserve"> (as this de-duplication would be automatically done by the </w:t>
      </w:r>
      <w:r w:rsidR="00813A5F">
        <w:rPr>
          <w:rFonts w:eastAsia="Calibri"/>
          <w:lang w:eastAsia="en-US"/>
        </w:rPr>
        <w:t>i</w:t>
      </w:r>
      <w:r w:rsidR="004C09F5">
        <w:rPr>
          <w:rFonts w:eastAsia="Calibri"/>
          <w:lang w:eastAsia="en-US"/>
        </w:rPr>
        <w:t xml:space="preserve">dentity </w:t>
      </w:r>
      <w:r w:rsidR="00813A5F">
        <w:rPr>
          <w:rFonts w:eastAsia="Calibri"/>
          <w:lang w:eastAsia="en-US"/>
        </w:rPr>
        <w:t>e</w:t>
      </w:r>
      <w:r w:rsidR="004C09F5">
        <w:rPr>
          <w:rFonts w:eastAsia="Calibri"/>
          <w:lang w:eastAsia="en-US"/>
        </w:rPr>
        <w:t>xchange under an expanded</w:t>
      </w:r>
      <w:r w:rsidR="003243C0">
        <w:rPr>
          <w:rFonts w:eastAsia="Calibri"/>
          <w:lang w:eastAsia="en-US"/>
        </w:rPr>
        <w:t xml:space="preserve"> approach to Digital ID</w:t>
      </w:r>
      <w:r w:rsidR="004C09F5" w:rsidRPr="009E30E1">
        <w:rPr>
          <w:rFonts w:eastAsia="Calibri"/>
          <w:lang w:eastAsia="en-US"/>
        </w:rPr>
        <w:t>)</w:t>
      </w:r>
    </w:p>
    <w:p w14:paraId="03F56DDD" w14:textId="6F11618E" w:rsidR="00E6232E" w:rsidRPr="009E30E1" w:rsidRDefault="00E6232E" w:rsidP="0017585B">
      <w:pPr>
        <w:pStyle w:val="ListBulletLevel1"/>
        <w:rPr>
          <w:rFonts w:eastAsia="Calibri"/>
          <w:lang w:eastAsia="en-US"/>
        </w:rPr>
      </w:pPr>
      <w:r w:rsidRPr="009E30E1">
        <w:rPr>
          <w:rFonts w:eastAsia="Calibri"/>
          <w:lang w:eastAsia="en-US"/>
        </w:rPr>
        <w:t>reduced instances of identity fraud resulting in the payment of benefits or supply of services to which people are not entitled.</w:t>
      </w:r>
    </w:p>
    <w:p w14:paraId="79847027" w14:textId="35C09630" w:rsidR="00E6232E" w:rsidRPr="000B7589" w:rsidRDefault="00E6232E" w:rsidP="0017585B">
      <w:pPr>
        <w:pStyle w:val="BodyText"/>
        <w:rPr>
          <w:lang w:eastAsia="en-US"/>
        </w:rPr>
      </w:pPr>
      <w:r w:rsidRPr="009E30E1">
        <w:rPr>
          <w:lang w:eastAsia="en-US"/>
        </w:rPr>
        <w:t xml:space="preserve">As government services increasingly move online, there is a growing need for digital options to verify identity. A lack of such options undermines the service experience and efficiency gains associated with digital delivery of </w:t>
      </w:r>
      <w:r w:rsidR="000D1AC6">
        <w:rPr>
          <w:lang w:eastAsia="en-US"/>
        </w:rPr>
        <w:t>G</w:t>
      </w:r>
      <w:r w:rsidR="000D1AC6" w:rsidRPr="009E30E1">
        <w:rPr>
          <w:lang w:eastAsia="en-US"/>
        </w:rPr>
        <w:t xml:space="preserve">overnment </w:t>
      </w:r>
      <w:r w:rsidRPr="009E30E1">
        <w:rPr>
          <w:lang w:eastAsia="en-US"/>
        </w:rPr>
        <w:t xml:space="preserve">services. </w:t>
      </w:r>
      <w:r w:rsidR="007573B2">
        <w:rPr>
          <w:lang w:eastAsia="en-US"/>
        </w:rPr>
        <w:t>If</w:t>
      </w:r>
      <w:r w:rsidRPr="009E30E1">
        <w:rPr>
          <w:lang w:eastAsia="en-US"/>
        </w:rPr>
        <w:t xml:space="preserve"> state, territory and local governments are unable to participate, it is likely that alternative solutions will need to be developed by individual jurisdictions – at significant time and cost impost. Therefore, the status quo imposes potential indirect costs on these levels of government, by requiring them to establish and invest in alternative identity verification solutions.</w:t>
      </w:r>
    </w:p>
    <w:p w14:paraId="68CF8333" w14:textId="0A13F94E" w:rsidR="00E6232E" w:rsidRPr="000B7589" w:rsidRDefault="00E6232E" w:rsidP="0017585B">
      <w:pPr>
        <w:pStyle w:val="BodyText"/>
        <w:rPr>
          <w:lang w:eastAsia="en-US"/>
        </w:rPr>
      </w:pPr>
      <w:r w:rsidRPr="000B7589">
        <w:rPr>
          <w:b/>
          <w:bCs/>
          <w:color w:val="000000"/>
          <w:lang w:eastAsia="en-US"/>
        </w:rPr>
        <w:t>Assessment of net expected benefits:</w:t>
      </w:r>
      <w:r w:rsidRPr="000B7589">
        <w:rPr>
          <w:color w:val="000000"/>
          <w:lang w:eastAsia="en-US"/>
        </w:rPr>
        <w:t xml:space="preserve"> </w:t>
      </w:r>
      <w:r w:rsidRPr="000B7589">
        <w:rPr>
          <w:lang w:eastAsia="en-US"/>
        </w:rPr>
        <w:t xml:space="preserve">The benefits currently conferred on </w:t>
      </w:r>
      <w:r w:rsidR="000D1AC6">
        <w:rPr>
          <w:lang w:eastAsia="en-US"/>
        </w:rPr>
        <w:t>Australian Government</w:t>
      </w:r>
      <w:r w:rsidR="000D1AC6" w:rsidRPr="000B7589" w:rsidDel="000D1AC6">
        <w:rPr>
          <w:lang w:eastAsia="en-US"/>
        </w:rPr>
        <w:t xml:space="preserve"> </w:t>
      </w:r>
      <w:r w:rsidR="004F51AC">
        <w:rPr>
          <w:lang w:eastAsia="en-US"/>
        </w:rPr>
        <w:t>agencies</w:t>
      </w:r>
      <w:r w:rsidR="004F51AC" w:rsidRPr="000B7589">
        <w:rPr>
          <w:lang w:eastAsia="en-US"/>
        </w:rPr>
        <w:t xml:space="preserve"> </w:t>
      </w:r>
      <w:r w:rsidRPr="000B7589">
        <w:rPr>
          <w:lang w:eastAsia="en-US"/>
        </w:rPr>
        <w:t xml:space="preserve">are expected to offset the foregone benefits and indirect costs associated with the status quo option </w:t>
      </w:r>
      <w:r w:rsidR="00644810" w:rsidRPr="000B7589">
        <w:rPr>
          <w:lang w:eastAsia="en-US"/>
        </w:rPr>
        <w:t>for state</w:t>
      </w:r>
      <w:r w:rsidRPr="000B7589">
        <w:rPr>
          <w:lang w:eastAsia="en-US"/>
        </w:rPr>
        <w:t>, territory and local governments. However, the larger number of sub-national government entities and higher combined volume of transactions means the foregone benefits of an option that does not allow system expansion are still considered significant.</w:t>
      </w:r>
    </w:p>
    <w:p w14:paraId="7BE91F41" w14:textId="2325F1DE" w:rsidR="00E6232E" w:rsidRPr="008D5459" w:rsidRDefault="00E6232E" w:rsidP="00092119">
      <w:pPr>
        <w:pStyle w:val="Heading3NoNumbers"/>
        <w:rPr>
          <w:color w:val="008675"/>
          <w:lang w:eastAsia="en-US"/>
        </w:rPr>
      </w:pPr>
      <w:bookmarkStart w:id="396" w:name="_Toc80884686"/>
      <w:bookmarkStart w:id="397" w:name="_Toc84925811"/>
      <w:bookmarkStart w:id="398" w:name="_Toc86070028"/>
      <w:r w:rsidRPr="008D5459">
        <w:rPr>
          <w:color w:val="008675"/>
          <w:lang w:eastAsia="en-US"/>
        </w:rPr>
        <w:lastRenderedPageBreak/>
        <w:t>7.1.4 Community</w:t>
      </w:r>
      <w:bookmarkEnd w:id="396"/>
      <w:bookmarkEnd w:id="397"/>
      <w:bookmarkEnd w:id="398"/>
    </w:p>
    <w:p w14:paraId="3960F7C0" w14:textId="3B4FE1CE" w:rsidR="00E6232E" w:rsidRPr="000B7589" w:rsidRDefault="00E6232E" w:rsidP="0017585B">
      <w:pPr>
        <w:pStyle w:val="BodyText"/>
        <w:rPr>
          <w:lang w:eastAsia="en-US"/>
        </w:rPr>
      </w:pPr>
      <w:r w:rsidRPr="000B7589">
        <w:rPr>
          <w:lang w:eastAsia="en-US"/>
        </w:rPr>
        <w:t xml:space="preserve">Under the status quo, community stakeholders derive limited benefits, as they are largely excluded from participation. As with businesses and government entities </w:t>
      </w:r>
      <w:r w:rsidR="00B30FCF">
        <w:rPr>
          <w:lang w:eastAsia="en-US"/>
        </w:rPr>
        <w:t>that</w:t>
      </w:r>
      <w:r w:rsidRPr="000B7589">
        <w:rPr>
          <w:lang w:eastAsia="en-US"/>
        </w:rPr>
        <w:t xml:space="preserve"> may participate as </w:t>
      </w:r>
      <w:r w:rsidR="00F72DDB">
        <w:rPr>
          <w:lang w:eastAsia="en-US"/>
        </w:rPr>
        <w:t>r</w:t>
      </w:r>
      <w:r w:rsidRPr="000B7589">
        <w:rPr>
          <w:lang w:eastAsia="en-US"/>
        </w:rPr>
        <w:t xml:space="preserve">elying </w:t>
      </w:r>
      <w:r w:rsidR="00F72DDB">
        <w:rPr>
          <w:lang w:eastAsia="en-US"/>
        </w:rPr>
        <w:t>p</w:t>
      </w:r>
      <w:r w:rsidRPr="000B7589">
        <w:rPr>
          <w:lang w:eastAsia="en-US"/>
        </w:rPr>
        <w:t>arties, community sector organisations face foregone benefits, including:</w:t>
      </w:r>
    </w:p>
    <w:p w14:paraId="580D5365" w14:textId="5EC2FA31" w:rsidR="00E6232E" w:rsidRPr="000B7589" w:rsidRDefault="00E6232E" w:rsidP="0017585B">
      <w:pPr>
        <w:pStyle w:val="ListBulletLevel1"/>
        <w:rPr>
          <w:rFonts w:eastAsia="Calibri"/>
          <w:lang w:eastAsia="en-US"/>
        </w:rPr>
      </w:pPr>
      <w:r w:rsidRPr="000B7589">
        <w:rPr>
          <w:rFonts w:eastAsia="Calibri"/>
          <w:lang w:eastAsia="en-US"/>
        </w:rPr>
        <w:t>improved efficiency of customer operations and reduced manual handling</w:t>
      </w:r>
      <w:r w:rsidR="007859A9">
        <w:rPr>
          <w:rFonts w:eastAsia="Calibri"/>
          <w:lang w:eastAsia="en-US"/>
        </w:rPr>
        <w:t>.</w:t>
      </w:r>
    </w:p>
    <w:p w14:paraId="124530F2" w14:textId="79FA23AF" w:rsidR="00E6232E" w:rsidRDefault="00E6232E" w:rsidP="0017585B">
      <w:pPr>
        <w:pStyle w:val="ListBulletLevel1"/>
        <w:rPr>
          <w:rFonts w:eastAsia="Calibri"/>
          <w:lang w:eastAsia="en-US"/>
        </w:rPr>
      </w:pPr>
      <w:r w:rsidRPr="000B7589">
        <w:rPr>
          <w:rFonts w:eastAsia="Calibri"/>
          <w:lang w:eastAsia="en-US"/>
        </w:rPr>
        <w:t>reduced instances of identity fraud resulting in the supply of services or goods to which people are not entitled.</w:t>
      </w:r>
    </w:p>
    <w:p w14:paraId="037372EF" w14:textId="5995C2A0" w:rsidR="00E6232E" w:rsidRPr="000B7589" w:rsidRDefault="00E6232E" w:rsidP="0017585B">
      <w:pPr>
        <w:pStyle w:val="BodyText"/>
        <w:rPr>
          <w:lang w:eastAsia="en-US"/>
        </w:rPr>
      </w:pPr>
      <w:r w:rsidRPr="000B7589">
        <w:rPr>
          <w:lang w:eastAsia="en-US"/>
        </w:rPr>
        <w:t>As entities engaged in charitable or not-for-profit activities, community organisations may in fact benefit more significantly from the above efficiencies than their counterparts in the for-profit sector, and conversely are more adversely impacted by foregoing these benefits.</w:t>
      </w:r>
    </w:p>
    <w:p w14:paraId="7F0CE515" w14:textId="22466092" w:rsidR="00E6232E" w:rsidRPr="000B7589" w:rsidRDefault="00E6232E" w:rsidP="0017585B">
      <w:pPr>
        <w:pStyle w:val="BodyText"/>
        <w:rPr>
          <w:lang w:eastAsia="en-US"/>
        </w:rPr>
      </w:pPr>
      <w:r w:rsidRPr="000B7589">
        <w:rPr>
          <w:lang w:eastAsia="en-US"/>
        </w:rPr>
        <w:t xml:space="preserve">The benefits accruing to the broader Australian community largely relate to trust and confidence. If Australians collectively trust </w:t>
      </w:r>
      <w:r w:rsidR="00446405">
        <w:rPr>
          <w:lang w:eastAsia="en-US"/>
        </w:rPr>
        <w:t>AGDIS</w:t>
      </w:r>
      <w:r w:rsidRPr="000B7589">
        <w:rPr>
          <w:lang w:eastAsia="en-US"/>
        </w:rPr>
        <w:t xml:space="preserve"> and have confidence that it will support their privacy, autonomy and control, they are more likely to participate as </w:t>
      </w:r>
      <w:r w:rsidR="00BF1933">
        <w:rPr>
          <w:lang w:eastAsia="en-US"/>
        </w:rPr>
        <w:t>u</w:t>
      </w:r>
      <w:r w:rsidR="00BF1933" w:rsidRPr="000B7589">
        <w:rPr>
          <w:lang w:eastAsia="en-US"/>
        </w:rPr>
        <w:t>sers</w:t>
      </w:r>
      <w:r w:rsidRPr="000B7589">
        <w:rPr>
          <w:lang w:eastAsia="en-US"/>
        </w:rPr>
        <w:t>, leading to collective economy-wide benefits. Under the status quo, the protections and provisions of the TDIF are not leg</w:t>
      </w:r>
      <w:r w:rsidR="000A71EE">
        <w:rPr>
          <w:lang w:eastAsia="en-US"/>
        </w:rPr>
        <w:t>islatively enforceable</w:t>
      </w:r>
      <w:r w:rsidRPr="000B7589">
        <w:rPr>
          <w:lang w:eastAsia="en-US"/>
        </w:rPr>
        <w:t>, nor are they overseen by a permanent governance authority with leg</w:t>
      </w:r>
      <w:r w:rsidR="001D45DD">
        <w:rPr>
          <w:lang w:eastAsia="en-US"/>
        </w:rPr>
        <w:t>islative</w:t>
      </w:r>
      <w:r w:rsidRPr="000B7589">
        <w:rPr>
          <w:lang w:eastAsia="en-US"/>
        </w:rPr>
        <w:t xml:space="preserve"> functions and powers. This arrangement is less likely to support strong community trust and confidence in integrity and safeguards, than (by comparison) the dedicated regulatory scheme option. Option 3 also offers enhanced protections beyond those currently included in the TDIF and existing privacy legislation (for example, in relation to biometrics and commercialisation of data). These are entirely foregone under the status quo.</w:t>
      </w:r>
    </w:p>
    <w:p w14:paraId="5721CD85" w14:textId="280340C2" w:rsidR="00934950" w:rsidRPr="00715955" w:rsidRDefault="00E6232E" w:rsidP="0017585B">
      <w:pPr>
        <w:pStyle w:val="BodyText"/>
        <w:rPr>
          <w:lang w:eastAsia="en-US"/>
        </w:rPr>
      </w:pPr>
      <w:r w:rsidRPr="000B7589">
        <w:rPr>
          <w:b/>
          <w:bCs/>
          <w:color w:val="000000"/>
          <w:lang w:eastAsia="en-US"/>
        </w:rPr>
        <w:t>Assessment of net expected benefits:</w:t>
      </w:r>
      <w:r w:rsidRPr="000B7589">
        <w:rPr>
          <w:color w:val="000000"/>
          <w:lang w:eastAsia="en-US"/>
        </w:rPr>
        <w:t xml:space="preserve"> </w:t>
      </w:r>
      <w:r w:rsidR="001D45DD">
        <w:rPr>
          <w:color w:val="000000"/>
          <w:lang w:eastAsia="en-US"/>
        </w:rPr>
        <w:t>C</w:t>
      </w:r>
      <w:r w:rsidRPr="000B7589">
        <w:rPr>
          <w:lang w:eastAsia="en-US"/>
        </w:rPr>
        <w:t xml:space="preserve">ompared to an expanded </w:t>
      </w:r>
      <w:r w:rsidR="00446405">
        <w:rPr>
          <w:lang w:eastAsia="en-US"/>
        </w:rPr>
        <w:t xml:space="preserve">AGDIS </w:t>
      </w:r>
      <w:r w:rsidRPr="000B7589">
        <w:rPr>
          <w:lang w:eastAsia="en-US"/>
        </w:rPr>
        <w:t xml:space="preserve">underpinned by regulation, community organisations and the community as a whole incur substantial foregone benefits (such as efficiencies for community organisations seeking to become </w:t>
      </w:r>
      <w:r w:rsidR="00F72DDB">
        <w:rPr>
          <w:lang w:eastAsia="en-US"/>
        </w:rPr>
        <w:t>r</w:t>
      </w:r>
      <w:r w:rsidRPr="000B7589">
        <w:rPr>
          <w:lang w:eastAsia="en-US"/>
        </w:rPr>
        <w:t xml:space="preserve">elying </w:t>
      </w:r>
      <w:r w:rsidR="00F72DDB">
        <w:rPr>
          <w:lang w:eastAsia="en-US"/>
        </w:rPr>
        <w:t>p</w:t>
      </w:r>
      <w:r w:rsidRPr="000B7589">
        <w:rPr>
          <w:lang w:eastAsia="en-US"/>
        </w:rPr>
        <w:t>arties, as well as strengthened trust and confidence).</w:t>
      </w:r>
    </w:p>
    <w:p w14:paraId="73889FDA" w14:textId="2B97EF66" w:rsidR="00E6232E" w:rsidRPr="00660A6D" w:rsidRDefault="00E6232E" w:rsidP="00092119">
      <w:pPr>
        <w:pStyle w:val="Heading2NoNumbers"/>
        <w:rPr>
          <w:color w:val="008675"/>
          <w:lang w:eastAsia="en-US"/>
        </w:rPr>
      </w:pPr>
      <w:bookmarkStart w:id="399" w:name="_Toc80884687"/>
      <w:bookmarkStart w:id="400" w:name="_Toc81226639"/>
      <w:bookmarkStart w:id="401" w:name="_Toc81226915"/>
      <w:bookmarkStart w:id="402" w:name="_Toc81228259"/>
      <w:bookmarkStart w:id="403" w:name="_Toc83951202"/>
      <w:bookmarkStart w:id="404" w:name="_Toc84925812"/>
      <w:bookmarkStart w:id="405" w:name="_Toc84925900"/>
      <w:bookmarkStart w:id="406" w:name="_Toc86045144"/>
      <w:bookmarkStart w:id="407" w:name="_Toc86070029"/>
      <w:bookmarkStart w:id="408" w:name="_Toc149740347"/>
      <w:r w:rsidRPr="00660A6D">
        <w:rPr>
          <w:color w:val="008675"/>
          <w:lang w:eastAsia="en-US"/>
        </w:rPr>
        <w:t xml:space="preserve">7.2 Regulatory </w:t>
      </w:r>
      <w:r w:rsidR="00B2504D" w:rsidRPr="00660A6D">
        <w:rPr>
          <w:color w:val="008675"/>
          <w:lang w:eastAsia="en-US"/>
        </w:rPr>
        <w:t>i</w:t>
      </w:r>
      <w:r w:rsidRPr="00660A6D">
        <w:rPr>
          <w:color w:val="008675"/>
          <w:lang w:eastAsia="en-US"/>
        </w:rPr>
        <w:t>mpacts</w:t>
      </w:r>
      <w:bookmarkEnd w:id="399"/>
      <w:bookmarkEnd w:id="400"/>
      <w:bookmarkEnd w:id="401"/>
      <w:bookmarkEnd w:id="402"/>
      <w:bookmarkEnd w:id="403"/>
      <w:bookmarkEnd w:id="404"/>
      <w:bookmarkEnd w:id="405"/>
      <w:bookmarkEnd w:id="406"/>
      <w:bookmarkEnd w:id="407"/>
      <w:bookmarkEnd w:id="408"/>
    </w:p>
    <w:p w14:paraId="5B696208" w14:textId="28941052" w:rsidR="00E6232E" w:rsidRPr="000B7589" w:rsidRDefault="00E6232E" w:rsidP="00EC18E7">
      <w:pPr>
        <w:pStyle w:val="BodyText"/>
        <w:rPr>
          <w:lang w:eastAsia="en-US"/>
        </w:rPr>
      </w:pPr>
      <w:r w:rsidRPr="000B7589">
        <w:rPr>
          <w:lang w:eastAsia="en-US"/>
        </w:rPr>
        <w:t xml:space="preserve">As the status quo envisages that </w:t>
      </w:r>
      <w:r w:rsidR="00446405">
        <w:rPr>
          <w:lang w:eastAsia="en-US"/>
        </w:rPr>
        <w:t>AGDIS</w:t>
      </w:r>
      <w:r w:rsidRPr="000B7589">
        <w:rPr>
          <w:lang w:eastAsia="en-US"/>
        </w:rPr>
        <w:t xml:space="preserve"> continue</w:t>
      </w:r>
      <w:r w:rsidR="00BD27B9">
        <w:rPr>
          <w:lang w:eastAsia="en-US"/>
        </w:rPr>
        <w:t>s</w:t>
      </w:r>
      <w:r w:rsidRPr="000B7589">
        <w:rPr>
          <w:lang w:eastAsia="en-US"/>
        </w:rPr>
        <w:t xml:space="preserve"> operating with no dedicated legislative or regulatory framework, </w:t>
      </w:r>
      <w:r w:rsidR="008D5C20">
        <w:rPr>
          <w:lang w:eastAsia="en-US"/>
        </w:rPr>
        <w:t xml:space="preserve">it presents no regulatory </w:t>
      </w:r>
      <w:r w:rsidRPr="000B7589">
        <w:rPr>
          <w:lang w:eastAsia="en-US"/>
        </w:rPr>
        <w:t>impact.</w:t>
      </w:r>
      <w:r w:rsidR="00737BA2">
        <w:rPr>
          <w:lang w:eastAsia="en-US"/>
        </w:rPr>
        <w:t xml:space="preserve"> </w:t>
      </w:r>
      <w:r w:rsidRPr="000B7589">
        <w:rPr>
          <w:lang w:eastAsia="en-US"/>
        </w:rPr>
        <w:t xml:space="preserve">Even if there </w:t>
      </w:r>
      <w:r w:rsidRPr="000B7589">
        <w:rPr>
          <w:lang w:eastAsia="en-US"/>
        </w:rPr>
        <w:lastRenderedPageBreak/>
        <w:t>were</w:t>
      </w:r>
      <w:r w:rsidR="00CF018E">
        <w:rPr>
          <w:lang w:eastAsia="en-US"/>
        </w:rPr>
        <w:t>,</w:t>
      </w:r>
      <w:r w:rsidRPr="000B7589">
        <w:rPr>
          <w:lang w:eastAsia="en-US"/>
        </w:rPr>
        <w:t xml:space="preserve"> the ongoing restrictions on non-</w:t>
      </w:r>
      <w:r w:rsidR="00660A6D">
        <w:rPr>
          <w:lang w:eastAsia="en-US"/>
        </w:rPr>
        <w:t xml:space="preserve">Commonwealth </w:t>
      </w:r>
      <w:r w:rsidRPr="000B7589">
        <w:rPr>
          <w:lang w:eastAsia="en-US"/>
        </w:rPr>
        <w:t xml:space="preserve">involvement under this option means that </w:t>
      </w:r>
      <w:r w:rsidR="008D5C20">
        <w:rPr>
          <w:lang w:eastAsia="en-US"/>
        </w:rPr>
        <w:t>such regulation</w:t>
      </w:r>
      <w:r w:rsidRPr="000B7589">
        <w:rPr>
          <w:lang w:eastAsia="en-US"/>
        </w:rPr>
        <w:t xml:space="preserve"> would not be imposed upon the private sector (business, community or individuals). In the following sections, this current state is treated as the </w:t>
      </w:r>
      <w:r w:rsidR="001D0487">
        <w:rPr>
          <w:lang w:eastAsia="en-US"/>
        </w:rPr>
        <w:t>‘</w:t>
      </w:r>
      <w:r w:rsidRPr="000B7589">
        <w:rPr>
          <w:lang w:eastAsia="en-US"/>
        </w:rPr>
        <w:t>baseline</w:t>
      </w:r>
      <w:r w:rsidR="001D0487">
        <w:rPr>
          <w:lang w:eastAsia="en-US"/>
        </w:rPr>
        <w:t>’</w:t>
      </w:r>
      <w:r w:rsidRPr="000B7589">
        <w:rPr>
          <w:lang w:eastAsia="en-US"/>
        </w:rPr>
        <w:t xml:space="preserve"> against which the potential regulatory impact of Options 2 and 3 are expressed. </w:t>
      </w:r>
    </w:p>
    <w:p w14:paraId="74E2C636" w14:textId="13ACDAE5" w:rsidR="00E6232E" w:rsidRPr="00BC52C0" w:rsidRDefault="00E6232E" w:rsidP="00092119">
      <w:pPr>
        <w:pStyle w:val="Heading2NoNumbers"/>
        <w:rPr>
          <w:color w:val="008675"/>
          <w:lang w:eastAsia="en-US"/>
        </w:rPr>
      </w:pPr>
      <w:bookmarkStart w:id="409" w:name="_Toc80884688"/>
      <w:bookmarkStart w:id="410" w:name="_Toc81226640"/>
      <w:bookmarkStart w:id="411" w:name="_Toc81226916"/>
      <w:bookmarkStart w:id="412" w:name="_Toc81228260"/>
      <w:bookmarkStart w:id="413" w:name="_Toc83951203"/>
      <w:bookmarkStart w:id="414" w:name="_Toc84925813"/>
      <w:bookmarkStart w:id="415" w:name="_Toc84925901"/>
      <w:bookmarkStart w:id="416" w:name="_Toc86045145"/>
      <w:bookmarkStart w:id="417" w:name="_Toc86070030"/>
      <w:bookmarkStart w:id="418" w:name="_Toc149740348"/>
      <w:r w:rsidRPr="00BC52C0">
        <w:rPr>
          <w:color w:val="008675"/>
          <w:lang w:eastAsia="en-US"/>
        </w:rPr>
        <w:t xml:space="preserve">7.3 Likely </w:t>
      </w:r>
      <w:r w:rsidR="00B2504D" w:rsidRPr="00BC52C0">
        <w:rPr>
          <w:color w:val="008675"/>
          <w:lang w:eastAsia="en-US"/>
        </w:rPr>
        <w:t>n</w:t>
      </w:r>
      <w:r w:rsidRPr="00BC52C0">
        <w:rPr>
          <w:color w:val="008675"/>
          <w:lang w:eastAsia="en-US"/>
        </w:rPr>
        <w:t xml:space="preserve">et </w:t>
      </w:r>
      <w:r w:rsidR="00B2504D" w:rsidRPr="00BC52C0">
        <w:rPr>
          <w:color w:val="008675"/>
          <w:lang w:eastAsia="en-US"/>
        </w:rPr>
        <w:t>b</w:t>
      </w:r>
      <w:r w:rsidRPr="00BC52C0">
        <w:rPr>
          <w:color w:val="008675"/>
          <w:lang w:eastAsia="en-US"/>
        </w:rPr>
        <w:t>enefit</w:t>
      </w:r>
      <w:bookmarkEnd w:id="409"/>
      <w:bookmarkEnd w:id="410"/>
      <w:bookmarkEnd w:id="411"/>
      <w:bookmarkEnd w:id="412"/>
      <w:bookmarkEnd w:id="413"/>
      <w:bookmarkEnd w:id="414"/>
      <w:bookmarkEnd w:id="415"/>
      <w:bookmarkEnd w:id="416"/>
      <w:bookmarkEnd w:id="417"/>
      <w:bookmarkEnd w:id="418"/>
      <w:r w:rsidRPr="00BC52C0">
        <w:rPr>
          <w:color w:val="008675"/>
          <w:lang w:eastAsia="en-US"/>
        </w:rPr>
        <w:t xml:space="preserve"> </w:t>
      </w:r>
    </w:p>
    <w:p w14:paraId="3ADB08BE" w14:textId="635F33B5" w:rsidR="00E6232E" w:rsidRPr="000B7589" w:rsidRDefault="00E6232E" w:rsidP="00EC18E7">
      <w:pPr>
        <w:pStyle w:val="BodyText"/>
        <w:rPr>
          <w:lang w:eastAsia="en-US"/>
        </w:rPr>
      </w:pPr>
      <w:r w:rsidRPr="000B7589">
        <w:rPr>
          <w:lang w:eastAsia="en-US"/>
        </w:rPr>
        <w:t xml:space="preserve">As described </w:t>
      </w:r>
      <w:r w:rsidRPr="00BC52C0">
        <w:rPr>
          <w:lang w:eastAsia="en-US"/>
        </w:rPr>
        <w:t>in</w:t>
      </w:r>
      <w:r w:rsidR="003C5DC6" w:rsidRPr="00BC52C0">
        <w:rPr>
          <w:lang w:eastAsia="en-US"/>
        </w:rPr>
        <w:t xml:space="preserve"> </w:t>
      </w:r>
      <w:r w:rsidR="006361CE" w:rsidRPr="00BC52C0">
        <w:rPr>
          <w:color w:val="008675"/>
          <w:lang w:eastAsia="en-US"/>
        </w:rPr>
        <w:t xml:space="preserve">Section </w:t>
      </w:r>
      <w:r w:rsidR="007201B5" w:rsidRPr="00BC52C0">
        <w:rPr>
          <w:color w:val="008675"/>
          <w:lang w:eastAsia="en-US"/>
        </w:rPr>
        <w:fldChar w:fldCharType="begin"/>
      </w:r>
      <w:r w:rsidR="007201B5" w:rsidRPr="00BC52C0">
        <w:rPr>
          <w:color w:val="008675"/>
          <w:lang w:eastAsia="en-US"/>
        </w:rPr>
        <w:instrText xml:space="preserve"> REF _Ref65150380 \h </w:instrText>
      </w:r>
      <w:r w:rsidR="00BC52C0" w:rsidRPr="00BC52C0">
        <w:rPr>
          <w:color w:val="008675"/>
          <w:lang w:eastAsia="en-US"/>
        </w:rPr>
        <w:instrText xml:space="preserve"> \* MERGEFORMAT </w:instrText>
      </w:r>
      <w:r w:rsidR="007201B5" w:rsidRPr="00BC52C0">
        <w:rPr>
          <w:color w:val="008675"/>
          <w:lang w:eastAsia="en-US"/>
        </w:rPr>
      </w:r>
      <w:r w:rsidR="007201B5" w:rsidRPr="00BC52C0">
        <w:rPr>
          <w:color w:val="008675"/>
          <w:lang w:eastAsia="en-US"/>
        </w:rPr>
        <w:fldChar w:fldCharType="separate"/>
      </w:r>
      <w:r w:rsidR="007201B5" w:rsidRPr="00BC52C0">
        <w:rPr>
          <w:color w:val="008675"/>
          <w:lang w:eastAsia="en-US"/>
        </w:rPr>
        <w:t xml:space="preserve">2.4 Benefits and value </w:t>
      </w:r>
      <w:proofErr w:type="gramStart"/>
      <w:r w:rsidR="007201B5" w:rsidRPr="00BC52C0">
        <w:rPr>
          <w:color w:val="008675"/>
          <w:lang w:eastAsia="en-US"/>
        </w:rPr>
        <w:t xml:space="preserve">of </w:t>
      </w:r>
      <w:r w:rsidR="00BC52C0" w:rsidRPr="00BC52C0">
        <w:rPr>
          <w:color w:val="008675"/>
          <w:lang w:eastAsia="en-US"/>
        </w:rPr>
        <w:t xml:space="preserve"> Digital</w:t>
      </w:r>
      <w:proofErr w:type="gramEnd"/>
      <w:r w:rsidR="00BC52C0" w:rsidRPr="00BC52C0">
        <w:rPr>
          <w:color w:val="008675"/>
          <w:lang w:eastAsia="en-US"/>
        </w:rPr>
        <w:t xml:space="preserve"> ID System for stakeholders</w:t>
      </w:r>
      <w:r w:rsidR="007201B5" w:rsidRPr="00BC52C0">
        <w:rPr>
          <w:color w:val="008675"/>
          <w:lang w:eastAsia="en-US"/>
        </w:rPr>
        <w:fldChar w:fldCharType="end"/>
      </w:r>
      <w:r w:rsidRPr="00BC52C0">
        <w:rPr>
          <w:color w:val="008675"/>
          <w:lang w:eastAsia="en-US"/>
        </w:rPr>
        <w:t>,</w:t>
      </w:r>
      <w:r w:rsidRPr="00BC52C0">
        <w:rPr>
          <w:lang w:eastAsia="en-US"/>
        </w:rPr>
        <w:t xml:space="preserve"> the status</w:t>
      </w:r>
      <w:r w:rsidRPr="000B7589">
        <w:rPr>
          <w:lang w:eastAsia="en-US"/>
        </w:rPr>
        <w:t xml:space="preserve"> quo arrangement continues to confer notable benefits on current </w:t>
      </w:r>
      <w:r w:rsidR="00BF1933">
        <w:rPr>
          <w:lang w:eastAsia="en-US"/>
        </w:rPr>
        <w:t>Australian Government</w:t>
      </w:r>
      <w:r w:rsidR="00BF1933" w:rsidRPr="000B7589" w:rsidDel="00BF1933">
        <w:rPr>
          <w:lang w:eastAsia="en-US"/>
        </w:rPr>
        <w:t xml:space="preserve"> </w:t>
      </w:r>
      <w:r w:rsidRPr="000B7589">
        <w:rPr>
          <w:lang w:eastAsia="en-US"/>
        </w:rPr>
        <w:t>agency participants, some businesses, and Australian</w:t>
      </w:r>
      <w:r w:rsidR="00BF1933">
        <w:rPr>
          <w:lang w:eastAsia="en-US"/>
        </w:rPr>
        <w:t>s</w:t>
      </w:r>
      <w:r w:rsidR="004355C9">
        <w:rPr>
          <w:lang w:eastAsia="en-US"/>
        </w:rPr>
        <w:t xml:space="preserve"> </w:t>
      </w:r>
      <w:r w:rsidRPr="000B7589">
        <w:rPr>
          <w:lang w:eastAsia="en-US"/>
        </w:rPr>
        <w:t xml:space="preserve">– insofar as access and the broader Australian </w:t>
      </w:r>
      <w:r w:rsidR="00CA5435">
        <w:rPr>
          <w:lang w:eastAsia="en-US"/>
        </w:rPr>
        <w:t>G</w:t>
      </w:r>
      <w:r w:rsidRPr="000B7589">
        <w:rPr>
          <w:lang w:eastAsia="en-US"/>
        </w:rPr>
        <w:t xml:space="preserve">overnment framework would be ongoing, in its current form. However, these benefits accrue only to a subset of those entities and businesses capable of participating through other options canvassed in this </w:t>
      </w:r>
      <w:r w:rsidR="00465F3F">
        <w:rPr>
          <w:lang w:eastAsia="en-US"/>
        </w:rPr>
        <w:t>Impact Analysis</w:t>
      </w:r>
      <w:r w:rsidRPr="000B7589">
        <w:rPr>
          <w:lang w:eastAsia="en-US"/>
        </w:rPr>
        <w:t>.</w:t>
      </w:r>
      <w:r w:rsidR="00737BA2">
        <w:rPr>
          <w:lang w:eastAsia="en-US"/>
        </w:rPr>
        <w:t xml:space="preserve"> </w:t>
      </w:r>
      <w:r w:rsidRPr="000B7589">
        <w:rPr>
          <w:lang w:eastAsia="en-US"/>
        </w:rPr>
        <w:t xml:space="preserve">Under the status quo, there are no additional or changed regulatory costs incurred by any stakeholders. </w:t>
      </w:r>
    </w:p>
    <w:p w14:paraId="5404A4CC" w14:textId="1EA079B1" w:rsidR="00F75E6B" w:rsidRDefault="00E6232E" w:rsidP="00EC18E7">
      <w:pPr>
        <w:pStyle w:val="BodyText"/>
        <w:rPr>
          <w:lang w:eastAsia="en-US"/>
        </w:rPr>
      </w:pPr>
      <w:r w:rsidRPr="000B7589">
        <w:rPr>
          <w:lang w:eastAsia="en-US"/>
        </w:rPr>
        <w:t>Despite the many proven benefits of</w:t>
      </w:r>
      <w:r w:rsidR="00071DAB">
        <w:rPr>
          <w:lang w:eastAsia="en-US"/>
        </w:rPr>
        <w:t xml:space="preserve"> AGDIS</w:t>
      </w:r>
      <w:r w:rsidRPr="000B7589">
        <w:rPr>
          <w:lang w:eastAsia="en-US"/>
        </w:rPr>
        <w:t xml:space="preserve">, and the absence of regulatory costs, under Option 1 individuals, businesses, governments and the community will incur substantial foregone benefits relative to other options. The full potential can only be realised through its expansion to a far wider range of entities and service contexts – an expansion which cannot be achieved through the status quo </w:t>
      </w:r>
      <w:r w:rsidRPr="00EC18E7">
        <w:t>arrangements.</w:t>
      </w:r>
      <w:r w:rsidRPr="000B7589">
        <w:rPr>
          <w:lang w:eastAsia="en-US"/>
        </w:rPr>
        <w:t xml:space="preserve"> </w:t>
      </w:r>
    </w:p>
    <w:p w14:paraId="7FEB3610" w14:textId="51A8DE81" w:rsidR="00E6232E" w:rsidRPr="000B7589" w:rsidRDefault="00E6232E" w:rsidP="00EC18E7">
      <w:pPr>
        <w:pStyle w:val="BodyText"/>
        <w:rPr>
          <w:lang w:eastAsia="en-US"/>
        </w:rPr>
      </w:pPr>
      <w:r w:rsidRPr="000B7589">
        <w:rPr>
          <w:lang w:eastAsia="en-US"/>
        </w:rPr>
        <w:br w:type="page"/>
      </w:r>
    </w:p>
    <w:p w14:paraId="7D860A3B" w14:textId="06DDE700" w:rsidR="00E6232E" w:rsidRPr="005A07D9" w:rsidRDefault="00E6232E" w:rsidP="003C5CA3">
      <w:pPr>
        <w:pStyle w:val="Heading1NoNumbers"/>
        <w:rPr>
          <w:rFonts w:eastAsia="Calibri"/>
          <w:color w:val="008675"/>
          <w:lang w:eastAsia="en-US"/>
        </w:rPr>
      </w:pPr>
      <w:bookmarkStart w:id="419" w:name="_Ref65505527"/>
      <w:bookmarkStart w:id="420" w:name="_Toc80884689"/>
      <w:bookmarkStart w:id="421" w:name="_Toc81226641"/>
      <w:bookmarkStart w:id="422" w:name="_Toc81226669"/>
      <w:bookmarkStart w:id="423" w:name="_Toc81226917"/>
      <w:bookmarkStart w:id="424" w:name="_Toc81228261"/>
      <w:bookmarkStart w:id="425" w:name="_Toc83951204"/>
      <w:bookmarkStart w:id="426" w:name="_Toc84925814"/>
      <w:bookmarkStart w:id="427" w:name="_Toc84925902"/>
      <w:bookmarkStart w:id="428" w:name="_Toc86045146"/>
      <w:bookmarkStart w:id="429" w:name="_Toc86070031"/>
      <w:bookmarkStart w:id="430" w:name="_Toc149740349"/>
      <w:r w:rsidRPr="005A07D9">
        <w:rPr>
          <w:color w:val="008675"/>
          <w:lang w:eastAsia="en-US"/>
        </w:rPr>
        <w:lastRenderedPageBreak/>
        <w:t xml:space="preserve">8 Likely </w:t>
      </w:r>
      <w:r w:rsidR="00B2504D" w:rsidRPr="005A07D9">
        <w:rPr>
          <w:color w:val="008675"/>
          <w:lang w:eastAsia="en-US"/>
        </w:rPr>
        <w:t>n</w:t>
      </w:r>
      <w:r w:rsidRPr="005A07D9">
        <w:rPr>
          <w:color w:val="008675"/>
          <w:lang w:eastAsia="en-US"/>
        </w:rPr>
        <w:t xml:space="preserve">et </w:t>
      </w:r>
      <w:r w:rsidR="00B2504D" w:rsidRPr="005A07D9">
        <w:rPr>
          <w:color w:val="008675"/>
          <w:lang w:eastAsia="en-US"/>
        </w:rPr>
        <w:t>b</w:t>
      </w:r>
      <w:r w:rsidRPr="005A07D9">
        <w:rPr>
          <w:color w:val="008675"/>
          <w:lang w:eastAsia="en-US"/>
        </w:rPr>
        <w:t xml:space="preserve">enefit of Option 2 </w:t>
      </w:r>
      <w:r w:rsidR="00B2504D" w:rsidRPr="005A07D9">
        <w:rPr>
          <w:color w:val="008675"/>
          <w:lang w:eastAsia="en-US"/>
        </w:rPr>
        <w:t>(</w:t>
      </w:r>
      <w:r w:rsidR="008F26A2" w:rsidRPr="005A07D9">
        <w:rPr>
          <w:color w:val="008675"/>
          <w:lang w:eastAsia="en-US"/>
        </w:rPr>
        <w:t>l</w:t>
      </w:r>
      <w:r w:rsidRPr="005A07D9">
        <w:rPr>
          <w:color w:val="008675"/>
          <w:lang w:eastAsia="en-US"/>
        </w:rPr>
        <w:t xml:space="preserve">everage </w:t>
      </w:r>
      <w:r w:rsidR="00985FC3" w:rsidRPr="005A07D9">
        <w:rPr>
          <w:color w:val="008675"/>
          <w:lang w:eastAsia="en-US"/>
        </w:rPr>
        <w:t>e</w:t>
      </w:r>
      <w:r w:rsidRPr="005A07D9">
        <w:rPr>
          <w:color w:val="008675"/>
          <w:lang w:eastAsia="en-US"/>
        </w:rPr>
        <w:t xml:space="preserve">xisting </w:t>
      </w:r>
      <w:r w:rsidR="00985FC3" w:rsidRPr="005A07D9">
        <w:rPr>
          <w:color w:val="008675"/>
          <w:lang w:eastAsia="en-US"/>
        </w:rPr>
        <w:t>r</w:t>
      </w:r>
      <w:r w:rsidRPr="005A07D9">
        <w:rPr>
          <w:color w:val="008675"/>
          <w:lang w:eastAsia="en-US"/>
        </w:rPr>
        <w:t xml:space="preserve">egulatory </w:t>
      </w:r>
      <w:r w:rsidR="00985FC3" w:rsidRPr="005A07D9">
        <w:rPr>
          <w:color w:val="008675"/>
          <w:lang w:eastAsia="en-US"/>
        </w:rPr>
        <w:t>f</w:t>
      </w:r>
      <w:r w:rsidRPr="005A07D9">
        <w:rPr>
          <w:color w:val="008675"/>
          <w:lang w:eastAsia="en-US"/>
        </w:rPr>
        <w:t>rameworks</w:t>
      </w:r>
      <w:bookmarkEnd w:id="419"/>
      <w:r w:rsidR="00985FC3" w:rsidRPr="005A07D9">
        <w:rPr>
          <w:color w:val="008675"/>
          <w:lang w:eastAsia="en-US"/>
        </w:rPr>
        <w:t>)</w:t>
      </w:r>
      <w:bookmarkEnd w:id="420"/>
      <w:bookmarkEnd w:id="421"/>
      <w:bookmarkEnd w:id="422"/>
      <w:bookmarkEnd w:id="423"/>
      <w:bookmarkEnd w:id="424"/>
      <w:bookmarkEnd w:id="425"/>
      <w:bookmarkEnd w:id="426"/>
      <w:bookmarkEnd w:id="427"/>
      <w:bookmarkEnd w:id="428"/>
      <w:bookmarkEnd w:id="429"/>
      <w:bookmarkEnd w:id="430"/>
      <w:r w:rsidRPr="005A07D9">
        <w:rPr>
          <w:color w:val="008675"/>
          <w:sz w:val="26"/>
          <w:szCs w:val="26"/>
          <w:lang w:eastAsia="en-US"/>
        </w:rPr>
        <w:t xml:space="preserve"> </w:t>
      </w:r>
    </w:p>
    <w:p w14:paraId="1A43748B" w14:textId="4C627C90" w:rsidR="00E6232E" w:rsidRPr="000B7589" w:rsidRDefault="00E6232E" w:rsidP="00EC18E7">
      <w:pPr>
        <w:pStyle w:val="BodyText"/>
        <w:rPr>
          <w:rFonts w:eastAsia="Calibri"/>
          <w:lang w:eastAsia="en-US"/>
        </w:rPr>
      </w:pPr>
      <w:r w:rsidRPr="000B7589">
        <w:rPr>
          <w:rFonts w:eastAsia="Calibri"/>
          <w:lang w:eastAsia="en-US"/>
        </w:rPr>
        <w:t xml:space="preserve">As with Option 1, </w:t>
      </w:r>
      <w:r w:rsidRPr="000B7589">
        <w:rPr>
          <w:lang w:eastAsia="en-US"/>
        </w:rPr>
        <w:t xml:space="preserve">Option 2 supports involvement from </w:t>
      </w:r>
      <w:r w:rsidR="00BF1933">
        <w:rPr>
          <w:lang w:eastAsia="en-US"/>
        </w:rPr>
        <w:t>Australian Government</w:t>
      </w:r>
      <w:r w:rsidR="00BF1933" w:rsidRPr="000B7589" w:rsidDel="00BF1933">
        <w:rPr>
          <w:lang w:eastAsia="en-US"/>
        </w:rPr>
        <w:t xml:space="preserve"> </w:t>
      </w:r>
      <w:r w:rsidRPr="000B7589">
        <w:rPr>
          <w:lang w:eastAsia="en-US"/>
        </w:rPr>
        <w:t xml:space="preserve">agency participants only and Australian individuals. However, this option </w:t>
      </w:r>
      <w:r w:rsidRPr="000B7589">
        <w:rPr>
          <w:rFonts w:eastAsia="Calibri"/>
          <w:lang w:eastAsia="en-US"/>
        </w:rPr>
        <w:t xml:space="preserve">will not support an expansion of </w:t>
      </w:r>
      <w:proofErr w:type="spellStart"/>
      <w:r w:rsidRPr="000B7589">
        <w:rPr>
          <w:rFonts w:eastAsia="Calibri"/>
          <w:lang w:eastAsia="en-US"/>
        </w:rPr>
        <w:t>to</w:t>
      </w:r>
      <w:proofErr w:type="spellEnd"/>
      <w:r w:rsidRPr="000B7589">
        <w:rPr>
          <w:rFonts w:eastAsia="Calibri"/>
          <w:lang w:eastAsia="en-US"/>
        </w:rPr>
        <w:t xml:space="preserve"> </w:t>
      </w:r>
      <w:r w:rsidR="00112364">
        <w:rPr>
          <w:rFonts w:eastAsia="Calibri"/>
          <w:lang w:eastAsia="en-US"/>
        </w:rPr>
        <w:t>non-</w:t>
      </w:r>
      <w:r w:rsidR="005A07D9">
        <w:rPr>
          <w:rFonts w:eastAsia="Calibri"/>
          <w:lang w:eastAsia="en-US"/>
        </w:rPr>
        <w:t>Commonwealth</w:t>
      </w:r>
      <w:r w:rsidRPr="000B7589">
        <w:rPr>
          <w:rFonts w:eastAsia="Calibri"/>
          <w:lang w:eastAsia="en-US"/>
        </w:rPr>
        <w:t xml:space="preserve"> </w:t>
      </w:r>
      <w:r w:rsidR="00F72DDB">
        <w:rPr>
          <w:rFonts w:eastAsia="Calibri"/>
          <w:lang w:eastAsia="en-US"/>
        </w:rPr>
        <w:t>r</w:t>
      </w:r>
      <w:r w:rsidRPr="000B7589">
        <w:rPr>
          <w:rFonts w:eastAsia="Calibri"/>
          <w:lang w:eastAsia="en-US"/>
        </w:rPr>
        <w:t xml:space="preserve">elying </w:t>
      </w:r>
      <w:r w:rsidR="00F72DDB">
        <w:rPr>
          <w:rFonts w:eastAsia="Calibri"/>
          <w:lang w:eastAsia="en-US"/>
        </w:rPr>
        <w:t>p</w:t>
      </w:r>
      <w:r w:rsidRPr="000B7589">
        <w:rPr>
          <w:rFonts w:eastAsia="Calibri"/>
          <w:lang w:eastAsia="en-US"/>
        </w:rPr>
        <w:t xml:space="preserve">arties, nor provide a legislative </w:t>
      </w:r>
      <w:r w:rsidR="0004571F">
        <w:rPr>
          <w:rFonts w:eastAsia="Calibri"/>
          <w:lang w:eastAsia="en-US"/>
        </w:rPr>
        <w:t>c</w:t>
      </w:r>
      <w:r w:rsidRPr="000B7589">
        <w:rPr>
          <w:rFonts w:eastAsia="Calibri"/>
          <w:lang w:eastAsia="en-US"/>
        </w:rPr>
        <w:t xml:space="preserve">harging </w:t>
      </w:r>
      <w:r w:rsidR="0004571F">
        <w:rPr>
          <w:rFonts w:eastAsia="Calibri"/>
          <w:lang w:eastAsia="en-US"/>
        </w:rPr>
        <w:t>f</w:t>
      </w:r>
      <w:r w:rsidRPr="000B7589">
        <w:rPr>
          <w:rFonts w:eastAsia="Calibri"/>
          <w:lang w:eastAsia="en-US"/>
        </w:rPr>
        <w:t>ramework for use by non-</w:t>
      </w:r>
      <w:r w:rsidR="005A07D9">
        <w:rPr>
          <w:lang w:eastAsia="en-US"/>
        </w:rPr>
        <w:t>Commonwealth</w:t>
      </w:r>
      <w:r w:rsidR="00BF1933" w:rsidRPr="000B7589" w:rsidDel="00BF1933">
        <w:rPr>
          <w:rFonts w:eastAsia="Calibri"/>
          <w:lang w:eastAsia="en-US"/>
        </w:rPr>
        <w:t xml:space="preserve"> </w:t>
      </w:r>
      <w:r w:rsidR="00D95AF8">
        <w:rPr>
          <w:rFonts w:eastAsia="Calibri"/>
          <w:lang w:eastAsia="en-US"/>
        </w:rPr>
        <w:t xml:space="preserve">onboarded </w:t>
      </w:r>
      <w:r w:rsidR="006E797D">
        <w:rPr>
          <w:rFonts w:eastAsia="Calibri"/>
          <w:lang w:eastAsia="en-US"/>
        </w:rPr>
        <w:t>a</w:t>
      </w:r>
      <w:r w:rsidRPr="000B7589">
        <w:rPr>
          <w:rFonts w:eastAsia="Calibri"/>
          <w:lang w:eastAsia="en-US"/>
        </w:rPr>
        <w:t xml:space="preserve">ccredited </w:t>
      </w:r>
      <w:r w:rsidR="00D95AF8">
        <w:rPr>
          <w:rFonts w:eastAsia="Calibri"/>
          <w:lang w:eastAsia="en-US"/>
        </w:rPr>
        <w:t>entities</w:t>
      </w:r>
      <w:r w:rsidRPr="000B7589">
        <w:rPr>
          <w:rFonts w:eastAsia="Calibri"/>
          <w:lang w:eastAsia="en-US"/>
        </w:rPr>
        <w:t xml:space="preserve">. With this in mind, Option 2’s impacts on each stakeholder group are addressed below. </w:t>
      </w:r>
    </w:p>
    <w:p w14:paraId="28DABCC2" w14:textId="60F87016" w:rsidR="00E6232E" w:rsidRPr="005A07D9" w:rsidRDefault="00E6232E" w:rsidP="00D00B95">
      <w:pPr>
        <w:pStyle w:val="Heading2NoNumbers"/>
        <w:rPr>
          <w:color w:val="008675"/>
          <w:lang w:eastAsia="en-US"/>
        </w:rPr>
      </w:pPr>
      <w:bookmarkStart w:id="431" w:name="_Toc80884690"/>
      <w:bookmarkStart w:id="432" w:name="_Toc81226642"/>
      <w:bookmarkStart w:id="433" w:name="_Toc81226918"/>
      <w:bookmarkStart w:id="434" w:name="_Toc81228262"/>
      <w:bookmarkStart w:id="435" w:name="_Toc83951205"/>
      <w:bookmarkStart w:id="436" w:name="_Toc84925815"/>
      <w:bookmarkStart w:id="437" w:name="_Toc84925903"/>
      <w:bookmarkStart w:id="438" w:name="_Toc86045147"/>
      <w:bookmarkStart w:id="439" w:name="_Toc86070032"/>
      <w:bookmarkStart w:id="440" w:name="_Toc149740350"/>
      <w:r w:rsidRPr="005A07D9">
        <w:rPr>
          <w:color w:val="008675"/>
          <w:lang w:eastAsia="en-US"/>
        </w:rPr>
        <w:t xml:space="preserve">8.1 Overall </w:t>
      </w:r>
      <w:r w:rsidR="00985FC3" w:rsidRPr="005A07D9">
        <w:rPr>
          <w:color w:val="008675"/>
          <w:lang w:eastAsia="en-US"/>
        </w:rPr>
        <w:t>i</w:t>
      </w:r>
      <w:r w:rsidRPr="005A07D9">
        <w:rPr>
          <w:color w:val="008675"/>
          <w:lang w:eastAsia="en-US"/>
        </w:rPr>
        <w:t>mpacts</w:t>
      </w:r>
      <w:bookmarkEnd w:id="431"/>
      <w:bookmarkEnd w:id="432"/>
      <w:bookmarkEnd w:id="433"/>
      <w:bookmarkEnd w:id="434"/>
      <w:bookmarkEnd w:id="435"/>
      <w:bookmarkEnd w:id="436"/>
      <w:bookmarkEnd w:id="437"/>
      <w:bookmarkEnd w:id="438"/>
      <w:bookmarkEnd w:id="439"/>
      <w:bookmarkEnd w:id="440"/>
      <w:r w:rsidRPr="005A07D9">
        <w:rPr>
          <w:color w:val="008675"/>
          <w:lang w:eastAsia="en-US"/>
        </w:rPr>
        <w:t xml:space="preserve"> </w:t>
      </w:r>
    </w:p>
    <w:p w14:paraId="6A882428" w14:textId="77777777" w:rsidR="00E6232E" w:rsidRPr="005A07D9" w:rsidRDefault="00E6232E" w:rsidP="00D00B95">
      <w:pPr>
        <w:pStyle w:val="Heading3NoNumbers"/>
        <w:rPr>
          <w:rFonts w:eastAsia="Calibri"/>
          <w:color w:val="008675"/>
          <w:lang w:eastAsia="en-US"/>
        </w:rPr>
      </w:pPr>
      <w:bookmarkStart w:id="441" w:name="_Toc80884691"/>
      <w:bookmarkStart w:id="442" w:name="_Toc84925816"/>
      <w:bookmarkStart w:id="443" w:name="_Toc86070033"/>
      <w:r w:rsidRPr="005A07D9">
        <w:rPr>
          <w:color w:val="008675"/>
          <w:lang w:eastAsia="en-US"/>
        </w:rPr>
        <w:t>8.1.1 Individuals</w:t>
      </w:r>
      <w:bookmarkEnd w:id="441"/>
      <w:bookmarkEnd w:id="442"/>
      <w:bookmarkEnd w:id="443"/>
      <w:r w:rsidRPr="005A07D9">
        <w:rPr>
          <w:color w:val="008675"/>
          <w:lang w:eastAsia="en-US"/>
        </w:rPr>
        <w:t xml:space="preserve"> </w:t>
      </w:r>
    </w:p>
    <w:p w14:paraId="03E00FE4" w14:textId="0454EB85" w:rsidR="00E6232E" w:rsidRPr="000B7589" w:rsidRDefault="00E6232E" w:rsidP="00EC18E7">
      <w:pPr>
        <w:pStyle w:val="BodyText"/>
        <w:rPr>
          <w:lang w:eastAsia="en-US"/>
        </w:rPr>
      </w:pPr>
      <w:r w:rsidRPr="000B7589">
        <w:rPr>
          <w:lang w:eastAsia="en-US"/>
        </w:rPr>
        <w:t xml:space="preserve">Under Option 2, individuals would continue to enjoy the efficiency benefits gained from interactions with current </w:t>
      </w:r>
      <w:r w:rsidR="00BF1933">
        <w:rPr>
          <w:lang w:eastAsia="en-US"/>
        </w:rPr>
        <w:t>Australian Government</w:t>
      </w:r>
      <w:r w:rsidR="00BF1933" w:rsidRPr="000B7589" w:rsidDel="00BF1933">
        <w:rPr>
          <w:lang w:eastAsia="en-US"/>
        </w:rPr>
        <w:t xml:space="preserve"> </w:t>
      </w:r>
      <w:r w:rsidRPr="000B7589">
        <w:rPr>
          <w:lang w:eastAsia="en-US"/>
        </w:rPr>
        <w:t>agency participants. Further, individuals will benefit from the strengthening of some privacy and consumer safeguards, which currently apply in a non-legally enforceable manner to participants within the TDIF. This option would make existing protections legally enforceable, likely with reviews, monitoring and reporting conducted by a nominated APP Code Administrator.</w:t>
      </w:r>
      <w:r w:rsidR="0079568A">
        <w:rPr>
          <w:lang w:eastAsia="en-US"/>
        </w:rPr>
        <w:t xml:space="preserve"> </w:t>
      </w:r>
      <w:r w:rsidR="0079568A" w:rsidRPr="6756A8B4">
        <w:rPr>
          <w:lang w:eastAsia="en-US"/>
        </w:rPr>
        <w:t>(</w:t>
      </w:r>
      <w:r w:rsidR="0079568A">
        <w:t xml:space="preserve">The </w:t>
      </w:r>
      <w:r w:rsidR="00EA3242">
        <w:t>OAIC</w:t>
      </w:r>
      <w:r w:rsidR="0079568A">
        <w:t xml:space="preserve">’s </w:t>
      </w:r>
      <w:hyperlink r:id="rId73">
        <w:r w:rsidR="0079568A" w:rsidRPr="005A07D9">
          <w:rPr>
            <w:rStyle w:val="Hyperlink"/>
            <w:color w:val="008675"/>
          </w:rPr>
          <w:t>guidelines for developing codes</w:t>
        </w:r>
      </w:hyperlink>
      <w:r w:rsidR="0079568A">
        <w:t>, issued under Part IIIB of the Privacy Act, outline a range of recommended powers and functions of the Code administrator</w:t>
      </w:r>
      <w:r w:rsidR="001106AC">
        <w:t>.</w:t>
      </w:r>
      <w:r w:rsidR="00231CAD">
        <w:t>)</w:t>
      </w:r>
      <w:r w:rsidRPr="000B7589">
        <w:rPr>
          <w:lang w:eastAsia="en-US"/>
        </w:rPr>
        <w:t xml:space="preserve"> However, Option 2 would not deliver new or additional consumer protections for individuals using </w:t>
      </w:r>
      <w:r w:rsidR="00EB2443">
        <w:rPr>
          <w:lang w:eastAsia="en-US"/>
        </w:rPr>
        <w:t>Digital ID</w:t>
      </w:r>
      <w:r w:rsidRPr="000B7589">
        <w:rPr>
          <w:lang w:eastAsia="en-US"/>
        </w:rPr>
        <w:t>. While any new protections would remain subordinate to primary legislation, this benefit represents a strengthened position on privacy and security, compared with the status quo’s non-leg</w:t>
      </w:r>
      <w:r w:rsidR="006E054D">
        <w:rPr>
          <w:lang w:eastAsia="en-US"/>
        </w:rPr>
        <w:t xml:space="preserve">islative </w:t>
      </w:r>
      <w:r w:rsidRPr="000B7589">
        <w:rPr>
          <w:lang w:eastAsia="en-US"/>
        </w:rPr>
        <w:t>model of compliance with the TDIF.</w:t>
      </w:r>
    </w:p>
    <w:p w14:paraId="1209D4AF" w14:textId="38655C75" w:rsidR="00AB5290" w:rsidRDefault="00E6232E" w:rsidP="00AB5290">
      <w:pPr>
        <w:pStyle w:val="BodyText"/>
        <w:rPr>
          <w:lang w:eastAsia="en-US"/>
        </w:rPr>
      </w:pPr>
      <w:r w:rsidRPr="00D71936">
        <w:rPr>
          <w:lang w:eastAsia="en-US"/>
        </w:rPr>
        <w:t xml:space="preserve">As private individuals can continue to use </w:t>
      </w:r>
      <w:r w:rsidR="00E30C97">
        <w:rPr>
          <w:lang w:eastAsia="en-US"/>
        </w:rPr>
        <w:t>AGDIS</w:t>
      </w:r>
      <w:r w:rsidRPr="00D71936">
        <w:rPr>
          <w:lang w:eastAsia="en-US"/>
        </w:rPr>
        <w:t xml:space="preserve"> services, </w:t>
      </w:r>
      <w:r w:rsidR="00E11BB6" w:rsidRPr="00D71936">
        <w:rPr>
          <w:lang w:eastAsia="en-US"/>
        </w:rPr>
        <w:t xml:space="preserve">they would </w:t>
      </w:r>
      <w:r w:rsidR="00B5776B">
        <w:rPr>
          <w:lang w:eastAsia="en-US"/>
        </w:rPr>
        <w:t xml:space="preserve">continue to benefit from </w:t>
      </w:r>
      <w:r w:rsidR="00E11BB6" w:rsidRPr="00D71936">
        <w:rPr>
          <w:lang w:eastAsia="en-US"/>
        </w:rPr>
        <w:t xml:space="preserve">the indirect time savings attributable </w:t>
      </w:r>
      <w:r w:rsidR="001D57D1" w:rsidRPr="002B62F9">
        <w:rPr>
          <w:lang w:eastAsia="en-US"/>
        </w:rPr>
        <w:t>through</w:t>
      </w:r>
      <w:r w:rsidR="009D3347" w:rsidRPr="002B62F9">
        <w:rPr>
          <w:lang w:eastAsia="en-US"/>
        </w:rPr>
        <w:t xml:space="preserve"> reduced time required to present identity documents, set up </w:t>
      </w:r>
      <w:r w:rsidR="003C6E00" w:rsidRPr="002B62F9">
        <w:rPr>
          <w:lang w:eastAsia="en-US"/>
        </w:rPr>
        <w:t xml:space="preserve">multiple identity profiles across diverse service providers </w:t>
      </w:r>
      <w:r w:rsidR="006E4396" w:rsidRPr="002B62F9">
        <w:rPr>
          <w:lang w:eastAsia="en-US"/>
        </w:rPr>
        <w:t xml:space="preserve">and verify their </w:t>
      </w:r>
      <w:r w:rsidR="001D57D1" w:rsidRPr="002B62F9">
        <w:rPr>
          <w:lang w:eastAsia="en-US"/>
        </w:rPr>
        <w:t xml:space="preserve">identity with service providers. </w:t>
      </w:r>
      <w:r w:rsidR="001353A6" w:rsidRPr="002B62F9">
        <w:rPr>
          <w:lang w:eastAsia="en-US"/>
        </w:rPr>
        <w:t>Economic modelling has indicated that, on a per transaction basis, th</w:t>
      </w:r>
      <w:r w:rsidR="00493835" w:rsidRPr="002B62F9">
        <w:rPr>
          <w:lang w:eastAsia="en-US"/>
        </w:rPr>
        <w:t xml:space="preserve">is can be quantified as 115 minutes of time saved </w:t>
      </w:r>
      <w:r w:rsidR="00E63262" w:rsidRPr="00FD0659">
        <w:rPr>
          <w:lang w:eastAsia="en-US"/>
        </w:rPr>
        <w:t xml:space="preserve">from </w:t>
      </w:r>
      <w:r w:rsidR="00493835" w:rsidRPr="00D71936">
        <w:rPr>
          <w:lang w:eastAsia="en-US"/>
        </w:rPr>
        <w:t>completing a transaction using digital id compared to withou</w:t>
      </w:r>
      <w:r w:rsidR="006A4D8B" w:rsidRPr="00FD0659">
        <w:rPr>
          <w:lang w:eastAsia="en-US"/>
        </w:rPr>
        <w:t xml:space="preserve">t, </w:t>
      </w:r>
      <w:r w:rsidR="004E235B" w:rsidRPr="00FD0659">
        <w:rPr>
          <w:lang w:eastAsia="en-US"/>
        </w:rPr>
        <w:t>equivalent to</w:t>
      </w:r>
      <w:r w:rsidR="006A4D8B" w:rsidRPr="00FD0659">
        <w:rPr>
          <w:lang w:eastAsia="en-US"/>
        </w:rPr>
        <w:t xml:space="preserve"> </w:t>
      </w:r>
      <w:r w:rsidR="00493835" w:rsidRPr="00D71936">
        <w:rPr>
          <w:rFonts w:eastAsia="Calibri"/>
          <w:b/>
          <w:bCs/>
          <w:szCs w:val="16"/>
          <w:lang w:eastAsia="en-US"/>
        </w:rPr>
        <w:t>$61.00 per transaction</w:t>
      </w:r>
      <w:r w:rsidR="00493835" w:rsidRPr="00D71936">
        <w:rPr>
          <w:rFonts w:eastAsia="Calibri"/>
          <w:szCs w:val="16"/>
          <w:lang w:eastAsia="en-US"/>
        </w:rPr>
        <w:t xml:space="preserve"> (using the default value for an individual’s leisure time per </w:t>
      </w:r>
      <w:r w:rsidR="00493835" w:rsidRPr="00D71936">
        <w:t xml:space="preserve">the </w:t>
      </w:r>
      <w:hyperlink r:id="rId74" w:history="1">
        <w:r w:rsidR="00493835" w:rsidRPr="00011B93">
          <w:rPr>
            <w:color w:val="008675"/>
          </w:rPr>
          <w:t>Regulatory Burden Measurement Framework</w:t>
        </w:r>
      </w:hyperlink>
      <w:r w:rsidR="00493835" w:rsidRPr="00011B93">
        <w:t>)</w:t>
      </w:r>
      <w:r w:rsidR="00493835" w:rsidRPr="00D71936">
        <w:t xml:space="preserve">, noting that this figure does not represent a cost saving as it is not directly attributable to </w:t>
      </w:r>
      <w:r w:rsidR="00070756" w:rsidRPr="002B62F9">
        <w:t xml:space="preserve">Option 2. </w:t>
      </w:r>
      <w:r w:rsidR="00601FFB">
        <w:lastRenderedPageBreak/>
        <w:t>E</w:t>
      </w:r>
      <w:r w:rsidR="00070756" w:rsidRPr="002B62F9">
        <w:t>xtrapolat</w:t>
      </w:r>
      <w:r w:rsidR="00601FFB">
        <w:t>ing</w:t>
      </w:r>
      <w:r w:rsidR="00070756" w:rsidRPr="002B62F9">
        <w:t xml:space="preserve"> this per</w:t>
      </w:r>
      <w:r w:rsidR="00601FFB">
        <w:t>-</w:t>
      </w:r>
      <w:r w:rsidR="00070756" w:rsidRPr="002B62F9">
        <w:t xml:space="preserve">transaction benefit across the </w:t>
      </w:r>
      <w:r w:rsidR="00070756" w:rsidRPr="00975C36">
        <w:t xml:space="preserve">economy, using the estimated transactions through </w:t>
      </w:r>
      <w:proofErr w:type="spellStart"/>
      <w:r w:rsidR="00070756" w:rsidRPr="00975C36">
        <w:t>myGovID</w:t>
      </w:r>
      <w:proofErr w:type="spellEnd"/>
      <w:r w:rsidR="00070756" w:rsidRPr="00975C36">
        <w:t xml:space="preserve"> in 2021–22 as a basis, the whole-of-economy transaction savings</w:t>
      </w:r>
      <w:r w:rsidR="00070756" w:rsidRPr="00506F93">
        <w:t xml:space="preserve"> are estimated at </w:t>
      </w:r>
      <w:r w:rsidR="00070756" w:rsidRPr="00A60647">
        <w:t>$3.312 billion</w:t>
      </w:r>
      <w:r w:rsidR="00070756" w:rsidRPr="00975C36">
        <w:t xml:space="preserve"> across </w:t>
      </w:r>
      <w:r w:rsidR="00070756" w:rsidRPr="00A60647">
        <w:t>54 million transactions</w:t>
      </w:r>
      <w:r w:rsidR="00070756" w:rsidRPr="00975C36">
        <w:t>. These</w:t>
      </w:r>
      <w:r w:rsidR="00070756" w:rsidRPr="002B62F9">
        <w:t xml:space="preserve"> figures are conservative estimations that account only for government transactions and do not incorporate any increase in volume across the years</w:t>
      </w:r>
      <w:r w:rsidR="00B11C7E" w:rsidRPr="002B62F9">
        <w:t>.</w:t>
      </w:r>
      <w:r w:rsidR="00070756" w:rsidRPr="002B62F9">
        <w:t xml:space="preserve"> </w:t>
      </w:r>
      <w:r w:rsidR="00B11C7E" w:rsidRPr="002B62F9">
        <w:t xml:space="preserve">It </w:t>
      </w:r>
      <w:r w:rsidR="00D71936">
        <w:t>is possible</w:t>
      </w:r>
      <w:r w:rsidR="00B11C7E" w:rsidRPr="00D71936">
        <w:t xml:space="preserve"> </w:t>
      </w:r>
      <w:r w:rsidR="001D5913">
        <w:t xml:space="preserve">that AGDIS </w:t>
      </w:r>
      <w:r w:rsidR="00AB5290" w:rsidRPr="00D71936">
        <w:rPr>
          <w:lang w:eastAsia="en-US"/>
        </w:rPr>
        <w:t xml:space="preserve">accompanied by legislative privacy protections, enhanced trust and confidence as a result of this option </w:t>
      </w:r>
      <w:r w:rsidR="00D71936">
        <w:rPr>
          <w:lang w:eastAsia="en-US"/>
        </w:rPr>
        <w:t>would</w:t>
      </w:r>
      <w:r w:rsidR="00AB5290" w:rsidRPr="00D71936">
        <w:rPr>
          <w:lang w:eastAsia="en-US"/>
        </w:rPr>
        <w:t xml:space="preserve"> increase uptake by individuals, and thereby increase the volume and significance of time savings benefits to individuals across the economy.</w:t>
      </w:r>
      <w:r w:rsidR="00AB5290">
        <w:rPr>
          <w:lang w:eastAsia="en-US"/>
        </w:rPr>
        <w:t xml:space="preserve"> </w:t>
      </w:r>
    </w:p>
    <w:p w14:paraId="3F95C7A6" w14:textId="688B066D" w:rsidR="005B68BA" w:rsidRPr="000B7589" w:rsidRDefault="00E6232E" w:rsidP="00EC18E7">
      <w:pPr>
        <w:pStyle w:val="BodyText"/>
        <w:rPr>
          <w:lang w:eastAsia="en-US"/>
        </w:rPr>
      </w:pPr>
      <w:r w:rsidRPr="000B7589">
        <w:rPr>
          <w:lang w:eastAsia="en-US"/>
        </w:rPr>
        <w:t>However, Option 2 is not expected to substantially increase the range of agencies or entities participating because it does not address the barriers to participation by private sector entities or state, territory and local governments. As a result, individuals are expected to forego the compounded efficiency benefits, reduced risk of identity fraud and increased choice, which would be available under a dedicated regulatory arrangement.</w:t>
      </w:r>
    </w:p>
    <w:p w14:paraId="166856A4" w14:textId="388266F4" w:rsidR="00E6232E" w:rsidRPr="000B7589" w:rsidRDefault="00E6232E" w:rsidP="00EC18E7">
      <w:pPr>
        <w:pStyle w:val="BodyText"/>
        <w:rPr>
          <w:rFonts w:eastAsia="Times New Roman"/>
          <w:lang w:eastAsia="en-US"/>
        </w:rPr>
      </w:pPr>
      <w:r w:rsidRPr="000B7589">
        <w:rPr>
          <w:rFonts w:eastAsia="Times New Roman"/>
          <w:b/>
          <w:bCs/>
          <w:color w:val="000000"/>
          <w:lang w:eastAsia="en-US"/>
        </w:rPr>
        <w:t>Assessment of net expected benefits:</w:t>
      </w:r>
      <w:r w:rsidRPr="000B7589">
        <w:rPr>
          <w:color w:val="000000"/>
          <w:lang w:eastAsia="en-US"/>
        </w:rPr>
        <w:t xml:space="preserve"> </w:t>
      </w:r>
      <w:r w:rsidRPr="000B7589">
        <w:rPr>
          <w:rFonts w:eastAsia="Times New Roman"/>
          <w:lang w:eastAsia="en-US"/>
        </w:rPr>
        <w:t xml:space="preserve">Under this option, individuals are expected to experience increased benefits through stronger enforceability of existing consumer protections, when compared with the status quo arrangement. However, because this option does not enable the expansion to more participants beyond the status quo, individuals will continue to forego the additional benefits available under a dedicated regulatory scheme. These costs are expected to outweigh the benefits available under Option 2, meaning the net expected benefit for individuals, compared with Option 3, is likely significantly less. </w:t>
      </w:r>
    </w:p>
    <w:p w14:paraId="3BD09191" w14:textId="77777777" w:rsidR="00E6232E" w:rsidRPr="00071371" w:rsidRDefault="00E6232E" w:rsidP="003B1D17">
      <w:pPr>
        <w:pStyle w:val="Heading3NoNumbers"/>
        <w:rPr>
          <w:rFonts w:eastAsia="Calibri"/>
          <w:color w:val="008675"/>
          <w:lang w:eastAsia="en-US"/>
        </w:rPr>
      </w:pPr>
      <w:bookmarkStart w:id="444" w:name="_Toc80884692"/>
      <w:bookmarkStart w:id="445" w:name="_Toc84925817"/>
      <w:bookmarkStart w:id="446" w:name="_Toc86070034"/>
      <w:r w:rsidRPr="00071371">
        <w:rPr>
          <w:color w:val="008675"/>
          <w:lang w:eastAsia="en-US"/>
        </w:rPr>
        <w:t>8.1.2 Businesses</w:t>
      </w:r>
      <w:bookmarkEnd w:id="444"/>
      <w:bookmarkEnd w:id="445"/>
      <w:bookmarkEnd w:id="446"/>
    </w:p>
    <w:p w14:paraId="4B6D4629" w14:textId="4FAD7BBD" w:rsidR="00E6232E" w:rsidRPr="000B7589" w:rsidRDefault="00E6232E" w:rsidP="00EC18E7">
      <w:pPr>
        <w:pStyle w:val="BodyText"/>
        <w:rPr>
          <w:i/>
          <w:iCs/>
          <w:color w:val="44546A"/>
          <w:lang w:eastAsia="en-US"/>
        </w:rPr>
      </w:pPr>
      <w:r w:rsidRPr="000B7589">
        <w:rPr>
          <w:lang w:eastAsia="en-US"/>
        </w:rPr>
        <w:t xml:space="preserve">Option 2 would not alter any of the existing legal barriers preventing participation by businesses. Businesses would continue to be eligible to participate in the scheme as </w:t>
      </w:r>
      <w:r w:rsidR="00D95AF8">
        <w:rPr>
          <w:lang w:eastAsia="en-US"/>
        </w:rPr>
        <w:t xml:space="preserve">onboarded </w:t>
      </w:r>
      <w:r w:rsidR="006E797D">
        <w:rPr>
          <w:lang w:eastAsia="en-US"/>
        </w:rPr>
        <w:t>a</w:t>
      </w:r>
      <w:r w:rsidRPr="000B7589">
        <w:rPr>
          <w:lang w:eastAsia="en-US"/>
        </w:rPr>
        <w:t xml:space="preserve">ccredited </w:t>
      </w:r>
      <w:r w:rsidR="00D95AF8">
        <w:rPr>
          <w:lang w:eastAsia="en-US"/>
        </w:rPr>
        <w:t xml:space="preserve">entities </w:t>
      </w:r>
      <w:r w:rsidRPr="000B7589">
        <w:rPr>
          <w:lang w:eastAsia="en-US"/>
        </w:rPr>
        <w:t xml:space="preserve">(for example, by becoming an </w:t>
      </w:r>
      <w:r w:rsidR="000E68B1">
        <w:rPr>
          <w:lang w:eastAsia="en-US"/>
        </w:rPr>
        <w:t>i</w:t>
      </w:r>
      <w:r w:rsidRPr="000B7589">
        <w:rPr>
          <w:lang w:eastAsia="en-US"/>
        </w:rPr>
        <w:t xml:space="preserve">dentity </w:t>
      </w:r>
      <w:r w:rsidR="000E68B1">
        <w:rPr>
          <w:lang w:eastAsia="en-US"/>
        </w:rPr>
        <w:t>p</w:t>
      </w:r>
      <w:r w:rsidRPr="000B7589">
        <w:rPr>
          <w:lang w:eastAsia="en-US"/>
        </w:rPr>
        <w:t xml:space="preserve">rovider), but are unlikely to do so given the legal inability to charge for these services. Nor would businesses be able to do so as </w:t>
      </w:r>
      <w:r w:rsidR="00F72DDB">
        <w:rPr>
          <w:lang w:eastAsia="en-US"/>
        </w:rPr>
        <w:t>r</w:t>
      </w:r>
      <w:r w:rsidRPr="000B7589">
        <w:rPr>
          <w:lang w:eastAsia="en-US"/>
        </w:rPr>
        <w:t xml:space="preserve">elying </w:t>
      </w:r>
      <w:r w:rsidR="00F72DDB">
        <w:rPr>
          <w:lang w:eastAsia="en-US"/>
        </w:rPr>
        <w:t>p</w:t>
      </w:r>
      <w:r w:rsidRPr="000B7589">
        <w:rPr>
          <w:lang w:eastAsia="en-US"/>
        </w:rPr>
        <w:t xml:space="preserve">arties (for example by using </w:t>
      </w:r>
      <w:proofErr w:type="spellStart"/>
      <w:r w:rsidRPr="000B7589">
        <w:rPr>
          <w:lang w:eastAsia="en-US"/>
        </w:rPr>
        <w:t>myGovID</w:t>
      </w:r>
      <w:proofErr w:type="spellEnd"/>
      <w:r w:rsidRPr="000B7589">
        <w:rPr>
          <w:lang w:eastAsia="en-US"/>
        </w:rPr>
        <w:t xml:space="preserve"> to verify customer identities). This leads to slightly different benefits and costs for these two categories of potential participants, as outlined below.</w:t>
      </w:r>
    </w:p>
    <w:p w14:paraId="3A296E9C" w14:textId="4704D356" w:rsidR="00E6232E" w:rsidRPr="00623F83" w:rsidRDefault="00D95AF8" w:rsidP="003B1D17">
      <w:pPr>
        <w:pStyle w:val="Heading4NoNumbers"/>
        <w:rPr>
          <w:color w:val="008675"/>
          <w:sz w:val="22"/>
          <w:lang w:eastAsia="en-US"/>
        </w:rPr>
      </w:pPr>
      <w:r w:rsidRPr="00623F83">
        <w:rPr>
          <w:color w:val="008675"/>
          <w:lang w:eastAsia="en-US"/>
        </w:rPr>
        <w:lastRenderedPageBreak/>
        <w:t>Onboarded a</w:t>
      </w:r>
      <w:r w:rsidR="00E6232E" w:rsidRPr="00623F83">
        <w:rPr>
          <w:color w:val="008675"/>
          <w:lang w:eastAsia="en-US"/>
        </w:rPr>
        <w:t xml:space="preserve">ccredited </w:t>
      </w:r>
      <w:r w:rsidRPr="00623F83">
        <w:rPr>
          <w:color w:val="008675"/>
          <w:lang w:eastAsia="en-US"/>
        </w:rPr>
        <w:t>entities</w:t>
      </w:r>
    </w:p>
    <w:p w14:paraId="628516BC" w14:textId="0555E7D0" w:rsidR="00E6232E" w:rsidRPr="000B7589" w:rsidRDefault="00E6232E" w:rsidP="00EC18E7">
      <w:pPr>
        <w:pStyle w:val="BodyText"/>
        <w:rPr>
          <w:i/>
          <w:iCs/>
          <w:color w:val="44546A"/>
          <w:lang w:eastAsia="en-US"/>
        </w:rPr>
      </w:pPr>
      <w:r w:rsidRPr="000B7589">
        <w:rPr>
          <w:lang w:eastAsia="en-US"/>
        </w:rPr>
        <w:t xml:space="preserve">Under Option 2, </w:t>
      </w:r>
      <w:r w:rsidR="00D95AF8">
        <w:rPr>
          <w:lang w:eastAsia="en-US"/>
        </w:rPr>
        <w:t xml:space="preserve">onboarded </w:t>
      </w:r>
      <w:r w:rsidR="00F72DDB">
        <w:rPr>
          <w:lang w:eastAsia="en-US"/>
        </w:rPr>
        <w:t>a</w:t>
      </w:r>
      <w:r w:rsidRPr="000B7589">
        <w:rPr>
          <w:lang w:eastAsia="en-US"/>
        </w:rPr>
        <w:t xml:space="preserve">ccredited </w:t>
      </w:r>
      <w:r w:rsidR="00D95AF8">
        <w:rPr>
          <w:lang w:eastAsia="en-US"/>
        </w:rPr>
        <w:t xml:space="preserve">entities </w:t>
      </w:r>
      <w:r w:rsidRPr="000B7589">
        <w:rPr>
          <w:lang w:eastAsia="en-US"/>
        </w:rPr>
        <w:t>would be expected to face increased regulatory costs compared with Option 1, but lower regulatory costs than under Option 3. This is because the provisions of the TDIF would take on the status of an enforceable Code, rather than being written into primary law.</w:t>
      </w:r>
    </w:p>
    <w:p w14:paraId="26C60FC0" w14:textId="19499E0D" w:rsidR="00E6232E" w:rsidRPr="000B7589" w:rsidRDefault="00E6232E" w:rsidP="00EC18E7">
      <w:pPr>
        <w:pStyle w:val="BodyText"/>
        <w:rPr>
          <w:lang w:eastAsia="en-US"/>
        </w:rPr>
      </w:pPr>
      <w:r w:rsidRPr="000B7589">
        <w:rPr>
          <w:lang w:eastAsia="en-US"/>
        </w:rPr>
        <w:t xml:space="preserve">While </w:t>
      </w:r>
      <w:r w:rsidR="00D95AF8">
        <w:rPr>
          <w:lang w:eastAsia="en-US"/>
        </w:rPr>
        <w:t xml:space="preserve">onboarded </w:t>
      </w:r>
      <w:r w:rsidR="006E797D">
        <w:rPr>
          <w:lang w:eastAsia="en-US"/>
        </w:rPr>
        <w:t>a</w:t>
      </w:r>
      <w:r w:rsidRPr="000B7589">
        <w:rPr>
          <w:lang w:eastAsia="en-US"/>
        </w:rPr>
        <w:t xml:space="preserve">ccredited </w:t>
      </w:r>
      <w:r w:rsidR="00D95AF8">
        <w:rPr>
          <w:lang w:eastAsia="en-US"/>
        </w:rPr>
        <w:t xml:space="preserve">entities </w:t>
      </w:r>
      <w:r w:rsidRPr="000B7589">
        <w:rPr>
          <w:lang w:eastAsia="en-US"/>
        </w:rPr>
        <w:t xml:space="preserve">may incur reduced compliance costs under Option 2 than would be the case under Option 3, they would also see </w:t>
      </w:r>
      <w:r w:rsidR="00CA5F8E">
        <w:rPr>
          <w:lang w:eastAsia="en-US"/>
        </w:rPr>
        <w:t>fewer</w:t>
      </w:r>
      <w:r w:rsidRPr="000B7589">
        <w:rPr>
          <w:lang w:eastAsia="en-US"/>
        </w:rPr>
        <w:t xml:space="preserve"> benefits. This is primarily because the Code would not encompass the proposed indemnity arrangements against loss arising from the provision of a fraudulent identity. As identified under Option 1, this is a significant potential benefit for businesses which would be foregone under all options except the legislative approach.</w:t>
      </w:r>
    </w:p>
    <w:p w14:paraId="17571058" w14:textId="308C32BD" w:rsidR="00E6232E" w:rsidRPr="000B7589" w:rsidRDefault="00E6232E" w:rsidP="00EC18E7">
      <w:pPr>
        <w:pStyle w:val="BodyText"/>
        <w:rPr>
          <w:lang w:eastAsia="en-US"/>
        </w:rPr>
      </w:pPr>
      <w:r w:rsidRPr="000B7589">
        <w:rPr>
          <w:lang w:eastAsia="en-US"/>
        </w:rPr>
        <w:t xml:space="preserve">As with Option 1, businesses would notionally be able to join as </w:t>
      </w:r>
      <w:r w:rsidR="00D86963">
        <w:rPr>
          <w:lang w:eastAsia="en-US"/>
        </w:rPr>
        <w:t>i</w:t>
      </w:r>
      <w:r w:rsidRPr="000B7589">
        <w:rPr>
          <w:lang w:eastAsia="en-US"/>
        </w:rPr>
        <w:t xml:space="preserve">dentity </w:t>
      </w:r>
      <w:r w:rsidR="00D86963">
        <w:rPr>
          <w:lang w:eastAsia="en-US"/>
        </w:rPr>
        <w:t>p</w:t>
      </w:r>
      <w:r w:rsidRPr="000B7589">
        <w:rPr>
          <w:lang w:eastAsia="en-US"/>
        </w:rPr>
        <w:t>roviders and therefore expand their service offerings or market presence. In practice, however, the incentive to do so would continue to be limited (particularly for small and many medium</w:t>
      </w:r>
      <w:r w:rsidR="000C4EFE">
        <w:rPr>
          <w:lang w:eastAsia="en-US"/>
        </w:rPr>
        <w:t>-</w:t>
      </w:r>
      <w:r w:rsidRPr="000B7589">
        <w:rPr>
          <w:lang w:eastAsia="en-US"/>
        </w:rPr>
        <w:t>sized businesses) because this option does not enable them to charge for services provided.</w:t>
      </w:r>
    </w:p>
    <w:p w14:paraId="021AC069" w14:textId="21324F85" w:rsidR="00E6232E" w:rsidRPr="00A7158E" w:rsidRDefault="00E6232E" w:rsidP="003B1D17">
      <w:pPr>
        <w:pStyle w:val="Heading4NoNumbers"/>
        <w:rPr>
          <w:color w:val="008675"/>
          <w:lang w:eastAsia="en-US"/>
        </w:rPr>
      </w:pPr>
      <w:r w:rsidRPr="00A7158E">
        <w:rPr>
          <w:color w:val="008675"/>
          <w:lang w:eastAsia="en-US"/>
        </w:rPr>
        <w:t xml:space="preserve">Relying </w:t>
      </w:r>
      <w:r w:rsidR="00985FC3" w:rsidRPr="00A7158E">
        <w:rPr>
          <w:color w:val="008675"/>
          <w:lang w:eastAsia="en-US"/>
        </w:rPr>
        <w:t>p</w:t>
      </w:r>
      <w:r w:rsidRPr="00A7158E">
        <w:rPr>
          <w:color w:val="008675"/>
          <w:lang w:eastAsia="en-US"/>
        </w:rPr>
        <w:t>arties</w:t>
      </w:r>
    </w:p>
    <w:p w14:paraId="575437B6" w14:textId="529BD6A8" w:rsidR="00E6232E" w:rsidRPr="000B7589" w:rsidRDefault="00E6232E" w:rsidP="00EC18E7">
      <w:pPr>
        <w:pStyle w:val="BodyText"/>
        <w:rPr>
          <w:lang w:eastAsia="en-US"/>
        </w:rPr>
      </w:pPr>
      <w:r w:rsidRPr="000B7589">
        <w:rPr>
          <w:lang w:eastAsia="en-US"/>
        </w:rPr>
        <w:t xml:space="preserve">Option 2 does not address the existing restrictions on businesses participating in the as </w:t>
      </w:r>
      <w:r w:rsidR="0036587B">
        <w:rPr>
          <w:lang w:eastAsia="en-US"/>
        </w:rPr>
        <w:t>r</w:t>
      </w:r>
      <w:r w:rsidRPr="000B7589">
        <w:rPr>
          <w:lang w:eastAsia="en-US"/>
        </w:rPr>
        <w:t xml:space="preserve">elying </w:t>
      </w:r>
      <w:r w:rsidR="0036587B">
        <w:rPr>
          <w:lang w:eastAsia="en-US"/>
        </w:rPr>
        <w:t>p</w:t>
      </w:r>
      <w:r w:rsidRPr="000B7589">
        <w:rPr>
          <w:lang w:eastAsia="en-US"/>
        </w:rPr>
        <w:t xml:space="preserve">arties. Businesses which are potential participants would therefore not experience regulatory costs due to being excluded from participation. These businesses would also incur the same foregone benefits outlined under Option 1, which have been noted to be the largest potential source of economic and productivity gains. </w:t>
      </w:r>
    </w:p>
    <w:p w14:paraId="54EA2A78" w14:textId="64F786D9" w:rsidR="00E6232E" w:rsidRPr="000B7589" w:rsidRDefault="00E6232E" w:rsidP="00EC18E7">
      <w:pPr>
        <w:pStyle w:val="BodyText"/>
        <w:rPr>
          <w:lang w:eastAsia="en-US"/>
        </w:rPr>
      </w:pPr>
      <w:r w:rsidRPr="000B7589">
        <w:rPr>
          <w:b/>
          <w:bCs/>
          <w:color w:val="000000"/>
          <w:lang w:eastAsia="en-US"/>
        </w:rPr>
        <w:t>Assessment of net expected benefits</w:t>
      </w:r>
      <w:r w:rsidRPr="000B7589">
        <w:rPr>
          <w:rFonts w:eastAsia="Yu Gothic Light"/>
          <w:color w:val="000000"/>
          <w:lang w:eastAsia="en-US"/>
        </w:rPr>
        <w:t>:</w:t>
      </w:r>
      <w:r w:rsidRPr="000B7589">
        <w:rPr>
          <w:color w:val="000000"/>
          <w:lang w:eastAsia="en-US"/>
        </w:rPr>
        <w:t xml:space="preserve"> </w:t>
      </w:r>
      <w:r w:rsidRPr="000B7589">
        <w:rPr>
          <w:lang w:eastAsia="en-US"/>
        </w:rPr>
        <w:t xml:space="preserve">The major potential benefits for business arise from its expansion to a broader range of entities beyond government entities. This would both increase the productivity and efficiency gains for </w:t>
      </w:r>
      <w:r w:rsidR="0036587B">
        <w:rPr>
          <w:lang w:eastAsia="en-US"/>
        </w:rPr>
        <w:t>r</w:t>
      </w:r>
      <w:r w:rsidRPr="000B7589">
        <w:rPr>
          <w:lang w:eastAsia="en-US"/>
        </w:rPr>
        <w:t xml:space="preserve">elying </w:t>
      </w:r>
      <w:r w:rsidR="0036587B">
        <w:rPr>
          <w:lang w:eastAsia="en-US"/>
        </w:rPr>
        <w:t>p</w:t>
      </w:r>
      <w:r w:rsidRPr="000B7589">
        <w:rPr>
          <w:lang w:eastAsia="en-US"/>
        </w:rPr>
        <w:t xml:space="preserve">arty businesses and incentivise the entry into the </w:t>
      </w:r>
      <w:r w:rsidR="00A1323D">
        <w:rPr>
          <w:lang w:eastAsia="en-US"/>
        </w:rPr>
        <w:t>market</w:t>
      </w:r>
      <w:r w:rsidRPr="000B7589">
        <w:rPr>
          <w:lang w:eastAsia="en-US"/>
        </w:rPr>
        <w:t xml:space="preserve"> of more </w:t>
      </w:r>
      <w:r w:rsidR="00D95AF8">
        <w:rPr>
          <w:lang w:eastAsia="en-US"/>
        </w:rPr>
        <w:t xml:space="preserve">onboarded </w:t>
      </w:r>
      <w:r w:rsidR="0036587B">
        <w:rPr>
          <w:lang w:eastAsia="en-US"/>
        </w:rPr>
        <w:t>a</w:t>
      </w:r>
      <w:r w:rsidRPr="000B7589">
        <w:rPr>
          <w:lang w:eastAsia="en-US"/>
        </w:rPr>
        <w:t xml:space="preserve">ccredited </w:t>
      </w:r>
      <w:r w:rsidR="00D95AF8">
        <w:rPr>
          <w:lang w:eastAsia="en-US"/>
        </w:rPr>
        <w:t>entities</w:t>
      </w:r>
      <w:r w:rsidRPr="000B7589">
        <w:rPr>
          <w:lang w:eastAsia="en-US"/>
        </w:rPr>
        <w:t xml:space="preserve">, </w:t>
      </w:r>
      <w:r w:rsidR="00C46C3A">
        <w:rPr>
          <w:lang w:eastAsia="en-US"/>
        </w:rPr>
        <w:t>which</w:t>
      </w:r>
      <w:r w:rsidRPr="000B7589">
        <w:rPr>
          <w:lang w:eastAsia="en-US"/>
        </w:rPr>
        <w:t xml:space="preserve"> can then pursue new market opportunities. Option 2 does not address the existing barriers to participation by business in either of these capacities, meaning foregone benefits would remain. As a result, the net expected benefit is likely to be comparatively less for businesses than under Option 3.</w:t>
      </w:r>
    </w:p>
    <w:p w14:paraId="366C16E9" w14:textId="77777777" w:rsidR="00E6232E" w:rsidRPr="00D75A45" w:rsidRDefault="00E6232E" w:rsidP="00934950">
      <w:pPr>
        <w:pStyle w:val="Heading3NoNumbers"/>
        <w:rPr>
          <w:rFonts w:eastAsia="Calibri"/>
          <w:color w:val="008675"/>
          <w:lang w:eastAsia="en-US"/>
        </w:rPr>
      </w:pPr>
      <w:bookmarkStart w:id="447" w:name="_Toc80884693"/>
      <w:bookmarkStart w:id="448" w:name="_Toc84925818"/>
      <w:bookmarkStart w:id="449" w:name="_Toc86070035"/>
      <w:r w:rsidRPr="00D75A45">
        <w:rPr>
          <w:color w:val="008675"/>
          <w:lang w:eastAsia="en-US"/>
        </w:rPr>
        <w:lastRenderedPageBreak/>
        <w:t>8.1.3 Government</w:t>
      </w:r>
      <w:bookmarkEnd w:id="447"/>
      <w:bookmarkEnd w:id="448"/>
      <w:bookmarkEnd w:id="449"/>
    </w:p>
    <w:p w14:paraId="6BB7AFE6" w14:textId="51AB96E8" w:rsidR="00E6232E" w:rsidRPr="000B7589" w:rsidRDefault="00E6232E" w:rsidP="00EC18E7">
      <w:pPr>
        <w:pStyle w:val="BodyText"/>
        <w:rPr>
          <w:lang w:eastAsia="en-US"/>
        </w:rPr>
      </w:pPr>
      <w:r w:rsidRPr="000B7589">
        <w:rPr>
          <w:lang w:eastAsia="en-US"/>
        </w:rPr>
        <w:t>Option 2 does not affect the range of government entities which can participate</w:t>
      </w:r>
      <w:r w:rsidR="00D66181">
        <w:rPr>
          <w:lang w:eastAsia="en-US"/>
        </w:rPr>
        <w:t xml:space="preserve">. </w:t>
      </w:r>
      <w:r w:rsidRPr="000B7589">
        <w:rPr>
          <w:lang w:eastAsia="en-US"/>
        </w:rPr>
        <w:t xml:space="preserve">It is expected that uptake by </w:t>
      </w:r>
      <w:r w:rsidR="00F62DF1">
        <w:rPr>
          <w:lang w:eastAsia="en-US"/>
        </w:rPr>
        <w:t>Australian Government</w:t>
      </w:r>
      <w:r w:rsidR="00F62DF1" w:rsidRPr="000B7589" w:rsidDel="00F62DF1">
        <w:rPr>
          <w:lang w:eastAsia="en-US"/>
        </w:rPr>
        <w:t xml:space="preserve"> </w:t>
      </w:r>
      <w:r w:rsidRPr="000B7589">
        <w:rPr>
          <w:lang w:eastAsia="en-US"/>
        </w:rPr>
        <w:t xml:space="preserve">entities would continue to increase, with a Code providing somewhat improved clarity and transparency in relation to the obligations of participating entities. The benefits accruing to participating </w:t>
      </w:r>
      <w:r w:rsidR="00396063">
        <w:rPr>
          <w:lang w:eastAsia="en-US"/>
        </w:rPr>
        <w:t>G</w:t>
      </w:r>
      <w:r w:rsidR="00396063" w:rsidRPr="000B7589">
        <w:rPr>
          <w:lang w:eastAsia="en-US"/>
        </w:rPr>
        <w:t xml:space="preserve">overnment </w:t>
      </w:r>
      <w:r w:rsidRPr="000B7589">
        <w:rPr>
          <w:lang w:eastAsia="en-US"/>
        </w:rPr>
        <w:t>entities under the status quo arrangements would also continue to apply, including increased efficiency</w:t>
      </w:r>
      <w:r w:rsidR="009E30E1">
        <w:rPr>
          <w:lang w:eastAsia="en-US"/>
        </w:rPr>
        <w:t xml:space="preserve"> (through </w:t>
      </w:r>
      <w:r w:rsidR="00A72C6B">
        <w:rPr>
          <w:lang w:eastAsia="en-US"/>
        </w:rPr>
        <w:t>reduced manual processes and the reduced need for de-duplication),</w:t>
      </w:r>
      <w:r w:rsidRPr="000B7589">
        <w:rPr>
          <w:lang w:eastAsia="en-US"/>
        </w:rPr>
        <w:t xml:space="preserve"> productivity and reduced instances of identity theft or fraud. However, existing restrictions on the participation of state, territory and local governments would remain, limiting the opportunity for these benefits to flow to entities outside the </w:t>
      </w:r>
      <w:r w:rsidR="00F62DF1">
        <w:rPr>
          <w:lang w:eastAsia="en-US"/>
        </w:rPr>
        <w:t>Australian Government</w:t>
      </w:r>
      <w:r w:rsidRPr="000B7589">
        <w:rPr>
          <w:lang w:eastAsia="en-US"/>
        </w:rPr>
        <w:t>.</w:t>
      </w:r>
    </w:p>
    <w:p w14:paraId="00E400CC" w14:textId="7501EC72" w:rsidR="00E6232E" w:rsidRPr="000B7589" w:rsidRDefault="00E6232E" w:rsidP="00EC18E7">
      <w:pPr>
        <w:pStyle w:val="BodyText"/>
        <w:rPr>
          <w:lang w:eastAsia="en-US"/>
        </w:rPr>
      </w:pPr>
      <w:r w:rsidRPr="000B7589">
        <w:rPr>
          <w:lang w:eastAsia="en-US"/>
        </w:rPr>
        <w:t xml:space="preserve">In line with the above discussion of business impacts, government entities which are already fully complying with the TDIF would not be expected to incur additional costs as a result of leveraging existing regulatory frameworks. This should be </w:t>
      </w:r>
      <w:r w:rsidR="00FA42E4" w:rsidRPr="000B7589">
        <w:rPr>
          <w:lang w:eastAsia="en-US"/>
        </w:rPr>
        <w:t>most</w:t>
      </w:r>
      <w:r w:rsidRPr="000B7589">
        <w:rPr>
          <w:lang w:eastAsia="en-US"/>
        </w:rPr>
        <w:t xml:space="preserve"> </w:t>
      </w:r>
      <w:r w:rsidR="00F62DF1">
        <w:rPr>
          <w:lang w:eastAsia="en-US"/>
        </w:rPr>
        <w:t>Australian Government</w:t>
      </w:r>
      <w:r w:rsidR="00F62DF1" w:rsidRPr="000B7589" w:rsidDel="00F62DF1">
        <w:rPr>
          <w:lang w:eastAsia="en-US"/>
        </w:rPr>
        <w:t xml:space="preserve"> </w:t>
      </w:r>
      <w:r w:rsidRPr="000B7589">
        <w:rPr>
          <w:lang w:eastAsia="en-US"/>
        </w:rPr>
        <w:t>participants currently operating</w:t>
      </w:r>
      <w:r w:rsidR="002B072C">
        <w:rPr>
          <w:lang w:eastAsia="en-US"/>
        </w:rPr>
        <w:t xml:space="preserve"> a service</w:t>
      </w:r>
      <w:r w:rsidRPr="000B7589">
        <w:rPr>
          <w:lang w:eastAsia="en-US"/>
        </w:rPr>
        <w:t xml:space="preserve">. However, given that a Code would impose additional obligations over and above those within the Privacy Act, some new entities or </w:t>
      </w:r>
      <w:r w:rsidR="00C95494">
        <w:rPr>
          <w:lang w:eastAsia="en-US"/>
        </w:rPr>
        <w:t>d</w:t>
      </w:r>
      <w:r w:rsidRPr="000B7589">
        <w:rPr>
          <w:lang w:eastAsia="en-US"/>
        </w:rPr>
        <w:t xml:space="preserve">epartments may need to upgrade their practices, infrastructure or procedures to comply with the Code ahead of joining. </w:t>
      </w:r>
    </w:p>
    <w:p w14:paraId="45FF3780" w14:textId="3EBBAB8B" w:rsidR="00E6232E" w:rsidRPr="000B7589" w:rsidRDefault="00E6232E" w:rsidP="00EC18E7">
      <w:pPr>
        <w:pStyle w:val="BodyText"/>
        <w:rPr>
          <w:rFonts w:eastAsia="Times New Roman"/>
          <w:lang w:eastAsia="en-US"/>
        </w:rPr>
      </w:pPr>
      <w:r w:rsidRPr="000B7589">
        <w:rPr>
          <w:lang w:eastAsia="en-US"/>
        </w:rPr>
        <w:t xml:space="preserve">Compared with Option 3, this option is expected to result in less costs to the </w:t>
      </w:r>
      <w:r w:rsidR="00396063">
        <w:rPr>
          <w:lang w:eastAsia="en-US"/>
        </w:rPr>
        <w:t>Australian Government</w:t>
      </w:r>
      <w:r w:rsidR="00396063" w:rsidRPr="000B7589" w:rsidDel="00396063">
        <w:rPr>
          <w:lang w:eastAsia="en-US"/>
        </w:rPr>
        <w:t xml:space="preserve"> </w:t>
      </w:r>
      <w:r w:rsidRPr="000B7589">
        <w:rPr>
          <w:lang w:eastAsia="en-US"/>
        </w:rPr>
        <w:t>in relation to implementation and ongoing oversight</w:t>
      </w:r>
      <w:r w:rsidR="00011036">
        <w:rPr>
          <w:lang w:eastAsia="en-US"/>
        </w:rPr>
        <w:t xml:space="preserve"> of AGDIS</w:t>
      </w:r>
      <w:r w:rsidRPr="000B7589">
        <w:rPr>
          <w:lang w:eastAsia="en-US"/>
        </w:rPr>
        <w:t xml:space="preserve">. The </w:t>
      </w:r>
      <w:r w:rsidRPr="000B7589">
        <w:rPr>
          <w:rFonts w:eastAsia="Times New Roman"/>
          <w:lang w:eastAsia="en-US"/>
        </w:rPr>
        <w:t xml:space="preserve">approach may introduce added complexity for implementation and operation on an ongoing basis. The source of </w:t>
      </w:r>
      <w:r w:rsidR="00011036">
        <w:rPr>
          <w:rFonts w:eastAsia="Times New Roman"/>
          <w:lang w:eastAsia="en-US"/>
        </w:rPr>
        <w:t>AGDIS’</w:t>
      </w:r>
      <w:r w:rsidRPr="000B7589">
        <w:rPr>
          <w:rFonts w:eastAsia="Times New Roman"/>
          <w:lang w:eastAsia="en-US"/>
        </w:rPr>
        <w:t xml:space="preserve"> legislative authority would reside in legislation administered by a separate </w:t>
      </w:r>
      <w:r w:rsidR="00D86963">
        <w:rPr>
          <w:rFonts w:eastAsia="Times New Roman"/>
          <w:lang w:eastAsia="en-US"/>
        </w:rPr>
        <w:t>d</w:t>
      </w:r>
      <w:r w:rsidRPr="000B7589">
        <w:rPr>
          <w:rFonts w:eastAsia="Times New Roman"/>
          <w:lang w:eastAsia="en-US"/>
        </w:rPr>
        <w:t>epartment and portfolio. While this may introduce some added complexity and potential administrative and governance burdens</w:t>
      </w:r>
      <w:r w:rsidRPr="000B7589">
        <w:rPr>
          <w:lang w:eastAsia="en-US"/>
        </w:rPr>
        <w:t xml:space="preserve">, Option 2 does not involve the establishment of a permanent </w:t>
      </w:r>
      <w:r w:rsidR="004B0885">
        <w:rPr>
          <w:rFonts w:eastAsia="Calibri"/>
          <w:szCs w:val="20"/>
          <w:lang w:eastAsia="en-US"/>
        </w:rPr>
        <w:t xml:space="preserve">Oversight </w:t>
      </w:r>
      <w:r w:rsidR="004B0885">
        <w:rPr>
          <w:lang w:eastAsia="en-US"/>
        </w:rPr>
        <w:t>A</w:t>
      </w:r>
      <w:r w:rsidRPr="000B7589">
        <w:rPr>
          <w:lang w:eastAsia="en-US"/>
        </w:rPr>
        <w:t xml:space="preserve">uthority. This means cost savings arise from associated investments in governance, assurance, compliance and enforcement that would be required to support the </w:t>
      </w:r>
      <w:r w:rsidR="00270FD9">
        <w:rPr>
          <w:lang w:eastAsia="en-US"/>
        </w:rPr>
        <w:t>dedicated regulatory scheme</w:t>
      </w:r>
      <w:r w:rsidR="00270FD9" w:rsidRPr="000B7589">
        <w:rPr>
          <w:lang w:eastAsia="en-US"/>
        </w:rPr>
        <w:t xml:space="preserve"> </w:t>
      </w:r>
      <w:r w:rsidRPr="000B7589">
        <w:rPr>
          <w:lang w:eastAsia="en-US"/>
        </w:rPr>
        <w:t xml:space="preserve">option. The specific extent of these cost savings would depend on </w:t>
      </w:r>
      <w:r w:rsidR="0082411F">
        <w:rPr>
          <w:lang w:eastAsia="en-US"/>
        </w:rPr>
        <w:t xml:space="preserve">Government </w:t>
      </w:r>
      <w:r w:rsidRPr="000B7589">
        <w:rPr>
          <w:lang w:eastAsia="en-US"/>
        </w:rPr>
        <w:t xml:space="preserve">decisions about the reasonable resourcing required to give effect to Option 3. While these potential savings may be considered a benefit in the specific context of the </w:t>
      </w:r>
      <w:r w:rsidR="00396063">
        <w:rPr>
          <w:lang w:eastAsia="en-US"/>
        </w:rPr>
        <w:t>Australian Government’s</w:t>
      </w:r>
      <w:r w:rsidR="0005503B">
        <w:rPr>
          <w:lang w:eastAsia="en-US"/>
        </w:rPr>
        <w:t xml:space="preserve"> </w:t>
      </w:r>
      <w:r w:rsidRPr="000B7589">
        <w:rPr>
          <w:lang w:eastAsia="en-US"/>
        </w:rPr>
        <w:t>budget, they would come at the expense of significant foregone benefits for state, territory and local governments, businesses and individuals, as outlined in this section.</w:t>
      </w:r>
    </w:p>
    <w:p w14:paraId="6B00F57A" w14:textId="3A331D6C" w:rsidR="00E6232E" w:rsidRPr="000B7589" w:rsidRDefault="00E6232E" w:rsidP="00EC18E7">
      <w:pPr>
        <w:pStyle w:val="BodyText"/>
        <w:rPr>
          <w:rFonts w:eastAsia="Times New Roman"/>
          <w:lang w:eastAsia="en-US"/>
        </w:rPr>
      </w:pPr>
      <w:r w:rsidRPr="000B7589">
        <w:rPr>
          <w:rFonts w:eastAsia="Times New Roman"/>
          <w:b/>
          <w:bCs/>
          <w:color w:val="000000"/>
          <w:lang w:eastAsia="en-US"/>
        </w:rPr>
        <w:lastRenderedPageBreak/>
        <w:t>Assessment of net expected benefits</w:t>
      </w:r>
      <w:r w:rsidRPr="000B7589">
        <w:rPr>
          <w:rFonts w:eastAsia="Yu Gothic Light"/>
          <w:color w:val="000000"/>
          <w:lang w:eastAsia="en-US"/>
        </w:rPr>
        <w:t>:</w:t>
      </w:r>
      <w:r w:rsidRPr="000B7589">
        <w:rPr>
          <w:rFonts w:eastAsia="Times New Roman"/>
          <w:color w:val="000000"/>
          <w:lang w:eastAsia="en-US"/>
        </w:rPr>
        <w:t xml:space="preserve"> </w:t>
      </w:r>
      <w:r w:rsidRPr="000B7589">
        <w:rPr>
          <w:rFonts w:eastAsia="Times New Roman"/>
          <w:lang w:eastAsia="en-US"/>
        </w:rPr>
        <w:t xml:space="preserve">The benefits accruing to the </w:t>
      </w:r>
      <w:r w:rsidR="00396063">
        <w:rPr>
          <w:lang w:eastAsia="en-US"/>
        </w:rPr>
        <w:t>Australian Government</w:t>
      </w:r>
      <w:r w:rsidR="00396063" w:rsidRPr="000B7589" w:rsidDel="00396063">
        <w:rPr>
          <w:rFonts w:eastAsia="Times New Roman"/>
          <w:lang w:eastAsia="en-US"/>
        </w:rPr>
        <w:t xml:space="preserve"> </w:t>
      </w:r>
      <w:r w:rsidRPr="000B7589">
        <w:rPr>
          <w:rFonts w:eastAsia="Times New Roman"/>
          <w:lang w:eastAsia="en-US"/>
        </w:rPr>
        <w:t xml:space="preserve">under Option 2 are notable, but broadly equivalent to those available under the status quo, with the addition of some regulatory cost savings. However, the foregone benefits for state, territory and local governments incurred from their exclusion from the </w:t>
      </w:r>
      <w:r w:rsidR="004D61CE">
        <w:rPr>
          <w:rFonts w:eastAsia="Times New Roman"/>
          <w:lang w:eastAsia="en-US"/>
        </w:rPr>
        <w:t xml:space="preserve">market </w:t>
      </w:r>
      <w:r w:rsidRPr="000B7589">
        <w:rPr>
          <w:rFonts w:eastAsia="Times New Roman"/>
          <w:lang w:eastAsia="en-US"/>
        </w:rPr>
        <w:t xml:space="preserve">are also expected to remain significant. Taking these different impacts across levels of government into account, and the potential benefits available under a dedicated regulatory scheme, the net expected benefit of Option 2 is likely to be less than that available under Option 3. </w:t>
      </w:r>
    </w:p>
    <w:p w14:paraId="1ED635AB" w14:textId="77777777" w:rsidR="00E6232E" w:rsidRPr="00AF316E" w:rsidRDefault="00E6232E" w:rsidP="00934950">
      <w:pPr>
        <w:pStyle w:val="Heading3NoNumbers"/>
        <w:rPr>
          <w:rFonts w:eastAsia="Calibri"/>
          <w:color w:val="008675"/>
          <w:lang w:eastAsia="en-US"/>
        </w:rPr>
      </w:pPr>
      <w:bookmarkStart w:id="450" w:name="_Toc80884694"/>
      <w:bookmarkStart w:id="451" w:name="_Toc84925819"/>
      <w:bookmarkStart w:id="452" w:name="_Toc86070036"/>
      <w:r w:rsidRPr="00AF316E">
        <w:rPr>
          <w:color w:val="008675"/>
          <w:lang w:eastAsia="en-US"/>
        </w:rPr>
        <w:t>8.1.4 Community</w:t>
      </w:r>
      <w:bookmarkEnd w:id="450"/>
      <w:bookmarkEnd w:id="451"/>
      <w:bookmarkEnd w:id="452"/>
    </w:p>
    <w:p w14:paraId="1AD5ADC6" w14:textId="5326CF79" w:rsidR="00E6232E" w:rsidRPr="000B7589" w:rsidRDefault="00E6232E" w:rsidP="00EC18E7">
      <w:pPr>
        <w:pStyle w:val="BodyText"/>
        <w:rPr>
          <w:lang w:eastAsia="en-US"/>
        </w:rPr>
      </w:pPr>
      <w:r w:rsidRPr="000B7589">
        <w:rPr>
          <w:lang w:eastAsia="en-US"/>
        </w:rPr>
        <w:t xml:space="preserve">Option 2 does not address the existing restrictions on community organisations’ participation as </w:t>
      </w:r>
      <w:r w:rsidR="0036587B">
        <w:rPr>
          <w:lang w:eastAsia="en-US"/>
        </w:rPr>
        <w:t>r</w:t>
      </w:r>
      <w:r w:rsidRPr="000B7589">
        <w:rPr>
          <w:lang w:eastAsia="en-US"/>
        </w:rPr>
        <w:t xml:space="preserve">elying </w:t>
      </w:r>
      <w:r w:rsidR="0036587B">
        <w:rPr>
          <w:lang w:eastAsia="en-US"/>
        </w:rPr>
        <w:t>p</w:t>
      </w:r>
      <w:r w:rsidRPr="000B7589">
        <w:rPr>
          <w:lang w:eastAsia="en-US"/>
        </w:rPr>
        <w:t xml:space="preserve">arties or as </w:t>
      </w:r>
      <w:r w:rsidR="00D95AF8">
        <w:rPr>
          <w:lang w:eastAsia="en-US"/>
        </w:rPr>
        <w:t xml:space="preserve">onboarded </w:t>
      </w:r>
      <w:r w:rsidR="006E797D">
        <w:rPr>
          <w:lang w:eastAsia="en-US"/>
        </w:rPr>
        <w:t>a</w:t>
      </w:r>
      <w:r w:rsidRPr="000B7589">
        <w:rPr>
          <w:lang w:eastAsia="en-US"/>
        </w:rPr>
        <w:t xml:space="preserve">ccredited </w:t>
      </w:r>
      <w:r w:rsidR="00D95AF8">
        <w:rPr>
          <w:lang w:eastAsia="en-US"/>
        </w:rPr>
        <w:t xml:space="preserve">entities </w:t>
      </w:r>
      <w:r w:rsidR="005D7962">
        <w:rPr>
          <w:lang w:eastAsia="en-US"/>
        </w:rPr>
        <w:t xml:space="preserve">with a legislative ability to </w:t>
      </w:r>
      <w:r w:rsidRPr="000B7589">
        <w:rPr>
          <w:lang w:eastAsia="en-US"/>
        </w:rPr>
        <w:t xml:space="preserve">charge. As such, community organisations </w:t>
      </w:r>
      <w:r w:rsidR="00DA07EA">
        <w:rPr>
          <w:lang w:eastAsia="en-US"/>
        </w:rPr>
        <w:t>that</w:t>
      </w:r>
      <w:r w:rsidRPr="000B7589">
        <w:rPr>
          <w:lang w:eastAsia="en-US"/>
        </w:rPr>
        <w:t xml:space="preserve"> would otherwise wish to participate would experience no added costs under Option 2. However, these organisations also forego the same benefits as outlined under Option</w:t>
      </w:r>
      <w:r w:rsidR="00276ACA">
        <w:rPr>
          <w:lang w:eastAsia="en-US"/>
        </w:rPr>
        <w:t> </w:t>
      </w:r>
      <w:r w:rsidRPr="000B7589">
        <w:rPr>
          <w:lang w:eastAsia="en-US"/>
        </w:rPr>
        <w:t>1, including substantial productivity and efficiency gains which would be particularly valuable to the community sector.</w:t>
      </w:r>
    </w:p>
    <w:p w14:paraId="127857CE" w14:textId="70230AE4" w:rsidR="00E6232E" w:rsidRPr="000B7589" w:rsidRDefault="00E6232E" w:rsidP="00EC18E7">
      <w:pPr>
        <w:pStyle w:val="BodyText"/>
        <w:rPr>
          <w:rFonts w:eastAsia="Yu Gothic Light"/>
          <w:i/>
          <w:iCs/>
          <w:color w:val="2F5496"/>
          <w:lang w:eastAsia="en-US"/>
        </w:rPr>
      </w:pPr>
      <w:r w:rsidRPr="000B7589">
        <w:rPr>
          <w:lang w:eastAsia="en-US"/>
        </w:rPr>
        <w:t>Leveraging existing regulatory frameworks may serve to increase the Australian community understanding of</w:t>
      </w:r>
      <w:r w:rsidR="00283241">
        <w:rPr>
          <w:lang w:eastAsia="en-US"/>
        </w:rPr>
        <w:t xml:space="preserve"> Digital ID</w:t>
      </w:r>
      <w:r w:rsidRPr="000B7589">
        <w:rPr>
          <w:lang w:eastAsia="en-US"/>
        </w:rPr>
        <w:t xml:space="preserve">, and </w:t>
      </w:r>
      <w:r w:rsidRPr="000B7589">
        <w:rPr>
          <w:rFonts w:eastAsia="Calibri"/>
          <w:lang w:eastAsia="en-US"/>
        </w:rPr>
        <w:t>trust and confidence in its protections. However, the consequential impacts on increased uptake would remain inherently limited, with the exclusion of some government and all private sector entities.</w:t>
      </w:r>
    </w:p>
    <w:p w14:paraId="2DCD2944" w14:textId="7BFCE45A" w:rsidR="00E6232E" w:rsidRPr="000B7589" w:rsidRDefault="00E6232E" w:rsidP="00EC18E7">
      <w:pPr>
        <w:pStyle w:val="BodyText"/>
        <w:rPr>
          <w:rFonts w:eastAsia="Calibri"/>
          <w:lang w:eastAsia="en-US"/>
        </w:rPr>
      </w:pPr>
      <w:r w:rsidRPr="000B7589">
        <w:rPr>
          <w:b/>
          <w:bCs/>
          <w:color w:val="000000"/>
          <w:lang w:eastAsia="en-US"/>
        </w:rPr>
        <w:t>Assessment of net expected benefits:</w:t>
      </w:r>
      <w:r w:rsidRPr="000B7589">
        <w:rPr>
          <w:b/>
          <w:bCs/>
          <w:color w:val="000000"/>
          <w:sz w:val="28"/>
          <w:szCs w:val="28"/>
          <w:lang w:eastAsia="en-US"/>
        </w:rPr>
        <w:t xml:space="preserve"> </w:t>
      </w:r>
      <w:r w:rsidRPr="000B7589">
        <w:rPr>
          <w:rFonts w:eastAsia="Calibri"/>
          <w:lang w:eastAsia="en-US"/>
        </w:rPr>
        <w:t>The Australian community’s levels of trust and confidence</w:t>
      </w:r>
      <w:r w:rsidR="00CF4004">
        <w:rPr>
          <w:rFonts w:eastAsia="Calibri"/>
          <w:lang w:eastAsia="en-US"/>
        </w:rPr>
        <w:t xml:space="preserve"> </w:t>
      </w:r>
      <w:r w:rsidRPr="000B7589">
        <w:rPr>
          <w:rFonts w:eastAsia="Calibri"/>
          <w:lang w:eastAsia="en-US"/>
        </w:rPr>
        <w:t xml:space="preserve">may be slightly improved by Option 2, </w:t>
      </w:r>
      <w:r w:rsidR="001F7BED">
        <w:rPr>
          <w:rFonts w:eastAsia="Calibri"/>
          <w:lang w:eastAsia="en-US"/>
        </w:rPr>
        <w:t>due to</w:t>
      </w:r>
      <w:r w:rsidRPr="000B7589">
        <w:rPr>
          <w:rFonts w:eastAsia="Calibri"/>
          <w:lang w:eastAsia="en-US"/>
        </w:rPr>
        <w:t xml:space="preserve"> increased privacy and security protections. However, trust and </w:t>
      </w:r>
      <w:r w:rsidR="00283241">
        <w:rPr>
          <w:rFonts w:eastAsia="Calibri"/>
          <w:lang w:eastAsia="en-US"/>
        </w:rPr>
        <w:t xml:space="preserve">confidence </w:t>
      </w:r>
      <w:r w:rsidRPr="000B7589">
        <w:rPr>
          <w:rFonts w:eastAsia="Calibri"/>
          <w:lang w:eastAsia="en-US"/>
        </w:rPr>
        <w:t xml:space="preserve">would be substantially better supported under Option 3. For community organisations, the costs of Option 2 are likely to outweigh the benefits, as such organisations’ participation as </w:t>
      </w:r>
      <w:r w:rsidR="0036587B">
        <w:rPr>
          <w:rFonts w:eastAsia="Calibri"/>
          <w:lang w:eastAsia="en-US"/>
        </w:rPr>
        <w:t>r</w:t>
      </w:r>
      <w:r w:rsidRPr="000B7589">
        <w:rPr>
          <w:rFonts w:eastAsia="Calibri"/>
          <w:lang w:eastAsia="en-US"/>
        </w:rPr>
        <w:t xml:space="preserve">elying </w:t>
      </w:r>
      <w:r w:rsidR="0036587B">
        <w:rPr>
          <w:rFonts w:eastAsia="Calibri"/>
          <w:lang w:eastAsia="en-US"/>
        </w:rPr>
        <w:t>p</w:t>
      </w:r>
      <w:r w:rsidRPr="000B7589">
        <w:rPr>
          <w:rFonts w:eastAsia="Calibri"/>
          <w:lang w:eastAsia="en-US"/>
        </w:rPr>
        <w:t xml:space="preserve">arties is not supported by Option 2. </w:t>
      </w:r>
    </w:p>
    <w:p w14:paraId="32B4EEB8" w14:textId="5A26495A" w:rsidR="00E6232E" w:rsidRPr="00263478" w:rsidRDefault="00E6232E" w:rsidP="00934950">
      <w:pPr>
        <w:pStyle w:val="Heading2NoNumbers"/>
        <w:rPr>
          <w:color w:val="008675"/>
          <w:lang w:eastAsia="en-US"/>
        </w:rPr>
      </w:pPr>
      <w:bookmarkStart w:id="453" w:name="_Toc80884695"/>
      <w:bookmarkStart w:id="454" w:name="_Toc81226643"/>
      <w:bookmarkStart w:id="455" w:name="_Toc81226919"/>
      <w:bookmarkStart w:id="456" w:name="_Toc81228263"/>
      <w:bookmarkStart w:id="457" w:name="_Toc83951206"/>
      <w:bookmarkStart w:id="458" w:name="_Toc84925820"/>
      <w:bookmarkStart w:id="459" w:name="_Toc84925904"/>
      <w:bookmarkStart w:id="460" w:name="_Toc86045148"/>
      <w:bookmarkStart w:id="461" w:name="_Toc86070037"/>
      <w:bookmarkStart w:id="462" w:name="_Toc149740351"/>
      <w:r w:rsidRPr="00263478">
        <w:rPr>
          <w:color w:val="008675"/>
          <w:lang w:eastAsia="en-US"/>
        </w:rPr>
        <w:t xml:space="preserve">8.2 Regulatory </w:t>
      </w:r>
      <w:r w:rsidR="00985FC3" w:rsidRPr="00263478">
        <w:rPr>
          <w:color w:val="008675"/>
          <w:lang w:eastAsia="en-US"/>
        </w:rPr>
        <w:t>i</w:t>
      </w:r>
      <w:r w:rsidRPr="00263478">
        <w:rPr>
          <w:color w:val="008675"/>
          <w:lang w:eastAsia="en-US"/>
        </w:rPr>
        <w:t>mpacts</w:t>
      </w:r>
      <w:bookmarkEnd w:id="453"/>
      <w:bookmarkEnd w:id="454"/>
      <w:bookmarkEnd w:id="455"/>
      <w:bookmarkEnd w:id="456"/>
      <w:bookmarkEnd w:id="457"/>
      <w:bookmarkEnd w:id="458"/>
      <w:bookmarkEnd w:id="459"/>
      <w:bookmarkEnd w:id="460"/>
      <w:bookmarkEnd w:id="461"/>
      <w:bookmarkEnd w:id="462"/>
    </w:p>
    <w:p w14:paraId="4E2899ED" w14:textId="7951908D" w:rsidR="00840392" w:rsidRDefault="00E6232E" w:rsidP="00EC18E7">
      <w:pPr>
        <w:pStyle w:val="BodyText"/>
        <w:rPr>
          <w:lang w:eastAsia="en-US"/>
        </w:rPr>
      </w:pPr>
      <w:r w:rsidRPr="000B7589">
        <w:rPr>
          <w:lang w:eastAsia="en-US"/>
        </w:rPr>
        <w:t>Option 2 involves leveraging existing regulatory systems to provide protections in key areas such as privacy.</w:t>
      </w:r>
      <w:r w:rsidR="00737BA2">
        <w:rPr>
          <w:lang w:eastAsia="en-US"/>
        </w:rPr>
        <w:t xml:space="preserve"> </w:t>
      </w:r>
      <w:r w:rsidRPr="000B7589">
        <w:rPr>
          <w:lang w:eastAsia="en-US"/>
        </w:rPr>
        <w:t xml:space="preserve">However, this </w:t>
      </w:r>
      <w:r w:rsidR="00847B15">
        <w:rPr>
          <w:lang w:eastAsia="en-US"/>
        </w:rPr>
        <w:t>o</w:t>
      </w:r>
      <w:r w:rsidRPr="000B7589">
        <w:rPr>
          <w:lang w:eastAsia="en-US"/>
        </w:rPr>
        <w:t>ption does not address the existing legal restrictions on involvement of non-</w:t>
      </w:r>
      <w:r w:rsidR="00263478">
        <w:rPr>
          <w:lang w:eastAsia="en-US"/>
        </w:rPr>
        <w:t>Commonwealth</w:t>
      </w:r>
      <w:r w:rsidR="00F33A0D" w:rsidRPr="000B7589" w:rsidDel="00F33A0D">
        <w:rPr>
          <w:lang w:eastAsia="en-US"/>
        </w:rPr>
        <w:t xml:space="preserve"> </w:t>
      </w:r>
      <w:r w:rsidR="0036587B">
        <w:rPr>
          <w:lang w:eastAsia="en-US"/>
        </w:rPr>
        <w:t>r</w:t>
      </w:r>
      <w:r w:rsidRPr="000B7589">
        <w:rPr>
          <w:lang w:eastAsia="en-US"/>
        </w:rPr>
        <w:t xml:space="preserve">elying </w:t>
      </w:r>
      <w:r w:rsidR="0036587B">
        <w:rPr>
          <w:lang w:eastAsia="en-US"/>
        </w:rPr>
        <w:t>p</w:t>
      </w:r>
      <w:r w:rsidRPr="000B7589">
        <w:rPr>
          <w:lang w:eastAsia="en-US"/>
        </w:rPr>
        <w:t xml:space="preserve">arties, and would not </w:t>
      </w:r>
      <w:r w:rsidRPr="000B7589">
        <w:rPr>
          <w:lang w:eastAsia="en-US"/>
        </w:rPr>
        <w:lastRenderedPageBreak/>
        <w:t xml:space="preserve">establish </w:t>
      </w:r>
      <w:r w:rsidR="005758E6">
        <w:rPr>
          <w:lang w:eastAsia="en-US"/>
        </w:rPr>
        <w:t>a</w:t>
      </w:r>
      <w:r w:rsidR="005758E6" w:rsidRPr="000B7589">
        <w:rPr>
          <w:lang w:eastAsia="en-US"/>
        </w:rPr>
        <w:t xml:space="preserve"> </w:t>
      </w:r>
      <w:r w:rsidRPr="000B7589">
        <w:rPr>
          <w:lang w:eastAsia="en-US"/>
        </w:rPr>
        <w:t xml:space="preserve">legislative basis for </w:t>
      </w:r>
      <w:r w:rsidR="00D95AF8">
        <w:rPr>
          <w:lang w:eastAsia="en-US"/>
        </w:rPr>
        <w:t xml:space="preserve">onboarded </w:t>
      </w:r>
      <w:r w:rsidR="0036587B">
        <w:rPr>
          <w:lang w:eastAsia="en-US"/>
        </w:rPr>
        <w:t>a</w:t>
      </w:r>
      <w:r w:rsidRPr="000B7589">
        <w:rPr>
          <w:lang w:eastAsia="en-US"/>
        </w:rPr>
        <w:t xml:space="preserve">ccredited </w:t>
      </w:r>
      <w:r w:rsidR="00D95AF8">
        <w:rPr>
          <w:lang w:eastAsia="en-US"/>
        </w:rPr>
        <w:t xml:space="preserve">entities </w:t>
      </w:r>
      <w:r w:rsidR="005758E6">
        <w:rPr>
          <w:lang w:eastAsia="en-US"/>
        </w:rPr>
        <w:t>to be</w:t>
      </w:r>
      <w:r w:rsidRPr="000B7589">
        <w:rPr>
          <w:lang w:eastAsia="en-US"/>
        </w:rPr>
        <w:t xml:space="preserve"> able to charge. As a result, private sector or community organisations would not be considered </w:t>
      </w:r>
      <w:r w:rsidR="002E1452">
        <w:rPr>
          <w:lang w:eastAsia="en-US"/>
        </w:rPr>
        <w:t>‘</w:t>
      </w:r>
      <w:r w:rsidRPr="000B7589">
        <w:rPr>
          <w:lang w:eastAsia="en-US"/>
        </w:rPr>
        <w:t>regulated entities</w:t>
      </w:r>
      <w:r w:rsidR="00E574BE">
        <w:rPr>
          <w:lang w:eastAsia="en-US"/>
        </w:rPr>
        <w:t>’</w:t>
      </w:r>
      <w:r w:rsidRPr="000B7589">
        <w:rPr>
          <w:lang w:eastAsia="en-US"/>
        </w:rPr>
        <w:t xml:space="preserve"> under this </w:t>
      </w:r>
      <w:r w:rsidR="00847B15">
        <w:rPr>
          <w:lang w:eastAsia="en-US"/>
        </w:rPr>
        <w:t>o</w:t>
      </w:r>
      <w:r w:rsidRPr="000B7589">
        <w:rPr>
          <w:lang w:eastAsia="en-US"/>
        </w:rPr>
        <w:t>ption.</w:t>
      </w:r>
      <w:r w:rsidR="00737BA2">
        <w:rPr>
          <w:lang w:eastAsia="en-US"/>
        </w:rPr>
        <w:t xml:space="preserve"> </w:t>
      </w:r>
      <w:r w:rsidRPr="000B7589">
        <w:rPr>
          <w:lang w:eastAsia="en-US"/>
        </w:rPr>
        <w:t xml:space="preserve">The primary participants (both </w:t>
      </w:r>
      <w:r w:rsidR="0036587B">
        <w:rPr>
          <w:lang w:eastAsia="en-US"/>
        </w:rPr>
        <w:t>r</w:t>
      </w:r>
      <w:r w:rsidRPr="000B7589">
        <w:rPr>
          <w:lang w:eastAsia="en-US"/>
        </w:rPr>
        <w:t xml:space="preserve">elying </w:t>
      </w:r>
      <w:r w:rsidR="0036587B">
        <w:rPr>
          <w:lang w:eastAsia="en-US"/>
        </w:rPr>
        <w:t>p</w:t>
      </w:r>
      <w:r w:rsidRPr="000B7589">
        <w:rPr>
          <w:lang w:eastAsia="en-US"/>
        </w:rPr>
        <w:t>arties and</w:t>
      </w:r>
      <w:r w:rsidR="00D95AF8">
        <w:rPr>
          <w:lang w:eastAsia="en-US"/>
        </w:rPr>
        <w:t xml:space="preserve"> onboarded</w:t>
      </w:r>
      <w:r w:rsidRPr="000B7589">
        <w:rPr>
          <w:lang w:eastAsia="en-US"/>
        </w:rPr>
        <w:t xml:space="preserve"> </w:t>
      </w:r>
      <w:r w:rsidR="0036587B">
        <w:rPr>
          <w:lang w:eastAsia="en-US"/>
        </w:rPr>
        <w:t>a</w:t>
      </w:r>
      <w:r w:rsidRPr="000B7589">
        <w:rPr>
          <w:lang w:eastAsia="en-US"/>
        </w:rPr>
        <w:t xml:space="preserve">ccredited </w:t>
      </w:r>
      <w:r w:rsidR="00D95AF8">
        <w:rPr>
          <w:lang w:eastAsia="en-US"/>
        </w:rPr>
        <w:t>entities</w:t>
      </w:r>
      <w:r w:rsidRPr="000B7589">
        <w:rPr>
          <w:lang w:eastAsia="en-US"/>
        </w:rPr>
        <w:t xml:space="preserve">), would continue to be </w:t>
      </w:r>
      <w:r w:rsidR="00F33A0D">
        <w:rPr>
          <w:lang w:eastAsia="en-US"/>
        </w:rPr>
        <w:t>Australian Government</w:t>
      </w:r>
      <w:r w:rsidR="00F33A0D" w:rsidRPr="000B7589" w:rsidDel="00F33A0D">
        <w:rPr>
          <w:lang w:eastAsia="en-US"/>
        </w:rPr>
        <w:t xml:space="preserve"> </w:t>
      </w:r>
      <w:r w:rsidR="004F51AC">
        <w:rPr>
          <w:lang w:eastAsia="en-US"/>
        </w:rPr>
        <w:t>agencies</w:t>
      </w:r>
      <w:r w:rsidRPr="000B7589">
        <w:rPr>
          <w:lang w:eastAsia="en-US"/>
        </w:rPr>
        <w:t>, which are not within the scope of the Regulatory Burden Measurement Framework.</w:t>
      </w:r>
    </w:p>
    <w:p w14:paraId="18AB4CC5" w14:textId="4923752C" w:rsidR="009C0B1C" w:rsidRPr="000B7589" w:rsidRDefault="009C0B1C" w:rsidP="009C0B1C">
      <w:pPr>
        <w:pStyle w:val="BodyText"/>
        <w:rPr>
          <w:lang w:eastAsia="en-US"/>
        </w:rPr>
      </w:pPr>
      <w:r w:rsidRPr="000B7589">
        <w:rPr>
          <w:lang w:eastAsia="en-US"/>
        </w:rPr>
        <w:t xml:space="preserve">One exception to the above, is GBEs such as Australia Post, which are within the </w:t>
      </w:r>
      <w:r w:rsidR="004F33D2">
        <w:rPr>
          <w:lang w:eastAsia="en-US"/>
        </w:rPr>
        <w:t xml:space="preserve">Framework’s </w:t>
      </w:r>
      <w:r w:rsidRPr="000B7589">
        <w:rPr>
          <w:lang w:eastAsia="en-US"/>
        </w:rPr>
        <w:t>scope. Under Option 2, GBEs would be required to comply with the provisions of a Code registered under the Privacy Act.</w:t>
      </w:r>
      <w:r>
        <w:rPr>
          <w:lang w:eastAsia="en-US"/>
        </w:rPr>
        <w:t xml:space="preserve"> </w:t>
      </w:r>
      <w:r w:rsidRPr="000B7589">
        <w:rPr>
          <w:lang w:eastAsia="en-US"/>
        </w:rPr>
        <w:t xml:space="preserve">As set out in </w:t>
      </w:r>
      <w:r w:rsidRPr="0003576A">
        <w:rPr>
          <w:color w:val="008675"/>
        </w:rPr>
        <w:t xml:space="preserve">Section </w:t>
      </w:r>
      <w:r w:rsidRPr="0003576A">
        <w:rPr>
          <w:color w:val="008675"/>
        </w:rPr>
        <w:fldChar w:fldCharType="begin"/>
      </w:r>
      <w:r w:rsidRPr="0003576A">
        <w:rPr>
          <w:color w:val="008675"/>
        </w:rPr>
        <w:instrText xml:space="preserve"> REF _Ref72159716 \h  \* MERGEFORMAT </w:instrText>
      </w:r>
      <w:r w:rsidRPr="0003576A">
        <w:rPr>
          <w:color w:val="008675"/>
        </w:rPr>
      </w:r>
      <w:r w:rsidRPr="0003576A">
        <w:rPr>
          <w:color w:val="008675"/>
        </w:rPr>
        <w:fldChar w:fldCharType="separate"/>
      </w:r>
      <w:r w:rsidR="00DF50AB" w:rsidRPr="0003576A">
        <w:rPr>
          <w:color w:val="008675"/>
        </w:rPr>
        <w:t>3.2.2 Lack of trust in Digital ID System’s privacy and</w:t>
      </w:r>
      <w:r w:rsidR="00DF50AB" w:rsidRPr="0003576A">
        <w:rPr>
          <w:color w:val="008675"/>
          <w:lang w:eastAsia="en-US"/>
        </w:rPr>
        <w:t xml:space="preserve"> security safeguards</w:t>
      </w:r>
      <w:r w:rsidRPr="0003576A">
        <w:rPr>
          <w:color w:val="008675"/>
        </w:rPr>
        <w:fldChar w:fldCharType="end"/>
      </w:r>
      <w:r w:rsidRPr="000B7589">
        <w:rPr>
          <w:lang w:eastAsia="en-US"/>
        </w:rPr>
        <w:t>, the primary shortcoming that Option 2 would be seeking to address is the inconsistency in privacy obligations across APP and non-APP entities.</w:t>
      </w:r>
      <w:r>
        <w:rPr>
          <w:lang w:eastAsia="en-US"/>
        </w:rPr>
        <w:t xml:space="preserve"> </w:t>
      </w:r>
      <w:r w:rsidRPr="000B7589">
        <w:rPr>
          <w:lang w:eastAsia="en-US"/>
        </w:rPr>
        <w:t>The code envisaged in Option 2 would apply universa</w:t>
      </w:r>
      <w:r w:rsidR="00BF358C">
        <w:rPr>
          <w:lang w:eastAsia="en-US"/>
        </w:rPr>
        <w:t>lly</w:t>
      </w:r>
      <w:r w:rsidRPr="000B7589">
        <w:rPr>
          <w:lang w:eastAsia="en-US"/>
        </w:rPr>
        <w:t xml:space="preserve">, consistent obligations across all </w:t>
      </w:r>
      <w:r w:rsidR="00283241">
        <w:rPr>
          <w:lang w:eastAsia="en-US"/>
        </w:rPr>
        <w:t xml:space="preserve">using </w:t>
      </w:r>
      <w:r w:rsidRPr="000B7589">
        <w:rPr>
          <w:lang w:eastAsia="en-US"/>
        </w:rPr>
        <w:t xml:space="preserve">entities, up to a minimum standard consistent with </w:t>
      </w:r>
      <w:r w:rsidR="00FA5F29">
        <w:rPr>
          <w:lang w:eastAsia="en-US"/>
        </w:rPr>
        <w:t>Australian Government</w:t>
      </w:r>
      <w:r w:rsidR="00FA5F29" w:rsidRPr="000B7589" w:rsidDel="00FA5F29">
        <w:rPr>
          <w:lang w:eastAsia="en-US"/>
        </w:rPr>
        <w:t xml:space="preserve"> </w:t>
      </w:r>
      <w:r w:rsidRPr="000B7589">
        <w:rPr>
          <w:lang w:eastAsia="en-US"/>
        </w:rPr>
        <w:t>privacy legislation.</w:t>
      </w:r>
    </w:p>
    <w:p w14:paraId="7EACE78C" w14:textId="7A5B3307" w:rsidR="009C0B1C" w:rsidRDefault="009C0B1C" w:rsidP="009C0B1C">
      <w:pPr>
        <w:pStyle w:val="BodyText"/>
        <w:rPr>
          <w:lang w:eastAsia="en-US"/>
        </w:rPr>
      </w:pPr>
      <w:r w:rsidRPr="000B7589">
        <w:rPr>
          <w:lang w:eastAsia="en-US"/>
        </w:rPr>
        <w:t xml:space="preserve">As </w:t>
      </w:r>
      <w:r>
        <w:rPr>
          <w:lang w:eastAsia="en-US"/>
        </w:rPr>
        <w:t>GBEs</w:t>
      </w:r>
      <w:r w:rsidRPr="000B7589">
        <w:rPr>
          <w:lang w:eastAsia="en-US"/>
        </w:rPr>
        <w:t xml:space="preserve"> are already bound by the Privacy Act, including the </w:t>
      </w:r>
      <w:r>
        <w:rPr>
          <w:lang w:eastAsia="en-US"/>
        </w:rPr>
        <w:t>NDB</w:t>
      </w:r>
      <w:r w:rsidRPr="000B7589">
        <w:rPr>
          <w:lang w:eastAsia="en-US"/>
        </w:rPr>
        <w:t xml:space="preserve"> Scheme, the additional regulatory cost of complying with any</w:t>
      </w:r>
      <w:r w:rsidR="008C0C91">
        <w:rPr>
          <w:lang w:eastAsia="en-US"/>
        </w:rPr>
        <w:t xml:space="preserve"> p</w:t>
      </w:r>
      <w:r w:rsidRPr="000B7589">
        <w:rPr>
          <w:lang w:eastAsia="en-US"/>
        </w:rPr>
        <w:t xml:space="preserve">rivacy </w:t>
      </w:r>
      <w:r w:rsidR="008C0C91">
        <w:rPr>
          <w:lang w:eastAsia="en-US"/>
        </w:rPr>
        <w:t>c</w:t>
      </w:r>
      <w:r w:rsidRPr="000B7589">
        <w:rPr>
          <w:lang w:eastAsia="en-US"/>
        </w:rPr>
        <w:t>ode under Option 2 is expected to be negligible. As participation is voluntary for GBEs and other participants, it would be expected that GBEs only</w:t>
      </w:r>
      <w:r w:rsidR="00B81B5A">
        <w:rPr>
          <w:lang w:eastAsia="en-US"/>
        </w:rPr>
        <w:t xml:space="preserve"> would only</w:t>
      </w:r>
      <w:r w:rsidRPr="000B7589">
        <w:rPr>
          <w:lang w:eastAsia="en-US"/>
        </w:rPr>
        <w:t xml:space="preserve"> </w:t>
      </w:r>
      <w:r w:rsidR="00B81B5A">
        <w:rPr>
          <w:lang w:eastAsia="en-US"/>
        </w:rPr>
        <w:t xml:space="preserve">provide services if </w:t>
      </w:r>
      <w:r w:rsidRPr="000B7589">
        <w:rPr>
          <w:lang w:eastAsia="en-US"/>
        </w:rPr>
        <w:t>these regulatory costs were offset by broader economic and commercial benefits available.</w:t>
      </w:r>
    </w:p>
    <w:p w14:paraId="19822D28" w14:textId="53E9091D" w:rsidR="00421106" w:rsidRPr="00384F53" w:rsidRDefault="00860EDD" w:rsidP="00B85825">
      <w:pPr>
        <w:pStyle w:val="BodyText"/>
      </w:pPr>
      <w:r>
        <w:rPr>
          <w:lang w:eastAsia="en-US"/>
        </w:rPr>
        <w:t xml:space="preserve">The regulatory cost </w:t>
      </w:r>
      <w:r w:rsidR="00EB305F">
        <w:rPr>
          <w:lang w:eastAsia="en-US"/>
        </w:rPr>
        <w:t xml:space="preserve">for Option 2 is the estimated </w:t>
      </w:r>
      <w:r w:rsidR="00203346">
        <w:rPr>
          <w:lang w:eastAsia="en-US"/>
        </w:rPr>
        <w:t xml:space="preserve">total </w:t>
      </w:r>
      <w:r w:rsidR="00EB305F">
        <w:rPr>
          <w:lang w:eastAsia="en-US"/>
        </w:rPr>
        <w:t xml:space="preserve">amount it would cost </w:t>
      </w:r>
      <w:r w:rsidR="00203346">
        <w:rPr>
          <w:lang w:eastAsia="en-US"/>
        </w:rPr>
        <w:t xml:space="preserve">impacted </w:t>
      </w:r>
      <w:r w:rsidR="00EB305F">
        <w:rPr>
          <w:lang w:eastAsia="en-US"/>
        </w:rPr>
        <w:t>entit</w:t>
      </w:r>
      <w:r w:rsidR="00203346">
        <w:rPr>
          <w:lang w:eastAsia="en-US"/>
        </w:rPr>
        <w:t>ies</w:t>
      </w:r>
      <w:r w:rsidR="00EB305F">
        <w:rPr>
          <w:lang w:eastAsia="en-US"/>
        </w:rPr>
        <w:t xml:space="preserve"> to comply with</w:t>
      </w:r>
      <w:r w:rsidR="00371C72">
        <w:rPr>
          <w:lang w:eastAsia="en-US"/>
        </w:rPr>
        <w:t xml:space="preserve"> leveraging </w:t>
      </w:r>
      <w:r w:rsidR="00201327">
        <w:rPr>
          <w:lang w:eastAsia="en-US"/>
        </w:rPr>
        <w:t xml:space="preserve">existing regulatory systems </w:t>
      </w:r>
      <w:r w:rsidR="00371C72">
        <w:rPr>
          <w:lang w:eastAsia="en-US"/>
        </w:rPr>
        <w:t>to</w:t>
      </w:r>
      <w:r w:rsidR="00201327">
        <w:rPr>
          <w:lang w:eastAsia="en-US"/>
        </w:rPr>
        <w:t xml:space="preserve"> </w:t>
      </w:r>
      <w:r w:rsidR="00FD3DE2">
        <w:rPr>
          <w:lang w:eastAsia="en-US"/>
        </w:rPr>
        <w:t xml:space="preserve">enhance privacy safeguards, </w:t>
      </w:r>
      <w:r w:rsidR="00FB7B6C">
        <w:rPr>
          <w:lang w:eastAsia="en-US"/>
        </w:rPr>
        <w:t xml:space="preserve">based on time </w:t>
      </w:r>
      <w:r w:rsidR="00FB7B6C">
        <w:rPr>
          <w:lang w:val="en-US"/>
        </w:rPr>
        <w:t xml:space="preserve">and </w:t>
      </w:r>
      <w:proofErr w:type="spellStart"/>
      <w:r w:rsidR="00FB7B6C">
        <w:rPr>
          <w:lang w:val="en-US"/>
        </w:rPr>
        <w:t>labour</w:t>
      </w:r>
      <w:proofErr w:type="spellEnd"/>
      <w:r w:rsidR="00FB7B6C">
        <w:rPr>
          <w:lang w:val="en-US"/>
        </w:rPr>
        <w:t xml:space="preserve"> cost</w:t>
      </w:r>
      <w:r w:rsidR="00F955D1">
        <w:rPr>
          <w:lang w:val="en-US"/>
        </w:rPr>
        <w:t>s</w:t>
      </w:r>
      <w:r w:rsidR="00FB7B6C">
        <w:rPr>
          <w:lang w:val="en-US"/>
        </w:rPr>
        <w:t xml:space="preserve"> </w:t>
      </w:r>
      <w:r w:rsidR="00F955D1">
        <w:rPr>
          <w:lang w:val="en-US"/>
        </w:rPr>
        <w:t xml:space="preserve">to </w:t>
      </w:r>
      <w:r w:rsidR="00FB7B6C">
        <w:rPr>
          <w:lang w:val="en-US"/>
        </w:rPr>
        <w:t>undertak</w:t>
      </w:r>
      <w:r w:rsidR="00F955D1">
        <w:rPr>
          <w:lang w:val="en-US"/>
        </w:rPr>
        <w:t>e</w:t>
      </w:r>
      <w:r w:rsidR="00FB7B6C">
        <w:rPr>
          <w:lang w:val="en-US"/>
        </w:rPr>
        <w:t xml:space="preserve"> required activities (</w:t>
      </w:r>
      <w:r w:rsidR="246A5B4A">
        <w:rPr>
          <w:lang w:val="en-US"/>
        </w:rPr>
        <w:t>i.e.</w:t>
      </w:r>
      <w:r w:rsidR="00FB7B6C">
        <w:rPr>
          <w:lang w:val="en-US"/>
        </w:rPr>
        <w:t xml:space="preserve"> it is not a ‘fee’ or ‘charge’).</w:t>
      </w:r>
      <w:r w:rsidR="00FB7B6C">
        <w:t xml:space="preserve"> Th</w:t>
      </w:r>
      <w:r w:rsidR="00F955D1">
        <w:t>i</w:t>
      </w:r>
      <w:r w:rsidR="00FB7B6C">
        <w:t>s figure has been developed</w:t>
      </w:r>
      <w:r w:rsidR="00F955D1">
        <w:t xml:space="preserve"> in accordance with </w:t>
      </w:r>
      <w:r w:rsidR="00FB7B6C">
        <w:t xml:space="preserve">the Australian Government’s </w:t>
      </w:r>
      <w:hyperlink r:id="rId75" w:history="1">
        <w:r w:rsidR="00FB7B6C" w:rsidRPr="00F430FD">
          <w:rPr>
            <w:rStyle w:val="Hyperlink"/>
            <w:color w:val="008675"/>
          </w:rPr>
          <w:t>Regulatory Burden Measurement Framework</w:t>
        </w:r>
      </w:hyperlink>
      <w:r w:rsidR="00FB7B6C">
        <w:t>, and relies on a range of assumptions described in further</w:t>
      </w:r>
      <w:r w:rsidR="00DF50AB">
        <w:t xml:space="preserve"> </w:t>
      </w:r>
      <w:r w:rsidR="00FB7B6C">
        <w:t xml:space="preserve">detail in </w:t>
      </w:r>
      <w:r w:rsidR="00FB7B6C" w:rsidRPr="00F430FD">
        <w:rPr>
          <w:color w:val="008675"/>
        </w:rPr>
        <w:t xml:space="preserve">Appendix E </w:t>
      </w:r>
      <w:r w:rsidR="00FB7B6C" w:rsidRPr="00F430FD">
        <w:rPr>
          <w:color w:val="008675"/>
        </w:rPr>
        <w:fldChar w:fldCharType="begin"/>
      </w:r>
      <w:r w:rsidR="00FB7B6C" w:rsidRPr="00F430FD">
        <w:rPr>
          <w:color w:val="008675"/>
        </w:rPr>
        <w:instrText xml:space="preserve"> REF _Ref75345783 \h  \* MERGEFORMAT </w:instrText>
      </w:r>
      <w:r w:rsidR="00FB7B6C" w:rsidRPr="00F430FD">
        <w:rPr>
          <w:color w:val="008675"/>
        </w:rPr>
      </w:r>
      <w:r w:rsidR="00FB7B6C" w:rsidRPr="00F430FD">
        <w:rPr>
          <w:color w:val="008675"/>
        </w:rPr>
        <w:fldChar w:fldCharType="separate"/>
      </w:r>
      <w:r w:rsidR="00FB7B6C" w:rsidRPr="00F430FD">
        <w:rPr>
          <w:color w:val="008675"/>
        </w:rPr>
        <w:t xml:space="preserve">Regulatory costs: </w:t>
      </w:r>
      <w:r w:rsidR="00914D81" w:rsidRPr="00F430FD">
        <w:rPr>
          <w:color w:val="008675"/>
        </w:rPr>
        <w:t>M</w:t>
      </w:r>
      <w:r w:rsidR="00FB7B6C" w:rsidRPr="00F430FD">
        <w:rPr>
          <w:color w:val="008675"/>
        </w:rPr>
        <w:t>ethodology and assumptions</w:t>
      </w:r>
      <w:r w:rsidR="00FB7B6C" w:rsidRPr="00F430FD">
        <w:rPr>
          <w:color w:val="008675"/>
        </w:rPr>
        <w:fldChar w:fldCharType="end"/>
      </w:r>
      <w:r w:rsidR="00FB7B6C" w:rsidRPr="00F430FD">
        <w:rPr>
          <w:color w:val="008675"/>
        </w:rPr>
        <w:t>.</w:t>
      </w:r>
      <w:r w:rsidR="00FB7B6C">
        <w:rPr>
          <w:color w:val="0000FF"/>
        </w:rPr>
        <w:t xml:space="preserve"> </w:t>
      </w:r>
      <w:r w:rsidR="00F955D1">
        <w:rPr>
          <w:lang w:eastAsia="en-US"/>
        </w:rPr>
        <w:t>T</w:t>
      </w:r>
      <w:r w:rsidR="00F955D1" w:rsidRPr="002F3B4A">
        <w:rPr>
          <w:lang w:eastAsia="en-US"/>
        </w:rPr>
        <w:t xml:space="preserve">he annual </w:t>
      </w:r>
      <w:r w:rsidR="00F955D1">
        <w:rPr>
          <w:lang w:eastAsia="en-US"/>
        </w:rPr>
        <w:t>economy</w:t>
      </w:r>
      <w:r w:rsidR="00914D81">
        <w:rPr>
          <w:lang w:eastAsia="en-US"/>
        </w:rPr>
        <w:noBreakHyphen/>
      </w:r>
      <w:r w:rsidR="00F955D1">
        <w:rPr>
          <w:lang w:eastAsia="en-US"/>
        </w:rPr>
        <w:t xml:space="preserve">wide </w:t>
      </w:r>
      <w:r w:rsidR="00F955D1" w:rsidRPr="002F3B4A">
        <w:rPr>
          <w:lang w:eastAsia="en-US"/>
        </w:rPr>
        <w:t xml:space="preserve">regulatory cost of Option 2 has been estimated at </w:t>
      </w:r>
      <w:r w:rsidR="00AD1DF0" w:rsidRPr="008F2CE7">
        <w:rPr>
          <w:b/>
          <w:bCs/>
          <w:lang w:eastAsia="en-US"/>
        </w:rPr>
        <w:t>$23,502</w:t>
      </w:r>
      <w:r w:rsidR="00F955D1" w:rsidRPr="00F955D1">
        <w:rPr>
          <w:lang w:eastAsia="en-US"/>
        </w:rPr>
        <w:t xml:space="preserve">, as set out </w:t>
      </w:r>
      <w:r w:rsidR="00291883">
        <w:rPr>
          <w:lang w:eastAsia="en-US"/>
        </w:rPr>
        <w:t xml:space="preserve">in </w:t>
      </w:r>
      <w:r w:rsidR="00F433A3">
        <w:rPr>
          <w:lang w:eastAsia="en-US"/>
        </w:rPr>
        <w:t>T</w:t>
      </w:r>
      <w:r w:rsidR="00291883">
        <w:rPr>
          <w:lang w:eastAsia="en-US"/>
        </w:rPr>
        <w:t xml:space="preserve">able 3 </w:t>
      </w:r>
      <w:r w:rsidR="00F955D1" w:rsidRPr="00F955D1">
        <w:rPr>
          <w:lang w:eastAsia="en-US"/>
        </w:rPr>
        <w:t>below</w:t>
      </w:r>
      <w:r w:rsidR="00F955D1">
        <w:rPr>
          <w:lang w:eastAsia="en-US"/>
        </w:rPr>
        <w:t>.</w:t>
      </w:r>
      <w:r w:rsidR="00B82BD2">
        <w:rPr>
          <w:lang w:eastAsia="en-US"/>
        </w:rPr>
        <w:t xml:space="preserve"> For contextual purposes, the select indirect benefits estimated </w:t>
      </w:r>
      <w:r w:rsidR="008C5E2F">
        <w:rPr>
          <w:lang w:eastAsia="en-US"/>
        </w:rPr>
        <w:t xml:space="preserve">at a whole-of-economy level </w:t>
      </w:r>
      <w:r w:rsidR="00B82BD2">
        <w:rPr>
          <w:lang w:eastAsia="en-US"/>
        </w:rPr>
        <w:t xml:space="preserve">from individual time savings are also presented below </w:t>
      </w:r>
      <w:r w:rsidR="00F433A3">
        <w:rPr>
          <w:lang w:eastAsia="en-US"/>
        </w:rPr>
        <w:t>in T</w:t>
      </w:r>
      <w:r w:rsidR="00B82BD2">
        <w:rPr>
          <w:lang w:eastAsia="en-US"/>
        </w:rPr>
        <w:t>able 4.</w:t>
      </w:r>
    </w:p>
    <w:p w14:paraId="6EED7EA8" w14:textId="77777777" w:rsidR="00421106" w:rsidRPr="00384F53" w:rsidRDefault="00421106" w:rsidP="00B85825">
      <w:pPr>
        <w:pStyle w:val="BodyText"/>
        <w:rPr>
          <w:lang w:eastAsia="en-US"/>
        </w:rPr>
      </w:pPr>
    </w:p>
    <w:tbl>
      <w:tblPr>
        <w:tblStyle w:val="GridTable2-Accent1"/>
        <w:tblW w:w="0" w:type="auto"/>
        <w:tblLook w:val="04A0" w:firstRow="1" w:lastRow="0" w:firstColumn="1" w:lastColumn="0" w:noHBand="0" w:noVBand="1"/>
      </w:tblPr>
      <w:tblGrid>
        <w:gridCol w:w="1995"/>
        <w:gridCol w:w="1157"/>
        <w:gridCol w:w="1493"/>
        <w:gridCol w:w="1561"/>
        <w:gridCol w:w="1261"/>
        <w:gridCol w:w="1559"/>
      </w:tblGrid>
      <w:tr w:rsidR="00421106" w:rsidRPr="00421106" w14:paraId="04428C82" w14:textId="77777777" w:rsidTr="00B86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tcBorders>
              <w:bottom w:val="nil"/>
            </w:tcBorders>
          </w:tcPr>
          <w:p w14:paraId="1EDFA17A" w14:textId="1AA8F5A5" w:rsidR="00E7128C" w:rsidRPr="00421106" w:rsidRDefault="00E7128C" w:rsidP="003E17A7">
            <w:pPr>
              <w:pStyle w:val="Heading4NoNumbers"/>
              <w:spacing w:after="240"/>
              <w:rPr>
                <w:rStyle w:val="Bold"/>
                <w:b w:val="0"/>
                <w:color w:val="008675"/>
              </w:rPr>
            </w:pPr>
            <w:r w:rsidRPr="00421106">
              <w:rPr>
                <w:rStyle w:val="Bold"/>
                <w:color w:val="008675"/>
              </w:rPr>
              <w:lastRenderedPageBreak/>
              <w:t>Option 2 Average Annual Compliance Costs (from business as usual)</w:t>
            </w:r>
          </w:p>
        </w:tc>
      </w:tr>
      <w:tr w:rsidR="00421106" w:rsidRPr="00421106" w14:paraId="5CC3FCCA" w14:textId="77777777" w:rsidTr="00F75DC6">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6ECFF5" w:themeColor="accent3"/>
              <w:right w:val="single" w:sz="4" w:space="0" w:color="008675"/>
            </w:tcBorders>
            <w:shd w:val="clear" w:color="auto" w:fill="D2EEED"/>
            <w:vAlign w:val="center"/>
          </w:tcPr>
          <w:p w14:paraId="0814F9C6" w14:textId="77777777" w:rsidR="00AD1DF0" w:rsidRPr="00421106" w:rsidRDefault="00AD1DF0" w:rsidP="00810147">
            <w:pPr>
              <w:pStyle w:val="BodyTextemphasised"/>
              <w:rPr>
                <w:rStyle w:val="Bold"/>
                <w:color w:val="008675"/>
                <w:sz w:val="20"/>
                <w:szCs w:val="20"/>
              </w:rPr>
            </w:pPr>
            <w:r w:rsidRPr="00421106">
              <w:rPr>
                <w:rStyle w:val="Bold"/>
                <w:color w:val="008675"/>
                <w:sz w:val="20"/>
                <w:szCs w:val="20"/>
              </w:rPr>
              <w:t>Costs ($m)*</w:t>
            </w:r>
          </w:p>
        </w:tc>
        <w:tc>
          <w:tcPr>
            <w:tcW w:w="0" w:type="dxa"/>
            <w:tcBorders>
              <w:top w:val="nil"/>
              <w:left w:val="single" w:sz="4" w:space="0" w:color="008675"/>
              <w:bottom w:val="single" w:sz="4" w:space="0" w:color="6ECFF5" w:themeColor="accent3"/>
              <w:right w:val="single" w:sz="4" w:space="0" w:color="008675"/>
            </w:tcBorders>
            <w:shd w:val="clear" w:color="auto" w:fill="D2EEED"/>
            <w:vAlign w:val="center"/>
          </w:tcPr>
          <w:p w14:paraId="6B87873C" w14:textId="6D168A71" w:rsidR="00AD1DF0" w:rsidRPr="00421106" w:rsidRDefault="00AD1DF0" w:rsidP="00810147">
            <w:pPr>
              <w:pStyle w:val="BodyTextemphasised"/>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421106">
              <w:rPr>
                <w:rStyle w:val="Bold"/>
                <w:b/>
                <w:color w:val="008675"/>
                <w:sz w:val="20"/>
                <w:szCs w:val="20"/>
              </w:rPr>
              <w:t>GBE**</w:t>
            </w:r>
          </w:p>
        </w:tc>
        <w:tc>
          <w:tcPr>
            <w:tcW w:w="0" w:type="dxa"/>
            <w:tcBorders>
              <w:top w:val="nil"/>
              <w:left w:val="single" w:sz="4" w:space="0" w:color="008675"/>
              <w:bottom w:val="single" w:sz="4" w:space="0" w:color="6ECFF5" w:themeColor="accent3"/>
              <w:right w:val="single" w:sz="4" w:space="0" w:color="008675"/>
            </w:tcBorders>
            <w:shd w:val="clear" w:color="auto" w:fill="D2EEED"/>
            <w:vAlign w:val="center"/>
          </w:tcPr>
          <w:p w14:paraId="27BECA4B" w14:textId="03944E2B" w:rsidR="00AD1DF0" w:rsidRPr="00421106" w:rsidRDefault="00AD1DF0" w:rsidP="00810147">
            <w:pPr>
              <w:pStyle w:val="BodyTextemphasised"/>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421106">
              <w:rPr>
                <w:rStyle w:val="Bold"/>
                <w:b/>
                <w:color w:val="008675"/>
                <w:sz w:val="20"/>
                <w:szCs w:val="20"/>
              </w:rPr>
              <w:t>Business</w:t>
            </w:r>
          </w:p>
        </w:tc>
        <w:tc>
          <w:tcPr>
            <w:tcW w:w="0" w:type="dxa"/>
            <w:tcBorders>
              <w:top w:val="nil"/>
              <w:left w:val="single" w:sz="4" w:space="0" w:color="008675"/>
              <w:bottom w:val="single" w:sz="4" w:space="0" w:color="6ECFF5" w:themeColor="accent3"/>
              <w:right w:val="single" w:sz="4" w:space="0" w:color="008675"/>
            </w:tcBorders>
            <w:shd w:val="clear" w:color="auto" w:fill="D2EEED"/>
            <w:vAlign w:val="center"/>
          </w:tcPr>
          <w:p w14:paraId="5D635CE9" w14:textId="77777777" w:rsidR="00AD1DF0" w:rsidRPr="00421106" w:rsidRDefault="00AD1DF0" w:rsidP="00B00FE2">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421106">
              <w:rPr>
                <w:rStyle w:val="Bold"/>
                <w:b/>
                <w:color w:val="008675"/>
                <w:sz w:val="20"/>
                <w:szCs w:val="20"/>
              </w:rPr>
              <w:t>Community Organisations</w:t>
            </w:r>
          </w:p>
        </w:tc>
        <w:tc>
          <w:tcPr>
            <w:tcW w:w="0" w:type="dxa"/>
            <w:tcBorders>
              <w:top w:val="nil"/>
              <w:left w:val="single" w:sz="4" w:space="0" w:color="008675"/>
              <w:bottom w:val="single" w:sz="4" w:space="0" w:color="6ECFF5" w:themeColor="accent3"/>
              <w:right w:val="single" w:sz="4" w:space="0" w:color="008675"/>
            </w:tcBorders>
            <w:shd w:val="clear" w:color="auto" w:fill="D2EEED"/>
            <w:vAlign w:val="center"/>
          </w:tcPr>
          <w:p w14:paraId="47F0434A" w14:textId="77777777" w:rsidR="00AD1DF0" w:rsidRPr="00421106" w:rsidRDefault="00AD1DF0" w:rsidP="00810147">
            <w:pPr>
              <w:pStyle w:val="BodyTextemphasised"/>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421106">
              <w:rPr>
                <w:rStyle w:val="Bold"/>
                <w:b/>
                <w:color w:val="008675"/>
                <w:sz w:val="20"/>
                <w:szCs w:val="20"/>
              </w:rPr>
              <w:t>Individuals</w:t>
            </w:r>
          </w:p>
        </w:tc>
        <w:tc>
          <w:tcPr>
            <w:tcW w:w="0" w:type="dxa"/>
            <w:tcBorders>
              <w:top w:val="nil"/>
              <w:left w:val="single" w:sz="4" w:space="0" w:color="008675"/>
              <w:bottom w:val="single" w:sz="4" w:space="0" w:color="6ECFF5" w:themeColor="accent3"/>
            </w:tcBorders>
            <w:shd w:val="clear" w:color="auto" w:fill="D2EEED"/>
            <w:vAlign w:val="center"/>
          </w:tcPr>
          <w:p w14:paraId="67525641" w14:textId="184DB501" w:rsidR="00AD1DF0" w:rsidRPr="00421106" w:rsidRDefault="00AD1DF0" w:rsidP="00810147">
            <w:pPr>
              <w:pStyle w:val="BodyTextemphasised"/>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421106">
              <w:rPr>
                <w:rStyle w:val="Bold"/>
                <w:b/>
                <w:color w:val="008675"/>
                <w:sz w:val="20"/>
                <w:szCs w:val="20"/>
              </w:rPr>
              <w:t>Total Cost</w:t>
            </w:r>
          </w:p>
        </w:tc>
      </w:tr>
      <w:tr w:rsidR="004A2BEF" w:rsidRPr="00C311D0" w14:paraId="05799B8F" w14:textId="77777777" w:rsidTr="00421106">
        <w:trPr>
          <w:trHeight w:val="624"/>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008675"/>
              <w:bottom w:val="single" w:sz="4" w:space="0" w:color="008675"/>
              <w:right w:val="single" w:sz="4" w:space="0" w:color="008675"/>
            </w:tcBorders>
            <w:shd w:val="clear" w:color="auto" w:fill="FFFFFF" w:themeFill="background1"/>
            <w:vAlign w:val="center"/>
          </w:tcPr>
          <w:p w14:paraId="65C5B0EA" w14:textId="2D56EC3D" w:rsidR="00AD1DF0" w:rsidRPr="001D2793" w:rsidRDefault="00AD1DF0" w:rsidP="00356E99">
            <w:pPr>
              <w:pStyle w:val="BodyTextemphasised"/>
              <w:rPr>
                <w:color w:val="000000" w:themeColor="text1"/>
                <w:sz w:val="20"/>
                <w:szCs w:val="20"/>
              </w:rPr>
            </w:pPr>
            <w:r w:rsidRPr="001D2793">
              <w:rPr>
                <w:color w:val="000000" w:themeColor="text1"/>
                <w:sz w:val="20"/>
                <w:szCs w:val="20"/>
              </w:rPr>
              <w:t>Relying Parties</w:t>
            </w:r>
          </w:p>
        </w:tc>
        <w:tc>
          <w:tcPr>
            <w:tcW w:w="1157" w:type="dxa"/>
            <w:tcBorders>
              <w:top w:val="single" w:sz="4" w:space="0" w:color="008675"/>
              <w:left w:val="single" w:sz="4" w:space="0" w:color="008675"/>
              <w:bottom w:val="single" w:sz="4" w:space="0" w:color="008675"/>
              <w:right w:val="single" w:sz="4" w:space="0" w:color="008675"/>
            </w:tcBorders>
            <w:shd w:val="clear" w:color="auto" w:fill="FFFFFF" w:themeFill="background1"/>
            <w:vAlign w:val="center"/>
          </w:tcPr>
          <w:p w14:paraId="65DF26E2" w14:textId="15553D05" w:rsidR="00AD1DF0" w:rsidRPr="001D2793" w:rsidRDefault="00AD1DF0" w:rsidP="003E0E2A">
            <w:pPr>
              <w:pStyle w:val="BodyTextemphasised"/>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sidRPr="001D2793">
              <w:rPr>
                <w:b w:val="0"/>
                <w:color w:val="000000" w:themeColor="text1"/>
                <w:sz w:val="20"/>
                <w:szCs w:val="20"/>
              </w:rPr>
              <w:t>$23,502</w:t>
            </w:r>
          </w:p>
        </w:tc>
        <w:tc>
          <w:tcPr>
            <w:tcW w:w="4315" w:type="dxa"/>
            <w:gridSpan w:val="3"/>
            <w:tcBorders>
              <w:top w:val="single" w:sz="4" w:space="0" w:color="008675"/>
              <w:left w:val="single" w:sz="4" w:space="0" w:color="008675"/>
              <w:bottom w:val="single" w:sz="4" w:space="0" w:color="008675"/>
              <w:right w:val="single" w:sz="4" w:space="0" w:color="008675"/>
            </w:tcBorders>
            <w:shd w:val="clear" w:color="auto" w:fill="FFFFFF" w:themeFill="background1"/>
            <w:vAlign w:val="center"/>
          </w:tcPr>
          <w:p w14:paraId="0770EB34" w14:textId="77777777" w:rsidR="00AD1DF0" w:rsidRPr="001D2793" w:rsidRDefault="00AD1DF0" w:rsidP="003E0E2A">
            <w:pPr>
              <w:pStyle w:val="BodyTextemphasised"/>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559" w:type="dxa"/>
            <w:tcBorders>
              <w:top w:val="single" w:sz="4" w:space="0" w:color="008675"/>
              <w:left w:val="single" w:sz="4" w:space="0" w:color="008675"/>
              <w:bottom w:val="single" w:sz="4" w:space="0" w:color="008675"/>
            </w:tcBorders>
            <w:shd w:val="clear" w:color="auto" w:fill="FFFFFF" w:themeFill="background1"/>
            <w:vAlign w:val="center"/>
          </w:tcPr>
          <w:p w14:paraId="11FBD727" w14:textId="2CDDEFE8" w:rsidR="00AD1DF0" w:rsidRPr="001D2793" w:rsidRDefault="00AD1DF0" w:rsidP="003E0E2A">
            <w:pPr>
              <w:pStyle w:val="BodyTextemphasised"/>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D2793">
              <w:rPr>
                <w:b w:val="0"/>
                <w:color w:val="000000" w:themeColor="text1"/>
                <w:sz w:val="20"/>
                <w:szCs w:val="20"/>
              </w:rPr>
              <w:t>$23,502</w:t>
            </w:r>
          </w:p>
        </w:tc>
      </w:tr>
      <w:tr w:rsidR="00C05E1F" w:rsidRPr="00C311D0" w14:paraId="2BF2898F" w14:textId="77777777" w:rsidTr="0042110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95" w:type="dxa"/>
            <w:tcBorders>
              <w:top w:val="single" w:sz="4" w:space="0" w:color="008675"/>
              <w:bottom w:val="single" w:sz="4" w:space="0" w:color="008675"/>
              <w:right w:val="single" w:sz="4" w:space="0" w:color="008675"/>
            </w:tcBorders>
            <w:shd w:val="clear" w:color="auto" w:fill="FFFFFF" w:themeFill="background1"/>
            <w:vAlign w:val="center"/>
          </w:tcPr>
          <w:p w14:paraId="31C7CB53" w14:textId="77777777" w:rsidR="00AD1DF0" w:rsidRPr="001D2793" w:rsidRDefault="00AD1DF0" w:rsidP="00356E99">
            <w:pPr>
              <w:pStyle w:val="BodyTextemphasised"/>
              <w:rPr>
                <w:rStyle w:val="Bold"/>
                <w:color w:val="000000" w:themeColor="text1"/>
                <w:sz w:val="20"/>
                <w:szCs w:val="20"/>
              </w:rPr>
            </w:pPr>
            <w:r w:rsidRPr="001D2793">
              <w:rPr>
                <w:rStyle w:val="Bold"/>
                <w:color w:val="000000" w:themeColor="text1"/>
                <w:sz w:val="20"/>
                <w:szCs w:val="20"/>
              </w:rPr>
              <w:t>Total by Sector</w:t>
            </w:r>
          </w:p>
        </w:tc>
        <w:tc>
          <w:tcPr>
            <w:tcW w:w="1157" w:type="dxa"/>
            <w:tcBorders>
              <w:top w:val="single" w:sz="4" w:space="0" w:color="008675"/>
              <w:left w:val="single" w:sz="4" w:space="0" w:color="008675"/>
              <w:bottom w:val="single" w:sz="4" w:space="0" w:color="008675"/>
              <w:right w:val="single" w:sz="4" w:space="0" w:color="008675"/>
            </w:tcBorders>
            <w:shd w:val="clear" w:color="auto" w:fill="FFFFFF" w:themeFill="background1"/>
            <w:vAlign w:val="center"/>
          </w:tcPr>
          <w:p w14:paraId="01F788DF" w14:textId="3A958B37" w:rsidR="00AD1DF0" w:rsidRPr="001D2793" w:rsidRDefault="00AD1DF0" w:rsidP="003E0E2A">
            <w:pPr>
              <w:pStyle w:val="BodyTextemphasised"/>
              <w:cnfStyle w:val="000000100000" w:firstRow="0" w:lastRow="0" w:firstColumn="0" w:lastColumn="0" w:oddVBand="0" w:evenVBand="0" w:oddHBand="1" w:evenHBand="0" w:firstRowFirstColumn="0" w:firstRowLastColumn="0" w:lastRowFirstColumn="0" w:lastRowLastColumn="0"/>
              <w:rPr>
                <w:rStyle w:val="Bold"/>
                <w:color w:val="000000" w:themeColor="text1"/>
                <w:sz w:val="20"/>
                <w:szCs w:val="20"/>
              </w:rPr>
            </w:pPr>
            <w:r w:rsidRPr="001D2793">
              <w:rPr>
                <w:color w:val="000000" w:themeColor="text1"/>
                <w:sz w:val="20"/>
                <w:szCs w:val="20"/>
              </w:rPr>
              <w:t>+ $23,502</w:t>
            </w:r>
          </w:p>
        </w:tc>
        <w:tc>
          <w:tcPr>
            <w:tcW w:w="1493" w:type="dxa"/>
            <w:tcBorders>
              <w:top w:val="single" w:sz="4" w:space="0" w:color="008675"/>
              <w:left w:val="single" w:sz="4" w:space="0" w:color="008675"/>
              <w:bottom w:val="single" w:sz="4" w:space="0" w:color="008675"/>
              <w:right w:val="single" w:sz="4" w:space="0" w:color="008675"/>
            </w:tcBorders>
            <w:shd w:val="clear" w:color="auto" w:fill="FFFFFF" w:themeFill="background1"/>
            <w:vAlign w:val="center"/>
          </w:tcPr>
          <w:p w14:paraId="58CFF01D" w14:textId="74F6D7C5" w:rsidR="00AD1DF0" w:rsidRPr="001D2793" w:rsidRDefault="00AD1DF0" w:rsidP="003E0E2A">
            <w:pPr>
              <w:pStyle w:val="BodyTextemphasised"/>
              <w:cnfStyle w:val="000000100000" w:firstRow="0" w:lastRow="0" w:firstColumn="0" w:lastColumn="0" w:oddVBand="0" w:evenVBand="0" w:oddHBand="1" w:evenHBand="0" w:firstRowFirstColumn="0" w:firstRowLastColumn="0" w:lastRowFirstColumn="0" w:lastRowLastColumn="0"/>
              <w:rPr>
                <w:rStyle w:val="Bold"/>
                <w:color w:val="000000" w:themeColor="text1"/>
                <w:sz w:val="20"/>
                <w:szCs w:val="20"/>
              </w:rPr>
            </w:pPr>
            <w:r w:rsidRPr="001D2793">
              <w:rPr>
                <w:rStyle w:val="Bold"/>
                <w:color w:val="000000" w:themeColor="text1"/>
                <w:sz w:val="20"/>
                <w:szCs w:val="20"/>
              </w:rPr>
              <w:t>N/A</w:t>
            </w:r>
          </w:p>
        </w:tc>
        <w:tc>
          <w:tcPr>
            <w:tcW w:w="1561" w:type="dxa"/>
            <w:tcBorders>
              <w:top w:val="single" w:sz="4" w:space="0" w:color="008675"/>
              <w:left w:val="single" w:sz="4" w:space="0" w:color="008675"/>
              <w:bottom w:val="single" w:sz="4" w:space="0" w:color="008675"/>
              <w:right w:val="single" w:sz="4" w:space="0" w:color="008675"/>
            </w:tcBorders>
            <w:shd w:val="clear" w:color="auto" w:fill="FFFFFF" w:themeFill="background1"/>
            <w:vAlign w:val="center"/>
          </w:tcPr>
          <w:p w14:paraId="3C3B74E2" w14:textId="6FE5D13F" w:rsidR="00AD1DF0" w:rsidRPr="001D2793" w:rsidRDefault="00AD1DF0" w:rsidP="003E0E2A">
            <w:pPr>
              <w:pStyle w:val="BodyTextemphasised"/>
              <w:cnfStyle w:val="000000100000" w:firstRow="0" w:lastRow="0" w:firstColumn="0" w:lastColumn="0" w:oddVBand="0" w:evenVBand="0" w:oddHBand="1" w:evenHBand="0" w:firstRowFirstColumn="0" w:firstRowLastColumn="0" w:lastRowFirstColumn="0" w:lastRowLastColumn="0"/>
              <w:rPr>
                <w:rStyle w:val="Bold"/>
                <w:color w:val="000000" w:themeColor="text1"/>
                <w:sz w:val="20"/>
                <w:szCs w:val="20"/>
              </w:rPr>
            </w:pPr>
            <w:r w:rsidRPr="001D2793">
              <w:rPr>
                <w:rStyle w:val="Bold"/>
                <w:color w:val="000000" w:themeColor="text1"/>
                <w:sz w:val="20"/>
                <w:szCs w:val="20"/>
              </w:rPr>
              <w:t>N/A</w:t>
            </w:r>
          </w:p>
        </w:tc>
        <w:tc>
          <w:tcPr>
            <w:tcW w:w="1261" w:type="dxa"/>
            <w:tcBorders>
              <w:top w:val="single" w:sz="4" w:space="0" w:color="008675"/>
              <w:left w:val="single" w:sz="4" w:space="0" w:color="008675"/>
              <w:bottom w:val="single" w:sz="4" w:space="0" w:color="008675"/>
              <w:right w:val="single" w:sz="4" w:space="0" w:color="008675"/>
            </w:tcBorders>
            <w:shd w:val="clear" w:color="auto" w:fill="FFFFFF" w:themeFill="background1"/>
            <w:vAlign w:val="center"/>
          </w:tcPr>
          <w:p w14:paraId="4FFFCE9A" w14:textId="77777777" w:rsidR="00AD1DF0" w:rsidRPr="001D2793" w:rsidRDefault="00AD1DF0" w:rsidP="003E0E2A">
            <w:pPr>
              <w:pStyle w:val="BodyTextemphasised"/>
              <w:cnfStyle w:val="000000100000" w:firstRow="0" w:lastRow="0" w:firstColumn="0" w:lastColumn="0" w:oddVBand="0" w:evenVBand="0" w:oddHBand="1" w:evenHBand="0" w:firstRowFirstColumn="0" w:firstRowLastColumn="0" w:lastRowFirstColumn="0" w:lastRowLastColumn="0"/>
              <w:rPr>
                <w:rStyle w:val="Bold"/>
                <w:color w:val="000000" w:themeColor="text1"/>
                <w:sz w:val="20"/>
                <w:szCs w:val="20"/>
              </w:rPr>
            </w:pPr>
            <w:r w:rsidRPr="001D2793">
              <w:rPr>
                <w:rStyle w:val="Bold"/>
                <w:color w:val="000000" w:themeColor="text1"/>
                <w:sz w:val="20"/>
                <w:szCs w:val="20"/>
              </w:rPr>
              <w:t>N/A</w:t>
            </w:r>
          </w:p>
        </w:tc>
        <w:tc>
          <w:tcPr>
            <w:tcW w:w="1559" w:type="dxa"/>
            <w:tcBorders>
              <w:top w:val="single" w:sz="4" w:space="0" w:color="008675"/>
              <w:left w:val="single" w:sz="4" w:space="0" w:color="008675"/>
              <w:bottom w:val="single" w:sz="4" w:space="0" w:color="008675"/>
            </w:tcBorders>
            <w:shd w:val="clear" w:color="auto" w:fill="FFFFFF" w:themeFill="background1"/>
            <w:vAlign w:val="center"/>
          </w:tcPr>
          <w:p w14:paraId="23A5D53F" w14:textId="7398738B" w:rsidR="00AD1DF0" w:rsidRPr="001D2793" w:rsidRDefault="00AD1DF0" w:rsidP="003E0E2A">
            <w:pPr>
              <w:pStyle w:val="BodyTextemphasised"/>
              <w:keepNext/>
              <w:cnfStyle w:val="000000100000" w:firstRow="0" w:lastRow="0" w:firstColumn="0" w:lastColumn="0" w:oddVBand="0" w:evenVBand="0" w:oddHBand="1" w:evenHBand="0" w:firstRowFirstColumn="0" w:firstRowLastColumn="0" w:lastRowFirstColumn="0" w:lastRowLastColumn="0"/>
              <w:rPr>
                <w:rStyle w:val="Bold"/>
                <w:color w:val="000000" w:themeColor="text1"/>
                <w:sz w:val="20"/>
                <w:szCs w:val="20"/>
              </w:rPr>
            </w:pPr>
            <w:r w:rsidRPr="001D2793">
              <w:rPr>
                <w:color w:val="000000" w:themeColor="text1"/>
                <w:sz w:val="20"/>
                <w:szCs w:val="20"/>
              </w:rPr>
              <w:t>+ $23,502</w:t>
            </w:r>
          </w:p>
        </w:tc>
      </w:tr>
    </w:tbl>
    <w:p w14:paraId="37D74D2B" w14:textId="4F88DCF7" w:rsidR="00506F93" w:rsidRPr="00506F93" w:rsidRDefault="00877138" w:rsidP="00506F93">
      <w:pPr>
        <w:pStyle w:val="Caption"/>
      </w:pPr>
      <w:bookmarkStart w:id="463" w:name="_Toc130390610"/>
      <w:r>
        <w:t xml:space="preserve">Table </w:t>
      </w:r>
      <w:r>
        <w:fldChar w:fldCharType="begin"/>
      </w:r>
      <w:r>
        <w:instrText>SEQ Table \* ARABIC</w:instrText>
      </w:r>
      <w:r>
        <w:fldChar w:fldCharType="separate"/>
      </w:r>
      <w:r w:rsidR="00C64E33">
        <w:rPr>
          <w:noProof/>
        </w:rPr>
        <w:t>3</w:t>
      </w:r>
      <w:r>
        <w:fldChar w:fldCharType="end"/>
      </w:r>
      <w:r>
        <w:t>: Option 2 Regulatory burden estimate (RBE) table</w:t>
      </w:r>
      <w:bookmarkEnd w:id="463"/>
    </w:p>
    <w:p w14:paraId="12940B38" w14:textId="6CE562E5" w:rsidR="00C311D0" w:rsidRDefault="00C311D0" w:rsidP="00C311D0">
      <w:pPr>
        <w:pStyle w:val="BodyText"/>
        <w:rPr>
          <w:sz w:val="20"/>
          <w:szCs w:val="20"/>
        </w:rPr>
      </w:pPr>
      <w:r>
        <w:rPr>
          <w:sz w:val="20"/>
          <w:szCs w:val="20"/>
        </w:rPr>
        <w:t xml:space="preserve">* </w:t>
      </w:r>
      <w:r w:rsidRPr="005E1BB8">
        <w:rPr>
          <w:b/>
          <w:bCs/>
          <w:sz w:val="20"/>
          <w:szCs w:val="20"/>
        </w:rPr>
        <w:t>Costs ($m)</w:t>
      </w:r>
      <w:r>
        <w:rPr>
          <w:sz w:val="20"/>
          <w:szCs w:val="20"/>
        </w:rPr>
        <w:t xml:space="preserve"> are average annualised economy-wide costs calculated over the default 10</w:t>
      </w:r>
      <w:r w:rsidR="00DC00FC">
        <w:rPr>
          <w:sz w:val="20"/>
          <w:szCs w:val="20"/>
        </w:rPr>
        <w:t xml:space="preserve"> </w:t>
      </w:r>
      <w:r>
        <w:rPr>
          <w:sz w:val="20"/>
          <w:szCs w:val="20"/>
        </w:rPr>
        <w:t xml:space="preserve">years of regulation </w:t>
      </w:r>
      <w:r w:rsidR="00035D53">
        <w:rPr>
          <w:sz w:val="20"/>
          <w:szCs w:val="20"/>
        </w:rPr>
        <w:t>required</w:t>
      </w:r>
      <w:r>
        <w:rPr>
          <w:sz w:val="20"/>
          <w:szCs w:val="20"/>
        </w:rPr>
        <w:t xml:space="preserve"> by the </w:t>
      </w:r>
      <w:hyperlink r:id="rId76" w:history="1">
        <w:r w:rsidRPr="00421106">
          <w:rPr>
            <w:rStyle w:val="Hyperlink"/>
            <w:color w:val="008675"/>
            <w:sz w:val="20"/>
            <w:szCs w:val="20"/>
          </w:rPr>
          <w:t>Regulatory Burden Measurement Framework</w:t>
        </w:r>
      </w:hyperlink>
      <w:r>
        <w:rPr>
          <w:sz w:val="20"/>
          <w:szCs w:val="20"/>
        </w:rPr>
        <w:t xml:space="preserve">. </w:t>
      </w:r>
    </w:p>
    <w:p w14:paraId="7A48626A" w14:textId="426A810D" w:rsidR="003340A4" w:rsidRDefault="003340A4" w:rsidP="00C311D0">
      <w:pPr>
        <w:pStyle w:val="BodyText"/>
        <w:rPr>
          <w:sz w:val="20"/>
          <w:szCs w:val="20"/>
        </w:rPr>
      </w:pPr>
      <w:r>
        <w:rPr>
          <w:sz w:val="20"/>
          <w:szCs w:val="20"/>
        </w:rPr>
        <w:t xml:space="preserve">** </w:t>
      </w:r>
      <w:r w:rsidR="00D81205">
        <w:rPr>
          <w:sz w:val="20"/>
          <w:szCs w:val="20"/>
        </w:rPr>
        <w:t>This assumes that a</w:t>
      </w:r>
      <w:r>
        <w:rPr>
          <w:sz w:val="20"/>
          <w:szCs w:val="20"/>
        </w:rPr>
        <w:t xml:space="preserve">ll </w:t>
      </w:r>
      <w:r w:rsidRPr="005E1BB8">
        <w:rPr>
          <w:b/>
          <w:bCs/>
          <w:sz w:val="20"/>
          <w:szCs w:val="20"/>
        </w:rPr>
        <w:t>GBEs</w:t>
      </w:r>
      <w:r w:rsidRPr="005E1BB8">
        <w:rPr>
          <w:b/>
          <w:bCs/>
          <w:i/>
          <w:iCs/>
          <w:sz w:val="20"/>
          <w:szCs w:val="20"/>
        </w:rPr>
        <w:t xml:space="preserve"> </w:t>
      </w:r>
      <w:r w:rsidR="00D81205">
        <w:rPr>
          <w:sz w:val="20"/>
          <w:szCs w:val="20"/>
        </w:rPr>
        <w:t xml:space="preserve">will </w:t>
      </w:r>
      <w:r>
        <w:rPr>
          <w:sz w:val="20"/>
          <w:szCs w:val="20"/>
        </w:rPr>
        <w:t xml:space="preserve">onboard as relying parties </w:t>
      </w:r>
      <w:r w:rsidR="00035D53">
        <w:rPr>
          <w:sz w:val="20"/>
          <w:szCs w:val="20"/>
        </w:rPr>
        <w:t xml:space="preserve">over </w:t>
      </w:r>
      <w:r>
        <w:rPr>
          <w:sz w:val="20"/>
          <w:szCs w:val="20"/>
        </w:rPr>
        <w:t>the first four years until all (</w:t>
      </w:r>
      <w:r w:rsidR="00035D53">
        <w:rPr>
          <w:sz w:val="20"/>
          <w:szCs w:val="20"/>
        </w:rPr>
        <w:t xml:space="preserve">currently </w:t>
      </w:r>
      <w:r>
        <w:rPr>
          <w:sz w:val="20"/>
          <w:szCs w:val="20"/>
        </w:rPr>
        <w:t xml:space="preserve">nine) are onboarded. As such, the compliance costs increase each year before plateauing from years five to 10. </w:t>
      </w:r>
    </w:p>
    <w:p w14:paraId="2A3BED3E" w14:textId="1319DEF9" w:rsidR="00430EFA" w:rsidRPr="00421106" w:rsidRDefault="00430EFA" w:rsidP="00430EFA">
      <w:pPr>
        <w:suppressAutoHyphens/>
        <w:spacing w:before="280" w:after="140" w:line="336" w:lineRule="auto"/>
        <w:rPr>
          <w:rFonts w:cs="Lucida Sans Unicode"/>
          <w:b/>
          <w:color w:val="008675"/>
          <w:kern w:val="28"/>
          <w:szCs w:val="22"/>
        </w:rPr>
      </w:pPr>
      <w:r w:rsidRPr="00421106">
        <w:rPr>
          <w:rFonts w:cs="Lucida Sans Unicode"/>
          <w:b/>
          <w:color w:val="008675"/>
          <w:kern w:val="28"/>
          <w:szCs w:val="22"/>
        </w:rPr>
        <w:t>Option 2 Select Indirect Benefits</w:t>
      </w:r>
      <w:r w:rsidRPr="00421106">
        <w:rPr>
          <w:rFonts w:cs="Lucida Sans Unicode"/>
          <w:color w:val="008675"/>
          <w:kern w:val="28"/>
          <w:szCs w:val="22"/>
        </w:rPr>
        <w:t>^</w:t>
      </w:r>
      <w:r w:rsidRPr="00421106">
        <w:rPr>
          <w:rFonts w:cs="Lucida Sans Unicode"/>
          <w:b/>
          <w:color w:val="008675"/>
          <w:kern w:val="28"/>
          <w:szCs w:val="22"/>
        </w:rPr>
        <w:t xml:space="preserve"> (from business as usual)</w:t>
      </w:r>
    </w:p>
    <w:tbl>
      <w:tblPr>
        <w:tblStyle w:val="GridTable2-Accent112"/>
        <w:tblW w:w="9781" w:type="dxa"/>
        <w:jc w:val="center"/>
        <w:tblLayout w:type="fixed"/>
        <w:tblLook w:val="04A0" w:firstRow="1" w:lastRow="0" w:firstColumn="1" w:lastColumn="0" w:noHBand="0" w:noVBand="1"/>
      </w:tblPr>
      <w:tblGrid>
        <w:gridCol w:w="276"/>
        <w:gridCol w:w="2697"/>
        <w:gridCol w:w="1328"/>
        <w:gridCol w:w="1827"/>
        <w:gridCol w:w="1660"/>
        <w:gridCol w:w="1993"/>
      </w:tblGrid>
      <w:tr w:rsidR="00184701" w:rsidRPr="00421106" w14:paraId="595EADB0" w14:textId="77777777" w:rsidTr="00F75DC6">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8675"/>
              <w:right w:val="single" w:sz="4" w:space="0" w:color="008675"/>
            </w:tcBorders>
            <w:shd w:val="clear" w:color="auto" w:fill="D2EEED"/>
            <w:vAlign w:val="center"/>
          </w:tcPr>
          <w:p w14:paraId="580921CA" w14:textId="77777777" w:rsidR="00430EFA" w:rsidRPr="00421106" w:rsidRDefault="00430EFA" w:rsidP="00430EFA">
            <w:pPr>
              <w:suppressAutoHyphens/>
              <w:spacing w:before="0" w:after="0" w:line="240" w:lineRule="auto"/>
              <w:rPr>
                <w:color w:val="008675"/>
                <w:sz w:val="20"/>
                <w:szCs w:val="20"/>
              </w:rPr>
            </w:pPr>
            <w:r w:rsidRPr="00421106">
              <w:rPr>
                <w:color w:val="008675"/>
                <w:sz w:val="20"/>
                <w:szCs w:val="20"/>
              </w:rPr>
              <w:t>Benefits*</w:t>
            </w:r>
          </w:p>
        </w:tc>
        <w:tc>
          <w:tcPr>
            <w:tcW w:w="2302" w:type="dxa"/>
            <w:tcBorders>
              <w:left w:val="single" w:sz="4" w:space="0" w:color="008675"/>
              <w:bottom w:val="single" w:sz="4" w:space="0" w:color="008675"/>
              <w:right w:val="single" w:sz="4" w:space="0" w:color="008675"/>
            </w:tcBorders>
            <w:shd w:val="clear" w:color="auto" w:fill="D2EEED"/>
            <w:vAlign w:val="center"/>
          </w:tcPr>
          <w:p w14:paraId="71621A0C" w14:textId="77777777" w:rsidR="00430EFA" w:rsidRPr="00421106" w:rsidRDefault="00430EFA" w:rsidP="00430EF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421106">
              <w:rPr>
                <w:color w:val="008675"/>
                <w:sz w:val="20"/>
                <w:szCs w:val="20"/>
              </w:rPr>
              <w:t>Number of transactions**</w:t>
            </w:r>
          </w:p>
        </w:tc>
        <w:tc>
          <w:tcPr>
            <w:tcW w:w="1134" w:type="dxa"/>
            <w:tcBorders>
              <w:left w:val="single" w:sz="4" w:space="0" w:color="008675"/>
              <w:bottom w:val="single" w:sz="4" w:space="0" w:color="008675"/>
              <w:right w:val="single" w:sz="4" w:space="0" w:color="008675"/>
            </w:tcBorders>
            <w:shd w:val="clear" w:color="auto" w:fill="D2EEED"/>
            <w:vAlign w:val="center"/>
          </w:tcPr>
          <w:p w14:paraId="5B8E2C21" w14:textId="77777777" w:rsidR="00430EFA" w:rsidRPr="00421106" w:rsidRDefault="00430EFA" w:rsidP="00430EF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421106">
              <w:rPr>
                <w:color w:val="008675"/>
                <w:sz w:val="20"/>
                <w:szCs w:val="20"/>
              </w:rPr>
              <w:t>Business</w:t>
            </w:r>
          </w:p>
        </w:tc>
        <w:tc>
          <w:tcPr>
            <w:tcW w:w="0" w:type="dxa"/>
            <w:tcBorders>
              <w:left w:val="single" w:sz="4" w:space="0" w:color="008675"/>
              <w:bottom w:val="single" w:sz="4" w:space="0" w:color="008675"/>
              <w:right w:val="single" w:sz="4" w:space="0" w:color="008675"/>
            </w:tcBorders>
            <w:shd w:val="clear" w:color="auto" w:fill="D2EEED"/>
            <w:vAlign w:val="center"/>
          </w:tcPr>
          <w:p w14:paraId="783FCBDF" w14:textId="77777777" w:rsidR="00430EFA" w:rsidRPr="00421106" w:rsidRDefault="00430EFA" w:rsidP="00430EF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421106">
              <w:rPr>
                <w:color w:val="008675"/>
                <w:sz w:val="20"/>
                <w:szCs w:val="20"/>
              </w:rPr>
              <w:t>Community organisations</w:t>
            </w:r>
          </w:p>
        </w:tc>
        <w:tc>
          <w:tcPr>
            <w:tcW w:w="0" w:type="dxa"/>
            <w:tcBorders>
              <w:left w:val="single" w:sz="4" w:space="0" w:color="008675"/>
              <w:bottom w:val="single" w:sz="4" w:space="0" w:color="008675"/>
              <w:right w:val="single" w:sz="4" w:space="0" w:color="008675"/>
            </w:tcBorders>
            <w:shd w:val="clear" w:color="auto" w:fill="D2EEED"/>
            <w:vAlign w:val="center"/>
          </w:tcPr>
          <w:p w14:paraId="427D1AB4" w14:textId="77777777" w:rsidR="00430EFA" w:rsidRPr="00421106" w:rsidRDefault="00430EFA" w:rsidP="00430EF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421106">
              <w:rPr>
                <w:color w:val="008675"/>
                <w:sz w:val="20"/>
                <w:szCs w:val="20"/>
              </w:rPr>
              <w:t>Individuals</w:t>
            </w:r>
          </w:p>
        </w:tc>
        <w:tc>
          <w:tcPr>
            <w:tcW w:w="0" w:type="dxa"/>
            <w:tcBorders>
              <w:left w:val="single" w:sz="4" w:space="0" w:color="008675"/>
              <w:bottom w:val="single" w:sz="4" w:space="0" w:color="6ECFF5"/>
            </w:tcBorders>
            <w:shd w:val="clear" w:color="auto" w:fill="D2EEED"/>
            <w:vAlign w:val="center"/>
          </w:tcPr>
          <w:p w14:paraId="54764C6C" w14:textId="77777777" w:rsidR="00430EFA" w:rsidRPr="00421106" w:rsidRDefault="00430EFA" w:rsidP="00430EF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421106">
              <w:rPr>
                <w:color w:val="008675"/>
                <w:sz w:val="20"/>
                <w:szCs w:val="20"/>
              </w:rPr>
              <w:t>Total change in benefit</w:t>
            </w:r>
          </w:p>
        </w:tc>
      </w:tr>
      <w:tr w:rsidR="00154831" w:rsidRPr="002B62F9" w14:paraId="6BAB329F" w14:textId="77777777" w:rsidTr="00F75DC6">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auto"/>
            <w:vAlign w:val="center"/>
          </w:tcPr>
          <w:p w14:paraId="203A2CB4" w14:textId="77777777" w:rsidR="00430EFA" w:rsidRPr="001021F6" w:rsidRDefault="00430EFA" w:rsidP="00430EFA">
            <w:pPr>
              <w:suppressAutoHyphens/>
              <w:spacing w:before="0" w:after="0" w:line="240" w:lineRule="auto"/>
              <w:rPr>
                <w:b w:val="0"/>
                <w:bCs w:val="0"/>
                <w:color w:val="2C476E"/>
                <w:sz w:val="20"/>
                <w:szCs w:val="20"/>
              </w:rPr>
            </w:pPr>
            <w:r w:rsidRPr="002B62F9">
              <w:rPr>
                <w:color w:val="000000"/>
                <w:sz w:val="20"/>
                <w:szCs w:val="20"/>
              </w:rPr>
              <w:t>Individual time saving</w:t>
            </w:r>
          </w:p>
        </w:tc>
        <w:tc>
          <w:tcPr>
            <w:tcW w:w="2302" w:type="dxa"/>
            <w:tcBorders>
              <w:top w:val="single" w:sz="4" w:space="0" w:color="008675"/>
              <w:left w:val="single" w:sz="4" w:space="0" w:color="008675"/>
              <w:bottom w:val="single" w:sz="4" w:space="0" w:color="008675"/>
              <w:right w:val="single" w:sz="4" w:space="0" w:color="008675"/>
            </w:tcBorders>
            <w:shd w:val="clear" w:color="auto" w:fill="auto"/>
            <w:vAlign w:val="center"/>
          </w:tcPr>
          <w:p w14:paraId="72D1C137" w14:textId="77777777" w:rsidR="00430EFA" w:rsidRPr="001021F6"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FE2945">
              <w:rPr>
                <w:color w:val="000000"/>
                <w:sz w:val="20"/>
                <w:szCs w:val="20"/>
              </w:rPr>
              <w:t>1</w:t>
            </w:r>
          </w:p>
        </w:tc>
        <w:tc>
          <w:tcPr>
            <w:tcW w:w="2694" w:type="dxa"/>
            <w:gridSpan w:val="2"/>
            <w:vMerge w:val="restart"/>
            <w:tcBorders>
              <w:top w:val="single" w:sz="4" w:space="0" w:color="008675"/>
              <w:left w:val="single" w:sz="4" w:space="0" w:color="008675"/>
              <w:bottom w:val="single" w:sz="4" w:space="0" w:color="008675"/>
              <w:right w:val="single" w:sz="4" w:space="0" w:color="008675"/>
            </w:tcBorders>
            <w:shd w:val="clear" w:color="auto" w:fill="auto"/>
            <w:vAlign w:val="center"/>
          </w:tcPr>
          <w:p w14:paraId="73EE5449" w14:textId="77777777" w:rsidR="00430EFA" w:rsidRPr="001021F6"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top w:val="single" w:sz="4" w:space="0" w:color="008675"/>
              <w:left w:val="single" w:sz="4" w:space="0" w:color="008675"/>
              <w:bottom w:val="single" w:sz="4" w:space="0" w:color="008675"/>
              <w:right w:val="single" w:sz="4" w:space="0" w:color="008675"/>
            </w:tcBorders>
            <w:shd w:val="clear" w:color="auto" w:fill="auto"/>
            <w:vAlign w:val="center"/>
          </w:tcPr>
          <w:p w14:paraId="192477B9" w14:textId="77777777" w:rsidR="00430EFA" w:rsidRPr="002B62F9"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2B62F9">
              <w:rPr>
                <w:color w:val="000000"/>
                <w:sz w:val="20"/>
                <w:szCs w:val="20"/>
              </w:rPr>
              <w:t>115 minutes</w:t>
            </w:r>
          </w:p>
        </w:tc>
        <w:tc>
          <w:tcPr>
            <w:tcW w:w="1701" w:type="dxa"/>
            <w:tcBorders>
              <w:top w:val="single" w:sz="4" w:space="0" w:color="008675"/>
              <w:left w:val="single" w:sz="4" w:space="0" w:color="008675"/>
              <w:bottom w:val="single" w:sz="4" w:space="0" w:color="008675"/>
            </w:tcBorders>
            <w:shd w:val="clear" w:color="auto" w:fill="auto"/>
            <w:vAlign w:val="center"/>
          </w:tcPr>
          <w:p w14:paraId="2711A9C8" w14:textId="77777777" w:rsidR="00430EFA" w:rsidRPr="002B62F9"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2B62F9">
              <w:rPr>
                <w:color w:val="000000"/>
                <w:sz w:val="20"/>
                <w:szCs w:val="20"/>
              </w:rPr>
              <w:t>115 minutes</w:t>
            </w:r>
          </w:p>
        </w:tc>
      </w:tr>
      <w:tr w:rsidR="00154831" w:rsidRPr="002B62F9" w14:paraId="1BF9B0FB" w14:textId="77777777" w:rsidTr="00F75DC6">
        <w:trPr>
          <w:trHeight w:val="90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auto"/>
            <w:vAlign w:val="center"/>
          </w:tcPr>
          <w:p w14:paraId="21C1FD38" w14:textId="77777777" w:rsidR="00430EFA" w:rsidRPr="001021F6" w:rsidRDefault="00430EFA" w:rsidP="00430EFA">
            <w:pPr>
              <w:suppressAutoHyphens/>
              <w:spacing w:before="0" w:after="0" w:line="240" w:lineRule="auto"/>
              <w:rPr>
                <w:b w:val="0"/>
                <w:bCs w:val="0"/>
                <w:color w:val="000000"/>
                <w:sz w:val="20"/>
                <w:szCs w:val="20"/>
              </w:rPr>
            </w:pPr>
            <w:r w:rsidRPr="002B62F9">
              <w:rPr>
                <w:color w:val="000000"/>
                <w:sz w:val="20"/>
                <w:szCs w:val="20"/>
              </w:rPr>
              <w:lastRenderedPageBreak/>
              <w:t>Individual transaction saving</w:t>
            </w:r>
          </w:p>
        </w:tc>
        <w:tc>
          <w:tcPr>
            <w:tcW w:w="2302" w:type="dxa"/>
            <w:tcBorders>
              <w:top w:val="single" w:sz="4" w:space="0" w:color="008675"/>
              <w:left w:val="single" w:sz="4" w:space="0" w:color="008675"/>
              <w:bottom w:val="single" w:sz="4" w:space="0" w:color="008675"/>
              <w:right w:val="single" w:sz="4" w:space="0" w:color="008675"/>
            </w:tcBorders>
            <w:shd w:val="clear" w:color="auto" w:fill="auto"/>
            <w:vAlign w:val="center"/>
          </w:tcPr>
          <w:p w14:paraId="2A1BFFC6" w14:textId="77777777" w:rsidR="00430EFA" w:rsidRPr="001021F6" w:rsidRDefault="00430EFA" w:rsidP="00430EF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FE2945">
              <w:rPr>
                <w:color w:val="000000"/>
                <w:sz w:val="20"/>
                <w:szCs w:val="20"/>
              </w:rPr>
              <w:t>1</w:t>
            </w:r>
          </w:p>
        </w:tc>
        <w:tc>
          <w:tcPr>
            <w:tcW w:w="2694" w:type="dxa"/>
            <w:gridSpan w:val="2"/>
            <w:vMerge/>
            <w:tcBorders>
              <w:top w:val="single" w:sz="4" w:space="0" w:color="008675"/>
              <w:left w:val="single" w:sz="4" w:space="0" w:color="008675"/>
              <w:bottom w:val="single" w:sz="4" w:space="0" w:color="008675"/>
              <w:right w:val="single" w:sz="4" w:space="0" w:color="008675"/>
            </w:tcBorders>
            <w:shd w:val="clear" w:color="auto" w:fill="auto"/>
            <w:vAlign w:val="center"/>
          </w:tcPr>
          <w:p w14:paraId="0F300BC6" w14:textId="77777777" w:rsidR="00430EFA" w:rsidRPr="002B62F9" w:rsidRDefault="00430EFA" w:rsidP="00430EF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7" w:type="dxa"/>
            <w:tcBorders>
              <w:top w:val="single" w:sz="4" w:space="0" w:color="008675"/>
              <w:left w:val="single" w:sz="4" w:space="0" w:color="008675"/>
              <w:bottom w:val="single" w:sz="4" w:space="0" w:color="008675"/>
              <w:right w:val="single" w:sz="4" w:space="0" w:color="008675"/>
            </w:tcBorders>
            <w:shd w:val="clear" w:color="auto" w:fill="auto"/>
            <w:vAlign w:val="center"/>
          </w:tcPr>
          <w:p w14:paraId="4140714A" w14:textId="77777777" w:rsidR="00430EFA" w:rsidRPr="002B62F9" w:rsidRDefault="00430EFA" w:rsidP="00430EF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62F9">
              <w:rPr>
                <w:color w:val="000000"/>
                <w:sz w:val="20"/>
                <w:szCs w:val="20"/>
              </w:rPr>
              <w:t>$61.00</w:t>
            </w:r>
          </w:p>
        </w:tc>
        <w:tc>
          <w:tcPr>
            <w:tcW w:w="1701" w:type="dxa"/>
            <w:tcBorders>
              <w:top w:val="single" w:sz="4" w:space="0" w:color="008675"/>
              <w:left w:val="single" w:sz="4" w:space="0" w:color="008675"/>
              <w:bottom w:val="single" w:sz="4" w:space="0" w:color="008675"/>
            </w:tcBorders>
            <w:shd w:val="clear" w:color="auto" w:fill="auto"/>
            <w:vAlign w:val="center"/>
          </w:tcPr>
          <w:p w14:paraId="6046ECDC" w14:textId="77777777" w:rsidR="00430EFA" w:rsidRPr="002B62F9" w:rsidRDefault="00430EFA" w:rsidP="00430EF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62F9">
              <w:rPr>
                <w:color w:val="000000"/>
                <w:sz w:val="20"/>
                <w:szCs w:val="20"/>
              </w:rPr>
              <w:t>$61.00</w:t>
            </w:r>
          </w:p>
        </w:tc>
      </w:tr>
      <w:tr w:rsidR="00154831" w:rsidRPr="002B62F9" w14:paraId="2CC818E3" w14:textId="77777777" w:rsidTr="00F75DC6">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auto"/>
            <w:vAlign w:val="center"/>
          </w:tcPr>
          <w:p w14:paraId="550746BA" w14:textId="45FB03CC" w:rsidR="00430EFA" w:rsidRPr="002B62F9" w:rsidRDefault="00430EFA" w:rsidP="00430EFA">
            <w:pPr>
              <w:suppressAutoHyphens/>
              <w:spacing w:before="0" w:after="0" w:line="240" w:lineRule="auto"/>
              <w:rPr>
                <w:color w:val="000000"/>
                <w:sz w:val="20"/>
                <w:szCs w:val="20"/>
              </w:rPr>
            </w:pPr>
            <w:r w:rsidRPr="002B62F9">
              <w:rPr>
                <w:color w:val="000000"/>
                <w:sz w:val="20"/>
                <w:szCs w:val="20"/>
              </w:rPr>
              <w:t>Whole-of- economy transaction savin</w:t>
            </w:r>
            <w:r w:rsidRPr="002B62F9">
              <w:rPr>
                <w:color w:val="000000"/>
                <w:sz w:val="20"/>
                <w:szCs w:val="20"/>
              </w:rPr>
              <w:lastRenderedPageBreak/>
              <w:t>gs</w:t>
            </w:r>
          </w:p>
        </w:tc>
        <w:tc>
          <w:tcPr>
            <w:tcW w:w="2302" w:type="dxa"/>
            <w:tcBorders>
              <w:top w:val="single" w:sz="4" w:space="0" w:color="008675"/>
              <w:left w:val="single" w:sz="4" w:space="0" w:color="008675"/>
              <w:bottom w:val="single" w:sz="4" w:space="0" w:color="008675"/>
              <w:right w:val="single" w:sz="4" w:space="0" w:color="008675"/>
            </w:tcBorders>
            <w:shd w:val="clear" w:color="auto" w:fill="auto"/>
            <w:vAlign w:val="center"/>
          </w:tcPr>
          <w:p w14:paraId="13313A98" w14:textId="77777777" w:rsidR="00430EFA" w:rsidRPr="002B62F9"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B62F9">
              <w:rPr>
                <w:b/>
                <w:bCs/>
                <w:color w:val="000000"/>
                <w:sz w:val="20"/>
                <w:szCs w:val="20"/>
              </w:rPr>
              <w:lastRenderedPageBreak/>
              <w:t>54,000,000**</w:t>
            </w:r>
          </w:p>
        </w:tc>
        <w:tc>
          <w:tcPr>
            <w:tcW w:w="2694" w:type="dxa"/>
            <w:gridSpan w:val="2"/>
            <w:vMerge/>
            <w:tcBorders>
              <w:top w:val="single" w:sz="4" w:space="0" w:color="008675"/>
              <w:left w:val="single" w:sz="4" w:space="0" w:color="008675"/>
              <w:bottom w:val="single" w:sz="4" w:space="0" w:color="008675"/>
              <w:right w:val="single" w:sz="4" w:space="0" w:color="008675"/>
            </w:tcBorders>
            <w:shd w:val="clear" w:color="auto" w:fill="auto"/>
            <w:vAlign w:val="center"/>
          </w:tcPr>
          <w:p w14:paraId="62A197B5" w14:textId="77777777" w:rsidR="00430EFA" w:rsidRPr="002B62F9"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417" w:type="dxa"/>
            <w:tcBorders>
              <w:top w:val="single" w:sz="4" w:space="0" w:color="008675"/>
              <w:left w:val="single" w:sz="4" w:space="0" w:color="008675"/>
              <w:bottom w:val="single" w:sz="4" w:space="0" w:color="008675"/>
              <w:right w:val="single" w:sz="4" w:space="0" w:color="008675"/>
            </w:tcBorders>
            <w:shd w:val="clear" w:color="auto" w:fill="auto"/>
            <w:vAlign w:val="center"/>
          </w:tcPr>
          <w:p w14:paraId="6C45E753" w14:textId="77777777" w:rsidR="00430EFA" w:rsidRPr="002B62F9" w:rsidRDefault="00430EFA" w:rsidP="00430EF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B62F9">
              <w:rPr>
                <w:b/>
                <w:bCs/>
                <w:color w:val="000000"/>
                <w:sz w:val="20"/>
                <w:szCs w:val="20"/>
              </w:rPr>
              <w:t>- $3,312,000,000</w:t>
            </w:r>
          </w:p>
        </w:tc>
        <w:tc>
          <w:tcPr>
            <w:tcW w:w="1701" w:type="dxa"/>
            <w:tcBorders>
              <w:top w:val="single" w:sz="4" w:space="0" w:color="008675"/>
              <w:left w:val="single" w:sz="4" w:space="0" w:color="008675"/>
              <w:bottom w:val="single" w:sz="4" w:space="0" w:color="008675"/>
            </w:tcBorders>
            <w:shd w:val="clear" w:color="auto" w:fill="auto"/>
            <w:vAlign w:val="center"/>
          </w:tcPr>
          <w:p w14:paraId="50C83C8F" w14:textId="77777777" w:rsidR="00430EFA" w:rsidRPr="002B62F9" w:rsidRDefault="00430EFA" w:rsidP="001021F6">
            <w:pPr>
              <w:keepNext/>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B62F9">
              <w:rPr>
                <w:b/>
                <w:bCs/>
                <w:color w:val="000000"/>
                <w:sz w:val="20"/>
                <w:szCs w:val="20"/>
              </w:rPr>
              <w:t>- $3,312,000,000</w:t>
            </w:r>
          </w:p>
        </w:tc>
      </w:tr>
    </w:tbl>
    <w:p w14:paraId="122272CC" w14:textId="07146E77" w:rsidR="007A2C8E" w:rsidRPr="001021F6" w:rsidRDefault="007A2C8E">
      <w:pPr>
        <w:pStyle w:val="Caption"/>
      </w:pPr>
      <w:bookmarkStart w:id="464" w:name="_Toc130390611"/>
      <w:r w:rsidRPr="002B62F9">
        <w:t xml:space="preserve">Table </w:t>
      </w:r>
      <w:r>
        <w:fldChar w:fldCharType="begin"/>
      </w:r>
      <w:r>
        <w:instrText>SEQ Table \* ARABIC</w:instrText>
      </w:r>
      <w:r>
        <w:fldChar w:fldCharType="separate"/>
      </w:r>
      <w:r w:rsidRPr="001021F6">
        <w:rPr>
          <w:noProof/>
        </w:rPr>
        <w:t>4</w:t>
      </w:r>
      <w:r>
        <w:fldChar w:fldCharType="end"/>
      </w:r>
      <w:r w:rsidRPr="00FE2945">
        <w:t>: Option 2 Select indirect benefits table</w:t>
      </w:r>
      <w:bookmarkEnd w:id="464"/>
    </w:p>
    <w:p w14:paraId="35F2590B" w14:textId="197DA4A9" w:rsidR="00430EFA" w:rsidRPr="002B62F9" w:rsidRDefault="00430EFA" w:rsidP="00430EFA">
      <w:pPr>
        <w:suppressAutoHyphens/>
        <w:spacing w:before="280" w:after="140" w:line="336" w:lineRule="auto"/>
        <w:rPr>
          <w:color w:val="auto"/>
          <w:sz w:val="20"/>
          <w:szCs w:val="20"/>
        </w:rPr>
      </w:pPr>
      <w:r w:rsidRPr="002B62F9">
        <w:rPr>
          <w:color w:val="auto"/>
          <w:sz w:val="20"/>
          <w:szCs w:val="20"/>
        </w:rPr>
        <w:t>^ Indirect benefits may be realised by individuals, businesses and community organisations as regulation fosters additional service offerings and options for verifying identity. It is expected that an individual could save 115 minutes of time</w:t>
      </w:r>
      <w:r w:rsidR="008B0C5B" w:rsidRPr="002B62F9">
        <w:rPr>
          <w:color w:val="auto"/>
          <w:sz w:val="20"/>
          <w:szCs w:val="20"/>
        </w:rPr>
        <w:t xml:space="preserve"> (source: KPMG, 2021, Economic Benefits of Digital Identity) </w:t>
      </w:r>
      <w:r w:rsidRPr="002B62F9">
        <w:rPr>
          <w:color w:val="auto"/>
          <w:sz w:val="20"/>
          <w:szCs w:val="20"/>
        </w:rPr>
        <w:t xml:space="preserve">by completing a transaction with a digital </w:t>
      </w:r>
      <w:r w:rsidR="00500088">
        <w:rPr>
          <w:color w:val="auto"/>
          <w:sz w:val="20"/>
          <w:szCs w:val="20"/>
        </w:rPr>
        <w:t>ID</w:t>
      </w:r>
      <w:r w:rsidR="00500088" w:rsidRPr="002B62F9">
        <w:rPr>
          <w:color w:val="auto"/>
          <w:sz w:val="20"/>
          <w:szCs w:val="20"/>
        </w:rPr>
        <w:t xml:space="preserve"> </w:t>
      </w:r>
      <w:r w:rsidRPr="002B62F9">
        <w:rPr>
          <w:color w:val="auto"/>
          <w:sz w:val="20"/>
          <w:szCs w:val="20"/>
        </w:rPr>
        <w:t>compared to without. Based on the default value for an individual’s leisure time ($32 per hou</w:t>
      </w:r>
      <w:r w:rsidR="008C6A17" w:rsidRPr="002B62F9">
        <w:rPr>
          <w:color w:val="auto"/>
          <w:sz w:val="20"/>
          <w:szCs w:val="20"/>
        </w:rPr>
        <w:t xml:space="preserve">r per the </w:t>
      </w:r>
      <w:hyperlink r:id="rId77" w:history="1">
        <w:r w:rsidR="008C6A17" w:rsidRPr="00421106">
          <w:rPr>
            <w:rStyle w:val="Hyperlink"/>
            <w:color w:val="008675"/>
            <w:sz w:val="20"/>
            <w:szCs w:val="20"/>
          </w:rPr>
          <w:t>Regulatory Burden Measurement Framework</w:t>
        </w:r>
      </w:hyperlink>
      <w:r w:rsidRPr="00FE2945">
        <w:rPr>
          <w:color w:val="auto"/>
          <w:sz w:val="20"/>
          <w:szCs w:val="20"/>
        </w:rPr>
        <w:t xml:space="preserve">), this would equate to an individual benefit of $61.00 per transaction. </w:t>
      </w:r>
      <w:r w:rsidRPr="002B62F9">
        <w:rPr>
          <w:color w:val="auto"/>
          <w:sz w:val="20"/>
          <w:szCs w:val="20"/>
        </w:rPr>
        <w:t>Similarly, for a small business it is expected that setting up an ABN and registering a business name would take a quarter of the time it would otherwise. Estimated to save the business $128 in this transaction</w:t>
      </w:r>
      <w:r w:rsidR="00421106">
        <w:rPr>
          <w:color w:val="auto"/>
          <w:sz w:val="20"/>
          <w:szCs w:val="20"/>
        </w:rPr>
        <w:t>.</w:t>
      </w:r>
      <w:r w:rsidR="008C6A17" w:rsidRPr="002B62F9">
        <w:rPr>
          <w:color w:val="auto"/>
          <w:sz w:val="20"/>
          <w:szCs w:val="20"/>
        </w:rPr>
        <w:t xml:space="preserve"> </w:t>
      </w:r>
      <w:r w:rsidRPr="00FE2945">
        <w:rPr>
          <w:color w:val="auto"/>
          <w:sz w:val="20"/>
          <w:szCs w:val="20"/>
        </w:rPr>
        <w:t xml:space="preserve">However, these are time savings not cost savings and are not directly attributable to the regulation. Rather, they are a result of an additional identity verification option becoming available. </w:t>
      </w:r>
    </w:p>
    <w:p w14:paraId="2D4EBC56" w14:textId="5091D243" w:rsidR="00430EFA" w:rsidRPr="002B62F9" w:rsidRDefault="00430EFA" w:rsidP="00430EFA">
      <w:pPr>
        <w:spacing w:before="0" w:after="160" w:line="259" w:lineRule="auto"/>
        <w:rPr>
          <w:color w:val="auto"/>
          <w:sz w:val="20"/>
          <w:szCs w:val="20"/>
        </w:rPr>
      </w:pPr>
      <w:r w:rsidRPr="002B62F9">
        <w:rPr>
          <w:color w:val="auto"/>
          <w:sz w:val="20"/>
          <w:szCs w:val="20"/>
        </w:rPr>
        <w:t xml:space="preserve">* Please note, the savings quantified in the above table are not comprehensive as there are other benefits to businesses, community organisations and governments as described in Section </w:t>
      </w:r>
      <w:r w:rsidR="000C3380" w:rsidRPr="002B62F9">
        <w:rPr>
          <w:color w:val="auto"/>
          <w:sz w:val="20"/>
          <w:szCs w:val="20"/>
        </w:rPr>
        <w:t>8.1</w:t>
      </w:r>
      <w:r w:rsidRPr="00FE2945">
        <w:rPr>
          <w:color w:val="auto"/>
          <w:sz w:val="20"/>
          <w:szCs w:val="20"/>
        </w:rPr>
        <w:t xml:space="preserve">. The savings detailed in the above </w:t>
      </w:r>
      <w:r w:rsidR="00F433A3">
        <w:rPr>
          <w:color w:val="auto"/>
          <w:sz w:val="20"/>
          <w:szCs w:val="20"/>
        </w:rPr>
        <w:t>t</w:t>
      </w:r>
      <w:r w:rsidRPr="00FE2945">
        <w:rPr>
          <w:color w:val="auto"/>
          <w:sz w:val="20"/>
          <w:szCs w:val="20"/>
        </w:rPr>
        <w:t>able have been calculated as follows:</w:t>
      </w:r>
    </w:p>
    <w:p w14:paraId="409BF1B4" w14:textId="77777777" w:rsidR="00430EFA" w:rsidRPr="002B62F9" w:rsidRDefault="00430EFA" w:rsidP="00430EFA">
      <w:pPr>
        <w:spacing w:before="0" w:after="160" w:line="259" w:lineRule="auto"/>
        <w:rPr>
          <w:color w:val="auto"/>
          <w:sz w:val="20"/>
          <w:szCs w:val="20"/>
        </w:rPr>
      </w:pPr>
      <w:r w:rsidRPr="002B62F9">
        <w:rPr>
          <w:color w:val="auto"/>
          <w:sz w:val="20"/>
          <w:szCs w:val="20"/>
        </w:rPr>
        <w:tab/>
      </w:r>
      <w:r w:rsidRPr="002B62F9">
        <w:rPr>
          <w:i/>
          <w:iCs/>
          <w:color w:val="auto"/>
          <w:sz w:val="20"/>
          <w:szCs w:val="20"/>
        </w:rPr>
        <w:t>Individual saving per transaction ($61.00) x number of transactions</w:t>
      </w:r>
    </w:p>
    <w:p w14:paraId="0AE5BACC" w14:textId="00FA6193" w:rsidR="00430EFA" w:rsidRPr="005C3265" w:rsidRDefault="00430EFA" w:rsidP="00975229">
      <w:pPr>
        <w:spacing w:before="0" w:after="160" w:line="259" w:lineRule="auto"/>
        <w:rPr>
          <w:sz w:val="20"/>
          <w:szCs w:val="20"/>
        </w:rPr>
      </w:pPr>
      <w:r w:rsidRPr="002B62F9">
        <w:rPr>
          <w:color w:val="auto"/>
          <w:sz w:val="20"/>
          <w:szCs w:val="20"/>
        </w:rPr>
        <w:t xml:space="preserve">** The number of transactions used in this calculation is based on estimated transactions through </w:t>
      </w:r>
      <w:proofErr w:type="spellStart"/>
      <w:r w:rsidRPr="002B62F9">
        <w:rPr>
          <w:color w:val="auto"/>
          <w:sz w:val="20"/>
          <w:szCs w:val="20"/>
        </w:rPr>
        <w:t>myGovID</w:t>
      </w:r>
      <w:proofErr w:type="spellEnd"/>
      <w:r w:rsidRPr="002B62F9">
        <w:rPr>
          <w:color w:val="auto"/>
          <w:sz w:val="20"/>
          <w:szCs w:val="20"/>
        </w:rPr>
        <w:t xml:space="preserve"> in 2021-22 used in the Digital I</w:t>
      </w:r>
      <w:r w:rsidR="00EB2443">
        <w:rPr>
          <w:color w:val="auto"/>
          <w:sz w:val="20"/>
          <w:szCs w:val="20"/>
        </w:rPr>
        <w:t>D</w:t>
      </w:r>
      <w:r w:rsidRPr="002B62F9">
        <w:rPr>
          <w:color w:val="auto"/>
          <w:sz w:val="20"/>
          <w:szCs w:val="20"/>
        </w:rPr>
        <w:t xml:space="preserve"> Charging Framework. This is based on government transactions only and is a conservative estimate as it does not incorporate any increase in volume across the years and does not include transactions that may occur through uptake of private sector services. Private sector take-up impacting the volume of transactions cannot be accurately forecast as it is dependent on a number of factors, including the future charging framework.</w:t>
      </w:r>
    </w:p>
    <w:p w14:paraId="48638B32" w14:textId="23B8E499" w:rsidR="00E6232E" w:rsidRPr="008231AF" w:rsidRDefault="00E6232E" w:rsidP="006412B9">
      <w:pPr>
        <w:pStyle w:val="Heading2"/>
        <w:numPr>
          <w:ilvl w:val="0"/>
          <w:numId w:val="0"/>
        </w:numPr>
        <w:rPr>
          <w:color w:val="008675"/>
          <w:lang w:eastAsia="en-US"/>
        </w:rPr>
      </w:pPr>
      <w:bookmarkStart w:id="465" w:name="_Toc80884696"/>
      <w:bookmarkStart w:id="466" w:name="_Toc81226644"/>
      <w:bookmarkStart w:id="467" w:name="_Toc81226920"/>
      <w:bookmarkStart w:id="468" w:name="_Toc81228264"/>
      <w:bookmarkStart w:id="469" w:name="_Toc83951207"/>
      <w:bookmarkStart w:id="470" w:name="_Toc84925822"/>
      <w:bookmarkStart w:id="471" w:name="_Toc84925905"/>
      <w:bookmarkStart w:id="472" w:name="_Toc86045149"/>
      <w:bookmarkStart w:id="473" w:name="_Toc86070038"/>
      <w:bookmarkStart w:id="474" w:name="_Toc149740352"/>
      <w:r w:rsidRPr="008231AF">
        <w:rPr>
          <w:color w:val="008675"/>
          <w:lang w:eastAsia="en-US"/>
        </w:rPr>
        <w:t xml:space="preserve">8.3 Likely </w:t>
      </w:r>
      <w:r w:rsidR="00985FC3" w:rsidRPr="008231AF">
        <w:rPr>
          <w:color w:val="008675"/>
          <w:lang w:eastAsia="en-US"/>
        </w:rPr>
        <w:t>n</w:t>
      </w:r>
      <w:r w:rsidRPr="008231AF">
        <w:rPr>
          <w:color w:val="008675"/>
          <w:lang w:eastAsia="en-US"/>
        </w:rPr>
        <w:t xml:space="preserve">et </w:t>
      </w:r>
      <w:r w:rsidR="00985FC3" w:rsidRPr="008231AF">
        <w:rPr>
          <w:color w:val="008675"/>
          <w:lang w:eastAsia="en-US"/>
        </w:rPr>
        <w:t>b</w:t>
      </w:r>
      <w:r w:rsidRPr="008231AF">
        <w:rPr>
          <w:color w:val="008675"/>
          <w:lang w:eastAsia="en-US"/>
        </w:rPr>
        <w:t>enefit</w:t>
      </w:r>
      <w:bookmarkEnd w:id="465"/>
      <w:bookmarkEnd w:id="466"/>
      <w:bookmarkEnd w:id="467"/>
      <w:bookmarkEnd w:id="468"/>
      <w:bookmarkEnd w:id="469"/>
      <w:bookmarkEnd w:id="470"/>
      <w:bookmarkEnd w:id="471"/>
      <w:bookmarkEnd w:id="472"/>
      <w:bookmarkEnd w:id="473"/>
      <w:bookmarkEnd w:id="474"/>
      <w:r w:rsidRPr="008231AF">
        <w:rPr>
          <w:color w:val="008675"/>
          <w:lang w:eastAsia="en-US"/>
        </w:rPr>
        <w:t xml:space="preserve"> </w:t>
      </w:r>
    </w:p>
    <w:p w14:paraId="191A04C0" w14:textId="0422A0CB" w:rsidR="00E6232E" w:rsidRDefault="00E6232E">
      <w:pPr>
        <w:pStyle w:val="BodyText"/>
        <w:rPr>
          <w:lang w:eastAsia="en-US"/>
        </w:rPr>
      </w:pPr>
      <w:r w:rsidRPr="000B7589">
        <w:rPr>
          <w:lang w:eastAsia="en-US"/>
        </w:rPr>
        <w:t xml:space="preserve">The above analysis </w:t>
      </w:r>
      <w:r w:rsidR="00F955D1">
        <w:rPr>
          <w:lang w:eastAsia="en-US"/>
        </w:rPr>
        <w:t>concludes</w:t>
      </w:r>
      <w:r w:rsidRPr="000B7589">
        <w:rPr>
          <w:lang w:eastAsia="en-US"/>
        </w:rPr>
        <w:t xml:space="preserve"> that Option 2 may offer some efficiency and productivity benefits for select stakeholder groups </w:t>
      </w:r>
      <w:r w:rsidR="007C52AB">
        <w:rPr>
          <w:lang w:eastAsia="en-US"/>
        </w:rPr>
        <w:t>that</w:t>
      </w:r>
      <w:r w:rsidRPr="000B7589">
        <w:rPr>
          <w:lang w:eastAsia="en-US"/>
        </w:rPr>
        <w:t xml:space="preserve"> already have legislative authority to use </w:t>
      </w:r>
      <w:r w:rsidR="00CB2DB7">
        <w:rPr>
          <w:lang w:eastAsia="en-US"/>
        </w:rPr>
        <w:t>Digital ID under existing arrangements</w:t>
      </w:r>
      <w:r w:rsidRPr="000B7589">
        <w:rPr>
          <w:lang w:eastAsia="en-US"/>
        </w:rPr>
        <w:t xml:space="preserve"> – notably, individuals </w:t>
      </w:r>
      <w:r w:rsidR="00626477">
        <w:rPr>
          <w:lang w:eastAsia="en-US"/>
        </w:rPr>
        <w:t xml:space="preserve">(primarily in the form of time savings) </w:t>
      </w:r>
      <w:r w:rsidRPr="000B7589">
        <w:rPr>
          <w:lang w:eastAsia="en-US"/>
        </w:rPr>
        <w:t xml:space="preserve">and governments. </w:t>
      </w:r>
      <w:r w:rsidR="00FC1B88">
        <w:rPr>
          <w:lang w:eastAsia="en-US"/>
        </w:rPr>
        <w:t xml:space="preserve">This is offset by </w:t>
      </w:r>
      <w:r w:rsidR="000E75F6">
        <w:rPr>
          <w:lang w:eastAsia="en-US"/>
        </w:rPr>
        <w:t xml:space="preserve">minor regulatory costs incurred by </w:t>
      </w:r>
      <w:r w:rsidR="00BE1FA3">
        <w:rPr>
          <w:lang w:eastAsia="en-US"/>
        </w:rPr>
        <w:t xml:space="preserve">a </w:t>
      </w:r>
      <w:r w:rsidR="009704C9">
        <w:rPr>
          <w:lang w:eastAsia="en-US"/>
        </w:rPr>
        <w:t xml:space="preserve">very narrow </w:t>
      </w:r>
      <w:r w:rsidR="00BE1FA3">
        <w:rPr>
          <w:lang w:eastAsia="en-US"/>
        </w:rPr>
        <w:t xml:space="preserve">category of users </w:t>
      </w:r>
      <w:r w:rsidR="000E75F6">
        <w:rPr>
          <w:lang w:eastAsia="en-US"/>
        </w:rPr>
        <w:t>(specifically GBEs</w:t>
      </w:r>
      <w:r w:rsidR="00BE1FA3">
        <w:rPr>
          <w:lang w:eastAsia="en-US"/>
        </w:rPr>
        <w:t xml:space="preserve">) </w:t>
      </w:r>
      <w:r w:rsidR="00493609">
        <w:rPr>
          <w:lang w:eastAsia="en-US"/>
        </w:rPr>
        <w:t xml:space="preserve">which are </w:t>
      </w:r>
      <w:r w:rsidR="00BE1FA3">
        <w:rPr>
          <w:lang w:eastAsia="en-US"/>
        </w:rPr>
        <w:t xml:space="preserve">expected to be </w:t>
      </w:r>
      <w:r w:rsidR="00493609">
        <w:rPr>
          <w:lang w:eastAsia="en-US"/>
        </w:rPr>
        <w:t xml:space="preserve">minimal </w:t>
      </w:r>
      <w:r w:rsidR="00BE1FA3">
        <w:rPr>
          <w:lang w:eastAsia="en-US"/>
        </w:rPr>
        <w:t xml:space="preserve">given </w:t>
      </w:r>
      <w:r w:rsidR="00493609">
        <w:rPr>
          <w:lang w:eastAsia="en-US"/>
        </w:rPr>
        <w:t xml:space="preserve">these entities’ existing obligations to comply with Privacy Act regulations. </w:t>
      </w:r>
      <w:r w:rsidRPr="000B7589">
        <w:rPr>
          <w:lang w:eastAsia="en-US"/>
        </w:rPr>
        <w:t xml:space="preserve">Further, individuals and the Australian community may benefit from slightly enhanced privacy and security mechanisms. However, all stakeholders are expected to experience significant foregone benefits which would be realised </w:t>
      </w:r>
      <w:r w:rsidR="00CB2DB7">
        <w:rPr>
          <w:lang w:eastAsia="en-US"/>
        </w:rPr>
        <w:t>through</w:t>
      </w:r>
      <w:r w:rsidRPr="000B7589">
        <w:rPr>
          <w:lang w:eastAsia="en-US"/>
        </w:rPr>
        <w:t xml:space="preserve"> expan</w:t>
      </w:r>
      <w:r w:rsidR="00CB2DB7">
        <w:rPr>
          <w:lang w:eastAsia="en-US"/>
        </w:rPr>
        <w:t>sion</w:t>
      </w:r>
      <w:r w:rsidRPr="000B7589">
        <w:rPr>
          <w:lang w:eastAsia="en-US"/>
        </w:rPr>
        <w:t xml:space="preserve"> to include non-</w:t>
      </w:r>
      <w:r w:rsidR="003269BB">
        <w:rPr>
          <w:lang w:eastAsia="en-US"/>
        </w:rPr>
        <w:t>Commonwealth</w:t>
      </w:r>
      <w:r w:rsidR="00E6066B" w:rsidRPr="000B7589" w:rsidDel="00E6066B">
        <w:rPr>
          <w:lang w:eastAsia="en-US"/>
        </w:rPr>
        <w:t xml:space="preserve"> </w:t>
      </w:r>
      <w:r w:rsidR="0036587B">
        <w:rPr>
          <w:lang w:eastAsia="en-US"/>
        </w:rPr>
        <w:t>r</w:t>
      </w:r>
      <w:r w:rsidRPr="000B7589">
        <w:rPr>
          <w:lang w:eastAsia="en-US"/>
        </w:rPr>
        <w:t xml:space="preserve">elying </w:t>
      </w:r>
      <w:r w:rsidR="0036587B">
        <w:rPr>
          <w:lang w:eastAsia="en-US"/>
        </w:rPr>
        <w:t>p</w:t>
      </w:r>
      <w:r w:rsidRPr="000B7589">
        <w:rPr>
          <w:lang w:eastAsia="en-US"/>
        </w:rPr>
        <w:t>arties, under a dedicated regulatory arrangement.</w:t>
      </w:r>
    </w:p>
    <w:p w14:paraId="09830478" w14:textId="0428E5ED" w:rsidR="00E6232E" w:rsidRPr="003269BB" w:rsidRDefault="00E6232E" w:rsidP="003C5CA3">
      <w:pPr>
        <w:pStyle w:val="Heading1NoNumbers"/>
        <w:rPr>
          <w:color w:val="008675"/>
          <w:lang w:eastAsia="en-US"/>
        </w:rPr>
      </w:pPr>
      <w:bookmarkStart w:id="475" w:name="_8_Likely_Net"/>
      <w:bookmarkStart w:id="476" w:name="_9_Likely_Net"/>
      <w:bookmarkStart w:id="477" w:name="_Ref64938104"/>
      <w:bookmarkStart w:id="478" w:name="_Toc80884697"/>
      <w:bookmarkStart w:id="479" w:name="_Toc81226645"/>
      <w:bookmarkStart w:id="480" w:name="_Toc81226670"/>
      <w:bookmarkStart w:id="481" w:name="_Toc81226921"/>
      <w:bookmarkStart w:id="482" w:name="_Toc81228265"/>
      <w:bookmarkStart w:id="483" w:name="_Toc83951208"/>
      <w:bookmarkStart w:id="484" w:name="_Toc84925823"/>
      <w:bookmarkStart w:id="485" w:name="_Toc84925906"/>
      <w:bookmarkStart w:id="486" w:name="_Toc86045150"/>
      <w:bookmarkStart w:id="487" w:name="_Toc86070039"/>
      <w:bookmarkStart w:id="488" w:name="_Toc149740353"/>
      <w:bookmarkEnd w:id="475"/>
      <w:bookmarkEnd w:id="476"/>
      <w:r w:rsidRPr="003269BB">
        <w:rPr>
          <w:color w:val="008675"/>
          <w:lang w:eastAsia="en-US"/>
        </w:rPr>
        <w:lastRenderedPageBreak/>
        <w:t xml:space="preserve">9 Likely </w:t>
      </w:r>
      <w:r w:rsidR="00985FC3" w:rsidRPr="003269BB">
        <w:rPr>
          <w:color w:val="008675"/>
          <w:lang w:eastAsia="en-US"/>
        </w:rPr>
        <w:t>n</w:t>
      </w:r>
      <w:r w:rsidRPr="003269BB">
        <w:rPr>
          <w:color w:val="008675"/>
          <w:lang w:eastAsia="en-US"/>
        </w:rPr>
        <w:t xml:space="preserve">et </w:t>
      </w:r>
      <w:r w:rsidR="00985FC3" w:rsidRPr="003269BB">
        <w:rPr>
          <w:color w:val="008675"/>
          <w:lang w:eastAsia="en-US"/>
        </w:rPr>
        <w:t>b</w:t>
      </w:r>
      <w:r w:rsidRPr="003269BB">
        <w:rPr>
          <w:color w:val="008675"/>
          <w:lang w:eastAsia="en-US"/>
        </w:rPr>
        <w:t xml:space="preserve">enefit of Option 3 </w:t>
      </w:r>
      <w:r w:rsidR="00985FC3" w:rsidRPr="003269BB">
        <w:rPr>
          <w:color w:val="008675"/>
          <w:lang w:eastAsia="en-US"/>
        </w:rPr>
        <w:t>(</w:t>
      </w:r>
      <w:r w:rsidR="00B30B9D" w:rsidRPr="003269BB">
        <w:rPr>
          <w:color w:val="008675"/>
          <w:lang w:eastAsia="en-US"/>
        </w:rPr>
        <w:t>d</w:t>
      </w:r>
      <w:r w:rsidRPr="003269BB">
        <w:rPr>
          <w:color w:val="008675"/>
          <w:lang w:eastAsia="en-US"/>
        </w:rPr>
        <w:t xml:space="preserve">edicated </w:t>
      </w:r>
      <w:r w:rsidR="00985FC3" w:rsidRPr="003269BB">
        <w:rPr>
          <w:color w:val="008675"/>
          <w:lang w:eastAsia="en-US"/>
        </w:rPr>
        <w:t>r</w:t>
      </w:r>
      <w:r w:rsidRPr="003269BB">
        <w:rPr>
          <w:color w:val="008675"/>
          <w:lang w:eastAsia="en-US"/>
        </w:rPr>
        <w:t xml:space="preserve">egulatory </w:t>
      </w:r>
      <w:r w:rsidR="00985FC3" w:rsidRPr="003269BB">
        <w:rPr>
          <w:color w:val="008675"/>
          <w:lang w:eastAsia="en-US"/>
        </w:rPr>
        <w:t>s</w:t>
      </w:r>
      <w:r w:rsidRPr="003269BB">
        <w:rPr>
          <w:color w:val="008675"/>
          <w:lang w:eastAsia="en-US"/>
        </w:rPr>
        <w:t>cheme</w:t>
      </w:r>
      <w:bookmarkEnd w:id="477"/>
      <w:r w:rsidR="00985FC3" w:rsidRPr="003269BB">
        <w:rPr>
          <w:color w:val="008675"/>
          <w:lang w:eastAsia="en-US"/>
        </w:rPr>
        <w:t>)</w:t>
      </w:r>
      <w:bookmarkEnd w:id="478"/>
      <w:bookmarkEnd w:id="479"/>
      <w:bookmarkEnd w:id="480"/>
      <w:bookmarkEnd w:id="481"/>
      <w:bookmarkEnd w:id="482"/>
      <w:bookmarkEnd w:id="483"/>
      <w:bookmarkEnd w:id="484"/>
      <w:bookmarkEnd w:id="485"/>
      <w:bookmarkEnd w:id="486"/>
      <w:bookmarkEnd w:id="487"/>
      <w:bookmarkEnd w:id="488"/>
      <w:r w:rsidRPr="003269BB">
        <w:rPr>
          <w:color w:val="008675"/>
          <w:lang w:eastAsia="en-US"/>
        </w:rPr>
        <w:t xml:space="preserve"> </w:t>
      </w:r>
    </w:p>
    <w:p w14:paraId="4EDC0F31" w14:textId="3F7F4478" w:rsidR="00191958" w:rsidRDefault="00E6232E" w:rsidP="00EC18E7">
      <w:pPr>
        <w:pStyle w:val="BodyText"/>
        <w:rPr>
          <w:rFonts w:eastAsia="Times New Roman"/>
          <w:lang w:eastAsia="en-US"/>
        </w:rPr>
      </w:pPr>
      <w:r w:rsidRPr="000B7589">
        <w:rPr>
          <w:lang w:eastAsia="en-US"/>
        </w:rPr>
        <w:t xml:space="preserve">As described in </w:t>
      </w:r>
      <w:r w:rsidRPr="003269BB">
        <w:rPr>
          <w:color w:val="008675"/>
        </w:rPr>
        <w:t xml:space="preserve">Section </w:t>
      </w:r>
      <w:r w:rsidRPr="003269BB">
        <w:rPr>
          <w:color w:val="008675"/>
        </w:rPr>
        <w:fldChar w:fldCharType="begin"/>
      </w:r>
      <w:r w:rsidRPr="003269BB">
        <w:rPr>
          <w:color w:val="008675"/>
        </w:rPr>
        <w:instrText xml:space="preserve"> REF _Ref64886692 \h  \* MERGEFORMAT </w:instrText>
      </w:r>
      <w:r w:rsidRPr="003269BB">
        <w:rPr>
          <w:color w:val="008675"/>
        </w:rPr>
      </w:r>
      <w:r w:rsidRPr="003269BB">
        <w:rPr>
          <w:color w:val="008675"/>
        </w:rPr>
        <w:fldChar w:fldCharType="separate"/>
      </w:r>
      <w:r w:rsidRPr="003269BB">
        <w:rPr>
          <w:color w:val="008675"/>
        </w:rPr>
        <w:t xml:space="preserve">5.3 Option 3: Dedicated </w:t>
      </w:r>
      <w:r w:rsidR="00B30B9D" w:rsidRPr="003269BB">
        <w:rPr>
          <w:color w:val="008675"/>
        </w:rPr>
        <w:t>l</w:t>
      </w:r>
      <w:r w:rsidRPr="003269BB">
        <w:rPr>
          <w:color w:val="008675"/>
        </w:rPr>
        <w:t xml:space="preserve">egislation to </w:t>
      </w:r>
      <w:r w:rsidR="00B30B9D" w:rsidRPr="003269BB">
        <w:rPr>
          <w:color w:val="008675"/>
        </w:rPr>
        <w:t>e</w:t>
      </w:r>
      <w:r w:rsidRPr="003269BB">
        <w:rPr>
          <w:color w:val="008675"/>
        </w:rPr>
        <w:t xml:space="preserve">stablish </w:t>
      </w:r>
      <w:r w:rsidR="00B30B9D" w:rsidRPr="003269BB">
        <w:rPr>
          <w:color w:val="008675"/>
        </w:rPr>
        <w:t>n</w:t>
      </w:r>
      <w:r w:rsidRPr="003269BB">
        <w:rPr>
          <w:color w:val="008675"/>
        </w:rPr>
        <w:t xml:space="preserve">ew </w:t>
      </w:r>
      <w:r w:rsidR="00B30B9D" w:rsidRPr="003269BB">
        <w:rPr>
          <w:color w:val="008675"/>
        </w:rPr>
        <w:t>r</w:t>
      </w:r>
      <w:r w:rsidRPr="003269BB">
        <w:rPr>
          <w:color w:val="008675"/>
        </w:rPr>
        <w:t xml:space="preserve">egulatory </w:t>
      </w:r>
      <w:r w:rsidR="00B30B9D" w:rsidRPr="003269BB">
        <w:rPr>
          <w:color w:val="008675"/>
        </w:rPr>
        <w:t>s</w:t>
      </w:r>
      <w:r w:rsidRPr="003269BB">
        <w:rPr>
          <w:color w:val="008675"/>
        </w:rPr>
        <w:t>cheme</w:t>
      </w:r>
      <w:r w:rsidRPr="003269BB">
        <w:rPr>
          <w:color w:val="008675"/>
        </w:rPr>
        <w:fldChar w:fldCharType="end"/>
      </w:r>
      <w:r w:rsidRPr="000B7589">
        <w:rPr>
          <w:rFonts w:eastAsia="Times New Roman"/>
          <w:lang w:eastAsia="en-US"/>
        </w:rPr>
        <w:t xml:space="preserve">, </w:t>
      </w:r>
      <w:r w:rsidR="008F718D">
        <w:rPr>
          <w:rFonts w:eastAsia="Times New Roman"/>
          <w:lang w:eastAsia="en-US"/>
        </w:rPr>
        <w:t xml:space="preserve">Option 3 </w:t>
      </w:r>
      <w:r w:rsidR="003C44EE">
        <w:rPr>
          <w:rFonts w:eastAsia="Times New Roman"/>
          <w:lang w:eastAsia="en-US"/>
        </w:rPr>
        <w:t>involves establish</w:t>
      </w:r>
      <w:r w:rsidR="004C162B">
        <w:rPr>
          <w:rFonts w:eastAsia="Times New Roman"/>
          <w:lang w:eastAsia="en-US"/>
        </w:rPr>
        <w:t>ing</w:t>
      </w:r>
      <w:r w:rsidR="003C44EE">
        <w:rPr>
          <w:rFonts w:eastAsia="Times New Roman"/>
          <w:lang w:eastAsia="en-US"/>
        </w:rPr>
        <w:t xml:space="preserve"> a dedicated regulatory scheme that would </w:t>
      </w:r>
      <w:r w:rsidR="00BD1371">
        <w:rPr>
          <w:rFonts w:eastAsia="Times New Roman"/>
          <w:lang w:eastAsia="en-US"/>
        </w:rPr>
        <w:t>support an expansion of</w:t>
      </w:r>
      <w:r w:rsidR="00216595">
        <w:rPr>
          <w:rFonts w:eastAsia="Times New Roman"/>
          <w:lang w:eastAsia="en-US"/>
        </w:rPr>
        <w:t xml:space="preserve"> AGDIS to include an accreditation scheme</w:t>
      </w:r>
      <w:r w:rsidR="00A833B5">
        <w:rPr>
          <w:rFonts w:eastAsia="Times New Roman"/>
          <w:lang w:eastAsia="en-US"/>
        </w:rPr>
        <w:t xml:space="preserve">. This </w:t>
      </w:r>
      <w:r w:rsidR="00A019E9">
        <w:rPr>
          <w:rFonts w:eastAsia="Times New Roman"/>
          <w:lang w:eastAsia="en-US"/>
        </w:rPr>
        <w:t>o</w:t>
      </w:r>
      <w:r w:rsidR="00A833B5">
        <w:rPr>
          <w:rFonts w:eastAsia="Times New Roman"/>
          <w:lang w:eastAsia="en-US"/>
        </w:rPr>
        <w:t xml:space="preserve">ption </w:t>
      </w:r>
      <w:r w:rsidR="0032345F">
        <w:rPr>
          <w:rFonts w:eastAsia="Times New Roman"/>
          <w:lang w:eastAsia="en-US"/>
        </w:rPr>
        <w:t>would</w:t>
      </w:r>
      <w:r w:rsidR="00200779">
        <w:rPr>
          <w:rFonts w:eastAsia="Times New Roman"/>
          <w:lang w:eastAsia="en-US"/>
        </w:rPr>
        <w:t>, through the Bill,</w:t>
      </w:r>
      <w:r w:rsidR="0032345F">
        <w:rPr>
          <w:rFonts w:eastAsia="Times New Roman"/>
          <w:lang w:eastAsia="en-US"/>
        </w:rPr>
        <w:t xml:space="preserve"> provide legislative authority to involve non</w:t>
      </w:r>
      <w:r w:rsidR="00B41000">
        <w:rPr>
          <w:rFonts w:eastAsia="Times New Roman"/>
          <w:lang w:eastAsia="en-US"/>
        </w:rPr>
        <w:t>-</w:t>
      </w:r>
      <w:r w:rsidR="003269BB">
        <w:rPr>
          <w:rFonts w:eastAsia="Times New Roman"/>
          <w:lang w:eastAsia="en-US"/>
        </w:rPr>
        <w:t>Commonwealth</w:t>
      </w:r>
      <w:r w:rsidR="00B41000">
        <w:rPr>
          <w:rFonts w:eastAsia="Times New Roman"/>
          <w:lang w:eastAsia="en-US"/>
        </w:rPr>
        <w:t xml:space="preserve"> relying parties, and </w:t>
      </w:r>
      <w:r w:rsidR="003D6B02">
        <w:rPr>
          <w:rFonts w:eastAsia="Times New Roman"/>
          <w:lang w:eastAsia="en-US"/>
        </w:rPr>
        <w:t xml:space="preserve">the ability for onboarded accredited entities to be subject to a legislated charging framework. </w:t>
      </w:r>
    </w:p>
    <w:p w14:paraId="5E1C2438" w14:textId="68242BD1" w:rsidR="006222C3" w:rsidRDefault="006222C3" w:rsidP="00EC18E7">
      <w:pPr>
        <w:pStyle w:val="BodyText"/>
        <w:rPr>
          <w:rFonts w:eastAsia="Times New Roman"/>
          <w:lang w:eastAsia="en-US"/>
        </w:rPr>
      </w:pPr>
      <w:r>
        <w:rPr>
          <w:rFonts w:eastAsia="Times New Roman"/>
          <w:lang w:eastAsia="en-US"/>
        </w:rPr>
        <w:t>The regulatory framework has three core functions in its structure; the e</w:t>
      </w:r>
      <w:r w:rsidR="00175B4D">
        <w:rPr>
          <w:rFonts w:eastAsia="Times New Roman"/>
          <w:lang w:eastAsia="en-US"/>
        </w:rPr>
        <w:t>stablishment of the accreditation system and AGDIS, the ability for the Minister to make accreditation rules and rules for governance of AGDIS, and data standards made by a data chair. This provides not only the legal basis for operation, but the ability to respond to regulatory concerns, and shape the market as it grows and evolves.</w:t>
      </w:r>
      <w:r>
        <w:rPr>
          <w:rFonts w:eastAsia="Times New Roman"/>
          <w:lang w:eastAsia="en-US"/>
        </w:rPr>
        <w:t xml:space="preserve"> </w:t>
      </w:r>
    </w:p>
    <w:p w14:paraId="08BC05C7" w14:textId="77777777" w:rsidR="006222C3" w:rsidRDefault="006222C3" w:rsidP="00EC18E7">
      <w:pPr>
        <w:pStyle w:val="BodyText"/>
        <w:rPr>
          <w:rFonts w:eastAsia="Times New Roman"/>
          <w:lang w:eastAsia="en-US"/>
        </w:rPr>
      </w:pPr>
    </w:p>
    <w:p w14:paraId="2EBA201A" w14:textId="3268AC1F" w:rsidR="006222C3" w:rsidRPr="00986346" w:rsidRDefault="006222C3" w:rsidP="006222C3">
      <w:pPr>
        <w:pStyle w:val="BodyText"/>
        <w:jc w:val="center"/>
        <w:rPr>
          <w:rFonts w:eastAsia="Times New Roman"/>
          <w:lang w:eastAsia="en-US"/>
        </w:rPr>
      </w:pPr>
      <w:r w:rsidRPr="006222C3">
        <w:rPr>
          <w:rFonts w:eastAsia="Times New Roman"/>
          <w:noProof/>
        </w:rPr>
        <w:drawing>
          <wp:inline distT="0" distB="0" distL="0" distR="0" wp14:anchorId="749FFE2B" wp14:editId="10AD561D">
            <wp:extent cx="4372708" cy="3210959"/>
            <wp:effectExtent l="0" t="0" r="8890" b="8890"/>
            <wp:docPr id="1112973427" name="Picture 111297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73427" name=""/>
                    <pic:cNvPicPr/>
                  </pic:nvPicPr>
                  <pic:blipFill>
                    <a:blip r:embed="rId78"/>
                    <a:stretch>
                      <a:fillRect/>
                    </a:stretch>
                  </pic:blipFill>
                  <pic:spPr>
                    <a:xfrm>
                      <a:off x="0" y="0"/>
                      <a:ext cx="4379029" cy="3215601"/>
                    </a:xfrm>
                    <a:prstGeom prst="rect">
                      <a:avLst/>
                    </a:prstGeom>
                  </pic:spPr>
                </pic:pic>
              </a:graphicData>
            </a:graphic>
          </wp:inline>
        </w:drawing>
      </w:r>
    </w:p>
    <w:p w14:paraId="2682B695" w14:textId="6A19EAEA" w:rsidR="009C1E11" w:rsidRPr="00402B15" w:rsidRDefault="00E6232E" w:rsidP="005F342B">
      <w:pPr>
        <w:pStyle w:val="Heading2NoNumbers"/>
        <w:rPr>
          <w:color w:val="008675"/>
          <w:lang w:eastAsia="en-US"/>
        </w:rPr>
      </w:pPr>
      <w:bookmarkStart w:id="489" w:name="_Toc80884698"/>
      <w:bookmarkStart w:id="490" w:name="_Toc81226646"/>
      <w:bookmarkStart w:id="491" w:name="_Toc81226922"/>
      <w:bookmarkStart w:id="492" w:name="_Toc81228266"/>
      <w:bookmarkStart w:id="493" w:name="_Toc83951209"/>
      <w:bookmarkStart w:id="494" w:name="_Toc84925824"/>
      <w:bookmarkStart w:id="495" w:name="_Toc84925907"/>
      <w:bookmarkStart w:id="496" w:name="_Toc86045151"/>
      <w:bookmarkStart w:id="497" w:name="_Toc86070040"/>
      <w:bookmarkStart w:id="498" w:name="_Toc149740354"/>
      <w:r w:rsidRPr="00402B15">
        <w:rPr>
          <w:color w:val="008675"/>
          <w:lang w:eastAsia="en-US"/>
        </w:rPr>
        <w:lastRenderedPageBreak/>
        <w:t xml:space="preserve">9.1 Overall </w:t>
      </w:r>
      <w:r w:rsidR="00985FC3" w:rsidRPr="00402B15">
        <w:rPr>
          <w:color w:val="008675"/>
          <w:lang w:eastAsia="en-US"/>
        </w:rPr>
        <w:t>i</w:t>
      </w:r>
      <w:r w:rsidRPr="00402B15">
        <w:rPr>
          <w:color w:val="008675"/>
          <w:lang w:eastAsia="en-US"/>
        </w:rPr>
        <w:t>mpacts</w:t>
      </w:r>
      <w:bookmarkEnd w:id="489"/>
      <w:bookmarkEnd w:id="490"/>
      <w:bookmarkEnd w:id="491"/>
      <w:bookmarkEnd w:id="492"/>
      <w:bookmarkEnd w:id="493"/>
      <w:bookmarkEnd w:id="494"/>
      <w:bookmarkEnd w:id="495"/>
      <w:bookmarkEnd w:id="496"/>
      <w:bookmarkEnd w:id="497"/>
      <w:bookmarkEnd w:id="498"/>
    </w:p>
    <w:p w14:paraId="29E54DDD" w14:textId="5CF10CBE" w:rsidR="00E6232E" w:rsidRPr="00402B15" w:rsidRDefault="00E6232E" w:rsidP="009C1E11">
      <w:pPr>
        <w:pStyle w:val="Heading3NoNumbers"/>
        <w:rPr>
          <w:color w:val="008675"/>
          <w:lang w:eastAsia="en-US"/>
        </w:rPr>
      </w:pPr>
      <w:bookmarkStart w:id="499" w:name="_Toc80884699"/>
      <w:bookmarkStart w:id="500" w:name="_Toc84925825"/>
      <w:bookmarkStart w:id="501" w:name="_Toc86070041"/>
      <w:r w:rsidRPr="00402B15">
        <w:rPr>
          <w:color w:val="008675"/>
          <w:lang w:eastAsia="en-US"/>
        </w:rPr>
        <w:t>9.1.1 Individuals</w:t>
      </w:r>
      <w:bookmarkEnd w:id="499"/>
      <w:bookmarkEnd w:id="500"/>
      <w:bookmarkEnd w:id="501"/>
    </w:p>
    <w:p w14:paraId="5CE8E702" w14:textId="79B96B06" w:rsidR="00E6232E" w:rsidRPr="000B7589" w:rsidRDefault="00E6232E" w:rsidP="00EC18E7">
      <w:pPr>
        <w:pStyle w:val="BodyText"/>
        <w:rPr>
          <w:lang w:eastAsia="en-US"/>
        </w:rPr>
      </w:pPr>
      <w:r w:rsidRPr="000B7589">
        <w:rPr>
          <w:lang w:eastAsia="en-US"/>
        </w:rPr>
        <w:t>The benefits to individuals of Option 3 can be articulated at two levels</w:t>
      </w:r>
      <w:r w:rsidR="00B30B9D">
        <w:rPr>
          <w:lang w:eastAsia="en-US"/>
        </w:rPr>
        <w:t>, those arising</w:t>
      </w:r>
      <w:r w:rsidRPr="000B7589">
        <w:rPr>
          <w:lang w:eastAsia="en-US"/>
        </w:rPr>
        <w:t>:</w:t>
      </w:r>
    </w:p>
    <w:p w14:paraId="6DF31BC1" w14:textId="080201FB" w:rsidR="00E6232E" w:rsidRPr="000B7589" w:rsidRDefault="00E6232E" w:rsidP="00793B20">
      <w:pPr>
        <w:pStyle w:val="ListBulletLevel1"/>
        <w:rPr>
          <w:lang w:eastAsia="en-US"/>
        </w:rPr>
      </w:pPr>
      <w:r w:rsidRPr="000B7589">
        <w:rPr>
          <w:lang w:eastAsia="en-US"/>
        </w:rPr>
        <w:t>indirectly from the expansion enabled by the legislation</w:t>
      </w:r>
      <w:r w:rsidR="00DA629E">
        <w:rPr>
          <w:lang w:eastAsia="en-US"/>
        </w:rPr>
        <w:t>.</w:t>
      </w:r>
    </w:p>
    <w:p w14:paraId="227CA7C3" w14:textId="109CE154" w:rsidR="00E6232E" w:rsidRPr="000B7589" w:rsidRDefault="00E6232E" w:rsidP="00793B20">
      <w:pPr>
        <w:pStyle w:val="ListBulletLevel1"/>
        <w:rPr>
          <w:lang w:eastAsia="en-US"/>
        </w:rPr>
      </w:pPr>
      <w:r w:rsidRPr="000B7589">
        <w:rPr>
          <w:lang w:eastAsia="en-US"/>
        </w:rPr>
        <w:t>directly from the protections and safeguards offered by the</w:t>
      </w:r>
      <w:r w:rsidR="00A43420">
        <w:rPr>
          <w:lang w:eastAsia="en-US"/>
        </w:rPr>
        <w:t xml:space="preserve"> regulatory scheme itself</w:t>
      </w:r>
      <w:r w:rsidRPr="000B7589">
        <w:rPr>
          <w:lang w:eastAsia="en-US"/>
        </w:rPr>
        <w:t>.</w:t>
      </w:r>
    </w:p>
    <w:p w14:paraId="233CA601" w14:textId="4A2C0D1D" w:rsidR="00E6232E" w:rsidRPr="00402B15" w:rsidRDefault="007A2C6A">
      <w:pPr>
        <w:pStyle w:val="Heading4NoNumbers"/>
        <w:numPr>
          <w:ilvl w:val="0"/>
          <w:numId w:val="0"/>
        </w:numPr>
        <w:rPr>
          <w:color w:val="008675"/>
        </w:rPr>
      </w:pPr>
      <w:r>
        <w:rPr>
          <w:color w:val="008675"/>
        </w:rPr>
        <w:t xml:space="preserve">(a) </w:t>
      </w:r>
      <w:r w:rsidR="00E6232E" w:rsidRPr="00402B15">
        <w:rPr>
          <w:color w:val="008675"/>
        </w:rPr>
        <w:t xml:space="preserve">Expected </w:t>
      </w:r>
      <w:r w:rsidR="00E5093D" w:rsidRPr="00402B15">
        <w:rPr>
          <w:color w:val="008675"/>
        </w:rPr>
        <w:t>b</w:t>
      </w:r>
      <w:r w:rsidR="00E6232E" w:rsidRPr="00402B15">
        <w:rPr>
          <w:color w:val="008675"/>
        </w:rPr>
        <w:t xml:space="preserve">enefits of </w:t>
      </w:r>
      <w:r w:rsidR="00E5093D" w:rsidRPr="00402B15">
        <w:rPr>
          <w:color w:val="008675"/>
        </w:rPr>
        <w:t>e</w:t>
      </w:r>
      <w:r w:rsidR="00E6232E" w:rsidRPr="00402B15">
        <w:rPr>
          <w:color w:val="008675"/>
        </w:rPr>
        <w:t>xpansion</w:t>
      </w:r>
    </w:p>
    <w:p w14:paraId="68B936BF" w14:textId="26B53BFA" w:rsidR="00E6232E" w:rsidRPr="000B7589" w:rsidRDefault="00E6232E" w:rsidP="00EC18E7">
      <w:pPr>
        <w:pStyle w:val="BodyText"/>
        <w:rPr>
          <w:lang w:eastAsia="en-US"/>
        </w:rPr>
      </w:pPr>
      <w:r w:rsidRPr="000B7589">
        <w:rPr>
          <w:lang w:eastAsia="en-US"/>
        </w:rPr>
        <w:t xml:space="preserve">This legislation will provide the foundations for a much wider range of private sector and state, territory and local government entities to use </w:t>
      </w:r>
      <w:r w:rsidR="006D2353">
        <w:rPr>
          <w:lang w:eastAsia="en-US"/>
        </w:rPr>
        <w:t>Digital ID</w:t>
      </w:r>
      <w:r w:rsidR="00CF4004">
        <w:rPr>
          <w:lang w:eastAsia="en-US"/>
        </w:rPr>
        <w:t xml:space="preserve"> </w:t>
      </w:r>
      <w:r w:rsidRPr="000B7589">
        <w:rPr>
          <w:lang w:eastAsia="en-US"/>
        </w:rPr>
        <w:t xml:space="preserve">to verify their customers. For individuals, this means being able to interact and transact with greater speed and efficiency with a wider range of organisations and businesses. Internationally, </w:t>
      </w:r>
      <w:r w:rsidR="00CF4004">
        <w:rPr>
          <w:lang w:eastAsia="en-US"/>
        </w:rPr>
        <w:t>d</w:t>
      </w:r>
      <w:r w:rsidRPr="000B7589">
        <w:rPr>
          <w:lang w:eastAsia="en-US"/>
        </w:rPr>
        <w:t xml:space="preserve">igital </w:t>
      </w:r>
      <w:r w:rsidR="00500088">
        <w:rPr>
          <w:lang w:eastAsia="en-US"/>
        </w:rPr>
        <w:t>ID</w:t>
      </w:r>
      <w:r w:rsidR="00500088" w:rsidRPr="000B7589">
        <w:rPr>
          <w:lang w:eastAsia="en-US"/>
        </w:rPr>
        <w:t xml:space="preserve"> </w:t>
      </w:r>
      <w:r w:rsidRPr="000B7589">
        <w:rPr>
          <w:lang w:eastAsia="en-US"/>
        </w:rPr>
        <w:t>has been taken up by providers in a number of sectors that Australians interact with regularly, particularly:</w:t>
      </w:r>
    </w:p>
    <w:p w14:paraId="24763B0B" w14:textId="367C2A86" w:rsidR="00E6232E" w:rsidRPr="000B7589" w:rsidRDefault="00E6232E" w:rsidP="00EC18E7">
      <w:pPr>
        <w:pStyle w:val="ListBulletLevel1"/>
        <w:rPr>
          <w:rFonts w:eastAsia="Calibri"/>
          <w:lang w:eastAsia="en-US"/>
        </w:rPr>
      </w:pPr>
      <w:r w:rsidRPr="000B7589">
        <w:rPr>
          <w:rFonts w:eastAsia="Calibri"/>
          <w:lang w:eastAsia="en-US"/>
        </w:rPr>
        <w:t>banks and financial institutions</w:t>
      </w:r>
    </w:p>
    <w:p w14:paraId="66C3DFEC" w14:textId="54781505" w:rsidR="00E6232E" w:rsidRPr="000B7589" w:rsidRDefault="00E6232E" w:rsidP="00EC18E7">
      <w:pPr>
        <w:pStyle w:val="ListBulletLevel1"/>
        <w:rPr>
          <w:rFonts w:eastAsia="Calibri"/>
          <w:lang w:eastAsia="en-US"/>
        </w:rPr>
      </w:pPr>
      <w:r w:rsidRPr="000B7589">
        <w:rPr>
          <w:rFonts w:eastAsia="Calibri"/>
          <w:lang w:eastAsia="en-US"/>
        </w:rPr>
        <w:t>utilities and telecommunications providers</w:t>
      </w:r>
    </w:p>
    <w:p w14:paraId="03725327" w14:textId="1DCB3F74" w:rsidR="00E6232E" w:rsidRPr="000B7589" w:rsidRDefault="00E6232E" w:rsidP="00EC18E7">
      <w:pPr>
        <w:pStyle w:val="ListBulletLevel1"/>
        <w:rPr>
          <w:rFonts w:eastAsia="Calibri"/>
          <w:lang w:eastAsia="en-US"/>
        </w:rPr>
      </w:pPr>
      <w:r w:rsidRPr="000B7589">
        <w:rPr>
          <w:rFonts w:eastAsia="Calibri"/>
          <w:lang w:eastAsia="en-US"/>
        </w:rPr>
        <w:t>social care service providers (for example, healthcare and childcare)</w:t>
      </w:r>
    </w:p>
    <w:p w14:paraId="53ECC0A8" w14:textId="77777777" w:rsidR="00E6232E" w:rsidRPr="000B7589" w:rsidRDefault="00E6232E" w:rsidP="00EC18E7">
      <w:pPr>
        <w:pStyle w:val="ListBulletLevel1"/>
        <w:rPr>
          <w:rFonts w:eastAsia="Calibri"/>
          <w:lang w:eastAsia="en-US"/>
        </w:rPr>
      </w:pPr>
      <w:r w:rsidRPr="000B7589">
        <w:rPr>
          <w:rFonts w:eastAsia="Calibri"/>
          <w:lang w:eastAsia="en-US"/>
        </w:rPr>
        <w:t>state and local government authorities.</w:t>
      </w:r>
    </w:p>
    <w:p w14:paraId="0B490494" w14:textId="729BAE7B" w:rsidR="00882E76" w:rsidRPr="00402B15" w:rsidRDefault="00EE126F" w:rsidP="00685559">
      <w:pPr>
        <w:pStyle w:val="BodyText"/>
        <w:rPr>
          <w:color w:val="008675"/>
        </w:rPr>
      </w:pPr>
      <w:r w:rsidRPr="0044713B">
        <w:rPr>
          <w:lang w:eastAsia="en-US"/>
        </w:rPr>
        <w:t xml:space="preserve">Interest </w:t>
      </w:r>
      <w:r w:rsidR="00D067ED" w:rsidRPr="0044713B">
        <w:rPr>
          <w:lang w:eastAsia="en-US"/>
        </w:rPr>
        <w:t xml:space="preserve">in accreditation </w:t>
      </w:r>
      <w:r w:rsidRPr="00FD276A">
        <w:rPr>
          <w:lang w:eastAsia="en-US"/>
        </w:rPr>
        <w:t>has also been received from interna</w:t>
      </w:r>
      <w:r w:rsidR="00D067ED" w:rsidRPr="007044CC">
        <w:rPr>
          <w:lang w:eastAsia="en-US"/>
        </w:rPr>
        <w:t xml:space="preserve">tional </w:t>
      </w:r>
      <w:r w:rsidRPr="007044CC">
        <w:rPr>
          <w:lang w:eastAsia="en-US"/>
        </w:rPr>
        <w:t>I</w:t>
      </w:r>
      <w:r w:rsidR="009F6671" w:rsidRPr="00937135">
        <w:rPr>
          <w:lang w:eastAsia="en-US"/>
        </w:rPr>
        <w:t>D</w:t>
      </w:r>
      <w:r w:rsidR="00D067ED" w:rsidRPr="00937135">
        <w:rPr>
          <w:lang w:eastAsia="en-US"/>
        </w:rPr>
        <w:t xml:space="preserve">Ps </w:t>
      </w:r>
      <w:r w:rsidR="00253676" w:rsidRPr="00EC23CA">
        <w:rPr>
          <w:lang w:eastAsia="en-US"/>
        </w:rPr>
        <w:t>want</w:t>
      </w:r>
      <w:r w:rsidR="00246CE1">
        <w:rPr>
          <w:lang w:eastAsia="en-US"/>
        </w:rPr>
        <w:t>ing</w:t>
      </w:r>
      <w:r w:rsidR="00253676" w:rsidRPr="00EC23CA">
        <w:rPr>
          <w:lang w:eastAsia="en-US"/>
        </w:rPr>
        <w:t xml:space="preserve"> to offer </w:t>
      </w:r>
      <w:r w:rsidR="00CF4004">
        <w:rPr>
          <w:lang w:eastAsia="en-US"/>
        </w:rPr>
        <w:t>d</w:t>
      </w:r>
      <w:r w:rsidR="00253676" w:rsidRPr="00EC23CA">
        <w:rPr>
          <w:lang w:eastAsia="en-US"/>
        </w:rPr>
        <w:t xml:space="preserve">igital </w:t>
      </w:r>
      <w:r w:rsidR="002D5E5A">
        <w:rPr>
          <w:lang w:eastAsia="en-US"/>
        </w:rPr>
        <w:t>ID</w:t>
      </w:r>
      <w:r w:rsidR="00253676" w:rsidRPr="00EC23CA">
        <w:rPr>
          <w:lang w:eastAsia="en-US"/>
        </w:rPr>
        <w:t xml:space="preserve"> services in Australia. </w:t>
      </w:r>
      <w:r w:rsidR="00E6232E" w:rsidRPr="00EC23CA">
        <w:rPr>
          <w:lang w:eastAsia="en-US"/>
        </w:rPr>
        <w:t>Enabling the participation of such an expanded range of organisations and businesses within Australia is an expressed policy objective of this regulatory action</w:t>
      </w:r>
      <w:r w:rsidR="00D42F8F" w:rsidRPr="00EC23CA">
        <w:rPr>
          <w:lang w:eastAsia="en-US"/>
        </w:rPr>
        <w:t xml:space="preserve">, as discussed </w:t>
      </w:r>
      <w:r w:rsidR="00F61F63" w:rsidRPr="00EC23CA">
        <w:rPr>
          <w:lang w:eastAsia="en-US"/>
        </w:rPr>
        <w:t xml:space="preserve">above </w:t>
      </w:r>
      <w:r w:rsidR="00D42F8F" w:rsidRPr="00EC23CA">
        <w:rPr>
          <w:lang w:eastAsia="en-US"/>
        </w:rPr>
        <w:t xml:space="preserve">in </w:t>
      </w:r>
      <w:r w:rsidR="00882E76" w:rsidRPr="00402B15">
        <w:rPr>
          <w:color w:val="008675"/>
        </w:rPr>
        <w:t xml:space="preserve">Section </w:t>
      </w:r>
      <w:r w:rsidR="00882E76" w:rsidRPr="00402B15">
        <w:rPr>
          <w:color w:val="008675"/>
        </w:rPr>
        <w:fldChar w:fldCharType="begin"/>
      </w:r>
      <w:r w:rsidR="00882E76" w:rsidRPr="00402B15">
        <w:rPr>
          <w:color w:val="008675"/>
        </w:rPr>
        <w:instrText xml:space="preserve"> REF Objectives \h  \* MERGEFORMAT </w:instrText>
      </w:r>
      <w:r w:rsidR="00882E76" w:rsidRPr="00402B15">
        <w:rPr>
          <w:color w:val="008675"/>
        </w:rPr>
      </w:r>
      <w:r w:rsidR="00882E76" w:rsidRPr="00402B15">
        <w:rPr>
          <w:color w:val="008675"/>
        </w:rPr>
        <w:fldChar w:fldCharType="separate"/>
      </w:r>
      <w:r w:rsidR="00882E76" w:rsidRPr="00402B15">
        <w:rPr>
          <w:color w:val="008675"/>
        </w:rPr>
        <w:t xml:space="preserve">4.3 Objectives for </w:t>
      </w:r>
      <w:r w:rsidR="00B30B9D" w:rsidRPr="00402B15">
        <w:rPr>
          <w:color w:val="008675"/>
        </w:rPr>
        <w:t>g</w:t>
      </w:r>
      <w:r w:rsidR="00882E76" w:rsidRPr="00402B15">
        <w:rPr>
          <w:color w:val="008675"/>
        </w:rPr>
        <w:t xml:space="preserve">overnment </w:t>
      </w:r>
      <w:r w:rsidR="00B30B9D" w:rsidRPr="00402B15">
        <w:rPr>
          <w:color w:val="008675"/>
        </w:rPr>
        <w:t>i</w:t>
      </w:r>
      <w:r w:rsidR="00882E76" w:rsidRPr="00402B15">
        <w:rPr>
          <w:color w:val="008675"/>
        </w:rPr>
        <w:t>ntervention.</w:t>
      </w:r>
    </w:p>
    <w:p w14:paraId="40CA59AD" w14:textId="22645F49" w:rsidR="00E2634B" w:rsidRPr="001A1AC9" w:rsidRDefault="00882E76">
      <w:pPr>
        <w:pStyle w:val="BodyText"/>
      </w:pPr>
      <w:r w:rsidRPr="00402B15">
        <w:rPr>
          <w:color w:val="008675"/>
        </w:rPr>
        <w:fldChar w:fldCharType="end"/>
      </w:r>
      <w:r w:rsidR="00E6232E" w:rsidRPr="00C67305">
        <w:rPr>
          <w:lang w:eastAsia="en-US"/>
        </w:rPr>
        <w:t>By removing the need to present physical identity documents and set up multiple identity profiles across these diverse service providers, the time required for individuals to verify their identity with service providers can be reduced from hours to minutes</w:t>
      </w:r>
      <w:r w:rsidR="00E6232E" w:rsidRPr="002B62F9">
        <w:rPr>
          <w:lang w:eastAsia="en-US"/>
        </w:rPr>
        <w:t xml:space="preserve">. </w:t>
      </w:r>
      <w:r w:rsidR="00B26097" w:rsidRPr="002B62F9">
        <w:rPr>
          <w:lang w:eastAsia="en-US"/>
        </w:rPr>
        <w:t xml:space="preserve">Economic modelling has </w:t>
      </w:r>
      <w:r w:rsidR="009B67BF" w:rsidRPr="002B62F9">
        <w:rPr>
          <w:lang w:eastAsia="en-US"/>
        </w:rPr>
        <w:t xml:space="preserve">indicated that an individual could save 115 minutes of time </w:t>
      </w:r>
      <w:r w:rsidR="00CD2D3F" w:rsidRPr="002B62F9">
        <w:rPr>
          <w:lang w:eastAsia="en-US"/>
        </w:rPr>
        <w:t xml:space="preserve">just by completing a transaction with a digital </w:t>
      </w:r>
      <w:r w:rsidR="00500088">
        <w:rPr>
          <w:lang w:eastAsia="en-US"/>
        </w:rPr>
        <w:t>ID</w:t>
      </w:r>
      <w:r w:rsidR="00500088" w:rsidRPr="002B62F9">
        <w:rPr>
          <w:lang w:eastAsia="en-US"/>
        </w:rPr>
        <w:t xml:space="preserve"> </w:t>
      </w:r>
      <w:r w:rsidR="00CD2D3F" w:rsidRPr="002B62F9">
        <w:rPr>
          <w:lang w:eastAsia="en-US"/>
        </w:rPr>
        <w:t>compared to without (</w:t>
      </w:r>
      <w:r w:rsidR="00CD2D3F" w:rsidRPr="001A1AC9">
        <w:rPr>
          <w:lang w:eastAsia="en-US"/>
        </w:rPr>
        <w:t xml:space="preserve">source: KPMG, 2021, </w:t>
      </w:r>
      <w:r w:rsidR="00CD2D3F" w:rsidRPr="001A1AC9">
        <w:rPr>
          <w:rFonts w:eastAsia="Calibri"/>
          <w:i/>
          <w:iCs/>
          <w:szCs w:val="16"/>
          <w:lang w:eastAsia="en-US"/>
        </w:rPr>
        <w:t xml:space="preserve">Economic </w:t>
      </w:r>
      <w:r w:rsidR="00CD2D3F" w:rsidRPr="00780A4F">
        <w:rPr>
          <w:rFonts w:eastAsia="Calibri"/>
          <w:i/>
          <w:iCs/>
          <w:szCs w:val="16"/>
          <w:lang w:eastAsia="en-US"/>
        </w:rPr>
        <w:t>Benefits of Digital Identity</w:t>
      </w:r>
      <w:r w:rsidR="00CD2D3F" w:rsidRPr="00780A4F">
        <w:rPr>
          <w:rFonts w:eastAsia="Calibri"/>
          <w:szCs w:val="16"/>
          <w:lang w:eastAsia="en-US"/>
        </w:rPr>
        <w:t>).</w:t>
      </w:r>
      <w:r w:rsidR="007610AD" w:rsidRPr="00780A4F">
        <w:rPr>
          <w:rFonts w:eastAsia="Calibri"/>
          <w:szCs w:val="16"/>
          <w:lang w:eastAsia="en-US"/>
        </w:rPr>
        <w:t xml:space="preserve"> </w:t>
      </w:r>
      <w:r w:rsidR="00C70EC1" w:rsidRPr="00780A4F">
        <w:rPr>
          <w:rFonts w:eastAsia="Calibri"/>
          <w:szCs w:val="16"/>
          <w:lang w:eastAsia="en-US"/>
        </w:rPr>
        <w:t>This would amount to an individual</w:t>
      </w:r>
      <w:r w:rsidR="00EC4DBA" w:rsidRPr="00780A4F">
        <w:rPr>
          <w:rFonts w:eastAsia="Calibri"/>
          <w:szCs w:val="16"/>
          <w:lang w:eastAsia="en-US"/>
        </w:rPr>
        <w:t xml:space="preserve"> time saving</w:t>
      </w:r>
      <w:r w:rsidR="00A2433C" w:rsidRPr="00780A4F">
        <w:rPr>
          <w:rFonts w:eastAsia="Calibri"/>
          <w:szCs w:val="16"/>
          <w:lang w:eastAsia="en-US"/>
        </w:rPr>
        <w:t>s</w:t>
      </w:r>
      <w:r w:rsidR="00755320" w:rsidRPr="00780A4F">
        <w:rPr>
          <w:rFonts w:eastAsia="Calibri"/>
          <w:szCs w:val="16"/>
          <w:lang w:eastAsia="en-US"/>
        </w:rPr>
        <w:t xml:space="preserve"> </w:t>
      </w:r>
      <w:r w:rsidR="00C70EC1" w:rsidRPr="00780A4F">
        <w:rPr>
          <w:rFonts w:eastAsia="Calibri"/>
          <w:szCs w:val="16"/>
          <w:lang w:eastAsia="en-US"/>
        </w:rPr>
        <w:t xml:space="preserve">benefit of </w:t>
      </w:r>
      <w:r w:rsidR="00C70EC1" w:rsidRPr="00A60647">
        <w:rPr>
          <w:rFonts w:eastAsia="Calibri"/>
          <w:szCs w:val="16"/>
          <w:lang w:eastAsia="en-US"/>
        </w:rPr>
        <w:t>$61.00 per transaction</w:t>
      </w:r>
      <w:r w:rsidR="00C70EC1" w:rsidRPr="00780A4F">
        <w:rPr>
          <w:rFonts w:eastAsia="Calibri"/>
          <w:szCs w:val="16"/>
          <w:lang w:eastAsia="en-US"/>
        </w:rPr>
        <w:t xml:space="preserve"> (using the default value for </w:t>
      </w:r>
      <w:r w:rsidR="00C70EC1" w:rsidRPr="00780A4F">
        <w:rPr>
          <w:rFonts w:eastAsia="Calibri"/>
          <w:szCs w:val="16"/>
          <w:lang w:eastAsia="en-US"/>
        </w:rPr>
        <w:lastRenderedPageBreak/>
        <w:t xml:space="preserve">an individual’s leisure time </w:t>
      </w:r>
      <w:r w:rsidR="00DD0F91" w:rsidRPr="00780A4F">
        <w:rPr>
          <w:rFonts w:eastAsia="Calibri"/>
          <w:szCs w:val="16"/>
          <w:lang w:eastAsia="en-US"/>
        </w:rPr>
        <w:t xml:space="preserve">per </w:t>
      </w:r>
      <w:r w:rsidR="006D0717" w:rsidRPr="00780A4F">
        <w:t xml:space="preserve">the </w:t>
      </w:r>
      <w:hyperlink r:id="rId79" w:history="1">
        <w:r w:rsidR="006D0717" w:rsidRPr="005049AF">
          <w:rPr>
            <w:color w:val="008675"/>
          </w:rPr>
          <w:t>Regulatory Burden Measurement Framework</w:t>
        </w:r>
      </w:hyperlink>
      <w:r w:rsidR="00EC4DBA" w:rsidRPr="005049AF">
        <w:t>)</w:t>
      </w:r>
      <w:r w:rsidR="00EC4DBA" w:rsidRPr="00780A4F">
        <w:t xml:space="preserve">, </w:t>
      </w:r>
      <w:r w:rsidR="00755320" w:rsidRPr="00A60647">
        <w:t xml:space="preserve">noting that this figure does not represent a cost saving </w:t>
      </w:r>
      <w:r w:rsidR="00A2433C" w:rsidRPr="00A60647">
        <w:t xml:space="preserve">as it is not directly attributable to the regulatory scheme </w:t>
      </w:r>
      <w:r w:rsidR="00C229F3" w:rsidRPr="00A60647">
        <w:t xml:space="preserve">but, rather, is </w:t>
      </w:r>
      <w:r w:rsidR="00CE5C7C" w:rsidRPr="00A60647">
        <w:t>an</w:t>
      </w:r>
      <w:r w:rsidR="00C229F3" w:rsidRPr="00A60647">
        <w:t xml:space="preserve"> indirect benefit</w:t>
      </w:r>
      <w:r w:rsidR="0028354A" w:rsidRPr="00A60647">
        <w:t>.</w:t>
      </w:r>
      <w:r w:rsidR="0028354A" w:rsidRPr="002D488D">
        <w:t xml:space="preserve"> </w:t>
      </w:r>
    </w:p>
    <w:p w14:paraId="18FD6988" w14:textId="3525AAB0" w:rsidR="00223A03" w:rsidRPr="00217F8F" w:rsidRDefault="00780A4F">
      <w:pPr>
        <w:pStyle w:val="BodyText"/>
      </w:pPr>
      <w:r>
        <w:t>E</w:t>
      </w:r>
      <w:r w:rsidR="004C709E" w:rsidRPr="001A1AC9">
        <w:t>xtrapolat</w:t>
      </w:r>
      <w:r>
        <w:t>ing</w:t>
      </w:r>
      <w:r w:rsidR="004C709E" w:rsidRPr="001A1AC9">
        <w:t xml:space="preserve"> this per</w:t>
      </w:r>
      <w:r>
        <w:t>-</w:t>
      </w:r>
      <w:r w:rsidR="004C709E" w:rsidRPr="001A1AC9">
        <w:t xml:space="preserve">transaction benefit </w:t>
      </w:r>
      <w:r w:rsidR="001638E1" w:rsidRPr="001A1AC9">
        <w:t xml:space="preserve">across the </w:t>
      </w:r>
      <w:r w:rsidR="00841890" w:rsidRPr="001A1AC9">
        <w:t>economy</w:t>
      </w:r>
      <w:r w:rsidR="001638E1" w:rsidRPr="001A1AC9">
        <w:t xml:space="preserve">, using the estimated transactions through </w:t>
      </w:r>
      <w:proofErr w:type="spellStart"/>
      <w:r w:rsidR="001638E1" w:rsidRPr="001A1AC9">
        <w:t>myGovID</w:t>
      </w:r>
      <w:proofErr w:type="spellEnd"/>
      <w:r w:rsidR="001638E1" w:rsidRPr="001A1AC9">
        <w:t xml:space="preserve"> in</w:t>
      </w:r>
      <w:r w:rsidR="009D0189">
        <w:t xml:space="preserve"> 2021</w:t>
      </w:r>
      <w:r w:rsidR="001638E1" w:rsidRPr="001A1AC9">
        <w:t>–2</w:t>
      </w:r>
      <w:r w:rsidR="009D0189">
        <w:t>2</w:t>
      </w:r>
      <w:r w:rsidR="00841890" w:rsidRPr="002D488D">
        <w:t xml:space="preserve"> as a basis</w:t>
      </w:r>
      <w:r w:rsidR="00E62516" w:rsidRPr="00864D43">
        <w:t>,</w:t>
      </w:r>
      <w:r w:rsidR="00841890" w:rsidRPr="00217F8F">
        <w:t xml:space="preserve"> </w:t>
      </w:r>
      <w:r w:rsidR="00E67680" w:rsidRPr="00217F8F">
        <w:t>the whole-of-</w:t>
      </w:r>
      <w:r w:rsidR="00E67680" w:rsidRPr="00780A4F">
        <w:t xml:space="preserve">economy transaction </w:t>
      </w:r>
      <w:r w:rsidR="00D52117" w:rsidRPr="00780A4F">
        <w:t>arrive at approximately</w:t>
      </w:r>
      <w:r w:rsidR="00E67680" w:rsidRPr="00F433A3">
        <w:t xml:space="preserve"> </w:t>
      </w:r>
      <w:r w:rsidR="00E67680" w:rsidRPr="00A60647">
        <w:t>$3.312 billion</w:t>
      </w:r>
      <w:r w:rsidR="00E67680" w:rsidRPr="00780A4F">
        <w:t xml:space="preserve"> across </w:t>
      </w:r>
      <w:r w:rsidR="008818D4" w:rsidRPr="00A60647">
        <w:t>54 million transactions</w:t>
      </w:r>
      <w:r w:rsidR="008818D4" w:rsidRPr="00780A4F">
        <w:t xml:space="preserve">. </w:t>
      </w:r>
      <w:r w:rsidR="00262371" w:rsidRPr="00780A4F">
        <w:t xml:space="preserve">These figures are conservative estimations </w:t>
      </w:r>
      <w:r w:rsidR="00262371" w:rsidRPr="00F433A3">
        <w:t>that account only for government transactions</w:t>
      </w:r>
      <w:r w:rsidR="00262371" w:rsidRPr="001A1AC9">
        <w:t xml:space="preserve"> </w:t>
      </w:r>
      <w:r w:rsidR="00EA14C0" w:rsidRPr="002B62F9">
        <w:t xml:space="preserve">and do not incorporate any increase in volume across the years or potential uptake of private sector services </w:t>
      </w:r>
      <w:r w:rsidR="00BD3D3A" w:rsidRPr="002B62F9">
        <w:t xml:space="preserve">(which cannot be accurately forecast at this stage, </w:t>
      </w:r>
      <w:r w:rsidR="00BF78D7" w:rsidRPr="002B62F9">
        <w:t>being</w:t>
      </w:r>
      <w:r w:rsidR="00BD3D3A" w:rsidRPr="002B62F9">
        <w:t xml:space="preserve"> dependent on </w:t>
      </w:r>
      <w:r w:rsidR="00F25F6D" w:rsidRPr="002B62F9">
        <w:t>several</w:t>
      </w:r>
      <w:r w:rsidR="00BD3D3A" w:rsidRPr="002B62F9">
        <w:t xml:space="preserve"> factors).</w:t>
      </w:r>
      <w:r w:rsidR="00E62516" w:rsidRPr="002B62F9">
        <w:t xml:space="preserve"> </w:t>
      </w:r>
      <w:r w:rsidR="00BD3D3A" w:rsidRPr="002B62F9">
        <w:t>However, it may be assumed that an</w:t>
      </w:r>
      <w:r w:rsidR="00581934" w:rsidRPr="002B62F9">
        <w:t xml:space="preserve"> expan</w:t>
      </w:r>
      <w:r w:rsidR="003D58C8">
        <w:t xml:space="preserve">sion of Digital ID </w:t>
      </w:r>
      <w:r w:rsidR="00064004" w:rsidRPr="002B62F9">
        <w:t xml:space="preserve">supported by a regulatory scheme </w:t>
      </w:r>
      <w:r w:rsidR="00BF78D7" w:rsidRPr="002B62F9">
        <w:t>would only</w:t>
      </w:r>
      <w:r w:rsidR="00BD3D3A" w:rsidRPr="002B62F9">
        <w:t xml:space="preserve"> allow</w:t>
      </w:r>
      <w:r w:rsidR="00581934" w:rsidRPr="002B62F9">
        <w:t xml:space="preserve"> for </w:t>
      </w:r>
      <w:r w:rsidR="0046715F" w:rsidRPr="002B62F9">
        <w:t xml:space="preserve">an increased volume in </w:t>
      </w:r>
      <w:r w:rsidR="0006625A" w:rsidRPr="002B62F9">
        <w:t xml:space="preserve">these </w:t>
      </w:r>
      <w:r w:rsidR="0046715F" w:rsidRPr="002B62F9">
        <w:t>transactions across additional service offerings and options for identity verification</w:t>
      </w:r>
      <w:r w:rsidR="0006625A" w:rsidRPr="002B62F9">
        <w:t xml:space="preserve">, </w:t>
      </w:r>
      <w:r w:rsidR="00BD3D3A" w:rsidRPr="002B62F9">
        <w:t xml:space="preserve">which </w:t>
      </w:r>
      <w:r w:rsidR="009231F9" w:rsidRPr="002B62F9">
        <w:t>would</w:t>
      </w:r>
      <w:r w:rsidR="00BD3D3A" w:rsidRPr="002B62F9">
        <w:t xml:space="preserve"> thereby </w:t>
      </w:r>
      <w:r w:rsidR="0006625A" w:rsidRPr="002B62F9">
        <w:t>increas</w:t>
      </w:r>
      <w:r w:rsidR="00BD3D3A" w:rsidRPr="002B62F9">
        <w:t>e</w:t>
      </w:r>
      <w:r w:rsidR="0006625A" w:rsidRPr="002B62F9">
        <w:t xml:space="preserve"> the significance of time savings benefits to individuals</w:t>
      </w:r>
      <w:r w:rsidR="001B2C2C" w:rsidRPr="002B62F9">
        <w:t xml:space="preserve"> across the economy</w:t>
      </w:r>
      <w:r w:rsidR="0006625A" w:rsidRPr="002B62F9">
        <w:t xml:space="preserve">. </w:t>
      </w:r>
      <w:r w:rsidR="003C2991" w:rsidRPr="002B62F9">
        <w:t>C</w:t>
      </w:r>
      <w:r w:rsidR="00614CC5" w:rsidRPr="002B62F9">
        <w:t xml:space="preserve">onsultation and consistent engagement with </w:t>
      </w:r>
      <w:r w:rsidR="00E34717" w:rsidRPr="002B62F9">
        <w:t xml:space="preserve">the Australian public </w:t>
      </w:r>
      <w:r w:rsidR="004030DA" w:rsidRPr="002B62F9">
        <w:t xml:space="preserve">would be a crucial factor in </w:t>
      </w:r>
      <w:r w:rsidR="007D03AB" w:rsidRPr="002B62F9">
        <w:t>allowing for optimal realisation of these benefits for individual</w:t>
      </w:r>
      <w:r w:rsidR="001521C6" w:rsidRPr="002B62F9">
        <w:t>s,</w:t>
      </w:r>
      <w:r w:rsidR="00E02EFB">
        <w:t xml:space="preserve"> an insight that </w:t>
      </w:r>
      <w:r w:rsidR="00C7198F">
        <w:t>can be drawn from the</w:t>
      </w:r>
      <w:r w:rsidR="009E24EC" w:rsidRPr="002B62F9">
        <w:t xml:space="preserve"> UK digital </w:t>
      </w:r>
      <w:r w:rsidR="00500088">
        <w:t>ID</w:t>
      </w:r>
      <w:r w:rsidR="00500088" w:rsidRPr="002B62F9">
        <w:t xml:space="preserve"> </w:t>
      </w:r>
      <w:r w:rsidR="009E24EC" w:rsidRPr="002B62F9">
        <w:t>experience</w:t>
      </w:r>
      <w:r w:rsidR="00A06DA4" w:rsidRPr="002B62F9">
        <w:t xml:space="preserve">. </w:t>
      </w:r>
      <w:r w:rsidR="009D3CAD" w:rsidRPr="00A60647">
        <w:t>Research</w:t>
      </w:r>
      <w:r w:rsidR="0023711F" w:rsidRPr="00C67305">
        <w:t xml:space="preserve"> indicates that </w:t>
      </w:r>
      <w:r w:rsidR="00A80E86" w:rsidRPr="001A1AC9">
        <w:t>a</w:t>
      </w:r>
      <w:r w:rsidR="0023711F" w:rsidRPr="001A1AC9">
        <w:t xml:space="preserve"> key challenge to private se</w:t>
      </w:r>
      <w:r w:rsidR="0023711F" w:rsidRPr="002B62F9">
        <w:t xml:space="preserve">ctor and broader uptake of </w:t>
      </w:r>
      <w:r w:rsidR="00F156F3" w:rsidRPr="002B62F9">
        <w:t xml:space="preserve">GOV.UK </w:t>
      </w:r>
      <w:r w:rsidR="00A80E86" w:rsidRPr="002B62F9">
        <w:t xml:space="preserve">was that the </w:t>
      </w:r>
      <w:r w:rsidR="007154E8" w:rsidRPr="002B62F9">
        <w:t xml:space="preserve">public did not feel well informed about </w:t>
      </w:r>
      <w:r w:rsidR="00A86D96" w:rsidRPr="002B62F9">
        <w:t xml:space="preserve">digital </w:t>
      </w:r>
      <w:r w:rsidR="00500088">
        <w:t>ID</w:t>
      </w:r>
      <w:r w:rsidR="00500088" w:rsidRPr="002B62F9">
        <w:t xml:space="preserve"> </w:t>
      </w:r>
      <w:r w:rsidR="00A86D96" w:rsidRPr="002B62F9">
        <w:t xml:space="preserve">and biometrics, with consultation revealing </w:t>
      </w:r>
      <w:r w:rsidR="005C7B18" w:rsidRPr="002B62F9">
        <w:t xml:space="preserve">that more than half of </w:t>
      </w:r>
      <w:r w:rsidR="005B20F1" w:rsidRPr="002B62F9">
        <w:t>those engaged felt that they were either not well informed or knew nothing about the issues surrounding the UK program</w:t>
      </w:r>
      <w:r w:rsidR="005A4ABD" w:rsidRPr="002B62F9">
        <w:t>.</w:t>
      </w:r>
      <w:r w:rsidR="002D488D">
        <w:t xml:space="preserve"> (</w:t>
      </w:r>
      <w:r w:rsidR="002D488D" w:rsidRPr="00945368">
        <w:t>Source:</w:t>
      </w:r>
      <w:r w:rsidR="009D6D24">
        <w:t xml:space="preserve"> Biometric </w:t>
      </w:r>
      <w:r w:rsidR="004E38F4">
        <w:t>U</w:t>
      </w:r>
      <w:r w:rsidR="009D6D24">
        <w:t>pdate</w:t>
      </w:r>
      <w:r w:rsidR="004E38F4">
        <w:t xml:space="preserve">.com, 2021, </w:t>
      </w:r>
      <w:hyperlink r:id="rId80" w:history="1">
        <w:r w:rsidR="004E38F4" w:rsidRPr="00F53F51">
          <w:rPr>
            <w:rStyle w:val="Hyperlink"/>
            <w:color w:val="008675"/>
          </w:rPr>
          <w:t>Government Di</w:t>
        </w:r>
        <w:r w:rsidR="009D3CAD" w:rsidRPr="00F53F51">
          <w:rPr>
            <w:rStyle w:val="Hyperlink"/>
            <w:color w:val="008675"/>
          </w:rPr>
          <w:t>gital Identity Plans Advance Amid Scepticism, Lack of Awareness</w:t>
        </w:r>
      </w:hyperlink>
      <w:r w:rsidR="002D488D">
        <w:t>)</w:t>
      </w:r>
    </w:p>
    <w:p w14:paraId="0A1AFAFB" w14:textId="751ECACD" w:rsidR="00E6232E" w:rsidRPr="000B7589" w:rsidRDefault="00E6232E">
      <w:pPr>
        <w:pStyle w:val="BodyText"/>
        <w:rPr>
          <w:lang w:eastAsia="en-US"/>
        </w:rPr>
      </w:pPr>
      <w:r w:rsidRPr="002D488D">
        <w:rPr>
          <w:lang w:eastAsia="en-US"/>
        </w:rPr>
        <w:t xml:space="preserve">These </w:t>
      </w:r>
      <w:r w:rsidR="00F433A3">
        <w:rPr>
          <w:lang w:eastAsia="en-US"/>
        </w:rPr>
        <w:t xml:space="preserve">select </w:t>
      </w:r>
      <w:r w:rsidRPr="002D488D">
        <w:rPr>
          <w:lang w:eastAsia="en-US"/>
        </w:rPr>
        <w:t xml:space="preserve">time savings </w:t>
      </w:r>
      <w:r w:rsidR="00F433A3">
        <w:rPr>
          <w:lang w:eastAsia="en-US"/>
        </w:rPr>
        <w:t xml:space="preserve">would be expected to </w:t>
      </w:r>
      <w:r w:rsidRPr="002D488D">
        <w:rPr>
          <w:lang w:eastAsia="en-US"/>
        </w:rPr>
        <w:t xml:space="preserve">grow as the range of places individuals can use </w:t>
      </w:r>
      <w:r w:rsidR="003D58C8">
        <w:rPr>
          <w:lang w:eastAsia="en-US"/>
        </w:rPr>
        <w:t>Digital ID</w:t>
      </w:r>
      <w:r w:rsidR="00EB6145" w:rsidRPr="002D488D">
        <w:rPr>
          <w:lang w:eastAsia="en-US"/>
        </w:rPr>
        <w:t xml:space="preserve"> </w:t>
      </w:r>
      <w:r w:rsidRPr="002D488D">
        <w:rPr>
          <w:lang w:eastAsia="en-US"/>
        </w:rPr>
        <w:t>expands.</w:t>
      </w:r>
      <w:r w:rsidRPr="000B7589">
        <w:rPr>
          <w:lang w:eastAsia="en-US"/>
        </w:rPr>
        <w:t xml:space="preserve"> </w:t>
      </w:r>
    </w:p>
    <w:p w14:paraId="688AC75E" w14:textId="1E021A98" w:rsidR="008D568A" w:rsidRDefault="00E6232E">
      <w:pPr>
        <w:pStyle w:val="BodyText"/>
        <w:rPr>
          <w:lang w:eastAsia="en-US"/>
        </w:rPr>
      </w:pPr>
      <w:r w:rsidRPr="000B7589">
        <w:rPr>
          <w:lang w:eastAsia="en-US"/>
        </w:rPr>
        <w:t xml:space="preserve">The </w:t>
      </w:r>
      <w:r w:rsidR="001D48B2">
        <w:rPr>
          <w:lang w:eastAsia="en-US"/>
        </w:rPr>
        <w:t>accreditation system</w:t>
      </w:r>
      <w:r w:rsidR="00EB6145">
        <w:rPr>
          <w:lang w:eastAsia="en-US"/>
        </w:rPr>
        <w:t xml:space="preserve"> </w:t>
      </w:r>
      <w:r w:rsidRPr="000B7589">
        <w:rPr>
          <w:lang w:eastAsia="en-US"/>
        </w:rPr>
        <w:t xml:space="preserve">to </w:t>
      </w:r>
      <w:r w:rsidR="001D48B2">
        <w:rPr>
          <w:lang w:eastAsia="en-US"/>
        </w:rPr>
        <w:t xml:space="preserve">allow </w:t>
      </w:r>
      <w:r w:rsidRPr="000B7589">
        <w:rPr>
          <w:lang w:eastAsia="en-US"/>
        </w:rPr>
        <w:t xml:space="preserve">private sector participants is also expected to confer benefits for individuals in relation to the avoided costs of </w:t>
      </w:r>
      <w:r w:rsidR="007C2BDF">
        <w:rPr>
          <w:lang w:eastAsia="en-US"/>
        </w:rPr>
        <w:t>data spills</w:t>
      </w:r>
      <w:r w:rsidRPr="000B7589">
        <w:rPr>
          <w:lang w:eastAsia="en-US"/>
        </w:rPr>
        <w:t xml:space="preserve"> and </w:t>
      </w:r>
      <w:r w:rsidR="4771B4F4" w:rsidRPr="61B67DD3">
        <w:rPr>
          <w:lang w:eastAsia="en-US"/>
        </w:rPr>
        <w:t>associated</w:t>
      </w:r>
      <w:r w:rsidR="003D58C8">
        <w:rPr>
          <w:lang w:eastAsia="en-US"/>
        </w:rPr>
        <w:t xml:space="preserve"> </w:t>
      </w:r>
      <w:r w:rsidR="6AC65BAC" w:rsidRPr="61B67DD3">
        <w:rPr>
          <w:lang w:eastAsia="en-US"/>
        </w:rPr>
        <w:t>i</w:t>
      </w:r>
      <w:r w:rsidRPr="61B67DD3">
        <w:rPr>
          <w:lang w:eastAsia="en-US"/>
        </w:rPr>
        <w:t>dentity theft and fraud.</w:t>
      </w:r>
      <w:r w:rsidRPr="000B7589">
        <w:rPr>
          <w:lang w:eastAsia="en-US"/>
        </w:rPr>
        <w:t xml:space="preserve"> </w:t>
      </w:r>
      <w:r w:rsidR="00110F52" w:rsidRPr="00110F52">
        <w:rPr>
          <w:lang w:eastAsia="en-US"/>
        </w:rPr>
        <w:t>The World Bank previously estimated worldwide identity theft costs to be at least $307</w:t>
      </w:r>
      <w:r w:rsidR="0014227D">
        <w:rPr>
          <w:lang w:eastAsia="en-US"/>
        </w:rPr>
        <w:t> </w:t>
      </w:r>
      <w:r w:rsidR="00110F52" w:rsidRPr="00110F52">
        <w:rPr>
          <w:lang w:eastAsia="en-US"/>
        </w:rPr>
        <w:t>billion per annum</w:t>
      </w:r>
      <w:r w:rsidR="00226CF6">
        <w:rPr>
          <w:lang w:eastAsia="en-US"/>
        </w:rPr>
        <w:t>,</w:t>
      </w:r>
      <w:r w:rsidR="00110F52" w:rsidRPr="00110F52">
        <w:rPr>
          <w:lang w:eastAsia="en-US"/>
        </w:rPr>
        <w:t xml:space="preserve"> with $8.3 billion resulting from credit and debit card fraud. It noted that a robust identification system with efficient query mechanisms, customer identification, and high levels of integration could help significantly combat these figures</w:t>
      </w:r>
      <w:r w:rsidR="001A42F5">
        <w:rPr>
          <w:lang w:eastAsia="en-US"/>
        </w:rPr>
        <w:t xml:space="preserve"> (source: World Bank, 2018, </w:t>
      </w:r>
      <w:hyperlink r:id="rId81">
        <w:r w:rsidR="001A42F5" w:rsidRPr="00F53F51">
          <w:rPr>
            <w:rStyle w:val="Hyperlink"/>
            <w:color w:val="008675"/>
            <w:lang w:eastAsia="en-US"/>
          </w:rPr>
          <w:t>Private Sector Economic Impacts from Identification Systems</w:t>
        </w:r>
      </w:hyperlink>
      <w:r w:rsidR="001A42F5" w:rsidRPr="296E859E">
        <w:rPr>
          <w:lang w:eastAsia="en-US"/>
        </w:rPr>
        <w:t>).</w:t>
      </w:r>
      <w:r w:rsidR="00110F52" w:rsidRPr="00110F52">
        <w:rPr>
          <w:lang w:eastAsia="en-US"/>
        </w:rPr>
        <w:t xml:space="preserve"> </w:t>
      </w:r>
      <w:r w:rsidR="00323F54">
        <w:rPr>
          <w:lang w:eastAsia="en-US"/>
        </w:rPr>
        <w:t xml:space="preserve">An </w:t>
      </w:r>
      <w:r w:rsidR="001B0156">
        <w:rPr>
          <w:lang w:eastAsia="en-US"/>
        </w:rPr>
        <w:t>expanded program</w:t>
      </w:r>
      <w:r w:rsidR="00323F54">
        <w:rPr>
          <w:lang w:eastAsia="en-US"/>
        </w:rPr>
        <w:t xml:space="preserve"> </w:t>
      </w:r>
      <w:r w:rsidR="00CF2BC4">
        <w:rPr>
          <w:lang w:eastAsia="en-US"/>
        </w:rPr>
        <w:t>offers such a solution</w:t>
      </w:r>
      <w:r w:rsidR="0070335D">
        <w:rPr>
          <w:lang w:eastAsia="en-US"/>
        </w:rPr>
        <w:t>,</w:t>
      </w:r>
      <w:r w:rsidR="00820B4A">
        <w:rPr>
          <w:lang w:eastAsia="en-US"/>
        </w:rPr>
        <w:t xml:space="preserve"> </w:t>
      </w:r>
      <w:r w:rsidR="003D5FF4">
        <w:rPr>
          <w:lang w:eastAsia="en-US"/>
        </w:rPr>
        <w:t>providing</w:t>
      </w:r>
      <w:r w:rsidR="0070335D">
        <w:rPr>
          <w:lang w:eastAsia="en-US"/>
        </w:rPr>
        <w:t xml:space="preserve"> </w:t>
      </w:r>
      <w:r w:rsidR="00820B4A">
        <w:rPr>
          <w:lang w:eastAsia="en-US"/>
        </w:rPr>
        <w:t>for a</w:t>
      </w:r>
      <w:r w:rsidR="0070335D">
        <w:rPr>
          <w:lang w:eastAsia="en-US"/>
        </w:rPr>
        <w:t xml:space="preserve"> higher standard of secure verification </w:t>
      </w:r>
      <w:r w:rsidR="00D70C62">
        <w:rPr>
          <w:lang w:eastAsia="en-US"/>
        </w:rPr>
        <w:t xml:space="preserve">and </w:t>
      </w:r>
      <w:r w:rsidR="00D921E5">
        <w:rPr>
          <w:lang w:eastAsia="en-US"/>
        </w:rPr>
        <w:t>reducing the need for</w:t>
      </w:r>
      <w:r w:rsidR="00D70C62">
        <w:rPr>
          <w:lang w:eastAsia="en-US"/>
        </w:rPr>
        <w:t xml:space="preserve"> physical identity documents</w:t>
      </w:r>
      <w:r w:rsidR="00D921E5">
        <w:rPr>
          <w:lang w:eastAsia="en-US"/>
        </w:rPr>
        <w:t>.</w:t>
      </w:r>
      <w:r w:rsidR="008D568A" w:rsidDel="0019073B">
        <w:rPr>
          <w:rStyle w:val="CommentReference"/>
          <w:color w:val="FF0000"/>
        </w:rPr>
        <w:t xml:space="preserve"> </w:t>
      </w:r>
    </w:p>
    <w:p w14:paraId="481B36BD" w14:textId="1E24F32C" w:rsidR="00E6232E" w:rsidRDefault="008D568A">
      <w:pPr>
        <w:pStyle w:val="BodyText"/>
        <w:rPr>
          <w:lang w:eastAsia="en-US"/>
        </w:rPr>
      </w:pPr>
      <w:r>
        <w:rPr>
          <w:lang w:eastAsia="en-US"/>
        </w:rPr>
        <w:lastRenderedPageBreak/>
        <w:t>W</w:t>
      </w:r>
      <w:r w:rsidR="00E6232E" w:rsidRPr="000B7589">
        <w:rPr>
          <w:lang w:eastAsia="en-US"/>
        </w:rPr>
        <w:t>ith a significant amount of identity fraud occurring in relation to transactions with banks and other financial services providers, the</w:t>
      </w:r>
      <w:r w:rsidR="00EB6145">
        <w:rPr>
          <w:lang w:eastAsia="en-US"/>
        </w:rPr>
        <w:t xml:space="preserve"> expansion to </w:t>
      </w:r>
      <w:r w:rsidR="00E6232E" w:rsidRPr="000B7589">
        <w:rPr>
          <w:lang w:eastAsia="en-US"/>
        </w:rPr>
        <w:t>these providers presents a meaningful opportunity to reduce the individual costs of this kind of crime.</w:t>
      </w:r>
      <w:r w:rsidR="00ED5A51">
        <w:rPr>
          <w:lang w:eastAsia="en-US"/>
        </w:rPr>
        <w:t xml:space="preserve"> </w:t>
      </w:r>
      <w:r w:rsidR="00E6232E" w:rsidRPr="000B7589">
        <w:rPr>
          <w:lang w:eastAsia="en-US"/>
        </w:rPr>
        <w:t>As with the time savings benefits, the avoided costs of identity fraud</w:t>
      </w:r>
      <w:r w:rsidR="007C2BDF">
        <w:rPr>
          <w:lang w:eastAsia="en-US"/>
        </w:rPr>
        <w:t xml:space="preserve"> and data spills</w:t>
      </w:r>
      <w:r w:rsidR="00E6232E" w:rsidRPr="000B7589">
        <w:rPr>
          <w:lang w:eastAsia="en-US"/>
        </w:rPr>
        <w:t xml:space="preserve"> would be expected to grow as the number of private sector providers adopting </w:t>
      </w:r>
      <w:r w:rsidR="00F411BE">
        <w:rPr>
          <w:lang w:eastAsia="en-US"/>
        </w:rPr>
        <w:t>Digital ID</w:t>
      </w:r>
      <w:r w:rsidR="00EB6145">
        <w:rPr>
          <w:lang w:eastAsia="en-US"/>
        </w:rPr>
        <w:t xml:space="preserve"> </w:t>
      </w:r>
      <w:r w:rsidR="00E6232E" w:rsidRPr="000B7589">
        <w:rPr>
          <w:lang w:eastAsia="en-US"/>
        </w:rPr>
        <w:t xml:space="preserve">increases. </w:t>
      </w:r>
      <w:r w:rsidR="00AB156B">
        <w:rPr>
          <w:lang w:eastAsia="en-US"/>
        </w:rPr>
        <w:t xml:space="preserve">The costs of identity fraud to an individual can be both financial, </w:t>
      </w:r>
      <w:r w:rsidR="00DE224F">
        <w:rPr>
          <w:lang w:eastAsia="en-US"/>
        </w:rPr>
        <w:t>(through lost funds) and personal (through, for example, the time taken to rectify/mitigate the fraud and reputational or other personal damage inflicted).</w:t>
      </w:r>
    </w:p>
    <w:p w14:paraId="570FDC68" w14:textId="727ED90D" w:rsidR="00E6232E" w:rsidRPr="00F53F51" w:rsidRDefault="00782E46" w:rsidP="00782E46">
      <w:pPr>
        <w:pStyle w:val="Heading4NoNumbers"/>
        <w:rPr>
          <w:color w:val="008675"/>
          <w:lang w:eastAsia="en-US"/>
        </w:rPr>
      </w:pPr>
      <w:r w:rsidRPr="00F53F51">
        <w:rPr>
          <w:color w:val="008675"/>
          <w:lang w:eastAsia="en-US"/>
        </w:rPr>
        <w:t xml:space="preserve">(b) </w:t>
      </w:r>
      <w:r w:rsidR="00E6232E" w:rsidRPr="00F53F51">
        <w:rPr>
          <w:color w:val="008675"/>
          <w:lang w:eastAsia="en-US"/>
        </w:rPr>
        <w:t xml:space="preserve">Expected </w:t>
      </w:r>
      <w:r w:rsidR="00E5093D" w:rsidRPr="00F53F51">
        <w:rPr>
          <w:color w:val="008675"/>
          <w:lang w:eastAsia="en-US"/>
        </w:rPr>
        <w:t>b</w:t>
      </w:r>
      <w:r w:rsidR="00E6232E" w:rsidRPr="00F53F51">
        <w:rPr>
          <w:color w:val="008675"/>
          <w:lang w:eastAsia="en-US"/>
        </w:rPr>
        <w:t xml:space="preserve">enefits of </w:t>
      </w:r>
      <w:r w:rsidR="00A43420" w:rsidRPr="00F53F51">
        <w:rPr>
          <w:color w:val="008675"/>
          <w:lang w:eastAsia="en-US"/>
        </w:rPr>
        <w:t>regulatory scheme</w:t>
      </w:r>
    </w:p>
    <w:p w14:paraId="16876344" w14:textId="43D2C26C" w:rsidR="00E6232E" w:rsidRPr="000B7589" w:rsidRDefault="00E6232E" w:rsidP="00EC18E7">
      <w:pPr>
        <w:pStyle w:val="BodyText"/>
        <w:rPr>
          <w:lang w:eastAsia="en-US"/>
        </w:rPr>
      </w:pPr>
      <w:r w:rsidRPr="000B7589">
        <w:rPr>
          <w:lang w:eastAsia="en-US"/>
        </w:rPr>
        <w:t xml:space="preserve">The legislation’s mandate that </w:t>
      </w:r>
      <w:r w:rsidR="00F411BE">
        <w:rPr>
          <w:lang w:eastAsia="en-US"/>
        </w:rPr>
        <w:t>Digital ID</w:t>
      </w:r>
      <w:r w:rsidRPr="000B7589">
        <w:rPr>
          <w:lang w:eastAsia="en-US"/>
        </w:rPr>
        <w:t xml:space="preserve"> remain voluntary for individuals offers a considerable benefit, particularly for individuals who, for various reasons, may prefer not to engage with government-provided identity products. Legislation will also ensure that </w:t>
      </w:r>
      <w:r w:rsidR="0036587B">
        <w:rPr>
          <w:lang w:eastAsia="en-US"/>
        </w:rPr>
        <w:t>r</w:t>
      </w:r>
      <w:r w:rsidRPr="000B7589">
        <w:rPr>
          <w:lang w:eastAsia="en-US"/>
        </w:rPr>
        <w:t xml:space="preserve">elying </w:t>
      </w:r>
      <w:r w:rsidR="0036587B">
        <w:rPr>
          <w:lang w:eastAsia="en-US"/>
        </w:rPr>
        <w:t>p</w:t>
      </w:r>
      <w:r w:rsidRPr="000B7589">
        <w:rPr>
          <w:lang w:eastAsia="en-US"/>
        </w:rPr>
        <w:t xml:space="preserve">arties may not compel individuals to use </w:t>
      </w:r>
      <w:r w:rsidR="00F411BE">
        <w:rPr>
          <w:lang w:eastAsia="en-US"/>
        </w:rPr>
        <w:t>Digital ID</w:t>
      </w:r>
      <w:r w:rsidR="006D2D21">
        <w:rPr>
          <w:lang w:eastAsia="en-US"/>
        </w:rPr>
        <w:t xml:space="preserve"> </w:t>
      </w:r>
      <w:r w:rsidR="008B0B48" w:rsidRPr="000B7589">
        <w:rPr>
          <w:lang w:eastAsia="en-US"/>
        </w:rPr>
        <w:t>to</w:t>
      </w:r>
      <w:r w:rsidRPr="000B7589">
        <w:rPr>
          <w:lang w:eastAsia="en-US"/>
        </w:rPr>
        <w:t xml:space="preserve"> access services and, with some exceptions, must continue to provide alternative options for identity verification (</w:t>
      </w:r>
      <w:r w:rsidR="00B2093F" w:rsidRPr="000B7589">
        <w:rPr>
          <w:lang w:eastAsia="en-US"/>
        </w:rPr>
        <w:t>e.g.,</w:t>
      </w:r>
      <w:r w:rsidRPr="000B7589">
        <w:rPr>
          <w:lang w:eastAsia="en-US"/>
        </w:rPr>
        <w:t xml:space="preserve"> telephone, in-person and paper-based options). This means user choice will be strong and formally embedde</w:t>
      </w:r>
      <w:r w:rsidR="00F411BE">
        <w:rPr>
          <w:lang w:eastAsia="en-US"/>
        </w:rPr>
        <w:t>d</w:t>
      </w:r>
      <w:r w:rsidRPr="000B7589">
        <w:rPr>
          <w:lang w:eastAsia="en-US"/>
        </w:rPr>
        <w:t xml:space="preserve"> through the legislation.</w:t>
      </w:r>
    </w:p>
    <w:p w14:paraId="62F7E73E" w14:textId="51C30BCA" w:rsidR="00E6232E" w:rsidRPr="000B7589" w:rsidRDefault="00E6232E" w:rsidP="00EC18E7">
      <w:pPr>
        <w:pStyle w:val="BodyText"/>
        <w:rPr>
          <w:lang w:eastAsia="en-US"/>
        </w:rPr>
      </w:pPr>
      <w:r w:rsidRPr="000B7589">
        <w:rPr>
          <w:lang w:eastAsia="en-US"/>
        </w:rPr>
        <w:t xml:space="preserve">The </w:t>
      </w:r>
      <w:r w:rsidR="009041EA">
        <w:rPr>
          <w:lang w:eastAsia="en-US"/>
        </w:rPr>
        <w:t xml:space="preserve">regulatory scheme </w:t>
      </w:r>
      <w:r w:rsidRPr="000B7589">
        <w:rPr>
          <w:lang w:eastAsia="en-US"/>
        </w:rPr>
        <w:t>will enhance privacy protections for individuals. The proposed protections would represent a strengthening of those currently by virtue of existing privacy legislation, including the Privacy Act, because they would:</w:t>
      </w:r>
    </w:p>
    <w:p w14:paraId="5B6F108F" w14:textId="76075B3E" w:rsidR="00E6232E" w:rsidRPr="000B7589" w:rsidRDefault="00E6232E" w:rsidP="00EC18E7">
      <w:pPr>
        <w:pStyle w:val="ListBulletLevel1"/>
        <w:rPr>
          <w:rFonts w:eastAsia="Calibri"/>
          <w:lang w:eastAsia="en-US"/>
        </w:rPr>
      </w:pPr>
      <w:r w:rsidRPr="000B7589">
        <w:rPr>
          <w:rFonts w:eastAsia="Calibri"/>
          <w:lang w:eastAsia="en-US"/>
        </w:rPr>
        <w:t>restrict the creation and use of single identifier</w:t>
      </w:r>
    </w:p>
    <w:p w14:paraId="4EDB3263" w14:textId="13445442" w:rsidR="00E6232E" w:rsidRPr="000B7589" w:rsidRDefault="00E6232E" w:rsidP="00EC18E7">
      <w:pPr>
        <w:pStyle w:val="ListBulletLevel1"/>
        <w:rPr>
          <w:rFonts w:eastAsia="Calibri"/>
          <w:lang w:eastAsia="en-US"/>
        </w:rPr>
      </w:pPr>
      <w:r w:rsidRPr="000B7589">
        <w:rPr>
          <w:rFonts w:eastAsia="Calibri"/>
          <w:lang w:eastAsia="en-US"/>
        </w:rPr>
        <w:t>impose strong conditions upon the use of biometric information</w:t>
      </w:r>
    </w:p>
    <w:p w14:paraId="4A28E425" w14:textId="3F612FD5" w:rsidR="00E6232E" w:rsidRPr="000B7589" w:rsidRDefault="00E6232E" w:rsidP="00EC18E7">
      <w:pPr>
        <w:pStyle w:val="ListBulletLevel1"/>
        <w:rPr>
          <w:rFonts w:eastAsia="Calibri"/>
          <w:lang w:eastAsia="en-US"/>
        </w:rPr>
      </w:pPr>
      <w:r w:rsidRPr="000B7589">
        <w:rPr>
          <w:rFonts w:eastAsia="Calibri"/>
          <w:lang w:eastAsia="en-US"/>
        </w:rPr>
        <w:t>impose data breach action and reporting requirements which are currently not in place</w:t>
      </w:r>
    </w:p>
    <w:p w14:paraId="1DC533AA" w14:textId="77777777" w:rsidR="00E6232E" w:rsidRPr="000B7589" w:rsidRDefault="00E6232E" w:rsidP="00EC18E7">
      <w:pPr>
        <w:pStyle w:val="ListBulletLevel1"/>
        <w:rPr>
          <w:rFonts w:eastAsia="Calibri"/>
          <w:lang w:eastAsia="en-US"/>
        </w:rPr>
      </w:pPr>
      <w:r w:rsidRPr="000B7589">
        <w:rPr>
          <w:rFonts w:eastAsia="Calibri"/>
          <w:lang w:eastAsia="en-US"/>
        </w:rPr>
        <w:t xml:space="preserve">restrict the capacity for aggregation and on-use of personal data. </w:t>
      </w:r>
    </w:p>
    <w:p w14:paraId="315BBA87" w14:textId="564BA439" w:rsidR="00E6232E" w:rsidRPr="000B7589" w:rsidRDefault="00E6232E" w:rsidP="00EC18E7">
      <w:pPr>
        <w:pStyle w:val="BodyText"/>
        <w:rPr>
          <w:lang w:eastAsia="en-US"/>
        </w:rPr>
      </w:pPr>
      <w:r w:rsidRPr="000B7589">
        <w:rPr>
          <w:lang w:eastAsia="en-US"/>
        </w:rPr>
        <w:t xml:space="preserve">Additionally, the legislation would establish a permanent </w:t>
      </w:r>
      <w:r w:rsidR="001E3B4E">
        <w:rPr>
          <w:rFonts w:eastAsia="Calibri"/>
          <w:szCs w:val="20"/>
          <w:lang w:eastAsia="en-US"/>
        </w:rPr>
        <w:t xml:space="preserve">Oversight </w:t>
      </w:r>
      <w:r w:rsidR="001E3B4E">
        <w:rPr>
          <w:lang w:eastAsia="en-US"/>
        </w:rPr>
        <w:t>A</w:t>
      </w:r>
      <w:r w:rsidRPr="000B7589">
        <w:rPr>
          <w:lang w:eastAsia="en-US"/>
        </w:rPr>
        <w:t xml:space="preserve">uthority with the ability to make and enforce </w:t>
      </w:r>
      <w:r w:rsidR="001D14B8" w:rsidRPr="000B7589">
        <w:rPr>
          <w:lang w:eastAsia="en-US"/>
        </w:rPr>
        <w:t xml:space="preserve">security and integrity </w:t>
      </w:r>
      <w:r w:rsidRPr="000B7589">
        <w:rPr>
          <w:lang w:eastAsia="en-US"/>
        </w:rPr>
        <w:t xml:space="preserve">rules on </w:t>
      </w:r>
      <w:r w:rsidR="00E71955">
        <w:rPr>
          <w:lang w:eastAsia="en-US"/>
        </w:rPr>
        <w:t xml:space="preserve">AGDIS and </w:t>
      </w:r>
      <w:r w:rsidR="00117A46">
        <w:rPr>
          <w:lang w:eastAsia="en-US"/>
        </w:rPr>
        <w:t>Accreditation</w:t>
      </w:r>
      <w:r w:rsidR="00E71955" w:rsidDel="00117A46">
        <w:rPr>
          <w:lang w:eastAsia="en-US"/>
        </w:rPr>
        <w:t xml:space="preserve"> </w:t>
      </w:r>
      <w:r w:rsidR="00117A46">
        <w:rPr>
          <w:lang w:eastAsia="en-US"/>
        </w:rPr>
        <w:t xml:space="preserve">Scheme </w:t>
      </w:r>
      <w:r w:rsidR="00E71955">
        <w:rPr>
          <w:lang w:eastAsia="en-US"/>
        </w:rPr>
        <w:t>participants</w:t>
      </w:r>
      <w:r w:rsidRPr="000B7589">
        <w:rPr>
          <w:lang w:eastAsia="en-US"/>
        </w:rPr>
        <w:t>, further strengthening protections for individuals compared with current arrangements that lack legal enforceability. As a result, individuals will benefit from strengthened, legally entrenched privacy protections, and improved avenues for recourse, in the event of the misuse of personal information, data breaches or identity fraud.</w:t>
      </w:r>
    </w:p>
    <w:p w14:paraId="270FA89B" w14:textId="1A9B5E9E" w:rsidR="00E6232E" w:rsidRPr="000B7589" w:rsidRDefault="00E6232E" w:rsidP="00EC18E7">
      <w:pPr>
        <w:pStyle w:val="BodyText"/>
        <w:rPr>
          <w:lang w:eastAsia="en-US"/>
        </w:rPr>
      </w:pPr>
      <w:r w:rsidRPr="000B7589">
        <w:rPr>
          <w:lang w:eastAsia="en-US"/>
        </w:rPr>
        <w:lastRenderedPageBreak/>
        <w:t xml:space="preserve">The requirement that positive consent be sought from individuals on each occasion prior to the provision of a service, will ensure individuals enjoy strong levels of autonomy and control </w:t>
      </w:r>
      <w:r w:rsidR="000072A4">
        <w:rPr>
          <w:lang w:eastAsia="en-US"/>
        </w:rPr>
        <w:t>over</w:t>
      </w:r>
      <w:r w:rsidRPr="000B7589">
        <w:rPr>
          <w:lang w:eastAsia="en-US"/>
        </w:rPr>
        <w:t xml:space="preserve"> how and when they interact with </w:t>
      </w:r>
      <w:r w:rsidR="00A84608">
        <w:rPr>
          <w:lang w:eastAsia="en-US"/>
        </w:rPr>
        <w:t>Digital ID</w:t>
      </w:r>
      <w:r w:rsidRPr="000B7589">
        <w:rPr>
          <w:lang w:eastAsia="en-US"/>
        </w:rPr>
        <w:t>. This is in contrast with other de facto identity solutions made available by private companies, which are increasingly being used to transact with companies and services online.</w:t>
      </w:r>
    </w:p>
    <w:p w14:paraId="1EC41ACD" w14:textId="17AC3CB4" w:rsidR="00E6232E" w:rsidRPr="001D14B8" w:rsidRDefault="007A2C6A" w:rsidP="002A0522">
      <w:pPr>
        <w:pStyle w:val="Heading4NoNumbers"/>
        <w:numPr>
          <w:ilvl w:val="0"/>
          <w:numId w:val="0"/>
        </w:numPr>
        <w:rPr>
          <w:color w:val="008675"/>
          <w:lang w:eastAsia="en-US"/>
        </w:rPr>
      </w:pPr>
      <w:r>
        <w:rPr>
          <w:color w:val="008675"/>
          <w:lang w:eastAsia="en-US"/>
        </w:rPr>
        <w:t xml:space="preserve">(c) </w:t>
      </w:r>
      <w:r w:rsidR="00E6232E" w:rsidRPr="001D14B8">
        <w:rPr>
          <w:color w:val="008675"/>
          <w:lang w:eastAsia="en-US"/>
        </w:rPr>
        <w:t xml:space="preserve">Expected </w:t>
      </w:r>
      <w:r w:rsidR="00E5093D" w:rsidRPr="001D14B8">
        <w:rPr>
          <w:color w:val="008675"/>
          <w:lang w:eastAsia="en-US"/>
        </w:rPr>
        <w:t>c</w:t>
      </w:r>
      <w:r w:rsidR="00E6232E" w:rsidRPr="001D14B8">
        <w:rPr>
          <w:color w:val="008675"/>
          <w:lang w:eastAsia="en-US"/>
        </w:rPr>
        <w:t xml:space="preserve">osts of </w:t>
      </w:r>
      <w:r w:rsidR="00B5575F" w:rsidRPr="001D14B8">
        <w:rPr>
          <w:color w:val="008675"/>
          <w:lang w:eastAsia="en-US"/>
        </w:rPr>
        <w:t xml:space="preserve">regulatory scheme </w:t>
      </w:r>
    </w:p>
    <w:p w14:paraId="6444F1CD" w14:textId="6B29A4C4" w:rsidR="00E6232E" w:rsidRPr="000B7589" w:rsidRDefault="00E6232E" w:rsidP="00EC18E7">
      <w:pPr>
        <w:pStyle w:val="BodyText"/>
        <w:rPr>
          <w:lang w:eastAsia="en-US"/>
        </w:rPr>
      </w:pPr>
      <w:r w:rsidRPr="000B7589">
        <w:rPr>
          <w:lang w:eastAsia="en-US"/>
        </w:rPr>
        <w:t xml:space="preserve">The policy intent underpinning the proposed </w:t>
      </w:r>
      <w:r w:rsidR="00E043C3">
        <w:rPr>
          <w:lang w:eastAsia="en-US"/>
        </w:rPr>
        <w:t xml:space="preserve">regulatory </w:t>
      </w:r>
      <w:r w:rsidR="00B5575F">
        <w:rPr>
          <w:lang w:eastAsia="en-US"/>
        </w:rPr>
        <w:t>scheme</w:t>
      </w:r>
      <w:r w:rsidR="00E043C3" w:rsidRPr="000B7589">
        <w:rPr>
          <w:lang w:eastAsia="en-US"/>
        </w:rPr>
        <w:t xml:space="preserve"> </w:t>
      </w:r>
      <w:r w:rsidRPr="000B7589">
        <w:rPr>
          <w:lang w:eastAsia="en-US"/>
        </w:rPr>
        <w:t>is that individuals will not be directly charged for using Digital I</w:t>
      </w:r>
      <w:r w:rsidR="00EB2443">
        <w:rPr>
          <w:lang w:eastAsia="en-US"/>
        </w:rPr>
        <w:t>D</w:t>
      </w:r>
      <w:r w:rsidRPr="000B7589">
        <w:rPr>
          <w:lang w:eastAsia="en-US"/>
        </w:rPr>
        <w:t xml:space="preserve">, however it will not regulate fees charged by </w:t>
      </w:r>
      <w:r w:rsidR="0036587B">
        <w:rPr>
          <w:lang w:eastAsia="en-US"/>
        </w:rPr>
        <w:t>r</w:t>
      </w:r>
      <w:r w:rsidRPr="000B7589">
        <w:rPr>
          <w:lang w:eastAsia="en-US"/>
        </w:rPr>
        <w:t xml:space="preserve">elying </w:t>
      </w:r>
      <w:r w:rsidR="0036587B">
        <w:rPr>
          <w:lang w:eastAsia="en-US"/>
        </w:rPr>
        <w:t>p</w:t>
      </w:r>
      <w:r w:rsidRPr="000B7589">
        <w:rPr>
          <w:lang w:eastAsia="en-US"/>
        </w:rPr>
        <w:t xml:space="preserve">arties accessing the system to provide a service to an individual. This means individuals interacting </w:t>
      </w:r>
      <w:r w:rsidR="00A245C2">
        <w:rPr>
          <w:lang w:eastAsia="en-US"/>
        </w:rPr>
        <w:t xml:space="preserve">with Digital ID </w:t>
      </w:r>
      <w:r w:rsidRPr="000B7589">
        <w:rPr>
          <w:lang w:eastAsia="en-US"/>
        </w:rPr>
        <w:t xml:space="preserve">may be charged to do so by a </w:t>
      </w:r>
      <w:r w:rsidR="0036587B">
        <w:rPr>
          <w:lang w:eastAsia="en-US"/>
        </w:rPr>
        <w:t>r</w:t>
      </w:r>
      <w:r w:rsidRPr="000B7589">
        <w:rPr>
          <w:lang w:eastAsia="en-US"/>
        </w:rPr>
        <w:t xml:space="preserve">elying </w:t>
      </w:r>
      <w:r w:rsidR="0036587B">
        <w:rPr>
          <w:lang w:eastAsia="en-US"/>
        </w:rPr>
        <w:t>p</w:t>
      </w:r>
      <w:r w:rsidRPr="000B7589">
        <w:rPr>
          <w:lang w:eastAsia="en-US"/>
        </w:rPr>
        <w:t xml:space="preserve">arty. Given the </w:t>
      </w:r>
      <w:r w:rsidR="00A245C2">
        <w:rPr>
          <w:lang w:eastAsia="en-US"/>
        </w:rPr>
        <w:t>voluntariness approach</w:t>
      </w:r>
      <w:r w:rsidRPr="000B7589">
        <w:rPr>
          <w:lang w:eastAsia="en-US"/>
        </w:rPr>
        <w:t xml:space="preserve">, and the requirement that alternatives remain available, </w:t>
      </w:r>
      <w:r w:rsidR="0036587B">
        <w:rPr>
          <w:lang w:eastAsia="en-US"/>
        </w:rPr>
        <w:t>r</w:t>
      </w:r>
      <w:r w:rsidRPr="000B7589">
        <w:rPr>
          <w:lang w:eastAsia="en-US"/>
        </w:rPr>
        <w:t xml:space="preserve">elying </w:t>
      </w:r>
      <w:r w:rsidR="0036587B">
        <w:rPr>
          <w:lang w:eastAsia="en-US"/>
        </w:rPr>
        <w:t>p</w:t>
      </w:r>
      <w:r w:rsidRPr="000B7589">
        <w:rPr>
          <w:lang w:eastAsia="en-US"/>
        </w:rPr>
        <w:t xml:space="preserve">arties would need to ensure that such charges are set at a level which incentivises individuals to </w:t>
      </w:r>
      <w:r w:rsidR="00B131D9">
        <w:rPr>
          <w:lang w:eastAsia="en-US"/>
        </w:rPr>
        <w:t>use Digital ID,</w:t>
      </w:r>
      <w:r w:rsidRPr="000B7589">
        <w:rPr>
          <w:lang w:eastAsia="en-US"/>
        </w:rPr>
        <w:t xml:space="preserve"> rather than the alternatives available. In relation to regulatory costs, the specific provisions of the </w:t>
      </w:r>
      <w:r w:rsidR="00B5575F">
        <w:rPr>
          <w:lang w:eastAsia="en-US"/>
        </w:rPr>
        <w:t>regulatory scheme</w:t>
      </w:r>
      <w:r w:rsidR="00E043C3">
        <w:rPr>
          <w:lang w:eastAsia="en-US"/>
        </w:rPr>
        <w:t xml:space="preserve"> </w:t>
      </w:r>
      <w:r w:rsidRPr="000B7589">
        <w:rPr>
          <w:lang w:eastAsia="en-US"/>
        </w:rPr>
        <w:t>would apply primarily to</w:t>
      </w:r>
      <w:r w:rsidR="00D95AF8">
        <w:rPr>
          <w:lang w:eastAsia="en-US"/>
        </w:rPr>
        <w:t xml:space="preserve"> onboarded</w:t>
      </w:r>
      <w:r w:rsidRPr="000B7589">
        <w:rPr>
          <w:lang w:eastAsia="en-US"/>
        </w:rPr>
        <w:t xml:space="preserve"> </w:t>
      </w:r>
      <w:r w:rsidR="006E797D">
        <w:rPr>
          <w:lang w:eastAsia="en-US"/>
        </w:rPr>
        <w:t>a</w:t>
      </w:r>
      <w:r w:rsidRPr="000B7589">
        <w:rPr>
          <w:lang w:eastAsia="en-US"/>
        </w:rPr>
        <w:t xml:space="preserve">ccredited </w:t>
      </w:r>
      <w:r w:rsidR="00D95AF8">
        <w:rPr>
          <w:lang w:eastAsia="en-US"/>
        </w:rPr>
        <w:t xml:space="preserve">entities </w:t>
      </w:r>
      <w:r w:rsidRPr="000B7589">
        <w:rPr>
          <w:lang w:eastAsia="en-US"/>
        </w:rPr>
        <w:t xml:space="preserve">and – in some instances – </w:t>
      </w:r>
      <w:r w:rsidR="0036587B">
        <w:rPr>
          <w:lang w:eastAsia="en-US"/>
        </w:rPr>
        <w:t>r</w:t>
      </w:r>
      <w:r w:rsidRPr="000B7589">
        <w:rPr>
          <w:lang w:eastAsia="en-US"/>
        </w:rPr>
        <w:t xml:space="preserve">elying </w:t>
      </w:r>
      <w:r w:rsidR="0036587B">
        <w:rPr>
          <w:lang w:eastAsia="en-US"/>
        </w:rPr>
        <w:t>p</w:t>
      </w:r>
      <w:r w:rsidRPr="000B7589">
        <w:rPr>
          <w:lang w:eastAsia="en-US"/>
        </w:rPr>
        <w:t xml:space="preserve">arties. As a result, there are not expected to be any regulatory costs to individuals arising from this </w:t>
      </w:r>
      <w:r w:rsidR="0036587B">
        <w:rPr>
          <w:lang w:eastAsia="en-US"/>
        </w:rPr>
        <w:t>o</w:t>
      </w:r>
      <w:r w:rsidRPr="000B7589">
        <w:rPr>
          <w:lang w:eastAsia="en-US"/>
        </w:rPr>
        <w:t>ption.</w:t>
      </w:r>
    </w:p>
    <w:p w14:paraId="43FD42AE" w14:textId="48374D42" w:rsidR="00E6232E" w:rsidRPr="000B7589" w:rsidRDefault="00E6232E" w:rsidP="00EC18E7">
      <w:pPr>
        <w:pStyle w:val="BodyText"/>
        <w:rPr>
          <w:lang w:eastAsia="en-US"/>
        </w:rPr>
      </w:pPr>
      <w:r w:rsidRPr="000B7589">
        <w:rPr>
          <w:lang w:eastAsia="en-US"/>
        </w:rPr>
        <w:t>There is a small risk that the expansion-related benefits outlined above become foregone benefits for individuals if the regulatory burden</w:t>
      </w:r>
      <w:r w:rsidR="00C97B62">
        <w:rPr>
          <w:lang w:eastAsia="en-US"/>
        </w:rPr>
        <w:t xml:space="preserve"> </w:t>
      </w:r>
      <w:r w:rsidRPr="000B7589">
        <w:rPr>
          <w:lang w:eastAsia="en-US"/>
        </w:rPr>
        <w:t>was so great as to prevent private sector providers participating in Digital I</w:t>
      </w:r>
      <w:r w:rsidR="00EB2443">
        <w:rPr>
          <w:lang w:eastAsia="en-US"/>
        </w:rPr>
        <w:t>D</w:t>
      </w:r>
      <w:r w:rsidRPr="000B7589">
        <w:rPr>
          <w:lang w:eastAsia="en-US"/>
        </w:rPr>
        <w:t xml:space="preserve">. However, this does not appear to be a significant risk </w:t>
      </w:r>
      <w:r w:rsidR="00BE1C72">
        <w:rPr>
          <w:lang w:eastAsia="en-US"/>
        </w:rPr>
        <w:t>considering</w:t>
      </w:r>
      <w:r w:rsidRPr="000B7589">
        <w:rPr>
          <w:lang w:eastAsia="en-US"/>
        </w:rPr>
        <w:t xml:space="preserve"> the balance of costs and benefits for these participants, discussed below.</w:t>
      </w:r>
    </w:p>
    <w:p w14:paraId="65F3D4B1" w14:textId="4A4BBDEB" w:rsidR="00E6232E" w:rsidRPr="000B7589" w:rsidRDefault="00E6232E" w:rsidP="00EC18E7">
      <w:pPr>
        <w:pStyle w:val="BodyText"/>
        <w:rPr>
          <w:lang w:eastAsia="en-US"/>
        </w:rPr>
      </w:pPr>
      <w:r w:rsidRPr="000B7589">
        <w:rPr>
          <w:rFonts w:eastAsia="Times New Roman"/>
          <w:b/>
          <w:bCs/>
          <w:color w:val="000000"/>
          <w:lang w:eastAsia="en-US"/>
        </w:rPr>
        <w:t>Assessment of net expected benefits</w:t>
      </w:r>
      <w:r w:rsidRPr="000B7589">
        <w:rPr>
          <w:rFonts w:eastAsia="Yu Gothic Light"/>
          <w:color w:val="000000"/>
          <w:lang w:eastAsia="en-US"/>
        </w:rPr>
        <w:t>:</w:t>
      </w:r>
      <w:r w:rsidRPr="000B7589">
        <w:rPr>
          <w:rFonts w:eastAsia="Times New Roman"/>
          <w:lang w:eastAsia="en-US"/>
        </w:rPr>
        <w:t xml:space="preserve"> </w:t>
      </w:r>
      <w:r w:rsidR="008B0B48" w:rsidRPr="000B7589">
        <w:rPr>
          <w:rFonts w:eastAsia="Times New Roman"/>
          <w:lang w:eastAsia="en-US"/>
        </w:rPr>
        <w:t>Considering</w:t>
      </w:r>
      <w:r w:rsidRPr="000B7589">
        <w:rPr>
          <w:lang w:eastAsia="en-US"/>
        </w:rPr>
        <w:t xml:space="preserve"> the significant expected benefits for individuals – direct and indirect – enabled by this </w:t>
      </w:r>
      <w:r w:rsidR="00C97B62">
        <w:rPr>
          <w:lang w:eastAsia="en-US"/>
        </w:rPr>
        <w:t>dedicated regulatory scheme</w:t>
      </w:r>
      <w:r w:rsidRPr="000B7589">
        <w:rPr>
          <w:lang w:eastAsia="en-US"/>
        </w:rPr>
        <w:t xml:space="preserve">, and the minimal individual costs associated with it, the balance of net benefits </w:t>
      </w:r>
      <w:r w:rsidR="00BC0807">
        <w:rPr>
          <w:lang w:eastAsia="en-US"/>
        </w:rPr>
        <w:t xml:space="preserve">under Option 3 </w:t>
      </w:r>
      <w:r w:rsidRPr="000B7589">
        <w:rPr>
          <w:lang w:eastAsia="en-US"/>
        </w:rPr>
        <w:t>is expected to be strongly positive for individual Australians.</w:t>
      </w:r>
    </w:p>
    <w:p w14:paraId="56336F14" w14:textId="58CBF611" w:rsidR="00E6232E" w:rsidRPr="008A7938" w:rsidRDefault="00E6232E" w:rsidP="003D1D88">
      <w:pPr>
        <w:pStyle w:val="Heading3NoNumbers"/>
        <w:rPr>
          <w:color w:val="008675"/>
          <w:lang w:eastAsia="en-US"/>
        </w:rPr>
      </w:pPr>
      <w:bookmarkStart w:id="502" w:name="_Toc80884700"/>
      <w:bookmarkStart w:id="503" w:name="_Toc84925826"/>
      <w:bookmarkStart w:id="504" w:name="_Toc86070042"/>
      <w:r w:rsidRPr="008A7938">
        <w:rPr>
          <w:color w:val="008675"/>
          <w:lang w:eastAsia="en-US"/>
        </w:rPr>
        <w:t>9.</w:t>
      </w:r>
      <w:r w:rsidR="00C524C6" w:rsidRPr="008A7938">
        <w:rPr>
          <w:color w:val="008675"/>
          <w:lang w:eastAsia="en-US"/>
        </w:rPr>
        <w:t>1</w:t>
      </w:r>
      <w:r w:rsidRPr="008A7938">
        <w:rPr>
          <w:color w:val="008675"/>
          <w:lang w:eastAsia="en-US"/>
        </w:rPr>
        <w:t>.2 Businesses</w:t>
      </w:r>
      <w:bookmarkEnd w:id="502"/>
      <w:bookmarkEnd w:id="503"/>
      <w:bookmarkEnd w:id="504"/>
    </w:p>
    <w:p w14:paraId="0E3937DF" w14:textId="72649303" w:rsidR="00E6232E" w:rsidRPr="000B7589" w:rsidRDefault="00E6232E" w:rsidP="00EC18E7">
      <w:pPr>
        <w:pStyle w:val="BodyText"/>
        <w:rPr>
          <w:lang w:eastAsia="en-US"/>
        </w:rPr>
      </w:pPr>
      <w:r w:rsidRPr="000B7589">
        <w:rPr>
          <w:lang w:eastAsia="en-US"/>
        </w:rPr>
        <w:t>Option 3 provides the legal authority for businesses to engage with, and participate in</w:t>
      </w:r>
      <w:r w:rsidR="00B131D9">
        <w:rPr>
          <w:lang w:eastAsia="en-US"/>
        </w:rPr>
        <w:t xml:space="preserve"> </w:t>
      </w:r>
      <w:r w:rsidR="00421E0A" w:rsidRPr="000B7589">
        <w:rPr>
          <w:lang w:eastAsia="en-US"/>
        </w:rPr>
        <w:t>several</w:t>
      </w:r>
      <w:r w:rsidRPr="000B7589">
        <w:rPr>
          <w:lang w:eastAsia="en-US"/>
        </w:rPr>
        <w:t xml:space="preserve"> different contexts. Under the status quo, businesses can already become an </w:t>
      </w:r>
      <w:r w:rsidR="00D95AF8">
        <w:rPr>
          <w:lang w:eastAsia="en-US"/>
        </w:rPr>
        <w:t xml:space="preserve">onboarded </w:t>
      </w:r>
      <w:r w:rsidR="006E797D">
        <w:rPr>
          <w:lang w:eastAsia="en-US"/>
        </w:rPr>
        <w:t>a</w:t>
      </w:r>
      <w:r w:rsidRPr="000B7589">
        <w:rPr>
          <w:lang w:eastAsia="en-US"/>
        </w:rPr>
        <w:t xml:space="preserve">ccredited </w:t>
      </w:r>
      <w:r w:rsidR="00D95AF8">
        <w:rPr>
          <w:lang w:eastAsia="en-US"/>
        </w:rPr>
        <w:t xml:space="preserve">entity </w:t>
      </w:r>
      <w:r w:rsidRPr="000B7589">
        <w:rPr>
          <w:lang w:eastAsia="en-US"/>
        </w:rPr>
        <w:t xml:space="preserve">(but are unlikely to be active due to the absence of a </w:t>
      </w:r>
      <w:r w:rsidR="0004571F">
        <w:rPr>
          <w:lang w:eastAsia="en-US"/>
        </w:rPr>
        <w:t>c</w:t>
      </w:r>
      <w:r w:rsidRPr="000B7589">
        <w:rPr>
          <w:lang w:eastAsia="en-US"/>
        </w:rPr>
        <w:t xml:space="preserve">harging </w:t>
      </w:r>
      <w:r w:rsidR="0004571F">
        <w:rPr>
          <w:lang w:eastAsia="en-US"/>
        </w:rPr>
        <w:t>f</w:t>
      </w:r>
      <w:r w:rsidRPr="000B7589">
        <w:rPr>
          <w:lang w:eastAsia="en-US"/>
        </w:rPr>
        <w:t xml:space="preserve">ramework), </w:t>
      </w:r>
      <w:r w:rsidR="00421E0A" w:rsidRPr="000B7589">
        <w:rPr>
          <w:lang w:eastAsia="en-US"/>
        </w:rPr>
        <w:t>to</w:t>
      </w:r>
      <w:r w:rsidRPr="000B7589">
        <w:rPr>
          <w:lang w:eastAsia="en-US"/>
        </w:rPr>
        <w:t xml:space="preserve"> play a role as one or more of the following:</w:t>
      </w:r>
    </w:p>
    <w:p w14:paraId="4421252D" w14:textId="38A37417" w:rsidR="00E6232E" w:rsidRPr="000B7589" w:rsidRDefault="0064213C" w:rsidP="00EC18E7">
      <w:pPr>
        <w:pStyle w:val="ListBulletLevel1"/>
        <w:rPr>
          <w:rFonts w:eastAsia="Calibri"/>
          <w:lang w:eastAsia="en-US"/>
        </w:rPr>
      </w:pPr>
      <w:r>
        <w:rPr>
          <w:rFonts w:eastAsia="Calibri"/>
          <w:lang w:eastAsia="en-US"/>
        </w:rPr>
        <w:lastRenderedPageBreak/>
        <w:t>IDP</w:t>
      </w:r>
      <w:r w:rsidR="00E6232E" w:rsidRPr="000B7589">
        <w:rPr>
          <w:rFonts w:eastAsia="Calibri"/>
          <w:lang w:eastAsia="en-US"/>
        </w:rPr>
        <w:t xml:space="preserve"> – for example, a consortium of banks may choose to develop a private sector identity verification product offering parallel services to </w:t>
      </w:r>
      <w:proofErr w:type="spellStart"/>
      <w:r w:rsidR="00E6232E" w:rsidRPr="000B7589">
        <w:rPr>
          <w:rFonts w:eastAsia="Calibri"/>
          <w:lang w:eastAsia="en-US"/>
        </w:rPr>
        <w:t>myGovID</w:t>
      </w:r>
      <w:proofErr w:type="spellEnd"/>
      <w:r w:rsidR="00094518">
        <w:rPr>
          <w:rFonts w:eastAsia="Calibri"/>
          <w:lang w:eastAsia="en-US"/>
        </w:rPr>
        <w:t>.</w:t>
      </w:r>
      <w:r w:rsidR="00E6232E" w:rsidRPr="000B7589">
        <w:rPr>
          <w:rFonts w:eastAsia="Calibri"/>
          <w:lang w:eastAsia="en-US"/>
        </w:rPr>
        <w:t xml:space="preserve"> </w:t>
      </w:r>
    </w:p>
    <w:p w14:paraId="469C0DE8" w14:textId="1768D55A" w:rsidR="00E6232E" w:rsidRPr="000B7589" w:rsidRDefault="0064213C" w:rsidP="00EC18E7">
      <w:pPr>
        <w:pStyle w:val="ListBulletLevel1"/>
        <w:rPr>
          <w:rFonts w:eastAsia="Calibri"/>
          <w:lang w:eastAsia="en-US"/>
        </w:rPr>
      </w:pPr>
      <w:r>
        <w:rPr>
          <w:rFonts w:eastAsia="Calibri"/>
          <w:lang w:eastAsia="en-US"/>
        </w:rPr>
        <w:t>AP</w:t>
      </w:r>
      <w:r w:rsidR="00E6232E" w:rsidRPr="000B7589">
        <w:rPr>
          <w:rFonts w:eastAsia="Calibri"/>
          <w:lang w:eastAsia="en-US"/>
        </w:rPr>
        <w:t xml:space="preserve"> – for example, universities may choose to participate to provide verification services relating to qualifications.</w:t>
      </w:r>
    </w:p>
    <w:p w14:paraId="6BCE5FF6" w14:textId="2BCD8988" w:rsidR="00E6232E" w:rsidRPr="000B7589" w:rsidRDefault="00E6232E" w:rsidP="00EC18E7">
      <w:pPr>
        <w:pStyle w:val="BodyText"/>
        <w:rPr>
          <w:lang w:eastAsia="en-US"/>
        </w:rPr>
      </w:pPr>
      <w:r w:rsidRPr="000B7589">
        <w:rPr>
          <w:lang w:eastAsia="en-US"/>
        </w:rPr>
        <w:t>Businesses participating as</w:t>
      </w:r>
      <w:r w:rsidR="00D95AF8">
        <w:rPr>
          <w:lang w:eastAsia="en-US"/>
        </w:rPr>
        <w:t xml:space="preserve"> onboarded</w:t>
      </w:r>
      <w:r w:rsidRPr="000B7589">
        <w:rPr>
          <w:lang w:eastAsia="en-US"/>
        </w:rPr>
        <w:t xml:space="preserve"> </w:t>
      </w:r>
      <w:r w:rsidR="006E797D">
        <w:rPr>
          <w:lang w:eastAsia="en-US"/>
        </w:rPr>
        <w:t>a</w:t>
      </w:r>
      <w:r w:rsidRPr="000B7589">
        <w:rPr>
          <w:lang w:eastAsia="en-US"/>
        </w:rPr>
        <w:t xml:space="preserve">ccredited </w:t>
      </w:r>
      <w:r w:rsidR="00D95AF8">
        <w:rPr>
          <w:lang w:eastAsia="en-US"/>
        </w:rPr>
        <w:t xml:space="preserve">entities </w:t>
      </w:r>
      <w:r w:rsidRPr="000B7589">
        <w:rPr>
          <w:lang w:eastAsia="en-US"/>
        </w:rPr>
        <w:t>are expected to be larger corporations and entities. This is because of the infrastructure and investment costs associated with delivering identity and attribute services.</w:t>
      </w:r>
      <w:r w:rsidR="00BF0E89">
        <w:rPr>
          <w:lang w:eastAsia="en-US"/>
        </w:rPr>
        <w:t xml:space="preserve"> </w:t>
      </w:r>
    </w:p>
    <w:p w14:paraId="674442AC" w14:textId="31777CC7" w:rsidR="00E6232E" w:rsidRPr="000B7589" w:rsidRDefault="00E6232E" w:rsidP="00EC18E7">
      <w:pPr>
        <w:pStyle w:val="BodyText"/>
        <w:rPr>
          <w:rFonts w:eastAsia="Times New Roman"/>
          <w:lang w:eastAsia="en-US"/>
        </w:rPr>
      </w:pPr>
      <w:r w:rsidRPr="000B7589">
        <w:rPr>
          <w:rFonts w:eastAsia="Times New Roman"/>
          <w:lang w:eastAsia="en-US"/>
        </w:rPr>
        <w:t xml:space="preserve">However, under Option 3, businesses could also engage as </w:t>
      </w:r>
      <w:r w:rsidR="00BF0E89">
        <w:rPr>
          <w:rFonts w:eastAsia="Times New Roman"/>
          <w:lang w:eastAsia="en-US"/>
        </w:rPr>
        <w:t xml:space="preserve">accredited </w:t>
      </w:r>
      <w:r w:rsidR="00FC5909">
        <w:rPr>
          <w:rFonts w:eastAsia="Times New Roman"/>
          <w:lang w:eastAsia="en-US"/>
        </w:rPr>
        <w:t>entities</w:t>
      </w:r>
      <w:r w:rsidR="00BF0E89">
        <w:rPr>
          <w:rFonts w:eastAsia="Times New Roman"/>
          <w:lang w:eastAsia="en-US"/>
        </w:rPr>
        <w:t xml:space="preserve"> that choose not to be onboarded, or as </w:t>
      </w:r>
      <w:r w:rsidR="0036587B">
        <w:rPr>
          <w:rFonts w:eastAsia="Times New Roman"/>
          <w:lang w:eastAsia="en-US"/>
        </w:rPr>
        <w:t>r</w:t>
      </w:r>
      <w:r w:rsidRPr="000B7589">
        <w:rPr>
          <w:rFonts w:eastAsia="Times New Roman"/>
          <w:lang w:eastAsia="en-US"/>
        </w:rPr>
        <w:t xml:space="preserve">elying </w:t>
      </w:r>
      <w:r w:rsidR="0036587B">
        <w:rPr>
          <w:rFonts w:eastAsia="Times New Roman"/>
          <w:lang w:eastAsia="en-US"/>
        </w:rPr>
        <w:t>p</w:t>
      </w:r>
      <w:r w:rsidRPr="000B7589">
        <w:rPr>
          <w:rFonts w:eastAsia="Times New Roman"/>
          <w:lang w:eastAsia="en-US"/>
        </w:rPr>
        <w:t xml:space="preserve">arties. For example, utilities providers may connect with one or more </w:t>
      </w:r>
      <w:r w:rsidR="0064213C">
        <w:rPr>
          <w:rFonts w:eastAsia="Times New Roman"/>
          <w:lang w:eastAsia="en-US"/>
        </w:rPr>
        <w:t>IDP</w:t>
      </w:r>
      <w:r w:rsidR="001E248F">
        <w:rPr>
          <w:rFonts w:eastAsia="Times New Roman"/>
          <w:lang w:eastAsia="en-US"/>
        </w:rPr>
        <w:t>s</w:t>
      </w:r>
      <w:r w:rsidRPr="000B7589">
        <w:rPr>
          <w:rFonts w:eastAsia="Times New Roman"/>
          <w:lang w:eastAsia="en-US"/>
        </w:rPr>
        <w:t xml:space="preserve"> to undertake identity verification on new customer accounts. Businesses participating as </w:t>
      </w:r>
      <w:r w:rsidR="0036587B">
        <w:rPr>
          <w:rFonts w:eastAsia="Times New Roman"/>
          <w:lang w:eastAsia="en-US"/>
        </w:rPr>
        <w:t>r</w:t>
      </w:r>
      <w:r w:rsidRPr="000B7589">
        <w:rPr>
          <w:rFonts w:eastAsia="Times New Roman"/>
          <w:lang w:eastAsia="en-US"/>
        </w:rPr>
        <w:t xml:space="preserve">elying </w:t>
      </w:r>
      <w:r w:rsidR="0036587B">
        <w:rPr>
          <w:rFonts w:eastAsia="Times New Roman"/>
          <w:lang w:eastAsia="en-US"/>
        </w:rPr>
        <w:t>p</w:t>
      </w:r>
      <w:r w:rsidRPr="000B7589">
        <w:rPr>
          <w:rFonts w:eastAsia="Times New Roman"/>
          <w:lang w:eastAsia="en-US"/>
        </w:rPr>
        <w:t>arties are expected to span a diversity of sizes, potentially including small businesses</w:t>
      </w:r>
      <w:r w:rsidR="005738A3">
        <w:rPr>
          <w:rFonts w:eastAsia="Times New Roman"/>
          <w:lang w:eastAsia="en-US"/>
        </w:rPr>
        <w:t xml:space="preserve"> and sole traders</w:t>
      </w:r>
      <w:r w:rsidRPr="000B7589">
        <w:rPr>
          <w:rFonts w:eastAsia="Times New Roman"/>
          <w:lang w:eastAsia="en-US"/>
        </w:rPr>
        <w:t xml:space="preserve"> which are currently exempt from the Privacy Act</w:t>
      </w:r>
      <w:r w:rsidRPr="000B7589">
        <w:rPr>
          <w:rFonts w:eastAsia="Times New Roman"/>
          <w:i/>
          <w:iCs/>
          <w:lang w:eastAsia="en-US"/>
        </w:rPr>
        <w:t xml:space="preserve"> </w:t>
      </w:r>
      <w:r w:rsidRPr="000B7589">
        <w:rPr>
          <w:rFonts w:eastAsia="Times New Roman"/>
          <w:lang w:eastAsia="en-US"/>
        </w:rPr>
        <w:t xml:space="preserve">and other data handling and security regimes. As noted throughout this assessment, the provisions of the proposed </w:t>
      </w:r>
      <w:r w:rsidR="00C97B62">
        <w:rPr>
          <w:rFonts w:eastAsia="Times New Roman"/>
          <w:lang w:eastAsia="en-US"/>
        </w:rPr>
        <w:t xml:space="preserve">regulatory scheme </w:t>
      </w:r>
      <w:r w:rsidRPr="000B7589">
        <w:rPr>
          <w:rFonts w:eastAsia="Times New Roman"/>
          <w:lang w:eastAsia="en-US"/>
        </w:rPr>
        <w:t xml:space="preserve">primarily apply to </w:t>
      </w:r>
      <w:r w:rsidR="00D95AF8">
        <w:rPr>
          <w:rFonts w:eastAsia="Times New Roman"/>
          <w:lang w:eastAsia="en-US"/>
        </w:rPr>
        <w:t xml:space="preserve">onboarded </w:t>
      </w:r>
      <w:r w:rsidR="006E797D">
        <w:rPr>
          <w:rFonts w:eastAsia="Times New Roman"/>
          <w:lang w:eastAsia="en-US"/>
        </w:rPr>
        <w:t>a</w:t>
      </w:r>
      <w:r w:rsidRPr="000B7589">
        <w:rPr>
          <w:rFonts w:eastAsia="Times New Roman"/>
          <w:lang w:eastAsia="en-US"/>
        </w:rPr>
        <w:t xml:space="preserve">ccredited </w:t>
      </w:r>
      <w:r w:rsidR="00D95AF8">
        <w:rPr>
          <w:rFonts w:eastAsia="Times New Roman"/>
          <w:lang w:eastAsia="en-US"/>
        </w:rPr>
        <w:t>entities</w:t>
      </w:r>
      <w:r w:rsidRPr="000B7589">
        <w:rPr>
          <w:rFonts w:eastAsia="Times New Roman"/>
          <w:lang w:eastAsia="en-US"/>
        </w:rPr>
        <w:t xml:space="preserve">. For this reason, the expected benefits and costs for business have been assessed separately depending on whether they are </w:t>
      </w:r>
      <w:r w:rsidR="00D95AF8">
        <w:rPr>
          <w:rFonts w:eastAsia="Times New Roman"/>
          <w:lang w:eastAsia="en-US"/>
        </w:rPr>
        <w:t>onboarded</w:t>
      </w:r>
      <w:r w:rsidR="00D95AF8" w:rsidRPr="000B7589">
        <w:rPr>
          <w:rFonts w:eastAsia="Times New Roman"/>
          <w:lang w:eastAsia="en-US"/>
        </w:rPr>
        <w:t xml:space="preserve"> </w:t>
      </w:r>
      <w:r w:rsidR="00D95AF8">
        <w:rPr>
          <w:rFonts w:eastAsia="Times New Roman"/>
          <w:lang w:eastAsia="en-US"/>
        </w:rPr>
        <w:t>accredited entities</w:t>
      </w:r>
      <w:r w:rsidR="00D761BA">
        <w:rPr>
          <w:rFonts w:eastAsia="Times New Roman"/>
          <w:lang w:eastAsia="en-US"/>
        </w:rPr>
        <w:t>, accredited entities</w:t>
      </w:r>
      <w:r w:rsidR="00D95AF8">
        <w:rPr>
          <w:rFonts w:eastAsia="Times New Roman"/>
          <w:lang w:eastAsia="en-US"/>
        </w:rPr>
        <w:t xml:space="preserve"> </w:t>
      </w:r>
      <w:r w:rsidRPr="000B7589">
        <w:rPr>
          <w:rFonts w:eastAsia="Times New Roman"/>
          <w:lang w:eastAsia="en-US"/>
        </w:rPr>
        <w:t xml:space="preserve">or </w:t>
      </w:r>
      <w:r w:rsidR="0036587B">
        <w:rPr>
          <w:rFonts w:eastAsia="Times New Roman"/>
          <w:lang w:eastAsia="en-US"/>
        </w:rPr>
        <w:t>r</w:t>
      </w:r>
      <w:r w:rsidRPr="000B7589">
        <w:rPr>
          <w:rFonts w:eastAsia="Times New Roman"/>
          <w:lang w:eastAsia="en-US"/>
        </w:rPr>
        <w:t xml:space="preserve">elying </w:t>
      </w:r>
      <w:r w:rsidR="0036587B">
        <w:rPr>
          <w:rFonts w:eastAsia="Times New Roman"/>
          <w:lang w:eastAsia="en-US"/>
        </w:rPr>
        <w:t>p</w:t>
      </w:r>
      <w:r w:rsidRPr="000B7589">
        <w:rPr>
          <w:rFonts w:eastAsia="Times New Roman"/>
          <w:lang w:eastAsia="en-US"/>
        </w:rPr>
        <w:t>arties.</w:t>
      </w:r>
      <w:r w:rsidR="00567AEC">
        <w:rPr>
          <w:rFonts w:eastAsia="Times New Roman"/>
          <w:lang w:eastAsia="en-US"/>
        </w:rPr>
        <w:t xml:space="preserve"> As accreditation and participation </w:t>
      </w:r>
      <w:r w:rsidR="00CA51FF">
        <w:rPr>
          <w:rFonts w:eastAsia="Times New Roman"/>
          <w:lang w:eastAsia="en-US"/>
        </w:rPr>
        <w:t xml:space="preserve">is voluntary for businesses, it is expected that only those organisations which perceive a net positive benefit will choose to participate. </w:t>
      </w:r>
    </w:p>
    <w:p w14:paraId="636783A0" w14:textId="45A1751F" w:rsidR="006356B5" w:rsidRDefault="00D95AF8" w:rsidP="002C7E43">
      <w:pPr>
        <w:pStyle w:val="Heading5NoNumbers"/>
        <w:numPr>
          <w:ilvl w:val="0"/>
          <w:numId w:val="0"/>
        </w:numPr>
        <w:rPr>
          <w:color w:val="008675"/>
          <w:lang w:eastAsia="en-US"/>
        </w:rPr>
      </w:pPr>
      <w:r w:rsidRPr="002C7E43">
        <w:rPr>
          <w:color w:val="008675"/>
        </w:rPr>
        <w:t xml:space="preserve">Onboarded accredited </w:t>
      </w:r>
      <w:r w:rsidR="20B56BF2" w:rsidRPr="002C7E43">
        <w:rPr>
          <w:color w:val="008675"/>
        </w:rPr>
        <w:t>entities</w:t>
      </w:r>
    </w:p>
    <w:p w14:paraId="6CFF1F21" w14:textId="6A07E2D9" w:rsidR="00E6232E" w:rsidRPr="002C7E43" w:rsidRDefault="007A2C6A">
      <w:pPr>
        <w:pStyle w:val="Heading5NoNumbers"/>
        <w:numPr>
          <w:ilvl w:val="0"/>
          <w:numId w:val="0"/>
        </w:numPr>
        <w:rPr>
          <w:color w:val="008675"/>
          <w:lang w:eastAsia="en-US"/>
        </w:rPr>
      </w:pPr>
      <w:r>
        <w:rPr>
          <w:color w:val="008675"/>
          <w:lang w:eastAsia="en-US"/>
        </w:rPr>
        <w:t xml:space="preserve">(a) </w:t>
      </w:r>
      <w:r w:rsidR="00E6232E" w:rsidRPr="002C7E43">
        <w:rPr>
          <w:color w:val="008675"/>
          <w:lang w:eastAsia="en-US"/>
        </w:rPr>
        <w:t xml:space="preserve">Expected </w:t>
      </w:r>
      <w:r w:rsidR="00E5093D" w:rsidRPr="002C7E43">
        <w:rPr>
          <w:color w:val="008675"/>
          <w:lang w:eastAsia="en-US"/>
        </w:rPr>
        <w:t>b</w:t>
      </w:r>
      <w:r w:rsidR="00E6232E" w:rsidRPr="002C7E43">
        <w:rPr>
          <w:color w:val="008675"/>
          <w:lang w:eastAsia="en-US"/>
        </w:rPr>
        <w:t xml:space="preserve">enefits of </w:t>
      </w:r>
      <w:r w:rsidR="00B5575F" w:rsidRPr="002C7E43">
        <w:rPr>
          <w:color w:val="008675"/>
          <w:lang w:eastAsia="en-US"/>
        </w:rPr>
        <w:t>regulatory scheme</w:t>
      </w:r>
    </w:p>
    <w:p w14:paraId="125A2D8D" w14:textId="60710248" w:rsidR="00E6232E" w:rsidRPr="000B7589" w:rsidRDefault="00E6232E" w:rsidP="00EC18E7">
      <w:pPr>
        <w:pStyle w:val="BodyText"/>
        <w:rPr>
          <w:lang w:eastAsia="en-US"/>
        </w:rPr>
      </w:pPr>
      <w:r w:rsidRPr="000B7589">
        <w:rPr>
          <w:lang w:eastAsia="en-US"/>
        </w:rPr>
        <w:t xml:space="preserve">Currently, private sector entities wishing to participate as </w:t>
      </w:r>
      <w:r w:rsidR="00D95AF8">
        <w:rPr>
          <w:lang w:eastAsia="en-US"/>
        </w:rPr>
        <w:t>onboarded</w:t>
      </w:r>
      <w:r w:rsidR="00D95AF8" w:rsidRPr="000B7589">
        <w:rPr>
          <w:lang w:eastAsia="en-US"/>
        </w:rPr>
        <w:t xml:space="preserve"> </w:t>
      </w:r>
      <w:r w:rsidR="00D95AF8">
        <w:rPr>
          <w:lang w:eastAsia="en-US"/>
        </w:rPr>
        <w:t xml:space="preserve">accredited entities </w:t>
      </w:r>
      <w:r w:rsidR="009C14B0">
        <w:rPr>
          <w:lang w:eastAsia="en-US"/>
        </w:rPr>
        <w:t xml:space="preserve">are not supported by a </w:t>
      </w:r>
      <w:r w:rsidRPr="000B7589">
        <w:rPr>
          <w:lang w:eastAsia="en-US"/>
        </w:rPr>
        <w:t xml:space="preserve">robust system of </w:t>
      </w:r>
      <w:r w:rsidR="00B5575F">
        <w:rPr>
          <w:lang w:eastAsia="en-US"/>
        </w:rPr>
        <w:t xml:space="preserve">regulatory </w:t>
      </w:r>
      <w:r w:rsidRPr="000B7589">
        <w:rPr>
          <w:lang w:eastAsia="en-US"/>
        </w:rPr>
        <w:t xml:space="preserve">safeguards </w:t>
      </w:r>
      <w:r w:rsidR="009C14B0">
        <w:rPr>
          <w:lang w:eastAsia="en-US"/>
        </w:rPr>
        <w:t xml:space="preserve">and </w:t>
      </w:r>
      <w:r w:rsidRPr="000B7589">
        <w:rPr>
          <w:lang w:eastAsia="en-US"/>
        </w:rPr>
        <w:t xml:space="preserve">frameworks. For businesses considering making investments necessary to participate, </w:t>
      </w:r>
      <w:r w:rsidR="00586913">
        <w:rPr>
          <w:lang w:eastAsia="en-US"/>
        </w:rPr>
        <w:t>Option 3’s</w:t>
      </w:r>
      <w:r w:rsidR="00B5575F">
        <w:rPr>
          <w:lang w:eastAsia="en-US"/>
        </w:rPr>
        <w:t xml:space="preserve"> regulatory scheme </w:t>
      </w:r>
      <w:r w:rsidRPr="000B7589">
        <w:rPr>
          <w:lang w:eastAsia="en-US"/>
        </w:rPr>
        <w:t>(and the governance structure it establishes) provides a clear basis upon which to assess the expected long-term benefits, risks and costs of doing so.</w:t>
      </w:r>
    </w:p>
    <w:p w14:paraId="289237BE" w14:textId="3AD45DCC" w:rsidR="00E6232E" w:rsidRPr="000B7589" w:rsidRDefault="00E6232E" w:rsidP="00EC18E7">
      <w:pPr>
        <w:pStyle w:val="BodyText"/>
        <w:rPr>
          <w:lang w:eastAsia="en-US"/>
        </w:rPr>
      </w:pPr>
      <w:r w:rsidRPr="000B7589">
        <w:rPr>
          <w:lang w:eastAsia="en-US"/>
        </w:rPr>
        <w:t>Under Option 3, legislation</w:t>
      </w:r>
      <w:r w:rsidR="00586913">
        <w:rPr>
          <w:lang w:eastAsia="en-US"/>
        </w:rPr>
        <w:t xml:space="preserve"> </w:t>
      </w:r>
      <w:r w:rsidRPr="000B7589">
        <w:rPr>
          <w:lang w:eastAsia="en-US"/>
        </w:rPr>
        <w:t>also establish</w:t>
      </w:r>
      <w:r w:rsidR="00586913">
        <w:rPr>
          <w:lang w:eastAsia="en-US"/>
        </w:rPr>
        <w:t>es</w:t>
      </w:r>
      <w:r w:rsidRPr="000B7589">
        <w:rPr>
          <w:lang w:eastAsia="en-US"/>
        </w:rPr>
        <w:t xml:space="preserve"> the framework and principles for a charging </w:t>
      </w:r>
      <w:r w:rsidR="001F10FB">
        <w:rPr>
          <w:lang w:eastAsia="en-US"/>
        </w:rPr>
        <w:t>scheme</w:t>
      </w:r>
      <w:r w:rsidR="001F10FB" w:rsidRPr="000B7589">
        <w:rPr>
          <w:lang w:eastAsia="en-US"/>
        </w:rPr>
        <w:t xml:space="preserve"> </w:t>
      </w:r>
      <w:r w:rsidRPr="000B7589">
        <w:rPr>
          <w:lang w:eastAsia="en-US"/>
        </w:rPr>
        <w:t xml:space="preserve">associated with use of </w:t>
      </w:r>
      <w:r w:rsidR="00C2457A">
        <w:rPr>
          <w:lang w:eastAsia="en-US"/>
        </w:rPr>
        <w:t>Digital ID</w:t>
      </w:r>
      <w:r w:rsidRPr="000B7589">
        <w:rPr>
          <w:lang w:eastAsia="en-US"/>
        </w:rPr>
        <w:t>. The details of this</w:t>
      </w:r>
      <w:r w:rsidRPr="000B7589" w:rsidDel="001F10FB">
        <w:rPr>
          <w:lang w:eastAsia="en-US"/>
        </w:rPr>
        <w:t xml:space="preserve"> </w:t>
      </w:r>
      <w:r w:rsidR="001F10FB">
        <w:rPr>
          <w:lang w:eastAsia="en-US"/>
        </w:rPr>
        <w:t>scheme</w:t>
      </w:r>
      <w:r w:rsidR="001F10FB" w:rsidRPr="000B7589">
        <w:rPr>
          <w:lang w:eastAsia="en-US"/>
        </w:rPr>
        <w:t xml:space="preserve"> </w:t>
      </w:r>
      <w:r w:rsidR="00B5575F">
        <w:rPr>
          <w:lang w:eastAsia="en-US"/>
        </w:rPr>
        <w:t xml:space="preserve">will be </w:t>
      </w:r>
      <w:r w:rsidRPr="000B7589">
        <w:rPr>
          <w:lang w:eastAsia="en-US"/>
        </w:rPr>
        <w:t xml:space="preserve">determined in secondary legislation but are expected to facilitate charging by </w:t>
      </w:r>
      <w:r w:rsidR="00D95AF8">
        <w:rPr>
          <w:lang w:eastAsia="en-US"/>
        </w:rPr>
        <w:t xml:space="preserve">onboarded </w:t>
      </w:r>
      <w:r w:rsidR="006E797D">
        <w:rPr>
          <w:lang w:eastAsia="en-US"/>
        </w:rPr>
        <w:t>a</w:t>
      </w:r>
      <w:r w:rsidRPr="000B7589">
        <w:rPr>
          <w:lang w:eastAsia="en-US"/>
        </w:rPr>
        <w:t xml:space="preserve">ccredited </w:t>
      </w:r>
      <w:r w:rsidR="00D95AF8">
        <w:rPr>
          <w:lang w:eastAsia="en-US"/>
        </w:rPr>
        <w:t xml:space="preserve">entities </w:t>
      </w:r>
      <w:r w:rsidRPr="000B7589">
        <w:rPr>
          <w:lang w:eastAsia="en-US"/>
        </w:rPr>
        <w:t>for the use of their services (</w:t>
      </w:r>
      <w:r w:rsidR="00BC3DF7" w:rsidRPr="000B7589">
        <w:rPr>
          <w:lang w:eastAsia="en-US"/>
        </w:rPr>
        <w:t>e.g.,</w:t>
      </w:r>
      <w:r w:rsidRPr="000B7589">
        <w:rPr>
          <w:lang w:eastAsia="en-US"/>
        </w:rPr>
        <w:t xml:space="preserve"> identity service </w:t>
      </w:r>
      <w:r w:rsidRPr="000B7589">
        <w:rPr>
          <w:lang w:eastAsia="en-US"/>
        </w:rPr>
        <w:lastRenderedPageBreak/>
        <w:t xml:space="preserve">products or attribute verification). The establishment of the charging </w:t>
      </w:r>
      <w:r w:rsidR="00207DBB">
        <w:rPr>
          <w:lang w:eastAsia="en-US"/>
        </w:rPr>
        <w:t xml:space="preserve">scheme </w:t>
      </w:r>
      <w:r w:rsidRPr="000B7589">
        <w:rPr>
          <w:lang w:eastAsia="en-US"/>
        </w:rPr>
        <w:t xml:space="preserve">provides a basis for </w:t>
      </w:r>
      <w:r w:rsidR="00FC0AA0">
        <w:rPr>
          <w:lang w:eastAsia="en-US"/>
        </w:rPr>
        <w:t xml:space="preserve">onboarded </w:t>
      </w:r>
      <w:r w:rsidR="006E797D">
        <w:rPr>
          <w:lang w:eastAsia="en-US"/>
        </w:rPr>
        <w:t>a</w:t>
      </w:r>
      <w:r w:rsidRPr="000B7589">
        <w:rPr>
          <w:lang w:eastAsia="en-US"/>
        </w:rPr>
        <w:t xml:space="preserve">ccredited </w:t>
      </w:r>
      <w:r w:rsidR="00FC0AA0">
        <w:rPr>
          <w:lang w:eastAsia="en-US"/>
        </w:rPr>
        <w:t xml:space="preserve">entities </w:t>
      </w:r>
      <w:r w:rsidRPr="000B7589">
        <w:rPr>
          <w:lang w:eastAsia="en-US"/>
        </w:rPr>
        <w:t xml:space="preserve">to generate significant commercial benefits through the aggregation of fees received as a service provider. The exact quantum of these benefits will be determined by the </w:t>
      </w:r>
      <w:r w:rsidR="0059224C">
        <w:rPr>
          <w:lang w:eastAsia="en-US"/>
        </w:rPr>
        <w:t>regulatory scheme’s</w:t>
      </w:r>
      <w:r w:rsidR="0059224C" w:rsidRPr="000B7589">
        <w:rPr>
          <w:lang w:eastAsia="en-US"/>
        </w:rPr>
        <w:t xml:space="preserve"> </w:t>
      </w:r>
      <w:r w:rsidR="0004571F">
        <w:rPr>
          <w:lang w:eastAsia="en-US"/>
        </w:rPr>
        <w:t>c</w:t>
      </w:r>
      <w:r w:rsidRPr="000B7589">
        <w:rPr>
          <w:lang w:eastAsia="en-US"/>
        </w:rPr>
        <w:t xml:space="preserve">harging </w:t>
      </w:r>
      <w:r w:rsidR="0004571F">
        <w:rPr>
          <w:lang w:eastAsia="en-US"/>
        </w:rPr>
        <w:t>f</w:t>
      </w:r>
      <w:r w:rsidRPr="000B7589">
        <w:rPr>
          <w:lang w:eastAsia="en-US"/>
        </w:rPr>
        <w:t>ramework.</w:t>
      </w:r>
    </w:p>
    <w:p w14:paraId="0C712C5F" w14:textId="4986D135" w:rsidR="00E6232E" w:rsidRPr="000B7589" w:rsidRDefault="00E6232E" w:rsidP="00EC18E7">
      <w:pPr>
        <w:pStyle w:val="BodyText"/>
        <w:rPr>
          <w:lang w:eastAsia="en-US"/>
        </w:rPr>
      </w:pPr>
      <w:r w:rsidRPr="000B7589">
        <w:rPr>
          <w:lang w:eastAsia="en-US"/>
        </w:rPr>
        <w:t xml:space="preserve">The </w:t>
      </w:r>
      <w:r w:rsidR="0059224C">
        <w:rPr>
          <w:lang w:eastAsia="en-US"/>
        </w:rPr>
        <w:t>regulatory scheme</w:t>
      </w:r>
      <w:r w:rsidR="0059224C" w:rsidRPr="000B7589">
        <w:rPr>
          <w:lang w:eastAsia="en-US"/>
        </w:rPr>
        <w:t xml:space="preserve"> </w:t>
      </w:r>
      <w:r w:rsidRPr="000B7589">
        <w:rPr>
          <w:lang w:eastAsia="en-US"/>
        </w:rPr>
        <w:t>will strengthen safeguards for non-</w:t>
      </w:r>
      <w:r w:rsidR="004009E6">
        <w:rPr>
          <w:lang w:eastAsia="en-US"/>
        </w:rPr>
        <w:t>Commonwealth</w:t>
      </w:r>
      <w:r w:rsidR="002F3A1C" w:rsidRPr="000B7589" w:rsidDel="002F3A1C">
        <w:rPr>
          <w:lang w:eastAsia="en-US"/>
        </w:rPr>
        <w:t xml:space="preserve"> </w:t>
      </w:r>
      <w:r w:rsidR="004F51AC">
        <w:rPr>
          <w:lang w:eastAsia="en-US"/>
        </w:rPr>
        <w:t>agencies</w:t>
      </w:r>
      <w:r w:rsidR="004F51AC" w:rsidRPr="000B7589">
        <w:rPr>
          <w:lang w:eastAsia="en-US"/>
        </w:rPr>
        <w:t xml:space="preserve"> </w:t>
      </w:r>
      <w:r w:rsidRPr="000B7589">
        <w:rPr>
          <w:lang w:eastAsia="en-US"/>
        </w:rPr>
        <w:t xml:space="preserve">participating. Specifically, </w:t>
      </w:r>
      <w:r w:rsidR="006D3514">
        <w:rPr>
          <w:lang w:eastAsia="en-US"/>
        </w:rPr>
        <w:t>proposed</w:t>
      </w:r>
      <w:r w:rsidR="0059224C">
        <w:rPr>
          <w:lang w:eastAsia="en-US"/>
        </w:rPr>
        <w:t xml:space="preserve"> liability </w:t>
      </w:r>
      <w:r w:rsidR="003D6D9B">
        <w:rPr>
          <w:lang w:eastAsia="en-US"/>
        </w:rPr>
        <w:t xml:space="preserve">provisions </w:t>
      </w:r>
      <w:r w:rsidR="0059224C">
        <w:rPr>
          <w:lang w:eastAsia="en-US"/>
        </w:rPr>
        <w:t xml:space="preserve">will </w:t>
      </w:r>
      <w:r w:rsidRPr="000B7589">
        <w:rPr>
          <w:lang w:eastAsia="en-US"/>
        </w:rPr>
        <w:t xml:space="preserve">enable the Commonwealth to indemnify </w:t>
      </w:r>
      <w:r w:rsidR="00FC0AA0">
        <w:rPr>
          <w:lang w:eastAsia="en-US"/>
        </w:rPr>
        <w:t xml:space="preserve">onboarded </w:t>
      </w:r>
      <w:r w:rsidR="006E797D">
        <w:rPr>
          <w:lang w:eastAsia="en-US"/>
        </w:rPr>
        <w:t>a</w:t>
      </w:r>
      <w:r w:rsidRPr="000B7589">
        <w:rPr>
          <w:lang w:eastAsia="en-US"/>
        </w:rPr>
        <w:t xml:space="preserve">ccredited </w:t>
      </w:r>
      <w:r w:rsidR="00FC0AA0">
        <w:rPr>
          <w:lang w:eastAsia="en-US"/>
        </w:rPr>
        <w:t xml:space="preserve">entities </w:t>
      </w:r>
      <w:r w:rsidRPr="000B7589">
        <w:rPr>
          <w:lang w:eastAsia="en-US"/>
        </w:rPr>
        <w:t xml:space="preserve">from any loss that results from, for example, the provision of a fraudulent identity, provided the </w:t>
      </w:r>
      <w:r w:rsidR="00FC0AA0">
        <w:rPr>
          <w:lang w:eastAsia="en-US"/>
        </w:rPr>
        <w:t xml:space="preserve">entity </w:t>
      </w:r>
      <w:r w:rsidRPr="000B7589">
        <w:rPr>
          <w:lang w:eastAsia="en-US"/>
        </w:rPr>
        <w:t xml:space="preserve">has </w:t>
      </w:r>
      <w:r w:rsidR="006D3514">
        <w:rPr>
          <w:lang w:eastAsia="en-US"/>
        </w:rPr>
        <w:t xml:space="preserve">acted in good faith and </w:t>
      </w:r>
      <w:r w:rsidRPr="000B7589">
        <w:rPr>
          <w:lang w:eastAsia="en-US"/>
        </w:rPr>
        <w:t>demonstrated compliance with all rules and regulations. This would significantly mitigate the risks of service provision, compared with the status quo in which such protections are not available to non-</w:t>
      </w:r>
      <w:r w:rsidR="004009E6">
        <w:rPr>
          <w:lang w:eastAsia="en-US"/>
        </w:rPr>
        <w:t>Commonwealth</w:t>
      </w:r>
      <w:r w:rsidR="002F3A1C" w:rsidRPr="000B7589" w:rsidDel="002F3A1C">
        <w:rPr>
          <w:lang w:eastAsia="en-US"/>
        </w:rPr>
        <w:t xml:space="preserve"> </w:t>
      </w:r>
      <w:r w:rsidR="004F51AC">
        <w:rPr>
          <w:lang w:eastAsia="en-US"/>
        </w:rPr>
        <w:t>agencies</w:t>
      </w:r>
      <w:r w:rsidRPr="000B7589">
        <w:rPr>
          <w:lang w:eastAsia="en-US"/>
        </w:rPr>
        <w:t>.</w:t>
      </w:r>
    </w:p>
    <w:p w14:paraId="6CC002C3" w14:textId="282425BD" w:rsidR="00E6232E" w:rsidRPr="000B7589" w:rsidRDefault="00E6232E" w:rsidP="00EC18E7">
      <w:pPr>
        <w:pStyle w:val="BodyText"/>
        <w:rPr>
          <w:lang w:eastAsia="en-US"/>
        </w:rPr>
      </w:pPr>
      <w:r w:rsidRPr="000B7589">
        <w:rPr>
          <w:lang w:eastAsia="en-US"/>
        </w:rPr>
        <w:t xml:space="preserve">Further, private entities </w:t>
      </w:r>
      <w:r w:rsidR="00A6369F">
        <w:rPr>
          <w:lang w:eastAsia="en-US"/>
        </w:rPr>
        <w:t>that</w:t>
      </w:r>
      <w:r w:rsidRPr="000B7589">
        <w:rPr>
          <w:lang w:eastAsia="en-US"/>
        </w:rPr>
        <w:t xml:space="preserve"> currently provide </w:t>
      </w:r>
      <w:r w:rsidR="009210C4">
        <w:rPr>
          <w:lang w:eastAsia="en-US"/>
        </w:rPr>
        <w:t>d</w:t>
      </w:r>
      <w:r w:rsidRPr="000B7589">
        <w:rPr>
          <w:lang w:eastAsia="en-US"/>
        </w:rPr>
        <w:t xml:space="preserve">igital </w:t>
      </w:r>
      <w:r w:rsidR="000731D8">
        <w:rPr>
          <w:lang w:eastAsia="en-US"/>
        </w:rPr>
        <w:t>ID</w:t>
      </w:r>
      <w:r w:rsidR="000731D8" w:rsidRPr="000B7589">
        <w:rPr>
          <w:lang w:eastAsia="en-US"/>
        </w:rPr>
        <w:t xml:space="preserve"> </w:t>
      </w:r>
      <w:r w:rsidRPr="000B7589">
        <w:rPr>
          <w:lang w:eastAsia="en-US"/>
        </w:rPr>
        <w:t>services as part of their commercial offering, such as credit and background checking agencies</w:t>
      </w:r>
      <w:r w:rsidR="006B5C81">
        <w:rPr>
          <w:lang w:eastAsia="en-US"/>
        </w:rPr>
        <w:t xml:space="preserve"> </w:t>
      </w:r>
      <w:r w:rsidRPr="000B7589">
        <w:rPr>
          <w:lang w:eastAsia="en-US"/>
        </w:rPr>
        <w:t>will benefit from the possible evolution of their service offering</w:t>
      </w:r>
      <w:r w:rsidR="000B3E38">
        <w:rPr>
          <w:lang w:eastAsia="en-US"/>
        </w:rPr>
        <w:t xml:space="preserve"> </w:t>
      </w:r>
      <w:r w:rsidRPr="000B7589">
        <w:rPr>
          <w:lang w:eastAsia="en-US"/>
        </w:rPr>
        <w:t xml:space="preserve">– supported by the new </w:t>
      </w:r>
      <w:r w:rsidR="007E6936">
        <w:rPr>
          <w:lang w:eastAsia="en-US"/>
        </w:rPr>
        <w:t>regulatory scheme</w:t>
      </w:r>
      <w:r w:rsidRPr="000B7589">
        <w:rPr>
          <w:lang w:eastAsia="en-US"/>
        </w:rPr>
        <w:t xml:space="preserve">. This demonstrates </w:t>
      </w:r>
      <w:r w:rsidR="007E6936">
        <w:rPr>
          <w:lang w:eastAsia="en-US"/>
        </w:rPr>
        <w:t>Option 3’s</w:t>
      </w:r>
      <w:r w:rsidR="00DC13BA">
        <w:rPr>
          <w:lang w:eastAsia="en-US"/>
        </w:rPr>
        <w:t xml:space="preserve"> </w:t>
      </w:r>
      <w:r w:rsidRPr="000B7589">
        <w:rPr>
          <w:lang w:eastAsia="en-US"/>
        </w:rPr>
        <w:t xml:space="preserve">capability to not only facilitate the creation of new </w:t>
      </w:r>
      <w:r w:rsidR="009210C4">
        <w:rPr>
          <w:lang w:eastAsia="en-US"/>
        </w:rPr>
        <w:t>d</w:t>
      </w:r>
      <w:r w:rsidRPr="000B7589">
        <w:rPr>
          <w:lang w:eastAsia="en-US"/>
        </w:rPr>
        <w:t xml:space="preserve">igital </w:t>
      </w:r>
      <w:r w:rsidR="000731D8">
        <w:rPr>
          <w:lang w:eastAsia="en-US"/>
        </w:rPr>
        <w:t>ID</w:t>
      </w:r>
      <w:r w:rsidR="000731D8" w:rsidRPr="000B7589">
        <w:rPr>
          <w:lang w:eastAsia="en-US"/>
        </w:rPr>
        <w:t xml:space="preserve"> </w:t>
      </w:r>
      <w:r w:rsidRPr="000B7589">
        <w:rPr>
          <w:lang w:eastAsia="en-US"/>
        </w:rPr>
        <w:t>products, but to create opportunities for innovation in existing private sector forms of identity verification.</w:t>
      </w:r>
    </w:p>
    <w:p w14:paraId="1D36F345" w14:textId="79F4EEE8" w:rsidR="00E6232E" w:rsidRPr="000B3E38" w:rsidRDefault="000D345D" w:rsidP="00167F37">
      <w:pPr>
        <w:pStyle w:val="Heading5NoNumbers"/>
        <w:rPr>
          <w:color w:val="008675"/>
          <w:lang w:eastAsia="en-US"/>
        </w:rPr>
      </w:pPr>
      <w:r w:rsidRPr="000B3E38">
        <w:rPr>
          <w:color w:val="008675"/>
          <w:lang w:eastAsia="en-US"/>
        </w:rPr>
        <w:t xml:space="preserve">(b) </w:t>
      </w:r>
      <w:r w:rsidR="00E6232E" w:rsidRPr="000B3E38">
        <w:rPr>
          <w:color w:val="008675"/>
          <w:lang w:eastAsia="en-US"/>
        </w:rPr>
        <w:t xml:space="preserve">Expected </w:t>
      </w:r>
      <w:r w:rsidR="009813D2" w:rsidRPr="000B3E38">
        <w:rPr>
          <w:color w:val="008675"/>
          <w:lang w:eastAsia="en-US"/>
        </w:rPr>
        <w:t>c</w:t>
      </w:r>
      <w:r w:rsidR="00E6232E" w:rsidRPr="000B3E38">
        <w:rPr>
          <w:color w:val="008675"/>
          <w:lang w:eastAsia="en-US"/>
        </w:rPr>
        <w:t xml:space="preserve">osts of </w:t>
      </w:r>
      <w:r w:rsidR="002B2CC5" w:rsidRPr="000B3E38">
        <w:rPr>
          <w:color w:val="008675"/>
          <w:lang w:eastAsia="en-US"/>
        </w:rPr>
        <w:t>re</w:t>
      </w:r>
      <w:r w:rsidR="002B2CC5" w:rsidRPr="0030429D">
        <w:rPr>
          <w:color w:val="008675"/>
          <w:lang w:eastAsia="en-US"/>
        </w:rPr>
        <w:t>gulato</w:t>
      </w:r>
      <w:r w:rsidR="002B2CC5" w:rsidRPr="000B3E38">
        <w:rPr>
          <w:color w:val="008675"/>
          <w:lang w:eastAsia="en-US"/>
        </w:rPr>
        <w:t>ry scheme</w:t>
      </w:r>
    </w:p>
    <w:p w14:paraId="601F5E6E" w14:textId="01C4C3A8" w:rsidR="00E6232E" w:rsidRPr="000B7589" w:rsidRDefault="002B2CC5" w:rsidP="00EC18E7">
      <w:pPr>
        <w:pStyle w:val="BodyText"/>
        <w:rPr>
          <w:lang w:eastAsia="en-US"/>
        </w:rPr>
      </w:pPr>
      <w:r>
        <w:rPr>
          <w:lang w:eastAsia="en-US"/>
        </w:rPr>
        <w:t>The</w:t>
      </w:r>
      <w:r w:rsidR="00E6232E" w:rsidRPr="000B7589">
        <w:rPr>
          <w:lang w:eastAsia="en-US"/>
        </w:rPr>
        <w:t xml:space="preserve"> legislation will require potential</w:t>
      </w:r>
      <w:r w:rsidR="00FC0AA0">
        <w:rPr>
          <w:lang w:eastAsia="en-US"/>
        </w:rPr>
        <w:t xml:space="preserve"> onboarded </w:t>
      </w:r>
      <w:r w:rsidR="006E797D">
        <w:rPr>
          <w:lang w:eastAsia="en-US"/>
        </w:rPr>
        <w:t>a</w:t>
      </w:r>
      <w:r w:rsidR="00E6232E" w:rsidRPr="000B7589">
        <w:rPr>
          <w:lang w:eastAsia="en-US"/>
        </w:rPr>
        <w:t xml:space="preserve">ccredited </w:t>
      </w:r>
      <w:r w:rsidR="00FC0AA0">
        <w:rPr>
          <w:lang w:eastAsia="en-US"/>
        </w:rPr>
        <w:t xml:space="preserve">entity </w:t>
      </w:r>
      <w:r w:rsidR="00E6232E" w:rsidRPr="000B7589">
        <w:rPr>
          <w:lang w:eastAsia="en-US"/>
        </w:rPr>
        <w:t>businesses to comply with the requirements of the Privacy Act (as applicable to their</w:t>
      </w:r>
      <w:r w:rsidR="00D62762">
        <w:rPr>
          <w:lang w:eastAsia="en-US"/>
        </w:rPr>
        <w:t xml:space="preserve"> Digital ID</w:t>
      </w:r>
      <w:r w:rsidR="12186BAF">
        <w:rPr>
          <w:lang w:eastAsia="en-US"/>
        </w:rPr>
        <w:t>-</w:t>
      </w:r>
      <w:r w:rsidR="005A64A7">
        <w:rPr>
          <w:lang w:eastAsia="en-US"/>
        </w:rPr>
        <w:noBreakHyphen/>
      </w:r>
      <w:r w:rsidR="00E6232E" w:rsidRPr="000B7589">
        <w:rPr>
          <w:lang w:eastAsia="en-US"/>
        </w:rPr>
        <w:t>related activities)</w:t>
      </w:r>
      <w:r w:rsidR="00E6232E" w:rsidRPr="78F42BF0">
        <w:rPr>
          <w:i/>
          <w:iCs/>
          <w:lang w:eastAsia="en-US"/>
        </w:rPr>
        <w:t>.</w:t>
      </w:r>
      <w:r w:rsidR="00E6232E" w:rsidRPr="000B7589">
        <w:rPr>
          <w:lang w:eastAsia="en-US"/>
        </w:rPr>
        <w:t xml:space="preserve"> Where businesses do not already operate in alignment with the Privacy Act’s requirements, the costs of compliance are potentially significant.</w:t>
      </w:r>
    </w:p>
    <w:p w14:paraId="2E767CED" w14:textId="5DE94D8F" w:rsidR="00E6232E" w:rsidRPr="000B7589" w:rsidRDefault="00E6232E" w:rsidP="00EC18E7">
      <w:pPr>
        <w:pStyle w:val="BodyText"/>
        <w:rPr>
          <w:lang w:eastAsia="en-US"/>
        </w:rPr>
      </w:pPr>
      <w:r w:rsidRPr="000B7589">
        <w:rPr>
          <w:lang w:eastAsia="en-US"/>
        </w:rPr>
        <w:t xml:space="preserve">The Privacy Act mandates a range of measures for data collection, storage and destruction, among others, which are unlikely to be standard practice for smaller businesses or private firms. This potential cost is mitigated by the fact that entities engaging as </w:t>
      </w:r>
      <w:r w:rsidR="00FC0AA0">
        <w:rPr>
          <w:lang w:eastAsia="en-US"/>
        </w:rPr>
        <w:t xml:space="preserve">onboarded </w:t>
      </w:r>
      <w:r w:rsidR="006E797D">
        <w:rPr>
          <w:lang w:eastAsia="en-US"/>
        </w:rPr>
        <w:t>a</w:t>
      </w:r>
      <w:r w:rsidRPr="000B7589">
        <w:rPr>
          <w:lang w:eastAsia="en-US"/>
        </w:rPr>
        <w:t xml:space="preserve">ccredited </w:t>
      </w:r>
      <w:r w:rsidR="00FC0AA0">
        <w:rPr>
          <w:lang w:eastAsia="en-US"/>
        </w:rPr>
        <w:t xml:space="preserve">entities </w:t>
      </w:r>
      <w:r w:rsidRPr="000B7589">
        <w:rPr>
          <w:lang w:eastAsia="en-US"/>
        </w:rPr>
        <w:t xml:space="preserve">are anticipated to be larger private sector businesses. As previously noted within this </w:t>
      </w:r>
      <w:r w:rsidR="00465F3F">
        <w:rPr>
          <w:lang w:eastAsia="en-US"/>
        </w:rPr>
        <w:t>Impact Analysis</w:t>
      </w:r>
      <w:r w:rsidRPr="000B7589">
        <w:rPr>
          <w:lang w:eastAsia="en-US"/>
        </w:rPr>
        <w:t>, all businesses with annual revenue above $3 million are already subject to the provisions of the Privacy Act. These businesses would therefore not incur additional compliance costs related to this requirement, where they are already subject to the Act’s provisions.</w:t>
      </w:r>
    </w:p>
    <w:p w14:paraId="12A35735" w14:textId="53C3E867" w:rsidR="00E6232E" w:rsidRPr="000B7589" w:rsidRDefault="00E6232E" w:rsidP="00EC18E7">
      <w:pPr>
        <w:pStyle w:val="BodyText"/>
        <w:rPr>
          <w:lang w:eastAsia="en-US"/>
        </w:rPr>
      </w:pPr>
      <w:r w:rsidRPr="000B7589">
        <w:rPr>
          <w:lang w:eastAsia="en-US"/>
        </w:rPr>
        <w:lastRenderedPageBreak/>
        <w:t xml:space="preserve">Businesses wishing to become </w:t>
      </w:r>
      <w:r w:rsidR="00FC0AA0">
        <w:rPr>
          <w:lang w:eastAsia="en-US"/>
        </w:rPr>
        <w:t xml:space="preserve">onboarded </w:t>
      </w:r>
      <w:r w:rsidR="006E797D">
        <w:rPr>
          <w:lang w:eastAsia="en-US"/>
        </w:rPr>
        <w:t>a</w:t>
      </w:r>
      <w:r w:rsidRPr="000B7589">
        <w:rPr>
          <w:lang w:eastAsia="en-US"/>
        </w:rPr>
        <w:t xml:space="preserve">ccredited </w:t>
      </w:r>
      <w:r w:rsidR="00FC0AA0">
        <w:rPr>
          <w:lang w:eastAsia="en-US"/>
        </w:rPr>
        <w:t xml:space="preserve">entities </w:t>
      </w:r>
      <w:r w:rsidRPr="000B7589">
        <w:rPr>
          <w:lang w:eastAsia="en-US"/>
        </w:rPr>
        <w:t xml:space="preserve">are also likely to incur costs associated with other non-privacy related requirements mandated by </w:t>
      </w:r>
      <w:r w:rsidR="002B2CC5">
        <w:rPr>
          <w:lang w:eastAsia="en-US"/>
        </w:rPr>
        <w:t>the regulatory scheme</w:t>
      </w:r>
      <w:r w:rsidRPr="000B7589">
        <w:rPr>
          <w:lang w:eastAsia="en-US"/>
        </w:rPr>
        <w:t>. These are expected to include:</w:t>
      </w:r>
    </w:p>
    <w:p w14:paraId="1F554E31" w14:textId="75560BE7" w:rsidR="00E6232E" w:rsidRPr="000B7589" w:rsidRDefault="00E6232E" w:rsidP="00EC18E7">
      <w:pPr>
        <w:pStyle w:val="ListBulletLevel1"/>
        <w:rPr>
          <w:rFonts w:eastAsia="Calibri"/>
          <w:lang w:eastAsia="en-US"/>
        </w:rPr>
      </w:pPr>
      <w:r w:rsidRPr="000B7589">
        <w:rPr>
          <w:rFonts w:eastAsia="Calibri"/>
          <w:lang w:eastAsia="en-US"/>
        </w:rPr>
        <w:t xml:space="preserve">administrative costs associated with reporting requirements to the future </w:t>
      </w:r>
      <w:r w:rsidR="001E3B4E">
        <w:rPr>
          <w:rFonts w:eastAsia="Calibri"/>
          <w:szCs w:val="20"/>
          <w:lang w:eastAsia="en-US"/>
        </w:rPr>
        <w:t xml:space="preserve">Oversight </w:t>
      </w:r>
      <w:r w:rsidRPr="000B7589">
        <w:rPr>
          <w:rFonts w:eastAsia="Calibri"/>
          <w:lang w:eastAsia="en-US"/>
        </w:rPr>
        <w:t>Authority</w:t>
      </w:r>
    </w:p>
    <w:p w14:paraId="26A581A6" w14:textId="386BE1D9" w:rsidR="00E6232E" w:rsidRPr="000B7589" w:rsidRDefault="007349F0" w:rsidP="00EC18E7">
      <w:pPr>
        <w:pStyle w:val="ListBulletLevel1"/>
        <w:rPr>
          <w:rFonts w:eastAsia="Calibri"/>
          <w:lang w:eastAsia="en-US"/>
        </w:rPr>
      </w:pPr>
      <w:r>
        <w:rPr>
          <w:rFonts w:eastAsia="Calibri"/>
          <w:lang w:eastAsia="en-US"/>
        </w:rPr>
        <w:t>AGDIS</w:t>
      </w:r>
      <w:r w:rsidR="00E6232E" w:rsidRPr="000B7589">
        <w:rPr>
          <w:rFonts w:eastAsia="Calibri"/>
          <w:lang w:eastAsia="en-US"/>
        </w:rPr>
        <w:t xml:space="preserve"> and infrastructure security requirements established to meet the standards of accreditation </w:t>
      </w:r>
    </w:p>
    <w:p w14:paraId="366B7A99" w14:textId="431B8A73" w:rsidR="00E6232E" w:rsidRPr="000B7589" w:rsidRDefault="00E6232E" w:rsidP="00EC18E7">
      <w:pPr>
        <w:pStyle w:val="ListBulletLevel1"/>
        <w:rPr>
          <w:rFonts w:eastAsia="Calibri"/>
          <w:lang w:eastAsia="en-US"/>
        </w:rPr>
      </w:pPr>
      <w:r w:rsidRPr="000B7589">
        <w:rPr>
          <w:rFonts w:eastAsia="Calibri"/>
          <w:lang w:eastAsia="en-US"/>
        </w:rPr>
        <w:t>compliance monitoring to ensure use and access is provided in line with authorised uses</w:t>
      </w:r>
    </w:p>
    <w:p w14:paraId="544B0963" w14:textId="2F604FF7" w:rsidR="00E6232E" w:rsidRPr="000B7589" w:rsidRDefault="00E6232E" w:rsidP="00EC18E7">
      <w:pPr>
        <w:pStyle w:val="ListBulletLevel1"/>
        <w:rPr>
          <w:rFonts w:eastAsia="Calibri"/>
          <w:lang w:eastAsia="en-US"/>
        </w:rPr>
      </w:pPr>
      <w:r w:rsidRPr="000B7589">
        <w:rPr>
          <w:rFonts w:eastAsia="Calibri"/>
          <w:lang w:eastAsia="en-US"/>
        </w:rPr>
        <w:t xml:space="preserve">oversight, restrictions and associated requirements of managing biometric identifiers, and the creation and use of single identifiers </w:t>
      </w:r>
    </w:p>
    <w:p w14:paraId="5DB3F195" w14:textId="1CE892E5" w:rsidR="00E6232E" w:rsidRPr="000B7589" w:rsidRDefault="00E6232E" w:rsidP="00EC18E7">
      <w:pPr>
        <w:pStyle w:val="ListBulletLevel1"/>
        <w:rPr>
          <w:rFonts w:eastAsia="Calibri"/>
          <w:lang w:eastAsia="en-US"/>
        </w:rPr>
      </w:pPr>
      <w:r w:rsidRPr="000B7589">
        <w:rPr>
          <w:rFonts w:eastAsia="Calibri"/>
          <w:lang w:eastAsia="en-US"/>
        </w:rPr>
        <w:t>monitoring and compliance for data breach notification processes</w:t>
      </w:r>
    </w:p>
    <w:p w14:paraId="5B47BA11" w14:textId="129B3DB0" w:rsidR="00E6232E" w:rsidRPr="000B7589" w:rsidRDefault="00E6232E" w:rsidP="00EC18E7">
      <w:pPr>
        <w:pStyle w:val="ListBulletLevel1"/>
        <w:rPr>
          <w:rFonts w:eastAsia="Calibri"/>
          <w:lang w:eastAsia="en-US"/>
        </w:rPr>
      </w:pPr>
      <w:r w:rsidRPr="000B7589">
        <w:rPr>
          <w:rFonts w:eastAsia="Calibri"/>
          <w:lang w:eastAsia="en-US"/>
        </w:rPr>
        <w:t xml:space="preserve">compliance with any other rules imposed by the </w:t>
      </w:r>
      <w:r w:rsidR="001E3B4E">
        <w:rPr>
          <w:rFonts w:eastAsia="Calibri"/>
          <w:szCs w:val="20"/>
          <w:lang w:eastAsia="en-US"/>
        </w:rPr>
        <w:t xml:space="preserve">Oversight </w:t>
      </w:r>
      <w:r w:rsidRPr="000B7589">
        <w:rPr>
          <w:rFonts w:eastAsia="Calibri"/>
          <w:lang w:eastAsia="en-US"/>
        </w:rPr>
        <w:t>Authority, to address security.</w:t>
      </w:r>
    </w:p>
    <w:p w14:paraId="69BA0F51" w14:textId="689A4F98" w:rsidR="00E6232E" w:rsidRPr="000B7589" w:rsidRDefault="00E6232E" w:rsidP="00EC18E7">
      <w:pPr>
        <w:pStyle w:val="BodyText"/>
        <w:rPr>
          <w:lang w:eastAsia="en-US"/>
        </w:rPr>
      </w:pPr>
      <w:r w:rsidRPr="000B7589">
        <w:rPr>
          <w:lang w:eastAsia="en-US"/>
        </w:rPr>
        <w:t xml:space="preserve">It should be noted that some of these costs would be incurred in the development of any private sector </w:t>
      </w:r>
      <w:r w:rsidR="009210C4">
        <w:rPr>
          <w:lang w:eastAsia="en-US"/>
        </w:rPr>
        <w:t>d</w:t>
      </w:r>
      <w:r w:rsidRPr="000B7589">
        <w:rPr>
          <w:lang w:eastAsia="en-US"/>
        </w:rPr>
        <w:t xml:space="preserve">igital </w:t>
      </w:r>
      <w:r w:rsidR="00421E0A">
        <w:rPr>
          <w:lang w:eastAsia="en-US"/>
        </w:rPr>
        <w:t>ID</w:t>
      </w:r>
      <w:r w:rsidR="00421E0A" w:rsidRPr="000B7589">
        <w:rPr>
          <w:lang w:eastAsia="en-US"/>
        </w:rPr>
        <w:t xml:space="preserve"> </w:t>
      </w:r>
      <w:r w:rsidRPr="000B7589">
        <w:rPr>
          <w:lang w:eastAsia="en-US"/>
        </w:rPr>
        <w:t xml:space="preserve">product or solution, regardless of whether it is regulated by the </w:t>
      </w:r>
      <w:r w:rsidR="007E61D5">
        <w:rPr>
          <w:lang w:eastAsia="en-US"/>
        </w:rPr>
        <w:t>G</w:t>
      </w:r>
      <w:r w:rsidRPr="000B7589">
        <w:rPr>
          <w:lang w:eastAsia="en-US"/>
        </w:rPr>
        <w:t xml:space="preserve">overnment. It should also be noted that joining as an </w:t>
      </w:r>
      <w:r w:rsidR="00FC0AA0">
        <w:rPr>
          <w:lang w:eastAsia="en-US"/>
        </w:rPr>
        <w:t xml:space="preserve">onboarded </w:t>
      </w:r>
      <w:r w:rsidR="006E797D">
        <w:rPr>
          <w:lang w:eastAsia="en-US"/>
        </w:rPr>
        <w:t>a</w:t>
      </w:r>
      <w:r w:rsidRPr="000B7589">
        <w:rPr>
          <w:lang w:eastAsia="en-US"/>
        </w:rPr>
        <w:t xml:space="preserve">ccredited </w:t>
      </w:r>
      <w:r w:rsidR="00FC0AA0">
        <w:rPr>
          <w:lang w:eastAsia="en-US"/>
        </w:rPr>
        <w:t xml:space="preserve">entity </w:t>
      </w:r>
      <w:r w:rsidRPr="000B7589">
        <w:rPr>
          <w:lang w:eastAsia="en-US"/>
        </w:rPr>
        <w:t>is entirely voluntary</w:t>
      </w:r>
      <w:r w:rsidR="005F31ED">
        <w:rPr>
          <w:lang w:eastAsia="en-US"/>
        </w:rPr>
        <w:t xml:space="preserve">, so </w:t>
      </w:r>
      <w:r w:rsidRPr="000B7589">
        <w:rPr>
          <w:lang w:eastAsia="en-US"/>
        </w:rPr>
        <w:t xml:space="preserve">businesses </w:t>
      </w:r>
      <w:r w:rsidR="009957D2">
        <w:rPr>
          <w:lang w:eastAsia="en-US"/>
        </w:rPr>
        <w:t>that</w:t>
      </w:r>
      <w:r w:rsidRPr="000B7589">
        <w:rPr>
          <w:lang w:eastAsia="en-US"/>
        </w:rPr>
        <w:t xml:space="preserve"> assess the costs of compliance as outweighing the specific benefits for their organisation</w:t>
      </w:r>
      <w:r w:rsidR="009957D2">
        <w:rPr>
          <w:lang w:eastAsia="en-US"/>
        </w:rPr>
        <w:t xml:space="preserve"> can </w:t>
      </w:r>
      <w:r w:rsidRPr="000B7589">
        <w:rPr>
          <w:lang w:eastAsia="en-US"/>
        </w:rPr>
        <w:t>choose not to participate.</w:t>
      </w:r>
    </w:p>
    <w:p w14:paraId="21EA7AE8" w14:textId="5ABA37C9" w:rsidR="00E6232E" w:rsidRDefault="00E6232E" w:rsidP="00EC18E7">
      <w:pPr>
        <w:pStyle w:val="BodyText"/>
        <w:rPr>
          <w:lang w:eastAsia="en-US"/>
        </w:rPr>
      </w:pPr>
      <w:r w:rsidRPr="000B7589">
        <w:rPr>
          <w:lang w:eastAsia="en-US"/>
        </w:rPr>
        <w:t xml:space="preserve">Businesses may also incur opportunity costs associated with losing access to, or ownership over, customer data. For private sector businesses, the aggregation and sale of customer data may present a meaningful commercial opportunity. The proposed </w:t>
      </w:r>
      <w:r w:rsidR="00F860CA">
        <w:rPr>
          <w:lang w:eastAsia="en-US"/>
        </w:rPr>
        <w:t>regulatory scheme</w:t>
      </w:r>
      <w:r w:rsidR="00F860CA" w:rsidRPr="000B7589">
        <w:rPr>
          <w:lang w:eastAsia="en-US"/>
        </w:rPr>
        <w:t xml:space="preserve"> </w:t>
      </w:r>
      <w:r w:rsidRPr="000B7589">
        <w:rPr>
          <w:lang w:eastAsia="en-US"/>
        </w:rPr>
        <w:t xml:space="preserve">may affect an organisation’s practical or legal ability to capitalise on such opportunities. This is because providers may no longer collect or hold some information about individuals, </w:t>
      </w:r>
      <w:r w:rsidR="00481D0F">
        <w:rPr>
          <w:lang w:eastAsia="en-US"/>
        </w:rPr>
        <w:t>and</w:t>
      </w:r>
      <w:r w:rsidR="00481D0F" w:rsidRPr="000B7589">
        <w:rPr>
          <w:lang w:eastAsia="en-US"/>
        </w:rPr>
        <w:t xml:space="preserve"> </w:t>
      </w:r>
      <w:r w:rsidRPr="000B7589">
        <w:rPr>
          <w:lang w:eastAsia="en-US"/>
        </w:rPr>
        <w:t xml:space="preserve">the </w:t>
      </w:r>
      <w:r w:rsidR="002F3E65">
        <w:rPr>
          <w:lang w:eastAsia="en-US"/>
        </w:rPr>
        <w:t>regulatory scheme</w:t>
      </w:r>
      <w:r w:rsidR="002F3E65" w:rsidRPr="000B7589">
        <w:rPr>
          <w:lang w:eastAsia="en-US"/>
        </w:rPr>
        <w:t xml:space="preserve"> </w:t>
      </w:r>
      <w:r w:rsidRPr="000B7589">
        <w:rPr>
          <w:lang w:eastAsia="en-US"/>
        </w:rPr>
        <w:t>contain</w:t>
      </w:r>
      <w:r w:rsidR="00F860CA">
        <w:rPr>
          <w:lang w:eastAsia="en-US"/>
        </w:rPr>
        <w:t>s</w:t>
      </w:r>
      <w:r w:rsidRPr="000B7589">
        <w:rPr>
          <w:lang w:eastAsia="en-US"/>
        </w:rPr>
        <w:t xml:space="preserve"> specific restrictions on the on-selling or use of customer data collected through </w:t>
      </w:r>
      <w:r w:rsidR="006840AD">
        <w:rPr>
          <w:lang w:eastAsia="en-US"/>
        </w:rPr>
        <w:t>Digital ID</w:t>
      </w:r>
      <w:r w:rsidRPr="000B7589">
        <w:rPr>
          <w:lang w:eastAsia="en-US"/>
        </w:rPr>
        <w:t xml:space="preserve">. The extent of this potential opportunity cost would vary significantly depending on the extent to which companies who seek to become </w:t>
      </w:r>
      <w:r w:rsidR="00FC0AA0">
        <w:rPr>
          <w:lang w:eastAsia="en-US"/>
        </w:rPr>
        <w:t xml:space="preserve">onboarded </w:t>
      </w:r>
      <w:r w:rsidR="006E797D">
        <w:rPr>
          <w:lang w:eastAsia="en-US"/>
        </w:rPr>
        <w:t>a</w:t>
      </w:r>
      <w:r w:rsidRPr="000B7589">
        <w:rPr>
          <w:lang w:eastAsia="en-US"/>
        </w:rPr>
        <w:t xml:space="preserve">ccredited </w:t>
      </w:r>
      <w:r w:rsidR="00FC0AA0">
        <w:rPr>
          <w:lang w:eastAsia="en-US"/>
        </w:rPr>
        <w:t xml:space="preserve">entities </w:t>
      </w:r>
      <w:r w:rsidRPr="000B7589">
        <w:rPr>
          <w:lang w:eastAsia="en-US"/>
        </w:rPr>
        <w:t xml:space="preserve">currently engage in commercial activity associated with data aggregation and </w:t>
      </w:r>
      <w:r w:rsidR="185AE1FC" w:rsidRPr="000B7589">
        <w:rPr>
          <w:lang w:eastAsia="en-US"/>
        </w:rPr>
        <w:t>on selling</w:t>
      </w:r>
      <w:r w:rsidR="00EA476C">
        <w:rPr>
          <w:lang w:eastAsia="en-US"/>
        </w:rPr>
        <w:noBreakHyphen/>
      </w:r>
      <w:r w:rsidRPr="000B7589">
        <w:rPr>
          <w:lang w:eastAsia="en-US"/>
        </w:rPr>
        <w:t>, and therefore cannot be reliably estimated.</w:t>
      </w:r>
    </w:p>
    <w:p w14:paraId="2AD28C8F" w14:textId="77777777" w:rsidR="004B535C" w:rsidRPr="0030429D" w:rsidRDefault="004B535C" w:rsidP="004B535C">
      <w:pPr>
        <w:pStyle w:val="Heading4NoNumbers"/>
        <w:rPr>
          <w:color w:val="008675"/>
        </w:rPr>
      </w:pPr>
      <w:r w:rsidRPr="0030429D">
        <w:rPr>
          <w:color w:val="008675"/>
        </w:rPr>
        <w:lastRenderedPageBreak/>
        <w:t>Accredited entities</w:t>
      </w:r>
    </w:p>
    <w:p w14:paraId="6A67139A" w14:textId="77777777" w:rsidR="004B535C" w:rsidRPr="0030429D" w:rsidRDefault="004B535C" w:rsidP="004B535C">
      <w:pPr>
        <w:pStyle w:val="Heading5NoNumbers"/>
        <w:rPr>
          <w:color w:val="008675"/>
          <w:lang w:eastAsia="en-US"/>
        </w:rPr>
      </w:pPr>
      <w:r w:rsidRPr="0030429D">
        <w:rPr>
          <w:color w:val="008675"/>
          <w:lang w:eastAsia="en-US"/>
        </w:rPr>
        <w:t>(a) Expected benefits of regulatory scheme</w:t>
      </w:r>
    </w:p>
    <w:p w14:paraId="438A6C8A" w14:textId="203C530D" w:rsidR="00E5293A" w:rsidRDefault="00BB3207" w:rsidP="00986346">
      <w:pPr>
        <w:pStyle w:val="BodyText"/>
        <w:rPr>
          <w:lang w:eastAsia="en-US"/>
        </w:rPr>
      </w:pPr>
      <w:r w:rsidRPr="78F42BF0">
        <w:rPr>
          <w:lang w:eastAsia="en-US"/>
        </w:rPr>
        <w:t xml:space="preserve">For entities seeking accreditation under the TDIF but not onboarding, the benefits and costs are slightly different. </w:t>
      </w:r>
      <w:r w:rsidR="00BF7B04" w:rsidRPr="78F42BF0">
        <w:rPr>
          <w:lang w:eastAsia="en-US"/>
        </w:rPr>
        <w:t>As with</w:t>
      </w:r>
      <w:r w:rsidR="00F75136" w:rsidRPr="78F42BF0">
        <w:rPr>
          <w:lang w:eastAsia="en-US"/>
        </w:rPr>
        <w:t xml:space="preserve"> onboarded accredited entities, p</w:t>
      </w:r>
      <w:r w:rsidR="002535F3" w:rsidRPr="78F42BF0">
        <w:rPr>
          <w:lang w:eastAsia="en-US"/>
        </w:rPr>
        <w:t>rivate sector entities wishing to participate as accredited entities are not currently supported by a regulatory scheme. Option 3 will establish a nationally consistent and recognised approach to accreditation by mandating strict standards</w:t>
      </w:r>
      <w:r w:rsidR="00B7214A" w:rsidRPr="78F42BF0">
        <w:rPr>
          <w:lang w:eastAsia="en-US"/>
        </w:rPr>
        <w:t xml:space="preserve"> and validating all entities that have been accredited with a </w:t>
      </w:r>
      <w:r w:rsidR="5088F906" w:rsidRPr="78F42BF0">
        <w:rPr>
          <w:lang w:eastAsia="en-US"/>
        </w:rPr>
        <w:t>Trustmark</w:t>
      </w:r>
      <w:r w:rsidR="002535F3" w:rsidRPr="78F42BF0">
        <w:rPr>
          <w:lang w:eastAsia="en-US"/>
        </w:rPr>
        <w:t xml:space="preserve">. </w:t>
      </w:r>
    </w:p>
    <w:p w14:paraId="3A9373B5" w14:textId="6BE55DB7" w:rsidR="002535F3" w:rsidRDefault="00E5293A" w:rsidP="00986346">
      <w:pPr>
        <w:pStyle w:val="BodyText"/>
        <w:rPr>
          <w:lang w:eastAsia="en-US"/>
        </w:rPr>
      </w:pPr>
      <w:r w:rsidRPr="78F42BF0">
        <w:rPr>
          <w:lang w:eastAsia="en-US"/>
        </w:rPr>
        <w:t xml:space="preserve">The key benefits to accredited entities come not through participation but through </w:t>
      </w:r>
      <w:r w:rsidR="00D66A60" w:rsidRPr="78F42BF0">
        <w:rPr>
          <w:lang w:eastAsia="en-US"/>
        </w:rPr>
        <w:t xml:space="preserve">commercial opportunities </w:t>
      </w:r>
      <w:r w:rsidR="005E5F79" w:rsidRPr="78F42BF0">
        <w:rPr>
          <w:lang w:eastAsia="en-US"/>
        </w:rPr>
        <w:t>generated</w:t>
      </w:r>
      <w:r w:rsidR="001F78EC" w:rsidRPr="78F42BF0">
        <w:rPr>
          <w:lang w:eastAsia="en-US"/>
        </w:rPr>
        <w:t xml:space="preserve"> and enhanced by the </w:t>
      </w:r>
      <w:r w:rsidR="0E2E521E" w:rsidRPr="78F42BF0">
        <w:rPr>
          <w:lang w:eastAsia="en-US"/>
        </w:rPr>
        <w:t>Trustmark</w:t>
      </w:r>
      <w:r w:rsidR="00D66A60" w:rsidRPr="78F42BF0">
        <w:rPr>
          <w:lang w:eastAsia="en-US"/>
        </w:rPr>
        <w:t xml:space="preserve">. </w:t>
      </w:r>
      <w:r w:rsidR="002E0319" w:rsidRPr="78F42BF0">
        <w:rPr>
          <w:lang w:eastAsia="en-US"/>
        </w:rPr>
        <w:t xml:space="preserve">This allows an </w:t>
      </w:r>
      <w:r w:rsidR="002535F3" w:rsidRPr="78F42BF0">
        <w:rPr>
          <w:lang w:eastAsia="en-US"/>
        </w:rPr>
        <w:t xml:space="preserve">accredited </w:t>
      </w:r>
      <w:r w:rsidR="001F78EC" w:rsidRPr="78F42BF0">
        <w:rPr>
          <w:lang w:eastAsia="en-US"/>
        </w:rPr>
        <w:t xml:space="preserve">entity </w:t>
      </w:r>
      <w:r w:rsidR="002E0319" w:rsidRPr="78F42BF0">
        <w:rPr>
          <w:lang w:eastAsia="en-US"/>
        </w:rPr>
        <w:t xml:space="preserve">to convey </w:t>
      </w:r>
      <w:r w:rsidR="002535F3" w:rsidRPr="78F42BF0">
        <w:rPr>
          <w:lang w:eastAsia="en-US"/>
        </w:rPr>
        <w:t>to a potential service provider or citizen that they meet the trusted and high standards set by the Australian Governmen</w:t>
      </w:r>
      <w:r w:rsidR="009F161A" w:rsidRPr="78F42BF0">
        <w:rPr>
          <w:lang w:eastAsia="en-US"/>
        </w:rPr>
        <w:t>t,</w:t>
      </w:r>
      <w:r w:rsidR="002535F3" w:rsidRPr="78F42BF0">
        <w:rPr>
          <w:lang w:eastAsia="en-US"/>
        </w:rPr>
        <w:t xml:space="preserve"> </w:t>
      </w:r>
      <w:r w:rsidR="001F78EC" w:rsidRPr="78F42BF0">
        <w:rPr>
          <w:lang w:eastAsia="en-US"/>
        </w:rPr>
        <w:t xml:space="preserve">assuring the </w:t>
      </w:r>
      <w:r w:rsidR="002535F3" w:rsidRPr="78F42BF0">
        <w:rPr>
          <w:lang w:eastAsia="en-US"/>
        </w:rPr>
        <w:t>secur</w:t>
      </w:r>
      <w:r w:rsidR="001F78EC" w:rsidRPr="78F42BF0">
        <w:rPr>
          <w:lang w:eastAsia="en-US"/>
        </w:rPr>
        <w:t>ity</w:t>
      </w:r>
      <w:r w:rsidR="002535F3" w:rsidRPr="78F42BF0">
        <w:rPr>
          <w:lang w:eastAsia="en-US"/>
        </w:rPr>
        <w:t xml:space="preserve"> and trustworth</w:t>
      </w:r>
      <w:r w:rsidR="001F78EC" w:rsidRPr="78F42BF0">
        <w:rPr>
          <w:lang w:eastAsia="en-US"/>
        </w:rPr>
        <w:t xml:space="preserve">iness of their digital </w:t>
      </w:r>
      <w:r w:rsidR="00421E0A" w:rsidRPr="78F42BF0">
        <w:rPr>
          <w:lang w:eastAsia="en-US"/>
        </w:rPr>
        <w:t xml:space="preserve">ID </w:t>
      </w:r>
      <w:r w:rsidR="001F78EC" w:rsidRPr="78F42BF0">
        <w:rPr>
          <w:lang w:eastAsia="en-US"/>
        </w:rPr>
        <w:t xml:space="preserve">services (notwithstanding that they are not provided through </w:t>
      </w:r>
      <w:r w:rsidR="006840AD" w:rsidRPr="78F42BF0">
        <w:rPr>
          <w:lang w:eastAsia="en-US"/>
        </w:rPr>
        <w:t>AGDIS</w:t>
      </w:r>
      <w:r w:rsidR="001F78EC" w:rsidRPr="78F42BF0">
        <w:rPr>
          <w:lang w:eastAsia="en-US"/>
        </w:rPr>
        <w:t>)</w:t>
      </w:r>
      <w:r w:rsidR="002535F3" w:rsidRPr="78F42BF0">
        <w:rPr>
          <w:lang w:eastAsia="en-US"/>
        </w:rPr>
        <w:t xml:space="preserve">. </w:t>
      </w:r>
      <w:r w:rsidR="00D85EC1" w:rsidRPr="78F42BF0">
        <w:rPr>
          <w:lang w:eastAsia="en-US"/>
        </w:rPr>
        <w:t xml:space="preserve">This would be a particular advantage for </w:t>
      </w:r>
      <w:r w:rsidR="00F87750" w:rsidRPr="78F42BF0">
        <w:rPr>
          <w:lang w:eastAsia="en-US"/>
        </w:rPr>
        <w:t>small</w:t>
      </w:r>
      <w:r w:rsidR="00100841" w:rsidRPr="78F42BF0">
        <w:rPr>
          <w:lang w:eastAsia="en-US"/>
        </w:rPr>
        <w:t xml:space="preserve">, </w:t>
      </w:r>
      <w:r w:rsidR="00F87750" w:rsidRPr="78F42BF0">
        <w:rPr>
          <w:lang w:eastAsia="en-US"/>
        </w:rPr>
        <w:t xml:space="preserve">medium </w:t>
      </w:r>
      <w:r w:rsidR="00100841" w:rsidRPr="78F42BF0">
        <w:rPr>
          <w:lang w:eastAsia="en-US"/>
        </w:rPr>
        <w:t xml:space="preserve">or regional </w:t>
      </w:r>
      <w:r w:rsidR="00F87750" w:rsidRPr="78F42BF0">
        <w:rPr>
          <w:lang w:eastAsia="en-US"/>
        </w:rPr>
        <w:t>businesses</w:t>
      </w:r>
      <w:r w:rsidR="00D85EC1" w:rsidRPr="78F42BF0">
        <w:rPr>
          <w:lang w:eastAsia="en-US"/>
        </w:rPr>
        <w:t xml:space="preserve">, who could </w:t>
      </w:r>
      <w:r w:rsidR="002535F3" w:rsidRPr="78F42BF0">
        <w:rPr>
          <w:lang w:eastAsia="en-US"/>
        </w:rPr>
        <w:t xml:space="preserve">indicate to the digital </w:t>
      </w:r>
      <w:r w:rsidR="000731D8" w:rsidRPr="78F42BF0">
        <w:rPr>
          <w:lang w:eastAsia="en-US"/>
        </w:rPr>
        <w:t xml:space="preserve">ID </w:t>
      </w:r>
      <w:r w:rsidR="002535F3" w:rsidRPr="78F42BF0">
        <w:rPr>
          <w:lang w:eastAsia="en-US"/>
        </w:rPr>
        <w:t xml:space="preserve">market, including </w:t>
      </w:r>
      <w:r w:rsidR="00F87750" w:rsidRPr="78F42BF0">
        <w:rPr>
          <w:lang w:eastAsia="en-US"/>
        </w:rPr>
        <w:t xml:space="preserve">entities </w:t>
      </w:r>
      <w:r w:rsidR="002535F3" w:rsidRPr="78F42BF0">
        <w:rPr>
          <w:lang w:eastAsia="en-US"/>
        </w:rPr>
        <w:t xml:space="preserve">onboarded with which they may still transact with, that they meet the same standards </w:t>
      </w:r>
      <w:r w:rsidR="005E5F79" w:rsidRPr="78F42BF0">
        <w:rPr>
          <w:lang w:eastAsia="en-US"/>
        </w:rPr>
        <w:t>as</w:t>
      </w:r>
      <w:r w:rsidR="002535F3" w:rsidRPr="78F42BF0">
        <w:rPr>
          <w:lang w:eastAsia="en-US"/>
        </w:rPr>
        <w:t xml:space="preserve"> their larger and </w:t>
      </w:r>
      <w:r w:rsidR="002C137B" w:rsidRPr="78F42BF0">
        <w:rPr>
          <w:lang w:eastAsia="en-US"/>
        </w:rPr>
        <w:t>more mat</w:t>
      </w:r>
      <w:r w:rsidR="00451AC3" w:rsidRPr="78F42BF0">
        <w:rPr>
          <w:lang w:eastAsia="en-US"/>
        </w:rPr>
        <w:t>ure market competitors</w:t>
      </w:r>
      <w:r w:rsidR="002535F3" w:rsidRPr="78F42BF0">
        <w:rPr>
          <w:lang w:eastAsia="en-US"/>
        </w:rPr>
        <w:t xml:space="preserve">, </w:t>
      </w:r>
      <w:r w:rsidR="00FC2182" w:rsidRPr="78F42BF0">
        <w:rPr>
          <w:lang w:eastAsia="en-US"/>
        </w:rPr>
        <w:t>o</w:t>
      </w:r>
      <w:r w:rsidR="00334DDB" w:rsidRPr="78F42BF0">
        <w:rPr>
          <w:lang w:eastAsia="en-US"/>
        </w:rPr>
        <w:t xml:space="preserve">ffering </w:t>
      </w:r>
      <w:r w:rsidR="006E6396" w:rsidRPr="78F42BF0">
        <w:rPr>
          <w:lang w:eastAsia="en-US"/>
        </w:rPr>
        <w:t>them</w:t>
      </w:r>
      <w:r w:rsidR="00334DDB" w:rsidRPr="78F42BF0">
        <w:rPr>
          <w:lang w:eastAsia="en-US"/>
        </w:rPr>
        <w:t xml:space="preserve"> </w:t>
      </w:r>
      <w:r w:rsidR="00712115" w:rsidRPr="78F42BF0">
        <w:rPr>
          <w:lang w:eastAsia="en-US"/>
        </w:rPr>
        <w:t>an economic advantage.</w:t>
      </w:r>
    </w:p>
    <w:p w14:paraId="20887018" w14:textId="1322D6B4" w:rsidR="004B535C" w:rsidRPr="007A2C6A" w:rsidRDefault="004B535C" w:rsidP="002535F3">
      <w:pPr>
        <w:pStyle w:val="Heading5NoNumbers"/>
        <w:rPr>
          <w:color w:val="008675"/>
          <w:lang w:eastAsia="en-US"/>
        </w:rPr>
      </w:pPr>
      <w:r w:rsidRPr="007A2C6A">
        <w:rPr>
          <w:color w:val="008675"/>
          <w:lang w:eastAsia="en-US"/>
        </w:rPr>
        <w:t>(b) Expected costs of regulatory scheme</w:t>
      </w:r>
    </w:p>
    <w:p w14:paraId="40A9E33C" w14:textId="33307D96" w:rsidR="008B00FB" w:rsidRPr="008B00FB" w:rsidRDefault="008B00FB" w:rsidP="00986346">
      <w:pPr>
        <w:pStyle w:val="BodyText"/>
      </w:pPr>
      <w:r>
        <w:t>The legislation will require accredited entit</w:t>
      </w:r>
      <w:r w:rsidR="00755B0F">
        <w:t>ies</w:t>
      </w:r>
      <w:r>
        <w:t xml:space="preserve"> to adhere to </w:t>
      </w:r>
      <w:r w:rsidR="00421E0A">
        <w:t>several</w:t>
      </w:r>
      <w:r>
        <w:t xml:space="preserve"> requirements in order to achieve and maintain accreditation. </w:t>
      </w:r>
      <w:r w:rsidR="005E5F79">
        <w:t xml:space="preserve">Some of these align with </w:t>
      </w:r>
      <w:r w:rsidR="00B06266">
        <w:t xml:space="preserve">those described above for onboarded accredited entities, including </w:t>
      </w:r>
      <w:r w:rsidR="00B74870">
        <w:t xml:space="preserve">privacy and consumer safeguards and </w:t>
      </w:r>
      <w:r w:rsidR="00755B0F">
        <w:t xml:space="preserve">rules around the </w:t>
      </w:r>
      <w:r w:rsidR="00B74870">
        <w:t xml:space="preserve">use of </w:t>
      </w:r>
      <w:proofErr w:type="spellStart"/>
      <w:r w:rsidR="58D27040">
        <w:t>Trustmarks</w:t>
      </w:r>
      <w:proofErr w:type="spellEnd"/>
      <w:r w:rsidR="00B74870">
        <w:t xml:space="preserve">. However, as </w:t>
      </w:r>
      <w:r>
        <w:t>accredited entities are not onboarded</w:t>
      </w:r>
      <w:r w:rsidR="00626534">
        <w:t xml:space="preserve">, </w:t>
      </w:r>
      <w:r>
        <w:t xml:space="preserve">they are not required to comply with </w:t>
      </w:r>
      <w:r w:rsidR="00755B0F">
        <w:t xml:space="preserve">additional </w:t>
      </w:r>
      <w:r>
        <w:t xml:space="preserve">requirements </w:t>
      </w:r>
      <w:r w:rsidR="00A8699D">
        <w:t>t</w:t>
      </w:r>
      <w:r w:rsidR="00A861D5">
        <w:t xml:space="preserve">hat </w:t>
      </w:r>
      <w:r>
        <w:t xml:space="preserve">relate to engaging with </w:t>
      </w:r>
      <w:r w:rsidR="006F2D8B">
        <w:t>Digital ID</w:t>
      </w:r>
      <w:r w:rsidR="00F0602A">
        <w:t>-related activities</w:t>
      </w:r>
      <w:r w:rsidR="00E07419">
        <w:t xml:space="preserve"> or measures.</w:t>
      </w:r>
      <w:r>
        <w:t xml:space="preserve"> </w:t>
      </w:r>
    </w:p>
    <w:p w14:paraId="33E36FC8" w14:textId="15B9B5D8" w:rsidR="008B00FB" w:rsidRPr="00986346" w:rsidRDefault="00755B0F">
      <w:pPr>
        <w:pStyle w:val="BodyText"/>
      </w:pPr>
      <w:r>
        <w:t>Importantly, a</w:t>
      </w:r>
      <w:r w:rsidR="008B00FB">
        <w:t xml:space="preserve">ccredited entities would not be </w:t>
      </w:r>
      <w:r w:rsidR="00421E0A">
        <w:t>able</w:t>
      </w:r>
      <w:r w:rsidR="008B00FB">
        <w:t xml:space="preserve"> to directly benefit from the establishment of a charging regime, </w:t>
      </w:r>
      <w:r>
        <w:t>unless/</w:t>
      </w:r>
      <w:r w:rsidR="008B00FB">
        <w:t>until they decide to onboard. The scope of legislation under Option 3 only establish</w:t>
      </w:r>
      <w:r>
        <w:t>es</w:t>
      </w:r>
      <w:r w:rsidR="00A837E7">
        <w:t xml:space="preserve"> </w:t>
      </w:r>
      <w:r w:rsidR="008B00FB">
        <w:t xml:space="preserve">a </w:t>
      </w:r>
      <w:r>
        <w:t xml:space="preserve">charging </w:t>
      </w:r>
      <w:r w:rsidR="008B00FB">
        <w:t xml:space="preserve">framework for those onboarded. As noted above, entities may assess the costs of compliance against the specific benefits for their </w:t>
      </w:r>
      <w:r w:rsidR="0F0E3F2C">
        <w:t>organisation and</w:t>
      </w:r>
      <w:r w:rsidR="008B00FB">
        <w:t xml:space="preserve"> choose whether or not to join at any time. Accredited entities may find that the </w:t>
      </w:r>
      <w:r w:rsidR="004A7FED">
        <w:t>opportunity</w:t>
      </w:r>
      <w:r w:rsidR="008B00FB">
        <w:t xml:space="preserve"> cost associated with not participating, incurring the benefits determined by the charging framework, may lead businesses to eventually choose to </w:t>
      </w:r>
      <w:r w:rsidR="004A7FED">
        <w:t>onboard and participate</w:t>
      </w:r>
      <w:r w:rsidR="008B00FB">
        <w:t>.</w:t>
      </w:r>
    </w:p>
    <w:p w14:paraId="3B79E003" w14:textId="04731E6C" w:rsidR="00E6232E" w:rsidRPr="007A2C6A" w:rsidRDefault="00E6232E" w:rsidP="00167F37">
      <w:pPr>
        <w:pStyle w:val="Heading4NoNumbers"/>
        <w:rPr>
          <w:color w:val="008675"/>
        </w:rPr>
      </w:pPr>
      <w:r w:rsidRPr="007A2C6A">
        <w:rPr>
          <w:color w:val="008675"/>
        </w:rPr>
        <w:lastRenderedPageBreak/>
        <w:t xml:space="preserve">Relying </w:t>
      </w:r>
      <w:r w:rsidR="009813D2" w:rsidRPr="007A2C6A">
        <w:rPr>
          <w:color w:val="008675"/>
        </w:rPr>
        <w:t>p</w:t>
      </w:r>
      <w:r w:rsidRPr="007A2C6A">
        <w:rPr>
          <w:color w:val="008675"/>
        </w:rPr>
        <w:t xml:space="preserve">arties </w:t>
      </w:r>
    </w:p>
    <w:p w14:paraId="4D93A2BD" w14:textId="2EC95EDA" w:rsidR="00E6232E" w:rsidRPr="007A2C6A" w:rsidRDefault="000D345D" w:rsidP="00167F37">
      <w:pPr>
        <w:pStyle w:val="Heading5NoNumbers"/>
        <w:rPr>
          <w:color w:val="008675"/>
          <w:lang w:eastAsia="en-US"/>
        </w:rPr>
      </w:pPr>
      <w:r w:rsidRPr="007A2C6A">
        <w:rPr>
          <w:color w:val="008675"/>
          <w:lang w:eastAsia="en-US"/>
        </w:rPr>
        <w:t xml:space="preserve">(a) </w:t>
      </w:r>
      <w:r w:rsidR="00E6232E" w:rsidRPr="007A2C6A">
        <w:rPr>
          <w:color w:val="008675"/>
          <w:lang w:eastAsia="en-US"/>
        </w:rPr>
        <w:t xml:space="preserve">Expected </w:t>
      </w:r>
      <w:r w:rsidR="009813D2" w:rsidRPr="007A2C6A">
        <w:rPr>
          <w:color w:val="008675"/>
          <w:lang w:eastAsia="en-US"/>
        </w:rPr>
        <w:t>b</w:t>
      </w:r>
      <w:r w:rsidR="00E6232E" w:rsidRPr="007A2C6A">
        <w:rPr>
          <w:color w:val="008675"/>
          <w:lang w:eastAsia="en-US"/>
        </w:rPr>
        <w:t xml:space="preserve">enefits of </w:t>
      </w:r>
      <w:r w:rsidR="00F860CA" w:rsidRPr="007A2C6A">
        <w:rPr>
          <w:color w:val="008675"/>
          <w:lang w:eastAsia="en-US"/>
        </w:rPr>
        <w:t>regulatory scheme</w:t>
      </w:r>
    </w:p>
    <w:p w14:paraId="33D709B9" w14:textId="3604B34B" w:rsidR="00E6232E" w:rsidRPr="000B7589" w:rsidRDefault="00E6232E" w:rsidP="00EC18E7">
      <w:pPr>
        <w:pStyle w:val="BodyText"/>
        <w:rPr>
          <w:lang w:eastAsia="en-US"/>
        </w:rPr>
      </w:pPr>
      <w:r w:rsidRPr="000B7589">
        <w:rPr>
          <w:lang w:eastAsia="en-US"/>
        </w:rPr>
        <w:t xml:space="preserve">Legislation under Option 3 will enable private sector entities to participate in the Program as </w:t>
      </w:r>
      <w:r w:rsidR="0036587B">
        <w:rPr>
          <w:lang w:eastAsia="en-US"/>
        </w:rPr>
        <w:t>r</w:t>
      </w:r>
      <w:r w:rsidRPr="000B7589">
        <w:rPr>
          <w:lang w:eastAsia="en-US"/>
        </w:rPr>
        <w:t xml:space="preserve">elying </w:t>
      </w:r>
      <w:r w:rsidR="0036587B">
        <w:rPr>
          <w:lang w:eastAsia="en-US"/>
        </w:rPr>
        <w:t>p</w:t>
      </w:r>
      <w:r w:rsidRPr="000B7589">
        <w:rPr>
          <w:lang w:eastAsia="en-US"/>
        </w:rPr>
        <w:t xml:space="preserve">arties for the first time. This will improve speed of interaction across a wider range of government and private sector entities, where multiple entities or businesses are involved in conducting a transaction. The resulting time and cost savings will generate significant productivity gains for organisations which frequently need to verify the identity of their customers. Relying </w:t>
      </w:r>
      <w:r w:rsidR="0067131E">
        <w:rPr>
          <w:lang w:eastAsia="en-US"/>
        </w:rPr>
        <w:t>p</w:t>
      </w:r>
      <w:r w:rsidRPr="000B7589">
        <w:rPr>
          <w:lang w:eastAsia="en-US"/>
        </w:rPr>
        <w:t>arties will also benefit from reduced instances of financial loss associated with customer fraud, due to the high standard of secure verification offered</w:t>
      </w:r>
      <w:r w:rsidR="00312904">
        <w:rPr>
          <w:lang w:eastAsia="en-US"/>
        </w:rPr>
        <w:t xml:space="preserve"> AGDIS and accredited </w:t>
      </w:r>
      <w:r w:rsidR="00B4531D">
        <w:rPr>
          <w:lang w:eastAsia="en-US"/>
        </w:rPr>
        <w:t>providers</w:t>
      </w:r>
      <w:r w:rsidRPr="000B7589">
        <w:rPr>
          <w:lang w:eastAsia="en-US"/>
        </w:rPr>
        <w:t>. This will result in greater efficiencies, through reduced time and costs associated with investigation and prosecution of fraud events.</w:t>
      </w:r>
    </w:p>
    <w:p w14:paraId="5B9CC89C" w14:textId="5C06148C" w:rsidR="00E6232E" w:rsidRPr="000B7589" w:rsidRDefault="00E6232E" w:rsidP="00EC18E7">
      <w:pPr>
        <w:pStyle w:val="BodyText"/>
        <w:rPr>
          <w:lang w:eastAsia="en-US"/>
        </w:rPr>
      </w:pPr>
      <w:r w:rsidRPr="000B7589">
        <w:rPr>
          <w:lang w:eastAsia="en-US"/>
        </w:rPr>
        <w:t xml:space="preserve">Businesses participating as </w:t>
      </w:r>
      <w:r w:rsidR="0067131E">
        <w:rPr>
          <w:lang w:eastAsia="en-US"/>
        </w:rPr>
        <w:t>r</w:t>
      </w:r>
      <w:r w:rsidRPr="000B7589">
        <w:rPr>
          <w:lang w:eastAsia="en-US"/>
        </w:rPr>
        <w:t xml:space="preserve">elying </w:t>
      </w:r>
      <w:r w:rsidR="0067131E">
        <w:rPr>
          <w:lang w:eastAsia="en-US"/>
        </w:rPr>
        <w:t>p</w:t>
      </w:r>
      <w:r w:rsidRPr="000B7589">
        <w:rPr>
          <w:lang w:eastAsia="en-US"/>
        </w:rPr>
        <w:t xml:space="preserve">arties will also enjoy greater efficiency across their front-end operations and </w:t>
      </w:r>
      <w:r w:rsidR="00D40DA8">
        <w:rPr>
          <w:lang w:eastAsia="en-US"/>
        </w:rPr>
        <w:t xml:space="preserve">will </w:t>
      </w:r>
      <w:r w:rsidRPr="000B7589">
        <w:rPr>
          <w:lang w:eastAsia="en-US"/>
        </w:rPr>
        <w:t xml:space="preserve">be able to provide an improved customer experience, </w:t>
      </w:r>
      <w:r w:rsidR="00B11E29">
        <w:rPr>
          <w:lang w:eastAsia="en-US"/>
        </w:rPr>
        <w:t xml:space="preserve">due to </w:t>
      </w:r>
      <w:r w:rsidRPr="000B7589">
        <w:rPr>
          <w:lang w:eastAsia="en-US"/>
        </w:rPr>
        <w:t xml:space="preserve">reduced manual handling and wait times. This is likely to benefit a wide range of companies that require customer identity verification, and who are unable to participate as </w:t>
      </w:r>
      <w:r w:rsidR="0067131E">
        <w:rPr>
          <w:lang w:eastAsia="en-US"/>
        </w:rPr>
        <w:t>r</w:t>
      </w:r>
      <w:r w:rsidRPr="000B7589">
        <w:rPr>
          <w:lang w:eastAsia="en-US"/>
        </w:rPr>
        <w:t xml:space="preserve">elying </w:t>
      </w:r>
      <w:r w:rsidR="0067131E">
        <w:rPr>
          <w:lang w:eastAsia="en-US"/>
        </w:rPr>
        <w:t>p</w:t>
      </w:r>
      <w:r w:rsidRPr="000B7589">
        <w:rPr>
          <w:lang w:eastAsia="en-US"/>
        </w:rPr>
        <w:t xml:space="preserve">arties under the status quo arrangements, such as utility providers, telecommunications companies, banks, insurance providers and more. Economic modelling indicates that new Australian businesses may achieve time savings worth between $22.6 million and $45.3 million a year, simply by using </w:t>
      </w:r>
      <w:r w:rsidR="00B4531D">
        <w:rPr>
          <w:lang w:eastAsia="en-US"/>
        </w:rPr>
        <w:t>Digital ID</w:t>
      </w:r>
      <w:r w:rsidRPr="000B7589">
        <w:rPr>
          <w:lang w:eastAsia="en-US"/>
        </w:rPr>
        <w:t xml:space="preserve"> to complete business set-up tasks with government entities. The productivity benefits associated with expanded access for </w:t>
      </w:r>
      <w:r w:rsidRPr="000B7589">
        <w:rPr>
          <w:i/>
          <w:iCs/>
          <w:lang w:eastAsia="en-US"/>
        </w:rPr>
        <w:t xml:space="preserve">all </w:t>
      </w:r>
      <w:r w:rsidRPr="000B7589">
        <w:rPr>
          <w:lang w:eastAsia="en-US"/>
        </w:rPr>
        <w:t>kinds of transactions</w:t>
      </w:r>
      <w:r w:rsidR="00CB2CD6">
        <w:rPr>
          <w:lang w:eastAsia="en-US"/>
        </w:rPr>
        <w:t xml:space="preserve"> across multiple sectors</w:t>
      </w:r>
      <w:r w:rsidRPr="000B7589">
        <w:rPr>
          <w:lang w:eastAsia="en-US"/>
        </w:rPr>
        <w:t xml:space="preserve">, including verification of customer identities, </w:t>
      </w:r>
      <w:r w:rsidR="00FA089F">
        <w:rPr>
          <w:lang w:eastAsia="en-US"/>
        </w:rPr>
        <w:t>c</w:t>
      </w:r>
      <w:r w:rsidRPr="000B7589">
        <w:rPr>
          <w:lang w:eastAsia="en-US"/>
        </w:rPr>
        <w:t>ould therefore be expected to be many times greater</w:t>
      </w:r>
      <w:r w:rsidR="00B603B9">
        <w:rPr>
          <w:lang w:eastAsia="en-US"/>
        </w:rPr>
        <w:t xml:space="preserve"> (source: </w:t>
      </w:r>
      <w:r w:rsidR="00B603B9" w:rsidRPr="00106E19">
        <w:rPr>
          <w:rFonts w:eastAsia="Calibri"/>
          <w:szCs w:val="16"/>
          <w:lang w:eastAsia="en-US"/>
        </w:rPr>
        <w:t>Economic Benefits of Digital Identity</w:t>
      </w:r>
      <w:r w:rsidR="00B603B9" w:rsidRPr="002651B1">
        <w:rPr>
          <w:rFonts w:eastAsia="Calibri"/>
          <w:szCs w:val="16"/>
          <w:lang w:eastAsia="en-US"/>
        </w:rPr>
        <w:t xml:space="preserve"> 2020, KPMG</w:t>
      </w:r>
      <w:r w:rsidR="00B603B9">
        <w:rPr>
          <w:rFonts w:eastAsia="Calibri"/>
          <w:szCs w:val="16"/>
          <w:lang w:eastAsia="en-US"/>
        </w:rPr>
        <w:t>)</w:t>
      </w:r>
      <w:r w:rsidRPr="000B7589">
        <w:rPr>
          <w:lang w:eastAsia="en-US"/>
        </w:rPr>
        <w:t>.</w:t>
      </w:r>
    </w:p>
    <w:p w14:paraId="28C8F0AD" w14:textId="45912189" w:rsidR="00E6232E" w:rsidRPr="0021482C" w:rsidRDefault="002301C7" w:rsidP="00582C88">
      <w:pPr>
        <w:pStyle w:val="Heading5NoNumbers"/>
        <w:rPr>
          <w:color w:val="008675"/>
          <w:lang w:eastAsia="en-US"/>
        </w:rPr>
      </w:pPr>
      <w:r w:rsidRPr="0021482C">
        <w:rPr>
          <w:color w:val="008675"/>
          <w:lang w:eastAsia="en-US"/>
        </w:rPr>
        <w:t xml:space="preserve">(b) </w:t>
      </w:r>
      <w:r w:rsidR="00E6232E" w:rsidRPr="0021482C">
        <w:rPr>
          <w:color w:val="008675"/>
          <w:lang w:eastAsia="en-US"/>
        </w:rPr>
        <w:t xml:space="preserve">Expected </w:t>
      </w:r>
      <w:r w:rsidR="009813D2" w:rsidRPr="0021482C">
        <w:rPr>
          <w:color w:val="008675"/>
          <w:lang w:eastAsia="en-US"/>
        </w:rPr>
        <w:t>c</w:t>
      </w:r>
      <w:r w:rsidR="00E6232E" w:rsidRPr="0021482C">
        <w:rPr>
          <w:color w:val="008675"/>
          <w:lang w:eastAsia="en-US"/>
        </w:rPr>
        <w:t xml:space="preserve">osts of </w:t>
      </w:r>
      <w:r w:rsidR="00F860CA" w:rsidRPr="0021482C">
        <w:rPr>
          <w:color w:val="008675"/>
          <w:lang w:eastAsia="en-US"/>
        </w:rPr>
        <w:t>regulatory scheme</w:t>
      </w:r>
    </w:p>
    <w:p w14:paraId="3FC5D4D2" w14:textId="2FD187E4" w:rsidR="00E6232E" w:rsidRPr="000B7589" w:rsidRDefault="00E6232E" w:rsidP="00C72660">
      <w:pPr>
        <w:pStyle w:val="BodyText"/>
        <w:rPr>
          <w:lang w:eastAsia="en-US"/>
        </w:rPr>
      </w:pPr>
      <w:r w:rsidRPr="000B7589">
        <w:rPr>
          <w:lang w:eastAsia="en-US"/>
        </w:rPr>
        <w:t>The</w:t>
      </w:r>
      <w:r w:rsidR="00F860CA">
        <w:rPr>
          <w:lang w:eastAsia="en-US"/>
        </w:rPr>
        <w:t xml:space="preserve"> proposed regulatory scheme</w:t>
      </w:r>
      <w:r w:rsidRPr="000B7589">
        <w:rPr>
          <w:lang w:eastAsia="en-US"/>
        </w:rPr>
        <w:t xml:space="preserve"> prohibit</w:t>
      </w:r>
      <w:r w:rsidR="00F860CA">
        <w:rPr>
          <w:lang w:eastAsia="en-US"/>
        </w:rPr>
        <w:t>s</w:t>
      </w:r>
      <w:r w:rsidR="006D2D21">
        <w:rPr>
          <w:lang w:eastAsia="en-US"/>
        </w:rPr>
        <w:t xml:space="preserve"> </w:t>
      </w:r>
      <w:r w:rsidRPr="000B7589">
        <w:rPr>
          <w:lang w:eastAsia="en-US"/>
        </w:rPr>
        <w:t>mandating use</w:t>
      </w:r>
      <w:r w:rsidR="00BA6562">
        <w:rPr>
          <w:lang w:eastAsia="en-US"/>
        </w:rPr>
        <w:t xml:space="preserve">, including </w:t>
      </w:r>
      <w:r w:rsidR="00FD3491">
        <w:rPr>
          <w:lang w:eastAsia="en-US"/>
        </w:rPr>
        <w:t xml:space="preserve">by </w:t>
      </w:r>
      <w:r w:rsidR="0067131E">
        <w:rPr>
          <w:lang w:eastAsia="en-US"/>
        </w:rPr>
        <w:t>r</w:t>
      </w:r>
      <w:r w:rsidR="00FD3491">
        <w:rPr>
          <w:lang w:eastAsia="en-US"/>
        </w:rPr>
        <w:t xml:space="preserve">elying </w:t>
      </w:r>
      <w:r w:rsidR="0067131E">
        <w:rPr>
          <w:lang w:eastAsia="en-US"/>
        </w:rPr>
        <w:t>p</w:t>
      </w:r>
      <w:r w:rsidR="00FD3491">
        <w:rPr>
          <w:lang w:eastAsia="en-US"/>
        </w:rPr>
        <w:t>arties.</w:t>
      </w:r>
      <w:r w:rsidRPr="000B7589">
        <w:rPr>
          <w:lang w:eastAsia="en-US"/>
        </w:rPr>
        <w:t xml:space="preserve"> This means that businesses which seek to </w:t>
      </w:r>
      <w:r w:rsidR="007606EF">
        <w:rPr>
          <w:lang w:eastAsia="en-US"/>
        </w:rPr>
        <w:t xml:space="preserve">use Digital ID solutions </w:t>
      </w:r>
      <w:r w:rsidRPr="000B7589">
        <w:rPr>
          <w:lang w:eastAsia="en-US"/>
        </w:rPr>
        <w:t xml:space="preserve">will still have to provide alternative options such as paper-based and face-to-face identity verification. The requirement to provide alternative options may mean that businesses are not able to fully realise the potential productivity benefits/time savings discussed above. </w:t>
      </w:r>
      <w:r w:rsidR="00F860CA">
        <w:rPr>
          <w:lang w:eastAsia="en-US"/>
        </w:rPr>
        <w:t xml:space="preserve">The scheme </w:t>
      </w:r>
      <w:r w:rsidR="008D4623">
        <w:rPr>
          <w:lang w:eastAsia="en-US"/>
        </w:rPr>
        <w:t>would</w:t>
      </w:r>
      <w:r w:rsidR="00F860CA">
        <w:rPr>
          <w:lang w:eastAsia="en-US"/>
        </w:rPr>
        <w:t xml:space="preserve"> allow, however, </w:t>
      </w:r>
      <w:r w:rsidRPr="006D2D21">
        <w:rPr>
          <w:lang w:eastAsia="en-US"/>
        </w:rPr>
        <w:t xml:space="preserve">for exceptions to this requirement in narrow, clearly defined circumstances (for example, entities which </w:t>
      </w:r>
      <w:r w:rsidRPr="006D2D21">
        <w:rPr>
          <w:lang w:eastAsia="en-US"/>
        </w:rPr>
        <w:lastRenderedPageBreak/>
        <w:t xml:space="preserve">only </w:t>
      </w:r>
      <w:r w:rsidR="001B6CAD" w:rsidRPr="006D2D21">
        <w:rPr>
          <w:lang w:eastAsia="en-US"/>
        </w:rPr>
        <w:t>offer fully online services</w:t>
      </w:r>
      <w:r w:rsidRPr="006D2D21">
        <w:rPr>
          <w:lang w:eastAsia="en-US"/>
        </w:rPr>
        <w:t>).</w:t>
      </w:r>
      <w:r w:rsidR="00BC1A4B" w:rsidRPr="006D2D21">
        <w:rPr>
          <w:lang w:eastAsia="en-US"/>
        </w:rPr>
        <w:t xml:space="preserve"> I</w:t>
      </w:r>
      <w:r w:rsidR="00F31FD8" w:rsidRPr="006D2D21">
        <w:rPr>
          <w:lang w:eastAsia="en-US"/>
        </w:rPr>
        <w:t>t is expected that alternative channels will be chosen by customers for a minority</w:t>
      </w:r>
      <w:r w:rsidR="00F31FD8">
        <w:rPr>
          <w:lang w:eastAsia="en-US"/>
        </w:rPr>
        <w:t xml:space="preserve"> of transactions</w:t>
      </w:r>
      <w:r w:rsidR="00BC1A4B">
        <w:rPr>
          <w:lang w:eastAsia="en-US"/>
        </w:rPr>
        <w:t xml:space="preserve">, due to the predominant and growing popularity of </w:t>
      </w:r>
      <w:r w:rsidR="001B12AB">
        <w:rPr>
          <w:lang w:eastAsia="en-US"/>
        </w:rPr>
        <w:t xml:space="preserve">digital channels </w:t>
      </w:r>
      <w:r w:rsidR="00BC1A4B">
        <w:rPr>
          <w:lang w:eastAsia="en-US"/>
        </w:rPr>
        <w:t xml:space="preserve">to </w:t>
      </w:r>
      <w:r w:rsidR="001B12AB">
        <w:rPr>
          <w:lang w:eastAsia="en-US"/>
        </w:rPr>
        <w:t>interact with services. This means that while existing manual channels will still be available, the</w:t>
      </w:r>
      <w:r w:rsidR="00BC1A4B">
        <w:rPr>
          <w:lang w:eastAsia="en-US"/>
        </w:rPr>
        <w:t>ir</w:t>
      </w:r>
      <w:r w:rsidR="001B12AB">
        <w:rPr>
          <w:lang w:eastAsia="en-US"/>
        </w:rPr>
        <w:t xml:space="preserve"> lower volume of use will drive costs down compared to having no Digital I</w:t>
      </w:r>
      <w:r w:rsidR="00EB2443">
        <w:rPr>
          <w:lang w:eastAsia="en-US"/>
        </w:rPr>
        <w:t>D</w:t>
      </w:r>
      <w:r w:rsidR="00B57CE4">
        <w:rPr>
          <w:lang w:eastAsia="en-US"/>
        </w:rPr>
        <w:t xml:space="preserve"> </w:t>
      </w:r>
      <w:r w:rsidR="001B12AB">
        <w:rPr>
          <w:lang w:eastAsia="en-US"/>
        </w:rPr>
        <w:t>enabled option at all.</w:t>
      </w:r>
    </w:p>
    <w:p w14:paraId="23824A11" w14:textId="3115A435" w:rsidR="00E6232E" w:rsidRPr="000B7589" w:rsidRDefault="00E6232E" w:rsidP="00C72660">
      <w:pPr>
        <w:pStyle w:val="BodyText"/>
        <w:rPr>
          <w:lang w:eastAsia="en-US"/>
        </w:rPr>
      </w:pPr>
      <w:r w:rsidRPr="000B7589">
        <w:rPr>
          <w:lang w:eastAsia="en-US"/>
        </w:rPr>
        <w:t xml:space="preserve">It is not expected that </w:t>
      </w:r>
      <w:r w:rsidR="0067131E">
        <w:rPr>
          <w:lang w:eastAsia="en-US"/>
        </w:rPr>
        <w:t>r</w:t>
      </w:r>
      <w:r w:rsidRPr="000B7589">
        <w:rPr>
          <w:lang w:eastAsia="en-US"/>
        </w:rPr>
        <w:t xml:space="preserve">elying </w:t>
      </w:r>
      <w:r w:rsidR="0067131E">
        <w:rPr>
          <w:lang w:eastAsia="en-US"/>
        </w:rPr>
        <w:t>p</w:t>
      </w:r>
      <w:r w:rsidRPr="000B7589">
        <w:rPr>
          <w:lang w:eastAsia="en-US"/>
        </w:rPr>
        <w:t>arties will be brought within the provisions of the Privacy Act by this legislation</w:t>
      </w:r>
      <w:r w:rsidR="00D40DA8">
        <w:rPr>
          <w:lang w:eastAsia="en-US"/>
        </w:rPr>
        <w:t xml:space="preserve"> if they are not already required to comply with it</w:t>
      </w:r>
      <w:r w:rsidRPr="000B7589">
        <w:rPr>
          <w:lang w:eastAsia="en-US"/>
        </w:rPr>
        <w:t xml:space="preserve"> – these provisions only apply to</w:t>
      </w:r>
      <w:r w:rsidR="00FC0AA0">
        <w:rPr>
          <w:lang w:eastAsia="en-US"/>
        </w:rPr>
        <w:t xml:space="preserve"> onboarded</w:t>
      </w:r>
      <w:r w:rsidRPr="000B7589">
        <w:rPr>
          <w:lang w:eastAsia="en-US"/>
        </w:rPr>
        <w:t xml:space="preserve"> </w:t>
      </w:r>
      <w:r w:rsidR="006E797D">
        <w:rPr>
          <w:lang w:eastAsia="en-US"/>
        </w:rPr>
        <w:t>a</w:t>
      </w:r>
      <w:r w:rsidRPr="000B7589">
        <w:rPr>
          <w:lang w:eastAsia="en-US"/>
        </w:rPr>
        <w:t xml:space="preserve">ccredited </w:t>
      </w:r>
      <w:r w:rsidR="00FC0AA0">
        <w:rPr>
          <w:lang w:eastAsia="en-US"/>
        </w:rPr>
        <w:t>entities</w:t>
      </w:r>
      <w:r w:rsidRPr="000B7589">
        <w:rPr>
          <w:lang w:eastAsia="en-US"/>
        </w:rPr>
        <w:t xml:space="preserve">. However, when particularly sensitive types of individual data </w:t>
      </w:r>
      <w:r w:rsidR="005A4ADE">
        <w:rPr>
          <w:lang w:eastAsia="en-US"/>
        </w:rPr>
        <w:t>are</w:t>
      </w:r>
      <w:r w:rsidR="005A4ADE" w:rsidRPr="000B7589">
        <w:rPr>
          <w:lang w:eastAsia="en-US"/>
        </w:rPr>
        <w:t xml:space="preserve"> </w:t>
      </w:r>
      <w:r w:rsidRPr="000B7589">
        <w:rPr>
          <w:lang w:eastAsia="en-US"/>
        </w:rPr>
        <w:t xml:space="preserve">involved, the </w:t>
      </w:r>
      <w:r w:rsidR="0064035D">
        <w:rPr>
          <w:lang w:eastAsia="en-US"/>
        </w:rPr>
        <w:t>regulatory scheme</w:t>
      </w:r>
      <w:r w:rsidR="0064035D" w:rsidRPr="000B7589">
        <w:rPr>
          <w:lang w:eastAsia="en-US"/>
        </w:rPr>
        <w:t xml:space="preserve"> </w:t>
      </w:r>
      <w:r w:rsidRPr="000B7589">
        <w:rPr>
          <w:lang w:eastAsia="en-US"/>
        </w:rPr>
        <w:t>establish</w:t>
      </w:r>
      <w:r w:rsidR="00BF0A4D">
        <w:rPr>
          <w:lang w:eastAsia="en-US"/>
        </w:rPr>
        <w:t>es</w:t>
      </w:r>
      <w:r w:rsidRPr="000B7589">
        <w:rPr>
          <w:lang w:eastAsia="en-US"/>
        </w:rPr>
        <w:t xml:space="preserve"> increased requirements for </w:t>
      </w:r>
      <w:r w:rsidR="0067131E">
        <w:rPr>
          <w:lang w:eastAsia="en-US"/>
        </w:rPr>
        <w:t>r</w:t>
      </w:r>
      <w:r w:rsidRPr="000B7589">
        <w:rPr>
          <w:lang w:eastAsia="en-US"/>
        </w:rPr>
        <w:t xml:space="preserve">elying </w:t>
      </w:r>
      <w:r w:rsidR="00EF659E">
        <w:rPr>
          <w:lang w:eastAsia="en-US"/>
        </w:rPr>
        <w:t>p</w:t>
      </w:r>
      <w:r w:rsidRPr="000B7589">
        <w:rPr>
          <w:lang w:eastAsia="en-US"/>
        </w:rPr>
        <w:t xml:space="preserve">arties in relation to data handling and user safeguards, including obligations to report to the </w:t>
      </w:r>
      <w:r w:rsidR="001E3B4E">
        <w:rPr>
          <w:rFonts w:eastAsia="Calibri"/>
          <w:szCs w:val="20"/>
          <w:lang w:eastAsia="en-US"/>
        </w:rPr>
        <w:t xml:space="preserve">Oversight </w:t>
      </w:r>
      <w:r w:rsidRPr="000B7589">
        <w:rPr>
          <w:lang w:eastAsia="en-US"/>
        </w:rPr>
        <w:t>Authority any breach that affects the integrity</w:t>
      </w:r>
      <w:r w:rsidR="00CB2CD6">
        <w:rPr>
          <w:lang w:eastAsia="en-US"/>
        </w:rPr>
        <w:t>, such as a suspected fraud or cyber security incident</w:t>
      </w:r>
      <w:r w:rsidRPr="000B7589">
        <w:rPr>
          <w:lang w:eastAsia="en-US"/>
        </w:rPr>
        <w:t>.</w:t>
      </w:r>
    </w:p>
    <w:p w14:paraId="5860367B" w14:textId="5C2820AD" w:rsidR="00E6232E" w:rsidRPr="000B7589" w:rsidRDefault="00E6232E" w:rsidP="00C72660">
      <w:pPr>
        <w:pStyle w:val="BodyText"/>
        <w:rPr>
          <w:highlight w:val="yellow"/>
          <w:lang w:eastAsia="en-US"/>
        </w:rPr>
      </w:pPr>
      <w:r w:rsidRPr="000B7589">
        <w:rPr>
          <w:lang w:eastAsia="en-US"/>
        </w:rPr>
        <w:t xml:space="preserve">The extent of costs imposed on </w:t>
      </w:r>
      <w:r w:rsidR="00EF659E">
        <w:rPr>
          <w:lang w:eastAsia="en-US"/>
        </w:rPr>
        <w:t>r</w:t>
      </w:r>
      <w:r w:rsidRPr="000B7589">
        <w:rPr>
          <w:lang w:eastAsia="en-US"/>
        </w:rPr>
        <w:t xml:space="preserve">elying </w:t>
      </w:r>
      <w:r w:rsidR="00EF659E">
        <w:rPr>
          <w:lang w:eastAsia="en-US"/>
        </w:rPr>
        <w:t>p</w:t>
      </w:r>
      <w:r w:rsidRPr="000B7589">
        <w:rPr>
          <w:lang w:eastAsia="en-US"/>
        </w:rPr>
        <w:t xml:space="preserve">arties </w:t>
      </w:r>
      <w:r w:rsidR="008B0B48">
        <w:rPr>
          <w:lang w:eastAsia="en-US"/>
        </w:rPr>
        <w:t>by</w:t>
      </w:r>
      <w:r w:rsidRPr="000B7589">
        <w:rPr>
          <w:lang w:eastAsia="en-US"/>
        </w:rPr>
        <w:t xml:space="preserve"> these requirements will depend on the extent to which they differ from practices and systems already in place within individual businesses. For example, businesses which engage in significant data handling may have established practices and processes to comply with these requirements and would therefore not incur additional costs. Furthermore, as with </w:t>
      </w:r>
      <w:r w:rsidR="00BF0A4D">
        <w:rPr>
          <w:lang w:eastAsia="en-US"/>
        </w:rPr>
        <w:t xml:space="preserve">onboarded </w:t>
      </w:r>
      <w:r w:rsidR="00EF659E">
        <w:rPr>
          <w:lang w:eastAsia="en-US"/>
        </w:rPr>
        <w:t>a</w:t>
      </w:r>
      <w:r w:rsidRPr="000B7589">
        <w:rPr>
          <w:lang w:eastAsia="en-US"/>
        </w:rPr>
        <w:t xml:space="preserve">ccredited </w:t>
      </w:r>
      <w:r w:rsidR="00BF0A4D">
        <w:rPr>
          <w:lang w:eastAsia="en-US"/>
        </w:rPr>
        <w:t>entities</w:t>
      </w:r>
      <w:r w:rsidRPr="000B7589">
        <w:rPr>
          <w:lang w:eastAsia="en-US"/>
        </w:rPr>
        <w:t xml:space="preserve">, becoming a </w:t>
      </w:r>
      <w:r w:rsidR="00EF659E">
        <w:rPr>
          <w:lang w:eastAsia="en-US"/>
        </w:rPr>
        <w:t>r</w:t>
      </w:r>
      <w:r w:rsidRPr="000B7589">
        <w:rPr>
          <w:lang w:eastAsia="en-US"/>
        </w:rPr>
        <w:t xml:space="preserve">elying </w:t>
      </w:r>
      <w:r w:rsidR="00EF659E">
        <w:rPr>
          <w:lang w:eastAsia="en-US"/>
        </w:rPr>
        <w:t>p</w:t>
      </w:r>
      <w:r w:rsidRPr="000B7589">
        <w:rPr>
          <w:lang w:eastAsia="en-US"/>
        </w:rPr>
        <w:t xml:space="preserve">arty is entirely voluntary so businesses which do not expect to gain net benefits from </w:t>
      </w:r>
      <w:r w:rsidR="00BD0E2D">
        <w:rPr>
          <w:lang w:eastAsia="en-US"/>
        </w:rPr>
        <w:t xml:space="preserve">the </w:t>
      </w:r>
      <w:r w:rsidR="00DF50AB">
        <w:rPr>
          <w:lang w:eastAsia="en-US"/>
        </w:rPr>
        <w:t xml:space="preserve">Digital ID </w:t>
      </w:r>
      <w:r w:rsidR="00BD0E2D">
        <w:rPr>
          <w:lang w:eastAsia="en-US"/>
        </w:rPr>
        <w:t xml:space="preserve">System </w:t>
      </w:r>
      <w:r w:rsidRPr="000B7589">
        <w:rPr>
          <w:lang w:eastAsia="en-US"/>
        </w:rPr>
        <w:t>are free to not participate.</w:t>
      </w:r>
    </w:p>
    <w:p w14:paraId="7E16F162" w14:textId="035C7C82" w:rsidR="00E6232E" w:rsidRPr="000B7589" w:rsidRDefault="00E6232E" w:rsidP="00C72660">
      <w:pPr>
        <w:pStyle w:val="BodyText"/>
        <w:rPr>
          <w:lang w:eastAsia="en-US"/>
        </w:rPr>
      </w:pPr>
      <w:r w:rsidRPr="000B7589">
        <w:rPr>
          <w:lang w:eastAsia="en-US"/>
        </w:rPr>
        <w:t xml:space="preserve">As is the case for </w:t>
      </w:r>
      <w:r w:rsidR="00651CA6">
        <w:rPr>
          <w:lang w:eastAsia="en-US"/>
        </w:rPr>
        <w:t xml:space="preserve">onboarded </w:t>
      </w:r>
      <w:r w:rsidR="006E797D">
        <w:rPr>
          <w:lang w:eastAsia="en-US"/>
        </w:rPr>
        <w:t>a</w:t>
      </w:r>
      <w:r w:rsidRPr="000B7589">
        <w:rPr>
          <w:lang w:eastAsia="en-US"/>
        </w:rPr>
        <w:t xml:space="preserve">ccredited </w:t>
      </w:r>
      <w:r w:rsidR="00651CA6">
        <w:rPr>
          <w:lang w:eastAsia="en-US"/>
        </w:rPr>
        <w:t xml:space="preserve">entity </w:t>
      </w:r>
      <w:r w:rsidRPr="000B7589">
        <w:rPr>
          <w:lang w:eastAsia="en-US"/>
        </w:rPr>
        <w:t xml:space="preserve">businesses, </w:t>
      </w:r>
      <w:r w:rsidR="00EF659E">
        <w:rPr>
          <w:lang w:eastAsia="en-US"/>
        </w:rPr>
        <w:t>r</w:t>
      </w:r>
      <w:r w:rsidRPr="000B7589">
        <w:rPr>
          <w:lang w:eastAsia="en-US"/>
        </w:rPr>
        <w:t xml:space="preserve">elying </w:t>
      </w:r>
      <w:r w:rsidR="00EF659E">
        <w:rPr>
          <w:lang w:eastAsia="en-US"/>
        </w:rPr>
        <w:t>p</w:t>
      </w:r>
      <w:r w:rsidRPr="000B7589">
        <w:rPr>
          <w:lang w:eastAsia="en-US"/>
        </w:rPr>
        <w:t xml:space="preserve">arty businesses may also forego access to or ownership over some customer data. For private sector businesses, the aggregation and sale of customer data may present a meaningful commercial opportunity. </w:t>
      </w:r>
      <w:r w:rsidR="003347E8">
        <w:rPr>
          <w:lang w:eastAsia="en-US"/>
        </w:rPr>
        <w:t>Entering the Digital ID market</w:t>
      </w:r>
      <w:r w:rsidRPr="000B7589">
        <w:rPr>
          <w:lang w:eastAsia="en-US"/>
        </w:rPr>
        <w:t xml:space="preserve"> may affect an organisation’s practical or legal ability to capitalise on such an opportunity. However, as noted above, the extent to which these opportunity costs are experienced by an individual business would be highly dependent on their prior commercial arrangements and service offerings.</w:t>
      </w:r>
    </w:p>
    <w:p w14:paraId="51374199" w14:textId="14F0ABB6" w:rsidR="00E6232E" w:rsidRPr="000B7589" w:rsidRDefault="00E6232E" w:rsidP="00C72660">
      <w:pPr>
        <w:pStyle w:val="BodyText"/>
        <w:rPr>
          <w:lang w:eastAsia="en-US"/>
        </w:rPr>
      </w:pPr>
      <w:r w:rsidRPr="000B7589">
        <w:rPr>
          <w:lang w:eastAsia="en-US"/>
        </w:rPr>
        <w:t xml:space="preserve">As this legislation establishes the framework for a charging regime, an indirect consequence is that </w:t>
      </w:r>
      <w:r w:rsidR="00852702">
        <w:rPr>
          <w:lang w:eastAsia="en-US"/>
        </w:rPr>
        <w:t>r</w:t>
      </w:r>
      <w:r w:rsidRPr="000B7589">
        <w:rPr>
          <w:lang w:eastAsia="en-US"/>
        </w:rPr>
        <w:t xml:space="preserve">elying </w:t>
      </w:r>
      <w:r w:rsidR="00852702">
        <w:rPr>
          <w:lang w:eastAsia="en-US"/>
        </w:rPr>
        <w:t>p</w:t>
      </w:r>
      <w:r w:rsidRPr="000B7589">
        <w:rPr>
          <w:lang w:eastAsia="en-US"/>
        </w:rPr>
        <w:t xml:space="preserve">arties will face future charges for using services provided by </w:t>
      </w:r>
      <w:r w:rsidR="00651CA6">
        <w:rPr>
          <w:lang w:eastAsia="en-US"/>
        </w:rPr>
        <w:t xml:space="preserve">onboarded </w:t>
      </w:r>
      <w:r w:rsidR="00852702">
        <w:rPr>
          <w:lang w:eastAsia="en-US"/>
        </w:rPr>
        <w:t>a</w:t>
      </w:r>
      <w:r w:rsidRPr="000B7589">
        <w:rPr>
          <w:lang w:eastAsia="en-US"/>
        </w:rPr>
        <w:t xml:space="preserve">ccredited </w:t>
      </w:r>
      <w:r w:rsidR="00651CA6">
        <w:rPr>
          <w:lang w:eastAsia="en-US"/>
        </w:rPr>
        <w:t>entities</w:t>
      </w:r>
      <w:r w:rsidRPr="000B7589">
        <w:rPr>
          <w:lang w:eastAsia="en-US"/>
        </w:rPr>
        <w:t xml:space="preserve">. This would occur in circumstances where </w:t>
      </w:r>
      <w:r w:rsidR="00651CA6">
        <w:rPr>
          <w:lang w:eastAsia="en-US"/>
        </w:rPr>
        <w:t xml:space="preserve">these entities </w:t>
      </w:r>
      <w:r w:rsidRPr="000B7589">
        <w:rPr>
          <w:lang w:eastAsia="en-US"/>
        </w:rPr>
        <w:t xml:space="preserve">seek to recover costs imposed under the charging regime by levying processing or other fees on </w:t>
      </w:r>
      <w:r w:rsidR="00852702">
        <w:rPr>
          <w:lang w:eastAsia="en-US"/>
        </w:rPr>
        <w:t>r</w:t>
      </w:r>
      <w:r w:rsidRPr="000B7589">
        <w:rPr>
          <w:lang w:eastAsia="en-US"/>
        </w:rPr>
        <w:t xml:space="preserve">elying </w:t>
      </w:r>
      <w:r w:rsidR="00852702">
        <w:rPr>
          <w:lang w:eastAsia="en-US"/>
        </w:rPr>
        <w:t>p</w:t>
      </w:r>
      <w:r w:rsidRPr="000B7589">
        <w:rPr>
          <w:lang w:eastAsia="en-US"/>
        </w:rPr>
        <w:t xml:space="preserve">arties. The extent and value of these potential </w:t>
      </w:r>
      <w:r w:rsidRPr="000B7589">
        <w:rPr>
          <w:lang w:eastAsia="en-US"/>
        </w:rPr>
        <w:lastRenderedPageBreak/>
        <w:t xml:space="preserve">fees will not be prescribed in the primary legislation, but legislation will set a framework within which </w:t>
      </w:r>
      <w:r w:rsidR="00651CA6">
        <w:rPr>
          <w:lang w:eastAsia="en-US"/>
        </w:rPr>
        <w:t xml:space="preserve">onboarded </w:t>
      </w:r>
      <w:r w:rsidR="00852702">
        <w:rPr>
          <w:lang w:eastAsia="en-US"/>
        </w:rPr>
        <w:t>a</w:t>
      </w:r>
      <w:r w:rsidRPr="000B7589">
        <w:rPr>
          <w:lang w:eastAsia="en-US"/>
        </w:rPr>
        <w:t xml:space="preserve">ccredited </w:t>
      </w:r>
      <w:r w:rsidR="00651CA6">
        <w:rPr>
          <w:lang w:eastAsia="en-US"/>
        </w:rPr>
        <w:t xml:space="preserve">entities </w:t>
      </w:r>
      <w:r w:rsidRPr="000B7589">
        <w:rPr>
          <w:lang w:eastAsia="en-US"/>
        </w:rPr>
        <w:t xml:space="preserve">will operate in a competitive market context. Because of this, it is anticipated that any charges for </w:t>
      </w:r>
      <w:r w:rsidR="00852702">
        <w:rPr>
          <w:lang w:eastAsia="en-US"/>
        </w:rPr>
        <w:t>r</w:t>
      </w:r>
      <w:r w:rsidRPr="000B7589">
        <w:rPr>
          <w:lang w:eastAsia="en-US"/>
        </w:rPr>
        <w:t xml:space="preserve">elying </w:t>
      </w:r>
      <w:r w:rsidR="00852702">
        <w:rPr>
          <w:lang w:eastAsia="en-US"/>
        </w:rPr>
        <w:t>p</w:t>
      </w:r>
      <w:r w:rsidRPr="000B7589">
        <w:rPr>
          <w:lang w:eastAsia="en-US"/>
        </w:rPr>
        <w:t>arties will be set at a level that incentivises (or at least does not create a significant barrier to) uptake of</w:t>
      </w:r>
      <w:r w:rsidR="00112249">
        <w:rPr>
          <w:lang w:eastAsia="en-US"/>
        </w:rPr>
        <w:t xml:space="preserve"> </w:t>
      </w:r>
      <w:r w:rsidRPr="000B7589">
        <w:rPr>
          <w:lang w:eastAsia="en-US"/>
        </w:rPr>
        <w:t xml:space="preserve">services. Charging practices by </w:t>
      </w:r>
      <w:r w:rsidR="00651CA6">
        <w:rPr>
          <w:lang w:eastAsia="en-US"/>
        </w:rPr>
        <w:t xml:space="preserve">onboarded </w:t>
      </w:r>
      <w:r w:rsidR="00852702">
        <w:rPr>
          <w:lang w:eastAsia="en-US"/>
        </w:rPr>
        <w:t>a</w:t>
      </w:r>
      <w:r w:rsidRPr="000B7589">
        <w:rPr>
          <w:lang w:eastAsia="en-US"/>
        </w:rPr>
        <w:t xml:space="preserve">ccredited </w:t>
      </w:r>
      <w:r w:rsidR="00651CA6">
        <w:rPr>
          <w:lang w:eastAsia="en-US"/>
        </w:rPr>
        <w:t xml:space="preserve">entities </w:t>
      </w:r>
      <w:r w:rsidRPr="000B7589">
        <w:rPr>
          <w:lang w:eastAsia="en-US"/>
        </w:rPr>
        <w:t xml:space="preserve">would be subject to the standard safeguards applying under relevant competition law (including prohibitions on cartel conduct and coordinated price-setting). This is expected to ensure </w:t>
      </w:r>
      <w:r w:rsidR="00852702">
        <w:rPr>
          <w:lang w:eastAsia="en-US"/>
        </w:rPr>
        <w:t>r</w:t>
      </w:r>
      <w:r w:rsidRPr="000B7589">
        <w:rPr>
          <w:lang w:eastAsia="en-US"/>
        </w:rPr>
        <w:t xml:space="preserve">elying </w:t>
      </w:r>
      <w:r w:rsidR="00852702">
        <w:rPr>
          <w:lang w:eastAsia="en-US"/>
        </w:rPr>
        <w:t>p</w:t>
      </w:r>
      <w:r w:rsidRPr="000B7589">
        <w:rPr>
          <w:lang w:eastAsia="en-US"/>
        </w:rPr>
        <w:t xml:space="preserve">arties can enter into cost-competitive arrangements with </w:t>
      </w:r>
      <w:r w:rsidR="00651CA6">
        <w:rPr>
          <w:lang w:eastAsia="en-US"/>
        </w:rPr>
        <w:t xml:space="preserve">onboarded </w:t>
      </w:r>
      <w:r w:rsidR="00852702">
        <w:rPr>
          <w:lang w:eastAsia="en-US"/>
        </w:rPr>
        <w:t>a</w:t>
      </w:r>
      <w:r w:rsidRPr="000B7589">
        <w:rPr>
          <w:lang w:eastAsia="en-US"/>
        </w:rPr>
        <w:t xml:space="preserve">ccredited </w:t>
      </w:r>
      <w:r w:rsidR="00651CA6">
        <w:rPr>
          <w:lang w:eastAsia="en-US"/>
        </w:rPr>
        <w:t xml:space="preserve">entities </w:t>
      </w:r>
      <w:r w:rsidRPr="000B7589">
        <w:rPr>
          <w:lang w:eastAsia="en-US"/>
        </w:rPr>
        <w:t>and seek out the most cost-effective arrangements through standard market competition mechanisms. In providing a mechanism for the establishment and detail of the charging regime, th</w:t>
      </w:r>
      <w:r w:rsidR="001044F4">
        <w:rPr>
          <w:lang w:eastAsia="en-US"/>
        </w:rPr>
        <w:t>e</w:t>
      </w:r>
      <w:r w:rsidRPr="000B7589">
        <w:rPr>
          <w:lang w:eastAsia="en-US"/>
        </w:rPr>
        <w:t xml:space="preserve"> legislation creates the potential for further regulation to be enacted in relation to charging practices between </w:t>
      </w:r>
      <w:r w:rsidR="00651CA6">
        <w:rPr>
          <w:lang w:eastAsia="en-US"/>
        </w:rPr>
        <w:t xml:space="preserve">onboarded </w:t>
      </w:r>
      <w:r w:rsidR="00852702">
        <w:rPr>
          <w:lang w:eastAsia="en-US"/>
        </w:rPr>
        <w:t>a</w:t>
      </w:r>
      <w:r w:rsidRPr="000B7589">
        <w:rPr>
          <w:lang w:eastAsia="en-US"/>
        </w:rPr>
        <w:t xml:space="preserve">ccredited </w:t>
      </w:r>
      <w:r w:rsidR="00651CA6">
        <w:rPr>
          <w:lang w:eastAsia="en-US"/>
        </w:rPr>
        <w:t xml:space="preserve">entities </w:t>
      </w:r>
      <w:r w:rsidRPr="000B7589">
        <w:rPr>
          <w:lang w:eastAsia="en-US"/>
        </w:rPr>
        <w:t xml:space="preserve">and </w:t>
      </w:r>
      <w:r w:rsidR="00852702">
        <w:rPr>
          <w:lang w:eastAsia="en-US"/>
        </w:rPr>
        <w:t>r</w:t>
      </w:r>
      <w:r w:rsidRPr="000B7589">
        <w:rPr>
          <w:lang w:eastAsia="en-US"/>
        </w:rPr>
        <w:t xml:space="preserve">elying </w:t>
      </w:r>
      <w:r w:rsidR="00852702">
        <w:rPr>
          <w:lang w:eastAsia="en-US"/>
        </w:rPr>
        <w:t>p</w:t>
      </w:r>
      <w:r w:rsidRPr="000B7589">
        <w:rPr>
          <w:lang w:eastAsia="en-US"/>
        </w:rPr>
        <w:t>arties.</w:t>
      </w:r>
    </w:p>
    <w:p w14:paraId="4FDC744E" w14:textId="18BB6A55" w:rsidR="00E6232E" w:rsidRPr="000B7589" w:rsidRDefault="00E6232E" w:rsidP="00636A1B">
      <w:pPr>
        <w:pStyle w:val="BodyText"/>
        <w:rPr>
          <w:lang w:eastAsia="en-US"/>
        </w:rPr>
      </w:pPr>
      <w:r w:rsidRPr="000B7589">
        <w:rPr>
          <w:lang w:eastAsia="en-US"/>
        </w:rPr>
        <w:t xml:space="preserve">Overall, the cost implications of this </w:t>
      </w:r>
      <w:r w:rsidR="0064035D">
        <w:rPr>
          <w:lang w:eastAsia="en-US"/>
        </w:rPr>
        <w:t>regulatory scheme</w:t>
      </w:r>
      <w:r w:rsidR="0064035D" w:rsidRPr="000B7589">
        <w:rPr>
          <w:lang w:eastAsia="en-US"/>
        </w:rPr>
        <w:t xml:space="preserve"> </w:t>
      </w:r>
      <w:r w:rsidRPr="000B7589">
        <w:rPr>
          <w:lang w:eastAsia="en-US"/>
        </w:rPr>
        <w:t xml:space="preserve">for businesses wishing to participate in the Program as </w:t>
      </w:r>
      <w:r w:rsidR="00852702">
        <w:rPr>
          <w:lang w:eastAsia="en-US"/>
        </w:rPr>
        <w:t>r</w:t>
      </w:r>
      <w:r w:rsidRPr="000B7589">
        <w:rPr>
          <w:lang w:eastAsia="en-US"/>
        </w:rPr>
        <w:t xml:space="preserve">elying </w:t>
      </w:r>
      <w:r w:rsidR="00852702">
        <w:rPr>
          <w:lang w:eastAsia="en-US"/>
        </w:rPr>
        <w:t>p</w:t>
      </w:r>
      <w:r w:rsidRPr="000B7589">
        <w:rPr>
          <w:lang w:eastAsia="en-US"/>
        </w:rPr>
        <w:t xml:space="preserve">arties are expected to be significantly lower than for </w:t>
      </w:r>
      <w:r w:rsidR="00651CA6">
        <w:rPr>
          <w:lang w:eastAsia="en-US"/>
        </w:rPr>
        <w:t xml:space="preserve">onboarded </w:t>
      </w:r>
      <w:r w:rsidR="00852702">
        <w:rPr>
          <w:lang w:eastAsia="en-US"/>
        </w:rPr>
        <w:t>a</w:t>
      </w:r>
      <w:r w:rsidRPr="000B7589">
        <w:rPr>
          <w:lang w:eastAsia="en-US"/>
        </w:rPr>
        <w:t xml:space="preserve">ccredited </w:t>
      </w:r>
      <w:r w:rsidR="00651CA6">
        <w:rPr>
          <w:lang w:eastAsia="en-US"/>
        </w:rPr>
        <w:t xml:space="preserve">entities </w:t>
      </w:r>
      <w:r w:rsidRPr="000B7589">
        <w:rPr>
          <w:lang w:eastAsia="en-US"/>
        </w:rPr>
        <w:t>because of the lesser regulatory requirements imposed on these participants.</w:t>
      </w:r>
    </w:p>
    <w:p w14:paraId="5766B97D" w14:textId="77777777" w:rsidR="00E6232E" w:rsidRPr="0021482C" w:rsidRDefault="00E6232E" w:rsidP="007D02B4">
      <w:pPr>
        <w:pStyle w:val="Heading4NoNumbers"/>
        <w:rPr>
          <w:color w:val="008675"/>
        </w:rPr>
      </w:pPr>
      <w:r w:rsidRPr="0021482C">
        <w:rPr>
          <w:color w:val="008675"/>
        </w:rPr>
        <w:t>Assessment of net expected benefits</w:t>
      </w:r>
    </w:p>
    <w:p w14:paraId="1AE6D27E" w14:textId="756556D9" w:rsidR="00E6232E" w:rsidRPr="004277A9" w:rsidRDefault="00E6232E" w:rsidP="004277A9">
      <w:pPr>
        <w:pStyle w:val="BodyText"/>
      </w:pPr>
      <w:r w:rsidRPr="004277A9">
        <w:t xml:space="preserve">The benefits and costs accruing to businesses </w:t>
      </w:r>
      <w:r w:rsidR="0036387D" w:rsidRPr="004277A9">
        <w:t>because of</w:t>
      </w:r>
      <w:r w:rsidRPr="004277A9">
        <w:t xml:space="preserve"> this </w:t>
      </w:r>
      <w:r w:rsidR="0064035D">
        <w:t>dedicated regulatory scheme</w:t>
      </w:r>
      <w:r w:rsidR="0064035D" w:rsidRPr="004277A9">
        <w:t xml:space="preserve"> </w:t>
      </w:r>
      <w:r w:rsidRPr="004277A9">
        <w:t>are expected to vary significantly depending on:</w:t>
      </w:r>
    </w:p>
    <w:p w14:paraId="2425FCB3" w14:textId="3D602CF7" w:rsidR="00E6232E" w:rsidRPr="000B7589" w:rsidRDefault="00E6232E" w:rsidP="00636A1B">
      <w:pPr>
        <w:pStyle w:val="ListBulletLevel1"/>
        <w:rPr>
          <w:rFonts w:eastAsia="Calibri"/>
          <w:lang w:eastAsia="en-US"/>
        </w:rPr>
      </w:pPr>
      <w:r w:rsidRPr="78F42BF0">
        <w:rPr>
          <w:rFonts w:eastAsia="Calibri"/>
          <w:lang w:eastAsia="en-US"/>
        </w:rPr>
        <w:t xml:space="preserve">whether a business intends to </w:t>
      </w:r>
      <w:r w:rsidR="00EE33E2" w:rsidRPr="78F42BF0">
        <w:rPr>
          <w:rFonts w:eastAsia="Calibri"/>
          <w:lang w:eastAsia="en-US"/>
        </w:rPr>
        <w:t xml:space="preserve">seek </w:t>
      </w:r>
      <w:r w:rsidR="124B3B7A" w:rsidRPr="78F42BF0">
        <w:rPr>
          <w:rFonts w:eastAsia="Calibri"/>
          <w:lang w:eastAsia="en-US"/>
        </w:rPr>
        <w:t>accreditation or</w:t>
      </w:r>
      <w:r w:rsidR="00EE33E2" w:rsidRPr="78F42BF0">
        <w:rPr>
          <w:rFonts w:eastAsia="Calibri"/>
          <w:lang w:eastAsia="en-US"/>
        </w:rPr>
        <w:t xml:space="preserve"> </w:t>
      </w:r>
      <w:r w:rsidRPr="78F42BF0">
        <w:rPr>
          <w:rFonts w:eastAsia="Calibri"/>
          <w:lang w:eastAsia="en-US"/>
        </w:rPr>
        <w:t xml:space="preserve">participate as an </w:t>
      </w:r>
      <w:r w:rsidR="00651CA6" w:rsidRPr="78F42BF0">
        <w:rPr>
          <w:rFonts w:eastAsia="Calibri"/>
          <w:lang w:eastAsia="en-US"/>
        </w:rPr>
        <w:t xml:space="preserve">onboarded </w:t>
      </w:r>
      <w:r w:rsidR="00852702" w:rsidRPr="78F42BF0">
        <w:rPr>
          <w:rFonts w:eastAsia="Calibri"/>
          <w:lang w:eastAsia="en-US"/>
        </w:rPr>
        <w:t>a</w:t>
      </w:r>
      <w:r w:rsidRPr="78F42BF0">
        <w:rPr>
          <w:rFonts w:eastAsia="Calibri"/>
          <w:lang w:eastAsia="en-US"/>
        </w:rPr>
        <w:t xml:space="preserve">ccredited </w:t>
      </w:r>
      <w:r w:rsidR="00651CA6" w:rsidRPr="78F42BF0">
        <w:rPr>
          <w:rFonts w:eastAsia="Calibri"/>
          <w:lang w:eastAsia="en-US"/>
        </w:rPr>
        <w:t>entity</w:t>
      </w:r>
      <w:r w:rsidR="00EE33E2" w:rsidRPr="78F42BF0">
        <w:rPr>
          <w:rFonts w:eastAsia="Calibri"/>
          <w:lang w:eastAsia="en-US"/>
        </w:rPr>
        <w:t xml:space="preserve"> </w:t>
      </w:r>
      <w:r w:rsidRPr="78F42BF0">
        <w:rPr>
          <w:rFonts w:eastAsia="Calibri"/>
          <w:lang w:eastAsia="en-US"/>
        </w:rPr>
        <w:t xml:space="preserve">or as a </w:t>
      </w:r>
      <w:r w:rsidR="00852702" w:rsidRPr="78F42BF0">
        <w:rPr>
          <w:rFonts w:eastAsia="Calibri"/>
          <w:lang w:eastAsia="en-US"/>
        </w:rPr>
        <w:t>r</w:t>
      </w:r>
      <w:r w:rsidRPr="78F42BF0">
        <w:rPr>
          <w:rFonts w:eastAsia="Calibri"/>
          <w:lang w:eastAsia="en-US"/>
        </w:rPr>
        <w:t xml:space="preserve">elying </w:t>
      </w:r>
      <w:r w:rsidR="00852702" w:rsidRPr="78F42BF0">
        <w:rPr>
          <w:rFonts w:eastAsia="Calibri"/>
          <w:lang w:eastAsia="en-US"/>
        </w:rPr>
        <w:t>p</w:t>
      </w:r>
      <w:r w:rsidRPr="78F42BF0">
        <w:rPr>
          <w:rFonts w:eastAsia="Calibri"/>
          <w:lang w:eastAsia="en-US"/>
        </w:rPr>
        <w:t>arty</w:t>
      </w:r>
      <w:r w:rsidR="00796738" w:rsidRPr="78F42BF0">
        <w:rPr>
          <w:rFonts w:eastAsia="Calibri"/>
          <w:lang w:eastAsia="en-US"/>
        </w:rPr>
        <w:t>.</w:t>
      </w:r>
    </w:p>
    <w:p w14:paraId="605C1918" w14:textId="49DBC5AE" w:rsidR="00E6232E" w:rsidRPr="000B7589" w:rsidRDefault="00E6232E" w:rsidP="00636A1B">
      <w:pPr>
        <w:pStyle w:val="ListBulletLevel1"/>
        <w:rPr>
          <w:rFonts w:eastAsia="Calibri"/>
          <w:lang w:eastAsia="en-US"/>
        </w:rPr>
      </w:pPr>
      <w:r w:rsidRPr="000B7589">
        <w:rPr>
          <w:rFonts w:eastAsia="Calibri"/>
          <w:lang w:eastAsia="en-US"/>
        </w:rPr>
        <w:t xml:space="preserve">whether a business is already subject to the provisions of the Privacy Act and has processes and infrastructure in place to meet the data handling and security requirements of this </w:t>
      </w:r>
      <w:r w:rsidR="0064035D">
        <w:rPr>
          <w:rFonts w:eastAsia="Calibri"/>
          <w:lang w:eastAsia="en-US"/>
        </w:rPr>
        <w:t>regulatory scheme</w:t>
      </w:r>
      <w:r w:rsidR="005D6A67">
        <w:rPr>
          <w:rFonts w:eastAsia="Calibri"/>
          <w:lang w:eastAsia="en-US"/>
        </w:rPr>
        <w:t>.</w:t>
      </w:r>
    </w:p>
    <w:p w14:paraId="483BA527" w14:textId="137B7A7A" w:rsidR="00E6232E" w:rsidRPr="000B7589" w:rsidRDefault="00E6232E" w:rsidP="00636A1B">
      <w:pPr>
        <w:pStyle w:val="ListBulletLevel1"/>
        <w:rPr>
          <w:rFonts w:eastAsia="Calibri"/>
          <w:lang w:eastAsia="en-US"/>
        </w:rPr>
      </w:pPr>
      <w:r w:rsidRPr="000B7589">
        <w:rPr>
          <w:rFonts w:eastAsia="Calibri"/>
          <w:lang w:eastAsia="en-US"/>
        </w:rPr>
        <w:t>the frequency and volume of a business</w:t>
      </w:r>
      <w:r w:rsidR="007D331D">
        <w:rPr>
          <w:rFonts w:eastAsia="Calibri"/>
          <w:lang w:eastAsia="en-US"/>
        </w:rPr>
        <w:t>’</w:t>
      </w:r>
      <w:r w:rsidRPr="000B7589">
        <w:rPr>
          <w:rFonts w:eastAsia="Calibri"/>
          <w:lang w:eastAsia="en-US"/>
        </w:rPr>
        <w:t xml:space="preserve"> customer verification requirements in delivering services</w:t>
      </w:r>
      <w:r w:rsidR="005D6A67">
        <w:rPr>
          <w:rFonts w:eastAsia="Calibri"/>
          <w:lang w:eastAsia="en-US"/>
        </w:rPr>
        <w:t>.</w:t>
      </w:r>
    </w:p>
    <w:p w14:paraId="333BB78A" w14:textId="22449D91" w:rsidR="00E6232E" w:rsidRPr="000B7589" w:rsidRDefault="00E6232E" w:rsidP="00636A1B">
      <w:pPr>
        <w:pStyle w:val="ListBulletLevel1"/>
        <w:rPr>
          <w:rFonts w:eastAsia="Calibri"/>
          <w:lang w:eastAsia="en-US"/>
        </w:rPr>
      </w:pPr>
      <w:r w:rsidRPr="000B7589">
        <w:rPr>
          <w:rFonts w:eastAsia="Calibri"/>
          <w:lang w:eastAsia="en-US"/>
        </w:rPr>
        <w:t>the extent to which a business has already adopted digital options for processing identity verification requests</w:t>
      </w:r>
      <w:r w:rsidR="0000502F">
        <w:rPr>
          <w:rFonts w:eastAsia="Calibri"/>
          <w:lang w:eastAsia="en-US"/>
        </w:rPr>
        <w:t>.</w:t>
      </w:r>
    </w:p>
    <w:p w14:paraId="46DB597C" w14:textId="7DDC75EE" w:rsidR="00E6232E" w:rsidRPr="000B7589" w:rsidRDefault="00E6232E" w:rsidP="00636A1B">
      <w:pPr>
        <w:pStyle w:val="BodyText"/>
        <w:rPr>
          <w:lang w:eastAsia="en-US"/>
        </w:rPr>
      </w:pPr>
      <w:r w:rsidRPr="78F42BF0">
        <w:rPr>
          <w:lang w:eastAsia="en-US"/>
        </w:rPr>
        <w:t xml:space="preserve">Because of these multiple variables, it is challenging to reach a single assessment of the net expected benefits accruing to businesses from this </w:t>
      </w:r>
      <w:r w:rsidR="0064035D" w:rsidRPr="78F42BF0">
        <w:rPr>
          <w:lang w:eastAsia="en-US"/>
        </w:rPr>
        <w:t>regulatory scheme</w:t>
      </w:r>
      <w:r w:rsidRPr="78F42BF0">
        <w:rPr>
          <w:lang w:eastAsia="en-US"/>
        </w:rPr>
        <w:t>. However, because</w:t>
      </w:r>
      <w:r w:rsidR="008617AD" w:rsidRPr="78F42BF0">
        <w:rPr>
          <w:lang w:eastAsia="en-US"/>
        </w:rPr>
        <w:t xml:space="preserve"> accreditation and</w:t>
      </w:r>
      <w:r w:rsidRPr="78F42BF0">
        <w:rPr>
          <w:lang w:eastAsia="en-US"/>
        </w:rPr>
        <w:t xml:space="preserve"> participation </w:t>
      </w:r>
      <w:r w:rsidR="1F8D00B4" w:rsidRPr="78F42BF0">
        <w:rPr>
          <w:lang w:eastAsia="en-US"/>
        </w:rPr>
        <w:t>are</w:t>
      </w:r>
      <w:r w:rsidRPr="78F42BF0">
        <w:rPr>
          <w:lang w:eastAsia="en-US"/>
        </w:rPr>
        <w:t xml:space="preserve"> voluntary for businesses, it is </w:t>
      </w:r>
      <w:r w:rsidRPr="78F42BF0">
        <w:rPr>
          <w:lang w:eastAsia="en-US"/>
        </w:rPr>
        <w:lastRenderedPageBreak/>
        <w:t xml:space="preserve">expected that only those organisations which perceive a net positive benefit – financially and operationally – will do so. In general, it is also expected that the significant benefits accruing to </w:t>
      </w:r>
      <w:r w:rsidR="002E01CC" w:rsidRPr="78F42BF0">
        <w:rPr>
          <w:lang w:eastAsia="en-US"/>
        </w:rPr>
        <w:t>r</w:t>
      </w:r>
      <w:r w:rsidRPr="78F42BF0">
        <w:rPr>
          <w:lang w:eastAsia="en-US"/>
        </w:rPr>
        <w:t xml:space="preserve">elying </w:t>
      </w:r>
      <w:r w:rsidR="002E01CC" w:rsidRPr="78F42BF0">
        <w:rPr>
          <w:lang w:eastAsia="en-US"/>
        </w:rPr>
        <w:t>p</w:t>
      </w:r>
      <w:r w:rsidRPr="78F42BF0">
        <w:rPr>
          <w:lang w:eastAsia="en-US"/>
        </w:rPr>
        <w:t xml:space="preserve">arties from increased productivity, faster speed of processing and improved client experience will outweigh the costs associated with the limited regulatory requirements imposed. Similarly, where an organisation which seeks to become an </w:t>
      </w:r>
      <w:r w:rsidR="00651CA6" w:rsidRPr="78F42BF0">
        <w:rPr>
          <w:lang w:eastAsia="en-US"/>
        </w:rPr>
        <w:t xml:space="preserve">onboarded </w:t>
      </w:r>
      <w:r w:rsidR="002E01CC" w:rsidRPr="78F42BF0">
        <w:rPr>
          <w:lang w:eastAsia="en-US"/>
        </w:rPr>
        <w:t>a</w:t>
      </w:r>
      <w:r w:rsidRPr="78F42BF0">
        <w:rPr>
          <w:lang w:eastAsia="en-US"/>
        </w:rPr>
        <w:t xml:space="preserve">ccredited </w:t>
      </w:r>
      <w:r w:rsidR="00651CA6" w:rsidRPr="78F42BF0">
        <w:rPr>
          <w:lang w:eastAsia="en-US"/>
        </w:rPr>
        <w:t xml:space="preserve">entity </w:t>
      </w:r>
      <w:r w:rsidRPr="78F42BF0">
        <w:rPr>
          <w:lang w:eastAsia="en-US"/>
        </w:rPr>
        <w:t>is already subject to the existing provisions of the Privacy Act</w:t>
      </w:r>
      <w:r w:rsidRPr="78F42BF0">
        <w:rPr>
          <w:i/>
          <w:iCs/>
          <w:lang w:eastAsia="en-US"/>
        </w:rPr>
        <w:t xml:space="preserve"> </w:t>
      </w:r>
      <w:r w:rsidRPr="78F42BF0">
        <w:rPr>
          <w:lang w:eastAsia="en-US"/>
        </w:rPr>
        <w:t xml:space="preserve">and the </w:t>
      </w:r>
      <w:r w:rsidR="00672834" w:rsidRPr="78F42BF0">
        <w:rPr>
          <w:lang w:eastAsia="en-US"/>
        </w:rPr>
        <w:t>NDB Scheme</w:t>
      </w:r>
      <w:r w:rsidRPr="78F42BF0">
        <w:rPr>
          <w:lang w:eastAsia="en-US"/>
        </w:rPr>
        <w:t>, it is expected that the additional benefits accruing through improved efficiency, additional revenue streams and reduced legal risk will outweigh the costs of regulatory compliance.</w:t>
      </w:r>
    </w:p>
    <w:p w14:paraId="6804D232" w14:textId="0FBF5CCD" w:rsidR="00E6232E" w:rsidRPr="0021482C" w:rsidRDefault="00E6232E" w:rsidP="00C524C6">
      <w:pPr>
        <w:pStyle w:val="Heading3NoNumbers"/>
        <w:rPr>
          <w:color w:val="008675"/>
          <w:lang w:eastAsia="en-US"/>
        </w:rPr>
      </w:pPr>
      <w:bookmarkStart w:id="505" w:name="_Toc80884701"/>
      <w:bookmarkStart w:id="506" w:name="_Toc84925827"/>
      <w:bookmarkStart w:id="507" w:name="_Toc86070043"/>
      <w:r w:rsidRPr="0021482C">
        <w:rPr>
          <w:color w:val="008675"/>
          <w:lang w:eastAsia="en-US"/>
        </w:rPr>
        <w:t>9.</w:t>
      </w:r>
      <w:r w:rsidR="00C524C6" w:rsidRPr="0021482C">
        <w:rPr>
          <w:color w:val="008675"/>
          <w:lang w:eastAsia="en-US"/>
        </w:rPr>
        <w:t>1</w:t>
      </w:r>
      <w:r w:rsidRPr="0021482C">
        <w:rPr>
          <w:color w:val="008675"/>
          <w:lang w:eastAsia="en-US"/>
        </w:rPr>
        <w:t>.3 Government</w:t>
      </w:r>
      <w:bookmarkEnd w:id="505"/>
      <w:bookmarkEnd w:id="506"/>
      <w:bookmarkEnd w:id="507"/>
    </w:p>
    <w:p w14:paraId="1C00B470" w14:textId="571B43D5" w:rsidR="00E6232E" w:rsidRPr="0021482C" w:rsidRDefault="00C524C6" w:rsidP="007D02B4">
      <w:pPr>
        <w:pStyle w:val="Heading5NoNumbers"/>
        <w:rPr>
          <w:color w:val="008675"/>
          <w:lang w:eastAsia="en-US"/>
        </w:rPr>
      </w:pPr>
      <w:r w:rsidRPr="0021482C">
        <w:rPr>
          <w:color w:val="008675"/>
          <w:lang w:eastAsia="en-US"/>
        </w:rPr>
        <w:t xml:space="preserve">(a) </w:t>
      </w:r>
      <w:r w:rsidR="00E6232E" w:rsidRPr="0021482C">
        <w:rPr>
          <w:color w:val="008675"/>
          <w:lang w:eastAsia="en-US"/>
        </w:rPr>
        <w:t xml:space="preserve">Expected </w:t>
      </w:r>
      <w:r w:rsidR="009813D2" w:rsidRPr="0021482C">
        <w:rPr>
          <w:color w:val="008675"/>
          <w:lang w:eastAsia="en-US"/>
        </w:rPr>
        <w:t>b</w:t>
      </w:r>
      <w:r w:rsidR="00E6232E" w:rsidRPr="0021482C">
        <w:rPr>
          <w:color w:val="008675"/>
          <w:lang w:eastAsia="en-US"/>
        </w:rPr>
        <w:t xml:space="preserve">enefits of </w:t>
      </w:r>
      <w:r w:rsidR="0064035D" w:rsidRPr="0021482C">
        <w:rPr>
          <w:color w:val="008675"/>
          <w:lang w:eastAsia="en-US"/>
        </w:rPr>
        <w:t>regulatory scheme</w:t>
      </w:r>
    </w:p>
    <w:p w14:paraId="6216F238" w14:textId="01DC5D97" w:rsidR="00E6232E" w:rsidRPr="000B7589" w:rsidRDefault="00E6232E" w:rsidP="00A303A9">
      <w:pPr>
        <w:pStyle w:val="BodyText"/>
        <w:rPr>
          <w:lang w:eastAsia="en-US"/>
        </w:rPr>
      </w:pPr>
      <w:r w:rsidRPr="000B7589">
        <w:rPr>
          <w:lang w:eastAsia="en-US"/>
        </w:rPr>
        <w:t xml:space="preserve">Option 3 entails the </w:t>
      </w:r>
      <w:r w:rsidR="009F3981">
        <w:rPr>
          <w:lang w:eastAsia="en-US"/>
        </w:rPr>
        <w:t>Australian Government</w:t>
      </w:r>
      <w:r w:rsidR="009F3981" w:rsidRPr="000B7589" w:rsidDel="009F3981">
        <w:rPr>
          <w:lang w:eastAsia="en-US"/>
        </w:rPr>
        <w:t xml:space="preserve"> </w:t>
      </w:r>
      <w:r w:rsidRPr="000B7589">
        <w:rPr>
          <w:lang w:eastAsia="en-US"/>
        </w:rPr>
        <w:t>playing an ongoing role in deliver</w:t>
      </w:r>
      <w:r w:rsidR="00301134">
        <w:rPr>
          <w:lang w:eastAsia="en-US"/>
        </w:rPr>
        <w:t>ing</w:t>
      </w:r>
      <w:r w:rsidR="00A80B2E">
        <w:rPr>
          <w:lang w:eastAsia="en-US"/>
        </w:rPr>
        <w:t xml:space="preserve"> the</w:t>
      </w:r>
      <w:r w:rsidRPr="000B7589">
        <w:rPr>
          <w:lang w:eastAsia="en-US"/>
        </w:rPr>
        <w:t xml:space="preserve"> Program, as well as in drafting and enact</w:t>
      </w:r>
      <w:r w:rsidR="00A80B2E">
        <w:rPr>
          <w:lang w:eastAsia="en-US"/>
        </w:rPr>
        <w:t>ing</w:t>
      </w:r>
      <w:r w:rsidRPr="000B7589">
        <w:rPr>
          <w:lang w:eastAsia="en-US"/>
        </w:rPr>
        <w:t xml:space="preserve"> legislation</w:t>
      </w:r>
      <w:r w:rsidR="00974771">
        <w:rPr>
          <w:lang w:eastAsia="en-US"/>
        </w:rPr>
        <w:t xml:space="preserve"> and subordinate regulations</w:t>
      </w:r>
      <w:r w:rsidRPr="000B7589">
        <w:rPr>
          <w:lang w:eastAsia="en-US"/>
        </w:rPr>
        <w:t xml:space="preserve"> supporting its expansion. </w:t>
      </w:r>
    </w:p>
    <w:p w14:paraId="25573DC4" w14:textId="79901770" w:rsidR="00E6232E" w:rsidRPr="000B7589" w:rsidRDefault="00E6232E" w:rsidP="00A303A9">
      <w:pPr>
        <w:pStyle w:val="BodyText"/>
        <w:rPr>
          <w:lang w:eastAsia="en-US"/>
        </w:rPr>
      </w:pPr>
      <w:r w:rsidRPr="000B7589">
        <w:rPr>
          <w:lang w:eastAsia="en-US"/>
        </w:rPr>
        <w:t>All levels of government will enjoy greater efficiency and reduced manual handling in customer operations. This has the potential to benefit a wide range of government entities that frequently require customer identification to provide services. These potential applications are likely to support opportunities for productivity improvements and cost efficiencies at all levels of government.</w:t>
      </w:r>
    </w:p>
    <w:p w14:paraId="1EE93F81" w14:textId="4EEF0C49" w:rsidR="00E6232E" w:rsidRPr="000B7589" w:rsidRDefault="00E6232E" w:rsidP="00A303A9">
      <w:pPr>
        <w:pStyle w:val="BodyText"/>
        <w:rPr>
          <w:lang w:eastAsia="en-US"/>
        </w:rPr>
      </w:pPr>
      <w:r w:rsidRPr="000B7589">
        <w:rPr>
          <w:lang w:eastAsia="en-US"/>
        </w:rPr>
        <w:t>However, the expansion especially presents an opportunity for the modernisation of public services at a state, territory and local government level. The extent and frequency of individuals’ touchpoints with state, territory and local government-provided services means</w:t>
      </w:r>
      <w:r w:rsidR="002E35B5">
        <w:rPr>
          <w:lang w:eastAsia="en-US"/>
        </w:rPr>
        <w:t xml:space="preserve"> AGDIS</w:t>
      </w:r>
      <w:r w:rsidRPr="000B7589">
        <w:rPr>
          <w:lang w:eastAsia="en-US"/>
        </w:rPr>
        <w:t xml:space="preserve">– </w:t>
      </w:r>
      <w:r w:rsidR="00B47F47">
        <w:rPr>
          <w:lang w:eastAsia="en-US"/>
        </w:rPr>
        <w:t>by enabling</w:t>
      </w:r>
      <w:r w:rsidRPr="000B7589">
        <w:rPr>
          <w:lang w:eastAsia="en-US"/>
        </w:rPr>
        <w:t xml:space="preserve"> reduced paperwork, faster transactions and improved convenience </w:t>
      </w:r>
      <w:r w:rsidR="00B47F47">
        <w:rPr>
          <w:lang w:eastAsia="en-US"/>
        </w:rPr>
        <w:t xml:space="preserve">– will </w:t>
      </w:r>
      <w:r w:rsidRPr="000B7589">
        <w:rPr>
          <w:lang w:eastAsia="en-US"/>
        </w:rPr>
        <w:t>generate significant gains in administrative efficiency. Digital I</w:t>
      </w:r>
      <w:r w:rsidR="00EB2443">
        <w:rPr>
          <w:lang w:eastAsia="en-US"/>
        </w:rPr>
        <w:t>D</w:t>
      </w:r>
      <w:r w:rsidRPr="000B7589">
        <w:rPr>
          <w:lang w:eastAsia="en-US"/>
        </w:rPr>
        <w:t xml:space="preserve"> offers a consistent, central mechanism for identity proofing, which will reduce the need for multiple entities to verify an individual’s identity. Cost savings will be garnered from a substantially </w:t>
      </w:r>
      <w:r w:rsidR="002A0237">
        <w:rPr>
          <w:lang w:eastAsia="en-US"/>
        </w:rPr>
        <w:t>reduced</w:t>
      </w:r>
      <w:r w:rsidRPr="000B7589">
        <w:rPr>
          <w:lang w:eastAsia="en-US"/>
        </w:rPr>
        <w:t xml:space="preserve"> requirement for agency-specific identity, access management services and subsequent support systems.</w:t>
      </w:r>
    </w:p>
    <w:p w14:paraId="7535ED49" w14:textId="07A5A451" w:rsidR="00E6232E" w:rsidRPr="004277A9" w:rsidRDefault="00FE64F3" w:rsidP="004277A9">
      <w:pPr>
        <w:pStyle w:val="BodyText"/>
      </w:pPr>
      <w:r>
        <w:lastRenderedPageBreak/>
        <w:t xml:space="preserve">The use of the </w:t>
      </w:r>
      <w:r w:rsidR="00862546">
        <w:t>AGDIS</w:t>
      </w:r>
      <w:r>
        <w:t xml:space="preserve"> is</w:t>
      </w:r>
      <w:r w:rsidR="00E6232E" w:rsidRPr="004277A9">
        <w:t xml:space="preserve"> expected to support state and territory government services across:</w:t>
      </w:r>
    </w:p>
    <w:p w14:paraId="30DCF6EB" w14:textId="1F13F8E6" w:rsidR="00E6232E" w:rsidRPr="000B7589" w:rsidRDefault="00E6232E" w:rsidP="00A303A9">
      <w:pPr>
        <w:pStyle w:val="ListBulletLevel1"/>
        <w:rPr>
          <w:rFonts w:eastAsia="Calibri"/>
          <w:lang w:eastAsia="en-US"/>
        </w:rPr>
      </w:pPr>
      <w:r w:rsidRPr="000B7589">
        <w:rPr>
          <w:rFonts w:eastAsia="Calibri"/>
          <w:lang w:eastAsia="en-US"/>
        </w:rPr>
        <w:t xml:space="preserve">the registration of births, deaths and marriages </w:t>
      </w:r>
    </w:p>
    <w:p w14:paraId="27F95057" w14:textId="5C40565C" w:rsidR="00E6232E" w:rsidRPr="000B7589" w:rsidRDefault="00E6232E" w:rsidP="00A303A9">
      <w:pPr>
        <w:pStyle w:val="ListBulletLevel1"/>
        <w:rPr>
          <w:rFonts w:eastAsia="Calibri"/>
          <w:lang w:eastAsia="en-US"/>
        </w:rPr>
      </w:pPr>
      <w:r w:rsidRPr="000B7589">
        <w:rPr>
          <w:rFonts w:eastAsia="Calibri"/>
          <w:lang w:eastAsia="en-US"/>
        </w:rPr>
        <w:t xml:space="preserve">state and local government licensing regimes </w:t>
      </w:r>
    </w:p>
    <w:p w14:paraId="06131269" w14:textId="18DDAE32" w:rsidR="00470B0D" w:rsidRDefault="00470B0D" w:rsidP="00A303A9">
      <w:pPr>
        <w:pStyle w:val="ListBulletLevel1"/>
        <w:rPr>
          <w:rFonts w:eastAsia="Calibri"/>
          <w:lang w:eastAsia="en-US"/>
        </w:rPr>
      </w:pPr>
      <w:r w:rsidRPr="00470B0D">
        <w:rPr>
          <w:rFonts w:eastAsia="Calibri"/>
          <w:lang w:eastAsia="en-US"/>
        </w:rPr>
        <w:t>school, vocational education</w:t>
      </w:r>
      <w:r>
        <w:rPr>
          <w:rFonts w:eastAsia="Calibri"/>
          <w:lang w:eastAsia="en-US"/>
        </w:rPr>
        <w:t>,</w:t>
      </w:r>
      <w:r w:rsidRPr="00470B0D">
        <w:rPr>
          <w:rFonts w:eastAsia="Calibri"/>
          <w:lang w:eastAsia="en-US"/>
        </w:rPr>
        <w:t xml:space="preserve"> and training and higher education enrolment</w:t>
      </w:r>
    </w:p>
    <w:p w14:paraId="6DBF5151" w14:textId="3B60A7D3" w:rsidR="00E6232E" w:rsidRPr="000B7589" w:rsidRDefault="00E6232E" w:rsidP="00A303A9">
      <w:pPr>
        <w:pStyle w:val="ListBulletLevel1"/>
        <w:rPr>
          <w:rFonts w:eastAsia="Calibri"/>
          <w:lang w:eastAsia="en-US"/>
        </w:rPr>
      </w:pPr>
      <w:r w:rsidRPr="000B7589">
        <w:rPr>
          <w:rFonts w:eastAsia="Calibri"/>
          <w:lang w:eastAsia="en-US"/>
        </w:rPr>
        <w:t>healthcare, including hospital and ambulance services</w:t>
      </w:r>
    </w:p>
    <w:p w14:paraId="5F9F841D" w14:textId="4A4D9F12" w:rsidR="00E6232E" w:rsidRPr="000B7589" w:rsidRDefault="00E6232E" w:rsidP="00A303A9">
      <w:pPr>
        <w:pStyle w:val="ListBulletLevel1"/>
        <w:rPr>
          <w:rFonts w:eastAsia="Calibri"/>
          <w:lang w:eastAsia="en-US"/>
        </w:rPr>
      </w:pPr>
      <w:r w:rsidRPr="000B7589">
        <w:rPr>
          <w:rFonts w:eastAsia="Calibri"/>
          <w:lang w:eastAsia="en-US"/>
        </w:rPr>
        <w:t>utility services, such as water, gas and power, from state corporations</w:t>
      </w:r>
    </w:p>
    <w:p w14:paraId="059C37C3" w14:textId="14570E79" w:rsidR="00E6232E" w:rsidRPr="000B7589" w:rsidRDefault="00E6232E" w:rsidP="00A303A9">
      <w:pPr>
        <w:pStyle w:val="ListBulletLevel1"/>
        <w:rPr>
          <w:rFonts w:eastAsia="Calibri"/>
          <w:lang w:eastAsia="en-US"/>
        </w:rPr>
      </w:pPr>
      <w:r w:rsidRPr="000B7589">
        <w:rPr>
          <w:rFonts w:eastAsia="Calibri"/>
          <w:lang w:eastAsia="en-US"/>
        </w:rPr>
        <w:t xml:space="preserve">collection of state taxes and revenue – for example, payroll tax and property rates </w:t>
      </w:r>
    </w:p>
    <w:p w14:paraId="5513E48B" w14:textId="7CC6FC6D" w:rsidR="00E6232E" w:rsidRPr="000B7589" w:rsidRDefault="00E6232E" w:rsidP="004C5B59">
      <w:pPr>
        <w:pStyle w:val="BodyText"/>
        <w:rPr>
          <w:lang w:eastAsia="en-US"/>
        </w:rPr>
      </w:pPr>
      <w:r w:rsidRPr="000B7589">
        <w:rPr>
          <w:lang w:eastAsia="en-US"/>
        </w:rPr>
        <w:t xml:space="preserve">Further, in interacting with businesses, state and territory governments can streamline the provision of services relating to business registrations, economic support, authorisations and permits, leading to even greater opportunities for cost reductions. These efficiency gains, cost savings and service enhancements would also be available to local governments and their management of various community services. The significant annual volume of transactions requiring identity verification in these areas is expected to generate significant efficiencies for state and local governments which </w:t>
      </w:r>
      <w:r w:rsidR="0036387D" w:rsidRPr="000B7589">
        <w:rPr>
          <w:lang w:eastAsia="en-US"/>
        </w:rPr>
        <w:t>can</w:t>
      </w:r>
      <w:r w:rsidRPr="000B7589">
        <w:rPr>
          <w:lang w:eastAsia="en-US"/>
        </w:rPr>
        <w:t xml:space="preserve"> </w:t>
      </w:r>
      <w:r w:rsidR="00A55F23">
        <w:rPr>
          <w:lang w:eastAsia="en-US"/>
        </w:rPr>
        <w:t xml:space="preserve">use </w:t>
      </w:r>
      <w:r w:rsidR="002E35B5">
        <w:rPr>
          <w:lang w:eastAsia="en-US"/>
        </w:rPr>
        <w:t xml:space="preserve">Digital ID </w:t>
      </w:r>
      <w:r w:rsidRPr="000B7589">
        <w:rPr>
          <w:lang w:eastAsia="en-US"/>
        </w:rPr>
        <w:t>in place of paper-based and face-to-face identity verification.</w:t>
      </w:r>
    </w:p>
    <w:p w14:paraId="773384E1" w14:textId="17FC9818" w:rsidR="00E6232E" w:rsidRPr="000B7589" w:rsidRDefault="00E6232E" w:rsidP="004C5B59">
      <w:pPr>
        <w:pStyle w:val="BodyText"/>
        <w:rPr>
          <w:lang w:eastAsia="en-US"/>
        </w:rPr>
      </w:pPr>
      <w:r w:rsidRPr="000B7589">
        <w:rPr>
          <w:lang w:eastAsia="en-US"/>
        </w:rPr>
        <w:t xml:space="preserve">Governments will also benefit from a reduction in identity fraud </w:t>
      </w:r>
      <w:r w:rsidR="00BB0A34">
        <w:rPr>
          <w:lang w:eastAsia="en-US"/>
        </w:rPr>
        <w:t>in</w:t>
      </w:r>
      <w:r w:rsidRPr="000B7589">
        <w:rPr>
          <w:lang w:eastAsia="en-US"/>
        </w:rPr>
        <w:t xml:space="preserve"> an expanded </w:t>
      </w:r>
      <w:r w:rsidR="00662DB2">
        <w:rPr>
          <w:lang w:eastAsia="en-US"/>
        </w:rPr>
        <w:t xml:space="preserve">Digital ID, </w:t>
      </w:r>
      <w:r w:rsidRPr="000B7589">
        <w:rPr>
          <w:lang w:eastAsia="en-US"/>
        </w:rPr>
        <w:t xml:space="preserve">through </w:t>
      </w:r>
      <w:r w:rsidR="00BB0A34">
        <w:rPr>
          <w:lang w:eastAsia="en-US"/>
        </w:rPr>
        <w:t>fewer</w:t>
      </w:r>
      <w:r w:rsidRPr="000B7589">
        <w:rPr>
          <w:lang w:eastAsia="en-US"/>
        </w:rPr>
        <w:t xml:space="preserve"> instances of paying benefits or supplying services to people who are not entitled. In 201</w:t>
      </w:r>
      <w:r w:rsidR="00BB0A34">
        <w:rPr>
          <w:lang w:eastAsia="en-US"/>
        </w:rPr>
        <w:t>8–19</w:t>
      </w:r>
      <w:r w:rsidRPr="000B7589">
        <w:rPr>
          <w:lang w:eastAsia="en-US"/>
        </w:rPr>
        <w:t>, the</w:t>
      </w:r>
      <w:r w:rsidRPr="0907F62D" w:rsidDel="00E6232E">
        <w:rPr>
          <w:lang w:eastAsia="en-US"/>
        </w:rPr>
        <w:t xml:space="preserve"> </w:t>
      </w:r>
      <w:hyperlink r:id="rId82">
        <w:r w:rsidRPr="00862546">
          <w:rPr>
            <w:rStyle w:val="Hyperlink"/>
            <w:color w:val="008675"/>
            <w:lang w:eastAsia="en-US"/>
          </w:rPr>
          <w:t>Department of Social Services</w:t>
        </w:r>
      </w:hyperlink>
      <w:r w:rsidRPr="0907F62D">
        <w:rPr>
          <w:lang w:eastAsia="en-US"/>
        </w:rPr>
        <w:t xml:space="preserve"> </w:t>
      </w:r>
      <w:r w:rsidRPr="000B7589">
        <w:rPr>
          <w:lang w:eastAsia="en-US"/>
        </w:rPr>
        <w:t>reported</w:t>
      </w:r>
      <w:r w:rsidR="00C209FF">
        <w:rPr>
          <w:lang w:eastAsia="en-US"/>
        </w:rPr>
        <w:t xml:space="preserve"> that its Investigations </w:t>
      </w:r>
      <w:r w:rsidR="00D47FFB">
        <w:rPr>
          <w:lang w:eastAsia="en-US"/>
        </w:rPr>
        <w:t>s</w:t>
      </w:r>
      <w:r w:rsidR="00C209FF">
        <w:rPr>
          <w:lang w:eastAsia="en-US"/>
        </w:rPr>
        <w:t>ection had assessed</w:t>
      </w:r>
      <w:r w:rsidRPr="000B7589">
        <w:rPr>
          <w:lang w:eastAsia="en-US"/>
        </w:rPr>
        <w:t xml:space="preserve"> 40 instances of suspected internal and external fraud. The costs associated with such investigations and subsequent action</w:t>
      </w:r>
      <w:r w:rsidR="00D454AD">
        <w:rPr>
          <w:lang w:eastAsia="en-US"/>
        </w:rPr>
        <w:t>, where that fraud relates to identity,</w:t>
      </w:r>
      <w:r w:rsidRPr="000B7589">
        <w:rPr>
          <w:lang w:eastAsia="en-US"/>
        </w:rPr>
        <w:t xml:space="preserve"> may be mitigated</w:t>
      </w:r>
      <w:r w:rsidR="00662DB2">
        <w:rPr>
          <w:lang w:eastAsia="en-US"/>
        </w:rPr>
        <w:t xml:space="preserve"> by use of AGDIS</w:t>
      </w:r>
      <w:r w:rsidRPr="000B7589">
        <w:rPr>
          <w:lang w:eastAsia="en-US"/>
        </w:rPr>
        <w:t>.</w:t>
      </w:r>
    </w:p>
    <w:p w14:paraId="0E7DAA85" w14:textId="794A1EC4" w:rsidR="00E6232E" w:rsidRPr="000B7589" w:rsidRDefault="00E6232E" w:rsidP="004C5B59">
      <w:pPr>
        <w:pStyle w:val="BodyText"/>
        <w:rPr>
          <w:lang w:eastAsia="en-US"/>
        </w:rPr>
      </w:pPr>
      <w:r w:rsidRPr="000B7589">
        <w:rPr>
          <w:lang w:eastAsia="en-US"/>
        </w:rPr>
        <w:t xml:space="preserve">Additionally, as legislation will support an expansion </w:t>
      </w:r>
      <w:r w:rsidR="00662DB2">
        <w:rPr>
          <w:lang w:eastAsia="en-US"/>
        </w:rPr>
        <w:t>t</w:t>
      </w:r>
      <w:r w:rsidRPr="000B7589">
        <w:rPr>
          <w:lang w:eastAsia="en-US"/>
        </w:rPr>
        <w:t xml:space="preserve">o all levels of government, state, territory, local governments and individual </w:t>
      </w:r>
      <w:r w:rsidR="003C7794">
        <w:rPr>
          <w:lang w:eastAsia="en-US"/>
        </w:rPr>
        <w:t>Australian Government</w:t>
      </w:r>
      <w:r w:rsidR="003C7794" w:rsidRPr="000B7589" w:rsidDel="003C7794">
        <w:rPr>
          <w:lang w:eastAsia="en-US"/>
        </w:rPr>
        <w:t xml:space="preserve"> </w:t>
      </w:r>
      <w:r w:rsidR="004F51AC">
        <w:rPr>
          <w:lang w:eastAsia="en-US"/>
        </w:rPr>
        <w:t>agencies</w:t>
      </w:r>
      <w:r w:rsidR="004F51AC" w:rsidRPr="000B7589">
        <w:rPr>
          <w:lang w:eastAsia="en-US"/>
        </w:rPr>
        <w:t xml:space="preserve"> </w:t>
      </w:r>
      <w:r w:rsidRPr="000B7589">
        <w:rPr>
          <w:lang w:eastAsia="en-US"/>
        </w:rPr>
        <w:t xml:space="preserve">will save time and costs, as they can reduce investment in their own </w:t>
      </w:r>
      <w:r w:rsidR="009210C4">
        <w:rPr>
          <w:lang w:eastAsia="en-US"/>
        </w:rPr>
        <w:t>d</w:t>
      </w:r>
      <w:r w:rsidRPr="000B7589">
        <w:rPr>
          <w:lang w:eastAsia="en-US"/>
        </w:rPr>
        <w:t xml:space="preserve">igital </w:t>
      </w:r>
      <w:r w:rsidR="000731D8">
        <w:rPr>
          <w:lang w:eastAsia="en-US"/>
        </w:rPr>
        <w:t>ID</w:t>
      </w:r>
      <w:r w:rsidR="000731D8" w:rsidRPr="000B7589">
        <w:rPr>
          <w:lang w:eastAsia="en-US"/>
        </w:rPr>
        <w:t xml:space="preserve"> </w:t>
      </w:r>
      <w:r w:rsidRPr="000B7589">
        <w:rPr>
          <w:lang w:eastAsia="en-US"/>
        </w:rPr>
        <w:t>platforms or may no longer need to develop their own solutions.</w:t>
      </w:r>
      <w:r w:rsidR="00A72C6B">
        <w:rPr>
          <w:lang w:eastAsia="en-US"/>
        </w:rPr>
        <w:t xml:space="preserve"> </w:t>
      </w:r>
      <w:r w:rsidR="00736615">
        <w:rPr>
          <w:lang w:eastAsia="en-US"/>
        </w:rPr>
        <w:t>The automatic</w:t>
      </w:r>
      <w:r w:rsidR="008E5F72">
        <w:rPr>
          <w:lang w:eastAsia="en-US"/>
        </w:rPr>
        <w:t xml:space="preserve"> de-duplication processes would also present a significant time and cost saving for these additional government entities, </w:t>
      </w:r>
      <w:r w:rsidR="00344633">
        <w:rPr>
          <w:lang w:eastAsia="en-US"/>
        </w:rPr>
        <w:t>which</w:t>
      </w:r>
      <w:r w:rsidR="008E5F72">
        <w:rPr>
          <w:lang w:eastAsia="en-US"/>
        </w:rPr>
        <w:t xml:space="preserve"> </w:t>
      </w:r>
      <w:r w:rsidR="00B162DB">
        <w:rPr>
          <w:lang w:eastAsia="en-US"/>
        </w:rPr>
        <w:t xml:space="preserve">may be required to undertake these data integrity measures manually </w:t>
      </w:r>
      <w:r w:rsidR="00C02811">
        <w:rPr>
          <w:lang w:eastAsia="en-US"/>
        </w:rPr>
        <w:t xml:space="preserve">or using </w:t>
      </w:r>
      <w:r w:rsidR="00B162DB">
        <w:rPr>
          <w:lang w:eastAsia="en-US"/>
        </w:rPr>
        <w:t>other systems. The extent of this saving</w:t>
      </w:r>
      <w:r w:rsidR="008B2326">
        <w:rPr>
          <w:lang w:eastAsia="en-US"/>
        </w:rPr>
        <w:t xml:space="preserve"> for each government entity is difficult to quantify, as it depend</w:t>
      </w:r>
      <w:r w:rsidR="00424A2C">
        <w:rPr>
          <w:lang w:eastAsia="en-US"/>
        </w:rPr>
        <w:t>s</w:t>
      </w:r>
      <w:r w:rsidR="008B2326">
        <w:rPr>
          <w:lang w:eastAsia="en-US"/>
        </w:rPr>
        <w:t xml:space="preserve"> on the impact of multiple </w:t>
      </w:r>
      <w:r w:rsidR="005F342B">
        <w:rPr>
          <w:lang w:eastAsia="en-US"/>
        </w:rPr>
        <w:lastRenderedPageBreak/>
        <w:t xml:space="preserve">identity </w:t>
      </w:r>
      <w:r w:rsidR="008B2326">
        <w:rPr>
          <w:lang w:eastAsia="en-US"/>
        </w:rPr>
        <w:t xml:space="preserve">accounts </w:t>
      </w:r>
      <w:r w:rsidR="005F342B">
        <w:rPr>
          <w:lang w:eastAsia="en-US"/>
        </w:rPr>
        <w:t>linked to one individual (which varies depending on the particular system).</w:t>
      </w:r>
    </w:p>
    <w:p w14:paraId="060370AF" w14:textId="2EC1986B" w:rsidR="00E6232E" w:rsidRPr="00862546" w:rsidRDefault="00C524C6" w:rsidP="007D02B4">
      <w:pPr>
        <w:pStyle w:val="Heading5NoNumbers"/>
        <w:rPr>
          <w:color w:val="008675"/>
          <w:lang w:eastAsia="en-US"/>
        </w:rPr>
      </w:pPr>
      <w:r w:rsidRPr="00862546">
        <w:rPr>
          <w:color w:val="008675"/>
          <w:lang w:eastAsia="en-US"/>
        </w:rPr>
        <w:t xml:space="preserve">(b) </w:t>
      </w:r>
      <w:r w:rsidR="00E6232E" w:rsidRPr="00862546">
        <w:rPr>
          <w:color w:val="008675"/>
          <w:lang w:eastAsia="en-US"/>
        </w:rPr>
        <w:t xml:space="preserve">Expected </w:t>
      </w:r>
      <w:r w:rsidR="009813D2" w:rsidRPr="00862546">
        <w:rPr>
          <w:color w:val="008675"/>
          <w:lang w:eastAsia="en-US"/>
        </w:rPr>
        <w:t>c</w:t>
      </w:r>
      <w:r w:rsidR="00E6232E" w:rsidRPr="00862546">
        <w:rPr>
          <w:color w:val="008675"/>
          <w:lang w:eastAsia="en-US"/>
        </w:rPr>
        <w:t xml:space="preserve">osts of </w:t>
      </w:r>
      <w:r w:rsidR="0064035D" w:rsidRPr="00862546">
        <w:rPr>
          <w:color w:val="008675"/>
          <w:lang w:eastAsia="en-US"/>
        </w:rPr>
        <w:t>regulatory scheme</w:t>
      </w:r>
    </w:p>
    <w:p w14:paraId="4D069E2C" w14:textId="1C108E55" w:rsidR="00E6232E" w:rsidRPr="000B7589" w:rsidRDefault="00FA7DFC" w:rsidP="004C5B59">
      <w:pPr>
        <w:pStyle w:val="BodyText"/>
        <w:rPr>
          <w:lang w:eastAsia="en-US"/>
        </w:rPr>
      </w:pPr>
      <w:r>
        <w:rPr>
          <w:lang w:eastAsia="en-US"/>
        </w:rPr>
        <w:t>Australian Government</w:t>
      </w:r>
      <w:r w:rsidRPr="000B7589" w:rsidDel="00FA7DFC">
        <w:rPr>
          <w:lang w:eastAsia="en-US"/>
        </w:rPr>
        <w:t xml:space="preserve"> </w:t>
      </w:r>
      <w:r w:rsidR="004F51AC">
        <w:rPr>
          <w:lang w:eastAsia="en-US"/>
        </w:rPr>
        <w:t>agencies</w:t>
      </w:r>
      <w:r w:rsidR="004F51AC" w:rsidRPr="000B7589">
        <w:rPr>
          <w:lang w:eastAsia="en-US"/>
        </w:rPr>
        <w:t xml:space="preserve"> </w:t>
      </w:r>
      <w:r w:rsidR="00E6232E" w:rsidRPr="000B7589">
        <w:rPr>
          <w:lang w:eastAsia="en-US"/>
        </w:rPr>
        <w:t xml:space="preserve">and governments of all levels may incur costs </w:t>
      </w:r>
      <w:r w:rsidR="001D30B9">
        <w:rPr>
          <w:lang w:eastAsia="en-US"/>
        </w:rPr>
        <w:t>due to</w:t>
      </w:r>
      <w:r w:rsidR="00E6232E" w:rsidRPr="000B7589">
        <w:rPr>
          <w:lang w:eastAsia="en-US"/>
        </w:rPr>
        <w:t xml:space="preserve"> a need to transition from or decommission existing </w:t>
      </w:r>
      <w:r w:rsidR="009210C4">
        <w:rPr>
          <w:lang w:eastAsia="en-US"/>
        </w:rPr>
        <w:t>d</w:t>
      </w:r>
      <w:r w:rsidR="00E6232E" w:rsidRPr="000B7589">
        <w:rPr>
          <w:lang w:eastAsia="en-US"/>
        </w:rPr>
        <w:t xml:space="preserve">igital </w:t>
      </w:r>
      <w:r w:rsidR="0036387D">
        <w:rPr>
          <w:lang w:eastAsia="en-US"/>
        </w:rPr>
        <w:t>ID</w:t>
      </w:r>
      <w:r w:rsidR="0036387D" w:rsidRPr="000B7589">
        <w:rPr>
          <w:lang w:eastAsia="en-US"/>
        </w:rPr>
        <w:t xml:space="preserve"> </w:t>
      </w:r>
      <w:r w:rsidR="00E6232E" w:rsidRPr="000B7589">
        <w:rPr>
          <w:lang w:eastAsia="en-US"/>
        </w:rPr>
        <w:t xml:space="preserve">investments and services, where such platforms are under development. </w:t>
      </w:r>
      <w:r w:rsidR="00CB5752" w:rsidRPr="000B7589">
        <w:rPr>
          <w:lang w:eastAsia="en-US"/>
        </w:rPr>
        <w:t>However,</w:t>
      </w:r>
      <w:r w:rsidR="00E6232E" w:rsidRPr="000B7589">
        <w:rPr>
          <w:lang w:eastAsia="en-US"/>
        </w:rPr>
        <w:t xml:space="preserve"> as </w:t>
      </w:r>
      <w:r w:rsidR="004166E5">
        <w:rPr>
          <w:lang w:eastAsia="en-US"/>
        </w:rPr>
        <w:t>Digital ID</w:t>
      </w:r>
      <w:r w:rsidR="00E6232E" w:rsidRPr="000B7589">
        <w:rPr>
          <w:lang w:eastAsia="en-US"/>
        </w:rPr>
        <w:t xml:space="preserve"> remains voluntary, this </w:t>
      </w:r>
      <w:r w:rsidR="0064035D">
        <w:rPr>
          <w:lang w:eastAsia="en-US"/>
        </w:rPr>
        <w:t>regulatory scheme</w:t>
      </w:r>
      <w:r w:rsidR="0064035D" w:rsidRPr="000B7589">
        <w:rPr>
          <w:lang w:eastAsia="en-US"/>
        </w:rPr>
        <w:t xml:space="preserve"> </w:t>
      </w:r>
      <w:r w:rsidR="00E6232E" w:rsidRPr="000B7589">
        <w:rPr>
          <w:lang w:eastAsia="en-US"/>
        </w:rPr>
        <w:t>would not directly drive the decision that leads to these costs – rather, each agency would need to determine whether these costs are outweighed by the benefits of us</w:t>
      </w:r>
      <w:r w:rsidR="004166E5">
        <w:rPr>
          <w:lang w:eastAsia="en-US"/>
        </w:rPr>
        <w:t>e</w:t>
      </w:r>
      <w:r w:rsidR="00E6232E" w:rsidRPr="000B7589">
        <w:rPr>
          <w:lang w:eastAsia="en-US"/>
        </w:rPr>
        <w:t>.</w:t>
      </w:r>
    </w:p>
    <w:p w14:paraId="11EEEB75" w14:textId="4136DB67" w:rsidR="00E6232E" w:rsidRPr="000B7589" w:rsidRDefault="00211196" w:rsidP="004C5B59">
      <w:pPr>
        <w:pStyle w:val="BodyText"/>
        <w:rPr>
          <w:lang w:eastAsia="en-US"/>
        </w:rPr>
      </w:pPr>
      <w:r>
        <w:rPr>
          <w:lang w:eastAsia="en-US"/>
        </w:rPr>
        <w:t>Australian Government agencies and</w:t>
      </w:r>
      <w:r w:rsidR="00E6232E" w:rsidRPr="000B7589">
        <w:rPr>
          <w:lang w:eastAsia="en-US"/>
        </w:rPr>
        <w:t xml:space="preserve"> state and territory governments may incur some costs associated with updating existing legislation, regulation or policies, to ensure align</w:t>
      </w:r>
      <w:r w:rsidR="00B201FE">
        <w:rPr>
          <w:lang w:eastAsia="en-US"/>
        </w:rPr>
        <w:t>ment</w:t>
      </w:r>
      <w:r w:rsidR="00E6232E" w:rsidRPr="000B7589">
        <w:rPr>
          <w:lang w:eastAsia="en-US"/>
        </w:rPr>
        <w:t xml:space="preserve"> with the new</w:t>
      </w:r>
      <w:r w:rsidR="00AF6FB1">
        <w:rPr>
          <w:lang w:eastAsia="en-US"/>
        </w:rPr>
        <w:t xml:space="preserve"> regulatory scheme</w:t>
      </w:r>
      <w:r w:rsidR="00E6232E" w:rsidRPr="000B7589">
        <w:rPr>
          <w:lang w:eastAsia="en-US"/>
        </w:rPr>
        <w:t xml:space="preserve">. This may include costs associated with updates </w:t>
      </w:r>
      <w:r w:rsidR="001F4A4A">
        <w:rPr>
          <w:lang w:eastAsia="en-US"/>
        </w:rPr>
        <w:t>for</w:t>
      </w:r>
      <w:r w:rsidR="00E6232E" w:rsidRPr="000B7589">
        <w:rPr>
          <w:lang w:eastAsia="en-US"/>
        </w:rPr>
        <w:t xml:space="preserve"> new privacy or security requirements, as well as the flow-on costs of complying with any increased privacy standards. These costs are expected to be limited for most jurisdictions which already have standalone privacy legislation in place, and nil for </w:t>
      </w:r>
      <w:r w:rsidR="00FA7DFC">
        <w:rPr>
          <w:lang w:eastAsia="en-US"/>
        </w:rPr>
        <w:t>G</w:t>
      </w:r>
      <w:r w:rsidR="00FA7DFC" w:rsidRPr="000B7589">
        <w:rPr>
          <w:lang w:eastAsia="en-US"/>
        </w:rPr>
        <w:t xml:space="preserve">overnment </w:t>
      </w:r>
      <w:r w:rsidR="00E6232E" w:rsidRPr="000B7589">
        <w:rPr>
          <w:lang w:eastAsia="en-US"/>
        </w:rPr>
        <w:t xml:space="preserve">entities </w:t>
      </w:r>
      <w:r w:rsidR="00D7031F">
        <w:rPr>
          <w:lang w:eastAsia="en-US"/>
        </w:rPr>
        <w:t>since they</w:t>
      </w:r>
      <w:r w:rsidR="00D7031F" w:rsidRPr="000B7589">
        <w:rPr>
          <w:lang w:eastAsia="en-US"/>
        </w:rPr>
        <w:t xml:space="preserve"> </w:t>
      </w:r>
      <w:r w:rsidR="00E6232E" w:rsidRPr="000B7589">
        <w:rPr>
          <w:lang w:eastAsia="en-US"/>
        </w:rPr>
        <w:t>are already subject to the national privacy regime. They are likely to be greater for South Australia and Western Australia which currently do not have established state-based privacy regimes.</w:t>
      </w:r>
    </w:p>
    <w:p w14:paraId="15CBA972" w14:textId="4231041B" w:rsidR="00E6232E" w:rsidRPr="000B7589" w:rsidRDefault="00E6232E" w:rsidP="004C5B59">
      <w:pPr>
        <w:pStyle w:val="BodyText"/>
        <w:rPr>
          <w:lang w:eastAsia="en-US"/>
        </w:rPr>
      </w:pPr>
      <w:r w:rsidRPr="000B7589">
        <w:rPr>
          <w:lang w:eastAsia="en-US"/>
        </w:rPr>
        <w:t xml:space="preserve">The </w:t>
      </w:r>
      <w:r w:rsidR="00AF6FB1">
        <w:rPr>
          <w:lang w:eastAsia="en-US"/>
        </w:rPr>
        <w:t>regulatory scheme’s</w:t>
      </w:r>
      <w:r w:rsidR="00AF6FB1" w:rsidRPr="000B7589">
        <w:rPr>
          <w:lang w:eastAsia="en-US"/>
        </w:rPr>
        <w:t xml:space="preserve"> </w:t>
      </w:r>
      <w:r w:rsidRPr="000B7589">
        <w:rPr>
          <w:lang w:eastAsia="en-US"/>
        </w:rPr>
        <w:t xml:space="preserve">intended </w:t>
      </w:r>
      <w:r w:rsidR="00AF6FB1">
        <w:rPr>
          <w:lang w:eastAsia="en-US"/>
        </w:rPr>
        <w:t xml:space="preserve">leveraging </w:t>
      </w:r>
      <w:r w:rsidRPr="000B7589">
        <w:rPr>
          <w:lang w:eastAsia="en-US"/>
        </w:rPr>
        <w:t xml:space="preserve">of certain requirements under the </w:t>
      </w:r>
      <w:r w:rsidR="00672834">
        <w:rPr>
          <w:lang w:eastAsia="en-US"/>
        </w:rPr>
        <w:t>NDB</w:t>
      </w:r>
      <w:r w:rsidRPr="000B7589">
        <w:rPr>
          <w:lang w:eastAsia="en-US"/>
        </w:rPr>
        <w:t xml:space="preserve"> Scheme to apply to all participants (including state and territory governments, which currently are not subject to the </w:t>
      </w:r>
      <w:r w:rsidR="00D22708">
        <w:rPr>
          <w:lang w:eastAsia="en-US"/>
        </w:rPr>
        <w:t xml:space="preserve">NDB </w:t>
      </w:r>
      <w:r w:rsidRPr="000B7589">
        <w:rPr>
          <w:lang w:eastAsia="en-US"/>
        </w:rPr>
        <w:t xml:space="preserve">Scheme), will require entities to monitor data breaches and report these to the </w:t>
      </w:r>
      <w:r w:rsidR="001E3B4E">
        <w:rPr>
          <w:rFonts w:eastAsia="Calibri"/>
          <w:szCs w:val="20"/>
          <w:lang w:eastAsia="en-US"/>
        </w:rPr>
        <w:t xml:space="preserve">Oversight </w:t>
      </w:r>
      <w:r w:rsidRPr="000B7589">
        <w:rPr>
          <w:lang w:eastAsia="en-US"/>
        </w:rPr>
        <w:t xml:space="preserve">Authority and their own regulator. This new requirement may impose significant regulatory costs </w:t>
      </w:r>
      <w:r w:rsidR="003116D0">
        <w:rPr>
          <w:lang w:eastAsia="en-US"/>
        </w:rPr>
        <w:t>for</w:t>
      </w:r>
      <w:r w:rsidRPr="000B7589">
        <w:rPr>
          <w:lang w:eastAsia="en-US"/>
        </w:rPr>
        <w:t xml:space="preserve"> state and territory levels of government, where the NDB</w:t>
      </w:r>
      <w:r w:rsidR="00D7031F">
        <w:rPr>
          <w:lang w:eastAsia="en-US"/>
        </w:rPr>
        <w:t xml:space="preserve"> </w:t>
      </w:r>
      <w:r w:rsidRPr="000B7589">
        <w:rPr>
          <w:lang w:eastAsia="en-US"/>
        </w:rPr>
        <w:t>S</w:t>
      </w:r>
      <w:r w:rsidR="00D7031F">
        <w:rPr>
          <w:lang w:eastAsia="en-US"/>
        </w:rPr>
        <w:t>cheme</w:t>
      </w:r>
      <w:r w:rsidRPr="000B7589">
        <w:rPr>
          <w:lang w:eastAsia="en-US"/>
        </w:rPr>
        <w:t xml:space="preserve"> or comparable obligations do not currently operate. Further, states and territories will be subject to the charging regime, which presents a further potential cost. However, it should be noted that states and territories will be permitted to recover some costs through </w:t>
      </w:r>
      <w:r w:rsidR="002E01CC">
        <w:rPr>
          <w:lang w:eastAsia="en-US"/>
        </w:rPr>
        <w:t>r</w:t>
      </w:r>
      <w:r w:rsidRPr="000B7589">
        <w:rPr>
          <w:lang w:eastAsia="en-US"/>
        </w:rPr>
        <w:t xml:space="preserve">elying </w:t>
      </w:r>
      <w:r w:rsidR="002E01CC">
        <w:rPr>
          <w:lang w:eastAsia="en-US"/>
        </w:rPr>
        <w:t>p</w:t>
      </w:r>
      <w:r w:rsidRPr="000B7589">
        <w:rPr>
          <w:lang w:eastAsia="en-US"/>
        </w:rPr>
        <w:t xml:space="preserve">arties who seek to transact with state and territory government </w:t>
      </w:r>
      <w:r w:rsidR="00651CA6">
        <w:rPr>
          <w:lang w:eastAsia="en-US"/>
        </w:rPr>
        <w:t xml:space="preserve">onboarded </w:t>
      </w:r>
      <w:r w:rsidR="002E01CC">
        <w:rPr>
          <w:lang w:eastAsia="en-US"/>
        </w:rPr>
        <w:t>a</w:t>
      </w:r>
      <w:r w:rsidRPr="000B7589">
        <w:rPr>
          <w:lang w:eastAsia="en-US"/>
        </w:rPr>
        <w:t xml:space="preserve">ccredited </w:t>
      </w:r>
      <w:r w:rsidR="00651CA6">
        <w:rPr>
          <w:lang w:eastAsia="en-US"/>
        </w:rPr>
        <w:t>entities</w:t>
      </w:r>
      <w:r w:rsidRPr="000B7589">
        <w:rPr>
          <w:lang w:eastAsia="en-US"/>
        </w:rPr>
        <w:t xml:space="preserve">. </w:t>
      </w:r>
    </w:p>
    <w:p w14:paraId="413027E5" w14:textId="1917964A" w:rsidR="00E6232E" w:rsidRPr="000B7589" w:rsidRDefault="00E6232E" w:rsidP="004C5B59">
      <w:pPr>
        <w:pStyle w:val="BodyText"/>
        <w:rPr>
          <w:highlight w:val="yellow"/>
          <w:lang w:eastAsia="en-US"/>
        </w:rPr>
      </w:pPr>
      <w:r w:rsidRPr="4B98EAC4">
        <w:rPr>
          <w:rFonts w:eastAsia="Times New Roman"/>
          <w:b/>
          <w:color w:val="000000" w:themeColor="text1"/>
          <w:lang w:eastAsia="en-US"/>
        </w:rPr>
        <w:t>Assessment of net expected benefits:</w:t>
      </w:r>
      <w:r w:rsidRPr="4B98EAC4">
        <w:rPr>
          <w:rFonts w:eastAsia="Times New Roman"/>
          <w:color w:val="000000" w:themeColor="text1"/>
          <w:lang w:eastAsia="en-US"/>
        </w:rPr>
        <w:t xml:space="preserve"> </w:t>
      </w:r>
      <w:r w:rsidRPr="000B7589">
        <w:rPr>
          <w:rFonts w:eastAsia="Times New Roman"/>
          <w:lang w:eastAsia="en-US"/>
        </w:rPr>
        <w:t xml:space="preserve">The expansion to a wider range of </w:t>
      </w:r>
      <w:r w:rsidR="00FA7DFC">
        <w:rPr>
          <w:lang w:eastAsia="en-US"/>
        </w:rPr>
        <w:t>Australian Government</w:t>
      </w:r>
      <w:r w:rsidR="00FA7DFC" w:rsidRPr="000B7589" w:rsidDel="00FA7DFC">
        <w:rPr>
          <w:rFonts w:eastAsia="Times New Roman"/>
          <w:lang w:eastAsia="en-US"/>
        </w:rPr>
        <w:t xml:space="preserve"> </w:t>
      </w:r>
      <w:r w:rsidRPr="000B7589">
        <w:rPr>
          <w:rFonts w:eastAsia="Times New Roman"/>
          <w:lang w:eastAsia="en-US"/>
        </w:rPr>
        <w:t>entities</w:t>
      </w:r>
      <w:r w:rsidRPr="000B7589">
        <w:rPr>
          <w:lang w:eastAsia="en-US"/>
        </w:rPr>
        <w:t xml:space="preserve"> and state, territory and local governments creates the potential for very large efficiency gains in relation to identity verification. In addition to reducing manual handling of paperwork and freeing up resourc</w:t>
      </w:r>
      <w:r w:rsidR="009842B3">
        <w:rPr>
          <w:lang w:eastAsia="en-US"/>
        </w:rPr>
        <w:t>es</w:t>
      </w:r>
      <w:r w:rsidRPr="000B7589">
        <w:rPr>
          <w:lang w:eastAsia="en-US"/>
        </w:rPr>
        <w:t xml:space="preserve"> to focus on more complex/meaningful service delivery work, </w:t>
      </w:r>
      <w:r w:rsidR="00730BEC">
        <w:rPr>
          <w:lang w:eastAsia="en-US"/>
        </w:rPr>
        <w:t xml:space="preserve">Digital ID </w:t>
      </w:r>
      <w:r w:rsidRPr="000B7589">
        <w:rPr>
          <w:lang w:eastAsia="en-US"/>
        </w:rPr>
        <w:t xml:space="preserve">also allows government entities </w:t>
      </w:r>
      <w:r w:rsidRPr="000B7589">
        <w:rPr>
          <w:lang w:eastAsia="en-US"/>
        </w:rPr>
        <w:lastRenderedPageBreak/>
        <w:t xml:space="preserve">to offer citizens a better service experience. This is expected to generate intangible benefits </w:t>
      </w:r>
      <w:r w:rsidR="00C52FFA">
        <w:rPr>
          <w:lang w:eastAsia="en-US"/>
        </w:rPr>
        <w:t>in terms of</w:t>
      </w:r>
      <w:r w:rsidRPr="000B7589">
        <w:rPr>
          <w:lang w:eastAsia="en-US"/>
        </w:rPr>
        <w:t xml:space="preserve"> citizen satisfaction, staff experience and attachment which cannot be costed but will contribute to the overall benefits delivered by </w:t>
      </w:r>
      <w:r w:rsidR="00AF6FB1">
        <w:rPr>
          <w:lang w:eastAsia="en-US"/>
        </w:rPr>
        <w:t>Option 3</w:t>
      </w:r>
      <w:r w:rsidRPr="000B7589">
        <w:rPr>
          <w:lang w:eastAsia="en-US"/>
        </w:rPr>
        <w:t>.</w:t>
      </w:r>
    </w:p>
    <w:p w14:paraId="6F775FD8" w14:textId="51E39C63" w:rsidR="00E6232E" w:rsidRPr="000B7589" w:rsidRDefault="00E6232E" w:rsidP="004C5B59">
      <w:pPr>
        <w:pStyle w:val="BodyText"/>
        <w:rPr>
          <w:lang w:eastAsia="en-US"/>
        </w:rPr>
      </w:pPr>
      <w:r w:rsidRPr="000B7589">
        <w:rPr>
          <w:lang w:eastAsia="en-US"/>
        </w:rPr>
        <w:t xml:space="preserve">As with businesses, the expected costs of government compliance with this </w:t>
      </w:r>
      <w:r w:rsidR="00AF6FB1">
        <w:rPr>
          <w:lang w:eastAsia="en-US"/>
        </w:rPr>
        <w:t>regulatory scheme</w:t>
      </w:r>
      <w:r w:rsidR="00AF6FB1" w:rsidRPr="000B7589">
        <w:rPr>
          <w:lang w:eastAsia="en-US"/>
        </w:rPr>
        <w:t xml:space="preserve"> </w:t>
      </w:r>
      <w:r w:rsidRPr="000B7589">
        <w:rPr>
          <w:lang w:eastAsia="en-US"/>
        </w:rPr>
        <w:t xml:space="preserve">will vary depending on the baseline state of entities in relation to their current privacy, data reporting and other information-handling </w:t>
      </w:r>
      <w:r w:rsidR="0083783B">
        <w:rPr>
          <w:lang w:eastAsia="en-US"/>
        </w:rPr>
        <w:t>practices</w:t>
      </w:r>
      <w:r w:rsidRPr="000B7589">
        <w:rPr>
          <w:lang w:eastAsia="en-US"/>
        </w:rPr>
        <w:t xml:space="preserve">. Given that </w:t>
      </w:r>
      <w:r w:rsidR="004C300D" w:rsidRPr="000B7589">
        <w:rPr>
          <w:lang w:eastAsia="en-US"/>
        </w:rPr>
        <w:t>most</w:t>
      </w:r>
      <w:r w:rsidRPr="000B7589">
        <w:rPr>
          <w:lang w:eastAsia="en-US"/>
        </w:rPr>
        <w:t xml:space="preserve"> government entities are already subject to these obligations in some form, the transition costs and ongoing compliance costs are not anticipated to </w:t>
      </w:r>
      <w:r w:rsidR="00537C50">
        <w:rPr>
          <w:lang w:eastAsia="en-US"/>
        </w:rPr>
        <w:t xml:space="preserve">differ </w:t>
      </w:r>
      <w:r w:rsidRPr="000B7589">
        <w:rPr>
          <w:lang w:eastAsia="en-US"/>
        </w:rPr>
        <w:t xml:space="preserve">significantly from the status quo at this time. However, any state and territory governments participating as </w:t>
      </w:r>
      <w:r w:rsidR="00651CA6">
        <w:rPr>
          <w:lang w:eastAsia="en-US"/>
        </w:rPr>
        <w:t xml:space="preserve">onboarded </w:t>
      </w:r>
      <w:r w:rsidR="006E797D">
        <w:rPr>
          <w:lang w:eastAsia="en-US"/>
        </w:rPr>
        <w:t>a</w:t>
      </w:r>
      <w:r w:rsidRPr="000B7589">
        <w:rPr>
          <w:lang w:eastAsia="en-US"/>
        </w:rPr>
        <w:t xml:space="preserve">ccredited </w:t>
      </w:r>
      <w:r w:rsidR="00651CA6">
        <w:rPr>
          <w:lang w:eastAsia="en-US"/>
        </w:rPr>
        <w:t>entities</w:t>
      </w:r>
      <w:r w:rsidRPr="000B7589">
        <w:rPr>
          <w:lang w:eastAsia="en-US"/>
        </w:rPr>
        <w:t>, will face new regulatory requirements equivalent to those imposed by the NDB</w:t>
      </w:r>
      <w:r w:rsidR="00D7031F">
        <w:rPr>
          <w:lang w:eastAsia="en-US"/>
        </w:rPr>
        <w:t xml:space="preserve"> </w:t>
      </w:r>
      <w:r w:rsidRPr="000B7589">
        <w:rPr>
          <w:lang w:eastAsia="en-US"/>
        </w:rPr>
        <w:t>S</w:t>
      </w:r>
      <w:r w:rsidR="00D7031F">
        <w:rPr>
          <w:lang w:eastAsia="en-US"/>
        </w:rPr>
        <w:t>cheme</w:t>
      </w:r>
      <w:r w:rsidRPr="000B7589">
        <w:rPr>
          <w:lang w:eastAsia="en-US"/>
        </w:rPr>
        <w:t xml:space="preserve">. </w:t>
      </w:r>
      <w:r w:rsidR="21154DA2" w:rsidRPr="000B7589">
        <w:rPr>
          <w:lang w:eastAsia="en-US"/>
        </w:rPr>
        <w:t>Non-</w:t>
      </w:r>
      <w:r w:rsidR="00A01E11">
        <w:rPr>
          <w:lang w:eastAsia="en-US"/>
        </w:rPr>
        <w:t>Commonwealth</w:t>
      </w:r>
      <w:r w:rsidR="004E21BD">
        <w:rPr>
          <w:lang w:eastAsia="en-US"/>
        </w:rPr>
        <w:t xml:space="preserve"> </w:t>
      </w:r>
      <w:r w:rsidR="004F51AC">
        <w:rPr>
          <w:lang w:eastAsia="en-US"/>
        </w:rPr>
        <w:t>agencies</w:t>
      </w:r>
      <w:r w:rsidR="004F51AC" w:rsidRPr="000B7589">
        <w:rPr>
          <w:lang w:eastAsia="en-US"/>
        </w:rPr>
        <w:t xml:space="preserve"> </w:t>
      </w:r>
      <w:r w:rsidRPr="000B7589">
        <w:rPr>
          <w:lang w:eastAsia="en-US"/>
        </w:rPr>
        <w:t xml:space="preserve">will also be subject to </w:t>
      </w:r>
      <w:r w:rsidR="007639BF" w:rsidRPr="000B7589">
        <w:rPr>
          <w:lang w:eastAsia="en-US"/>
        </w:rPr>
        <w:t>the charging</w:t>
      </w:r>
      <w:r w:rsidRPr="000B7589">
        <w:rPr>
          <w:lang w:eastAsia="en-US"/>
        </w:rPr>
        <w:t xml:space="preserve"> regime, the details of which are still under development</w:t>
      </w:r>
      <w:r w:rsidR="00866122">
        <w:rPr>
          <w:lang w:eastAsia="en-US"/>
        </w:rPr>
        <w:t>,</w:t>
      </w:r>
      <w:r w:rsidRPr="000B7589">
        <w:rPr>
          <w:lang w:eastAsia="en-US"/>
        </w:rPr>
        <w:t xml:space="preserve"> </w:t>
      </w:r>
      <w:r w:rsidR="50624BD9" w:rsidRPr="000B7589">
        <w:rPr>
          <w:lang w:eastAsia="en-US"/>
        </w:rPr>
        <w:t>however,</w:t>
      </w:r>
      <w:r w:rsidRPr="000B7589">
        <w:rPr>
          <w:lang w:eastAsia="en-US"/>
        </w:rPr>
        <w:t xml:space="preserve"> will impact governments acting both as </w:t>
      </w:r>
      <w:r w:rsidR="002E01CC">
        <w:rPr>
          <w:lang w:eastAsia="en-US"/>
        </w:rPr>
        <w:t>r</w:t>
      </w:r>
      <w:r w:rsidRPr="000B7589">
        <w:rPr>
          <w:lang w:eastAsia="en-US"/>
        </w:rPr>
        <w:t xml:space="preserve">elying </w:t>
      </w:r>
      <w:r w:rsidR="002E01CC">
        <w:rPr>
          <w:lang w:eastAsia="en-US"/>
        </w:rPr>
        <w:t>p</w:t>
      </w:r>
      <w:r w:rsidRPr="000B7589">
        <w:rPr>
          <w:lang w:eastAsia="en-US"/>
        </w:rPr>
        <w:t xml:space="preserve">arties and </w:t>
      </w:r>
      <w:r w:rsidR="00651CA6">
        <w:rPr>
          <w:lang w:eastAsia="en-US"/>
        </w:rPr>
        <w:t xml:space="preserve">onboarded </w:t>
      </w:r>
      <w:r w:rsidR="002E01CC">
        <w:rPr>
          <w:lang w:eastAsia="en-US"/>
        </w:rPr>
        <w:t>a</w:t>
      </w:r>
      <w:r w:rsidRPr="000B7589">
        <w:rPr>
          <w:lang w:eastAsia="en-US"/>
        </w:rPr>
        <w:t xml:space="preserve">ccredited </w:t>
      </w:r>
      <w:r w:rsidR="00651CA6">
        <w:rPr>
          <w:lang w:eastAsia="en-US"/>
        </w:rPr>
        <w:t>entities</w:t>
      </w:r>
      <w:r w:rsidRPr="000B7589">
        <w:rPr>
          <w:lang w:eastAsia="en-US"/>
        </w:rPr>
        <w:t>.</w:t>
      </w:r>
    </w:p>
    <w:p w14:paraId="51A4D1A3" w14:textId="3FAE2401" w:rsidR="00E6232E" w:rsidRPr="000B7589" w:rsidRDefault="00E6232E" w:rsidP="004C5B59">
      <w:pPr>
        <w:pStyle w:val="BodyText"/>
        <w:rPr>
          <w:lang w:eastAsia="en-US"/>
        </w:rPr>
      </w:pPr>
      <w:r w:rsidRPr="000B7589">
        <w:rPr>
          <w:lang w:eastAsia="en-US"/>
        </w:rPr>
        <w:t xml:space="preserve">Overall, these factors are expected to amount to strongly positive net benefits for all levels of government from the expanded agency participation, increased citizen uptake and improved trust enabled by this </w:t>
      </w:r>
      <w:r w:rsidR="00AB1BCE">
        <w:rPr>
          <w:lang w:eastAsia="en-US"/>
        </w:rPr>
        <w:t>regulatory scheme</w:t>
      </w:r>
      <w:r w:rsidRPr="000B7589">
        <w:rPr>
          <w:lang w:eastAsia="en-US"/>
        </w:rPr>
        <w:t>.</w:t>
      </w:r>
    </w:p>
    <w:p w14:paraId="3B0B30E8" w14:textId="6E2D4EF9" w:rsidR="00E6232E" w:rsidRPr="00A01E11" w:rsidRDefault="00E6232E" w:rsidP="00C524C6">
      <w:pPr>
        <w:pStyle w:val="Heading3NoNumbers"/>
        <w:rPr>
          <w:color w:val="008675"/>
          <w:lang w:eastAsia="en-US"/>
        </w:rPr>
      </w:pPr>
      <w:bookmarkStart w:id="508" w:name="_Toc80884702"/>
      <w:bookmarkStart w:id="509" w:name="_Toc84925828"/>
      <w:bookmarkStart w:id="510" w:name="_Toc86070044"/>
      <w:r w:rsidRPr="00A01E11">
        <w:rPr>
          <w:color w:val="008675"/>
          <w:lang w:eastAsia="en-US"/>
        </w:rPr>
        <w:t>9.</w:t>
      </w:r>
      <w:r w:rsidR="00C524C6" w:rsidRPr="00A01E11">
        <w:rPr>
          <w:color w:val="008675"/>
          <w:lang w:eastAsia="en-US"/>
        </w:rPr>
        <w:t>1</w:t>
      </w:r>
      <w:r w:rsidRPr="00A01E11">
        <w:rPr>
          <w:color w:val="008675"/>
          <w:lang w:eastAsia="en-US"/>
        </w:rPr>
        <w:t>.4 Community</w:t>
      </w:r>
      <w:bookmarkEnd w:id="508"/>
      <w:bookmarkEnd w:id="509"/>
      <w:bookmarkEnd w:id="510"/>
    </w:p>
    <w:p w14:paraId="37601431" w14:textId="6F2A32CD" w:rsidR="00E6232E" w:rsidRPr="000B7589" w:rsidRDefault="00E6232E" w:rsidP="004C5B59">
      <w:pPr>
        <w:pStyle w:val="BodyText"/>
        <w:rPr>
          <w:lang w:eastAsia="en-US"/>
        </w:rPr>
      </w:pPr>
      <w:r w:rsidRPr="78F42BF0">
        <w:rPr>
          <w:lang w:eastAsia="en-US"/>
        </w:rPr>
        <w:t xml:space="preserve">With legislation facilitating an expansion, this is expected to lead to enhanced uptake and therefore familiarity with </w:t>
      </w:r>
      <w:r w:rsidR="00B9086C" w:rsidRPr="78F42BF0">
        <w:rPr>
          <w:lang w:eastAsia="en-US"/>
        </w:rPr>
        <w:t>di</w:t>
      </w:r>
      <w:r w:rsidRPr="78F42BF0">
        <w:rPr>
          <w:lang w:eastAsia="en-US"/>
        </w:rPr>
        <w:t xml:space="preserve">gital </w:t>
      </w:r>
      <w:r w:rsidR="000731D8" w:rsidRPr="78F42BF0">
        <w:rPr>
          <w:lang w:eastAsia="en-US"/>
        </w:rPr>
        <w:t xml:space="preserve">ID </w:t>
      </w:r>
      <w:r w:rsidRPr="78F42BF0">
        <w:rPr>
          <w:lang w:eastAsia="en-US"/>
        </w:rPr>
        <w:t xml:space="preserve">by individuals and businesses. As a result, the community may experience an increase in trust and greater confidence in </w:t>
      </w:r>
      <w:r w:rsidR="00B9086C" w:rsidRPr="78F42BF0">
        <w:rPr>
          <w:lang w:eastAsia="en-US"/>
        </w:rPr>
        <w:t xml:space="preserve">digital </w:t>
      </w:r>
      <w:r w:rsidR="000731D8" w:rsidRPr="78F42BF0">
        <w:rPr>
          <w:lang w:eastAsia="en-US"/>
        </w:rPr>
        <w:t xml:space="preserve">ID </w:t>
      </w:r>
      <w:r w:rsidRPr="78F42BF0">
        <w:rPr>
          <w:lang w:eastAsia="en-US"/>
        </w:rPr>
        <w:t xml:space="preserve">and related services. Such trust and confidence </w:t>
      </w:r>
      <w:r w:rsidR="292B71D5" w:rsidRPr="78F42BF0">
        <w:rPr>
          <w:lang w:eastAsia="en-US"/>
        </w:rPr>
        <w:t>are</w:t>
      </w:r>
      <w:r w:rsidRPr="78F42BF0">
        <w:rPr>
          <w:lang w:eastAsia="en-US"/>
        </w:rPr>
        <w:t xml:space="preserve"> only likely to grow as community exposure to the Program increases, and individuals are able to use </w:t>
      </w:r>
      <w:r w:rsidR="00730BEC" w:rsidRPr="78F42BF0">
        <w:rPr>
          <w:lang w:eastAsia="en-US"/>
        </w:rPr>
        <w:t>Digital ID</w:t>
      </w:r>
      <w:r w:rsidR="0078310B" w:rsidRPr="78F42BF0">
        <w:rPr>
          <w:lang w:eastAsia="en-US"/>
        </w:rPr>
        <w:t xml:space="preserve"> more frequently</w:t>
      </w:r>
      <w:r w:rsidRPr="78F42BF0">
        <w:rPr>
          <w:lang w:eastAsia="en-US"/>
        </w:rPr>
        <w:t xml:space="preserve"> on a day-to-day basis.</w:t>
      </w:r>
    </w:p>
    <w:p w14:paraId="7BF36274" w14:textId="4FA79783" w:rsidR="00E6232E" w:rsidRPr="000B7589" w:rsidRDefault="00E6232E" w:rsidP="004C5B59">
      <w:pPr>
        <w:pStyle w:val="BodyText"/>
        <w:rPr>
          <w:lang w:eastAsia="en-US"/>
        </w:rPr>
      </w:pPr>
      <w:r w:rsidRPr="000B7589">
        <w:rPr>
          <w:lang w:eastAsia="en-US"/>
        </w:rPr>
        <w:t xml:space="preserve">Legislation will enable community organisations to interact with </w:t>
      </w:r>
      <w:r w:rsidR="00730BEC">
        <w:rPr>
          <w:lang w:eastAsia="en-US"/>
        </w:rPr>
        <w:t>Digital ID</w:t>
      </w:r>
      <w:r w:rsidRPr="000B7589">
        <w:rPr>
          <w:lang w:eastAsia="en-US"/>
        </w:rPr>
        <w:t xml:space="preserve">, most likely as </w:t>
      </w:r>
      <w:r w:rsidR="00583A96">
        <w:rPr>
          <w:lang w:eastAsia="en-US"/>
        </w:rPr>
        <w:t>r</w:t>
      </w:r>
      <w:r w:rsidRPr="000B7589">
        <w:rPr>
          <w:lang w:eastAsia="en-US"/>
        </w:rPr>
        <w:t xml:space="preserve">elying </w:t>
      </w:r>
      <w:r w:rsidR="00583A96">
        <w:rPr>
          <w:lang w:eastAsia="en-US"/>
        </w:rPr>
        <w:t>p</w:t>
      </w:r>
      <w:r w:rsidRPr="000B7589">
        <w:rPr>
          <w:lang w:eastAsia="en-US"/>
        </w:rPr>
        <w:t>arties. As such, improvements to the speed with which they interact with a wider range of government and private sector entities will result in time and cost savings, as well as increased productivity. Further, community organisations will enjoy greater efficiency in their customer operations and reduced manual handling where, for example, a housing service provider is required to interact with multiple entities to verify a customer’s identity. These time and cost savings are particularly significant where such organisations have access to limited resources</w:t>
      </w:r>
      <w:r w:rsidR="00D24CD3">
        <w:rPr>
          <w:lang w:eastAsia="en-US"/>
        </w:rPr>
        <w:t>.</w:t>
      </w:r>
    </w:p>
    <w:p w14:paraId="4315075C" w14:textId="35AFB1F9" w:rsidR="00E6232E" w:rsidRPr="000B7589" w:rsidRDefault="00E6232E" w:rsidP="004C5B59">
      <w:pPr>
        <w:pStyle w:val="BodyText"/>
        <w:rPr>
          <w:lang w:eastAsia="en-US"/>
        </w:rPr>
      </w:pPr>
      <w:r w:rsidRPr="000B7589">
        <w:rPr>
          <w:lang w:eastAsia="en-US"/>
        </w:rPr>
        <w:lastRenderedPageBreak/>
        <w:t xml:space="preserve">There are likely very limited cost implications for the community from enshrining principles, governance and requirements in </w:t>
      </w:r>
      <w:r w:rsidR="00AB1BCE">
        <w:rPr>
          <w:lang w:eastAsia="en-US"/>
        </w:rPr>
        <w:t>the proposed new regulatory regime</w:t>
      </w:r>
      <w:r w:rsidRPr="000B7589">
        <w:rPr>
          <w:lang w:eastAsia="en-US"/>
        </w:rPr>
        <w:t xml:space="preserve">. Benefits to the community, including enhanced trust and confidence, will flow from individuals’ largely free participation in </w:t>
      </w:r>
      <w:r w:rsidR="00EB2443">
        <w:rPr>
          <w:lang w:eastAsia="en-US"/>
        </w:rPr>
        <w:t>Digital ID</w:t>
      </w:r>
      <w:r w:rsidRPr="000B7589">
        <w:rPr>
          <w:lang w:eastAsia="en-US"/>
        </w:rPr>
        <w:t>.</w:t>
      </w:r>
    </w:p>
    <w:p w14:paraId="18C81AC8" w14:textId="55E261AF" w:rsidR="00E6232E" w:rsidRPr="000B7589" w:rsidRDefault="00E6232E" w:rsidP="004C5B59">
      <w:pPr>
        <w:pStyle w:val="BodyText"/>
        <w:rPr>
          <w:lang w:eastAsia="en-US"/>
        </w:rPr>
      </w:pPr>
      <w:r w:rsidRPr="000B7589">
        <w:rPr>
          <w:lang w:eastAsia="en-US"/>
        </w:rPr>
        <w:t xml:space="preserve">Similarly, where community organisations participate as </w:t>
      </w:r>
      <w:r w:rsidR="00583A96">
        <w:rPr>
          <w:lang w:eastAsia="en-US"/>
        </w:rPr>
        <w:t>r</w:t>
      </w:r>
      <w:r w:rsidRPr="000B7589">
        <w:rPr>
          <w:lang w:eastAsia="en-US"/>
        </w:rPr>
        <w:t xml:space="preserve">elying </w:t>
      </w:r>
      <w:r w:rsidR="00583A96">
        <w:rPr>
          <w:lang w:eastAsia="en-US"/>
        </w:rPr>
        <w:t>p</w:t>
      </w:r>
      <w:r w:rsidRPr="000B7589">
        <w:rPr>
          <w:lang w:eastAsia="en-US"/>
        </w:rPr>
        <w:t xml:space="preserve">arties, the costs incurred will be limited, as regulatory measures </w:t>
      </w:r>
      <w:r w:rsidR="00191652">
        <w:rPr>
          <w:lang w:eastAsia="en-US"/>
        </w:rPr>
        <w:t>are</w:t>
      </w:r>
      <w:r w:rsidR="00191652" w:rsidRPr="000B7589">
        <w:rPr>
          <w:lang w:eastAsia="en-US"/>
        </w:rPr>
        <w:t xml:space="preserve"> </w:t>
      </w:r>
      <w:r w:rsidRPr="000B7589">
        <w:rPr>
          <w:lang w:eastAsia="en-US"/>
        </w:rPr>
        <w:t xml:space="preserve">predominantly </w:t>
      </w:r>
      <w:r w:rsidR="00191652">
        <w:rPr>
          <w:lang w:eastAsia="en-US"/>
        </w:rPr>
        <w:t xml:space="preserve">focused on </w:t>
      </w:r>
      <w:r w:rsidR="00651CA6">
        <w:rPr>
          <w:lang w:eastAsia="en-US"/>
        </w:rPr>
        <w:t xml:space="preserve">onboarded </w:t>
      </w:r>
      <w:r w:rsidR="00583A96">
        <w:rPr>
          <w:lang w:eastAsia="en-US"/>
        </w:rPr>
        <w:t>a</w:t>
      </w:r>
      <w:r w:rsidRPr="000B7589">
        <w:rPr>
          <w:lang w:eastAsia="en-US"/>
        </w:rPr>
        <w:t xml:space="preserve">ccredited </w:t>
      </w:r>
      <w:r w:rsidR="00651CA6">
        <w:rPr>
          <w:lang w:eastAsia="en-US"/>
        </w:rPr>
        <w:t>entities</w:t>
      </w:r>
      <w:r w:rsidRPr="000B7589">
        <w:rPr>
          <w:lang w:eastAsia="en-US"/>
        </w:rPr>
        <w:t xml:space="preserve">. However, it should be noted that decisions surrounding the extent to which costs levied under the charging regime will be passed on are relevant for community organisations. If such organisations are charged for their participation (as </w:t>
      </w:r>
      <w:r w:rsidR="00583A96">
        <w:rPr>
          <w:lang w:eastAsia="en-US"/>
        </w:rPr>
        <w:t>r</w:t>
      </w:r>
      <w:r w:rsidRPr="000B7589">
        <w:rPr>
          <w:lang w:eastAsia="en-US"/>
        </w:rPr>
        <w:t xml:space="preserve">elying </w:t>
      </w:r>
      <w:r w:rsidR="00583A96">
        <w:rPr>
          <w:lang w:eastAsia="en-US"/>
        </w:rPr>
        <w:t>p</w:t>
      </w:r>
      <w:r w:rsidRPr="000B7589">
        <w:rPr>
          <w:lang w:eastAsia="en-US"/>
        </w:rPr>
        <w:t>arties), this may have cost implications for community providers.</w:t>
      </w:r>
    </w:p>
    <w:p w14:paraId="4FB833A3" w14:textId="68CD491F" w:rsidR="00E6232E" w:rsidRPr="000B7589" w:rsidRDefault="00E6232E" w:rsidP="004C5B59">
      <w:pPr>
        <w:pStyle w:val="BodyText"/>
        <w:rPr>
          <w:lang w:eastAsia="en-US"/>
        </w:rPr>
      </w:pPr>
      <w:r w:rsidRPr="000B7589">
        <w:rPr>
          <w:rFonts w:eastAsia="Times New Roman"/>
          <w:b/>
          <w:bCs/>
          <w:color w:val="000000"/>
          <w:lang w:eastAsia="en-US"/>
        </w:rPr>
        <w:t>Assessment of net expected benefits</w:t>
      </w:r>
      <w:r w:rsidRPr="000B7589">
        <w:rPr>
          <w:rFonts w:eastAsia="Yu Gothic Light"/>
          <w:b/>
          <w:bCs/>
          <w:color w:val="000000"/>
          <w:lang w:eastAsia="en-US"/>
        </w:rPr>
        <w:t>:</w:t>
      </w:r>
      <w:r w:rsidRPr="000B7589">
        <w:rPr>
          <w:rFonts w:eastAsia="Times New Roman"/>
          <w:color w:val="000000"/>
          <w:lang w:eastAsia="en-US"/>
        </w:rPr>
        <w:t xml:space="preserve"> </w:t>
      </w:r>
      <w:r w:rsidRPr="000B7589">
        <w:rPr>
          <w:rFonts w:eastAsia="Times New Roman"/>
          <w:lang w:eastAsia="en-US"/>
        </w:rPr>
        <w:t>There are strongly</w:t>
      </w:r>
      <w:r w:rsidRPr="000B7589">
        <w:rPr>
          <w:lang w:eastAsia="en-US"/>
        </w:rPr>
        <w:t xml:space="preserve"> positive benefits for the community, emerging from the introduction of the </w:t>
      </w:r>
      <w:r w:rsidR="008E569C">
        <w:rPr>
          <w:lang w:eastAsia="en-US"/>
        </w:rPr>
        <w:t>regulatory scheme</w:t>
      </w:r>
      <w:r w:rsidRPr="000B7589">
        <w:rPr>
          <w:lang w:eastAsia="en-US"/>
        </w:rPr>
        <w:t xml:space="preserve">. These include enhanced feelings of trust and confidence across the community </w:t>
      </w:r>
      <w:r w:rsidR="00B9086C">
        <w:rPr>
          <w:lang w:eastAsia="en-US"/>
        </w:rPr>
        <w:t xml:space="preserve">and </w:t>
      </w:r>
      <w:r w:rsidRPr="000B7589">
        <w:rPr>
          <w:lang w:eastAsia="en-US"/>
        </w:rPr>
        <w:t xml:space="preserve">services – which, although </w:t>
      </w:r>
      <w:r w:rsidR="004725D5">
        <w:rPr>
          <w:lang w:eastAsia="en-US"/>
        </w:rPr>
        <w:t xml:space="preserve">unable to be quantified, </w:t>
      </w:r>
      <w:r w:rsidRPr="000B7589">
        <w:rPr>
          <w:lang w:eastAsia="en-US"/>
        </w:rPr>
        <w:t xml:space="preserve">contribute to the overall benefit to the community under Option 3. Further, community organisations in particular </w:t>
      </w:r>
      <w:r w:rsidR="004725D5" w:rsidRPr="000B7589">
        <w:rPr>
          <w:lang w:eastAsia="en-US"/>
        </w:rPr>
        <w:t xml:space="preserve">stand to benefit </w:t>
      </w:r>
      <w:r w:rsidRPr="000B7589">
        <w:rPr>
          <w:lang w:eastAsia="en-US"/>
        </w:rPr>
        <w:t>from efficiency gains and reduced manual handling.</w:t>
      </w:r>
      <w:r w:rsidRPr="000B7589">
        <w:rPr>
          <w:rFonts w:eastAsia="Times New Roman"/>
          <w:color w:val="1F3763"/>
          <w:lang w:eastAsia="en-US"/>
        </w:rPr>
        <w:t xml:space="preserve"> </w:t>
      </w:r>
    </w:p>
    <w:p w14:paraId="68A1CAE8" w14:textId="23F362ED" w:rsidR="00E6232E" w:rsidRPr="000B7589" w:rsidRDefault="00E6232E" w:rsidP="004C5B59">
      <w:pPr>
        <w:pStyle w:val="BodyText"/>
        <w:rPr>
          <w:lang w:eastAsia="en-US"/>
        </w:rPr>
      </w:pPr>
      <w:r w:rsidRPr="000B7589">
        <w:rPr>
          <w:lang w:eastAsia="en-US"/>
        </w:rPr>
        <w:t xml:space="preserve">While community organisations choosing to participate will be subject to costs levied under the charging </w:t>
      </w:r>
      <w:r w:rsidR="00656328">
        <w:rPr>
          <w:lang w:eastAsia="en-US"/>
        </w:rPr>
        <w:t>scheme</w:t>
      </w:r>
      <w:r w:rsidRPr="000B7589">
        <w:rPr>
          <w:lang w:eastAsia="en-US"/>
        </w:rPr>
        <w:t xml:space="preserve">, costs to community organisations as </w:t>
      </w:r>
      <w:r w:rsidR="00583A96">
        <w:rPr>
          <w:lang w:eastAsia="en-US"/>
        </w:rPr>
        <w:t>r</w:t>
      </w:r>
      <w:r w:rsidRPr="000B7589">
        <w:rPr>
          <w:lang w:eastAsia="en-US"/>
        </w:rPr>
        <w:t xml:space="preserve">elying </w:t>
      </w:r>
      <w:r w:rsidR="00583A96">
        <w:rPr>
          <w:lang w:eastAsia="en-US"/>
        </w:rPr>
        <w:t>p</w:t>
      </w:r>
      <w:r w:rsidRPr="000B7589">
        <w:rPr>
          <w:lang w:eastAsia="en-US"/>
        </w:rPr>
        <w:t xml:space="preserve">arties, and to the </w:t>
      </w:r>
      <w:r w:rsidR="00555F03">
        <w:rPr>
          <w:lang w:eastAsia="en-US"/>
        </w:rPr>
        <w:t xml:space="preserve">overall </w:t>
      </w:r>
      <w:r w:rsidRPr="000B7589">
        <w:rPr>
          <w:lang w:eastAsia="en-US"/>
        </w:rPr>
        <w:t>community, are likely very limited.</w:t>
      </w:r>
    </w:p>
    <w:p w14:paraId="21F20631" w14:textId="34B0093D" w:rsidR="00E6232E" w:rsidRPr="00656328" w:rsidRDefault="00E6232E" w:rsidP="00E61378">
      <w:pPr>
        <w:pStyle w:val="Heading2NoNumbers"/>
        <w:rPr>
          <w:color w:val="008675"/>
        </w:rPr>
      </w:pPr>
      <w:bookmarkStart w:id="511" w:name="Regulatoryimpacts9point2"/>
      <w:bookmarkStart w:id="512" w:name="_Toc80884703"/>
      <w:bookmarkStart w:id="513" w:name="_Toc81226647"/>
      <w:bookmarkStart w:id="514" w:name="_Toc81226923"/>
      <w:bookmarkStart w:id="515" w:name="_Toc81228267"/>
      <w:bookmarkStart w:id="516" w:name="_Toc83951210"/>
      <w:bookmarkStart w:id="517" w:name="_Toc84925829"/>
      <w:bookmarkStart w:id="518" w:name="_Toc84925908"/>
      <w:bookmarkStart w:id="519" w:name="_Toc86045152"/>
      <w:bookmarkStart w:id="520" w:name="_Toc86070045"/>
      <w:bookmarkStart w:id="521" w:name="_Toc149740355"/>
      <w:bookmarkStart w:id="522" w:name="section92"/>
      <w:bookmarkEnd w:id="511"/>
      <w:r w:rsidRPr="00656328">
        <w:rPr>
          <w:color w:val="008675"/>
        </w:rPr>
        <w:t xml:space="preserve">9.2 Regulatory </w:t>
      </w:r>
      <w:r w:rsidR="00695EFB" w:rsidRPr="00656328">
        <w:rPr>
          <w:color w:val="008675"/>
        </w:rPr>
        <w:t>i</w:t>
      </w:r>
      <w:r w:rsidRPr="00656328">
        <w:rPr>
          <w:color w:val="008675"/>
        </w:rPr>
        <w:t>mpacts</w:t>
      </w:r>
      <w:bookmarkEnd w:id="512"/>
      <w:bookmarkEnd w:id="513"/>
      <w:bookmarkEnd w:id="514"/>
      <w:bookmarkEnd w:id="515"/>
      <w:bookmarkEnd w:id="516"/>
      <w:bookmarkEnd w:id="517"/>
      <w:bookmarkEnd w:id="518"/>
      <w:bookmarkEnd w:id="519"/>
      <w:bookmarkEnd w:id="520"/>
      <w:bookmarkEnd w:id="521"/>
    </w:p>
    <w:p w14:paraId="35862666" w14:textId="09EA52ED" w:rsidR="003727E7" w:rsidRPr="00656328" w:rsidRDefault="003727E7" w:rsidP="003727E7">
      <w:pPr>
        <w:pStyle w:val="Heading3NoNumbers"/>
        <w:rPr>
          <w:color w:val="008675"/>
        </w:rPr>
      </w:pPr>
      <w:bookmarkStart w:id="523" w:name="_Toc86070046"/>
      <w:bookmarkEnd w:id="522"/>
      <w:r w:rsidRPr="00656328">
        <w:rPr>
          <w:color w:val="008675"/>
        </w:rPr>
        <w:t>9.2.1 Overview</w:t>
      </w:r>
      <w:bookmarkEnd w:id="523"/>
    </w:p>
    <w:p w14:paraId="596966F6" w14:textId="448B21CC" w:rsidR="003934F5" w:rsidRPr="00D440AF" w:rsidRDefault="00E6232E" w:rsidP="00062A60">
      <w:pPr>
        <w:pStyle w:val="BodyText"/>
      </w:pPr>
      <w:r w:rsidRPr="00D440AF">
        <w:t xml:space="preserve">Of all options, Option 3 involves the most significant regulatory costs for the categories of regulated entities, being </w:t>
      </w:r>
      <w:r w:rsidR="00E96EC0">
        <w:t>r</w:t>
      </w:r>
      <w:r w:rsidRPr="00D440AF">
        <w:t xml:space="preserve">elying </w:t>
      </w:r>
      <w:r w:rsidR="00E96EC0">
        <w:t>p</w:t>
      </w:r>
      <w:r w:rsidRPr="00D440AF">
        <w:t xml:space="preserve">arties, </w:t>
      </w:r>
      <w:r w:rsidR="00E96EC0">
        <w:t>a</w:t>
      </w:r>
      <w:r w:rsidRPr="00D440AF">
        <w:t xml:space="preserve">ccredited </w:t>
      </w:r>
      <w:r w:rsidR="00E96EC0">
        <w:t>e</w:t>
      </w:r>
      <w:r w:rsidRPr="00D440AF">
        <w:t xml:space="preserve">ntities and </w:t>
      </w:r>
      <w:r w:rsidR="00651CA6">
        <w:t xml:space="preserve">onboarded </w:t>
      </w:r>
      <w:r w:rsidR="00E96EC0">
        <w:t>a</w:t>
      </w:r>
      <w:r w:rsidRPr="00D440AF">
        <w:t xml:space="preserve">ccredited </w:t>
      </w:r>
      <w:r w:rsidR="001774BD">
        <w:t>entities</w:t>
      </w:r>
      <w:r w:rsidR="001774BD" w:rsidRPr="00D440AF">
        <w:t>.</w:t>
      </w:r>
      <w:r w:rsidR="001774BD">
        <w:t xml:space="preserve"> </w:t>
      </w:r>
      <w:r w:rsidR="001774BD" w:rsidRPr="00D440AF">
        <w:t>The</w:t>
      </w:r>
      <w:r w:rsidR="009C261C">
        <w:t xml:space="preserve">se estimated regulatory costs have been </w:t>
      </w:r>
      <w:r w:rsidR="0083783B">
        <w:t xml:space="preserve">informed </w:t>
      </w:r>
      <w:r w:rsidR="00CC34D0">
        <w:t xml:space="preserve">through the </w:t>
      </w:r>
      <w:hyperlink r:id="rId83" w:history="1">
        <w:r w:rsidR="00CC34D0" w:rsidRPr="00656328">
          <w:rPr>
            <w:rStyle w:val="Hyperlink"/>
            <w:color w:val="008675"/>
          </w:rPr>
          <w:t>Consultation RIS</w:t>
        </w:r>
      </w:hyperlink>
      <w:r w:rsidR="001D40BD">
        <w:t xml:space="preserve">, which </w:t>
      </w:r>
      <w:r w:rsidR="00E3704B">
        <w:t xml:space="preserve">provided a </w:t>
      </w:r>
      <w:r w:rsidR="009C261C">
        <w:t xml:space="preserve">detailed </w:t>
      </w:r>
      <w:r w:rsidR="00E3704B">
        <w:t xml:space="preserve">list of regulatory impacts </w:t>
      </w:r>
      <w:r w:rsidR="00705FC1">
        <w:t>within the Bill for each stakeholder group</w:t>
      </w:r>
      <w:r w:rsidR="0083783B">
        <w:t xml:space="preserve"> and tested the accuracy of estimates</w:t>
      </w:r>
      <w:r w:rsidR="00CC34D0">
        <w:t xml:space="preserve">. </w:t>
      </w:r>
      <w:r w:rsidR="00910732">
        <w:t xml:space="preserve">The regulatory impacts </w:t>
      </w:r>
      <w:r w:rsidR="00E74F55">
        <w:t>of</w:t>
      </w:r>
      <w:r w:rsidR="00910732">
        <w:t xml:space="preserve"> Option 3 can be summarised into the categories</w:t>
      </w:r>
      <w:r w:rsidR="00E74F55">
        <w:t xml:space="preserve"> below.</w:t>
      </w:r>
    </w:p>
    <w:p w14:paraId="2916E815" w14:textId="2A7420D9" w:rsidR="00062A60" w:rsidRPr="00C87316" w:rsidRDefault="00062A60" w:rsidP="00F409BB">
      <w:pPr>
        <w:pStyle w:val="BodyTextemphasised"/>
        <w:numPr>
          <w:ilvl w:val="0"/>
          <w:numId w:val="6"/>
        </w:numPr>
        <w:spacing w:before="240" w:after="240"/>
        <w:rPr>
          <w:color w:val="auto"/>
          <w:lang w:eastAsia="en-US"/>
        </w:rPr>
      </w:pPr>
      <w:bookmarkStart w:id="524" w:name="_Toc84925830"/>
      <w:r w:rsidRPr="002C13D5">
        <w:rPr>
          <w:rStyle w:val="Bold"/>
          <w:b/>
          <w:bCs/>
          <w:color w:val="auto"/>
        </w:rPr>
        <w:t>Applications</w:t>
      </w:r>
      <w:bookmarkEnd w:id="524"/>
      <w:r w:rsidR="00A45C2B" w:rsidRPr="002C13D5">
        <w:rPr>
          <w:rStyle w:val="Bold"/>
          <w:color w:val="auto"/>
        </w:rPr>
        <w:t>:</w:t>
      </w:r>
      <w:r w:rsidR="00C87316" w:rsidRPr="002C13D5">
        <w:rPr>
          <w:rStyle w:val="Bold"/>
          <w:b/>
          <w:bCs/>
          <w:color w:val="auto"/>
        </w:rPr>
        <w:t xml:space="preserve"> </w:t>
      </w:r>
      <w:r w:rsidRPr="002C13D5">
        <w:rPr>
          <w:b w:val="0"/>
          <w:bCs/>
          <w:color w:val="auto"/>
          <w:lang w:eastAsia="en-US"/>
        </w:rPr>
        <w:t xml:space="preserve">The application/s that various entities would need to submit under Option 3. Depending on the type of entity, these may include applications for </w:t>
      </w:r>
      <w:r w:rsidRPr="002C13D5">
        <w:rPr>
          <w:b w:val="0"/>
          <w:bCs/>
          <w:color w:val="auto"/>
          <w:lang w:eastAsia="en-US"/>
        </w:rPr>
        <w:lastRenderedPageBreak/>
        <w:t xml:space="preserve">accreditation and/or onboarding. </w:t>
      </w:r>
      <w:r w:rsidR="009136C4" w:rsidRPr="002C13D5">
        <w:rPr>
          <w:b w:val="0"/>
          <w:bCs/>
          <w:color w:val="auto"/>
          <w:lang w:eastAsia="en-US"/>
        </w:rPr>
        <w:t>The</w:t>
      </w:r>
      <w:r w:rsidR="00043D07" w:rsidRPr="002C13D5">
        <w:rPr>
          <w:b w:val="0"/>
          <w:bCs/>
          <w:color w:val="auto"/>
          <w:lang w:eastAsia="en-US"/>
        </w:rPr>
        <w:t xml:space="preserve"> Bill provides </w:t>
      </w:r>
      <w:r w:rsidR="005315FE" w:rsidRPr="002C13D5">
        <w:rPr>
          <w:b w:val="0"/>
          <w:bCs/>
          <w:color w:val="auto"/>
          <w:lang w:eastAsia="en-US"/>
        </w:rPr>
        <w:t>high-level requirements for when applications</w:t>
      </w:r>
      <w:r w:rsidR="005315FE" w:rsidRPr="002C13D5">
        <w:rPr>
          <w:color w:val="auto"/>
          <w:lang w:eastAsia="en-US"/>
        </w:rPr>
        <w:t xml:space="preserve"> </w:t>
      </w:r>
      <w:r w:rsidR="005315FE" w:rsidRPr="002C13D5">
        <w:rPr>
          <w:b w:val="0"/>
          <w:bCs/>
          <w:color w:val="auto"/>
          <w:lang w:eastAsia="en-US"/>
        </w:rPr>
        <w:t xml:space="preserve">must be made, with the rules </w:t>
      </w:r>
      <w:r w:rsidR="00043D07" w:rsidRPr="002C13D5">
        <w:rPr>
          <w:b w:val="0"/>
          <w:bCs/>
          <w:color w:val="auto"/>
          <w:lang w:eastAsia="en-US"/>
        </w:rPr>
        <w:t>outli</w:t>
      </w:r>
      <w:r w:rsidR="005315FE" w:rsidRPr="002C13D5">
        <w:rPr>
          <w:b w:val="0"/>
          <w:bCs/>
          <w:color w:val="auto"/>
          <w:lang w:eastAsia="en-US"/>
        </w:rPr>
        <w:t>ning relevant</w:t>
      </w:r>
      <w:r w:rsidR="00043D07" w:rsidRPr="002C13D5">
        <w:rPr>
          <w:b w:val="0"/>
          <w:bCs/>
          <w:color w:val="auto"/>
          <w:lang w:eastAsia="en-US"/>
        </w:rPr>
        <w:t xml:space="preserve"> content requirements.</w:t>
      </w:r>
    </w:p>
    <w:p w14:paraId="1018C5CB" w14:textId="03AC60A5" w:rsidR="00062A60" w:rsidRPr="002C13D5" w:rsidRDefault="00062A60" w:rsidP="00F409BB">
      <w:pPr>
        <w:pStyle w:val="BodyTextemphasised"/>
        <w:numPr>
          <w:ilvl w:val="0"/>
          <w:numId w:val="6"/>
        </w:numPr>
        <w:spacing w:before="240" w:after="240"/>
        <w:rPr>
          <w:color w:val="auto"/>
          <w:lang w:eastAsia="en-US"/>
        </w:rPr>
      </w:pPr>
      <w:bookmarkStart w:id="525" w:name="_Toc84925831"/>
      <w:r w:rsidRPr="78F42BF0">
        <w:rPr>
          <w:rStyle w:val="Bold"/>
          <w:b/>
          <w:bCs/>
          <w:color w:val="auto"/>
        </w:rPr>
        <w:t>Privacy and security obligations</w:t>
      </w:r>
      <w:bookmarkEnd w:id="525"/>
      <w:r w:rsidR="00A45C2B" w:rsidRPr="78F42BF0">
        <w:rPr>
          <w:rStyle w:val="Bold"/>
          <w:color w:val="auto"/>
        </w:rPr>
        <w:t xml:space="preserve">: </w:t>
      </w:r>
      <w:r w:rsidRPr="78F42BF0">
        <w:rPr>
          <w:b w:val="0"/>
          <w:color w:val="auto"/>
          <w:lang w:eastAsia="en-US"/>
        </w:rPr>
        <w:t xml:space="preserve">Positive obligations on entities in relation to privacy and security aspects of this </w:t>
      </w:r>
      <w:r w:rsidR="00A019E9" w:rsidRPr="78F42BF0">
        <w:rPr>
          <w:b w:val="0"/>
          <w:color w:val="auto"/>
          <w:lang w:eastAsia="en-US"/>
        </w:rPr>
        <w:t>o</w:t>
      </w:r>
      <w:r w:rsidRPr="78F42BF0">
        <w:rPr>
          <w:b w:val="0"/>
          <w:color w:val="auto"/>
          <w:lang w:eastAsia="en-US"/>
        </w:rPr>
        <w:t>ption. These range from positive reporting obligations (</w:t>
      </w:r>
      <w:r w:rsidR="56C80C3C" w:rsidRPr="78F42BF0">
        <w:rPr>
          <w:b w:val="0"/>
          <w:color w:val="auto"/>
          <w:lang w:eastAsia="en-US"/>
        </w:rPr>
        <w:t>e.g.,</w:t>
      </w:r>
      <w:r w:rsidRPr="78F42BF0">
        <w:rPr>
          <w:b w:val="0"/>
          <w:color w:val="auto"/>
          <w:lang w:eastAsia="en-US"/>
        </w:rPr>
        <w:t xml:space="preserve"> in the event of a data breach), to implementing processes to ensure user consent is obtained at required points. Special requirements attach to some types of regulated entities, such as relying parties that have been approved to receive restricted attributes, and those dealing with biometric information.</w:t>
      </w:r>
    </w:p>
    <w:p w14:paraId="471DD950" w14:textId="31CFF4B6" w:rsidR="00062A60" w:rsidRPr="002C13D5" w:rsidRDefault="00062A60" w:rsidP="00F409BB">
      <w:pPr>
        <w:pStyle w:val="BodyTextemphasised"/>
        <w:numPr>
          <w:ilvl w:val="0"/>
          <w:numId w:val="6"/>
        </w:numPr>
        <w:spacing w:before="240"/>
        <w:rPr>
          <w:color w:val="auto"/>
          <w:lang w:eastAsia="en-US"/>
        </w:rPr>
      </w:pPr>
      <w:bookmarkStart w:id="526" w:name="_Toc84925832"/>
      <w:r w:rsidRPr="002C13D5">
        <w:rPr>
          <w:rStyle w:val="Bold"/>
          <w:b/>
          <w:color w:val="auto"/>
        </w:rPr>
        <w:t>Ongoing obligations</w:t>
      </w:r>
      <w:bookmarkEnd w:id="526"/>
      <w:r w:rsidR="00A45C2B" w:rsidRPr="002C13D5">
        <w:rPr>
          <w:rStyle w:val="Bold"/>
          <w:bCs/>
          <w:color w:val="auto"/>
        </w:rPr>
        <w:t xml:space="preserve">: </w:t>
      </w:r>
      <w:r w:rsidRPr="002C13D5">
        <w:rPr>
          <w:b w:val="0"/>
          <w:bCs/>
          <w:color w:val="auto"/>
          <w:lang w:eastAsia="en-US"/>
        </w:rPr>
        <w:t xml:space="preserve">The ongoing obligations an entity is subject to </w:t>
      </w:r>
      <w:r w:rsidR="006B2DE3">
        <w:rPr>
          <w:b w:val="0"/>
          <w:bCs/>
          <w:color w:val="auto"/>
          <w:lang w:eastAsia="en-US"/>
        </w:rPr>
        <w:t>because</w:t>
      </w:r>
      <w:r w:rsidRPr="002C13D5">
        <w:rPr>
          <w:b w:val="0"/>
          <w:bCs/>
          <w:color w:val="auto"/>
          <w:lang w:eastAsia="en-US"/>
        </w:rPr>
        <w:t xml:space="preserve"> of either </w:t>
      </w:r>
      <w:r w:rsidR="00321172">
        <w:rPr>
          <w:b w:val="0"/>
          <w:bCs/>
          <w:color w:val="auto"/>
          <w:lang w:eastAsia="en-US"/>
        </w:rPr>
        <w:t>use of the system</w:t>
      </w:r>
      <w:r w:rsidRPr="002C13D5">
        <w:rPr>
          <w:b w:val="0"/>
          <w:bCs/>
          <w:color w:val="auto"/>
          <w:lang w:eastAsia="en-US"/>
        </w:rPr>
        <w:t xml:space="preserve">, or their accreditation </w:t>
      </w:r>
      <w:r w:rsidR="00321172">
        <w:rPr>
          <w:b w:val="0"/>
          <w:bCs/>
          <w:color w:val="auto"/>
          <w:lang w:eastAsia="en-US"/>
        </w:rPr>
        <w:t xml:space="preserve">status. This </w:t>
      </w:r>
      <w:r w:rsidRPr="002C13D5">
        <w:rPr>
          <w:b w:val="0"/>
          <w:bCs/>
          <w:color w:val="auto"/>
          <w:lang w:eastAsia="en-US"/>
        </w:rPr>
        <w:t>may include, for example, annual assessments and reaccreditation-related requirements (if directed by the Oversight Authority).</w:t>
      </w:r>
    </w:p>
    <w:p w14:paraId="07276034" w14:textId="3D130651" w:rsidR="00DE359B" w:rsidRPr="002C13D5" w:rsidRDefault="00062A60" w:rsidP="00F409BB">
      <w:pPr>
        <w:pStyle w:val="BodyTextemphasised"/>
        <w:numPr>
          <w:ilvl w:val="0"/>
          <w:numId w:val="6"/>
        </w:numPr>
        <w:spacing w:before="240"/>
        <w:rPr>
          <w:color w:val="auto"/>
          <w:lang w:eastAsia="en-US"/>
        </w:rPr>
      </w:pPr>
      <w:bookmarkStart w:id="527" w:name="_Toc84925833"/>
      <w:r w:rsidRPr="78F42BF0">
        <w:rPr>
          <w:rStyle w:val="Bold"/>
          <w:b/>
          <w:bCs/>
          <w:color w:val="auto"/>
        </w:rPr>
        <w:t>Administrative</w:t>
      </w:r>
      <w:bookmarkEnd w:id="527"/>
      <w:r w:rsidR="00A45C2B" w:rsidRPr="78F42BF0">
        <w:rPr>
          <w:rStyle w:val="Bold"/>
          <w:color w:val="auto"/>
        </w:rPr>
        <w:t xml:space="preserve">: </w:t>
      </w:r>
      <w:r w:rsidRPr="78F42BF0">
        <w:rPr>
          <w:b w:val="0"/>
          <w:color w:val="auto"/>
          <w:lang w:eastAsia="en-US"/>
        </w:rPr>
        <w:t>Various administrative requirements of regulated entities under the regulatory scheme</w:t>
      </w:r>
      <w:r w:rsidR="005C5FDA" w:rsidRPr="78F42BF0">
        <w:rPr>
          <w:b w:val="0"/>
          <w:color w:val="auto"/>
          <w:lang w:eastAsia="en-US"/>
        </w:rPr>
        <w:t>,</w:t>
      </w:r>
      <w:r w:rsidRPr="78F42BF0">
        <w:rPr>
          <w:b w:val="0"/>
          <w:color w:val="auto"/>
          <w:lang w:eastAsia="en-US"/>
        </w:rPr>
        <w:t xml:space="preserve"> including recordkeeping and data retention requirements. These obligations vary given the involvement and likely data accessed and used by an entity. It is expected that some administrative requirements included in the regulatory scheme (</w:t>
      </w:r>
      <w:r w:rsidR="531587A7" w:rsidRPr="78F42BF0">
        <w:rPr>
          <w:b w:val="0"/>
          <w:color w:val="auto"/>
          <w:lang w:eastAsia="en-US"/>
        </w:rPr>
        <w:t>e.g.,</w:t>
      </w:r>
      <w:r w:rsidRPr="78F42BF0">
        <w:rPr>
          <w:b w:val="0"/>
          <w:color w:val="auto"/>
          <w:lang w:eastAsia="en-US"/>
        </w:rPr>
        <w:t xml:space="preserve"> compliance with payment terms) would already be a part of an entity’s business-as-usual activities, and therefore would impose no additional regulatory cost</w:t>
      </w:r>
      <w:r w:rsidR="009A7BF2" w:rsidRPr="78F42BF0">
        <w:rPr>
          <w:rStyle w:val="CommentReference"/>
          <w:color w:val="auto"/>
        </w:rPr>
        <w:t>.</w:t>
      </w:r>
    </w:p>
    <w:p w14:paraId="510DF419" w14:textId="77A98234" w:rsidR="00F56726" w:rsidRPr="00656328" w:rsidRDefault="00680B38" w:rsidP="00986346">
      <w:pPr>
        <w:pStyle w:val="Heading3NoNumbers"/>
        <w:rPr>
          <w:color w:val="008675"/>
        </w:rPr>
      </w:pPr>
      <w:bookmarkStart w:id="528" w:name="_Toc86070047"/>
      <w:r w:rsidRPr="00656328">
        <w:rPr>
          <w:color w:val="008675"/>
        </w:rPr>
        <w:t>9.2.</w:t>
      </w:r>
      <w:r w:rsidR="00DA006F" w:rsidRPr="00656328">
        <w:rPr>
          <w:color w:val="008675"/>
        </w:rPr>
        <w:t>1</w:t>
      </w:r>
      <w:r w:rsidRPr="00656328">
        <w:rPr>
          <w:color w:val="008675"/>
        </w:rPr>
        <w:t xml:space="preserve"> </w:t>
      </w:r>
      <w:r w:rsidR="00DE359B" w:rsidRPr="00656328">
        <w:rPr>
          <w:color w:val="008675"/>
        </w:rPr>
        <w:t xml:space="preserve">Assumptions and </w:t>
      </w:r>
      <w:r w:rsidR="009D490F" w:rsidRPr="00656328">
        <w:rPr>
          <w:color w:val="008675"/>
        </w:rPr>
        <w:t>p</w:t>
      </w:r>
      <w:r w:rsidR="00DE359B" w:rsidRPr="00656328">
        <w:rPr>
          <w:color w:val="008675"/>
        </w:rPr>
        <w:t>arameters</w:t>
      </w:r>
      <w:bookmarkEnd w:id="528"/>
    </w:p>
    <w:p w14:paraId="5B268BB5" w14:textId="39BF5F11" w:rsidR="00830AEB" w:rsidRPr="00986346" w:rsidRDefault="0018685A" w:rsidP="00062A60">
      <w:pPr>
        <w:pStyle w:val="BodyText"/>
      </w:pPr>
      <w:r>
        <w:t xml:space="preserve">The regulatory </w:t>
      </w:r>
      <w:r w:rsidR="00DA2B28">
        <w:t>cost</w:t>
      </w:r>
      <w:r w:rsidR="004914BF">
        <w:t xml:space="preserve"> </w:t>
      </w:r>
      <w:r w:rsidR="00DA2B28">
        <w:t>calculated</w:t>
      </w:r>
      <w:r>
        <w:t xml:space="preserve"> for Option 3 </w:t>
      </w:r>
      <w:r w:rsidR="00DA2B28">
        <w:t>is the estimated amount it would cost</w:t>
      </w:r>
      <w:r w:rsidR="002B0DF7">
        <w:t xml:space="preserve"> </w:t>
      </w:r>
      <w:r w:rsidR="005A2069">
        <w:t xml:space="preserve">impacted entities </w:t>
      </w:r>
      <w:r w:rsidR="00DA2B28">
        <w:t xml:space="preserve">to comply with the proposed regulations, </w:t>
      </w:r>
      <w:r w:rsidR="00DA2B28">
        <w:rPr>
          <w:lang w:val="en-US"/>
        </w:rPr>
        <w:t xml:space="preserve">based on the time and </w:t>
      </w:r>
      <w:proofErr w:type="spellStart"/>
      <w:r w:rsidR="00DA2B28">
        <w:rPr>
          <w:lang w:val="en-US"/>
        </w:rPr>
        <w:t>labour</w:t>
      </w:r>
      <w:proofErr w:type="spellEnd"/>
      <w:r w:rsidR="00DA2B28">
        <w:rPr>
          <w:lang w:val="en-US"/>
        </w:rPr>
        <w:t xml:space="preserve"> cost of undertaking required activities (</w:t>
      </w:r>
      <w:r w:rsidR="00061D53">
        <w:rPr>
          <w:lang w:val="en-US"/>
        </w:rPr>
        <w:t>i.e.,</w:t>
      </w:r>
      <w:r w:rsidR="00DA2B28">
        <w:rPr>
          <w:lang w:val="en-US"/>
        </w:rPr>
        <w:t xml:space="preserve"> it is not a ‘fee’ or ‘charge’ to use).</w:t>
      </w:r>
      <w:r w:rsidR="00DA2B28">
        <w:t xml:space="preserve"> </w:t>
      </w:r>
      <w:r w:rsidR="00896921">
        <w:t xml:space="preserve">The methodology by which </w:t>
      </w:r>
      <w:r w:rsidR="00357CCB">
        <w:t>this figure has been developed</w:t>
      </w:r>
      <w:r w:rsidR="00274268">
        <w:t xml:space="preserve"> is consistent with the Australian Government’s </w:t>
      </w:r>
      <w:hyperlink r:id="rId84" w:history="1">
        <w:r w:rsidR="00274268" w:rsidRPr="00A872E5">
          <w:rPr>
            <w:rStyle w:val="Hyperlink"/>
            <w:color w:val="008675"/>
          </w:rPr>
          <w:t>Regulatory Burden Measurement Framework</w:t>
        </w:r>
      </w:hyperlink>
      <w:r w:rsidR="00274268">
        <w:t xml:space="preserve">, and </w:t>
      </w:r>
      <w:r w:rsidR="000C6E09">
        <w:t xml:space="preserve">relies on a range of assumptions </w:t>
      </w:r>
      <w:r w:rsidR="00F77044">
        <w:t xml:space="preserve">described in further detail in </w:t>
      </w:r>
      <w:r w:rsidR="00F77044" w:rsidRPr="00A872E5">
        <w:rPr>
          <w:color w:val="008675"/>
        </w:rPr>
        <w:t xml:space="preserve">Appendix E </w:t>
      </w:r>
      <w:r w:rsidR="00F77044" w:rsidRPr="00A872E5">
        <w:rPr>
          <w:color w:val="008675"/>
        </w:rPr>
        <w:fldChar w:fldCharType="begin"/>
      </w:r>
      <w:r w:rsidR="00F77044" w:rsidRPr="00A872E5">
        <w:rPr>
          <w:color w:val="008675"/>
        </w:rPr>
        <w:instrText xml:space="preserve"> REF _Ref75345783 \h  \* MERGEFORMAT </w:instrText>
      </w:r>
      <w:r w:rsidR="00F77044" w:rsidRPr="00A872E5">
        <w:rPr>
          <w:color w:val="008675"/>
        </w:rPr>
      </w:r>
      <w:r w:rsidR="00F77044" w:rsidRPr="00A872E5">
        <w:rPr>
          <w:color w:val="008675"/>
        </w:rPr>
        <w:fldChar w:fldCharType="separate"/>
      </w:r>
      <w:r w:rsidR="00F77044" w:rsidRPr="00A872E5">
        <w:rPr>
          <w:color w:val="008675"/>
        </w:rPr>
        <w:t xml:space="preserve">Regulatory costs: </w:t>
      </w:r>
      <w:r w:rsidR="0029793B" w:rsidRPr="00A872E5">
        <w:rPr>
          <w:color w:val="008675"/>
        </w:rPr>
        <w:t>Methodology</w:t>
      </w:r>
      <w:r w:rsidR="00F77044" w:rsidRPr="00A872E5">
        <w:rPr>
          <w:color w:val="008675"/>
        </w:rPr>
        <w:t xml:space="preserve"> and assumptions</w:t>
      </w:r>
      <w:r w:rsidR="00F77044" w:rsidRPr="00A872E5">
        <w:rPr>
          <w:color w:val="008675"/>
        </w:rPr>
        <w:fldChar w:fldCharType="end"/>
      </w:r>
      <w:r w:rsidR="00F77044">
        <w:rPr>
          <w:color w:val="0000FF"/>
        </w:rPr>
        <w:t xml:space="preserve">. </w:t>
      </w:r>
    </w:p>
    <w:p w14:paraId="2CA34CE3" w14:textId="3F835C60" w:rsidR="003727E7" w:rsidRDefault="003727E7" w:rsidP="00564880">
      <w:pPr>
        <w:pStyle w:val="BodyText"/>
      </w:pPr>
      <w:r>
        <w:t>An important assumption made in calculating</w:t>
      </w:r>
      <w:r w:rsidR="00DF50AB">
        <w:t xml:space="preserve"> </w:t>
      </w:r>
      <w:r w:rsidR="00BF1B60">
        <w:t>the</w:t>
      </w:r>
      <w:r>
        <w:t xml:space="preserve"> regulatory burden was that the entities seeking to participate in this </w:t>
      </w:r>
      <w:r w:rsidR="00E16A39">
        <w:t xml:space="preserve">regulatory scheme would already have a baseline level of familiarity </w:t>
      </w:r>
      <w:r w:rsidR="00E06AA4">
        <w:t xml:space="preserve">with the digital </w:t>
      </w:r>
      <w:r w:rsidR="000731D8">
        <w:t xml:space="preserve">ID </w:t>
      </w:r>
      <w:r w:rsidR="00E06AA4">
        <w:t xml:space="preserve">market and a corresponding level of </w:t>
      </w:r>
      <w:r w:rsidR="00E16A39">
        <w:lastRenderedPageBreak/>
        <w:t>maturity</w:t>
      </w:r>
      <w:r w:rsidR="00E06AA4">
        <w:t xml:space="preserve"> in their corporate systems, processes and standards</w:t>
      </w:r>
      <w:r w:rsidR="00E16A39">
        <w:t xml:space="preserve">. </w:t>
      </w:r>
      <w:r w:rsidR="008D7C5E">
        <w:t xml:space="preserve">This provided a more realistic view of the </w:t>
      </w:r>
      <w:r w:rsidR="00432084">
        <w:t>additional activities</w:t>
      </w:r>
      <w:r w:rsidR="00E06AA4">
        <w:t xml:space="preserve"> required to meet regulatory requirements, than </w:t>
      </w:r>
      <w:r w:rsidR="005B4736">
        <w:t xml:space="preserve">by considering </w:t>
      </w:r>
      <w:r w:rsidR="009F737C">
        <w:t>enti</w:t>
      </w:r>
      <w:r w:rsidR="005B4736">
        <w:t>ties</w:t>
      </w:r>
      <w:r w:rsidR="009F737C">
        <w:t xml:space="preserve"> </w:t>
      </w:r>
      <w:r w:rsidR="005B4736">
        <w:t xml:space="preserve">with minimal/low </w:t>
      </w:r>
      <w:r w:rsidR="00CC2039">
        <w:t xml:space="preserve">digital </w:t>
      </w:r>
      <w:r w:rsidR="000731D8">
        <w:t xml:space="preserve">ID </w:t>
      </w:r>
      <w:r w:rsidR="005B4736">
        <w:t xml:space="preserve">maturity. In the case of such </w:t>
      </w:r>
      <w:r w:rsidR="00CE4274">
        <w:t xml:space="preserve">low-maturity entities, significant uplifts </w:t>
      </w:r>
      <w:r w:rsidR="007B4012">
        <w:t xml:space="preserve">and changes to business practices </w:t>
      </w:r>
      <w:r w:rsidR="00CE4274">
        <w:t xml:space="preserve">would be required </w:t>
      </w:r>
      <w:r w:rsidR="007B4012">
        <w:t xml:space="preserve">in </w:t>
      </w:r>
      <w:r w:rsidR="008F2360">
        <w:t xml:space="preserve">preparation </w:t>
      </w:r>
      <w:r w:rsidR="00CE4274">
        <w:t xml:space="preserve">to </w:t>
      </w:r>
      <w:r w:rsidR="008F2360">
        <w:t xml:space="preserve">engage with </w:t>
      </w:r>
      <w:r w:rsidR="00E60052">
        <w:t xml:space="preserve">any </w:t>
      </w:r>
      <w:r w:rsidR="00CE4274">
        <w:t xml:space="preserve">digital </w:t>
      </w:r>
      <w:r w:rsidR="000731D8">
        <w:t xml:space="preserve">ID </w:t>
      </w:r>
      <w:r w:rsidR="00E60052">
        <w:t>system – whether it was regulated by government or not.</w:t>
      </w:r>
    </w:p>
    <w:p w14:paraId="5A1A79DE" w14:textId="6002ACDD" w:rsidR="00F15A5B" w:rsidRPr="003C665E" w:rsidRDefault="00F15A5B" w:rsidP="009564D4">
      <w:pPr>
        <w:pStyle w:val="Heading3NoNumbers"/>
        <w:rPr>
          <w:color w:val="008675"/>
        </w:rPr>
      </w:pPr>
      <w:bookmarkStart w:id="529" w:name="_Toc84925834"/>
      <w:bookmarkStart w:id="530" w:name="_Toc86070048"/>
      <w:bookmarkStart w:id="531" w:name="RBEOption3"/>
      <w:r w:rsidRPr="003C665E">
        <w:rPr>
          <w:color w:val="008675"/>
        </w:rPr>
        <w:t>9.2.</w:t>
      </w:r>
      <w:r w:rsidR="00DA006F" w:rsidRPr="003C665E">
        <w:rPr>
          <w:color w:val="008675"/>
        </w:rPr>
        <w:t>2</w:t>
      </w:r>
      <w:r w:rsidRPr="003C665E">
        <w:rPr>
          <w:color w:val="008675"/>
        </w:rPr>
        <w:t xml:space="preserve"> Regulatory Burden Estimate (RBE)</w:t>
      </w:r>
      <w:bookmarkEnd w:id="529"/>
      <w:bookmarkEnd w:id="530"/>
    </w:p>
    <w:bookmarkEnd w:id="531"/>
    <w:p w14:paraId="5D5D3712" w14:textId="67EB1774" w:rsidR="00E6232E" w:rsidRDefault="00BF1B60">
      <w:pPr>
        <w:pStyle w:val="BodyText"/>
        <w:rPr>
          <w:lang w:eastAsia="en-US"/>
        </w:rPr>
      </w:pPr>
      <w:r>
        <w:rPr>
          <w:lang w:eastAsia="en-US"/>
        </w:rPr>
        <w:t>T</w:t>
      </w:r>
      <w:r w:rsidR="007E7701" w:rsidRPr="002F3B4A">
        <w:rPr>
          <w:lang w:eastAsia="en-US"/>
        </w:rPr>
        <w:t xml:space="preserve">he </w:t>
      </w:r>
      <w:r w:rsidR="009564D4">
        <w:rPr>
          <w:lang w:eastAsia="en-US"/>
        </w:rPr>
        <w:t xml:space="preserve">estimated </w:t>
      </w:r>
      <w:r w:rsidR="007E7701" w:rsidRPr="002F3B4A">
        <w:rPr>
          <w:lang w:eastAsia="en-US"/>
        </w:rPr>
        <w:t xml:space="preserve">annual </w:t>
      </w:r>
      <w:r w:rsidR="0029737A">
        <w:rPr>
          <w:lang w:eastAsia="en-US"/>
        </w:rPr>
        <w:t xml:space="preserve">economy-wide </w:t>
      </w:r>
      <w:r w:rsidR="007E7701" w:rsidRPr="002F3B4A">
        <w:rPr>
          <w:lang w:eastAsia="en-US"/>
        </w:rPr>
        <w:t xml:space="preserve">regulatory cost of Option </w:t>
      </w:r>
      <w:r w:rsidR="007E7701">
        <w:rPr>
          <w:lang w:eastAsia="en-US"/>
        </w:rPr>
        <w:t>3</w:t>
      </w:r>
      <w:r w:rsidR="007E7701" w:rsidRPr="002F3B4A">
        <w:rPr>
          <w:lang w:eastAsia="en-US"/>
        </w:rPr>
        <w:t xml:space="preserve"> </w:t>
      </w:r>
      <w:r w:rsidR="009564D4">
        <w:rPr>
          <w:lang w:eastAsia="en-US"/>
        </w:rPr>
        <w:t>is</w:t>
      </w:r>
      <w:r w:rsidR="00A13CFD" w:rsidRPr="00A13CFD">
        <w:rPr>
          <w:lang w:eastAsia="en-US"/>
        </w:rPr>
        <w:t xml:space="preserve"> </w:t>
      </w:r>
      <w:r w:rsidR="00A13CFD" w:rsidRPr="00772E2B">
        <w:rPr>
          <w:rStyle w:val="Bold"/>
          <w:bCs/>
        </w:rPr>
        <w:t>$1,498,652</w:t>
      </w:r>
      <w:r w:rsidRPr="00772E2B">
        <w:rPr>
          <w:rStyle w:val="Bold"/>
          <w:b w:val="0"/>
        </w:rPr>
        <w:t>,</w:t>
      </w:r>
      <w:r w:rsidRPr="00BF1B60">
        <w:rPr>
          <w:rStyle w:val="Bold"/>
          <w:b w:val="0"/>
        </w:rPr>
        <w:t xml:space="preserve"> as set out </w:t>
      </w:r>
      <w:r w:rsidR="009564D4">
        <w:rPr>
          <w:rStyle w:val="Bold"/>
          <w:b w:val="0"/>
        </w:rPr>
        <w:t xml:space="preserve">in Table </w:t>
      </w:r>
      <w:r w:rsidR="00F433A3">
        <w:rPr>
          <w:rStyle w:val="Bold"/>
          <w:b w:val="0"/>
        </w:rPr>
        <w:t>5</w:t>
      </w:r>
      <w:r w:rsidR="009564D4">
        <w:rPr>
          <w:rStyle w:val="Bold"/>
          <w:b w:val="0"/>
        </w:rPr>
        <w:t xml:space="preserve"> </w:t>
      </w:r>
      <w:r w:rsidRPr="00BF1B60">
        <w:rPr>
          <w:rStyle w:val="Bold"/>
          <w:b w:val="0"/>
        </w:rPr>
        <w:t>below</w:t>
      </w:r>
      <w:r w:rsidR="007E7701" w:rsidRPr="00A13CFD">
        <w:rPr>
          <w:lang w:eastAsia="en-US"/>
        </w:rPr>
        <w:t>.</w:t>
      </w:r>
      <w:r w:rsidR="001B2E61">
        <w:rPr>
          <w:lang w:eastAsia="en-US"/>
        </w:rPr>
        <w:t xml:space="preserve"> </w:t>
      </w:r>
      <w:r w:rsidR="00F433A3">
        <w:rPr>
          <w:lang w:eastAsia="en-US"/>
        </w:rPr>
        <w:t>For contextual purposes, the select indirect benefits estimated at a whole-of-economy level from individual time savings are also presented below in Table 6.</w:t>
      </w:r>
    </w:p>
    <w:tbl>
      <w:tblPr>
        <w:tblStyle w:val="GridTable2-Accent1"/>
        <w:tblW w:w="0" w:type="auto"/>
        <w:jc w:val="center"/>
        <w:tblLayout w:type="fixed"/>
        <w:tblLook w:val="04A0" w:firstRow="1" w:lastRow="0" w:firstColumn="1" w:lastColumn="0" w:noHBand="0" w:noVBand="1"/>
      </w:tblPr>
      <w:tblGrid>
        <w:gridCol w:w="1564"/>
        <w:gridCol w:w="1211"/>
        <w:gridCol w:w="1783"/>
        <w:gridCol w:w="1372"/>
        <w:gridCol w:w="1261"/>
        <w:gridCol w:w="1880"/>
      </w:tblGrid>
      <w:tr w:rsidR="00DC63AA" w:rsidRPr="003C665E" w14:paraId="5931B543" w14:textId="77777777" w:rsidTr="00A60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1" w:type="dxa"/>
            <w:gridSpan w:val="6"/>
            <w:tcBorders>
              <w:bottom w:val="nil"/>
            </w:tcBorders>
          </w:tcPr>
          <w:p w14:paraId="3956FCEC" w14:textId="38A39D0B" w:rsidR="009E7D37" w:rsidRPr="003C665E" w:rsidRDefault="009E7D37" w:rsidP="009564D4">
            <w:pPr>
              <w:pStyle w:val="Heading4NoNumbers"/>
              <w:spacing w:before="120" w:after="120"/>
              <w:rPr>
                <w:rStyle w:val="Bold"/>
                <w:b w:val="0"/>
                <w:color w:val="008675"/>
              </w:rPr>
            </w:pPr>
            <w:r w:rsidRPr="003C665E">
              <w:rPr>
                <w:rStyle w:val="Bold"/>
                <w:color w:val="008675"/>
              </w:rPr>
              <w:t xml:space="preserve">Option 3 </w:t>
            </w:r>
            <w:r w:rsidR="007A3D85">
              <w:rPr>
                <w:rStyle w:val="Bold"/>
                <w:color w:val="008675"/>
              </w:rPr>
              <w:t>Total</w:t>
            </w:r>
            <w:r w:rsidRPr="003C665E">
              <w:rPr>
                <w:rStyle w:val="Bold"/>
                <w:color w:val="008675"/>
              </w:rPr>
              <w:t xml:space="preserve"> Annual Compliance Costs (from business as usual)</w:t>
            </w:r>
          </w:p>
        </w:tc>
      </w:tr>
      <w:tr w:rsidR="003C665E" w:rsidRPr="003C665E" w14:paraId="5A2D9127" w14:textId="77777777" w:rsidTr="003C665E">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564" w:type="dxa"/>
            <w:tcBorders>
              <w:top w:val="nil"/>
              <w:bottom w:val="single" w:sz="4" w:space="0" w:color="008675"/>
              <w:right w:val="single" w:sz="4" w:space="0" w:color="008675"/>
            </w:tcBorders>
            <w:shd w:val="clear" w:color="auto" w:fill="D2EEED"/>
            <w:vAlign w:val="center"/>
          </w:tcPr>
          <w:p w14:paraId="6303A8C6" w14:textId="77777777" w:rsidR="00BD6453" w:rsidRPr="003C665E" w:rsidRDefault="00BD6453" w:rsidP="00E97523">
            <w:pPr>
              <w:pStyle w:val="BodyTextemphasised"/>
              <w:spacing w:line="240" w:lineRule="auto"/>
              <w:rPr>
                <w:rStyle w:val="Bold"/>
                <w:color w:val="008675"/>
                <w:sz w:val="20"/>
                <w:szCs w:val="20"/>
              </w:rPr>
            </w:pPr>
            <w:r w:rsidRPr="003C665E">
              <w:rPr>
                <w:rStyle w:val="Bold"/>
                <w:color w:val="008675"/>
                <w:sz w:val="20"/>
                <w:szCs w:val="20"/>
              </w:rPr>
              <w:t>Costs ($m)*</w:t>
            </w:r>
          </w:p>
        </w:tc>
        <w:tc>
          <w:tcPr>
            <w:tcW w:w="1211" w:type="dxa"/>
            <w:tcBorders>
              <w:top w:val="nil"/>
              <w:left w:val="single" w:sz="4" w:space="0" w:color="008675"/>
              <w:bottom w:val="single" w:sz="4" w:space="0" w:color="008675"/>
              <w:right w:val="single" w:sz="4" w:space="0" w:color="008675"/>
            </w:tcBorders>
            <w:shd w:val="clear" w:color="auto" w:fill="D2EEED"/>
            <w:vAlign w:val="center"/>
          </w:tcPr>
          <w:p w14:paraId="1E6EA12D" w14:textId="571F5387" w:rsidR="00BD6453" w:rsidRPr="003C665E" w:rsidRDefault="00BD6453" w:rsidP="00E97523">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3C665E">
              <w:rPr>
                <w:rStyle w:val="Bold"/>
                <w:b/>
                <w:color w:val="008675"/>
                <w:sz w:val="20"/>
                <w:szCs w:val="20"/>
              </w:rPr>
              <w:t xml:space="preserve">Average </w:t>
            </w:r>
            <w:r w:rsidR="009564D4" w:rsidRPr="003C665E">
              <w:rPr>
                <w:rStyle w:val="Bold"/>
                <w:b/>
                <w:color w:val="008675"/>
                <w:sz w:val="20"/>
                <w:szCs w:val="20"/>
              </w:rPr>
              <w:t>n</w:t>
            </w:r>
            <w:r w:rsidRPr="003C665E">
              <w:rPr>
                <w:rStyle w:val="Bold"/>
                <w:b/>
                <w:color w:val="008675"/>
                <w:sz w:val="20"/>
                <w:szCs w:val="20"/>
              </w:rPr>
              <w:t xml:space="preserve">umber of </w:t>
            </w:r>
            <w:r w:rsidR="009564D4" w:rsidRPr="003C665E">
              <w:rPr>
                <w:rStyle w:val="Bold"/>
                <w:b/>
                <w:color w:val="008675"/>
                <w:sz w:val="20"/>
                <w:szCs w:val="20"/>
              </w:rPr>
              <w:t>e</w:t>
            </w:r>
            <w:r w:rsidRPr="003C665E">
              <w:rPr>
                <w:rStyle w:val="Bold"/>
                <w:b/>
                <w:color w:val="008675"/>
                <w:sz w:val="20"/>
                <w:szCs w:val="20"/>
              </w:rPr>
              <w:t>ntities**</w:t>
            </w:r>
          </w:p>
        </w:tc>
        <w:tc>
          <w:tcPr>
            <w:tcW w:w="1783" w:type="dxa"/>
            <w:tcBorders>
              <w:top w:val="nil"/>
              <w:left w:val="single" w:sz="4" w:space="0" w:color="008675"/>
              <w:bottom w:val="single" w:sz="4" w:space="0" w:color="008675"/>
              <w:right w:val="single" w:sz="4" w:space="0" w:color="008675"/>
            </w:tcBorders>
            <w:shd w:val="clear" w:color="auto" w:fill="D2EEED"/>
            <w:vAlign w:val="center"/>
          </w:tcPr>
          <w:p w14:paraId="152A0EBF" w14:textId="77777777" w:rsidR="00BD6453" w:rsidRPr="003C665E" w:rsidRDefault="00BD6453" w:rsidP="00E97523">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3C665E">
              <w:rPr>
                <w:rStyle w:val="Bold"/>
                <w:b/>
                <w:color w:val="008675"/>
                <w:sz w:val="20"/>
                <w:szCs w:val="20"/>
              </w:rPr>
              <w:t>Business</w:t>
            </w:r>
          </w:p>
        </w:tc>
        <w:tc>
          <w:tcPr>
            <w:tcW w:w="1372" w:type="dxa"/>
            <w:tcBorders>
              <w:top w:val="nil"/>
              <w:left w:val="single" w:sz="4" w:space="0" w:color="008675"/>
              <w:bottom w:val="single" w:sz="4" w:space="0" w:color="008675"/>
              <w:right w:val="single" w:sz="4" w:space="0" w:color="008675"/>
            </w:tcBorders>
            <w:shd w:val="clear" w:color="auto" w:fill="D2EEED"/>
            <w:vAlign w:val="center"/>
          </w:tcPr>
          <w:p w14:paraId="09846F3C" w14:textId="54D63597" w:rsidR="00BD6453" w:rsidRPr="003C665E" w:rsidRDefault="00BD6453" w:rsidP="00E97523">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3C665E">
              <w:rPr>
                <w:rStyle w:val="Bold"/>
                <w:b/>
                <w:color w:val="008675"/>
                <w:sz w:val="20"/>
                <w:szCs w:val="20"/>
              </w:rPr>
              <w:t xml:space="preserve">Community </w:t>
            </w:r>
            <w:r w:rsidR="009564D4" w:rsidRPr="003C665E">
              <w:rPr>
                <w:rStyle w:val="Bold"/>
                <w:b/>
                <w:color w:val="008675"/>
                <w:sz w:val="20"/>
                <w:szCs w:val="20"/>
              </w:rPr>
              <w:t>o</w:t>
            </w:r>
            <w:r w:rsidRPr="003C665E">
              <w:rPr>
                <w:rStyle w:val="Bold"/>
                <w:b/>
                <w:color w:val="008675"/>
                <w:sz w:val="20"/>
                <w:szCs w:val="20"/>
              </w:rPr>
              <w:t>rganisations</w:t>
            </w:r>
          </w:p>
        </w:tc>
        <w:tc>
          <w:tcPr>
            <w:tcW w:w="1261" w:type="dxa"/>
            <w:tcBorders>
              <w:top w:val="nil"/>
              <w:left w:val="single" w:sz="4" w:space="0" w:color="008675"/>
              <w:bottom w:val="single" w:sz="4" w:space="0" w:color="008675"/>
              <w:right w:val="single" w:sz="4" w:space="0" w:color="008675"/>
            </w:tcBorders>
            <w:shd w:val="clear" w:color="auto" w:fill="D2EEED"/>
            <w:vAlign w:val="center"/>
          </w:tcPr>
          <w:p w14:paraId="38AC0CF7" w14:textId="77777777" w:rsidR="00BD6453" w:rsidRPr="003C665E" w:rsidRDefault="00BD6453" w:rsidP="00E97523">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3C665E">
              <w:rPr>
                <w:rStyle w:val="Bold"/>
                <w:b/>
                <w:color w:val="008675"/>
                <w:sz w:val="20"/>
                <w:szCs w:val="20"/>
              </w:rPr>
              <w:t>Individuals</w:t>
            </w:r>
          </w:p>
        </w:tc>
        <w:tc>
          <w:tcPr>
            <w:tcW w:w="1724" w:type="dxa"/>
            <w:tcBorders>
              <w:top w:val="nil"/>
              <w:left w:val="single" w:sz="4" w:space="0" w:color="008675"/>
              <w:bottom w:val="single" w:sz="4" w:space="0" w:color="6ECFF5" w:themeColor="accent3"/>
            </w:tcBorders>
            <w:shd w:val="clear" w:color="auto" w:fill="D2EEED"/>
            <w:vAlign w:val="center"/>
          </w:tcPr>
          <w:p w14:paraId="3B7A341A" w14:textId="7EF42328" w:rsidR="00BD6453" w:rsidRPr="003C665E" w:rsidRDefault="00BD6453" w:rsidP="00E97523">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8675"/>
                <w:sz w:val="20"/>
                <w:szCs w:val="20"/>
              </w:rPr>
            </w:pPr>
            <w:r w:rsidRPr="003C665E">
              <w:rPr>
                <w:rStyle w:val="Bold"/>
                <w:b/>
                <w:color w:val="008675"/>
                <w:sz w:val="20"/>
                <w:szCs w:val="20"/>
              </w:rPr>
              <w:t xml:space="preserve">Total </w:t>
            </w:r>
            <w:r w:rsidR="000E58E1" w:rsidRPr="003C665E">
              <w:rPr>
                <w:rStyle w:val="Bold"/>
                <w:b/>
                <w:color w:val="008675"/>
                <w:sz w:val="20"/>
                <w:szCs w:val="20"/>
              </w:rPr>
              <w:t xml:space="preserve">change in </w:t>
            </w:r>
            <w:r w:rsidR="009564D4" w:rsidRPr="003C665E">
              <w:rPr>
                <w:rStyle w:val="Bold"/>
                <w:b/>
                <w:color w:val="008675"/>
                <w:sz w:val="20"/>
                <w:szCs w:val="20"/>
              </w:rPr>
              <w:t>c</w:t>
            </w:r>
            <w:r w:rsidRPr="003C665E">
              <w:rPr>
                <w:rStyle w:val="Bold"/>
                <w:b/>
                <w:color w:val="008675"/>
                <w:sz w:val="20"/>
                <w:szCs w:val="20"/>
              </w:rPr>
              <w:t>ost***</w:t>
            </w:r>
          </w:p>
        </w:tc>
      </w:tr>
      <w:tr w:rsidR="00845144" w:rsidRPr="00D005A4" w14:paraId="3642A4FF" w14:textId="77777777" w:rsidTr="003C665E">
        <w:trPr>
          <w:trHeight w:val="680"/>
          <w:jc w:val="center"/>
        </w:trPr>
        <w:tc>
          <w:tcPr>
            <w:cnfStyle w:val="001000000000" w:firstRow="0" w:lastRow="0" w:firstColumn="1" w:lastColumn="0" w:oddVBand="0" w:evenVBand="0" w:oddHBand="0" w:evenHBand="0" w:firstRowFirstColumn="0" w:firstRowLastColumn="0" w:lastRowFirstColumn="0" w:lastRowLastColumn="0"/>
            <w:tcW w:w="1564" w:type="dxa"/>
            <w:tcBorders>
              <w:top w:val="single" w:sz="4" w:space="0" w:color="008675"/>
              <w:bottom w:val="single" w:sz="4" w:space="0" w:color="008675"/>
              <w:right w:val="single" w:sz="4" w:space="0" w:color="008675"/>
            </w:tcBorders>
            <w:shd w:val="clear" w:color="auto" w:fill="auto"/>
            <w:vAlign w:val="center"/>
          </w:tcPr>
          <w:p w14:paraId="2126587E" w14:textId="02C9EB98" w:rsidR="00BD6453" w:rsidRPr="0028020D" w:rsidRDefault="00BD6453" w:rsidP="0028020D">
            <w:pPr>
              <w:pStyle w:val="BodyTextemphasised"/>
              <w:spacing w:line="240" w:lineRule="auto"/>
              <w:rPr>
                <w:color w:val="000000" w:themeColor="text1"/>
                <w:sz w:val="20"/>
                <w:szCs w:val="20"/>
              </w:rPr>
            </w:pPr>
            <w:r w:rsidRPr="0028020D">
              <w:rPr>
                <w:color w:val="000000" w:themeColor="text1"/>
                <w:sz w:val="20"/>
                <w:szCs w:val="20"/>
              </w:rPr>
              <w:t xml:space="preserve">Relying </w:t>
            </w:r>
            <w:r w:rsidR="009564D4">
              <w:rPr>
                <w:color w:val="000000" w:themeColor="text1"/>
                <w:sz w:val="20"/>
                <w:szCs w:val="20"/>
              </w:rPr>
              <w:t>p</w:t>
            </w:r>
            <w:r w:rsidRPr="0028020D">
              <w:rPr>
                <w:color w:val="000000" w:themeColor="text1"/>
                <w:sz w:val="20"/>
                <w:szCs w:val="20"/>
              </w:rPr>
              <w:t>arty</w:t>
            </w:r>
            <w:r w:rsidR="0028020D">
              <w:rPr>
                <w:color w:val="000000" w:themeColor="text1"/>
                <w:sz w:val="20"/>
                <w:szCs w:val="20"/>
              </w:rPr>
              <w:br/>
            </w:r>
            <w:r w:rsidRPr="0028020D">
              <w:rPr>
                <w:color w:val="000000" w:themeColor="text1"/>
                <w:sz w:val="20"/>
                <w:szCs w:val="20"/>
              </w:rPr>
              <w:t>(non-government)</w:t>
            </w:r>
          </w:p>
        </w:tc>
        <w:tc>
          <w:tcPr>
            <w:tcW w:w="1211" w:type="dxa"/>
            <w:tcBorders>
              <w:top w:val="single" w:sz="4" w:space="0" w:color="008675"/>
              <w:left w:val="single" w:sz="4" w:space="0" w:color="008675"/>
              <w:bottom w:val="single" w:sz="4" w:space="0" w:color="008675"/>
              <w:right w:val="single" w:sz="4" w:space="0" w:color="008675"/>
            </w:tcBorders>
            <w:shd w:val="clear" w:color="auto" w:fill="auto"/>
            <w:vAlign w:val="center"/>
          </w:tcPr>
          <w:p w14:paraId="571D8CA6" w14:textId="77777777" w:rsidR="00BD6453" w:rsidRPr="0028020D" w:rsidRDefault="00BD6453"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sidRPr="0028020D">
              <w:rPr>
                <w:b w:val="0"/>
                <w:color w:val="000000" w:themeColor="text1"/>
                <w:sz w:val="20"/>
                <w:szCs w:val="20"/>
              </w:rPr>
              <w:t>215</w:t>
            </w:r>
          </w:p>
        </w:tc>
        <w:tc>
          <w:tcPr>
            <w:tcW w:w="178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23A9A2F5" w14:textId="77777777" w:rsidR="00BD6453" w:rsidRPr="0028020D" w:rsidRDefault="00BD6453"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sidRPr="0028020D">
              <w:rPr>
                <w:b w:val="0"/>
                <w:color w:val="000000" w:themeColor="text1"/>
                <w:sz w:val="20"/>
                <w:szCs w:val="20"/>
              </w:rPr>
              <w:t>$703,577.00</w:t>
            </w:r>
          </w:p>
        </w:tc>
        <w:tc>
          <w:tcPr>
            <w:tcW w:w="2633" w:type="dxa"/>
            <w:gridSpan w:val="2"/>
            <w:vMerge w:val="restart"/>
            <w:tcBorders>
              <w:top w:val="single" w:sz="4" w:space="0" w:color="008675"/>
              <w:left w:val="single" w:sz="4" w:space="0" w:color="008675"/>
              <w:bottom w:val="single" w:sz="4" w:space="0" w:color="008675"/>
              <w:right w:val="single" w:sz="4" w:space="0" w:color="008675"/>
            </w:tcBorders>
            <w:shd w:val="clear" w:color="auto" w:fill="auto"/>
            <w:vAlign w:val="center"/>
          </w:tcPr>
          <w:p w14:paraId="3DDD6500" w14:textId="77777777" w:rsidR="00BD6453" w:rsidRPr="0028020D" w:rsidRDefault="00BD6453"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724" w:type="dxa"/>
            <w:tcBorders>
              <w:top w:val="single" w:sz="4" w:space="0" w:color="008675"/>
              <w:left w:val="single" w:sz="4" w:space="0" w:color="008675"/>
              <w:bottom w:val="single" w:sz="4" w:space="0" w:color="008675"/>
            </w:tcBorders>
            <w:shd w:val="clear" w:color="auto" w:fill="auto"/>
            <w:vAlign w:val="center"/>
          </w:tcPr>
          <w:p w14:paraId="71787C3A" w14:textId="60FBB29F" w:rsidR="00BD6453" w:rsidRPr="0028020D" w:rsidRDefault="00776174"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Pr>
                <w:b w:val="0"/>
                <w:color w:val="000000" w:themeColor="text1"/>
                <w:sz w:val="20"/>
                <w:szCs w:val="20"/>
              </w:rPr>
              <w:t xml:space="preserve">+ </w:t>
            </w:r>
            <w:r w:rsidR="00BD6453" w:rsidRPr="0028020D">
              <w:rPr>
                <w:b w:val="0"/>
                <w:color w:val="000000" w:themeColor="text1"/>
                <w:sz w:val="20"/>
                <w:szCs w:val="20"/>
              </w:rPr>
              <w:t>$703,577.00</w:t>
            </w:r>
          </w:p>
        </w:tc>
      </w:tr>
      <w:tr w:rsidR="00845144" w:rsidRPr="00D005A4" w14:paraId="51A174F1" w14:textId="77777777" w:rsidTr="003C665E">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4" w:type="dxa"/>
            <w:tcBorders>
              <w:top w:val="single" w:sz="4" w:space="0" w:color="008675"/>
              <w:bottom w:val="single" w:sz="4" w:space="0" w:color="008675"/>
              <w:right w:val="single" w:sz="4" w:space="0" w:color="008675"/>
            </w:tcBorders>
            <w:shd w:val="clear" w:color="auto" w:fill="auto"/>
            <w:vAlign w:val="center"/>
          </w:tcPr>
          <w:p w14:paraId="35C0A214" w14:textId="512CCA7D" w:rsidR="00BD6453" w:rsidRPr="0028020D" w:rsidRDefault="00BD6453" w:rsidP="0028020D">
            <w:pPr>
              <w:pStyle w:val="BodyTextemphasised"/>
              <w:spacing w:line="240" w:lineRule="auto"/>
              <w:rPr>
                <w:color w:val="000000" w:themeColor="text1"/>
                <w:sz w:val="20"/>
                <w:szCs w:val="20"/>
              </w:rPr>
            </w:pPr>
            <w:r w:rsidRPr="0028020D">
              <w:rPr>
                <w:color w:val="000000" w:themeColor="text1"/>
                <w:sz w:val="20"/>
                <w:szCs w:val="20"/>
              </w:rPr>
              <w:t xml:space="preserve">Accredited </w:t>
            </w:r>
            <w:r w:rsidR="009564D4">
              <w:rPr>
                <w:color w:val="000000" w:themeColor="text1"/>
                <w:sz w:val="20"/>
                <w:szCs w:val="20"/>
              </w:rPr>
              <w:t>e</w:t>
            </w:r>
            <w:r w:rsidRPr="0028020D">
              <w:rPr>
                <w:color w:val="000000" w:themeColor="text1"/>
                <w:sz w:val="20"/>
                <w:szCs w:val="20"/>
              </w:rPr>
              <w:t>ntity (non-government)</w:t>
            </w:r>
          </w:p>
        </w:tc>
        <w:tc>
          <w:tcPr>
            <w:tcW w:w="1211" w:type="dxa"/>
            <w:tcBorders>
              <w:top w:val="single" w:sz="4" w:space="0" w:color="008675"/>
              <w:left w:val="single" w:sz="4" w:space="0" w:color="008675"/>
              <w:bottom w:val="single" w:sz="4" w:space="0" w:color="008675"/>
              <w:right w:val="single" w:sz="4" w:space="0" w:color="008675"/>
            </w:tcBorders>
            <w:shd w:val="clear" w:color="auto" w:fill="auto"/>
            <w:vAlign w:val="center"/>
          </w:tcPr>
          <w:p w14:paraId="3A16B222" w14:textId="77777777" w:rsidR="00BD6453" w:rsidRPr="0028020D" w:rsidRDefault="00BD6453" w:rsidP="0028020D">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b w:val="0"/>
                <w:color w:val="000000" w:themeColor="text1"/>
                <w:sz w:val="20"/>
                <w:szCs w:val="20"/>
              </w:rPr>
            </w:pPr>
            <w:r w:rsidRPr="0028020D">
              <w:rPr>
                <w:b w:val="0"/>
                <w:color w:val="000000" w:themeColor="text1"/>
                <w:sz w:val="20"/>
                <w:szCs w:val="20"/>
              </w:rPr>
              <w:t>28</w:t>
            </w:r>
          </w:p>
        </w:tc>
        <w:tc>
          <w:tcPr>
            <w:tcW w:w="178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13BC862A" w14:textId="77777777" w:rsidR="00BD6453" w:rsidRPr="0028020D" w:rsidRDefault="00BD6453" w:rsidP="0028020D">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b w:val="0"/>
                <w:color w:val="000000" w:themeColor="text1"/>
                <w:sz w:val="20"/>
                <w:szCs w:val="20"/>
              </w:rPr>
            </w:pPr>
            <w:r w:rsidRPr="0028020D">
              <w:rPr>
                <w:b w:val="0"/>
                <w:color w:val="000000" w:themeColor="text1"/>
                <w:sz w:val="20"/>
                <w:szCs w:val="20"/>
              </w:rPr>
              <w:t>$484,732.00</w:t>
            </w:r>
          </w:p>
        </w:tc>
        <w:tc>
          <w:tcPr>
            <w:tcW w:w="2633" w:type="dxa"/>
            <w:gridSpan w:val="2"/>
            <w:vMerge/>
            <w:tcBorders>
              <w:top w:val="single" w:sz="4" w:space="0" w:color="008675"/>
              <w:left w:val="single" w:sz="4" w:space="0" w:color="008675"/>
              <w:bottom w:val="single" w:sz="4" w:space="0" w:color="008675"/>
              <w:right w:val="single" w:sz="4" w:space="0" w:color="008675"/>
            </w:tcBorders>
            <w:shd w:val="clear" w:color="auto" w:fill="auto"/>
            <w:vAlign w:val="center"/>
          </w:tcPr>
          <w:p w14:paraId="4273BB7F" w14:textId="77777777" w:rsidR="00BD6453" w:rsidRPr="0028020D" w:rsidRDefault="00BD6453" w:rsidP="0028020D">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724" w:type="dxa"/>
            <w:tcBorders>
              <w:top w:val="single" w:sz="4" w:space="0" w:color="008675"/>
              <w:left w:val="single" w:sz="4" w:space="0" w:color="008675"/>
              <w:bottom w:val="single" w:sz="4" w:space="0" w:color="008675"/>
            </w:tcBorders>
            <w:shd w:val="clear" w:color="auto" w:fill="auto"/>
            <w:vAlign w:val="center"/>
          </w:tcPr>
          <w:p w14:paraId="6CECC07D" w14:textId="334C7128" w:rsidR="00BD6453" w:rsidRPr="0028020D" w:rsidRDefault="00776174" w:rsidP="0028020D">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b w:val="0"/>
                <w:color w:val="000000" w:themeColor="text1"/>
                <w:sz w:val="20"/>
                <w:szCs w:val="20"/>
              </w:rPr>
            </w:pPr>
            <w:r>
              <w:rPr>
                <w:b w:val="0"/>
                <w:color w:val="000000" w:themeColor="text1"/>
                <w:sz w:val="20"/>
                <w:szCs w:val="20"/>
              </w:rPr>
              <w:t xml:space="preserve">+ </w:t>
            </w:r>
            <w:r w:rsidR="00BD6453" w:rsidRPr="0028020D">
              <w:rPr>
                <w:b w:val="0"/>
                <w:color w:val="000000" w:themeColor="text1"/>
                <w:sz w:val="20"/>
                <w:szCs w:val="20"/>
              </w:rPr>
              <w:t>$484,732.00</w:t>
            </w:r>
          </w:p>
        </w:tc>
      </w:tr>
      <w:tr w:rsidR="00845144" w:rsidRPr="00D005A4" w14:paraId="742E62B7" w14:textId="77777777" w:rsidTr="003C665E">
        <w:trPr>
          <w:trHeight w:val="680"/>
          <w:jc w:val="center"/>
        </w:trPr>
        <w:tc>
          <w:tcPr>
            <w:cnfStyle w:val="001000000000" w:firstRow="0" w:lastRow="0" w:firstColumn="1" w:lastColumn="0" w:oddVBand="0" w:evenVBand="0" w:oddHBand="0" w:evenHBand="0" w:firstRowFirstColumn="0" w:firstRowLastColumn="0" w:lastRowFirstColumn="0" w:lastRowLastColumn="0"/>
            <w:tcW w:w="1564" w:type="dxa"/>
            <w:tcBorders>
              <w:top w:val="single" w:sz="4" w:space="0" w:color="008675"/>
              <w:bottom w:val="single" w:sz="4" w:space="0" w:color="008675"/>
              <w:right w:val="single" w:sz="4" w:space="0" w:color="008675"/>
            </w:tcBorders>
            <w:shd w:val="clear" w:color="auto" w:fill="auto"/>
            <w:vAlign w:val="center"/>
          </w:tcPr>
          <w:p w14:paraId="3A10335E" w14:textId="62F69CCA" w:rsidR="00BD6453" w:rsidRPr="0028020D" w:rsidRDefault="00BD6453" w:rsidP="0028020D">
            <w:pPr>
              <w:pStyle w:val="BodyTextemphasised"/>
              <w:spacing w:line="240" w:lineRule="auto"/>
              <w:rPr>
                <w:color w:val="000000" w:themeColor="text1"/>
                <w:sz w:val="20"/>
                <w:szCs w:val="20"/>
              </w:rPr>
            </w:pPr>
            <w:r w:rsidRPr="0028020D">
              <w:rPr>
                <w:color w:val="000000" w:themeColor="text1"/>
                <w:sz w:val="20"/>
                <w:szCs w:val="20"/>
              </w:rPr>
              <w:t xml:space="preserve">Onboarded </w:t>
            </w:r>
            <w:r w:rsidR="009564D4">
              <w:rPr>
                <w:color w:val="000000" w:themeColor="text1"/>
                <w:sz w:val="20"/>
                <w:szCs w:val="20"/>
              </w:rPr>
              <w:t>a</w:t>
            </w:r>
            <w:r w:rsidRPr="0028020D">
              <w:rPr>
                <w:color w:val="000000" w:themeColor="text1"/>
                <w:sz w:val="20"/>
                <w:szCs w:val="20"/>
              </w:rPr>
              <w:t xml:space="preserve">ccredited </w:t>
            </w:r>
            <w:r w:rsidR="009564D4">
              <w:rPr>
                <w:color w:val="000000" w:themeColor="text1"/>
                <w:sz w:val="20"/>
                <w:szCs w:val="20"/>
              </w:rPr>
              <w:t>e</w:t>
            </w:r>
            <w:r w:rsidRPr="0028020D">
              <w:rPr>
                <w:color w:val="000000" w:themeColor="text1"/>
                <w:sz w:val="20"/>
                <w:szCs w:val="20"/>
              </w:rPr>
              <w:t>ntity (non-government)</w:t>
            </w:r>
          </w:p>
        </w:tc>
        <w:tc>
          <w:tcPr>
            <w:tcW w:w="1211" w:type="dxa"/>
            <w:tcBorders>
              <w:top w:val="single" w:sz="4" w:space="0" w:color="008675"/>
              <w:left w:val="single" w:sz="4" w:space="0" w:color="008675"/>
              <w:bottom w:val="single" w:sz="4" w:space="0" w:color="008675"/>
              <w:right w:val="single" w:sz="4" w:space="0" w:color="008675"/>
            </w:tcBorders>
            <w:shd w:val="clear" w:color="auto" w:fill="auto"/>
            <w:vAlign w:val="center"/>
          </w:tcPr>
          <w:p w14:paraId="1A8F739E" w14:textId="77777777" w:rsidR="00BD6453" w:rsidRPr="0028020D" w:rsidRDefault="00BD6453"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sidRPr="0028020D">
              <w:rPr>
                <w:b w:val="0"/>
                <w:color w:val="000000" w:themeColor="text1"/>
                <w:sz w:val="20"/>
                <w:szCs w:val="20"/>
              </w:rPr>
              <w:t>22</w:t>
            </w:r>
          </w:p>
        </w:tc>
        <w:tc>
          <w:tcPr>
            <w:tcW w:w="178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0C533F68" w14:textId="77777777" w:rsidR="00BD6453" w:rsidRPr="0028020D" w:rsidRDefault="00BD6453"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sidRPr="0028020D">
              <w:rPr>
                <w:b w:val="0"/>
                <w:color w:val="000000" w:themeColor="text1"/>
                <w:sz w:val="20"/>
                <w:szCs w:val="20"/>
              </w:rPr>
              <w:t>$310,342.00</w:t>
            </w:r>
          </w:p>
        </w:tc>
        <w:tc>
          <w:tcPr>
            <w:tcW w:w="2633" w:type="dxa"/>
            <w:gridSpan w:val="2"/>
            <w:vMerge/>
            <w:tcBorders>
              <w:top w:val="single" w:sz="4" w:space="0" w:color="008675"/>
              <w:left w:val="single" w:sz="4" w:space="0" w:color="008675"/>
              <w:bottom w:val="single" w:sz="4" w:space="0" w:color="008675"/>
              <w:right w:val="single" w:sz="4" w:space="0" w:color="008675"/>
            </w:tcBorders>
            <w:shd w:val="clear" w:color="auto" w:fill="auto"/>
            <w:vAlign w:val="center"/>
          </w:tcPr>
          <w:p w14:paraId="70B42570" w14:textId="77777777" w:rsidR="00BD6453" w:rsidRPr="0028020D" w:rsidRDefault="00BD6453"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724" w:type="dxa"/>
            <w:tcBorders>
              <w:top w:val="single" w:sz="4" w:space="0" w:color="008675"/>
              <w:left w:val="single" w:sz="4" w:space="0" w:color="008675"/>
              <w:bottom w:val="single" w:sz="4" w:space="0" w:color="008675"/>
            </w:tcBorders>
            <w:shd w:val="clear" w:color="auto" w:fill="auto"/>
            <w:vAlign w:val="center"/>
          </w:tcPr>
          <w:p w14:paraId="4A0D1D6B" w14:textId="3FF43C06" w:rsidR="00BD6453" w:rsidRPr="0028020D" w:rsidRDefault="00776174" w:rsidP="0028020D">
            <w:pPr>
              <w:pStyle w:val="BodyTextemphasised"/>
              <w:spacing w:line="240" w:lineRule="auto"/>
              <w:cnfStyle w:val="000000000000" w:firstRow="0" w:lastRow="0" w:firstColumn="0" w:lastColumn="0" w:oddVBand="0" w:evenVBand="0" w:oddHBand="0" w:evenHBand="0" w:firstRowFirstColumn="0" w:firstRowLastColumn="0" w:lastRowFirstColumn="0" w:lastRowLastColumn="0"/>
              <w:rPr>
                <w:b w:val="0"/>
                <w:color w:val="000000" w:themeColor="text1"/>
                <w:sz w:val="20"/>
                <w:szCs w:val="20"/>
              </w:rPr>
            </w:pPr>
            <w:r>
              <w:rPr>
                <w:b w:val="0"/>
                <w:color w:val="000000" w:themeColor="text1"/>
                <w:sz w:val="20"/>
                <w:szCs w:val="20"/>
              </w:rPr>
              <w:t xml:space="preserve">+ </w:t>
            </w:r>
            <w:r w:rsidR="00BD6453" w:rsidRPr="0028020D">
              <w:rPr>
                <w:b w:val="0"/>
                <w:color w:val="000000" w:themeColor="text1"/>
                <w:sz w:val="20"/>
                <w:szCs w:val="20"/>
              </w:rPr>
              <w:t>$310,342.00</w:t>
            </w:r>
          </w:p>
        </w:tc>
      </w:tr>
      <w:tr w:rsidR="00143931" w:rsidRPr="00D005A4" w14:paraId="176FA461" w14:textId="77777777" w:rsidTr="003C665E">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64" w:type="dxa"/>
            <w:tcBorders>
              <w:top w:val="single" w:sz="4" w:space="0" w:color="008675"/>
              <w:bottom w:val="single" w:sz="4" w:space="0" w:color="008675"/>
              <w:right w:val="single" w:sz="4" w:space="0" w:color="008675"/>
            </w:tcBorders>
            <w:shd w:val="clear" w:color="auto" w:fill="auto"/>
            <w:vAlign w:val="center"/>
          </w:tcPr>
          <w:p w14:paraId="328E064F" w14:textId="316E7EC1" w:rsidR="00143931" w:rsidRPr="0028020D" w:rsidRDefault="00143931" w:rsidP="00143931">
            <w:pPr>
              <w:pStyle w:val="BodyTextemphasised"/>
              <w:spacing w:line="240" w:lineRule="auto"/>
              <w:rPr>
                <w:rStyle w:val="Bold"/>
                <w:color w:val="000000" w:themeColor="text1"/>
                <w:sz w:val="20"/>
                <w:szCs w:val="20"/>
              </w:rPr>
            </w:pPr>
            <w:r w:rsidRPr="0028020D">
              <w:rPr>
                <w:rStyle w:val="Bold"/>
                <w:color w:val="000000" w:themeColor="text1"/>
                <w:sz w:val="20"/>
                <w:szCs w:val="20"/>
              </w:rPr>
              <w:t xml:space="preserve">Total by </w:t>
            </w:r>
            <w:r>
              <w:rPr>
                <w:rStyle w:val="Bold"/>
                <w:color w:val="000000" w:themeColor="text1"/>
                <w:sz w:val="20"/>
                <w:szCs w:val="20"/>
              </w:rPr>
              <w:t>s</w:t>
            </w:r>
            <w:r w:rsidRPr="0028020D">
              <w:rPr>
                <w:rStyle w:val="Bold"/>
                <w:color w:val="000000" w:themeColor="text1"/>
                <w:sz w:val="20"/>
                <w:szCs w:val="20"/>
              </w:rPr>
              <w:t>ector</w:t>
            </w:r>
          </w:p>
        </w:tc>
        <w:tc>
          <w:tcPr>
            <w:tcW w:w="1211" w:type="dxa"/>
            <w:tcBorders>
              <w:top w:val="single" w:sz="4" w:space="0" w:color="008675"/>
              <w:left w:val="single" w:sz="4" w:space="0" w:color="008675"/>
              <w:bottom w:val="single" w:sz="4" w:space="0" w:color="008675"/>
              <w:right w:val="single" w:sz="4" w:space="0" w:color="008675"/>
            </w:tcBorders>
            <w:shd w:val="clear" w:color="auto" w:fill="auto"/>
            <w:vAlign w:val="center"/>
          </w:tcPr>
          <w:p w14:paraId="0D94DA0C" w14:textId="33F314C2" w:rsidR="00143931" w:rsidRPr="0028020D" w:rsidRDefault="00143931" w:rsidP="00143931">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color w:val="000000" w:themeColor="text1"/>
                <w:sz w:val="20"/>
                <w:szCs w:val="20"/>
              </w:rPr>
            </w:pPr>
          </w:p>
        </w:tc>
        <w:tc>
          <w:tcPr>
            <w:tcW w:w="178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227DAD91" w14:textId="77777777" w:rsidR="00143931" w:rsidRPr="0028020D" w:rsidRDefault="00143931" w:rsidP="00143931">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color w:val="000000" w:themeColor="text1"/>
                <w:sz w:val="20"/>
                <w:szCs w:val="20"/>
              </w:rPr>
            </w:pPr>
            <w:r w:rsidRPr="0028020D">
              <w:rPr>
                <w:rStyle w:val="Bold"/>
                <w:b/>
                <w:color w:val="000000" w:themeColor="text1"/>
                <w:sz w:val="20"/>
                <w:szCs w:val="20"/>
              </w:rPr>
              <w:t>+ $1,498,652.00</w:t>
            </w:r>
          </w:p>
        </w:tc>
        <w:tc>
          <w:tcPr>
            <w:tcW w:w="2633" w:type="dxa"/>
            <w:gridSpan w:val="2"/>
            <w:tcBorders>
              <w:top w:val="single" w:sz="4" w:space="0" w:color="008675"/>
              <w:left w:val="single" w:sz="4" w:space="0" w:color="008675"/>
              <w:bottom w:val="single" w:sz="4" w:space="0" w:color="008675"/>
              <w:right w:val="single" w:sz="4" w:space="0" w:color="008675"/>
            </w:tcBorders>
            <w:shd w:val="clear" w:color="auto" w:fill="auto"/>
            <w:vAlign w:val="center"/>
          </w:tcPr>
          <w:p w14:paraId="05CC9822" w14:textId="0492AD7E" w:rsidR="00143931" w:rsidRPr="00DD7402" w:rsidRDefault="00143931" w:rsidP="00143931">
            <w:pPr>
              <w:pStyle w:val="BodyTextemphasised"/>
              <w:spacing w:line="240" w:lineRule="auto"/>
              <w:cnfStyle w:val="000000100000" w:firstRow="0" w:lastRow="0" w:firstColumn="0" w:lastColumn="0" w:oddVBand="0" w:evenVBand="0" w:oddHBand="1" w:evenHBand="0" w:firstRowFirstColumn="0" w:firstRowLastColumn="0" w:lastRowFirstColumn="0" w:lastRowLastColumn="0"/>
              <w:rPr>
                <w:rStyle w:val="Bold"/>
                <w:b/>
                <w:bCs/>
                <w:color w:val="000000" w:themeColor="text1"/>
                <w:sz w:val="20"/>
                <w:szCs w:val="20"/>
              </w:rPr>
            </w:pPr>
          </w:p>
        </w:tc>
        <w:tc>
          <w:tcPr>
            <w:tcW w:w="1724" w:type="dxa"/>
            <w:tcBorders>
              <w:top w:val="single" w:sz="4" w:space="0" w:color="008675"/>
              <w:left w:val="single" w:sz="4" w:space="0" w:color="008675"/>
              <w:bottom w:val="single" w:sz="4" w:space="0" w:color="008675"/>
            </w:tcBorders>
            <w:shd w:val="clear" w:color="auto" w:fill="auto"/>
            <w:vAlign w:val="center"/>
          </w:tcPr>
          <w:p w14:paraId="14F5093A" w14:textId="0A1677EB" w:rsidR="00143931" w:rsidRPr="0028020D" w:rsidRDefault="00143931" w:rsidP="00A60647">
            <w:pPr>
              <w:pStyle w:val="BodyTextemphasised"/>
              <w:keepNext/>
              <w:spacing w:line="240" w:lineRule="auto"/>
              <w:cnfStyle w:val="000000100000" w:firstRow="0" w:lastRow="0" w:firstColumn="0" w:lastColumn="0" w:oddVBand="0" w:evenVBand="0" w:oddHBand="1" w:evenHBand="0" w:firstRowFirstColumn="0" w:firstRowLastColumn="0" w:lastRowFirstColumn="0" w:lastRowLastColumn="0"/>
              <w:rPr>
                <w:rStyle w:val="Bold"/>
                <w:b/>
                <w:color w:val="000000" w:themeColor="text1"/>
                <w:sz w:val="20"/>
                <w:szCs w:val="20"/>
              </w:rPr>
            </w:pPr>
            <w:r w:rsidRPr="0028020D">
              <w:rPr>
                <w:rStyle w:val="Bold"/>
                <w:b/>
                <w:color w:val="000000" w:themeColor="text1"/>
                <w:sz w:val="20"/>
                <w:szCs w:val="20"/>
              </w:rPr>
              <w:t>+ $1,498,652.00</w:t>
            </w:r>
          </w:p>
        </w:tc>
      </w:tr>
    </w:tbl>
    <w:p w14:paraId="1E1FF397" w14:textId="4CB31BBC" w:rsidR="00E840C0" w:rsidRDefault="00303F32">
      <w:pPr>
        <w:pStyle w:val="Caption"/>
      </w:pPr>
      <w:bookmarkStart w:id="532" w:name="_Toc130390612"/>
      <w:r>
        <w:t xml:space="preserve">Table </w:t>
      </w:r>
      <w:r>
        <w:fldChar w:fldCharType="begin"/>
      </w:r>
      <w:r>
        <w:instrText>SEQ Table \* ARABIC</w:instrText>
      </w:r>
      <w:r>
        <w:fldChar w:fldCharType="separate"/>
      </w:r>
      <w:r>
        <w:rPr>
          <w:noProof/>
        </w:rPr>
        <w:t>5</w:t>
      </w:r>
      <w:r>
        <w:fldChar w:fldCharType="end"/>
      </w:r>
      <w:r>
        <w:t xml:space="preserve">: </w:t>
      </w:r>
      <w:r w:rsidRPr="008B3163">
        <w:t>Option 3 Regulatory burden estimate (RBE) table</w:t>
      </w:r>
      <w:bookmarkEnd w:id="532"/>
    </w:p>
    <w:p w14:paraId="3101DA75" w14:textId="4AE6D8AD" w:rsidR="00BD6453" w:rsidRDefault="00BD6453" w:rsidP="00BD6453">
      <w:pPr>
        <w:pStyle w:val="BodyText"/>
        <w:rPr>
          <w:sz w:val="20"/>
          <w:szCs w:val="20"/>
        </w:rPr>
      </w:pPr>
      <w:r>
        <w:rPr>
          <w:sz w:val="20"/>
          <w:szCs w:val="20"/>
        </w:rPr>
        <w:t xml:space="preserve">* </w:t>
      </w:r>
      <w:r w:rsidRPr="006F2436">
        <w:rPr>
          <w:b/>
          <w:bCs/>
          <w:sz w:val="20"/>
          <w:szCs w:val="20"/>
        </w:rPr>
        <w:t>Costs ($m)</w:t>
      </w:r>
      <w:r>
        <w:rPr>
          <w:sz w:val="20"/>
          <w:szCs w:val="20"/>
        </w:rPr>
        <w:t xml:space="preserve"> are average annualised economy-wide costs calculated over the default 10-years of regulation </w:t>
      </w:r>
      <w:r w:rsidR="00A019E9">
        <w:rPr>
          <w:sz w:val="20"/>
          <w:szCs w:val="20"/>
        </w:rPr>
        <w:t>required</w:t>
      </w:r>
      <w:r>
        <w:rPr>
          <w:sz w:val="20"/>
          <w:szCs w:val="20"/>
        </w:rPr>
        <w:t xml:space="preserve"> by the </w:t>
      </w:r>
      <w:hyperlink r:id="rId85" w:history="1">
        <w:r w:rsidRPr="003C665E">
          <w:rPr>
            <w:rStyle w:val="Hyperlink"/>
            <w:color w:val="008675"/>
            <w:sz w:val="20"/>
            <w:szCs w:val="20"/>
          </w:rPr>
          <w:t>Regulatory Burden Measurement Framework</w:t>
        </w:r>
      </w:hyperlink>
      <w:r>
        <w:rPr>
          <w:sz w:val="20"/>
          <w:szCs w:val="20"/>
        </w:rPr>
        <w:t xml:space="preserve">. </w:t>
      </w:r>
    </w:p>
    <w:p w14:paraId="2F267D57" w14:textId="3AF2F811" w:rsidR="00BD6453" w:rsidRDefault="00BD6453" w:rsidP="00BD6453">
      <w:pPr>
        <w:pStyle w:val="BodyText"/>
        <w:rPr>
          <w:sz w:val="20"/>
          <w:szCs w:val="20"/>
        </w:rPr>
      </w:pPr>
      <w:r w:rsidRPr="00721A4C">
        <w:rPr>
          <w:sz w:val="20"/>
          <w:szCs w:val="20"/>
        </w:rPr>
        <w:t xml:space="preserve">** </w:t>
      </w:r>
      <w:r w:rsidR="00432084">
        <w:rPr>
          <w:sz w:val="20"/>
          <w:szCs w:val="20"/>
        </w:rPr>
        <w:t xml:space="preserve">Assumes an uptake </w:t>
      </w:r>
      <w:r w:rsidRPr="00721A4C">
        <w:rPr>
          <w:sz w:val="20"/>
          <w:szCs w:val="20"/>
        </w:rPr>
        <w:t>of</w:t>
      </w:r>
      <w:r>
        <w:rPr>
          <w:sz w:val="20"/>
          <w:szCs w:val="20"/>
        </w:rPr>
        <w:t xml:space="preserve"> relying parties and accredited entities increas</w:t>
      </w:r>
      <w:r w:rsidR="00432084">
        <w:rPr>
          <w:sz w:val="20"/>
          <w:szCs w:val="20"/>
        </w:rPr>
        <w:t>ing</w:t>
      </w:r>
      <w:r>
        <w:rPr>
          <w:sz w:val="20"/>
          <w:szCs w:val="20"/>
        </w:rPr>
        <w:t xml:space="preserve"> each year </w:t>
      </w:r>
      <w:r w:rsidR="004E0A59">
        <w:rPr>
          <w:sz w:val="20"/>
          <w:szCs w:val="20"/>
        </w:rPr>
        <w:t>over</w:t>
      </w:r>
      <w:r>
        <w:rPr>
          <w:sz w:val="20"/>
          <w:szCs w:val="20"/>
        </w:rPr>
        <w:t xml:space="preserve"> the </w:t>
      </w:r>
      <w:r w:rsidR="00807AF4">
        <w:rPr>
          <w:sz w:val="20"/>
          <w:szCs w:val="20"/>
        </w:rPr>
        <w:t>10-</w:t>
      </w:r>
      <w:r>
        <w:rPr>
          <w:sz w:val="20"/>
          <w:szCs w:val="20"/>
        </w:rPr>
        <w:t>year</w:t>
      </w:r>
      <w:r w:rsidR="00807AF4">
        <w:rPr>
          <w:sz w:val="20"/>
          <w:szCs w:val="20"/>
        </w:rPr>
        <w:t xml:space="preserve"> timeframe</w:t>
      </w:r>
      <w:r w:rsidR="00113560">
        <w:rPr>
          <w:sz w:val="20"/>
          <w:szCs w:val="20"/>
        </w:rPr>
        <w:t xml:space="preserve"> (see </w:t>
      </w:r>
      <w:hyperlink w:anchor="appendixe" w:history="1">
        <w:r w:rsidR="00113560" w:rsidRPr="003C665E">
          <w:rPr>
            <w:rStyle w:val="Hyperlink"/>
            <w:color w:val="008675"/>
            <w:sz w:val="20"/>
            <w:szCs w:val="20"/>
          </w:rPr>
          <w:t>Appendix E</w:t>
        </w:r>
      </w:hyperlink>
      <w:r w:rsidR="00113560" w:rsidRPr="003C665E">
        <w:rPr>
          <w:color w:val="008675"/>
          <w:sz w:val="20"/>
          <w:szCs w:val="20"/>
        </w:rPr>
        <w:t xml:space="preserve"> </w:t>
      </w:r>
      <w:r w:rsidR="00113560">
        <w:rPr>
          <w:sz w:val="20"/>
          <w:szCs w:val="20"/>
        </w:rPr>
        <w:t>for further details)</w:t>
      </w:r>
      <w:r w:rsidR="00DA558B">
        <w:rPr>
          <w:sz w:val="20"/>
          <w:szCs w:val="20"/>
        </w:rPr>
        <w:t xml:space="preserve">, before </w:t>
      </w:r>
      <w:r>
        <w:rPr>
          <w:sz w:val="20"/>
          <w:szCs w:val="20"/>
        </w:rPr>
        <w:t>plateauing from year four onwards. The</w:t>
      </w:r>
      <w:r w:rsidR="00CE5EA1">
        <w:rPr>
          <w:sz w:val="20"/>
          <w:szCs w:val="20"/>
        </w:rPr>
        <w:t xml:space="preserve"> table above provides the</w:t>
      </w:r>
      <w:r>
        <w:rPr>
          <w:sz w:val="20"/>
          <w:szCs w:val="20"/>
        </w:rPr>
        <w:t xml:space="preserve"> average number of </w:t>
      </w:r>
      <w:r w:rsidR="00A213C0">
        <w:rPr>
          <w:sz w:val="20"/>
          <w:szCs w:val="20"/>
        </w:rPr>
        <w:t xml:space="preserve">affected </w:t>
      </w:r>
      <w:r>
        <w:rPr>
          <w:sz w:val="20"/>
          <w:szCs w:val="20"/>
        </w:rPr>
        <w:t>entities</w:t>
      </w:r>
      <w:r w:rsidR="00B17A83">
        <w:rPr>
          <w:sz w:val="20"/>
          <w:szCs w:val="20"/>
        </w:rPr>
        <w:t xml:space="preserve"> </w:t>
      </w:r>
      <w:r w:rsidR="00A213C0">
        <w:rPr>
          <w:sz w:val="20"/>
          <w:szCs w:val="20"/>
        </w:rPr>
        <w:t>over the 10-</w:t>
      </w:r>
      <w:r>
        <w:rPr>
          <w:sz w:val="20"/>
          <w:szCs w:val="20"/>
        </w:rPr>
        <w:t>year</w:t>
      </w:r>
      <w:r w:rsidR="00A213C0">
        <w:rPr>
          <w:sz w:val="20"/>
          <w:szCs w:val="20"/>
        </w:rPr>
        <w:t xml:space="preserve"> timeframe of regulation</w:t>
      </w:r>
      <w:r w:rsidR="00F94301">
        <w:rPr>
          <w:sz w:val="20"/>
          <w:szCs w:val="20"/>
        </w:rPr>
        <w:t xml:space="preserve"> calculated</w:t>
      </w:r>
      <w:r>
        <w:rPr>
          <w:sz w:val="20"/>
          <w:szCs w:val="20"/>
        </w:rPr>
        <w:t>. The total costs for each entity type are impacted by the number of entities.</w:t>
      </w:r>
    </w:p>
    <w:p w14:paraId="3E11D402" w14:textId="7FE8909F" w:rsidR="00BD6453" w:rsidRDefault="00BD6453" w:rsidP="00BD6453">
      <w:pPr>
        <w:pStyle w:val="BodyText"/>
        <w:rPr>
          <w:sz w:val="20"/>
          <w:szCs w:val="20"/>
        </w:rPr>
      </w:pPr>
      <w:r>
        <w:rPr>
          <w:sz w:val="20"/>
          <w:szCs w:val="20"/>
        </w:rPr>
        <w:t>*** Please note, this is not a per entity cost, rather an economy-wide cost based on the number of entities impacted.</w:t>
      </w:r>
    </w:p>
    <w:p w14:paraId="61C42BE5" w14:textId="77777777" w:rsidR="0052188A" w:rsidRPr="003C665E" w:rsidRDefault="0052188A" w:rsidP="0052188A">
      <w:pPr>
        <w:suppressAutoHyphens/>
        <w:spacing w:before="280" w:after="140" w:line="336" w:lineRule="auto"/>
        <w:rPr>
          <w:rFonts w:cs="Lucida Sans Unicode"/>
          <w:b/>
          <w:color w:val="008675"/>
          <w:kern w:val="28"/>
          <w:szCs w:val="22"/>
        </w:rPr>
      </w:pPr>
      <w:r w:rsidRPr="003C665E">
        <w:rPr>
          <w:rFonts w:cs="Lucida Sans Unicode"/>
          <w:b/>
          <w:color w:val="008675"/>
          <w:kern w:val="28"/>
          <w:szCs w:val="22"/>
        </w:rPr>
        <w:lastRenderedPageBreak/>
        <w:t>Option 3 Select Indirect Benefits</w:t>
      </w:r>
      <w:r w:rsidRPr="003C665E">
        <w:rPr>
          <w:rFonts w:cs="Lucida Sans Unicode"/>
          <w:color w:val="008675"/>
          <w:kern w:val="28"/>
          <w:szCs w:val="22"/>
        </w:rPr>
        <w:t>^</w:t>
      </w:r>
      <w:r w:rsidRPr="003C665E">
        <w:rPr>
          <w:rFonts w:cs="Lucida Sans Unicode"/>
          <w:b/>
          <w:color w:val="008675"/>
          <w:kern w:val="28"/>
          <w:szCs w:val="22"/>
        </w:rPr>
        <w:t xml:space="preserve"> (from business as usual)</w:t>
      </w:r>
    </w:p>
    <w:tbl>
      <w:tblPr>
        <w:tblStyle w:val="GridTable2-Accent111"/>
        <w:tblW w:w="10632" w:type="dxa"/>
        <w:jc w:val="center"/>
        <w:tblLayout w:type="fixed"/>
        <w:tblLook w:val="04A0" w:firstRow="1" w:lastRow="0" w:firstColumn="1" w:lastColumn="0" w:noHBand="0" w:noVBand="1"/>
      </w:tblPr>
      <w:tblGrid>
        <w:gridCol w:w="1981"/>
        <w:gridCol w:w="1563"/>
        <w:gridCol w:w="1408"/>
        <w:gridCol w:w="1569"/>
        <w:gridCol w:w="1984"/>
        <w:gridCol w:w="2127"/>
      </w:tblGrid>
      <w:tr w:rsidR="003C665E" w:rsidRPr="003C665E" w14:paraId="315DFC66" w14:textId="77777777" w:rsidTr="003C665E">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981" w:type="dxa"/>
            <w:tcBorders>
              <w:bottom w:val="single" w:sz="4" w:space="0" w:color="008675"/>
              <w:right w:val="single" w:sz="4" w:space="0" w:color="008675"/>
            </w:tcBorders>
            <w:shd w:val="clear" w:color="auto" w:fill="D2EEED"/>
            <w:vAlign w:val="center"/>
          </w:tcPr>
          <w:p w14:paraId="3DD4D71B" w14:textId="77777777" w:rsidR="0052188A" w:rsidRPr="003C665E" w:rsidRDefault="0052188A" w:rsidP="0052188A">
            <w:pPr>
              <w:suppressAutoHyphens/>
              <w:spacing w:before="0" w:after="0" w:line="240" w:lineRule="auto"/>
              <w:rPr>
                <w:color w:val="008675"/>
                <w:sz w:val="20"/>
                <w:szCs w:val="20"/>
              </w:rPr>
            </w:pPr>
            <w:r w:rsidRPr="003C665E">
              <w:rPr>
                <w:color w:val="008675"/>
                <w:sz w:val="20"/>
                <w:szCs w:val="20"/>
              </w:rPr>
              <w:t>Benefits*</w:t>
            </w:r>
          </w:p>
        </w:tc>
        <w:tc>
          <w:tcPr>
            <w:tcW w:w="1563" w:type="dxa"/>
            <w:tcBorders>
              <w:left w:val="single" w:sz="4" w:space="0" w:color="008675"/>
              <w:bottom w:val="single" w:sz="4" w:space="0" w:color="008675"/>
              <w:right w:val="single" w:sz="4" w:space="0" w:color="008675"/>
            </w:tcBorders>
            <w:shd w:val="clear" w:color="auto" w:fill="D2EEED"/>
            <w:vAlign w:val="center"/>
          </w:tcPr>
          <w:p w14:paraId="294CFFFA" w14:textId="77777777" w:rsidR="0052188A" w:rsidRPr="003C665E" w:rsidRDefault="0052188A" w:rsidP="0052188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3C665E">
              <w:rPr>
                <w:color w:val="008675"/>
                <w:sz w:val="20"/>
                <w:szCs w:val="20"/>
              </w:rPr>
              <w:t>Number of transactions**</w:t>
            </w:r>
          </w:p>
        </w:tc>
        <w:tc>
          <w:tcPr>
            <w:tcW w:w="1408" w:type="dxa"/>
            <w:tcBorders>
              <w:left w:val="single" w:sz="4" w:space="0" w:color="008675"/>
              <w:bottom w:val="single" w:sz="4" w:space="0" w:color="008675"/>
              <w:right w:val="single" w:sz="4" w:space="0" w:color="008675"/>
            </w:tcBorders>
            <w:shd w:val="clear" w:color="auto" w:fill="D2EEED"/>
            <w:vAlign w:val="center"/>
          </w:tcPr>
          <w:p w14:paraId="0A04D325" w14:textId="77777777" w:rsidR="0052188A" w:rsidRPr="003C665E" w:rsidRDefault="0052188A" w:rsidP="0052188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3C665E">
              <w:rPr>
                <w:color w:val="008675"/>
                <w:sz w:val="20"/>
                <w:szCs w:val="20"/>
              </w:rPr>
              <w:t>Business</w:t>
            </w:r>
          </w:p>
        </w:tc>
        <w:tc>
          <w:tcPr>
            <w:tcW w:w="1569" w:type="dxa"/>
            <w:tcBorders>
              <w:left w:val="single" w:sz="4" w:space="0" w:color="008675"/>
              <w:bottom w:val="single" w:sz="4" w:space="0" w:color="008675"/>
              <w:right w:val="single" w:sz="4" w:space="0" w:color="008675"/>
            </w:tcBorders>
            <w:shd w:val="clear" w:color="auto" w:fill="D2EEED"/>
            <w:vAlign w:val="center"/>
          </w:tcPr>
          <w:p w14:paraId="7624E431" w14:textId="77777777" w:rsidR="0052188A" w:rsidRPr="003C665E" w:rsidRDefault="0052188A" w:rsidP="0052188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3C665E">
              <w:rPr>
                <w:color w:val="008675"/>
                <w:sz w:val="20"/>
                <w:szCs w:val="20"/>
              </w:rPr>
              <w:t>Community organisations</w:t>
            </w:r>
          </w:p>
        </w:tc>
        <w:tc>
          <w:tcPr>
            <w:tcW w:w="1984" w:type="dxa"/>
            <w:tcBorders>
              <w:left w:val="single" w:sz="4" w:space="0" w:color="008675"/>
              <w:bottom w:val="single" w:sz="4" w:space="0" w:color="008675"/>
              <w:right w:val="single" w:sz="4" w:space="0" w:color="008675"/>
            </w:tcBorders>
            <w:shd w:val="clear" w:color="auto" w:fill="D2EEED"/>
            <w:vAlign w:val="center"/>
          </w:tcPr>
          <w:p w14:paraId="00531D06" w14:textId="77777777" w:rsidR="0052188A" w:rsidRPr="003C665E" w:rsidRDefault="0052188A" w:rsidP="0052188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3C665E">
              <w:rPr>
                <w:color w:val="008675"/>
                <w:sz w:val="20"/>
                <w:szCs w:val="20"/>
              </w:rPr>
              <w:t>Individuals</w:t>
            </w:r>
          </w:p>
        </w:tc>
        <w:tc>
          <w:tcPr>
            <w:tcW w:w="2127" w:type="dxa"/>
            <w:tcBorders>
              <w:left w:val="single" w:sz="4" w:space="0" w:color="008675"/>
              <w:bottom w:val="single" w:sz="4" w:space="0" w:color="008675"/>
            </w:tcBorders>
            <w:shd w:val="clear" w:color="auto" w:fill="D2EEED"/>
            <w:vAlign w:val="center"/>
          </w:tcPr>
          <w:p w14:paraId="0F8D0DFA" w14:textId="77777777" w:rsidR="0052188A" w:rsidRPr="003C665E" w:rsidRDefault="0052188A" w:rsidP="0052188A">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color w:val="008675"/>
                <w:sz w:val="20"/>
                <w:szCs w:val="20"/>
              </w:rPr>
            </w:pPr>
            <w:r w:rsidRPr="003C665E">
              <w:rPr>
                <w:color w:val="008675"/>
                <w:sz w:val="20"/>
                <w:szCs w:val="20"/>
              </w:rPr>
              <w:t>Total change in benefit</w:t>
            </w:r>
          </w:p>
        </w:tc>
      </w:tr>
      <w:tr w:rsidR="00496257" w:rsidRPr="002B62F9" w14:paraId="3CDC91C4" w14:textId="77777777" w:rsidTr="003C665E">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008675"/>
              <w:bottom w:val="single" w:sz="4" w:space="0" w:color="008675"/>
              <w:right w:val="single" w:sz="4" w:space="0" w:color="008675"/>
            </w:tcBorders>
            <w:shd w:val="clear" w:color="auto" w:fill="auto"/>
            <w:vAlign w:val="center"/>
          </w:tcPr>
          <w:p w14:paraId="7DA8AF52" w14:textId="77777777" w:rsidR="0052188A" w:rsidRPr="002B62F9" w:rsidRDefault="0052188A" w:rsidP="0052188A">
            <w:pPr>
              <w:suppressAutoHyphens/>
              <w:spacing w:before="0" w:after="0" w:line="240" w:lineRule="auto"/>
              <w:rPr>
                <w:color w:val="2C476E"/>
                <w:sz w:val="20"/>
                <w:szCs w:val="20"/>
              </w:rPr>
            </w:pPr>
            <w:r w:rsidRPr="002B62F9">
              <w:rPr>
                <w:color w:val="000000"/>
                <w:sz w:val="20"/>
                <w:szCs w:val="20"/>
              </w:rPr>
              <w:t>Individual time saving</w:t>
            </w:r>
          </w:p>
        </w:tc>
        <w:tc>
          <w:tcPr>
            <w:tcW w:w="156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4B5AE023"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2B62F9">
              <w:rPr>
                <w:color w:val="000000"/>
                <w:sz w:val="20"/>
                <w:szCs w:val="20"/>
              </w:rPr>
              <w:t>1</w:t>
            </w:r>
          </w:p>
        </w:tc>
        <w:tc>
          <w:tcPr>
            <w:tcW w:w="2977" w:type="dxa"/>
            <w:gridSpan w:val="2"/>
            <w:vMerge w:val="restart"/>
            <w:tcBorders>
              <w:top w:val="single" w:sz="4" w:space="0" w:color="008675"/>
              <w:left w:val="single" w:sz="4" w:space="0" w:color="008675"/>
              <w:bottom w:val="single" w:sz="4" w:space="0" w:color="008675"/>
              <w:right w:val="single" w:sz="4" w:space="0" w:color="008675"/>
            </w:tcBorders>
            <w:shd w:val="clear" w:color="auto" w:fill="auto"/>
            <w:vAlign w:val="center"/>
          </w:tcPr>
          <w:p w14:paraId="78558896"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Borders>
              <w:top w:val="single" w:sz="4" w:space="0" w:color="008675"/>
              <w:left w:val="single" w:sz="4" w:space="0" w:color="008675"/>
              <w:bottom w:val="single" w:sz="4" w:space="0" w:color="008675"/>
              <w:right w:val="single" w:sz="4" w:space="0" w:color="008675"/>
            </w:tcBorders>
            <w:shd w:val="clear" w:color="auto" w:fill="auto"/>
            <w:vAlign w:val="center"/>
          </w:tcPr>
          <w:p w14:paraId="0465D596"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2B62F9">
              <w:rPr>
                <w:color w:val="000000"/>
                <w:sz w:val="20"/>
                <w:szCs w:val="20"/>
              </w:rPr>
              <w:t>115 minutes</w:t>
            </w:r>
          </w:p>
        </w:tc>
        <w:tc>
          <w:tcPr>
            <w:tcW w:w="2127" w:type="dxa"/>
            <w:tcBorders>
              <w:top w:val="single" w:sz="4" w:space="0" w:color="008675"/>
              <w:left w:val="single" w:sz="4" w:space="0" w:color="008675"/>
              <w:bottom w:val="single" w:sz="4" w:space="0" w:color="008675"/>
            </w:tcBorders>
            <w:shd w:val="clear" w:color="auto" w:fill="auto"/>
            <w:vAlign w:val="center"/>
          </w:tcPr>
          <w:p w14:paraId="51BF8EF8"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2B62F9">
              <w:rPr>
                <w:color w:val="000000"/>
                <w:sz w:val="20"/>
                <w:szCs w:val="20"/>
              </w:rPr>
              <w:t>115 minutes</w:t>
            </w:r>
          </w:p>
        </w:tc>
      </w:tr>
      <w:tr w:rsidR="0052188A" w:rsidRPr="002B62F9" w14:paraId="5FC56FBF" w14:textId="77777777" w:rsidTr="003C665E">
        <w:trPr>
          <w:trHeight w:val="907"/>
          <w:jc w:val="center"/>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008675"/>
              <w:bottom w:val="single" w:sz="4" w:space="0" w:color="008675"/>
              <w:right w:val="single" w:sz="4" w:space="0" w:color="008675"/>
            </w:tcBorders>
            <w:shd w:val="clear" w:color="auto" w:fill="auto"/>
            <w:vAlign w:val="center"/>
          </w:tcPr>
          <w:p w14:paraId="74D0E597" w14:textId="77777777" w:rsidR="0052188A" w:rsidRPr="002B62F9" w:rsidRDefault="0052188A" w:rsidP="0052188A">
            <w:pPr>
              <w:suppressAutoHyphens/>
              <w:spacing w:before="0" w:after="0" w:line="240" w:lineRule="auto"/>
              <w:rPr>
                <w:color w:val="000000"/>
                <w:sz w:val="20"/>
                <w:szCs w:val="20"/>
              </w:rPr>
            </w:pPr>
            <w:r w:rsidRPr="002B62F9">
              <w:rPr>
                <w:color w:val="000000"/>
                <w:sz w:val="20"/>
                <w:szCs w:val="20"/>
              </w:rPr>
              <w:t>Individual transaction saving</w:t>
            </w:r>
          </w:p>
        </w:tc>
        <w:tc>
          <w:tcPr>
            <w:tcW w:w="156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0D04C673" w14:textId="77777777" w:rsidR="0052188A" w:rsidRPr="002B62F9" w:rsidRDefault="0052188A" w:rsidP="0052188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62F9">
              <w:rPr>
                <w:color w:val="000000"/>
                <w:sz w:val="20"/>
                <w:szCs w:val="20"/>
              </w:rPr>
              <w:t>1</w:t>
            </w:r>
          </w:p>
        </w:tc>
        <w:tc>
          <w:tcPr>
            <w:tcW w:w="2977" w:type="dxa"/>
            <w:gridSpan w:val="2"/>
            <w:vMerge/>
            <w:tcBorders>
              <w:top w:val="single" w:sz="4" w:space="0" w:color="008675"/>
              <w:left w:val="single" w:sz="4" w:space="0" w:color="008675"/>
              <w:bottom w:val="single" w:sz="4" w:space="0" w:color="008675"/>
              <w:right w:val="single" w:sz="4" w:space="0" w:color="008675"/>
            </w:tcBorders>
            <w:shd w:val="clear" w:color="auto" w:fill="auto"/>
            <w:vAlign w:val="center"/>
          </w:tcPr>
          <w:p w14:paraId="0B3DCF2C" w14:textId="77777777" w:rsidR="0052188A" w:rsidRPr="002B62F9" w:rsidRDefault="0052188A" w:rsidP="0052188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984" w:type="dxa"/>
            <w:tcBorders>
              <w:top w:val="single" w:sz="4" w:space="0" w:color="008675"/>
              <w:left w:val="single" w:sz="4" w:space="0" w:color="008675"/>
              <w:bottom w:val="single" w:sz="4" w:space="0" w:color="008675"/>
              <w:right w:val="single" w:sz="4" w:space="0" w:color="008675"/>
            </w:tcBorders>
            <w:shd w:val="clear" w:color="auto" w:fill="auto"/>
            <w:vAlign w:val="center"/>
          </w:tcPr>
          <w:p w14:paraId="5D417099" w14:textId="77777777" w:rsidR="0052188A" w:rsidRPr="002B62F9" w:rsidRDefault="0052188A" w:rsidP="0052188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62F9">
              <w:rPr>
                <w:color w:val="000000"/>
                <w:sz w:val="20"/>
                <w:szCs w:val="20"/>
              </w:rPr>
              <w:t>$61.00</w:t>
            </w:r>
          </w:p>
        </w:tc>
        <w:tc>
          <w:tcPr>
            <w:tcW w:w="2127" w:type="dxa"/>
            <w:tcBorders>
              <w:top w:val="single" w:sz="4" w:space="0" w:color="008675"/>
              <w:left w:val="single" w:sz="4" w:space="0" w:color="008675"/>
              <w:bottom w:val="single" w:sz="4" w:space="0" w:color="008675"/>
            </w:tcBorders>
            <w:shd w:val="clear" w:color="auto" w:fill="auto"/>
            <w:vAlign w:val="center"/>
          </w:tcPr>
          <w:p w14:paraId="32897E77" w14:textId="77777777" w:rsidR="0052188A" w:rsidRPr="002B62F9" w:rsidRDefault="0052188A" w:rsidP="0052188A">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B62F9">
              <w:rPr>
                <w:color w:val="000000"/>
                <w:sz w:val="20"/>
                <w:szCs w:val="20"/>
              </w:rPr>
              <w:t>$61.00</w:t>
            </w:r>
          </w:p>
        </w:tc>
      </w:tr>
      <w:tr w:rsidR="0052188A" w:rsidRPr="00496257" w14:paraId="6B1935ED" w14:textId="77777777" w:rsidTr="003C665E">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981" w:type="dxa"/>
            <w:tcBorders>
              <w:top w:val="single" w:sz="4" w:space="0" w:color="008675"/>
              <w:bottom w:val="single" w:sz="4" w:space="0" w:color="008675"/>
              <w:right w:val="single" w:sz="4" w:space="0" w:color="008675"/>
            </w:tcBorders>
            <w:shd w:val="clear" w:color="auto" w:fill="auto"/>
            <w:vAlign w:val="center"/>
          </w:tcPr>
          <w:p w14:paraId="345CEE65" w14:textId="77777777" w:rsidR="0052188A" w:rsidRPr="002B62F9" w:rsidRDefault="0052188A" w:rsidP="0052188A">
            <w:pPr>
              <w:suppressAutoHyphens/>
              <w:spacing w:before="0" w:after="0" w:line="240" w:lineRule="auto"/>
              <w:rPr>
                <w:color w:val="000000"/>
                <w:sz w:val="20"/>
                <w:szCs w:val="20"/>
              </w:rPr>
            </w:pPr>
            <w:r w:rsidRPr="002B62F9">
              <w:rPr>
                <w:color w:val="000000"/>
                <w:sz w:val="20"/>
                <w:szCs w:val="20"/>
              </w:rPr>
              <w:t>Whole of Economy transaction savings</w:t>
            </w:r>
          </w:p>
        </w:tc>
        <w:tc>
          <w:tcPr>
            <w:tcW w:w="1563" w:type="dxa"/>
            <w:tcBorders>
              <w:top w:val="single" w:sz="4" w:space="0" w:color="008675"/>
              <w:left w:val="single" w:sz="4" w:space="0" w:color="008675"/>
              <w:bottom w:val="single" w:sz="4" w:space="0" w:color="008675"/>
              <w:right w:val="single" w:sz="4" w:space="0" w:color="008675"/>
            </w:tcBorders>
            <w:shd w:val="clear" w:color="auto" w:fill="auto"/>
            <w:vAlign w:val="center"/>
          </w:tcPr>
          <w:p w14:paraId="6C3263C4"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B62F9">
              <w:rPr>
                <w:b/>
                <w:bCs/>
                <w:color w:val="000000"/>
                <w:sz w:val="20"/>
                <w:szCs w:val="20"/>
              </w:rPr>
              <w:t>54,000,000**</w:t>
            </w:r>
          </w:p>
        </w:tc>
        <w:tc>
          <w:tcPr>
            <w:tcW w:w="2977" w:type="dxa"/>
            <w:gridSpan w:val="2"/>
            <w:vMerge/>
            <w:tcBorders>
              <w:top w:val="single" w:sz="4" w:space="0" w:color="008675"/>
              <w:left w:val="single" w:sz="4" w:space="0" w:color="008675"/>
              <w:bottom w:val="single" w:sz="4" w:space="0" w:color="008675"/>
              <w:right w:val="single" w:sz="4" w:space="0" w:color="008675"/>
            </w:tcBorders>
            <w:shd w:val="clear" w:color="auto" w:fill="auto"/>
            <w:vAlign w:val="center"/>
          </w:tcPr>
          <w:p w14:paraId="642A568E"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984" w:type="dxa"/>
            <w:tcBorders>
              <w:top w:val="single" w:sz="4" w:space="0" w:color="008675"/>
              <w:left w:val="single" w:sz="4" w:space="0" w:color="008675"/>
              <w:bottom w:val="single" w:sz="4" w:space="0" w:color="008675"/>
              <w:right w:val="single" w:sz="4" w:space="0" w:color="008675"/>
            </w:tcBorders>
            <w:shd w:val="clear" w:color="auto" w:fill="auto"/>
            <w:vAlign w:val="center"/>
          </w:tcPr>
          <w:p w14:paraId="47476545" w14:textId="77777777" w:rsidR="0052188A" w:rsidRPr="002B62F9" w:rsidRDefault="0052188A" w:rsidP="0052188A">
            <w:pPr>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B62F9">
              <w:rPr>
                <w:b/>
                <w:bCs/>
                <w:color w:val="000000"/>
                <w:sz w:val="20"/>
                <w:szCs w:val="20"/>
              </w:rPr>
              <w:t>- $3,312,000,000</w:t>
            </w:r>
          </w:p>
        </w:tc>
        <w:tc>
          <w:tcPr>
            <w:tcW w:w="2127" w:type="dxa"/>
            <w:tcBorders>
              <w:top w:val="single" w:sz="4" w:space="0" w:color="008675"/>
              <w:left w:val="single" w:sz="4" w:space="0" w:color="008675"/>
              <w:bottom w:val="single" w:sz="4" w:space="0" w:color="008675"/>
            </w:tcBorders>
            <w:shd w:val="clear" w:color="auto" w:fill="auto"/>
            <w:vAlign w:val="center"/>
          </w:tcPr>
          <w:p w14:paraId="1904E02F" w14:textId="77777777" w:rsidR="0052188A" w:rsidRPr="002B62F9" w:rsidRDefault="0052188A" w:rsidP="00217F8F">
            <w:pPr>
              <w:keepNext/>
              <w:suppressAutoHyphens/>
              <w:spacing w:before="0" w:after="0" w:line="240" w:lineRule="auto"/>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2B62F9">
              <w:rPr>
                <w:b/>
                <w:bCs/>
                <w:color w:val="000000"/>
                <w:sz w:val="20"/>
                <w:szCs w:val="20"/>
              </w:rPr>
              <w:t>- $3,312,000,000</w:t>
            </w:r>
          </w:p>
        </w:tc>
      </w:tr>
    </w:tbl>
    <w:p w14:paraId="6A9AA978" w14:textId="771D7C71" w:rsidR="00666C04" w:rsidRPr="00217F8F" w:rsidRDefault="00666C04">
      <w:pPr>
        <w:pStyle w:val="Caption"/>
      </w:pPr>
      <w:bookmarkStart w:id="533" w:name="_Toc130390613"/>
      <w:r w:rsidRPr="00217F8F">
        <w:t xml:space="preserve">Table </w:t>
      </w:r>
      <w:r>
        <w:fldChar w:fldCharType="begin"/>
      </w:r>
      <w:r>
        <w:instrText>SEQ Table \* ARABIC</w:instrText>
      </w:r>
      <w:r>
        <w:fldChar w:fldCharType="separate"/>
      </w:r>
      <w:r w:rsidRPr="00217F8F">
        <w:rPr>
          <w:noProof/>
        </w:rPr>
        <w:t>6</w:t>
      </w:r>
      <w:r>
        <w:fldChar w:fldCharType="end"/>
      </w:r>
      <w:r w:rsidRPr="00217F8F">
        <w:t>: Option 3 Select indirect benefits table</w:t>
      </w:r>
      <w:bookmarkEnd w:id="533"/>
    </w:p>
    <w:p w14:paraId="186C72AB" w14:textId="6F0A0ED3" w:rsidR="006D2C7A" w:rsidRPr="002B62F9" w:rsidRDefault="0052188A" w:rsidP="006D2C7A">
      <w:pPr>
        <w:suppressAutoHyphens/>
        <w:spacing w:before="280" w:after="140" w:line="336" w:lineRule="auto"/>
        <w:rPr>
          <w:color w:val="auto"/>
          <w:sz w:val="20"/>
          <w:szCs w:val="20"/>
        </w:rPr>
      </w:pPr>
      <w:r w:rsidRPr="002B62F9">
        <w:rPr>
          <w:color w:val="auto"/>
          <w:sz w:val="20"/>
          <w:szCs w:val="20"/>
        </w:rPr>
        <w:t xml:space="preserve">^ </w:t>
      </w:r>
      <w:r w:rsidR="006D2C7A" w:rsidRPr="002B62F9">
        <w:rPr>
          <w:color w:val="auto"/>
          <w:sz w:val="20"/>
          <w:szCs w:val="20"/>
        </w:rPr>
        <w:t xml:space="preserve">Indirect benefits may be realised by individuals, businesses and community organisations as regulation fosters additional service offerings and options for verifying identity. It is expected that an individual could save 115 minutes of time (source: KPMG, 2021, Economic Benefits of Digital Identity) by completing a transaction with a digital </w:t>
      </w:r>
      <w:r w:rsidR="009B2AA0">
        <w:rPr>
          <w:color w:val="auto"/>
          <w:sz w:val="20"/>
          <w:szCs w:val="20"/>
        </w:rPr>
        <w:t>ID</w:t>
      </w:r>
      <w:r w:rsidR="009B2AA0" w:rsidRPr="002B62F9">
        <w:rPr>
          <w:color w:val="auto"/>
          <w:sz w:val="20"/>
          <w:szCs w:val="20"/>
        </w:rPr>
        <w:t xml:space="preserve"> </w:t>
      </w:r>
      <w:r w:rsidR="006D2C7A" w:rsidRPr="002B62F9">
        <w:rPr>
          <w:color w:val="auto"/>
          <w:sz w:val="20"/>
          <w:szCs w:val="20"/>
        </w:rPr>
        <w:t xml:space="preserve">compared to without. Based on the default value for an individual’s leisure time ($32 per hour per the </w:t>
      </w:r>
      <w:hyperlink r:id="rId86" w:history="1">
        <w:r w:rsidR="006D2C7A" w:rsidRPr="003C665E">
          <w:rPr>
            <w:rStyle w:val="Hyperlink"/>
            <w:color w:val="008675"/>
            <w:sz w:val="20"/>
            <w:szCs w:val="20"/>
          </w:rPr>
          <w:t>Regulatory Burden Measurement Framework</w:t>
        </w:r>
      </w:hyperlink>
      <w:r w:rsidR="006D2C7A" w:rsidRPr="00217F8F">
        <w:rPr>
          <w:color w:val="auto"/>
          <w:sz w:val="20"/>
          <w:szCs w:val="20"/>
        </w:rPr>
        <w:t>), this would equate to an individual benefit of $61.00 per transaction. Similarly, for a small business it is expected that setting up an ABN and registering a business name would take a quarter of the time it would otherwise. Estimated to save the busine</w:t>
      </w:r>
      <w:r w:rsidR="006D2C7A" w:rsidRPr="002B62F9">
        <w:rPr>
          <w:color w:val="auto"/>
          <w:sz w:val="20"/>
          <w:szCs w:val="20"/>
        </w:rPr>
        <w:t>ss $128 in this transaction</w:t>
      </w:r>
      <w:r w:rsidR="006D2C7A" w:rsidRPr="00217F8F">
        <w:rPr>
          <w:color w:val="auto"/>
          <w:sz w:val="20"/>
          <w:szCs w:val="20"/>
        </w:rPr>
        <w:t xml:space="preserve">. However, these are time savings not cost savings and are not directly attributable to the regulation. Rather, they are a result of an additional identity verification option becoming available. </w:t>
      </w:r>
    </w:p>
    <w:p w14:paraId="5CC77B5B" w14:textId="19D6784C" w:rsidR="0052188A" w:rsidRPr="002B62F9" w:rsidRDefault="0052188A" w:rsidP="006D2C7A">
      <w:pPr>
        <w:suppressAutoHyphens/>
        <w:spacing w:before="280" w:after="140" w:line="336" w:lineRule="auto"/>
        <w:rPr>
          <w:color w:val="auto"/>
          <w:sz w:val="20"/>
          <w:szCs w:val="20"/>
        </w:rPr>
      </w:pPr>
      <w:r w:rsidRPr="002B62F9">
        <w:rPr>
          <w:color w:val="auto"/>
          <w:sz w:val="20"/>
          <w:szCs w:val="20"/>
        </w:rPr>
        <w:t xml:space="preserve">* Please note, the savings quantified in the above table are not comprehensive as there are other benefits to businesses, community organisations and governments as described in Section </w:t>
      </w:r>
      <w:r w:rsidR="008F6FE6" w:rsidRPr="002B62F9">
        <w:rPr>
          <w:color w:val="auto"/>
          <w:sz w:val="20"/>
          <w:szCs w:val="20"/>
        </w:rPr>
        <w:t>9.1</w:t>
      </w:r>
      <w:r w:rsidRPr="002B62F9">
        <w:rPr>
          <w:color w:val="auto"/>
          <w:sz w:val="20"/>
          <w:szCs w:val="20"/>
        </w:rPr>
        <w:t>. The savings detailed in the above Table have been calculated as follows:</w:t>
      </w:r>
    </w:p>
    <w:p w14:paraId="6BD449B7" w14:textId="77777777" w:rsidR="0052188A" w:rsidRPr="002B62F9" w:rsidRDefault="0052188A" w:rsidP="0052188A">
      <w:pPr>
        <w:spacing w:before="0" w:after="160" w:line="259" w:lineRule="auto"/>
        <w:rPr>
          <w:color w:val="auto"/>
          <w:sz w:val="20"/>
          <w:szCs w:val="20"/>
        </w:rPr>
      </w:pPr>
      <w:r w:rsidRPr="002B62F9">
        <w:rPr>
          <w:color w:val="auto"/>
          <w:sz w:val="20"/>
          <w:szCs w:val="20"/>
        </w:rPr>
        <w:tab/>
      </w:r>
      <w:r w:rsidRPr="002B62F9">
        <w:rPr>
          <w:i/>
          <w:iCs/>
          <w:color w:val="auto"/>
          <w:sz w:val="20"/>
          <w:szCs w:val="20"/>
        </w:rPr>
        <w:t>Individual saving per transaction ($61.00) x number of transactions</w:t>
      </w:r>
    </w:p>
    <w:p w14:paraId="53E672F1" w14:textId="375A01D7" w:rsidR="0052188A" w:rsidRPr="0052188A" w:rsidRDefault="0052188A" w:rsidP="00217F8F">
      <w:pPr>
        <w:spacing w:before="0" w:after="160" w:line="259" w:lineRule="auto"/>
        <w:rPr>
          <w:color w:val="auto"/>
          <w:sz w:val="20"/>
          <w:szCs w:val="20"/>
        </w:rPr>
      </w:pPr>
      <w:r w:rsidRPr="002B62F9">
        <w:rPr>
          <w:color w:val="auto"/>
          <w:sz w:val="20"/>
          <w:szCs w:val="20"/>
        </w:rPr>
        <w:t xml:space="preserve">** The number of transactions used in this calculation is based on estimated transactions through </w:t>
      </w:r>
      <w:proofErr w:type="spellStart"/>
      <w:r w:rsidRPr="002B62F9">
        <w:rPr>
          <w:color w:val="auto"/>
          <w:sz w:val="20"/>
          <w:szCs w:val="20"/>
        </w:rPr>
        <w:t>myGovID</w:t>
      </w:r>
      <w:proofErr w:type="spellEnd"/>
      <w:r w:rsidRPr="002B62F9">
        <w:rPr>
          <w:color w:val="auto"/>
          <w:sz w:val="20"/>
          <w:szCs w:val="20"/>
        </w:rPr>
        <w:t xml:space="preserve"> in 202</w:t>
      </w:r>
      <w:r w:rsidR="007A67B8">
        <w:rPr>
          <w:color w:val="auto"/>
          <w:sz w:val="20"/>
          <w:szCs w:val="20"/>
        </w:rPr>
        <w:t>1-22</w:t>
      </w:r>
      <w:r w:rsidRPr="002B62F9">
        <w:rPr>
          <w:color w:val="auto"/>
          <w:sz w:val="20"/>
          <w:szCs w:val="20"/>
        </w:rPr>
        <w:t xml:space="preserve"> used in the Digital I</w:t>
      </w:r>
      <w:r w:rsidR="00EB2443">
        <w:rPr>
          <w:color w:val="auto"/>
          <w:sz w:val="20"/>
          <w:szCs w:val="20"/>
        </w:rPr>
        <w:t>D</w:t>
      </w:r>
      <w:r w:rsidRPr="002B62F9">
        <w:rPr>
          <w:color w:val="auto"/>
          <w:sz w:val="20"/>
          <w:szCs w:val="20"/>
        </w:rPr>
        <w:t xml:space="preserve"> Charging Framework. This is based on government transactions only and is a conservative estimate as it does not incorporate any increase in volume across the years and does not include transactions that may occur through uptake of private sector services. Private sector take-up impacting the volume of transactions cannot be accurately forecast as it is dependent on a number of factors, including the future charging framework.</w:t>
      </w:r>
    </w:p>
    <w:p w14:paraId="5BBB04E3" w14:textId="66F578D5" w:rsidR="00E6232E" w:rsidRPr="00800609" w:rsidRDefault="00E6232E">
      <w:pPr>
        <w:pStyle w:val="Heading2NoNumbers"/>
        <w:rPr>
          <w:rFonts w:eastAsia="Calibri"/>
          <w:color w:val="008675"/>
          <w:lang w:eastAsia="en-US"/>
        </w:rPr>
      </w:pPr>
      <w:bookmarkStart w:id="534" w:name="_Toc80884708"/>
      <w:bookmarkStart w:id="535" w:name="_Toc81226648"/>
      <w:bookmarkStart w:id="536" w:name="_Toc81226924"/>
      <w:bookmarkStart w:id="537" w:name="_Toc81228268"/>
      <w:bookmarkStart w:id="538" w:name="_Toc83951211"/>
      <w:bookmarkStart w:id="539" w:name="_Toc84925835"/>
      <w:bookmarkStart w:id="540" w:name="_Toc84925909"/>
      <w:bookmarkStart w:id="541" w:name="_Toc86045153"/>
      <w:bookmarkStart w:id="542" w:name="_Toc86070049"/>
      <w:bookmarkStart w:id="543" w:name="_Toc149740356"/>
      <w:bookmarkStart w:id="544" w:name="Likely"/>
      <w:r w:rsidRPr="00800609">
        <w:rPr>
          <w:color w:val="008675"/>
          <w:lang w:eastAsia="en-US"/>
        </w:rPr>
        <w:t xml:space="preserve">9.3 Likely </w:t>
      </w:r>
      <w:r w:rsidR="00695EFB" w:rsidRPr="00800609">
        <w:rPr>
          <w:color w:val="008675"/>
          <w:lang w:eastAsia="en-US"/>
        </w:rPr>
        <w:t>n</w:t>
      </w:r>
      <w:r w:rsidRPr="00800609">
        <w:rPr>
          <w:color w:val="008675"/>
          <w:lang w:eastAsia="en-US"/>
        </w:rPr>
        <w:t xml:space="preserve">et </w:t>
      </w:r>
      <w:r w:rsidR="00695EFB" w:rsidRPr="00800609">
        <w:rPr>
          <w:color w:val="008675"/>
          <w:lang w:eastAsia="en-US"/>
        </w:rPr>
        <w:t>b</w:t>
      </w:r>
      <w:r w:rsidRPr="00800609">
        <w:rPr>
          <w:color w:val="008675"/>
          <w:lang w:eastAsia="en-US"/>
        </w:rPr>
        <w:t>enefit</w:t>
      </w:r>
      <w:bookmarkEnd w:id="534"/>
      <w:bookmarkEnd w:id="535"/>
      <w:bookmarkEnd w:id="536"/>
      <w:bookmarkEnd w:id="537"/>
      <w:bookmarkEnd w:id="538"/>
      <w:bookmarkEnd w:id="539"/>
      <w:bookmarkEnd w:id="540"/>
      <w:bookmarkEnd w:id="541"/>
      <w:bookmarkEnd w:id="542"/>
      <w:bookmarkEnd w:id="543"/>
    </w:p>
    <w:bookmarkEnd w:id="544"/>
    <w:p w14:paraId="30B75F58" w14:textId="3C877C7B" w:rsidR="00E6232E" w:rsidRPr="000B7589" w:rsidRDefault="00E6232E" w:rsidP="00D03851">
      <w:pPr>
        <w:pStyle w:val="BodyText"/>
        <w:rPr>
          <w:lang w:eastAsia="en-US"/>
        </w:rPr>
      </w:pPr>
      <w:r w:rsidRPr="000B7589">
        <w:rPr>
          <w:lang w:eastAsia="en-US"/>
        </w:rPr>
        <w:t xml:space="preserve">The overall likely net benefit of Option 3 can be determined with reference to the costs and benefits identified for each stakeholder group – individuals, businesses (as </w:t>
      </w:r>
      <w:r w:rsidR="00651CA6">
        <w:rPr>
          <w:lang w:eastAsia="en-US"/>
        </w:rPr>
        <w:lastRenderedPageBreak/>
        <w:t xml:space="preserve">onboarded </w:t>
      </w:r>
      <w:r w:rsidR="006E797D">
        <w:rPr>
          <w:lang w:eastAsia="en-US"/>
        </w:rPr>
        <w:t>a</w:t>
      </w:r>
      <w:r w:rsidRPr="000B7589">
        <w:rPr>
          <w:lang w:eastAsia="en-US"/>
        </w:rPr>
        <w:t xml:space="preserve">ccredited </w:t>
      </w:r>
      <w:r w:rsidR="00651CA6">
        <w:rPr>
          <w:lang w:eastAsia="en-US"/>
        </w:rPr>
        <w:t>entities</w:t>
      </w:r>
      <w:r w:rsidR="00AE5657">
        <w:rPr>
          <w:lang w:eastAsia="en-US"/>
        </w:rPr>
        <w:t>, accredited entities</w:t>
      </w:r>
      <w:r w:rsidR="00651CA6">
        <w:rPr>
          <w:lang w:eastAsia="en-US"/>
        </w:rPr>
        <w:t xml:space="preserve"> </w:t>
      </w:r>
      <w:r w:rsidRPr="000B7589">
        <w:rPr>
          <w:lang w:eastAsia="en-US"/>
        </w:rPr>
        <w:t xml:space="preserve">and </w:t>
      </w:r>
      <w:r w:rsidR="00E96EC0">
        <w:rPr>
          <w:lang w:eastAsia="en-US"/>
        </w:rPr>
        <w:t>r</w:t>
      </w:r>
      <w:r w:rsidRPr="000B7589">
        <w:rPr>
          <w:lang w:eastAsia="en-US"/>
        </w:rPr>
        <w:t xml:space="preserve">elying </w:t>
      </w:r>
      <w:r w:rsidR="00E96EC0">
        <w:rPr>
          <w:lang w:eastAsia="en-US"/>
        </w:rPr>
        <w:t>p</w:t>
      </w:r>
      <w:r w:rsidRPr="000B7589">
        <w:rPr>
          <w:lang w:eastAsia="en-US"/>
        </w:rPr>
        <w:t xml:space="preserve">arties), government and community. </w:t>
      </w:r>
    </w:p>
    <w:p w14:paraId="05D17582" w14:textId="434C37F2" w:rsidR="00E6232E" w:rsidRPr="000B7589" w:rsidRDefault="00E6232E" w:rsidP="00D03851">
      <w:pPr>
        <w:pStyle w:val="BodyText"/>
        <w:rPr>
          <w:lang w:eastAsia="en-US"/>
        </w:rPr>
      </w:pPr>
      <w:r w:rsidRPr="000B7589">
        <w:rPr>
          <w:lang w:eastAsia="en-US"/>
        </w:rPr>
        <w:t xml:space="preserve">For individuals, there are significant direct and indirect benefits that will flow from the </w:t>
      </w:r>
      <w:r w:rsidR="00E96F05">
        <w:rPr>
          <w:lang w:eastAsia="en-US"/>
        </w:rPr>
        <w:t>establishment of a dedicated regulatory scheme through legislation</w:t>
      </w:r>
      <w:r w:rsidRPr="00AF08D5">
        <w:rPr>
          <w:lang w:eastAsia="en-US"/>
        </w:rPr>
        <w:t xml:space="preserve">, including time and cost </w:t>
      </w:r>
      <w:r w:rsidRPr="000A0594">
        <w:rPr>
          <w:lang w:eastAsia="en-US"/>
        </w:rPr>
        <w:t>savings, and a reduced risk of identity fraud and misuse o</w:t>
      </w:r>
      <w:r w:rsidRPr="002B62F9">
        <w:rPr>
          <w:lang w:eastAsia="en-US"/>
        </w:rPr>
        <w:t xml:space="preserve">f </w:t>
      </w:r>
      <w:r w:rsidR="00AF08D5" w:rsidRPr="002B62F9">
        <w:rPr>
          <w:lang w:eastAsia="en-US"/>
        </w:rPr>
        <w:t>per</w:t>
      </w:r>
      <w:r w:rsidRPr="002B62F9">
        <w:rPr>
          <w:lang w:eastAsia="en-US"/>
        </w:rPr>
        <w:t xml:space="preserve">sonal information. </w:t>
      </w:r>
      <w:r w:rsidR="003A63DC">
        <w:rPr>
          <w:lang w:eastAsia="en-US"/>
        </w:rPr>
        <w:t>C</w:t>
      </w:r>
      <w:r w:rsidR="002E5B0C" w:rsidRPr="003A63DC">
        <w:rPr>
          <w:lang w:eastAsia="en-US"/>
        </w:rPr>
        <w:t>onsider</w:t>
      </w:r>
      <w:r w:rsidR="003A63DC">
        <w:rPr>
          <w:lang w:eastAsia="en-US"/>
        </w:rPr>
        <w:t>ing</w:t>
      </w:r>
      <w:r w:rsidR="00FD1939" w:rsidRPr="003A63DC">
        <w:rPr>
          <w:lang w:eastAsia="en-US"/>
        </w:rPr>
        <w:t>, for example,</w:t>
      </w:r>
      <w:r w:rsidR="002E5B0C" w:rsidRPr="003A63DC">
        <w:rPr>
          <w:lang w:eastAsia="en-US"/>
        </w:rPr>
        <w:t xml:space="preserve"> that an individual’s time savings benefit</w:t>
      </w:r>
      <w:r w:rsidR="00283F99" w:rsidRPr="003A63DC">
        <w:rPr>
          <w:lang w:eastAsia="en-US"/>
        </w:rPr>
        <w:t xml:space="preserve"> under the </w:t>
      </w:r>
      <w:r w:rsidR="004E46ED">
        <w:rPr>
          <w:lang w:eastAsia="en-US"/>
        </w:rPr>
        <w:t>status quo,</w:t>
      </w:r>
      <w:r w:rsidR="002E5B0C" w:rsidRPr="003A63DC">
        <w:rPr>
          <w:lang w:eastAsia="en-US"/>
        </w:rPr>
        <w:t xml:space="preserve"> </w:t>
      </w:r>
      <w:r w:rsidR="00576600" w:rsidRPr="003A63DC">
        <w:rPr>
          <w:lang w:eastAsia="en-US"/>
        </w:rPr>
        <w:t>has be</w:t>
      </w:r>
      <w:r w:rsidR="000A0594" w:rsidRPr="003A63DC">
        <w:rPr>
          <w:lang w:eastAsia="en-US"/>
        </w:rPr>
        <w:t>en</w:t>
      </w:r>
      <w:r w:rsidR="00576600" w:rsidRPr="003A63DC">
        <w:rPr>
          <w:lang w:eastAsia="en-US"/>
        </w:rPr>
        <w:t xml:space="preserve"> calculated</w:t>
      </w:r>
      <w:r w:rsidR="000A0594" w:rsidRPr="003A63DC">
        <w:rPr>
          <w:lang w:eastAsia="en-US"/>
        </w:rPr>
        <w:t xml:space="preserve"> for some transactions</w:t>
      </w:r>
      <w:r w:rsidR="00E6246E" w:rsidRPr="003A63DC">
        <w:rPr>
          <w:lang w:eastAsia="en-US"/>
        </w:rPr>
        <w:t xml:space="preserve"> at </w:t>
      </w:r>
      <w:r w:rsidR="00E6246E" w:rsidRPr="00A60647">
        <w:rPr>
          <w:lang w:eastAsia="en-US"/>
        </w:rPr>
        <w:t>$61.00 per transaction</w:t>
      </w:r>
      <w:r w:rsidR="00576600" w:rsidRPr="003A63DC">
        <w:rPr>
          <w:lang w:eastAsia="en-US"/>
        </w:rPr>
        <w:t xml:space="preserve">, which, when extrapolated to a whole-of-economy </w:t>
      </w:r>
      <w:r w:rsidR="00CB7D42" w:rsidRPr="003A63DC">
        <w:rPr>
          <w:lang w:eastAsia="en-US"/>
        </w:rPr>
        <w:t>estimation</w:t>
      </w:r>
      <w:r w:rsidR="00FD0FF9" w:rsidRPr="003A63DC">
        <w:rPr>
          <w:lang w:eastAsia="en-US"/>
        </w:rPr>
        <w:t xml:space="preserve"> under the current </w:t>
      </w:r>
      <w:r w:rsidR="004E46ED">
        <w:rPr>
          <w:lang w:eastAsia="en-US"/>
        </w:rPr>
        <w:t>arrangements</w:t>
      </w:r>
      <w:r w:rsidR="00FD0FF9" w:rsidRPr="003A63DC">
        <w:rPr>
          <w:lang w:eastAsia="en-US"/>
        </w:rPr>
        <w:t xml:space="preserve"> only</w:t>
      </w:r>
      <w:r w:rsidR="00CB7D42" w:rsidRPr="003A63DC">
        <w:rPr>
          <w:lang w:eastAsia="en-US"/>
        </w:rPr>
        <w:t xml:space="preserve">, is conservatively </w:t>
      </w:r>
      <w:r w:rsidR="00CB7D42" w:rsidRPr="00A60647">
        <w:rPr>
          <w:lang w:eastAsia="en-US"/>
        </w:rPr>
        <w:t>around $3.312 billion</w:t>
      </w:r>
      <w:r w:rsidR="00FD0FF9" w:rsidRPr="003A63DC">
        <w:rPr>
          <w:lang w:eastAsia="en-US"/>
        </w:rPr>
        <w:t>,</w:t>
      </w:r>
      <w:r w:rsidR="00FD0FF9" w:rsidRPr="000A0594">
        <w:rPr>
          <w:lang w:eastAsia="en-US"/>
        </w:rPr>
        <w:t xml:space="preserve"> </w:t>
      </w:r>
      <w:r w:rsidR="00ED4918" w:rsidRPr="000A0594">
        <w:rPr>
          <w:lang w:eastAsia="en-US"/>
        </w:rPr>
        <w:t xml:space="preserve">the significance of potential time savings benefits </w:t>
      </w:r>
      <w:r w:rsidR="0024033E" w:rsidRPr="000A0594">
        <w:rPr>
          <w:lang w:eastAsia="en-US"/>
        </w:rPr>
        <w:t xml:space="preserve">that </w:t>
      </w:r>
      <w:r w:rsidR="003A63DC">
        <w:rPr>
          <w:lang w:eastAsia="en-US"/>
        </w:rPr>
        <w:t xml:space="preserve">may </w:t>
      </w:r>
      <w:r w:rsidR="0024033E" w:rsidRPr="000A0594">
        <w:rPr>
          <w:lang w:eastAsia="en-US"/>
        </w:rPr>
        <w:t>become available</w:t>
      </w:r>
      <w:r w:rsidR="00ED4918" w:rsidRPr="000A0594">
        <w:rPr>
          <w:lang w:eastAsia="en-US"/>
        </w:rPr>
        <w:t xml:space="preserve"> under</w:t>
      </w:r>
      <w:r w:rsidR="004E46ED">
        <w:rPr>
          <w:lang w:eastAsia="en-US"/>
        </w:rPr>
        <w:t xml:space="preserve"> an expanded system</w:t>
      </w:r>
      <w:r w:rsidR="00ED4918" w:rsidRPr="000A0594">
        <w:rPr>
          <w:lang w:eastAsia="en-US"/>
        </w:rPr>
        <w:t xml:space="preserve"> supported by a regulatory scheme</w:t>
      </w:r>
      <w:r w:rsidR="003A63DC">
        <w:rPr>
          <w:lang w:eastAsia="en-US"/>
        </w:rPr>
        <w:t xml:space="preserve"> is evident</w:t>
      </w:r>
      <w:r w:rsidR="00ED4918" w:rsidRPr="000A0594">
        <w:rPr>
          <w:lang w:eastAsia="en-US"/>
        </w:rPr>
        <w:t xml:space="preserve">. </w:t>
      </w:r>
      <w:r w:rsidRPr="000A0594">
        <w:rPr>
          <w:lang w:eastAsia="en-US"/>
        </w:rPr>
        <w:t>Given</w:t>
      </w:r>
      <w:r w:rsidRPr="00AF08D5">
        <w:rPr>
          <w:lang w:eastAsia="en-US"/>
        </w:rPr>
        <w:t xml:space="preserve"> the minimal costs to be borne by individuals under this option, the balance of net benefits for individual Australians is expected to be strongly positive</w:t>
      </w:r>
      <w:r w:rsidRPr="000B7589">
        <w:rPr>
          <w:lang w:eastAsia="en-US"/>
        </w:rPr>
        <w:t xml:space="preserve">. </w:t>
      </w:r>
    </w:p>
    <w:p w14:paraId="15027B88" w14:textId="260C7300" w:rsidR="00356213" w:rsidRDefault="00E6232E" w:rsidP="00D03851">
      <w:pPr>
        <w:pStyle w:val="BodyText"/>
        <w:rPr>
          <w:lang w:eastAsia="en-US"/>
        </w:rPr>
      </w:pPr>
      <w:r w:rsidRPr="000B7589">
        <w:rPr>
          <w:lang w:eastAsia="en-US"/>
        </w:rPr>
        <w:t xml:space="preserve">For businesses, the impacts will vary depending on various factors, including intended involvement as an </w:t>
      </w:r>
      <w:r w:rsidR="00651CA6">
        <w:rPr>
          <w:lang w:eastAsia="en-US"/>
        </w:rPr>
        <w:t xml:space="preserve">onboarded </w:t>
      </w:r>
      <w:r w:rsidR="00E96EC0">
        <w:rPr>
          <w:lang w:eastAsia="en-US"/>
        </w:rPr>
        <w:t>a</w:t>
      </w:r>
      <w:r w:rsidRPr="000B7589">
        <w:rPr>
          <w:lang w:eastAsia="en-US"/>
        </w:rPr>
        <w:t xml:space="preserve">ccredited </w:t>
      </w:r>
      <w:r w:rsidR="00651CA6">
        <w:rPr>
          <w:lang w:eastAsia="en-US"/>
        </w:rPr>
        <w:t>entity</w:t>
      </w:r>
      <w:r w:rsidR="00AE5657">
        <w:rPr>
          <w:lang w:eastAsia="en-US"/>
        </w:rPr>
        <w:t>, accredited entity</w:t>
      </w:r>
      <w:r w:rsidR="00651CA6">
        <w:rPr>
          <w:lang w:eastAsia="en-US"/>
        </w:rPr>
        <w:t xml:space="preserve"> </w:t>
      </w:r>
      <w:r w:rsidRPr="000B7589">
        <w:rPr>
          <w:lang w:eastAsia="en-US"/>
        </w:rPr>
        <w:t xml:space="preserve">or </w:t>
      </w:r>
      <w:r w:rsidR="00E96EC0">
        <w:rPr>
          <w:lang w:eastAsia="en-US"/>
        </w:rPr>
        <w:t>r</w:t>
      </w:r>
      <w:r w:rsidRPr="000B7589">
        <w:rPr>
          <w:lang w:eastAsia="en-US"/>
        </w:rPr>
        <w:t xml:space="preserve">elying </w:t>
      </w:r>
      <w:r w:rsidR="00E96EC0">
        <w:rPr>
          <w:lang w:eastAsia="en-US"/>
        </w:rPr>
        <w:t>p</w:t>
      </w:r>
      <w:r w:rsidRPr="000B7589">
        <w:rPr>
          <w:lang w:eastAsia="en-US"/>
        </w:rPr>
        <w:t>arty, and extent of existing compliance with the Privacy Act, data handling and security procedures. Th</w:t>
      </w:r>
      <w:r w:rsidR="004D7F42">
        <w:rPr>
          <w:lang w:eastAsia="en-US"/>
        </w:rPr>
        <w:t>ese</w:t>
      </w:r>
      <w:r w:rsidRPr="000B7589">
        <w:rPr>
          <w:lang w:eastAsia="en-US"/>
        </w:rPr>
        <w:t xml:space="preserve"> variables make it difficult to assess the net expected benefits for businesses in aggregate under Option 3. However, voluntary participation means it is likely that only those organisations which perceive a net positive benefit will choose to participate. Further, participation as a </w:t>
      </w:r>
      <w:r w:rsidR="00E96EC0">
        <w:rPr>
          <w:lang w:eastAsia="en-US"/>
        </w:rPr>
        <w:t>r</w:t>
      </w:r>
      <w:r w:rsidRPr="000B7589">
        <w:rPr>
          <w:lang w:eastAsia="en-US"/>
        </w:rPr>
        <w:t xml:space="preserve">elying </w:t>
      </w:r>
      <w:r w:rsidR="00E96EC0">
        <w:rPr>
          <w:lang w:eastAsia="en-US"/>
        </w:rPr>
        <w:t>p</w:t>
      </w:r>
      <w:r w:rsidRPr="000B7589">
        <w:rPr>
          <w:lang w:eastAsia="en-US"/>
        </w:rPr>
        <w:t xml:space="preserve">arty will see businesses benefit from increased productivity, faster speed of processing and improved client experience. For </w:t>
      </w:r>
      <w:r w:rsidR="00651CA6">
        <w:rPr>
          <w:lang w:eastAsia="en-US"/>
        </w:rPr>
        <w:t xml:space="preserve">onboarded </w:t>
      </w:r>
      <w:r w:rsidR="00E96EC0">
        <w:rPr>
          <w:lang w:eastAsia="en-US"/>
        </w:rPr>
        <w:t>a</w:t>
      </w:r>
      <w:r w:rsidRPr="000B7589">
        <w:rPr>
          <w:lang w:eastAsia="en-US"/>
        </w:rPr>
        <w:t xml:space="preserve">ccredited </w:t>
      </w:r>
      <w:r w:rsidR="00651CA6">
        <w:rPr>
          <w:lang w:eastAsia="en-US"/>
        </w:rPr>
        <w:t xml:space="preserve">entity </w:t>
      </w:r>
      <w:r w:rsidRPr="000B7589">
        <w:rPr>
          <w:lang w:eastAsia="en-US"/>
        </w:rPr>
        <w:t xml:space="preserve">businesses whose practices already demonstrate alignment with the </w:t>
      </w:r>
      <w:r w:rsidR="00E96F05">
        <w:rPr>
          <w:lang w:eastAsia="en-US"/>
        </w:rPr>
        <w:t>regulatory scheme’s</w:t>
      </w:r>
      <w:r w:rsidR="00E96F05" w:rsidRPr="000B7589">
        <w:rPr>
          <w:lang w:eastAsia="en-US"/>
        </w:rPr>
        <w:t xml:space="preserve"> </w:t>
      </w:r>
      <w:r w:rsidRPr="000B7589">
        <w:rPr>
          <w:lang w:eastAsia="en-US"/>
        </w:rPr>
        <w:t>requirements, it is expected that the</w:t>
      </w:r>
      <w:r w:rsidR="52342EE7" w:rsidRPr="000B7589">
        <w:rPr>
          <w:lang w:eastAsia="en-US"/>
        </w:rPr>
        <w:t xml:space="preserve"> </w:t>
      </w:r>
      <w:r w:rsidR="00DF50AB">
        <w:rPr>
          <w:lang w:eastAsia="en-US"/>
        </w:rPr>
        <w:pgNum/>
      </w:r>
      <w:r w:rsidR="00135DFE">
        <w:rPr>
          <w:lang w:eastAsia="en-US"/>
        </w:rPr>
        <w:t xml:space="preserve"> </w:t>
      </w:r>
      <w:r w:rsidR="7A257A48" w:rsidRPr="000B7589">
        <w:rPr>
          <w:lang w:eastAsia="en-US"/>
        </w:rPr>
        <w:t>additional</w:t>
      </w:r>
      <w:r w:rsidRPr="000B7589">
        <w:rPr>
          <w:lang w:eastAsia="en-US"/>
        </w:rPr>
        <w:t xml:space="preserve"> benefits </w:t>
      </w:r>
      <w:r w:rsidR="005422E8">
        <w:rPr>
          <w:lang w:eastAsia="en-US"/>
        </w:rPr>
        <w:t>of improved efficiency, additional revenue streams and reduced legal risk will be accrued.</w:t>
      </w:r>
      <w:r w:rsidR="008B26FC">
        <w:rPr>
          <w:lang w:eastAsia="en-US"/>
        </w:rPr>
        <w:t xml:space="preserve"> </w:t>
      </w:r>
    </w:p>
    <w:p w14:paraId="4F95BB17" w14:textId="73BFD0C8" w:rsidR="00E6232E" w:rsidRPr="000B7589" w:rsidRDefault="00356213" w:rsidP="00D03851">
      <w:pPr>
        <w:pStyle w:val="BodyText"/>
        <w:rPr>
          <w:lang w:eastAsia="en-US"/>
        </w:rPr>
      </w:pPr>
      <w:r>
        <w:rPr>
          <w:lang w:eastAsia="en-US"/>
        </w:rPr>
        <w:t>T</w:t>
      </w:r>
      <w:r w:rsidR="00957F51">
        <w:rPr>
          <w:lang w:eastAsia="en-US"/>
        </w:rPr>
        <w:t xml:space="preserve">he annual </w:t>
      </w:r>
      <w:r w:rsidR="00DA558B">
        <w:rPr>
          <w:lang w:eastAsia="en-US"/>
        </w:rPr>
        <w:t xml:space="preserve">average </w:t>
      </w:r>
      <w:r w:rsidR="00957F51">
        <w:rPr>
          <w:lang w:eastAsia="en-US"/>
        </w:rPr>
        <w:t xml:space="preserve">economy-wide regulatory cost of Option 3 has been estimated at </w:t>
      </w:r>
      <w:r w:rsidR="00CD2667" w:rsidRPr="00772E2B">
        <w:rPr>
          <w:rStyle w:val="Bold"/>
          <w:bCs/>
        </w:rPr>
        <w:t>$1,498,652</w:t>
      </w:r>
      <w:r w:rsidR="00957F51">
        <w:rPr>
          <w:lang w:eastAsia="en-US"/>
        </w:rPr>
        <w:t xml:space="preserve">, capturing a range of expected compliance costs under the proposed regulatory scheme. These costs are expected to be borne by </w:t>
      </w:r>
      <w:r w:rsidR="001E1EC0">
        <w:rPr>
          <w:lang w:eastAsia="en-US"/>
        </w:rPr>
        <w:t>the</w:t>
      </w:r>
      <w:r w:rsidR="00957F51">
        <w:rPr>
          <w:lang w:eastAsia="en-US"/>
        </w:rPr>
        <w:t xml:space="preserve"> small proportion of businesses </w:t>
      </w:r>
      <w:r w:rsidR="00125921">
        <w:rPr>
          <w:lang w:eastAsia="en-US"/>
        </w:rPr>
        <w:t>perceiving benefits in</w:t>
      </w:r>
      <w:r w:rsidR="00957F51">
        <w:rPr>
          <w:lang w:eastAsia="en-US"/>
        </w:rPr>
        <w:t xml:space="preserve"> choos</w:t>
      </w:r>
      <w:r w:rsidR="00125921">
        <w:rPr>
          <w:lang w:eastAsia="en-US"/>
        </w:rPr>
        <w:t>ing</w:t>
      </w:r>
      <w:r w:rsidR="00957F51">
        <w:rPr>
          <w:lang w:eastAsia="en-US"/>
        </w:rPr>
        <w:t xml:space="preserve"> to engage with, and participate in, </w:t>
      </w:r>
      <w:r w:rsidR="00BD58AB">
        <w:rPr>
          <w:lang w:eastAsia="en-US"/>
        </w:rPr>
        <w:t>u</w:t>
      </w:r>
      <w:r w:rsidR="00957F51">
        <w:rPr>
          <w:lang w:eastAsia="en-US"/>
        </w:rPr>
        <w:t>nder Option 3</w:t>
      </w:r>
      <w:r w:rsidR="005422E8">
        <w:rPr>
          <w:lang w:eastAsia="en-US"/>
        </w:rPr>
        <w:t xml:space="preserve">. </w:t>
      </w:r>
      <w:r w:rsidR="00B247A6">
        <w:rPr>
          <w:lang w:eastAsia="en-US"/>
        </w:rPr>
        <w:t>These costs</w:t>
      </w:r>
      <w:r w:rsidR="00A96E70">
        <w:rPr>
          <w:lang w:eastAsia="en-US"/>
        </w:rPr>
        <w:t xml:space="preserve"> will also be </w:t>
      </w:r>
      <w:r w:rsidR="00957F51">
        <w:rPr>
          <w:lang w:eastAsia="en-US"/>
        </w:rPr>
        <w:t>offset by the extent of a business’s existing maturity level (</w:t>
      </w:r>
      <w:r w:rsidR="003058F7">
        <w:rPr>
          <w:lang w:eastAsia="en-US"/>
        </w:rPr>
        <w:t>i.e.,</w:t>
      </w:r>
      <w:r w:rsidR="00957F51">
        <w:rPr>
          <w:lang w:eastAsia="en-US"/>
        </w:rPr>
        <w:t xml:space="preserve"> how established technical systems/processes, privacy and security arrangements and resources are) and</w:t>
      </w:r>
      <w:r w:rsidR="00312C59">
        <w:rPr>
          <w:lang w:eastAsia="en-US"/>
        </w:rPr>
        <w:t xml:space="preserve"> the </w:t>
      </w:r>
      <w:r w:rsidR="00957F51">
        <w:rPr>
          <w:lang w:eastAsia="en-US"/>
        </w:rPr>
        <w:t>effect of expected benefits</w:t>
      </w:r>
      <w:r w:rsidR="00370581">
        <w:rPr>
          <w:lang w:eastAsia="en-US"/>
        </w:rPr>
        <w:t xml:space="preserve"> </w:t>
      </w:r>
      <w:r w:rsidR="00E67DBB">
        <w:rPr>
          <w:lang w:eastAsia="en-US"/>
        </w:rPr>
        <w:t>per entity type</w:t>
      </w:r>
      <w:r w:rsidR="00957F51">
        <w:rPr>
          <w:lang w:eastAsia="en-US"/>
        </w:rPr>
        <w:t>.</w:t>
      </w:r>
      <w:r w:rsidR="00B370F0">
        <w:rPr>
          <w:lang w:eastAsia="en-US"/>
        </w:rPr>
        <w:t xml:space="preserve"> Overall,</w:t>
      </w:r>
      <w:r w:rsidR="000402EB">
        <w:rPr>
          <w:lang w:eastAsia="en-US"/>
        </w:rPr>
        <w:t xml:space="preserve"> the </w:t>
      </w:r>
      <w:r w:rsidR="00613150">
        <w:rPr>
          <w:lang w:eastAsia="en-US"/>
        </w:rPr>
        <w:t xml:space="preserve">net </w:t>
      </w:r>
      <w:r w:rsidR="000402EB">
        <w:rPr>
          <w:lang w:eastAsia="en-US"/>
        </w:rPr>
        <w:t>effect of regulatory change</w:t>
      </w:r>
      <w:r w:rsidR="00613150">
        <w:rPr>
          <w:lang w:eastAsia="en-US"/>
        </w:rPr>
        <w:t xml:space="preserve"> for businesses</w:t>
      </w:r>
      <w:r w:rsidR="000402EB">
        <w:rPr>
          <w:lang w:eastAsia="en-US"/>
        </w:rPr>
        <w:t xml:space="preserve"> under Option 3 </w:t>
      </w:r>
      <w:r w:rsidR="008B26FC">
        <w:rPr>
          <w:lang w:eastAsia="en-US"/>
        </w:rPr>
        <w:lastRenderedPageBreak/>
        <w:t>will likely see the benefits of involvement outweigh the costs of regulatory compliance.</w:t>
      </w:r>
    </w:p>
    <w:p w14:paraId="3E374A68" w14:textId="047D1557" w:rsidR="00E6232E" w:rsidRPr="000B7589" w:rsidRDefault="00F54EEB" w:rsidP="00D03851">
      <w:pPr>
        <w:pStyle w:val="BodyText"/>
        <w:rPr>
          <w:lang w:eastAsia="en-US"/>
        </w:rPr>
      </w:pPr>
      <w:r>
        <w:rPr>
          <w:lang w:eastAsia="en-US"/>
        </w:rPr>
        <w:t>Australian Government</w:t>
      </w:r>
      <w:r w:rsidR="0045138B">
        <w:rPr>
          <w:lang w:eastAsia="en-US"/>
        </w:rPr>
        <w:t xml:space="preserve"> agencies</w:t>
      </w:r>
      <w:r w:rsidR="00E6232E" w:rsidRPr="000B7589">
        <w:rPr>
          <w:lang w:eastAsia="en-US"/>
        </w:rPr>
        <w:t xml:space="preserve">, state, territory and local governments are likely to benefit from significant productivity and efficiency gains across their identity verification practices, allowing </w:t>
      </w:r>
      <w:r w:rsidR="0045138B">
        <w:rPr>
          <w:lang w:eastAsia="en-US"/>
        </w:rPr>
        <w:t>them</w:t>
      </w:r>
      <w:r w:rsidR="00E6232E" w:rsidRPr="000B7589">
        <w:rPr>
          <w:lang w:eastAsia="en-US"/>
        </w:rPr>
        <w:t xml:space="preserve"> to offer Australians a more positive service experience. While citizen satisfaction, staff experience and attachment cannot be </w:t>
      </w:r>
      <w:r w:rsidR="00BC33D7">
        <w:rPr>
          <w:lang w:eastAsia="en-US"/>
        </w:rPr>
        <w:t>quantified</w:t>
      </w:r>
      <w:r w:rsidR="00E6232E" w:rsidRPr="000B7589">
        <w:rPr>
          <w:lang w:eastAsia="en-US"/>
        </w:rPr>
        <w:t xml:space="preserve">, these factors will contribute to the overall benefits of Option 3. While the expected costs of government compliance will vary across entities, the transition and ongoing compliance costs of Option 3 are not anticipated to </w:t>
      </w:r>
      <w:r w:rsidR="00BC33D7">
        <w:rPr>
          <w:lang w:eastAsia="en-US"/>
        </w:rPr>
        <w:t>differ</w:t>
      </w:r>
      <w:r w:rsidR="00E6232E" w:rsidRPr="000B7589">
        <w:rPr>
          <w:lang w:eastAsia="en-US"/>
        </w:rPr>
        <w:t xml:space="preserve"> significantly from the status quo. These factors indicate strongly positive net benefits for government from the expanded agency participation, increased citizen uptake and improved trust enabled by the proposed </w:t>
      </w:r>
      <w:r w:rsidR="00E96F05">
        <w:rPr>
          <w:lang w:eastAsia="en-US"/>
        </w:rPr>
        <w:t>regulatory scheme</w:t>
      </w:r>
      <w:r w:rsidR="00E6232E" w:rsidRPr="000B7589">
        <w:rPr>
          <w:lang w:eastAsia="en-US"/>
        </w:rPr>
        <w:t>.</w:t>
      </w:r>
    </w:p>
    <w:p w14:paraId="2D501FEE" w14:textId="3FDA0AFF" w:rsidR="0041544B" w:rsidRPr="000B7589" w:rsidRDefault="00E6232E" w:rsidP="00D03851">
      <w:pPr>
        <w:pStyle w:val="BodyText"/>
        <w:rPr>
          <w:lang w:eastAsia="en-US"/>
        </w:rPr>
      </w:pPr>
      <w:r w:rsidRPr="000B7589">
        <w:rPr>
          <w:lang w:eastAsia="en-US"/>
        </w:rPr>
        <w:t xml:space="preserve">The community will benefit from </w:t>
      </w:r>
      <w:r w:rsidR="00E96F05">
        <w:rPr>
          <w:lang w:eastAsia="en-US"/>
        </w:rPr>
        <w:t>Option 3</w:t>
      </w:r>
      <w:r w:rsidRPr="000B7589">
        <w:rPr>
          <w:lang w:eastAsia="en-US"/>
        </w:rPr>
        <w:t xml:space="preserve">, including through enhanced feelings of trust and confidence in </w:t>
      </w:r>
      <w:r w:rsidR="00DA7894">
        <w:rPr>
          <w:lang w:eastAsia="en-US"/>
        </w:rPr>
        <w:t>Digital ID</w:t>
      </w:r>
      <w:r w:rsidRPr="000B7589">
        <w:rPr>
          <w:lang w:eastAsia="en-US"/>
        </w:rPr>
        <w:t xml:space="preserve"> services. Community organisations which are enabled to participate are also likely to see improvements in their productivity, potentially offset slightly by costs levied under the charging regime.</w:t>
      </w:r>
    </w:p>
    <w:p w14:paraId="0C09E8F1" w14:textId="222FA90A" w:rsidR="00E6232E" w:rsidRPr="000B7589" w:rsidRDefault="00E6232E" w:rsidP="00D03851">
      <w:pPr>
        <w:pStyle w:val="BodyText"/>
        <w:rPr>
          <w:lang w:eastAsia="en-US"/>
        </w:rPr>
      </w:pPr>
      <w:r w:rsidRPr="000B7589">
        <w:rPr>
          <w:lang w:eastAsia="en-US"/>
        </w:rPr>
        <w:t>Overall, there are significant anticipated benefits to individuals, businesses, governments and the broader economy expansion enabled by this legislation. The policy decision to limit the focus of th</w:t>
      </w:r>
      <w:r w:rsidR="00E96F05">
        <w:rPr>
          <w:lang w:eastAsia="en-US"/>
        </w:rPr>
        <w:t xml:space="preserve">e regulatory scheme </w:t>
      </w:r>
      <w:r w:rsidRPr="000B7589">
        <w:rPr>
          <w:lang w:eastAsia="en-US"/>
        </w:rPr>
        <w:t xml:space="preserve">to </w:t>
      </w:r>
      <w:r w:rsidR="00651CA6">
        <w:rPr>
          <w:lang w:eastAsia="en-US"/>
        </w:rPr>
        <w:t xml:space="preserve">onboarded </w:t>
      </w:r>
      <w:r w:rsidR="006E797D">
        <w:rPr>
          <w:lang w:eastAsia="en-US"/>
        </w:rPr>
        <w:t>a</w:t>
      </w:r>
      <w:r w:rsidRPr="000B7589">
        <w:rPr>
          <w:lang w:eastAsia="en-US"/>
        </w:rPr>
        <w:t xml:space="preserve">ccredited </w:t>
      </w:r>
      <w:r w:rsidR="00651CA6">
        <w:rPr>
          <w:lang w:eastAsia="en-US"/>
        </w:rPr>
        <w:t>entities</w:t>
      </w:r>
      <w:r w:rsidR="00E96F05">
        <w:rPr>
          <w:lang w:eastAsia="en-US"/>
        </w:rPr>
        <w:t>, accredited entities and relying parties</w:t>
      </w:r>
      <w:r w:rsidR="00651CA6">
        <w:rPr>
          <w:lang w:eastAsia="en-US"/>
        </w:rPr>
        <w:t xml:space="preserve"> </w:t>
      </w:r>
      <w:r w:rsidRPr="000B7589">
        <w:rPr>
          <w:lang w:eastAsia="en-US"/>
        </w:rPr>
        <w:t xml:space="preserve">means regulation impacts will be felt only by a subset of those who are expected receive these benefits. Entities can assess the benefits and associated costs of participation in the framework as an </w:t>
      </w:r>
      <w:r w:rsidR="00651CA6">
        <w:rPr>
          <w:lang w:eastAsia="en-US"/>
        </w:rPr>
        <w:t xml:space="preserve">onboarded </w:t>
      </w:r>
      <w:r w:rsidR="006E797D">
        <w:rPr>
          <w:lang w:eastAsia="en-US"/>
        </w:rPr>
        <w:t>a</w:t>
      </w:r>
      <w:r w:rsidRPr="000B7589">
        <w:rPr>
          <w:lang w:eastAsia="en-US"/>
        </w:rPr>
        <w:t xml:space="preserve">ccredited </w:t>
      </w:r>
      <w:r w:rsidR="00651CA6">
        <w:rPr>
          <w:lang w:eastAsia="en-US"/>
        </w:rPr>
        <w:t>entity</w:t>
      </w:r>
      <w:r w:rsidRPr="000B7589">
        <w:rPr>
          <w:lang w:eastAsia="en-US"/>
        </w:rPr>
        <w:t>, and voluntarily choose to undergo the accreditation process if this balance of costs and benefits is considered favourable.</w:t>
      </w:r>
    </w:p>
    <w:p w14:paraId="5D098873" w14:textId="46A497D9" w:rsidR="00E6232E" w:rsidRPr="0052285B" w:rsidRDefault="003C7E31" w:rsidP="0052285B">
      <w:pPr>
        <w:pStyle w:val="BodyText"/>
        <w:rPr>
          <w:lang w:eastAsia="en-US"/>
        </w:rPr>
      </w:pPr>
      <w:r>
        <w:rPr>
          <w:lang w:eastAsia="en-US"/>
        </w:rPr>
        <w:t>Establish</w:t>
      </w:r>
      <w:r w:rsidR="0028711E">
        <w:rPr>
          <w:lang w:eastAsia="en-US"/>
        </w:rPr>
        <w:t>ing</w:t>
      </w:r>
      <w:r>
        <w:rPr>
          <w:lang w:eastAsia="en-US"/>
        </w:rPr>
        <w:t xml:space="preserve"> a dedicated regulatory scheme through legislation</w:t>
      </w:r>
      <w:r w:rsidRPr="000B7589">
        <w:rPr>
          <w:lang w:eastAsia="en-US"/>
        </w:rPr>
        <w:t xml:space="preserve"> </w:t>
      </w:r>
      <w:r w:rsidR="00E6232E" w:rsidRPr="000B7589">
        <w:rPr>
          <w:lang w:eastAsia="en-US"/>
        </w:rPr>
        <w:t>is the only option which supports expansion to a wider range of public and private sector services, particularly non-</w:t>
      </w:r>
      <w:r w:rsidR="00DC63AA">
        <w:rPr>
          <w:lang w:eastAsia="en-US"/>
        </w:rPr>
        <w:t>Commonwealth</w:t>
      </w:r>
      <w:r w:rsidR="00F54EEB" w:rsidRPr="000B7589" w:rsidDel="00F54EEB">
        <w:rPr>
          <w:lang w:eastAsia="en-US"/>
        </w:rPr>
        <w:t xml:space="preserve"> </w:t>
      </w:r>
      <w:r w:rsidR="00E96EC0">
        <w:rPr>
          <w:lang w:eastAsia="en-US"/>
        </w:rPr>
        <w:t>r</w:t>
      </w:r>
      <w:r w:rsidR="00E6232E" w:rsidRPr="000B7589">
        <w:rPr>
          <w:lang w:eastAsia="en-US"/>
        </w:rPr>
        <w:t xml:space="preserve">elying </w:t>
      </w:r>
      <w:r w:rsidR="00E96EC0">
        <w:rPr>
          <w:lang w:eastAsia="en-US"/>
        </w:rPr>
        <w:t>p</w:t>
      </w:r>
      <w:r w:rsidR="00E6232E" w:rsidRPr="000B7589">
        <w:rPr>
          <w:lang w:eastAsia="en-US"/>
        </w:rPr>
        <w:t xml:space="preserve">arties and </w:t>
      </w:r>
      <w:r w:rsidR="00651CA6">
        <w:rPr>
          <w:lang w:eastAsia="en-US"/>
        </w:rPr>
        <w:t xml:space="preserve">onboarded </w:t>
      </w:r>
      <w:r w:rsidR="00E96EC0">
        <w:rPr>
          <w:lang w:eastAsia="en-US"/>
        </w:rPr>
        <w:t>a</w:t>
      </w:r>
      <w:r w:rsidR="00E6232E" w:rsidRPr="000B7589">
        <w:rPr>
          <w:lang w:eastAsia="en-US"/>
        </w:rPr>
        <w:t xml:space="preserve">ccredited </w:t>
      </w:r>
      <w:r w:rsidR="00651CA6">
        <w:rPr>
          <w:lang w:eastAsia="en-US"/>
        </w:rPr>
        <w:t xml:space="preserve">entities </w:t>
      </w:r>
      <w:r w:rsidR="00E6232E" w:rsidRPr="000B7589">
        <w:rPr>
          <w:lang w:eastAsia="en-US"/>
        </w:rPr>
        <w:t>able to charge under a legislative framework. The economy-wide benefits of time saved (individuals), productivity (businesses, government and community) and security (all stakeholders) are expected to continue to grow as more entities can access</w:t>
      </w:r>
      <w:r w:rsidR="00DA7894">
        <w:rPr>
          <w:lang w:eastAsia="en-US"/>
        </w:rPr>
        <w:t xml:space="preserve"> Digital ID services</w:t>
      </w:r>
      <w:r w:rsidR="00E6232E" w:rsidRPr="000B7589">
        <w:rPr>
          <w:lang w:eastAsia="en-US"/>
        </w:rPr>
        <w:t>.</w:t>
      </w:r>
      <w:bookmarkEnd w:id="261"/>
      <w:bookmarkEnd w:id="262"/>
      <w:bookmarkEnd w:id="263"/>
    </w:p>
    <w:p w14:paraId="51C48F39" w14:textId="2EEBE9E0" w:rsidR="00E6232E" w:rsidRPr="00DC63AA" w:rsidRDefault="00E6232E" w:rsidP="00F20A26">
      <w:pPr>
        <w:pStyle w:val="Heading1NoNumbers"/>
        <w:rPr>
          <w:color w:val="008675"/>
        </w:rPr>
      </w:pPr>
      <w:bookmarkStart w:id="545" w:name="_10_Consultation_Conducted"/>
      <w:bookmarkStart w:id="546" w:name="_Toc61600985"/>
      <w:bookmarkStart w:id="547" w:name="_Ref63156136"/>
      <w:bookmarkStart w:id="548" w:name="_Ref63165260"/>
      <w:bookmarkStart w:id="549" w:name="_Ref63778540"/>
      <w:bookmarkStart w:id="550" w:name="_Ref64470184"/>
      <w:bookmarkStart w:id="551" w:name="_Ref64937951"/>
      <w:bookmarkStart w:id="552" w:name="_Toc80884709"/>
      <w:bookmarkStart w:id="553" w:name="_Toc81226649"/>
      <w:bookmarkStart w:id="554" w:name="_Toc81226671"/>
      <w:bookmarkStart w:id="555" w:name="_Toc81226925"/>
      <w:bookmarkStart w:id="556" w:name="_Toc81228269"/>
      <w:bookmarkStart w:id="557" w:name="_Toc83951212"/>
      <w:bookmarkStart w:id="558" w:name="_Toc84925836"/>
      <w:bookmarkStart w:id="559" w:name="_Toc84925910"/>
      <w:bookmarkStart w:id="560" w:name="_Toc86045154"/>
      <w:bookmarkStart w:id="561" w:name="_Toc86070050"/>
      <w:bookmarkStart w:id="562" w:name="_Toc149740357"/>
      <w:bookmarkStart w:id="563" w:name="section10"/>
      <w:bookmarkEnd w:id="545"/>
      <w:r w:rsidRPr="00DC63AA">
        <w:rPr>
          <w:color w:val="008675"/>
        </w:rPr>
        <w:lastRenderedPageBreak/>
        <w:t xml:space="preserve">10 </w:t>
      </w:r>
      <w:bookmarkEnd w:id="546"/>
      <w:bookmarkEnd w:id="547"/>
      <w:bookmarkEnd w:id="548"/>
      <w:bookmarkEnd w:id="549"/>
      <w:r w:rsidRPr="00DC63AA">
        <w:rPr>
          <w:color w:val="008675"/>
        </w:rPr>
        <w:t>Consultation</w:t>
      </w:r>
      <w:bookmarkEnd w:id="550"/>
      <w:bookmarkEnd w:id="551"/>
      <w:bookmarkEnd w:id="552"/>
      <w:bookmarkEnd w:id="553"/>
      <w:bookmarkEnd w:id="554"/>
      <w:bookmarkEnd w:id="555"/>
      <w:bookmarkEnd w:id="556"/>
      <w:bookmarkEnd w:id="557"/>
      <w:bookmarkEnd w:id="558"/>
      <w:bookmarkEnd w:id="559"/>
      <w:bookmarkEnd w:id="560"/>
      <w:bookmarkEnd w:id="561"/>
      <w:bookmarkEnd w:id="562"/>
      <w:r w:rsidRPr="00DC63AA">
        <w:rPr>
          <w:color w:val="008675"/>
        </w:rPr>
        <w:t xml:space="preserve"> </w:t>
      </w:r>
    </w:p>
    <w:p w14:paraId="7CB769AD" w14:textId="6C453C3B" w:rsidR="00E6232E" w:rsidRPr="00DC63AA" w:rsidRDefault="00E6232E" w:rsidP="00342263">
      <w:pPr>
        <w:pStyle w:val="Heading2NoNumbers"/>
        <w:rPr>
          <w:color w:val="008675"/>
          <w:lang w:eastAsia="en-US"/>
        </w:rPr>
      </w:pPr>
      <w:bookmarkStart w:id="564" w:name="_Toc80884710"/>
      <w:bookmarkStart w:id="565" w:name="_Toc81226650"/>
      <w:bookmarkStart w:id="566" w:name="_Toc81226926"/>
      <w:bookmarkStart w:id="567" w:name="_Toc81228270"/>
      <w:bookmarkStart w:id="568" w:name="_Toc83951213"/>
      <w:bookmarkStart w:id="569" w:name="_Toc84925837"/>
      <w:bookmarkStart w:id="570" w:name="_Toc84925911"/>
      <w:bookmarkStart w:id="571" w:name="_Toc86045155"/>
      <w:bookmarkStart w:id="572" w:name="_Toc86070051"/>
      <w:bookmarkStart w:id="573" w:name="_Toc149740358"/>
      <w:bookmarkEnd w:id="563"/>
      <w:r w:rsidRPr="00DC63AA">
        <w:rPr>
          <w:color w:val="008675"/>
          <w:lang w:eastAsia="en-US"/>
        </w:rPr>
        <w:t xml:space="preserve">10.1 Purpose and </w:t>
      </w:r>
      <w:r w:rsidR="00655E28" w:rsidRPr="00DC63AA">
        <w:rPr>
          <w:color w:val="008675"/>
          <w:lang w:eastAsia="en-US"/>
        </w:rPr>
        <w:t>o</w:t>
      </w:r>
      <w:r w:rsidRPr="00DC63AA">
        <w:rPr>
          <w:color w:val="008675"/>
          <w:lang w:eastAsia="en-US"/>
        </w:rPr>
        <w:t>bjectives</w:t>
      </w:r>
      <w:bookmarkEnd w:id="564"/>
      <w:bookmarkEnd w:id="565"/>
      <w:bookmarkEnd w:id="566"/>
      <w:bookmarkEnd w:id="567"/>
      <w:bookmarkEnd w:id="568"/>
      <w:bookmarkEnd w:id="569"/>
      <w:bookmarkEnd w:id="570"/>
      <w:bookmarkEnd w:id="571"/>
      <w:bookmarkEnd w:id="572"/>
      <w:bookmarkEnd w:id="573"/>
      <w:r w:rsidRPr="00DC63AA">
        <w:rPr>
          <w:color w:val="008675"/>
          <w:lang w:eastAsia="en-US"/>
        </w:rPr>
        <w:t xml:space="preserve"> </w:t>
      </w:r>
    </w:p>
    <w:p w14:paraId="696EBF55" w14:textId="1C2E45FF" w:rsidR="00E6232E" w:rsidRPr="000B7589" w:rsidRDefault="00E6232E" w:rsidP="00D915C0">
      <w:pPr>
        <w:pStyle w:val="BodyText"/>
        <w:rPr>
          <w:rFonts w:eastAsia="Calibri"/>
          <w:sz w:val="22"/>
          <w:szCs w:val="22"/>
          <w:lang w:eastAsia="en-US"/>
        </w:rPr>
      </w:pPr>
      <w:r w:rsidRPr="000B7589">
        <w:rPr>
          <w:lang w:eastAsia="en-US"/>
        </w:rPr>
        <w:t>Since the Program’s commencement, a continuous and broad-based consultation approach has engaged stakeholders at all levels, on topics from technical design to operation to governance. Stakeholders consulted to date include government, regulatory entities, jurisdictions, privacy advocates, compliance scheme representatives, corporate Australia, small business, peak bodies representing end-users and the general public</w:t>
      </w:r>
      <w:r w:rsidR="00AA3628">
        <w:rPr>
          <w:lang w:eastAsia="en-US"/>
        </w:rPr>
        <w:t>.</w:t>
      </w:r>
    </w:p>
    <w:p w14:paraId="51C7B34A" w14:textId="4312C857" w:rsidR="00E6232E" w:rsidRPr="000B7589" w:rsidRDefault="00E6232E" w:rsidP="00D03851">
      <w:pPr>
        <w:pStyle w:val="BodyText"/>
        <w:rPr>
          <w:lang w:eastAsia="en-US"/>
        </w:rPr>
      </w:pPr>
      <w:r w:rsidRPr="000B7589">
        <w:rPr>
          <w:lang w:eastAsia="en-US"/>
        </w:rPr>
        <w:t xml:space="preserve">Australia also engages heavily with international stakeholders and counterparts in </w:t>
      </w:r>
      <w:r w:rsidR="009210C4">
        <w:rPr>
          <w:lang w:eastAsia="en-US"/>
        </w:rPr>
        <w:t>d</w:t>
      </w:r>
      <w:r w:rsidRPr="000B7589">
        <w:rPr>
          <w:lang w:eastAsia="en-US"/>
        </w:rPr>
        <w:t xml:space="preserve">igital </w:t>
      </w:r>
      <w:r w:rsidR="000731D8">
        <w:rPr>
          <w:lang w:eastAsia="en-US"/>
        </w:rPr>
        <w:t>ID</w:t>
      </w:r>
      <w:r w:rsidR="000731D8" w:rsidRPr="000B7589">
        <w:rPr>
          <w:lang w:eastAsia="en-US"/>
        </w:rPr>
        <w:t xml:space="preserve"> </w:t>
      </w:r>
      <w:r w:rsidRPr="000B7589">
        <w:rPr>
          <w:lang w:eastAsia="en-US"/>
        </w:rPr>
        <w:t xml:space="preserve">and is recognised as a leader in this space. The </w:t>
      </w:r>
      <w:r w:rsidR="00F54EEB">
        <w:rPr>
          <w:lang w:eastAsia="en-US"/>
        </w:rPr>
        <w:t>Australian Government</w:t>
      </w:r>
      <w:r w:rsidR="00F54EEB" w:rsidRPr="000B7589" w:rsidDel="00F54EEB">
        <w:rPr>
          <w:lang w:eastAsia="en-US"/>
        </w:rPr>
        <w:t xml:space="preserve"> </w:t>
      </w:r>
      <w:r w:rsidRPr="000B7589">
        <w:rPr>
          <w:lang w:eastAsia="en-US"/>
        </w:rPr>
        <w:t xml:space="preserve">is involved in trade negotiations with several countries to achieve mutual recognition of </w:t>
      </w:r>
      <w:r w:rsidR="00F54EEB">
        <w:rPr>
          <w:lang w:eastAsia="en-US"/>
        </w:rPr>
        <w:t>i</w:t>
      </w:r>
      <w:r w:rsidR="00F54EEB" w:rsidRPr="000B7589">
        <w:rPr>
          <w:lang w:eastAsia="en-US"/>
        </w:rPr>
        <w:t xml:space="preserve">dentity </w:t>
      </w:r>
      <w:r w:rsidR="00F54EEB">
        <w:rPr>
          <w:lang w:eastAsia="en-US"/>
        </w:rPr>
        <w:t>s</w:t>
      </w:r>
      <w:r w:rsidR="00F54EEB" w:rsidRPr="000B7589">
        <w:rPr>
          <w:lang w:eastAsia="en-US"/>
        </w:rPr>
        <w:t>ystems</w:t>
      </w:r>
      <w:r w:rsidRPr="000B7589">
        <w:rPr>
          <w:lang w:eastAsia="en-US"/>
        </w:rPr>
        <w:t>. A</w:t>
      </w:r>
      <w:r w:rsidR="00903ADF">
        <w:rPr>
          <w:lang w:eastAsia="en-US"/>
        </w:rPr>
        <w:t xml:space="preserve"> Memorandum of Understanding </w:t>
      </w:r>
      <w:r w:rsidRPr="000B7589">
        <w:rPr>
          <w:lang w:eastAsia="en-US"/>
        </w:rPr>
        <w:t xml:space="preserve">has been established with the Smart Nation and Digital Government Office of Singapore, with a roadmap to the goal of system interoperability with Singapore’s </w:t>
      </w:r>
      <w:r w:rsidR="009210C4">
        <w:rPr>
          <w:lang w:eastAsia="en-US"/>
        </w:rPr>
        <w:t>n</w:t>
      </w:r>
      <w:r w:rsidRPr="000B7589">
        <w:rPr>
          <w:lang w:eastAsia="en-US"/>
        </w:rPr>
        <w:t xml:space="preserve">ational </w:t>
      </w:r>
      <w:r w:rsidR="009210C4">
        <w:rPr>
          <w:lang w:eastAsia="en-US"/>
        </w:rPr>
        <w:t>d</w:t>
      </w:r>
      <w:r w:rsidRPr="000B7589">
        <w:rPr>
          <w:lang w:eastAsia="en-US"/>
        </w:rPr>
        <w:t xml:space="preserve">igital </w:t>
      </w:r>
      <w:r w:rsidR="000731D8">
        <w:rPr>
          <w:lang w:eastAsia="en-US"/>
        </w:rPr>
        <w:t>ID</w:t>
      </w:r>
      <w:r w:rsidR="000731D8" w:rsidRPr="000B7589">
        <w:rPr>
          <w:lang w:eastAsia="en-US"/>
        </w:rPr>
        <w:t xml:space="preserve"> </w:t>
      </w:r>
      <w:r w:rsidRPr="000B7589">
        <w:rPr>
          <w:lang w:eastAsia="en-US"/>
        </w:rPr>
        <w:t xml:space="preserve">system. </w:t>
      </w:r>
      <w:r w:rsidR="008234DD">
        <w:rPr>
          <w:lang w:eastAsia="en-US"/>
        </w:rPr>
        <w:t xml:space="preserve">Australia signed a mutual recognition agreement and roadmap with </w:t>
      </w:r>
      <w:r w:rsidR="00803CF9">
        <w:rPr>
          <w:lang w:eastAsia="en-US"/>
        </w:rPr>
        <w:t>New Zealand in 2020,</w:t>
      </w:r>
      <w:r w:rsidR="00DA7915">
        <w:rPr>
          <w:lang w:eastAsia="en-US"/>
        </w:rPr>
        <w:t xml:space="preserve"> and is closely collaborating to ensure </w:t>
      </w:r>
      <w:r w:rsidR="00803CF9">
        <w:rPr>
          <w:lang w:eastAsia="en-US"/>
        </w:rPr>
        <w:t xml:space="preserve">future policy and system interoperability as both countries develop legislation. </w:t>
      </w:r>
      <w:r w:rsidRPr="000B7589">
        <w:rPr>
          <w:lang w:eastAsia="en-US"/>
        </w:rPr>
        <w:t xml:space="preserve">Negotiations are also in progress with the UK and Canada. </w:t>
      </w:r>
      <w:r w:rsidR="001B20B0">
        <w:rPr>
          <w:lang w:eastAsia="en-US"/>
        </w:rPr>
        <w:t>Finance</w:t>
      </w:r>
      <w:r w:rsidR="00CB22E0">
        <w:rPr>
          <w:lang w:eastAsia="en-US"/>
        </w:rPr>
        <w:t xml:space="preserve"> continues to work with the Australian Government and with similar agencies around the world to identify future opportunities for digital </w:t>
      </w:r>
      <w:r w:rsidR="000731D8">
        <w:rPr>
          <w:lang w:eastAsia="en-US"/>
        </w:rPr>
        <w:t xml:space="preserve">ID </w:t>
      </w:r>
      <w:r w:rsidR="00377349">
        <w:rPr>
          <w:lang w:eastAsia="en-US"/>
        </w:rPr>
        <w:t>interoperability and mutual recognition with other countries.</w:t>
      </w:r>
    </w:p>
    <w:p w14:paraId="753610F8" w14:textId="5BB86548" w:rsidR="00E6232E" w:rsidRPr="000B7589" w:rsidRDefault="00E6232E" w:rsidP="00D03851">
      <w:pPr>
        <w:pStyle w:val="BodyText"/>
        <w:rPr>
          <w:lang w:eastAsia="en-US"/>
        </w:rPr>
      </w:pPr>
      <w:r w:rsidRPr="000B7589">
        <w:rPr>
          <w:lang w:eastAsia="en-US"/>
        </w:rPr>
        <w:t xml:space="preserve">As </w:t>
      </w:r>
      <w:r w:rsidR="007C55D9">
        <w:rPr>
          <w:lang w:eastAsia="en-US"/>
        </w:rPr>
        <w:t xml:space="preserve">Digital ID </w:t>
      </w:r>
      <w:r w:rsidRPr="000B7589">
        <w:rPr>
          <w:lang w:eastAsia="en-US"/>
        </w:rPr>
        <w:t xml:space="preserve">expands, supported by appropriate regulation, this domestic and international engagement will continue and increase. </w:t>
      </w:r>
      <w:r w:rsidR="006B7D85">
        <w:rPr>
          <w:lang w:eastAsia="en-US"/>
        </w:rPr>
        <w:t xml:space="preserve">This </w:t>
      </w:r>
      <w:r w:rsidRPr="000B7589">
        <w:rPr>
          <w:lang w:eastAsia="en-US"/>
        </w:rPr>
        <w:t>consultation approach to date, and future activities described in this section, seek to fulfil two primary objectives:</w:t>
      </w:r>
    </w:p>
    <w:p w14:paraId="3635FA4C" w14:textId="7AAC0E5F" w:rsidR="00E6232E" w:rsidRPr="00FB7D09" w:rsidRDefault="004D645C" w:rsidP="00873D07">
      <w:pPr>
        <w:pStyle w:val="ListBulletLevel1"/>
      </w:pPr>
      <w:r>
        <w:t>E</w:t>
      </w:r>
      <w:r w:rsidR="00E6232E" w:rsidRPr="00FB7D09">
        <w:t>nsuring stakeholder views are sought and considered throughout the regulatory development and assessment process</w:t>
      </w:r>
      <w:r w:rsidR="00482987">
        <w:t>.</w:t>
      </w:r>
    </w:p>
    <w:p w14:paraId="4FD0075B" w14:textId="695379DF" w:rsidR="00E6232E" w:rsidRPr="00FB7D09" w:rsidRDefault="004D645C" w:rsidP="00873D07">
      <w:pPr>
        <w:pStyle w:val="ListBulletLevel1"/>
      </w:pPr>
      <w:r>
        <w:t>V</w:t>
      </w:r>
      <w:r w:rsidR="00E6232E" w:rsidRPr="00FB7D09">
        <w:t>alidating the impacts (financial and otherwise) of any proposed regulatory action on affected stakeholders.</w:t>
      </w:r>
    </w:p>
    <w:p w14:paraId="7AB70E6A" w14:textId="52465DE5" w:rsidR="00E6232E" w:rsidRPr="000B7589" w:rsidRDefault="00E6232E" w:rsidP="001868B1">
      <w:pPr>
        <w:pStyle w:val="BodyText"/>
        <w:rPr>
          <w:lang w:eastAsia="en-US"/>
        </w:rPr>
      </w:pPr>
      <w:r w:rsidRPr="000B7589">
        <w:rPr>
          <w:lang w:eastAsia="en-US"/>
        </w:rPr>
        <w:t xml:space="preserve">The consultation </w:t>
      </w:r>
      <w:r w:rsidR="006B7D85">
        <w:rPr>
          <w:lang w:eastAsia="en-US"/>
        </w:rPr>
        <w:t>approach</w:t>
      </w:r>
      <w:r w:rsidRPr="000B7589">
        <w:rPr>
          <w:lang w:eastAsia="en-US"/>
        </w:rPr>
        <w:t xml:space="preserve"> recognises that </w:t>
      </w:r>
      <w:r w:rsidR="00513C83">
        <w:rPr>
          <w:lang w:eastAsia="en-US"/>
        </w:rPr>
        <w:t>d</w:t>
      </w:r>
      <w:r w:rsidRPr="000B7589">
        <w:rPr>
          <w:lang w:eastAsia="en-US"/>
        </w:rPr>
        <w:t xml:space="preserve">igital </w:t>
      </w:r>
      <w:r w:rsidR="000731D8">
        <w:rPr>
          <w:lang w:eastAsia="en-US"/>
        </w:rPr>
        <w:t>ID</w:t>
      </w:r>
      <w:r w:rsidR="000731D8" w:rsidRPr="000B7589">
        <w:rPr>
          <w:lang w:eastAsia="en-US"/>
        </w:rPr>
        <w:t xml:space="preserve"> </w:t>
      </w:r>
      <w:r w:rsidRPr="000B7589">
        <w:rPr>
          <w:lang w:eastAsia="en-US"/>
        </w:rPr>
        <w:t>is a complex concept, some aspects of which may not be well understood by the community,</w:t>
      </w:r>
      <w:r w:rsidR="00162B14">
        <w:rPr>
          <w:lang w:eastAsia="en-US"/>
        </w:rPr>
        <w:t xml:space="preserve"> and</w:t>
      </w:r>
      <w:r w:rsidRPr="000B7589">
        <w:rPr>
          <w:lang w:eastAsia="en-US"/>
        </w:rPr>
        <w:t xml:space="preserve"> involv</w:t>
      </w:r>
      <w:r w:rsidR="00162B14">
        <w:rPr>
          <w:lang w:eastAsia="en-US"/>
        </w:rPr>
        <w:t>es</w:t>
      </w:r>
      <w:r w:rsidRPr="000B7589">
        <w:rPr>
          <w:lang w:eastAsia="en-US"/>
        </w:rPr>
        <w:t xml:space="preserve"> highly sensitive topics such as privacy and information security. </w:t>
      </w:r>
      <w:r w:rsidRPr="00F15A5B">
        <w:rPr>
          <w:lang w:eastAsia="en-US"/>
        </w:rPr>
        <w:t xml:space="preserve">As regulatory </w:t>
      </w:r>
      <w:r w:rsidR="006B7D85">
        <w:rPr>
          <w:lang w:eastAsia="en-US"/>
        </w:rPr>
        <w:t>options</w:t>
      </w:r>
      <w:r w:rsidRPr="00F15A5B">
        <w:rPr>
          <w:lang w:eastAsia="en-US"/>
        </w:rPr>
        <w:t xml:space="preserve"> </w:t>
      </w:r>
      <w:r w:rsidR="00C32DFB" w:rsidRPr="00986346">
        <w:rPr>
          <w:lang w:eastAsia="en-US"/>
        </w:rPr>
        <w:t>were</w:t>
      </w:r>
      <w:r w:rsidRPr="00F15A5B">
        <w:rPr>
          <w:lang w:eastAsia="en-US"/>
        </w:rPr>
        <w:t xml:space="preserve"> </w:t>
      </w:r>
      <w:r w:rsidR="006B7D85">
        <w:rPr>
          <w:lang w:eastAsia="en-US"/>
        </w:rPr>
        <w:lastRenderedPageBreak/>
        <w:t>explored</w:t>
      </w:r>
      <w:r w:rsidRPr="00F15A5B">
        <w:rPr>
          <w:lang w:eastAsia="en-US"/>
        </w:rPr>
        <w:t xml:space="preserve">, </w:t>
      </w:r>
      <w:r w:rsidR="00C32DFB" w:rsidRPr="00986346">
        <w:rPr>
          <w:lang w:eastAsia="en-US"/>
        </w:rPr>
        <w:t xml:space="preserve">the </w:t>
      </w:r>
      <w:r w:rsidRPr="00D44C8F">
        <w:rPr>
          <w:lang w:eastAsia="en-US"/>
        </w:rPr>
        <w:t xml:space="preserve">plan </w:t>
      </w:r>
      <w:r w:rsidR="001752FA" w:rsidRPr="00986346">
        <w:rPr>
          <w:lang w:eastAsia="en-US"/>
        </w:rPr>
        <w:t>flexibly</w:t>
      </w:r>
      <w:r w:rsidRPr="00F15A5B">
        <w:rPr>
          <w:lang w:eastAsia="en-US"/>
        </w:rPr>
        <w:t xml:space="preserve"> ensure</w:t>
      </w:r>
      <w:r w:rsidR="001752FA" w:rsidRPr="00986346">
        <w:rPr>
          <w:lang w:eastAsia="en-US"/>
        </w:rPr>
        <w:t>d</w:t>
      </w:r>
      <w:r w:rsidRPr="00F15A5B">
        <w:rPr>
          <w:lang w:eastAsia="en-US"/>
        </w:rPr>
        <w:t xml:space="preserve"> that </w:t>
      </w:r>
      <w:r w:rsidR="00C966A7">
        <w:rPr>
          <w:lang w:eastAsia="en-US"/>
        </w:rPr>
        <w:t xml:space="preserve">the </w:t>
      </w:r>
      <w:r w:rsidRPr="00F15A5B">
        <w:rPr>
          <w:lang w:eastAsia="en-US"/>
        </w:rPr>
        <w:t>broad</w:t>
      </w:r>
      <w:r w:rsidR="00C966A7">
        <w:rPr>
          <w:lang w:eastAsia="en-US"/>
        </w:rPr>
        <w:t xml:space="preserve"> </w:t>
      </w:r>
      <w:r w:rsidRPr="00F15A5B">
        <w:rPr>
          <w:lang w:eastAsia="en-US"/>
        </w:rPr>
        <w:t>rang</w:t>
      </w:r>
      <w:r w:rsidR="00C966A7">
        <w:rPr>
          <w:lang w:eastAsia="en-US"/>
        </w:rPr>
        <w:t>e of</w:t>
      </w:r>
      <w:r w:rsidRPr="00F15A5B">
        <w:rPr>
          <w:lang w:eastAsia="en-US"/>
        </w:rPr>
        <w:t xml:space="preserve"> persp</w:t>
      </w:r>
      <w:r w:rsidRPr="00D44C8F">
        <w:rPr>
          <w:lang w:eastAsia="en-US"/>
        </w:rPr>
        <w:t>ectives</w:t>
      </w:r>
      <w:r w:rsidR="00C966A7">
        <w:rPr>
          <w:lang w:eastAsia="en-US"/>
        </w:rPr>
        <w:t xml:space="preserve"> we</w:t>
      </w:r>
      <w:r w:rsidR="001752FA" w:rsidRPr="00986346">
        <w:rPr>
          <w:lang w:eastAsia="en-US"/>
        </w:rPr>
        <w:t xml:space="preserve"> received</w:t>
      </w:r>
      <w:r w:rsidRPr="00F15A5B">
        <w:rPr>
          <w:lang w:eastAsia="en-US"/>
        </w:rPr>
        <w:t xml:space="preserve"> </w:t>
      </w:r>
      <w:r w:rsidRPr="00D44C8F">
        <w:rPr>
          <w:lang w:eastAsia="en-US"/>
        </w:rPr>
        <w:t>inform</w:t>
      </w:r>
      <w:r w:rsidR="001752FA" w:rsidRPr="00986346">
        <w:rPr>
          <w:lang w:eastAsia="en-US"/>
        </w:rPr>
        <w:t>ed</w:t>
      </w:r>
      <w:r w:rsidRPr="00F15A5B">
        <w:rPr>
          <w:lang w:eastAsia="en-US"/>
        </w:rPr>
        <w:t xml:space="preserve"> the development of policy positions, and allow</w:t>
      </w:r>
      <w:r w:rsidR="00D44C8F" w:rsidRPr="00986346">
        <w:rPr>
          <w:lang w:eastAsia="en-US"/>
        </w:rPr>
        <w:t>ed</w:t>
      </w:r>
      <w:r w:rsidRPr="00F15A5B">
        <w:rPr>
          <w:lang w:eastAsia="en-US"/>
        </w:rPr>
        <w:t xml:space="preserve"> </w:t>
      </w:r>
      <w:r w:rsidRPr="00D44C8F">
        <w:rPr>
          <w:lang w:eastAsia="en-US"/>
        </w:rPr>
        <w:t>any unintended consequences</w:t>
      </w:r>
      <w:r w:rsidR="00065EA0">
        <w:rPr>
          <w:lang w:eastAsia="en-US"/>
        </w:rPr>
        <w:t xml:space="preserve"> to be identified</w:t>
      </w:r>
      <w:r w:rsidRPr="00D44C8F">
        <w:rPr>
          <w:lang w:eastAsia="en-US"/>
        </w:rPr>
        <w:t xml:space="preserve">. </w:t>
      </w:r>
    </w:p>
    <w:p w14:paraId="5BB0E8F9" w14:textId="71D66655" w:rsidR="00E6232E" w:rsidRPr="00482987" w:rsidRDefault="00E6232E" w:rsidP="00342263">
      <w:pPr>
        <w:pStyle w:val="Heading2NoNumbers"/>
        <w:rPr>
          <w:color w:val="008675"/>
          <w:lang w:eastAsia="en-US"/>
        </w:rPr>
      </w:pPr>
      <w:bookmarkStart w:id="574" w:name="_10.2_Consultation_Process"/>
      <w:bookmarkStart w:id="575" w:name="_Toc84925838"/>
      <w:bookmarkStart w:id="576" w:name="_Toc84925912"/>
      <w:bookmarkStart w:id="577" w:name="_Toc80884711"/>
      <w:bookmarkStart w:id="578" w:name="_Toc81226651"/>
      <w:bookmarkStart w:id="579" w:name="_Toc81226927"/>
      <w:bookmarkStart w:id="580" w:name="_Toc81228271"/>
      <w:bookmarkStart w:id="581" w:name="_Toc83951214"/>
      <w:bookmarkStart w:id="582" w:name="_Toc86045156"/>
      <w:bookmarkStart w:id="583" w:name="_Toc86070052"/>
      <w:bookmarkStart w:id="584" w:name="_Toc149740359"/>
      <w:bookmarkEnd w:id="574"/>
      <w:r w:rsidRPr="00482987">
        <w:rPr>
          <w:color w:val="008675"/>
          <w:lang w:eastAsia="en-US"/>
        </w:rPr>
        <w:t xml:space="preserve">10.2 Consultation </w:t>
      </w:r>
      <w:r w:rsidR="00C955F4" w:rsidRPr="00482987">
        <w:rPr>
          <w:color w:val="008675"/>
          <w:lang w:eastAsia="en-US"/>
        </w:rPr>
        <w:t>undertaken</w:t>
      </w:r>
      <w:bookmarkEnd w:id="575"/>
      <w:bookmarkEnd w:id="576"/>
      <w:bookmarkEnd w:id="577"/>
      <w:bookmarkEnd w:id="578"/>
      <w:bookmarkEnd w:id="579"/>
      <w:bookmarkEnd w:id="580"/>
      <w:bookmarkEnd w:id="581"/>
      <w:bookmarkEnd w:id="582"/>
      <w:bookmarkEnd w:id="583"/>
      <w:bookmarkEnd w:id="584"/>
      <w:r w:rsidRPr="00482987">
        <w:rPr>
          <w:color w:val="008675"/>
          <w:lang w:eastAsia="en-US"/>
        </w:rPr>
        <w:t xml:space="preserve"> </w:t>
      </w:r>
    </w:p>
    <w:p w14:paraId="2CE68B06" w14:textId="377E7B7E" w:rsidR="00E6232E" w:rsidRPr="009D0AB4" w:rsidRDefault="00E6232E" w:rsidP="001868B1">
      <w:pPr>
        <w:pStyle w:val="BodyText"/>
        <w:rPr>
          <w:lang w:eastAsia="en-US"/>
        </w:rPr>
      </w:pPr>
      <w:r w:rsidRPr="000B7589">
        <w:rPr>
          <w:lang w:eastAsia="en-US"/>
        </w:rPr>
        <w:t xml:space="preserve">Consultation has been a key focus since the </w:t>
      </w:r>
      <w:r w:rsidR="00780A7B">
        <w:rPr>
          <w:lang w:eastAsia="en-US"/>
        </w:rPr>
        <w:t xml:space="preserve">Program </w:t>
      </w:r>
      <w:r w:rsidRPr="000B7589">
        <w:rPr>
          <w:lang w:eastAsia="en-US"/>
        </w:rPr>
        <w:t>commence</w:t>
      </w:r>
      <w:r w:rsidR="00780A7B">
        <w:rPr>
          <w:lang w:eastAsia="en-US"/>
        </w:rPr>
        <w:t>d</w:t>
      </w:r>
      <w:r w:rsidRPr="000B7589">
        <w:rPr>
          <w:lang w:eastAsia="en-US"/>
        </w:rPr>
        <w:t xml:space="preserve">, to ensure the design, operation and governance considers and accommodates stakeholder views. Since 2015, </w:t>
      </w:r>
      <w:r w:rsidRPr="009D0AB4">
        <w:rPr>
          <w:lang w:eastAsia="en-US"/>
        </w:rPr>
        <w:t xml:space="preserve">the </w:t>
      </w:r>
      <w:r w:rsidR="00B25704">
        <w:rPr>
          <w:lang w:eastAsia="en-US"/>
        </w:rPr>
        <w:t>Australian Government</w:t>
      </w:r>
      <w:r w:rsidR="00B25704" w:rsidRPr="009D0AB4">
        <w:rPr>
          <w:lang w:eastAsia="en-US"/>
        </w:rPr>
        <w:t xml:space="preserve"> </w:t>
      </w:r>
      <w:r w:rsidRPr="009D0AB4">
        <w:rPr>
          <w:lang w:eastAsia="en-US"/>
        </w:rPr>
        <w:t>has engag</w:t>
      </w:r>
      <w:r w:rsidR="00A4348A">
        <w:rPr>
          <w:lang w:eastAsia="en-US"/>
        </w:rPr>
        <w:t>ed</w:t>
      </w:r>
      <w:r w:rsidRPr="009D0AB4">
        <w:rPr>
          <w:lang w:eastAsia="en-US"/>
        </w:rPr>
        <w:t xml:space="preserve"> with the public to build a </w:t>
      </w:r>
      <w:r w:rsidR="00DF50AB">
        <w:rPr>
          <w:lang w:eastAsia="en-US"/>
        </w:rPr>
        <w:t xml:space="preserve">Digital ID </w:t>
      </w:r>
      <w:r w:rsidR="00482987">
        <w:rPr>
          <w:lang w:eastAsia="en-US"/>
        </w:rPr>
        <w:t>s</w:t>
      </w:r>
      <w:r w:rsidR="00482987" w:rsidRPr="009D0AB4">
        <w:rPr>
          <w:lang w:eastAsia="en-US"/>
        </w:rPr>
        <w:t xml:space="preserve">ystem </w:t>
      </w:r>
      <w:r w:rsidRPr="009D0AB4">
        <w:rPr>
          <w:lang w:eastAsia="en-US"/>
        </w:rPr>
        <w:t xml:space="preserve">that is aligned with community expectations. The broad range of consultations conducted by the Program are listed at </w:t>
      </w:r>
      <w:hyperlink w:anchor="AppendixD" w:history="1">
        <w:r w:rsidR="0052285B" w:rsidRPr="00482987">
          <w:rPr>
            <w:rStyle w:val="Hyperlink"/>
            <w:color w:val="008675"/>
          </w:rPr>
          <w:t>Appendix D</w:t>
        </w:r>
      </w:hyperlink>
      <w:r w:rsidR="0052285B">
        <w:rPr>
          <w:color w:val="0000FF"/>
        </w:rPr>
        <w:t xml:space="preserve">. </w:t>
      </w:r>
      <w:r w:rsidRPr="009D0AB4">
        <w:rPr>
          <w:lang w:eastAsia="en-US"/>
        </w:rPr>
        <w:t xml:space="preserve">This consultation has occurred through a </w:t>
      </w:r>
      <w:r w:rsidR="00CF299D">
        <w:rPr>
          <w:lang w:eastAsia="en-US"/>
        </w:rPr>
        <w:t>range</w:t>
      </w:r>
      <w:r w:rsidRPr="009D0AB4">
        <w:rPr>
          <w:lang w:eastAsia="en-US"/>
        </w:rPr>
        <w:t xml:space="preserve"> of channels (including in person, through </w:t>
      </w:r>
      <w:hyperlink r:id="rId87" w:history="1">
        <w:r w:rsidRPr="0045508D">
          <w:rPr>
            <w:rStyle w:val="Hyperlink"/>
            <w:rFonts w:eastAsia="Times New Roman"/>
            <w:color w:val="auto"/>
            <w:lang w:eastAsia="en-US"/>
          </w:rPr>
          <w:t>interactive webinars</w:t>
        </w:r>
      </w:hyperlink>
      <w:r w:rsidRPr="009D0AB4">
        <w:rPr>
          <w:lang w:eastAsia="en-US"/>
        </w:rPr>
        <w:t>, surveys, and public submissions).</w:t>
      </w:r>
      <w:r w:rsidR="00A52F54" w:rsidRPr="00A52F54">
        <w:rPr>
          <w:lang w:eastAsia="en-US"/>
        </w:rPr>
        <w:t xml:space="preserve"> </w:t>
      </w:r>
      <w:r w:rsidR="00A52F54">
        <w:rPr>
          <w:lang w:eastAsia="en-US"/>
        </w:rPr>
        <w:t xml:space="preserve">Further consultation </w:t>
      </w:r>
      <w:r w:rsidR="007C55D9">
        <w:rPr>
          <w:lang w:eastAsia="en-US"/>
        </w:rPr>
        <w:t>has</w:t>
      </w:r>
      <w:r w:rsidR="00A52F54">
        <w:rPr>
          <w:lang w:eastAsia="en-US"/>
        </w:rPr>
        <w:t xml:space="preserve"> be</w:t>
      </w:r>
      <w:r w:rsidR="007C55D9">
        <w:rPr>
          <w:lang w:eastAsia="en-US"/>
        </w:rPr>
        <w:t>en</w:t>
      </w:r>
      <w:r w:rsidR="00A52F54">
        <w:rPr>
          <w:lang w:eastAsia="en-US"/>
        </w:rPr>
        <w:t xml:space="preserve"> undertaken in late 2023 to inform the Bill</w:t>
      </w:r>
      <w:r w:rsidR="007C55D9">
        <w:rPr>
          <w:lang w:eastAsia="en-US"/>
        </w:rPr>
        <w:t>, with changes made to reflect community and business expectations and feedback.</w:t>
      </w:r>
    </w:p>
    <w:p w14:paraId="2370349B" w14:textId="37882156" w:rsidR="00E6232E" w:rsidRPr="009D0AB4" w:rsidRDefault="00E6232E" w:rsidP="001868B1">
      <w:pPr>
        <w:pStyle w:val="BodyText"/>
        <w:rPr>
          <w:lang w:eastAsia="en-US"/>
        </w:rPr>
      </w:pPr>
      <w:r w:rsidRPr="78F42BF0">
        <w:rPr>
          <w:lang w:eastAsia="en-US"/>
        </w:rPr>
        <w:t xml:space="preserve">These </w:t>
      </w:r>
      <w:r w:rsidR="00352F96" w:rsidRPr="78F42BF0">
        <w:rPr>
          <w:lang w:eastAsia="en-US"/>
        </w:rPr>
        <w:t>p</w:t>
      </w:r>
      <w:r w:rsidRPr="78F42BF0">
        <w:rPr>
          <w:lang w:eastAsia="en-US"/>
        </w:rPr>
        <w:t>rogram-wide consultations have been supplemented by targeted engagement on matters that are particularly sensitive or complex, such as privacy and consumer safeguards</w:t>
      </w:r>
      <w:r w:rsidR="00A9524B" w:rsidRPr="78F42BF0">
        <w:rPr>
          <w:lang w:eastAsia="en-US"/>
        </w:rPr>
        <w:t>, conducted both by Government directly and (in the case of Privacy Impact Assessments, for example) by independent firms</w:t>
      </w:r>
      <w:r w:rsidRPr="78F42BF0">
        <w:rPr>
          <w:lang w:eastAsia="en-US"/>
        </w:rPr>
        <w:t>.</w:t>
      </w:r>
      <w:r w:rsidR="00737BA2" w:rsidRPr="78F42BF0">
        <w:rPr>
          <w:lang w:eastAsia="en-US"/>
        </w:rPr>
        <w:t xml:space="preserve"> </w:t>
      </w:r>
      <w:r w:rsidRPr="78F42BF0">
        <w:rPr>
          <w:lang w:eastAsia="en-US"/>
        </w:rPr>
        <w:t>Various stakeholders have been specifically engaged on privacy and consumer</w:t>
      </w:r>
      <w:r w:rsidR="00915084" w:rsidRPr="78F42BF0">
        <w:rPr>
          <w:lang w:eastAsia="en-US"/>
        </w:rPr>
        <w:t>-</w:t>
      </w:r>
      <w:r w:rsidRPr="78F42BF0">
        <w:rPr>
          <w:lang w:eastAsia="en-US"/>
        </w:rPr>
        <w:t>related matters, including private sector representatives (</w:t>
      </w:r>
      <w:r w:rsidR="6C64C379" w:rsidRPr="78F42BF0">
        <w:rPr>
          <w:lang w:eastAsia="en-US"/>
        </w:rPr>
        <w:t>i.e.</w:t>
      </w:r>
      <w:r w:rsidRPr="78F42BF0">
        <w:rPr>
          <w:lang w:eastAsia="en-US"/>
        </w:rPr>
        <w:t xml:space="preserve"> payments, banks), academics and advocacy groups, state and territory </w:t>
      </w:r>
      <w:r w:rsidR="00915084" w:rsidRPr="78F42BF0">
        <w:rPr>
          <w:lang w:eastAsia="en-US"/>
        </w:rPr>
        <w:t>o</w:t>
      </w:r>
      <w:r w:rsidRPr="78F42BF0">
        <w:rPr>
          <w:lang w:eastAsia="en-US"/>
        </w:rPr>
        <w:t xml:space="preserve">mbudsman entities and privacy commissioners. This iterative consultation strategy has served to validate the identified problems, gauge stakeholder views on areas for potential regulation and lay the foundation for broader public consultations. </w:t>
      </w:r>
    </w:p>
    <w:p w14:paraId="229EE677" w14:textId="593A4130" w:rsidR="00E6232E" w:rsidRPr="000B7589" w:rsidRDefault="00E6232E" w:rsidP="001868B1">
      <w:pPr>
        <w:pStyle w:val="BodyText"/>
        <w:rPr>
          <w:lang w:eastAsia="en-US"/>
        </w:rPr>
      </w:pPr>
      <w:r w:rsidRPr="009D0AB4">
        <w:rPr>
          <w:lang w:eastAsia="en-US"/>
        </w:rPr>
        <w:t xml:space="preserve">In November 2020, a </w:t>
      </w:r>
      <w:hyperlink r:id="rId88" w:history="1">
        <w:r w:rsidR="00D426BA" w:rsidRPr="00482987">
          <w:rPr>
            <w:color w:val="008675"/>
          </w:rPr>
          <w:t>p</w:t>
        </w:r>
        <w:r w:rsidRPr="00482987">
          <w:rPr>
            <w:color w:val="008675"/>
          </w:rPr>
          <w:t xml:space="preserve">ublic </w:t>
        </w:r>
        <w:r w:rsidR="00D426BA" w:rsidRPr="00482987">
          <w:rPr>
            <w:color w:val="008675"/>
          </w:rPr>
          <w:t>c</w:t>
        </w:r>
        <w:r w:rsidRPr="00482987">
          <w:rPr>
            <w:color w:val="008675"/>
          </w:rPr>
          <w:t xml:space="preserve">onsultation </w:t>
        </w:r>
        <w:r w:rsidR="00D426BA" w:rsidRPr="00482987">
          <w:rPr>
            <w:color w:val="008675"/>
          </w:rPr>
          <w:t>p</w:t>
        </w:r>
        <w:r w:rsidRPr="00482987">
          <w:rPr>
            <w:color w:val="008675"/>
          </w:rPr>
          <w:t>aper</w:t>
        </w:r>
      </w:hyperlink>
      <w:r w:rsidRPr="009D0AB4">
        <w:rPr>
          <w:lang w:eastAsia="en-US"/>
        </w:rPr>
        <w:t xml:space="preserve"> was released on Digital I</w:t>
      </w:r>
      <w:r w:rsidR="00EB2443">
        <w:rPr>
          <w:lang w:eastAsia="en-US"/>
        </w:rPr>
        <w:t>D</w:t>
      </w:r>
      <w:r w:rsidR="00513C83">
        <w:rPr>
          <w:lang w:eastAsia="en-US"/>
        </w:rPr>
        <w:t xml:space="preserve"> </w:t>
      </w:r>
      <w:r w:rsidR="00D426BA">
        <w:rPr>
          <w:lang w:eastAsia="en-US"/>
        </w:rPr>
        <w:t>l</w:t>
      </w:r>
      <w:r w:rsidRPr="009D0AB4">
        <w:rPr>
          <w:lang w:eastAsia="en-US"/>
        </w:rPr>
        <w:t xml:space="preserve">egislation. This </w:t>
      </w:r>
      <w:r w:rsidR="00D426BA">
        <w:rPr>
          <w:lang w:eastAsia="en-US"/>
        </w:rPr>
        <w:t>p</w:t>
      </w:r>
      <w:r w:rsidRPr="009D0AB4">
        <w:rPr>
          <w:lang w:eastAsia="en-US"/>
        </w:rPr>
        <w:t xml:space="preserve">aper sought government, community, industry, and individual views on the scope, nature and extent of possible government regulation of the </w:t>
      </w:r>
      <w:r w:rsidR="00DF50AB">
        <w:rPr>
          <w:lang w:eastAsia="en-US"/>
        </w:rPr>
        <w:t xml:space="preserve">Digital ID </w:t>
      </w:r>
      <w:r w:rsidRPr="009D0AB4">
        <w:rPr>
          <w:lang w:eastAsia="en-US"/>
        </w:rPr>
        <w:t>System.</w:t>
      </w:r>
      <w:r w:rsidR="00737BA2">
        <w:rPr>
          <w:lang w:eastAsia="en-US"/>
        </w:rPr>
        <w:t xml:space="preserve"> </w:t>
      </w:r>
      <w:r w:rsidRPr="009D0AB4">
        <w:rPr>
          <w:lang w:eastAsia="en-US"/>
        </w:rPr>
        <w:t xml:space="preserve">Supporting the release of the </w:t>
      </w:r>
      <w:r w:rsidR="00D4692E">
        <w:rPr>
          <w:lang w:eastAsia="en-US"/>
        </w:rPr>
        <w:t>p</w:t>
      </w:r>
      <w:r w:rsidRPr="009D0AB4">
        <w:rPr>
          <w:lang w:eastAsia="en-US"/>
        </w:rPr>
        <w:t xml:space="preserve">ublic </w:t>
      </w:r>
      <w:r w:rsidR="00D4692E">
        <w:rPr>
          <w:lang w:eastAsia="en-US"/>
        </w:rPr>
        <w:t>c</w:t>
      </w:r>
      <w:r w:rsidRPr="009D0AB4">
        <w:rPr>
          <w:lang w:eastAsia="en-US"/>
        </w:rPr>
        <w:t xml:space="preserve">onsultation </w:t>
      </w:r>
      <w:r w:rsidR="00D4692E">
        <w:rPr>
          <w:lang w:eastAsia="en-US"/>
        </w:rPr>
        <w:t>p</w:t>
      </w:r>
      <w:r w:rsidRPr="009D0AB4">
        <w:rPr>
          <w:lang w:eastAsia="en-US"/>
        </w:rPr>
        <w:t xml:space="preserve">aper </w:t>
      </w:r>
      <w:r w:rsidR="00D4692E">
        <w:rPr>
          <w:lang w:eastAsia="en-US"/>
        </w:rPr>
        <w:t>were</w:t>
      </w:r>
      <w:r w:rsidRPr="009D0AB4">
        <w:rPr>
          <w:lang w:eastAsia="en-US"/>
        </w:rPr>
        <w:t xml:space="preserve"> five webinars</w:t>
      </w:r>
      <w:r w:rsidR="00373DCA">
        <w:rPr>
          <w:lang w:eastAsia="en-US"/>
        </w:rPr>
        <w:t xml:space="preserve"> conducted to </w:t>
      </w:r>
      <w:r w:rsidR="00DC0FFC">
        <w:rPr>
          <w:lang w:eastAsia="en-US"/>
        </w:rPr>
        <w:t>ensure full understanding of the Program’s context, and to</w:t>
      </w:r>
      <w:r w:rsidR="007B4BB2">
        <w:rPr>
          <w:lang w:eastAsia="en-US"/>
        </w:rPr>
        <w:t xml:space="preserve"> </w:t>
      </w:r>
      <w:r w:rsidRPr="000B7589">
        <w:rPr>
          <w:lang w:eastAsia="en-US"/>
        </w:rPr>
        <w:t xml:space="preserve">encourage submissions. These webinars were attended </w:t>
      </w:r>
      <w:r w:rsidRPr="009D0AB4">
        <w:rPr>
          <w:lang w:eastAsia="en-US"/>
        </w:rPr>
        <w:t xml:space="preserve">by 110 stakeholders. </w:t>
      </w:r>
      <w:r w:rsidR="004621F6">
        <w:rPr>
          <w:lang w:eastAsia="en-US"/>
        </w:rPr>
        <w:t>44</w:t>
      </w:r>
      <w:r w:rsidRPr="009D0AB4">
        <w:rPr>
          <w:lang w:eastAsia="en-US"/>
        </w:rPr>
        <w:t xml:space="preserve"> submissions were received through this process </w:t>
      </w:r>
      <w:r w:rsidR="007C653F">
        <w:rPr>
          <w:lang w:eastAsia="en-US"/>
        </w:rPr>
        <w:t xml:space="preserve">– 16 of which were </w:t>
      </w:r>
      <w:r w:rsidRPr="009D0AB4">
        <w:rPr>
          <w:lang w:eastAsia="en-US"/>
        </w:rPr>
        <w:t xml:space="preserve">from state and territory governments, 20 from the private sector (including industry associations) and </w:t>
      </w:r>
      <w:r w:rsidR="007C653F">
        <w:rPr>
          <w:lang w:eastAsia="en-US"/>
        </w:rPr>
        <w:t>eight</w:t>
      </w:r>
      <w:r w:rsidRPr="009D0AB4">
        <w:rPr>
          <w:lang w:eastAsia="en-US"/>
        </w:rPr>
        <w:t xml:space="preserve"> from individuals and consumer groups.</w:t>
      </w:r>
      <w:r w:rsidR="00737BA2">
        <w:rPr>
          <w:lang w:eastAsia="en-US"/>
        </w:rPr>
        <w:t xml:space="preserve"> </w:t>
      </w:r>
      <w:r w:rsidRPr="009D0AB4">
        <w:rPr>
          <w:lang w:eastAsia="en-US"/>
        </w:rPr>
        <w:t xml:space="preserve">On 12 February 2021, </w:t>
      </w:r>
      <w:r w:rsidR="007C653F">
        <w:rPr>
          <w:lang w:eastAsia="en-US"/>
        </w:rPr>
        <w:t xml:space="preserve">we published </w:t>
      </w:r>
      <w:r w:rsidRPr="009D0AB4">
        <w:rPr>
          <w:lang w:eastAsia="en-US"/>
        </w:rPr>
        <w:t xml:space="preserve">a </w:t>
      </w:r>
      <w:hyperlink r:id="rId89" w:history="1">
        <w:r w:rsidR="00282B80" w:rsidRPr="00560F5D">
          <w:rPr>
            <w:color w:val="008675"/>
          </w:rPr>
          <w:t>c</w:t>
        </w:r>
        <w:r w:rsidRPr="00560F5D">
          <w:rPr>
            <w:color w:val="008675"/>
          </w:rPr>
          <w:t xml:space="preserve">onsultation </w:t>
        </w:r>
        <w:r w:rsidR="00282B80" w:rsidRPr="00560F5D">
          <w:rPr>
            <w:color w:val="008675"/>
          </w:rPr>
          <w:t>s</w:t>
        </w:r>
        <w:r w:rsidRPr="00560F5D">
          <w:rPr>
            <w:color w:val="008675"/>
          </w:rPr>
          <w:t xml:space="preserve">ynthesis </w:t>
        </w:r>
        <w:r w:rsidR="00282B80" w:rsidRPr="00560F5D">
          <w:rPr>
            <w:color w:val="008675"/>
          </w:rPr>
          <w:t>r</w:t>
        </w:r>
        <w:r w:rsidRPr="00560F5D">
          <w:rPr>
            <w:color w:val="008675"/>
          </w:rPr>
          <w:t>eport</w:t>
        </w:r>
      </w:hyperlink>
      <w:r w:rsidRPr="009D0AB4">
        <w:rPr>
          <w:lang w:eastAsia="en-US"/>
        </w:rPr>
        <w:t xml:space="preserve"> </w:t>
      </w:r>
      <w:r w:rsidR="007C653F">
        <w:rPr>
          <w:lang w:eastAsia="en-US"/>
        </w:rPr>
        <w:t>that</w:t>
      </w:r>
      <w:r w:rsidRPr="009D0AB4">
        <w:rPr>
          <w:lang w:eastAsia="en-US"/>
        </w:rPr>
        <w:t xml:space="preserve"> summaris</w:t>
      </w:r>
      <w:r w:rsidR="007C653F">
        <w:rPr>
          <w:lang w:eastAsia="en-US"/>
        </w:rPr>
        <w:t>ed</w:t>
      </w:r>
      <w:r w:rsidRPr="009D0AB4">
        <w:rPr>
          <w:lang w:eastAsia="en-US"/>
        </w:rPr>
        <w:t xml:space="preserve"> key messages, themes and outcomes of this public consultation process. The </w:t>
      </w:r>
      <w:r w:rsidR="00AC3C1E">
        <w:rPr>
          <w:lang w:eastAsia="en-US"/>
        </w:rPr>
        <w:t>s</w:t>
      </w:r>
      <w:r w:rsidRPr="009D0AB4">
        <w:rPr>
          <w:lang w:eastAsia="en-US"/>
        </w:rPr>
        <w:t xml:space="preserve">ynthesis </w:t>
      </w:r>
      <w:r w:rsidR="00AC3C1E">
        <w:rPr>
          <w:lang w:eastAsia="en-US"/>
        </w:rPr>
        <w:t>r</w:t>
      </w:r>
      <w:r w:rsidRPr="009D0AB4">
        <w:rPr>
          <w:lang w:eastAsia="en-US"/>
        </w:rPr>
        <w:t xml:space="preserve">eport outlined near-uniform agreement on the immense value, and on some level of legislation to govern </w:t>
      </w:r>
      <w:r w:rsidR="009A4532">
        <w:rPr>
          <w:lang w:eastAsia="en-US"/>
        </w:rPr>
        <w:t>Digital ID</w:t>
      </w:r>
      <w:r w:rsidRPr="009D0AB4">
        <w:rPr>
          <w:lang w:eastAsia="en-US"/>
        </w:rPr>
        <w:t>. However, there were differing views on the content and scope of legislation, including which measures should be legally entrenched and which should remain as policy or operational guidance.</w:t>
      </w:r>
    </w:p>
    <w:p w14:paraId="44FC39FF" w14:textId="18D5D70D" w:rsidR="00E6232E" w:rsidRDefault="00E6232E" w:rsidP="001868B1">
      <w:pPr>
        <w:pStyle w:val="BodyText"/>
        <w:rPr>
          <w:lang w:eastAsia="en-US"/>
        </w:rPr>
      </w:pPr>
      <w:r w:rsidRPr="17254543">
        <w:rPr>
          <w:lang w:eastAsia="en-US"/>
        </w:rPr>
        <w:t xml:space="preserve">The next stage of legislation-specific consultation occurred in </w:t>
      </w:r>
      <w:r w:rsidR="002B0322" w:rsidRPr="17254543">
        <w:rPr>
          <w:lang w:eastAsia="en-US"/>
        </w:rPr>
        <w:t>June</w:t>
      </w:r>
      <w:r w:rsidRPr="17254543">
        <w:rPr>
          <w:lang w:eastAsia="en-US"/>
        </w:rPr>
        <w:t xml:space="preserve"> 2021, with </w:t>
      </w:r>
      <w:r w:rsidR="00193A7A" w:rsidRPr="17254543">
        <w:rPr>
          <w:lang w:eastAsia="en-US"/>
        </w:rPr>
        <w:t xml:space="preserve">the </w:t>
      </w:r>
      <w:r w:rsidRPr="17254543">
        <w:rPr>
          <w:lang w:eastAsia="en-US"/>
        </w:rPr>
        <w:t xml:space="preserve">release of a </w:t>
      </w:r>
      <w:hyperlink r:id="rId90">
        <w:r w:rsidR="007F6DF1" w:rsidRPr="00560F5D">
          <w:rPr>
            <w:rStyle w:val="Hyperlink"/>
            <w:color w:val="008675"/>
            <w:lang w:eastAsia="en-US"/>
          </w:rPr>
          <w:t>Digital I</w:t>
        </w:r>
        <w:r w:rsidR="00EB2443" w:rsidRPr="00560F5D">
          <w:rPr>
            <w:rStyle w:val="Hyperlink"/>
            <w:color w:val="008675"/>
            <w:lang w:eastAsia="en-US"/>
          </w:rPr>
          <w:t>D</w:t>
        </w:r>
        <w:r w:rsidR="007F6DF1" w:rsidRPr="00560F5D">
          <w:rPr>
            <w:rStyle w:val="Hyperlink"/>
            <w:color w:val="008675"/>
            <w:lang w:eastAsia="en-US"/>
          </w:rPr>
          <w:t xml:space="preserve"> </w:t>
        </w:r>
        <w:r w:rsidR="00AC3C1E" w:rsidRPr="00560F5D">
          <w:rPr>
            <w:rStyle w:val="Hyperlink"/>
            <w:color w:val="008675"/>
            <w:lang w:eastAsia="en-US"/>
          </w:rPr>
          <w:t>l</w:t>
        </w:r>
        <w:r w:rsidR="007F6DF1" w:rsidRPr="00560F5D">
          <w:rPr>
            <w:rStyle w:val="Hyperlink"/>
            <w:color w:val="008675"/>
            <w:lang w:eastAsia="en-US"/>
          </w:rPr>
          <w:t xml:space="preserve">egislation </w:t>
        </w:r>
        <w:r w:rsidR="00AC3C1E" w:rsidRPr="00560F5D">
          <w:rPr>
            <w:rStyle w:val="Hyperlink"/>
            <w:color w:val="008675"/>
          </w:rPr>
          <w:t>p</w:t>
        </w:r>
        <w:r w:rsidRPr="00560F5D">
          <w:rPr>
            <w:rStyle w:val="Hyperlink"/>
            <w:color w:val="008675"/>
          </w:rPr>
          <w:t xml:space="preserve">osition </w:t>
        </w:r>
        <w:r w:rsidR="00AC3C1E" w:rsidRPr="00560F5D">
          <w:rPr>
            <w:rStyle w:val="Hyperlink"/>
            <w:color w:val="008675"/>
          </w:rPr>
          <w:t>p</w:t>
        </w:r>
        <w:r w:rsidRPr="00560F5D">
          <w:rPr>
            <w:rStyle w:val="Hyperlink"/>
            <w:color w:val="008675"/>
          </w:rPr>
          <w:t>aper</w:t>
        </w:r>
      </w:hyperlink>
      <w:r w:rsidRPr="17254543">
        <w:rPr>
          <w:lang w:eastAsia="en-US"/>
        </w:rPr>
        <w:t xml:space="preserve"> providing updated assessments of key policy positions and the nature of potential regulation. The </w:t>
      </w:r>
      <w:r w:rsidR="002D142B" w:rsidRPr="17254543">
        <w:rPr>
          <w:lang w:eastAsia="en-US"/>
        </w:rPr>
        <w:t>p</w:t>
      </w:r>
      <w:r w:rsidRPr="17254543">
        <w:rPr>
          <w:lang w:eastAsia="en-US"/>
        </w:rPr>
        <w:t xml:space="preserve">osition </w:t>
      </w:r>
      <w:r w:rsidR="002D142B" w:rsidRPr="17254543">
        <w:rPr>
          <w:lang w:eastAsia="en-US"/>
        </w:rPr>
        <w:t>p</w:t>
      </w:r>
      <w:r w:rsidRPr="17254543">
        <w:rPr>
          <w:lang w:eastAsia="en-US"/>
        </w:rPr>
        <w:t xml:space="preserve">aper remained open for comment for </w:t>
      </w:r>
      <w:r w:rsidR="00193A7A" w:rsidRPr="17254543">
        <w:rPr>
          <w:lang w:eastAsia="en-US"/>
        </w:rPr>
        <w:t>five</w:t>
      </w:r>
      <w:r w:rsidR="000A4A0F" w:rsidRPr="17254543">
        <w:rPr>
          <w:lang w:eastAsia="en-US"/>
        </w:rPr>
        <w:t xml:space="preserve"> </w:t>
      </w:r>
      <w:r w:rsidRPr="17254543">
        <w:rPr>
          <w:lang w:eastAsia="en-US"/>
        </w:rPr>
        <w:t xml:space="preserve">weeks, with a total of </w:t>
      </w:r>
      <w:r w:rsidR="001E69BC" w:rsidRPr="17254543">
        <w:rPr>
          <w:lang w:eastAsia="en-US"/>
        </w:rPr>
        <w:t>62</w:t>
      </w:r>
      <w:r w:rsidRPr="17254543">
        <w:rPr>
          <w:lang w:eastAsia="en-US"/>
        </w:rPr>
        <w:t xml:space="preserve"> submissions received</w:t>
      </w:r>
      <w:r w:rsidR="00193A7A" w:rsidRPr="17254543">
        <w:rPr>
          <w:lang w:eastAsia="en-US"/>
        </w:rPr>
        <w:t>. It wa</w:t>
      </w:r>
      <w:r w:rsidRPr="17254543">
        <w:rPr>
          <w:lang w:eastAsia="en-US"/>
        </w:rPr>
        <w:t xml:space="preserve">s supplemented by a series of targeted </w:t>
      </w:r>
      <w:r w:rsidR="003B6289" w:rsidRPr="17254543">
        <w:rPr>
          <w:lang w:eastAsia="en-US"/>
        </w:rPr>
        <w:t>events</w:t>
      </w:r>
      <w:r w:rsidR="005034D2" w:rsidRPr="17254543">
        <w:rPr>
          <w:lang w:eastAsia="en-US"/>
        </w:rPr>
        <w:t>,</w:t>
      </w:r>
      <w:r w:rsidR="00193A7A" w:rsidRPr="17254543">
        <w:rPr>
          <w:lang w:eastAsia="en-US"/>
        </w:rPr>
        <w:t xml:space="preserve"> including two</w:t>
      </w:r>
      <w:r w:rsidR="00441394" w:rsidRPr="17254543">
        <w:rPr>
          <w:lang w:eastAsia="en-US"/>
        </w:rPr>
        <w:t xml:space="preserve"> </w:t>
      </w:r>
      <w:r w:rsidRPr="17254543">
        <w:rPr>
          <w:lang w:eastAsia="en-US"/>
        </w:rPr>
        <w:t xml:space="preserve">roundtables </w:t>
      </w:r>
      <w:r w:rsidR="00281DC6" w:rsidRPr="17254543">
        <w:rPr>
          <w:lang w:eastAsia="en-US"/>
        </w:rPr>
        <w:t xml:space="preserve">held on </w:t>
      </w:r>
      <w:r w:rsidR="00E25055" w:rsidRPr="17254543">
        <w:rPr>
          <w:lang w:eastAsia="en-US"/>
        </w:rPr>
        <w:t>1 July 2021 for the</w:t>
      </w:r>
      <w:r w:rsidR="00AB4C19" w:rsidRPr="17254543">
        <w:rPr>
          <w:lang w:eastAsia="en-US"/>
        </w:rPr>
        <w:t xml:space="preserve"> Australian </w:t>
      </w:r>
      <w:r w:rsidR="00672FC9" w:rsidRPr="17254543">
        <w:rPr>
          <w:lang w:eastAsia="en-US"/>
        </w:rPr>
        <w:t xml:space="preserve">Information </w:t>
      </w:r>
      <w:r w:rsidR="00D44E7E" w:rsidRPr="17254543">
        <w:rPr>
          <w:lang w:eastAsia="en-US"/>
        </w:rPr>
        <w:t>Industry Association</w:t>
      </w:r>
      <w:r w:rsidR="00AB4C19" w:rsidRPr="17254543">
        <w:rPr>
          <w:lang w:eastAsia="en-US"/>
        </w:rPr>
        <w:t xml:space="preserve"> (AIIA)</w:t>
      </w:r>
      <w:r w:rsidR="00281DC6" w:rsidRPr="17254543">
        <w:rPr>
          <w:lang w:eastAsia="en-US"/>
        </w:rPr>
        <w:t xml:space="preserve">, and 13 July 2021 for the </w:t>
      </w:r>
      <w:r w:rsidR="00C713BC" w:rsidRPr="17254543">
        <w:rPr>
          <w:lang w:eastAsia="en-US"/>
        </w:rPr>
        <w:t>Australian Society for Computers and the Law (AUSCL)</w:t>
      </w:r>
      <w:r w:rsidR="009C2855" w:rsidRPr="17254543">
        <w:rPr>
          <w:lang w:eastAsia="en-US"/>
        </w:rPr>
        <w:t>.</w:t>
      </w:r>
      <w:r w:rsidR="00C1569A" w:rsidRPr="17254543">
        <w:rPr>
          <w:lang w:eastAsia="en-US"/>
        </w:rPr>
        <w:t xml:space="preserve"> </w:t>
      </w:r>
      <w:r w:rsidR="00876528" w:rsidRPr="17254543">
        <w:rPr>
          <w:lang w:eastAsia="en-US"/>
        </w:rPr>
        <w:t>A total of around 120 stakeholders participated in these</w:t>
      </w:r>
      <w:r w:rsidR="00DF099F" w:rsidRPr="17254543">
        <w:rPr>
          <w:lang w:eastAsia="en-US"/>
        </w:rPr>
        <w:t xml:space="preserve"> roundtables</w:t>
      </w:r>
      <w:r w:rsidR="00854454" w:rsidRPr="17254543">
        <w:rPr>
          <w:lang w:eastAsia="en-US"/>
        </w:rPr>
        <w:t xml:space="preserve">. </w:t>
      </w:r>
      <w:r w:rsidR="00C1569A" w:rsidRPr="17254543">
        <w:rPr>
          <w:lang w:eastAsia="en-US"/>
        </w:rPr>
        <w:t xml:space="preserve">Other targeted </w:t>
      </w:r>
      <w:r w:rsidR="00D429A9" w:rsidRPr="17254543">
        <w:rPr>
          <w:lang w:eastAsia="en-US"/>
        </w:rPr>
        <w:t xml:space="preserve">consultation </w:t>
      </w:r>
      <w:r w:rsidR="00C1569A" w:rsidRPr="17254543">
        <w:rPr>
          <w:lang w:eastAsia="en-US"/>
        </w:rPr>
        <w:t>events</w:t>
      </w:r>
      <w:r w:rsidR="00D429A9" w:rsidRPr="17254543">
        <w:rPr>
          <w:lang w:eastAsia="en-US"/>
        </w:rPr>
        <w:t xml:space="preserve"> that </w:t>
      </w:r>
      <w:r w:rsidR="00A67C6E" w:rsidRPr="17254543">
        <w:rPr>
          <w:lang w:eastAsia="en-US"/>
        </w:rPr>
        <w:t xml:space="preserve">occurred during </w:t>
      </w:r>
      <w:r w:rsidR="00D429A9" w:rsidRPr="17254543">
        <w:rPr>
          <w:lang w:eastAsia="en-US"/>
        </w:rPr>
        <w:t>July</w:t>
      </w:r>
      <w:r w:rsidR="00C1569A" w:rsidRPr="17254543">
        <w:rPr>
          <w:lang w:eastAsia="en-US"/>
        </w:rPr>
        <w:t xml:space="preserve"> included a series of Q&amp;A sessions </w:t>
      </w:r>
      <w:r w:rsidR="00CC559F" w:rsidRPr="17254543">
        <w:rPr>
          <w:lang w:eastAsia="en-US"/>
        </w:rPr>
        <w:t xml:space="preserve">held for </w:t>
      </w:r>
      <w:r w:rsidR="00A90FA0" w:rsidRPr="17254543">
        <w:rPr>
          <w:lang w:eastAsia="en-US"/>
        </w:rPr>
        <w:t>the banking and government sectors</w:t>
      </w:r>
      <w:r w:rsidR="00876528" w:rsidRPr="17254543">
        <w:rPr>
          <w:lang w:eastAsia="en-US"/>
        </w:rPr>
        <w:t xml:space="preserve">, at which around </w:t>
      </w:r>
      <w:r w:rsidR="001C53BF" w:rsidRPr="17254543">
        <w:rPr>
          <w:lang w:eastAsia="en-US"/>
        </w:rPr>
        <w:t xml:space="preserve">21 </w:t>
      </w:r>
      <w:r w:rsidR="00BD5F72" w:rsidRPr="17254543">
        <w:rPr>
          <w:lang w:eastAsia="en-US"/>
        </w:rPr>
        <w:t>stakeholders</w:t>
      </w:r>
      <w:r w:rsidR="00876528" w:rsidRPr="17254543">
        <w:rPr>
          <w:lang w:eastAsia="en-US"/>
        </w:rPr>
        <w:t xml:space="preserve"> participated</w:t>
      </w:r>
      <w:r w:rsidR="00A0186F" w:rsidRPr="17254543">
        <w:rPr>
          <w:lang w:eastAsia="en-US"/>
        </w:rPr>
        <w:t>.</w:t>
      </w:r>
      <w:r w:rsidR="00A9681F" w:rsidRPr="17254543">
        <w:rPr>
          <w:lang w:eastAsia="en-US"/>
        </w:rPr>
        <w:t xml:space="preserve"> </w:t>
      </w:r>
      <w:r w:rsidR="00960F18">
        <w:rPr>
          <w:lang w:eastAsia="en-US"/>
        </w:rPr>
        <w:t>The 2021 Trusted Digital I</w:t>
      </w:r>
      <w:r w:rsidR="003D70A6">
        <w:rPr>
          <w:lang w:eastAsia="en-US"/>
        </w:rPr>
        <w:t>dentity</w:t>
      </w:r>
      <w:r w:rsidR="00960F18">
        <w:rPr>
          <w:lang w:eastAsia="en-US"/>
        </w:rPr>
        <w:t xml:space="preserve"> Bill exposure draft consultation </w:t>
      </w:r>
      <w:r w:rsidR="00472923" w:rsidRPr="17254543">
        <w:rPr>
          <w:lang w:eastAsia="en-US"/>
        </w:rPr>
        <w:t>was open for 4 weeks</w:t>
      </w:r>
      <w:r w:rsidR="00942C37">
        <w:rPr>
          <w:lang w:eastAsia="en-US"/>
        </w:rPr>
        <w:t xml:space="preserve">. </w:t>
      </w:r>
    </w:p>
    <w:p w14:paraId="76BAA2CD" w14:textId="7B3C2A01" w:rsidR="00685AB3" w:rsidRDefault="00167425" w:rsidP="001868B1">
      <w:pPr>
        <w:pStyle w:val="BodyText"/>
        <w:rPr>
          <w:lang w:eastAsia="en-US"/>
        </w:rPr>
      </w:pPr>
      <w:bookmarkStart w:id="585" w:name="_Hlk87465781"/>
      <w:r w:rsidRPr="17254543">
        <w:rPr>
          <w:lang w:eastAsia="en-US"/>
        </w:rPr>
        <w:t xml:space="preserve">In </w:t>
      </w:r>
      <w:r w:rsidR="00245B5F" w:rsidRPr="17254543">
        <w:rPr>
          <w:lang w:eastAsia="en-US"/>
        </w:rPr>
        <w:t>late 2023</w:t>
      </w:r>
      <w:r w:rsidRPr="17254543">
        <w:rPr>
          <w:lang w:eastAsia="en-US"/>
        </w:rPr>
        <w:t>, a</w:t>
      </w:r>
      <w:r w:rsidR="00845F2B" w:rsidRPr="17254543">
        <w:rPr>
          <w:lang w:eastAsia="en-US"/>
        </w:rPr>
        <w:t>n</w:t>
      </w:r>
      <w:r w:rsidR="0023026E" w:rsidRPr="17254543">
        <w:rPr>
          <w:lang w:eastAsia="en-US"/>
        </w:rPr>
        <w:t xml:space="preserve"> </w:t>
      </w:r>
      <w:r w:rsidR="00845F2B">
        <w:t>exposure draft package</w:t>
      </w:r>
      <w:r w:rsidR="00272A3A" w:rsidRPr="17254543">
        <w:rPr>
          <w:lang w:eastAsia="en-US"/>
        </w:rPr>
        <w:t xml:space="preserve">, </w:t>
      </w:r>
      <w:r w:rsidR="00416A94" w:rsidRPr="17254543">
        <w:rPr>
          <w:lang w:eastAsia="en-US"/>
        </w:rPr>
        <w:t xml:space="preserve">which </w:t>
      </w:r>
      <w:r w:rsidR="00245B5F" w:rsidRPr="17254543">
        <w:rPr>
          <w:lang w:eastAsia="en-US"/>
        </w:rPr>
        <w:t xml:space="preserve">will include </w:t>
      </w:r>
      <w:r w:rsidR="00416A94" w:rsidRPr="17254543">
        <w:rPr>
          <w:lang w:eastAsia="en-US"/>
        </w:rPr>
        <w:t xml:space="preserve">the </w:t>
      </w:r>
      <w:r w:rsidR="00245B5F" w:rsidRPr="17254543">
        <w:rPr>
          <w:lang w:eastAsia="en-US"/>
        </w:rPr>
        <w:t xml:space="preserve">updated </w:t>
      </w:r>
      <w:r w:rsidR="00416A94" w:rsidRPr="17254543">
        <w:rPr>
          <w:lang w:eastAsia="en-US"/>
        </w:rPr>
        <w:t>draft</w:t>
      </w:r>
      <w:r w:rsidR="009C4500">
        <w:rPr>
          <w:lang w:eastAsia="en-US"/>
        </w:rPr>
        <w:t xml:space="preserve"> Digital ID</w:t>
      </w:r>
      <w:r w:rsidR="00416A94" w:rsidRPr="17254543">
        <w:rPr>
          <w:lang w:eastAsia="en-US"/>
        </w:rPr>
        <w:t xml:space="preserve"> Bill, draft</w:t>
      </w:r>
      <w:r w:rsidR="009C4500">
        <w:rPr>
          <w:lang w:eastAsia="en-US"/>
        </w:rPr>
        <w:t xml:space="preserve"> Digital ID R</w:t>
      </w:r>
      <w:r w:rsidR="00416A94" w:rsidRPr="17254543">
        <w:rPr>
          <w:lang w:eastAsia="en-US"/>
        </w:rPr>
        <w:t xml:space="preserve">ules, </w:t>
      </w:r>
      <w:r w:rsidR="00245B5F" w:rsidRPr="17254543">
        <w:rPr>
          <w:lang w:eastAsia="en-US"/>
        </w:rPr>
        <w:t>draft Accreditation</w:t>
      </w:r>
      <w:r w:rsidR="00416A94" w:rsidRPr="17254543">
        <w:rPr>
          <w:lang w:eastAsia="en-US"/>
        </w:rPr>
        <w:t xml:space="preserve"> </w:t>
      </w:r>
      <w:r w:rsidR="00245B5F" w:rsidRPr="17254543">
        <w:rPr>
          <w:lang w:eastAsia="en-US"/>
        </w:rPr>
        <w:t>R</w:t>
      </w:r>
      <w:r w:rsidR="00416A94" w:rsidRPr="17254543">
        <w:rPr>
          <w:lang w:eastAsia="en-US"/>
        </w:rPr>
        <w:t>ules</w:t>
      </w:r>
      <w:r w:rsidR="00272A3A" w:rsidRPr="17254543">
        <w:rPr>
          <w:lang w:eastAsia="en-US"/>
        </w:rPr>
        <w:t xml:space="preserve">, </w:t>
      </w:r>
      <w:r w:rsidR="00245B5F" w:rsidRPr="17254543">
        <w:rPr>
          <w:lang w:eastAsia="en-US"/>
        </w:rPr>
        <w:t>w</w:t>
      </w:r>
      <w:r w:rsidR="009A4532">
        <w:rPr>
          <w:lang w:eastAsia="en-US"/>
        </w:rPr>
        <w:t>as</w:t>
      </w:r>
      <w:r w:rsidR="00245B5F" w:rsidRPr="17254543">
        <w:rPr>
          <w:lang w:eastAsia="en-US"/>
        </w:rPr>
        <w:t xml:space="preserve"> released</w:t>
      </w:r>
      <w:r w:rsidR="00272A3A" w:rsidRPr="17254543">
        <w:rPr>
          <w:lang w:eastAsia="en-US"/>
        </w:rPr>
        <w:t xml:space="preserve"> for </w:t>
      </w:r>
      <w:r w:rsidR="00C4587B" w:rsidRPr="17254543">
        <w:rPr>
          <w:lang w:eastAsia="en-US"/>
        </w:rPr>
        <w:t>broad-reaching consultation.</w:t>
      </w:r>
      <w:r w:rsidR="00A80EB4" w:rsidRPr="17254543">
        <w:rPr>
          <w:lang w:eastAsia="en-US"/>
        </w:rPr>
        <w:t xml:space="preserve"> </w:t>
      </w:r>
      <w:r w:rsidR="00B60E71" w:rsidRPr="00760D74">
        <w:rPr>
          <w:lang w:eastAsia="en-US"/>
        </w:rPr>
        <w:t xml:space="preserve">The </w:t>
      </w:r>
      <w:r w:rsidR="009A37BF">
        <w:rPr>
          <w:lang w:eastAsia="en-US"/>
        </w:rPr>
        <w:t>Digital ID Bill and Rules</w:t>
      </w:r>
      <w:r w:rsidR="00B60E71" w:rsidRPr="00760D74">
        <w:rPr>
          <w:lang w:eastAsia="en-US"/>
        </w:rPr>
        <w:t xml:space="preserve"> package </w:t>
      </w:r>
      <w:r w:rsidR="00685AB3" w:rsidRPr="00760D74">
        <w:rPr>
          <w:lang w:eastAsia="en-US"/>
        </w:rPr>
        <w:t xml:space="preserve">was </w:t>
      </w:r>
      <w:r w:rsidR="00245B5F" w:rsidRPr="00760D74">
        <w:rPr>
          <w:lang w:eastAsia="en-US"/>
        </w:rPr>
        <w:t>open</w:t>
      </w:r>
      <w:r w:rsidR="00D14199" w:rsidRPr="00760D74">
        <w:rPr>
          <w:lang w:eastAsia="en-US"/>
        </w:rPr>
        <w:t xml:space="preserve"> </w:t>
      </w:r>
      <w:r w:rsidR="00245B5F" w:rsidRPr="00760D74">
        <w:rPr>
          <w:lang w:eastAsia="en-US"/>
        </w:rPr>
        <w:t xml:space="preserve">for </w:t>
      </w:r>
      <w:r w:rsidR="00D14199" w:rsidRPr="00760D74">
        <w:rPr>
          <w:lang w:eastAsia="en-US"/>
        </w:rPr>
        <w:t>comment</w:t>
      </w:r>
      <w:r w:rsidR="00BC6A8D" w:rsidRPr="00760D74">
        <w:rPr>
          <w:lang w:eastAsia="en-US"/>
        </w:rPr>
        <w:t xml:space="preserve"> </w:t>
      </w:r>
      <w:r w:rsidR="00685AB3" w:rsidRPr="00760D74">
        <w:rPr>
          <w:lang w:eastAsia="en-US"/>
        </w:rPr>
        <w:t>for a three-week period</w:t>
      </w:r>
      <w:r w:rsidR="00C31146">
        <w:rPr>
          <w:lang w:eastAsia="en-US"/>
        </w:rPr>
        <w:t>, and</w:t>
      </w:r>
      <w:r w:rsidR="00D37A9B">
        <w:rPr>
          <w:lang w:eastAsia="en-US"/>
        </w:rPr>
        <w:t xml:space="preserve"> the </w:t>
      </w:r>
      <w:r w:rsidR="004058C0">
        <w:rPr>
          <w:lang w:eastAsia="en-US"/>
        </w:rPr>
        <w:t>Accreditation</w:t>
      </w:r>
      <w:r w:rsidR="00C31146">
        <w:rPr>
          <w:lang w:eastAsia="en-US"/>
        </w:rPr>
        <w:t xml:space="preserve"> Rules open for a </w:t>
      </w:r>
      <w:r w:rsidR="004058C0">
        <w:rPr>
          <w:lang w:eastAsia="en-US"/>
        </w:rPr>
        <w:t>six-week period</w:t>
      </w:r>
      <w:r w:rsidR="00760D74" w:rsidRPr="00760D74" w:rsidDel="004058C0">
        <w:rPr>
          <w:lang w:eastAsia="en-US"/>
        </w:rPr>
        <w:t xml:space="preserve"> </w:t>
      </w:r>
      <w:r w:rsidR="004058C0" w:rsidRPr="00760D74">
        <w:rPr>
          <w:lang w:eastAsia="en-US"/>
        </w:rPr>
        <w:t>conclud</w:t>
      </w:r>
      <w:r w:rsidR="004058C0">
        <w:rPr>
          <w:lang w:eastAsia="en-US"/>
        </w:rPr>
        <w:t>ing</w:t>
      </w:r>
      <w:r w:rsidR="004058C0" w:rsidRPr="00760D74">
        <w:rPr>
          <w:lang w:eastAsia="en-US"/>
        </w:rPr>
        <w:t xml:space="preserve"> </w:t>
      </w:r>
      <w:r w:rsidR="00760D74" w:rsidRPr="00760D74">
        <w:rPr>
          <w:lang w:eastAsia="en-US"/>
        </w:rPr>
        <w:t>in October 2023</w:t>
      </w:r>
      <w:r w:rsidR="0034524E" w:rsidRPr="00760D74">
        <w:rPr>
          <w:lang w:eastAsia="en-US"/>
        </w:rPr>
        <w:t>.</w:t>
      </w:r>
      <w:r w:rsidR="00A84FF3" w:rsidRPr="00760D74">
        <w:rPr>
          <w:lang w:eastAsia="en-US"/>
        </w:rPr>
        <w:t xml:space="preserve"> </w:t>
      </w:r>
      <w:bookmarkEnd w:id="585"/>
      <w:r w:rsidR="001B1690" w:rsidRPr="00760D74">
        <w:rPr>
          <w:lang w:eastAsia="en-US"/>
        </w:rPr>
        <w:t>This</w:t>
      </w:r>
      <w:r w:rsidR="001B1690" w:rsidRPr="17254543">
        <w:rPr>
          <w:lang w:eastAsia="en-US"/>
        </w:rPr>
        <w:t xml:space="preserve"> also included public webinars, targeted industry association roundtables, and broad engagement across state, territory, and Commonwealth agencies.</w:t>
      </w:r>
      <w:r w:rsidR="0049740F">
        <w:rPr>
          <w:lang w:eastAsia="en-US"/>
        </w:rPr>
        <w:t xml:space="preserve"> 11</w:t>
      </w:r>
      <w:r w:rsidR="00E71A7B">
        <w:rPr>
          <w:lang w:eastAsia="en-US"/>
        </w:rPr>
        <w:t>2</w:t>
      </w:r>
      <w:r w:rsidR="0049740F">
        <w:rPr>
          <w:lang w:eastAsia="en-US"/>
        </w:rPr>
        <w:t xml:space="preserve"> submissions were received in addition to attendees at roundtables, and the</w:t>
      </w:r>
      <w:r w:rsidR="00FB4E3A">
        <w:rPr>
          <w:lang w:eastAsia="en-US"/>
        </w:rPr>
        <w:t xml:space="preserve"> 1346 responses to a public survey.</w:t>
      </w:r>
    </w:p>
    <w:p w14:paraId="7B3A343B" w14:textId="14C04E52" w:rsidR="00C81D82" w:rsidRPr="000B7589" w:rsidRDefault="00EC5A05" w:rsidP="001868B1">
      <w:pPr>
        <w:pStyle w:val="BodyText"/>
        <w:rPr>
          <w:lang w:eastAsia="en-US"/>
        </w:rPr>
      </w:pPr>
      <w:r w:rsidRPr="00760D74">
        <w:rPr>
          <w:lang w:eastAsia="en-US"/>
        </w:rPr>
        <w:t xml:space="preserve">The consultation paper </w:t>
      </w:r>
      <w:r w:rsidR="00C35A38" w:rsidRPr="00760D74">
        <w:rPr>
          <w:lang w:eastAsia="en-US"/>
        </w:rPr>
        <w:t xml:space="preserve">released alongside the Bill on </w:t>
      </w:r>
      <w:r w:rsidR="00A90D1A" w:rsidRPr="00760D74">
        <w:rPr>
          <w:lang w:eastAsia="en-US"/>
        </w:rPr>
        <w:t xml:space="preserve">19 September 2023 </w:t>
      </w:r>
      <w:r w:rsidR="002F6CEF">
        <w:rPr>
          <w:lang w:eastAsia="en-US"/>
        </w:rPr>
        <w:t xml:space="preserve">can be </w:t>
      </w:r>
      <w:hyperlink r:id="rId91" w:history="1">
        <w:r w:rsidR="001739D0" w:rsidRPr="004058C0">
          <w:rPr>
            <w:rStyle w:val="Hyperlink"/>
            <w:color w:val="008675"/>
            <w:lang w:eastAsia="en-US"/>
          </w:rPr>
          <w:t>accessed here</w:t>
        </w:r>
      </w:hyperlink>
      <w:r w:rsidR="001739D0">
        <w:rPr>
          <w:lang w:eastAsia="en-US"/>
        </w:rPr>
        <w:t>.</w:t>
      </w:r>
    </w:p>
    <w:p w14:paraId="1B49D284" w14:textId="342DE293" w:rsidR="00E6232E" w:rsidRPr="004058C0" w:rsidRDefault="00E6232E" w:rsidP="006F481E">
      <w:pPr>
        <w:pStyle w:val="Heading2NoNumbers"/>
        <w:rPr>
          <w:color w:val="008675"/>
        </w:rPr>
      </w:pPr>
      <w:bookmarkStart w:id="586" w:name="_10.3_Outcomes_and"/>
      <w:bookmarkStart w:id="587" w:name="_Toc80884712"/>
      <w:bookmarkStart w:id="588" w:name="_Toc84925839"/>
      <w:bookmarkStart w:id="589" w:name="_Toc86070053"/>
      <w:bookmarkStart w:id="590" w:name="_Toc149740360"/>
      <w:bookmarkEnd w:id="586"/>
      <w:r w:rsidRPr="004058C0">
        <w:rPr>
          <w:color w:val="008675"/>
        </w:rPr>
        <w:t>10.</w:t>
      </w:r>
      <w:r w:rsidR="006F481E" w:rsidRPr="004058C0">
        <w:rPr>
          <w:color w:val="008675"/>
        </w:rPr>
        <w:t>3</w:t>
      </w:r>
      <w:r w:rsidR="00655E28" w:rsidRPr="004058C0">
        <w:rPr>
          <w:color w:val="008675"/>
        </w:rPr>
        <w:t xml:space="preserve"> </w:t>
      </w:r>
      <w:r w:rsidRPr="004058C0">
        <w:rPr>
          <w:color w:val="008675"/>
        </w:rPr>
        <w:t xml:space="preserve">Outcomes and </w:t>
      </w:r>
      <w:r w:rsidR="00655E28" w:rsidRPr="004058C0">
        <w:rPr>
          <w:color w:val="008675"/>
        </w:rPr>
        <w:t>t</w:t>
      </w:r>
      <w:r w:rsidRPr="004058C0">
        <w:rPr>
          <w:color w:val="008675"/>
        </w:rPr>
        <w:t xml:space="preserve">hemes of </w:t>
      </w:r>
      <w:r w:rsidR="00655E28" w:rsidRPr="004058C0">
        <w:rPr>
          <w:color w:val="008675"/>
        </w:rPr>
        <w:t>c</w:t>
      </w:r>
      <w:r w:rsidRPr="004058C0">
        <w:rPr>
          <w:color w:val="008675"/>
        </w:rPr>
        <w:t xml:space="preserve">onsultation to </w:t>
      </w:r>
      <w:r w:rsidR="00655E28" w:rsidRPr="004058C0">
        <w:rPr>
          <w:color w:val="008675"/>
        </w:rPr>
        <w:t>d</w:t>
      </w:r>
      <w:r w:rsidRPr="004058C0">
        <w:rPr>
          <w:color w:val="008675"/>
        </w:rPr>
        <w:t>ate</w:t>
      </w:r>
      <w:bookmarkEnd w:id="587"/>
      <w:bookmarkEnd w:id="588"/>
      <w:bookmarkEnd w:id="589"/>
      <w:bookmarkEnd w:id="590"/>
    </w:p>
    <w:p w14:paraId="570CDBAD" w14:textId="6F404D7C" w:rsidR="00964CA1" w:rsidRDefault="00964CA1" w:rsidP="001868B1">
      <w:pPr>
        <w:pStyle w:val="BodyText"/>
        <w:rPr>
          <w:lang w:eastAsia="en-US"/>
        </w:rPr>
      </w:pPr>
      <w:r w:rsidRPr="00D44FE0">
        <w:rPr>
          <w:lang w:eastAsia="en-US"/>
        </w:rPr>
        <w:t>This</w:t>
      </w:r>
      <w:r w:rsidRPr="00D44FE0" w:rsidDel="00F65C0E">
        <w:rPr>
          <w:lang w:eastAsia="en-US"/>
        </w:rPr>
        <w:t xml:space="preserve"> </w:t>
      </w:r>
      <w:r w:rsidR="00F65C0E">
        <w:rPr>
          <w:lang w:eastAsia="en-US"/>
        </w:rPr>
        <w:t>s</w:t>
      </w:r>
      <w:r w:rsidR="00F65C0E" w:rsidRPr="00D44FE0">
        <w:rPr>
          <w:lang w:eastAsia="en-US"/>
        </w:rPr>
        <w:t xml:space="preserve">ection </w:t>
      </w:r>
      <w:r w:rsidRPr="00D44FE0">
        <w:rPr>
          <w:lang w:eastAsia="en-US"/>
        </w:rPr>
        <w:t>provides a summary of outcomes and themes of consultation feedback</w:t>
      </w:r>
      <w:r w:rsidR="00F24AE0" w:rsidRPr="00D44FE0">
        <w:rPr>
          <w:lang w:eastAsia="en-US"/>
        </w:rPr>
        <w:t>,</w:t>
      </w:r>
      <w:r w:rsidRPr="00D44FE0">
        <w:rPr>
          <w:lang w:eastAsia="en-US"/>
        </w:rPr>
        <w:t xml:space="preserve"> by stakeholder segment</w:t>
      </w:r>
      <w:r w:rsidR="00F24AE0" w:rsidRPr="00D44FE0">
        <w:rPr>
          <w:lang w:eastAsia="en-US"/>
        </w:rPr>
        <w:t xml:space="preserve"> and consultation round. </w:t>
      </w:r>
      <w:r w:rsidRPr="00D44FE0">
        <w:rPr>
          <w:lang w:eastAsia="en-US"/>
        </w:rPr>
        <w:t xml:space="preserve">The below draws out broad themes for discussion and analysis purposes, however it is important to understand that the </w:t>
      </w:r>
      <w:r w:rsidRPr="00D44FE0">
        <w:rPr>
          <w:lang w:eastAsia="en-US"/>
        </w:rPr>
        <w:lastRenderedPageBreak/>
        <w:t>Program has received a significant quantity of diverse feedback over many years across a spectrum of stakeholders. Whilst best efforts have been made to accurately describe this feedback at a broad level, there are inherent limitations in generalising or attributing discrete sentiments or themes to what has consistently been very nuanced feedback on a complex issue.</w:t>
      </w:r>
      <w:r>
        <w:rPr>
          <w:lang w:eastAsia="en-US"/>
        </w:rPr>
        <w:t xml:space="preserve"> </w:t>
      </w:r>
    </w:p>
    <w:p w14:paraId="33E0999C" w14:textId="19C38CE3" w:rsidR="003C5AAF" w:rsidRDefault="00E6232E" w:rsidP="00972A94">
      <w:pPr>
        <w:pStyle w:val="BodyText"/>
        <w:rPr>
          <w:lang w:eastAsia="en-US"/>
        </w:rPr>
      </w:pPr>
      <w:r w:rsidRPr="009D0AB4">
        <w:rPr>
          <w:lang w:eastAsia="en-US"/>
        </w:rPr>
        <w:t xml:space="preserve">Each stage of consultation has directly influenced and shaped Program activity – both substantive decisions and planning the future consultation roadmap. </w:t>
      </w:r>
      <w:r w:rsidR="009114FE">
        <w:rPr>
          <w:lang w:eastAsia="en-US"/>
        </w:rPr>
        <w:t xml:space="preserve">For example, November – December 2020’s </w:t>
      </w:r>
      <w:r w:rsidR="00A52F54" w:rsidRPr="00F65C0E">
        <w:rPr>
          <w:color w:val="008675"/>
        </w:rPr>
        <w:t>public consultation paper</w:t>
      </w:r>
      <w:r w:rsidRPr="00F65C0E">
        <w:rPr>
          <w:color w:val="008675"/>
          <w:lang w:eastAsia="en-US"/>
        </w:rPr>
        <w:t xml:space="preserve"> </w:t>
      </w:r>
      <w:r w:rsidRPr="009D0AB4">
        <w:rPr>
          <w:lang w:eastAsia="en-US"/>
        </w:rPr>
        <w:t>round</w:t>
      </w:r>
      <w:r w:rsidR="009114FE">
        <w:rPr>
          <w:lang w:eastAsia="en-US"/>
        </w:rPr>
        <w:t xml:space="preserve"> </w:t>
      </w:r>
      <w:r w:rsidRPr="009D0AB4">
        <w:rPr>
          <w:lang w:eastAsia="en-US"/>
        </w:rPr>
        <w:t xml:space="preserve">elicited several high-level outcomes and themes across different stakeholder groups. These outcomes formed the focus of targeted consultations with critical stakeholders that occurred in early 2021. </w:t>
      </w:r>
      <w:r w:rsidR="00551D78">
        <w:rPr>
          <w:lang w:eastAsia="en-US"/>
        </w:rPr>
        <w:t>The</w:t>
      </w:r>
      <w:r w:rsidR="009114FE">
        <w:rPr>
          <w:lang w:eastAsia="en-US"/>
        </w:rPr>
        <w:t xml:space="preserve"> </w:t>
      </w:r>
      <w:r w:rsidRPr="009D0AB4">
        <w:rPr>
          <w:lang w:eastAsia="en-US"/>
        </w:rPr>
        <w:t xml:space="preserve">subsequent </w:t>
      </w:r>
      <w:r w:rsidR="00A52F54" w:rsidRPr="00D915C0">
        <w:t>position paper</w:t>
      </w:r>
      <w:r w:rsidRPr="009D0AB4">
        <w:rPr>
          <w:lang w:eastAsia="en-US"/>
        </w:rPr>
        <w:t xml:space="preserve"> highlighted areas where stakeholder input led to reconsideration of policy and regulatory positions.</w:t>
      </w:r>
      <w:r w:rsidR="00737BA2">
        <w:rPr>
          <w:lang w:eastAsia="en-US"/>
        </w:rPr>
        <w:t xml:space="preserve"> </w:t>
      </w:r>
      <w:r w:rsidRPr="009D0AB4">
        <w:rPr>
          <w:lang w:eastAsia="en-US"/>
        </w:rPr>
        <w:t xml:space="preserve">These changes in policy positions and other considerations </w:t>
      </w:r>
      <w:r w:rsidR="00806CB7">
        <w:rPr>
          <w:lang w:eastAsia="en-US"/>
        </w:rPr>
        <w:t>were</w:t>
      </w:r>
      <w:r w:rsidRPr="009D0AB4">
        <w:rPr>
          <w:lang w:eastAsia="en-US"/>
        </w:rPr>
        <w:t xml:space="preserve"> incorporated into the </w:t>
      </w:r>
      <w:r w:rsidR="00A52F54" w:rsidRPr="00D915C0">
        <w:t>exposure draft package</w:t>
      </w:r>
      <w:r w:rsidR="00311E43">
        <w:rPr>
          <w:lang w:eastAsia="en-US"/>
        </w:rPr>
        <w:t xml:space="preserve">, the </w:t>
      </w:r>
      <w:r w:rsidR="00806CB7">
        <w:rPr>
          <w:lang w:eastAsia="en-US"/>
        </w:rPr>
        <w:t xml:space="preserve">outcomes </w:t>
      </w:r>
      <w:r w:rsidR="00AA4263">
        <w:rPr>
          <w:lang w:eastAsia="en-US"/>
        </w:rPr>
        <w:t xml:space="preserve">of </w:t>
      </w:r>
      <w:r w:rsidR="00311E43">
        <w:rPr>
          <w:lang w:eastAsia="en-US"/>
        </w:rPr>
        <w:t xml:space="preserve">which </w:t>
      </w:r>
      <w:r w:rsidR="00AA4263">
        <w:rPr>
          <w:lang w:eastAsia="en-US"/>
        </w:rPr>
        <w:t xml:space="preserve">helped shape final policy positions </w:t>
      </w:r>
      <w:r w:rsidR="00E05E9C">
        <w:rPr>
          <w:lang w:eastAsia="en-US"/>
        </w:rPr>
        <w:t>in the Bill</w:t>
      </w:r>
      <w:r w:rsidR="0091659A">
        <w:rPr>
          <w:lang w:eastAsia="en-US"/>
        </w:rPr>
        <w:t xml:space="preserve">. </w:t>
      </w:r>
    </w:p>
    <w:p w14:paraId="27AB3E02" w14:textId="10E98902" w:rsidR="001E0146" w:rsidRPr="00D44FE0" w:rsidRDefault="001E0146" w:rsidP="001E0146">
      <w:pPr>
        <w:pStyle w:val="BodyText"/>
        <w:rPr>
          <w:lang w:eastAsia="en-US"/>
        </w:rPr>
      </w:pPr>
      <w:r>
        <w:rPr>
          <w:lang w:eastAsia="en-US"/>
        </w:rPr>
        <w:t xml:space="preserve">A </w:t>
      </w:r>
      <w:r w:rsidRPr="00D44FE0">
        <w:rPr>
          <w:lang w:eastAsia="en-US"/>
        </w:rPr>
        <w:t>Consultation RIS</w:t>
      </w:r>
      <w:r>
        <w:rPr>
          <w:lang w:eastAsia="en-US"/>
        </w:rPr>
        <w:t xml:space="preserve"> accompanied substantial public consultation</w:t>
      </w:r>
      <w:r w:rsidRPr="00D44FE0">
        <w:rPr>
          <w:lang w:eastAsia="en-US"/>
        </w:rPr>
        <w:t>,</w:t>
      </w:r>
      <w:r>
        <w:rPr>
          <w:lang w:eastAsia="en-US"/>
        </w:rPr>
        <w:t xml:space="preserve"> which</w:t>
      </w:r>
      <w:r w:rsidRPr="00D44FE0">
        <w:rPr>
          <w:lang w:eastAsia="en-US"/>
        </w:rPr>
        <w:t xml:space="preserve"> occurred over October 2021 and received seventy submissions which engaged deeply with one or more provisions of the legislative instruments, lodged by various industry and government stakeholders as well as by individuals. Of these seventy submissions, internal sentiment analysis by the </w:t>
      </w:r>
      <w:r>
        <w:rPr>
          <w:lang w:eastAsia="en-US"/>
        </w:rPr>
        <w:t>Australian Government</w:t>
      </w:r>
      <w:r w:rsidRPr="00D44FE0">
        <w:rPr>
          <w:lang w:eastAsia="en-US"/>
        </w:rPr>
        <w:t xml:space="preserve"> assessed 34</w:t>
      </w:r>
      <w:r w:rsidR="00D042CD">
        <w:rPr>
          <w:lang w:eastAsia="en-US"/>
        </w:rPr>
        <w:t xml:space="preserve"> per cent</w:t>
      </w:r>
      <w:r w:rsidRPr="00D44FE0">
        <w:rPr>
          <w:lang w:eastAsia="en-US"/>
        </w:rPr>
        <w:t xml:space="preserve"> of responses to be broadly positive, 40</w:t>
      </w:r>
      <w:r w:rsidR="00D042CD">
        <w:rPr>
          <w:lang w:eastAsia="en-US"/>
        </w:rPr>
        <w:t xml:space="preserve"> per cent</w:t>
      </w:r>
      <w:r w:rsidRPr="00D44FE0">
        <w:rPr>
          <w:lang w:eastAsia="en-US"/>
        </w:rPr>
        <w:t xml:space="preserve"> neutral and 26</w:t>
      </w:r>
      <w:r w:rsidR="00D042CD">
        <w:rPr>
          <w:lang w:eastAsia="en-US"/>
        </w:rPr>
        <w:t xml:space="preserve"> per cent</w:t>
      </w:r>
      <w:r w:rsidRPr="00D44FE0">
        <w:rPr>
          <w:lang w:eastAsia="en-US"/>
        </w:rPr>
        <w:t xml:space="preserve"> negative.</w:t>
      </w:r>
      <w:r>
        <w:rPr>
          <w:lang w:eastAsia="en-US"/>
        </w:rPr>
        <w:t xml:space="preserve"> </w:t>
      </w:r>
      <w:r w:rsidRPr="00D44FE0">
        <w:rPr>
          <w:lang w:eastAsia="en-US"/>
        </w:rPr>
        <w:t>The key stakeholder groups driving the 34</w:t>
      </w:r>
      <w:r w:rsidR="00D042CD">
        <w:rPr>
          <w:lang w:eastAsia="en-US"/>
        </w:rPr>
        <w:t xml:space="preserve"> per cent</w:t>
      </w:r>
      <w:r w:rsidRPr="00D44FE0">
        <w:rPr>
          <w:lang w:eastAsia="en-US"/>
        </w:rPr>
        <w:t xml:space="preserve"> of positive responses were private sector entities and industry associations, both expressing strong support for the introduction of the Bill, particularly the strengthened privacy and consumer protections. Some responses viewed the Bill (and Program more broadly) as a fundamental enabler of Australia's digital economy and expressed interest in future participation in the </w:t>
      </w:r>
      <w:r w:rsidR="00DF50AB">
        <w:rPr>
          <w:lang w:eastAsia="en-US"/>
        </w:rPr>
        <w:t xml:space="preserve">Digital ID </w:t>
      </w:r>
      <w:r w:rsidR="00DE40C9">
        <w:rPr>
          <w:lang w:eastAsia="en-US"/>
        </w:rPr>
        <w:t>s</w:t>
      </w:r>
      <w:r w:rsidR="00DE40C9" w:rsidRPr="00D44FE0">
        <w:rPr>
          <w:lang w:eastAsia="en-US"/>
        </w:rPr>
        <w:t>ystem</w:t>
      </w:r>
      <w:r w:rsidRPr="00D44FE0">
        <w:rPr>
          <w:lang w:eastAsia="en-US"/>
        </w:rPr>
        <w:t>.</w:t>
      </w:r>
    </w:p>
    <w:p w14:paraId="6F769662" w14:textId="3CEDDEC7" w:rsidR="001E0146" w:rsidRPr="00D44FE0" w:rsidRDefault="001E0146" w:rsidP="001E0146">
      <w:pPr>
        <w:pStyle w:val="BodyText"/>
        <w:rPr>
          <w:lang w:eastAsia="en-US"/>
        </w:rPr>
      </w:pPr>
      <w:r w:rsidRPr="00D44FE0">
        <w:rPr>
          <w:lang w:eastAsia="en-US"/>
        </w:rPr>
        <w:t>The key stakeholder groups driving the 26</w:t>
      </w:r>
      <w:r w:rsidR="005A0AAB">
        <w:rPr>
          <w:lang w:eastAsia="en-US"/>
        </w:rPr>
        <w:t xml:space="preserve"> per cent</w:t>
      </w:r>
      <w:r w:rsidRPr="00D44FE0">
        <w:rPr>
          <w:lang w:eastAsia="en-US"/>
        </w:rPr>
        <w:t xml:space="preserve"> of negative responses were industry associations, consumer groups, individuals and some private sector entities. These submissions brought forth questions particularly around the scope and complexity of the Bill, governance, law enforcement access and charging. These key themes and issues specific to the October 2021 exposure draft package public consultation, have been further detailed in Appendix D, along with details of the Programs' actions in response to each issue.</w:t>
      </w:r>
    </w:p>
    <w:p w14:paraId="33742EA1" w14:textId="77777777" w:rsidR="001E0146" w:rsidRPr="00465F3F" w:rsidRDefault="001E0146" w:rsidP="001E0146">
      <w:pPr>
        <w:pStyle w:val="BodyText"/>
        <w:rPr>
          <w:rFonts w:eastAsia="Calibri"/>
          <w:lang w:eastAsia="en-US"/>
        </w:rPr>
      </w:pPr>
      <w:r w:rsidRPr="00D44FE0">
        <w:rPr>
          <w:rFonts w:eastAsia="Calibri"/>
          <w:lang w:eastAsia="en-US"/>
        </w:rPr>
        <w:lastRenderedPageBreak/>
        <w:t>Over time, common themes have emerged in the feedback received from individuals, businesses, government and the broader community. Examples of these themes, and how they have been actively addressed by the Program, are summarised below. These are further described in table form in Appendix D, with detail on how stakeholders’ positions have evolved over time.</w:t>
      </w:r>
      <w:r w:rsidRPr="00465F3F">
        <w:rPr>
          <w:rFonts w:eastAsia="Calibri"/>
          <w:lang w:eastAsia="en-US"/>
        </w:rPr>
        <w:t xml:space="preserve"> </w:t>
      </w:r>
    </w:p>
    <w:p w14:paraId="0B2DA83D" w14:textId="12CBE22D" w:rsidR="001E0146" w:rsidRPr="00D44FE0" w:rsidRDefault="001E0146" w:rsidP="001E0146">
      <w:pPr>
        <w:pStyle w:val="BodyText"/>
        <w:numPr>
          <w:ilvl w:val="0"/>
          <w:numId w:val="18"/>
        </w:numPr>
        <w:rPr>
          <w:rFonts w:eastAsia="Calibri"/>
          <w:lang w:eastAsia="en-US"/>
        </w:rPr>
      </w:pPr>
      <w:r w:rsidRPr="00D44FE0">
        <w:rPr>
          <w:rFonts w:eastAsia="Calibri"/>
          <w:b/>
          <w:bCs/>
          <w:lang w:eastAsia="en-US"/>
        </w:rPr>
        <w:t>Individuals</w:t>
      </w:r>
      <w:r w:rsidRPr="00D44FE0">
        <w:rPr>
          <w:rFonts w:eastAsia="Calibri"/>
          <w:lang w:eastAsia="en-US"/>
        </w:rPr>
        <w:t xml:space="preserve"> - Input provided by informed individuals on regulation has generally indicated tentative positivity towards the </w:t>
      </w:r>
      <w:r w:rsidR="00DF50AB">
        <w:rPr>
          <w:rFonts w:eastAsia="Calibri"/>
          <w:lang w:eastAsia="en-US"/>
        </w:rPr>
        <w:t xml:space="preserve">Digital ID </w:t>
      </w:r>
      <w:r w:rsidRPr="00D44FE0">
        <w:rPr>
          <w:rFonts w:eastAsia="Calibri"/>
          <w:lang w:eastAsia="en-US"/>
        </w:rPr>
        <w:t>System and its potential benefits, with expressed hesitation on matters including privacy, safety, security and other consumer impacts.</w:t>
      </w:r>
      <w:r>
        <w:rPr>
          <w:rFonts w:eastAsia="Calibri"/>
          <w:lang w:eastAsia="en-US"/>
        </w:rPr>
        <w:t xml:space="preserve"> </w:t>
      </w:r>
      <w:r w:rsidRPr="00D44FE0">
        <w:rPr>
          <w:rFonts w:eastAsia="Calibri"/>
          <w:lang w:eastAsia="en-US"/>
        </w:rPr>
        <w:t xml:space="preserve">Over time, this has informed the regulatory approach of including more detailed, rather than lesser, safeguards and protections in the Bill (compared to earlier regulatory approaches explored that would address the barriers to legal authority to use the </w:t>
      </w:r>
      <w:r w:rsidR="00DF50AB">
        <w:rPr>
          <w:rFonts w:eastAsia="Calibri"/>
          <w:lang w:eastAsia="en-US"/>
        </w:rPr>
        <w:t xml:space="preserve">Digital ID </w:t>
      </w:r>
      <w:r w:rsidRPr="00D44FE0">
        <w:rPr>
          <w:rFonts w:eastAsia="Calibri"/>
          <w:lang w:eastAsia="en-US"/>
        </w:rPr>
        <w:t>System, without legally entrenching additional privacy, consumer and security concerns).</w:t>
      </w:r>
      <w:r>
        <w:rPr>
          <w:rFonts w:eastAsia="Calibri"/>
          <w:lang w:eastAsia="en-US"/>
        </w:rPr>
        <w:t xml:space="preserve"> </w:t>
      </w:r>
      <w:r w:rsidRPr="00D44FE0">
        <w:rPr>
          <w:rFonts w:eastAsia="Calibri"/>
          <w:lang w:eastAsia="en-US"/>
        </w:rPr>
        <w:t>The airing of concerns from individuals has also led to certain safeguards being built into legislation, rather than being delegated to subordinate instruments – such as a legislative guarantee of the system’s voluntariness.</w:t>
      </w:r>
      <w:r>
        <w:rPr>
          <w:rFonts w:eastAsia="Calibri"/>
          <w:lang w:eastAsia="en-US"/>
        </w:rPr>
        <w:t xml:space="preserve"> </w:t>
      </w:r>
    </w:p>
    <w:p w14:paraId="719BE627" w14:textId="68077E8C" w:rsidR="001E0146" w:rsidRPr="00D44FE0" w:rsidRDefault="001E0146" w:rsidP="001E0146">
      <w:pPr>
        <w:pStyle w:val="BodyText"/>
        <w:numPr>
          <w:ilvl w:val="0"/>
          <w:numId w:val="18"/>
        </w:numPr>
        <w:rPr>
          <w:rFonts w:eastAsia="Calibri"/>
          <w:lang w:eastAsia="en-US"/>
        </w:rPr>
      </w:pPr>
      <w:r w:rsidRPr="00D44FE0">
        <w:rPr>
          <w:rFonts w:eastAsia="Calibri"/>
          <w:b/>
          <w:bCs/>
          <w:lang w:eastAsia="en-US"/>
        </w:rPr>
        <w:t>Businesses</w:t>
      </w:r>
      <w:r w:rsidRPr="00D44FE0">
        <w:rPr>
          <w:rFonts w:eastAsia="Calibri"/>
          <w:lang w:eastAsia="en-US"/>
        </w:rPr>
        <w:t xml:space="preserve"> - Whilst broadly supportive of a whole-of-economy </w:t>
      </w:r>
      <w:r w:rsidR="00DF50AB">
        <w:rPr>
          <w:rFonts w:eastAsia="Calibri"/>
          <w:lang w:eastAsia="en-US"/>
        </w:rPr>
        <w:t xml:space="preserve">Digital ID </w:t>
      </w:r>
      <w:r w:rsidR="002B0917">
        <w:rPr>
          <w:rFonts w:eastAsia="Calibri"/>
          <w:lang w:eastAsia="en-US"/>
        </w:rPr>
        <w:t>s</w:t>
      </w:r>
      <w:r w:rsidR="002B0917" w:rsidRPr="00D44FE0">
        <w:rPr>
          <w:rFonts w:eastAsia="Calibri"/>
          <w:lang w:eastAsia="en-US"/>
        </w:rPr>
        <w:t>ystem</w:t>
      </w:r>
      <w:r w:rsidRPr="00D44FE0">
        <w:rPr>
          <w:rFonts w:eastAsia="Calibri"/>
          <w:lang w:eastAsia="en-US"/>
        </w:rPr>
        <w:t xml:space="preserve">, feedback from the business community initially focused upon seeking clarity on the scope and application of </w:t>
      </w:r>
      <w:r w:rsidR="0020472B">
        <w:rPr>
          <w:rFonts w:eastAsia="Calibri"/>
          <w:lang w:eastAsia="en-US"/>
        </w:rPr>
        <w:t>a</w:t>
      </w:r>
      <w:r w:rsidR="0020472B" w:rsidRPr="00D44FE0">
        <w:rPr>
          <w:rFonts w:eastAsia="Calibri"/>
          <w:lang w:eastAsia="en-US"/>
        </w:rPr>
        <w:t xml:space="preserve"> </w:t>
      </w:r>
      <w:r w:rsidR="00DF50AB">
        <w:rPr>
          <w:rFonts w:eastAsia="Calibri"/>
          <w:lang w:eastAsia="en-US"/>
        </w:rPr>
        <w:t xml:space="preserve">Digital ID </w:t>
      </w:r>
      <w:r w:rsidR="0020472B">
        <w:rPr>
          <w:rFonts w:eastAsia="Calibri"/>
          <w:lang w:eastAsia="en-US"/>
        </w:rPr>
        <w:t>s</w:t>
      </w:r>
      <w:r w:rsidR="0020472B" w:rsidRPr="00D44FE0">
        <w:rPr>
          <w:rFonts w:eastAsia="Calibri"/>
          <w:lang w:eastAsia="en-US"/>
        </w:rPr>
        <w:t>ystem</w:t>
      </w:r>
      <w:r w:rsidRPr="00D44FE0">
        <w:rPr>
          <w:rFonts w:eastAsia="Calibri"/>
          <w:lang w:eastAsia="en-US"/>
        </w:rPr>
        <w:t>, as well as its interoperability with other existing (current and future) systems and regulation. The decision to enshrine two alternative forms of participation in the legislation with different levels of regulation (accreditation and system onboarding) was taken in direct response to this feedback.</w:t>
      </w:r>
      <w:r>
        <w:rPr>
          <w:rFonts w:eastAsia="Calibri"/>
          <w:lang w:eastAsia="en-US"/>
        </w:rPr>
        <w:t xml:space="preserve"> </w:t>
      </w:r>
      <w:r w:rsidRPr="00D44FE0">
        <w:rPr>
          <w:rFonts w:eastAsia="Calibri"/>
          <w:lang w:eastAsia="en-US"/>
        </w:rPr>
        <w:t>The private sector now has two options for involvement with appropriately tailored regulatory requirements.</w:t>
      </w:r>
      <w:r>
        <w:rPr>
          <w:rFonts w:eastAsia="Calibri"/>
          <w:lang w:eastAsia="en-US"/>
        </w:rPr>
        <w:t xml:space="preserve"> </w:t>
      </w:r>
      <w:r w:rsidRPr="00D44FE0">
        <w:rPr>
          <w:rFonts w:eastAsia="Calibri"/>
          <w:lang w:eastAsia="en-US"/>
        </w:rPr>
        <w:t>Dialogue between the Program and the business community, particularly those in relatively highly regulated sectors such as financial services and telecommunications, has also focused on alignment with other existing regulatory schemes in areas including privacy and anti-money laundering and counter-terrorism financing regulation.</w:t>
      </w:r>
      <w:r>
        <w:rPr>
          <w:rFonts w:eastAsia="Calibri"/>
          <w:lang w:eastAsia="en-US"/>
        </w:rPr>
        <w:t xml:space="preserve"> </w:t>
      </w:r>
      <w:r w:rsidRPr="00D44FE0">
        <w:rPr>
          <w:rFonts w:eastAsia="Calibri"/>
          <w:lang w:eastAsia="en-US"/>
        </w:rPr>
        <w:t xml:space="preserve">This has been considered and incorporated in the regulatory scheme’s leveraging of existing regulatory schemes where possible to mitigate regulatory impact, as discussed above in Section 5.3.1. Another common theme amongst the business community since early consultations on potential regulation of the system has been in relation to the charging framework. This feedback, and business’ emphasizing the need for certainty yet flexibility, informed the regulatory </w:t>
      </w:r>
      <w:r w:rsidRPr="00D44FE0">
        <w:rPr>
          <w:rFonts w:eastAsia="Calibri"/>
          <w:lang w:eastAsia="en-US"/>
        </w:rPr>
        <w:lastRenderedPageBreak/>
        <w:t>approach of including principles in the Bill setting broad parameters for the framework’s operation (for example, ensuring legislative enshrinement of important principles such as the citizen not having to pay to participate), but leaving specific details to be determined through subordinate instruments.</w:t>
      </w:r>
    </w:p>
    <w:p w14:paraId="04D956A4" w14:textId="700E73A5" w:rsidR="001E0146" w:rsidRPr="00C6091B" w:rsidRDefault="001E0146" w:rsidP="00C6091B">
      <w:pPr>
        <w:pStyle w:val="BodyText"/>
        <w:numPr>
          <w:ilvl w:val="0"/>
          <w:numId w:val="18"/>
        </w:numPr>
        <w:rPr>
          <w:rFonts w:eastAsia="Calibri"/>
          <w:lang w:eastAsia="en-US"/>
        </w:rPr>
      </w:pPr>
      <w:r w:rsidRPr="00D44FE0">
        <w:rPr>
          <w:rFonts w:eastAsia="Calibri"/>
          <w:b/>
          <w:bCs/>
          <w:lang w:eastAsia="en-US"/>
        </w:rPr>
        <w:t xml:space="preserve">Government </w:t>
      </w:r>
      <w:r w:rsidRPr="00D44FE0">
        <w:rPr>
          <w:rFonts w:eastAsia="Calibri"/>
          <w:lang w:eastAsia="en-US"/>
        </w:rPr>
        <w:t xml:space="preserve">- Dialogue with state, territory and Australian Government agencies has occurred in various contexts and on a range of topics including participation in </w:t>
      </w:r>
      <w:r w:rsidR="00B876ED">
        <w:rPr>
          <w:rFonts w:eastAsia="Calibri"/>
          <w:lang w:eastAsia="en-US"/>
        </w:rPr>
        <w:t>AGDIS</w:t>
      </w:r>
      <w:r w:rsidR="006D3AB9" w:rsidRPr="00D44FE0">
        <w:rPr>
          <w:rFonts w:eastAsia="Calibri"/>
          <w:lang w:eastAsia="en-US"/>
        </w:rPr>
        <w:t xml:space="preserve"> </w:t>
      </w:r>
      <w:r w:rsidRPr="00D44FE0">
        <w:rPr>
          <w:rFonts w:eastAsia="Calibri"/>
          <w:lang w:eastAsia="en-US"/>
        </w:rPr>
        <w:t xml:space="preserve">and proposed regulation. At all levels of government, common themes that have emerged in this dialogue concern alignment with existing regulatory regimes, particularly those at a </w:t>
      </w:r>
      <w:r w:rsidR="00B876ED">
        <w:rPr>
          <w:rFonts w:eastAsia="Calibri"/>
          <w:lang w:eastAsia="en-US"/>
        </w:rPr>
        <w:t>s</w:t>
      </w:r>
      <w:r w:rsidR="00B876ED" w:rsidRPr="00D44FE0">
        <w:rPr>
          <w:rFonts w:eastAsia="Calibri"/>
          <w:lang w:eastAsia="en-US"/>
        </w:rPr>
        <w:t xml:space="preserve">tate </w:t>
      </w:r>
      <w:r w:rsidRPr="00D44FE0">
        <w:rPr>
          <w:rFonts w:eastAsia="Calibri"/>
          <w:lang w:eastAsia="en-US"/>
        </w:rPr>
        <w:t>or</w:t>
      </w:r>
      <w:r w:rsidRPr="00D44FE0" w:rsidDel="00B876ED">
        <w:rPr>
          <w:rFonts w:eastAsia="Calibri"/>
          <w:lang w:eastAsia="en-US"/>
        </w:rPr>
        <w:t xml:space="preserve"> </w:t>
      </w:r>
      <w:r w:rsidR="00B876ED">
        <w:rPr>
          <w:rFonts w:eastAsia="Calibri"/>
          <w:lang w:eastAsia="en-US"/>
        </w:rPr>
        <w:t>t</w:t>
      </w:r>
      <w:r w:rsidR="00B876ED" w:rsidRPr="00D44FE0">
        <w:rPr>
          <w:rFonts w:eastAsia="Calibri"/>
          <w:lang w:eastAsia="en-US"/>
        </w:rPr>
        <w:t xml:space="preserve">erritory </w:t>
      </w:r>
      <w:r w:rsidRPr="00D44FE0">
        <w:rPr>
          <w:rFonts w:eastAsia="Calibri"/>
          <w:lang w:eastAsia="en-US"/>
        </w:rPr>
        <w:t>level, with the legislation being modified to contain appropriate exemptions for state / territory entities which already meet a similar level of privacy protection to Commonwealth privacy standards. In addition, for agencies with a law</w:t>
      </w:r>
      <w:r w:rsidR="007D2480">
        <w:rPr>
          <w:rFonts w:eastAsia="Calibri"/>
          <w:lang w:eastAsia="en-US"/>
        </w:rPr>
        <w:t xml:space="preserve"> </w:t>
      </w:r>
      <w:r w:rsidRPr="00D44FE0">
        <w:rPr>
          <w:rFonts w:eastAsia="Calibri"/>
          <w:lang w:eastAsia="en-US"/>
        </w:rPr>
        <w:t xml:space="preserve">enforcement function, another consistent theme has been the extent to which law enforcement agencies can access and use information within </w:t>
      </w:r>
      <w:r w:rsidR="00B876ED">
        <w:rPr>
          <w:rFonts w:eastAsia="Calibri"/>
          <w:lang w:eastAsia="en-US"/>
        </w:rPr>
        <w:t>AGDIS</w:t>
      </w:r>
      <w:r w:rsidRPr="00D44FE0">
        <w:rPr>
          <w:rFonts w:eastAsia="Calibri"/>
          <w:lang w:eastAsia="en-US"/>
        </w:rPr>
        <w:t>. The final policy positions on this issue, as reflected in the Bill, seek to achieve a balance between providing access to law enforcement in narrow, clearly defined circumstances, and recognising the importance of restricting the use of particularly sensitive information, in order to protect user privacy (for example,</w:t>
      </w:r>
      <w:r w:rsidR="00C6091B">
        <w:rPr>
          <w:rFonts w:eastAsia="Calibri"/>
          <w:lang w:eastAsia="en-US"/>
        </w:rPr>
        <w:t xml:space="preserve"> </w:t>
      </w:r>
      <w:r w:rsidR="00C6091B" w:rsidRPr="00C6091B">
        <w:rPr>
          <w:rFonts w:eastAsia="Calibri"/>
          <w:lang w:eastAsia="en-US"/>
        </w:rPr>
        <w:t>biometric information may only be disclosed to law enforcement with consent or a</w:t>
      </w:r>
      <w:r w:rsidR="00C6091B">
        <w:rPr>
          <w:rFonts w:eastAsia="Calibri"/>
          <w:lang w:eastAsia="en-US"/>
        </w:rPr>
        <w:t xml:space="preserve"> </w:t>
      </w:r>
      <w:r w:rsidR="00C6091B" w:rsidRPr="00C6091B">
        <w:rPr>
          <w:rFonts w:eastAsia="Calibri"/>
          <w:lang w:eastAsia="en-US"/>
        </w:rPr>
        <w:t>warrant</w:t>
      </w:r>
      <w:r w:rsidR="00C6091B">
        <w:rPr>
          <w:rFonts w:eastAsia="Calibri"/>
          <w:lang w:eastAsia="en-US"/>
        </w:rPr>
        <w:t>)</w:t>
      </w:r>
      <w:r w:rsidRPr="00C6091B">
        <w:rPr>
          <w:rFonts w:eastAsia="Calibri"/>
          <w:lang w:eastAsia="en-US"/>
        </w:rPr>
        <w:t xml:space="preserve"> </w:t>
      </w:r>
    </w:p>
    <w:p w14:paraId="20DD776B" w14:textId="77777777" w:rsidR="001E0146" w:rsidRPr="00D44FE0" w:rsidRDefault="001E0146" w:rsidP="001E0146">
      <w:pPr>
        <w:pStyle w:val="BodyText"/>
        <w:numPr>
          <w:ilvl w:val="0"/>
          <w:numId w:val="18"/>
        </w:numPr>
        <w:rPr>
          <w:rFonts w:eastAsia="Calibri"/>
          <w:lang w:eastAsia="en-US"/>
        </w:rPr>
      </w:pPr>
      <w:r w:rsidRPr="00D44FE0">
        <w:rPr>
          <w:rFonts w:eastAsia="Calibri"/>
          <w:b/>
          <w:bCs/>
          <w:lang w:eastAsia="en-US"/>
        </w:rPr>
        <w:t>Community</w:t>
      </w:r>
      <w:r w:rsidRPr="00D44FE0">
        <w:rPr>
          <w:rFonts w:eastAsia="Calibri"/>
          <w:lang w:eastAsia="en-US"/>
        </w:rPr>
        <w:t xml:space="preserve"> – Community feedback received by the Program has been received both from non-government organisations, as well as various special interest and consumer representative groups. Through these groups, concerns regarding the practicalities of enforcing this voluntariness protection have been raised. The Program continues to liaise closely with the Australian Human Rights Commission (AHRC), the National Children Commissioner and the Attorney-General’s Department, in order to address these concerns.</w:t>
      </w:r>
    </w:p>
    <w:p w14:paraId="780D0CA6" w14:textId="751231DC" w:rsidR="001E0146" w:rsidRDefault="001E0146" w:rsidP="00972A94">
      <w:pPr>
        <w:pStyle w:val="BodyText"/>
        <w:rPr>
          <w:rFonts w:eastAsia="Calibri"/>
          <w:lang w:eastAsia="en-US"/>
        </w:rPr>
      </w:pPr>
      <w:r w:rsidRPr="00D44FE0">
        <w:rPr>
          <w:rFonts w:eastAsia="Calibri"/>
          <w:lang w:eastAsia="en-US"/>
        </w:rPr>
        <w:t xml:space="preserve">In addition to the above actions taken in response to specific feedback themes raised by individuals, business, government and the community, the Program has also used feedback received across all sectors to identify common areas of misunderstanding regarding </w:t>
      </w:r>
      <w:r w:rsidR="00B876ED">
        <w:rPr>
          <w:rFonts w:eastAsia="Calibri"/>
          <w:lang w:eastAsia="en-US"/>
        </w:rPr>
        <w:t>Australia’s</w:t>
      </w:r>
      <w:r w:rsidR="00B876ED" w:rsidRPr="00D44FE0">
        <w:rPr>
          <w:rFonts w:eastAsia="Calibri"/>
          <w:lang w:eastAsia="en-US"/>
        </w:rPr>
        <w:t xml:space="preserve"> </w:t>
      </w:r>
      <w:r w:rsidR="00DF50AB">
        <w:rPr>
          <w:rFonts w:eastAsia="Calibri"/>
          <w:lang w:eastAsia="en-US"/>
        </w:rPr>
        <w:t xml:space="preserve">Digital ID </w:t>
      </w:r>
      <w:r w:rsidRPr="00D44FE0">
        <w:rPr>
          <w:rFonts w:eastAsia="Calibri"/>
          <w:lang w:eastAsia="en-US"/>
        </w:rPr>
        <w:t xml:space="preserve">System and its regulation. This will continue to inform the Program’s ongoing communications and education strategy in relation to </w:t>
      </w:r>
      <w:r w:rsidR="00B876ED">
        <w:rPr>
          <w:rFonts w:eastAsia="Calibri"/>
          <w:lang w:eastAsia="en-US"/>
        </w:rPr>
        <w:t>Australia’s</w:t>
      </w:r>
      <w:r w:rsidR="00B876ED" w:rsidRPr="00D44FE0">
        <w:rPr>
          <w:rFonts w:eastAsia="Calibri"/>
          <w:lang w:eastAsia="en-US"/>
        </w:rPr>
        <w:t xml:space="preserve"> </w:t>
      </w:r>
      <w:r w:rsidR="00DF50AB">
        <w:rPr>
          <w:rFonts w:eastAsia="Calibri"/>
          <w:lang w:eastAsia="en-US"/>
        </w:rPr>
        <w:t xml:space="preserve">Digital ID </w:t>
      </w:r>
      <w:r w:rsidRPr="00D44FE0">
        <w:rPr>
          <w:rFonts w:eastAsia="Calibri"/>
          <w:lang w:eastAsia="en-US"/>
        </w:rPr>
        <w:t>System, which will run alongside and supplement the ongoing consultation on future regulation described below.</w:t>
      </w:r>
    </w:p>
    <w:p w14:paraId="5FEC610F" w14:textId="7920AAAB" w:rsidR="005A6E12" w:rsidRPr="001E0146" w:rsidRDefault="005A6E12" w:rsidP="00972A94">
      <w:pPr>
        <w:pStyle w:val="BodyText"/>
        <w:rPr>
          <w:rFonts w:eastAsia="Calibri"/>
          <w:lang w:eastAsia="en-US"/>
        </w:rPr>
      </w:pPr>
      <w:r>
        <w:rPr>
          <w:rStyle w:val="ui-provider"/>
        </w:rPr>
        <w:lastRenderedPageBreak/>
        <w:t>The consultation held in late 2023 has led to changes to the Bill, and the associated rules to reflect privacy, to reflect changes to governance and a range of smaller changes to improve the Bill.</w:t>
      </w:r>
    </w:p>
    <w:p w14:paraId="048FA3AE" w14:textId="77777777" w:rsidR="00B55C69" w:rsidRPr="00D43087" w:rsidRDefault="00B55C69" w:rsidP="00B55C69">
      <w:pPr>
        <w:pStyle w:val="Heading2NoNumbers"/>
        <w:rPr>
          <w:color w:val="008675"/>
          <w:lang w:eastAsia="en-US"/>
        </w:rPr>
      </w:pPr>
      <w:bookmarkStart w:id="591" w:name="_Toc149740361"/>
      <w:r w:rsidRPr="00D43087">
        <w:rPr>
          <w:color w:val="008675"/>
          <w:lang w:eastAsia="en-US"/>
        </w:rPr>
        <w:t>10.4 Ongoing consultation</w:t>
      </w:r>
      <w:bookmarkEnd w:id="591"/>
    </w:p>
    <w:p w14:paraId="373651B7" w14:textId="6A5D5221" w:rsidR="0090783B" w:rsidRPr="00A60647" w:rsidRDefault="00B55C69" w:rsidP="001D0ABE">
      <w:pPr>
        <w:pStyle w:val="BodyText"/>
        <w:rPr>
          <w:lang w:eastAsia="en-US"/>
        </w:rPr>
        <w:sectPr w:rsidR="0090783B" w:rsidRPr="00A60647" w:rsidSect="001D0ABE">
          <w:footerReference w:type="even" r:id="rId92"/>
          <w:footerReference w:type="default" r:id="rId93"/>
          <w:pgSz w:w="11907" w:h="16840" w:code="9"/>
          <w:pgMar w:top="1418" w:right="1418" w:bottom="1418" w:left="1418" w:header="567" w:footer="340" w:gutter="0"/>
          <w:cols w:space="720"/>
          <w:docGrid w:linePitch="326"/>
        </w:sectPr>
      </w:pPr>
      <w:r w:rsidRPr="009C6DC3">
        <w:rPr>
          <w:lang w:eastAsia="en-US"/>
        </w:rPr>
        <w:t xml:space="preserve">Even after the </w:t>
      </w:r>
      <w:r w:rsidRPr="00986346">
        <w:rPr>
          <w:lang w:eastAsia="en-US"/>
        </w:rPr>
        <w:t>Bill</w:t>
      </w:r>
      <w:r w:rsidRPr="00F15A5B">
        <w:rPr>
          <w:lang w:eastAsia="en-US"/>
        </w:rPr>
        <w:t xml:space="preserve"> </w:t>
      </w:r>
      <w:r w:rsidRPr="009C6DC3">
        <w:rPr>
          <w:lang w:eastAsia="en-US"/>
        </w:rPr>
        <w:t>become</w:t>
      </w:r>
      <w:r w:rsidRPr="00986346">
        <w:rPr>
          <w:lang w:eastAsia="en-US"/>
        </w:rPr>
        <w:t>s</w:t>
      </w:r>
      <w:r w:rsidRPr="00F15A5B">
        <w:rPr>
          <w:lang w:eastAsia="en-US"/>
        </w:rPr>
        <w:t xml:space="preserve"> law, it is not envisaged that consultation and its regulation</w:t>
      </w:r>
      <w:r>
        <w:rPr>
          <w:lang w:eastAsia="en-US"/>
        </w:rPr>
        <w:t xml:space="preserve"> would cease</w:t>
      </w:r>
      <w:r w:rsidRPr="00F15A5B">
        <w:rPr>
          <w:lang w:eastAsia="en-US"/>
        </w:rPr>
        <w:t>. The Bill mandates consultation for any legislative instrumen</w:t>
      </w:r>
      <w:r w:rsidRPr="009C6DC3">
        <w:rPr>
          <w:lang w:eastAsia="en-US"/>
        </w:rPr>
        <w:t xml:space="preserve">ts issued in the future (beyond the baseline level of consultation on any legislative instrument required by the </w:t>
      </w:r>
      <w:r w:rsidRPr="009C6DC3">
        <w:rPr>
          <w:i/>
          <w:iCs/>
          <w:lang w:eastAsia="en-US"/>
        </w:rPr>
        <w:t xml:space="preserve">Legislation Act 2003 </w:t>
      </w:r>
      <w:r w:rsidRPr="009C6DC3">
        <w:rPr>
          <w:lang w:eastAsia="en-US"/>
        </w:rPr>
        <w:t>(</w:t>
      </w:r>
      <w:proofErr w:type="spellStart"/>
      <w:r w:rsidRPr="009C6DC3">
        <w:rPr>
          <w:lang w:eastAsia="en-US"/>
        </w:rPr>
        <w:t>Cth</w:t>
      </w:r>
      <w:proofErr w:type="spellEnd"/>
      <w:r w:rsidRPr="009C6DC3">
        <w:rPr>
          <w:lang w:eastAsia="en-US"/>
        </w:rPr>
        <w:t>)). Additional consultation obligations, including a public notice process, are also mandated before additional TDIF accreditation rules and data standards</w:t>
      </w:r>
      <w:r>
        <w:rPr>
          <w:lang w:eastAsia="en-US"/>
        </w:rPr>
        <w:t xml:space="preserve"> are made</w:t>
      </w:r>
      <w:r w:rsidRPr="009C6DC3">
        <w:rPr>
          <w:lang w:eastAsia="en-US"/>
        </w:rPr>
        <w:t xml:space="preserve">. These proposed legislative measures ensure stakeholder views will continue to be considered and incorporated </w:t>
      </w:r>
      <w:r w:rsidR="007D7A9B">
        <w:rPr>
          <w:lang w:eastAsia="en-US"/>
        </w:rPr>
        <w:t xml:space="preserve">into the </w:t>
      </w:r>
      <w:r w:rsidRPr="009C6DC3">
        <w:rPr>
          <w:lang w:eastAsia="en-US"/>
        </w:rPr>
        <w:t xml:space="preserve">regulatory regime as it evolves in the </w:t>
      </w:r>
      <w:r w:rsidR="00D927F4" w:rsidRPr="009C6DC3">
        <w:rPr>
          <w:lang w:eastAsia="en-US"/>
        </w:rPr>
        <w:t>future</w:t>
      </w:r>
      <w:r w:rsidR="00D927F4">
        <w:rPr>
          <w:lang w:eastAsia="en-US"/>
        </w:rPr>
        <w:t xml:space="preserve"> and</w:t>
      </w:r>
      <w:r w:rsidR="005A6E12">
        <w:rPr>
          <w:lang w:eastAsia="en-US"/>
        </w:rPr>
        <w:t xml:space="preserve"> will take allow changes to be made to reflect outcomes of future evaluation activity, and recommendations from regulators and stakeholders.</w:t>
      </w:r>
    </w:p>
    <w:p w14:paraId="21FADB19" w14:textId="1EB20465" w:rsidR="00E6232E" w:rsidRPr="00D43087" w:rsidRDefault="00E6232E" w:rsidP="003C5CA3">
      <w:pPr>
        <w:pStyle w:val="Heading1NoNumbers"/>
        <w:rPr>
          <w:color w:val="008675"/>
          <w:lang w:eastAsia="en-US"/>
        </w:rPr>
      </w:pPr>
      <w:bookmarkStart w:id="593" w:name="_11_Best_Option"/>
      <w:bookmarkStart w:id="594" w:name="_Ref65505558"/>
      <w:bookmarkStart w:id="595" w:name="_Toc80884714"/>
      <w:bookmarkStart w:id="596" w:name="_Toc81226653"/>
      <w:bookmarkStart w:id="597" w:name="_Toc81226672"/>
      <w:bookmarkStart w:id="598" w:name="_Toc81226929"/>
      <w:bookmarkStart w:id="599" w:name="_Toc81228273"/>
      <w:bookmarkStart w:id="600" w:name="_Toc83951216"/>
      <w:bookmarkStart w:id="601" w:name="_Toc84925841"/>
      <w:bookmarkStart w:id="602" w:name="_Toc84925914"/>
      <w:bookmarkStart w:id="603" w:name="_Toc86045158"/>
      <w:bookmarkStart w:id="604" w:name="_Toc86070055"/>
      <w:bookmarkStart w:id="605" w:name="_Toc149740362"/>
      <w:bookmarkEnd w:id="593"/>
      <w:r w:rsidRPr="00D43087">
        <w:rPr>
          <w:color w:val="008675"/>
          <w:lang w:eastAsia="en-US"/>
        </w:rPr>
        <w:lastRenderedPageBreak/>
        <w:t xml:space="preserve">11 Best </w:t>
      </w:r>
      <w:r w:rsidR="00AE1804" w:rsidRPr="00D43087">
        <w:rPr>
          <w:color w:val="008675"/>
          <w:lang w:eastAsia="en-US"/>
        </w:rPr>
        <w:t>o</w:t>
      </w:r>
      <w:r w:rsidRPr="00D43087">
        <w:rPr>
          <w:color w:val="008675"/>
          <w:lang w:eastAsia="en-US"/>
        </w:rPr>
        <w:t xml:space="preserve">ption from those </w:t>
      </w:r>
      <w:r w:rsidR="00AE1804" w:rsidRPr="00D43087">
        <w:rPr>
          <w:color w:val="008675"/>
          <w:lang w:eastAsia="en-US"/>
        </w:rPr>
        <w:t>c</w:t>
      </w:r>
      <w:r w:rsidRPr="00D43087">
        <w:rPr>
          <w:color w:val="008675"/>
          <w:lang w:eastAsia="en-US"/>
        </w:rPr>
        <w:t>onsidered</w:t>
      </w:r>
      <w:bookmarkEnd w:id="594"/>
      <w:bookmarkEnd w:id="595"/>
      <w:bookmarkEnd w:id="596"/>
      <w:bookmarkEnd w:id="597"/>
      <w:bookmarkEnd w:id="598"/>
      <w:bookmarkEnd w:id="599"/>
      <w:bookmarkEnd w:id="600"/>
      <w:bookmarkEnd w:id="601"/>
      <w:bookmarkEnd w:id="602"/>
      <w:bookmarkEnd w:id="603"/>
      <w:bookmarkEnd w:id="604"/>
      <w:bookmarkEnd w:id="605"/>
      <w:r w:rsidRPr="00D43087">
        <w:rPr>
          <w:color w:val="008675"/>
          <w:lang w:eastAsia="en-US"/>
        </w:rPr>
        <w:t xml:space="preserve"> </w:t>
      </w:r>
    </w:p>
    <w:p w14:paraId="6BA7A8B5" w14:textId="5968045D" w:rsidR="008F1624" w:rsidRPr="000B7589" w:rsidRDefault="00E6232E" w:rsidP="00685559">
      <w:pPr>
        <w:pStyle w:val="BodyText"/>
        <w:rPr>
          <w:lang w:eastAsia="en-US"/>
        </w:rPr>
      </w:pPr>
      <w:r w:rsidRPr="000B7589">
        <w:rPr>
          <w:lang w:eastAsia="en-US"/>
        </w:rPr>
        <w:t xml:space="preserve">The preceding analysis demonstrates that </w:t>
      </w:r>
      <w:r w:rsidR="008F1624">
        <w:rPr>
          <w:lang w:eastAsia="en-US"/>
        </w:rPr>
        <w:fldChar w:fldCharType="begin"/>
      </w:r>
      <w:r w:rsidR="008F1624">
        <w:rPr>
          <w:lang w:eastAsia="en-US"/>
        </w:rPr>
        <w:instrText xml:space="preserve"> REF Option \h  \* MERGEFORMAT </w:instrText>
      </w:r>
      <w:r w:rsidR="008F1624">
        <w:rPr>
          <w:lang w:eastAsia="en-US"/>
        </w:rPr>
      </w:r>
      <w:r w:rsidR="008F1624">
        <w:rPr>
          <w:lang w:eastAsia="en-US"/>
        </w:rPr>
        <w:fldChar w:fldCharType="separate"/>
      </w:r>
      <w:r w:rsidR="008F1624" w:rsidRPr="00D43087">
        <w:rPr>
          <w:color w:val="008675"/>
        </w:rPr>
        <w:t xml:space="preserve">5.3 Option 3: Dedicated </w:t>
      </w:r>
      <w:r w:rsidR="005D440D" w:rsidRPr="00D43087">
        <w:rPr>
          <w:color w:val="008675"/>
        </w:rPr>
        <w:t>l</w:t>
      </w:r>
      <w:r w:rsidR="008F1624" w:rsidRPr="00D43087">
        <w:rPr>
          <w:color w:val="008675"/>
        </w:rPr>
        <w:t xml:space="preserve">egislation to </w:t>
      </w:r>
      <w:r w:rsidR="005D440D" w:rsidRPr="00D43087">
        <w:rPr>
          <w:color w:val="008675"/>
        </w:rPr>
        <w:t>e</w:t>
      </w:r>
      <w:r w:rsidR="008F1624" w:rsidRPr="00D43087">
        <w:rPr>
          <w:color w:val="008675"/>
        </w:rPr>
        <w:t xml:space="preserve">stablish </w:t>
      </w:r>
      <w:r w:rsidR="005D440D" w:rsidRPr="00D43087">
        <w:rPr>
          <w:color w:val="008675"/>
        </w:rPr>
        <w:t>n</w:t>
      </w:r>
      <w:r w:rsidR="008F1624" w:rsidRPr="00D43087">
        <w:rPr>
          <w:color w:val="008675"/>
        </w:rPr>
        <w:t xml:space="preserve">ew </w:t>
      </w:r>
      <w:r w:rsidR="005D440D" w:rsidRPr="00D43087">
        <w:rPr>
          <w:color w:val="008675"/>
        </w:rPr>
        <w:t>r</w:t>
      </w:r>
      <w:r w:rsidR="008F1624" w:rsidRPr="00D43087">
        <w:rPr>
          <w:color w:val="008675"/>
        </w:rPr>
        <w:t xml:space="preserve">egulatory </w:t>
      </w:r>
      <w:r w:rsidR="005D440D" w:rsidRPr="00D43087">
        <w:rPr>
          <w:color w:val="008675"/>
        </w:rPr>
        <w:t>s</w:t>
      </w:r>
      <w:r w:rsidR="008F1624" w:rsidRPr="00D43087">
        <w:rPr>
          <w:color w:val="008675"/>
        </w:rPr>
        <w:t>cheme</w:t>
      </w:r>
      <w:r w:rsidR="008F1624" w:rsidRPr="000B7589">
        <w:rPr>
          <w:lang w:eastAsia="en-US"/>
        </w:rPr>
        <w:t xml:space="preserve"> </w:t>
      </w:r>
      <w:r w:rsidR="008F1624" w:rsidRPr="000B7589">
        <w:rPr>
          <w:color w:val="000000"/>
          <w:lang w:eastAsia="en-US"/>
        </w:rPr>
        <w:t>is the</w:t>
      </w:r>
      <w:r w:rsidR="008F1624" w:rsidRPr="000B7589">
        <w:rPr>
          <w:b/>
          <w:bCs/>
          <w:color w:val="000000"/>
          <w:lang w:eastAsia="en-US"/>
        </w:rPr>
        <w:t xml:space="preserve"> </w:t>
      </w:r>
      <w:r w:rsidR="008F1624" w:rsidRPr="000B7589">
        <w:rPr>
          <w:lang w:eastAsia="en-US"/>
        </w:rPr>
        <w:t xml:space="preserve">most suitable of those considered. </w:t>
      </w:r>
    </w:p>
    <w:p w14:paraId="2AAEF9F7" w14:textId="605DF9AA" w:rsidR="00E6232E" w:rsidRPr="000B7589" w:rsidRDefault="008F1624" w:rsidP="00A11DE4">
      <w:pPr>
        <w:pStyle w:val="BodyText"/>
        <w:rPr>
          <w:lang w:eastAsia="en-US"/>
        </w:rPr>
      </w:pPr>
      <w:r>
        <w:rPr>
          <w:lang w:eastAsia="en-US"/>
        </w:rPr>
        <w:fldChar w:fldCharType="end"/>
      </w:r>
      <w:r w:rsidR="00E6232E" w:rsidRPr="000B7589">
        <w:rPr>
          <w:lang w:eastAsia="en-US"/>
        </w:rPr>
        <w:t xml:space="preserve">The Murray </w:t>
      </w:r>
      <w:r w:rsidR="00CB7FB3">
        <w:rPr>
          <w:lang w:eastAsia="en-US"/>
        </w:rPr>
        <w:t>inquiry</w:t>
      </w:r>
      <w:r w:rsidR="00CB7FB3" w:rsidRPr="000B7589">
        <w:rPr>
          <w:lang w:eastAsia="en-US"/>
        </w:rPr>
        <w:t xml:space="preserve"> </w:t>
      </w:r>
      <w:r w:rsidR="00E6232E" w:rsidRPr="000B7589">
        <w:rPr>
          <w:lang w:eastAsia="en-US"/>
        </w:rPr>
        <w:t xml:space="preserve">identified the need for a whole-of-economy digital </w:t>
      </w:r>
      <w:r w:rsidR="00F630ED">
        <w:rPr>
          <w:lang w:eastAsia="en-US"/>
        </w:rPr>
        <w:t>ID</w:t>
      </w:r>
      <w:r w:rsidR="00F630ED" w:rsidRPr="000B7589">
        <w:rPr>
          <w:lang w:eastAsia="en-US"/>
        </w:rPr>
        <w:t xml:space="preserve"> </w:t>
      </w:r>
      <w:r w:rsidR="00E6232E" w:rsidRPr="000B7589">
        <w:rPr>
          <w:lang w:eastAsia="en-US"/>
        </w:rPr>
        <w:t xml:space="preserve">solution, which would help transform service delivery in Australia and generate significant opportunities for the creation of new economic value. As this </w:t>
      </w:r>
      <w:r w:rsidR="00465F3F">
        <w:rPr>
          <w:lang w:eastAsia="en-US"/>
        </w:rPr>
        <w:t>Impact Analysis</w:t>
      </w:r>
      <w:r w:rsidR="00E6232E" w:rsidRPr="000B7589">
        <w:rPr>
          <w:lang w:eastAsia="en-US"/>
        </w:rPr>
        <w:t xml:space="preserve"> has outlined, a whole-of-economy solution cannot be realised unless </w:t>
      </w:r>
      <w:r w:rsidR="005A6E12">
        <w:rPr>
          <w:lang w:eastAsia="en-US"/>
        </w:rPr>
        <w:t>Digital ID</w:t>
      </w:r>
      <w:r w:rsidR="00E6232E" w:rsidRPr="000B7589">
        <w:rPr>
          <w:lang w:eastAsia="en-US"/>
        </w:rPr>
        <w:t xml:space="preserve"> is able to facilitate connections between state, territory and private sector services, driving significantly expanded uptake. Option 3 is the only option capable of facilitating this expansion. </w:t>
      </w:r>
    </w:p>
    <w:p w14:paraId="15B833DA" w14:textId="5F187C0E" w:rsidR="00E6232E" w:rsidRPr="000B7589" w:rsidRDefault="006E3B9A" w:rsidP="00DE2A2C">
      <w:pPr>
        <w:pStyle w:val="BodyText"/>
        <w:rPr>
          <w:lang w:eastAsia="en-US"/>
        </w:rPr>
      </w:pPr>
      <w:hyperlink w:anchor="Requirement" w:history="1">
        <w:r w:rsidR="00E6232E" w:rsidRPr="00D43087">
          <w:rPr>
            <w:rStyle w:val="Hyperlink"/>
            <w:color w:val="008675"/>
            <w:lang w:eastAsia="en-US"/>
          </w:rPr>
          <w:t xml:space="preserve">Section </w:t>
        </w:r>
        <w:r w:rsidR="003B1ABF" w:rsidRPr="00D43087">
          <w:rPr>
            <w:rStyle w:val="Hyperlink"/>
            <w:color w:val="008675"/>
            <w:lang w:eastAsia="en-US"/>
          </w:rPr>
          <w:t>4</w:t>
        </w:r>
      </w:hyperlink>
      <w:r w:rsidR="003B1ABF">
        <w:rPr>
          <w:lang w:eastAsia="en-US"/>
        </w:rPr>
        <w:t xml:space="preserve"> </w:t>
      </w:r>
      <w:r w:rsidR="007212B3">
        <w:rPr>
          <w:lang w:eastAsia="en-US"/>
        </w:rPr>
        <w:fldChar w:fldCharType="begin"/>
      </w:r>
      <w:r w:rsidR="007212B3">
        <w:rPr>
          <w:lang w:eastAsia="en-US"/>
        </w:rPr>
        <w:instrText xml:space="preserve"> REF Requirement \h  \* MERGEFORMAT </w:instrText>
      </w:r>
      <w:r w:rsidR="007212B3">
        <w:rPr>
          <w:lang w:eastAsia="en-US"/>
        </w:rPr>
      </w:r>
      <w:r w:rsidR="007212B3">
        <w:rPr>
          <w:lang w:eastAsia="en-US"/>
        </w:rPr>
        <w:fldChar w:fldCharType="end"/>
      </w:r>
      <w:r w:rsidR="007212B3">
        <w:rPr>
          <w:lang w:eastAsia="en-US"/>
        </w:rPr>
        <w:fldChar w:fldCharType="begin"/>
      </w:r>
      <w:r w:rsidR="007212B3">
        <w:rPr>
          <w:lang w:eastAsia="en-US"/>
        </w:rPr>
        <w:instrText xml:space="preserve"> REF Requirement \h  \* MERGEFORMAT </w:instrText>
      </w:r>
      <w:r w:rsidR="007212B3">
        <w:rPr>
          <w:lang w:eastAsia="en-US"/>
        </w:rPr>
      </w:r>
      <w:r w:rsidR="007212B3">
        <w:rPr>
          <w:lang w:eastAsia="en-US"/>
        </w:rPr>
        <w:fldChar w:fldCharType="end"/>
      </w:r>
      <w:r w:rsidR="007212B3">
        <w:rPr>
          <w:lang w:eastAsia="en-US"/>
        </w:rPr>
        <w:fldChar w:fldCharType="begin"/>
      </w:r>
      <w:r w:rsidR="007212B3">
        <w:rPr>
          <w:lang w:eastAsia="en-US"/>
        </w:rPr>
        <w:instrText xml:space="preserve"> REF Requirement \h  \* MERGEFORMAT </w:instrText>
      </w:r>
      <w:r w:rsidR="007212B3">
        <w:rPr>
          <w:lang w:eastAsia="en-US"/>
        </w:rPr>
      </w:r>
      <w:r w:rsidR="007212B3">
        <w:rPr>
          <w:lang w:eastAsia="en-US"/>
        </w:rPr>
        <w:fldChar w:fldCharType="end"/>
      </w:r>
      <w:r w:rsidR="007212B3">
        <w:rPr>
          <w:lang w:eastAsia="en-US"/>
        </w:rPr>
        <w:fldChar w:fldCharType="begin"/>
      </w:r>
      <w:r w:rsidR="007212B3">
        <w:rPr>
          <w:lang w:eastAsia="en-US"/>
        </w:rPr>
        <w:instrText xml:space="preserve"> REF Requirement \h  \* MERGEFORMAT </w:instrText>
      </w:r>
      <w:r w:rsidR="007212B3">
        <w:rPr>
          <w:lang w:eastAsia="en-US"/>
        </w:rPr>
      </w:r>
      <w:r w:rsidR="007212B3">
        <w:rPr>
          <w:lang w:eastAsia="en-US"/>
        </w:rPr>
        <w:fldChar w:fldCharType="end"/>
      </w:r>
      <w:r w:rsidR="00E6232E" w:rsidRPr="000B7589">
        <w:rPr>
          <w:lang w:eastAsia="en-US"/>
        </w:rPr>
        <w:t xml:space="preserve">of this </w:t>
      </w:r>
      <w:r w:rsidR="00465F3F">
        <w:rPr>
          <w:lang w:eastAsia="en-US"/>
        </w:rPr>
        <w:t>Impact Analysis</w:t>
      </w:r>
      <w:r w:rsidR="00E6232E" w:rsidRPr="000B7589">
        <w:rPr>
          <w:lang w:eastAsia="en-US"/>
        </w:rPr>
        <w:t xml:space="preserve"> identified the objectives of government action in relation to Digital I</w:t>
      </w:r>
      <w:r w:rsidR="00EB2443">
        <w:rPr>
          <w:lang w:eastAsia="en-US"/>
        </w:rPr>
        <w:t>D</w:t>
      </w:r>
      <w:r w:rsidR="00E6232E" w:rsidRPr="000B7589">
        <w:rPr>
          <w:lang w:eastAsia="en-US"/>
        </w:rPr>
        <w:t xml:space="preserve">. These objectives align with, and seek to address, the problem areas discussed in </w:t>
      </w:r>
      <w:hyperlink w:anchor="What" w:history="1">
        <w:r w:rsidR="00E6232E" w:rsidRPr="00D43087">
          <w:rPr>
            <w:rStyle w:val="Hyperlink"/>
            <w:color w:val="008675"/>
            <w:lang w:eastAsia="en-US"/>
          </w:rPr>
          <w:t>Section 3</w:t>
        </w:r>
      </w:hyperlink>
      <w:r w:rsidR="00E6232E" w:rsidRPr="000B7589">
        <w:rPr>
          <w:lang w:eastAsia="en-US"/>
        </w:rPr>
        <w:t xml:space="preserve">, which currently inhibit </w:t>
      </w:r>
      <w:r w:rsidR="007D7A9B">
        <w:rPr>
          <w:lang w:eastAsia="en-US"/>
        </w:rPr>
        <w:t>Digital ID</w:t>
      </w:r>
      <w:r w:rsidR="00E6232E" w:rsidRPr="000B7589">
        <w:rPr>
          <w:lang w:eastAsia="en-US"/>
        </w:rPr>
        <w:t xml:space="preserve"> ability to operate as a whole-of-economy solution. As demonstrated by the table below, establishing a dedicated regulatory scheme supports each of these policy objectives and, in turn, comprehensively addresses the problems identified through this </w:t>
      </w:r>
      <w:r w:rsidR="00465F3F">
        <w:rPr>
          <w:lang w:eastAsia="en-US"/>
        </w:rPr>
        <w:t>Impact Analysis</w:t>
      </w:r>
      <w:r w:rsidR="00E6232E" w:rsidRPr="000B7589">
        <w:rPr>
          <w:lang w:eastAsia="en-US"/>
        </w:rPr>
        <w:t xml:space="preserve">. </w:t>
      </w:r>
    </w:p>
    <w:tbl>
      <w:tblPr>
        <w:tblStyle w:val="GridTable2-Accent3"/>
        <w:tblW w:w="9214" w:type="dxa"/>
        <w:tblLook w:val="04A0" w:firstRow="1" w:lastRow="0" w:firstColumn="1" w:lastColumn="0" w:noHBand="0" w:noVBand="1"/>
      </w:tblPr>
      <w:tblGrid>
        <w:gridCol w:w="1985"/>
        <w:gridCol w:w="2410"/>
        <w:gridCol w:w="4819"/>
      </w:tblGrid>
      <w:tr w:rsidR="00D43087" w:rsidRPr="00D43087" w14:paraId="32AF889B" w14:textId="77777777" w:rsidTr="00D43087">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8675"/>
            </w:tcBorders>
          </w:tcPr>
          <w:p w14:paraId="56A9F1BC" w14:textId="067C3BE8" w:rsidR="00E6232E" w:rsidRPr="00D43087" w:rsidRDefault="00E6232E" w:rsidP="00A11DE4">
            <w:pPr>
              <w:pStyle w:val="TableTextLeft"/>
              <w:rPr>
                <w:color w:val="008675"/>
                <w:szCs w:val="28"/>
                <w:lang w:eastAsia="en-US"/>
              </w:rPr>
            </w:pPr>
            <w:r w:rsidRPr="00D43087">
              <w:rPr>
                <w:color w:val="008675"/>
                <w:szCs w:val="28"/>
                <w:lang w:eastAsia="en-US"/>
              </w:rPr>
              <w:t xml:space="preserve">Problem </w:t>
            </w:r>
            <w:r w:rsidR="00A52B4B" w:rsidRPr="00D43087">
              <w:rPr>
                <w:color w:val="008675"/>
                <w:szCs w:val="28"/>
                <w:lang w:eastAsia="en-US"/>
              </w:rPr>
              <w:t>a</w:t>
            </w:r>
            <w:r w:rsidRPr="00D43087">
              <w:rPr>
                <w:color w:val="008675"/>
                <w:szCs w:val="28"/>
                <w:lang w:eastAsia="en-US"/>
              </w:rPr>
              <w:t>rea</w:t>
            </w:r>
          </w:p>
        </w:tc>
        <w:tc>
          <w:tcPr>
            <w:tcW w:w="0" w:type="dxa"/>
            <w:tcBorders>
              <w:bottom w:val="single" w:sz="4" w:space="0" w:color="008675"/>
            </w:tcBorders>
          </w:tcPr>
          <w:p w14:paraId="50AB9456" w14:textId="6712EEC6" w:rsidR="00E6232E" w:rsidRPr="00D43087" w:rsidRDefault="00E6232E" w:rsidP="00A11DE4">
            <w:pPr>
              <w:pStyle w:val="TableTextLeft"/>
              <w:cnfStyle w:val="100000000000" w:firstRow="1" w:lastRow="0" w:firstColumn="0" w:lastColumn="0" w:oddVBand="0" w:evenVBand="0" w:oddHBand="0" w:evenHBand="0" w:firstRowFirstColumn="0" w:firstRowLastColumn="0" w:lastRowFirstColumn="0" w:lastRowLastColumn="0"/>
              <w:rPr>
                <w:color w:val="008675"/>
                <w:szCs w:val="28"/>
                <w:lang w:eastAsia="en-US"/>
              </w:rPr>
            </w:pPr>
            <w:r w:rsidRPr="00D43087">
              <w:rPr>
                <w:color w:val="008675"/>
                <w:szCs w:val="28"/>
                <w:lang w:eastAsia="en-US"/>
              </w:rPr>
              <w:t xml:space="preserve">Policy </w:t>
            </w:r>
            <w:r w:rsidR="00A52B4B" w:rsidRPr="00D43087">
              <w:rPr>
                <w:color w:val="008675"/>
                <w:szCs w:val="28"/>
                <w:lang w:eastAsia="en-US"/>
              </w:rPr>
              <w:t>o</w:t>
            </w:r>
            <w:r w:rsidRPr="00D43087">
              <w:rPr>
                <w:color w:val="008675"/>
                <w:szCs w:val="28"/>
                <w:lang w:eastAsia="en-US"/>
              </w:rPr>
              <w:t>bjective</w:t>
            </w:r>
          </w:p>
        </w:tc>
        <w:tc>
          <w:tcPr>
            <w:tcW w:w="0" w:type="dxa"/>
            <w:tcBorders>
              <w:bottom w:val="single" w:sz="4" w:space="0" w:color="008675"/>
            </w:tcBorders>
          </w:tcPr>
          <w:p w14:paraId="61667551" w14:textId="77777777" w:rsidR="00E6232E" w:rsidRPr="00D43087" w:rsidRDefault="00E6232E" w:rsidP="00A11DE4">
            <w:pPr>
              <w:pStyle w:val="TableTextLeft"/>
              <w:cnfStyle w:val="100000000000" w:firstRow="1" w:lastRow="0" w:firstColumn="0" w:lastColumn="0" w:oddVBand="0" w:evenVBand="0" w:oddHBand="0" w:evenHBand="0" w:firstRowFirstColumn="0" w:firstRowLastColumn="0" w:lastRowFirstColumn="0" w:lastRowLastColumn="0"/>
              <w:rPr>
                <w:color w:val="008675"/>
                <w:szCs w:val="28"/>
                <w:lang w:eastAsia="en-US"/>
              </w:rPr>
            </w:pPr>
            <w:r w:rsidRPr="00D43087">
              <w:rPr>
                <w:color w:val="008675"/>
                <w:szCs w:val="28"/>
                <w:lang w:eastAsia="en-US"/>
              </w:rPr>
              <w:t>Why Option 3?</w:t>
            </w:r>
          </w:p>
        </w:tc>
      </w:tr>
      <w:tr w:rsidR="00FF318A" w:rsidRPr="000B7589" w14:paraId="15090623" w14:textId="77777777" w:rsidTr="00D4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39BCCECF" w14:textId="77777777" w:rsidR="00FF318A" w:rsidRPr="00D43087" w:rsidRDefault="00FF318A" w:rsidP="00A11DE4">
            <w:pPr>
              <w:pStyle w:val="TableTextLeft"/>
              <w:rPr>
                <w:b w:val="0"/>
                <w:color w:val="008675"/>
                <w:szCs w:val="28"/>
                <w:lang w:eastAsia="en-US"/>
              </w:rPr>
            </w:pPr>
            <w:r w:rsidRPr="00D43087">
              <w:rPr>
                <w:color w:val="008675"/>
                <w:szCs w:val="28"/>
                <w:lang w:eastAsia="en-US"/>
              </w:rPr>
              <w:t>1</w:t>
            </w:r>
          </w:p>
          <w:p w14:paraId="2C87F92D" w14:textId="0F3F902F" w:rsidR="00FF318A" w:rsidRPr="00D43087" w:rsidRDefault="00FF318A" w:rsidP="00A11DE4">
            <w:pPr>
              <w:pStyle w:val="TableTextLeft"/>
              <w:rPr>
                <w:color w:val="008675"/>
                <w:szCs w:val="28"/>
                <w:lang w:eastAsia="en-US"/>
              </w:rPr>
            </w:pPr>
            <w:r w:rsidRPr="00D43087">
              <w:rPr>
                <w:color w:val="008675"/>
                <w:szCs w:val="28"/>
                <w:lang w:eastAsia="en-US"/>
              </w:rPr>
              <w:t>No legal basis for participation of non-</w:t>
            </w:r>
            <w:r w:rsidR="003016B7" w:rsidRPr="00D43087">
              <w:rPr>
                <w:color w:val="008675"/>
                <w:szCs w:val="28"/>
                <w:lang w:eastAsia="en-US"/>
              </w:rPr>
              <w:t>Australian Government</w:t>
            </w:r>
            <w:r w:rsidR="003016B7" w:rsidRPr="00D43087" w:rsidDel="003016B7">
              <w:rPr>
                <w:color w:val="008675"/>
                <w:szCs w:val="28"/>
                <w:lang w:eastAsia="en-US"/>
              </w:rPr>
              <w:t xml:space="preserve"> </w:t>
            </w:r>
            <w:r w:rsidR="004F51AC" w:rsidRPr="00D43087">
              <w:rPr>
                <w:color w:val="008675"/>
                <w:szCs w:val="28"/>
                <w:lang w:eastAsia="en-US"/>
              </w:rPr>
              <w:t xml:space="preserve">agencies </w:t>
            </w:r>
            <w:r w:rsidRPr="00D43087">
              <w:rPr>
                <w:color w:val="008675"/>
                <w:szCs w:val="28"/>
                <w:lang w:eastAsia="en-US"/>
              </w:rPr>
              <w:t xml:space="preserve">as </w:t>
            </w:r>
            <w:r w:rsidR="00E96EC0" w:rsidRPr="00D43087">
              <w:rPr>
                <w:color w:val="008675"/>
                <w:szCs w:val="28"/>
                <w:lang w:eastAsia="en-US"/>
              </w:rPr>
              <w:t>r</w:t>
            </w:r>
            <w:r w:rsidRPr="00D43087">
              <w:rPr>
                <w:color w:val="008675"/>
                <w:szCs w:val="28"/>
                <w:lang w:eastAsia="en-US"/>
              </w:rPr>
              <w:t xml:space="preserve">elying </w:t>
            </w:r>
            <w:r w:rsidR="00E96EC0" w:rsidRPr="00D43087">
              <w:rPr>
                <w:color w:val="008675"/>
                <w:szCs w:val="28"/>
                <w:lang w:eastAsia="en-US"/>
              </w:rPr>
              <w:t>p</w:t>
            </w:r>
            <w:r w:rsidRPr="00D43087">
              <w:rPr>
                <w:color w:val="008675"/>
                <w:szCs w:val="28"/>
                <w:lang w:eastAsia="en-US"/>
              </w:rPr>
              <w:t xml:space="preserve">arties, nor for a </w:t>
            </w:r>
            <w:r w:rsidR="0004571F" w:rsidRPr="00D43087">
              <w:rPr>
                <w:color w:val="008675"/>
                <w:szCs w:val="28"/>
                <w:lang w:eastAsia="en-US"/>
              </w:rPr>
              <w:t>c</w:t>
            </w:r>
            <w:r w:rsidRPr="00D43087">
              <w:rPr>
                <w:color w:val="008675"/>
                <w:szCs w:val="28"/>
                <w:lang w:eastAsia="en-US"/>
              </w:rPr>
              <w:t xml:space="preserve">harging </w:t>
            </w:r>
            <w:r w:rsidR="0004571F" w:rsidRPr="00D43087">
              <w:rPr>
                <w:color w:val="008675"/>
                <w:szCs w:val="28"/>
                <w:lang w:eastAsia="en-US"/>
              </w:rPr>
              <w:t>f</w:t>
            </w:r>
            <w:r w:rsidRPr="00D43087">
              <w:rPr>
                <w:color w:val="008675"/>
                <w:szCs w:val="28"/>
                <w:lang w:eastAsia="en-US"/>
              </w:rPr>
              <w:t>ramework</w:t>
            </w:r>
          </w:p>
        </w:tc>
        <w:tc>
          <w:tcPr>
            <w:tcW w:w="0" w:type="dxa"/>
            <w:tcBorders>
              <w:top w:val="single" w:sz="4" w:space="0" w:color="008675"/>
              <w:left w:val="single" w:sz="4" w:space="0" w:color="008675"/>
              <w:bottom w:val="single" w:sz="4" w:space="0" w:color="008675"/>
              <w:right w:val="single" w:sz="4" w:space="0" w:color="008675"/>
            </w:tcBorders>
            <w:shd w:val="clear" w:color="auto" w:fill="D2EEED"/>
          </w:tcPr>
          <w:p w14:paraId="776F0EE8" w14:textId="4142D341" w:rsidR="00FF318A" w:rsidRPr="00C85D1B" w:rsidRDefault="00FF318A" w:rsidP="00A11DE4">
            <w:pPr>
              <w:pStyle w:val="TableTextLeft"/>
              <w:cnfStyle w:val="000000100000" w:firstRow="0" w:lastRow="0" w:firstColumn="0" w:lastColumn="0" w:oddVBand="0" w:evenVBand="0" w:oddHBand="1" w:evenHBand="0" w:firstRowFirstColumn="0" w:firstRowLastColumn="0" w:lastRowFirstColumn="0" w:lastRowLastColumn="0"/>
              <w:rPr>
                <w:rFonts w:eastAsia="Yu Gothic Light"/>
                <w:szCs w:val="28"/>
                <w:lang w:eastAsia="en-US"/>
              </w:rPr>
            </w:pPr>
            <w:r w:rsidRPr="00C85D1B">
              <w:rPr>
                <w:szCs w:val="28"/>
                <w:lang w:eastAsia="en-US"/>
              </w:rPr>
              <w:t xml:space="preserve">Government action enables expansion of the </w:t>
            </w:r>
            <w:r w:rsidR="00DF50AB">
              <w:rPr>
                <w:szCs w:val="28"/>
                <w:lang w:eastAsia="en-US"/>
              </w:rPr>
              <w:t xml:space="preserve">Digital ID </w:t>
            </w:r>
            <w:r w:rsidRPr="00C85D1B">
              <w:rPr>
                <w:szCs w:val="28"/>
                <w:lang w:eastAsia="en-US"/>
              </w:rPr>
              <w:t>System to include non-</w:t>
            </w:r>
            <w:r w:rsidR="003016B7">
              <w:rPr>
                <w:lang w:eastAsia="en-US"/>
              </w:rPr>
              <w:t>Australian Government</w:t>
            </w:r>
            <w:r w:rsidR="003016B7" w:rsidRPr="00C85D1B" w:rsidDel="003016B7">
              <w:rPr>
                <w:szCs w:val="28"/>
                <w:lang w:eastAsia="en-US"/>
              </w:rPr>
              <w:t xml:space="preserve"> </w:t>
            </w:r>
            <w:r w:rsidR="004F51AC">
              <w:rPr>
                <w:szCs w:val="28"/>
                <w:lang w:eastAsia="en-US"/>
              </w:rPr>
              <w:t>agencies</w:t>
            </w:r>
            <w:r w:rsidR="004F51AC" w:rsidRPr="00C85D1B">
              <w:rPr>
                <w:szCs w:val="28"/>
                <w:lang w:eastAsia="en-US"/>
              </w:rPr>
              <w:t xml:space="preserve"> </w:t>
            </w:r>
            <w:r w:rsidRPr="00C85D1B">
              <w:rPr>
                <w:szCs w:val="28"/>
                <w:lang w:eastAsia="en-US"/>
              </w:rPr>
              <w:t xml:space="preserve">as </w:t>
            </w:r>
            <w:r w:rsidR="00E96EC0">
              <w:rPr>
                <w:szCs w:val="28"/>
                <w:lang w:eastAsia="en-US"/>
              </w:rPr>
              <w:t>r</w:t>
            </w:r>
            <w:r w:rsidRPr="00C85D1B">
              <w:rPr>
                <w:szCs w:val="28"/>
                <w:lang w:eastAsia="en-US"/>
              </w:rPr>
              <w:t xml:space="preserve">elying </w:t>
            </w:r>
            <w:r w:rsidR="00E96EC0">
              <w:rPr>
                <w:szCs w:val="28"/>
                <w:lang w:eastAsia="en-US"/>
              </w:rPr>
              <w:t>p</w:t>
            </w:r>
            <w:r w:rsidRPr="00C85D1B">
              <w:rPr>
                <w:szCs w:val="28"/>
                <w:lang w:eastAsia="en-US"/>
              </w:rPr>
              <w:t xml:space="preserve">arties, and providing a legal basis for charging by </w:t>
            </w:r>
            <w:r w:rsidR="00651CA6">
              <w:rPr>
                <w:szCs w:val="28"/>
                <w:lang w:eastAsia="en-US"/>
              </w:rPr>
              <w:t xml:space="preserve">onboarded </w:t>
            </w:r>
            <w:r w:rsidR="00E96EC0">
              <w:rPr>
                <w:szCs w:val="28"/>
                <w:lang w:eastAsia="en-US"/>
              </w:rPr>
              <w:t>a</w:t>
            </w:r>
            <w:r w:rsidRPr="00C85D1B">
              <w:rPr>
                <w:szCs w:val="28"/>
                <w:lang w:eastAsia="en-US"/>
              </w:rPr>
              <w:t xml:space="preserve">ccredited </w:t>
            </w:r>
            <w:r w:rsidR="00651CA6">
              <w:rPr>
                <w:szCs w:val="28"/>
                <w:lang w:eastAsia="en-US"/>
              </w:rPr>
              <w:t xml:space="preserve">entities </w:t>
            </w:r>
            <w:r w:rsidRPr="00C85D1B">
              <w:rPr>
                <w:szCs w:val="28"/>
                <w:lang w:eastAsia="en-US"/>
              </w:rPr>
              <w:t>(</w:t>
            </w:r>
            <w:r w:rsidR="003016B7">
              <w:rPr>
                <w:lang w:eastAsia="en-US"/>
              </w:rPr>
              <w:t>Australian Government</w:t>
            </w:r>
            <w:r w:rsidR="003016B7" w:rsidRPr="00C85D1B" w:rsidDel="003016B7">
              <w:rPr>
                <w:szCs w:val="28"/>
                <w:lang w:eastAsia="en-US"/>
              </w:rPr>
              <w:t xml:space="preserve"> </w:t>
            </w:r>
            <w:r w:rsidRPr="00C85D1B">
              <w:rPr>
                <w:szCs w:val="28"/>
                <w:lang w:eastAsia="en-US"/>
              </w:rPr>
              <w:t>and non-</w:t>
            </w:r>
            <w:r w:rsidR="003016B7">
              <w:rPr>
                <w:lang w:eastAsia="en-US"/>
              </w:rPr>
              <w:t>Australian Government</w:t>
            </w:r>
            <w:r w:rsidRPr="00C85D1B">
              <w:rPr>
                <w:szCs w:val="28"/>
                <w:lang w:eastAsia="en-US"/>
              </w:rPr>
              <w:t>), maximising the benefits.</w:t>
            </w:r>
          </w:p>
        </w:tc>
        <w:tc>
          <w:tcPr>
            <w:tcW w:w="0" w:type="dxa"/>
            <w:tcBorders>
              <w:top w:val="single" w:sz="4" w:space="0" w:color="008675"/>
              <w:left w:val="single" w:sz="4" w:space="0" w:color="008675"/>
              <w:bottom w:val="single" w:sz="4" w:space="0" w:color="008675"/>
            </w:tcBorders>
            <w:shd w:val="clear" w:color="auto" w:fill="D2EEED"/>
          </w:tcPr>
          <w:p w14:paraId="47E5DB1F" w14:textId="00C9945D" w:rsidR="00FF318A" w:rsidRPr="00C85D1B" w:rsidRDefault="00FF318A" w:rsidP="00A11DE4">
            <w:pPr>
              <w:pStyle w:val="TableTextLeft"/>
              <w:cnfStyle w:val="000000100000" w:firstRow="0" w:lastRow="0" w:firstColumn="0" w:lastColumn="0" w:oddVBand="0" w:evenVBand="0" w:oddHBand="1" w:evenHBand="0" w:firstRowFirstColumn="0" w:firstRowLastColumn="0" w:lastRowFirstColumn="0" w:lastRowLastColumn="0"/>
              <w:rPr>
                <w:szCs w:val="28"/>
                <w:lang w:eastAsia="en-US"/>
              </w:rPr>
            </w:pPr>
            <w:r w:rsidRPr="00C85D1B">
              <w:rPr>
                <w:szCs w:val="28"/>
                <w:lang w:eastAsia="en-US"/>
              </w:rPr>
              <w:t xml:space="preserve">The introduction of a dedicated regulatory scheme under Option 3 will directly address this issue by providing the requisite statutory authority for the </w:t>
            </w:r>
            <w:r w:rsidR="00DF50AB">
              <w:rPr>
                <w:szCs w:val="28"/>
                <w:lang w:eastAsia="en-US"/>
              </w:rPr>
              <w:t xml:space="preserve">Digital ID </w:t>
            </w:r>
            <w:r w:rsidRPr="00C85D1B">
              <w:rPr>
                <w:szCs w:val="28"/>
                <w:lang w:eastAsia="en-US"/>
              </w:rPr>
              <w:t>System’s expansion and for charging, enabling full uptake by non-</w:t>
            </w:r>
            <w:r w:rsidR="003016B7">
              <w:rPr>
                <w:lang w:eastAsia="en-US"/>
              </w:rPr>
              <w:t>Australian Government</w:t>
            </w:r>
            <w:r w:rsidR="003016B7" w:rsidRPr="00C85D1B" w:rsidDel="003016B7">
              <w:rPr>
                <w:szCs w:val="28"/>
                <w:lang w:eastAsia="en-US"/>
              </w:rPr>
              <w:t xml:space="preserve"> </w:t>
            </w:r>
            <w:r w:rsidR="00E96EC0">
              <w:rPr>
                <w:szCs w:val="28"/>
                <w:lang w:eastAsia="en-US"/>
              </w:rPr>
              <w:t>r</w:t>
            </w:r>
            <w:r w:rsidRPr="00C85D1B">
              <w:rPr>
                <w:szCs w:val="28"/>
                <w:lang w:eastAsia="en-US"/>
              </w:rPr>
              <w:t xml:space="preserve">elying </w:t>
            </w:r>
            <w:r w:rsidR="00E96EC0">
              <w:rPr>
                <w:szCs w:val="28"/>
                <w:lang w:eastAsia="en-US"/>
              </w:rPr>
              <w:t>p</w:t>
            </w:r>
            <w:r w:rsidRPr="00C85D1B">
              <w:rPr>
                <w:szCs w:val="28"/>
                <w:lang w:eastAsia="en-US"/>
              </w:rPr>
              <w:t xml:space="preserve">arties and </w:t>
            </w:r>
            <w:r w:rsidR="00651CA6">
              <w:rPr>
                <w:szCs w:val="28"/>
                <w:lang w:eastAsia="en-US"/>
              </w:rPr>
              <w:t xml:space="preserve">onboarded </w:t>
            </w:r>
            <w:r w:rsidR="00E96EC0">
              <w:rPr>
                <w:szCs w:val="28"/>
                <w:lang w:eastAsia="en-US"/>
              </w:rPr>
              <w:t>a</w:t>
            </w:r>
            <w:r w:rsidRPr="00C85D1B">
              <w:rPr>
                <w:szCs w:val="28"/>
                <w:lang w:eastAsia="en-US"/>
              </w:rPr>
              <w:t xml:space="preserve">ccredited </w:t>
            </w:r>
            <w:r w:rsidR="00651CA6">
              <w:rPr>
                <w:szCs w:val="28"/>
                <w:lang w:eastAsia="en-US"/>
              </w:rPr>
              <w:t>entities</w:t>
            </w:r>
            <w:r w:rsidRPr="00C85D1B">
              <w:rPr>
                <w:szCs w:val="28"/>
                <w:lang w:eastAsia="en-US"/>
              </w:rPr>
              <w:t xml:space="preserve">. </w:t>
            </w:r>
          </w:p>
          <w:p w14:paraId="58141225" w14:textId="24F19A81" w:rsidR="00FF318A" w:rsidRPr="00C85D1B" w:rsidRDefault="00FF318A" w:rsidP="00A11DE4">
            <w:pPr>
              <w:pStyle w:val="TableTextLeft"/>
              <w:cnfStyle w:val="000000100000" w:firstRow="0" w:lastRow="0" w:firstColumn="0" w:lastColumn="0" w:oddVBand="0" w:evenVBand="0" w:oddHBand="1" w:evenHBand="0" w:firstRowFirstColumn="0" w:firstRowLastColumn="0" w:lastRowFirstColumn="0" w:lastRowLastColumn="0"/>
              <w:rPr>
                <w:szCs w:val="28"/>
                <w:lang w:eastAsia="en-US"/>
              </w:rPr>
            </w:pPr>
            <w:r w:rsidRPr="00C85D1B">
              <w:rPr>
                <w:szCs w:val="28"/>
                <w:lang w:eastAsia="en-US"/>
              </w:rPr>
              <w:t>Options 1 and 2 cannot address existing barriers to non-</w:t>
            </w:r>
            <w:r w:rsidR="003016B7">
              <w:rPr>
                <w:lang w:eastAsia="en-US"/>
              </w:rPr>
              <w:t>Australian Government</w:t>
            </w:r>
            <w:r w:rsidR="003016B7" w:rsidRPr="00C85D1B" w:rsidDel="003016B7">
              <w:rPr>
                <w:szCs w:val="28"/>
                <w:lang w:eastAsia="en-US"/>
              </w:rPr>
              <w:t xml:space="preserve"> </w:t>
            </w:r>
            <w:r w:rsidRPr="00C85D1B">
              <w:rPr>
                <w:szCs w:val="28"/>
                <w:lang w:eastAsia="en-US"/>
              </w:rPr>
              <w:t xml:space="preserve">participation, as they do not entail the passing of primary legislation providing legislative authority to enable expansion. Therefore, only under Option 3 can the </w:t>
            </w:r>
            <w:r w:rsidR="00DF50AB">
              <w:rPr>
                <w:szCs w:val="28"/>
                <w:lang w:eastAsia="en-US"/>
              </w:rPr>
              <w:t xml:space="preserve">Digital ID </w:t>
            </w:r>
            <w:r w:rsidRPr="00C85D1B">
              <w:rPr>
                <w:szCs w:val="28"/>
                <w:lang w:eastAsia="en-US"/>
              </w:rPr>
              <w:t xml:space="preserve">System’s whole-of-economy benefits be realised. </w:t>
            </w:r>
          </w:p>
        </w:tc>
      </w:tr>
      <w:tr w:rsidR="00FF318A" w:rsidRPr="000B7589" w14:paraId="375BD23E" w14:textId="77777777" w:rsidTr="00D43087">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008675"/>
              <w:right w:val="single" w:sz="4" w:space="0" w:color="008675"/>
            </w:tcBorders>
          </w:tcPr>
          <w:p w14:paraId="05866586" w14:textId="77777777" w:rsidR="00FF318A" w:rsidRPr="00D43087" w:rsidRDefault="00FF318A" w:rsidP="00A11DE4">
            <w:pPr>
              <w:pStyle w:val="TableTextLeft"/>
              <w:rPr>
                <w:rFonts w:eastAsia="Yu Gothic Light"/>
                <w:b w:val="0"/>
                <w:color w:val="008675"/>
                <w:szCs w:val="28"/>
                <w:lang w:eastAsia="en-US"/>
              </w:rPr>
            </w:pPr>
            <w:r w:rsidRPr="00D43087">
              <w:rPr>
                <w:rFonts w:eastAsia="Yu Gothic Light"/>
                <w:color w:val="008675"/>
                <w:szCs w:val="28"/>
                <w:lang w:eastAsia="en-US"/>
              </w:rPr>
              <w:t>2</w:t>
            </w:r>
          </w:p>
          <w:p w14:paraId="431CBD0F" w14:textId="00ADE2AF" w:rsidR="00FF318A" w:rsidRPr="00D43087" w:rsidRDefault="00FF318A" w:rsidP="00A11DE4">
            <w:pPr>
              <w:pStyle w:val="TableTextLeft"/>
              <w:rPr>
                <w:rFonts w:eastAsia="Yu Gothic Light"/>
                <w:color w:val="008675"/>
                <w:szCs w:val="28"/>
                <w:lang w:eastAsia="en-US"/>
              </w:rPr>
            </w:pPr>
            <w:r w:rsidRPr="00D43087">
              <w:rPr>
                <w:rFonts w:eastAsia="Yu Gothic Light"/>
                <w:color w:val="008675"/>
                <w:szCs w:val="28"/>
                <w:lang w:eastAsia="en-US"/>
              </w:rPr>
              <w:t xml:space="preserve">Lack of trust in </w:t>
            </w:r>
            <w:r w:rsidR="00DF50AB" w:rsidRPr="00D43087">
              <w:rPr>
                <w:rFonts w:eastAsia="Yu Gothic Light"/>
                <w:color w:val="008675"/>
                <w:szCs w:val="28"/>
                <w:lang w:eastAsia="en-US"/>
              </w:rPr>
              <w:t xml:space="preserve">the Digital ID </w:t>
            </w:r>
            <w:r w:rsidRPr="00D43087">
              <w:rPr>
                <w:rFonts w:eastAsia="Yu Gothic Light"/>
                <w:color w:val="008675"/>
                <w:szCs w:val="28"/>
                <w:lang w:eastAsia="en-US"/>
              </w:rPr>
              <w:t xml:space="preserve">System’s privacy and security safeguards. </w:t>
            </w:r>
          </w:p>
        </w:tc>
        <w:tc>
          <w:tcPr>
            <w:tcW w:w="2410" w:type="dxa"/>
            <w:tcBorders>
              <w:top w:val="single" w:sz="4" w:space="0" w:color="008675"/>
              <w:left w:val="single" w:sz="4" w:space="0" w:color="008675"/>
              <w:right w:val="single" w:sz="4" w:space="0" w:color="008675"/>
            </w:tcBorders>
          </w:tcPr>
          <w:p w14:paraId="408DB5DA" w14:textId="77777777" w:rsidR="00FF318A" w:rsidRPr="00C85D1B" w:rsidRDefault="00FF318A" w:rsidP="00A11DE4">
            <w:pPr>
              <w:pStyle w:val="TableTextLeft"/>
              <w:cnfStyle w:val="000000000000" w:firstRow="0" w:lastRow="0" w:firstColumn="0" w:lastColumn="0" w:oddVBand="0" w:evenVBand="0" w:oddHBand="0" w:evenHBand="0" w:firstRowFirstColumn="0" w:firstRowLastColumn="0" w:lastRowFirstColumn="0" w:lastRowLastColumn="0"/>
              <w:rPr>
                <w:rFonts w:eastAsia="Yu Gothic Light"/>
                <w:szCs w:val="28"/>
                <w:lang w:eastAsia="en-US"/>
              </w:rPr>
            </w:pPr>
            <w:r w:rsidRPr="00C85D1B">
              <w:rPr>
                <w:rFonts w:eastAsia="Yu Gothic Light"/>
                <w:szCs w:val="28"/>
                <w:lang w:eastAsia="en-US"/>
              </w:rPr>
              <w:t xml:space="preserve">Government action enhances community confidence, trust and clarity regarding the Program’s privacy and security safeguards. </w:t>
            </w:r>
          </w:p>
        </w:tc>
        <w:tc>
          <w:tcPr>
            <w:tcW w:w="4819" w:type="dxa"/>
            <w:tcBorders>
              <w:top w:val="single" w:sz="4" w:space="0" w:color="008675"/>
              <w:left w:val="single" w:sz="4" w:space="0" w:color="008675"/>
            </w:tcBorders>
          </w:tcPr>
          <w:p w14:paraId="17863807" w14:textId="77777777" w:rsidR="00FF318A" w:rsidRPr="00C85D1B" w:rsidRDefault="00FF318A" w:rsidP="00A11DE4">
            <w:pPr>
              <w:pStyle w:val="TableTextLeft"/>
              <w:cnfStyle w:val="000000000000" w:firstRow="0" w:lastRow="0" w:firstColumn="0" w:lastColumn="0" w:oddVBand="0" w:evenVBand="0" w:oddHBand="0" w:evenHBand="0" w:firstRowFirstColumn="0" w:firstRowLastColumn="0" w:lastRowFirstColumn="0" w:lastRowLastColumn="0"/>
              <w:rPr>
                <w:szCs w:val="28"/>
                <w:lang w:eastAsia="en-US"/>
              </w:rPr>
            </w:pPr>
            <w:r w:rsidRPr="00C85D1B">
              <w:rPr>
                <w:szCs w:val="28"/>
                <w:lang w:eastAsia="en-US"/>
              </w:rPr>
              <w:t xml:space="preserve">Option 3 addresses this problem in several ways: </w:t>
            </w:r>
          </w:p>
          <w:p w14:paraId="13201121" w14:textId="1DC3D6AC" w:rsidR="00FF318A" w:rsidRPr="00C85D1B" w:rsidRDefault="00913D9E" w:rsidP="00A11DE4">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lang w:eastAsia="en-US"/>
              </w:rPr>
            </w:pPr>
            <w:r>
              <w:rPr>
                <w:rFonts w:eastAsia="Calibri"/>
                <w:szCs w:val="28"/>
                <w:lang w:eastAsia="en-US"/>
              </w:rPr>
              <w:t>A dedicated regulatory scheme</w:t>
            </w:r>
            <w:r w:rsidRPr="00C85D1B">
              <w:rPr>
                <w:rFonts w:eastAsia="Calibri"/>
                <w:szCs w:val="28"/>
                <w:lang w:eastAsia="en-US"/>
              </w:rPr>
              <w:t xml:space="preserve"> </w:t>
            </w:r>
            <w:r w:rsidR="00FF318A" w:rsidRPr="00C85D1B">
              <w:rPr>
                <w:rFonts w:eastAsia="Calibri"/>
                <w:szCs w:val="28"/>
                <w:lang w:eastAsia="en-US"/>
              </w:rPr>
              <w:t xml:space="preserve">will offer a </w:t>
            </w:r>
            <w:r w:rsidR="00283080">
              <w:rPr>
                <w:rFonts w:eastAsia="Calibri"/>
                <w:szCs w:val="28"/>
                <w:lang w:eastAsia="en-US"/>
              </w:rPr>
              <w:t>consistent</w:t>
            </w:r>
            <w:r w:rsidR="00283080" w:rsidRPr="00C85D1B">
              <w:rPr>
                <w:rFonts w:eastAsia="Calibri"/>
                <w:szCs w:val="28"/>
                <w:lang w:eastAsia="en-US"/>
              </w:rPr>
              <w:t xml:space="preserve"> </w:t>
            </w:r>
            <w:r w:rsidR="00FF318A" w:rsidRPr="00C85D1B">
              <w:rPr>
                <w:rFonts w:eastAsia="Calibri"/>
                <w:szCs w:val="28"/>
                <w:lang w:eastAsia="en-US"/>
              </w:rPr>
              <w:t xml:space="preserve">approach to privacy and consumer protections, across all jurisdictions, including some not currently covered by the Privacy Act. </w:t>
            </w:r>
          </w:p>
          <w:p w14:paraId="503DD563" w14:textId="58D14AF8" w:rsidR="00FF318A" w:rsidRPr="00C85D1B" w:rsidRDefault="00913D9E" w:rsidP="00A11DE4">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lang w:eastAsia="en-US"/>
              </w:rPr>
            </w:pPr>
            <w:r>
              <w:rPr>
                <w:rFonts w:eastAsia="Calibri"/>
                <w:szCs w:val="28"/>
                <w:lang w:eastAsia="en-US"/>
              </w:rPr>
              <w:t>The regulatory scheme</w:t>
            </w:r>
            <w:r w:rsidRPr="00C85D1B">
              <w:rPr>
                <w:rFonts w:eastAsia="Calibri"/>
                <w:szCs w:val="28"/>
                <w:lang w:eastAsia="en-US"/>
              </w:rPr>
              <w:t xml:space="preserve"> </w:t>
            </w:r>
            <w:r w:rsidR="00FF318A" w:rsidRPr="00C85D1B">
              <w:rPr>
                <w:rFonts w:eastAsia="Calibri"/>
                <w:szCs w:val="28"/>
                <w:lang w:eastAsia="en-US"/>
              </w:rPr>
              <w:t xml:space="preserve">can be used to </w:t>
            </w:r>
            <w:r w:rsidR="00C52811">
              <w:rPr>
                <w:rFonts w:eastAsia="Calibri"/>
                <w:szCs w:val="28"/>
                <w:lang w:eastAsia="en-US"/>
              </w:rPr>
              <w:t>supplement</w:t>
            </w:r>
            <w:r w:rsidR="00C52811" w:rsidRPr="00C85D1B">
              <w:rPr>
                <w:rFonts w:eastAsia="Calibri"/>
                <w:szCs w:val="28"/>
                <w:lang w:eastAsia="en-US"/>
              </w:rPr>
              <w:t xml:space="preserve"> </w:t>
            </w:r>
            <w:r w:rsidR="00FF318A" w:rsidRPr="00C85D1B">
              <w:rPr>
                <w:rFonts w:eastAsia="Calibri"/>
                <w:szCs w:val="28"/>
                <w:lang w:eastAsia="en-US"/>
              </w:rPr>
              <w:t>current privacy and consumer protections</w:t>
            </w:r>
            <w:r w:rsidR="00C52811">
              <w:rPr>
                <w:rFonts w:eastAsia="Calibri"/>
                <w:szCs w:val="28"/>
                <w:lang w:eastAsia="en-US"/>
              </w:rPr>
              <w:t xml:space="preserve"> with </w:t>
            </w:r>
            <w:r w:rsidR="00DF50AB">
              <w:rPr>
                <w:rFonts w:eastAsia="Calibri"/>
                <w:szCs w:val="28"/>
                <w:lang w:eastAsia="en-US"/>
              </w:rPr>
              <w:t xml:space="preserve">Digital ID </w:t>
            </w:r>
            <w:r w:rsidR="00C52811">
              <w:rPr>
                <w:rFonts w:eastAsia="Calibri"/>
                <w:szCs w:val="28"/>
                <w:lang w:eastAsia="en-US"/>
              </w:rPr>
              <w:t xml:space="preserve">System-specific </w:t>
            </w:r>
            <w:r w:rsidR="00823558">
              <w:rPr>
                <w:rFonts w:eastAsia="Calibri"/>
                <w:szCs w:val="28"/>
                <w:lang w:eastAsia="en-US"/>
              </w:rPr>
              <w:t>laws</w:t>
            </w:r>
            <w:r w:rsidR="00FF318A" w:rsidRPr="00C85D1B">
              <w:rPr>
                <w:rFonts w:eastAsia="Calibri"/>
                <w:szCs w:val="28"/>
                <w:lang w:eastAsia="en-US"/>
              </w:rPr>
              <w:t xml:space="preserve">, for example </w:t>
            </w:r>
            <w:r w:rsidR="00FF318A" w:rsidRPr="00C85D1B">
              <w:rPr>
                <w:rFonts w:eastAsia="Calibri"/>
                <w:szCs w:val="28"/>
                <w:lang w:eastAsia="en-US"/>
              </w:rPr>
              <w:lastRenderedPageBreak/>
              <w:t>prohibitions on data commercialisation and relating to biometrics.</w:t>
            </w:r>
          </w:p>
          <w:p w14:paraId="6F300BDB" w14:textId="6D01B223" w:rsidR="00FF318A" w:rsidRPr="00C85D1B" w:rsidRDefault="00FF318A" w:rsidP="00A11DE4">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lang w:eastAsia="en-US"/>
              </w:rPr>
            </w:pPr>
            <w:r w:rsidRPr="00C85D1B">
              <w:rPr>
                <w:rFonts w:eastAsia="Calibri"/>
                <w:szCs w:val="28"/>
                <w:lang w:eastAsia="en-US"/>
              </w:rPr>
              <w:t xml:space="preserve">The implementation of a </w:t>
            </w:r>
            <w:r w:rsidR="00283080">
              <w:rPr>
                <w:rFonts w:eastAsia="Calibri"/>
                <w:szCs w:val="28"/>
                <w:lang w:eastAsia="en-US"/>
              </w:rPr>
              <w:t>legislative</w:t>
            </w:r>
            <w:r w:rsidR="00283080" w:rsidRPr="00C85D1B">
              <w:rPr>
                <w:rFonts w:eastAsia="Calibri"/>
                <w:szCs w:val="28"/>
                <w:lang w:eastAsia="en-US"/>
              </w:rPr>
              <w:t xml:space="preserve"> </w:t>
            </w:r>
            <w:r w:rsidRPr="00C85D1B">
              <w:rPr>
                <w:rFonts w:eastAsia="Calibri"/>
                <w:szCs w:val="28"/>
                <w:lang w:eastAsia="en-US"/>
              </w:rPr>
              <w:t xml:space="preserve">governance framework will also support enforcement practices. </w:t>
            </w:r>
          </w:p>
          <w:p w14:paraId="2143C90C" w14:textId="4E440E9F" w:rsidR="00FF318A" w:rsidRPr="00C85D1B" w:rsidRDefault="00FF318A" w:rsidP="00A11DE4">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lang w:eastAsia="en-US"/>
              </w:rPr>
            </w:pPr>
            <w:r w:rsidRPr="00C85D1B">
              <w:rPr>
                <w:rFonts w:eastAsia="Calibri"/>
                <w:szCs w:val="28"/>
                <w:lang w:eastAsia="en-US"/>
              </w:rPr>
              <w:t xml:space="preserve">Stakeholder consultation has highlighted Australians’ desire for a consistent set of privacy and security safeguards, which can only be offered by a dedicated regulatory scheme. </w:t>
            </w:r>
          </w:p>
          <w:p w14:paraId="408487D5" w14:textId="0C05A5B0" w:rsidR="00FF318A" w:rsidRPr="00C85D1B" w:rsidRDefault="00FF318A" w:rsidP="00A11DE4">
            <w:pPr>
              <w:pStyle w:val="TableTextLeft"/>
              <w:cnfStyle w:val="000000000000" w:firstRow="0" w:lastRow="0" w:firstColumn="0" w:lastColumn="0" w:oddVBand="0" w:evenVBand="0" w:oddHBand="0" w:evenHBand="0" w:firstRowFirstColumn="0" w:firstRowLastColumn="0" w:lastRowFirstColumn="0" w:lastRowLastColumn="0"/>
              <w:rPr>
                <w:szCs w:val="28"/>
                <w:lang w:eastAsia="en-US"/>
              </w:rPr>
            </w:pPr>
            <w:r w:rsidRPr="00C85D1B">
              <w:rPr>
                <w:szCs w:val="28"/>
                <w:lang w:eastAsia="en-US"/>
              </w:rPr>
              <w:t xml:space="preserve">Option 1 offers no avenue for improved clarity and greater public confidence in the </w:t>
            </w:r>
            <w:r w:rsidR="00DF50AB">
              <w:rPr>
                <w:szCs w:val="28"/>
                <w:lang w:eastAsia="en-US"/>
              </w:rPr>
              <w:t xml:space="preserve">Digital ID </w:t>
            </w:r>
            <w:r w:rsidRPr="00C85D1B">
              <w:rPr>
                <w:szCs w:val="28"/>
                <w:lang w:eastAsia="en-US"/>
              </w:rPr>
              <w:t xml:space="preserve">System. While Option 2 may, to some degree, improve trust in the </w:t>
            </w:r>
            <w:r w:rsidR="00DF50AB">
              <w:rPr>
                <w:szCs w:val="28"/>
                <w:lang w:eastAsia="en-US"/>
              </w:rPr>
              <w:t xml:space="preserve">Digital ID </w:t>
            </w:r>
            <w:r w:rsidRPr="00C85D1B">
              <w:rPr>
                <w:szCs w:val="28"/>
                <w:lang w:eastAsia="en-US"/>
              </w:rPr>
              <w:t xml:space="preserve">System’s privacy and security safeguards, it can only do so within the existing </w:t>
            </w:r>
            <w:r w:rsidR="0054731D">
              <w:rPr>
                <w:szCs w:val="28"/>
                <w:lang w:eastAsia="en-US"/>
              </w:rPr>
              <w:t>genera</w:t>
            </w:r>
            <w:r w:rsidR="00E82D0E">
              <w:rPr>
                <w:szCs w:val="28"/>
                <w:lang w:eastAsia="en-US"/>
              </w:rPr>
              <w:t xml:space="preserve">l </w:t>
            </w:r>
            <w:r w:rsidRPr="00C85D1B">
              <w:rPr>
                <w:szCs w:val="28"/>
                <w:lang w:eastAsia="en-US"/>
              </w:rPr>
              <w:t xml:space="preserve">legislative framework and cannot address any identified gaps. </w:t>
            </w:r>
          </w:p>
        </w:tc>
      </w:tr>
      <w:tr w:rsidR="00DC1D79" w:rsidRPr="000B7589" w14:paraId="3860C6ED" w14:textId="77777777" w:rsidTr="00D4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5B02877A" w14:textId="77777777" w:rsidR="00DC1D79" w:rsidRPr="00D43087" w:rsidRDefault="00DC1D79" w:rsidP="00A11DE4">
            <w:pPr>
              <w:pStyle w:val="TableTextLeft"/>
              <w:rPr>
                <w:rFonts w:eastAsia="Yu Gothic Light"/>
                <w:b w:val="0"/>
                <w:color w:val="008675"/>
                <w:szCs w:val="28"/>
                <w:lang w:eastAsia="en-US"/>
              </w:rPr>
            </w:pPr>
            <w:r w:rsidRPr="00D43087">
              <w:rPr>
                <w:rFonts w:eastAsia="Yu Gothic Light"/>
                <w:color w:val="008675"/>
                <w:szCs w:val="28"/>
                <w:lang w:eastAsia="en-US"/>
              </w:rPr>
              <w:lastRenderedPageBreak/>
              <w:t>3</w:t>
            </w:r>
          </w:p>
          <w:p w14:paraId="28D98BE4" w14:textId="111BC57E" w:rsidR="00DC1D79" w:rsidRPr="00D43087" w:rsidRDefault="00DC1D79" w:rsidP="00A11DE4">
            <w:pPr>
              <w:pStyle w:val="TableTextLeft"/>
              <w:rPr>
                <w:rFonts w:eastAsia="Yu Gothic Light"/>
                <w:color w:val="008675"/>
                <w:szCs w:val="28"/>
                <w:lang w:eastAsia="en-US"/>
              </w:rPr>
            </w:pPr>
            <w:r w:rsidRPr="00D43087">
              <w:rPr>
                <w:rFonts w:eastAsia="Yu Gothic Light"/>
                <w:color w:val="008675"/>
                <w:szCs w:val="28"/>
                <w:lang w:eastAsia="en-US"/>
              </w:rPr>
              <w:t>Interim, non-</w:t>
            </w:r>
            <w:r w:rsidR="006C76E8" w:rsidRPr="00D43087">
              <w:rPr>
                <w:rFonts w:eastAsia="Yu Gothic Light"/>
                <w:color w:val="008675"/>
                <w:szCs w:val="28"/>
                <w:lang w:eastAsia="en-US"/>
              </w:rPr>
              <w:t xml:space="preserve">legislative </w:t>
            </w:r>
            <w:r w:rsidRPr="00D43087">
              <w:rPr>
                <w:rFonts w:eastAsia="Yu Gothic Light"/>
                <w:color w:val="008675"/>
                <w:szCs w:val="28"/>
                <w:lang w:eastAsia="en-US"/>
              </w:rPr>
              <w:t xml:space="preserve">governance framework. </w:t>
            </w:r>
          </w:p>
        </w:tc>
        <w:tc>
          <w:tcPr>
            <w:tcW w:w="0" w:type="dxa"/>
            <w:tcBorders>
              <w:top w:val="single" w:sz="4" w:space="0" w:color="008675"/>
              <w:left w:val="single" w:sz="4" w:space="0" w:color="008675"/>
              <w:bottom w:val="single" w:sz="4" w:space="0" w:color="008675"/>
              <w:right w:val="single" w:sz="4" w:space="0" w:color="008675"/>
            </w:tcBorders>
            <w:shd w:val="clear" w:color="auto" w:fill="D2EEED"/>
          </w:tcPr>
          <w:p w14:paraId="3CD8822B" w14:textId="4B7B4B80" w:rsidR="00DC1D79" w:rsidRPr="00C85D1B" w:rsidRDefault="00DC1D79" w:rsidP="00A11DE4">
            <w:pPr>
              <w:pStyle w:val="TableTextLeft"/>
              <w:cnfStyle w:val="000000100000" w:firstRow="0" w:lastRow="0" w:firstColumn="0" w:lastColumn="0" w:oddVBand="0" w:evenVBand="0" w:oddHBand="1" w:evenHBand="0" w:firstRowFirstColumn="0" w:firstRowLastColumn="0" w:lastRowFirstColumn="0" w:lastRowLastColumn="0"/>
              <w:rPr>
                <w:rFonts w:eastAsia="Yu Gothic Light"/>
                <w:szCs w:val="28"/>
                <w:lang w:eastAsia="en-US"/>
              </w:rPr>
            </w:pPr>
            <w:r w:rsidRPr="00C85D1B">
              <w:rPr>
                <w:rFonts w:eastAsia="Yu Gothic Light"/>
                <w:szCs w:val="28"/>
                <w:lang w:eastAsia="en-US"/>
              </w:rPr>
              <w:t xml:space="preserve">Government action enhances community confidence, trust and clarity in the integrity, permanence and rigor of the </w:t>
            </w:r>
            <w:r w:rsidR="00DF50AB">
              <w:rPr>
                <w:rFonts w:eastAsia="Yu Gothic Light"/>
                <w:szCs w:val="28"/>
                <w:lang w:eastAsia="en-US"/>
              </w:rPr>
              <w:t xml:space="preserve">Digital ID </w:t>
            </w:r>
            <w:r w:rsidRPr="00C85D1B">
              <w:rPr>
                <w:rFonts w:eastAsia="Yu Gothic Light"/>
                <w:szCs w:val="28"/>
                <w:lang w:eastAsia="en-US"/>
              </w:rPr>
              <w:t>System’s governance.</w:t>
            </w:r>
          </w:p>
        </w:tc>
        <w:tc>
          <w:tcPr>
            <w:tcW w:w="0" w:type="dxa"/>
            <w:tcBorders>
              <w:top w:val="single" w:sz="4" w:space="0" w:color="008675"/>
              <w:left w:val="single" w:sz="4" w:space="0" w:color="008675"/>
              <w:bottom w:val="single" w:sz="4" w:space="0" w:color="008675"/>
            </w:tcBorders>
            <w:shd w:val="clear" w:color="auto" w:fill="D2EEED"/>
          </w:tcPr>
          <w:p w14:paraId="6B1DE752" w14:textId="6C2B667E" w:rsidR="00DC1D79" w:rsidRPr="00C85D1B" w:rsidRDefault="00DC1D79" w:rsidP="00A11DE4">
            <w:pPr>
              <w:pStyle w:val="TableTextLeft"/>
              <w:cnfStyle w:val="000000100000" w:firstRow="0" w:lastRow="0" w:firstColumn="0" w:lastColumn="0" w:oddVBand="0" w:evenVBand="0" w:oddHBand="1" w:evenHBand="0" w:firstRowFirstColumn="0" w:firstRowLastColumn="0" w:lastRowFirstColumn="0" w:lastRowLastColumn="0"/>
              <w:rPr>
                <w:szCs w:val="28"/>
                <w:lang w:eastAsia="en-US"/>
              </w:rPr>
            </w:pPr>
            <w:r w:rsidRPr="00C85D1B">
              <w:rPr>
                <w:szCs w:val="28"/>
                <w:lang w:eastAsia="en-US"/>
              </w:rPr>
              <w:t xml:space="preserve">The introduction of a permanent </w:t>
            </w:r>
            <w:r w:rsidR="00173208">
              <w:rPr>
                <w:rFonts w:eastAsia="Calibri"/>
                <w:szCs w:val="20"/>
                <w:lang w:eastAsia="en-US"/>
              </w:rPr>
              <w:t xml:space="preserve">Oversight </w:t>
            </w:r>
            <w:r w:rsidRPr="00C85D1B">
              <w:rPr>
                <w:szCs w:val="28"/>
                <w:lang w:eastAsia="en-US"/>
              </w:rPr>
              <w:t xml:space="preserve">Authority through Option 3 will legally enshrine the </w:t>
            </w:r>
            <w:r w:rsidR="00DF50AB">
              <w:rPr>
                <w:szCs w:val="28"/>
                <w:lang w:eastAsia="en-US"/>
              </w:rPr>
              <w:t xml:space="preserve">Digital ID </w:t>
            </w:r>
            <w:r w:rsidRPr="00C85D1B">
              <w:rPr>
                <w:szCs w:val="28"/>
                <w:lang w:eastAsia="en-US"/>
              </w:rPr>
              <w:t xml:space="preserve">System’s enforceability, transparency, independence and accountability, providing greater certainty for all participants. With legislated powers and functions, the </w:t>
            </w:r>
            <w:r w:rsidR="00173208">
              <w:rPr>
                <w:rFonts w:eastAsia="Calibri"/>
                <w:szCs w:val="20"/>
                <w:lang w:eastAsia="en-US"/>
              </w:rPr>
              <w:t xml:space="preserve">Oversight </w:t>
            </w:r>
            <w:r w:rsidRPr="00C85D1B">
              <w:rPr>
                <w:szCs w:val="28"/>
                <w:lang w:eastAsia="en-US"/>
              </w:rPr>
              <w:t xml:space="preserve">Authority will strengthen protections for participants in the </w:t>
            </w:r>
            <w:r w:rsidR="00DF50AB">
              <w:rPr>
                <w:szCs w:val="28"/>
                <w:lang w:eastAsia="en-US"/>
              </w:rPr>
              <w:t xml:space="preserve">Digital ID </w:t>
            </w:r>
            <w:r w:rsidRPr="00C85D1B">
              <w:rPr>
                <w:szCs w:val="28"/>
                <w:lang w:eastAsia="en-US"/>
              </w:rPr>
              <w:t xml:space="preserve">System, support the </w:t>
            </w:r>
            <w:r w:rsidR="00DF50AB">
              <w:rPr>
                <w:szCs w:val="28"/>
                <w:lang w:eastAsia="en-US"/>
              </w:rPr>
              <w:t xml:space="preserve">Digital ID </w:t>
            </w:r>
            <w:r w:rsidRPr="00C85D1B">
              <w:rPr>
                <w:szCs w:val="28"/>
                <w:lang w:eastAsia="en-US"/>
              </w:rPr>
              <w:t>System’s integrity and longevity, and substantially increase the overall rigour offered by current governance arrangement.</w:t>
            </w:r>
          </w:p>
          <w:p w14:paraId="754021E2" w14:textId="0937F668" w:rsidR="00DC1D79" w:rsidRPr="00C85D1B" w:rsidRDefault="00DC1D79" w:rsidP="00ED223F">
            <w:pPr>
              <w:pStyle w:val="TableTextLeft"/>
              <w:keepNext/>
              <w:cnfStyle w:val="000000100000" w:firstRow="0" w:lastRow="0" w:firstColumn="0" w:lastColumn="0" w:oddVBand="0" w:evenVBand="0" w:oddHBand="1" w:evenHBand="0" w:firstRowFirstColumn="0" w:firstRowLastColumn="0" w:lastRowFirstColumn="0" w:lastRowLastColumn="0"/>
              <w:rPr>
                <w:szCs w:val="28"/>
                <w:lang w:eastAsia="en-US"/>
              </w:rPr>
            </w:pPr>
            <w:r w:rsidRPr="00C85D1B">
              <w:rPr>
                <w:szCs w:val="28"/>
                <w:lang w:eastAsia="en-US"/>
              </w:rPr>
              <w:t xml:space="preserve">Under Options 1 and 2, the </w:t>
            </w:r>
            <w:r w:rsidR="00DF50AB">
              <w:rPr>
                <w:szCs w:val="28"/>
                <w:lang w:eastAsia="en-US"/>
              </w:rPr>
              <w:t xml:space="preserve">Digital ID </w:t>
            </w:r>
            <w:r w:rsidRPr="00C85D1B">
              <w:rPr>
                <w:szCs w:val="28"/>
                <w:lang w:eastAsia="en-US"/>
              </w:rPr>
              <w:t>System would continue to operate under an interim, non-leg</w:t>
            </w:r>
            <w:r w:rsidR="006C76E8">
              <w:rPr>
                <w:szCs w:val="28"/>
                <w:lang w:eastAsia="en-US"/>
              </w:rPr>
              <w:t xml:space="preserve">islative </w:t>
            </w:r>
            <w:r w:rsidRPr="00C85D1B">
              <w:rPr>
                <w:szCs w:val="28"/>
                <w:lang w:eastAsia="en-US"/>
              </w:rPr>
              <w:t xml:space="preserve">governance framework, which may lead to low levels of trust and confidence. Therefore, only Option 3 can address the government’s policy objectives by enhancing trust and reliance. </w:t>
            </w:r>
          </w:p>
        </w:tc>
      </w:tr>
    </w:tbl>
    <w:p w14:paraId="640BA025" w14:textId="1AABAED5" w:rsidR="0052151B" w:rsidRDefault="0052151B">
      <w:pPr>
        <w:pStyle w:val="Caption"/>
      </w:pPr>
      <w:bookmarkStart w:id="606" w:name="_Toc130390614"/>
      <w:bookmarkStart w:id="607" w:name="_Toc82532402"/>
      <w:r>
        <w:t xml:space="preserve">Table </w:t>
      </w:r>
      <w:r>
        <w:fldChar w:fldCharType="begin"/>
      </w:r>
      <w:r>
        <w:instrText>SEQ Table \* ARABIC</w:instrText>
      </w:r>
      <w:r>
        <w:fldChar w:fldCharType="separate"/>
      </w:r>
      <w:r>
        <w:rPr>
          <w:noProof/>
        </w:rPr>
        <w:t>10</w:t>
      </w:r>
      <w:r>
        <w:fldChar w:fldCharType="end"/>
      </w:r>
      <w:r>
        <w:t xml:space="preserve">: </w:t>
      </w:r>
      <w:r w:rsidRPr="00894BCA">
        <w:t>Option 3 alignment with policy objectives and problem areas</w:t>
      </w:r>
      <w:bookmarkEnd w:id="606"/>
    </w:p>
    <w:bookmarkEnd w:id="607"/>
    <w:p w14:paraId="0441E0D1" w14:textId="495C1B53" w:rsidR="00844C94" w:rsidRPr="000B7589" w:rsidRDefault="00E6232E" w:rsidP="00844C94">
      <w:pPr>
        <w:pStyle w:val="BodyText"/>
        <w:rPr>
          <w:rFonts w:eastAsia="Calibri"/>
          <w:b/>
          <w:bCs/>
          <w:lang w:eastAsia="en-US"/>
        </w:rPr>
      </w:pPr>
      <w:r w:rsidRPr="0044713B">
        <w:rPr>
          <w:lang w:eastAsia="en-US"/>
        </w:rPr>
        <w:t xml:space="preserve">Option 3 also presents the strongest opportunity for enhancing alignment with the </w:t>
      </w:r>
      <w:r w:rsidRPr="00FD276A">
        <w:rPr>
          <w:lang w:eastAsia="en-US"/>
        </w:rPr>
        <w:t>five guiding principles, discussed in</w:t>
      </w:r>
      <w:r w:rsidR="00844C94">
        <w:rPr>
          <w:lang w:eastAsia="en-US"/>
        </w:rPr>
        <w:t xml:space="preserve"> </w:t>
      </w:r>
      <w:hyperlink w:anchor="section323" w:history="1">
        <w:r w:rsidR="00844C94" w:rsidRPr="00D43087">
          <w:rPr>
            <w:rStyle w:val="Hyperlink"/>
            <w:color w:val="008675"/>
            <w:lang w:eastAsia="en-US"/>
          </w:rPr>
          <w:t>Section 3.2.3</w:t>
        </w:r>
      </w:hyperlink>
      <w:r w:rsidR="00844C94">
        <w:rPr>
          <w:lang w:eastAsia="en-US"/>
        </w:rPr>
        <w:t xml:space="preserve">: choice, consent, privacy, security and integrity. For example: </w:t>
      </w:r>
    </w:p>
    <w:p w14:paraId="71E1A702" w14:textId="5A0343D2" w:rsidR="00E6232E" w:rsidRPr="000B7589" w:rsidRDefault="00E6232E" w:rsidP="00A11DE4">
      <w:pPr>
        <w:pStyle w:val="ListBulletLevel1"/>
        <w:rPr>
          <w:rFonts w:eastAsia="Calibri"/>
          <w:lang w:eastAsia="en-US"/>
        </w:rPr>
      </w:pPr>
      <w:r w:rsidRPr="000B7589">
        <w:rPr>
          <w:rFonts w:eastAsia="Calibri"/>
          <w:b/>
          <w:bCs/>
          <w:lang w:eastAsia="en-US"/>
        </w:rPr>
        <w:t>Choice and consent</w:t>
      </w:r>
      <w:r w:rsidRPr="000B7589">
        <w:rPr>
          <w:rFonts w:eastAsia="Calibri"/>
          <w:lang w:eastAsia="en-US"/>
        </w:rPr>
        <w:t>: A dedicated regulatory scheme will ensure participation remains voluntary, making certain that individuals consent to their information being collected in connection</w:t>
      </w:r>
      <w:r w:rsidR="007D7A9B">
        <w:rPr>
          <w:rFonts w:eastAsia="Calibri"/>
          <w:lang w:eastAsia="en-US"/>
        </w:rPr>
        <w:t xml:space="preserve"> Digital ID</w:t>
      </w:r>
      <w:r w:rsidRPr="000B7589">
        <w:rPr>
          <w:rFonts w:eastAsia="Calibri"/>
          <w:lang w:eastAsia="en-US"/>
        </w:rPr>
        <w:t xml:space="preserve">. For those who wish to participate, Option 3 will enable and incentivise the participation of a wider range of both public and private sector </w:t>
      </w:r>
      <w:r w:rsidR="00923CA8">
        <w:rPr>
          <w:rFonts w:eastAsia="Calibri"/>
          <w:lang w:eastAsia="en-US"/>
        </w:rPr>
        <w:t>i</w:t>
      </w:r>
      <w:r w:rsidRPr="000B7589">
        <w:rPr>
          <w:rFonts w:eastAsia="Calibri"/>
          <w:lang w:eastAsia="en-US"/>
        </w:rPr>
        <w:t xml:space="preserve">dentity </w:t>
      </w:r>
      <w:r w:rsidR="00923CA8">
        <w:rPr>
          <w:rFonts w:eastAsia="Calibri"/>
          <w:lang w:eastAsia="en-US"/>
        </w:rPr>
        <w:t>p</w:t>
      </w:r>
      <w:r w:rsidRPr="000B7589">
        <w:rPr>
          <w:rFonts w:eastAsia="Calibri"/>
          <w:lang w:eastAsia="en-US"/>
        </w:rPr>
        <w:t xml:space="preserve">roviders as well as a more diverse range of </w:t>
      </w:r>
      <w:r w:rsidR="00E96EC0">
        <w:rPr>
          <w:rFonts w:eastAsia="Calibri"/>
          <w:lang w:eastAsia="en-US"/>
        </w:rPr>
        <w:lastRenderedPageBreak/>
        <w:t>r</w:t>
      </w:r>
      <w:r w:rsidRPr="000B7589">
        <w:rPr>
          <w:rFonts w:eastAsia="Calibri"/>
          <w:lang w:eastAsia="en-US"/>
        </w:rPr>
        <w:t xml:space="preserve">elying </w:t>
      </w:r>
      <w:r w:rsidR="00E96EC0">
        <w:rPr>
          <w:rFonts w:eastAsia="Calibri"/>
          <w:lang w:eastAsia="en-US"/>
        </w:rPr>
        <w:t>p</w:t>
      </w:r>
      <w:r w:rsidRPr="000B7589">
        <w:rPr>
          <w:rFonts w:eastAsia="Calibri"/>
          <w:lang w:eastAsia="en-US"/>
        </w:rPr>
        <w:t>arties. As a result, user choice</w:t>
      </w:r>
      <w:r w:rsidR="000C2766">
        <w:rPr>
          <w:rFonts w:eastAsia="Calibri"/>
          <w:lang w:eastAsia="en-US"/>
        </w:rPr>
        <w:t xml:space="preserve"> will</w:t>
      </w:r>
      <w:r w:rsidRPr="000B7589">
        <w:rPr>
          <w:rFonts w:eastAsia="Calibri"/>
          <w:lang w:eastAsia="en-US"/>
        </w:rPr>
        <w:t xml:space="preserve"> be both legally enshrined and strengthened in practice as a central component. </w:t>
      </w:r>
    </w:p>
    <w:p w14:paraId="78D0F6F4" w14:textId="7EA7B51E" w:rsidR="00E6232E" w:rsidRPr="000B7589" w:rsidRDefault="00E6232E" w:rsidP="00A11DE4">
      <w:pPr>
        <w:pStyle w:val="ListBulletLevel1"/>
        <w:rPr>
          <w:rFonts w:eastAsia="Calibri"/>
          <w:lang w:eastAsia="en-US"/>
        </w:rPr>
      </w:pPr>
      <w:r w:rsidRPr="000B7589">
        <w:rPr>
          <w:rFonts w:eastAsia="Calibri"/>
          <w:b/>
          <w:bCs/>
          <w:lang w:eastAsia="en-US"/>
        </w:rPr>
        <w:t>Privacy, security and integrity:</w:t>
      </w:r>
      <w:r w:rsidRPr="000B7589">
        <w:rPr>
          <w:rFonts w:eastAsia="Calibri"/>
          <w:lang w:eastAsia="en-US"/>
        </w:rPr>
        <w:t xml:space="preserve"> Option 3 offers a consistent approach to privacy protections across all jurisdictions, supported by the legally enshrined enforcement and compliance powers of the </w:t>
      </w:r>
      <w:r w:rsidR="00173208">
        <w:rPr>
          <w:rFonts w:eastAsia="Calibri"/>
          <w:szCs w:val="20"/>
          <w:lang w:eastAsia="en-US"/>
        </w:rPr>
        <w:t xml:space="preserve">Oversight </w:t>
      </w:r>
      <w:r w:rsidRPr="000B7589">
        <w:rPr>
          <w:rFonts w:eastAsia="Calibri"/>
          <w:lang w:eastAsia="en-US"/>
        </w:rPr>
        <w:t xml:space="preserve">Authority. This permanent governance arrangement will afford individuals avenues for recourse where data breaches occur, as well as ensuring enduring compliance with transparency and accountability mechanisms. Further, security safeguards embedded in the dedicated regulatory scheme will instil greater </w:t>
      </w:r>
      <w:r w:rsidR="004E13E2">
        <w:rPr>
          <w:rFonts w:eastAsia="Calibri"/>
          <w:lang w:eastAsia="en-US"/>
        </w:rPr>
        <w:t>u</w:t>
      </w:r>
      <w:r w:rsidRPr="000B7589">
        <w:rPr>
          <w:rFonts w:eastAsia="Calibri"/>
          <w:lang w:eastAsia="en-US"/>
        </w:rPr>
        <w:t xml:space="preserve">ser trust and confidence in </w:t>
      </w:r>
      <w:r w:rsidR="00D43087">
        <w:rPr>
          <w:rFonts w:eastAsia="Calibri"/>
          <w:lang w:eastAsia="en-US"/>
        </w:rPr>
        <w:t>AGDIS</w:t>
      </w:r>
      <w:r w:rsidRPr="000B7589">
        <w:rPr>
          <w:rFonts w:eastAsia="Calibri"/>
          <w:lang w:eastAsia="en-US"/>
        </w:rPr>
        <w:t xml:space="preserve">, with the likely outcome of increasing uptake. </w:t>
      </w:r>
    </w:p>
    <w:p w14:paraId="039ED8F8" w14:textId="1ED12BB1" w:rsidR="00E6232E" w:rsidRPr="000B7589" w:rsidRDefault="00E6232E" w:rsidP="00A11DE4">
      <w:pPr>
        <w:pStyle w:val="BodyText"/>
        <w:rPr>
          <w:lang w:eastAsia="en-US"/>
        </w:rPr>
      </w:pPr>
      <w:r w:rsidRPr="000B7589">
        <w:rPr>
          <w:lang w:eastAsia="en-US"/>
        </w:rPr>
        <w:t>Option 1 will continue to secure the significant benefits currently available to individuals and businesses. However, by not addressing the obstacles to expansion, it represents a foregone opportunity to maximise these benefits and further enhance the five principles of</w:t>
      </w:r>
      <w:r w:rsidR="005A6E12">
        <w:rPr>
          <w:lang w:eastAsia="en-US"/>
        </w:rPr>
        <w:t xml:space="preserve"> Digital ID</w:t>
      </w:r>
      <w:r w:rsidRPr="000B7589">
        <w:rPr>
          <w:lang w:eastAsia="en-US"/>
        </w:rPr>
        <w:t>. Individuals would be deprived of the additional choice that would come with expansion, and legally enshrined accountability, independence and transparency mechanisms. Similarly, Option 2 offers limited opportunity for furthering these principles. Consent and integrity may benefit from slightly strengthened accountability and transparency mechanisms, but without the force of government regulation. Safeguards and avenues for recourse would not be supported by a consistent dedicated regulatory framework established through primary legislation.</w:t>
      </w:r>
    </w:p>
    <w:p w14:paraId="7FF64BFA" w14:textId="478126B7" w:rsidR="00E6232E" w:rsidRPr="00794BB0" w:rsidRDefault="00E6232E" w:rsidP="00A11DE4">
      <w:pPr>
        <w:pStyle w:val="BodyText"/>
        <w:rPr>
          <w:rFonts w:eastAsia="Calibri"/>
          <w:lang w:eastAsia="en-US"/>
        </w:rPr>
      </w:pPr>
      <w:r w:rsidRPr="000B7589">
        <w:rPr>
          <w:lang w:eastAsia="en-US"/>
        </w:rPr>
        <w:t>As described in</w:t>
      </w:r>
      <w:r w:rsidR="0021736E">
        <w:rPr>
          <w:lang w:eastAsia="en-US"/>
        </w:rPr>
        <w:t xml:space="preserve"> </w:t>
      </w:r>
      <w:hyperlink w:anchor="section92" w:history="1">
        <w:r w:rsidR="0021736E" w:rsidRPr="00D43087">
          <w:rPr>
            <w:rStyle w:val="Hyperlink"/>
            <w:color w:val="008675"/>
            <w:lang w:eastAsia="en-US"/>
          </w:rPr>
          <w:t>Section 9.2 Regulatory impacts</w:t>
        </w:r>
      </w:hyperlink>
      <w:r w:rsidR="006F2C03">
        <w:rPr>
          <w:lang w:eastAsia="en-US"/>
        </w:rPr>
        <w:t>,</w:t>
      </w:r>
      <w:r w:rsidRPr="000B7589">
        <w:rPr>
          <w:lang w:eastAsia="en-US"/>
        </w:rPr>
        <w:t xml:space="preserve"> </w:t>
      </w:r>
      <w:r w:rsidRPr="000B7589">
        <w:rPr>
          <w:rFonts w:eastAsia="Calibri"/>
          <w:lang w:eastAsia="en-US"/>
        </w:rPr>
        <w:t xml:space="preserve">the </w:t>
      </w:r>
      <w:r w:rsidR="00913D9E">
        <w:rPr>
          <w:rFonts w:eastAsia="Calibri"/>
          <w:lang w:eastAsia="en-US"/>
        </w:rPr>
        <w:t xml:space="preserve">regulatory scheme’s </w:t>
      </w:r>
      <w:r w:rsidRPr="000B7589">
        <w:rPr>
          <w:rFonts w:eastAsia="Calibri"/>
          <w:lang w:eastAsia="en-US"/>
        </w:rPr>
        <w:t xml:space="preserve">focus </w:t>
      </w:r>
      <w:r w:rsidR="00A735FB">
        <w:rPr>
          <w:rFonts w:eastAsia="Calibri"/>
          <w:lang w:eastAsia="en-US"/>
        </w:rPr>
        <w:t>o</w:t>
      </w:r>
      <w:r w:rsidRPr="000B7589">
        <w:rPr>
          <w:rFonts w:eastAsia="Calibri"/>
          <w:lang w:eastAsia="en-US"/>
        </w:rPr>
        <w:t xml:space="preserve">n </w:t>
      </w:r>
      <w:r w:rsidR="00651CA6">
        <w:rPr>
          <w:rFonts w:eastAsia="Calibri"/>
          <w:lang w:eastAsia="en-US"/>
        </w:rPr>
        <w:t xml:space="preserve">onboarded </w:t>
      </w:r>
      <w:r w:rsidR="00E96EC0">
        <w:rPr>
          <w:rFonts w:eastAsia="Calibri"/>
          <w:lang w:eastAsia="en-US"/>
        </w:rPr>
        <w:t>a</w:t>
      </w:r>
      <w:r w:rsidRPr="000B7589">
        <w:rPr>
          <w:rFonts w:eastAsia="Calibri"/>
          <w:lang w:eastAsia="en-US"/>
        </w:rPr>
        <w:t xml:space="preserve">ccredited </w:t>
      </w:r>
      <w:r w:rsidR="00651CA6">
        <w:rPr>
          <w:rFonts w:eastAsia="Calibri"/>
          <w:lang w:eastAsia="en-US"/>
        </w:rPr>
        <w:t>entities</w:t>
      </w:r>
      <w:r w:rsidR="00414140">
        <w:rPr>
          <w:rFonts w:eastAsia="Calibri"/>
          <w:lang w:eastAsia="en-US"/>
        </w:rPr>
        <w:t>,</w:t>
      </w:r>
      <w:r w:rsidR="00651CA6">
        <w:rPr>
          <w:rFonts w:eastAsia="Calibri"/>
          <w:lang w:eastAsia="en-US"/>
        </w:rPr>
        <w:t xml:space="preserve"> </w:t>
      </w:r>
      <w:r w:rsidR="00E96EC0">
        <w:rPr>
          <w:rFonts w:eastAsia="Calibri"/>
          <w:lang w:eastAsia="en-US"/>
        </w:rPr>
        <w:t>a</w:t>
      </w:r>
      <w:r w:rsidRPr="000B7589">
        <w:rPr>
          <w:rFonts w:eastAsia="Calibri"/>
          <w:lang w:eastAsia="en-US"/>
        </w:rPr>
        <w:t xml:space="preserve">ccredited </w:t>
      </w:r>
      <w:r w:rsidR="00E96EC0">
        <w:rPr>
          <w:rFonts w:eastAsia="Calibri"/>
          <w:lang w:eastAsia="en-US"/>
        </w:rPr>
        <w:t>e</w:t>
      </w:r>
      <w:r w:rsidRPr="000B7589">
        <w:rPr>
          <w:rFonts w:eastAsia="Calibri"/>
          <w:lang w:eastAsia="en-US"/>
        </w:rPr>
        <w:t xml:space="preserve">ntities and </w:t>
      </w:r>
      <w:r w:rsidR="00E96EC0">
        <w:rPr>
          <w:rFonts w:eastAsia="Calibri"/>
          <w:lang w:eastAsia="en-US"/>
        </w:rPr>
        <w:t>r</w:t>
      </w:r>
      <w:r w:rsidRPr="000B7589">
        <w:rPr>
          <w:rFonts w:eastAsia="Calibri"/>
          <w:lang w:eastAsia="en-US"/>
        </w:rPr>
        <w:t xml:space="preserve">elying </w:t>
      </w:r>
      <w:r w:rsidR="00E96EC0">
        <w:rPr>
          <w:rFonts w:eastAsia="Calibri"/>
          <w:lang w:eastAsia="en-US"/>
        </w:rPr>
        <w:t>p</w:t>
      </w:r>
      <w:r w:rsidRPr="000B7589">
        <w:rPr>
          <w:rFonts w:eastAsia="Calibri"/>
          <w:lang w:eastAsia="en-US"/>
        </w:rPr>
        <w:t xml:space="preserve">arties means regulatory costs will be </w:t>
      </w:r>
      <w:r w:rsidR="00E33C65">
        <w:rPr>
          <w:rFonts w:eastAsia="Calibri"/>
          <w:lang w:eastAsia="en-US"/>
        </w:rPr>
        <w:t>borne</w:t>
      </w:r>
      <w:r w:rsidRPr="000B7589">
        <w:rPr>
          <w:rFonts w:eastAsia="Calibri"/>
          <w:lang w:eastAsia="en-US"/>
        </w:rPr>
        <w:t xml:space="preserve"> by a small subset of stakeholders</w:t>
      </w:r>
      <w:r w:rsidRPr="00A735FB">
        <w:rPr>
          <w:rFonts w:eastAsia="Calibri"/>
          <w:lang w:eastAsia="en-US"/>
        </w:rPr>
        <w:t xml:space="preserve">. </w:t>
      </w:r>
      <w:r w:rsidR="004712C4" w:rsidRPr="00A735FB">
        <w:rPr>
          <w:rFonts w:eastAsia="Calibri"/>
          <w:lang w:eastAsia="en-US"/>
        </w:rPr>
        <w:t xml:space="preserve">These regulatory costs (estimated at a whole-of-economy annual average cost </w:t>
      </w:r>
      <w:r w:rsidR="004712C4" w:rsidRPr="008F7CB1">
        <w:rPr>
          <w:rFonts w:eastAsia="Calibri"/>
          <w:lang w:eastAsia="en-US"/>
        </w:rPr>
        <w:t xml:space="preserve">of </w:t>
      </w:r>
      <w:r w:rsidR="004712C4" w:rsidRPr="00ED223F">
        <w:rPr>
          <w:rFonts w:eastAsia="Calibri"/>
          <w:b/>
          <w:bCs/>
          <w:lang w:eastAsia="en-US"/>
        </w:rPr>
        <w:t>$</w:t>
      </w:r>
      <w:r w:rsidR="00A735FB" w:rsidRPr="00ED223F">
        <w:rPr>
          <w:rStyle w:val="Bold"/>
          <w:bCs/>
        </w:rPr>
        <w:t>1,498,652</w:t>
      </w:r>
      <w:r w:rsidR="004712C4" w:rsidRPr="008F7CB1">
        <w:rPr>
          <w:rFonts w:eastAsia="Calibri"/>
          <w:lang w:eastAsia="en-US"/>
        </w:rPr>
        <w:t>)</w:t>
      </w:r>
      <w:r w:rsidR="004712C4" w:rsidRPr="00A735FB">
        <w:rPr>
          <w:rFonts w:eastAsia="Calibri"/>
          <w:lang w:eastAsia="en-US"/>
        </w:rPr>
        <w:t xml:space="preserve"> are offset by both the voluntary nature of </w:t>
      </w:r>
      <w:r w:rsidR="004C086C">
        <w:rPr>
          <w:rFonts w:eastAsia="Calibri"/>
          <w:lang w:eastAsia="en-US"/>
        </w:rPr>
        <w:t>Digital</w:t>
      </w:r>
      <w:r w:rsidR="00BE0C45">
        <w:rPr>
          <w:rFonts w:eastAsia="Calibri"/>
          <w:lang w:eastAsia="en-US"/>
        </w:rPr>
        <w:t xml:space="preserve"> ID</w:t>
      </w:r>
      <w:r w:rsidR="004712C4" w:rsidRPr="00A735FB">
        <w:rPr>
          <w:rFonts w:eastAsia="Calibri"/>
          <w:lang w:eastAsia="en-US"/>
        </w:rPr>
        <w:t xml:space="preserve">, and </w:t>
      </w:r>
      <w:r w:rsidR="004712C4" w:rsidRPr="00261BA8">
        <w:rPr>
          <w:rFonts w:eastAsia="Calibri"/>
          <w:lang w:eastAsia="en-US"/>
        </w:rPr>
        <w:t xml:space="preserve">the many benefits </w:t>
      </w:r>
      <w:r w:rsidR="00A735FB" w:rsidRPr="00C62D6D">
        <w:rPr>
          <w:rFonts w:eastAsia="Calibri"/>
          <w:lang w:eastAsia="en-US"/>
        </w:rPr>
        <w:t>available to those who choose to participate or be accredited.</w:t>
      </w:r>
      <w:r w:rsidR="00390D02">
        <w:rPr>
          <w:rFonts w:eastAsia="Calibri"/>
          <w:lang w:eastAsia="en-US"/>
        </w:rPr>
        <w:t xml:space="preserve"> </w:t>
      </w:r>
      <w:r w:rsidR="000912B3">
        <w:rPr>
          <w:rFonts w:eastAsia="Calibri"/>
          <w:lang w:eastAsia="en-US"/>
        </w:rPr>
        <w:t xml:space="preserve">For </w:t>
      </w:r>
      <w:r w:rsidR="00ED223F">
        <w:rPr>
          <w:rFonts w:eastAsia="Calibri"/>
          <w:lang w:eastAsia="en-US"/>
        </w:rPr>
        <w:t>contextual</w:t>
      </w:r>
      <w:r w:rsidR="000912B3">
        <w:rPr>
          <w:rFonts w:eastAsia="Calibri"/>
          <w:lang w:eastAsia="en-US"/>
        </w:rPr>
        <w:t xml:space="preserve"> purposes</w:t>
      </w:r>
      <w:r w:rsidR="00ED223F">
        <w:rPr>
          <w:rFonts w:eastAsia="Calibri"/>
          <w:lang w:eastAsia="en-US"/>
        </w:rPr>
        <w:t>,</w:t>
      </w:r>
      <w:r w:rsidR="000912B3">
        <w:rPr>
          <w:rFonts w:eastAsia="Calibri"/>
          <w:lang w:eastAsia="en-US"/>
        </w:rPr>
        <w:t xml:space="preserve"> economic analysis </w:t>
      </w:r>
      <w:r w:rsidR="000912B3" w:rsidRPr="00845144">
        <w:rPr>
          <w:rFonts w:eastAsia="Calibri"/>
          <w:lang w:eastAsia="en-US"/>
        </w:rPr>
        <w:t xml:space="preserve">estimates </w:t>
      </w:r>
      <w:r w:rsidR="00764AB7" w:rsidRPr="00D00C7F">
        <w:rPr>
          <w:rFonts w:eastAsia="Calibri"/>
          <w:lang w:eastAsia="en-US"/>
        </w:rPr>
        <w:t>$3</w:t>
      </w:r>
      <w:r w:rsidR="00DF6FDB" w:rsidRPr="00D00C7F">
        <w:rPr>
          <w:rFonts w:eastAsia="Calibri"/>
          <w:lang w:eastAsia="en-US"/>
        </w:rPr>
        <w:t xml:space="preserve">.312 </w:t>
      </w:r>
      <w:r w:rsidR="00764AB7" w:rsidRPr="00D00C7F">
        <w:rPr>
          <w:rFonts w:eastAsia="Calibri"/>
          <w:lang w:eastAsia="en-US"/>
        </w:rPr>
        <w:t>billion whole-of-economy</w:t>
      </w:r>
      <w:r w:rsidR="00764AB7" w:rsidRPr="00845144">
        <w:rPr>
          <w:rFonts w:eastAsia="Calibri"/>
          <w:lang w:eastAsia="en-US"/>
        </w:rPr>
        <w:t xml:space="preserve"> </w:t>
      </w:r>
      <w:r w:rsidR="00DF6FDB" w:rsidRPr="00ED223F">
        <w:rPr>
          <w:rFonts w:eastAsia="Calibri"/>
          <w:lang w:eastAsia="en-US"/>
        </w:rPr>
        <w:t xml:space="preserve">indirect </w:t>
      </w:r>
      <w:r w:rsidR="00764AB7" w:rsidRPr="00845144">
        <w:rPr>
          <w:rFonts w:eastAsia="Calibri"/>
          <w:lang w:eastAsia="en-US"/>
        </w:rPr>
        <w:t xml:space="preserve">benefit </w:t>
      </w:r>
      <w:r w:rsidR="000912B3" w:rsidRPr="00ED223F">
        <w:rPr>
          <w:rFonts w:eastAsia="Calibri"/>
          <w:lang w:eastAsia="en-US"/>
        </w:rPr>
        <w:t xml:space="preserve">related to individual time savings alone, </w:t>
      </w:r>
      <w:r w:rsidR="00B536B1" w:rsidRPr="00ED223F">
        <w:rPr>
          <w:rFonts w:eastAsia="Calibri"/>
          <w:lang w:eastAsia="en-US"/>
        </w:rPr>
        <w:t>under</w:t>
      </w:r>
      <w:r w:rsidR="00BE0C45">
        <w:rPr>
          <w:rFonts w:eastAsia="Calibri"/>
          <w:lang w:eastAsia="en-US"/>
        </w:rPr>
        <w:t xml:space="preserve"> current arrangements</w:t>
      </w:r>
      <w:r w:rsidR="00D00C7F">
        <w:rPr>
          <w:rFonts w:eastAsia="Calibri"/>
          <w:lang w:eastAsia="en-US"/>
        </w:rPr>
        <w:t>.</w:t>
      </w:r>
      <w:r w:rsidR="00D44FE0">
        <w:rPr>
          <w:rFonts w:eastAsia="Calibri"/>
          <w:lang w:eastAsia="en-US"/>
        </w:rPr>
        <w:t xml:space="preserve"> </w:t>
      </w:r>
      <w:r w:rsidR="00C62D6D" w:rsidRPr="00794BB0">
        <w:rPr>
          <w:rFonts w:eastAsia="Calibri"/>
          <w:lang w:eastAsia="en-US"/>
        </w:rPr>
        <w:t>E</w:t>
      </w:r>
      <w:r w:rsidR="00651CA6" w:rsidRPr="00794BB0">
        <w:rPr>
          <w:rFonts w:eastAsia="Calibri"/>
          <w:lang w:eastAsia="en-US"/>
        </w:rPr>
        <w:t xml:space="preserve">ntities </w:t>
      </w:r>
      <w:r w:rsidRPr="00794BB0">
        <w:rPr>
          <w:rFonts w:eastAsia="Calibri"/>
          <w:lang w:eastAsia="en-US"/>
        </w:rPr>
        <w:t>can assess their ability to meet the regulatory costs of participation and voluntarily choose to undergo the accreditation</w:t>
      </w:r>
      <w:r w:rsidR="00414140" w:rsidRPr="00794BB0">
        <w:rPr>
          <w:rFonts w:eastAsia="Calibri"/>
          <w:lang w:eastAsia="en-US"/>
        </w:rPr>
        <w:t xml:space="preserve"> or onboarding</w:t>
      </w:r>
      <w:r w:rsidRPr="00794BB0">
        <w:rPr>
          <w:rFonts w:eastAsia="Calibri"/>
          <w:lang w:eastAsia="en-US"/>
        </w:rPr>
        <w:t xml:space="preserve"> process if this is expected to lead to positive revenue outcomes through the delivery of new or expanded services.</w:t>
      </w:r>
      <w:r w:rsidR="00737BA2" w:rsidRPr="00794BB0">
        <w:rPr>
          <w:rFonts w:eastAsia="Calibri"/>
          <w:lang w:eastAsia="en-US"/>
        </w:rPr>
        <w:t xml:space="preserve"> </w:t>
      </w:r>
    </w:p>
    <w:p w14:paraId="4D62D15C" w14:textId="2E8CDDC4" w:rsidR="00974CD2" w:rsidRPr="00794BB0" w:rsidRDefault="00C83E0E" w:rsidP="000E025A">
      <w:pPr>
        <w:pStyle w:val="BodyText"/>
        <w:rPr>
          <w:rFonts w:eastAsia="Calibri"/>
          <w:lang w:eastAsia="en-US"/>
        </w:rPr>
      </w:pPr>
      <w:r w:rsidRPr="00D44FE0">
        <w:rPr>
          <w:rFonts w:eastAsia="Calibri"/>
          <w:lang w:eastAsia="en-US"/>
        </w:rPr>
        <w:lastRenderedPageBreak/>
        <w:t>Additionally</w:t>
      </w:r>
      <w:r w:rsidR="000E025A" w:rsidRPr="00D44FE0">
        <w:rPr>
          <w:rFonts w:eastAsia="Calibri"/>
          <w:lang w:eastAsia="en-US"/>
        </w:rPr>
        <w:t xml:space="preserve">, the outcomes of the Program's continuous and broad-based consultation </w:t>
      </w:r>
      <w:r w:rsidR="00C050B5" w:rsidRPr="00D44FE0">
        <w:rPr>
          <w:rFonts w:eastAsia="Calibri"/>
          <w:lang w:eastAsia="en-US"/>
        </w:rPr>
        <w:t>strategy</w:t>
      </w:r>
      <w:r w:rsidR="000E025A" w:rsidRPr="00D44FE0">
        <w:rPr>
          <w:rFonts w:eastAsia="Calibri"/>
          <w:lang w:eastAsia="en-US"/>
        </w:rPr>
        <w:t xml:space="preserve">, engaging stakeholders at all levels, </w:t>
      </w:r>
      <w:r w:rsidR="00565838" w:rsidRPr="00D44FE0">
        <w:rPr>
          <w:rFonts w:eastAsia="Calibri"/>
          <w:lang w:eastAsia="en-US"/>
        </w:rPr>
        <w:t>has</w:t>
      </w:r>
      <w:r w:rsidR="000E025A" w:rsidRPr="00D44FE0">
        <w:rPr>
          <w:rFonts w:eastAsia="Calibri"/>
          <w:lang w:eastAsia="en-US"/>
        </w:rPr>
        <w:t xml:space="preserve"> informed the selection of Option 3 as the preferred option. </w:t>
      </w:r>
      <w:r w:rsidR="00974CD2" w:rsidRPr="00D44FE0">
        <w:rPr>
          <w:rFonts w:eastAsia="Calibri"/>
          <w:lang w:eastAsia="en-US"/>
        </w:rPr>
        <w:t xml:space="preserve">The </w:t>
      </w:r>
      <w:r w:rsidR="00F433A3" w:rsidRPr="00D44FE0">
        <w:rPr>
          <w:rFonts w:eastAsia="Calibri"/>
          <w:lang w:eastAsia="en-US"/>
        </w:rPr>
        <w:t>t</w:t>
      </w:r>
      <w:r w:rsidR="00974CD2" w:rsidRPr="00D44FE0">
        <w:rPr>
          <w:rFonts w:eastAsia="Calibri"/>
          <w:lang w:eastAsia="en-US"/>
        </w:rPr>
        <w:t>able below</w:t>
      </w:r>
      <w:r w:rsidR="00A76CD9" w:rsidRPr="00D44FE0">
        <w:rPr>
          <w:rFonts w:eastAsia="Calibri"/>
          <w:lang w:eastAsia="en-US"/>
        </w:rPr>
        <w:t xml:space="preserve"> </w:t>
      </w:r>
      <w:r w:rsidR="00CA42A4" w:rsidRPr="00D44FE0">
        <w:rPr>
          <w:rFonts w:eastAsia="Calibri"/>
          <w:lang w:eastAsia="en-US"/>
        </w:rPr>
        <w:t>details</w:t>
      </w:r>
      <w:r w:rsidR="00A76CD9" w:rsidRPr="00D44FE0">
        <w:rPr>
          <w:rFonts w:eastAsia="Calibri"/>
          <w:lang w:eastAsia="en-US"/>
        </w:rPr>
        <w:t xml:space="preserve"> </w:t>
      </w:r>
      <w:r w:rsidR="00E775E4" w:rsidRPr="00D44FE0">
        <w:rPr>
          <w:rFonts w:eastAsia="Calibri"/>
          <w:lang w:eastAsia="en-US"/>
        </w:rPr>
        <w:t>how stakeholders have viewed the</w:t>
      </w:r>
      <w:r w:rsidR="000E7DDF" w:rsidRPr="00D44FE0">
        <w:rPr>
          <w:rFonts w:eastAsia="Calibri"/>
          <w:lang w:eastAsia="en-US"/>
        </w:rPr>
        <w:t xml:space="preserve"> three </w:t>
      </w:r>
      <w:r w:rsidR="00E775E4" w:rsidRPr="00D44FE0">
        <w:rPr>
          <w:rFonts w:eastAsia="Calibri"/>
          <w:lang w:eastAsia="en-US"/>
        </w:rPr>
        <w:t xml:space="preserve">regulatory </w:t>
      </w:r>
      <w:r w:rsidR="00CA42A4" w:rsidRPr="00D44FE0">
        <w:rPr>
          <w:rFonts w:eastAsia="Calibri"/>
          <w:lang w:eastAsia="en-US"/>
        </w:rPr>
        <w:t>options across the span of consultation</w:t>
      </w:r>
      <w:r w:rsidR="002A0B63" w:rsidRPr="00D44FE0">
        <w:rPr>
          <w:rFonts w:eastAsia="Calibri"/>
          <w:lang w:eastAsia="en-US"/>
        </w:rPr>
        <w:t>s</w:t>
      </w:r>
      <w:r w:rsidR="00CA42A4" w:rsidRPr="00D44FE0">
        <w:rPr>
          <w:rFonts w:eastAsia="Calibri"/>
          <w:lang w:eastAsia="en-US"/>
        </w:rPr>
        <w:t xml:space="preserve"> conducted</w:t>
      </w:r>
      <w:r w:rsidR="00E775E4" w:rsidRPr="00D44FE0">
        <w:rPr>
          <w:rFonts w:eastAsia="Calibri"/>
          <w:lang w:eastAsia="en-US"/>
        </w:rPr>
        <w:t>.</w:t>
      </w:r>
      <w:r w:rsidR="00E775E4" w:rsidRPr="00794BB0">
        <w:rPr>
          <w:rFonts w:eastAsia="Calibri"/>
          <w:lang w:eastAsia="en-US"/>
        </w:rPr>
        <w:t xml:space="preserve"> </w:t>
      </w:r>
    </w:p>
    <w:tbl>
      <w:tblPr>
        <w:tblStyle w:val="GridTable2-Accent3"/>
        <w:tblW w:w="0" w:type="auto"/>
        <w:tblLook w:val="04A0" w:firstRow="1" w:lastRow="0" w:firstColumn="1" w:lastColumn="0" w:noHBand="0" w:noVBand="1"/>
      </w:tblPr>
      <w:tblGrid>
        <w:gridCol w:w="2410"/>
        <w:gridCol w:w="6651"/>
      </w:tblGrid>
      <w:tr w:rsidR="00D43087" w:rsidRPr="00D43087" w14:paraId="2FF2355D" w14:textId="77777777" w:rsidTr="00D43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008675"/>
            </w:tcBorders>
          </w:tcPr>
          <w:p w14:paraId="04C353DF" w14:textId="4DB8DE99" w:rsidR="00AA7F08" w:rsidRPr="00D43087" w:rsidRDefault="00AA7F08" w:rsidP="000E025A">
            <w:pPr>
              <w:pStyle w:val="BodyText"/>
              <w:rPr>
                <w:rFonts w:eastAsia="Calibri"/>
                <w:color w:val="008675"/>
                <w:sz w:val="20"/>
                <w:szCs w:val="20"/>
                <w:lang w:eastAsia="en-US"/>
              </w:rPr>
            </w:pPr>
            <w:r w:rsidRPr="00D43087">
              <w:rPr>
                <w:rFonts w:eastAsia="Calibri"/>
                <w:color w:val="008675"/>
                <w:sz w:val="20"/>
                <w:szCs w:val="20"/>
                <w:lang w:eastAsia="en-US"/>
              </w:rPr>
              <w:t xml:space="preserve">Regulatory </w:t>
            </w:r>
            <w:r w:rsidR="009727F5" w:rsidRPr="00D43087">
              <w:rPr>
                <w:rFonts w:eastAsia="Calibri"/>
                <w:color w:val="008675"/>
                <w:sz w:val="20"/>
                <w:szCs w:val="20"/>
                <w:lang w:eastAsia="en-US"/>
              </w:rPr>
              <w:t>o</w:t>
            </w:r>
            <w:r w:rsidRPr="00D43087">
              <w:rPr>
                <w:rFonts w:eastAsia="Calibri"/>
                <w:color w:val="008675"/>
                <w:sz w:val="20"/>
                <w:szCs w:val="20"/>
                <w:lang w:eastAsia="en-US"/>
              </w:rPr>
              <w:t>ption</w:t>
            </w:r>
            <w:r w:rsidR="009727F5" w:rsidRPr="00D43087">
              <w:rPr>
                <w:rFonts w:eastAsia="Calibri"/>
                <w:color w:val="008675"/>
                <w:sz w:val="20"/>
                <w:szCs w:val="20"/>
                <w:lang w:eastAsia="en-US"/>
              </w:rPr>
              <w:t>s</w:t>
            </w:r>
          </w:p>
        </w:tc>
        <w:tc>
          <w:tcPr>
            <w:tcW w:w="6651" w:type="dxa"/>
            <w:tcBorders>
              <w:bottom w:val="single" w:sz="4" w:space="0" w:color="008675"/>
            </w:tcBorders>
          </w:tcPr>
          <w:p w14:paraId="54753800" w14:textId="43EBC6C4" w:rsidR="00AA7F08" w:rsidRPr="00D43087" w:rsidRDefault="00452768" w:rsidP="000E025A">
            <w:pPr>
              <w:pStyle w:val="BodyText"/>
              <w:cnfStyle w:val="100000000000" w:firstRow="1" w:lastRow="0" w:firstColumn="0" w:lastColumn="0" w:oddVBand="0" w:evenVBand="0" w:oddHBand="0" w:evenHBand="0" w:firstRowFirstColumn="0" w:firstRowLastColumn="0" w:lastRowFirstColumn="0" w:lastRowLastColumn="0"/>
              <w:rPr>
                <w:rFonts w:eastAsia="Calibri"/>
                <w:color w:val="008675"/>
                <w:sz w:val="20"/>
                <w:szCs w:val="20"/>
                <w:lang w:eastAsia="en-US"/>
              </w:rPr>
            </w:pPr>
            <w:r w:rsidRPr="00D43087">
              <w:rPr>
                <w:rFonts w:eastAsia="Calibri"/>
                <w:color w:val="008675"/>
                <w:sz w:val="20"/>
                <w:szCs w:val="20"/>
                <w:lang w:eastAsia="en-US"/>
              </w:rPr>
              <w:t xml:space="preserve">How stakeholders viewed option </w:t>
            </w:r>
            <w:r w:rsidR="00CD42AD" w:rsidRPr="00D43087">
              <w:rPr>
                <w:rFonts w:eastAsia="Calibri"/>
                <w:color w:val="008675"/>
                <w:sz w:val="20"/>
                <w:szCs w:val="20"/>
                <w:lang w:eastAsia="en-US"/>
              </w:rPr>
              <w:t xml:space="preserve">throughout consultation </w:t>
            </w:r>
          </w:p>
        </w:tc>
      </w:tr>
      <w:tr w:rsidR="00AA7F08" w:rsidRPr="00794BB0" w14:paraId="400FE654" w14:textId="77777777" w:rsidTr="00D4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79F5F0B2" w14:textId="6B5BA00A" w:rsidR="00AA7F08" w:rsidRPr="00D43087" w:rsidRDefault="002E24C7" w:rsidP="00513094">
            <w:pPr>
              <w:pStyle w:val="BodyText"/>
              <w:spacing w:before="0"/>
              <w:rPr>
                <w:rFonts w:eastAsia="Calibri"/>
                <w:color w:val="008675"/>
                <w:sz w:val="20"/>
                <w:szCs w:val="20"/>
                <w:lang w:eastAsia="en-US"/>
              </w:rPr>
            </w:pPr>
            <w:r w:rsidRPr="00D43087">
              <w:rPr>
                <w:rFonts w:eastAsia="Calibri"/>
                <w:color w:val="008675"/>
                <w:sz w:val="20"/>
                <w:szCs w:val="20"/>
                <w:lang w:eastAsia="en-US"/>
              </w:rPr>
              <w:t xml:space="preserve">Option 1: Status quo </w:t>
            </w:r>
          </w:p>
        </w:tc>
        <w:tc>
          <w:tcPr>
            <w:tcW w:w="0" w:type="dxa"/>
            <w:tcBorders>
              <w:top w:val="single" w:sz="4" w:space="0" w:color="008675"/>
              <w:left w:val="single" w:sz="4" w:space="0" w:color="008675"/>
              <w:bottom w:val="single" w:sz="4" w:space="0" w:color="008675"/>
            </w:tcBorders>
            <w:shd w:val="clear" w:color="auto" w:fill="D2EEED"/>
          </w:tcPr>
          <w:p w14:paraId="36384C03" w14:textId="7A10822C" w:rsidR="00AA7F08" w:rsidRPr="00D44FE0" w:rsidRDefault="00816B38" w:rsidP="00513094">
            <w:pPr>
              <w:pStyle w:val="BodyText"/>
              <w:spacing w:before="0" w:line="240"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44FE0">
              <w:rPr>
                <w:rFonts w:eastAsia="Calibri"/>
                <w:sz w:val="20"/>
                <w:szCs w:val="20"/>
                <w:lang w:eastAsia="en-US"/>
              </w:rPr>
              <w:t xml:space="preserve">The </w:t>
            </w:r>
            <w:r w:rsidR="00B42D00">
              <w:rPr>
                <w:rFonts w:eastAsia="Calibri"/>
                <w:sz w:val="20"/>
                <w:szCs w:val="20"/>
                <w:lang w:eastAsia="en-US"/>
              </w:rPr>
              <w:t>Australian Government</w:t>
            </w:r>
            <w:r w:rsidR="00B42D00" w:rsidRPr="00D44FE0">
              <w:rPr>
                <w:rFonts w:eastAsia="Calibri"/>
                <w:sz w:val="20"/>
                <w:szCs w:val="20"/>
                <w:lang w:eastAsia="en-US"/>
              </w:rPr>
              <w:t xml:space="preserve"> </w:t>
            </w:r>
            <w:r w:rsidRPr="00D44FE0">
              <w:rPr>
                <w:rFonts w:eastAsia="Calibri"/>
                <w:sz w:val="20"/>
                <w:szCs w:val="20"/>
                <w:lang w:eastAsia="en-US"/>
              </w:rPr>
              <w:t>has been engaging with the public to build a Digital I</w:t>
            </w:r>
            <w:r w:rsidR="00EB2443" w:rsidRPr="00D44FE0">
              <w:rPr>
                <w:rFonts w:eastAsia="Calibri"/>
                <w:sz w:val="20"/>
                <w:szCs w:val="20"/>
                <w:lang w:eastAsia="en-US"/>
              </w:rPr>
              <w:t>D</w:t>
            </w:r>
            <w:r w:rsidRPr="00D44FE0">
              <w:rPr>
                <w:rFonts w:eastAsia="Calibri"/>
                <w:sz w:val="20"/>
                <w:szCs w:val="20"/>
                <w:lang w:eastAsia="en-US"/>
              </w:rPr>
              <w:t xml:space="preserve"> system aligned with community expectations since 2015. </w:t>
            </w:r>
            <w:r w:rsidR="00F16DAB" w:rsidRPr="00D44FE0">
              <w:rPr>
                <w:rFonts w:eastAsia="Calibri"/>
                <w:sz w:val="20"/>
                <w:szCs w:val="20"/>
                <w:lang w:eastAsia="en-US"/>
              </w:rPr>
              <w:t>Early in 2020, t</w:t>
            </w:r>
            <w:r w:rsidR="00D07603" w:rsidRPr="00D44FE0">
              <w:rPr>
                <w:rFonts w:eastAsia="Calibri"/>
                <w:sz w:val="20"/>
                <w:szCs w:val="20"/>
                <w:lang w:eastAsia="en-US"/>
              </w:rPr>
              <w:t>he Program</w:t>
            </w:r>
            <w:r w:rsidR="00C42458" w:rsidRPr="00D44FE0">
              <w:rPr>
                <w:rFonts w:eastAsia="Calibri"/>
                <w:sz w:val="20"/>
                <w:szCs w:val="20"/>
                <w:lang w:eastAsia="en-US"/>
              </w:rPr>
              <w:t xml:space="preserve"> sought stakeholder views on </w:t>
            </w:r>
            <w:r w:rsidR="00F16DAB" w:rsidRPr="00D44FE0">
              <w:rPr>
                <w:rFonts w:eastAsia="Calibri"/>
                <w:sz w:val="20"/>
                <w:szCs w:val="20"/>
                <w:lang w:eastAsia="en-US"/>
              </w:rPr>
              <w:t xml:space="preserve">potential </w:t>
            </w:r>
            <w:r w:rsidR="00C42458" w:rsidRPr="00D44FE0">
              <w:rPr>
                <w:rFonts w:eastAsia="Calibri"/>
                <w:sz w:val="20"/>
                <w:szCs w:val="20"/>
                <w:lang w:eastAsia="en-US"/>
              </w:rPr>
              <w:t xml:space="preserve">expansion </w:t>
            </w:r>
            <w:r w:rsidR="00F16DAB" w:rsidRPr="00D44FE0">
              <w:rPr>
                <w:rFonts w:eastAsia="Calibri"/>
                <w:sz w:val="20"/>
                <w:szCs w:val="20"/>
                <w:lang w:eastAsia="en-US"/>
              </w:rPr>
              <w:t xml:space="preserve">and how </w:t>
            </w:r>
            <w:r w:rsidR="002D5B45" w:rsidRPr="00D44FE0">
              <w:rPr>
                <w:rFonts w:eastAsia="Calibri"/>
                <w:sz w:val="20"/>
                <w:szCs w:val="20"/>
                <w:lang w:eastAsia="en-US"/>
              </w:rPr>
              <w:t>protections could be ensured</w:t>
            </w:r>
            <w:r w:rsidR="00227EC3" w:rsidRPr="00D44FE0">
              <w:rPr>
                <w:rFonts w:eastAsia="Calibri"/>
                <w:sz w:val="20"/>
                <w:szCs w:val="20"/>
                <w:lang w:eastAsia="en-US"/>
              </w:rPr>
              <w:t xml:space="preserve">. The Program shared </w:t>
            </w:r>
            <w:r w:rsidR="00AE37AA" w:rsidRPr="00D44FE0">
              <w:rPr>
                <w:rFonts w:eastAsia="Calibri"/>
                <w:sz w:val="20"/>
                <w:szCs w:val="20"/>
                <w:lang w:eastAsia="en-US"/>
              </w:rPr>
              <w:t>an initial Scoping Paper with the Digital Identity Legislation Working Group (DILWG) and with thirteen Australian Government agencies</w:t>
            </w:r>
            <w:r w:rsidR="00C842CB" w:rsidRPr="00D44FE0">
              <w:rPr>
                <w:rFonts w:eastAsia="Calibri"/>
                <w:sz w:val="20"/>
                <w:szCs w:val="20"/>
                <w:lang w:eastAsia="en-US"/>
              </w:rPr>
              <w:t>. The Program then engaged in broad public consultation between November and December 202</w:t>
            </w:r>
            <w:r w:rsidR="00254AB2" w:rsidRPr="00D44FE0">
              <w:rPr>
                <w:rFonts w:eastAsia="Calibri"/>
                <w:sz w:val="20"/>
                <w:szCs w:val="20"/>
                <w:lang w:eastAsia="en-US"/>
              </w:rPr>
              <w:t xml:space="preserve">0, through the release of the Digital Identity Consultation Paper and Background Paper, testing views on regulatory options. </w:t>
            </w:r>
            <w:r w:rsidR="00023AFD" w:rsidRPr="00D44FE0">
              <w:rPr>
                <w:rFonts w:eastAsia="Calibri"/>
                <w:sz w:val="20"/>
                <w:szCs w:val="20"/>
                <w:lang w:eastAsia="en-US"/>
              </w:rPr>
              <w:t xml:space="preserve">Both the Scoping Paper and Consultation Paper </w:t>
            </w:r>
            <w:r w:rsidR="00C95CC3" w:rsidRPr="00D44FE0">
              <w:rPr>
                <w:rFonts w:eastAsia="Calibri"/>
                <w:sz w:val="20"/>
                <w:szCs w:val="20"/>
                <w:lang w:eastAsia="en-US"/>
              </w:rPr>
              <w:t>drew strong support for the expansion of Digital I</w:t>
            </w:r>
            <w:r w:rsidR="00EB2443" w:rsidRPr="00D44FE0">
              <w:rPr>
                <w:rFonts w:eastAsia="Calibri"/>
                <w:sz w:val="20"/>
                <w:szCs w:val="20"/>
                <w:lang w:eastAsia="en-US"/>
              </w:rPr>
              <w:t>D</w:t>
            </w:r>
            <w:r w:rsidR="004F3C9D" w:rsidRPr="00D44FE0">
              <w:rPr>
                <w:rFonts w:eastAsia="Calibri"/>
                <w:sz w:val="20"/>
                <w:szCs w:val="20"/>
                <w:lang w:eastAsia="en-US"/>
              </w:rPr>
              <w:t>, which is only possible through legislation</w:t>
            </w:r>
            <w:r w:rsidR="00C95CC3" w:rsidRPr="00D44FE0">
              <w:rPr>
                <w:rFonts w:eastAsia="Calibri"/>
                <w:sz w:val="20"/>
                <w:szCs w:val="20"/>
                <w:lang w:eastAsia="en-US"/>
              </w:rPr>
              <w:t xml:space="preserve">. Importantly, stakeholders </w:t>
            </w:r>
            <w:r w:rsidR="00DE40A8" w:rsidRPr="00D44FE0">
              <w:rPr>
                <w:rFonts w:eastAsia="Calibri"/>
                <w:sz w:val="20"/>
                <w:szCs w:val="20"/>
                <w:lang w:eastAsia="en-US"/>
              </w:rPr>
              <w:t>were in near</w:t>
            </w:r>
            <w:r w:rsidR="002D5714" w:rsidRPr="00D44FE0">
              <w:rPr>
                <w:rFonts w:eastAsia="Calibri"/>
                <w:sz w:val="20"/>
                <w:szCs w:val="20"/>
                <w:lang w:eastAsia="en-US"/>
              </w:rPr>
              <w:t>-</w:t>
            </w:r>
            <w:r w:rsidR="00DE40A8" w:rsidRPr="00D44FE0">
              <w:rPr>
                <w:rFonts w:eastAsia="Calibri"/>
                <w:sz w:val="20"/>
                <w:szCs w:val="20"/>
                <w:lang w:eastAsia="en-US"/>
              </w:rPr>
              <w:t>uniform agreement on the need for legislation to govern</w:t>
            </w:r>
            <w:r w:rsidR="004C086C">
              <w:rPr>
                <w:rFonts w:eastAsia="Calibri"/>
                <w:sz w:val="20"/>
                <w:szCs w:val="20"/>
                <w:lang w:eastAsia="en-US"/>
              </w:rPr>
              <w:t xml:space="preserve"> Digital ID</w:t>
            </w:r>
            <w:r w:rsidR="00BD68EE" w:rsidRPr="00D44FE0">
              <w:rPr>
                <w:rFonts w:eastAsia="Calibri"/>
                <w:sz w:val="20"/>
                <w:szCs w:val="20"/>
                <w:lang w:eastAsia="en-US"/>
              </w:rPr>
              <w:t xml:space="preserve">. </w:t>
            </w:r>
            <w:r w:rsidR="002D5714" w:rsidRPr="00D44FE0">
              <w:rPr>
                <w:rFonts w:eastAsia="Calibri"/>
                <w:sz w:val="20"/>
                <w:szCs w:val="20"/>
                <w:lang w:eastAsia="en-US"/>
              </w:rPr>
              <w:t xml:space="preserve">This has not altered </w:t>
            </w:r>
            <w:r w:rsidR="009443E9" w:rsidRPr="00D44FE0">
              <w:rPr>
                <w:rFonts w:eastAsia="Calibri"/>
                <w:sz w:val="20"/>
                <w:szCs w:val="20"/>
                <w:lang w:eastAsia="en-US"/>
              </w:rPr>
              <w:t>over the course of subsequent consultations.</w:t>
            </w:r>
          </w:p>
          <w:p w14:paraId="6B1FDA8B" w14:textId="665ECEBD" w:rsidR="001D5DFE" w:rsidRPr="00D44FE0" w:rsidRDefault="00AF749C" w:rsidP="00513094">
            <w:pPr>
              <w:pStyle w:val="BodyText"/>
              <w:spacing w:line="240"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44FE0">
              <w:rPr>
                <w:rFonts w:eastAsia="Calibri"/>
                <w:sz w:val="20"/>
                <w:szCs w:val="20"/>
                <w:lang w:eastAsia="en-US"/>
              </w:rPr>
              <w:t>Opt</w:t>
            </w:r>
            <w:r w:rsidR="00FE2F2E" w:rsidRPr="00D44FE0">
              <w:rPr>
                <w:rFonts w:eastAsia="Calibri"/>
                <w:sz w:val="20"/>
                <w:szCs w:val="20"/>
                <w:lang w:eastAsia="en-US"/>
              </w:rPr>
              <w:t xml:space="preserve">ion 1 does not address the obstacles to expansion </w:t>
            </w:r>
            <w:r w:rsidR="00976743" w:rsidRPr="00D44FE0">
              <w:rPr>
                <w:rFonts w:eastAsia="Calibri"/>
                <w:sz w:val="20"/>
                <w:szCs w:val="20"/>
                <w:lang w:eastAsia="en-US"/>
              </w:rPr>
              <w:t xml:space="preserve">that stakeholder feedback </w:t>
            </w:r>
            <w:r w:rsidR="000D48C8" w:rsidRPr="00D44FE0">
              <w:rPr>
                <w:rFonts w:eastAsia="Calibri"/>
                <w:sz w:val="20"/>
                <w:szCs w:val="20"/>
                <w:lang w:eastAsia="en-US"/>
              </w:rPr>
              <w:t>has consistently shown support for</w:t>
            </w:r>
            <w:r w:rsidR="00AA2CF1" w:rsidRPr="00D44FE0">
              <w:rPr>
                <w:rFonts w:eastAsia="Calibri"/>
                <w:sz w:val="20"/>
                <w:szCs w:val="20"/>
                <w:lang w:eastAsia="en-US"/>
              </w:rPr>
              <w:t xml:space="preserve">, </w:t>
            </w:r>
            <w:r w:rsidR="00AE05B5" w:rsidRPr="00D44FE0">
              <w:rPr>
                <w:rFonts w:eastAsia="Calibri"/>
                <w:sz w:val="20"/>
                <w:szCs w:val="20"/>
                <w:lang w:eastAsia="en-US"/>
              </w:rPr>
              <w:t>nor does it entrench privacy and security in legislation</w:t>
            </w:r>
            <w:r w:rsidR="00DD47AB" w:rsidRPr="00D44FE0">
              <w:rPr>
                <w:rFonts w:eastAsia="Calibri"/>
                <w:sz w:val="20"/>
                <w:szCs w:val="20"/>
                <w:lang w:eastAsia="en-US"/>
              </w:rPr>
              <w:t xml:space="preserve">. </w:t>
            </w:r>
          </w:p>
        </w:tc>
      </w:tr>
      <w:tr w:rsidR="002E24C7" w:rsidRPr="00794BB0" w14:paraId="39BC5DB1" w14:textId="77777777" w:rsidTr="00D43087">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8675"/>
              <w:bottom w:val="single" w:sz="4" w:space="0" w:color="008675"/>
              <w:right w:val="single" w:sz="4" w:space="0" w:color="008675"/>
            </w:tcBorders>
          </w:tcPr>
          <w:p w14:paraId="0CB0154F" w14:textId="03C16DD6" w:rsidR="002E24C7" w:rsidRPr="00D43087" w:rsidRDefault="002E24C7" w:rsidP="00513094">
            <w:pPr>
              <w:pStyle w:val="BodyText"/>
              <w:spacing w:before="0"/>
              <w:rPr>
                <w:rFonts w:eastAsia="Calibri"/>
                <w:color w:val="008675"/>
                <w:sz w:val="20"/>
                <w:szCs w:val="20"/>
                <w:lang w:eastAsia="en-US"/>
              </w:rPr>
            </w:pPr>
            <w:r w:rsidRPr="00D43087">
              <w:rPr>
                <w:rFonts w:eastAsia="Calibri"/>
                <w:color w:val="008675"/>
                <w:sz w:val="20"/>
                <w:szCs w:val="20"/>
                <w:lang w:eastAsia="en-US"/>
              </w:rPr>
              <w:t>Option 2: Leverage existing legislati</w:t>
            </w:r>
            <w:r w:rsidR="00937D4F" w:rsidRPr="00D43087">
              <w:rPr>
                <w:rFonts w:eastAsia="Calibri"/>
                <w:color w:val="008675"/>
                <w:sz w:val="20"/>
                <w:szCs w:val="20"/>
                <w:lang w:eastAsia="en-US"/>
              </w:rPr>
              <w:t xml:space="preserve">ve frameworks to enhance privacy safeguards </w:t>
            </w:r>
          </w:p>
        </w:tc>
        <w:tc>
          <w:tcPr>
            <w:tcW w:w="6651" w:type="dxa"/>
            <w:tcBorders>
              <w:top w:val="single" w:sz="4" w:space="0" w:color="008675"/>
              <w:left w:val="single" w:sz="4" w:space="0" w:color="008675"/>
              <w:bottom w:val="single" w:sz="4" w:space="0" w:color="008675"/>
            </w:tcBorders>
          </w:tcPr>
          <w:p w14:paraId="5A2E3537" w14:textId="4DB12754" w:rsidR="002E24C7" w:rsidRPr="00D44FE0" w:rsidRDefault="008E4756" w:rsidP="00513094">
            <w:pPr>
              <w:pStyle w:val="BodyText"/>
              <w:spacing w:before="0" w:line="240" w:lineRule="auto"/>
              <w:cnfStyle w:val="000000000000" w:firstRow="0" w:lastRow="0" w:firstColumn="0" w:lastColumn="0" w:oddVBand="0" w:evenVBand="0" w:oddHBand="0" w:evenHBand="0" w:firstRowFirstColumn="0" w:firstRowLastColumn="0" w:lastRowFirstColumn="0" w:lastRowLastColumn="0"/>
              <w:rPr>
                <w:rFonts w:eastAsia="Calibri"/>
                <w:sz w:val="20"/>
                <w:szCs w:val="20"/>
                <w:lang w:eastAsia="en-US"/>
              </w:rPr>
            </w:pPr>
            <w:r w:rsidRPr="00D44FE0">
              <w:rPr>
                <w:rFonts w:eastAsia="Calibri"/>
                <w:sz w:val="20"/>
                <w:szCs w:val="20"/>
                <w:lang w:eastAsia="en-US"/>
              </w:rPr>
              <w:t xml:space="preserve">As described above, </w:t>
            </w:r>
            <w:r w:rsidR="00D529AA" w:rsidRPr="00D44FE0">
              <w:rPr>
                <w:rFonts w:eastAsia="Calibri"/>
                <w:sz w:val="20"/>
                <w:szCs w:val="20"/>
                <w:lang w:eastAsia="en-US"/>
              </w:rPr>
              <w:t xml:space="preserve">stakeholder feedback </w:t>
            </w:r>
            <w:r w:rsidR="000F4487" w:rsidRPr="00D44FE0">
              <w:rPr>
                <w:rFonts w:eastAsia="Calibri"/>
                <w:sz w:val="20"/>
                <w:szCs w:val="20"/>
                <w:lang w:eastAsia="en-US"/>
              </w:rPr>
              <w:t xml:space="preserve">from the Program’s early consultation </w:t>
            </w:r>
            <w:r w:rsidR="00910D9C" w:rsidRPr="00D44FE0">
              <w:rPr>
                <w:rFonts w:eastAsia="Calibri"/>
                <w:sz w:val="20"/>
                <w:szCs w:val="20"/>
                <w:lang w:eastAsia="en-US"/>
              </w:rPr>
              <w:t xml:space="preserve">testing views on potential regulatory options to support </w:t>
            </w:r>
            <w:r w:rsidR="00BE0C45">
              <w:rPr>
                <w:rFonts w:eastAsia="Calibri"/>
                <w:sz w:val="20"/>
                <w:szCs w:val="20"/>
                <w:lang w:eastAsia="en-US"/>
              </w:rPr>
              <w:t>expansion</w:t>
            </w:r>
            <w:r w:rsidR="00F8718B" w:rsidRPr="00D44FE0">
              <w:rPr>
                <w:rFonts w:eastAsia="Calibri"/>
                <w:sz w:val="20"/>
                <w:szCs w:val="20"/>
                <w:lang w:eastAsia="en-US"/>
              </w:rPr>
              <w:t xml:space="preserve">, </w:t>
            </w:r>
            <w:r w:rsidR="00D24173" w:rsidRPr="00D44FE0">
              <w:rPr>
                <w:rFonts w:eastAsia="Calibri"/>
                <w:sz w:val="20"/>
                <w:szCs w:val="20"/>
                <w:lang w:eastAsia="en-US"/>
              </w:rPr>
              <w:t xml:space="preserve">saw support for a whole-of-economy Program with privacy and security </w:t>
            </w:r>
            <w:r w:rsidR="00A93450" w:rsidRPr="00D44FE0">
              <w:rPr>
                <w:rFonts w:eastAsia="Calibri"/>
                <w:sz w:val="20"/>
                <w:szCs w:val="20"/>
                <w:lang w:eastAsia="en-US"/>
              </w:rPr>
              <w:t xml:space="preserve">protections </w:t>
            </w:r>
            <w:r w:rsidR="00D24173" w:rsidRPr="00D44FE0">
              <w:rPr>
                <w:rFonts w:eastAsia="Calibri"/>
                <w:sz w:val="20"/>
                <w:szCs w:val="20"/>
                <w:lang w:eastAsia="en-US"/>
              </w:rPr>
              <w:t xml:space="preserve">entrenched in legislation. </w:t>
            </w:r>
            <w:r w:rsidR="00A93450" w:rsidRPr="00D44FE0">
              <w:rPr>
                <w:rFonts w:eastAsia="Calibri"/>
                <w:sz w:val="20"/>
                <w:szCs w:val="20"/>
                <w:lang w:eastAsia="en-US"/>
              </w:rPr>
              <w:t xml:space="preserve">While Option 2 </w:t>
            </w:r>
            <w:r w:rsidR="00B5642F" w:rsidRPr="00D44FE0">
              <w:rPr>
                <w:rFonts w:eastAsia="Calibri"/>
                <w:sz w:val="20"/>
                <w:szCs w:val="20"/>
                <w:lang w:eastAsia="en-US"/>
              </w:rPr>
              <w:t>offers strengthened privacy safeguards when compared to Option 1,</w:t>
            </w:r>
            <w:r w:rsidR="00436C21" w:rsidRPr="00D44FE0">
              <w:rPr>
                <w:rFonts w:eastAsia="Calibri"/>
                <w:sz w:val="20"/>
                <w:szCs w:val="20"/>
                <w:lang w:eastAsia="en-US"/>
              </w:rPr>
              <w:t xml:space="preserve"> safeguards and avenues for recourse would not be supported by a consistent dedicated regulatory framework established through legislation. </w:t>
            </w:r>
            <w:r w:rsidR="00300B9B" w:rsidRPr="00D44FE0">
              <w:rPr>
                <w:rFonts w:eastAsia="Calibri"/>
                <w:sz w:val="20"/>
                <w:szCs w:val="20"/>
                <w:lang w:eastAsia="en-US"/>
              </w:rPr>
              <w:t xml:space="preserve">As </w:t>
            </w:r>
            <w:r w:rsidR="00E1480F" w:rsidRPr="00D44FE0">
              <w:rPr>
                <w:rFonts w:eastAsia="Calibri"/>
                <w:sz w:val="20"/>
                <w:szCs w:val="20"/>
                <w:lang w:eastAsia="en-US"/>
              </w:rPr>
              <w:t xml:space="preserve">a key rationale from </w:t>
            </w:r>
            <w:r w:rsidR="00333458" w:rsidRPr="00D44FE0">
              <w:rPr>
                <w:rFonts w:eastAsia="Calibri"/>
                <w:sz w:val="20"/>
                <w:szCs w:val="20"/>
                <w:lang w:eastAsia="en-US"/>
              </w:rPr>
              <w:t>the November and December 2020 Consultation Paper round</w:t>
            </w:r>
            <w:r w:rsidR="00300B9B" w:rsidRPr="00D44FE0">
              <w:rPr>
                <w:rFonts w:eastAsia="Calibri"/>
                <w:sz w:val="20"/>
                <w:szCs w:val="20"/>
                <w:lang w:eastAsia="en-US"/>
              </w:rPr>
              <w:t xml:space="preserve"> </w:t>
            </w:r>
            <w:r w:rsidR="00E1480F" w:rsidRPr="00D44FE0">
              <w:rPr>
                <w:rFonts w:eastAsia="Calibri"/>
                <w:sz w:val="20"/>
                <w:szCs w:val="20"/>
                <w:lang w:eastAsia="en-US"/>
              </w:rPr>
              <w:t>pointed to legislation</w:t>
            </w:r>
            <w:r w:rsidR="000676FF" w:rsidRPr="00D44FE0">
              <w:rPr>
                <w:rFonts w:eastAsia="Calibri"/>
                <w:sz w:val="20"/>
                <w:szCs w:val="20"/>
                <w:lang w:eastAsia="en-US"/>
              </w:rPr>
              <w:t xml:space="preserve"> as an opportunity to enshrine these key privacy and consumer safeguards in law in order to ensure these standards cannot change without public scrutiny, </w:t>
            </w:r>
            <w:r w:rsidR="00B91988" w:rsidRPr="00D44FE0">
              <w:rPr>
                <w:rFonts w:eastAsia="Calibri"/>
                <w:sz w:val="20"/>
                <w:szCs w:val="20"/>
                <w:lang w:eastAsia="en-US"/>
              </w:rPr>
              <w:t xml:space="preserve">this option was also ruled out by the Program as it </w:t>
            </w:r>
            <w:r w:rsidR="007E24B7" w:rsidRPr="00D44FE0">
              <w:rPr>
                <w:rFonts w:eastAsia="Calibri"/>
                <w:sz w:val="20"/>
                <w:szCs w:val="20"/>
                <w:lang w:eastAsia="en-US"/>
              </w:rPr>
              <w:t>failed to meet this important</w:t>
            </w:r>
            <w:r w:rsidR="006E2033" w:rsidRPr="00D44FE0">
              <w:rPr>
                <w:rFonts w:eastAsia="Calibri"/>
                <w:sz w:val="20"/>
                <w:szCs w:val="20"/>
                <w:lang w:eastAsia="en-US"/>
              </w:rPr>
              <w:t xml:space="preserve"> </w:t>
            </w:r>
            <w:r w:rsidR="007E24B7" w:rsidRPr="00D44FE0">
              <w:rPr>
                <w:rFonts w:eastAsia="Calibri"/>
                <w:sz w:val="20"/>
                <w:szCs w:val="20"/>
                <w:lang w:eastAsia="en-US"/>
              </w:rPr>
              <w:t>threshold</w:t>
            </w:r>
            <w:r w:rsidR="006E2033" w:rsidRPr="00D44FE0">
              <w:rPr>
                <w:rFonts w:eastAsia="Calibri"/>
                <w:sz w:val="20"/>
                <w:szCs w:val="20"/>
                <w:lang w:eastAsia="en-US"/>
              </w:rPr>
              <w:t xml:space="preserve"> for protection</w:t>
            </w:r>
            <w:r w:rsidR="007E24B7" w:rsidRPr="00D44FE0">
              <w:rPr>
                <w:rFonts w:eastAsia="Calibri"/>
                <w:sz w:val="20"/>
                <w:szCs w:val="20"/>
                <w:lang w:eastAsia="en-US"/>
              </w:rPr>
              <w:t xml:space="preserve"> set by </w:t>
            </w:r>
            <w:r w:rsidR="0066445D" w:rsidRPr="00D44FE0">
              <w:rPr>
                <w:rFonts w:eastAsia="Calibri"/>
                <w:sz w:val="20"/>
                <w:szCs w:val="20"/>
                <w:lang w:eastAsia="en-US"/>
              </w:rPr>
              <w:t xml:space="preserve">a strong majority of </w:t>
            </w:r>
            <w:r w:rsidR="007E24B7" w:rsidRPr="00D44FE0">
              <w:rPr>
                <w:rFonts w:eastAsia="Calibri"/>
                <w:sz w:val="20"/>
                <w:szCs w:val="20"/>
                <w:lang w:eastAsia="en-US"/>
              </w:rPr>
              <w:t xml:space="preserve">those engaged. </w:t>
            </w:r>
          </w:p>
        </w:tc>
      </w:tr>
      <w:tr w:rsidR="00937D4F" w:rsidRPr="008D5DBC" w14:paraId="5927C725" w14:textId="77777777" w:rsidTr="00D4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bottom w:val="single" w:sz="4" w:space="0" w:color="008675"/>
              <w:right w:val="single" w:sz="4" w:space="0" w:color="008675"/>
            </w:tcBorders>
            <w:shd w:val="clear" w:color="auto" w:fill="D2EEED"/>
          </w:tcPr>
          <w:p w14:paraId="380F3042" w14:textId="7160A647" w:rsidR="00937D4F" w:rsidRPr="00D43087" w:rsidRDefault="00937D4F" w:rsidP="00513094">
            <w:pPr>
              <w:pStyle w:val="BodyText"/>
              <w:spacing w:before="0"/>
              <w:rPr>
                <w:rFonts w:eastAsia="Calibri"/>
                <w:color w:val="008675"/>
                <w:sz w:val="20"/>
                <w:szCs w:val="20"/>
                <w:lang w:eastAsia="en-US"/>
              </w:rPr>
            </w:pPr>
            <w:r w:rsidRPr="00D43087">
              <w:rPr>
                <w:rFonts w:eastAsia="Calibri"/>
                <w:color w:val="008675"/>
                <w:sz w:val="20"/>
                <w:szCs w:val="20"/>
                <w:lang w:eastAsia="en-US"/>
              </w:rPr>
              <w:t xml:space="preserve">Option 3: Dedicated legislation to </w:t>
            </w:r>
            <w:r w:rsidR="00162A12" w:rsidRPr="00D43087">
              <w:rPr>
                <w:rFonts w:eastAsia="Calibri"/>
                <w:color w:val="008675"/>
                <w:sz w:val="20"/>
                <w:szCs w:val="20"/>
                <w:lang w:eastAsia="en-US"/>
              </w:rPr>
              <w:t xml:space="preserve">establish new regulatory scheme </w:t>
            </w:r>
          </w:p>
        </w:tc>
        <w:tc>
          <w:tcPr>
            <w:tcW w:w="0" w:type="dxa"/>
            <w:tcBorders>
              <w:top w:val="single" w:sz="4" w:space="0" w:color="008675"/>
              <w:left w:val="single" w:sz="4" w:space="0" w:color="008675"/>
              <w:bottom w:val="single" w:sz="4" w:space="0" w:color="008675"/>
            </w:tcBorders>
            <w:shd w:val="clear" w:color="auto" w:fill="D2EEED"/>
          </w:tcPr>
          <w:p w14:paraId="0F7C1577" w14:textId="6FE87758" w:rsidR="00937D4F" w:rsidRPr="00D44FE0" w:rsidRDefault="006A3E8C" w:rsidP="00513094">
            <w:pPr>
              <w:pStyle w:val="BodyText"/>
              <w:spacing w:before="0" w:line="240"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44FE0">
              <w:rPr>
                <w:rFonts w:eastAsia="Calibri"/>
                <w:sz w:val="20"/>
                <w:szCs w:val="20"/>
                <w:lang w:eastAsia="en-US"/>
              </w:rPr>
              <w:t xml:space="preserve">The outcomes of continuous legislation-specific Program consultation </w:t>
            </w:r>
            <w:r w:rsidR="008F51DF" w:rsidRPr="00D44FE0">
              <w:rPr>
                <w:rFonts w:eastAsia="Calibri"/>
                <w:sz w:val="20"/>
                <w:szCs w:val="20"/>
                <w:lang w:eastAsia="en-US"/>
              </w:rPr>
              <w:t>have</w:t>
            </w:r>
            <w:r w:rsidR="009D054C" w:rsidRPr="00D44FE0">
              <w:rPr>
                <w:rFonts w:eastAsia="Calibri"/>
                <w:sz w:val="20"/>
                <w:szCs w:val="20"/>
                <w:lang w:eastAsia="en-US"/>
              </w:rPr>
              <w:t xml:space="preserve"> solidified stakeholder support for Option 3. </w:t>
            </w:r>
            <w:r w:rsidR="009D35C2" w:rsidRPr="00D44FE0">
              <w:rPr>
                <w:rFonts w:eastAsia="Calibri"/>
                <w:sz w:val="20"/>
                <w:szCs w:val="20"/>
                <w:lang w:eastAsia="en-US"/>
              </w:rPr>
              <w:t xml:space="preserve">Option 3 offers to establish a new regulatory scheme that </w:t>
            </w:r>
            <w:r w:rsidR="000352AB" w:rsidRPr="00D44FE0">
              <w:rPr>
                <w:rFonts w:eastAsia="Calibri"/>
                <w:sz w:val="20"/>
                <w:szCs w:val="20"/>
                <w:lang w:eastAsia="en-US"/>
              </w:rPr>
              <w:t>directly addresses</w:t>
            </w:r>
            <w:r w:rsidR="00DB3619" w:rsidRPr="00D44FE0">
              <w:rPr>
                <w:rFonts w:eastAsia="Calibri"/>
                <w:sz w:val="20"/>
                <w:szCs w:val="20"/>
                <w:lang w:eastAsia="en-US"/>
              </w:rPr>
              <w:t xml:space="preserve"> stakeholder concerns, </w:t>
            </w:r>
            <w:r w:rsidR="00EC4768" w:rsidRPr="00D44FE0">
              <w:rPr>
                <w:rFonts w:eastAsia="Calibri"/>
                <w:sz w:val="20"/>
                <w:szCs w:val="20"/>
                <w:lang w:eastAsia="en-US"/>
              </w:rPr>
              <w:t>and is the only option able to support whole-of-economy expansion</w:t>
            </w:r>
            <w:r w:rsidR="008324AB" w:rsidRPr="00D44FE0">
              <w:rPr>
                <w:rFonts w:eastAsia="Calibri"/>
                <w:sz w:val="20"/>
                <w:szCs w:val="20"/>
                <w:lang w:eastAsia="en-US"/>
              </w:rPr>
              <w:t xml:space="preserve">. </w:t>
            </w:r>
            <w:r w:rsidR="00A20274" w:rsidRPr="00D44FE0">
              <w:rPr>
                <w:rFonts w:eastAsia="Calibri"/>
                <w:sz w:val="20"/>
                <w:szCs w:val="20"/>
                <w:lang w:eastAsia="en-US"/>
              </w:rPr>
              <w:t xml:space="preserve">Submissions </w:t>
            </w:r>
            <w:r w:rsidR="004E51AC" w:rsidRPr="00D44FE0">
              <w:rPr>
                <w:rFonts w:eastAsia="Calibri"/>
                <w:sz w:val="20"/>
                <w:szCs w:val="20"/>
                <w:lang w:eastAsia="en-US"/>
              </w:rPr>
              <w:t>received i</w:t>
            </w:r>
            <w:r w:rsidR="00A20274" w:rsidRPr="00D44FE0">
              <w:rPr>
                <w:rFonts w:eastAsia="Calibri"/>
                <w:sz w:val="20"/>
                <w:szCs w:val="20"/>
                <w:lang w:eastAsia="en-US"/>
              </w:rPr>
              <w:t xml:space="preserve">n response to the </w:t>
            </w:r>
            <w:r w:rsidR="00A40A88" w:rsidRPr="00D44FE0">
              <w:rPr>
                <w:rFonts w:eastAsia="Calibri"/>
                <w:sz w:val="20"/>
                <w:szCs w:val="20"/>
                <w:lang w:eastAsia="en-US"/>
              </w:rPr>
              <w:t xml:space="preserve">October 2021 </w:t>
            </w:r>
            <w:r w:rsidR="008324AB" w:rsidRPr="00D44FE0">
              <w:rPr>
                <w:rFonts w:eastAsia="Calibri"/>
                <w:sz w:val="20"/>
                <w:szCs w:val="20"/>
                <w:lang w:eastAsia="en-US"/>
              </w:rPr>
              <w:t>Consultation RIS</w:t>
            </w:r>
            <w:r w:rsidR="0053552B" w:rsidRPr="00D44FE0">
              <w:rPr>
                <w:rFonts w:eastAsia="Calibri"/>
                <w:sz w:val="20"/>
                <w:szCs w:val="20"/>
                <w:lang w:eastAsia="en-US"/>
              </w:rPr>
              <w:t xml:space="preserve">, </w:t>
            </w:r>
            <w:r w:rsidR="00D416D7" w:rsidRPr="00D44FE0">
              <w:rPr>
                <w:rFonts w:eastAsia="Calibri"/>
                <w:sz w:val="20"/>
                <w:szCs w:val="20"/>
                <w:lang w:eastAsia="en-US"/>
              </w:rPr>
              <w:t>were able to validate this conclusion</w:t>
            </w:r>
            <w:r w:rsidR="005561FC" w:rsidRPr="00D44FE0">
              <w:rPr>
                <w:rFonts w:eastAsia="Calibri"/>
                <w:sz w:val="20"/>
                <w:szCs w:val="20"/>
                <w:lang w:eastAsia="en-US"/>
              </w:rPr>
              <w:t xml:space="preserve"> </w:t>
            </w:r>
            <w:r w:rsidR="00877F23" w:rsidRPr="00D44FE0">
              <w:rPr>
                <w:rFonts w:eastAsia="Calibri"/>
                <w:sz w:val="20"/>
                <w:szCs w:val="20"/>
                <w:lang w:eastAsia="en-US"/>
              </w:rPr>
              <w:t>and confirm</w:t>
            </w:r>
            <w:r w:rsidR="0027401E" w:rsidRPr="00D44FE0">
              <w:rPr>
                <w:rFonts w:eastAsia="Calibri"/>
                <w:sz w:val="20"/>
                <w:szCs w:val="20"/>
                <w:lang w:eastAsia="en-US"/>
              </w:rPr>
              <w:t xml:space="preserve"> Option 3 as the preferred option </w:t>
            </w:r>
            <w:r w:rsidR="00C04655" w:rsidRPr="00D44FE0">
              <w:rPr>
                <w:rFonts w:eastAsia="Calibri"/>
                <w:sz w:val="20"/>
                <w:szCs w:val="20"/>
                <w:lang w:eastAsia="en-US"/>
              </w:rPr>
              <w:t>for a wide</w:t>
            </w:r>
            <w:r w:rsidR="00701D38" w:rsidRPr="00D44FE0">
              <w:rPr>
                <w:rFonts w:eastAsia="Calibri"/>
                <w:sz w:val="20"/>
                <w:szCs w:val="20"/>
                <w:lang w:eastAsia="en-US"/>
              </w:rPr>
              <w:t xml:space="preserve"> </w:t>
            </w:r>
            <w:r w:rsidR="00C04655" w:rsidRPr="00D44FE0">
              <w:rPr>
                <w:rFonts w:eastAsia="Calibri"/>
                <w:sz w:val="20"/>
                <w:szCs w:val="20"/>
                <w:lang w:eastAsia="en-US"/>
              </w:rPr>
              <w:t xml:space="preserve">range of stakeholders. </w:t>
            </w:r>
          </w:p>
          <w:p w14:paraId="39BB152A" w14:textId="272C6A97" w:rsidR="008B4A62" w:rsidRPr="00D44FE0" w:rsidRDefault="008B4A62" w:rsidP="00513094">
            <w:pPr>
              <w:pStyle w:val="BodyText"/>
              <w:keepNext/>
              <w:spacing w:line="240"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44FE0">
              <w:rPr>
                <w:rFonts w:eastAsia="Calibri"/>
                <w:sz w:val="20"/>
                <w:szCs w:val="20"/>
                <w:lang w:eastAsia="en-US"/>
              </w:rPr>
              <w:t>Consultation</w:t>
            </w:r>
            <w:r w:rsidR="000F5177" w:rsidRPr="00D44FE0">
              <w:rPr>
                <w:rFonts w:eastAsia="Calibri"/>
                <w:sz w:val="20"/>
                <w:szCs w:val="20"/>
                <w:lang w:eastAsia="en-US"/>
              </w:rPr>
              <w:t>s</w:t>
            </w:r>
            <w:r w:rsidRPr="00D44FE0">
              <w:rPr>
                <w:rFonts w:eastAsia="Calibri"/>
                <w:sz w:val="20"/>
                <w:szCs w:val="20"/>
                <w:lang w:eastAsia="en-US"/>
              </w:rPr>
              <w:t xml:space="preserve"> since the November and December 2020 Consultation Paper round </w:t>
            </w:r>
            <w:r w:rsidR="000F5177" w:rsidRPr="00D44FE0">
              <w:rPr>
                <w:rFonts w:eastAsia="Calibri"/>
                <w:sz w:val="20"/>
                <w:szCs w:val="20"/>
                <w:lang w:eastAsia="en-US"/>
              </w:rPr>
              <w:t>were</w:t>
            </w:r>
            <w:r w:rsidRPr="00D44FE0">
              <w:rPr>
                <w:rFonts w:eastAsia="Calibri"/>
                <w:sz w:val="20"/>
                <w:szCs w:val="20"/>
                <w:lang w:eastAsia="en-US"/>
              </w:rPr>
              <w:t xml:space="preserve"> focused </w:t>
            </w:r>
            <w:r w:rsidR="005D34B5" w:rsidRPr="00D44FE0">
              <w:rPr>
                <w:rFonts w:eastAsia="Calibri"/>
                <w:sz w:val="20"/>
                <w:szCs w:val="20"/>
                <w:lang w:eastAsia="en-US"/>
              </w:rPr>
              <w:t xml:space="preserve">on engaging with stakeholders to collaboratively and </w:t>
            </w:r>
            <w:r w:rsidR="009443E9" w:rsidRPr="00D44FE0">
              <w:rPr>
                <w:rFonts w:eastAsia="Calibri"/>
                <w:sz w:val="20"/>
                <w:szCs w:val="20"/>
                <w:lang w:eastAsia="en-US"/>
              </w:rPr>
              <w:t>transparently</w:t>
            </w:r>
            <w:r w:rsidR="005D34B5" w:rsidRPr="00D44FE0">
              <w:rPr>
                <w:rFonts w:eastAsia="Calibri"/>
                <w:sz w:val="20"/>
                <w:szCs w:val="20"/>
                <w:lang w:eastAsia="en-US"/>
              </w:rPr>
              <w:t xml:space="preserve"> design</w:t>
            </w:r>
            <w:r w:rsidR="009443E9" w:rsidRPr="00D44FE0">
              <w:rPr>
                <w:rFonts w:eastAsia="Calibri"/>
                <w:sz w:val="20"/>
                <w:szCs w:val="20"/>
                <w:lang w:eastAsia="en-US"/>
              </w:rPr>
              <w:t>ing</w:t>
            </w:r>
            <w:r w:rsidR="005D34B5" w:rsidRPr="00D44FE0">
              <w:rPr>
                <w:rFonts w:eastAsia="Calibri"/>
                <w:sz w:val="20"/>
                <w:szCs w:val="20"/>
                <w:lang w:eastAsia="en-US"/>
              </w:rPr>
              <w:t xml:space="preserve"> a regulatory scheme that reflect</w:t>
            </w:r>
            <w:r w:rsidR="000F5177" w:rsidRPr="00D44FE0">
              <w:rPr>
                <w:rFonts w:eastAsia="Calibri"/>
                <w:sz w:val="20"/>
                <w:szCs w:val="20"/>
                <w:lang w:eastAsia="en-US"/>
              </w:rPr>
              <w:t>ed</w:t>
            </w:r>
            <w:r w:rsidR="00744182" w:rsidRPr="00D44FE0">
              <w:rPr>
                <w:rFonts w:eastAsia="Calibri"/>
                <w:sz w:val="20"/>
                <w:szCs w:val="20"/>
                <w:lang w:eastAsia="en-US"/>
              </w:rPr>
              <w:t xml:space="preserve"> </w:t>
            </w:r>
            <w:r w:rsidR="00DC5E1F" w:rsidRPr="00D44FE0">
              <w:rPr>
                <w:rFonts w:eastAsia="Calibri"/>
                <w:sz w:val="20"/>
                <w:szCs w:val="20"/>
                <w:lang w:eastAsia="en-US"/>
              </w:rPr>
              <w:t xml:space="preserve">the expectations and views of the </w:t>
            </w:r>
            <w:r w:rsidR="00744182" w:rsidRPr="00D44FE0">
              <w:rPr>
                <w:rFonts w:eastAsia="Calibri"/>
                <w:sz w:val="20"/>
                <w:szCs w:val="20"/>
                <w:lang w:eastAsia="en-US"/>
              </w:rPr>
              <w:t xml:space="preserve">broader Australian </w:t>
            </w:r>
            <w:r w:rsidR="00DC5E1F" w:rsidRPr="00D44FE0">
              <w:rPr>
                <w:rFonts w:eastAsia="Calibri"/>
                <w:sz w:val="20"/>
                <w:szCs w:val="20"/>
                <w:lang w:eastAsia="en-US"/>
              </w:rPr>
              <w:t>community</w:t>
            </w:r>
            <w:r w:rsidR="00744182" w:rsidRPr="00D44FE0">
              <w:rPr>
                <w:rFonts w:eastAsia="Calibri"/>
                <w:sz w:val="20"/>
                <w:szCs w:val="20"/>
                <w:lang w:eastAsia="en-US"/>
              </w:rPr>
              <w:t xml:space="preserve">. </w:t>
            </w:r>
          </w:p>
        </w:tc>
      </w:tr>
    </w:tbl>
    <w:p w14:paraId="7BB7BF5A" w14:textId="6E01F02E" w:rsidR="00046BE5" w:rsidRPr="00A60647" w:rsidRDefault="0052151B">
      <w:pPr>
        <w:pStyle w:val="Caption"/>
        <w:rPr>
          <w:highlight w:val="yellow"/>
        </w:rPr>
      </w:pPr>
      <w:bookmarkStart w:id="608" w:name="_Toc130390615"/>
      <w:r>
        <w:lastRenderedPageBreak/>
        <w:t xml:space="preserve">Table </w:t>
      </w:r>
      <w:r>
        <w:fldChar w:fldCharType="begin"/>
      </w:r>
      <w:r>
        <w:instrText>SEQ Table \* ARABIC</w:instrText>
      </w:r>
      <w:r>
        <w:fldChar w:fldCharType="separate"/>
      </w:r>
      <w:r>
        <w:rPr>
          <w:noProof/>
        </w:rPr>
        <w:t>11</w:t>
      </w:r>
      <w:r>
        <w:fldChar w:fldCharType="end"/>
      </w:r>
      <w:r>
        <w:t xml:space="preserve">: </w:t>
      </w:r>
      <w:r w:rsidRPr="00317669">
        <w:t>Stakeholder views on regulatory options throughout consultation</w:t>
      </w:r>
      <w:bookmarkEnd w:id="608"/>
    </w:p>
    <w:p w14:paraId="26CDA444" w14:textId="2C389051" w:rsidR="00E6232E" w:rsidRPr="000B7589" w:rsidRDefault="00D14558" w:rsidP="00A11DE4">
      <w:pPr>
        <w:pStyle w:val="BodyText"/>
        <w:rPr>
          <w:lang w:eastAsia="en-US"/>
        </w:rPr>
      </w:pPr>
      <w:r w:rsidRPr="00DD7402">
        <w:rPr>
          <w:lang w:eastAsia="en-US"/>
        </w:rPr>
        <w:t xml:space="preserve">Overall, </w:t>
      </w:r>
      <w:r w:rsidRPr="00D14558">
        <w:rPr>
          <w:lang w:eastAsia="en-US"/>
        </w:rPr>
        <w:t>w</w:t>
      </w:r>
      <w:r w:rsidR="00E6232E" w:rsidRPr="00D14558">
        <w:rPr>
          <w:lang w:eastAsia="en-US"/>
        </w:rPr>
        <w:t xml:space="preserve">ithout </w:t>
      </w:r>
      <w:r w:rsidR="00E6232E" w:rsidRPr="000B7589">
        <w:rPr>
          <w:lang w:eastAsia="en-US"/>
        </w:rPr>
        <w:t>a dedicated regulatory scheme, the identified problem areas cannot be addressed</w:t>
      </w:r>
      <w:r w:rsidR="002D344D">
        <w:rPr>
          <w:lang w:eastAsia="en-US"/>
        </w:rPr>
        <w:t>;</w:t>
      </w:r>
      <w:r w:rsidR="00E6232E" w:rsidRPr="000B7589">
        <w:rPr>
          <w:lang w:eastAsia="en-US"/>
        </w:rPr>
        <w:t xml:space="preserve"> the policy objectives cannot be met</w:t>
      </w:r>
      <w:r w:rsidR="002D344D">
        <w:rPr>
          <w:lang w:eastAsia="en-US"/>
        </w:rPr>
        <w:t>;</w:t>
      </w:r>
      <w:r w:rsidR="00E6232E" w:rsidRPr="000B7589">
        <w:rPr>
          <w:lang w:eastAsia="en-US"/>
        </w:rPr>
        <w:t xml:space="preserve"> and stakeholders will not experience, to the full extent, the benefits described. Beyond this, the Australian economy’s realisation of the significant economic value of </w:t>
      </w:r>
      <w:r w:rsidR="00513C83">
        <w:rPr>
          <w:lang w:eastAsia="en-US"/>
        </w:rPr>
        <w:t xml:space="preserve">an </w:t>
      </w:r>
      <w:r w:rsidR="00E6232E" w:rsidRPr="000B7589">
        <w:rPr>
          <w:lang w:eastAsia="en-US"/>
        </w:rPr>
        <w:t>expan</w:t>
      </w:r>
      <w:r w:rsidR="0022169D">
        <w:rPr>
          <w:lang w:eastAsia="en-US"/>
        </w:rPr>
        <w:t xml:space="preserve">sion </w:t>
      </w:r>
      <w:r w:rsidR="00E6232E" w:rsidRPr="000B7589">
        <w:rPr>
          <w:lang w:eastAsia="en-US"/>
        </w:rPr>
        <w:t xml:space="preserve">would be constrained and compromised. </w:t>
      </w:r>
    </w:p>
    <w:p w14:paraId="3A2394A7" w14:textId="16270CC5" w:rsidR="00E6232E" w:rsidRPr="000B7589" w:rsidRDefault="00E6232E" w:rsidP="00A11DE4">
      <w:pPr>
        <w:pStyle w:val="BodyText"/>
        <w:rPr>
          <w:lang w:eastAsia="en-US"/>
        </w:rPr>
      </w:pPr>
      <w:r w:rsidRPr="000B7589">
        <w:rPr>
          <w:lang w:eastAsia="en-US"/>
        </w:rPr>
        <w:t xml:space="preserve">Although it is the best option from those considered, Option 3 is not, however, without risks. As discussed in </w:t>
      </w:r>
      <w:r w:rsidRPr="002B35E6">
        <w:rPr>
          <w:color w:val="008675"/>
        </w:rPr>
        <w:t xml:space="preserve">Section </w:t>
      </w:r>
      <w:r w:rsidRPr="002B35E6">
        <w:rPr>
          <w:color w:val="008675"/>
        </w:rPr>
        <w:fldChar w:fldCharType="begin"/>
      </w:r>
      <w:r w:rsidRPr="002B35E6">
        <w:rPr>
          <w:color w:val="008675"/>
        </w:rPr>
        <w:instrText xml:space="preserve"> REF _Ref65156523 \h </w:instrText>
      </w:r>
      <w:r w:rsidR="000B7589" w:rsidRPr="002B35E6">
        <w:rPr>
          <w:color w:val="008675"/>
        </w:rPr>
        <w:instrText xml:space="preserve"> \* MERGEFORMAT </w:instrText>
      </w:r>
      <w:r w:rsidRPr="002B35E6">
        <w:rPr>
          <w:color w:val="008675"/>
        </w:rPr>
      </w:r>
      <w:r w:rsidRPr="002B35E6">
        <w:rPr>
          <w:color w:val="008675"/>
        </w:rPr>
        <w:fldChar w:fldCharType="separate"/>
      </w:r>
      <w:r w:rsidRPr="002B35E6">
        <w:rPr>
          <w:color w:val="008675"/>
        </w:rPr>
        <w:t xml:space="preserve">4.4 Constraints and </w:t>
      </w:r>
      <w:r w:rsidR="00872FB4" w:rsidRPr="002B35E6">
        <w:rPr>
          <w:color w:val="008675"/>
        </w:rPr>
        <w:t>b</w:t>
      </w:r>
      <w:r w:rsidRPr="002B35E6">
        <w:rPr>
          <w:color w:val="008675"/>
        </w:rPr>
        <w:t xml:space="preserve">arriers to </w:t>
      </w:r>
      <w:r w:rsidR="00872FB4" w:rsidRPr="002B35E6">
        <w:rPr>
          <w:color w:val="008675"/>
        </w:rPr>
        <w:t>g</w:t>
      </w:r>
      <w:r w:rsidRPr="002B35E6">
        <w:rPr>
          <w:color w:val="008675"/>
        </w:rPr>
        <w:t xml:space="preserve">overnment </w:t>
      </w:r>
      <w:r w:rsidR="00872FB4" w:rsidRPr="002B35E6">
        <w:rPr>
          <w:color w:val="008675"/>
        </w:rPr>
        <w:t>i</w:t>
      </w:r>
      <w:r w:rsidRPr="002B35E6">
        <w:rPr>
          <w:color w:val="008675"/>
        </w:rPr>
        <w:t>ntervention</w:t>
      </w:r>
      <w:r w:rsidRPr="002B35E6">
        <w:rPr>
          <w:color w:val="008675"/>
        </w:rPr>
        <w:fldChar w:fldCharType="end"/>
      </w:r>
      <w:r w:rsidRPr="000B7589">
        <w:rPr>
          <w:lang w:eastAsia="en-US"/>
        </w:rPr>
        <w:t xml:space="preserve">, there is a risk that </w:t>
      </w:r>
      <w:r w:rsidR="00B04C61">
        <w:rPr>
          <w:lang w:eastAsia="en-US"/>
        </w:rPr>
        <w:t>Australian Government</w:t>
      </w:r>
      <w:r w:rsidR="00B04C61" w:rsidRPr="000B7589" w:rsidDel="00B04C61">
        <w:rPr>
          <w:lang w:eastAsia="en-US"/>
        </w:rPr>
        <w:t xml:space="preserve"> </w:t>
      </w:r>
      <w:r w:rsidRPr="000B7589">
        <w:rPr>
          <w:lang w:eastAsia="en-US"/>
        </w:rPr>
        <w:t xml:space="preserve">regulatory action in this space may be misconstrued or viewed with suspicion and mistrust. The Program is well equipped to monitor and manage this risk, through its established communication forums and its consultation approach. </w:t>
      </w:r>
      <w:r w:rsidR="0022169D">
        <w:rPr>
          <w:lang w:eastAsia="en-US"/>
        </w:rPr>
        <w:t xml:space="preserve">The regulatory regime does address all key issues addressed through consultation – however given the rapid pace of technological change and challenges in regulating emerging markets, there will be an ongoing need to </w:t>
      </w:r>
      <w:r w:rsidR="000D7E39">
        <w:rPr>
          <w:lang w:eastAsia="en-US"/>
        </w:rPr>
        <w:t xml:space="preserve">monitor and establish new Rules as required. </w:t>
      </w:r>
      <w:r w:rsidRPr="000B7589">
        <w:rPr>
          <w:lang w:eastAsia="en-US"/>
        </w:rPr>
        <w:t xml:space="preserve">The risk profile associated with this preferred Option 3, and mitigations, are summarised in the following section. </w:t>
      </w:r>
    </w:p>
    <w:p w14:paraId="49F3918D" w14:textId="6192A7BB" w:rsidR="00E6232E" w:rsidRPr="001630AE" w:rsidRDefault="00E6232E" w:rsidP="003C5CA3">
      <w:pPr>
        <w:pStyle w:val="Heading1NoNumbers"/>
        <w:rPr>
          <w:color w:val="008675"/>
          <w:lang w:eastAsia="en-US"/>
        </w:rPr>
      </w:pPr>
      <w:bookmarkStart w:id="609" w:name="_Ref70492068"/>
      <w:bookmarkStart w:id="610" w:name="_Toc80884715"/>
      <w:bookmarkStart w:id="611" w:name="_Toc81226654"/>
      <w:bookmarkStart w:id="612" w:name="_Toc81226673"/>
      <w:bookmarkStart w:id="613" w:name="_Toc81226930"/>
      <w:bookmarkStart w:id="614" w:name="_Toc81228274"/>
      <w:bookmarkStart w:id="615" w:name="_Toc86070056"/>
      <w:bookmarkStart w:id="616" w:name="_Toc149740363"/>
      <w:bookmarkStart w:id="617" w:name="_Toc83951217"/>
      <w:bookmarkStart w:id="618" w:name="_Toc84925842"/>
      <w:bookmarkStart w:id="619" w:name="_Toc84925915"/>
      <w:bookmarkStart w:id="620" w:name="_Toc86045159"/>
      <w:bookmarkStart w:id="621" w:name="Section12"/>
      <w:r w:rsidRPr="001630AE">
        <w:rPr>
          <w:color w:val="008675"/>
          <w:lang w:eastAsia="en-US"/>
        </w:rPr>
        <w:lastRenderedPageBreak/>
        <w:t xml:space="preserve">12 Implementation </w:t>
      </w:r>
      <w:r w:rsidR="00FA052B" w:rsidRPr="001630AE">
        <w:rPr>
          <w:color w:val="008675"/>
          <w:lang w:eastAsia="en-US"/>
        </w:rPr>
        <w:t xml:space="preserve">and evaluation </w:t>
      </w:r>
      <w:r w:rsidRPr="001630AE">
        <w:rPr>
          <w:color w:val="008675"/>
          <w:lang w:eastAsia="en-US"/>
        </w:rPr>
        <w:t xml:space="preserve">of </w:t>
      </w:r>
      <w:r w:rsidR="00AE1804" w:rsidRPr="001630AE">
        <w:rPr>
          <w:color w:val="008675"/>
          <w:lang w:eastAsia="en-US"/>
        </w:rPr>
        <w:t>s</w:t>
      </w:r>
      <w:r w:rsidRPr="001630AE">
        <w:rPr>
          <w:color w:val="008675"/>
          <w:lang w:eastAsia="en-US"/>
        </w:rPr>
        <w:t xml:space="preserve">elected </w:t>
      </w:r>
      <w:r w:rsidR="00AE1804" w:rsidRPr="001630AE">
        <w:rPr>
          <w:color w:val="008675"/>
          <w:lang w:eastAsia="en-US"/>
        </w:rPr>
        <w:t>o</w:t>
      </w:r>
      <w:r w:rsidRPr="001630AE">
        <w:rPr>
          <w:color w:val="008675"/>
          <w:lang w:eastAsia="en-US"/>
        </w:rPr>
        <w:t>ption</w:t>
      </w:r>
      <w:bookmarkEnd w:id="609"/>
      <w:bookmarkEnd w:id="610"/>
      <w:bookmarkEnd w:id="611"/>
      <w:bookmarkEnd w:id="612"/>
      <w:bookmarkEnd w:id="613"/>
      <w:bookmarkEnd w:id="614"/>
      <w:bookmarkEnd w:id="615"/>
      <w:bookmarkEnd w:id="616"/>
      <w:r w:rsidRPr="001630AE">
        <w:rPr>
          <w:color w:val="008675"/>
          <w:lang w:eastAsia="en-US"/>
        </w:rPr>
        <w:t xml:space="preserve"> </w:t>
      </w:r>
      <w:bookmarkEnd w:id="617"/>
      <w:bookmarkEnd w:id="618"/>
      <w:bookmarkEnd w:id="619"/>
      <w:bookmarkEnd w:id="620"/>
    </w:p>
    <w:p w14:paraId="0A9980CB" w14:textId="7C5627FF" w:rsidR="005A65B1" w:rsidRPr="001630AE" w:rsidRDefault="005A65B1" w:rsidP="005A65B1">
      <w:pPr>
        <w:pStyle w:val="Heading2NoNumbers"/>
        <w:rPr>
          <w:color w:val="008675"/>
          <w:lang w:eastAsia="en-US"/>
        </w:rPr>
      </w:pPr>
      <w:bookmarkStart w:id="622" w:name="_Toc149740364"/>
      <w:r w:rsidRPr="001630AE">
        <w:rPr>
          <w:color w:val="008675"/>
          <w:lang w:eastAsia="en-US"/>
        </w:rPr>
        <w:t xml:space="preserve">12.1 Impact Analysis </w:t>
      </w:r>
      <w:r w:rsidR="001630AE">
        <w:rPr>
          <w:color w:val="008675"/>
          <w:lang w:eastAsia="en-US"/>
        </w:rPr>
        <w:t>s</w:t>
      </w:r>
      <w:r w:rsidR="001630AE" w:rsidRPr="001630AE">
        <w:rPr>
          <w:color w:val="008675"/>
          <w:lang w:eastAsia="en-US"/>
        </w:rPr>
        <w:t xml:space="preserve">tatus </w:t>
      </w:r>
      <w:r w:rsidRPr="001630AE">
        <w:rPr>
          <w:color w:val="008675"/>
          <w:lang w:eastAsia="en-US"/>
        </w:rPr>
        <w:t xml:space="preserve">at </w:t>
      </w:r>
      <w:r w:rsidR="00871BAE" w:rsidRPr="001630AE">
        <w:rPr>
          <w:color w:val="008675"/>
          <w:lang w:eastAsia="en-US"/>
        </w:rPr>
        <w:t xml:space="preserve">key </w:t>
      </w:r>
      <w:r w:rsidRPr="001630AE">
        <w:rPr>
          <w:color w:val="008675"/>
          <w:lang w:eastAsia="en-US"/>
        </w:rPr>
        <w:t>decision points</w:t>
      </w:r>
      <w:bookmarkEnd w:id="622"/>
    </w:p>
    <w:p w14:paraId="7A374869" w14:textId="10AF0903" w:rsidR="005A65B1" w:rsidRDefault="005A65B1" w:rsidP="005A65B1">
      <w:pPr>
        <w:pStyle w:val="BodyText"/>
        <w:rPr>
          <w:lang w:eastAsia="en-US"/>
        </w:rPr>
      </w:pPr>
      <w:r>
        <w:rPr>
          <w:lang w:eastAsia="en-US"/>
        </w:rPr>
        <w:t xml:space="preserve">The RIS has followed best practice </w:t>
      </w:r>
      <w:r w:rsidR="00981701">
        <w:rPr>
          <w:lang w:eastAsia="en-US"/>
        </w:rPr>
        <w:t xml:space="preserve">and has informed policy development, and advice, at each key decision point. </w:t>
      </w:r>
      <w:r w:rsidR="00B20299">
        <w:rPr>
          <w:lang w:eastAsia="en-US"/>
        </w:rPr>
        <w:t xml:space="preserve">The </w:t>
      </w:r>
      <w:r w:rsidR="00650FA1">
        <w:rPr>
          <w:lang w:eastAsia="en-US"/>
        </w:rPr>
        <w:t xml:space="preserve">previous </w:t>
      </w:r>
      <w:r w:rsidR="00EE1F6E">
        <w:rPr>
          <w:lang w:eastAsia="en-US"/>
        </w:rPr>
        <w:t>Consultation RIS</w:t>
      </w:r>
      <w:r w:rsidR="00E764C4">
        <w:rPr>
          <w:lang w:eastAsia="en-US"/>
        </w:rPr>
        <w:t xml:space="preserve"> was released </w:t>
      </w:r>
      <w:r w:rsidR="00871BAE">
        <w:rPr>
          <w:lang w:eastAsia="en-US"/>
        </w:rPr>
        <w:t>in late 2022 and informed the consultation on the previous draft Bill</w:t>
      </w:r>
      <w:r w:rsidR="00E309F9">
        <w:rPr>
          <w:lang w:eastAsia="en-US"/>
        </w:rPr>
        <w:t xml:space="preserve"> (The Trusted Digital Identity Bill 2021)</w:t>
      </w:r>
      <w:r w:rsidR="00871BAE">
        <w:rPr>
          <w:lang w:eastAsia="en-US"/>
        </w:rPr>
        <w:t>.</w:t>
      </w:r>
      <w:r w:rsidR="00A87FD4">
        <w:rPr>
          <w:lang w:eastAsia="en-US"/>
        </w:rPr>
        <w:t xml:space="preserve"> The Regulatory Burden Estimate was </w:t>
      </w:r>
      <w:r w:rsidR="00FB62CC">
        <w:rPr>
          <w:lang w:eastAsia="en-US"/>
        </w:rPr>
        <w:t xml:space="preserve">considered as part of this </w:t>
      </w:r>
      <w:r w:rsidR="000D7E39">
        <w:rPr>
          <w:lang w:eastAsia="en-US"/>
        </w:rPr>
        <w:t>consultation and</w:t>
      </w:r>
      <w:r w:rsidR="00FB62CC">
        <w:rPr>
          <w:lang w:eastAsia="en-US"/>
        </w:rPr>
        <w:t xml:space="preserve"> revised according to feedback from stakeholders.</w:t>
      </w:r>
      <w:r w:rsidR="000D7E39">
        <w:rPr>
          <w:lang w:eastAsia="en-US"/>
        </w:rPr>
        <w:t xml:space="preserve"> </w:t>
      </w:r>
    </w:p>
    <w:p w14:paraId="4B65DDBE" w14:textId="1922E905" w:rsidR="002E5FFB" w:rsidRDefault="00497734" w:rsidP="005A65B1">
      <w:pPr>
        <w:pStyle w:val="BodyText"/>
        <w:rPr>
          <w:lang w:eastAsia="en-US"/>
        </w:rPr>
      </w:pPr>
      <w:r>
        <w:rPr>
          <w:lang w:eastAsia="en-US"/>
        </w:rPr>
        <w:t xml:space="preserve">Feedback from that consultation </w:t>
      </w:r>
      <w:r w:rsidR="002E3BEC">
        <w:rPr>
          <w:lang w:eastAsia="en-US"/>
        </w:rPr>
        <w:t xml:space="preserve">was incorporated into the First Pass Assessment, assessed by the Office of Impact Analysis (formerly Office of Best Practice Regulation) in </w:t>
      </w:r>
      <w:r w:rsidR="002E5FFB">
        <w:rPr>
          <w:lang w:eastAsia="en-US"/>
        </w:rPr>
        <w:t>late 2021. No final decision was made and therefore the RIS did not progress to Second-Pass Final Assessment.</w:t>
      </w:r>
    </w:p>
    <w:p w14:paraId="148A2012" w14:textId="5DCAE0CF" w:rsidR="00653D60" w:rsidRDefault="004C0534" w:rsidP="005A65B1">
      <w:pPr>
        <w:pStyle w:val="BodyText"/>
        <w:rPr>
          <w:lang w:eastAsia="en-US"/>
        </w:rPr>
      </w:pPr>
      <w:r>
        <w:rPr>
          <w:lang w:eastAsia="en-US"/>
        </w:rPr>
        <w:t>A draft of an earlier version of this RIS was provided to the</w:t>
      </w:r>
      <w:r w:rsidR="002B66AB">
        <w:rPr>
          <w:lang w:eastAsia="en-US"/>
        </w:rPr>
        <w:t xml:space="preserve"> Minister, and subsequently</w:t>
      </w:r>
      <w:r>
        <w:rPr>
          <w:lang w:eastAsia="en-US"/>
        </w:rPr>
        <w:t xml:space="preserve"> Cabinet</w:t>
      </w:r>
      <w:r w:rsidR="002B66AB">
        <w:rPr>
          <w:lang w:eastAsia="en-US"/>
        </w:rPr>
        <w:t>,</w:t>
      </w:r>
      <w:r>
        <w:rPr>
          <w:lang w:eastAsia="en-US"/>
        </w:rPr>
        <w:t xml:space="preserve"> to inform an interim decision on whether to progress with consultation on a revised Digital ID </w:t>
      </w:r>
      <w:r w:rsidR="008D21CA">
        <w:rPr>
          <w:lang w:eastAsia="en-US"/>
        </w:rPr>
        <w:t>Bill. Since</w:t>
      </w:r>
      <w:r w:rsidR="007D07B5">
        <w:rPr>
          <w:lang w:eastAsia="en-US"/>
        </w:rPr>
        <w:t xml:space="preserve"> then, </w:t>
      </w:r>
      <w:r>
        <w:rPr>
          <w:lang w:eastAsia="en-US"/>
        </w:rPr>
        <w:t>a</w:t>
      </w:r>
      <w:r w:rsidR="007D07B5">
        <w:rPr>
          <w:lang w:eastAsia="en-US"/>
        </w:rPr>
        <w:t xml:space="preserve">s outlined in </w:t>
      </w:r>
      <w:r w:rsidR="00BB22F3">
        <w:rPr>
          <w:lang w:eastAsia="en-US"/>
        </w:rPr>
        <w:t xml:space="preserve">Attachment D, the Department of Finance has undertaken </w:t>
      </w:r>
      <w:r w:rsidR="00BB22F3" w:rsidRPr="00BB22F3">
        <w:rPr>
          <w:lang w:eastAsia="en-US"/>
        </w:rPr>
        <w:t>additional extensive consultation to inform the development of this Second</w:t>
      </w:r>
      <w:r w:rsidR="008D21CA">
        <w:rPr>
          <w:lang w:eastAsia="en-US"/>
        </w:rPr>
        <w:t xml:space="preserve"> </w:t>
      </w:r>
      <w:r w:rsidR="00BB22F3" w:rsidRPr="00BB22F3">
        <w:rPr>
          <w:lang w:eastAsia="en-US"/>
        </w:rPr>
        <w:t xml:space="preserve">Pass Final RIS. </w:t>
      </w:r>
      <w:r w:rsidR="00981701" w:rsidRPr="00BB22F3">
        <w:rPr>
          <w:lang w:eastAsia="en-US"/>
        </w:rPr>
        <w:t xml:space="preserve">This version of the RIS was provided to the Minister for Finance as part of the final briefing process </w:t>
      </w:r>
      <w:r w:rsidR="00F323A6" w:rsidRPr="00BB22F3">
        <w:rPr>
          <w:lang w:eastAsia="en-US"/>
        </w:rPr>
        <w:t>seeking agreement to table to Digital ID Bill in Parliament.</w:t>
      </w:r>
      <w:r w:rsidR="00650FA1" w:rsidRPr="00BB22F3">
        <w:rPr>
          <w:lang w:eastAsia="en-US"/>
        </w:rPr>
        <w:t xml:space="preserve"> It has been developed in tandem with the consultation process, which has informed the final Bill expected to be tabled in Parliament in late 2023.</w:t>
      </w:r>
    </w:p>
    <w:p w14:paraId="2803B152" w14:textId="3B0B2B6B" w:rsidR="00BB22F3" w:rsidRPr="00BB22F3" w:rsidRDefault="00BB22F3" w:rsidP="005A65B1">
      <w:pPr>
        <w:pStyle w:val="BodyText"/>
        <w:rPr>
          <w:lang w:eastAsia="en-US"/>
        </w:rPr>
      </w:pPr>
      <w:r>
        <w:rPr>
          <w:lang w:eastAsia="en-US"/>
        </w:rPr>
        <w:t xml:space="preserve">Each key decision point has been informed by a version of the </w:t>
      </w:r>
      <w:r w:rsidR="00920E3B">
        <w:rPr>
          <w:lang w:eastAsia="en-US"/>
        </w:rPr>
        <w:t>impact analysis</w:t>
      </w:r>
      <w:r>
        <w:rPr>
          <w:lang w:eastAsia="en-US"/>
        </w:rPr>
        <w:t xml:space="preserve">, reflecting consultation outcomes, and final analysis of </w:t>
      </w:r>
      <w:r w:rsidR="002313F4">
        <w:rPr>
          <w:lang w:eastAsia="en-US"/>
        </w:rPr>
        <w:t>the costs and benefits of each option.</w:t>
      </w:r>
      <w:r w:rsidR="00920E3B">
        <w:rPr>
          <w:lang w:eastAsia="en-US"/>
        </w:rPr>
        <w:t xml:space="preserve"> The final decision point will be informed by this document.</w:t>
      </w:r>
    </w:p>
    <w:p w14:paraId="2023B58D" w14:textId="04EF2FF0" w:rsidR="00E6232E" w:rsidRPr="0020437A" w:rsidRDefault="00E6232E" w:rsidP="00B77955">
      <w:pPr>
        <w:pStyle w:val="Heading2NoNumbers"/>
        <w:rPr>
          <w:color w:val="008675"/>
          <w:lang w:eastAsia="en-US"/>
        </w:rPr>
      </w:pPr>
      <w:bookmarkStart w:id="623" w:name="_Toc80884716"/>
      <w:bookmarkStart w:id="624" w:name="_Toc81226655"/>
      <w:bookmarkStart w:id="625" w:name="_Toc81226931"/>
      <w:bookmarkStart w:id="626" w:name="_Toc81228275"/>
      <w:bookmarkStart w:id="627" w:name="_Toc83951218"/>
      <w:bookmarkStart w:id="628" w:name="_Toc84925843"/>
      <w:bookmarkStart w:id="629" w:name="_Toc84925916"/>
      <w:bookmarkStart w:id="630" w:name="_Toc86045160"/>
      <w:bookmarkStart w:id="631" w:name="_Toc86070057"/>
      <w:bookmarkStart w:id="632" w:name="_Toc149740365"/>
      <w:bookmarkEnd w:id="621"/>
      <w:r w:rsidRPr="0020437A">
        <w:rPr>
          <w:color w:val="008675"/>
          <w:lang w:eastAsia="en-US"/>
        </w:rPr>
        <w:t>12.</w:t>
      </w:r>
      <w:r w:rsidR="005A65B1" w:rsidRPr="0020437A">
        <w:rPr>
          <w:color w:val="008675"/>
          <w:lang w:eastAsia="en-US"/>
        </w:rPr>
        <w:t>2</w:t>
      </w:r>
      <w:r w:rsidRPr="0020437A">
        <w:rPr>
          <w:color w:val="008675"/>
          <w:lang w:eastAsia="en-US"/>
        </w:rPr>
        <w:t xml:space="preserve"> Implementation </w:t>
      </w:r>
      <w:r w:rsidR="00AE1804" w:rsidRPr="0020437A">
        <w:rPr>
          <w:color w:val="008675"/>
          <w:lang w:eastAsia="en-US"/>
        </w:rPr>
        <w:t>a</w:t>
      </w:r>
      <w:r w:rsidRPr="0020437A">
        <w:rPr>
          <w:color w:val="008675"/>
          <w:lang w:eastAsia="en-US"/>
        </w:rPr>
        <w:t>pproach</w:t>
      </w:r>
      <w:bookmarkEnd w:id="623"/>
      <w:bookmarkEnd w:id="624"/>
      <w:bookmarkEnd w:id="625"/>
      <w:bookmarkEnd w:id="626"/>
      <w:bookmarkEnd w:id="627"/>
      <w:bookmarkEnd w:id="628"/>
      <w:bookmarkEnd w:id="629"/>
      <w:bookmarkEnd w:id="630"/>
      <w:bookmarkEnd w:id="631"/>
      <w:bookmarkEnd w:id="632"/>
    </w:p>
    <w:p w14:paraId="14F8A835" w14:textId="232BCC24" w:rsidR="00E6232E" w:rsidRPr="000B7589" w:rsidRDefault="00E6232E" w:rsidP="00A11DE4">
      <w:pPr>
        <w:pStyle w:val="BodyText"/>
        <w:rPr>
          <w:lang w:eastAsia="en-US"/>
        </w:rPr>
      </w:pPr>
      <w:r w:rsidRPr="000B7589">
        <w:rPr>
          <w:lang w:eastAsia="en-US"/>
        </w:rPr>
        <w:t xml:space="preserve">Effective implementation of the dedicated regulatory scheme will be critical to </w:t>
      </w:r>
      <w:r w:rsidR="00650257">
        <w:rPr>
          <w:lang w:eastAsia="en-US"/>
        </w:rPr>
        <w:t xml:space="preserve">realising </w:t>
      </w:r>
      <w:r w:rsidRPr="000B7589">
        <w:rPr>
          <w:lang w:eastAsia="en-US"/>
        </w:rPr>
        <w:t xml:space="preserve">Option 3’s full benefits. Implementation planning </w:t>
      </w:r>
      <w:r w:rsidR="00904692">
        <w:rPr>
          <w:lang w:eastAsia="en-US"/>
        </w:rPr>
        <w:t>has been</w:t>
      </w:r>
      <w:r w:rsidRPr="000B7589">
        <w:rPr>
          <w:lang w:eastAsia="en-US"/>
        </w:rPr>
        <w:t xml:space="preserve"> underway</w:t>
      </w:r>
      <w:r w:rsidR="008B6C28">
        <w:rPr>
          <w:lang w:eastAsia="en-US"/>
        </w:rPr>
        <w:t xml:space="preserve"> in the Program for some time</w:t>
      </w:r>
      <w:r w:rsidRPr="000B7589">
        <w:rPr>
          <w:lang w:eastAsia="en-US"/>
        </w:rPr>
        <w:t xml:space="preserve">, ensuring the dedicated regulatory scheme can be established efficiently and effectively. Implementation of these regulatory measures </w:t>
      </w:r>
      <w:r w:rsidR="009B2DC5">
        <w:rPr>
          <w:lang w:eastAsia="en-US"/>
        </w:rPr>
        <w:lastRenderedPageBreak/>
        <w:t>will</w:t>
      </w:r>
      <w:r w:rsidRPr="000B7589">
        <w:rPr>
          <w:lang w:eastAsia="en-US"/>
        </w:rPr>
        <w:t xml:space="preserve"> not occur in a </w:t>
      </w:r>
      <w:r w:rsidR="00CC5C83" w:rsidRPr="000B7589">
        <w:rPr>
          <w:lang w:eastAsia="en-US"/>
        </w:rPr>
        <w:t>silo but</w:t>
      </w:r>
      <w:r w:rsidRPr="000B7589">
        <w:rPr>
          <w:lang w:eastAsia="en-US"/>
        </w:rPr>
        <w:t xml:space="preserve"> will be delivered alongside other streams of ongoing </w:t>
      </w:r>
      <w:r w:rsidR="00CF709D">
        <w:rPr>
          <w:lang w:eastAsia="en-US"/>
        </w:rPr>
        <w:t>Program</w:t>
      </w:r>
      <w:r w:rsidRPr="000B7589">
        <w:rPr>
          <w:lang w:eastAsia="en-US"/>
        </w:rPr>
        <w:t xml:space="preserve"> implementation effort</w:t>
      </w:r>
      <w:r w:rsidR="007941BA">
        <w:rPr>
          <w:lang w:eastAsia="en-US"/>
        </w:rPr>
        <w:t>,</w:t>
      </w:r>
      <w:r w:rsidRPr="000B7589">
        <w:rPr>
          <w:lang w:eastAsia="en-US"/>
        </w:rPr>
        <w:t xml:space="preserve"> including strategy, customer experience, architecture, policy, communications and engagement.</w:t>
      </w:r>
    </w:p>
    <w:p w14:paraId="2259C5C2" w14:textId="25F0A8AA" w:rsidR="00E6232E" w:rsidRPr="000B7589" w:rsidRDefault="00E6232E" w:rsidP="00A11DE4">
      <w:pPr>
        <w:pStyle w:val="BodyText"/>
        <w:rPr>
          <w:lang w:eastAsia="en-US"/>
        </w:rPr>
      </w:pPr>
      <w:r w:rsidRPr="000B7589">
        <w:rPr>
          <w:lang w:eastAsia="en-US"/>
        </w:rPr>
        <w:t xml:space="preserve">Whilst the proposed legislation provides broad parameters, the Program is operating flexibly within these parameters to ensure the implementation solution is designed </w:t>
      </w:r>
      <w:r w:rsidR="007941BA">
        <w:rPr>
          <w:lang w:eastAsia="en-US"/>
        </w:rPr>
        <w:t>to</w:t>
      </w:r>
      <w:r w:rsidRPr="000B7589">
        <w:rPr>
          <w:lang w:eastAsia="en-US"/>
        </w:rPr>
        <w:t xml:space="preserve"> meet user and other stakeholder needs. </w:t>
      </w:r>
      <w:r w:rsidR="003E520A">
        <w:rPr>
          <w:lang w:eastAsia="en-US"/>
        </w:rPr>
        <w:t>Continuing</w:t>
      </w:r>
      <w:r w:rsidR="003E520A" w:rsidRPr="000B7589">
        <w:rPr>
          <w:lang w:eastAsia="en-US"/>
        </w:rPr>
        <w:t xml:space="preserve"> </w:t>
      </w:r>
      <w:r w:rsidRPr="000B7589">
        <w:rPr>
          <w:lang w:eastAsia="en-US"/>
        </w:rPr>
        <w:t xml:space="preserve">focus areas for implementation planning </w:t>
      </w:r>
      <w:r w:rsidR="005579C9">
        <w:rPr>
          <w:lang w:eastAsia="en-US"/>
        </w:rPr>
        <w:t xml:space="preserve">and </w:t>
      </w:r>
      <w:r w:rsidR="00B46D29">
        <w:rPr>
          <w:lang w:eastAsia="en-US"/>
        </w:rPr>
        <w:t xml:space="preserve">engagement on future phases of Australia’s Digital ID System </w:t>
      </w:r>
      <w:r w:rsidRPr="000B7589">
        <w:rPr>
          <w:lang w:eastAsia="en-US"/>
        </w:rPr>
        <w:t xml:space="preserve">include: </w:t>
      </w:r>
    </w:p>
    <w:p w14:paraId="69046869" w14:textId="506101A7" w:rsidR="00E6232E" w:rsidRPr="000B7589" w:rsidRDefault="00D00DBB" w:rsidP="00A11DE4">
      <w:pPr>
        <w:pStyle w:val="ListBulletLevel1"/>
        <w:rPr>
          <w:rFonts w:eastAsia="Calibri"/>
          <w:lang w:eastAsia="en-US"/>
        </w:rPr>
      </w:pPr>
      <w:proofErr w:type="gramStart"/>
      <w:r>
        <w:rPr>
          <w:rFonts w:eastAsia="Calibri"/>
          <w:lang w:eastAsia="en-US"/>
        </w:rPr>
        <w:t>c</w:t>
      </w:r>
      <w:r w:rsidR="00E6232E" w:rsidRPr="000B7589">
        <w:rPr>
          <w:rFonts w:eastAsia="Calibri"/>
          <w:lang w:eastAsia="en-US"/>
        </w:rPr>
        <w:t>ross-</w:t>
      </w:r>
      <w:r w:rsidR="00B04C61">
        <w:rPr>
          <w:lang w:eastAsia="en-US"/>
        </w:rPr>
        <w:t>Australian</w:t>
      </w:r>
      <w:proofErr w:type="gramEnd"/>
      <w:r w:rsidR="00B04C61">
        <w:rPr>
          <w:lang w:eastAsia="en-US"/>
        </w:rPr>
        <w:t xml:space="preserve"> Government</w:t>
      </w:r>
      <w:r w:rsidR="00B04C61" w:rsidRPr="000B7589" w:rsidDel="00B04C61">
        <w:rPr>
          <w:rFonts w:eastAsia="Calibri"/>
          <w:lang w:eastAsia="en-US"/>
        </w:rPr>
        <w:t xml:space="preserve"> </w:t>
      </w:r>
      <w:r w:rsidR="00E6232E" w:rsidRPr="000B7589">
        <w:rPr>
          <w:rFonts w:eastAsia="Calibri"/>
          <w:lang w:eastAsia="en-US"/>
        </w:rPr>
        <w:t xml:space="preserve">engagement on the establishment, structure and operating model of the permanent </w:t>
      </w:r>
      <w:r w:rsidR="00173208">
        <w:rPr>
          <w:rFonts w:eastAsia="Calibri"/>
          <w:szCs w:val="20"/>
          <w:lang w:eastAsia="en-US"/>
        </w:rPr>
        <w:t xml:space="preserve">Oversight </w:t>
      </w:r>
      <w:r w:rsidR="00E6232E" w:rsidRPr="000B7589">
        <w:rPr>
          <w:rFonts w:eastAsia="Calibri"/>
          <w:lang w:eastAsia="en-US"/>
        </w:rPr>
        <w:t>Authority</w:t>
      </w:r>
      <w:r w:rsidR="00CC5C83">
        <w:rPr>
          <w:rFonts w:eastAsia="Calibri"/>
          <w:lang w:eastAsia="en-US"/>
        </w:rPr>
        <w:t>.</w:t>
      </w:r>
    </w:p>
    <w:p w14:paraId="6926622D" w14:textId="7076E841" w:rsidR="00E6232E" w:rsidRPr="000B7589" w:rsidRDefault="0081740F" w:rsidP="00A11DE4">
      <w:pPr>
        <w:pStyle w:val="ListBulletLevel1"/>
        <w:rPr>
          <w:rFonts w:eastAsia="Calibri"/>
          <w:lang w:eastAsia="en-US"/>
        </w:rPr>
      </w:pPr>
      <w:r>
        <w:rPr>
          <w:rFonts w:eastAsia="Calibri"/>
          <w:lang w:eastAsia="en-US"/>
        </w:rPr>
        <w:t>engaging</w:t>
      </w:r>
      <w:r w:rsidR="00E6232E" w:rsidRPr="000B7589">
        <w:rPr>
          <w:rFonts w:eastAsia="Calibri"/>
          <w:lang w:eastAsia="en-US"/>
        </w:rPr>
        <w:t xml:space="preserve"> with bodies</w:t>
      </w:r>
      <w:r w:rsidR="00F67404">
        <w:rPr>
          <w:rFonts w:eastAsia="Calibri"/>
          <w:lang w:eastAsia="en-US"/>
        </w:rPr>
        <w:t xml:space="preserve">, </w:t>
      </w:r>
      <w:r w:rsidR="00E6232E" w:rsidRPr="000B7589">
        <w:rPr>
          <w:rFonts w:eastAsia="Calibri"/>
          <w:lang w:eastAsia="en-US"/>
        </w:rPr>
        <w:t xml:space="preserve">such as the Information Commissioner and </w:t>
      </w:r>
      <w:r w:rsidR="00052C39">
        <w:rPr>
          <w:rFonts w:eastAsia="Calibri"/>
          <w:lang w:eastAsia="en-US"/>
        </w:rPr>
        <w:t>s</w:t>
      </w:r>
      <w:r w:rsidR="00E6232E" w:rsidRPr="000B7589">
        <w:rPr>
          <w:rFonts w:eastAsia="Calibri"/>
          <w:lang w:eastAsia="en-US"/>
        </w:rPr>
        <w:t>tate/</w:t>
      </w:r>
      <w:r w:rsidR="00052C39">
        <w:rPr>
          <w:rFonts w:eastAsia="Calibri"/>
          <w:lang w:eastAsia="en-US"/>
        </w:rPr>
        <w:t>t</w:t>
      </w:r>
      <w:r w:rsidR="00E6232E" w:rsidRPr="000B7589">
        <w:rPr>
          <w:rFonts w:eastAsia="Calibri"/>
          <w:lang w:eastAsia="en-US"/>
        </w:rPr>
        <w:t xml:space="preserve">erritory </w:t>
      </w:r>
      <w:r w:rsidR="00F67404">
        <w:rPr>
          <w:rFonts w:eastAsia="Calibri"/>
          <w:lang w:eastAsia="en-US"/>
        </w:rPr>
        <w:t>p</w:t>
      </w:r>
      <w:r w:rsidR="00E6232E" w:rsidRPr="000B7589">
        <w:rPr>
          <w:rFonts w:eastAsia="Calibri"/>
          <w:lang w:eastAsia="en-US"/>
        </w:rPr>
        <w:t xml:space="preserve">rivacy </w:t>
      </w:r>
      <w:r w:rsidR="00F67404">
        <w:rPr>
          <w:rFonts w:eastAsia="Calibri"/>
          <w:lang w:eastAsia="en-US"/>
        </w:rPr>
        <w:t>c</w:t>
      </w:r>
      <w:r w:rsidR="00E6232E" w:rsidRPr="000B7589">
        <w:rPr>
          <w:rFonts w:eastAsia="Calibri"/>
          <w:lang w:eastAsia="en-US"/>
        </w:rPr>
        <w:t>ommissioners</w:t>
      </w:r>
      <w:r w:rsidR="00F67404">
        <w:rPr>
          <w:rFonts w:eastAsia="Calibri"/>
          <w:lang w:eastAsia="en-US"/>
        </w:rPr>
        <w:t>,</w:t>
      </w:r>
      <w:r w:rsidR="00E6232E" w:rsidRPr="000B7589">
        <w:rPr>
          <w:rFonts w:eastAsia="Calibri"/>
          <w:lang w:eastAsia="en-US"/>
        </w:rPr>
        <w:t xml:space="preserve"> on the legislation’s potential impact on their activities (including identifying and addressing any unintended consequences)</w:t>
      </w:r>
      <w:r w:rsidR="00CC5C83">
        <w:rPr>
          <w:rFonts w:eastAsia="Calibri"/>
          <w:lang w:eastAsia="en-US"/>
        </w:rPr>
        <w:t>.</w:t>
      </w:r>
    </w:p>
    <w:p w14:paraId="009156FB" w14:textId="3560DA55" w:rsidR="00E6232E" w:rsidRPr="000B7589" w:rsidRDefault="00D00DBB" w:rsidP="00A11DE4">
      <w:pPr>
        <w:pStyle w:val="ListBulletLevel1"/>
        <w:rPr>
          <w:rFonts w:eastAsia="Calibri"/>
          <w:lang w:eastAsia="en-US"/>
        </w:rPr>
      </w:pPr>
      <w:r>
        <w:rPr>
          <w:rFonts w:eastAsia="Calibri"/>
          <w:lang w:eastAsia="en-US"/>
        </w:rPr>
        <w:t>f</w:t>
      </w:r>
      <w:r w:rsidR="00E6232E" w:rsidRPr="000B7589">
        <w:rPr>
          <w:rFonts w:eastAsia="Calibri"/>
          <w:lang w:eastAsia="en-US"/>
        </w:rPr>
        <w:t xml:space="preserve">urther </w:t>
      </w:r>
      <w:r w:rsidR="0081740F">
        <w:rPr>
          <w:rFonts w:eastAsia="Calibri"/>
          <w:lang w:eastAsia="en-US"/>
        </w:rPr>
        <w:t xml:space="preserve">developing </w:t>
      </w:r>
      <w:r w:rsidR="00E6232E" w:rsidRPr="000B7589">
        <w:rPr>
          <w:rFonts w:eastAsia="Calibri"/>
          <w:lang w:eastAsia="en-US"/>
        </w:rPr>
        <w:t>the additional instruments, rules, policy documents and other artefacts that will form part of the regulatory ecosystem.</w:t>
      </w:r>
      <w:r w:rsidR="00737BA2">
        <w:rPr>
          <w:rFonts w:eastAsia="Calibri"/>
          <w:lang w:eastAsia="en-US"/>
        </w:rPr>
        <w:t xml:space="preserve"> </w:t>
      </w:r>
      <w:r w:rsidR="00E6232E" w:rsidRPr="000B7589">
        <w:rPr>
          <w:rFonts w:eastAsia="Calibri"/>
          <w:lang w:eastAsia="en-US"/>
        </w:rPr>
        <w:t xml:space="preserve">These are expected to cover subject matter including the </w:t>
      </w:r>
      <w:r w:rsidR="0004571F">
        <w:rPr>
          <w:rFonts w:eastAsia="Calibri"/>
          <w:lang w:eastAsia="en-US"/>
        </w:rPr>
        <w:t>c</w:t>
      </w:r>
      <w:r w:rsidR="00E6232E" w:rsidRPr="000B7589">
        <w:rPr>
          <w:rFonts w:eastAsia="Calibri"/>
          <w:lang w:eastAsia="en-US"/>
        </w:rPr>
        <w:t xml:space="preserve">harging </w:t>
      </w:r>
      <w:r w:rsidR="0004571F">
        <w:rPr>
          <w:rFonts w:eastAsia="Calibri"/>
          <w:lang w:eastAsia="en-US"/>
        </w:rPr>
        <w:t>f</w:t>
      </w:r>
      <w:r w:rsidR="00E6232E" w:rsidRPr="000B7589">
        <w:rPr>
          <w:rFonts w:eastAsia="Calibri"/>
          <w:lang w:eastAsia="en-US"/>
        </w:rPr>
        <w:t xml:space="preserve">ramework. </w:t>
      </w:r>
    </w:p>
    <w:p w14:paraId="5CBF7CE0" w14:textId="3A0DC5C3" w:rsidR="00E6232E" w:rsidRPr="0020437A" w:rsidRDefault="00E6232E" w:rsidP="00B77955">
      <w:pPr>
        <w:pStyle w:val="Heading2NoNumbers"/>
        <w:rPr>
          <w:color w:val="008675"/>
          <w:lang w:eastAsia="en-US"/>
        </w:rPr>
      </w:pPr>
      <w:bookmarkStart w:id="633" w:name="_Toc80884717"/>
      <w:bookmarkStart w:id="634" w:name="_Toc81226656"/>
      <w:bookmarkStart w:id="635" w:name="_Toc81226932"/>
      <w:bookmarkStart w:id="636" w:name="_Toc81228276"/>
      <w:bookmarkStart w:id="637" w:name="_Toc83951219"/>
      <w:bookmarkStart w:id="638" w:name="_Toc84925844"/>
      <w:bookmarkStart w:id="639" w:name="_Toc84925917"/>
      <w:bookmarkStart w:id="640" w:name="_Toc86045161"/>
      <w:bookmarkStart w:id="641" w:name="_Toc86070058"/>
      <w:bookmarkStart w:id="642" w:name="_Toc149740366"/>
      <w:r w:rsidRPr="0020437A">
        <w:rPr>
          <w:color w:val="008675"/>
          <w:lang w:eastAsia="en-US"/>
        </w:rPr>
        <w:t>12.</w:t>
      </w:r>
      <w:r w:rsidR="005A65B1" w:rsidRPr="0020437A">
        <w:rPr>
          <w:color w:val="008675"/>
          <w:lang w:eastAsia="en-US"/>
        </w:rPr>
        <w:t>3</w:t>
      </w:r>
      <w:r w:rsidRPr="0020437A">
        <w:rPr>
          <w:color w:val="008675"/>
          <w:lang w:eastAsia="en-US"/>
        </w:rPr>
        <w:t xml:space="preserve"> Implementation </w:t>
      </w:r>
      <w:r w:rsidR="00AE1804" w:rsidRPr="0020437A">
        <w:rPr>
          <w:color w:val="008675"/>
          <w:lang w:eastAsia="en-US"/>
        </w:rPr>
        <w:t>c</w:t>
      </w:r>
      <w:r w:rsidRPr="0020437A">
        <w:rPr>
          <w:color w:val="008675"/>
          <w:lang w:eastAsia="en-US"/>
        </w:rPr>
        <w:t xml:space="preserve">hallenges and </w:t>
      </w:r>
      <w:r w:rsidR="00AE1804" w:rsidRPr="0020437A">
        <w:rPr>
          <w:color w:val="008675"/>
          <w:lang w:eastAsia="en-US"/>
        </w:rPr>
        <w:t>r</w:t>
      </w:r>
      <w:r w:rsidRPr="0020437A">
        <w:rPr>
          <w:color w:val="008675"/>
          <w:lang w:eastAsia="en-US"/>
        </w:rPr>
        <w:t>isks</w:t>
      </w:r>
      <w:bookmarkEnd w:id="633"/>
      <w:bookmarkEnd w:id="634"/>
      <w:bookmarkEnd w:id="635"/>
      <w:bookmarkEnd w:id="636"/>
      <w:bookmarkEnd w:id="637"/>
      <w:bookmarkEnd w:id="638"/>
      <w:bookmarkEnd w:id="639"/>
      <w:bookmarkEnd w:id="640"/>
      <w:bookmarkEnd w:id="641"/>
      <w:bookmarkEnd w:id="642"/>
    </w:p>
    <w:p w14:paraId="39269590" w14:textId="62435213" w:rsidR="00E6232E" w:rsidRPr="00F76BDB" w:rsidRDefault="00E6232E" w:rsidP="00A11DE4">
      <w:pPr>
        <w:pStyle w:val="BodyText"/>
        <w:rPr>
          <w:lang w:eastAsia="en-US"/>
        </w:rPr>
      </w:pPr>
      <w:r w:rsidRPr="00F76BDB">
        <w:rPr>
          <w:lang w:eastAsia="en-US"/>
        </w:rPr>
        <w:t>Whilst Option 3 has been determined the most suitable from those considered, it is not without challenges and risks.</w:t>
      </w:r>
      <w:r w:rsidR="00737BA2" w:rsidRPr="00F76BDB">
        <w:rPr>
          <w:lang w:eastAsia="en-US"/>
        </w:rPr>
        <w:t xml:space="preserve"> </w:t>
      </w:r>
      <w:r w:rsidRPr="00F76BDB">
        <w:rPr>
          <w:lang w:eastAsia="en-US"/>
        </w:rPr>
        <w:t xml:space="preserve">These are outlined </w:t>
      </w:r>
      <w:r w:rsidR="0081740F">
        <w:rPr>
          <w:lang w:eastAsia="en-US"/>
        </w:rPr>
        <w:t xml:space="preserve">in Table </w:t>
      </w:r>
      <w:r w:rsidR="0080298A">
        <w:rPr>
          <w:lang w:eastAsia="en-US"/>
        </w:rPr>
        <w:t xml:space="preserve">12 </w:t>
      </w:r>
      <w:r w:rsidRPr="00F76BDB">
        <w:rPr>
          <w:lang w:eastAsia="en-US"/>
        </w:rPr>
        <w:t>below, including an explanation of how they are being monitored and accommodated within the Program’s implementation approach</w:t>
      </w:r>
      <w:r w:rsidR="00EF3AEF">
        <w:rPr>
          <w:lang w:eastAsia="en-US"/>
        </w:rPr>
        <w:t xml:space="preserve">, </w:t>
      </w:r>
      <w:r w:rsidR="00EF3AEF">
        <w:t>and relevant stakeholders’ roles and responsibilities</w:t>
      </w:r>
      <w:r w:rsidR="00EF3AEF" w:rsidRPr="00F10110">
        <w:t>.</w:t>
      </w:r>
      <w:r w:rsidRPr="00F76BDB">
        <w:rPr>
          <w:lang w:eastAsia="en-US"/>
        </w:rPr>
        <w:t xml:space="preserve"> </w:t>
      </w:r>
      <w:r w:rsidR="00640834" w:rsidRPr="00F76BDB">
        <w:rPr>
          <w:lang w:eastAsia="en-US"/>
        </w:rPr>
        <w:t>For d</w:t>
      </w:r>
      <w:r w:rsidR="00D70BA6" w:rsidRPr="00F76BDB">
        <w:rPr>
          <w:lang w:eastAsia="en-US"/>
        </w:rPr>
        <w:t xml:space="preserve">etail on the risk framework </w:t>
      </w:r>
      <w:r w:rsidR="00640834" w:rsidRPr="00F76BDB">
        <w:rPr>
          <w:lang w:eastAsia="en-US"/>
        </w:rPr>
        <w:t xml:space="preserve">and ratings used, refer </w:t>
      </w:r>
      <w:r w:rsidR="009C6031">
        <w:rPr>
          <w:lang w:eastAsia="en-US"/>
        </w:rPr>
        <w:t xml:space="preserve">to </w:t>
      </w:r>
      <w:hyperlink w:anchor="AppendixG" w:history="1">
        <w:r w:rsidR="00640834" w:rsidRPr="0020437A">
          <w:rPr>
            <w:rStyle w:val="Hyperlink"/>
            <w:color w:val="008675"/>
            <w:lang w:eastAsia="en-US"/>
          </w:rPr>
          <w:t xml:space="preserve">Appendix </w:t>
        </w:r>
        <w:r w:rsidR="00F76BDB" w:rsidRPr="0020437A">
          <w:rPr>
            <w:rStyle w:val="Hyperlink"/>
            <w:color w:val="008675"/>
            <w:lang w:eastAsia="en-US"/>
          </w:rPr>
          <w:t>G</w:t>
        </w:r>
      </w:hyperlink>
      <w:r w:rsidR="00640834" w:rsidRPr="00F76BDB">
        <w:rPr>
          <w:lang w:eastAsia="en-US"/>
        </w:rPr>
        <w:t>.</w:t>
      </w:r>
    </w:p>
    <w:p w14:paraId="65C3C1B3" w14:textId="77777777" w:rsidR="002C5E16" w:rsidRPr="00033DBE" w:rsidRDefault="002C5E16" w:rsidP="002C5E16">
      <w:pPr>
        <w:pStyle w:val="Heading2NoNumbers"/>
        <w:rPr>
          <w:color w:val="008675"/>
          <w:lang w:eastAsia="en-US"/>
        </w:rPr>
      </w:pPr>
      <w:bookmarkStart w:id="643" w:name="_Toc149740367"/>
      <w:r w:rsidRPr="00942C37">
        <w:rPr>
          <w:color w:val="008675"/>
          <w:lang w:eastAsia="en-US"/>
        </w:rPr>
        <w:t>12.4 Evaluation strategy</w:t>
      </w:r>
      <w:bookmarkEnd w:id="643"/>
    </w:p>
    <w:p w14:paraId="05938B45" w14:textId="4BB08A4E" w:rsidR="00167015" w:rsidRDefault="00FB62CC" w:rsidP="00FB62CC">
      <w:pPr>
        <w:pStyle w:val="BodyText"/>
        <w:rPr>
          <w:lang w:eastAsia="en-US"/>
        </w:rPr>
      </w:pPr>
      <w:r>
        <w:rPr>
          <w:lang w:eastAsia="en-US"/>
        </w:rPr>
        <w:t>The phased approach to Australia’s Digital ID allows for natural touchpoints to assess the effectiveness of the program.</w:t>
      </w:r>
      <w:r w:rsidR="00A14A4D">
        <w:rPr>
          <w:lang w:eastAsia="en-US"/>
        </w:rPr>
        <w:t xml:space="preserve"> The</w:t>
      </w:r>
      <w:r w:rsidR="00487795">
        <w:rPr>
          <w:lang w:eastAsia="en-US"/>
        </w:rPr>
        <w:t xml:space="preserve"> Legislation is structured to allow the Minister to make Accreditation Rules and Digital ID rules</w:t>
      </w:r>
      <w:r w:rsidR="00C52B54">
        <w:rPr>
          <w:lang w:eastAsia="en-US"/>
        </w:rPr>
        <w:t xml:space="preserve"> allows for future regulation to be added </w:t>
      </w:r>
      <w:r w:rsidR="00B54D72">
        <w:rPr>
          <w:lang w:eastAsia="en-US"/>
        </w:rPr>
        <w:t>if</w:t>
      </w:r>
      <w:r w:rsidR="00C52B54">
        <w:rPr>
          <w:lang w:eastAsia="en-US"/>
        </w:rPr>
        <w:t xml:space="preserve"> new or unforeseen </w:t>
      </w:r>
      <w:r w:rsidR="00B54D72">
        <w:rPr>
          <w:lang w:eastAsia="en-US"/>
        </w:rPr>
        <w:t xml:space="preserve">issues arise, or if the </w:t>
      </w:r>
      <w:r w:rsidR="0080298A">
        <w:rPr>
          <w:lang w:eastAsia="en-US"/>
        </w:rPr>
        <w:t xml:space="preserve">Program </w:t>
      </w:r>
      <w:r w:rsidR="00B54D72">
        <w:rPr>
          <w:lang w:eastAsia="en-US"/>
        </w:rPr>
        <w:t xml:space="preserve">is not working as intended. </w:t>
      </w:r>
      <w:r w:rsidR="00D875F2">
        <w:rPr>
          <w:lang w:eastAsia="en-US"/>
        </w:rPr>
        <w:t>The establishment of the ACCC as the initial Regulator</w:t>
      </w:r>
      <w:r w:rsidR="00B54D72">
        <w:rPr>
          <w:lang w:eastAsia="en-US"/>
        </w:rPr>
        <w:t xml:space="preserve"> gives it information collection powers to undertake its role, in addition to requiring</w:t>
      </w:r>
      <w:r w:rsidR="000B5DBC">
        <w:rPr>
          <w:lang w:eastAsia="en-US"/>
        </w:rPr>
        <w:t xml:space="preserve"> a review of</w:t>
      </w:r>
      <w:r w:rsidR="00B54D72">
        <w:rPr>
          <w:lang w:eastAsia="en-US"/>
        </w:rPr>
        <w:t xml:space="preserve"> accredited </w:t>
      </w:r>
      <w:r w:rsidR="00B54D72">
        <w:rPr>
          <w:lang w:eastAsia="en-US"/>
        </w:rPr>
        <w:lastRenderedPageBreak/>
        <w:t>entities</w:t>
      </w:r>
      <w:r w:rsidR="000B5DBC">
        <w:rPr>
          <w:lang w:eastAsia="en-US"/>
        </w:rPr>
        <w:t>’ suitability</w:t>
      </w:r>
      <w:r w:rsidR="00167015">
        <w:rPr>
          <w:lang w:eastAsia="en-US"/>
        </w:rPr>
        <w:t xml:space="preserve"> annually. These issues will be revisited, and additional impact analyses done to inform major changes to the regulatory regime, where necessary.</w:t>
      </w:r>
    </w:p>
    <w:p w14:paraId="5AC32A41" w14:textId="4D623709" w:rsidR="003D5B3D" w:rsidRPr="003D5B3D" w:rsidRDefault="003D5B3D" w:rsidP="003D5B3D">
      <w:pPr>
        <w:pStyle w:val="BodyText"/>
        <w:rPr>
          <w:lang w:eastAsia="en-US"/>
        </w:rPr>
      </w:pPr>
      <w:r w:rsidRPr="003D5B3D">
        <w:rPr>
          <w:lang w:eastAsia="en-US"/>
        </w:rPr>
        <w:t xml:space="preserve">A key part of the work being undertaken by the Department of Finance relates to benefits realisation. This work is being led by the Digital ID Taskforce, with oversight of the Digital ID Project Board, which includes representatives from Services Australia, the Attorney-General’s Department, and the Australian Taxation Office. Benefits Realisation is an ongoing function of the Digital ID </w:t>
      </w:r>
      <w:r w:rsidR="0015578E">
        <w:rPr>
          <w:lang w:eastAsia="en-US"/>
        </w:rPr>
        <w:t>P</w:t>
      </w:r>
      <w:r w:rsidR="0015578E" w:rsidRPr="003D5B3D">
        <w:rPr>
          <w:lang w:eastAsia="en-US"/>
        </w:rPr>
        <w:t xml:space="preserve">rogram </w:t>
      </w:r>
      <w:r w:rsidRPr="003D5B3D">
        <w:rPr>
          <w:lang w:eastAsia="en-US"/>
        </w:rPr>
        <w:t xml:space="preserve">to identify, track and provide transparency to the benefits derived. Regular reporting to Government and its stakeholders has been implemented to provide visibility of the Digital ID </w:t>
      </w:r>
      <w:r w:rsidR="0015578E">
        <w:rPr>
          <w:lang w:eastAsia="en-US"/>
        </w:rPr>
        <w:t>P</w:t>
      </w:r>
      <w:r w:rsidR="0015578E" w:rsidRPr="003D5B3D">
        <w:rPr>
          <w:lang w:eastAsia="en-US"/>
        </w:rPr>
        <w:t xml:space="preserve">rogram </w:t>
      </w:r>
      <w:r w:rsidRPr="003D5B3D">
        <w:rPr>
          <w:lang w:eastAsia="en-US"/>
        </w:rPr>
        <w:t>ensuring that it’s meeting its intended objectives.</w:t>
      </w:r>
    </w:p>
    <w:p w14:paraId="0C38F70D" w14:textId="77777777" w:rsidR="003D5B3D" w:rsidRDefault="003D5B3D" w:rsidP="003D5B3D">
      <w:pPr>
        <w:pStyle w:val="BodyText"/>
        <w:rPr>
          <w:lang w:eastAsia="en-US"/>
        </w:rPr>
      </w:pPr>
      <w:r w:rsidRPr="003D5B3D">
        <w:rPr>
          <w:lang w:eastAsia="en-US"/>
        </w:rPr>
        <w:t>The Bill also includes a requirement for a statutory review two years after commencement, which will draw from data collected from the regulators, and the above cross-agency Project Board.</w:t>
      </w:r>
      <w:r>
        <w:rPr>
          <w:lang w:eastAsia="en-US"/>
        </w:rPr>
        <w:t xml:space="preserve"> </w:t>
      </w:r>
    </w:p>
    <w:p w14:paraId="11832C48" w14:textId="3DE767CB" w:rsidR="00B54D72" w:rsidRPr="00FB62CC" w:rsidRDefault="00B54D72" w:rsidP="00FB62CC">
      <w:pPr>
        <w:pStyle w:val="BodyText"/>
        <w:rPr>
          <w:lang w:eastAsia="en-US"/>
        </w:rPr>
      </w:pPr>
    </w:p>
    <w:p w14:paraId="4A1DBAFD" w14:textId="77777777" w:rsidR="002C5E16" w:rsidRDefault="002C5E16" w:rsidP="002C5E16">
      <w:pPr>
        <w:pStyle w:val="BodyText"/>
        <w:rPr>
          <w:lang w:eastAsia="en-US"/>
        </w:rPr>
      </w:pPr>
    </w:p>
    <w:p w14:paraId="7C9C0C60" w14:textId="280C80BB" w:rsidR="002C5E16" w:rsidRPr="002C5E16" w:rsidRDefault="002C5E16" w:rsidP="002C5E16">
      <w:pPr>
        <w:pStyle w:val="BodyText"/>
        <w:rPr>
          <w:lang w:eastAsia="en-US"/>
        </w:rPr>
        <w:sectPr w:rsidR="002C5E16" w:rsidRPr="002C5E16" w:rsidSect="003C5AAF">
          <w:pgSz w:w="11907" w:h="16840" w:code="9"/>
          <w:pgMar w:top="1418" w:right="1418" w:bottom="1418" w:left="1418" w:header="567" w:footer="340" w:gutter="0"/>
          <w:cols w:space="720"/>
          <w:docGrid w:linePitch="326"/>
        </w:sectPr>
      </w:pPr>
    </w:p>
    <w:tbl>
      <w:tblPr>
        <w:tblStyle w:val="GridTable2-Accent3"/>
        <w:tblW w:w="0" w:type="auto"/>
        <w:jc w:val="center"/>
        <w:tblLook w:val="04A0" w:firstRow="1" w:lastRow="0" w:firstColumn="1" w:lastColumn="0" w:noHBand="0" w:noVBand="1"/>
      </w:tblPr>
      <w:tblGrid>
        <w:gridCol w:w="3020"/>
        <w:gridCol w:w="1216"/>
        <w:gridCol w:w="1528"/>
        <w:gridCol w:w="3491"/>
        <w:gridCol w:w="1122"/>
        <w:gridCol w:w="3627"/>
      </w:tblGrid>
      <w:tr w:rsidR="001D5AFE" w:rsidRPr="0015578E" w14:paraId="7CD85B2B" w14:textId="72DCFE94" w:rsidTr="007C5117">
        <w:trPr>
          <w:cnfStyle w:val="100000000000" w:firstRow="1" w:lastRow="0" w:firstColumn="0" w:lastColumn="0" w:oddVBand="0" w:evenVBand="0" w:oddHBand="0" w:evenHBand="0" w:firstRowFirstColumn="0" w:firstRowLastColumn="0" w:lastRowFirstColumn="0" w:lastRowLastColumn="0"/>
          <w:trHeight w:val="1045"/>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157A47C7" w14:textId="2015BA62" w:rsidR="00352C15" w:rsidRPr="0015578E" w:rsidRDefault="00352C15" w:rsidP="00641E3B">
            <w:pPr>
              <w:pStyle w:val="TableTextLeft"/>
              <w:spacing w:line="240" w:lineRule="auto"/>
              <w:rPr>
                <w:color w:val="008675"/>
                <w:szCs w:val="20"/>
                <w:lang w:eastAsia="en-US"/>
              </w:rPr>
            </w:pPr>
            <w:r w:rsidRPr="0015578E">
              <w:rPr>
                <w:color w:val="008675"/>
                <w:szCs w:val="20"/>
                <w:lang w:eastAsia="en-US"/>
              </w:rPr>
              <w:lastRenderedPageBreak/>
              <w:t>Challenge/risk</w:t>
            </w:r>
          </w:p>
        </w:tc>
        <w:tc>
          <w:tcPr>
            <w:tcW w:w="0" w:type="auto"/>
          </w:tcPr>
          <w:p w14:paraId="0F2069CC" w14:textId="3720378E" w:rsidR="00352C15" w:rsidRPr="0015578E" w:rsidRDefault="00352C15" w:rsidP="00641E3B">
            <w:pPr>
              <w:pStyle w:val="TableTextLeft"/>
              <w:spacing w:line="240" w:lineRule="auto"/>
              <w:cnfStyle w:val="100000000000" w:firstRow="1" w:lastRow="0" w:firstColumn="0" w:lastColumn="0" w:oddVBand="0" w:evenVBand="0" w:oddHBand="0" w:evenHBand="0" w:firstRowFirstColumn="0" w:firstRowLastColumn="0" w:lastRowFirstColumn="0" w:lastRowLastColumn="0"/>
              <w:rPr>
                <w:color w:val="008675"/>
                <w:szCs w:val="20"/>
                <w:lang w:eastAsia="en-US"/>
              </w:rPr>
            </w:pPr>
            <w:r w:rsidRPr="0015578E">
              <w:rPr>
                <w:color w:val="008675"/>
                <w:szCs w:val="20"/>
                <w:lang w:eastAsia="en-US"/>
              </w:rPr>
              <w:t>Likelihood</w:t>
            </w:r>
          </w:p>
        </w:tc>
        <w:tc>
          <w:tcPr>
            <w:tcW w:w="0" w:type="auto"/>
          </w:tcPr>
          <w:p w14:paraId="69877C0B" w14:textId="16771E23" w:rsidR="00352C15" w:rsidRPr="0015578E" w:rsidRDefault="00352C15" w:rsidP="00641E3B">
            <w:pPr>
              <w:pStyle w:val="TableTextLeft"/>
              <w:spacing w:line="240" w:lineRule="auto"/>
              <w:cnfStyle w:val="100000000000" w:firstRow="1" w:lastRow="0" w:firstColumn="0" w:lastColumn="0" w:oddVBand="0" w:evenVBand="0" w:oddHBand="0" w:evenHBand="0" w:firstRowFirstColumn="0" w:firstRowLastColumn="0" w:lastRowFirstColumn="0" w:lastRowLastColumn="0"/>
              <w:rPr>
                <w:color w:val="008675"/>
                <w:szCs w:val="20"/>
                <w:lang w:eastAsia="en-US"/>
              </w:rPr>
            </w:pPr>
            <w:r w:rsidRPr="0015578E">
              <w:rPr>
                <w:color w:val="008675"/>
                <w:szCs w:val="20"/>
                <w:lang w:eastAsia="en-US"/>
              </w:rPr>
              <w:t>Consequence</w:t>
            </w:r>
          </w:p>
        </w:tc>
        <w:tc>
          <w:tcPr>
            <w:tcW w:w="0" w:type="auto"/>
          </w:tcPr>
          <w:p w14:paraId="0DAE9009" w14:textId="77777777" w:rsidR="00352C15" w:rsidRPr="0015578E" w:rsidRDefault="00352C15" w:rsidP="00641E3B">
            <w:pPr>
              <w:pStyle w:val="TableTextLeft"/>
              <w:spacing w:line="240" w:lineRule="auto"/>
              <w:cnfStyle w:val="100000000000" w:firstRow="1" w:lastRow="0" w:firstColumn="0" w:lastColumn="0" w:oddVBand="0" w:evenVBand="0" w:oddHBand="0" w:evenHBand="0" w:firstRowFirstColumn="0" w:firstRowLastColumn="0" w:lastRowFirstColumn="0" w:lastRowLastColumn="0"/>
              <w:rPr>
                <w:color w:val="008675"/>
                <w:szCs w:val="20"/>
                <w:lang w:eastAsia="en-US"/>
              </w:rPr>
            </w:pPr>
            <w:r w:rsidRPr="0015578E">
              <w:rPr>
                <w:color w:val="008675"/>
                <w:szCs w:val="20"/>
                <w:lang w:eastAsia="en-US"/>
              </w:rPr>
              <w:t>Management</w:t>
            </w:r>
          </w:p>
        </w:tc>
        <w:tc>
          <w:tcPr>
            <w:tcW w:w="0" w:type="auto"/>
          </w:tcPr>
          <w:p w14:paraId="47219C74" w14:textId="000BE20E" w:rsidR="00352C15" w:rsidRPr="0015578E" w:rsidRDefault="00352C15" w:rsidP="00641E3B">
            <w:pPr>
              <w:pStyle w:val="TableTextLeft"/>
              <w:spacing w:line="240" w:lineRule="auto"/>
              <w:cnfStyle w:val="100000000000" w:firstRow="1" w:lastRow="0" w:firstColumn="0" w:lastColumn="0" w:oddVBand="0" w:evenVBand="0" w:oddHBand="0" w:evenHBand="0" w:firstRowFirstColumn="0" w:firstRowLastColumn="0" w:lastRowFirstColumn="0" w:lastRowLastColumn="0"/>
              <w:rPr>
                <w:color w:val="008675"/>
                <w:szCs w:val="20"/>
                <w:lang w:eastAsia="en-US"/>
              </w:rPr>
            </w:pPr>
            <w:r w:rsidRPr="0015578E">
              <w:rPr>
                <w:color w:val="008675"/>
                <w:szCs w:val="20"/>
                <w:lang w:eastAsia="en-US"/>
              </w:rPr>
              <w:t xml:space="preserve">Residual risk rating </w:t>
            </w:r>
          </w:p>
        </w:tc>
        <w:tc>
          <w:tcPr>
            <w:tcW w:w="0" w:type="auto"/>
          </w:tcPr>
          <w:p w14:paraId="231F673B" w14:textId="083A7CD5" w:rsidR="00352C15" w:rsidRPr="0015578E" w:rsidRDefault="000E1EFF" w:rsidP="00641E3B">
            <w:pPr>
              <w:pStyle w:val="TableTextLeft"/>
              <w:spacing w:line="240" w:lineRule="auto"/>
              <w:cnfStyle w:val="100000000000" w:firstRow="1" w:lastRow="0" w:firstColumn="0" w:lastColumn="0" w:oddVBand="0" w:evenVBand="0" w:oddHBand="0" w:evenHBand="0" w:firstRowFirstColumn="0" w:firstRowLastColumn="0" w:lastRowFirstColumn="0" w:lastRowLastColumn="0"/>
              <w:rPr>
                <w:color w:val="008675"/>
                <w:szCs w:val="20"/>
                <w:lang w:eastAsia="en-US"/>
              </w:rPr>
            </w:pPr>
            <w:r w:rsidRPr="0015578E">
              <w:rPr>
                <w:color w:val="008675"/>
                <w:szCs w:val="20"/>
                <w:lang w:eastAsia="en-US"/>
              </w:rPr>
              <w:t xml:space="preserve">Relevant stakeholder(s) </w:t>
            </w:r>
            <w:r w:rsidR="00463DE5" w:rsidRPr="0015578E">
              <w:rPr>
                <w:color w:val="008675"/>
                <w:szCs w:val="20"/>
                <w:lang w:eastAsia="en-US"/>
              </w:rPr>
              <w:t xml:space="preserve">and </w:t>
            </w:r>
            <w:r w:rsidR="00773E01" w:rsidRPr="0015578E">
              <w:rPr>
                <w:color w:val="008675"/>
                <w:szCs w:val="20"/>
                <w:lang w:eastAsia="en-US"/>
              </w:rPr>
              <w:t>roles / responsibilities</w:t>
            </w:r>
          </w:p>
        </w:tc>
      </w:tr>
      <w:tr w:rsidR="00931793" w:rsidRPr="000B7589" w14:paraId="613237A2" w14:textId="0B6566DE" w:rsidTr="00942C37">
        <w:trPr>
          <w:cnfStyle w:val="000000100000" w:firstRow="0" w:lastRow="0" w:firstColumn="0" w:lastColumn="0" w:oddVBand="0" w:evenVBand="0" w:oddHBand="1" w:evenHBand="0" w:firstRowFirstColumn="0" w:firstRowLastColumn="0" w:lastRowFirstColumn="0" w:lastRowLastColumn="0"/>
          <w:trHeight w:val="536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 w:space="0" w:color="A8E2F9" w:themeColor="accent3" w:themeTint="99"/>
            </w:tcBorders>
            <w:shd w:val="clear" w:color="auto" w:fill="D2EEED"/>
          </w:tcPr>
          <w:p w14:paraId="79E8B235" w14:textId="20A85D28" w:rsidR="00352C15" w:rsidRPr="007C5117" w:rsidRDefault="00352C15" w:rsidP="00F409BB">
            <w:pPr>
              <w:pStyle w:val="TableTextLeft"/>
              <w:numPr>
                <w:ilvl w:val="0"/>
                <w:numId w:val="8"/>
              </w:numPr>
              <w:rPr>
                <w:szCs w:val="18"/>
                <w:lang w:eastAsia="en-US"/>
              </w:rPr>
            </w:pPr>
            <w:r w:rsidRPr="005738FA">
              <w:rPr>
                <w:szCs w:val="18"/>
                <w:lang w:eastAsia="en-US"/>
              </w:rPr>
              <w:t>Potential for regulation to be misunderstood or distrusted, leading to low confidence levels and low uptake of Digital I</w:t>
            </w:r>
            <w:r w:rsidR="00EB2443">
              <w:rPr>
                <w:szCs w:val="18"/>
                <w:lang w:eastAsia="en-US"/>
              </w:rPr>
              <w:t>D</w:t>
            </w:r>
            <w:r w:rsidRPr="005738FA">
              <w:rPr>
                <w:szCs w:val="18"/>
                <w:lang w:eastAsia="en-US"/>
              </w:rPr>
              <w:t>.</w:t>
            </w:r>
          </w:p>
        </w:tc>
        <w:tc>
          <w:tcPr>
            <w:tcW w:w="0" w:type="auto"/>
            <w:tcBorders>
              <w:bottom w:val="single" w:sz="2" w:space="0" w:color="A8E2F9" w:themeColor="accent3" w:themeTint="99"/>
            </w:tcBorders>
            <w:shd w:val="clear" w:color="auto" w:fill="D2EEED"/>
          </w:tcPr>
          <w:p w14:paraId="6F098EF1" w14:textId="79BD079A" w:rsidR="00352C15" w:rsidRPr="00172A0B" w:rsidRDefault="00352C15" w:rsidP="00A11DE4">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Pr>
                <w:szCs w:val="18"/>
                <w:lang w:eastAsia="en-US"/>
              </w:rPr>
              <w:t>Likely</w:t>
            </w:r>
          </w:p>
        </w:tc>
        <w:tc>
          <w:tcPr>
            <w:tcW w:w="0" w:type="auto"/>
            <w:tcBorders>
              <w:bottom w:val="single" w:sz="2" w:space="0" w:color="A8E2F9" w:themeColor="accent3" w:themeTint="99"/>
            </w:tcBorders>
            <w:shd w:val="clear" w:color="auto" w:fill="D2EEED"/>
          </w:tcPr>
          <w:p w14:paraId="5CBD9EC6" w14:textId="77777777" w:rsidR="00352C15" w:rsidRPr="00172A0B" w:rsidRDefault="00352C15" w:rsidP="00A11DE4">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172A0B">
              <w:rPr>
                <w:szCs w:val="18"/>
                <w:lang w:eastAsia="en-US"/>
              </w:rPr>
              <w:t>Severe</w:t>
            </w:r>
          </w:p>
        </w:tc>
        <w:tc>
          <w:tcPr>
            <w:tcW w:w="0" w:type="auto"/>
            <w:tcBorders>
              <w:bottom w:val="single" w:sz="2" w:space="0" w:color="A8E2F9" w:themeColor="accent3" w:themeTint="99"/>
            </w:tcBorders>
            <w:shd w:val="clear" w:color="auto" w:fill="D2EEED"/>
          </w:tcPr>
          <w:p w14:paraId="7180E912" w14:textId="3FAE7602" w:rsidR="00352C15" w:rsidRPr="004B561D" w:rsidRDefault="00352C15" w:rsidP="00A11DE4">
            <w:pPr>
              <w:pStyle w:val="TableTextLeft"/>
              <w:cnfStyle w:val="000000100000" w:firstRow="0" w:lastRow="0" w:firstColumn="0" w:lastColumn="0" w:oddVBand="0" w:evenVBand="0" w:oddHBand="1" w:evenHBand="0" w:firstRowFirstColumn="0" w:firstRowLastColumn="0" w:lastRowFirstColumn="0" w:lastRowLastColumn="0"/>
            </w:pPr>
            <w:r w:rsidRPr="00172A0B">
              <w:rPr>
                <w:lang w:eastAsia="en-US"/>
              </w:rPr>
              <w:t xml:space="preserve">Clear and strategic communication to the Australian </w:t>
            </w:r>
            <w:r w:rsidRPr="004B561D">
              <w:t>community about the regulatory scheme’s purpose and safeguards (including prohibition on single identifier and in-built consent requirements).</w:t>
            </w:r>
          </w:p>
          <w:p w14:paraId="08BB4860" w14:textId="77777777" w:rsidR="00352C15" w:rsidRDefault="00352C15" w:rsidP="00A11DE4">
            <w:pPr>
              <w:pStyle w:val="TableTextLeft"/>
              <w:cnfStyle w:val="000000100000" w:firstRow="0" w:lastRow="0" w:firstColumn="0" w:lastColumn="0" w:oddVBand="0" w:evenVBand="0" w:oddHBand="1" w:evenHBand="0" w:firstRowFirstColumn="0" w:firstRowLastColumn="0" w:lastRowFirstColumn="0" w:lastRowLastColumn="0"/>
              <w:rPr>
                <w:lang w:eastAsia="en-US"/>
              </w:rPr>
            </w:pPr>
            <w:r w:rsidRPr="004B561D">
              <w:t>The Program’s ongoing</w:t>
            </w:r>
            <w:r w:rsidRPr="00172A0B">
              <w:rPr>
                <w:lang w:eastAsia="en-US"/>
              </w:rPr>
              <w:t xml:space="preserve"> consultation process and transparency about </w:t>
            </w:r>
            <w:r>
              <w:rPr>
                <w:lang w:eastAsia="en-US"/>
              </w:rPr>
              <w:t>decisions, their impacts and implementation will not cease with the passage of legislation</w:t>
            </w:r>
            <w:r w:rsidRPr="00172A0B">
              <w:rPr>
                <w:lang w:eastAsia="en-US"/>
              </w:rPr>
              <w:t>.</w:t>
            </w:r>
          </w:p>
          <w:p w14:paraId="797A3AE4" w14:textId="01C4DBC0" w:rsidR="00F67449" w:rsidRPr="00172A0B" w:rsidRDefault="00F67449" w:rsidP="00261BA8">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Borders>
              <w:bottom w:val="single" w:sz="2" w:space="0" w:color="A8E2F9" w:themeColor="accent3" w:themeTint="99"/>
            </w:tcBorders>
            <w:shd w:val="clear" w:color="auto" w:fill="D2EEED"/>
          </w:tcPr>
          <w:p w14:paraId="44C44E5E" w14:textId="7E95738A" w:rsidR="00352C15" w:rsidRPr="00172A0B" w:rsidRDefault="00352C15" w:rsidP="00A11DE4">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Pr>
                <w:szCs w:val="18"/>
                <w:lang w:eastAsia="en-US"/>
              </w:rPr>
              <w:t>Minor</w:t>
            </w:r>
          </w:p>
        </w:tc>
        <w:tc>
          <w:tcPr>
            <w:tcW w:w="0" w:type="auto"/>
            <w:tcBorders>
              <w:bottom w:val="single" w:sz="2" w:space="0" w:color="A8E2F9" w:themeColor="accent3" w:themeTint="99"/>
            </w:tcBorders>
            <w:shd w:val="clear" w:color="auto" w:fill="D2EEED"/>
          </w:tcPr>
          <w:p w14:paraId="46749478" w14:textId="3FA2D003" w:rsidR="00D13971" w:rsidRPr="007C5117" w:rsidRDefault="002816E8" w:rsidP="00A11DE4">
            <w:pPr>
              <w:pStyle w:val="TableTextLeft"/>
              <w:cnfStyle w:val="000000100000" w:firstRow="0" w:lastRow="0" w:firstColumn="0" w:lastColumn="0" w:oddVBand="0" w:evenVBand="0" w:oddHBand="1" w:evenHBand="0" w:firstRowFirstColumn="0" w:firstRowLastColumn="0" w:lastRowFirstColumn="0" w:lastRowLastColumn="0"/>
              <w:rPr>
                <w:szCs w:val="18"/>
              </w:rPr>
            </w:pPr>
            <w:r>
              <w:rPr>
                <w:b/>
                <w:bCs/>
                <w:szCs w:val="18"/>
              </w:rPr>
              <w:t>Finance</w:t>
            </w:r>
            <w:r w:rsidRPr="00DD7402">
              <w:rPr>
                <w:b/>
                <w:bCs/>
                <w:szCs w:val="18"/>
              </w:rPr>
              <w:t xml:space="preserve"> </w:t>
            </w:r>
            <w:r w:rsidR="00811EBB" w:rsidRPr="00DD7402">
              <w:rPr>
                <w:b/>
                <w:bCs/>
                <w:szCs w:val="18"/>
              </w:rPr>
              <w:t>(Legislation and Communication Functions)</w:t>
            </w:r>
            <w:r w:rsidR="00811EBB" w:rsidRPr="007C5117">
              <w:rPr>
                <w:szCs w:val="18"/>
              </w:rPr>
              <w:t xml:space="preserve"> – Throughout implementation, </w:t>
            </w:r>
            <w:r>
              <w:rPr>
                <w:szCs w:val="18"/>
              </w:rPr>
              <w:t>Finance</w:t>
            </w:r>
            <w:r w:rsidR="00811EBB" w:rsidRPr="007C5117">
              <w:rPr>
                <w:szCs w:val="18"/>
              </w:rPr>
              <w:t xml:space="preserve"> will continue to manage the risks of public misunderstanding through multi-channel engagement (including in-person, through social media, and the Digital I</w:t>
            </w:r>
            <w:r w:rsidR="00EB2443">
              <w:rPr>
                <w:szCs w:val="18"/>
              </w:rPr>
              <w:t>D</w:t>
            </w:r>
            <w:r w:rsidR="00811EBB" w:rsidRPr="007C5117">
              <w:rPr>
                <w:szCs w:val="18"/>
              </w:rPr>
              <w:t xml:space="preserve"> </w:t>
            </w:r>
            <w:hyperlink r:id="rId94" w:history="1">
              <w:r w:rsidR="00811EBB" w:rsidRPr="00DD7402">
                <w:rPr>
                  <w:rStyle w:val="Hyperlink"/>
                  <w:szCs w:val="18"/>
                </w:rPr>
                <w:t>website</w:t>
              </w:r>
            </w:hyperlink>
            <w:r w:rsidR="00811EBB" w:rsidRPr="00DD7402">
              <w:rPr>
                <w:szCs w:val="18"/>
              </w:rPr>
              <w:t xml:space="preserve">). The website will continue to serve as a user-friendly, authoritative source of truth on the </w:t>
            </w:r>
            <w:r w:rsidR="00DF50AB">
              <w:rPr>
                <w:szCs w:val="18"/>
              </w:rPr>
              <w:t xml:space="preserve">Digital ID </w:t>
            </w:r>
            <w:r w:rsidR="00811EBB" w:rsidRPr="00DD7402">
              <w:rPr>
                <w:szCs w:val="18"/>
              </w:rPr>
              <w:t>System and its regulation, and will be maintained during and post-implementation. Public, industry, community and user sentiment will continue to be monitor</w:t>
            </w:r>
            <w:r w:rsidR="00811EBB" w:rsidRPr="007C5117">
              <w:rPr>
                <w:szCs w:val="18"/>
              </w:rPr>
              <w:t>ed through feedback received via these channels and engagement approaches tailored accordingly.</w:t>
            </w:r>
          </w:p>
          <w:p w14:paraId="4C280FA4" w14:textId="4379C7AB" w:rsidR="00FB6010" w:rsidRPr="00DD7402" w:rsidRDefault="00FB6010" w:rsidP="00A11DE4">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7C5117">
              <w:rPr>
                <w:szCs w:val="18"/>
              </w:rPr>
              <w:t>Successful risk management also requires other stakeholders (</w:t>
            </w:r>
            <w:r w:rsidRPr="007C5117">
              <w:rPr>
                <w:b/>
                <w:bCs/>
                <w:szCs w:val="18"/>
              </w:rPr>
              <w:t xml:space="preserve">businesses, individuals and community) </w:t>
            </w:r>
            <w:r w:rsidRPr="007C5117">
              <w:rPr>
                <w:szCs w:val="18"/>
              </w:rPr>
              <w:t xml:space="preserve">to engage with these channels and continue participation in Government communication forums (both informal / ad hoc and formal structured forums – such as statutory advisory </w:t>
            </w:r>
            <w:r w:rsidR="00C2363E">
              <w:rPr>
                <w:szCs w:val="18"/>
              </w:rPr>
              <w:t>committees</w:t>
            </w:r>
            <w:r w:rsidRPr="007C5117">
              <w:rPr>
                <w:szCs w:val="18"/>
              </w:rPr>
              <w:t>).</w:t>
            </w:r>
          </w:p>
        </w:tc>
      </w:tr>
      <w:tr w:rsidR="000D7313" w:rsidRPr="000B7589" w14:paraId="3B09B5D0" w14:textId="46FA23FA" w:rsidTr="00942C37">
        <w:trPr>
          <w:trHeight w:val="258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8675"/>
              <w:right w:val="single" w:sz="4" w:space="0" w:color="008675"/>
            </w:tcBorders>
          </w:tcPr>
          <w:p w14:paraId="6A8277E5" w14:textId="704DB8A5" w:rsidR="00147A7F" w:rsidRPr="007C5117" w:rsidRDefault="00147A7F" w:rsidP="00F409BB">
            <w:pPr>
              <w:pStyle w:val="TableTextLeft"/>
              <w:numPr>
                <w:ilvl w:val="0"/>
                <w:numId w:val="8"/>
              </w:numPr>
              <w:rPr>
                <w:szCs w:val="18"/>
                <w:lang w:eastAsia="en-US"/>
              </w:rPr>
            </w:pPr>
            <w:r w:rsidRPr="005738FA">
              <w:rPr>
                <w:szCs w:val="18"/>
                <w:lang w:eastAsia="en-US"/>
              </w:rPr>
              <w:lastRenderedPageBreak/>
              <w:t>The compliance/ enforcement/ governance aspects of Option 3 may significantly impact other Government entities, including unintended consequences.</w:t>
            </w:r>
          </w:p>
        </w:tc>
        <w:tc>
          <w:tcPr>
            <w:tcW w:w="0" w:type="auto"/>
            <w:tcBorders>
              <w:left w:val="single" w:sz="4" w:space="0" w:color="008675"/>
              <w:bottom w:val="single" w:sz="4" w:space="0" w:color="008675"/>
              <w:right w:val="single" w:sz="4" w:space="0" w:color="008675"/>
            </w:tcBorders>
          </w:tcPr>
          <w:p w14:paraId="2A3E880D" w14:textId="7ABCEBF5" w:rsidR="00147A7F" w:rsidRPr="00172A0B" w:rsidRDefault="00147A7F" w:rsidP="00147A7F">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Pr>
                <w:szCs w:val="18"/>
                <w:lang w:eastAsia="en-US"/>
              </w:rPr>
              <w:t>Likely</w:t>
            </w:r>
          </w:p>
        </w:tc>
        <w:tc>
          <w:tcPr>
            <w:tcW w:w="0" w:type="auto"/>
            <w:tcBorders>
              <w:left w:val="single" w:sz="4" w:space="0" w:color="008675"/>
              <w:bottom w:val="single" w:sz="4" w:space="0" w:color="008675"/>
              <w:right w:val="single" w:sz="4" w:space="0" w:color="008675"/>
            </w:tcBorders>
          </w:tcPr>
          <w:p w14:paraId="3BF617DD" w14:textId="7EF584C9" w:rsidR="00147A7F" w:rsidRPr="00172A0B" w:rsidRDefault="00147A7F" w:rsidP="00147A7F">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Pr>
                <w:szCs w:val="18"/>
                <w:lang w:eastAsia="en-US"/>
              </w:rPr>
              <w:t>Major</w:t>
            </w:r>
          </w:p>
        </w:tc>
        <w:tc>
          <w:tcPr>
            <w:tcW w:w="0" w:type="auto"/>
            <w:tcBorders>
              <w:left w:val="single" w:sz="4" w:space="0" w:color="008675"/>
              <w:bottom w:val="single" w:sz="4" w:space="0" w:color="008675"/>
              <w:right w:val="single" w:sz="4" w:space="0" w:color="008675"/>
            </w:tcBorders>
          </w:tcPr>
          <w:p w14:paraId="6AFE5B84" w14:textId="1B24655D" w:rsidR="00147A7F" w:rsidRPr="00172A0B" w:rsidRDefault="00147A7F" w:rsidP="00147A7F">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172A0B">
              <w:rPr>
                <w:szCs w:val="18"/>
                <w:lang w:eastAsia="en-US"/>
              </w:rPr>
              <w:t xml:space="preserve">Whilst </w:t>
            </w:r>
            <w:r w:rsidR="00B82636">
              <w:rPr>
                <w:szCs w:val="18"/>
                <w:lang w:eastAsia="en-US"/>
              </w:rPr>
              <w:t>Finance</w:t>
            </w:r>
            <w:r w:rsidR="00B82636" w:rsidRPr="00172A0B">
              <w:rPr>
                <w:szCs w:val="18"/>
                <w:lang w:eastAsia="en-US"/>
              </w:rPr>
              <w:t xml:space="preserve"> </w:t>
            </w:r>
            <w:r w:rsidRPr="00172A0B">
              <w:rPr>
                <w:szCs w:val="18"/>
                <w:lang w:eastAsia="en-US"/>
              </w:rPr>
              <w:t>is ultimately responsible for design and delivery, the Program adopted an agency partnership model from commencement, drawing on senior executives within partner agencies to seek alignment and agreement on the priorities and vision.</w:t>
            </w:r>
            <w:r>
              <w:rPr>
                <w:szCs w:val="18"/>
                <w:lang w:eastAsia="en-US"/>
              </w:rPr>
              <w:t xml:space="preserve"> </w:t>
            </w:r>
            <w:r w:rsidRPr="00172A0B">
              <w:rPr>
                <w:szCs w:val="18"/>
                <w:lang w:eastAsia="en-US"/>
              </w:rPr>
              <w:t xml:space="preserve">This approach continues, supplemented by targeted engagement on matters such as the establishment of the </w:t>
            </w:r>
            <w:r>
              <w:rPr>
                <w:rFonts w:eastAsia="Calibri"/>
                <w:szCs w:val="20"/>
                <w:lang w:eastAsia="en-US"/>
              </w:rPr>
              <w:t xml:space="preserve">Oversight </w:t>
            </w:r>
            <w:r w:rsidRPr="00172A0B">
              <w:rPr>
                <w:szCs w:val="18"/>
                <w:lang w:eastAsia="en-US"/>
              </w:rPr>
              <w:t xml:space="preserve">Authority, and impacts on other entities fulfilling a specific role under the proposed legislation such as the Information Commissioner. </w:t>
            </w:r>
          </w:p>
        </w:tc>
        <w:tc>
          <w:tcPr>
            <w:tcW w:w="0" w:type="auto"/>
            <w:tcBorders>
              <w:left w:val="single" w:sz="4" w:space="0" w:color="008675"/>
              <w:bottom w:val="single" w:sz="4" w:space="0" w:color="008675"/>
              <w:right w:val="single" w:sz="4" w:space="0" w:color="008675"/>
            </w:tcBorders>
          </w:tcPr>
          <w:p w14:paraId="48499F7A" w14:textId="22FB0405" w:rsidR="00147A7F" w:rsidRPr="00172A0B" w:rsidRDefault="00147A7F" w:rsidP="00147A7F">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Pr>
                <w:szCs w:val="18"/>
                <w:lang w:eastAsia="en-US"/>
              </w:rPr>
              <w:t>Minor</w:t>
            </w:r>
          </w:p>
        </w:tc>
        <w:tc>
          <w:tcPr>
            <w:tcW w:w="0" w:type="auto"/>
            <w:tcBorders>
              <w:left w:val="single" w:sz="4" w:space="0" w:color="008675"/>
              <w:bottom w:val="single" w:sz="4" w:space="0" w:color="008675"/>
            </w:tcBorders>
          </w:tcPr>
          <w:p w14:paraId="14F9D736" w14:textId="5E516B56" w:rsidR="00147A7F" w:rsidRPr="007C5117" w:rsidRDefault="00DC2204" w:rsidP="00147A7F">
            <w:pPr>
              <w:spacing w:before="60" w:after="60" w:line="288"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rFonts w:eastAsia="Times New Roman"/>
                <w:b/>
                <w:bCs/>
                <w:color w:val="auto"/>
                <w:sz w:val="20"/>
                <w:szCs w:val="20"/>
              </w:rPr>
              <w:t>Finance</w:t>
            </w:r>
            <w:r w:rsidRPr="007C5117">
              <w:rPr>
                <w:rFonts w:eastAsia="Times New Roman"/>
                <w:b/>
                <w:bCs/>
                <w:color w:val="auto"/>
                <w:sz w:val="20"/>
                <w:szCs w:val="20"/>
              </w:rPr>
              <w:t xml:space="preserve"> </w:t>
            </w:r>
            <w:r w:rsidR="00147A7F" w:rsidRPr="007C5117">
              <w:rPr>
                <w:rFonts w:eastAsia="Times New Roman"/>
                <w:color w:val="auto"/>
                <w:sz w:val="20"/>
                <w:szCs w:val="20"/>
              </w:rPr>
              <w:t>-</w:t>
            </w:r>
            <w:r w:rsidR="00147A7F" w:rsidRPr="007C5117">
              <w:rPr>
                <w:rFonts w:eastAsia="Times New Roman"/>
                <w:b/>
                <w:bCs/>
                <w:color w:val="auto"/>
                <w:sz w:val="20"/>
                <w:szCs w:val="20"/>
              </w:rPr>
              <w:t xml:space="preserve"> </w:t>
            </w:r>
            <w:r w:rsidR="00147A7F" w:rsidRPr="007C5117">
              <w:rPr>
                <w:color w:val="auto"/>
                <w:sz w:val="20"/>
                <w:szCs w:val="20"/>
              </w:rPr>
              <w:t xml:space="preserve">ultimately </w:t>
            </w:r>
            <w:r w:rsidR="00147A7F" w:rsidRPr="00DD7402">
              <w:rPr>
                <w:color w:val="000000"/>
                <w:sz w:val="20"/>
                <w:szCs w:val="20"/>
              </w:rPr>
              <w:t xml:space="preserve">accountable for the governance, strategy, policy, and administration of the system. </w:t>
            </w:r>
          </w:p>
          <w:p w14:paraId="4FC1FFA5" w14:textId="77777777" w:rsidR="00147A7F" w:rsidRPr="007C5117" w:rsidRDefault="00147A7F" w:rsidP="00147A7F">
            <w:pPr>
              <w:spacing w:before="60" w:after="60" w:line="288"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0792C4A" w14:textId="2B3A6D38" w:rsidR="00147A7F" w:rsidRPr="002B62F9" w:rsidRDefault="00147A7F" w:rsidP="00147A7F">
            <w:pPr>
              <w:spacing w:before="60" w:after="60" w:line="288"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217F8F">
              <w:rPr>
                <w:b/>
                <w:bCs/>
                <w:color w:val="000000"/>
                <w:sz w:val="20"/>
                <w:szCs w:val="20"/>
              </w:rPr>
              <w:t>ATO, Services Australia</w:t>
            </w:r>
            <w:r w:rsidRPr="00217F8F">
              <w:rPr>
                <w:color w:val="000000"/>
                <w:sz w:val="20"/>
                <w:szCs w:val="20"/>
              </w:rPr>
              <w:t xml:space="preserve">, and </w:t>
            </w:r>
            <w:r w:rsidR="00351546">
              <w:rPr>
                <w:b/>
                <w:bCs/>
                <w:color w:val="000000"/>
                <w:sz w:val="20"/>
                <w:szCs w:val="20"/>
              </w:rPr>
              <w:t>The Attorney-</w:t>
            </w:r>
            <w:proofErr w:type="spellStart"/>
            <w:r w:rsidR="00351546">
              <w:rPr>
                <w:b/>
                <w:bCs/>
                <w:color w:val="000000"/>
                <w:sz w:val="20"/>
                <w:szCs w:val="20"/>
              </w:rPr>
              <w:t>Generals</w:t>
            </w:r>
            <w:proofErr w:type="spellEnd"/>
            <w:r w:rsidR="00351546">
              <w:rPr>
                <w:b/>
                <w:bCs/>
                <w:color w:val="000000"/>
                <w:sz w:val="20"/>
                <w:szCs w:val="20"/>
              </w:rPr>
              <w:t xml:space="preserve"> Department</w:t>
            </w:r>
            <w:r w:rsidRPr="002B62F9">
              <w:rPr>
                <w:b/>
                <w:bCs/>
                <w:color w:val="000000"/>
                <w:sz w:val="20"/>
                <w:szCs w:val="20"/>
              </w:rPr>
              <w:t xml:space="preserve"> </w:t>
            </w:r>
            <w:r w:rsidRPr="002B62F9">
              <w:rPr>
                <w:color w:val="000000"/>
                <w:sz w:val="20"/>
                <w:szCs w:val="20"/>
              </w:rPr>
              <w:t xml:space="preserve">– responsible for the delivery and operation of key government components of the system, including </w:t>
            </w:r>
            <w:proofErr w:type="spellStart"/>
            <w:r w:rsidRPr="002B62F9">
              <w:rPr>
                <w:color w:val="000000"/>
                <w:sz w:val="20"/>
                <w:szCs w:val="20"/>
              </w:rPr>
              <w:t>myGovID</w:t>
            </w:r>
            <w:proofErr w:type="spellEnd"/>
            <w:r w:rsidRPr="002B62F9">
              <w:rPr>
                <w:color w:val="000000"/>
                <w:sz w:val="20"/>
                <w:szCs w:val="20"/>
              </w:rPr>
              <w:t xml:space="preserve">, the Digital Identity exchange, Document Verification Service and Face Verification Service. Senior executives will engage with </w:t>
            </w:r>
            <w:r w:rsidR="00B42D00">
              <w:rPr>
                <w:color w:val="000000"/>
                <w:sz w:val="20"/>
                <w:szCs w:val="20"/>
              </w:rPr>
              <w:t>Finance</w:t>
            </w:r>
            <w:r w:rsidRPr="002B62F9">
              <w:rPr>
                <w:color w:val="000000"/>
                <w:sz w:val="20"/>
                <w:szCs w:val="20"/>
              </w:rPr>
              <w:t xml:space="preserve"> on governance and delivery matters, ensure alignment across implementation priorities and delivery. </w:t>
            </w:r>
          </w:p>
          <w:p w14:paraId="23A4FA70" w14:textId="77777777" w:rsidR="00147A7F" w:rsidRPr="002B62F9" w:rsidRDefault="00147A7F" w:rsidP="00147A7F">
            <w:pPr>
              <w:spacing w:before="60" w:after="60" w:line="288"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B284F37" w14:textId="489992CE" w:rsidR="00147A7F" w:rsidRPr="002B62F9" w:rsidRDefault="00147A7F" w:rsidP="00147A7F">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B62F9">
              <w:rPr>
                <w:b/>
                <w:bCs/>
                <w:color w:val="000000"/>
                <w:sz w:val="20"/>
                <w:szCs w:val="20"/>
              </w:rPr>
              <w:t xml:space="preserve">Information Commissioner – </w:t>
            </w:r>
            <w:r w:rsidRPr="002B62F9">
              <w:rPr>
                <w:color w:val="000000"/>
                <w:sz w:val="20"/>
                <w:szCs w:val="20"/>
              </w:rPr>
              <w:t xml:space="preserve">Has regulatory functions in relation to additional privacy protections in the Bill including biometric safeguard and limits on data profiling. Close engagement with </w:t>
            </w:r>
            <w:r w:rsidR="00B42D00">
              <w:rPr>
                <w:color w:val="000000"/>
                <w:sz w:val="20"/>
                <w:szCs w:val="20"/>
              </w:rPr>
              <w:t>Finance</w:t>
            </w:r>
            <w:r w:rsidR="00B42D00" w:rsidRPr="002B62F9">
              <w:rPr>
                <w:color w:val="000000"/>
                <w:sz w:val="20"/>
                <w:szCs w:val="20"/>
              </w:rPr>
              <w:t xml:space="preserve"> </w:t>
            </w:r>
            <w:r w:rsidRPr="002B62F9">
              <w:rPr>
                <w:color w:val="000000"/>
                <w:sz w:val="20"/>
                <w:szCs w:val="20"/>
              </w:rPr>
              <w:t>and OA will continue through implementation to operationalise these functions.</w:t>
            </w:r>
          </w:p>
          <w:p w14:paraId="054306B0" w14:textId="77777777" w:rsidR="00147A7F" w:rsidRPr="002B62F9" w:rsidRDefault="00147A7F" w:rsidP="00147A7F">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p>
        </w:tc>
      </w:tr>
      <w:tr w:rsidR="00931793" w:rsidRPr="000B7589" w14:paraId="3AB4ACA4" w14:textId="5FE35743" w:rsidTr="00942C37">
        <w:trPr>
          <w:cnfStyle w:val="000000100000" w:firstRow="0" w:lastRow="0" w:firstColumn="0" w:lastColumn="0" w:oddVBand="0" w:evenVBand="0" w:oddHBand="1" w:evenHBand="0" w:firstRowFirstColumn="0" w:firstRowLastColumn="0" w:lastRowFirstColumn="0" w:lastRowLastColumn="0"/>
          <w:trHeight w:val="563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8675"/>
              <w:right w:val="single" w:sz="4" w:space="0" w:color="008675"/>
            </w:tcBorders>
            <w:shd w:val="clear" w:color="auto" w:fill="D2EEED"/>
          </w:tcPr>
          <w:p w14:paraId="12DEB1AE" w14:textId="392B91BF" w:rsidR="00206863" w:rsidRPr="007C5117" w:rsidRDefault="00206863" w:rsidP="00F409BB">
            <w:pPr>
              <w:pStyle w:val="TableTextLeft"/>
              <w:numPr>
                <w:ilvl w:val="0"/>
                <w:numId w:val="8"/>
              </w:numPr>
              <w:rPr>
                <w:szCs w:val="18"/>
                <w:lang w:eastAsia="en-US"/>
              </w:rPr>
            </w:pPr>
            <w:r w:rsidRPr="005738FA">
              <w:rPr>
                <w:szCs w:val="18"/>
                <w:lang w:eastAsia="en-US"/>
              </w:rPr>
              <w:lastRenderedPageBreak/>
              <w:t xml:space="preserve">There are divergent views on </w:t>
            </w:r>
            <w:r w:rsidR="007167EA">
              <w:rPr>
                <w:szCs w:val="18"/>
                <w:lang w:eastAsia="en-US"/>
              </w:rPr>
              <w:t xml:space="preserve">Digital ID </w:t>
            </w:r>
            <w:r w:rsidRPr="005738FA">
              <w:rPr>
                <w:szCs w:val="18"/>
                <w:lang w:eastAsia="en-US"/>
              </w:rPr>
              <w:t>and the nature/scope of proposed regulation, meaning not all stakeholders will be satisfied with the final positions taken.</w:t>
            </w:r>
          </w:p>
        </w:tc>
        <w:tc>
          <w:tcPr>
            <w:tcW w:w="0" w:type="auto"/>
            <w:tcBorders>
              <w:top w:val="single" w:sz="4" w:space="0" w:color="008675"/>
              <w:left w:val="single" w:sz="4" w:space="0" w:color="008675"/>
              <w:right w:val="single" w:sz="4" w:space="0" w:color="008675"/>
            </w:tcBorders>
            <w:shd w:val="clear" w:color="auto" w:fill="D2EEED"/>
          </w:tcPr>
          <w:p w14:paraId="04531916" w14:textId="681A87F9" w:rsidR="00206863" w:rsidRPr="00172A0B" w:rsidRDefault="00206863" w:rsidP="0020686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Pr>
                <w:szCs w:val="18"/>
                <w:lang w:eastAsia="en-US"/>
              </w:rPr>
              <w:t>Likely</w:t>
            </w:r>
          </w:p>
        </w:tc>
        <w:tc>
          <w:tcPr>
            <w:tcW w:w="0" w:type="auto"/>
            <w:tcBorders>
              <w:top w:val="single" w:sz="4" w:space="0" w:color="008675"/>
              <w:left w:val="single" w:sz="4" w:space="0" w:color="008675"/>
              <w:right w:val="single" w:sz="4" w:space="0" w:color="008675"/>
            </w:tcBorders>
            <w:shd w:val="clear" w:color="auto" w:fill="D2EEED"/>
          </w:tcPr>
          <w:p w14:paraId="02F60F4D" w14:textId="0AF86562" w:rsidR="00206863" w:rsidRPr="00172A0B" w:rsidRDefault="00206863" w:rsidP="0020686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Pr>
                <w:szCs w:val="18"/>
                <w:lang w:eastAsia="en-US"/>
              </w:rPr>
              <w:t>Major</w:t>
            </w:r>
          </w:p>
        </w:tc>
        <w:tc>
          <w:tcPr>
            <w:tcW w:w="0" w:type="auto"/>
            <w:tcBorders>
              <w:top w:val="single" w:sz="4" w:space="0" w:color="008675"/>
              <w:left w:val="single" w:sz="4" w:space="0" w:color="008675"/>
              <w:right w:val="single" w:sz="4" w:space="0" w:color="008675"/>
            </w:tcBorders>
            <w:shd w:val="clear" w:color="auto" w:fill="D2EEED"/>
          </w:tcPr>
          <w:p w14:paraId="34B5BA31" w14:textId="6412DD9A" w:rsidR="00206863" w:rsidRPr="00172A0B" w:rsidRDefault="00206863" w:rsidP="0020686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172A0B">
              <w:rPr>
                <w:szCs w:val="18"/>
                <w:lang w:eastAsia="en-US"/>
              </w:rPr>
              <w:t xml:space="preserve">It is acknowledged that the </w:t>
            </w:r>
            <w:r>
              <w:rPr>
                <w:szCs w:val="18"/>
                <w:lang w:eastAsia="en-US"/>
              </w:rPr>
              <w:t>Bill</w:t>
            </w:r>
            <w:r w:rsidRPr="00172A0B">
              <w:rPr>
                <w:szCs w:val="18"/>
                <w:lang w:eastAsia="en-US"/>
              </w:rPr>
              <w:t xml:space="preserve"> is unlikely to be acceptable to all stakeholders.</w:t>
            </w:r>
            <w:r>
              <w:rPr>
                <w:szCs w:val="18"/>
                <w:lang w:eastAsia="en-US"/>
              </w:rPr>
              <w:t xml:space="preserve"> </w:t>
            </w:r>
            <w:r w:rsidRPr="00172A0B">
              <w:rPr>
                <w:szCs w:val="18"/>
                <w:lang w:eastAsia="en-US"/>
              </w:rPr>
              <w:t xml:space="preserve">At every stage, the Program has been fully transparent with stakeholders on its policy positions and </w:t>
            </w:r>
            <w:r w:rsidR="00351EC2" w:rsidRPr="00172A0B">
              <w:rPr>
                <w:szCs w:val="18"/>
                <w:lang w:eastAsia="en-US"/>
              </w:rPr>
              <w:t>reasoning and</w:t>
            </w:r>
            <w:r w:rsidRPr="00172A0B">
              <w:rPr>
                <w:szCs w:val="18"/>
                <w:lang w:eastAsia="en-US"/>
              </w:rPr>
              <w:t xml:space="preserve"> has amended many positions as a direct result of stakeholder feedback.</w:t>
            </w:r>
            <w:r>
              <w:rPr>
                <w:szCs w:val="18"/>
                <w:lang w:eastAsia="en-US"/>
              </w:rPr>
              <w:t xml:space="preserve"> </w:t>
            </w:r>
            <w:r w:rsidRPr="00172A0B">
              <w:rPr>
                <w:szCs w:val="18"/>
                <w:lang w:eastAsia="en-US"/>
              </w:rPr>
              <w:t xml:space="preserve">Whilst </w:t>
            </w:r>
            <w:r>
              <w:rPr>
                <w:szCs w:val="18"/>
                <w:lang w:eastAsia="en-US"/>
              </w:rPr>
              <w:t xml:space="preserve">not </w:t>
            </w:r>
            <w:r w:rsidRPr="00172A0B">
              <w:rPr>
                <w:szCs w:val="18"/>
                <w:lang w:eastAsia="en-US"/>
              </w:rPr>
              <w:t xml:space="preserve">all stakeholders may be satisfied with the final </w:t>
            </w:r>
            <w:r>
              <w:rPr>
                <w:szCs w:val="18"/>
                <w:lang w:eastAsia="en-US"/>
              </w:rPr>
              <w:t>position</w:t>
            </w:r>
            <w:r w:rsidRPr="00172A0B">
              <w:rPr>
                <w:szCs w:val="18"/>
                <w:lang w:eastAsia="en-US"/>
              </w:rPr>
              <w:t>, the impact of this can be mitigated by continuing to demonstrate transparency regarding decision-making, and a genuine willingness to consult.</w:t>
            </w:r>
            <w:r>
              <w:rPr>
                <w:szCs w:val="18"/>
                <w:lang w:eastAsia="en-US"/>
              </w:rPr>
              <w:t xml:space="preserve"> </w:t>
            </w:r>
            <w:r w:rsidRPr="00172A0B">
              <w:rPr>
                <w:szCs w:val="18"/>
                <w:lang w:eastAsia="en-US"/>
              </w:rPr>
              <w:t xml:space="preserve">Additionally, as set out in </w:t>
            </w:r>
            <w:hyperlink w:anchor="section10" w:history="1">
              <w:r w:rsidRPr="0015578E">
                <w:rPr>
                  <w:rStyle w:val="Hyperlink"/>
                  <w:color w:val="008675"/>
                  <w:lang w:eastAsia="en-US"/>
                </w:rPr>
                <w:t>Section 10 Consultation</w:t>
              </w:r>
            </w:hyperlink>
            <w:r>
              <w:rPr>
                <w:color w:val="0000FF"/>
                <w:lang w:eastAsia="en-US"/>
              </w:rPr>
              <w:t xml:space="preserve"> </w:t>
            </w:r>
            <w:r w:rsidRPr="00172A0B">
              <w:rPr>
                <w:szCs w:val="18"/>
                <w:lang w:eastAsia="en-US"/>
              </w:rPr>
              <w:t xml:space="preserve">above, consultation does not cease </w:t>
            </w:r>
            <w:r>
              <w:rPr>
                <w:szCs w:val="18"/>
                <w:lang w:eastAsia="en-US"/>
              </w:rPr>
              <w:t>when the regulatory scheme</w:t>
            </w:r>
            <w:r w:rsidRPr="00172A0B">
              <w:rPr>
                <w:szCs w:val="18"/>
                <w:lang w:eastAsia="en-US"/>
              </w:rPr>
              <w:t xml:space="preserve"> </w:t>
            </w:r>
            <w:r>
              <w:rPr>
                <w:szCs w:val="18"/>
                <w:lang w:eastAsia="en-US"/>
              </w:rPr>
              <w:t>commences</w:t>
            </w:r>
            <w:r w:rsidRPr="00172A0B">
              <w:rPr>
                <w:szCs w:val="18"/>
                <w:lang w:eastAsia="en-US"/>
              </w:rPr>
              <w:t xml:space="preserve">, with stakeholders still </w:t>
            </w:r>
            <w:r>
              <w:rPr>
                <w:szCs w:val="18"/>
                <w:lang w:eastAsia="en-US"/>
              </w:rPr>
              <w:t xml:space="preserve">able to inform future development </w:t>
            </w:r>
            <w:r w:rsidRPr="00172A0B">
              <w:rPr>
                <w:szCs w:val="18"/>
                <w:lang w:eastAsia="en-US"/>
              </w:rPr>
              <w:t xml:space="preserve">of the regulatory framework. </w:t>
            </w:r>
          </w:p>
        </w:tc>
        <w:tc>
          <w:tcPr>
            <w:tcW w:w="0" w:type="auto"/>
            <w:tcBorders>
              <w:top w:val="single" w:sz="4" w:space="0" w:color="008675"/>
              <w:left w:val="single" w:sz="4" w:space="0" w:color="008675"/>
              <w:right w:val="single" w:sz="4" w:space="0" w:color="008675"/>
            </w:tcBorders>
            <w:shd w:val="clear" w:color="auto" w:fill="D2EEED"/>
          </w:tcPr>
          <w:p w14:paraId="23B08315" w14:textId="237998FD" w:rsidR="00206863" w:rsidRPr="00DD7402" w:rsidRDefault="00206863" w:rsidP="0020686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DD7402">
              <w:rPr>
                <w:szCs w:val="18"/>
                <w:lang w:eastAsia="en-US"/>
              </w:rPr>
              <w:t>Moderate</w:t>
            </w:r>
          </w:p>
        </w:tc>
        <w:tc>
          <w:tcPr>
            <w:tcW w:w="0" w:type="auto"/>
            <w:tcBorders>
              <w:top w:val="single" w:sz="4" w:space="0" w:color="008675"/>
              <w:left w:val="single" w:sz="4" w:space="0" w:color="008675"/>
            </w:tcBorders>
            <w:shd w:val="clear" w:color="auto" w:fill="D2EEED"/>
          </w:tcPr>
          <w:p w14:paraId="4F78B4B8" w14:textId="64FE4E12" w:rsidR="009656DC" w:rsidRPr="007C5117" w:rsidRDefault="00F65D96" w:rsidP="00206863">
            <w:pPr>
              <w:pStyle w:val="TableTextLeft"/>
              <w:cnfStyle w:val="000000100000" w:firstRow="0" w:lastRow="0" w:firstColumn="0" w:lastColumn="0" w:oddVBand="0" w:evenVBand="0" w:oddHBand="1" w:evenHBand="0" w:firstRowFirstColumn="0" w:firstRowLastColumn="0" w:lastRowFirstColumn="0" w:lastRowLastColumn="0"/>
              <w:rPr>
                <w:szCs w:val="18"/>
              </w:rPr>
            </w:pPr>
            <w:r>
              <w:rPr>
                <w:b/>
                <w:bCs/>
                <w:szCs w:val="18"/>
              </w:rPr>
              <w:t>Finance</w:t>
            </w:r>
            <w:r w:rsidRPr="007C5117">
              <w:rPr>
                <w:b/>
                <w:bCs/>
                <w:szCs w:val="18"/>
              </w:rPr>
              <w:t xml:space="preserve"> </w:t>
            </w:r>
            <w:r w:rsidR="00206863" w:rsidRPr="007C5117">
              <w:rPr>
                <w:b/>
                <w:bCs/>
                <w:szCs w:val="18"/>
              </w:rPr>
              <w:t>(Legislation, Communications and Engagement Functions)</w:t>
            </w:r>
            <w:r w:rsidR="00206863" w:rsidRPr="007C5117">
              <w:rPr>
                <w:szCs w:val="18"/>
              </w:rPr>
              <w:t xml:space="preserve"> – Throughout implementation, </w:t>
            </w:r>
            <w:r w:rsidR="00B42D00">
              <w:rPr>
                <w:szCs w:val="18"/>
              </w:rPr>
              <w:t>Finance</w:t>
            </w:r>
            <w:r w:rsidR="00B42D00" w:rsidRPr="007C5117">
              <w:rPr>
                <w:szCs w:val="18"/>
              </w:rPr>
              <w:t xml:space="preserve"> </w:t>
            </w:r>
            <w:r w:rsidR="00206863" w:rsidRPr="007C5117">
              <w:rPr>
                <w:szCs w:val="18"/>
              </w:rPr>
              <w:t>will manage ongoing engagement on operationalisation of the regulatory scheme and will continue to display transparency regarding feedback received and reasons for final policy decisions taken. This is a continuation of the Program’s existing consultation approach (which has entailed multiple rounds of public consultation, with outcomes of consultation published on the Digital I</w:t>
            </w:r>
            <w:r w:rsidR="00EB2443">
              <w:rPr>
                <w:szCs w:val="18"/>
              </w:rPr>
              <w:t>D</w:t>
            </w:r>
            <w:r w:rsidR="00206863" w:rsidRPr="007C5117">
              <w:rPr>
                <w:szCs w:val="18"/>
              </w:rPr>
              <w:t xml:space="preserve"> </w:t>
            </w:r>
            <w:hyperlink r:id="rId95" w:history="1">
              <w:r w:rsidR="00206863" w:rsidRPr="0015578E">
                <w:rPr>
                  <w:rStyle w:val="Hyperlink"/>
                  <w:color w:val="008675"/>
                  <w:szCs w:val="18"/>
                </w:rPr>
                <w:t>website</w:t>
              </w:r>
            </w:hyperlink>
            <w:r w:rsidR="00206863" w:rsidRPr="00DD7402">
              <w:rPr>
                <w:szCs w:val="18"/>
              </w:rPr>
              <w:t>).</w:t>
            </w:r>
          </w:p>
          <w:p w14:paraId="2F979EE0" w14:textId="6A9ECCD1" w:rsidR="009656DC" w:rsidRPr="007C5117" w:rsidRDefault="009656DC" w:rsidP="007C5117">
            <w:pPr>
              <w:spacing w:before="60" w:after="60" w:line="288" w:lineRule="auto"/>
              <w:cnfStyle w:val="000000100000" w:firstRow="0" w:lastRow="0" w:firstColumn="0" w:lastColumn="0" w:oddVBand="0" w:evenVBand="0" w:oddHBand="1" w:evenHBand="0" w:firstRowFirstColumn="0" w:firstRowLastColumn="0" w:lastRowFirstColumn="0" w:lastRowLastColumn="0"/>
              <w:rPr>
                <w:szCs w:val="18"/>
              </w:rPr>
            </w:pPr>
            <w:r w:rsidRPr="007C5117">
              <w:rPr>
                <w:rFonts w:eastAsia="Times New Roman"/>
                <w:color w:val="auto"/>
                <w:sz w:val="20"/>
                <w:szCs w:val="18"/>
              </w:rPr>
              <w:t>Successful risk management also requires other stakeholders (</w:t>
            </w:r>
            <w:r w:rsidRPr="007C5117">
              <w:rPr>
                <w:rFonts w:eastAsia="Times New Roman"/>
                <w:b/>
                <w:bCs/>
                <w:color w:val="auto"/>
                <w:sz w:val="20"/>
                <w:szCs w:val="18"/>
              </w:rPr>
              <w:t xml:space="preserve">businesses, individuals and community) </w:t>
            </w:r>
            <w:r w:rsidRPr="007C5117">
              <w:rPr>
                <w:rFonts w:eastAsia="Times New Roman"/>
                <w:color w:val="auto"/>
                <w:sz w:val="20"/>
                <w:szCs w:val="18"/>
              </w:rPr>
              <w:t>to engage with these channels, take opportunities to understand the reasons for certain policy decisions, and continue participation in Government communication forums (both informal / ad hoc and formal structured forums – such as statutory advisory boards).</w:t>
            </w:r>
          </w:p>
        </w:tc>
      </w:tr>
      <w:tr w:rsidR="000D7313" w:rsidRPr="000B7589" w14:paraId="53661011" w14:textId="0D812D46" w:rsidTr="0015578E">
        <w:trPr>
          <w:trHeight w:val="679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8675"/>
              <w:right w:val="single" w:sz="4" w:space="0" w:color="008675"/>
            </w:tcBorders>
          </w:tcPr>
          <w:p w14:paraId="528FB881" w14:textId="0B418880" w:rsidR="00E20751" w:rsidRPr="007C5117" w:rsidRDefault="00E20751" w:rsidP="00F409BB">
            <w:pPr>
              <w:pStyle w:val="TableTextLeft"/>
              <w:numPr>
                <w:ilvl w:val="0"/>
                <w:numId w:val="8"/>
              </w:numPr>
              <w:rPr>
                <w:szCs w:val="18"/>
                <w:lang w:eastAsia="en-US"/>
              </w:rPr>
            </w:pPr>
            <w:r w:rsidRPr="005738FA">
              <w:rPr>
                <w:szCs w:val="18"/>
                <w:lang w:eastAsia="en-US"/>
              </w:rPr>
              <w:lastRenderedPageBreak/>
              <w:t>Even after the regulatory scheme commences, some detail may not be available due to the ongoing development of supplementary legislative instruments, rules and policies.</w:t>
            </w:r>
          </w:p>
        </w:tc>
        <w:tc>
          <w:tcPr>
            <w:tcW w:w="0" w:type="auto"/>
            <w:tcBorders>
              <w:top w:val="single" w:sz="4" w:space="0" w:color="008675"/>
              <w:left w:val="single" w:sz="4" w:space="0" w:color="008675"/>
              <w:right w:val="single" w:sz="4" w:space="0" w:color="008675"/>
            </w:tcBorders>
          </w:tcPr>
          <w:p w14:paraId="6EA5FBFC" w14:textId="557BB455" w:rsidR="00E20751" w:rsidRPr="00172A0B" w:rsidRDefault="00E20751" w:rsidP="00E20751">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Pr>
                <w:szCs w:val="18"/>
                <w:lang w:eastAsia="en-US"/>
              </w:rPr>
              <w:t>Possible</w:t>
            </w:r>
          </w:p>
        </w:tc>
        <w:tc>
          <w:tcPr>
            <w:tcW w:w="0" w:type="auto"/>
            <w:tcBorders>
              <w:top w:val="single" w:sz="4" w:space="0" w:color="008675"/>
              <w:left w:val="single" w:sz="4" w:space="0" w:color="008675"/>
              <w:right w:val="single" w:sz="4" w:space="0" w:color="008675"/>
            </w:tcBorders>
          </w:tcPr>
          <w:p w14:paraId="70C0EB8E" w14:textId="464EEB90" w:rsidR="00E20751" w:rsidRPr="00172A0B" w:rsidRDefault="00E20751" w:rsidP="00E20751">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Pr>
                <w:szCs w:val="18"/>
                <w:lang w:eastAsia="en-US"/>
              </w:rPr>
              <w:t>Major</w:t>
            </w:r>
          </w:p>
        </w:tc>
        <w:tc>
          <w:tcPr>
            <w:tcW w:w="0" w:type="auto"/>
            <w:tcBorders>
              <w:top w:val="single" w:sz="4" w:space="0" w:color="008675"/>
              <w:left w:val="single" w:sz="4" w:space="0" w:color="008675"/>
              <w:right w:val="single" w:sz="4" w:space="0" w:color="008675"/>
            </w:tcBorders>
          </w:tcPr>
          <w:p w14:paraId="08DA860F" w14:textId="1C36B5F1" w:rsidR="00E20751" w:rsidRDefault="00E20751" w:rsidP="00E20751">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172A0B">
              <w:rPr>
                <w:szCs w:val="18"/>
                <w:lang w:eastAsia="en-US"/>
              </w:rPr>
              <w:t>The dedicated regulatory scheme in Option 3 envisages a structure where principles and content unlikely to change is contained in primary legislation, whereas other detail</w:t>
            </w:r>
            <w:r>
              <w:rPr>
                <w:szCs w:val="18"/>
                <w:lang w:eastAsia="en-US"/>
              </w:rPr>
              <w:t>,</w:t>
            </w:r>
            <w:r w:rsidRPr="00172A0B">
              <w:rPr>
                <w:szCs w:val="18"/>
                <w:lang w:eastAsia="en-US"/>
              </w:rPr>
              <w:t xml:space="preserve"> including technical and charging information (which need</w:t>
            </w:r>
            <w:r>
              <w:rPr>
                <w:szCs w:val="18"/>
                <w:lang w:eastAsia="en-US"/>
              </w:rPr>
              <w:t>s</w:t>
            </w:r>
            <w:r w:rsidRPr="00172A0B">
              <w:rPr>
                <w:szCs w:val="18"/>
                <w:lang w:eastAsia="en-US"/>
              </w:rPr>
              <w:t xml:space="preserve"> to evolve over time) is set out in supplementary instruments and artefacts. This means the </w:t>
            </w:r>
            <w:r>
              <w:rPr>
                <w:szCs w:val="18"/>
                <w:lang w:eastAsia="en-US"/>
              </w:rPr>
              <w:t>regulatory scheme at the point of commencement</w:t>
            </w:r>
            <w:r w:rsidRPr="00172A0B">
              <w:rPr>
                <w:szCs w:val="18"/>
                <w:lang w:eastAsia="en-US"/>
              </w:rPr>
              <w:t xml:space="preserve"> may not contain all details impact</w:t>
            </w:r>
            <w:r>
              <w:rPr>
                <w:szCs w:val="18"/>
                <w:lang w:eastAsia="en-US"/>
              </w:rPr>
              <w:t>ing</w:t>
            </w:r>
            <w:r w:rsidRPr="00172A0B">
              <w:rPr>
                <w:szCs w:val="18"/>
                <w:lang w:eastAsia="en-US"/>
              </w:rPr>
              <w:t xml:space="preserve"> </w:t>
            </w:r>
            <w:r w:rsidR="00DF50AB">
              <w:rPr>
                <w:szCs w:val="18"/>
                <w:lang w:eastAsia="en-US"/>
              </w:rPr>
              <w:t xml:space="preserve">Digital ID </w:t>
            </w:r>
            <w:r w:rsidRPr="00172A0B">
              <w:rPr>
                <w:szCs w:val="18"/>
                <w:lang w:eastAsia="en-US"/>
              </w:rPr>
              <w:t>System participants.</w:t>
            </w:r>
            <w:r>
              <w:rPr>
                <w:szCs w:val="18"/>
                <w:lang w:eastAsia="en-US"/>
              </w:rPr>
              <w:t xml:space="preserve"> </w:t>
            </w:r>
            <w:r w:rsidRPr="00172A0B">
              <w:rPr>
                <w:szCs w:val="18"/>
                <w:lang w:eastAsia="en-US"/>
              </w:rPr>
              <w:t xml:space="preserve">Whilst this is a necessary structure to </w:t>
            </w:r>
            <w:r>
              <w:rPr>
                <w:szCs w:val="18"/>
                <w:lang w:eastAsia="en-US"/>
              </w:rPr>
              <w:t>‘</w:t>
            </w:r>
            <w:r w:rsidRPr="00172A0B">
              <w:rPr>
                <w:szCs w:val="18"/>
                <w:lang w:eastAsia="en-US"/>
              </w:rPr>
              <w:t>future-proof</w:t>
            </w:r>
            <w:r>
              <w:rPr>
                <w:szCs w:val="18"/>
                <w:lang w:eastAsia="en-US"/>
              </w:rPr>
              <w:t>’</w:t>
            </w:r>
            <w:r w:rsidRPr="00172A0B">
              <w:rPr>
                <w:szCs w:val="18"/>
                <w:lang w:eastAsia="en-US"/>
              </w:rPr>
              <w:t xml:space="preserve"> the regulatory regime, it can lead to uncertainty about the impact of future changes.</w:t>
            </w:r>
            <w:r>
              <w:rPr>
                <w:szCs w:val="18"/>
                <w:lang w:eastAsia="en-US"/>
              </w:rPr>
              <w:t xml:space="preserve"> </w:t>
            </w:r>
          </w:p>
          <w:p w14:paraId="34198DEA" w14:textId="67E6B2F5" w:rsidR="00E20751" w:rsidRPr="00172A0B" w:rsidRDefault="00E20751" w:rsidP="00E20751">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Pr>
                <w:szCs w:val="18"/>
                <w:lang w:eastAsia="en-US"/>
              </w:rPr>
              <w:t>This is mitigated by the Bill including two sets of rules (both released for public consultation). In addition, t</w:t>
            </w:r>
            <w:r w:rsidRPr="00172A0B">
              <w:rPr>
                <w:szCs w:val="18"/>
                <w:lang w:eastAsia="en-US"/>
              </w:rPr>
              <w:t xml:space="preserve">he legislation mandates consultation on all </w:t>
            </w:r>
            <w:r>
              <w:rPr>
                <w:szCs w:val="18"/>
                <w:lang w:eastAsia="en-US"/>
              </w:rPr>
              <w:t xml:space="preserve">future </w:t>
            </w:r>
            <w:r w:rsidRPr="00172A0B">
              <w:rPr>
                <w:szCs w:val="18"/>
                <w:lang w:eastAsia="en-US"/>
              </w:rPr>
              <w:t xml:space="preserve">legislative instruments and key TDIF artefacts to ensure the potential impacts (intended and unintended) are identified </w:t>
            </w:r>
            <w:r>
              <w:rPr>
                <w:szCs w:val="18"/>
                <w:lang w:eastAsia="en-US"/>
              </w:rPr>
              <w:t>before</w:t>
            </w:r>
            <w:r w:rsidRPr="00172A0B">
              <w:rPr>
                <w:szCs w:val="18"/>
                <w:lang w:eastAsia="en-US"/>
              </w:rPr>
              <w:t xml:space="preserve"> introducing any change. </w:t>
            </w:r>
          </w:p>
        </w:tc>
        <w:tc>
          <w:tcPr>
            <w:tcW w:w="0" w:type="auto"/>
            <w:tcBorders>
              <w:top w:val="single" w:sz="4" w:space="0" w:color="008675"/>
              <w:left w:val="single" w:sz="4" w:space="0" w:color="008675"/>
              <w:right w:val="single" w:sz="4" w:space="0" w:color="008675"/>
            </w:tcBorders>
          </w:tcPr>
          <w:p w14:paraId="65B48A9D" w14:textId="6A0CA8FB" w:rsidR="00E20751" w:rsidRPr="00DD7402" w:rsidRDefault="00E20751" w:rsidP="00E20751">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DD7402">
              <w:rPr>
                <w:szCs w:val="18"/>
                <w:lang w:eastAsia="en-US"/>
              </w:rPr>
              <w:t>Minor</w:t>
            </w:r>
          </w:p>
        </w:tc>
        <w:tc>
          <w:tcPr>
            <w:tcW w:w="0" w:type="auto"/>
            <w:tcBorders>
              <w:top w:val="single" w:sz="4" w:space="0" w:color="008675"/>
              <w:left w:val="single" w:sz="4" w:space="0" w:color="008675"/>
            </w:tcBorders>
          </w:tcPr>
          <w:p w14:paraId="62406ED8" w14:textId="088CBCE2" w:rsidR="00600051" w:rsidRPr="007C5117" w:rsidRDefault="00B42D00" w:rsidP="00513094">
            <w:pPr>
              <w:pStyle w:val="TableTextLeft"/>
              <w:cnfStyle w:val="000000000000" w:firstRow="0" w:lastRow="0" w:firstColumn="0" w:lastColumn="0" w:oddVBand="0" w:evenVBand="0" w:oddHBand="0" w:evenHBand="0" w:firstRowFirstColumn="0" w:firstRowLastColumn="0" w:lastRowFirstColumn="0" w:lastRowLastColumn="0"/>
            </w:pPr>
            <w:r>
              <w:rPr>
                <w:b/>
                <w:bCs/>
                <w:szCs w:val="18"/>
              </w:rPr>
              <w:t>Finance</w:t>
            </w:r>
            <w:r w:rsidRPr="007C5117">
              <w:rPr>
                <w:b/>
                <w:bCs/>
                <w:szCs w:val="18"/>
              </w:rPr>
              <w:t xml:space="preserve"> </w:t>
            </w:r>
            <w:r w:rsidR="00E20751" w:rsidRPr="007C5117">
              <w:rPr>
                <w:b/>
                <w:bCs/>
                <w:szCs w:val="18"/>
              </w:rPr>
              <w:t>(Legislation, Policy and Strategy Functions)</w:t>
            </w:r>
            <w:r w:rsidR="00E20751" w:rsidRPr="007C5117">
              <w:rPr>
                <w:szCs w:val="18"/>
              </w:rPr>
              <w:t xml:space="preserve"> – As the agency accountable for governance, strategy, policy and administration of the </w:t>
            </w:r>
            <w:r w:rsidR="00DF50AB">
              <w:rPr>
                <w:szCs w:val="18"/>
              </w:rPr>
              <w:t xml:space="preserve">Digital Id </w:t>
            </w:r>
            <w:r w:rsidR="00E20751" w:rsidRPr="007C5117">
              <w:rPr>
                <w:szCs w:val="18"/>
              </w:rPr>
              <w:t xml:space="preserve">System, </w:t>
            </w:r>
            <w:r>
              <w:rPr>
                <w:szCs w:val="18"/>
              </w:rPr>
              <w:t xml:space="preserve">Finance </w:t>
            </w:r>
            <w:r w:rsidR="00E20751" w:rsidRPr="007C5117">
              <w:rPr>
                <w:szCs w:val="18"/>
              </w:rPr>
              <w:t>will continue to manage the development of further details related to the regulatory regime through implementation. It will use the established consultation, policy development and communication approaches that have been developed and deployed not just in recent regulation-specific consultation rounds, but on TDIF consultations over the past 4-5 years of the Program.</w:t>
            </w:r>
          </w:p>
          <w:p w14:paraId="2FB28257" w14:textId="43A840C2" w:rsidR="00600051" w:rsidRPr="007C5117" w:rsidRDefault="00600051" w:rsidP="007C5117">
            <w:pPr>
              <w:spacing w:before="60" w:after="60" w:line="288" w:lineRule="auto"/>
              <w:cnfStyle w:val="000000000000" w:firstRow="0" w:lastRow="0" w:firstColumn="0" w:lastColumn="0" w:oddVBand="0" w:evenVBand="0" w:oddHBand="0" w:evenHBand="0" w:firstRowFirstColumn="0" w:firstRowLastColumn="0" w:lastRowFirstColumn="0" w:lastRowLastColumn="0"/>
              <w:rPr>
                <w:szCs w:val="18"/>
              </w:rPr>
            </w:pPr>
            <w:r w:rsidRPr="007C5117">
              <w:rPr>
                <w:rFonts w:eastAsia="Times New Roman"/>
                <w:color w:val="auto"/>
                <w:sz w:val="20"/>
                <w:szCs w:val="18"/>
              </w:rPr>
              <w:t>Successful risk management also requires other stakeholders (</w:t>
            </w:r>
            <w:r w:rsidRPr="007C5117">
              <w:rPr>
                <w:rFonts w:eastAsia="Times New Roman"/>
                <w:b/>
                <w:bCs/>
                <w:color w:val="auto"/>
                <w:sz w:val="20"/>
                <w:szCs w:val="18"/>
              </w:rPr>
              <w:t xml:space="preserve">businesses, individuals and community) </w:t>
            </w:r>
            <w:r w:rsidRPr="007C5117">
              <w:rPr>
                <w:rFonts w:eastAsia="Times New Roman"/>
                <w:color w:val="auto"/>
                <w:sz w:val="20"/>
                <w:szCs w:val="18"/>
              </w:rPr>
              <w:t>to continue to take</w:t>
            </w:r>
            <w:r w:rsidR="00D44FE0">
              <w:rPr>
                <w:rFonts w:eastAsia="Times New Roman"/>
                <w:color w:val="auto"/>
                <w:sz w:val="20"/>
                <w:szCs w:val="18"/>
              </w:rPr>
              <w:t xml:space="preserve"> </w:t>
            </w:r>
            <w:r w:rsidRPr="007C5117">
              <w:rPr>
                <w:rFonts w:eastAsia="Times New Roman"/>
                <w:color w:val="auto"/>
                <w:sz w:val="20"/>
                <w:szCs w:val="18"/>
              </w:rPr>
              <w:t>opportunities to participate in these ongoing consultations on future regulation, the TDIF and other matters. This includes continued participation in Government communication forums (both informal / ad hoc and formal structured forums – such as statutory advisory boards).</w:t>
            </w:r>
          </w:p>
        </w:tc>
      </w:tr>
      <w:tr w:rsidR="00931793" w:rsidRPr="000B7589" w14:paraId="6C43AFA8" w14:textId="7D8388A6" w:rsidTr="00942C37">
        <w:trPr>
          <w:cnfStyle w:val="000000100000" w:firstRow="0" w:lastRow="0" w:firstColumn="0" w:lastColumn="0" w:oddVBand="0" w:evenVBand="0" w:oddHBand="1" w:evenHBand="0" w:firstRowFirstColumn="0" w:firstRowLastColumn="0" w:lastRowFirstColumn="0" w:lastRowLastColumn="0"/>
          <w:trHeight w:val="290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8675"/>
              <w:bottom w:val="single" w:sz="4" w:space="0" w:color="008675"/>
              <w:right w:val="single" w:sz="4" w:space="0" w:color="008675"/>
            </w:tcBorders>
            <w:shd w:val="clear" w:color="auto" w:fill="D2EEED"/>
          </w:tcPr>
          <w:p w14:paraId="7CC7B41D" w14:textId="222372AF" w:rsidR="00A93901" w:rsidRPr="007C5117" w:rsidRDefault="00A93901" w:rsidP="00F409BB">
            <w:pPr>
              <w:pStyle w:val="TableTextLeft"/>
              <w:numPr>
                <w:ilvl w:val="0"/>
                <w:numId w:val="8"/>
              </w:numPr>
              <w:rPr>
                <w:szCs w:val="18"/>
                <w:lang w:eastAsia="en-US"/>
              </w:rPr>
            </w:pPr>
            <w:r w:rsidRPr="005738FA">
              <w:rPr>
                <w:szCs w:val="18"/>
                <w:lang w:eastAsia="en-US"/>
              </w:rPr>
              <w:lastRenderedPageBreak/>
              <w:t xml:space="preserve">Management of dependencies such as the </w:t>
            </w:r>
            <w:r w:rsidRPr="005738FA">
              <w:rPr>
                <w:lang w:eastAsia="en-US"/>
              </w:rPr>
              <w:t>Australian Government</w:t>
            </w:r>
            <w:r w:rsidRPr="005738FA">
              <w:rPr>
                <w:szCs w:val="18"/>
                <w:lang w:eastAsia="en-US"/>
              </w:rPr>
              <w:t>’s ongoing Privacy Act review.</w:t>
            </w:r>
          </w:p>
        </w:tc>
        <w:tc>
          <w:tcPr>
            <w:tcW w:w="0" w:type="auto"/>
            <w:tcBorders>
              <w:top w:val="single" w:sz="4" w:space="0" w:color="008675"/>
              <w:left w:val="single" w:sz="4" w:space="0" w:color="008675"/>
              <w:bottom w:val="single" w:sz="4" w:space="0" w:color="008675"/>
              <w:right w:val="single" w:sz="4" w:space="0" w:color="008675"/>
            </w:tcBorders>
            <w:shd w:val="clear" w:color="auto" w:fill="D2EEED"/>
          </w:tcPr>
          <w:p w14:paraId="1455C150" w14:textId="5A1C14CB" w:rsidR="00A93901" w:rsidRPr="00172A0B" w:rsidRDefault="00A93901" w:rsidP="00A93901">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Pr>
                <w:szCs w:val="18"/>
                <w:lang w:eastAsia="en-US"/>
              </w:rPr>
              <w:t>Possible</w:t>
            </w:r>
          </w:p>
        </w:tc>
        <w:tc>
          <w:tcPr>
            <w:tcW w:w="0" w:type="auto"/>
            <w:tcBorders>
              <w:top w:val="single" w:sz="4" w:space="0" w:color="008675"/>
              <w:left w:val="single" w:sz="4" w:space="0" w:color="008675"/>
              <w:bottom w:val="single" w:sz="4" w:space="0" w:color="008675"/>
              <w:right w:val="single" w:sz="4" w:space="0" w:color="008675"/>
            </w:tcBorders>
            <w:shd w:val="clear" w:color="auto" w:fill="D2EEED"/>
          </w:tcPr>
          <w:p w14:paraId="38E5C872" w14:textId="6854CC12" w:rsidR="00A93901" w:rsidRPr="00172A0B" w:rsidRDefault="00A93901" w:rsidP="00A93901">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Pr>
                <w:szCs w:val="18"/>
                <w:lang w:eastAsia="en-US"/>
              </w:rPr>
              <w:t>Major</w:t>
            </w:r>
          </w:p>
        </w:tc>
        <w:tc>
          <w:tcPr>
            <w:tcW w:w="0" w:type="auto"/>
            <w:tcBorders>
              <w:top w:val="single" w:sz="4" w:space="0" w:color="008675"/>
              <w:left w:val="single" w:sz="4" w:space="0" w:color="008675"/>
              <w:bottom w:val="single" w:sz="4" w:space="0" w:color="008675"/>
              <w:right w:val="single" w:sz="4" w:space="0" w:color="008675"/>
            </w:tcBorders>
            <w:shd w:val="clear" w:color="auto" w:fill="D2EEED"/>
          </w:tcPr>
          <w:p w14:paraId="62478199" w14:textId="0C689FFB" w:rsidR="00A93901" w:rsidRPr="00172A0B" w:rsidRDefault="00A93901" w:rsidP="00A93901">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172A0B">
              <w:rPr>
                <w:szCs w:val="18"/>
                <w:lang w:eastAsia="en-US"/>
              </w:rPr>
              <w:t xml:space="preserve">Ongoing </w:t>
            </w:r>
            <w:r>
              <w:rPr>
                <w:lang w:eastAsia="en-US"/>
              </w:rPr>
              <w:t>Australian Government</w:t>
            </w:r>
            <w:r w:rsidRPr="00172A0B" w:rsidDel="00B04C61">
              <w:rPr>
                <w:szCs w:val="18"/>
                <w:lang w:eastAsia="en-US"/>
              </w:rPr>
              <w:t xml:space="preserve"> </w:t>
            </w:r>
            <w:r w:rsidRPr="00172A0B">
              <w:rPr>
                <w:szCs w:val="18"/>
                <w:lang w:eastAsia="en-US"/>
              </w:rPr>
              <w:t xml:space="preserve">regulatory initiatives such as the Privacy Act review have the potential to impact this proposed </w:t>
            </w:r>
            <w:r>
              <w:rPr>
                <w:szCs w:val="18"/>
                <w:lang w:eastAsia="en-US"/>
              </w:rPr>
              <w:t>regulatory structure</w:t>
            </w:r>
            <w:r w:rsidRPr="00172A0B">
              <w:rPr>
                <w:szCs w:val="18"/>
                <w:lang w:eastAsia="en-US"/>
              </w:rPr>
              <w:t xml:space="preserve">. Close consultation has occurred and will continue with this review to leverage outcomes and ensure no conflicts in </w:t>
            </w:r>
            <w:r>
              <w:rPr>
                <w:szCs w:val="18"/>
                <w:lang w:eastAsia="en-US"/>
              </w:rPr>
              <w:t>regulatory</w:t>
            </w:r>
            <w:r w:rsidRPr="00172A0B">
              <w:rPr>
                <w:szCs w:val="18"/>
                <w:lang w:eastAsia="en-US"/>
              </w:rPr>
              <w:t xml:space="preserve"> measures or objectives.</w:t>
            </w:r>
          </w:p>
        </w:tc>
        <w:tc>
          <w:tcPr>
            <w:tcW w:w="0" w:type="auto"/>
            <w:tcBorders>
              <w:top w:val="single" w:sz="4" w:space="0" w:color="008675"/>
              <w:left w:val="single" w:sz="4" w:space="0" w:color="008675"/>
              <w:bottom w:val="single" w:sz="4" w:space="0" w:color="008675"/>
              <w:right w:val="single" w:sz="4" w:space="0" w:color="008675"/>
            </w:tcBorders>
            <w:shd w:val="clear" w:color="auto" w:fill="D2EEED"/>
          </w:tcPr>
          <w:p w14:paraId="243C523D" w14:textId="7D7DB823" w:rsidR="00A93901" w:rsidRPr="00DD7402" w:rsidRDefault="00A93901" w:rsidP="00A93901">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DD7402">
              <w:rPr>
                <w:szCs w:val="18"/>
                <w:lang w:eastAsia="en-US"/>
              </w:rPr>
              <w:t>Minor</w:t>
            </w:r>
          </w:p>
        </w:tc>
        <w:tc>
          <w:tcPr>
            <w:tcW w:w="0" w:type="auto"/>
            <w:tcBorders>
              <w:top w:val="single" w:sz="4" w:space="0" w:color="008675"/>
              <w:left w:val="single" w:sz="4" w:space="0" w:color="008675"/>
              <w:bottom w:val="single" w:sz="4" w:space="0" w:color="008675"/>
            </w:tcBorders>
            <w:shd w:val="clear" w:color="auto" w:fill="D2EEED"/>
          </w:tcPr>
          <w:p w14:paraId="23E22782" w14:textId="6199A796" w:rsidR="00A93901" w:rsidRPr="007C5117" w:rsidRDefault="00F65D96" w:rsidP="00A93901">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18"/>
              </w:rPr>
            </w:pPr>
            <w:r>
              <w:rPr>
                <w:rFonts w:eastAsia="Times New Roman"/>
                <w:b/>
                <w:bCs/>
                <w:color w:val="auto"/>
                <w:sz w:val="20"/>
                <w:szCs w:val="18"/>
              </w:rPr>
              <w:t>Finance</w:t>
            </w:r>
            <w:r w:rsidRPr="007C5117">
              <w:rPr>
                <w:rFonts w:eastAsia="Times New Roman"/>
                <w:b/>
                <w:bCs/>
                <w:color w:val="auto"/>
                <w:sz w:val="20"/>
                <w:szCs w:val="18"/>
              </w:rPr>
              <w:t xml:space="preserve"> </w:t>
            </w:r>
            <w:r w:rsidR="00A93901" w:rsidRPr="007C5117">
              <w:rPr>
                <w:rFonts w:eastAsia="Times New Roman"/>
                <w:b/>
                <w:bCs/>
                <w:color w:val="auto"/>
                <w:sz w:val="20"/>
                <w:szCs w:val="18"/>
              </w:rPr>
              <w:t>(Legislation, Policy and Strategy Functions)</w:t>
            </w:r>
            <w:r w:rsidR="00A93901" w:rsidRPr="007C5117">
              <w:rPr>
                <w:rFonts w:eastAsia="Times New Roman"/>
                <w:color w:val="auto"/>
                <w:sz w:val="20"/>
                <w:szCs w:val="18"/>
              </w:rPr>
              <w:t xml:space="preserve"> – continue engagement and monitoring of the impact of other related Government initiatives (including the Privacy Act review) through the implementation period. Use established cross-Government forums and channels to raise any concerns or unintended impacts on the Digital I</w:t>
            </w:r>
            <w:r w:rsidR="00EB2443">
              <w:rPr>
                <w:rFonts w:eastAsia="Times New Roman"/>
                <w:color w:val="auto"/>
                <w:sz w:val="20"/>
                <w:szCs w:val="18"/>
              </w:rPr>
              <w:t>D</w:t>
            </w:r>
            <w:r w:rsidR="00A93901" w:rsidRPr="007C5117">
              <w:rPr>
                <w:rFonts w:eastAsia="Times New Roman"/>
                <w:color w:val="auto"/>
                <w:sz w:val="20"/>
                <w:szCs w:val="18"/>
              </w:rPr>
              <w:t xml:space="preserve"> regulatory scheme directly with AGD.</w:t>
            </w:r>
          </w:p>
          <w:p w14:paraId="3A1E44D7" w14:textId="738C36F7" w:rsidR="00A93901" w:rsidRPr="007C5117" w:rsidRDefault="00A93901" w:rsidP="007C5117">
            <w:pPr>
              <w:pStyle w:val="TableTextLeft"/>
              <w:keepNext/>
              <w:cnfStyle w:val="000000100000" w:firstRow="0" w:lastRow="0" w:firstColumn="0" w:lastColumn="0" w:oddVBand="0" w:evenVBand="0" w:oddHBand="1" w:evenHBand="0" w:firstRowFirstColumn="0" w:firstRowLastColumn="0" w:lastRowFirstColumn="0" w:lastRowLastColumn="0"/>
              <w:rPr>
                <w:lang w:eastAsia="en-US"/>
              </w:rPr>
            </w:pPr>
          </w:p>
        </w:tc>
      </w:tr>
    </w:tbl>
    <w:p w14:paraId="7E1DBA5D" w14:textId="08B0228D" w:rsidR="0052151B" w:rsidRDefault="0052151B">
      <w:pPr>
        <w:pStyle w:val="Caption"/>
      </w:pPr>
      <w:bookmarkStart w:id="644" w:name="_Toc130390616"/>
      <w:bookmarkStart w:id="645" w:name="_Toc82532403"/>
      <w:r>
        <w:t xml:space="preserve">Table </w:t>
      </w:r>
      <w:r>
        <w:fldChar w:fldCharType="begin"/>
      </w:r>
      <w:r>
        <w:instrText>SEQ Table \* ARABIC</w:instrText>
      </w:r>
      <w:r>
        <w:fldChar w:fldCharType="separate"/>
      </w:r>
      <w:r>
        <w:rPr>
          <w:noProof/>
        </w:rPr>
        <w:t>12</w:t>
      </w:r>
      <w:r>
        <w:fldChar w:fldCharType="end"/>
      </w:r>
      <w:r>
        <w:t xml:space="preserve">: </w:t>
      </w:r>
      <w:r w:rsidRPr="00FF5918">
        <w:t>Challenges and risks of implementation of Option 3</w:t>
      </w:r>
      <w:bookmarkEnd w:id="644"/>
    </w:p>
    <w:p w14:paraId="5108B487" w14:textId="77777777" w:rsidR="009545C8" w:rsidRDefault="009545C8" w:rsidP="00824067">
      <w:pPr>
        <w:pStyle w:val="Heading2NoNumbers"/>
        <w:rPr>
          <w:lang w:eastAsia="en-US"/>
        </w:rPr>
        <w:sectPr w:rsidR="009545C8" w:rsidSect="0011436E">
          <w:pgSz w:w="16840" w:h="11907" w:orient="landscape" w:code="9"/>
          <w:pgMar w:top="1418" w:right="1418" w:bottom="1418" w:left="1418" w:header="567" w:footer="340" w:gutter="0"/>
          <w:cols w:space="720"/>
          <w:docGrid w:linePitch="326"/>
        </w:sectPr>
      </w:pPr>
      <w:bookmarkStart w:id="646" w:name="_Toc80884718"/>
      <w:bookmarkStart w:id="647" w:name="_Toc81226657"/>
      <w:bookmarkStart w:id="648" w:name="_Toc81226933"/>
      <w:bookmarkStart w:id="649" w:name="_Toc81228277"/>
      <w:bookmarkStart w:id="650" w:name="_Toc83951220"/>
      <w:bookmarkStart w:id="651" w:name="_Toc84925845"/>
      <w:bookmarkStart w:id="652" w:name="_Toc84925918"/>
      <w:bookmarkStart w:id="653" w:name="_Toc86045162"/>
      <w:bookmarkStart w:id="654" w:name="_Toc86070059"/>
      <w:bookmarkEnd w:id="645"/>
    </w:p>
    <w:p w14:paraId="491B0A0D" w14:textId="06DBE7BB" w:rsidR="00E27FE4" w:rsidRPr="00DD7402" w:rsidRDefault="00E27FE4" w:rsidP="00DD7402">
      <w:pPr>
        <w:pStyle w:val="BodyText"/>
      </w:pPr>
      <w:r w:rsidRPr="00DD7402">
        <w:lastRenderedPageBreak/>
        <w:t xml:space="preserve">Whilst the above accurately describes the status of implementation risks as at the date of finalisation of this </w:t>
      </w:r>
      <w:r w:rsidR="00465F3F">
        <w:t>Impact Analysis</w:t>
      </w:r>
      <w:r w:rsidRPr="00DD7402">
        <w:t>, it is important to note that the Program has a dynamic risk management framework in place which is continuously evolving as planning progresses and the future state evolves</w:t>
      </w:r>
      <w:r w:rsidR="00A20495">
        <w:t>, and if Government decides to roll out additional phases of its policy</w:t>
      </w:r>
      <w:r w:rsidRPr="00DD7402">
        <w:t>. Appropriate adjustments to the management activities, roles and accountabilities will continue to be made through the implementation period of this regulatory scheme. Risk management and other implementation activities will be regularly reviewed, including a formal legislative post-implementation review 2 years following the commencement of the Bill. This ongoing monitoring is discussed further below.</w:t>
      </w:r>
    </w:p>
    <w:p w14:paraId="2D2A6D46" w14:textId="308067CE" w:rsidR="00E6232E" w:rsidRPr="0015578E" w:rsidRDefault="00E6232E" w:rsidP="00824067">
      <w:pPr>
        <w:pStyle w:val="Heading2NoNumbers"/>
        <w:rPr>
          <w:color w:val="008675"/>
          <w:lang w:eastAsia="en-US"/>
        </w:rPr>
      </w:pPr>
      <w:bookmarkStart w:id="655" w:name="_Toc149740368"/>
      <w:r w:rsidRPr="0015578E">
        <w:rPr>
          <w:color w:val="008675"/>
          <w:lang w:eastAsia="en-US"/>
        </w:rPr>
        <w:t xml:space="preserve">12.3 Ongoing </w:t>
      </w:r>
      <w:r w:rsidR="00AE1804" w:rsidRPr="0015578E">
        <w:rPr>
          <w:color w:val="008675"/>
          <w:lang w:eastAsia="en-US"/>
        </w:rPr>
        <w:t>m</w:t>
      </w:r>
      <w:r w:rsidRPr="0015578E">
        <w:rPr>
          <w:color w:val="008675"/>
          <w:lang w:eastAsia="en-US"/>
        </w:rPr>
        <w:t xml:space="preserve">onitoring of </w:t>
      </w:r>
      <w:r w:rsidR="00AE1804" w:rsidRPr="0015578E">
        <w:rPr>
          <w:color w:val="008675"/>
          <w:lang w:eastAsia="en-US"/>
        </w:rPr>
        <w:t>i</w:t>
      </w:r>
      <w:r w:rsidRPr="0015578E">
        <w:rPr>
          <w:color w:val="008675"/>
          <w:lang w:eastAsia="en-US"/>
        </w:rPr>
        <w:t xml:space="preserve">mplementation </w:t>
      </w:r>
      <w:r w:rsidR="00AE1804" w:rsidRPr="0015578E">
        <w:rPr>
          <w:color w:val="008675"/>
          <w:lang w:eastAsia="en-US"/>
        </w:rPr>
        <w:t>e</w:t>
      </w:r>
      <w:r w:rsidRPr="0015578E">
        <w:rPr>
          <w:color w:val="008675"/>
          <w:lang w:eastAsia="en-US"/>
        </w:rPr>
        <w:t>ffectiveness</w:t>
      </w:r>
      <w:bookmarkStart w:id="656" w:name="_Ref64470233"/>
      <w:bookmarkEnd w:id="646"/>
      <w:bookmarkEnd w:id="647"/>
      <w:bookmarkEnd w:id="648"/>
      <w:bookmarkEnd w:id="649"/>
      <w:bookmarkEnd w:id="650"/>
      <w:bookmarkEnd w:id="651"/>
      <w:bookmarkEnd w:id="652"/>
      <w:bookmarkEnd w:id="653"/>
      <w:bookmarkEnd w:id="654"/>
      <w:bookmarkEnd w:id="655"/>
    </w:p>
    <w:p w14:paraId="4FAED033" w14:textId="3D55B711" w:rsidR="00E6232E" w:rsidRPr="00824067" w:rsidRDefault="00912A05" w:rsidP="00912A05">
      <w:pPr>
        <w:pStyle w:val="BodyText"/>
        <w:keepNext/>
      </w:pPr>
      <w:r>
        <w:t>V</w:t>
      </w:r>
      <w:r w:rsidR="00E6232E" w:rsidRPr="00824067">
        <w:t xml:space="preserve">arious measures built into the </w:t>
      </w:r>
      <w:r w:rsidR="00FA0857">
        <w:t>Bill</w:t>
      </w:r>
      <w:r w:rsidR="00E6232E" w:rsidRPr="00824067">
        <w:t xml:space="preserve"> provide for regular monitoring of the implementation of a dedicated regulatory scheme, and its ongoing effectiveness. These include:</w:t>
      </w:r>
    </w:p>
    <w:p w14:paraId="00761018" w14:textId="5BB9D4DB" w:rsidR="00E6232E" w:rsidRPr="000B7589" w:rsidRDefault="001D5AFE" w:rsidP="00A11DE4">
      <w:pPr>
        <w:pStyle w:val="ListBulletLevel1"/>
        <w:rPr>
          <w:rFonts w:eastAsia="Calibri"/>
          <w:lang w:eastAsia="en-US"/>
        </w:rPr>
      </w:pPr>
      <w:r>
        <w:rPr>
          <w:rFonts w:eastAsia="Calibri"/>
          <w:lang w:eastAsia="en-US"/>
        </w:rPr>
        <w:t>Requiring</w:t>
      </w:r>
      <w:r w:rsidRPr="000B7589">
        <w:rPr>
          <w:rFonts w:eastAsia="Calibri"/>
          <w:lang w:eastAsia="en-US"/>
        </w:rPr>
        <w:t xml:space="preserve"> </w:t>
      </w:r>
      <w:r w:rsidR="00E6232E" w:rsidRPr="000B7589">
        <w:rPr>
          <w:rFonts w:eastAsia="Calibri"/>
          <w:lang w:eastAsia="en-US"/>
        </w:rPr>
        <w:t xml:space="preserve">that the Information Commissioner </w:t>
      </w:r>
      <w:r w:rsidR="009A3402">
        <w:rPr>
          <w:rFonts w:eastAsia="Calibri"/>
          <w:lang w:eastAsia="en-US"/>
        </w:rPr>
        <w:t xml:space="preserve">include </w:t>
      </w:r>
      <w:r w:rsidR="0079207A">
        <w:rPr>
          <w:rFonts w:eastAsia="Calibri"/>
          <w:lang w:eastAsia="en-US"/>
        </w:rPr>
        <w:t xml:space="preserve">information on its functions and powers in relation to </w:t>
      </w:r>
      <w:r w:rsidR="00A20495">
        <w:rPr>
          <w:rFonts w:eastAsia="Calibri"/>
          <w:lang w:eastAsia="en-US"/>
        </w:rPr>
        <w:t>Digital ID</w:t>
      </w:r>
      <w:r w:rsidR="0079207A">
        <w:rPr>
          <w:rFonts w:eastAsia="Calibri"/>
          <w:lang w:eastAsia="en-US"/>
        </w:rPr>
        <w:t xml:space="preserve"> as part of its annual report tabled </w:t>
      </w:r>
      <w:r w:rsidR="00D5338B">
        <w:rPr>
          <w:rFonts w:eastAsia="Calibri"/>
          <w:lang w:eastAsia="en-US"/>
        </w:rPr>
        <w:t xml:space="preserve">under s46 of the </w:t>
      </w:r>
      <w:r w:rsidR="00D5338B">
        <w:rPr>
          <w:rFonts w:eastAsia="Calibri"/>
          <w:i/>
          <w:iCs/>
          <w:lang w:eastAsia="en-US"/>
        </w:rPr>
        <w:t>Public Governance, Performance and Accountability Act 2013</w:t>
      </w:r>
      <w:r w:rsidR="00053066">
        <w:rPr>
          <w:rFonts w:eastAsia="Calibri"/>
          <w:i/>
          <w:iCs/>
          <w:lang w:eastAsia="en-US"/>
        </w:rPr>
        <w:t xml:space="preserve"> </w:t>
      </w:r>
      <w:r w:rsidR="00053066" w:rsidRPr="008025A8">
        <w:rPr>
          <w:rFonts w:eastAsia="Calibri"/>
          <w:lang w:eastAsia="en-US"/>
        </w:rPr>
        <w:t>(</w:t>
      </w:r>
      <w:proofErr w:type="spellStart"/>
      <w:r w:rsidR="00053066" w:rsidRPr="008025A8">
        <w:rPr>
          <w:rFonts w:eastAsia="Calibri"/>
          <w:lang w:eastAsia="en-US"/>
        </w:rPr>
        <w:t>Cth</w:t>
      </w:r>
      <w:proofErr w:type="spellEnd"/>
      <w:r w:rsidR="00053066" w:rsidRPr="008025A8">
        <w:rPr>
          <w:rFonts w:eastAsia="Calibri"/>
          <w:lang w:eastAsia="en-US"/>
        </w:rPr>
        <w:t>)</w:t>
      </w:r>
      <w:r w:rsidR="00794E8D">
        <w:rPr>
          <w:rFonts w:eastAsia="Calibri"/>
          <w:lang w:eastAsia="en-US"/>
        </w:rPr>
        <w:t>.</w:t>
      </w:r>
    </w:p>
    <w:p w14:paraId="4C541AD8" w14:textId="26079C24" w:rsidR="00E6232E" w:rsidRPr="000B7589" w:rsidRDefault="001D5AFE" w:rsidP="00A11DE4">
      <w:pPr>
        <w:pStyle w:val="ListBulletLevel1"/>
        <w:rPr>
          <w:rFonts w:eastAsia="Calibri"/>
          <w:lang w:eastAsia="en-US"/>
        </w:rPr>
      </w:pPr>
      <w:r>
        <w:rPr>
          <w:rFonts w:eastAsia="Calibri"/>
          <w:lang w:eastAsia="en-US"/>
        </w:rPr>
        <w:t>Requiring</w:t>
      </w:r>
      <w:r w:rsidRPr="000B7589">
        <w:rPr>
          <w:rFonts w:eastAsia="Calibri"/>
          <w:lang w:eastAsia="en-US"/>
        </w:rPr>
        <w:t xml:space="preserve"> </w:t>
      </w:r>
      <w:r w:rsidR="00E6232E" w:rsidRPr="000B7589">
        <w:rPr>
          <w:rFonts w:eastAsia="Calibri"/>
          <w:lang w:eastAsia="en-US"/>
        </w:rPr>
        <w:t xml:space="preserve">the </w:t>
      </w:r>
      <w:r w:rsidR="00173208">
        <w:rPr>
          <w:rFonts w:eastAsia="Calibri"/>
          <w:szCs w:val="20"/>
          <w:lang w:eastAsia="en-US"/>
        </w:rPr>
        <w:t xml:space="preserve">Oversight </w:t>
      </w:r>
      <w:r w:rsidR="00E6232E" w:rsidRPr="000B7589">
        <w:rPr>
          <w:rFonts w:eastAsia="Calibri"/>
          <w:lang w:eastAsia="en-US"/>
        </w:rPr>
        <w:t>Authority to prepare an Annual Report to be tabled in Parliament</w:t>
      </w:r>
      <w:r w:rsidR="00C90541">
        <w:rPr>
          <w:rFonts w:eastAsia="Calibri"/>
          <w:lang w:eastAsia="en-US"/>
        </w:rPr>
        <w:t>, f</w:t>
      </w:r>
      <w:r w:rsidR="00C90541" w:rsidRPr="000B7589">
        <w:rPr>
          <w:rFonts w:eastAsia="Calibri"/>
          <w:lang w:eastAsia="en-US"/>
        </w:rPr>
        <w:t>or transparency and further enshrining independence</w:t>
      </w:r>
      <w:r w:rsidR="00E6232E" w:rsidRPr="000B7589">
        <w:rPr>
          <w:rFonts w:eastAsia="Calibri"/>
          <w:lang w:eastAsia="en-US"/>
        </w:rPr>
        <w:t>.</w:t>
      </w:r>
      <w:r w:rsidR="00737BA2">
        <w:rPr>
          <w:rFonts w:eastAsia="Calibri"/>
          <w:lang w:eastAsia="en-US"/>
        </w:rPr>
        <w:t xml:space="preserve"> </w:t>
      </w:r>
      <w:r w:rsidR="00E6232E" w:rsidRPr="000B7589">
        <w:rPr>
          <w:rFonts w:eastAsia="Calibri"/>
          <w:lang w:eastAsia="en-US"/>
        </w:rPr>
        <w:t xml:space="preserve">The report will report separately on the operation and the accreditation scheme, with – at a minimum – details of number of applications, approvals and fraud and cyber security incidents </w:t>
      </w:r>
      <w:r w:rsidR="00A21DC4">
        <w:rPr>
          <w:rFonts w:eastAsia="Calibri"/>
          <w:lang w:eastAsia="en-US"/>
        </w:rPr>
        <w:t>(</w:t>
      </w:r>
      <w:r w:rsidR="00E6232E" w:rsidRPr="000B7589">
        <w:rPr>
          <w:rFonts w:eastAsia="Calibri"/>
          <w:lang w:eastAsia="en-US"/>
        </w:rPr>
        <w:t xml:space="preserve">and responses to </w:t>
      </w:r>
      <w:r w:rsidR="00A21DC4">
        <w:rPr>
          <w:rFonts w:eastAsia="Calibri"/>
          <w:lang w:eastAsia="en-US"/>
        </w:rPr>
        <w:t>these)</w:t>
      </w:r>
      <w:r w:rsidR="00E6232E" w:rsidRPr="000B7589">
        <w:rPr>
          <w:rFonts w:eastAsia="Calibri"/>
          <w:lang w:eastAsia="en-US"/>
        </w:rPr>
        <w:t xml:space="preserve">, as well as other matters as notified by the Minister to the </w:t>
      </w:r>
      <w:r w:rsidR="00173208">
        <w:rPr>
          <w:rFonts w:eastAsia="Calibri"/>
          <w:szCs w:val="20"/>
          <w:lang w:eastAsia="en-US"/>
        </w:rPr>
        <w:t xml:space="preserve">Oversight </w:t>
      </w:r>
      <w:r w:rsidR="00E6232E" w:rsidRPr="000B7589">
        <w:rPr>
          <w:rFonts w:eastAsia="Calibri"/>
          <w:lang w:eastAsia="en-US"/>
        </w:rPr>
        <w:t>Authority</w:t>
      </w:r>
      <w:r w:rsidR="00794E8D">
        <w:rPr>
          <w:rFonts w:eastAsia="Calibri"/>
          <w:lang w:eastAsia="en-US"/>
        </w:rPr>
        <w:t>.</w:t>
      </w:r>
    </w:p>
    <w:p w14:paraId="5196BE2A" w14:textId="00980B2D" w:rsidR="00E6232E" w:rsidRPr="000B7589" w:rsidRDefault="001D5AFE" w:rsidP="00A11DE4">
      <w:pPr>
        <w:pStyle w:val="ListBulletLevel1"/>
        <w:rPr>
          <w:rFonts w:eastAsia="Calibri"/>
          <w:lang w:eastAsia="en-US"/>
        </w:rPr>
      </w:pPr>
      <w:r>
        <w:rPr>
          <w:rFonts w:eastAsia="Calibri"/>
          <w:lang w:eastAsia="en-US"/>
        </w:rPr>
        <w:t>Providing</w:t>
      </w:r>
      <w:r w:rsidRPr="000B7589">
        <w:rPr>
          <w:rFonts w:eastAsia="Calibri"/>
          <w:lang w:eastAsia="en-US"/>
        </w:rPr>
        <w:t xml:space="preserve"> </w:t>
      </w:r>
      <w:r w:rsidR="00E6232E" w:rsidRPr="000B7589">
        <w:rPr>
          <w:rFonts w:eastAsia="Calibri"/>
          <w:lang w:eastAsia="en-US"/>
        </w:rPr>
        <w:t>for a review of the Bill</w:t>
      </w:r>
      <w:r w:rsidR="00737BA2">
        <w:rPr>
          <w:rFonts w:eastAsia="Calibri"/>
          <w:lang w:eastAsia="en-US"/>
        </w:rPr>
        <w:t xml:space="preserve"> /</w:t>
      </w:r>
      <w:r w:rsidR="00E6232E" w:rsidRPr="000B7589">
        <w:rPr>
          <w:rFonts w:eastAsia="Calibri"/>
          <w:lang w:eastAsia="en-US"/>
        </w:rPr>
        <w:t xml:space="preserve">Act in </w:t>
      </w:r>
      <w:r w:rsidR="004B7B43">
        <w:rPr>
          <w:rFonts w:eastAsia="Calibri"/>
          <w:lang w:eastAsia="en-US"/>
        </w:rPr>
        <w:t>two</w:t>
      </w:r>
      <w:r w:rsidR="004B7B43" w:rsidRPr="000B7589">
        <w:rPr>
          <w:rFonts w:eastAsia="Calibri"/>
          <w:lang w:eastAsia="en-US"/>
        </w:rPr>
        <w:t xml:space="preserve"> </w:t>
      </w:r>
      <w:r w:rsidR="00E6232E" w:rsidRPr="000B7589">
        <w:rPr>
          <w:rFonts w:eastAsia="Calibri"/>
          <w:lang w:eastAsia="en-US"/>
        </w:rPr>
        <w:t>years from the date of its commencement.</w:t>
      </w:r>
    </w:p>
    <w:p w14:paraId="1F0A3391" w14:textId="2158980A" w:rsidR="00E6232E" w:rsidRPr="000B7589" w:rsidRDefault="00E6232E" w:rsidP="00A11DE4">
      <w:pPr>
        <w:pStyle w:val="BodyText"/>
        <w:rPr>
          <w:lang w:eastAsia="en-US"/>
        </w:rPr>
      </w:pPr>
      <w:r w:rsidRPr="000B7589">
        <w:rPr>
          <w:lang w:eastAsia="en-US"/>
        </w:rPr>
        <w:t xml:space="preserve">Additionally, </w:t>
      </w:r>
      <w:r w:rsidR="00192201">
        <w:rPr>
          <w:lang w:eastAsia="en-US"/>
        </w:rPr>
        <w:t>as discussed above</w:t>
      </w:r>
      <w:r w:rsidR="00E95F95">
        <w:rPr>
          <w:lang w:eastAsia="en-US"/>
        </w:rPr>
        <w:t>,</w:t>
      </w:r>
      <w:r w:rsidR="00192201">
        <w:rPr>
          <w:lang w:eastAsia="en-US"/>
        </w:rPr>
        <w:t xml:space="preserve"> </w:t>
      </w:r>
      <w:r w:rsidRPr="000B7589">
        <w:rPr>
          <w:lang w:eastAsia="en-US"/>
        </w:rPr>
        <w:t>the legislation includes mandated consultation on proposed changes to regulation</w:t>
      </w:r>
      <w:r w:rsidR="00192201">
        <w:rPr>
          <w:lang w:eastAsia="en-US"/>
        </w:rPr>
        <w:t>s</w:t>
      </w:r>
      <w:r w:rsidRPr="000B7589">
        <w:rPr>
          <w:lang w:eastAsia="en-US"/>
        </w:rPr>
        <w:t>, including the issuance of new legislative instruments.</w:t>
      </w:r>
      <w:r w:rsidR="00737BA2">
        <w:rPr>
          <w:lang w:eastAsia="en-US"/>
        </w:rPr>
        <w:t xml:space="preserve"> </w:t>
      </w:r>
      <w:r w:rsidRPr="000B7589">
        <w:rPr>
          <w:lang w:eastAsia="en-US"/>
        </w:rPr>
        <w:t>This will provide an effective way of monitoring the effectiveness of Option 3 as the regulatory ecosystem evolves over time.</w:t>
      </w:r>
    </w:p>
    <w:p w14:paraId="2DE3DD13" w14:textId="7D2D4D50" w:rsidR="00CF2581" w:rsidRDefault="00E6232E" w:rsidP="006412B9">
      <w:pPr>
        <w:pStyle w:val="BodyText"/>
        <w:rPr>
          <w:lang w:eastAsia="en-US"/>
        </w:rPr>
      </w:pPr>
      <w:r w:rsidRPr="000B7589">
        <w:rPr>
          <w:lang w:eastAsia="en-US"/>
        </w:rPr>
        <w:lastRenderedPageBreak/>
        <w:t xml:space="preserve">Overall, the above measures provide a legislative guarantee that the effectiveness of Option 3 will continue to be monitored and evaluated against its objectives, even after </w:t>
      </w:r>
      <w:r w:rsidR="00E95F95">
        <w:rPr>
          <w:lang w:eastAsia="en-US"/>
        </w:rPr>
        <w:t xml:space="preserve">the conclusion of </w:t>
      </w:r>
      <w:r w:rsidR="001D0812">
        <w:rPr>
          <w:lang w:eastAsia="en-US"/>
        </w:rPr>
        <w:t>any formal transition or</w:t>
      </w:r>
      <w:r w:rsidR="001D0812" w:rsidRPr="000B7589">
        <w:rPr>
          <w:lang w:eastAsia="en-US"/>
        </w:rPr>
        <w:t xml:space="preserve"> </w:t>
      </w:r>
      <w:r w:rsidRPr="000B7589">
        <w:rPr>
          <w:lang w:eastAsia="en-US"/>
        </w:rPr>
        <w:t>implementation period.</w:t>
      </w:r>
      <w:bookmarkEnd w:id="656"/>
    </w:p>
    <w:p w14:paraId="7DA7BF58" w14:textId="18F1A226" w:rsidR="00E6232E" w:rsidRPr="00F1619B" w:rsidRDefault="00511F1B" w:rsidP="00511F1B">
      <w:pPr>
        <w:pStyle w:val="Heading1NoNumbers"/>
        <w:rPr>
          <w:color w:val="008675"/>
          <w:lang w:eastAsia="en-US"/>
        </w:rPr>
      </w:pPr>
      <w:bookmarkStart w:id="657" w:name="_Toc83951221"/>
      <w:bookmarkStart w:id="658" w:name="_Toc84925846"/>
      <w:bookmarkStart w:id="659" w:name="_Toc84925919"/>
      <w:bookmarkStart w:id="660" w:name="_Toc86045163"/>
      <w:bookmarkStart w:id="661" w:name="_Toc86070060"/>
      <w:bookmarkStart w:id="662" w:name="_Toc149740369"/>
      <w:r w:rsidRPr="00F1619B">
        <w:rPr>
          <w:color w:val="008675"/>
          <w:lang w:eastAsia="en-US"/>
        </w:rPr>
        <w:lastRenderedPageBreak/>
        <w:t xml:space="preserve">Appendix A </w:t>
      </w:r>
      <w:r w:rsidR="0098502F" w:rsidRPr="00F1619B">
        <w:rPr>
          <w:color w:val="008675"/>
        </w:rPr>
        <w:t>–</w:t>
      </w:r>
      <w:r w:rsidRPr="00F1619B">
        <w:rPr>
          <w:color w:val="008675"/>
          <w:lang w:eastAsia="en-US"/>
        </w:rPr>
        <w:t xml:space="preserve"> </w:t>
      </w:r>
      <w:r w:rsidR="00E6232E" w:rsidRPr="00F1619B">
        <w:rPr>
          <w:color w:val="008675"/>
          <w:lang w:eastAsia="en-US"/>
        </w:rPr>
        <w:t>Glossary</w:t>
      </w:r>
      <w:bookmarkEnd w:id="657"/>
      <w:bookmarkEnd w:id="658"/>
      <w:bookmarkEnd w:id="659"/>
      <w:bookmarkEnd w:id="660"/>
      <w:bookmarkEnd w:id="661"/>
      <w:bookmarkEnd w:id="662"/>
      <w:r w:rsidR="00E6232E" w:rsidRPr="00F1619B">
        <w:rPr>
          <w:color w:val="008675"/>
          <w:lang w:eastAsia="en-US"/>
        </w:rPr>
        <w:t xml:space="preserve"> </w:t>
      </w:r>
    </w:p>
    <w:p w14:paraId="27648995" w14:textId="0D89E3B6" w:rsidR="00E6232E" w:rsidRPr="000B7589" w:rsidRDefault="00E6232E" w:rsidP="00BB29E3">
      <w:pPr>
        <w:pStyle w:val="BodyText"/>
        <w:rPr>
          <w:lang w:eastAsia="en-US"/>
        </w:rPr>
      </w:pPr>
      <w:r w:rsidRPr="000B7589">
        <w:rPr>
          <w:lang w:eastAsia="en-US"/>
        </w:rPr>
        <w:t>Th</w:t>
      </w:r>
      <w:r w:rsidR="00E95F95">
        <w:rPr>
          <w:lang w:eastAsia="en-US"/>
        </w:rPr>
        <w:t xml:space="preserve">is </w:t>
      </w:r>
      <w:r w:rsidRPr="000B7589">
        <w:rPr>
          <w:lang w:eastAsia="en-US"/>
        </w:rPr>
        <w:t xml:space="preserve">glossary highlights key terms, </w:t>
      </w:r>
      <w:r w:rsidR="007E61F2" w:rsidRPr="000B7589">
        <w:rPr>
          <w:lang w:eastAsia="en-US"/>
        </w:rPr>
        <w:t>acronyms,</w:t>
      </w:r>
      <w:r w:rsidRPr="000B7589">
        <w:rPr>
          <w:lang w:eastAsia="en-US"/>
        </w:rPr>
        <w:t xml:space="preserve"> and their definitions, as used in this document.</w:t>
      </w:r>
    </w:p>
    <w:tbl>
      <w:tblPr>
        <w:tblStyle w:val="GridTable2-Accent3"/>
        <w:tblW w:w="9072" w:type="dxa"/>
        <w:tblBorders>
          <w:top w:val="none" w:sz="0" w:space="0" w:color="auto"/>
          <w:insideH w:val="single" w:sz="4" w:space="0" w:color="008675"/>
          <w:insideV w:val="single" w:sz="4" w:space="0" w:color="008675"/>
        </w:tblBorders>
        <w:tblLook w:val="04A0" w:firstRow="1" w:lastRow="0" w:firstColumn="1" w:lastColumn="0" w:noHBand="0" w:noVBand="1"/>
      </w:tblPr>
      <w:tblGrid>
        <w:gridCol w:w="1683"/>
        <w:gridCol w:w="7389"/>
      </w:tblGrid>
      <w:tr w:rsidR="00F1619B" w:rsidRPr="00F1619B" w14:paraId="5380CB65" w14:textId="77777777" w:rsidTr="00F161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3" w:type="dxa"/>
          </w:tcPr>
          <w:p w14:paraId="56FEE149" w14:textId="5643A2EA" w:rsidR="00E6232E" w:rsidRPr="00F1619B" w:rsidRDefault="00E6232E" w:rsidP="000C1E18">
            <w:pPr>
              <w:pStyle w:val="TableTextLeft"/>
              <w:rPr>
                <w:color w:val="008675"/>
              </w:rPr>
            </w:pPr>
            <w:r w:rsidRPr="00F1619B">
              <w:rPr>
                <w:color w:val="008675"/>
              </w:rPr>
              <w:t>T</w:t>
            </w:r>
            <w:r w:rsidR="006570C4" w:rsidRPr="00F1619B">
              <w:rPr>
                <w:color w:val="008675"/>
              </w:rPr>
              <w:t>erm</w:t>
            </w:r>
          </w:p>
        </w:tc>
        <w:tc>
          <w:tcPr>
            <w:tcW w:w="7389" w:type="dxa"/>
          </w:tcPr>
          <w:p w14:paraId="0B15844A" w14:textId="6F0203E5" w:rsidR="00E6232E" w:rsidRPr="00F1619B" w:rsidRDefault="00E6232E" w:rsidP="000C1E18">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F1619B">
              <w:rPr>
                <w:color w:val="008675"/>
              </w:rPr>
              <w:t>D</w:t>
            </w:r>
            <w:r w:rsidR="006570C4" w:rsidRPr="00F1619B">
              <w:rPr>
                <w:color w:val="008675"/>
              </w:rPr>
              <w:t>efinition</w:t>
            </w:r>
          </w:p>
        </w:tc>
      </w:tr>
      <w:tr w:rsidR="00E6232E" w:rsidRPr="000B7589" w14:paraId="001B56AF"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0F07CA98" w14:textId="4F68552C" w:rsidR="00E6232E" w:rsidRPr="00F1619B" w:rsidRDefault="00E6232E" w:rsidP="00BB29E3">
            <w:pPr>
              <w:pStyle w:val="TableTextLeft"/>
              <w:rPr>
                <w:color w:val="008675"/>
                <w:szCs w:val="20"/>
                <w:lang w:eastAsia="en-US"/>
              </w:rPr>
            </w:pPr>
            <w:r w:rsidRPr="00F1619B">
              <w:rPr>
                <w:color w:val="008675"/>
                <w:szCs w:val="20"/>
                <w:lang w:eastAsia="en-US"/>
              </w:rPr>
              <w:t xml:space="preserve">Access Card </w:t>
            </w:r>
            <w:r w:rsidR="00681D7A" w:rsidRPr="00F1619B">
              <w:rPr>
                <w:color w:val="008675"/>
                <w:szCs w:val="20"/>
                <w:lang w:eastAsia="en-US"/>
              </w:rPr>
              <w:t>i</w:t>
            </w:r>
            <w:r w:rsidRPr="00F1619B">
              <w:rPr>
                <w:color w:val="008675"/>
                <w:szCs w:val="20"/>
                <w:lang w:eastAsia="en-US"/>
              </w:rPr>
              <w:t>nitiative</w:t>
            </w:r>
          </w:p>
        </w:tc>
        <w:tc>
          <w:tcPr>
            <w:tcW w:w="0" w:type="dxa"/>
            <w:shd w:val="clear" w:color="auto" w:fill="D2EEED"/>
          </w:tcPr>
          <w:p w14:paraId="38F3E816" w14:textId="1461E21F" w:rsidR="00E6232E" w:rsidRPr="00FF1A57" w:rsidRDefault="00E6232E"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sidRPr="00FF1A57">
              <w:rPr>
                <w:szCs w:val="20"/>
                <w:lang w:eastAsia="en-US"/>
              </w:rPr>
              <w:t>The Australian Government provided details of a health and social services Access Card in the 2006</w:t>
            </w:r>
            <w:r w:rsidR="00EE61FD">
              <w:rPr>
                <w:szCs w:val="20"/>
                <w:lang w:eastAsia="en-US"/>
              </w:rPr>
              <w:t>–07</w:t>
            </w:r>
            <w:r w:rsidRPr="00FF1A57">
              <w:rPr>
                <w:szCs w:val="20"/>
                <w:lang w:eastAsia="en-US"/>
              </w:rPr>
              <w:t xml:space="preserve"> budget. The project is more formally known as the 'Health and Social Services Smart Card initiative'. The Access Card was a proposed Australian Government non-compulsory electronic identity card. The scheme was to be phased in over two years, beginning in 2008, but the project was terminated in November 2007.</w:t>
            </w:r>
          </w:p>
        </w:tc>
      </w:tr>
      <w:tr w:rsidR="00E6232E" w:rsidRPr="000B7589" w14:paraId="2C970940" w14:textId="77777777" w:rsidTr="00F1619B">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accent5"/>
          </w:tcPr>
          <w:p w14:paraId="5F0D9EBE" w14:textId="70985628" w:rsidR="00E6232E" w:rsidRPr="00F1619B" w:rsidRDefault="00E6232E" w:rsidP="00BB29E3">
            <w:pPr>
              <w:pStyle w:val="TableTextLeft"/>
              <w:rPr>
                <w:color w:val="008675"/>
                <w:szCs w:val="20"/>
                <w:lang w:eastAsia="en-US"/>
              </w:rPr>
            </w:pPr>
            <w:r w:rsidRPr="00F1619B">
              <w:rPr>
                <w:color w:val="008675"/>
                <w:szCs w:val="20"/>
                <w:lang w:eastAsia="en-US"/>
              </w:rPr>
              <w:t xml:space="preserve">APP </w:t>
            </w:r>
            <w:r w:rsidR="00F33A5C" w:rsidRPr="00F1619B">
              <w:rPr>
                <w:color w:val="008675"/>
                <w:szCs w:val="20"/>
                <w:lang w:eastAsia="en-US"/>
              </w:rPr>
              <w:t>e</w:t>
            </w:r>
            <w:r w:rsidRPr="00F1619B">
              <w:rPr>
                <w:color w:val="008675"/>
                <w:szCs w:val="20"/>
                <w:lang w:eastAsia="en-US"/>
              </w:rPr>
              <w:t xml:space="preserve">ntities </w:t>
            </w:r>
          </w:p>
        </w:tc>
        <w:tc>
          <w:tcPr>
            <w:tcW w:w="0" w:type="dxa"/>
            <w:shd w:val="clear" w:color="auto" w:fill="FFFFFF" w:themeFill="accent5"/>
          </w:tcPr>
          <w:p w14:paraId="288FB81D"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The Privacy Act imposes obligations on 'APP entities'. An APP entity is, generally speaking: an agency (largely referring to a federal government entity and/or office holder) or an organisation (which includes an individual, body corporate, partnership, unincorporated association, or trust).</w:t>
            </w:r>
          </w:p>
        </w:tc>
      </w:tr>
      <w:tr w:rsidR="00B84A85" w:rsidRPr="000B7589" w14:paraId="21A2AA8E"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02EDE59D" w14:textId="611EA3A2" w:rsidR="00B84A85" w:rsidRPr="00F1619B" w:rsidRDefault="00B84A85" w:rsidP="00BB29E3">
            <w:pPr>
              <w:pStyle w:val="TableTextLeft"/>
              <w:rPr>
                <w:color w:val="008675"/>
                <w:szCs w:val="20"/>
                <w:lang w:eastAsia="en-US"/>
              </w:rPr>
            </w:pPr>
            <w:r w:rsidRPr="00F1619B">
              <w:rPr>
                <w:color w:val="008675"/>
                <w:szCs w:val="20"/>
                <w:lang w:eastAsia="en-US"/>
              </w:rPr>
              <w:t xml:space="preserve">Australian Consumer and Competition </w:t>
            </w:r>
            <w:r w:rsidR="00681D7A" w:rsidRPr="00F1619B">
              <w:rPr>
                <w:color w:val="008675"/>
                <w:szCs w:val="20"/>
                <w:lang w:eastAsia="en-US"/>
              </w:rPr>
              <w:t xml:space="preserve">Commission </w:t>
            </w:r>
            <w:r w:rsidRPr="00F1619B">
              <w:rPr>
                <w:color w:val="008675"/>
                <w:szCs w:val="20"/>
                <w:lang w:eastAsia="en-US"/>
              </w:rPr>
              <w:t>(ACCC)</w:t>
            </w:r>
          </w:p>
        </w:tc>
        <w:tc>
          <w:tcPr>
            <w:tcW w:w="0" w:type="dxa"/>
            <w:shd w:val="clear" w:color="auto" w:fill="D2EEED"/>
          </w:tcPr>
          <w:p w14:paraId="7B8E6AC3" w14:textId="31FFED41" w:rsidR="00B84A85" w:rsidRPr="00FF1A57" w:rsidRDefault="0080264F"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A</w:t>
            </w:r>
            <w:r w:rsidR="008A3429" w:rsidRPr="00FF1A57">
              <w:rPr>
                <w:szCs w:val="20"/>
                <w:lang w:eastAsia="en-US"/>
              </w:rPr>
              <w:t xml:space="preserve">n independent Commonwealth statutory authority whose role is to enforce the </w:t>
            </w:r>
            <w:r w:rsidR="008A3429" w:rsidRPr="00FF1A57">
              <w:rPr>
                <w:i/>
                <w:iCs/>
                <w:szCs w:val="20"/>
                <w:lang w:eastAsia="en-US"/>
              </w:rPr>
              <w:t>Competition and Consumer Act 2010</w:t>
            </w:r>
            <w:r w:rsidR="008A3429" w:rsidRPr="00FF1A57">
              <w:rPr>
                <w:szCs w:val="20"/>
                <w:lang w:eastAsia="en-US"/>
              </w:rPr>
              <w:t xml:space="preserve"> and a range of additional legislation, promoting competition, fair trading and regulating national infrastructure for the benefit of all Australians. </w:t>
            </w:r>
          </w:p>
        </w:tc>
      </w:tr>
      <w:tr w:rsidR="00E6232E" w:rsidRPr="000B7589" w14:paraId="6563C88A" w14:textId="77777777" w:rsidTr="00F1619B">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accent5"/>
          </w:tcPr>
          <w:p w14:paraId="394AB87D" w14:textId="3F49DF0E" w:rsidR="00E6232E" w:rsidRPr="00F1619B" w:rsidRDefault="00E6232E" w:rsidP="00BB29E3">
            <w:pPr>
              <w:pStyle w:val="TableTextLeft"/>
              <w:rPr>
                <w:color w:val="008675"/>
                <w:szCs w:val="20"/>
                <w:lang w:eastAsia="en-US"/>
              </w:rPr>
            </w:pPr>
            <w:r w:rsidRPr="00F1619B">
              <w:rPr>
                <w:color w:val="008675"/>
                <w:szCs w:val="20"/>
                <w:lang w:eastAsia="en-US"/>
              </w:rPr>
              <w:t xml:space="preserve">Australian Government Agencies Privacy Code </w:t>
            </w:r>
          </w:p>
        </w:tc>
        <w:tc>
          <w:tcPr>
            <w:tcW w:w="0" w:type="dxa"/>
            <w:shd w:val="clear" w:color="auto" w:fill="FFFFFF" w:themeFill="accent5"/>
          </w:tcPr>
          <w:p w14:paraId="02945DE5" w14:textId="529EAFB6" w:rsidR="00E6232E" w:rsidRPr="00FF1A57" w:rsidRDefault="0080264F"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R</w:t>
            </w:r>
            <w:r w:rsidR="00E6232E" w:rsidRPr="00FF1A57">
              <w:rPr>
                <w:szCs w:val="20"/>
                <w:lang w:eastAsia="en-US"/>
              </w:rPr>
              <w:t>egistered on 27 October 2017 and commenced on 1 July 2018. The Code applies to all Australian Government agencies subject to the Privacy Act</w:t>
            </w:r>
            <w:r w:rsidR="00DE7DE0">
              <w:rPr>
                <w:szCs w:val="20"/>
                <w:lang w:eastAsia="en-US"/>
              </w:rPr>
              <w:t xml:space="preserve"> </w:t>
            </w:r>
            <w:r w:rsidR="00E6232E" w:rsidRPr="00FF1A57">
              <w:rPr>
                <w:szCs w:val="20"/>
                <w:lang w:eastAsia="en-US"/>
              </w:rPr>
              <w:t xml:space="preserve">(except for Ministers. It is a binding legislative instrument under the Act. </w:t>
            </w:r>
          </w:p>
          <w:p w14:paraId="10E2BC70"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The Code sets out specific requirements and key practical steps that agencies must take as part of complying with Australian Privacy Principle 1.2 (APP 1.2). It requires agencies to move towards a best practice approach to privacy governance to help build a consistent, high standard of personal information management across all Australian Government agencies.</w:t>
            </w:r>
          </w:p>
        </w:tc>
      </w:tr>
      <w:tr w:rsidR="00E6232E" w:rsidRPr="000B7589" w14:paraId="550FB165"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2C3C0215" w14:textId="77777777" w:rsidR="00E6232E" w:rsidRPr="00F1619B" w:rsidRDefault="00E6232E" w:rsidP="00BB29E3">
            <w:pPr>
              <w:pStyle w:val="TableTextLeft"/>
              <w:rPr>
                <w:color w:val="008675"/>
                <w:szCs w:val="20"/>
                <w:lang w:eastAsia="en-US"/>
              </w:rPr>
            </w:pPr>
            <w:r w:rsidRPr="00F1619B">
              <w:rPr>
                <w:color w:val="008675"/>
                <w:szCs w:val="20"/>
                <w:lang w:eastAsia="en-US"/>
              </w:rPr>
              <w:t>Australian Privacy Principles (APPs)</w:t>
            </w:r>
          </w:p>
        </w:tc>
        <w:tc>
          <w:tcPr>
            <w:tcW w:w="0" w:type="dxa"/>
            <w:shd w:val="clear" w:color="auto" w:fill="D2EEED"/>
          </w:tcPr>
          <w:p w14:paraId="1528B0B4" w14:textId="06E8D1EA" w:rsidR="00E6232E" w:rsidRPr="00FF1A57" w:rsidRDefault="00FE4D93"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T</w:t>
            </w:r>
            <w:r w:rsidR="00E6232E" w:rsidRPr="00FF1A57">
              <w:rPr>
                <w:szCs w:val="20"/>
                <w:lang w:eastAsia="en-US"/>
              </w:rPr>
              <w:t>he cornerstone of the privacy protection framework in the Privacy Act. They apply to any organisation or agency the Privacy Act covers. There are 13 APPs and they govern standards, rights and obligations around: the collection, use and disclosure of personal information, an organisation or agency's governance and accountability, integrity and correction of personal information, and the rights of individuals to access their personal information.</w:t>
            </w:r>
          </w:p>
        </w:tc>
      </w:tr>
      <w:tr w:rsidR="00E6232E" w:rsidRPr="000B7589" w14:paraId="6CB0937E"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56155EE2" w14:textId="5F67C808" w:rsidR="00E6232E" w:rsidRPr="00F1619B" w:rsidRDefault="00E6232E" w:rsidP="00BB29E3">
            <w:pPr>
              <w:pStyle w:val="TableTextLeft"/>
              <w:rPr>
                <w:color w:val="008675"/>
                <w:szCs w:val="20"/>
                <w:lang w:eastAsia="en-US"/>
              </w:rPr>
            </w:pPr>
            <w:r w:rsidRPr="00F1619B">
              <w:rPr>
                <w:color w:val="008675"/>
                <w:szCs w:val="20"/>
                <w:lang w:eastAsia="en-US"/>
              </w:rPr>
              <w:t xml:space="preserve">Biometric </w:t>
            </w:r>
            <w:r w:rsidR="00DC205B" w:rsidRPr="00F1619B">
              <w:rPr>
                <w:color w:val="008675"/>
                <w:szCs w:val="20"/>
                <w:lang w:eastAsia="en-US"/>
              </w:rPr>
              <w:t>i</w:t>
            </w:r>
            <w:r w:rsidRPr="00F1619B">
              <w:rPr>
                <w:color w:val="008675"/>
                <w:szCs w:val="20"/>
                <w:lang w:eastAsia="en-US"/>
              </w:rPr>
              <w:t>nformation (</w:t>
            </w:r>
            <w:r w:rsidR="009306E8" w:rsidRPr="00F1619B">
              <w:rPr>
                <w:color w:val="008675"/>
                <w:szCs w:val="20"/>
                <w:lang w:eastAsia="en-US"/>
              </w:rPr>
              <w:t>b</w:t>
            </w:r>
            <w:r w:rsidRPr="00F1619B">
              <w:rPr>
                <w:color w:val="008675"/>
                <w:szCs w:val="20"/>
                <w:lang w:eastAsia="en-US"/>
              </w:rPr>
              <w:t>iometrics)</w:t>
            </w:r>
          </w:p>
        </w:tc>
        <w:tc>
          <w:tcPr>
            <w:tcW w:w="0" w:type="dxa"/>
          </w:tcPr>
          <w:p w14:paraId="0CE5F339" w14:textId="2C8977C8"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Information about any measurable biological or behavioural characteristics of a natural person that can be used to identify them or verify their identity, such as face, fingerprints and voice. (Under the Privacy Act, biometric information is considered as sensitive information, which provides additional obligations on organisations.)</w:t>
            </w:r>
          </w:p>
        </w:tc>
      </w:tr>
      <w:tr w:rsidR="00C518F5" w:rsidRPr="000B7589" w14:paraId="40A87ED3"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7A83E59A" w14:textId="26C65B3C" w:rsidR="00C518F5" w:rsidRPr="00F1619B" w:rsidRDefault="00C518F5" w:rsidP="00BB29E3">
            <w:pPr>
              <w:pStyle w:val="TableTextLeft"/>
              <w:rPr>
                <w:color w:val="008675"/>
                <w:szCs w:val="20"/>
                <w:lang w:eastAsia="en-US"/>
              </w:rPr>
            </w:pPr>
            <w:r w:rsidRPr="00F1619B">
              <w:rPr>
                <w:color w:val="008675"/>
                <w:szCs w:val="20"/>
                <w:lang w:eastAsia="en-US"/>
              </w:rPr>
              <w:t xml:space="preserve">Council of </w:t>
            </w:r>
            <w:r w:rsidR="00A53C74" w:rsidRPr="00F1619B">
              <w:rPr>
                <w:color w:val="008675"/>
                <w:szCs w:val="20"/>
                <w:lang w:eastAsia="en-US"/>
              </w:rPr>
              <w:t>Australian Government</w:t>
            </w:r>
            <w:r w:rsidR="009801AB" w:rsidRPr="00F1619B">
              <w:rPr>
                <w:color w:val="008675"/>
                <w:szCs w:val="20"/>
                <w:lang w:eastAsia="en-US"/>
              </w:rPr>
              <w:t>s</w:t>
            </w:r>
            <w:r w:rsidR="00A53C74" w:rsidRPr="00F1619B">
              <w:rPr>
                <w:color w:val="008675"/>
                <w:szCs w:val="20"/>
                <w:lang w:eastAsia="en-US"/>
              </w:rPr>
              <w:t xml:space="preserve"> (COAG)</w:t>
            </w:r>
          </w:p>
        </w:tc>
        <w:tc>
          <w:tcPr>
            <w:tcW w:w="0" w:type="dxa"/>
            <w:shd w:val="clear" w:color="auto" w:fill="D2EEED"/>
          </w:tcPr>
          <w:p w14:paraId="310C51BD" w14:textId="2CC9B71B" w:rsidR="00C518F5" w:rsidRPr="00FF1A57" w:rsidRDefault="00D9623D"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sidRPr="00FF1A57">
              <w:rPr>
                <w:szCs w:val="20"/>
                <w:lang w:eastAsia="en-US"/>
              </w:rPr>
              <w:t>The peak intergovernmental forum in Australia. It initiates, develops and monitors policy reforms of national significance which require co-operative action by Australian governments.</w:t>
            </w:r>
          </w:p>
        </w:tc>
      </w:tr>
      <w:tr w:rsidR="00E6232E" w:rsidRPr="000B7589" w14:paraId="4D5C441E"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4D17350B" w14:textId="77777777" w:rsidR="00E6232E" w:rsidRPr="00F1619B" w:rsidRDefault="00E6232E" w:rsidP="00BB29E3">
            <w:pPr>
              <w:pStyle w:val="TableTextLeft"/>
              <w:rPr>
                <w:color w:val="008675"/>
                <w:szCs w:val="20"/>
                <w:lang w:eastAsia="en-US"/>
              </w:rPr>
            </w:pPr>
            <w:r w:rsidRPr="00F1619B">
              <w:rPr>
                <w:color w:val="008675"/>
                <w:szCs w:val="20"/>
                <w:lang w:eastAsia="en-US"/>
              </w:rPr>
              <w:lastRenderedPageBreak/>
              <w:t>COVID-19</w:t>
            </w:r>
          </w:p>
        </w:tc>
        <w:tc>
          <w:tcPr>
            <w:tcW w:w="0" w:type="dxa"/>
          </w:tcPr>
          <w:p w14:paraId="0E5AD2F9"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Coronavirus disease 2019 (COVID-19) is a contagious disease caused by severe acute respiratory syndrome coronavirus 2 (SARS-CoV-2). The first case was identified in Wuhan, China, in December 2019. It has since spread worldwide, leading to an ongoing pandemic.</w:t>
            </w:r>
          </w:p>
        </w:tc>
      </w:tr>
      <w:tr w:rsidR="00DB790B" w:rsidRPr="000B7589" w14:paraId="25A560DD"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37D3DC13" w14:textId="36BEDD31" w:rsidR="00DB790B" w:rsidRPr="00F1619B" w:rsidRDefault="00DB790B" w:rsidP="00BB29E3">
            <w:pPr>
              <w:pStyle w:val="TableTextLeft"/>
              <w:rPr>
                <w:color w:val="008675"/>
                <w:szCs w:val="20"/>
                <w:lang w:eastAsia="en-US"/>
              </w:rPr>
            </w:pPr>
            <w:r w:rsidRPr="00F1619B">
              <w:rPr>
                <w:color w:val="008675"/>
                <w:szCs w:val="20"/>
                <w:lang w:eastAsia="en-US"/>
              </w:rPr>
              <w:t>Digital Government Exchange (DGX)</w:t>
            </w:r>
          </w:p>
        </w:tc>
        <w:tc>
          <w:tcPr>
            <w:tcW w:w="0" w:type="dxa"/>
            <w:shd w:val="clear" w:color="auto" w:fill="D2EEED"/>
          </w:tcPr>
          <w:p w14:paraId="55AE9560" w14:textId="0E5E7909" w:rsidR="00DB790B" w:rsidRPr="00FF1A57" w:rsidRDefault="00FE4D93"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E</w:t>
            </w:r>
            <w:r w:rsidR="00005452" w:rsidRPr="00FF1A57">
              <w:rPr>
                <w:szCs w:val="20"/>
                <w:lang w:eastAsia="en-US"/>
              </w:rPr>
              <w:t xml:space="preserve">vents held for international public sector leaders with deep interest in the use of Smart Technologies in delivering government services to citizens and businesses. </w:t>
            </w:r>
            <w:r w:rsidR="00326D71" w:rsidRPr="00FF1A57">
              <w:rPr>
                <w:szCs w:val="20"/>
                <w:lang w:eastAsia="en-US"/>
              </w:rPr>
              <w:t>It sees attendees from leading digital governments of Denmark, Estonia, Israel, Korea and New Zealand among others, coming together for discussions on issues facing Smart Cities and opportunities for growth through technology.</w:t>
            </w:r>
          </w:p>
        </w:tc>
      </w:tr>
      <w:tr w:rsidR="00E6232E" w:rsidRPr="000B7589" w14:paraId="2EB5805A"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251CE27C" w14:textId="338A5C9B" w:rsidR="00E6232E" w:rsidRPr="00F1619B" w:rsidRDefault="00262CC2" w:rsidP="006B482F">
            <w:pPr>
              <w:pStyle w:val="TableTextLeft"/>
              <w:rPr>
                <w:color w:val="008675"/>
                <w:szCs w:val="20"/>
                <w:lang w:eastAsia="en-US"/>
              </w:rPr>
            </w:pPr>
            <w:r w:rsidRPr="00F1619B">
              <w:rPr>
                <w:color w:val="008675"/>
                <w:szCs w:val="20"/>
                <w:lang w:eastAsia="en-US"/>
              </w:rPr>
              <w:t>d</w:t>
            </w:r>
            <w:r w:rsidR="00E6232E" w:rsidRPr="00F1619B">
              <w:rPr>
                <w:color w:val="008675"/>
                <w:szCs w:val="20"/>
                <w:lang w:eastAsia="en-US"/>
              </w:rPr>
              <w:t xml:space="preserve">igital </w:t>
            </w:r>
            <w:r w:rsidR="00F630ED" w:rsidRPr="00F1619B">
              <w:rPr>
                <w:color w:val="008675"/>
                <w:szCs w:val="20"/>
                <w:lang w:eastAsia="en-US"/>
              </w:rPr>
              <w:t xml:space="preserve">ID </w:t>
            </w:r>
          </w:p>
        </w:tc>
        <w:tc>
          <w:tcPr>
            <w:tcW w:w="0" w:type="dxa"/>
          </w:tcPr>
          <w:p w14:paraId="6267799B" w14:textId="5E0F77E7" w:rsidR="002B4CAE" w:rsidRPr="00DC2629" w:rsidRDefault="00CF709D" w:rsidP="006B482F">
            <w:pPr>
              <w:pStyle w:val="TableTextLeft"/>
              <w:contextualSpacing/>
              <w:cnfStyle w:val="000000000000" w:firstRow="0" w:lastRow="0" w:firstColumn="0" w:lastColumn="0" w:oddVBand="0" w:evenVBand="0" w:oddHBand="0" w:evenHBand="0" w:firstRowFirstColumn="0" w:firstRowLastColumn="0" w:lastRowFirstColumn="0" w:lastRowLastColumn="0"/>
              <w:rPr>
                <w:szCs w:val="20"/>
                <w:lang w:eastAsia="en-US"/>
              </w:rPr>
            </w:pPr>
            <w:r w:rsidRPr="00DC2629">
              <w:rPr>
                <w:szCs w:val="20"/>
                <w:lang w:eastAsia="en-US"/>
              </w:rPr>
              <w:t>Unless otherwise stated</w:t>
            </w:r>
            <w:r w:rsidR="008A54BE" w:rsidRPr="00DC2629">
              <w:rPr>
                <w:szCs w:val="20"/>
                <w:lang w:eastAsia="en-US"/>
              </w:rPr>
              <w:t>*</w:t>
            </w:r>
            <w:r w:rsidRPr="00DC2629">
              <w:rPr>
                <w:szCs w:val="20"/>
                <w:lang w:eastAsia="en-US"/>
              </w:rPr>
              <w:t xml:space="preserve">, </w:t>
            </w:r>
            <w:r w:rsidR="00FA2EF2">
              <w:rPr>
                <w:szCs w:val="20"/>
                <w:lang w:eastAsia="en-US"/>
              </w:rPr>
              <w:t>‘</w:t>
            </w:r>
            <w:r w:rsidR="002B4CAE" w:rsidRPr="00DC2629">
              <w:rPr>
                <w:szCs w:val="20"/>
                <w:lang w:eastAsia="en-US"/>
              </w:rPr>
              <w:t xml:space="preserve">digital </w:t>
            </w:r>
            <w:r w:rsidR="00F630ED">
              <w:rPr>
                <w:szCs w:val="20"/>
                <w:lang w:eastAsia="en-US"/>
              </w:rPr>
              <w:t>ID</w:t>
            </w:r>
            <w:r w:rsidR="00FA2EF2">
              <w:rPr>
                <w:szCs w:val="20"/>
                <w:lang w:eastAsia="en-US"/>
              </w:rPr>
              <w:t>’</w:t>
            </w:r>
            <w:r w:rsidR="002B4CAE" w:rsidRPr="00DC2629">
              <w:rPr>
                <w:szCs w:val="20"/>
                <w:lang w:eastAsia="en-US"/>
              </w:rPr>
              <w:t xml:space="preserve"> (non-capitalised term) </w:t>
            </w:r>
            <w:r w:rsidR="008A54BE" w:rsidRPr="00DC2629">
              <w:rPr>
                <w:szCs w:val="20"/>
                <w:lang w:eastAsia="en-US"/>
              </w:rPr>
              <w:t xml:space="preserve">as used in this document </w:t>
            </w:r>
            <w:r w:rsidR="002B4CAE" w:rsidRPr="00DC2629">
              <w:rPr>
                <w:szCs w:val="20"/>
                <w:lang w:eastAsia="en-US"/>
              </w:rPr>
              <w:t xml:space="preserve">may refer to: </w:t>
            </w:r>
          </w:p>
          <w:p w14:paraId="475D49B3" w14:textId="1277D1B5" w:rsidR="002B4CAE" w:rsidRPr="00DC2629" w:rsidRDefault="00FA2EF2" w:rsidP="006B482F">
            <w:pPr>
              <w:pStyle w:val="ListBulletLevel1"/>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a</w:t>
            </w:r>
            <w:r w:rsidR="002B4CAE" w:rsidRPr="00DC2629">
              <w:rPr>
                <w:sz w:val="20"/>
                <w:szCs w:val="20"/>
                <w:lang w:eastAsia="en-US"/>
              </w:rPr>
              <w:t xml:space="preserve">n individual’s digital </w:t>
            </w:r>
            <w:r w:rsidR="00F630ED">
              <w:rPr>
                <w:sz w:val="20"/>
                <w:szCs w:val="20"/>
                <w:lang w:eastAsia="en-US"/>
              </w:rPr>
              <w:t>ID</w:t>
            </w:r>
            <w:r w:rsidR="00F630ED" w:rsidRPr="00DC2629">
              <w:rPr>
                <w:sz w:val="20"/>
                <w:szCs w:val="20"/>
                <w:lang w:eastAsia="en-US"/>
              </w:rPr>
              <w:t xml:space="preserve"> </w:t>
            </w:r>
            <w:r w:rsidR="002B4CAE" w:rsidRPr="00DC2629">
              <w:rPr>
                <w:sz w:val="20"/>
                <w:szCs w:val="20"/>
                <w:lang w:eastAsia="en-US"/>
              </w:rPr>
              <w:t xml:space="preserve">– that is, an </w:t>
            </w:r>
            <w:r w:rsidR="00E6232E" w:rsidRPr="00DC2629">
              <w:rPr>
                <w:sz w:val="20"/>
                <w:szCs w:val="20"/>
                <w:lang w:eastAsia="en-US"/>
              </w:rPr>
              <w:t xml:space="preserve">electronic representation of an </w:t>
            </w:r>
            <w:r w:rsidR="002B4CAE" w:rsidRPr="00DC2629">
              <w:rPr>
                <w:sz w:val="20"/>
                <w:szCs w:val="20"/>
                <w:lang w:eastAsia="en-US"/>
              </w:rPr>
              <w:t xml:space="preserve">individual or </w:t>
            </w:r>
            <w:r w:rsidR="00E6232E" w:rsidRPr="00DC2629">
              <w:rPr>
                <w:sz w:val="20"/>
                <w:szCs w:val="20"/>
                <w:lang w:eastAsia="en-US"/>
              </w:rPr>
              <w:t>entity which enables that entity to be sufficiently distinguished when interacting online</w:t>
            </w:r>
            <w:r w:rsidR="00F370B7">
              <w:rPr>
                <w:sz w:val="20"/>
                <w:szCs w:val="20"/>
                <w:lang w:eastAsia="en-US"/>
              </w:rPr>
              <w:t xml:space="preserve"> (refer Section 2.2)</w:t>
            </w:r>
          </w:p>
          <w:p w14:paraId="6B313EA4" w14:textId="19B4B8BD" w:rsidR="008A54BE" w:rsidRPr="00DC2629" w:rsidRDefault="00FA2EF2" w:rsidP="006B482F">
            <w:pPr>
              <w:pStyle w:val="ListBulletLevel1"/>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t</w:t>
            </w:r>
            <w:r w:rsidR="002B4CAE" w:rsidRPr="00DC2629">
              <w:rPr>
                <w:sz w:val="20"/>
                <w:szCs w:val="20"/>
                <w:lang w:eastAsia="en-US"/>
              </w:rPr>
              <w:t xml:space="preserve">he generic concept of digital </w:t>
            </w:r>
            <w:r w:rsidR="00F630ED">
              <w:rPr>
                <w:sz w:val="20"/>
                <w:szCs w:val="20"/>
                <w:lang w:eastAsia="en-US"/>
              </w:rPr>
              <w:t>ID</w:t>
            </w:r>
            <w:r w:rsidR="008A54BE" w:rsidRPr="00DC2629">
              <w:rPr>
                <w:sz w:val="20"/>
                <w:szCs w:val="20"/>
                <w:lang w:eastAsia="en-US"/>
              </w:rPr>
              <w:t>;</w:t>
            </w:r>
            <w:r w:rsidR="00DC2629" w:rsidRPr="00DC2629">
              <w:rPr>
                <w:sz w:val="20"/>
                <w:szCs w:val="20"/>
                <w:lang w:eastAsia="en-US"/>
              </w:rPr>
              <w:t xml:space="preserve"> and</w:t>
            </w:r>
            <w:r w:rsidR="001103A7">
              <w:rPr>
                <w:sz w:val="20"/>
                <w:szCs w:val="20"/>
                <w:lang w:eastAsia="en-US"/>
              </w:rPr>
              <w:t>/or</w:t>
            </w:r>
          </w:p>
          <w:p w14:paraId="18D9C653" w14:textId="762EAD21" w:rsidR="0035609B" w:rsidRDefault="00FA2EF2" w:rsidP="006B482F">
            <w:pPr>
              <w:pStyle w:val="ListBulletLevel1"/>
              <w:spacing w:before="60" w:after="60" w:line="288"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proofErr w:type="gramStart"/>
            <w:r>
              <w:rPr>
                <w:sz w:val="20"/>
                <w:szCs w:val="20"/>
                <w:lang w:eastAsia="en-US"/>
              </w:rPr>
              <w:t>g</w:t>
            </w:r>
            <w:r w:rsidR="008A54BE" w:rsidRPr="00DC2629">
              <w:rPr>
                <w:sz w:val="20"/>
                <w:szCs w:val="20"/>
                <w:lang w:eastAsia="en-US"/>
              </w:rPr>
              <w:t>eneral/existing</w:t>
            </w:r>
            <w:proofErr w:type="gramEnd"/>
            <w:r w:rsidR="008A54BE" w:rsidRPr="00DC2629">
              <w:rPr>
                <w:sz w:val="20"/>
                <w:szCs w:val="20"/>
                <w:lang w:eastAsia="en-US"/>
              </w:rPr>
              <w:t xml:space="preserve"> digital </w:t>
            </w:r>
            <w:r w:rsidR="00F630ED">
              <w:rPr>
                <w:sz w:val="20"/>
                <w:szCs w:val="20"/>
                <w:lang w:eastAsia="en-US"/>
              </w:rPr>
              <w:t>ID</w:t>
            </w:r>
            <w:r w:rsidR="00F630ED" w:rsidRPr="00DC2629">
              <w:rPr>
                <w:sz w:val="20"/>
                <w:szCs w:val="20"/>
                <w:lang w:eastAsia="en-US"/>
              </w:rPr>
              <w:t xml:space="preserve"> </w:t>
            </w:r>
            <w:r w:rsidR="00543259">
              <w:rPr>
                <w:sz w:val="20"/>
                <w:szCs w:val="20"/>
                <w:lang w:eastAsia="en-US"/>
              </w:rPr>
              <w:t xml:space="preserve">systems, </w:t>
            </w:r>
            <w:r w:rsidR="008A54BE" w:rsidRPr="00DC2629">
              <w:rPr>
                <w:sz w:val="20"/>
                <w:szCs w:val="20"/>
                <w:lang w:eastAsia="en-US"/>
              </w:rPr>
              <w:t>activities and services</w:t>
            </w:r>
            <w:r w:rsidR="00543259">
              <w:rPr>
                <w:sz w:val="20"/>
                <w:szCs w:val="20"/>
                <w:lang w:eastAsia="en-US"/>
              </w:rPr>
              <w:t xml:space="preserve"> (not specific to the Australian Government Digital I</w:t>
            </w:r>
            <w:r w:rsidR="00EB2443">
              <w:rPr>
                <w:sz w:val="20"/>
                <w:szCs w:val="20"/>
                <w:lang w:eastAsia="en-US"/>
              </w:rPr>
              <w:t>D</w:t>
            </w:r>
            <w:r w:rsidR="00543259">
              <w:rPr>
                <w:sz w:val="20"/>
                <w:szCs w:val="20"/>
                <w:lang w:eastAsia="en-US"/>
              </w:rPr>
              <w:t xml:space="preserve"> System)</w:t>
            </w:r>
            <w:r w:rsidR="008A54BE" w:rsidRPr="00DC2629">
              <w:rPr>
                <w:sz w:val="20"/>
                <w:szCs w:val="20"/>
                <w:lang w:eastAsia="en-US"/>
              </w:rPr>
              <w:t>.</w:t>
            </w:r>
          </w:p>
          <w:p w14:paraId="60296285" w14:textId="6C48DAF7" w:rsidR="0035609B" w:rsidRPr="0035609B" w:rsidRDefault="0035609B" w:rsidP="006B482F">
            <w:pPr>
              <w:pStyle w:val="ListBulletLevel1"/>
              <w:numPr>
                <w:ilvl w:val="0"/>
                <w:numId w:val="0"/>
              </w:numPr>
              <w:spacing w:before="60" w:after="60" w:line="288" w:lineRule="auto"/>
              <w:ind w:left="142"/>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w:t>
            </w:r>
            <w:r w:rsidR="0014493A">
              <w:rPr>
                <w:sz w:val="20"/>
                <w:szCs w:val="20"/>
                <w:lang w:eastAsia="en-US"/>
              </w:rPr>
              <w:t>Not to be confused with other usages in this document – i.e. “Digital I</w:t>
            </w:r>
            <w:r w:rsidR="00EB2443">
              <w:rPr>
                <w:sz w:val="20"/>
                <w:szCs w:val="20"/>
                <w:lang w:eastAsia="en-US"/>
              </w:rPr>
              <w:t>D</w:t>
            </w:r>
            <w:r w:rsidR="0014493A">
              <w:rPr>
                <w:sz w:val="20"/>
                <w:szCs w:val="20"/>
                <w:lang w:eastAsia="en-US"/>
              </w:rPr>
              <w:t xml:space="preserve"> System”</w:t>
            </w:r>
            <w:r w:rsidR="009D112B">
              <w:rPr>
                <w:sz w:val="20"/>
                <w:szCs w:val="20"/>
                <w:lang w:eastAsia="en-US"/>
              </w:rPr>
              <w:t xml:space="preserve"> (see below)</w:t>
            </w:r>
            <w:r w:rsidR="0014493A">
              <w:rPr>
                <w:sz w:val="20"/>
                <w:szCs w:val="20"/>
                <w:lang w:eastAsia="en-US"/>
              </w:rPr>
              <w:t xml:space="preserve">, or </w:t>
            </w:r>
            <w:r w:rsidR="009D112B">
              <w:rPr>
                <w:sz w:val="20"/>
                <w:szCs w:val="20"/>
                <w:lang w:eastAsia="en-US"/>
              </w:rPr>
              <w:t xml:space="preserve">the proposed legislative definition of </w:t>
            </w:r>
            <w:r w:rsidR="0014493A">
              <w:rPr>
                <w:sz w:val="20"/>
                <w:szCs w:val="20"/>
                <w:lang w:eastAsia="en-US"/>
              </w:rPr>
              <w:t xml:space="preserve">“digital </w:t>
            </w:r>
            <w:r w:rsidR="00F630ED">
              <w:rPr>
                <w:sz w:val="20"/>
                <w:szCs w:val="20"/>
                <w:lang w:eastAsia="en-US"/>
              </w:rPr>
              <w:t>ID</w:t>
            </w:r>
            <w:r w:rsidR="0014493A">
              <w:rPr>
                <w:sz w:val="20"/>
                <w:szCs w:val="20"/>
                <w:lang w:eastAsia="en-US"/>
              </w:rPr>
              <w:t xml:space="preserve">” (described in Section </w:t>
            </w:r>
            <w:r w:rsidR="00313210">
              <w:rPr>
                <w:sz w:val="20"/>
                <w:szCs w:val="20"/>
                <w:lang w:eastAsia="en-US"/>
              </w:rPr>
              <w:t>5.3</w:t>
            </w:r>
            <w:r w:rsidR="0014493A">
              <w:rPr>
                <w:sz w:val="20"/>
                <w:szCs w:val="20"/>
                <w:lang w:eastAsia="en-US"/>
              </w:rPr>
              <w:t>).</w:t>
            </w:r>
          </w:p>
        </w:tc>
      </w:tr>
      <w:tr w:rsidR="00E6232E" w:rsidRPr="000B7589" w14:paraId="6C81A818"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0409D617" w14:textId="42051D0F" w:rsidR="00E6232E" w:rsidRPr="00F1619B" w:rsidRDefault="00E6232E" w:rsidP="00BB29E3">
            <w:pPr>
              <w:pStyle w:val="TableTextLeft"/>
              <w:rPr>
                <w:color w:val="008675"/>
                <w:szCs w:val="20"/>
                <w:lang w:eastAsia="en-US"/>
              </w:rPr>
            </w:pPr>
            <w:r w:rsidRPr="00F1619B">
              <w:rPr>
                <w:color w:val="008675"/>
                <w:szCs w:val="20"/>
                <w:lang w:eastAsia="en-US"/>
              </w:rPr>
              <w:t>Digital I</w:t>
            </w:r>
            <w:r w:rsidR="00EB2443" w:rsidRPr="00F1619B">
              <w:rPr>
                <w:color w:val="008675"/>
                <w:szCs w:val="20"/>
                <w:lang w:eastAsia="en-US"/>
              </w:rPr>
              <w:t>D</w:t>
            </w:r>
            <w:r w:rsidRPr="00F1619B">
              <w:rPr>
                <w:color w:val="008675"/>
                <w:szCs w:val="20"/>
                <w:lang w:eastAsia="en-US"/>
              </w:rPr>
              <w:t xml:space="preserve"> Program (Program)</w:t>
            </w:r>
          </w:p>
        </w:tc>
        <w:tc>
          <w:tcPr>
            <w:tcW w:w="0" w:type="dxa"/>
            <w:shd w:val="clear" w:color="auto" w:fill="D2EEED"/>
          </w:tcPr>
          <w:p w14:paraId="0866D839" w14:textId="6F5AA439" w:rsidR="00E6232E" w:rsidRPr="00FF1A57" w:rsidRDefault="00933261"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D</w:t>
            </w:r>
            <w:r w:rsidR="000526A9">
              <w:rPr>
                <w:szCs w:val="20"/>
                <w:lang w:eastAsia="en-US"/>
              </w:rPr>
              <w:t xml:space="preserve">elivered by </w:t>
            </w:r>
            <w:r w:rsidR="00A348C9">
              <w:rPr>
                <w:szCs w:val="20"/>
                <w:lang w:eastAsia="en-US"/>
              </w:rPr>
              <w:t>Finance</w:t>
            </w:r>
            <w:r w:rsidR="00E6232E" w:rsidRPr="00FF1A57">
              <w:rPr>
                <w:szCs w:val="20"/>
                <w:lang w:eastAsia="en-US"/>
              </w:rPr>
              <w:t xml:space="preserve">, in partnership with other government entities, </w:t>
            </w:r>
            <w:r w:rsidR="00CA38C2">
              <w:rPr>
                <w:szCs w:val="20"/>
                <w:lang w:eastAsia="en-US"/>
              </w:rPr>
              <w:t>it</w:t>
            </w:r>
            <w:r w:rsidR="000526A9">
              <w:rPr>
                <w:szCs w:val="20"/>
                <w:lang w:eastAsia="en-US"/>
              </w:rPr>
              <w:t xml:space="preserve"> will</w:t>
            </w:r>
            <w:r w:rsidR="00E6232E" w:rsidRPr="00FF1A57">
              <w:rPr>
                <w:szCs w:val="20"/>
                <w:lang w:eastAsia="en-US"/>
              </w:rPr>
              <w:t xml:space="preserve">, over time, allow individuals </w:t>
            </w:r>
            <w:r w:rsidR="000526A9">
              <w:rPr>
                <w:szCs w:val="20"/>
                <w:lang w:eastAsia="en-US"/>
              </w:rPr>
              <w:t xml:space="preserve">and </w:t>
            </w:r>
            <w:r w:rsidR="00E6232E" w:rsidRPr="00FF1A57">
              <w:rPr>
                <w:szCs w:val="20"/>
                <w:lang w:eastAsia="en-US"/>
              </w:rPr>
              <w:t xml:space="preserve">government services to </w:t>
            </w:r>
            <w:r w:rsidR="007C6F08">
              <w:rPr>
                <w:szCs w:val="20"/>
                <w:lang w:eastAsia="en-US"/>
              </w:rPr>
              <w:t>do</w:t>
            </w:r>
            <w:r w:rsidR="00E6232E" w:rsidRPr="00FF1A57">
              <w:rPr>
                <w:szCs w:val="20"/>
                <w:lang w:eastAsia="en-US"/>
              </w:rPr>
              <w:t xml:space="preserve"> more online at any time and place they choose. The Program will give Australian citizens and permanent residents a single and secure way to create a Digital I</w:t>
            </w:r>
            <w:r w:rsidR="00EB2443">
              <w:rPr>
                <w:szCs w:val="20"/>
                <w:lang w:eastAsia="en-US"/>
              </w:rPr>
              <w:t>D</w:t>
            </w:r>
            <w:r w:rsidR="00E6232E" w:rsidRPr="00FF1A57">
              <w:rPr>
                <w:szCs w:val="20"/>
                <w:lang w:eastAsia="en-US"/>
              </w:rPr>
              <w:t xml:space="preserve"> that can be used to access online government services. </w:t>
            </w:r>
          </w:p>
        </w:tc>
      </w:tr>
      <w:tr w:rsidR="00E6232E" w:rsidRPr="000B7589" w14:paraId="3BC25C24"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451A930F" w14:textId="69BFE4B2" w:rsidR="00E6232E" w:rsidRPr="00F1619B" w:rsidRDefault="00E6232E" w:rsidP="00BB29E3">
            <w:pPr>
              <w:pStyle w:val="TableTextLeft"/>
              <w:rPr>
                <w:color w:val="008675"/>
                <w:szCs w:val="20"/>
                <w:lang w:eastAsia="en-US"/>
              </w:rPr>
            </w:pPr>
            <w:r w:rsidRPr="00F1619B">
              <w:rPr>
                <w:color w:val="008675"/>
                <w:szCs w:val="20"/>
                <w:lang w:eastAsia="en-US"/>
              </w:rPr>
              <w:t>Digital I</w:t>
            </w:r>
            <w:r w:rsidR="00EB2443" w:rsidRPr="00F1619B">
              <w:rPr>
                <w:color w:val="008675"/>
                <w:szCs w:val="20"/>
                <w:lang w:eastAsia="en-US"/>
              </w:rPr>
              <w:t>D</w:t>
            </w:r>
            <w:r w:rsidRPr="00F1619B">
              <w:rPr>
                <w:color w:val="008675"/>
                <w:szCs w:val="20"/>
                <w:lang w:eastAsia="en-US"/>
              </w:rPr>
              <w:t xml:space="preserve"> System (System)</w:t>
            </w:r>
          </w:p>
        </w:tc>
        <w:tc>
          <w:tcPr>
            <w:tcW w:w="0" w:type="dxa"/>
          </w:tcPr>
          <w:p w14:paraId="2788877C" w14:textId="275D8184" w:rsidR="00E6232E" w:rsidRPr="00FF1A57" w:rsidRDefault="009D112B"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 xml:space="preserve">Generally, </w:t>
            </w:r>
            <w:r w:rsidRPr="00E50023">
              <w:rPr>
                <w:szCs w:val="20"/>
                <w:lang w:eastAsia="en-US"/>
              </w:rPr>
              <w:t>a group of participants that work together to ensure identity</w:t>
            </w:r>
            <w:r>
              <w:rPr>
                <w:szCs w:val="20"/>
                <w:lang w:eastAsia="en-US"/>
              </w:rPr>
              <w:t>-</w:t>
            </w:r>
            <w:r w:rsidRPr="00E50023">
              <w:rPr>
                <w:szCs w:val="20"/>
                <w:lang w:eastAsia="en-US"/>
              </w:rPr>
              <w:t>related information can be relied on by services/relying parties to make risk-based decisions.</w:t>
            </w:r>
            <w:r>
              <w:rPr>
                <w:szCs w:val="20"/>
                <w:lang w:eastAsia="en-US"/>
              </w:rPr>
              <w:t xml:space="preserve"> When capitalised i</w:t>
            </w:r>
            <w:r w:rsidR="00E50023" w:rsidRPr="00E50023">
              <w:rPr>
                <w:szCs w:val="20"/>
                <w:lang w:eastAsia="en-US"/>
              </w:rPr>
              <w:t>n this document, refers</w:t>
            </w:r>
            <w:r w:rsidR="00AB29CD">
              <w:rPr>
                <w:szCs w:val="20"/>
                <w:lang w:eastAsia="en-US"/>
              </w:rPr>
              <w:t xml:space="preserve"> specifically</w:t>
            </w:r>
            <w:r w:rsidR="00E50023" w:rsidRPr="00E50023">
              <w:rPr>
                <w:szCs w:val="20"/>
                <w:lang w:eastAsia="en-US"/>
              </w:rPr>
              <w:t xml:space="preserve"> to the Australia</w:t>
            </w:r>
            <w:r w:rsidR="0095339B">
              <w:rPr>
                <w:szCs w:val="20"/>
                <w:lang w:eastAsia="en-US"/>
              </w:rPr>
              <w:t>n Government</w:t>
            </w:r>
            <w:r w:rsidR="00E50023" w:rsidRPr="00E50023">
              <w:rPr>
                <w:szCs w:val="20"/>
                <w:lang w:eastAsia="en-US"/>
              </w:rPr>
              <w:t xml:space="preserve"> Digital I</w:t>
            </w:r>
            <w:r w:rsidR="00EB2443">
              <w:rPr>
                <w:szCs w:val="20"/>
                <w:lang w:eastAsia="en-US"/>
              </w:rPr>
              <w:t>D</w:t>
            </w:r>
            <w:r w:rsidR="00E50023" w:rsidRPr="00E50023">
              <w:rPr>
                <w:szCs w:val="20"/>
                <w:lang w:eastAsia="en-US"/>
              </w:rPr>
              <w:t xml:space="preserve"> System, as delivered by the Program and proposed to be regulated through the </w:t>
            </w:r>
            <w:r w:rsidR="00C21232">
              <w:rPr>
                <w:szCs w:val="20"/>
                <w:lang w:eastAsia="en-US"/>
              </w:rPr>
              <w:t>e</w:t>
            </w:r>
            <w:r w:rsidR="00E50023" w:rsidRPr="00E50023">
              <w:rPr>
                <w:szCs w:val="20"/>
                <w:lang w:eastAsia="en-US"/>
              </w:rPr>
              <w:t xml:space="preserve">xposure </w:t>
            </w:r>
            <w:r w:rsidR="00C21232">
              <w:rPr>
                <w:szCs w:val="20"/>
                <w:lang w:eastAsia="en-US"/>
              </w:rPr>
              <w:t>d</w:t>
            </w:r>
            <w:r w:rsidR="00E50023" w:rsidRPr="00E50023">
              <w:rPr>
                <w:szCs w:val="20"/>
                <w:lang w:eastAsia="en-US"/>
              </w:rPr>
              <w:t>raft Bill</w:t>
            </w:r>
            <w:r w:rsidR="0058045F">
              <w:rPr>
                <w:szCs w:val="20"/>
                <w:lang w:eastAsia="en-US"/>
              </w:rPr>
              <w:t xml:space="preserve"> and rules</w:t>
            </w:r>
            <w:r>
              <w:rPr>
                <w:szCs w:val="20"/>
                <w:lang w:eastAsia="en-US"/>
              </w:rPr>
              <w:t xml:space="preserve">, as distinct from other digital </w:t>
            </w:r>
            <w:r w:rsidR="00F630ED">
              <w:rPr>
                <w:szCs w:val="20"/>
                <w:lang w:eastAsia="en-US"/>
              </w:rPr>
              <w:t xml:space="preserve">ID </w:t>
            </w:r>
            <w:r>
              <w:rPr>
                <w:szCs w:val="20"/>
                <w:lang w:eastAsia="en-US"/>
              </w:rPr>
              <w:t>systems</w:t>
            </w:r>
            <w:r w:rsidR="00E50023" w:rsidRPr="00E50023">
              <w:rPr>
                <w:szCs w:val="20"/>
                <w:lang w:eastAsia="en-US"/>
              </w:rPr>
              <w:t>.</w:t>
            </w:r>
          </w:p>
        </w:tc>
      </w:tr>
      <w:tr w:rsidR="00E6232E" w:rsidRPr="000B7589" w14:paraId="6CF39488"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2A559E7B" w14:textId="77777777" w:rsidR="00E6232E" w:rsidRPr="00F1619B" w:rsidRDefault="00E6232E" w:rsidP="00BB29E3">
            <w:pPr>
              <w:pStyle w:val="TableTextLeft"/>
              <w:rPr>
                <w:color w:val="008675"/>
                <w:szCs w:val="20"/>
                <w:lang w:eastAsia="en-US"/>
              </w:rPr>
            </w:pPr>
            <w:r w:rsidRPr="00F1619B">
              <w:rPr>
                <w:color w:val="008675"/>
                <w:szCs w:val="20"/>
                <w:lang w:eastAsia="en-US"/>
              </w:rPr>
              <w:t>Digital Transformation Agency (DTA)</w:t>
            </w:r>
          </w:p>
        </w:tc>
        <w:tc>
          <w:tcPr>
            <w:tcW w:w="0" w:type="dxa"/>
            <w:shd w:val="clear" w:color="auto" w:fill="D2EEED"/>
          </w:tcPr>
          <w:p w14:paraId="31ADA083" w14:textId="511BBBE1" w:rsidR="00E6232E" w:rsidRPr="00FF1A57" w:rsidRDefault="001E7B76"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A</w:t>
            </w:r>
            <w:r w:rsidR="00E6232E" w:rsidRPr="00FF1A57">
              <w:rPr>
                <w:szCs w:val="20"/>
                <w:lang w:eastAsia="en-US"/>
              </w:rPr>
              <w:t>n agency of the Australian Government tasked with improving the accessibility and availability of government services online by helping government ‘transform services to be simple, clear and fast’.</w:t>
            </w:r>
          </w:p>
        </w:tc>
      </w:tr>
      <w:tr w:rsidR="00E6232E" w:rsidRPr="000B7589" w14:paraId="5CA021D6"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57962888" w14:textId="77777777" w:rsidR="00E6232E" w:rsidRPr="00F1619B" w:rsidRDefault="00E6232E" w:rsidP="00BB29E3">
            <w:pPr>
              <w:pStyle w:val="TableTextLeft"/>
              <w:rPr>
                <w:color w:val="008675"/>
                <w:szCs w:val="20"/>
                <w:lang w:eastAsia="en-US"/>
              </w:rPr>
            </w:pPr>
            <w:r w:rsidRPr="00F1619B">
              <w:rPr>
                <w:color w:val="008675"/>
                <w:szCs w:val="20"/>
                <w:lang w:eastAsia="en-US"/>
              </w:rPr>
              <w:t xml:space="preserve">Digital Transformation Strategy (DTS) </w:t>
            </w:r>
          </w:p>
        </w:tc>
        <w:tc>
          <w:tcPr>
            <w:tcW w:w="0" w:type="dxa"/>
          </w:tcPr>
          <w:p w14:paraId="369DBE73" w14:textId="558B0A21" w:rsidR="00E6232E" w:rsidRPr="00FF1A57" w:rsidRDefault="001E7B76"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S</w:t>
            </w:r>
            <w:r w:rsidR="00E6232E" w:rsidRPr="00FF1A57">
              <w:rPr>
                <w:szCs w:val="20"/>
                <w:lang w:eastAsia="en-US"/>
              </w:rPr>
              <w:t>ets the</w:t>
            </w:r>
            <w:r w:rsidR="00F31D0D">
              <w:rPr>
                <w:szCs w:val="20"/>
                <w:lang w:eastAsia="en-US"/>
              </w:rPr>
              <w:t xml:space="preserve"> </w:t>
            </w:r>
            <w:r w:rsidR="00E6232E" w:rsidRPr="00FF1A57">
              <w:rPr>
                <w:szCs w:val="20"/>
                <w:lang w:eastAsia="en-US"/>
              </w:rPr>
              <w:t>direction for the DTA’s work from 2018</w:t>
            </w:r>
            <w:r w:rsidR="005F282A">
              <w:rPr>
                <w:szCs w:val="20"/>
                <w:lang w:eastAsia="en-US"/>
              </w:rPr>
              <w:t>–25</w:t>
            </w:r>
            <w:r w:rsidR="00E6232E" w:rsidRPr="00FF1A57">
              <w:rPr>
                <w:szCs w:val="20"/>
                <w:lang w:eastAsia="en-US"/>
              </w:rPr>
              <w:t>. The accompanying</w:t>
            </w:r>
            <w:r w:rsidR="005F282A">
              <w:rPr>
                <w:szCs w:val="20"/>
                <w:lang w:eastAsia="en-US"/>
              </w:rPr>
              <w:t xml:space="preserve"> r</w:t>
            </w:r>
            <w:r w:rsidR="00E6232E" w:rsidRPr="00FF1A57">
              <w:rPr>
                <w:szCs w:val="20"/>
                <w:lang w:eastAsia="en-US"/>
              </w:rPr>
              <w:t>oadmap describes a rolling two-year window of work that has been planned.</w:t>
            </w:r>
          </w:p>
        </w:tc>
      </w:tr>
      <w:tr w:rsidR="00E6232E" w:rsidRPr="000B7589" w14:paraId="77D93683"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063EE357" w14:textId="77777777" w:rsidR="00E6232E" w:rsidRPr="00F1619B" w:rsidRDefault="00E6232E" w:rsidP="00BB29E3">
            <w:pPr>
              <w:pStyle w:val="TableTextLeft"/>
              <w:rPr>
                <w:color w:val="008675"/>
                <w:szCs w:val="20"/>
                <w:lang w:eastAsia="en-US"/>
              </w:rPr>
            </w:pPr>
            <w:r w:rsidRPr="00F1619B">
              <w:rPr>
                <w:color w:val="008675"/>
                <w:szCs w:val="20"/>
                <w:lang w:eastAsia="en-US"/>
              </w:rPr>
              <w:t xml:space="preserve">Essential Eight </w:t>
            </w:r>
          </w:p>
        </w:tc>
        <w:tc>
          <w:tcPr>
            <w:tcW w:w="0" w:type="dxa"/>
            <w:shd w:val="clear" w:color="auto" w:fill="D2EEED"/>
          </w:tcPr>
          <w:p w14:paraId="35A436DB" w14:textId="01F2F9E3" w:rsidR="00E6232E" w:rsidRPr="00FF1A57" w:rsidRDefault="00E6232E"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sidRPr="00FF1A57">
              <w:rPr>
                <w:szCs w:val="20"/>
                <w:lang w:eastAsia="en-US"/>
              </w:rPr>
              <w:t xml:space="preserve">The Australian Signals Directorate (ASD) has developed prioritised mitigation strategies to help technical cyber security professionals mitigate cyber security incidents caused by various threats. The Essential Eight is a series of baseline mitigation strategies taken from the Strategies to Mitigate Cyber Security Incidents recommended for organisations. Implementing these strategies as a minimum makes it much harder for adversaries to compromise </w:t>
            </w:r>
            <w:r w:rsidR="00DF50AB">
              <w:rPr>
                <w:szCs w:val="20"/>
                <w:lang w:eastAsia="en-US"/>
              </w:rPr>
              <w:t xml:space="preserve">Digital ID </w:t>
            </w:r>
            <w:r w:rsidRPr="00FF1A57">
              <w:rPr>
                <w:szCs w:val="20"/>
                <w:lang w:eastAsia="en-US"/>
              </w:rPr>
              <w:t>Systems.</w:t>
            </w:r>
          </w:p>
        </w:tc>
      </w:tr>
      <w:tr w:rsidR="00E6232E" w:rsidRPr="000B7589" w14:paraId="2B3A17C4"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630D4051" w14:textId="76203AB9" w:rsidR="00E6232E" w:rsidRPr="00F1619B" w:rsidRDefault="00E6232E" w:rsidP="00BB29E3">
            <w:pPr>
              <w:pStyle w:val="TableTextLeft"/>
              <w:rPr>
                <w:color w:val="008675"/>
                <w:szCs w:val="20"/>
                <w:lang w:eastAsia="en-US"/>
              </w:rPr>
            </w:pPr>
            <w:r w:rsidRPr="00F1619B">
              <w:rPr>
                <w:color w:val="008675"/>
                <w:szCs w:val="20"/>
                <w:lang w:eastAsia="en-US"/>
              </w:rPr>
              <w:lastRenderedPageBreak/>
              <w:t xml:space="preserve">Financial System Inquiry Report (Murray </w:t>
            </w:r>
            <w:r w:rsidR="00CB7FB3" w:rsidRPr="00F1619B">
              <w:rPr>
                <w:color w:val="008675"/>
                <w:szCs w:val="20"/>
                <w:lang w:eastAsia="en-US"/>
              </w:rPr>
              <w:t>inquiry</w:t>
            </w:r>
            <w:r w:rsidRPr="00F1619B">
              <w:rPr>
                <w:color w:val="008675"/>
                <w:szCs w:val="20"/>
                <w:lang w:eastAsia="en-US"/>
              </w:rPr>
              <w:t>)</w:t>
            </w:r>
          </w:p>
        </w:tc>
        <w:tc>
          <w:tcPr>
            <w:tcW w:w="0" w:type="dxa"/>
          </w:tcPr>
          <w:p w14:paraId="0E693FAA" w14:textId="360DE5C4" w:rsidR="00E6232E" w:rsidRPr="00FF1A57" w:rsidRDefault="00382D74"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R</w:t>
            </w:r>
            <w:r w:rsidR="00E6232E" w:rsidRPr="00FF1A57">
              <w:rPr>
                <w:szCs w:val="20"/>
                <w:lang w:eastAsia="en-US"/>
              </w:rPr>
              <w:t>eleased on 7</w:t>
            </w:r>
            <w:r w:rsidR="00394274">
              <w:rPr>
                <w:szCs w:val="20"/>
                <w:lang w:eastAsia="en-US"/>
              </w:rPr>
              <w:t> </w:t>
            </w:r>
            <w:r w:rsidR="00E6232E" w:rsidRPr="00FF1A57">
              <w:rPr>
                <w:szCs w:val="20"/>
                <w:lang w:eastAsia="en-US"/>
              </w:rPr>
              <w:t>December 2014</w:t>
            </w:r>
            <w:r>
              <w:rPr>
                <w:szCs w:val="20"/>
                <w:lang w:eastAsia="en-US"/>
              </w:rPr>
              <w:t>, t</w:t>
            </w:r>
            <w:r w:rsidR="00E6232E" w:rsidRPr="00FF1A57">
              <w:rPr>
                <w:szCs w:val="20"/>
                <w:lang w:eastAsia="en-US"/>
              </w:rPr>
              <w:t xml:space="preserve">his report responded to the objective in the Inquiry's Terms of Reference to best position Australia's financial </w:t>
            </w:r>
            <w:r w:rsidR="00974C93">
              <w:rPr>
                <w:szCs w:val="20"/>
                <w:lang w:eastAsia="en-US"/>
              </w:rPr>
              <w:t>s</w:t>
            </w:r>
            <w:r w:rsidR="00E6232E" w:rsidRPr="00FF1A57">
              <w:rPr>
                <w:szCs w:val="20"/>
                <w:lang w:eastAsia="en-US"/>
              </w:rPr>
              <w:t xml:space="preserve">ystem to meet Australia's evolving needs and support economic growth. It offered a blueprint for an efficient and resilient financial </w:t>
            </w:r>
            <w:r w:rsidR="009705B3">
              <w:rPr>
                <w:szCs w:val="20"/>
                <w:lang w:eastAsia="en-US"/>
              </w:rPr>
              <w:t>s</w:t>
            </w:r>
            <w:r w:rsidR="00E6232E" w:rsidRPr="00FF1A57">
              <w:rPr>
                <w:szCs w:val="20"/>
                <w:lang w:eastAsia="en-US"/>
              </w:rPr>
              <w:t>ystem over the next 10</w:t>
            </w:r>
            <w:r w:rsidR="00094042">
              <w:rPr>
                <w:szCs w:val="20"/>
                <w:lang w:eastAsia="en-US"/>
              </w:rPr>
              <w:t xml:space="preserve">–20 </w:t>
            </w:r>
            <w:r w:rsidR="00E6232E" w:rsidRPr="00FF1A57">
              <w:rPr>
                <w:szCs w:val="20"/>
                <w:lang w:eastAsia="en-US"/>
              </w:rPr>
              <w:t xml:space="preserve">years characterised by the fair treatment of individuals. </w:t>
            </w:r>
          </w:p>
          <w:p w14:paraId="76BC273C" w14:textId="54710725"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 xml:space="preserve">The Inquiry made 44 recommendations relating to the Australian financial </w:t>
            </w:r>
            <w:r w:rsidR="00817645">
              <w:rPr>
                <w:szCs w:val="20"/>
                <w:lang w:eastAsia="en-US"/>
              </w:rPr>
              <w:t>s</w:t>
            </w:r>
            <w:r w:rsidRPr="00FF1A57">
              <w:rPr>
                <w:szCs w:val="20"/>
                <w:lang w:eastAsia="en-US"/>
              </w:rPr>
              <w:t>ystem.</w:t>
            </w:r>
          </w:p>
        </w:tc>
      </w:tr>
      <w:tr w:rsidR="00413BE1" w:rsidRPr="000B7589" w14:paraId="407BBDDE"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517C4936" w14:textId="5398F6BD" w:rsidR="00413BE1" w:rsidRPr="00F1619B" w:rsidRDefault="00F809AD" w:rsidP="00BB29E3">
            <w:pPr>
              <w:pStyle w:val="TableTextLeft"/>
              <w:rPr>
                <w:color w:val="008675"/>
                <w:szCs w:val="20"/>
                <w:lang w:eastAsia="en-US"/>
              </w:rPr>
            </w:pPr>
            <w:r w:rsidRPr="00F1619B">
              <w:rPr>
                <w:color w:val="008675"/>
                <w:szCs w:val="20"/>
                <w:lang w:eastAsia="en-US"/>
              </w:rPr>
              <w:t>Government Business Enterprises (GBE)</w:t>
            </w:r>
          </w:p>
        </w:tc>
        <w:tc>
          <w:tcPr>
            <w:tcW w:w="0" w:type="dxa"/>
            <w:shd w:val="clear" w:color="auto" w:fill="D2EEED"/>
          </w:tcPr>
          <w:p w14:paraId="28117329" w14:textId="1F2143C4" w:rsidR="00413BE1" w:rsidRPr="00FF1A57" w:rsidRDefault="00382D74"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A</w:t>
            </w:r>
            <w:r w:rsidR="002F366A">
              <w:rPr>
                <w:szCs w:val="20"/>
                <w:lang w:eastAsia="en-US"/>
              </w:rPr>
              <w:t>n</w:t>
            </w:r>
            <w:r w:rsidR="0012359F" w:rsidRPr="00FF1A57">
              <w:rPr>
                <w:szCs w:val="20"/>
                <w:lang w:eastAsia="en-US"/>
              </w:rPr>
              <w:t xml:space="preserve"> </w:t>
            </w:r>
            <w:r w:rsidR="002F366A">
              <w:rPr>
                <w:lang w:eastAsia="en-US"/>
              </w:rPr>
              <w:t>Australian Government</w:t>
            </w:r>
            <w:r w:rsidR="002F366A" w:rsidRPr="00FF1A57" w:rsidDel="002F366A">
              <w:rPr>
                <w:szCs w:val="20"/>
                <w:lang w:eastAsia="en-US"/>
              </w:rPr>
              <w:t xml:space="preserve"> </w:t>
            </w:r>
            <w:r w:rsidR="0012359F" w:rsidRPr="00FF1A57">
              <w:rPr>
                <w:szCs w:val="20"/>
                <w:lang w:eastAsia="en-US"/>
              </w:rPr>
              <w:t xml:space="preserve">entity or </w:t>
            </w:r>
            <w:r w:rsidR="002F366A">
              <w:rPr>
                <w:lang w:eastAsia="en-US"/>
              </w:rPr>
              <w:t>Australian Government</w:t>
            </w:r>
            <w:r w:rsidR="002F366A" w:rsidRPr="00FF1A57" w:rsidDel="002F366A">
              <w:rPr>
                <w:szCs w:val="20"/>
                <w:lang w:eastAsia="en-US"/>
              </w:rPr>
              <w:t xml:space="preserve"> </w:t>
            </w:r>
            <w:r w:rsidR="0012359F" w:rsidRPr="00FF1A57">
              <w:rPr>
                <w:szCs w:val="20"/>
                <w:lang w:eastAsia="en-US"/>
              </w:rPr>
              <w:t xml:space="preserve">company that is prescribed by </w:t>
            </w:r>
            <w:r w:rsidR="00802A48" w:rsidRPr="00FF1A57">
              <w:rPr>
                <w:szCs w:val="20"/>
                <w:lang w:eastAsia="en-US"/>
              </w:rPr>
              <w:t>the rule</w:t>
            </w:r>
            <w:r w:rsidR="00B82999" w:rsidRPr="00FF1A57">
              <w:rPr>
                <w:szCs w:val="20"/>
                <w:lang w:eastAsia="en-US"/>
              </w:rPr>
              <w:t>s (section 8</w:t>
            </w:r>
            <w:r w:rsidR="00737BA2" w:rsidRPr="00FF1A57">
              <w:rPr>
                <w:szCs w:val="20"/>
                <w:lang w:eastAsia="en-US"/>
              </w:rPr>
              <w:t xml:space="preserve"> </w:t>
            </w:r>
            <w:r w:rsidR="00B82999" w:rsidRPr="00FF1A57">
              <w:rPr>
                <w:szCs w:val="20"/>
                <w:lang w:eastAsia="en-US"/>
              </w:rPr>
              <w:t xml:space="preserve">of the PGPA Act). Section 5 of the PGPA Rule prescribes nine GBEs: two corporate </w:t>
            </w:r>
            <w:r w:rsidR="002F366A">
              <w:rPr>
                <w:lang w:eastAsia="en-US"/>
              </w:rPr>
              <w:t>Australian Government</w:t>
            </w:r>
            <w:r w:rsidR="002F366A" w:rsidRPr="00FF1A57" w:rsidDel="002F366A">
              <w:rPr>
                <w:szCs w:val="20"/>
                <w:lang w:eastAsia="en-US"/>
              </w:rPr>
              <w:t xml:space="preserve"> </w:t>
            </w:r>
            <w:r w:rsidR="00B82999" w:rsidRPr="00FF1A57">
              <w:rPr>
                <w:szCs w:val="20"/>
                <w:lang w:eastAsia="en-US"/>
              </w:rPr>
              <w:t xml:space="preserve">entities, and seven </w:t>
            </w:r>
            <w:r w:rsidR="002F366A">
              <w:rPr>
                <w:lang w:eastAsia="en-US"/>
              </w:rPr>
              <w:t>Australian Government</w:t>
            </w:r>
            <w:r w:rsidR="002F366A" w:rsidRPr="00FF1A57" w:rsidDel="002F366A">
              <w:rPr>
                <w:szCs w:val="20"/>
                <w:lang w:eastAsia="en-US"/>
              </w:rPr>
              <w:t xml:space="preserve"> </w:t>
            </w:r>
            <w:r w:rsidR="00B82999" w:rsidRPr="00FF1A57">
              <w:rPr>
                <w:szCs w:val="20"/>
                <w:lang w:eastAsia="en-US"/>
              </w:rPr>
              <w:t xml:space="preserve">companies. </w:t>
            </w:r>
          </w:p>
        </w:tc>
      </w:tr>
      <w:tr w:rsidR="00E6232E" w:rsidRPr="000B7589" w14:paraId="610E63DA"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6EAE947D" w14:textId="5F3C2A09" w:rsidR="00E6232E" w:rsidRPr="00F1619B" w:rsidRDefault="00E6232E" w:rsidP="00BB29E3">
            <w:pPr>
              <w:pStyle w:val="TableTextLeft"/>
              <w:rPr>
                <w:color w:val="008675"/>
                <w:szCs w:val="20"/>
                <w:lang w:eastAsia="en-US"/>
              </w:rPr>
            </w:pPr>
            <w:r w:rsidRPr="00F1619B">
              <w:rPr>
                <w:color w:val="008675"/>
                <w:szCs w:val="20"/>
                <w:lang w:eastAsia="en-US"/>
              </w:rPr>
              <w:t xml:space="preserve">Identity </w:t>
            </w:r>
            <w:r w:rsidR="00A24DA5" w:rsidRPr="00F1619B">
              <w:rPr>
                <w:color w:val="008675"/>
                <w:szCs w:val="20"/>
                <w:lang w:eastAsia="en-US"/>
              </w:rPr>
              <w:t>p</w:t>
            </w:r>
            <w:r w:rsidRPr="00F1619B">
              <w:rPr>
                <w:color w:val="008675"/>
                <w:szCs w:val="20"/>
                <w:lang w:eastAsia="en-US"/>
              </w:rPr>
              <w:t xml:space="preserve">roofing (IP) </w:t>
            </w:r>
            <w:r w:rsidR="00A24DA5" w:rsidRPr="00F1619B">
              <w:rPr>
                <w:color w:val="008675"/>
                <w:szCs w:val="20"/>
                <w:lang w:eastAsia="en-US"/>
              </w:rPr>
              <w:t>l</w:t>
            </w:r>
            <w:r w:rsidRPr="00F1619B">
              <w:rPr>
                <w:color w:val="008675"/>
                <w:szCs w:val="20"/>
                <w:lang w:eastAsia="en-US"/>
              </w:rPr>
              <w:t>evels</w:t>
            </w:r>
          </w:p>
        </w:tc>
        <w:tc>
          <w:tcPr>
            <w:tcW w:w="0" w:type="dxa"/>
          </w:tcPr>
          <w:p w14:paraId="3A837AE5"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Different levels of identity strength defined by the TDIF, which can be used for differing purposes and when different levels of identity confidence are needed. These range from Level 1 (when no or a very low level of confidence is needed; supports self-assured identity), up to Level 4 (when a very high level of confidence is needed; requires in-person attendance of person claiming identity as well as three or more identity documents and biometric verification).</w:t>
            </w:r>
          </w:p>
        </w:tc>
      </w:tr>
      <w:tr w:rsidR="00E6232E" w:rsidRPr="000B7589" w14:paraId="2692A8A1"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00199909" w14:textId="77777777" w:rsidR="00E6232E" w:rsidRPr="00F1619B" w:rsidRDefault="00E6232E" w:rsidP="00BB29E3">
            <w:pPr>
              <w:pStyle w:val="TableTextLeft"/>
              <w:rPr>
                <w:color w:val="008675"/>
                <w:szCs w:val="20"/>
                <w:lang w:eastAsia="en-US"/>
              </w:rPr>
            </w:pPr>
            <w:r w:rsidRPr="00F1619B">
              <w:rPr>
                <w:color w:val="008675"/>
                <w:szCs w:val="20"/>
                <w:lang w:eastAsia="en-US"/>
              </w:rPr>
              <w:t>Information Security Manual (ISM)</w:t>
            </w:r>
          </w:p>
        </w:tc>
        <w:tc>
          <w:tcPr>
            <w:tcW w:w="0" w:type="dxa"/>
            <w:shd w:val="clear" w:color="auto" w:fill="D2EEED"/>
          </w:tcPr>
          <w:p w14:paraId="7110A4E4" w14:textId="37AB68AA" w:rsidR="00E6232E" w:rsidRPr="00FF1A57" w:rsidRDefault="000D7596"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T</w:t>
            </w:r>
            <w:r w:rsidR="00E6232E" w:rsidRPr="00FF1A57">
              <w:rPr>
                <w:szCs w:val="20"/>
                <w:lang w:eastAsia="en-US"/>
              </w:rPr>
              <w:t xml:space="preserve">he standard </w:t>
            </w:r>
            <w:r w:rsidR="00920B26">
              <w:rPr>
                <w:szCs w:val="20"/>
                <w:lang w:eastAsia="en-US"/>
              </w:rPr>
              <w:t>that</w:t>
            </w:r>
            <w:r w:rsidR="00E6232E" w:rsidRPr="00FF1A57">
              <w:rPr>
                <w:szCs w:val="20"/>
                <w:lang w:eastAsia="en-US"/>
              </w:rPr>
              <w:t xml:space="preserve"> governs the security of government ICT Systems</w:t>
            </w:r>
            <w:r>
              <w:rPr>
                <w:szCs w:val="20"/>
                <w:lang w:eastAsia="en-US"/>
              </w:rPr>
              <w:t>, produced by the Australian Signals Directorate (ASD)</w:t>
            </w:r>
            <w:r w:rsidR="00E6232E" w:rsidRPr="00FF1A57">
              <w:rPr>
                <w:szCs w:val="20"/>
                <w:lang w:eastAsia="en-US"/>
              </w:rPr>
              <w:t xml:space="preserve">. </w:t>
            </w:r>
            <w:r>
              <w:rPr>
                <w:szCs w:val="20"/>
                <w:lang w:eastAsia="en-US"/>
              </w:rPr>
              <w:t>It</w:t>
            </w:r>
            <w:r w:rsidR="00E6232E" w:rsidRPr="00FF1A57">
              <w:rPr>
                <w:szCs w:val="20"/>
                <w:lang w:eastAsia="en-US"/>
              </w:rPr>
              <w:t xml:space="preserve"> comprises three documents targeting different levels: Executive Companion, Principles and Controls.</w:t>
            </w:r>
          </w:p>
        </w:tc>
      </w:tr>
      <w:tr w:rsidR="00E6232E" w:rsidRPr="000B7589" w14:paraId="785BA602"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635BFC08" w14:textId="77777777" w:rsidR="00E6232E" w:rsidRPr="00F1619B" w:rsidRDefault="00E6232E" w:rsidP="00BB29E3">
            <w:pPr>
              <w:pStyle w:val="TableTextLeft"/>
              <w:rPr>
                <w:color w:val="008675"/>
                <w:szCs w:val="20"/>
                <w:lang w:eastAsia="en-US"/>
              </w:rPr>
            </w:pPr>
            <w:r w:rsidRPr="00F1619B">
              <w:rPr>
                <w:color w:val="008675"/>
                <w:szCs w:val="20"/>
                <w:lang w:eastAsia="en-US"/>
              </w:rPr>
              <w:t>Information Security Registered Assessors Program (IRAP)</w:t>
            </w:r>
          </w:p>
        </w:tc>
        <w:tc>
          <w:tcPr>
            <w:tcW w:w="0" w:type="dxa"/>
          </w:tcPr>
          <w:p w14:paraId="5AE0AD0D"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The Australian Signals Directorate (ASD) supports higher standards of cyber security assessment and training through the enhanced Information Security Registered Assessor Program (IRAP). IRAP endorses individuals from the private and public sectors to provide cyber security assessment services to Australian Governments. Endorsed IRAP assessors assist in securing ICT networks by independently assessing security compliance, suggesting mitigations and highlighting residual risks.</w:t>
            </w:r>
          </w:p>
        </w:tc>
      </w:tr>
      <w:tr w:rsidR="00E6232E" w:rsidRPr="000B7589" w14:paraId="12C9D8B5"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6EFC9635" w14:textId="124F81BE" w:rsidR="00E6232E" w:rsidRPr="00F1619B" w:rsidRDefault="00E6232E" w:rsidP="00BB29E3">
            <w:pPr>
              <w:pStyle w:val="TableTextLeft"/>
              <w:rPr>
                <w:color w:val="008675"/>
                <w:szCs w:val="20"/>
                <w:lang w:eastAsia="en-US"/>
              </w:rPr>
            </w:pPr>
            <w:r w:rsidRPr="00F1619B">
              <w:rPr>
                <w:color w:val="008675"/>
                <w:szCs w:val="20"/>
                <w:lang w:eastAsia="en-US"/>
              </w:rPr>
              <w:t>Interim Oversight Authority</w:t>
            </w:r>
          </w:p>
        </w:tc>
        <w:tc>
          <w:tcPr>
            <w:tcW w:w="0" w:type="dxa"/>
            <w:shd w:val="clear" w:color="auto" w:fill="D2EEED"/>
          </w:tcPr>
          <w:p w14:paraId="6B1B5647" w14:textId="3F9CE841" w:rsidR="00E6232E" w:rsidRPr="00FF1A57" w:rsidRDefault="009E14AC"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T</w:t>
            </w:r>
            <w:r w:rsidR="00E6232E" w:rsidRPr="00FF1A57">
              <w:rPr>
                <w:szCs w:val="20"/>
                <w:lang w:eastAsia="en-US"/>
              </w:rPr>
              <w:t xml:space="preserve">he body currently regulating the </w:t>
            </w:r>
            <w:r w:rsidR="00DF50AB">
              <w:rPr>
                <w:szCs w:val="20"/>
                <w:lang w:eastAsia="en-US"/>
              </w:rPr>
              <w:t xml:space="preserve">Digital ID </w:t>
            </w:r>
            <w:r w:rsidR="00E6232E" w:rsidRPr="00FF1A57">
              <w:rPr>
                <w:szCs w:val="20"/>
                <w:lang w:eastAsia="en-US"/>
              </w:rPr>
              <w:t>System, with support from Services Australia.</w:t>
            </w:r>
          </w:p>
        </w:tc>
      </w:tr>
      <w:tr w:rsidR="00E6232E" w:rsidRPr="000B7589" w14:paraId="25D76755"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648B556B" w14:textId="77777777" w:rsidR="00E6232E" w:rsidRPr="00F1619B" w:rsidRDefault="00E6232E" w:rsidP="78F42BF0">
            <w:pPr>
              <w:pStyle w:val="TableTextLeft"/>
              <w:rPr>
                <w:color w:val="008675"/>
                <w:lang w:eastAsia="en-US"/>
              </w:rPr>
            </w:pPr>
            <w:bookmarkStart w:id="663" w:name="_Int_VbScoInk"/>
            <w:proofErr w:type="spellStart"/>
            <w:r w:rsidRPr="00F1619B">
              <w:rPr>
                <w:color w:val="008675"/>
                <w:lang w:eastAsia="en-US"/>
              </w:rPr>
              <w:t>JobSeeker</w:t>
            </w:r>
            <w:bookmarkEnd w:id="663"/>
            <w:proofErr w:type="spellEnd"/>
            <w:r w:rsidRPr="00F1619B">
              <w:rPr>
                <w:color w:val="008675"/>
                <w:lang w:eastAsia="en-US"/>
              </w:rPr>
              <w:t xml:space="preserve">; </w:t>
            </w:r>
            <w:proofErr w:type="spellStart"/>
            <w:r w:rsidRPr="00F1619B">
              <w:rPr>
                <w:color w:val="008675"/>
                <w:lang w:eastAsia="en-US"/>
              </w:rPr>
              <w:t>JobKeeper</w:t>
            </w:r>
            <w:proofErr w:type="spellEnd"/>
          </w:p>
        </w:tc>
        <w:tc>
          <w:tcPr>
            <w:tcW w:w="0" w:type="dxa"/>
          </w:tcPr>
          <w:p w14:paraId="5058D684" w14:textId="102632D6"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 xml:space="preserve">An income support payment set up in response to the economic impacts of the COVID-19 pandemic, </w:t>
            </w:r>
            <w:proofErr w:type="spellStart"/>
            <w:r w:rsidRPr="00FF1A57">
              <w:rPr>
                <w:szCs w:val="20"/>
                <w:lang w:eastAsia="en-US"/>
              </w:rPr>
              <w:t>JobSeeker</w:t>
            </w:r>
            <w:proofErr w:type="spellEnd"/>
            <w:r w:rsidRPr="00FF1A57">
              <w:rPr>
                <w:szCs w:val="20"/>
                <w:lang w:eastAsia="en-US"/>
              </w:rPr>
              <w:t xml:space="preserve"> supports those between 22 and Age Pension age and looking for work. </w:t>
            </w:r>
          </w:p>
          <w:p w14:paraId="7B2A6E53" w14:textId="039B5F6B"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 xml:space="preserve">As part of its COVID-19 economic response, the Australian Taxation Office paid </w:t>
            </w:r>
            <w:proofErr w:type="spellStart"/>
            <w:r w:rsidRPr="00FF1A57">
              <w:rPr>
                <w:szCs w:val="20"/>
                <w:lang w:eastAsia="en-US"/>
              </w:rPr>
              <w:t>JobKeeper</w:t>
            </w:r>
            <w:proofErr w:type="spellEnd"/>
            <w:r w:rsidRPr="00FF1A57">
              <w:rPr>
                <w:szCs w:val="20"/>
                <w:lang w:eastAsia="en-US"/>
              </w:rPr>
              <w:t xml:space="preserve"> </w:t>
            </w:r>
            <w:r w:rsidR="0051030E">
              <w:rPr>
                <w:szCs w:val="20"/>
                <w:lang w:eastAsia="en-US"/>
              </w:rPr>
              <w:t>p</w:t>
            </w:r>
            <w:r w:rsidRPr="00FF1A57">
              <w:rPr>
                <w:szCs w:val="20"/>
                <w:lang w:eastAsia="en-US"/>
              </w:rPr>
              <w:t xml:space="preserve">ayments to employers. Eligible employers then paid </w:t>
            </w:r>
            <w:proofErr w:type="spellStart"/>
            <w:r w:rsidRPr="00FF1A57">
              <w:rPr>
                <w:szCs w:val="20"/>
                <w:lang w:eastAsia="en-US"/>
              </w:rPr>
              <w:t>JobKeeper</w:t>
            </w:r>
            <w:proofErr w:type="spellEnd"/>
            <w:r w:rsidRPr="00FF1A57">
              <w:rPr>
                <w:szCs w:val="20"/>
                <w:lang w:eastAsia="en-US"/>
              </w:rPr>
              <w:t xml:space="preserve"> </w:t>
            </w:r>
            <w:r w:rsidR="0051030E">
              <w:rPr>
                <w:szCs w:val="20"/>
                <w:lang w:eastAsia="en-US"/>
              </w:rPr>
              <w:t>p</w:t>
            </w:r>
            <w:r w:rsidRPr="00FF1A57">
              <w:rPr>
                <w:szCs w:val="20"/>
                <w:lang w:eastAsia="en-US"/>
              </w:rPr>
              <w:t>ayments to employees as part of their usual wages.</w:t>
            </w:r>
          </w:p>
        </w:tc>
      </w:tr>
      <w:tr w:rsidR="00E6232E" w:rsidRPr="000B7589" w14:paraId="273A6604"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53A3E10C" w14:textId="3BCAFDCF" w:rsidR="00E6232E" w:rsidRPr="00F1619B" w:rsidRDefault="00E6232E" w:rsidP="00BB29E3">
            <w:pPr>
              <w:pStyle w:val="TableTextLeft"/>
              <w:rPr>
                <w:color w:val="008675"/>
                <w:szCs w:val="20"/>
                <w:lang w:eastAsia="en-US"/>
              </w:rPr>
            </w:pPr>
            <w:r w:rsidRPr="00F1619B">
              <w:rPr>
                <w:color w:val="008675"/>
                <w:szCs w:val="20"/>
                <w:lang w:eastAsia="en-US"/>
              </w:rPr>
              <w:t xml:space="preserve">Know Your Customer (KYC) </w:t>
            </w:r>
            <w:r w:rsidR="001E5ADC" w:rsidRPr="00F1619B">
              <w:rPr>
                <w:color w:val="008675"/>
                <w:szCs w:val="20"/>
                <w:lang w:eastAsia="en-US"/>
              </w:rPr>
              <w:t>o</w:t>
            </w:r>
            <w:r w:rsidRPr="00F1619B">
              <w:rPr>
                <w:color w:val="008675"/>
                <w:szCs w:val="20"/>
                <w:lang w:eastAsia="en-US"/>
              </w:rPr>
              <w:t xml:space="preserve">bligations </w:t>
            </w:r>
          </w:p>
        </w:tc>
        <w:tc>
          <w:tcPr>
            <w:tcW w:w="0" w:type="dxa"/>
            <w:shd w:val="clear" w:color="auto" w:fill="D2EEED"/>
          </w:tcPr>
          <w:p w14:paraId="50FD79E7" w14:textId="0086FF09" w:rsidR="00E6232E" w:rsidRPr="00FF1A57" w:rsidRDefault="00E6232E"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sidRPr="00FF1A57">
              <w:rPr>
                <w:szCs w:val="20"/>
                <w:lang w:eastAsia="en-US"/>
              </w:rPr>
              <w:t>The Know Your Customer (KYC) guidelines in financial services require that professionals make an effort to verify the identity, suitability and risks involved with maintaining a business relationship. The producers fit within the broader scope of a bank's Anti-Money Laundering (AML) policy.</w:t>
            </w:r>
          </w:p>
        </w:tc>
      </w:tr>
      <w:tr w:rsidR="00E6232E" w:rsidRPr="000B7589" w14:paraId="525AB924"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06686BCB" w14:textId="77777777" w:rsidR="00E6232E" w:rsidRPr="00F1619B" w:rsidRDefault="00E6232E" w:rsidP="00BB29E3">
            <w:pPr>
              <w:pStyle w:val="TableTextLeft"/>
              <w:rPr>
                <w:color w:val="008675"/>
                <w:szCs w:val="20"/>
                <w:lang w:eastAsia="en-US"/>
              </w:rPr>
            </w:pPr>
            <w:r w:rsidRPr="00F1619B">
              <w:rPr>
                <w:color w:val="008675"/>
                <w:szCs w:val="20"/>
                <w:lang w:eastAsia="en-US"/>
              </w:rPr>
              <w:t>Memoranda of Understanding (MoU)</w:t>
            </w:r>
          </w:p>
        </w:tc>
        <w:tc>
          <w:tcPr>
            <w:tcW w:w="0" w:type="dxa"/>
          </w:tcPr>
          <w:p w14:paraId="6EFBF108"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Unless otherwise indicated, refers to agreements or arrangements put in place between government entities, such as the System Governance Interim MoU between Services Australia and the DTA.</w:t>
            </w:r>
          </w:p>
        </w:tc>
      </w:tr>
      <w:tr w:rsidR="00E6232E" w:rsidRPr="000B7589" w14:paraId="28F08D39"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7D7D7004" w14:textId="47F09B3B" w:rsidR="00E6232E" w:rsidRPr="00F1619B" w:rsidRDefault="00E6232E" w:rsidP="00BB29E3">
            <w:pPr>
              <w:pStyle w:val="TableTextLeft"/>
              <w:rPr>
                <w:color w:val="008675"/>
                <w:szCs w:val="20"/>
                <w:lang w:eastAsia="en-US"/>
              </w:rPr>
            </w:pPr>
            <w:r w:rsidRPr="00F1619B">
              <w:rPr>
                <w:color w:val="008675"/>
                <w:szCs w:val="20"/>
                <w:lang w:eastAsia="en-US"/>
              </w:rPr>
              <w:lastRenderedPageBreak/>
              <w:t xml:space="preserve">New Payments Platform </w:t>
            </w:r>
            <w:r w:rsidR="00776B95" w:rsidRPr="00F1619B">
              <w:rPr>
                <w:color w:val="008675"/>
                <w:szCs w:val="20"/>
                <w:lang w:eastAsia="en-US"/>
              </w:rPr>
              <w:t>(NPP)</w:t>
            </w:r>
          </w:p>
        </w:tc>
        <w:tc>
          <w:tcPr>
            <w:tcW w:w="0" w:type="dxa"/>
            <w:shd w:val="clear" w:color="auto" w:fill="D2EEED"/>
          </w:tcPr>
          <w:p w14:paraId="503F56C4" w14:textId="3324AE15" w:rsidR="00E6232E" w:rsidRPr="00FF1A57" w:rsidRDefault="00E6232E"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sidRPr="00FF1A57">
              <w:rPr>
                <w:szCs w:val="20"/>
                <w:lang w:eastAsia="en-US"/>
              </w:rPr>
              <w:t xml:space="preserve">Launched in February 2018, </w:t>
            </w:r>
            <w:r w:rsidR="009E14AC">
              <w:rPr>
                <w:szCs w:val="20"/>
                <w:lang w:eastAsia="en-US"/>
              </w:rPr>
              <w:t>it</w:t>
            </w:r>
            <w:r w:rsidRPr="00FF1A57">
              <w:rPr>
                <w:szCs w:val="20"/>
                <w:lang w:eastAsia="en-US"/>
              </w:rPr>
              <w:t xml:space="preserve"> is open access infrastructure for fast payments in Australia. The NPP was developed via industry collaboration to enable households, businesses and government entities to make simply addressed payments, with near real-time funds availability to the recipient, on a 24</w:t>
            </w:r>
            <w:r w:rsidR="00DC723E">
              <w:rPr>
                <w:szCs w:val="20"/>
                <w:lang w:eastAsia="en-US"/>
              </w:rPr>
              <w:t>/</w:t>
            </w:r>
            <w:r w:rsidRPr="00FF1A57">
              <w:rPr>
                <w:szCs w:val="20"/>
                <w:lang w:eastAsia="en-US"/>
              </w:rPr>
              <w:t>7 basis.</w:t>
            </w:r>
          </w:p>
        </w:tc>
      </w:tr>
      <w:tr w:rsidR="00E6232E" w:rsidRPr="000B7589" w14:paraId="722DE2D5"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2F668C64" w14:textId="27C3B9E9" w:rsidR="00E6232E" w:rsidRPr="00F1619B" w:rsidRDefault="00E6232E" w:rsidP="00BB29E3">
            <w:pPr>
              <w:pStyle w:val="TableTextLeft"/>
              <w:rPr>
                <w:color w:val="008675"/>
                <w:szCs w:val="20"/>
                <w:lang w:eastAsia="en-US"/>
              </w:rPr>
            </w:pPr>
            <w:r w:rsidRPr="00F1619B">
              <w:rPr>
                <w:color w:val="008675"/>
                <w:szCs w:val="20"/>
                <w:lang w:eastAsia="en-US"/>
              </w:rPr>
              <w:t>Notifiable Data Breach S</w:t>
            </w:r>
            <w:r w:rsidR="00134DC6" w:rsidRPr="00F1619B">
              <w:rPr>
                <w:color w:val="008675"/>
                <w:szCs w:val="20"/>
                <w:lang w:eastAsia="en-US"/>
              </w:rPr>
              <w:t>cheme</w:t>
            </w:r>
            <w:r w:rsidRPr="00F1619B">
              <w:rPr>
                <w:color w:val="008675"/>
                <w:szCs w:val="20"/>
                <w:lang w:eastAsia="en-US"/>
              </w:rPr>
              <w:t xml:space="preserve"> (NDB</w:t>
            </w:r>
            <w:r w:rsidR="00D4072B" w:rsidRPr="00F1619B">
              <w:rPr>
                <w:color w:val="008675"/>
                <w:szCs w:val="20"/>
                <w:lang w:eastAsia="en-US"/>
              </w:rPr>
              <w:t xml:space="preserve"> S</w:t>
            </w:r>
            <w:r w:rsidR="008762E6" w:rsidRPr="00F1619B">
              <w:rPr>
                <w:color w:val="008675"/>
                <w:szCs w:val="20"/>
                <w:lang w:eastAsia="en-US"/>
              </w:rPr>
              <w:t>cheme</w:t>
            </w:r>
            <w:r w:rsidRPr="00F1619B">
              <w:rPr>
                <w:color w:val="008675"/>
                <w:szCs w:val="20"/>
                <w:lang w:eastAsia="en-US"/>
              </w:rPr>
              <w:t>)</w:t>
            </w:r>
          </w:p>
        </w:tc>
        <w:tc>
          <w:tcPr>
            <w:tcW w:w="0" w:type="dxa"/>
          </w:tcPr>
          <w:p w14:paraId="0C249326" w14:textId="3C3EE3C2" w:rsidR="00E6232E" w:rsidRPr="00FF1A57" w:rsidRDefault="009E14AC"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E</w:t>
            </w:r>
            <w:r w:rsidR="00E6232E" w:rsidRPr="00FF1A57">
              <w:rPr>
                <w:szCs w:val="20"/>
                <w:lang w:eastAsia="en-US"/>
              </w:rPr>
              <w:t>stablished in February 2018 to improve consumer protection and drive better security standards for protecting personal information. It applies to entities and organisations who are covered by the Privacy Act and are required to take reasonable steps to secure personal information.</w:t>
            </w:r>
          </w:p>
        </w:tc>
      </w:tr>
      <w:tr w:rsidR="00E6232E" w:rsidRPr="000B7589" w14:paraId="78BFA5E8"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6563F0E6" w14:textId="48CD9372" w:rsidR="00E6232E" w:rsidRPr="00F1619B" w:rsidRDefault="00E6232E" w:rsidP="00BB29E3">
            <w:pPr>
              <w:pStyle w:val="TableTextLeft"/>
              <w:rPr>
                <w:color w:val="008675"/>
                <w:szCs w:val="20"/>
                <w:lang w:eastAsia="en-US"/>
              </w:rPr>
            </w:pPr>
            <w:r w:rsidRPr="00F1619B">
              <w:rPr>
                <w:color w:val="008675"/>
                <w:szCs w:val="20"/>
                <w:lang w:eastAsia="en-US"/>
              </w:rPr>
              <w:t>Office of the Australian Information Commissioner (OAIC)</w:t>
            </w:r>
          </w:p>
        </w:tc>
        <w:tc>
          <w:tcPr>
            <w:tcW w:w="0" w:type="dxa"/>
            <w:shd w:val="clear" w:color="auto" w:fill="D2EEED"/>
          </w:tcPr>
          <w:p w14:paraId="461D9A92" w14:textId="6D96E23B" w:rsidR="00E6232E" w:rsidRPr="00FF1A57" w:rsidRDefault="009E14AC"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A</w:t>
            </w:r>
            <w:r w:rsidR="00E6232E" w:rsidRPr="00FF1A57">
              <w:rPr>
                <w:szCs w:val="20"/>
                <w:lang w:eastAsia="en-US"/>
              </w:rPr>
              <w:t xml:space="preserve">n independent Australian Government agency, acting as the national data protection authority for Australia, established by the </w:t>
            </w:r>
            <w:r w:rsidR="00E6232E" w:rsidRPr="00863410">
              <w:rPr>
                <w:i/>
                <w:iCs/>
                <w:szCs w:val="20"/>
                <w:lang w:eastAsia="en-US"/>
              </w:rPr>
              <w:t>Australian Information Commissioner Act 2010</w:t>
            </w:r>
            <w:r w:rsidR="00E6232E" w:rsidRPr="00FF1A57">
              <w:rPr>
                <w:szCs w:val="20"/>
                <w:lang w:eastAsia="en-US"/>
              </w:rPr>
              <w:t xml:space="preserve"> headed by the Australian Information Commissioner.</w:t>
            </w:r>
          </w:p>
        </w:tc>
      </w:tr>
      <w:tr w:rsidR="005B06F7" w:rsidRPr="000B7589" w14:paraId="072ACB34"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20B41A8D" w14:textId="4617E866" w:rsidR="005B06F7" w:rsidRPr="00F1619B" w:rsidRDefault="005B06F7" w:rsidP="00BB29E3">
            <w:pPr>
              <w:pStyle w:val="TableTextLeft"/>
              <w:rPr>
                <w:color w:val="008675"/>
                <w:szCs w:val="20"/>
                <w:lang w:eastAsia="en-US"/>
              </w:rPr>
            </w:pPr>
            <w:r w:rsidRPr="00F1619B">
              <w:rPr>
                <w:color w:val="008675"/>
                <w:szCs w:val="20"/>
                <w:lang w:eastAsia="en-US"/>
              </w:rPr>
              <w:t xml:space="preserve">Organisation for Economic </w:t>
            </w:r>
            <w:r w:rsidR="00F70E43" w:rsidRPr="00F1619B">
              <w:rPr>
                <w:color w:val="008675"/>
                <w:szCs w:val="20"/>
                <w:lang w:eastAsia="en-US"/>
              </w:rPr>
              <w:t>Co-</w:t>
            </w:r>
            <w:r w:rsidR="00384018" w:rsidRPr="00F1619B">
              <w:rPr>
                <w:color w:val="008675"/>
                <w:szCs w:val="20"/>
                <w:lang w:eastAsia="en-US"/>
              </w:rPr>
              <w:t xml:space="preserve">operation </w:t>
            </w:r>
            <w:r w:rsidRPr="00F1619B">
              <w:rPr>
                <w:color w:val="008675"/>
                <w:szCs w:val="20"/>
                <w:lang w:eastAsia="en-US"/>
              </w:rPr>
              <w:t>De</w:t>
            </w:r>
            <w:r w:rsidR="00413BE1" w:rsidRPr="00F1619B">
              <w:rPr>
                <w:color w:val="008675"/>
                <w:szCs w:val="20"/>
                <w:lang w:eastAsia="en-US"/>
              </w:rPr>
              <w:t>velopment (OECD)</w:t>
            </w:r>
          </w:p>
        </w:tc>
        <w:tc>
          <w:tcPr>
            <w:tcW w:w="0" w:type="dxa"/>
          </w:tcPr>
          <w:p w14:paraId="386B4B0C" w14:textId="4D9C2217" w:rsidR="005B06F7" w:rsidRPr="00FF1A57" w:rsidRDefault="009E14AC"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P</w:t>
            </w:r>
            <w:r w:rsidR="000119A9" w:rsidRPr="00FF1A57">
              <w:rPr>
                <w:szCs w:val="20"/>
                <w:lang w:eastAsia="en-US"/>
              </w:rPr>
              <w:t xml:space="preserve">roduces independent analysis and statistics to promote policies to improve economic </w:t>
            </w:r>
            <w:r w:rsidR="00B85765" w:rsidRPr="00FF1A57">
              <w:rPr>
                <w:szCs w:val="20"/>
                <w:lang w:eastAsia="en-US"/>
              </w:rPr>
              <w:t>and social wellbeing across the globe.</w:t>
            </w:r>
            <w:r w:rsidR="00737BA2" w:rsidRPr="00FF1A57">
              <w:rPr>
                <w:szCs w:val="20"/>
                <w:lang w:eastAsia="en-US"/>
              </w:rPr>
              <w:t xml:space="preserve"> </w:t>
            </w:r>
          </w:p>
        </w:tc>
      </w:tr>
      <w:tr w:rsidR="00E6232E" w:rsidRPr="000B7589" w14:paraId="47B82115"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6B4CB16F" w14:textId="77777777" w:rsidR="00E6232E" w:rsidRPr="00F1619B" w:rsidRDefault="00E6232E" w:rsidP="00BB29E3">
            <w:pPr>
              <w:pStyle w:val="TableTextLeft"/>
              <w:rPr>
                <w:color w:val="008675"/>
                <w:szCs w:val="20"/>
                <w:lang w:eastAsia="en-US"/>
              </w:rPr>
            </w:pPr>
            <w:r w:rsidRPr="00F1619B">
              <w:rPr>
                <w:color w:val="008675"/>
                <w:szCs w:val="20"/>
                <w:lang w:eastAsia="en-US"/>
              </w:rPr>
              <w:t xml:space="preserve">Operating Rules </w:t>
            </w:r>
          </w:p>
        </w:tc>
        <w:tc>
          <w:tcPr>
            <w:tcW w:w="0" w:type="dxa"/>
            <w:shd w:val="clear" w:color="auto" w:fill="D2EEED"/>
          </w:tcPr>
          <w:p w14:paraId="783FEEC6" w14:textId="0337EFCC" w:rsidR="00E6232E" w:rsidRPr="00FF1A57" w:rsidRDefault="009E14AC"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S</w:t>
            </w:r>
            <w:r w:rsidR="00E6232E" w:rsidRPr="00FF1A57">
              <w:rPr>
                <w:szCs w:val="20"/>
                <w:lang w:eastAsia="en-US"/>
              </w:rPr>
              <w:t>et out the legal framework for the operation of the identity federation, including key rights, obligations and liabilities of participants.</w:t>
            </w:r>
          </w:p>
        </w:tc>
      </w:tr>
      <w:tr w:rsidR="00E6232E" w:rsidRPr="000B7589" w14:paraId="11907D52"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7DDA05E8" w14:textId="7AA835AE" w:rsidR="00E6232E" w:rsidRPr="00F1619B" w:rsidRDefault="00E6232E" w:rsidP="00BB29E3">
            <w:pPr>
              <w:pStyle w:val="TableTextLeft"/>
              <w:rPr>
                <w:color w:val="008675"/>
                <w:szCs w:val="20"/>
                <w:lang w:eastAsia="en-US"/>
              </w:rPr>
            </w:pPr>
            <w:r w:rsidRPr="00F1619B">
              <w:rPr>
                <w:color w:val="008675"/>
                <w:szCs w:val="20"/>
                <w:lang w:eastAsia="en-US"/>
              </w:rPr>
              <w:t>Oversight Authority</w:t>
            </w:r>
            <w:r w:rsidR="000F01B9" w:rsidRPr="00F1619B">
              <w:rPr>
                <w:color w:val="008675"/>
                <w:szCs w:val="20"/>
                <w:lang w:eastAsia="en-US"/>
              </w:rPr>
              <w:t xml:space="preserve"> </w:t>
            </w:r>
          </w:p>
        </w:tc>
        <w:tc>
          <w:tcPr>
            <w:tcW w:w="0" w:type="dxa"/>
          </w:tcPr>
          <w:p w14:paraId="302188F9" w14:textId="77777777" w:rsidR="00E6232E" w:rsidRPr="00FF1A57" w:rsidRDefault="00E6232E"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sidRPr="00FF1A57">
              <w:rPr>
                <w:szCs w:val="20"/>
                <w:lang w:eastAsia="en-US"/>
              </w:rPr>
              <w:t>The entity responsible for the administration and oversight of the identity federation in accordance with the Operating Rules and TDIF.</w:t>
            </w:r>
          </w:p>
        </w:tc>
      </w:tr>
      <w:tr w:rsidR="00E6232E" w:rsidRPr="000B7589" w14:paraId="71CFA34B"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6F24637D" w14:textId="77777777" w:rsidR="00E6232E" w:rsidRPr="00F1619B" w:rsidRDefault="00E6232E" w:rsidP="00BB29E3">
            <w:pPr>
              <w:pStyle w:val="TableTextLeft"/>
              <w:rPr>
                <w:color w:val="008675"/>
                <w:szCs w:val="20"/>
                <w:lang w:eastAsia="en-US"/>
              </w:rPr>
            </w:pPr>
            <w:r w:rsidRPr="00F1619B">
              <w:rPr>
                <w:i/>
                <w:color w:val="008675"/>
                <w:szCs w:val="20"/>
                <w:lang w:eastAsia="en-US"/>
              </w:rPr>
              <w:t>Privacy Act 1988</w:t>
            </w:r>
            <w:r w:rsidRPr="00F1619B">
              <w:rPr>
                <w:color w:val="008675"/>
                <w:szCs w:val="20"/>
                <w:lang w:eastAsia="en-US"/>
              </w:rPr>
              <w:t xml:space="preserve"> (</w:t>
            </w:r>
            <w:proofErr w:type="spellStart"/>
            <w:r w:rsidRPr="00F1619B">
              <w:rPr>
                <w:color w:val="008675"/>
                <w:szCs w:val="20"/>
                <w:lang w:eastAsia="en-US"/>
              </w:rPr>
              <w:t>Cth</w:t>
            </w:r>
            <w:proofErr w:type="spellEnd"/>
            <w:r w:rsidRPr="00F1619B">
              <w:rPr>
                <w:color w:val="008675"/>
                <w:szCs w:val="20"/>
                <w:lang w:eastAsia="en-US"/>
              </w:rPr>
              <w:t>) (Privacy Act)</w:t>
            </w:r>
          </w:p>
        </w:tc>
        <w:tc>
          <w:tcPr>
            <w:tcW w:w="0" w:type="dxa"/>
            <w:shd w:val="clear" w:color="auto" w:fill="D2EEED"/>
          </w:tcPr>
          <w:p w14:paraId="6209B529" w14:textId="394CDF96" w:rsidR="00E6232E" w:rsidRPr="00FF1A57" w:rsidRDefault="00F92ABE"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P</w:t>
            </w:r>
            <w:r w:rsidR="00E6232E" w:rsidRPr="00FF1A57">
              <w:rPr>
                <w:szCs w:val="20"/>
                <w:lang w:eastAsia="en-US"/>
              </w:rPr>
              <w:t>romote</w:t>
            </w:r>
            <w:r>
              <w:rPr>
                <w:szCs w:val="20"/>
                <w:lang w:eastAsia="en-US"/>
              </w:rPr>
              <w:t>s</w:t>
            </w:r>
            <w:r w:rsidR="00E6232E" w:rsidRPr="00FF1A57">
              <w:rPr>
                <w:szCs w:val="20"/>
                <w:lang w:eastAsia="en-US"/>
              </w:rPr>
              <w:t xml:space="preserve"> and protect</w:t>
            </w:r>
            <w:r>
              <w:rPr>
                <w:szCs w:val="20"/>
                <w:lang w:eastAsia="en-US"/>
              </w:rPr>
              <w:t>s</w:t>
            </w:r>
            <w:r w:rsidR="00E6232E" w:rsidRPr="00FF1A57">
              <w:rPr>
                <w:szCs w:val="20"/>
                <w:lang w:eastAsia="en-US"/>
              </w:rPr>
              <w:t xml:space="preserve"> the privacy of individuals and regulate</w:t>
            </w:r>
            <w:r>
              <w:rPr>
                <w:szCs w:val="20"/>
                <w:lang w:eastAsia="en-US"/>
              </w:rPr>
              <w:t>s</w:t>
            </w:r>
            <w:r w:rsidR="00E6232E" w:rsidRPr="00FF1A57">
              <w:rPr>
                <w:szCs w:val="20"/>
                <w:lang w:eastAsia="en-US"/>
              </w:rPr>
              <w:t xml:space="preserve"> how Australian Government entities and organisations with an annual turnover of more than $3 million, and some other organisations, handle personal information. </w:t>
            </w:r>
          </w:p>
          <w:p w14:paraId="2977BE63" w14:textId="02E46EC8" w:rsidR="00E6232E" w:rsidRPr="00FF1A57" w:rsidRDefault="008D67F0"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It</w:t>
            </w:r>
            <w:r w:rsidR="00E6232E" w:rsidRPr="00FF1A57">
              <w:rPr>
                <w:szCs w:val="20"/>
                <w:lang w:eastAsia="en-US"/>
              </w:rPr>
              <w:t xml:space="preserve"> includes 13 Australian Privacy Principles (APPs), which apply to some private sector organisations, as well as most Australian Government entities.</w:t>
            </w:r>
          </w:p>
        </w:tc>
      </w:tr>
      <w:tr w:rsidR="00E6232E" w:rsidRPr="000B7589" w14:paraId="2770366A"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45B87174" w14:textId="77777777" w:rsidR="00E6232E" w:rsidRPr="00F1619B" w:rsidRDefault="00E6232E" w:rsidP="00BB29E3">
            <w:pPr>
              <w:pStyle w:val="TableTextLeft"/>
              <w:rPr>
                <w:color w:val="008675"/>
                <w:szCs w:val="20"/>
                <w:lang w:eastAsia="en-US"/>
              </w:rPr>
            </w:pPr>
            <w:r w:rsidRPr="00F1619B">
              <w:rPr>
                <w:color w:val="008675"/>
                <w:szCs w:val="20"/>
                <w:lang w:eastAsia="en-US"/>
              </w:rPr>
              <w:t>Privacy Impact Assessment (PIA)</w:t>
            </w:r>
          </w:p>
        </w:tc>
        <w:tc>
          <w:tcPr>
            <w:tcW w:w="0" w:type="dxa"/>
          </w:tcPr>
          <w:p w14:paraId="4FE536B2" w14:textId="39F96E0C" w:rsidR="00E6232E" w:rsidRPr="00FF1A57" w:rsidRDefault="00A612FB"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A</w:t>
            </w:r>
            <w:r w:rsidR="00E6232E" w:rsidRPr="00FF1A57">
              <w:rPr>
                <w:szCs w:val="20"/>
                <w:lang w:eastAsia="en-US"/>
              </w:rPr>
              <w:t xml:space="preserve">ssessment that identifies the impact that </w:t>
            </w:r>
            <w:r w:rsidR="00FE6FF2">
              <w:rPr>
                <w:szCs w:val="20"/>
                <w:lang w:eastAsia="en-US"/>
              </w:rPr>
              <w:t>a</w:t>
            </w:r>
            <w:r w:rsidR="00E6232E" w:rsidRPr="00FF1A57">
              <w:rPr>
                <w:szCs w:val="20"/>
                <w:lang w:eastAsia="en-US"/>
              </w:rPr>
              <w:t xml:space="preserve"> </w:t>
            </w:r>
            <w:r w:rsidR="00A2580D">
              <w:rPr>
                <w:szCs w:val="20"/>
                <w:lang w:eastAsia="en-US"/>
              </w:rPr>
              <w:t xml:space="preserve">project </w:t>
            </w:r>
            <w:r w:rsidR="00E6232E" w:rsidRPr="00FF1A57">
              <w:rPr>
                <w:szCs w:val="20"/>
                <w:lang w:eastAsia="en-US"/>
              </w:rPr>
              <w:t>might have on the privacy of individuals, and sets out recommendations for managing, minimising or eliminating that impact.</w:t>
            </w:r>
          </w:p>
        </w:tc>
      </w:tr>
      <w:tr w:rsidR="00E6232E" w:rsidRPr="000B7589" w14:paraId="6E749A94"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16E43BA1" w14:textId="46DCC299" w:rsidR="00E6232E" w:rsidRPr="00F1619B" w:rsidRDefault="00E6232E" w:rsidP="00BB29E3">
            <w:pPr>
              <w:pStyle w:val="TableTextLeft"/>
              <w:rPr>
                <w:color w:val="008675"/>
                <w:szCs w:val="20"/>
                <w:lang w:eastAsia="en-US"/>
              </w:rPr>
            </w:pPr>
            <w:r w:rsidRPr="00F1619B">
              <w:rPr>
                <w:color w:val="008675"/>
                <w:szCs w:val="20"/>
                <w:lang w:eastAsia="en-US"/>
              </w:rPr>
              <w:t xml:space="preserve">Private </w:t>
            </w:r>
            <w:r w:rsidR="00F529F8" w:rsidRPr="00F1619B">
              <w:rPr>
                <w:color w:val="008675"/>
                <w:szCs w:val="20"/>
                <w:lang w:eastAsia="en-US"/>
              </w:rPr>
              <w:t>s</w:t>
            </w:r>
            <w:r w:rsidRPr="00F1619B">
              <w:rPr>
                <w:color w:val="008675"/>
                <w:szCs w:val="20"/>
                <w:lang w:eastAsia="en-US"/>
              </w:rPr>
              <w:t xml:space="preserve">ector </w:t>
            </w:r>
          </w:p>
        </w:tc>
        <w:tc>
          <w:tcPr>
            <w:tcW w:w="0" w:type="dxa"/>
            <w:shd w:val="clear" w:color="auto" w:fill="D2EEED"/>
          </w:tcPr>
          <w:p w14:paraId="4CD04F07" w14:textId="493E79B3" w:rsidR="00E6232E" w:rsidRPr="00FF1A57" w:rsidRDefault="009E14AC"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T</w:t>
            </w:r>
            <w:r w:rsidR="00E6232E" w:rsidRPr="00FF1A57">
              <w:rPr>
                <w:szCs w:val="20"/>
                <w:lang w:eastAsia="en-US"/>
              </w:rPr>
              <w:t xml:space="preserve">he part of the economy </w:t>
            </w:r>
            <w:r>
              <w:rPr>
                <w:szCs w:val="20"/>
                <w:lang w:eastAsia="en-US"/>
              </w:rPr>
              <w:t xml:space="preserve">that is </w:t>
            </w:r>
            <w:r w:rsidR="00E6232E" w:rsidRPr="00FF1A57">
              <w:rPr>
                <w:szCs w:val="20"/>
                <w:lang w:eastAsia="en-US"/>
              </w:rPr>
              <w:t xml:space="preserve">run by individuals and companies for profit and is not state controlled. </w:t>
            </w:r>
            <w:r w:rsidR="00A2580D">
              <w:rPr>
                <w:szCs w:val="20"/>
                <w:lang w:eastAsia="en-US"/>
              </w:rPr>
              <w:t xml:space="preserve">For the purposes of this </w:t>
            </w:r>
            <w:r w:rsidR="00465F3F">
              <w:rPr>
                <w:szCs w:val="20"/>
                <w:lang w:eastAsia="en-US"/>
              </w:rPr>
              <w:t>Impact Analysis</w:t>
            </w:r>
            <w:r w:rsidR="00A2580D">
              <w:rPr>
                <w:szCs w:val="20"/>
                <w:lang w:eastAsia="en-US"/>
              </w:rPr>
              <w:t>, i</w:t>
            </w:r>
            <w:r w:rsidR="00E6232E" w:rsidRPr="00FF1A57">
              <w:rPr>
                <w:szCs w:val="20"/>
                <w:lang w:eastAsia="en-US"/>
              </w:rPr>
              <w:t>t encompasses all for-profit businesses that are not owned or operated by the government.</w:t>
            </w:r>
          </w:p>
        </w:tc>
      </w:tr>
      <w:tr w:rsidR="00E6232E" w:rsidRPr="000B7589" w14:paraId="1F79E601"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099D551B" w14:textId="77777777" w:rsidR="00E6232E" w:rsidRPr="00F1619B" w:rsidRDefault="00E6232E" w:rsidP="00BB29E3">
            <w:pPr>
              <w:pStyle w:val="TableTextLeft"/>
              <w:rPr>
                <w:color w:val="008675"/>
                <w:szCs w:val="20"/>
                <w:lang w:eastAsia="en-US"/>
              </w:rPr>
            </w:pPr>
            <w:r w:rsidRPr="00F1619B">
              <w:rPr>
                <w:color w:val="008675"/>
                <w:szCs w:val="20"/>
                <w:lang w:eastAsia="en-US"/>
              </w:rPr>
              <w:t>Regulatory Technology (</w:t>
            </w:r>
            <w:proofErr w:type="spellStart"/>
            <w:r w:rsidRPr="00F1619B">
              <w:rPr>
                <w:color w:val="008675"/>
                <w:szCs w:val="20"/>
                <w:lang w:eastAsia="en-US"/>
              </w:rPr>
              <w:t>RegTech</w:t>
            </w:r>
            <w:proofErr w:type="spellEnd"/>
            <w:r w:rsidRPr="00F1619B">
              <w:rPr>
                <w:color w:val="008675"/>
                <w:szCs w:val="20"/>
                <w:lang w:eastAsia="en-US"/>
              </w:rPr>
              <w:t>)</w:t>
            </w:r>
          </w:p>
        </w:tc>
        <w:tc>
          <w:tcPr>
            <w:tcW w:w="0" w:type="dxa"/>
          </w:tcPr>
          <w:p w14:paraId="0CF7F4E0" w14:textId="1E93C2D5" w:rsidR="00E6232E" w:rsidRPr="00FF1A57" w:rsidRDefault="001E5ADC"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M</w:t>
            </w:r>
            <w:r w:rsidR="00E6232E" w:rsidRPr="00FF1A57">
              <w:rPr>
                <w:szCs w:val="20"/>
                <w:lang w:eastAsia="en-US"/>
              </w:rPr>
              <w:t xml:space="preserve">anagement of regulatory processes </w:t>
            </w:r>
            <w:r w:rsidR="009140F4">
              <w:rPr>
                <w:szCs w:val="20"/>
                <w:lang w:eastAsia="en-US"/>
              </w:rPr>
              <w:t>in</w:t>
            </w:r>
            <w:r w:rsidR="00E6232E" w:rsidRPr="00FF1A57">
              <w:rPr>
                <w:szCs w:val="20"/>
                <w:lang w:eastAsia="en-US"/>
              </w:rPr>
              <w:t xml:space="preserve"> the financial industry through technology. </w:t>
            </w:r>
            <w:r w:rsidR="00F92ABE">
              <w:rPr>
                <w:szCs w:val="20"/>
                <w:lang w:eastAsia="en-US"/>
              </w:rPr>
              <w:t>Its</w:t>
            </w:r>
            <w:r w:rsidR="00E6232E" w:rsidRPr="00FF1A57">
              <w:rPr>
                <w:szCs w:val="20"/>
                <w:lang w:eastAsia="en-US"/>
              </w:rPr>
              <w:t xml:space="preserve"> main functions include regulatory monitoring, reporting and compliance. </w:t>
            </w:r>
          </w:p>
        </w:tc>
      </w:tr>
      <w:tr w:rsidR="00E6232E" w:rsidRPr="000B7589" w14:paraId="57D33027" w14:textId="77777777" w:rsidTr="00F16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227989C9" w14:textId="77777777" w:rsidR="00E6232E" w:rsidRPr="00F1619B" w:rsidRDefault="00E6232E" w:rsidP="00BB29E3">
            <w:pPr>
              <w:pStyle w:val="TableTextLeft"/>
              <w:rPr>
                <w:color w:val="008675"/>
                <w:szCs w:val="20"/>
                <w:lang w:eastAsia="en-US"/>
              </w:rPr>
            </w:pPr>
            <w:r w:rsidRPr="00F1619B">
              <w:rPr>
                <w:color w:val="008675"/>
                <w:szCs w:val="20"/>
                <w:lang w:eastAsia="en-US"/>
              </w:rPr>
              <w:t>Trusted Digital Identity Framework (TDIF)</w:t>
            </w:r>
          </w:p>
        </w:tc>
        <w:tc>
          <w:tcPr>
            <w:tcW w:w="0" w:type="dxa"/>
            <w:shd w:val="clear" w:color="auto" w:fill="D2EEED"/>
          </w:tcPr>
          <w:p w14:paraId="2BA79A32" w14:textId="5F543632" w:rsidR="00E6232E" w:rsidRPr="00FF1A57" w:rsidRDefault="00F92ABE" w:rsidP="00BB29E3">
            <w:pPr>
              <w:pStyle w:val="TableTextLeft"/>
              <w:cnfStyle w:val="000000100000" w:firstRow="0" w:lastRow="0" w:firstColumn="0" w:lastColumn="0" w:oddVBand="0" w:evenVBand="0" w:oddHBand="1" w:evenHBand="0" w:firstRowFirstColumn="0" w:firstRowLastColumn="0" w:lastRowFirstColumn="0" w:lastRowLastColumn="0"/>
              <w:rPr>
                <w:szCs w:val="20"/>
                <w:lang w:eastAsia="en-US"/>
              </w:rPr>
            </w:pPr>
            <w:r>
              <w:rPr>
                <w:szCs w:val="20"/>
                <w:lang w:eastAsia="en-US"/>
              </w:rPr>
              <w:t>Co</w:t>
            </w:r>
            <w:r w:rsidR="00E6232E" w:rsidRPr="00FF1A57">
              <w:rPr>
                <w:szCs w:val="20"/>
                <w:lang w:eastAsia="en-US"/>
              </w:rPr>
              <w:t>ntains the tools, rules and accreditation criteria to govern an identity federation. It provides the required structure and controls to deliver confidence to participants that all accredited providers in an identity federation have met their accreditation obligations and as such may be considered trustworthy.</w:t>
            </w:r>
          </w:p>
        </w:tc>
      </w:tr>
      <w:tr w:rsidR="00E6232E" w:rsidRPr="000B7589" w14:paraId="38195FAB" w14:textId="77777777" w:rsidTr="00F1619B">
        <w:tc>
          <w:tcPr>
            <w:cnfStyle w:val="001000000000" w:firstRow="0" w:lastRow="0" w:firstColumn="1" w:lastColumn="0" w:oddVBand="0" w:evenVBand="0" w:oddHBand="0" w:evenHBand="0" w:firstRowFirstColumn="0" w:firstRowLastColumn="0" w:lastRowFirstColumn="0" w:lastRowLastColumn="0"/>
            <w:tcW w:w="0" w:type="dxa"/>
          </w:tcPr>
          <w:p w14:paraId="5BEB26A7" w14:textId="2F8B1A03" w:rsidR="00E6232E" w:rsidRPr="00F1619B" w:rsidRDefault="00E6232E" w:rsidP="00BB29E3">
            <w:pPr>
              <w:pStyle w:val="TableTextLeft"/>
              <w:rPr>
                <w:color w:val="008675"/>
                <w:szCs w:val="20"/>
                <w:lang w:eastAsia="en-US"/>
              </w:rPr>
            </w:pPr>
            <w:r w:rsidRPr="00F1619B">
              <w:rPr>
                <w:color w:val="008675"/>
                <w:szCs w:val="20"/>
                <w:lang w:eastAsia="en-US"/>
              </w:rPr>
              <w:t>World Economic Forum (WEF)</w:t>
            </w:r>
          </w:p>
        </w:tc>
        <w:tc>
          <w:tcPr>
            <w:tcW w:w="0" w:type="dxa"/>
          </w:tcPr>
          <w:p w14:paraId="6736B061" w14:textId="75A92CBE" w:rsidR="00E6232E" w:rsidRPr="00FF1A57" w:rsidRDefault="00A36F9D" w:rsidP="00BB29E3">
            <w:pPr>
              <w:pStyle w:val="TableTextLeft"/>
              <w:cnfStyle w:val="000000000000" w:firstRow="0" w:lastRow="0" w:firstColumn="0" w:lastColumn="0" w:oddVBand="0" w:evenVBand="0" w:oddHBand="0" w:evenHBand="0" w:firstRowFirstColumn="0" w:firstRowLastColumn="0" w:lastRowFirstColumn="0" w:lastRowLastColumn="0"/>
              <w:rPr>
                <w:szCs w:val="20"/>
                <w:lang w:eastAsia="en-US"/>
              </w:rPr>
            </w:pPr>
            <w:r>
              <w:rPr>
                <w:szCs w:val="20"/>
                <w:lang w:eastAsia="en-US"/>
              </w:rPr>
              <w:t>I</w:t>
            </w:r>
            <w:r w:rsidR="00E6232E" w:rsidRPr="00FF1A57">
              <w:rPr>
                <w:szCs w:val="20"/>
                <w:lang w:eastAsia="en-US"/>
              </w:rPr>
              <w:t xml:space="preserve">nternational NGO founded </w:t>
            </w:r>
            <w:r w:rsidR="005C798D">
              <w:rPr>
                <w:szCs w:val="20"/>
                <w:lang w:eastAsia="en-US"/>
              </w:rPr>
              <w:t>in</w:t>
            </w:r>
            <w:r w:rsidR="00E6232E" w:rsidRPr="00FF1A57">
              <w:rPr>
                <w:szCs w:val="20"/>
                <w:lang w:eastAsia="en-US"/>
              </w:rPr>
              <w:t xml:space="preserve"> 1971</w:t>
            </w:r>
            <w:r w:rsidR="00F92ABE">
              <w:rPr>
                <w:szCs w:val="20"/>
                <w:lang w:eastAsia="en-US"/>
              </w:rPr>
              <w:t>, t</w:t>
            </w:r>
            <w:r w:rsidR="00823CAF" w:rsidRPr="00FF1A57">
              <w:rPr>
                <w:szCs w:val="20"/>
                <w:lang w:eastAsia="en-US"/>
              </w:rPr>
              <w:t>he</w:t>
            </w:r>
            <w:r w:rsidR="00E6232E" w:rsidRPr="00FF1A57">
              <w:rPr>
                <w:szCs w:val="20"/>
                <w:lang w:eastAsia="en-US"/>
              </w:rPr>
              <w:t xml:space="preserve"> WEF's mission is stated as ‘‘committed to improving the state of the world by engaging business, political, academic, and other leaders of society to shape global, regional, and industry agendas</w:t>
            </w:r>
            <w:r w:rsidR="0013523E" w:rsidRPr="00FF1A57">
              <w:rPr>
                <w:szCs w:val="20"/>
                <w:lang w:eastAsia="en-US"/>
              </w:rPr>
              <w:t>”.</w:t>
            </w:r>
          </w:p>
        </w:tc>
      </w:tr>
    </w:tbl>
    <w:p w14:paraId="522E0935" w14:textId="6812E0C2" w:rsidR="00E6232E" w:rsidRPr="00F1619B" w:rsidRDefault="6F742460" w:rsidP="005B6FD2">
      <w:pPr>
        <w:pStyle w:val="Heading1NoNumbers"/>
        <w:rPr>
          <w:color w:val="008675"/>
          <w:lang w:eastAsia="en-US"/>
        </w:rPr>
      </w:pPr>
      <w:r>
        <w:lastRenderedPageBreak/>
        <w:br w:type="page"/>
      </w:r>
      <w:bookmarkStart w:id="664" w:name="_Appendix_B_–"/>
      <w:bookmarkStart w:id="665" w:name="_Ref72270364"/>
      <w:bookmarkStart w:id="666" w:name="_Toc83951222"/>
      <w:bookmarkStart w:id="667" w:name="_Toc84925847"/>
      <w:bookmarkStart w:id="668" w:name="_Toc84925920"/>
      <w:bookmarkStart w:id="669" w:name="_Toc86045164"/>
      <w:bookmarkStart w:id="670" w:name="_Toc86070061"/>
      <w:bookmarkStart w:id="671" w:name="_Toc149740370"/>
      <w:bookmarkEnd w:id="664"/>
      <w:r w:rsidR="00511F1B" w:rsidRPr="00F1619B">
        <w:rPr>
          <w:color w:val="008675"/>
          <w:lang w:eastAsia="en-US"/>
        </w:rPr>
        <w:lastRenderedPageBreak/>
        <w:t xml:space="preserve">Appendix B </w:t>
      </w:r>
      <w:r w:rsidR="0098502F" w:rsidRPr="00F1619B">
        <w:rPr>
          <w:color w:val="008675"/>
          <w:lang w:eastAsia="en-US"/>
        </w:rPr>
        <w:t>–</w:t>
      </w:r>
      <w:r w:rsidR="00511F1B" w:rsidRPr="00F1619B">
        <w:rPr>
          <w:color w:val="008675"/>
          <w:lang w:eastAsia="en-US"/>
        </w:rPr>
        <w:t xml:space="preserve"> </w:t>
      </w:r>
      <w:r w:rsidR="00B062C4" w:rsidRPr="00F1619B">
        <w:rPr>
          <w:color w:val="008675"/>
          <w:lang w:eastAsia="en-US"/>
        </w:rPr>
        <w:t>E</w:t>
      </w:r>
      <w:r w:rsidR="00E6232E" w:rsidRPr="00F1619B">
        <w:rPr>
          <w:color w:val="008675"/>
          <w:lang w:eastAsia="en-US"/>
        </w:rPr>
        <w:t xml:space="preserve">ntities, </w:t>
      </w:r>
      <w:r w:rsidR="007268C7" w:rsidRPr="00F1619B">
        <w:rPr>
          <w:color w:val="008675"/>
          <w:lang w:eastAsia="en-US"/>
        </w:rPr>
        <w:t>i</w:t>
      </w:r>
      <w:r w:rsidR="00E6232E" w:rsidRPr="00F1619B">
        <w:rPr>
          <w:color w:val="008675"/>
          <w:lang w:eastAsia="en-US"/>
        </w:rPr>
        <w:t xml:space="preserve">nteractions and </w:t>
      </w:r>
      <w:r w:rsidR="007268C7" w:rsidRPr="00F1619B">
        <w:rPr>
          <w:color w:val="008675"/>
          <w:lang w:eastAsia="en-US"/>
        </w:rPr>
        <w:t>i</w:t>
      </w:r>
      <w:r w:rsidR="00E6232E" w:rsidRPr="00F1619B">
        <w:rPr>
          <w:color w:val="008675"/>
          <w:lang w:eastAsia="en-US"/>
        </w:rPr>
        <w:t xml:space="preserve">ncentives within the </w:t>
      </w:r>
      <w:r w:rsidR="007268C7" w:rsidRPr="00F1619B">
        <w:rPr>
          <w:color w:val="008675"/>
          <w:lang w:eastAsia="en-US"/>
        </w:rPr>
        <w:t>c</w:t>
      </w:r>
      <w:r w:rsidR="00E6232E" w:rsidRPr="00F1619B">
        <w:rPr>
          <w:color w:val="008675"/>
          <w:lang w:eastAsia="en-US"/>
        </w:rPr>
        <w:t xml:space="preserve">urrent </w:t>
      </w:r>
      <w:r w:rsidR="00DF50AB" w:rsidRPr="00F1619B">
        <w:rPr>
          <w:color w:val="008675"/>
          <w:lang w:eastAsia="en-US"/>
        </w:rPr>
        <w:t xml:space="preserve">Digital ID </w:t>
      </w:r>
      <w:r w:rsidR="00E6232E" w:rsidRPr="00F1619B">
        <w:rPr>
          <w:color w:val="008675"/>
          <w:lang w:eastAsia="en-US"/>
        </w:rPr>
        <w:t>System</w:t>
      </w:r>
      <w:bookmarkEnd w:id="665"/>
      <w:bookmarkEnd w:id="666"/>
      <w:bookmarkEnd w:id="667"/>
      <w:bookmarkEnd w:id="668"/>
      <w:bookmarkEnd w:id="669"/>
      <w:bookmarkEnd w:id="670"/>
      <w:bookmarkEnd w:id="671"/>
      <w:r w:rsidR="00E6232E" w:rsidRPr="00F1619B">
        <w:rPr>
          <w:color w:val="008675"/>
          <w:lang w:eastAsia="en-US"/>
        </w:rPr>
        <w:t xml:space="preserve"> </w:t>
      </w:r>
    </w:p>
    <w:p w14:paraId="1FA08712" w14:textId="3C9D4FC5" w:rsidR="00292A96" w:rsidRPr="00437F26" w:rsidRDefault="0070798E" w:rsidP="00BB29E3">
      <w:pPr>
        <w:pStyle w:val="BodyText"/>
      </w:pPr>
      <w:r>
        <w:rPr>
          <w:lang w:eastAsia="en-US"/>
        </w:rPr>
        <w:t>Table 8</w:t>
      </w:r>
      <w:r w:rsidR="00E6232E" w:rsidRPr="000B7589">
        <w:rPr>
          <w:lang w:eastAsia="en-US"/>
        </w:rPr>
        <w:t xml:space="preserve"> provides a more detailed description of the specific interactions and likely incentives of each type of entity currently involved in the </w:t>
      </w:r>
      <w:r w:rsidR="00DF50AB">
        <w:rPr>
          <w:lang w:eastAsia="en-US"/>
        </w:rPr>
        <w:t xml:space="preserve">Digital ID </w:t>
      </w:r>
      <w:r w:rsidR="00E6232E" w:rsidRPr="000B7589">
        <w:rPr>
          <w:lang w:eastAsia="en-US"/>
        </w:rPr>
        <w:t xml:space="preserve">System, as described </w:t>
      </w:r>
      <w:r w:rsidR="00173A23">
        <w:rPr>
          <w:lang w:eastAsia="en-US"/>
        </w:rPr>
        <w:t xml:space="preserve">and depicted </w:t>
      </w:r>
      <w:r w:rsidR="00E6232E" w:rsidRPr="000B7589">
        <w:rPr>
          <w:lang w:eastAsia="en-US"/>
        </w:rPr>
        <w:t xml:space="preserve">in </w:t>
      </w:r>
      <w:r w:rsidR="005F20E9" w:rsidRPr="00F1619B">
        <w:rPr>
          <w:color w:val="008675"/>
        </w:rPr>
        <w:t>S</w:t>
      </w:r>
      <w:r w:rsidR="00E6232E" w:rsidRPr="00F1619B">
        <w:rPr>
          <w:color w:val="008675"/>
        </w:rPr>
        <w:t xml:space="preserve">ection </w:t>
      </w:r>
      <w:r w:rsidR="00E6232E" w:rsidRPr="00F1619B">
        <w:rPr>
          <w:color w:val="008675"/>
        </w:rPr>
        <w:fldChar w:fldCharType="begin"/>
      </w:r>
      <w:r w:rsidR="00E6232E" w:rsidRPr="00F1619B">
        <w:rPr>
          <w:color w:val="008675"/>
        </w:rPr>
        <w:instrText xml:space="preserve"> REF _Ref72268829 \h  \* MERGEFORMAT </w:instrText>
      </w:r>
      <w:r w:rsidR="00E6232E" w:rsidRPr="00F1619B">
        <w:rPr>
          <w:color w:val="008675"/>
        </w:rPr>
      </w:r>
      <w:r w:rsidR="00E6232E" w:rsidRPr="00F1619B">
        <w:rPr>
          <w:color w:val="008675"/>
        </w:rPr>
        <w:fldChar w:fldCharType="separate"/>
      </w:r>
      <w:r w:rsidR="00DF50AB" w:rsidRPr="00F1619B">
        <w:rPr>
          <w:color w:val="008675"/>
        </w:rPr>
        <w:t>2.3.3 Entities, interactions and incentives within the current Digital ID System</w:t>
      </w:r>
      <w:r w:rsidR="00E6232E" w:rsidRPr="00F1619B">
        <w:rPr>
          <w:color w:val="008675"/>
        </w:rPr>
        <w:fldChar w:fldCharType="end"/>
      </w:r>
      <w:r w:rsidR="00E6232E" w:rsidRPr="00437F26">
        <w:t>.</w:t>
      </w:r>
    </w:p>
    <w:tbl>
      <w:tblPr>
        <w:tblStyle w:val="GridTable2-Accent3"/>
        <w:tblW w:w="9214"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386"/>
        <w:gridCol w:w="5560"/>
        <w:gridCol w:w="2268"/>
      </w:tblGrid>
      <w:tr w:rsidR="003221C7" w:rsidRPr="003221C7" w14:paraId="61CE516A" w14:textId="77777777" w:rsidTr="001548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86" w:type="dxa"/>
          </w:tcPr>
          <w:p w14:paraId="3B309EF2" w14:textId="41FDCDD0" w:rsidR="00292A96" w:rsidRPr="00F1619B" w:rsidRDefault="00A52B4B" w:rsidP="000C1E18">
            <w:pPr>
              <w:pStyle w:val="TableTextLeft"/>
              <w:rPr>
                <w:color w:val="008675"/>
              </w:rPr>
            </w:pPr>
            <w:r w:rsidRPr="00F1619B">
              <w:rPr>
                <w:color w:val="008675"/>
              </w:rPr>
              <w:t>Entity t</w:t>
            </w:r>
            <w:r w:rsidR="00292A96" w:rsidRPr="00F1619B">
              <w:rPr>
                <w:color w:val="008675"/>
              </w:rPr>
              <w:t>ype</w:t>
            </w:r>
          </w:p>
        </w:tc>
        <w:tc>
          <w:tcPr>
            <w:tcW w:w="5560" w:type="dxa"/>
          </w:tcPr>
          <w:p w14:paraId="534E713F" w14:textId="1ED6A8DD" w:rsidR="00292A96" w:rsidRPr="00F1619B" w:rsidRDefault="00292A96" w:rsidP="000C1E18">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F1619B">
              <w:rPr>
                <w:color w:val="008675"/>
              </w:rPr>
              <w:t xml:space="preserve">Role, </w:t>
            </w:r>
            <w:r w:rsidR="007268C7" w:rsidRPr="00F1619B">
              <w:rPr>
                <w:color w:val="008675"/>
              </w:rPr>
              <w:t>i</w:t>
            </w:r>
            <w:r w:rsidRPr="00F1619B">
              <w:rPr>
                <w:color w:val="008675"/>
              </w:rPr>
              <w:t xml:space="preserve">nteractions and </w:t>
            </w:r>
            <w:r w:rsidR="007268C7" w:rsidRPr="00F1619B">
              <w:rPr>
                <w:color w:val="008675"/>
              </w:rPr>
              <w:t>i</w:t>
            </w:r>
            <w:r w:rsidRPr="00F1619B">
              <w:rPr>
                <w:color w:val="008675"/>
              </w:rPr>
              <w:t xml:space="preserve">ncentives </w:t>
            </w:r>
            <w:r w:rsidR="009C737C" w:rsidRPr="00F1619B">
              <w:rPr>
                <w:color w:val="008675"/>
              </w:rPr>
              <w:t xml:space="preserve">within </w:t>
            </w:r>
            <w:r w:rsidR="007268C7" w:rsidRPr="00F1619B">
              <w:rPr>
                <w:color w:val="008675"/>
              </w:rPr>
              <w:t>c</w:t>
            </w:r>
            <w:r w:rsidR="009C737C" w:rsidRPr="00F1619B">
              <w:rPr>
                <w:color w:val="008675"/>
              </w:rPr>
              <w:t xml:space="preserve">urrent </w:t>
            </w:r>
            <w:r w:rsidR="00DF50AB" w:rsidRPr="00F1619B">
              <w:rPr>
                <w:color w:val="008675"/>
              </w:rPr>
              <w:t xml:space="preserve">Digital ID </w:t>
            </w:r>
            <w:r w:rsidRPr="00F1619B">
              <w:rPr>
                <w:color w:val="008675"/>
              </w:rPr>
              <w:t>System</w:t>
            </w:r>
          </w:p>
        </w:tc>
        <w:tc>
          <w:tcPr>
            <w:tcW w:w="2268" w:type="dxa"/>
          </w:tcPr>
          <w:p w14:paraId="035B54BC" w14:textId="3636986E" w:rsidR="00292A96" w:rsidRPr="00F1619B" w:rsidRDefault="00292A96" w:rsidP="000C1E18">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F1619B">
              <w:rPr>
                <w:color w:val="008675"/>
              </w:rPr>
              <w:t xml:space="preserve">Example </w:t>
            </w:r>
            <w:r w:rsidR="007268C7" w:rsidRPr="00F1619B">
              <w:rPr>
                <w:color w:val="008675"/>
              </w:rPr>
              <w:t>p</w:t>
            </w:r>
            <w:r w:rsidRPr="00F1619B">
              <w:rPr>
                <w:color w:val="008675"/>
              </w:rPr>
              <w:t>articipants</w:t>
            </w:r>
          </w:p>
        </w:tc>
      </w:tr>
      <w:tr w:rsidR="003221C7" w:rsidRPr="003221C7" w14:paraId="45E0BA1F" w14:textId="77777777" w:rsidTr="00154831">
        <w:trPr>
          <w:gridAfter w:val="2"/>
          <w:cnfStyle w:val="000000100000" w:firstRow="0" w:lastRow="0" w:firstColumn="0" w:lastColumn="0" w:oddVBand="0" w:evenVBand="0" w:oddHBand="1" w:evenHBand="0" w:firstRowFirstColumn="0" w:firstRowLastColumn="0" w:lastRowFirstColumn="0" w:lastRowLastColumn="0"/>
          <w:wAfter w:w="7828" w:type="dxa"/>
          <w:trHeight w:val="20"/>
        </w:trPr>
        <w:tc>
          <w:tcPr>
            <w:cnfStyle w:val="001000000000" w:firstRow="0" w:lastRow="0" w:firstColumn="1" w:lastColumn="0" w:oddVBand="0" w:evenVBand="0" w:oddHBand="0" w:evenHBand="0" w:firstRowFirstColumn="0" w:firstRowLastColumn="0" w:lastRowFirstColumn="0" w:lastRowLastColumn="0"/>
            <w:tcW w:w="1386" w:type="dxa"/>
            <w:shd w:val="clear" w:color="auto" w:fill="D2EEED"/>
          </w:tcPr>
          <w:p w14:paraId="43163449" w14:textId="77E71C1A" w:rsidR="00292A96" w:rsidRPr="00F1619B" w:rsidRDefault="00651CA6" w:rsidP="00BB29E3">
            <w:pPr>
              <w:pStyle w:val="TableTextLeft"/>
              <w:rPr>
                <w:color w:val="008675"/>
                <w:lang w:eastAsia="en-US"/>
              </w:rPr>
            </w:pPr>
            <w:r w:rsidRPr="00F1619B">
              <w:rPr>
                <w:color w:val="008675"/>
                <w:lang w:eastAsia="en-US"/>
              </w:rPr>
              <w:t>Onboarded accredited entity</w:t>
            </w:r>
          </w:p>
        </w:tc>
      </w:tr>
      <w:tr w:rsidR="00292A96" w:rsidRPr="000B7589" w14:paraId="162589BD" w14:textId="77777777" w:rsidTr="00154831">
        <w:trPr>
          <w:trHeight w:val="20"/>
        </w:trPr>
        <w:tc>
          <w:tcPr>
            <w:cnfStyle w:val="001000000000" w:firstRow="0" w:lastRow="0" w:firstColumn="1" w:lastColumn="0" w:oddVBand="0" w:evenVBand="0" w:oddHBand="0" w:evenHBand="0" w:firstRowFirstColumn="0" w:firstRowLastColumn="0" w:lastRowFirstColumn="0" w:lastRowLastColumn="0"/>
            <w:tcW w:w="1386" w:type="dxa"/>
          </w:tcPr>
          <w:p w14:paraId="17CA4FF2" w14:textId="17DFB3A1" w:rsidR="00292A96" w:rsidRPr="006A7524" w:rsidRDefault="00292A96" w:rsidP="00BB29E3">
            <w:pPr>
              <w:pStyle w:val="TableTextLeft"/>
              <w:rPr>
                <w:b w:val="0"/>
                <w:bCs w:val="0"/>
                <w:lang w:eastAsia="en-US"/>
              </w:rPr>
            </w:pPr>
            <w:r w:rsidRPr="003C5930">
              <w:rPr>
                <w:b w:val="0"/>
                <w:bCs w:val="0"/>
                <w:lang w:eastAsia="en-US"/>
              </w:rPr>
              <w:t xml:space="preserve">Identity </w:t>
            </w:r>
            <w:r w:rsidR="00902684">
              <w:rPr>
                <w:b w:val="0"/>
                <w:bCs w:val="0"/>
                <w:lang w:eastAsia="en-US"/>
              </w:rPr>
              <w:t>p</w:t>
            </w:r>
            <w:r w:rsidRPr="003C5930">
              <w:rPr>
                <w:b w:val="0"/>
                <w:bCs w:val="0"/>
                <w:lang w:eastAsia="en-US"/>
              </w:rPr>
              <w:t>rovider</w:t>
            </w:r>
            <w:r w:rsidR="006A7524">
              <w:rPr>
                <w:b w:val="0"/>
                <w:bCs w:val="0"/>
                <w:lang w:eastAsia="en-US"/>
              </w:rPr>
              <w:t xml:space="preserve"> </w:t>
            </w:r>
            <w:r w:rsidRPr="003C5930">
              <w:rPr>
                <w:b w:val="0"/>
                <w:bCs w:val="0"/>
                <w:lang w:eastAsia="en-US"/>
              </w:rPr>
              <w:t>(IDP)</w:t>
            </w:r>
          </w:p>
        </w:tc>
        <w:tc>
          <w:tcPr>
            <w:tcW w:w="5560" w:type="dxa"/>
          </w:tcPr>
          <w:p w14:paraId="544982D9" w14:textId="7CCFA336" w:rsidR="0029144B" w:rsidRPr="0029144B" w:rsidRDefault="0029144B"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29144B">
              <w:rPr>
                <w:szCs w:val="18"/>
                <w:u w:val="single"/>
                <w:lang w:eastAsia="en-US"/>
              </w:rPr>
              <w:t>Role:</w:t>
            </w:r>
            <w:r w:rsidRPr="0029144B">
              <w:rPr>
                <w:szCs w:val="18"/>
                <w:lang w:eastAsia="en-US"/>
              </w:rPr>
              <w:t xml:space="preserve"> Provides the platform for verifying the identity of an individual online. IDPs undertake primary verification of an individual when a Digital I</w:t>
            </w:r>
            <w:r w:rsidR="00EB2443">
              <w:rPr>
                <w:szCs w:val="18"/>
                <w:lang w:eastAsia="en-US"/>
              </w:rPr>
              <w:t>D</w:t>
            </w:r>
            <w:r w:rsidRPr="0029144B">
              <w:rPr>
                <w:szCs w:val="18"/>
                <w:lang w:eastAsia="en-US"/>
              </w:rPr>
              <w:t xml:space="preserve"> is established, and act as a conduit for the verification of additional information about individuals held by different </w:t>
            </w:r>
            <w:r w:rsidR="00C7443F">
              <w:rPr>
                <w:szCs w:val="18"/>
                <w:lang w:eastAsia="en-US"/>
              </w:rPr>
              <w:t>p</w:t>
            </w:r>
            <w:r w:rsidRPr="0029144B">
              <w:rPr>
                <w:szCs w:val="18"/>
                <w:lang w:eastAsia="en-US"/>
              </w:rPr>
              <w:t>articipants. That is, providing a response to the query: ‘Is this person Jane Doe?’</w:t>
            </w:r>
          </w:p>
          <w:p w14:paraId="232D8F75" w14:textId="0D128FDD" w:rsidR="0029144B" w:rsidRPr="0029144B" w:rsidRDefault="0029144B"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29144B">
              <w:rPr>
                <w:szCs w:val="18"/>
                <w:lang w:eastAsia="en-US"/>
              </w:rPr>
              <w:t xml:space="preserve">Consistent with the ‘choice’ principle, was designed to include multiple </w:t>
            </w:r>
            <w:r w:rsidR="0064213C">
              <w:rPr>
                <w:szCs w:val="18"/>
                <w:lang w:eastAsia="en-US"/>
              </w:rPr>
              <w:t>IDPs</w:t>
            </w:r>
            <w:r w:rsidRPr="0029144B">
              <w:rPr>
                <w:szCs w:val="18"/>
                <w:lang w:eastAsia="en-US"/>
              </w:rPr>
              <w:t xml:space="preserve">, both government and non-government. If they choose to, people can switch to a different </w:t>
            </w:r>
            <w:r w:rsidR="0064213C">
              <w:rPr>
                <w:szCs w:val="18"/>
                <w:lang w:eastAsia="en-US"/>
              </w:rPr>
              <w:t>IDP</w:t>
            </w:r>
            <w:r w:rsidRPr="0029144B">
              <w:rPr>
                <w:szCs w:val="18"/>
                <w:lang w:eastAsia="en-US"/>
              </w:rPr>
              <w:t xml:space="preserve"> </w:t>
            </w:r>
            <w:r w:rsidRPr="007B5962">
              <w:rPr>
                <w:szCs w:val="18"/>
                <w:lang w:eastAsia="en-US"/>
              </w:rPr>
              <w:t xml:space="preserve">while maintaining access to identity services. </w:t>
            </w:r>
            <w:r w:rsidR="00AD23C4">
              <w:rPr>
                <w:szCs w:val="18"/>
                <w:lang w:eastAsia="en-US"/>
              </w:rPr>
              <w:t xml:space="preserve">One </w:t>
            </w:r>
            <w:r w:rsidRPr="007B5962">
              <w:rPr>
                <w:szCs w:val="18"/>
                <w:lang w:eastAsia="en-US"/>
              </w:rPr>
              <w:t>non-</w:t>
            </w:r>
            <w:r w:rsidR="002F366A">
              <w:rPr>
                <w:lang w:eastAsia="en-US"/>
              </w:rPr>
              <w:t>Australian Government</w:t>
            </w:r>
            <w:r w:rsidR="002F366A" w:rsidRPr="007B5962" w:rsidDel="002F366A">
              <w:rPr>
                <w:szCs w:val="18"/>
                <w:lang w:eastAsia="en-US"/>
              </w:rPr>
              <w:t xml:space="preserve"> </w:t>
            </w:r>
            <w:r w:rsidRPr="007B5962">
              <w:rPr>
                <w:szCs w:val="18"/>
                <w:lang w:eastAsia="en-US"/>
              </w:rPr>
              <w:t>IDP</w:t>
            </w:r>
            <w:r w:rsidR="00B13F55">
              <w:rPr>
                <w:szCs w:val="18"/>
                <w:lang w:eastAsia="en-US"/>
              </w:rPr>
              <w:t>s</w:t>
            </w:r>
            <w:r w:rsidRPr="007B5962">
              <w:rPr>
                <w:szCs w:val="18"/>
                <w:lang w:eastAsia="en-US"/>
              </w:rPr>
              <w:t xml:space="preserve"> (Australia Post’s Digital </w:t>
            </w:r>
            <w:proofErr w:type="spellStart"/>
            <w:r w:rsidRPr="007B5962">
              <w:rPr>
                <w:szCs w:val="18"/>
                <w:lang w:eastAsia="en-US"/>
              </w:rPr>
              <w:t>iD</w:t>
            </w:r>
            <w:proofErr w:type="spellEnd"/>
            <w:r w:rsidRPr="007B5962">
              <w:rPr>
                <w:szCs w:val="18"/>
                <w:lang w:eastAsia="en-US"/>
              </w:rPr>
              <w:t xml:space="preserve">) </w:t>
            </w:r>
            <w:r w:rsidR="00B13F55">
              <w:rPr>
                <w:szCs w:val="18"/>
                <w:lang w:eastAsia="en-US"/>
              </w:rPr>
              <w:t xml:space="preserve">have </w:t>
            </w:r>
            <w:r w:rsidRPr="007B5962">
              <w:rPr>
                <w:szCs w:val="18"/>
                <w:lang w:eastAsia="en-US"/>
              </w:rPr>
              <w:t xml:space="preserve">been accredited but </w:t>
            </w:r>
            <w:r w:rsidR="00B13F55">
              <w:rPr>
                <w:szCs w:val="18"/>
                <w:lang w:eastAsia="en-US"/>
              </w:rPr>
              <w:t>are</w:t>
            </w:r>
            <w:r w:rsidRPr="007B5962">
              <w:rPr>
                <w:szCs w:val="18"/>
                <w:lang w:eastAsia="en-US"/>
              </w:rPr>
              <w:t xml:space="preserve"> not onboarded and available for individuals to select.</w:t>
            </w:r>
          </w:p>
          <w:p w14:paraId="25E54011" w14:textId="1C25CD28" w:rsidR="0029144B" w:rsidRPr="0029144B" w:rsidRDefault="0029144B"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29144B">
              <w:rPr>
                <w:szCs w:val="18"/>
                <w:u w:val="single"/>
                <w:lang w:eastAsia="en-US"/>
              </w:rPr>
              <w:t>Interactions:</w:t>
            </w:r>
            <w:r w:rsidRPr="0029144B">
              <w:rPr>
                <w:szCs w:val="18"/>
                <w:lang w:eastAsia="en-US"/>
              </w:rPr>
              <w:t xml:space="preserve"> IDPs are the key contact point between the ‘external’ and ‘internal’ components. They interact directly with people through the creation of Digital I</w:t>
            </w:r>
            <w:r w:rsidR="00EB2443">
              <w:rPr>
                <w:szCs w:val="18"/>
                <w:lang w:eastAsia="en-US"/>
              </w:rPr>
              <w:t>D</w:t>
            </w:r>
            <w:r w:rsidRPr="0029144B">
              <w:rPr>
                <w:szCs w:val="18"/>
                <w:lang w:eastAsia="en-US"/>
              </w:rPr>
              <w:t xml:space="preserve">s, and seek consent from people each time a </w:t>
            </w:r>
            <w:r w:rsidR="003E686E">
              <w:rPr>
                <w:szCs w:val="18"/>
                <w:lang w:eastAsia="en-US"/>
              </w:rPr>
              <w:t>r</w:t>
            </w:r>
            <w:r w:rsidRPr="0029144B">
              <w:rPr>
                <w:szCs w:val="18"/>
                <w:lang w:eastAsia="en-US"/>
              </w:rPr>
              <w:t xml:space="preserve">elying </w:t>
            </w:r>
            <w:r w:rsidR="003E686E">
              <w:rPr>
                <w:szCs w:val="18"/>
                <w:lang w:eastAsia="en-US"/>
              </w:rPr>
              <w:t>p</w:t>
            </w:r>
            <w:r w:rsidRPr="0029144B">
              <w:rPr>
                <w:szCs w:val="18"/>
                <w:lang w:eastAsia="en-US"/>
              </w:rPr>
              <w:t xml:space="preserve">arty seeks confirmation of their identity. They also interact directly with </w:t>
            </w:r>
            <w:r w:rsidR="003E686E">
              <w:rPr>
                <w:szCs w:val="18"/>
                <w:lang w:eastAsia="en-US"/>
              </w:rPr>
              <w:t>r</w:t>
            </w:r>
            <w:r w:rsidRPr="0029144B">
              <w:rPr>
                <w:szCs w:val="18"/>
                <w:lang w:eastAsia="en-US"/>
              </w:rPr>
              <w:t xml:space="preserve">elying </w:t>
            </w:r>
            <w:r w:rsidR="003E686E">
              <w:rPr>
                <w:szCs w:val="18"/>
                <w:lang w:eastAsia="en-US"/>
              </w:rPr>
              <w:t>p</w:t>
            </w:r>
            <w:r w:rsidRPr="0029144B">
              <w:rPr>
                <w:szCs w:val="18"/>
                <w:lang w:eastAsia="en-US"/>
              </w:rPr>
              <w:t>arties to receive and action requests for identity verification.</w:t>
            </w:r>
          </w:p>
          <w:p w14:paraId="66D7875E" w14:textId="5846D463" w:rsidR="0029144B" w:rsidRPr="0029144B" w:rsidRDefault="0029144B" w:rsidP="00BB29E3">
            <w:pPr>
              <w:pStyle w:val="TableTextLeft"/>
              <w:cnfStyle w:val="000000000000" w:firstRow="0" w:lastRow="0" w:firstColumn="0" w:lastColumn="0" w:oddVBand="0" w:evenVBand="0" w:oddHBand="0" w:evenHBand="0" w:firstRowFirstColumn="0" w:firstRowLastColumn="0" w:lastRowFirstColumn="0" w:lastRowLastColumn="0"/>
              <w:rPr>
                <w:szCs w:val="18"/>
                <w:u w:val="single"/>
                <w:lang w:eastAsia="en-US"/>
              </w:rPr>
            </w:pPr>
            <w:r w:rsidRPr="0029144B">
              <w:rPr>
                <w:szCs w:val="18"/>
                <w:lang w:eastAsia="en-US"/>
              </w:rPr>
              <w:t xml:space="preserve">Within the TDIF, IDPs then interact with an </w:t>
            </w:r>
            <w:r w:rsidR="00353A8A">
              <w:rPr>
                <w:szCs w:val="18"/>
                <w:lang w:eastAsia="en-US"/>
              </w:rPr>
              <w:t>IDX</w:t>
            </w:r>
            <w:r w:rsidRPr="0029144B">
              <w:rPr>
                <w:szCs w:val="18"/>
                <w:lang w:eastAsia="en-US"/>
              </w:rPr>
              <w:t xml:space="preserve"> to confirm an individual’s identity details. The </w:t>
            </w:r>
            <w:r w:rsidR="003054AF">
              <w:rPr>
                <w:szCs w:val="18"/>
                <w:lang w:eastAsia="en-US"/>
              </w:rPr>
              <w:t>arrangements are</w:t>
            </w:r>
            <w:r w:rsidRPr="0029144B">
              <w:rPr>
                <w:szCs w:val="18"/>
                <w:lang w:eastAsia="en-US"/>
              </w:rPr>
              <w:t xml:space="preserve"> designed to ensure that IDPs do not have access to information about the services individuals’ access.</w:t>
            </w:r>
          </w:p>
          <w:p w14:paraId="75710E04" w14:textId="687AD7C4" w:rsidR="0029144B" w:rsidRPr="0029144B" w:rsidRDefault="0029144B"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29144B">
              <w:rPr>
                <w:szCs w:val="18"/>
                <w:u w:val="single"/>
                <w:lang w:eastAsia="en-US"/>
              </w:rPr>
              <w:t>Incentives</w:t>
            </w:r>
            <w:r w:rsidRPr="0029144B">
              <w:rPr>
                <w:szCs w:val="18"/>
                <w:lang w:eastAsia="en-US"/>
              </w:rPr>
              <w:t>: The existing IDP is a</w:t>
            </w:r>
            <w:r w:rsidR="002F366A">
              <w:rPr>
                <w:szCs w:val="18"/>
                <w:lang w:eastAsia="en-US"/>
              </w:rPr>
              <w:t>n</w:t>
            </w:r>
            <w:r w:rsidRPr="0029144B">
              <w:rPr>
                <w:szCs w:val="18"/>
                <w:lang w:eastAsia="en-US"/>
              </w:rPr>
              <w:t xml:space="preserve"> </w:t>
            </w:r>
            <w:r w:rsidR="002F366A">
              <w:rPr>
                <w:lang w:eastAsia="en-US"/>
              </w:rPr>
              <w:t>Australian Government</w:t>
            </w:r>
            <w:r w:rsidR="002F366A" w:rsidRPr="0029144B" w:rsidDel="002F366A">
              <w:rPr>
                <w:szCs w:val="18"/>
                <w:lang w:eastAsia="en-US"/>
              </w:rPr>
              <w:t xml:space="preserve"> </w:t>
            </w:r>
            <w:r w:rsidR="004F51AC">
              <w:rPr>
                <w:szCs w:val="18"/>
                <w:lang w:eastAsia="en-US"/>
              </w:rPr>
              <w:t>agency</w:t>
            </w:r>
            <w:r w:rsidRPr="0029144B">
              <w:rPr>
                <w:szCs w:val="18"/>
                <w:lang w:eastAsia="en-US"/>
              </w:rPr>
              <w:t>. It is incentivised to generate ongoing growth in uptake of Digital I</w:t>
            </w:r>
            <w:r w:rsidR="00EB2443">
              <w:rPr>
                <w:szCs w:val="18"/>
                <w:lang w:eastAsia="en-US"/>
              </w:rPr>
              <w:t>D</w:t>
            </w:r>
            <w:r w:rsidRPr="0029144B">
              <w:rPr>
                <w:szCs w:val="18"/>
                <w:lang w:eastAsia="en-US"/>
              </w:rPr>
              <w:t xml:space="preserve"> because this will support expanded adoption and use, justifying investment to date. At present there is no legislative mechanism by which IDPs can recover costs or charge other </w:t>
            </w:r>
            <w:r w:rsidR="00DF50AB">
              <w:rPr>
                <w:szCs w:val="18"/>
                <w:lang w:eastAsia="en-US"/>
              </w:rPr>
              <w:t xml:space="preserve">Digital ID </w:t>
            </w:r>
            <w:r w:rsidR="002F366A">
              <w:rPr>
                <w:szCs w:val="18"/>
                <w:lang w:eastAsia="en-US"/>
              </w:rPr>
              <w:t>S</w:t>
            </w:r>
            <w:r w:rsidR="002F366A" w:rsidRPr="0029144B">
              <w:rPr>
                <w:szCs w:val="18"/>
                <w:lang w:eastAsia="en-US"/>
              </w:rPr>
              <w:t xml:space="preserve">ystem </w:t>
            </w:r>
            <w:r w:rsidRPr="0029144B">
              <w:rPr>
                <w:szCs w:val="18"/>
                <w:lang w:eastAsia="en-US"/>
              </w:rPr>
              <w:t>participants for their services within the TDIF.</w:t>
            </w:r>
          </w:p>
          <w:p w14:paraId="266AFA9F" w14:textId="23668012" w:rsidR="00292A96" w:rsidRPr="00250310" w:rsidRDefault="0029144B"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250310">
              <w:rPr>
                <w:szCs w:val="18"/>
                <w:lang w:eastAsia="en-US"/>
              </w:rPr>
              <w:lastRenderedPageBreak/>
              <w:t xml:space="preserve">While it is theoretically possible for non-government entities to become IDPs, in practice there are limited incentives to do so because only </w:t>
            </w:r>
            <w:r w:rsidR="002F366A">
              <w:rPr>
                <w:lang w:eastAsia="en-US"/>
              </w:rPr>
              <w:t>Australian Government</w:t>
            </w:r>
            <w:r w:rsidR="002F366A" w:rsidRPr="00250310" w:rsidDel="002F366A">
              <w:rPr>
                <w:szCs w:val="18"/>
                <w:lang w:eastAsia="en-US"/>
              </w:rPr>
              <w:t xml:space="preserve"> </w:t>
            </w:r>
            <w:r w:rsidR="004F51AC">
              <w:rPr>
                <w:szCs w:val="18"/>
                <w:lang w:eastAsia="en-US"/>
              </w:rPr>
              <w:t>agencies</w:t>
            </w:r>
            <w:r w:rsidR="004F51AC" w:rsidRPr="00250310">
              <w:rPr>
                <w:szCs w:val="18"/>
                <w:lang w:eastAsia="en-US"/>
              </w:rPr>
              <w:t xml:space="preserve"> </w:t>
            </w:r>
            <w:r w:rsidRPr="00250310">
              <w:rPr>
                <w:szCs w:val="18"/>
                <w:lang w:eastAsia="en-US"/>
              </w:rPr>
              <w:t xml:space="preserve">can currently become </w:t>
            </w:r>
            <w:r w:rsidR="003E686E">
              <w:rPr>
                <w:szCs w:val="18"/>
                <w:lang w:eastAsia="en-US"/>
              </w:rPr>
              <w:t>r</w:t>
            </w:r>
            <w:r w:rsidRPr="00250310">
              <w:rPr>
                <w:szCs w:val="18"/>
                <w:lang w:eastAsia="en-US"/>
              </w:rPr>
              <w:t xml:space="preserve">elying </w:t>
            </w:r>
            <w:r w:rsidR="003E686E">
              <w:rPr>
                <w:szCs w:val="18"/>
                <w:lang w:eastAsia="en-US"/>
              </w:rPr>
              <w:t>p</w:t>
            </w:r>
            <w:r w:rsidRPr="00250310">
              <w:rPr>
                <w:szCs w:val="18"/>
                <w:lang w:eastAsia="en-US"/>
              </w:rPr>
              <w:t>arties and there is no legislative mechanism for charging. This limits both the potential customer pool and the potential for revenue generation for identity services.</w:t>
            </w:r>
          </w:p>
        </w:tc>
        <w:tc>
          <w:tcPr>
            <w:tcW w:w="0" w:type="dxa"/>
          </w:tcPr>
          <w:p w14:paraId="243E0B42" w14:textId="77777777" w:rsidR="00FD6634" w:rsidRPr="00FD6634" w:rsidRDefault="00FD6634" w:rsidP="00BB29E3">
            <w:pPr>
              <w:pStyle w:val="TableText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FD6634">
              <w:rPr>
                <w:lang w:eastAsia="en-US"/>
              </w:rPr>
              <w:lastRenderedPageBreak/>
              <w:t>myGovID</w:t>
            </w:r>
            <w:proofErr w:type="spellEnd"/>
            <w:r w:rsidRPr="00FD6634">
              <w:rPr>
                <w:lang w:eastAsia="en-US"/>
              </w:rPr>
              <w:t xml:space="preserve"> </w:t>
            </w:r>
          </w:p>
          <w:p w14:paraId="0EB0226E" w14:textId="128EBF81" w:rsidR="00292A96" w:rsidRPr="00FD6634" w:rsidRDefault="00FD6634" w:rsidP="00BB29E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7B5962">
              <w:rPr>
                <w:lang w:eastAsia="en-US"/>
              </w:rPr>
              <w:t xml:space="preserve">Australia Post’s Digital </w:t>
            </w:r>
            <w:proofErr w:type="spellStart"/>
            <w:r w:rsidRPr="007B5962">
              <w:rPr>
                <w:lang w:eastAsia="en-US"/>
              </w:rPr>
              <w:t>iD</w:t>
            </w:r>
            <w:proofErr w:type="spellEnd"/>
            <w:r w:rsidRPr="007B5962">
              <w:rPr>
                <w:lang w:eastAsia="en-US"/>
              </w:rPr>
              <w:t xml:space="preserve"> (accredited but not on-boarded and available as an IDP choice)</w:t>
            </w:r>
          </w:p>
        </w:tc>
      </w:tr>
      <w:tr w:rsidR="00184701" w:rsidRPr="000B7589" w14:paraId="202999F9"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6" w:type="dxa"/>
            <w:shd w:val="clear" w:color="auto" w:fill="D2EEED"/>
          </w:tcPr>
          <w:p w14:paraId="636ECD5F" w14:textId="32C681FA" w:rsidR="00292A96" w:rsidRPr="00201EBB" w:rsidRDefault="00292A96" w:rsidP="00BB29E3">
            <w:pPr>
              <w:pStyle w:val="TableTextLeft"/>
              <w:rPr>
                <w:b w:val="0"/>
                <w:bCs w:val="0"/>
                <w:lang w:eastAsia="en-US"/>
              </w:rPr>
            </w:pPr>
            <w:r w:rsidRPr="003C5930">
              <w:rPr>
                <w:b w:val="0"/>
                <w:bCs w:val="0"/>
                <w:lang w:eastAsia="en-US"/>
              </w:rPr>
              <w:t xml:space="preserve">Attribute </w:t>
            </w:r>
            <w:r w:rsidR="00902684">
              <w:rPr>
                <w:b w:val="0"/>
                <w:bCs w:val="0"/>
                <w:lang w:eastAsia="en-US"/>
              </w:rPr>
              <w:t>s</w:t>
            </w:r>
            <w:r w:rsidRPr="003C5930">
              <w:rPr>
                <w:b w:val="0"/>
                <w:bCs w:val="0"/>
                <w:lang w:eastAsia="en-US"/>
              </w:rPr>
              <w:t xml:space="preserve">ervice </w:t>
            </w:r>
            <w:r w:rsidR="00902684">
              <w:rPr>
                <w:b w:val="0"/>
                <w:bCs w:val="0"/>
                <w:lang w:eastAsia="en-US"/>
              </w:rPr>
              <w:t>p</w:t>
            </w:r>
            <w:r w:rsidRPr="003C5930">
              <w:rPr>
                <w:b w:val="0"/>
                <w:bCs w:val="0"/>
                <w:lang w:eastAsia="en-US"/>
              </w:rPr>
              <w:t>rovider</w:t>
            </w:r>
            <w:r w:rsidR="00201EBB">
              <w:rPr>
                <w:b w:val="0"/>
                <w:bCs w:val="0"/>
                <w:lang w:eastAsia="en-US"/>
              </w:rPr>
              <w:t xml:space="preserve"> </w:t>
            </w:r>
            <w:r w:rsidRPr="003C5930">
              <w:rPr>
                <w:b w:val="0"/>
                <w:bCs w:val="0"/>
                <w:lang w:eastAsia="en-US"/>
              </w:rPr>
              <w:t>(AP)</w:t>
            </w:r>
          </w:p>
        </w:tc>
        <w:tc>
          <w:tcPr>
            <w:tcW w:w="5560" w:type="dxa"/>
            <w:shd w:val="clear" w:color="auto" w:fill="D2EEED"/>
          </w:tcPr>
          <w:p w14:paraId="67F78379" w14:textId="6FF87701" w:rsidR="00485305" w:rsidRPr="00485305" w:rsidRDefault="00485305"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485305">
              <w:rPr>
                <w:szCs w:val="18"/>
                <w:u w:val="single"/>
                <w:lang w:eastAsia="en-US"/>
              </w:rPr>
              <w:t>Role</w:t>
            </w:r>
            <w:r w:rsidRPr="00485305">
              <w:rPr>
                <w:szCs w:val="18"/>
                <w:lang w:eastAsia="en-US"/>
              </w:rPr>
              <w:t>: Supplies additional information about an individual to support verification of their identity and other attributes. APs provide authoritative information about entitlements, relationships or other characteristics – e.g. information on whether an individual is currently receiving a specific government payment or is authorised to act on behalf of a particular entity. That is, an AP can provide a positive or negative response to queries like: ‘Is Jane Doe entitled to Family Tax Benefit?’ or ‘Is Jane Doe an authorised representative of Company A?’</w:t>
            </w:r>
          </w:p>
          <w:p w14:paraId="1D7BA29C" w14:textId="1D03EDFA" w:rsidR="00485305" w:rsidRPr="00485305" w:rsidRDefault="00485305"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485305">
              <w:rPr>
                <w:szCs w:val="18"/>
                <w:u w:val="single"/>
                <w:lang w:eastAsia="en-US"/>
              </w:rPr>
              <w:t>Interactions</w:t>
            </w:r>
            <w:r w:rsidRPr="00485305">
              <w:rPr>
                <w:szCs w:val="18"/>
                <w:lang w:eastAsia="en-US"/>
              </w:rPr>
              <w:t xml:space="preserve">: An AP interacts directly only with the </w:t>
            </w:r>
            <w:r w:rsidR="00353A8A">
              <w:rPr>
                <w:szCs w:val="18"/>
                <w:lang w:eastAsia="en-US"/>
              </w:rPr>
              <w:t>IDX</w:t>
            </w:r>
            <w:r w:rsidRPr="00485305">
              <w:rPr>
                <w:szCs w:val="18"/>
                <w:lang w:eastAsia="en-US"/>
              </w:rPr>
              <w:t xml:space="preserve">. When a </w:t>
            </w:r>
            <w:r w:rsidR="003E686E">
              <w:rPr>
                <w:szCs w:val="18"/>
                <w:lang w:eastAsia="en-US"/>
              </w:rPr>
              <w:t>r</w:t>
            </w:r>
            <w:r w:rsidRPr="00485305">
              <w:rPr>
                <w:szCs w:val="18"/>
                <w:lang w:eastAsia="en-US"/>
              </w:rPr>
              <w:t xml:space="preserve">elying </w:t>
            </w:r>
            <w:r w:rsidR="003E686E">
              <w:rPr>
                <w:szCs w:val="18"/>
                <w:lang w:eastAsia="en-US"/>
              </w:rPr>
              <w:t>p</w:t>
            </w:r>
            <w:r w:rsidRPr="00485305">
              <w:rPr>
                <w:szCs w:val="18"/>
                <w:lang w:eastAsia="en-US"/>
              </w:rPr>
              <w:t xml:space="preserve">arty requests verification of specific attributes about an individual via an IDP, this request is relayed to the </w:t>
            </w:r>
            <w:r w:rsidR="00353A8A">
              <w:rPr>
                <w:szCs w:val="18"/>
                <w:lang w:eastAsia="en-US"/>
              </w:rPr>
              <w:t>IDX</w:t>
            </w:r>
            <w:r w:rsidRPr="00485305">
              <w:rPr>
                <w:szCs w:val="18"/>
                <w:lang w:eastAsia="en-US"/>
              </w:rPr>
              <w:t xml:space="preserve">. The </w:t>
            </w:r>
            <w:r w:rsidR="00353A8A">
              <w:rPr>
                <w:szCs w:val="18"/>
                <w:lang w:eastAsia="en-US"/>
              </w:rPr>
              <w:t>IDX</w:t>
            </w:r>
            <w:r w:rsidRPr="00485305">
              <w:rPr>
                <w:szCs w:val="18"/>
                <w:lang w:eastAsia="en-US"/>
              </w:rPr>
              <w:t xml:space="preserve"> then contacts the AP for confirmation of the attribute information being sought.</w:t>
            </w:r>
          </w:p>
          <w:p w14:paraId="2B19F27F" w14:textId="055899A1" w:rsidR="00485305" w:rsidRPr="00485305" w:rsidRDefault="00485305"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485305">
              <w:rPr>
                <w:szCs w:val="18"/>
                <w:lang w:eastAsia="en-US"/>
              </w:rPr>
              <w:t xml:space="preserve">Typically, an AP will be integrated with a registry that manages particular attributes. For example, the </w:t>
            </w:r>
            <w:r w:rsidR="000A4561">
              <w:rPr>
                <w:szCs w:val="18"/>
                <w:lang w:eastAsia="en-US"/>
              </w:rPr>
              <w:t>Australian Taxation Office’s (</w:t>
            </w:r>
            <w:r w:rsidRPr="00485305">
              <w:rPr>
                <w:szCs w:val="18"/>
                <w:lang w:eastAsia="en-US"/>
              </w:rPr>
              <w:t>ATO</w:t>
            </w:r>
            <w:r w:rsidR="000A4561">
              <w:rPr>
                <w:szCs w:val="18"/>
                <w:lang w:eastAsia="en-US"/>
              </w:rPr>
              <w:t>)</w:t>
            </w:r>
            <w:r w:rsidRPr="00485305">
              <w:rPr>
                <w:szCs w:val="18"/>
                <w:lang w:eastAsia="en-US"/>
              </w:rPr>
              <w:t xml:space="preserve"> Relationship Authorisation Manager (RAM) system can verify relationships between an individual and a business. If a business wanted to authorise a particular individual to manage their taxes, this relationship could be verified by the RAM system acting as an AP.</w:t>
            </w:r>
          </w:p>
          <w:p w14:paraId="68AB74CC" w14:textId="5A9B6FE1" w:rsidR="00292A96" w:rsidRPr="00485305" w:rsidRDefault="00485305"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485305">
              <w:rPr>
                <w:szCs w:val="18"/>
                <w:u w:val="single"/>
                <w:lang w:eastAsia="en-US"/>
              </w:rPr>
              <w:t>Incentives:</w:t>
            </w:r>
            <w:r w:rsidRPr="00485305">
              <w:rPr>
                <w:szCs w:val="18"/>
                <w:lang w:eastAsia="en-US"/>
              </w:rPr>
              <w:t xml:space="preserve"> Under the current </w:t>
            </w:r>
            <w:r w:rsidR="00DF50AB">
              <w:rPr>
                <w:szCs w:val="18"/>
                <w:lang w:eastAsia="en-US"/>
              </w:rPr>
              <w:t xml:space="preserve">Digital ID </w:t>
            </w:r>
            <w:r w:rsidRPr="00485305">
              <w:rPr>
                <w:szCs w:val="18"/>
                <w:lang w:eastAsia="en-US"/>
              </w:rPr>
              <w:t xml:space="preserve">System arrangements, APs are exclusively </w:t>
            </w:r>
            <w:r w:rsidR="002F366A">
              <w:rPr>
                <w:lang w:eastAsia="en-US"/>
              </w:rPr>
              <w:t>Australian Government</w:t>
            </w:r>
            <w:r w:rsidR="002F366A" w:rsidRPr="00485305" w:rsidDel="002F366A">
              <w:rPr>
                <w:szCs w:val="18"/>
                <w:lang w:eastAsia="en-US"/>
              </w:rPr>
              <w:t xml:space="preserve"> </w:t>
            </w:r>
            <w:r w:rsidR="00A913A2">
              <w:rPr>
                <w:szCs w:val="18"/>
                <w:lang w:eastAsia="en-US"/>
              </w:rPr>
              <w:t>agencies</w:t>
            </w:r>
            <w:r w:rsidR="00A913A2" w:rsidRPr="00485305">
              <w:rPr>
                <w:szCs w:val="18"/>
                <w:lang w:eastAsia="en-US"/>
              </w:rPr>
              <w:t xml:space="preserve"> </w:t>
            </w:r>
            <w:r w:rsidRPr="00485305">
              <w:rPr>
                <w:szCs w:val="18"/>
                <w:lang w:eastAsia="en-US"/>
              </w:rPr>
              <w:t xml:space="preserve">such as the ATO. These entities are resourced to participate in the </w:t>
            </w:r>
            <w:r w:rsidR="00DF50AB">
              <w:rPr>
                <w:szCs w:val="18"/>
                <w:lang w:eastAsia="en-US"/>
              </w:rPr>
              <w:t xml:space="preserve">Digital ID </w:t>
            </w:r>
            <w:r w:rsidRPr="00485305">
              <w:rPr>
                <w:szCs w:val="18"/>
                <w:lang w:eastAsia="en-US"/>
              </w:rPr>
              <w:t>System because their involvement supports the ongoing expansion of Digital I</w:t>
            </w:r>
            <w:r w:rsidR="00EB2443">
              <w:rPr>
                <w:szCs w:val="18"/>
                <w:lang w:eastAsia="en-US"/>
              </w:rPr>
              <w:t>D</w:t>
            </w:r>
            <w:r w:rsidRPr="00485305">
              <w:rPr>
                <w:szCs w:val="18"/>
                <w:lang w:eastAsia="en-US"/>
              </w:rPr>
              <w:t xml:space="preserve"> by diversifying the range of possible use cases.</w:t>
            </w:r>
          </w:p>
        </w:tc>
        <w:tc>
          <w:tcPr>
            <w:tcW w:w="0" w:type="dxa"/>
            <w:shd w:val="clear" w:color="auto" w:fill="D2EEED"/>
          </w:tcPr>
          <w:p w14:paraId="400BEEEE" w14:textId="330A6658" w:rsidR="000E1A8D" w:rsidRPr="000E1A8D" w:rsidRDefault="000A4561" w:rsidP="00BB29E3">
            <w:pPr>
              <w:pStyle w:val="TableText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ATO</w:t>
            </w:r>
            <w:r w:rsidR="000E1A8D" w:rsidRPr="000E1A8D">
              <w:rPr>
                <w:lang w:eastAsia="en-US"/>
              </w:rPr>
              <w:t xml:space="preserve"> Relationship Authorisation Manager (RAM)</w:t>
            </w:r>
          </w:p>
          <w:p w14:paraId="24D9E5B2" w14:textId="19678F3F" w:rsidR="000E1A8D" w:rsidRPr="000E1A8D" w:rsidRDefault="000E1A8D" w:rsidP="00BB29E3">
            <w:pPr>
              <w:pStyle w:val="TableTextLeft"/>
              <w:cnfStyle w:val="000000100000" w:firstRow="0" w:lastRow="0" w:firstColumn="0" w:lastColumn="0" w:oddVBand="0" w:evenVBand="0" w:oddHBand="1" w:evenHBand="0" w:firstRowFirstColumn="0" w:firstRowLastColumn="0" w:lastRowFirstColumn="0" w:lastRowLastColumn="0"/>
              <w:rPr>
                <w:lang w:eastAsia="en-US"/>
              </w:rPr>
            </w:pPr>
            <w:r w:rsidRPr="000E1A8D">
              <w:rPr>
                <w:lang w:eastAsia="en-US"/>
              </w:rPr>
              <w:t>MyGov (currently undergoing accreditation process)</w:t>
            </w:r>
          </w:p>
          <w:p w14:paraId="3EB4E2DA" w14:textId="77777777" w:rsidR="00292A96" w:rsidRPr="000B7589" w:rsidRDefault="00292A96" w:rsidP="00BB29E3">
            <w:pPr>
              <w:pStyle w:val="TableTextLeft"/>
              <w:cnfStyle w:val="000000100000" w:firstRow="0" w:lastRow="0" w:firstColumn="0" w:lastColumn="0" w:oddVBand="0" w:evenVBand="0" w:oddHBand="1" w:evenHBand="0" w:firstRowFirstColumn="0" w:firstRowLastColumn="0" w:lastRowFirstColumn="0" w:lastRowLastColumn="0"/>
              <w:rPr>
                <w:lang w:eastAsia="en-US"/>
              </w:rPr>
            </w:pPr>
          </w:p>
          <w:p w14:paraId="3C6F9811" w14:textId="77777777" w:rsidR="00292A96" w:rsidRPr="000B7589" w:rsidRDefault="00292A96" w:rsidP="00BB29E3">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292A96" w:rsidRPr="00655B17" w14:paraId="0B82FE6F" w14:textId="77777777" w:rsidTr="00154831">
        <w:trPr>
          <w:trHeight w:val="2723"/>
        </w:trPr>
        <w:tc>
          <w:tcPr>
            <w:cnfStyle w:val="001000000000" w:firstRow="0" w:lastRow="0" w:firstColumn="1" w:lastColumn="0" w:oddVBand="0" w:evenVBand="0" w:oddHBand="0" w:evenHBand="0" w:firstRowFirstColumn="0" w:firstRowLastColumn="0" w:lastRowFirstColumn="0" w:lastRowLastColumn="0"/>
            <w:tcW w:w="1386" w:type="dxa"/>
          </w:tcPr>
          <w:p w14:paraId="064C3BEC" w14:textId="1BB61A49" w:rsidR="00292A96" w:rsidRPr="003C5930" w:rsidRDefault="00292A96" w:rsidP="00BB29E3">
            <w:pPr>
              <w:pStyle w:val="TableTextLeft"/>
              <w:rPr>
                <w:b w:val="0"/>
                <w:bCs w:val="0"/>
                <w:lang w:eastAsia="en-US"/>
              </w:rPr>
            </w:pPr>
            <w:r w:rsidRPr="003C5930">
              <w:rPr>
                <w:b w:val="0"/>
                <w:bCs w:val="0"/>
                <w:lang w:eastAsia="en-US"/>
              </w:rPr>
              <w:t xml:space="preserve">Credential </w:t>
            </w:r>
            <w:r w:rsidR="00902684">
              <w:rPr>
                <w:b w:val="0"/>
                <w:bCs w:val="0"/>
                <w:lang w:eastAsia="en-US"/>
              </w:rPr>
              <w:t>s</w:t>
            </w:r>
            <w:r w:rsidRPr="003C5930">
              <w:rPr>
                <w:b w:val="0"/>
                <w:bCs w:val="0"/>
                <w:lang w:eastAsia="en-US"/>
              </w:rPr>
              <w:t xml:space="preserve">ervice </w:t>
            </w:r>
            <w:r w:rsidR="00902684">
              <w:rPr>
                <w:b w:val="0"/>
                <w:bCs w:val="0"/>
                <w:lang w:eastAsia="en-US"/>
              </w:rPr>
              <w:t>p</w:t>
            </w:r>
            <w:r w:rsidRPr="003C5930">
              <w:rPr>
                <w:b w:val="0"/>
                <w:bCs w:val="0"/>
                <w:lang w:eastAsia="en-US"/>
              </w:rPr>
              <w:t>rovider</w:t>
            </w:r>
            <w:r w:rsidR="00201EBB">
              <w:rPr>
                <w:b w:val="0"/>
                <w:bCs w:val="0"/>
                <w:lang w:eastAsia="en-US"/>
              </w:rPr>
              <w:t xml:space="preserve"> </w:t>
            </w:r>
            <w:r w:rsidRPr="003C5930">
              <w:rPr>
                <w:b w:val="0"/>
                <w:bCs w:val="0"/>
                <w:lang w:eastAsia="en-US"/>
              </w:rPr>
              <w:t>(CSP)</w:t>
            </w:r>
          </w:p>
        </w:tc>
        <w:tc>
          <w:tcPr>
            <w:tcW w:w="5560" w:type="dxa"/>
          </w:tcPr>
          <w:p w14:paraId="1D750D81" w14:textId="5405F960" w:rsidR="00A84EEF" w:rsidRPr="00A84EEF" w:rsidRDefault="00A84EEF" w:rsidP="00BB29E3">
            <w:pPr>
              <w:pStyle w:val="TableTextLeft"/>
              <w:cnfStyle w:val="000000000000" w:firstRow="0" w:lastRow="0" w:firstColumn="0" w:lastColumn="0" w:oddVBand="0" w:evenVBand="0" w:oddHBand="0" w:evenHBand="0" w:firstRowFirstColumn="0" w:firstRowLastColumn="0" w:lastRowFirstColumn="0" w:lastRowLastColumn="0"/>
              <w:rPr>
                <w:szCs w:val="18"/>
                <w:shd w:val="clear" w:color="auto" w:fill="FFFFFF"/>
                <w:lang w:eastAsia="en-US"/>
              </w:rPr>
            </w:pPr>
            <w:r w:rsidRPr="00A84EEF">
              <w:rPr>
                <w:szCs w:val="18"/>
                <w:u w:val="single"/>
                <w:lang w:eastAsia="en-US"/>
              </w:rPr>
              <w:t>Role:</w:t>
            </w:r>
            <w:r w:rsidRPr="00A84EEF">
              <w:rPr>
                <w:szCs w:val="18"/>
                <w:lang w:eastAsia="en-US"/>
              </w:rPr>
              <w:t xml:space="preserve"> </w:t>
            </w:r>
            <w:r w:rsidRPr="00A84EEF">
              <w:rPr>
                <w:szCs w:val="18"/>
                <w:shd w:val="clear" w:color="auto" w:fill="FFFFFF"/>
                <w:lang w:eastAsia="en-US"/>
              </w:rPr>
              <w:t xml:space="preserve">support the safety and security of the </w:t>
            </w:r>
            <w:r w:rsidR="00DF50AB">
              <w:rPr>
                <w:szCs w:val="18"/>
                <w:shd w:val="clear" w:color="auto" w:fill="FFFFFF"/>
                <w:lang w:eastAsia="en-US"/>
              </w:rPr>
              <w:t xml:space="preserve">Digital ID </w:t>
            </w:r>
            <w:r w:rsidRPr="00A84EEF">
              <w:rPr>
                <w:szCs w:val="18"/>
                <w:shd w:val="clear" w:color="auto" w:fill="FFFFFF"/>
                <w:lang w:eastAsia="en-US"/>
              </w:rPr>
              <w:t>System. CSPs are accredited to undertake the functions of authentication credential management and take care of all credentials (i.e. passwords and other forms of access restrictions). That is, a CSP can provide a positive or negative response to queries of the nature: ‘Does this person’s password match the password for the account held by Jane Doe?’ or ‘Does the biometric information provided match that previously provided by Jane Doe?’</w:t>
            </w:r>
          </w:p>
          <w:p w14:paraId="2E93C0BE" w14:textId="0206EBBC" w:rsidR="00A84EEF" w:rsidRPr="00A84EEF" w:rsidRDefault="00A84EEF" w:rsidP="00BB29E3">
            <w:pPr>
              <w:pStyle w:val="TableTextLeft"/>
              <w:cnfStyle w:val="000000000000" w:firstRow="0" w:lastRow="0" w:firstColumn="0" w:lastColumn="0" w:oddVBand="0" w:evenVBand="0" w:oddHBand="0" w:evenHBand="0" w:firstRowFirstColumn="0" w:firstRowLastColumn="0" w:lastRowFirstColumn="0" w:lastRowLastColumn="0"/>
              <w:rPr>
                <w:szCs w:val="18"/>
                <w:shd w:val="clear" w:color="auto" w:fill="FFFFFF"/>
                <w:lang w:eastAsia="en-US"/>
              </w:rPr>
            </w:pPr>
            <w:r w:rsidRPr="00A84EEF">
              <w:rPr>
                <w:szCs w:val="18"/>
                <w:shd w:val="clear" w:color="auto" w:fill="FFFFFF"/>
                <w:lang w:eastAsia="en-US"/>
              </w:rPr>
              <w:t xml:space="preserve">At present, the only accredited CSPs are also accredited as IDPs, providing an integrated solution for an individual to </w:t>
            </w:r>
            <w:r w:rsidRPr="00A84EEF">
              <w:rPr>
                <w:szCs w:val="18"/>
                <w:shd w:val="clear" w:color="auto" w:fill="FFFFFF"/>
                <w:lang w:eastAsia="en-US"/>
              </w:rPr>
              <w:lastRenderedPageBreak/>
              <w:t>authenticate themselves when establishing a Digital I</w:t>
            </w:r>
            <w:r w:rsidR="00EB2443">
              <w:rPr>
                <w:szCs w:val="18"/>
                <w:shd w:val="clear" w:color="auto" w:fill="FFFFFF"/>
                <w:lang w:eastAsia="en-US"/>
              </w:rPr>
              <w:t>D</w:t>
            </w:r>
            <w:r w:rsidRPr="00A84EEF">
              <w:rPr>
                <w:szCs w:val="18"/>
                <w:shd w:val="clear" w:color="auto" w:fill="FFFFFF"/>
                <w:lang w:eastAsia="en-US"/>
              </w:rPr>
              <w:t xml:space="preserve"> or authorising verification by a </w:t>
            </w:r>
            <w:r w:rsidR="003E686E">
              <w:rPr>
                <w:szCs w:val="18"/>
                <w:shd w:val="clear" w:color="auto" w:fill="FFFFFF"/>
                <w:lang w:eastAsia="en-US"/>
              </w:rPr>
              <w:t>r</w:t>
            </w:r>
            <w:r w:rsidRPr="00A84EEF">
              <w:rPr>
                <w:szCs w:val="18"/>
                <w:shd w:val="clear" w:color="auto" w:fill="FFFFFF"/>
                <w:lang w:eastAsia="en-US"/>
              </w:rPr>
              <w:t xml:space="preserve">elying </w:t>
            </w:r>
            <w:r w:rsidR="003E686E">
              <w:rPr>
                <w:szCs w:val="18"/>
                <w:shd w:val="clear" w:color="auto" w:fill="FFFFFF"/>
                <w:lang w:eastAsia="en-US"/>
              </w:rPr>
              <w:t>p</w:t>
            </w:r>
            <w:r w:rsidRPr="00A84EEF">
              <w:rPr>
                <w:szCs w:val="18"/>
                <w:shd w:val="clear" w:color="auto" w:fill="FFFFFF"/>
                <w:lang w:eastAsia="en-US"/>
              </w:rPr>
              <w:t>arty.</w:t>
            </w:r>
          </w:p>
          <w:p w14:paraId="7555F94F" w14:textId="67D712DB" w:rsidR="00A84EEF" w:rsidRPr="00A84EEF" w:rsidRDefault="00A84EEF" w:rsidP="00BB29E3">
            <w:pPr>
              <w:pStyle w:val="TableTextLeft"/>
              <w:cnfStyle w:val="000000000000" w:firstRow="0" w:lastRow="0" w:firstColumn="0" w:lastColumn="0" w:oddVBand="0" w:evenVBand="0" w:oddHBand="0" w:evenHBand="0" w:firstRowFirstColumn="0" w:firstRowLastColumn="0" w:lastRowFirstColumn="0" w:lastRowLastColumn="0"/>
              <w:rPr>
                <w:szCs w:val="18"/>
                <w:shd w:val="clear" w:color="auto" w:fill="FFFFFF"/>
                <w:lang w:eastAsia="en-US"/>
              </w:rPr>
            </w:pPr>
            <w:r w:rsidRPr="00A84EEF">
              <w:rPr>
                <w:szCs w:val="18"/>
                <w:u w:val="single"/>
                <w:shd w:val="clear" w:color="auto" w:fill="FFFFFF"/>
                <w:lang w:eastAsia="en-US"/>
              </w:rPr>
              <w:t>Interactions:</w:t>
            </w:r>
            <w:r w:rsidRPr="00A84EEF">
              <w:rPr>
                <w:szCs w:val="18"/>
                <w:shd w:val="clear" w:color="auto" w:fill="FFFFFF"/>
                <w:lang w:eastAsia="en-US"/>
              </w:rPr>
              <w:t xml:space="preserve"> CSPs interact with IDPs as part of the process for identity verification. Current CSPs are also IDPs, meaning this interaction occurs within a single system process.</w:t>
            </w:r>
          </w:p>
          <w:p w14:paraId="75467E7F" w14:textId="09D9B9B9" w:rsidR="00292A96" w:rsidRPr="000B7589" w:rsidRDefault="00A84EEF" w:rsidP="00BB29E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A84EEF">
              <w:rPr>
                <w:szCs w:val="18"/>
                <w:u w:val="single"/>
                <w:shd w:val="clear" w:color="auto" w:fill="FFFFFF"/>
                <w:lang w:eastAsia="en-US"/>
              </w:rPr>
              <w:t>Incentives:</w:t>
            </w:r>
            <w:r w:rsidRPr="00A84EEF">
              <w:rPr>
                <w:szCs w:val="18"/>
                <w:shd w:val="clear" w:color="auto" w:fill="FFFFFF"/>
                <w:lang w:eastAsia="en-US"/>
              </w:rPr>
              <w:t xml:space="preserve"> Credentials management is an essential component of effective functioning of identity services. For this reason, there is a strong incentive for IDPs to also become accredited as CSPs. It is theoretically possible for an entity which is not an IDP to establish itself as a CSP, for example by providing specialised and high-security biometric credentials management. However, there are limited incentives to do so in the current system given the </w:t>
            </w:r>
            <w:r w:rsidR="003E686E">
              <w:rPr>
                <w:szCs w:val="18"/>
                <w:shd w:val="clear" w:color="auto" w:fill="FFFFFF"/>
                <w:lang w:eastAsia="en-US"/>
              </w:rPr>
              <w:t>r</w:t>
            </w:r>
            <w:r w:rsidRPr="00A84EEF">
              <w:rPr>
                <w:szCs w:val="18"/>
                <w:shd w:val="clear" w:color="auto" w:fill="FFFFFF"/>
                <w:lang w:eastAsia="en-US"/>
              </w:rPr>
              <w:t xml:space="preserve">elying </w:t>
            </w:r>
            <w:r w:rsidR="003E686E">
              <w:rPr>
                <w:szCs w:val="18"/>
                <w:shd w:val="clear" w:color="auto" w:fill="FFFFFF"/>
                <w:lang w:eastAsia="en-US"/>
              </w:rPr>
              <w:t>p</w:t>
            </w:r>
            <w:r w:rsidRPr="00A84EEF">
              <w:rPr>
                <w:szCs w:val="18"/>
                <w:shd w:val="clear" w:color="auto" w:fill="FFFFFF"/>
                <w:lang w:eastAsia="en-US"/>
              </w:rPr>
              <w:t xml:space="preserve">arties are exclusively </w:t>
            </w:r>
            <w:r w:rsidR="002F366A">
              <w:rPr>
                <w:lang w:eastAsia="en-US"/>
              </w:rPr>
              <w:t>Australian Government</w:t>
            </w:r>
            <w:r w:rsidRPr="00A84EEF">
              <w:rPr>
                <w:szCs w:val="18"/>
                <w:shd w:val="clear" w:color="auto" w:fill="FFFFFF"/>
                <w:lang w:eastAsia="en-US"/>
              </w:rPr>
              <w:t xml:space="preserve"> entities.</w:t>
            </w:r>
          </w:p>
        </w:tc>
        <w:tc>
          <w:tcPr>
            <w:tcW w:w="0" w:type="dxa"/>
          </w:tcPr>
          <w:p w14:paraId="133903D6" w14:textId="77777777" w:rsidR="00655B17" w:rsidRPr="007B5962" w:rsidRDefault="00655B17" w:rsidP="00BB29E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proofErr w:type="spellStart"/>
            <w:r w:rsidRPr="007B5962">
              <w:rPr>
                <w:rFonts w:eastAsia="Calibri"/>
                <w:lang w:eastAsia="en-US"/>
              </w:rPr>
              <w:lastRenderedPageBreak/>
              <w:t>myGovID</w:t>
            </w:r>
            <w:proofErr w:type="spellEnd"/>
            <w:r w:rsidRPr="007B5962">
              <w:rPr>
                <w:rFonts w:eastAsia="Calibri"/>
                <w:lang w:eastAsia="en-US"/>
              </w:rPr>
              <w:t xml:space="preserve"> </w:t>
            </w:r>
          </w:p>
          <w:p w14:paraId="319436F6" w14:textId="21CB2991" w:rsidR="00292A96" w:rsidRPr="007B5962" w:rsidRDefault="00655B17" w:rsidP="00BB29E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r w:rsidRPr="007B5962">
              <w:rPr>
                <w:rFonts w:eastAsia="Calibri"/>
                <w:lang w:eastAsia="en-US"/>
              </w:rPr>
              <w:t xml:space="preserve">Australia Post’s Digital </w:t>
            </w:r>
            <w:proofErr w:type="spellStart"/>
            <w:r w:rsidRPr="007B5962">
              <w:rPr>
                <w:rFonts w:eastAsia="Calibri"/>
                <w:lang w:eastAsia="en-US"/>
              </w:rPr>
              <w:t>iD</w:t>
            </w:r>
            <w:proofErr w:type="spellEnd"/>
            <w:r w:rsidRPr="007B5962">
              <w:rPr>
                <w:rFonts w:eastAsia="Calibri"/>
                <w:lang w:eastAsia="en-US"/>
              </w:rPr>
              <w:t xml:space="preserve"> (accredited but not on-boarded and available in the </w:t>
            </w:r>
            <w:r w:rsidR="00DF50AB">
              <w:rPr>
                <w:rFonts w:eastAsia="Calibri"/>
                <w:lang w:eastAsia="en-US"/>
              </w:rPr>
              <w:t xml:space="preserve">Digital ID </w:t>
            </w:r>
            <w:r w:rsidRPr="007B5962">
              <w:rPr>
                <w:rFonts w:eastAsia="Calibri"/>
                <w:lang w:eastAsia="en-US"/>
              </w:rPr>
              <w:t>System as a CSP choice)</w:t>
            </w:r>
          </w:p>
          <w:p w14:paraId="1E0D44CD" w14:textId="77777777" w:rsidR="00292A96" w:rsidRPr="007B5962" w:rsidRDefault="00292A96" w:rsidP="00BB29E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p>
          <w:p w14:paraId="7E15203F" w14:textId="77777777" w:rsidR="00292A96" w:rsidRPr="007B5962" w:rsidRDefault="00292A96" w:rsidP="00BB29E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184701" w:rsidRPr="000B7589" w14:paraId="6C60FBBF"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6" w:type="dxa"/>
            <w:shd w:val="clear" w:color="auto" w:fill="D2EEED"/>
          </w:tcPr>
          <w:p w14:paraId="140CB3E7" w14:textId="00B6AC67" w:rsidR="00292A96" w:rsidRPr="00201EBB" w:rsidRDefault="00292A96" w:rsidP="00BB29E3">
            <w:pPr>
              <w:pStyle w:val="TableTextLeft"/>
              <w:rPr>
                <w:b w:val="0"/>
                <w:bCs w:val="0"/>
                <w:lang w:eastAsia="en-US"/>
              </w:rPr>
            </w:pPr>
            <w:r w:rsidRPr="003C5930">
              <w:rPr>
                <w:b w:val="0"/>
                <w:bCs w:val="0"/>
                <w:lang w:eastAsia="en-US"/>
              </w:rPr>
              <w:t xml:space="preserve">Identity </w:t>
            </w:r>
            <w:r w:rsidR="00902684">
              <w:rPr>
                <w:b w:val="0"/>
                <w:bCs w:val="0"/>
                <w:lang w:eastAsia="en-US"/>
              </w:rPr>
              <w:t>e</w:t>
            </w:r>
            <w:r w:rsidRPr="003C5930">
              <w:rPr>
                <w:b w:val="0"/>
                <w:bCs w:val="0"/>
                <w:lang w:eastAsia="en-US"/>
              </w:rPr>
              <w:t>xchange</w:t>
            </w:r>
            <w:r w:rsidR="00201EBB">
              <w:rPr>
                <w:b w:val="0"/>
                <w:bCs w:val="0"/>
                <w:lang w:eastAsia="en-US"/>
              </w:rPr>
              <w:t xml:space="preserve"> </w:t>
            </w:r>
            <w:r w:rsidRPr="003C5930">
              <w:rPr>
                <w:b w:val="0"/>
                <w:bCs w:val="0"/>
                <w:lang w:eastAsia="en-US"/>
              </w:rPr>
              <w:t>(IDX)</w:t>
            </w:r>
          </w:p>
        </w:tc>
        <w:tc>
          <w:tcPr>
            <w:tcW w:w="5560" w:type="dxa"/>
            <w:shd w:val="clear" w:color="auto" w:fill="D2EEED"/>
          </w:tcPr>
          <w:p w14:paraId="7CBCE74E" w14:textId="02D963BB" w:rsidR="00A667D7" w:rsidRPr="00A667D7" w:rsidRDefault="00A667D7"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A667D7">
              <w:rPr>
                <w:szCs w:val="18"/>
                <w:u w:val="single"/>
                <w:lang w:eastAsia="en-US"/>
              </w:rPr>
              <w:t>Role</w:t>
            </w:r>
            <w:r w:rsidRPr="00A667D7">
              <w:rPr>
                <w:szCs w:val="18"/>
                <w:lang w:eastAsia="en-US"/>
              </w:rPr>
              <w:t xml:space="preserve">: provides the infrastructure for interactions between other </w:t>
            </w:r>
            <w:r w:rsidR="00DF50AB">
              <w:rPr>
                <w:szCs w:val="18"/>
                <w:lang w:eastAsia="en-US"/>
              </w:rPr>
              <w:t xml:space="preserve">Digital ID </w:t>
            </w:r>
            <w:r w:rsidRPr="00A667D7">
              <w:rPr>
                <w:szCs w:val="18"/>
                <w:lang w:eastAsia="en-US"/>
              </w:rPr>
              <w:t xml:space="preserve">System participants to occur in a way that is secure and respects the privacy of individuals. With individual consent, IDX functions like a switchboard, transferring information between </w:t>
            </w:r>
            <w:r w:rsidR="00C214CB">
              <w:rPr>
                <w:szCs w:val="18"/>
                <w:lang w:eastAsia="en-US"/>
              </w:rPr>
              <w:t>r</w:t>
            </w:r>
            <w:r w:rsidRPr="00A667D7">
              <w:rPr>
                <w:szCs w:val="18"/>
                <w:lang w:eastAsia="en-US"/>
              </w:rPr>
              <w:t xml:space="preserve">elying </w:t>
            </w:r>
            <w:r w:rsidR="00C214CB">
              <w:rPr>
                <w:szCs w:val="18"/>
                <w:lang w:eastAsia="en-US"/>
              </w:rPr>
              <w:t>p</w:t>
            </w:r>
            <w:r w:rsidRPr="00A667D7">
              <w:rPr>
                <w:szCs w:val="18"/>
                <w:lang w:eastAsia="en-US"/>
              </w:rPr>
              <w:t xml:space="preserve">arties, </w:t>
            </w:r>
            <w:r w:rsidR="0064213C">
              <w:rPr>
                <w:szCs w:val="18"/>
                <w:lang w:eastAsia="en-US"/>
              </w:rPr>
              <w:t>IDPs</w:t>
            </w:r>
            <w:r w:rsidRPr="00A667D7">
              <w:rPr>
                <w:szCs w:val="18"/>
                <w:lang w:eastAsia="en-US"/>
              </w:rPr>
              <w:t xml:space="preserve"> and </w:t>
            </w:r>
            <w:r w:rsidR="0064213C">
              <w:rPr>
                <w:szCs w:val="18"/>
                <w:lang w:eastAsia="en-US"/>
              </w:rPr>
              <w:t>A</w:t>
            </w:r>
            <w:r w:rsidR="00DF50AB">
              <w:rPr>
                <w:szCs w:val="18"/>
                <w:lang w:eastAsia="en-US"/>
              </w:rPr>
              <w:t>p</w:t>
            </w:r>
            <w:r w:rsidR="0064213C">
              <w:rPr>
                <w:szCs w:val="18"/>
                <w:lang w:eastAsia="en-US"/>
              </w:rPr>
              <w:t>s</w:t>
            </w:r>
            <w:r w:rsidRPr="00A667D7">
              <w:rPr>
                <w:szCs w:val="18"/>
                <w:lang w:eastAsia="en-US"/>
              </w:rPr>
              <w:t>. That is, the IDX is the conduit by which answers to all queries addressed by the previous three participants are communicated. The IDX only passes on the specific information that an individual has authorised to be provided.</w:t>
            </w:r>
          </w:p>
          <w:p w14:paraId="53A807BC" w14:textId="49C17A26" w:rsidR="00753BF2" w:rsidRDefault="00A667D7"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A667D7">
              <w:rPr>
                <w:szCs w:val="18"/>
                <w:u w:val="single"/>
                <w:lang w:eastAsia="en-US"/>
              </w:rPr>
              <w:t>Interactions</w:t>
            </w:r>
            <w:r w:rsidRPr="00A667D7">
              <w:rPr>
                <w:szCs w:val="18"/>
                <w:lang w:eastAsia="en-US"/>
              </w:rPr>
              <w:t xml:space="preserve">: The IDX is the centrepiece of the </w:t>
            </w:r>
            <w:r w:rsidR="00DF50AB">
              <w:rPr>
                <w:szCs w:val="18"/>
                <w:lang w:eastAsia="en-US"/>
              </w:rPr>
              <w:t xml:space="preserve">Digital ID </w:t>
            </w:r>
            <w:r w:rsidRPr="00A667D7">
              <w:rPr>
                <w:szCs w:val="18"/>
                <w:lang w:eastAsia="en-US"/>
              </w:rPr>
              <w:t xml:space="preserve">System, managing interactions between all </w:t>
            </w:r>
            <w:r w:rsidR="00651CA6">
              <w:rPr>
                <w:szCs w:val="18"/>
                <w:lang w:eastAsia="en-US"/>
              </w:rPr>
              <w:t xml:space="preserve">onboarded </w:t>
            </w:r>
            <w:r w:rsidR="006E797D">
              <w:rPr>
                <w:szCs w:val="18"/>
                <w:lang w:eastAsia="en-US"/>
              </w:rPr>
              <w:t>a</w:t>
            </w:r>
            <w:r w:rsidRPr="00A667D7">
              <w:rPr>
                <w:szCs w:val="18"/>
                <w:lang w:eastAsia="en-US"/>
              </w:rPr>
              <w:t xml:space="preserve">ccredited </w:t>
            </w:r>
            <w:r w:rsidR="00651CA6">
              <w:rPr>
                <w:szCs w:val="18"/>
                <w:lang w:eastAsia="en-US"/>
              </w:rPr>
              <w:t xml:space="preserve">entities </w:t>
            </w:r>
            <w:r w:rsidRPr="00A667D7">
              <w:rPr>
                <w:szCs w:val="18"/>
                <w:lang w:eastAsia="en-US"/>
              </w:rPr>
              <w:t>operating within the TDIF</w:t>
            </w:r>
          </w:p>
          <w:p w14:paraId="7602958A" w14:textId="02FA33F6" w:rsidR="00A667D7" w:rsidRPr="00A667D7" w:rsidRDefault="00A667D7"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A667D7">
              <w:rPr>
                <w:szCs w:val="18"/>
                <w:lang w:eastAsia="en-US"/>
              </w:rPr>
              <w:t>.</w:t>
            </w:r>
          </w:p>
          <w:p w14:paraId="5CAC4655" w14:textId="0A03AA54" w:rsidR="00292A96" w:rsidRPr="00A667D7" w:rsidRDefault="00A667D7"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A667D7">
              <w:rPr>
                <w:szCs w:val="18"/>
                <w:u w:val="single"/>
                <w:lang w:eastAsia="en-US"/>
              </w:rPr>
              <w:t>Incentives</w:t>
            </w:r>
            <w:r w:rsidRPr="00A667D7">
              <w:rPr>
                <w:szCs w:val="18"/>
                <w:lang w:eastAsia="en-US"/>
              </w:rPr>
              <w:t xml:space="preserve">: The IDX is a crucial </w:t>
            </w:r>
            <w:r w:rsidR="00DF50AB">
              <w:rPr>
                <w:szCs w:val="18"/>
                <w:lang w:eastAsia="en-US"/>
              </w:rPr>
              <w:t xml:space="preserve">Digital ID </w:t>
            </w:r>
            <w:r w:rsidRPr="00A667D7">
              <w:rPr>
                <w:szCs w:val="18"/>
                <w:lang w:eastAsia="en-US"/>
              </w:rPr>
              <w:t xml:space="preserve">System role currently fulfilled by the </w:t>
            </w:r>
            <w:r w:rsidR="002F366A">
              <w:rPr>
                <w:lang w:eastAsia="en-US"/>
              </w:rPr>
              <w:t>Australian Government</w:t>
            </w:r>
            <w:r w:rsidRPr="00A667D7">
              <w:rPr>
                <w:szCs w:val="18"/>
                <w:lang w:eastAsia="en-US"/>
              </w:rPr>
              <w:t>. The primary incentive for the IDX is to ensure efficient and secure transferral of information to support effective functioning of the overall</w:t>
            </w:r>
            <w:r w:rsidR="00DF50AB">
              <w:rPr>
                <w:szCs w:val="18"/>
                <w:lang w:eastAsia="en-US"/>
              </w:rPr>
              <w:t xml:space="preserve"> Digital ID</w:t>
            </w:r>
            <w:r w:rsidRPr="00A667D7">
              <w:rPr>
                <w:szCs w:val="18"/>
                <w:lang w:eastAsia="en-US"/>
              </w:rPr>
              <w:t xml:space="preserve"> System.</w:t>
            </w:r>
          </w:p>
        </w:tc>
        <w:tc>
          <w:tcPr>
            <w:tcW w:w="0" w:type="dxa"/>
            <w:shd w:val="clear" w:color="auto" w:fill="D2EEED"/>
          </w:tcPr>
          <w:p w14:paraId="581302D8" w14:textId="3077722A" w:rsidR="00292A96" w:rsidRPr="000B7589" w:rsidRDefault="00660E5C"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660E5C">
              <w:rPr>
                <w:lang w:eastAsia="en-US"/>
              </w:rPr>
              <w:t>Services Australia</w:t>
            </w:r>
          </w:p>
        </w:tc>
      </w:tr>
      <w:tr w:rsidR="003221C7" w:rsidRPr="003221C7" w14:paraId="1B703E21" w14:textId="77777777" w:rsidTr="00154831">
        <w:trPr>
          <w:gridAfter w:val="2"/>
          <w:wAfter w:w="7828" w:type="dxa"/>
          <w:trHeight w:val="20"/>
        </w:trPr>
        <w:tc>
          <w:tcPr>
            <w:cnfStyle w:val="001000000000" w:firstRow="0" w:lastRow="0" w:firstColumn="1" w:lastColumn="0" w:oddVBand="0" w:evenVBand="0" w:oddHBand="0" w:evenHBand="0" w:firstRowFirstColumn="0" w:firstRowLastColumn="0" w:lastRowFirstColumn="0" w:lastRowLastColumn="0"/>
            <w:tcW w:w="1386" w:type="dxa"/>
          </w:tcPr>
          <w:p w14:paraId="5FA6C213" w14:textId="3F9EDCBD" w:rsidR="000C1E18" w:rsidRPr="003221C7" w:rsidRDefault="000C1E18" w:rsidP="00BB29E3">
            <w:pPr>
              <w:pStyle w:val="TableTextLeft"/>
              <w:rPr>
                <w:color w:val="008675"/>
                <w:lang w:eastAsia="en-US"/>
              </w:rPr>
            </w:pPr>
            <w:r w:rsidRPr="003221C7">
              <w:rPr>
                <w:color w:val="008675"/>
                <w:lang w:eastAsia="en-US"/>
              </w:rPr>
              <w:t>Relying</w:t>
            </w:r>
            <w:r w:rsidR="003C5930" w:rsidRPr="003221C7">
              <w:rPr>
                <w:color w:val="008675"/>
                <w:lang w:eastAsia="en-US"/>
              </w:rPr>
              <w:t xml:space="preserve"> </w:t>
            </w:r>
            <w:r w:rsidRPr="003221C7">
              <w:rPr>
                <w:color w:val="008675"/>
                <w:lang w:eastAsia="en-US"/>
              </w:rPr>
              <w:t>parties</w:t>
            </w:r>
          </w:p>
        </w:tc>
      </w:tr>
      <w:tr w:rsidR="00184701" w:rsidRPr="000B7589" w14:paraId="69CF3F80"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6" w:type="dxa"/>
            <w:shd w:val="clear" w:color="auto" w:fill="D2EEED"/>
          </w:tcPr>
          <w:p w14:paraId="3C0C28B1" w14:textId="3652FEE5" w:rsidR="00292A96" w:rsidRPr="000C1E18" w:rsidRDefault="003E669C" w:rsidP="00BB29E3">
            <w:pPr>
              <w:pStyle w:val="TableTextLeft"/>
              <w:rPr>
                <w:b w:val="0"/>
                <w:bCs w:val="0"/>
                <w:color w:val="2C476E" w:themeColor="accent1"/>
                <w:lang w:eastAsia="en-US"/>
              </w:rPr>
            </w:pPr>
            <w:r w:rsidRPr="003C5930">
              <w:rPr>
                <w:b w:val="0"/>
                <w:bCs w:val="0"/>
                <w:lang w:eastAsia="en-US"/>
              </w:rPr>
              <w:t>Government</w:t>
            </w:r>
            <w:r w:rsidR="00292A96" w:rsidRPr="003C5930">
              <w:rPr>
                <w:b w:val="0"/>
                <w:bCs w:val="0"/>
                <w:lang w:eastAsia="en-US"/>
              </w:rPr>
              <w:t xml:space="preserve"> </w:t>
            </w:r>
            <w:r w:rsidR="007578FB">
              <w:rPr>
                <w:b w:val="0"/>
                <w:bCs w:val="0"/>
                <w:lang w:eastAsia="en-US"/>
              </w:rPr>
              <w:t>r</w:t>
            </w:r>
            <w:r w:rsidR="00292A96" w:rsidRPr="003C5930">
              <w:rPr>
                <w:b w:val="0"/>
                <w:bCs w:val="0"/>
                <w:lang w:eastAsia="en-US"/>
              </w:rPr>
              <w:t xml:space="preserve">elying </w:t>
            </w:r>
            <w:r w:rsidR="007578FB">
              <w:rPr>
                <w:b w:val="0"/>
                <w:bCs w:val="0"/>
                <w:lang w:eastAsia="en-US"/>
              </w:rPr>
              <w:t>p</w:t>
            </w:r>
            <w:r w:rsidR="00292A96" w:rsidRPr="003C5930">
              <w:rPr>
                <w:b w:val="0"/>
                <w:bCs w:val="0"/>
                <w:lang w:eastAsia="en-US"/>
              </w:rPr>
              <w:t>art</w:t>
            </w:r>
            <w:r w:rsidR="00EC41B7" w:rsidRPr="003C5930">
              <w:rPr>
                <w:b w:val="0"/>
                <w:bCs w:val="0"/>
                <w:lang w:eastAsia="en-US"/>
              </w:rPr>
              <w:t>ies</w:t>
            </w:r>
          </w:p>
        </w:tc>
        <w:tc>
          <w:tcPr>
            <w:tcW w:w="5560" w:type="dxa"/>
            <w:shd w:val="clear" w:color="auto" w:fill="D2EEED"/>
          </w:tcPr>
          <w:p w14:paraId="0209D610" w14:textId="73F46F25" w:rsidR="00211E73" w:rsidRPr="00211E73" w:rsidRDefault="00211E73"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211E73">
              <w:rPr>
                <w:szCs w:val="18"/>
                <w:u w:val="single"/>
                <w:lang w:eastAsia="en-US"/>
              </w:rPr>
              <w:t>Role</w:t>
            </w:r>
            <w:r w:rsidRPr="00211E73">
              <w:rPr>
                <w:szCs w:val="18"/>
                <w:lang w:eastAsia="en-US"/>
              </w:rPr>
              <w:t>: rely on verified identity information, attributes or assertions provided by IDPs, A</w:t>
            </w:r>
            <w:r w:rsidR="00201EBB" w:rsidRPr="00211E73">
              <w:rPr>
                <w:szCs w:val="18"/>
                <w:lang w:eastAsia="en-US"/>
              </w:rPr>
              <w:t>p</w:t>
            </w:r>
            <w:r w:rsidRPr="00211E73">
              <w:rPr>
                <w:szCs w:val="18"/>
                <w:lang w:eastAsia="en-US"/>
              </w:rPr>
              <w:t xml:space="preserve">s and CSP through the </w:t>
            </w:r>
            <w:r w:rsidR="00353A8A">
              <w:rPr>
                <w:szCs w:val="18"/>
                <w:lang w:eastAsia="en-US"/>
              </w:rPr>
              <w:t>IDX</w:t>
            </w:r>
            <w:r w:rsidRPr="00211E73">
              <w:rPr>
                <w:szCs w:val="18"/>
                <w:lang w:eastAsia="en-US"/>
              </w:rPr>
              <w:t xml:space="preserve"> to enable the provision of a digital service. That is, </w:t>
            </w:r>
            <w:r w:rsidR="00C214CB">
              <w:rPr>
                <w:szCs w:val="18"/>
                <w:lang w:eastAsia="en-US"/>
              </w:rPr>
              <w:t>r</w:t>
            </w:r>
            <w:r w:rsidRPr="00211E73">
              <w:rPr>
                <w:szCs w:val="18"/>
                <w:lang w:eastAsia="en-US"/>
              </w:rPr>
              <w:t xml:space="preserve">elying </w:t>
            </w:r>
            <w:r w:rsidR="00C214CB">
              <w:rPr>
                <w:szCs w:val="18"/>
                <w:lang w:eastAsia="en-US"/>
              </w:rPr>
              <w:t>p</w:t>
            </w:r>
            <w:r w:rsidRPr="00211E73">
              <w:rPr>
                <w:szCs w:val="18"/>
                <w:lang w:eastAsia="en-US"/>
              </w:rPr>
              <w:t xml:space="preserve">arties are the entities that </w:t>
            </w:r>
            <w:r w:rsidRPr="00211E73">
              <w:rPr>
                <w:i/>
                <w:iCs/>
                <w:szCs w:val="18"/>
                <w:lang w:eastAsia="en-US"/>
              </w:rPr>
              <w:t xml:space="preserve">make </w:t>
            </w:r>
            <w:r w:rsidR="00DF50AB" w:rsidRPr="00513094">
              <w:rPr>
                <w:szCs w:val="18"/>
                <w:lang w:eastAsia="en-US"/>
              </w:rPr>
              <w:t xml:space="preserve">Digital ID </w:t>
            </w:r>
            <w:r w:rsidRPr="00211E73">
              <w:rPr>
                <w:szCs w:val="18"/>
                <w:lang w:eastAsia="en-US"/>
              </w:rPr>
              <w:t xml:space="preserve">System queries such as ‘Is this person Jane Doe?’, ‘Is Jane Doe entitled to Family Tax Benefit?’ and ‘Does this person’s password match the password for the account held by Jane Doe?’. Relying </w:t>
            </w:r>
            <w:r w:rsidR="00C214CB">
              <w:rPr>
                <w:szCs w:val="18"/>
                <w:lang w:eastAsia="en-US"/>
              </w:rPr>
              <w:t>p</w:t>
            </w:r>
            <w:r w:rsidRPr="00211E73">
              <w:rPr>
                <w:szCs w:val="18"/>
                <w:lang w:eastAsia="en-US"/>
              </w:rPr>
              <w:t xml:space="preserve">arties can be considered one of two ‘end users’ for </w:t>
            </w:r>
            <w:r w:rsidRPr="00211E73">
              <w:rPr>
                <w:szCs w:val="18"/>
                <w:lang w:eastAsia="en-US"/>
              </w:rPr>
              <w:lastRenderedPageBreak/>
              <w:t>Digital I</w:t>
            </w:r>
            <w:r w:rsidR="00EB2443">
              <w:rPr>
                <w:szCs w:val="18"/>
                <w:lang w:eastAsia="en-US"/>
              </w:rPr>
              <w:t>D</w:t>
            </w:r>
            <w:r w:rsidRPr="00211E73">
              <w:rPr>
                <w:szCs w:val="18"/>
                <w:lang w:eastAsia="en-US"/>
              </w:rPr>
              <w:t>, along with individuals. Participation in the</w:t>
            </w:r>
            <w:r w:rsidR="00DF50AB">
              <w:rPr>
                <w:szCs w:val="18"/>
                <w:lang w:eastAsia="en-US"/>
              </w:rPr>
              <w:t xml:space="preserve"> Digital ID</w:t>
            </w:r>
            <w:r w:rsidRPr="00211E73">
              <w:rPr>
                <w:szCs w:val="18"/>
                <w:lang w:eastAsia="en-US"/>
              </w:rPr>
              <w:t xml:space="preserve"> System is fully voluntary for </w:t>
            </w:r>
            <w:r w:rsidR="00C214CB">
              <w:rPr>
                <w:szCs w:val="18"/>
                <w:lang w:eastAsia="en-US"/>
              </w:rPr>
              <w:t>r</w:t>
            </w:r>
            <w:r w:rsidRPr="00211E73">
              <w:rPr>
                <w:szCs w:val="18"/>
                <w:lang w:eastAsia="en-US"/>
              </w:rPr>
              <w:t xml:space="preserve">elying </w:t>
            </w:r>
            <w:r w:rsidR="00C214CB">
              <w:rPr>
                <w:szCs w:val="18"/>
                <w:lang w:eastAsia="en-US"/>
              </w:rPr>
              <w:t>p</w:t>
            </w:r>
            <w:r w:rsidRPr="00211E73">
              <w:rPr>
                <w:szCs w:val="18"/>
                <w:lang w:eastAsia="en-US"/>
              </w:rPr>
              <w:t>arties.</w:t>
            </w:r>
          </w:p>
          <w:p w14:paraId="4E65CE99" w14:textId="5B811365" w:rsidR="00211E73" w:rsidRPr="00211E73" w:rsidRDefault="00211E73"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211E73">
              <w:rPr>
                <w:szCs w:val="18"/>
                <w:u w:val="single"/>
                <w:lang w:eastAsia="en-US"/>
              </w:rPr>
              <w:t>Interactions</w:t>
            </w:r>
            <w:r w:rsidRPr="00211E73">
              <w:rPr>
                <w:szCs w:val="18"/>
                <w:lang w:eastAsia="en-US"/>
              </w:rPr>
              <w:t xml:space="preserve">: Relying </w:t>
            </w:r>
            <w:r w:rsidR="00C214CB">
              <w:rPr>
                <w:szCs w:val="18"/>
                <w:lang w:eastAsia="en-US"/>
              </w:rPr>
              <w:t>p</w:t>
            </w:r>
            <w:r w:rsidRPr="00211E73">
              <w:rPr>
                <w:szCs w:val="18"/>
                <w:lang w:eastAsia="en-US"/>
              </w:rPr>
              <w:t xml:space="preserve">arties interact exclusively with </w:t>
            </w:r>
            <w:r w:rsidR="00353A8A">
              <w:rPr>
                <w:szCs w:val="18"/>
                <w:lang w:eastAsia="en-US"/>
              </w:rPr>
              <w:t>IDXs</w:t>
            </w:r>
            <w:r w:rsidRPr="00211E73">
              <w:rPr>
                <w:szCs w:val="18"/>
                <w:lang w:eastAsia="en-US"/>
              </w:rPr>
              <w:t>.</w:t>
            </w:r>
          </w:p>
          <w:p w14:paraId="32B3928F" w14:textId="5FAFA062" w:rsidR="00211E73" w:rsidRPr="00211E73" w:rsidRDefault="00211E73"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211E73">
              <w:rPr>
                <w:szCs w:val="18"/>
                <w:u w:val="single"/>
                <w:lang w:eastAsia="en-US"/>
              </w:rPr>
              <w:t>Incentives</w:t>
            </w:r>
            <w:r w:rsidRPr="00211E73">
              <w:rPr>
                <w:szCs w:val="18"/>
                <w:lang w:eastAsia="en-US"/>
              </w:rPr>
              <w:t xml:space="preserve">: Under current </w:t>
            </w:r>
            <w:r w:rsidR="00DF50AB">
              <w:rPr>
                <w:szCs w:val="18"/>
                <w:lang w:eastAsia="en-US"/>
              </w:rPr>
              <w:t xml:space="preserve">Digital ID </w:t>
            </w:r>
            <w:r w:rsidRPr="00211E73">
              <w:rPr>
                <w:szCs w:val="18"/>
                <w:lang w:eastAsia="en-US"/>
              </w:rPr>
              <w:t xml:space="preserve">System arrangements, only government entities can legally become </w:t>
            </w:r>
            <w:r w:rsidR="00C214CB">
              <w:rPr>
                <w:szCs w:val="18"/>
                <w:lang w:eastAsia="en-US"/>
              </w:rPr>
              <w:t>r</w:t>
            </w:r>
            <w:r w:rsidRPr="00211E73">
              <w:rPr>
                <w:szCs w:val="18"/>
                <w:lang w:eastAsia="en-US"/>
              </w:rPr>
              <w:t xml:space="preserve">elying </w:t>
            </w:r>
            <w:r w:rsidR="00C214CB">
              <w:rPr>
                <w:szCs w:val="18"/>
                <w:lang w:eastAsia="en-US"/>
              </w:rPr>
              <w:t>p</w:t>
            </w:r>
            <w:r w:rsidRPr="00211E73">
              <w:rPr>
                <w:szCs w:val="18"/>
                <w:lang w:eastAsia="en-US"/>
              </w:rPr>
              <w:t>arties. Entities have a strong incentive to do so because the use of Digital I</w:t>
            </w:r>
            <w:r w:rsidR="00EB2443">
              <w:rPr>
                <w:szCs w:val="18"/>
                <w:lang w:eastAsia="en-US"/>
              </w:rPr>
              <w:t>D</w:t>
            </w:r>
            <w:r w:rsidRPr="00211E73">
              <w:rPr>
                <w:szCs w:val="18"/>
                <w:lang w:eastAsia="en-US"/>
              </w:rPr>
              <w:t xml:space="preserve"> can significantly reduce the need for face-to-face or paper-based identity verification by citizens, delivering benefits such as:</w:t>
            </w:r>
          </w:p>
          <w:p w14:paraId="2E0A53AA" w14:textId="1B58ED4C" w:rsidR="00211E73" w:rsidRPr="00211E73" w:rsidRDefault="00211E73"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szCs w:val="18"/>
                <w:lang w:eastAsia="en-US"/>
              </w:rPr>
            </w:pPr>
            <w:r w:rsidRPr="00211E73">
              <w:rPr>
                <w:rFonts w:eastAsia="Calibri"/>
                <w:szCs w:val="18"/>
                <w:lang w:eastAsia="en-US"/>
              </w:rPr>
              <w:t>Reduced processing times for transactions requiring identity verification</w:t>
            </w:r>
          </w:p>
          <w:p w14:paraId="5D3860D2" w14:textId="3D944451" w:rsidR="00211E73" w:rsidRPr="00211E73" w:rsidRDefault="00211E73"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szCs w:val="18"/>
                <w:lang w:eastAsia="en-US"/>
              </w:rPr>
            </w:pPr>
            <w:r w:rsidRPr="00211E73">
              <w:rPr>
                <w:rFonts w:eastAsia="Calibri"/>
                <w:szCs w:val="18"/>
                <w:lang w:eastAsia="en-US"/>
              </w:rPr>
              <w:t>Improved customer experience by removing the need to visit a shopfront or provide certified copies of documents</w:t>
            </w:r>
          </w:p>
          <w:p w14:paraId="0EB856EF" w14:textId="56E73DBE" w:rsidR="00292A96" w:rsidRPr="00211E73" w:rsidRDefault="00211E73"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211E73">
              <w:rPr>
                <w:szCs w:val="18"/>
                <w:lang w:eastAsia="en-US"/>
              </w:rPr>
              <w:t>Reduced manual handling of paperwork and ability to re-direct associated resources to alternative tasks.</w:t>
            </w:r>
          </w:p>
        </w:tc>
        <w:tc>
          <w:tcPr>
            <w:tcW w:w="0" w:type="dxa"/>
            <w:shd w:val="clear" w:color="auto" w:fill="D2EEED"/>
          </w:tcPr>
          <w:p w14:paraId="6FE40D2C" w14:textId="77777777" w:rsidR="00806F75" w:rsidRPr="00806F75" w:rsidRDefault="00806F75"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806F75">
              <w:rPr>
                <w:rFonts w:eastAsia="Calibri"/>
                <w:lang w:eastAsia="en-US"/>
              </w:rPr>
              <w:lastRenderedPageBreak/>
              <w:t>Various, including:</w:t>
            </w:r>
          </w:p>
          <w:p w14:paraId="1ADA56BC" w14:textId="77777777" w:rsidR="00806F75" w:rsidRPr="00806F75" w:rsidRDefault="00806F75"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806F75">
              <w:rPr>
                <w:rFonts w:eastAsia="Calibri"/>
                <w:lang w:eastAsia="en-US"/>
              </w:rPr>
              <w:t>Centrelink</w:t>
            </w:r>
          </w:p>
          <w:p w14:paraId="453E269D" w14:textId="77777777" w:rsidR="00806F75" w:rsidRPr="00806F75" w:rsidRDefault="00806F75"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806F75">
              <w:rPr>
                <w:rFonts w:eastAsia="Calibri"/>
                <w:lang w:eastAsia="en-US"/>
              </w:rPr>
              <w:t>ATO</w:t>
            </w:r>
          </w:p>
          <w:p w14:paraId="7C5C3756" w14:textId="77777777" w:rsidR="00806F75" w:rsidRPr="00806F75" w:rsidRDefault="00806F75"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806F75">
              <w:rPr>
                <w:rFonts w:eastAsia="Calibri"/>
                <w:lang w:eastAsia="en-US"/>
              </w:rPr>
              <w:t>State and territory revenue agencies (currently being tested under pilot conditions)</w:t>
            </w:r>
          </w:p>
          <w:p w14:paraId="55F9C389" w14:textId="77777777" w:rsidR="00292A96" w:rsidRPr="000B7589" w:rsidRDefault="00292A96" w:rsidP="00BB29E3">
            <w:pPr>
              <w:pStyle w:val="TableTextLeft"/>
              <w:cnfStyle w:val="000000100000" w:firstRow="0" w:lastRow="0" w:firstColumn="0" w:lastColumn="0" w:oddVBand="0" w:evenVBand="0" w:oddHBand="1" w:evenHBand="0" w:firstRowFirstColumn="0" w:firstRowLastColumn="0" w:lastRowFirstColumn="0" w:lastRowLastColumn="0"/>
              <w:rPr>
                <w:lang w:eastAsia="en-US"/>
              </w:rPr>
            </w:pPr>
          </w:p>
        </w:tc>
      </w:tr>
      <w:tr w:rsidR="00292A96" w:rsidRPr="000B7589" w14:paraId="53923D8F" w14:textId="77777777" w:rsidTr="00154831">
        <w:trPr>
          <w:trHeight w:val="20"/>
        </w:trPr>
        <w:tc>
          <w:tcPr>
            <w:cnfStyle w:val="001000000000" w:firstRow="0" w:lastRow="0" w:firstColumn="1" w:lastColumn="0" w:oddVBand="0" w:evenVBand="0" w:oddHBand="0" w:evenHBand="0" w:firstRowFirstColumn="0" w:firstRowLastColumn="0" w:lastRowFirstColumn="0" w:lastRowLastColumn="0"/>
            <w:tcW w:w="1386" w:type="dxa"/>
          </w:tcPr>
          <w:p w14:paraId="4EC3FE72" w14:textId="3A2C60FF" w:rsidR="00292A96" w:rsidRPr="003221C7" w:rsidRDefault="00292A96" w:rsidP="00BB29E3">
            <w:pPr>
              <w:pStyle w:val="TableTextLeft"/>
              <w:rPr>
                <w:color w:val="008675"/>
                <w:lang w:eastAsia="en-US"/>
              </w:rPr>
            </w:pPr>
            <w:r w:rsidRPr="003221C7">
              <w:rPr>
                <w:color w:val="008675"/>
                <w:lang w:eastAsia="en-US"/>
              </w:rPr>
              <w:t>G</w:t>
            </w:r>
            <w:r w:rsidR="00EB3C47" w:rsidRPr="003221C7">
              <w:rPr>
                <w:color w:val="008675"/>
                <w:lang w:eastAsia="en-US"/>
              </w:rPr>
              <w:t>overnance body</w:t>
            </w:r>
          </w:p>
        </w:tc>
        <w:tc>
          <w:tcPr>
            <w:tcW w:w="5560" w:type="dxa"/>
          </w:tcPr>
          <w:p w14:paraId="4BBEFFB8" w14:textId="05F0040F" w:rsidR="003A0A29" w:rsidRPr="003A0A29" w:rsidRDefault="003A0A29"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3A0A29">
              <w:rPr>
                <w:szCs w:val="18"/>
                <w:u w:val="single"/>
                <w:lang w:eastAsia="en-US"/>
              </w:rPr>
              <w:t>Role:</w:t>
            </w:r>
            <w:r w:rsidRPr="003A0A29">
              <w:rPr>
                <w:szCs w:val="18"/>
                <w:lang w:eastAsia="en-US"/>
              </w:rPr>
              <w:t xml:space="preserve"> responsible for the administration and oversight of the </w:t>
            </w:r>
            <w:r w:rsidR="00DF50AB">
              <w:rPr>
                <w:szCs w:val="18"/>
                <w:lang w:eastAsia="en-US"/>
              </w:rPr>
              <w:t xml:space="preserve">Digital ID </w:t>
            </w:r>
            <w:r w:rsidRPr="003A0A29">
              <w:rPr>
                <w:szCs w:val="18"/>
                <w:lang w:eastAsia="en-US"/>
              </w:rPr>
              <w:t xml:space="preserve">System, including ensuring the </w:t>
            </w:r>
            <w:r w:rsidR="00287550">
              <w:rPr>
                <w:szCs w:val="18"/>
                <w:lang w:eastAsia="en-US"/>
              </w:rPr>
              <w:t xml:space="preserve">TDIF </w:t>
            </w:r>
            <w:r w:rsidRPr="003A0A29">
              <w:rPr>
                <w:szCs w:val="18"/>
                <w:lang w:eastAsia="en-US"/>
              </w:rPr>
              <w:t xml:space="preserve">requirements are met by all </w:t>
            </w:r>
            <w:r w:rsidR="00651CA6">
              <w:rPr>
                <w:szCs w:val="18"/>
                <w:lang w:eastAsia="en-US"/>
              </w:rPr>
              <w:t xml:space="preserve">onboarded </w:t>
            </w:r>
            <w:r w:rsidR="006E797D">
              <w:rPr>
                <w:szCs w:val="18"/>
                <w:lang w:eastAsia="en-US"/>
              </w:rPr>
              <w:t>a</w:t>
            </w:r>
            <w:r w:rsidRPr="003A0A29">
              <w:rPr>
                <w:szCs w:val="18"/>
                <w:lang w:eastAsia="en-US"/>
              </w:rPr>
              <w:t xml:space="preserve">ccredited </w:t>
            </w:r>
            <w:r w:rsidR="00651CA6">
              <w:rPr>
                <w:szCs w:val="18"/>
                <w:lang w:eastAsia="en-US"/>
              </w:rPr>
              <w:t>entities</w:t>
            </w:r>
            <w:r w:rsidRPr="003A0A29">
              <w:rPr>
                <w:szCs w:val="18"/>
                <w:lang w:eastAsia="en-US"/>
              </w:rPr>
              <w:t xml:space="preserve">. The Interim Oversight Authority’s functions are currently shared by </w:t>
            </w:r>
            <w:r w:rsidR="00B42D00">
              <w:rPr>
                <w:szCs w:val="18"/>
                <w:lang w:eastAsia="en-US"/>
              </w:rPr>
              <w:t>Finance</w:t>
            </w:r>
            <w:r w:rsidRPr="003A0A29">
              <w:rPr>
                <w:szCs w:val="18"/>
                <w:lang w:eastAsia="en-US"/>
              </w:rPr>
              <w:t xml:space="preserve"> and Services Australia.</w:t>
            </w:r>
          </w:p>
          <w:p w14:paraId="796520FD" w14:textId="38C22218" w:rsidR="003A0A29" w:rsidRPr="003A0A29" w:rsidRDefault="003A0A29"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3A0A29">
              <w:rPr>
                <w:szCs w:val="18"/>
                <w:u w:val="single"/>
                <w:lang w:eastAsia="en-US"/>
              </w:rPr>
              <w:t>Interactions:</w:t>
            </w:r>
            <w:r w:rsidRPr="003A0A29">
              <w:rPr>
                <w:szCs w:val="18"/>
                <w:lang w:eastAsia="en-US"/>
              </w:rPr>
              <w:t xml:space="preserve"> The Interim Oversight Authority acts as the TDIF accreditation body, accrediting entities to act as IDPs, A</w:t>
            </w:r>
            <w:r w:rsidR="00201EBB" w:rsidRPr="003A0A29">
              <w:rPr>
                <w:szCs w:val="18"/>
                <w:lang w:eastAsia="en-US"/>
              </w:rPr>
              <w:t>p</w:t>
            </w:r>
            <w:r w:rsidRPr="003A0A29">
              <w:rPr>
                <w:szCs w:val="18"/>
                <w:lang w:eastAsia="en-US"/>
              </w:rPr>
              <w:t xml:space="preserve">s and CSPs within the </w:t>
            </w:r>
            <w:r w:rsidR="00DF50AB">
              <w:rPr>
                <w:szCs w:val="18"/>
                <w:lang w:eastAsia="en-US"/>
              </w:rPr>
              <w:t xml:space="preserve">Digital ID </w:t>
            </w:r>
            <w:r w:rsidRPr="003A0A29">
              <w:rPr>
                <w:szCs w:val="18"/>
                <w:lang w:eastAsia="en-US"/>
              </w:rPr>
              <w:t xml:space="preserve">System. It then provides ongoing oversight of how entities behave within the </w:t>
            </w:r>
            <w:r w:rsidR="00DF50AB">
              <w:rPr>
                <w:szCs w:val="18"/>
                <w:lang w:eastAsia="en-US"/>
              </w:rPr>
              <w:t xml:space="preserve">Digital ID </w:t>
            </w:r>
            <w:r w:rsidRPr="003A0A29">
              <w:rPr>
                <w:szCs w:val="18"/>
                <w:lang w:eastAsia="en-US"/>
              </w:rPr>
              <w:t xml:space="preserve">System, ensuring compliance with the TDIF. In these roles, it interacts closely with all </w:t>
            </w:r>
            <w:r w:rsidR="00651CA6">
              <w:rPr>
                <w:szCs w:val="18"/>
                <w:lang w:eastAsia="en-US"/>
              </w:rPr>
              <w:t xml:space="preserve">onboarded </w:t>
            </w:r>
            <w:r w:rsidR="006E797D">
              <w:rPr>
                <w:szCs w:val="18"/>
                <w:lang w:eastAsia="en-US"/>
              </w:rPr>
              <w:t>a</w:t>
            </w:r>
            <w:r w:rsidRPr="003A0A29">
              <w:rPr>
                <w:szCs w:val="18"/>
                <w:lang w:eastAsia="en-US"/>
              </w:rPr>
              <w:t xml:space="preserve">ccredited </w:t>
            </w:r>
            <w:r w:rsidR="00651CA6">
              <w:rPr>
                <w:szCs w:val="18"/>
                <w:lang w:eastAsia="en-US"/>
              </w:rPr>
              <w:t>entities</w:t>
            </w:r>
            <w:r w:rsidRPr="003A0A29">
              <w:rPr>
                <w:szCs w:val="18"/>
                <w:lang w:eastAsia="en-US"/>
              </w:rPr>
              <w:t xml:space="preserve">. The Interim Oversight Authority may also interact with </w:t>
            </w:r>
            <w:r w:rsidR="00C214CB">
              <w:rPr>
                <w:szCs w:val="18"/>
                <w:lang w:eastAsia="en-US"/>
              </w:rPr>
              <w:t>r</w:t>
            </w:r>
            <w:r w:rsidRPr="003A0A29">
              <w:rPr>
                <w:szCs w:val="18"/>
                <w:lang w:eastAsia="en-US"/>
              </w:rPr>
              <w:t xml:space="preserve">elying </w:t>
            </w:r>
            <w:r w:rsidR="00C214CB">
              <w:rPr>
                <w:szCs w:val="18"/>
                <w:lang w:eastAsia="en-US"/>
              </w:rPr>
              <w:t>p</w:t>
            </w:r>
            <w:r w:rsidRPr="003A0A29">
              <w:rPr>
                <w:szCs w:val="18"/>
                <w:lang w:eastAsia="en-US"/>
              </w:rPr>
              <w:t xml:space="preserve">arties and Individuals in some limited cases where it receives complaints about </w:t>
            </w:r>
            <w:r w:rsidR="00651CA6">
              <w:rPr>
                <w:szCs w:val="18"/>
                <w:lang w:eastAsia="en-US"/>
              </w:rPr>
              <w:t xml:space="preserve">onboarded accredited entity </w:t>
            </w:r>
            <w:r w:rsidRPr="003A0A29">
              <w:rPr>
                <w:szCs w:val="18"/>
                <w:lang w:eastAsia="en-US"/>
              </w:rPr>
              <w:t>conduct.</w:t>
            </w:r>
          </w:p>
          <w:p w14:paraId="37AF805F" w14:textId="2FA2C27E" w:rsidR="003A0A29" w:rsidRPr="003A0A29" w:rsidRDefault="003A0A29" w:rsidP="00BB29E3">
            <w:pPr>
              <w:pStyle w:val="TableTextLeft"/>
              <w:cnfStyle w:val="000000000000" w:firstRow="0" w:lastRow="0" w:firstColumn="0" w:lastColumn="0" w:oddVBand="0" w:evenVBand="0" w:oddHBand="0" w:evenHBand="0" w:firstRowFirstColumn="0" w:firstRowLastColumn="0" w:lastRowFirstColumn="0" w:lastRowLastColumn="0"/>
              <w:rPr>
                <w:szCs w:val="18"/>
                <w:lang w:eastAsia="en-US"/>
              </w:rPr>
            </w:pPr>
            <w:r w:rsidRPr="003A0A29">
              <w:rPr>
                <w:szCs w:val="18"/>
                <w:lang w:eastAsia="en-US"/>
              </w:rPr>
              <w:t xml:space="preserve">The Oversight Authority’s role as </w:t>
            </w:r>
            <w:r w:rsidR="00DF50AB">
              <w:rPr>
                <w:szCs w:val="18"/>
                <w:lang w:eastAsia="en-US"/>
              </w:rPr>
              <w:t xml:space="preserve">Digital ID </w:t>
            </w:r>
            <w:r w:rsidRPr="003A0A29">
              <w:rPr>
                <w:szCs w:val="18"/>
                <w:lang w:eastAsia="en-US"/>
              </w:rPr>
              <w:t xml:space="preserve">System regulator means that nature of these interactions is different from that between other System participants. Specifically, it does not play a role in the day-to-day delivery of the </w:t>
            </w:r>
            <w:r w:rsidR="00DF50AB">
              <w:rPr>
                <w:szCs w:val="18"/>
                <w:lang w:eastAsia="en-US"/>
              </w:rPr>
              <w:t xml:space="preserve">Digital ID </w:t>
            </w:r>
            <w:r w:rsidRPr="003A0A29">
              <w:rPr>
                <w:szCs w:val="18"/>
                <w:lang w:eastAsia="en-US"/>
              </w:rPr>
              <w:t>System, instead having a higher-level oversight and governance role.</w:t>
            </w:r>
          </w:p>
          <w:p w14:paraId="4595B001" w14:textId="2E5E8686" w:rsidR="00292A96" w:rsidRPr="000B7589" w:rsidRDefault="003A0A29" w:rsidP="00BB29E3">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053B1C">
              <w:rPr>
                <w:szCs w:val="18"/>
                <w:u w:val="single"/>
                <w:lang w:eastAsia="en-US"/>
              </w:rPr>
              <w:t>Incentives:</w:t>
            </w:r>
            <w:r w:rsidRPr="00053B1C">
              <w:rPr>
                <w:szCs w:val="18"/>
                <w:lang w:eastAsia="en-US"/>
              </w:rPr>
              <w:t xml:space="preserve"> The Interim Oversight Authority is a Commonwealth government entity. Its primary incentives are to promote the efficient, safe and transparent operation of the </w:t>
            </w:r>
            <w:r w:rsidR="007525B9">
              <w:rPr>
                <w:szCs w:val="18"/>
                <w:lang w:eastAsia="en-US"/>
              </w:rPr>
              <w:t xml:space="preserve">Digital ID </w:t>
            </w:r>
            <w:r w:rsidRPr="00053B1C">
              <w:rPr>
                <w:szCs w:val="18"/>
                <w:lang w:eastAsia="en-US"/>
              </w:rPr>
              <w:t>System.</w:t>
            </w:r>
          </w:p>
        </w:tc>
        <w:tc>
          <w:tcPr>
            <w:tcW w:w="0" w:type="dxa"/>
          </w:tcPr>
          <w:p w14:paraId="428AAFD2" w14:textId="0A48727C" w:rsidR="00590E4F" w:rsidRPr="00590E4F" w:rsidRDefault="00F65D96" w:rsidP="00BB29E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r>
              <w:rPr>
                <w:rFonts w:eastAsia="Calibri"/>
                <w:lang w:eastAsia="en-US"/>
              </w:rPr>
              <w:t>Finance</w:t>
            </w:r>
            <w:r w:rsidRPr="00590E4F">
              <w:rPr>
                <w:rFonts w:eastAsia="Calibri"/>
                <w:lang w:eastAsia="en-US"/>
              </w:rPr>
              <w:t xml:space="preserve"> </w:t>
            </w:r>
            <w:r w:rsidR="00590E4F" w:rsidRPr="00590E4F">
              <w:rPr>
                <w:rFonts w:eastAsia="Calibri"/>
                <w:lang w:eastAsia="en-US"/>
              </w:rPr>
              <w:t>and Services Australia</w:t>
            </w:r>
          </w:p>
          <w:p w14:paraId="1A8DF8E6" w14:textId="0007B3D5" w:rsidR="00292A96" w:rsidRPr="000B7589" w:rsidRDefault="00292A96" w:rsidP="00BB29E3">
            <w:pPr>
              <w:pStyle w:val="TableTextLeft"/>
              <w:cnfStyle w:val="000000000000" w:firstRow="0" w:lastRow="0" w:firstColumn="0" w:lastColumn="0" w:oddVBand="0" w:evenVBand="0" w:oddHBand="0" w:evenHBand="0" w:firstRowFirstColumn="0" w:firstRowLastColumn="0" w:lastRowFirstColumn="0" w:lastRowLastColumn="0"/>
              <w:rPr>
                <w:rFonts w:eastAsia="Calibri"/>
                <w:lang w:eastAsia="en-US"/>
              </w:rPr>
            </w:pPr>
          </w:p>
        </w:tc>
      </w:tr>
      <w:tr w:rsidR="00184701" w:rsidRPr="000B7589" w14:paraId="7DCFF2F1"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6" w:type="dxa"/>
            <w:shd w:val="clear" w:color="auto" w:fill="D2EEED"/>
          </w:tcPr>
          <w:p w14:paraId="2C508505" w14:textId="390C6E51" w:rsidR="00292A96" w:rsidRPr="003221C7" w:rsidRDefault="00292A96" w:rsidP="00BB29E3">
            <w:pPr>
              <w:pStyle w:val="TableTextLeft"/>
              <w:rPr>
                <w:color w:val="008675"/>
                <w:lang w:eastAsia="en-US"/>
              </w:rPr>
            </w:pPr>
            <w:r w:rsidRPr="003221C7">
              <w:rPr>
                <w:color w:val="008675"/>
                <w:lang w:eastAsia="en-US"/>
              </w:rPr>
              <w:t>U</w:t>
            </w:r>
            <w:r w:rsidR="00EB3C47" w:rsidRPr="003221C7">
              <w:rPr>
                <w:color w:val="008675"/>
                <w:lang w:eastAsia="en-US"/>
              </w:rPr>
              <w:t>ser</w:t>
            </w:r>
          </w:p>
        </w:tc>
        <w:tc>
          <w:tcPr>
            <w:tcW w:w="5560" w:type="dxa"/>
            <w:shd w:val="clear" w:color="auto" w:fill="D2EEED"/>
          </w:tcPr>
          <w:p w14:paraId="56304E54" w14:textId="6A8FC768" w:rsidR="00BB4170" w:rsidRPr="00BB4170" w:rsidRDefault="00BB4170"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BB4170">
              <w:rPr>
                <w:szCs w:val="18"/>
                <w:u w:val="single"/>
                <w:lang w:eastAsia="en-US"/>
              </w:rPr>
              <w:t>Role:</w:t>
            </w:r>
            <w:r w:rsidRPr="00BB4170">
              <w:rPr>
                <w:szCs w:val="18"/>
                <w:lang w:eastAsia="en-US"/>
              </w:rPr>
              <w:t xml:space="preserve"> establish and use a Digital I</w:t>
            </w:r>
            <w:r w:rsidR="00EB2443">
              <w:rPr>
                <w:szCs w:val="18"/>
                <w:lang w:eastAsia="en-US"/>
              </w:rPr>
              <w:t>D</w:t>
            </w:r>
            <w:r w:rsidRPr="00BB4170">
              <w:rPr>
                <w:szCs w:val="18"/>
                <w:lang w:eastAsia="en-US"/>
              </w:rPr>
              <w:t xml:space="preserve"> – through one or more providers – to verify their identity when accessing a range of digital services. That is, people are the </w:t>
            </w:r>
            <w:r w:rsidRPr="00BB4170">
              <w:rPr>
                <w:i/>
                <w:iCs/>
                <w:szCs w:val="18"/>
                <w:lang w:eastAsia="en-US"/>
              </w:rPr>
              <w:t xml:space="preserve">subject </w:t>
            </w:r>
            <w:r w:rsidRPr="00BB4170">
              <w:rPr>
                <w:szCs w:val="18"/>
                <w:lang w:eastAsia="en-US"/>
              </w:rPr>
              <w:t xml:space="preserve">of queries such as ‘Is this person Jane Doe?’, ‘Is Jane Doe entitled to Family Tax Benefit?’ and ‘Does this person’s password </w:t>
            </w:r>
            <w:r w:rsidRPr="00BB4170">
              <w:rPr>
                <w:szCs w:val="18"/>
                <w:lang w:eastAsia="en-US"/>
              </w:rPr>
              <w:lastRenderedPageBreak/>
              <w:t xml:space="preserve">match the password for the account held by Jane Doe?’. Participation in the </w:t>
            </w:r>
            <w:r w:rsidR="007525B9">
              <w:rPr>
                <w:szCs w:val="18"/>
                <w:lang w:eastAsia="en-US"/>
              </w:rPr>
              <w:t xml:space="preserve">Digital ID </w:t>
            </w:r>
            <w:r w:rsidRPr="00BB4170">
              <w:rPr>
                <w:szCs w:val="18"/>
                <w:lang w:eastAsia="en-US"/>
              </w:rPr>
              <w:t>System is fully voluntary for individuals using either in their business (e.g. applying for an ABN) or personal capacity.</w:t>
            </w:r>
          </w:p>
          <w:p w14:paraId="1639C439" w14:textId="1E92194E" w:rsidR="00BB4170" w:rsidRPr="00BB4170" w:rsidRDefault="00BB4170"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BB4170">
              <w:rPr>
                <w:szCs w:val="18"/>
                <w:u w:val="single"/>
                <w:lang w:eastAsia="en-US"/>
              </w:rPr>
              <w:t>Interactions:</w:t>
            </w:r>
            <w:r w:rsidRPr="00BB4170">
              <w:rPr>
                <w:szCs w:val="18"/>
                <w:lang w:eastAsia="en-US"/>
              </w:rPr>
              <w:t xml:space="preserve"> As the other ‘end user’ of digital </w:t>
            </w:r>
            <w:r w:rsidR="00F630ED">
              <w:rPr>
                <w:szCs w:val="18"/>
                <w:lang w:eastAsia="en-US"/>
              </w:rPr>
              <w:t>ID</w:t>
            </w:r>
            <w:r w:rsidR="00F630ED" w:rsidRPr="00BB4170">
              <w:rPr>
                <w:szCs w:val="18"/>
                <w:lang w:eastAsia="en-US"/>
              </w:rPr>
              <w:t xml:space="preserve"> </w:t>
            </w:r>
            <w:r w:rsidRPr="00BB4170">
              <w:rPr>
                <w:szCs w:val="18"/>
                <w:lang w:eastAsia="en-US"/>
              </w:rPr>
              <w:t xml:space="preserve">(along with </w:t>
            </w:r>
            <w:r w:rsidR="00C214CB">
              <w:rPr>
                <w:szCs w:val="18"/>
                <w:lang w:eastAsia="en-US"/>
              </w:rPr>
              <w:t>r</w:t>
            </w:r>
            <w:r w:rsidRPr="00BB4170">
              <w:rPr>
                <w:szCs w:val="18"/>
                <w:lang w:eastAsia="en-US"/>
              </w:rPr>
              <w:t xml:space="preserve">elying </w:t>
            </w:r>
            <w:r w:rsidR="00C214CB">
              <w:rPr>
                <w:szCs w:val="18"/>
                <w:lang w:eastAsia="en-US"/>
              </w:rPr>
              <w:t>p</w:t>
            </w:r>
            <w:r w:rsidRPr="00BB4170">
              <w:rPr>
                <w:szCs w:val="18"/>
                <w:lang w:eastAsia="en-US"/>
              </w:rPr>
              <w:t>arties) individuals interact exclusively with IDPs. They establish a Digital I</w:t>
            </w:r>
            <w:r w:rsidR="00EB2443">
              <w:rPr>
                <w:szCs w:val="18"/>
                <w:lang w:eastAsia="en-US"/>
              </w:rPr>
              <w:t>D</w:t>
            </w:r>
            <w:r w:rsidRPr="00BB4170">
              <w:rPr>
                <w:szCs w:val="18"/>
                <w:lang w:eastAsia="en-US"/>
              </w:rPr>
              <w:t xml:space="preserve"> presence with an IDP and provide consent through it for the verification of their identity on each occasion this is sought by a </w:t>
            </w:r>
            <w:r w:rsidR="00C214CB">
              <w:rPr>
                <w:szCs w:val="18"/>
                <w:lang w:eastAsia="en-US"/>
              </w:rPr>
              <w:t>r</w:t>
            </w:r>
            <w:r w:rsidRPr="00BB4170">
              <w:rPr>
                <w:szCs w:val="18"/>
                <w:lang w:eastAsia="en-US"/>
              </w:rPr>
              <w:t xml:space="preserve">elying </w:t>
            </w:r>
            <w:r w:rsidR="00C214CB">
              <w:rPr>
                <w:szCs w:val="18"/>
                <w:lang w:eastAsia="en-US"/>
              </w:rPr>
              <w:t>p</w:t>
            </w:r>
            <w:r w:rsidRPr="00BB4170">
              <w:rPr>
                <w:szCs w:val="18"/>
                <w:lang w:eastAsia="en-US"/>
              </w:rPr>
              <w:t>arty. While the range of interactions detailed above take place on behalf of individuals, this does not require direct contact between these people and any entity other than their chosen IDP.</w:t>
            </w:r>
          </w:p>
          <w:p w14:paraId="41297674" w14:textId="55DDD980" w:rsidR="00BB4170" w:rsidRPr="00BB4170" w:rsidRDefault="00BB4170"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BB4170">
              <w:rPr>
                <w:szCs w:val="18"/>
                <w:lang w:eastAsia="en-US"/>
              </w:rPr>
              <w:t xml:space="preserve">It should be noted that people are likely to interact directly with </w:t>
            </w:r>
            <w:r w:rsidR="00651CA6">
              <w:rPr>
                <w:szCs w:val="18"/>
                <w:lang w:eastAsia="en-US"/>
              </w:rPr>
              <w:t xml:space="preserve">onboarded </w:t>
            </w:r>
            <w:r w:rsidR="006E797D">
              <w:rPr>
                <w:szCs w:val="18"/>
                <w:lang w:eastAsia="en-US"/>
              </w:rPr>
              <w:t>a</w:t>
            </w:r>
            <w:r w:rsidRPr="00BB4170">
              <w:rPr>
                <w:szCs w:val="18"/>
                <w:lang w:eastAsia="en-US"/>
              </w:rPr>
              <w:t xml:space="preserve">ccredited </w:t>
            </w:r>
            <w:r w:rsidR="00651CA6">
              <w:rPr>
                <w:szCs w:val="18"/>
                <w:lang w:eastAsia="en-US"/>
              </w:rPr>
              <w:t xml:space="preserve">entities </w:t>
            </w:r>
            <w:r w:rsidRPr="00BB4170">
              <w:rPr>
                <w:szCs w:val="18"/>
                <w:lang w:eastAsia="en-US"/>
              </w:rPr>
              <w:t>through other channels – e.g. lodging tax returns with the ATO or applying for benefits through Services Australia. These interactions form the basis for Participants holding individuals’ information which can subsequently be used to verify their identity</w:t>
            </w:r>
            <w:r w:rsidR="00737BA2">
              <w:rPr>
                <w:szCs w:val="18"/>
                <w:lang w:eastAsia="en-US"/>
              </w:rPr>
              <w:t xml:space="preserve"> /</w:t>
            </w:r>
            <w:r w:rsidRPr="00BB4170">
              <w:rPr>
                <w:szCs w:val="18"/>
                <w:lang w:eastAsia="en-US"/>
              </w:rPr>
              <w:t xml:space="preserve">attributes. However, these interactions occur outside the </w:t>
            </w:r>
            <w:r w:rsidR="007525B9">
              <w:rPr>
                <w:szCs w:val="18"/>
                <w:lang w:eastAsia="en-US"/>
              </w:rPr>
              <w:t xml:space="preserve">Digital ID </w:t>
            </w:r>
            <w:r w:rsidRPr="00BB4170">
              <w:rPr>
                <w:szCs w:val="18"/>
                <w:lang w:eastAsia="en-US"/>
              </w:rPr>
              <w:t>System and would do so if it were not in place.</w:t>
            </w:r>
          </w:p>
          <w:p w14:paraId="6EB21F5F" w14:textId="7FFCA2CC" w:rsidR="00BB4170" w:rsidRPr="00BB4170" w:rsidRDefault="00BB4170"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BB4170">
              <w:rPr>
                <w:szCs w:val="18"/>
                <w:u w:val="single"/>
                <w:lang w:eastAsia="en-US"/>
              </w:rPr>
              <w:t>Incentives:</w:t>
            </w:r>
            <w:r w:rsidRPr="00BB4170">
              <w:rPr>
                <w:szCs w:val="18"/>
                <w:lang w:eastAsia="en-US"/>
              </w:rPr>
              <w:t xml:space="preserve"> Users have a range of incentives to participate in the </w:t>
            </w:r>
            <w:r w:rsidR="007525B9">
              <w:rPr>
                <w:szCs w:val="18"/>
                <w:lang w:eastAsia="en-US"/>
              </w:rPr>
              <w:t xml:space="preserve">Digital ID </w:t>
            </w:r>
            <w:r w:rsidRPr="00BB4170">
              <w:rPr>
                <w:szCs w:val="18"/>
                <w:lang w:eastAsia="en-US"/>
              </w:rPr>
              <w:t>System, including:</w:t>
            </w:r>
          </w:p>
          <w:p w14:paraId="426A7A8B" w14:textId="74398C51" w:rsidR="00BB4170" w:rsidRPr="00394FB9" w:rsidRDefault="007621CC" w:rsidP="007621CC">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Cs w:val="20"/>
                <w:lang w:eastAsia="en-US"/>
              </w:rPr>
            </w:pPr>
            <w:r>
              <w:rPr>
                <w:rFonts w:eastAsia="Calibri"/>
                <w:sz w:val="20"/>
                <w:szCs w:val="20"/>
                <w:lang w:eastAsia="en-US"/>
              </w:rPr>
              <w:t>i</w:t>
            </w:r>
            <w:r w:rsidR="00BB4170" w:rsidRPr="007621CC">
              <w:rPr>
                <w:rFonts w:eastAsia="Calibri"/>
                <w:sz w:val="20"/>
                <w:szCs w:val="20"/>
                <w:lang w:eastAsia="en-US"/>
              </w:rPr>
              <w:t xml:space="preserve">mproved convenience and speed of processing when interacting with </w:t>
            </w:r>
            <w:r w:rsidR="002F366A" w:rsidRPr="007621CC">
              <w:rPr>
                <w:sz w:val="20"/>
                <w:szCs w:val="20"/>
                <w:lang w:eastAsia="en-US"/>
              </w:rPr>
              <w:t>Australian Government</w:t>
            </w:r>
            <w:r w:rsidR="002F366A" w:rsidRPr="007621CC" w:rsidDel="002F366A">
              <w:rPr>
                <w:rFonts w:eastAsia="Calibri"/>
                <w:sz w:val="20"/>
                <w:szCs w:val="20"/>
                <w:lang w:eastAsia="en-US"/>
              </w:rPr>
              <w:t xml:space="preserve"> </w:t>
            </w:r>
            <w:r w:rsidR="00A913A2" w:rsidRPr="007621CC">
              <w:rPr>
                <w:rFonts w:eastAsia="Calibri"/>
                <w:sz w:val="20"/>
                <w:szCs w:val="20"/>
                <w:lang w:eastAsia="en-US"/>
              </w:rPr>
              <w:t>agencies</w:t>
            </w:r>
          </w:p>
          <w:p w14:paraId="09EC0A3B" w14:textId="5C6BBE9E" w:rsidR="00BB4170" w:rsidRPr="00394FB9" w:rsidRDefault="007621CC" w:rsidP="007621CC">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Cs w:val="20"/>
                <w:lang w:eastAsia="en-US"/>
              </w:rPr>
            </w:pPr>
            <w:r>
              <w:rPr>
                <w:rFonts w:eastAsia="Calibri"/>
                <w:sz w:val="20"/>
                <w:szCs w:val="20"/>
                <w:lang w:eastAsia="en-US"/>
              </w:rPr>
              <w:t>s</w:t>
            </w:r>
            <w:r w:rsidR="00BB4170" w:rsidRPr="007621CC">
              <w:rPr>
                <w:rFonts w:eastAsia="Calibri"/>
                <w:sz w:val="20"/>
                <w:szCs w:val="20"/>
                <w:lang w:eastAsia="en-US"/>
              </w:rPr>
              <w:t>trengthened autonomy and control over which entities will hold information on their identity and attributes</w:t>
            </w:r>
          </w:p>
          <w:p w14:paraId="3F5123D8" w14:textId="318C510B" w:rsidR="00BB4170" w:rsidRPr="00394FB9" w:rsidRDefault="007621CC" w:rsidP="007621CC">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Cs w:val="20"/>
                <w:lang w:eastAsia="en-US"/>
              </w:rPr>
            </w:pPr>
            <w:r>
              <w:rPr>
                <w:rFonts w:eastAsia="Calibri"/>
                <w:sz w:val="20"/>
                <w:szCs w:val="20"/>
                <w:lang w:eastAsia="en-US"/>
              </w:rPr>
              <w:t>r</w:t>
            </w:r>
            <w:r w:rsidR="00BB4170" w:rsidRPr="007621CC">
              <w:rPr>
                <w:rFonts w:eastAsia="Calibri"/>
                <w:sz w:val="20"/>
                <w:szCs w:val="20"/>
                <w:lang w:eastAsia="en-US"/>
              </w:rPr>
              <w:t>educed risk of identity theft due to strong levels of security built into the</w:t>
            </w:r>
            <w:r w:rsidR="007525B9">
              <w:rPr>
                <w:rFonts w:eastAsia="Calibri"/>
                <w:sz w:val="20"/>
                <w:szCs w:val="20"/>
                <w:lang w:eastAsia="en-US"/>
              </w:rPr>
              <w:t xml:space="preserve"> Digital ID</w:t>
            </w:r>
            <w:r w:rsidR="00BB4170" w:rsidRPr="007621CC">
              <w:rPr>
                <w:rFonts w:eastAsia="Calibri"/>
                <w:sz w:val="20"/>
                <w:szCs w:val="20"/>
                <w:lang w:eastAsia="en-US"/>
              </w:rPr>
              <w:t xml:space="preserve"> System.</w:t>
            </w:r>
          </w:p>
          <w:p w14:paraId="26D8E7F7" w14:textId="50A3A7AD" w:rsidR="00BB4170" w:rsidRPr="00BB4170" w:rsidRDefault="00BB4170" w:rsidP="00BB29E3">
            <w:pPr>
              <w:pStyle w:val="TableTextLeft"/>
              <w:cnfStyle w:val="000000100000" w:firstRow="0" w:lastRow="0" w:firstColumn="0" w:lastColumn="0" w:oddVBand="0" w:evenVBand="0" w:oddHBand="1" w:evenHBand="0" w:firstRowFirstColumn="0" w:firstRowLastColumn="0" w:lastRowFirstColumn="0" w:lastRowLastColumn="0"/>
              <w:rPr>
                <w:szCs w:val="18"/>
                <w:lang w:eastAsia="en-US"/>
              </w:rPr>
            </w:pPr>
            <w:r w:rsidRPr="00BB4170">
              <w:rPr>
                <w:szCs w:val="18"/>
                <w:lang w:eastAsia="en-US"/>
              </w:rPr>
              <w:t xml:space="preserve">However, it should be noted that several factors may also incentivise </w:t>
            </w:r>
            <w:r w:rsidRPr="00BB4170">
              <w:rPr>
                <w:i/>
                <w:iCs/>
                <w:szCs w:val="18"/>
                <w:lang w:eastAsia="en-US"/>
              </w:rPr>
              <w:t>against</w:t>
            </w:r>
            <w:r w:rsidRPr="00BB4170">
              <w:rPr>
                <w:szCs w:val="18"/>
                <w:lang w:eastAsia="en-US"/>
              </w:rPr>
              <w:t xml:space="preserve"> individual participation, including:</w:t>
            </w:r>
          </w:p>
          <w:p w14:paraId="6A47C80B" w14:textId="1FE8136D" w:rsidR="00BB4170" w:rsidRPr="00394FB9" w:rsidRDefault="004739F2" w:rsidP="007621CC">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Cs w:val="20"/>
                <w:lang w:eastAsia="en-US"/>
              </w:rPr>
            </w:pPr>
            <w:r w:rsidRPr="007621CC">
              <w:rPr>
                <w:rFonts w:eastAsia="Calibri"/>
                <w:sz w:val="20"/>
                <w:szCs w:val="20"/>
                <w:lang w:eastAsia="en-US"/>
              </w:rPr>
              <w:t>c</w:t>
            </w:r>
            <w:r w:rsidR="00BB4170" w:rsidRPr="007621CC">
              <w:rPr>
                <w:rFonts w:eastAsia="Calibri"/>
                <w:sz w:val="20"/>
                <w:szCs w:val="20"/>
                <w:lang w:eastAsia="en-US"/>
              </w:rPr>
              <w:t>oncern over government centralisation or control of information on their identity and attributes</w:t>
            </w:r>
          </w:p>
          <w:p w14:paraId="5ED23B9D" w14:textId="7F257E8F" w:rsidR="00BB4170" w:rsidRPr="00394FB9" w:rsidRDefault="004739F2" w:rsidP="007621CC">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Cs w:val="20"/>
                <w:lang w:eastAsia="en-US"/>
              </w:rPr>
            </w:pPr>
            <w:r w:rsidRPr="007621CC">
              <w:rPr>
                <w:rFonts w:eastAsia="Calibri"/>
                <w:sz w:val="20"/>
                <w:szCs w:val="20"/>
                <w:lang w:eastAsia="en-US"/>
              </w:rPr>
              <w:t>l</w:t>
            </w:r>
            <w:r w:rsidR="00BB4170" w:rsidRPr="007621CC">
              <w:rPr>
                <w:rFonts w:eastAsia="Calibri"/>
                <w:sz w:val="20"/>
                <w:szCs w:val="20"/>
                <w:lang w:eastAsia="en-US"/>
              </w:rPr>
              <w:t xml:space="preserve">ack of a robust legal framework for protecting privacy, and ensuring compliance with the TDIF </w:t>
            </w:r>
          </w:p>
          <w:p w14:paraId="43C4DC36" w14:textId="65E17E0E" w:rsidR="00292A96" w:rsidRPr="000B7589" w:rsidRDefault="004739F2" w:rsidP="007621CC">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lang w:eastAsia="en-US"/>
              </w:rPr>
            </w:pPr>
            <w:r w:rsidRPr="007621CC">
              <w:rPr>
                <w:sz w:val="20"/>
                <w:szCs w:val="20"/>
                <w:lang w:eastAsia="en-US"/>
              </w:rPr>
              <w:t>l</w:t>
            </w:r>
            <w:r w:rsidR="00BB4170" w:rsidRPr="007621CC">
              <w:rPr>
                <w:sz w:val="20"/>
                <w:szCs w:val="20"/>
                <w:lang w:eastAsia="en-US"/>
              </w:rPr>
              <w:t xml:space="preserve">imited useability of digital </w:t>
            </w:r>
            <w:r w:rsidR="00F630ED">
              <w:rPr>
                <w:sz w:val="20"/>
                <w:szCs w:val="20"/>
                <w:lang w:eastAsia="en-US"/>
              </w:rPr>
              <w:t>ID</w:t>
            </w:r>
            <w:r w:rsidR="00F630ED" w:rsidRPr="007621CC">
              <w:rPr>
                <w:sz w:val="20"/>
                <w:szCs w:val="20"/>
                <w:lang w:eastAsia="en-US"/>
              </w:rPr>
              <w:t xml:space="preserve"> </w:t>
            </w:r>
            <w:r w:rsidR="00BB4170" w:rsidRPr="007621CC">
              <w:rPr>
                <w:sz w:val="20"/>
                <w:szCs w:val="20"/>
                <w:lang w:eastAsia="en-US"/>
              </w:rPr>
              <w:t xml:space="preserve">outside of interaction with </w:t>
            </w:r>
            <w:r w:rsidR="002F366A" w:rsidRPr="007621CC">
              <w:rPr>
                <w:sz w:val="20"/>
                <w:szCs w:val="20"/>
                <w:lang w:eastAsia="en-US"/>
              </w:rPr>
              <w:t>Australian Government</w:t>
            </w:r>
            <w:r w:rsidR="002F366A" w:rsidRPr="007621CC" w:rsidDel="002F366A">
              <w:rPr>
                <w:sz w:val="20"/>
                <w:szCs w:val="20"/>
                <w:lang w:eastAsia="en-US"/>
              </w:rPr>
              <w:t xml:space="preserve"> </w:t>
            </w:r>
            <w:r w:rsidR="00BB4170" w:rsidRPr="007621CC">
              <w:rPr>
                <w:sz w:val="20"/>
                <w:szCs w:val="20"/>
                <w:lang w:eastAsia="en-US"/>
              </w:rPr>
              <w:t>entities.</w:t>
            </w:r>
          </w:p>
        </w:tc>
        <w:tc>
          <w:tcPr>
            <w:tcW w:w="0" w:type="dxa"/>
            <w:shd w:val="clear" w:color="auto" w:fill="D2EEED"/>
          </w:tcPr>
          <w:p w14:paraId="7240CB8C" w14:textId="77777777" w:rsidR="00292A96" w:rsidRPr="000B7589" w:rsidRDefault="00292A96" w:rsidP="00BB29E3">
            <w:pPr>
              <w:pStyle w:val="TableTextLef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lastRenderedPageBreak/>
              <w:t>Individual citizens in private capacity</w:t>
            </w:r>
          </w:p>
          <w:p w14:paraId="3ACDA216" w14:textId="77777777" w:rsidR="00292A96" w:rsidRPr="000B7589" w:rsidRDefault="00292A96">
            <w:pPr>
              <w:pStyle w:val="TableTextLeft"/>
              <w:keepNext/>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Individuals in capacity as business owners</w:t>
            </w:r>
          </w:p>
        </w:tc>
      </w:tr>
    </w:tbl>
    <w:p w14:paraId="5D092EAC" w14:textId="7C0735CE" w:rsidR="0052151B" w:rsidRDefault="0052151B">
      <w:pPr>
        <w:pStyle w:val="Caption"/>
      </w:pPr>
      <w:bookmarkStart w:id="672" w:name="_Toc130390617"/>
      <w:bookmarkStart w:id="673" w:name="_Toc82532404"/>
      <w:r>
        <w:t xml:space="preserve">Table </w:t>
      </w:r>
      <w:r>
        <w:fldChar w:fldCharType="begin"/>
      </w:r>
      <w:r>
        <w:instrText>SEQ Table \* ARABIC</w:instrText>
      </w:r>
      <w:r>
        <w:fldChar w:fldCharType="separate"/>
      </w:r>
      <w:r w:rsidRPr="78F42BF0">
        <w:rPr>
          <w:noProof/>
        </w:rPr>
        <w:t>13</w:t>
      </w:r>
      <w:r>
        <w:fldChar w:fldCharType="end"/>
      </w:r>
      <w:r>
        <w:t xml:space="preserve">: Details of entities, interactions and incentives within the current </w:t>
      </w:r>
      <w:r w:rsidR="007525B9">
        <w:t>Digital ID</w:t>
      </w:r>
      <w:r w:rsidR="6254367D">
        <w:t xml:space="preserve"> </w:t>
      </w:r>
      <w:r>
        <w:t>System</w:t>
      </w:r>
      <w:bookmarkEnd w:id="672"/>
    </w:p>
    <w:bookmarkEnd w:id="673"/>
    <w:p w14:paraId="77E5581E" w14:textId="77777777" w:rsidR="00E6232E" w:rsidRPr="000B7589" w:rsidRDefault="00E6232E" w:rsidP="00E6232E">
      <w:pPr>
        <w:spacing w:before="0" w:after="120" w:line="276" w:lineRule="auto"/>
        <w:rPr>
          <w:rFonts w:eastAsia="Yu Gothic Light"/>
          <w:color w:val="2F5496"/>
          <w:sz w:val="26"/>
          <w:szCs w:val="26"/>
          <w:lang w:eastAsia="en-US"/>
        </w:rPr>
      </w:pPr>
      <w:r w:rsidRPr="000B7589">
        <w:rPr>
          <w:rFonts w:eastAsia="Times New Roman"/>
          <w:color w:val="auto"/>
          <w:sz w:val="22"/>
          <w:szCs w:val="22"/>
          <w:lang w:eastAsia="en-US"/>
        </w:rPr>
        <w:br w:type="page"/>
      </w:r>
    </w:p>
    <w:p w14:paraId="34726904" w14:textId="62B4BEF1" w:rsidR="00E6232E" w:rsidRPr="003221C7" w:rsidRDefault="00511F1B" w:rsidP="00511F1B">
      <w:pPr>
        <w:pStyle w:val="Heading1NoNumbers"/>
        <w:rPr>
          <w:color w:val="008675"/>
          <w:lang w:eastAsia="en-US"/>
        </w:rPr>
      </w:pPr>
      <w:bookmarkStart w:id="674" w:name="_Ref72270305"/>
      <w:bookmarkStart w:id="675" w:name="_Toc83951223"/>
      <w:bookmarkStart w:id="676" w:name="_Toc84925848"/>
      <w:bookmarkStart w:id="677" w:name="_Toc84925921"/>
      <w:bookmarkStart w:id="678" w:name="_Toc86045165"/>
      <w:bookmarkStart w:id="679" w:name="_Toc86070062"/>
      <w:bookmarkStart w:id="680" w:name="_Toc149740371"/>
      <w:r w:rsidRPr="003221C7">
        <w:rPr>
          <w:color w:val="008675"/>
          <w:lang w:eastAsia="en-US"/>
        </w:rPr>
        <w:lastRenderedPageBreak/>
        <w:t xml:space="preserve">Appendix C </w:t>
      </w:r>
      <w:r w:rsidR="0098502F" w:rsidRPr="003221C7">
        <w:rPr>
          <w:color w:val="008675"/>
        </w:rPr>
        <w:t>–</w:t>
      </w:r>
      <w:r w:rsidRPr="003221C7">
        <w:rPr>
          <w:color w:val="008675"/>
          <w:lang w:eastAsia="en-US"/>
        </w:rPr>
        <w:t xml:space="preserve"> </w:t>
      </w:r>
      <w:r w:rsidR="00B062C4" w:rsidRPr="003221C7">
        <w:rPr>
          <w:color w:val="008675"/>
          <w:lang w:eastAsia="en-US"/>
        </w:rPr>
        <w:t>E</w:t>
      </w:r>
      <w:r w:rsidR="00E6232E" w:rsidRPr="003221C7">
        <w:rPr>
          <w:color w:val="008675"/>
          <w:lang w:eastAsia="en-US"/>
        </w:rPr>
        <w:t xml:space="preserve">ntities, </w:t>
      </w:r>
      <w:r w:rsidR="007578FB" w:rsidRPr="003221C7">
        <w:rPr>
          <w:color w:val="008675"/>
          <w:lang w:eastAsia="en-US"/>
        </w:rPr>
        <w:t>i</w:t>
      </w:r>
      <w:r w:rsidR="00E6232E" w:rsidRPr="003221C7">
        <w:rPr>
          <w:color w:val="008675"/>
          <w:lang w:eastAsia="en-US"/>
        </w:rPr>
        <w:t xml:space="preserve">nteractions and </w:t>
      </w:r>
      <w:r w:rsidR="007578FB" w:rsidRPr="003221C7">
        <w:rPr>
          <w:color w:val="008675"/>
          <w:lang w:eastAsia="en-US"/>
        </w:rPr>
        <w:t>i</w:t>
      </w:r>
      <w:r w:rsidR="00E6232E" w:rsidRPr="003221C7">
        <w:rPr>
          <w:color w:val="008675"/>
          <w:lang w:eastAsia="en-US"/>
        </w:rPr>
        <w:t xml:space="preserve">ncentives within an </w:t>
      </w:r>
      <w:r w:rsidR="007578FB" w:rsidRPr="003221C7">
        <w:rPr>
          <w:color w:val="008675"/>
          <w:lang w:eastAsia="en-US"/>
        </w:rPr>
        <w:t>e</w:t>
      </w:r>
      <w:r w:rsidR="00E6232E" w:rsidRPr="003221C7">
        <w:rPr>
          <w:color w:val="008675"/>
          <w:lang w:eastAsia="en-US"/>
        </w:rPr>
        <w:t xml:space="preserve">xpanded </w:t>
      </w:r>
      <w:r w:rsidR="007525B9" w:rsidRPr="003221C7">
        <w:rPr>
          <w:color w:val="008675"/>
          <w:lang w:eastAsia="en-US"/>
        </w:rPr>
        <w:t xml:space="preserve">Digital ID </w:t>
      </w:r>
      <w:r w:rsidR="001A6833" w:rsidRPr="003221C7">
        <w:rPr>
          <w:color w:val="008675"/>
          <w:lang w:eastAsia="en-US"/>
        </w:rPr>
        <w:t>S</w:t>
      </w:r>
      <w:r w:rsidR="00E6232E" w:rsidRPr="003221C7">
        <w:rPr>
          <w:color w:val="008675"/>
          <w:lang w:eastAsia="en-US"/>
        </w:rPr>
        <w:t>ystem</w:t>
      </w:r>
      <w:bookmarkEnd w:id="674"/>
      <w:bookmarkEnd w:id="675"/>
      <w:bookmarkEnd w:id="676"/>
      <w:bookmarkEnd w:id="677"/>
      <w:bookmarkEnd w:id="678"/>
      <w:bookmarkEnd w:id="679"/>
      <w:bookmarkEnd w:id="680"/>
      <w:r w:rsidR="00E6232E" w:rsidRPr="003221C7">
        <w:rPr>
          <w:color w:val="008675"/>
          <w:lang w:eastAsia="en-US"/>
        </w:rPr>
        <w:t xml:space="preserve"> </w:t>
      </w:r>
    </w:p>
    <w:p w14:paraId="68555EB6" w14:textId="564F9785" w:rsidR="00E6232E" w:rsidRPr="00437F26" w:rsidRDefault="00D446B5" w:rsidP="00BB29E3">
      <w:pPr>
        <w:pStyle w:val="BodyText"/>
        <w:rPr>
          <w:color w:val="0000FF"/>
        </w:rPr>
      </w:pPr>
      <w:r>
        <w:rPr>
          <w:lang w:eastAsia="en-US"/>
        </w:rPr>
        <w:t>Table 9</w:t>
      </w:r>
      <w:r w:rsidR="00E6232E" w:rsidRPr="000B7589">
        <w:rPr>
          <w:lang w:eastAsia="en-US"/>
        </w:rPr>
        <w:t xml:space="preserve"> provides a more detailed description of the specific interactions and likely incentives of each type of entity that would be able to participate in an expanded </w:t>
      </w:r>
      <w:r w:rsidR="007525B9">
        <w:rPr>
          <w:lang w:eastAsia="en-US"/>
        </w:rPr>
        <w:t xml:space="preserve">Digital ID </w:t>
      </w:r>
      <w:r w:rsidR="00E6232E" w:rsidRPr="000B7589">
        <w:rPr>
          <w:lang w:eastAsia="en-US"/>
        </w:rPr>
        <w:t>System, as described</w:t>
      </w:r>
      <w:r w:rsidR="00173A23">
        <w:rPr>
          <w:lang w:eastAsia="en-US"/>
        </w:rPr>
        <w:t xml:space="preserve"> and visually depicted</w:t>
      </w:r>
      <w:r w:rsidR="00E6232E" w:rsidRPr="000B7589">
        <w:rPr>
          <w:lang w:eastAsia="en-US"/>
        </w:rPr>
        <w:t xml:space="preserve"> in </w:t>
      </w:r>
      <w:r w:rsidR="00655070" w:rsidRPr="003221C7">
        <w:rPr>
          <w:color w:val="008675"/>
        </w:rPr>
        <w:t>S</w:t>
      </w:r>
      <w:r w:rsidR="00E6232E" w:rsidRPr="003221C7">
        <w:rPr>
          <w:color w:val="008675"/>
        </w:rPr>
        <w:t xml:space="preserve">ection </w:t>
      </w:r>
      <w:r w:rsidR="00E6232E" w:rsidRPr="003221C7">
        <w:rPr>
          <w:color w:val="008675"/>
        </w:rPr>
        <w:fldChar w:fldCharType="begin"/>
      </w:r>
      <w:r w:rsidR="00E6232E" w:rsidRPr="003221C7">
        <w:rPr>
          <w:color w:val="008675"/>
        </w:rPr>
        <w:instrText xml:space="preserve"> REF _Ref72269031 \h  \* MERGEFORMAT </w:instrText>
      </w:r>
      <w:r w:rsidR="00E6232E" w:rsidRPr="003221C7">
        <w:rPr>
          <w:color w:val="008675"/>
        </w:rPr>
      </w:r>
      <w:r w:rsidR="00E6232E" w:rsidRPr="003221C7">
        <w:rPr>
          <w:color w:val="008675"/>
        </w:rPr>
        <w:fldChar w:fldCharType="separate"/>
      </w:r>
      <w:r w:rsidR="007525B9" w:rsidRPr="003221C7">
        <w:rPr>
          <w:color w:val="008675"/>
        </w:rPr>
        <w:t xml:space="preserve">2.5.2 Entities, interactions and incentives within an </w:t>
      </w:r>
      <w:proofErr w:type="gramStart"/>
      <w:r w:rsidR="007525B9" w:rsidRPr="003221C7">
        <w:rPr>
          <w:color w:val="008675"/>
        </w:rPr>
        <w:t xml:space="preserve">expanded </w:t>
      </w:r>
      <w:proofErr w:type="gramEnd"/>
      <w:r w:rsidR="00E6232E" w:rsidRPr="003221C7">
        <w:rPr>
          <w:color w:val="008675"/>
        </w:rPr>
        <w:fldChar w:fldCharType="end"/>
      </w:r>
      <w:r w:rsidR="00E6232E" w:rsidRPr="00437F26">
        <w:rPr>
          <w:color w:val="0000FF"/>
        </w:rPr>
        <w:t>.</w:t>
      </w:r>
      <w:bookmarkStart w:id="681" w:name="_Appendix_D_–"/>
      <w:bookmarkEnd w:id="681"/>
    </w:p>
    <w:tbl>
      <w:tblPr>
        <w:tblStyle w:val="GridTable2-Accent3"/>
        <w:tblW w:w="9214"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661"/>
        <w:gridCol w:w="4435"/>
        <w:gridCol w:w="3118"/>
      </w:tblGrid>
      <w:tr w:rsidR="003221C7" w:rsidRPr="003221C7" w14:paraId="4970EFA7" w14:textId="77777777" w:rsidTr="0015483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1" w:type="dxa"/>
          </w:tcPr>
          <w:p w14:paraId="2E1F62E1" w14:textId="2C3125B2" w:rsidR="00E6232E" w:rsidRPr="003221C7" w:rsidRDefault="000B7596" w:rsidP="00D62B9B">
            <w:pPr>
              <w:pStyle w:val="TableTextLeft"/>
              <w:spacing w:before="30" w:after="30"/>
              <w:rPr>
                <w:color w:val="008675"/>
              </w:rPr>
            </w:pPr>
            <w:r w:rsidRPr="003221C7">
              <w:rPr>
                <w:color w:val="008675"/>
              </w:rPr>
              <w:t>Entity t</w:t>
            </w:r>
            <w:r w:rsidR="00E6232E" w:rsidRPr="003221C7">
              <w:rPr>
                <w:color w:val="008675"/>
              </w:rPr>
              <w:t>ype</w:t>
            </w:r>
          </w:p>
        </w:tc>
        <w:tc>
          <w:tcPr>
            <w:tcW w:w="4435" w:type="dxa"/>
          </w:tcPr>
          <w:p w14:paraId="052127C3" w14:textId="3F3E07E9" w:rsidR="00E6232E" w:rsidRPr="003221C7" w:rsidRDefault="00E6232E" w:rsidP="00D62B9B">
            <w:pPr>
              <w:pStyle w:val="TableTextLeft"/>
              <w:spacing w:before="30" w:after="30"/>
              <w:cnfStyle w:val="100000000000" w:firstRow="1" w:lastRow="0" w:firstColumn="0" w:lastColumn="0" w:oddVBand="0" w:evenVBand="0" w:oddHBand="0" w:evenHBand="0" w:firstRowFirstColumn="0" w:firstRowLastColumn="0" w:lastRowFirstColumn="0" w:lastRowLastColumn="0"/>
              <w:rPr>
                <w:color w:val="008675"/>
              </w:rPr>
            </w:pPr>
            <w:r w:rsidRPr="003221C7">
              <w:rPr>
                <w:color w:val="008675"/>
              </w:rPr>
              <w:t xml:space="preserve">Potential </w:t>
            </w:r>
            <w:r w:rsidR="007578FB" w:rsidRPr="003221C7">
              <w:rPr>
                <w:color w:val="008675"/>
              </w:rPr>
              <w:t>r</w:t>
            </w:r>
            <w:r w:rsidRPr="003221C7">
              <w:rPr>
                <w:color w:val="008675"/>
              </w:rPr>
              <w:t xml:space="preserve">ole, </w:t>
            </w:r>
            <w:r w:rsidR="007578FB" w:rsidRPr="003221C7">
              <w:rPr>
                <w:color w:val="008675"/>
              </w:rPr>
              <w:t>i</w:t>
            </w:r>
            <w:r w:rsidRPr="003221C7">
              <w:rPr>
                <w:color w:val="008675"/>
              </w:rPr>
              <w:t xml:space="preserve">nteractions and </w:t>
            </w:r>
            <w:r w:rsidR="007578FB" w:rsidRPr="003221C7">
              <w:rPr>
                <w:color w:val="008675"/>
              </w:rPr>
              <w:t>i</w:t>
            </w:r>
            <w:r w:rsidRPr="003221C7">
              <w:rPr>
                <w:color w:val="008675"/>
              </w:rPr>
              <w:t>ncentives</w:t>
            </w:r>
            <w:r w:rsidR="000B7596" w:rsidRPr="003221C7">
              <w:rPr>
                <w:color w:val="008675"/>
              </w:rPr>
              <w:t xml:space="preserve"> </w:t>
            </w:r>
            <w:r w:rsidRPr="003221C7">
              <w:rPr>
                <w:color w:val="008675"/>
              </w:rPr>
              <w:t xml:space="preserve">in an </w:t>
            </w:r>
            <w:r w:rsidR="007578FB" w:rsidRPr="003221C7">
              <w:rPr>
                <w:color w:val="008675"/>
              </w:rPr>
              <w:t>e</w:t>
            </w:r>
            <w:r w:rsidRPr="003221C7">
              <w:rPr>
                <w:color w:val="008675"/>
              </w:rPr>
              <w:t>xpanded System</w:t>
            </w:r>
          </w:p>
        </w:tc>
        <w:tc>
          <w:tcPr>
            <w:tcW w:w="3118" w:type="dxa"/>
          </w:tcPr>
          <w:p w14:paraId="63FF0508" w14:textId="49C25BD9" w:rsidR="00E6232E" w:rsidRPr="003221C7" w:rsidRDefault="00E6232E" w:rsidP="00D62B9B">
            <w:pPr>
              <w:pStyle w:val="TableTextLeft"/>
              <w:spacing w:before="30" w:after="30"/>
              <w:cnfStyle w:val="100000000000" w:firstRow="1" w:lastRow="0" w:firstColumn="0" w:lastColumn="0" w:oddVBand="0" w:evenVBand="0" w:oddHBand="0" w:evenHBand="0" w:firstRowFirstColumn="0" w:firstRowLastColumn="0" w:lastRowFirstColumn="0" w:lastRowLastColumn="0"/>
              <w:rPr>
                <w:color w:val="008675"/>
              </w:rPr>
            </w:pPr>
            <w:r w:rsidRPr="003221C7">
              <w:rPr>
                <w:color w:val="008675"/>
              </w:rPr>
              <w:t xml:space="preserve">Example </w:t>
            </w:r>
            <w:r w:rsidR="002E78D9" w:rsidRPr="003221C7">
              <w:rPr>
                <w:color w:val="008675"/>
              </w:rPr>
              <w:t>p</w:t>
            </w:r>
            <w:r w:rsidRPr="003221C7">
              <w:rPr>
                <w:color w:val="008675"/>
              </w:rPr>
              <w:t>articipants</w:t>
            </w:r>
          </w:p>
        </w:tc>
      </w:tr>
      <w:tr w:rsidR="003221C7" w:rsidRPr="003221C7" w14:paraId="736686B4" w14:textId="77777777" w:rsidTr="004D35CA">
        <w:trPr>
          <w:gridAfter w:val="2"/>
          <w:cnfStyle w:val="000000100000" w:firstRow="0" w:lastRow="0" w:firstColumn="0" w:lastColumn="0" w:oddVBand="0" w:evenVBand="0" w:oddHBand="1" w:evenHBand="0" w:firstRowFirstColumn="0" w:firstRowLastColumn="0" w:lastRowFirstColumn="0" w:lastRowLastColumn="0"/>
          <w:wAfter w:w="7553" w:type="dxa"/>
          <w:trHeight w:val="20"/>
        </w:trPr>
        <w:tc>
          <w:tcPr>
            <w:cnfStyle w:val="001000000000" w:firstRow="0" w:lastRow="0" w:firstColumn="1" w:lastColumn="0" w:oddVBand="0" w:evenVBand="0" w:oddHBand="0" w:evenHBand="0" w:firstRowFirstColumn="0" w:firstRowLastColumn="0" w:lastRowFirstColumn="0" w:lastRowLastColumn="0"/>
            <w:tcW w:w="1661" w:type="dxa"/>
            <w:shd w:val="clear" w:color="auto" w:fill="D2EEED"/>
          </w:tcPr>
          <w:p w14:paraId="0CA6BB27" w14:textId="43D86B3E" w:rsidR="00E6232E" w:rsidRPr="003221C7" w:rsidRDefault="00651CA6" w:rsidP="00D62B9B">
            <w:pPr>
              <w:pStyle w:val="TableTextLeft"/>
              <w:spacing w:before="30" w:after="30"/>
              <w:rPr>
                <w:color w:val="008675"/>
                <w:lang w:eastAsia="en-US"/>
              </w:rPr>
            </w:pPr>
            <w:r w:rsidRPr="003221C7">
              <w:rPr>
                <w:color w:val="008675"/>
                <w:lang w:eastAsia="en-US"/>
              </w:rPr>
              <w:t>Onboarded a</w:t>
            </w:r>
            <w:r w:rsidR="00EB3C47" w:rsidRPr="003221C7">
              <w:rPr>
                <w:color w:val="008675"/>
                <w:lang w:eastAsia="en-US"/>
              </w:rPr>
              <w:t xml:space="preserve">ccredited </w:t>
            </w:r>
            <w:r w:rsidRPr="003221C7">
              <w:rPr>
                <w:color w:val="008675"/>
                <w:lang w:eastAsia="en-US"/>
              </w:rPr>
              <w:t>entities</w:t>
            </w:r>
          </w:p>
        </w:tc>
      </w:tr>
      <w:tr w:rsidR="0089078C" w:rsidRPr="000B7589" w14:paraId="3ED7F673" w14:textId="77777777" w:rsidTr="00154831">
        <w:trPr>
          <w:trHeight w:val="20"/>
        </w:trPr>
        <w:tc>
          <w:tcPr>
            <w:cnfStyle w:val="001000000000" w:firstRow="0" w:lastRow="0" w:firstColumn="1" w:lastColumn="0" w:oddVBand="0" w:evenVBand="0" w:oddHBand="0" w:evenHBand="0" w:firstRowFirstColumn="0" w:firstRowLastColumn="0" w:lastRowFirstColumn="0" w:lastRowLastColumn="0"/>
            <w:tcW w:w="1661" w:type="dxa"/>
          </w:tcPr>
          <w:p w14:paraId="2E3A41E6" w14:textId="00F9C132" w:rsidR="00E6232E" w:rsidRPr="003C5930" w:rsidRDefault="00E6232E" w:rsidP="00D62B9B">
            <w:pPr>
              <w:pStyle w:val="TableTextLeft"/>
              <w:spacing w:before="30" w:after="30"/>
              <w:rPr>
                <w:b w:val="0"/>
                <w:bCs w:val="0"/>
                <w:lang w:eastAsia="en-US"/>
              </w:rPr>
            </w:pPr>
            <w:r w:rsidRPr="00632A3A">
              <w:rPr>
                <w:b w:val="0"/>
                <w:bCs w:val="0"/>
                <w:lang w:eastAsia="en-US"/>
              </w:rPr>
              <w:t xml:space="preserve">Identity </w:t>
            </w:r>
            <w:r w:rsidR="00FB2C6E">
              <w:rPr>
                <w:b w:val="0"/>
                <w:bCs w:val="0"/>
                <w:lang w:eastAsia="en-US"/>
              </w:rPr>
              <w:t>p</w:t>
            </w:r>
            <w:r w:rsidRPr="00632A3A">
              <w:rPr>
                <w:b w:val="0"/>
                <w:bCs w:val="0"/>
                <w:lang w:eastAsia="en-US"/>
              </w:rPr>
              <w:t>rovider</w:t>
            </w:r>
            <w:r w:rsidR="003C5930">
              <w:rPr>
                <w:b w:val="0"/>
                <w:bCs w:val="0"/>
                <w:lang w:eastAsia="en-US"/>
              </w:rPr>
              <w:t xml:space="preserve"> </w:t>
            </w:r>
            <w:r w:rsidRPr="00632A3A">
              <w:rPr>
                <w:b w:val="0"/>
                <w:bCs w:val="0"/>
                <w:lang w:eastAsia="en-US"/>
              </w:rPr>
              <w:t>(IDP)</w:t>
            </w:r>
          </w:p>
        </w:tc>
        <w:tc>
          <w:tcPr>
            <w:tcW w:w="4435" w:type="dxa"/>
          </w:tcPr>
          <w:p w14:paraId="4AE4AEB4" w14:textId="7B2D5B81"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Role:</w:t>
            </w:r>
            <w:r w:rsidRPr="000B7589">
              <w:rPr>
                <w:lang w:eastAsia="en-US"/>
              </w:rPr>
              <w:t xml:space="preserve"> As in ‘Current’ table above. Under an expanded </w:t>
            </w:r>
            <w:r w:rsidR="00A20495">
              <w:rPr>
                <w:lang w:eastAsia="en-US"/>
              </w:rPr>
              <w:t>scenario</w:t>
            </w:r>
            <w:r w:rsidRPr="000B7589">
              <w:rPr>
                <w:lang w:eastAsia="en-US"/>
              </w:rPr>
              <w:t xml:space="preserve"> it is anticipated that private sector entities would be more likely to seek to participate as IDPs, due to the below incentives.</w:t>
            </w:r>
            <w:r w:rsidR="00737BA2">
              <w:rPr>
                <w:lang w:eastAsia="en-US"/>
              </w:rPr>
              <w:t xml:space="preserve"> </w:t>
            </w:r>
          </w:p>
          <w:p w14:paraId="56E1C298" w14:textId="58158A7E"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As in ‘Current’ table above. Regardless of which entities choose to become IDPs, the nature of their interactions with other components will remain the same. This is intended to ensure competitive neutrality between government IDPs and other participants. </w:t>
            </w:r>
          </w:p>
          <w:p w14:paraId="64D763CC" w14:textId="2CE0DA47"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Incentives:</w:t>
            </w:r>
            <w:r w:rsidRPr="000B7589">
              <w:rPr>
                <w:lang w:eastAsia="en-US"/>
              </w:rPr>
              <w:t xml:space="preserve"> An expan</w:t>
            </w:r>
            <w:r w:rsidR="00A20495">
              <w:rPr>
                <w:lang w:eastAsia="en-US"/>
              </w:rPr>
              <w:t xml:space="preserve">sion </w:t>
            </w:r>
            <w:r w:rsidRPr="000B7589">
              <w:rPr>
                <w:lang w:eastAsia="en-US"/>
              </w:rPr>
              <w:t xml:space="preserve">will pave the way for a significantly larger number of organisations and individuals to participate, as </w:t>
            </w:r>
            <w:r w:rsidR="00C214CB">
              <w:rPr>
                <w:lang w:eastAsia="en-US"/>
              </w:rPr>
              <w:t>r</w:t>
            </w:r>
            <w:r w:rsidRPr="000B7589">
              <w:rPr>
                <w:lang w:eastAsia="en-US"/>
              </w:rPr>
              <w:t xml:space="preserve">elying </w:t>
            </w:r>
            <w:r w:rsidR="00C214CB">
              <w:rPr>
                <w:lang w:eastAsia="en-US"/>
              </w:rPr>
              <w:t>p</w:t>
            </w:r>
            <w:r w:rsidRPr="000B7589">
              <w:rPr>
                <w:lang w:eastAsia="en-US"/>
              </w:rPr>
              <w:t xml:space="preserve">arties and individuals. This is because non-government entities will be able to become </w:t>
            </w:r>
            <w:r w:rsidR="00C214CB">
              <w:rPr>
                <w:lang w:eastAsia="en-US"/>
              </w:rPr>
              <w:t>r</w:t>
            </w:r>
            <w:r w:rsidRPr="000B7589">
              <w:rPr>
                <w:lang w:eastAsia="en-US"/>
              </w:rPr>
              <w:t xml:space="preserve">elying </w:t>
            </w:r>
            <w:r w:rsidR="00C214CB">
              <w:rPr>
                <w:lang w:eastAsia="en-US"/>
              </w:rPr>
              <w:t>p</w:t>
            </w:r>
            <w:r w:rsidRPr="000B7589">
              <w:rPr>
                <w:lang w:eastAsia="en-US"/>
              </w:rPr>
              <w:t>arties for the first time, thereby expanding the range of Digital I</w:t>
            </w:r>
            <w:r w:rsidR="00EB2443">
              <w:rPr>
                <w:lang w:eastAsia="en-US"/>
              </w:rPr>
              <w:t>D</w:t>
            </w:r>
            <w:r w:rsidRPr="000B7589">
              <w:rPr>
                <w:lang w:eastAsia="en-US"/>
              </w:rPr>
              <w:t xml:space="preserve"> use cases for individuals. </w:t>
            </w:r>
          </w:p>
          <w:p w14:paraId="7CB6174C" w14:textId="247EEC89"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lang w:eastAsia="en-US"/>
              </w:rPr>
              <w:t>Under this expansion, there are expected to be significantly stronger incentives for new, non-government IDPs to enter the market and compete with existing government/</w:t>
            </w:r>
            <w:r w:rsidR="00866CB8">
              <w:rPr>
                <w:lang w:eastAsia="en-US"/>
              </w:rPr>
              <w:t>q</w:t>
            </w:r>
            <w:r w:rsidRPr="000B7589">
              <w:rPr>
                <w:lang w:eastAsia="en-US"/>
              </w:rPr>
              <w:t xml:space="preserve">uasi-government IDPs. An increased number of </w:t>
            </w:r>
            <w:r w:rsidR="00C214CB">
              <w:rPr>
                <w:lang w:eastAsia="en-US"/>
              </w:rPr>
              <w:t>r</w:t>
            </w:r>
            <w:r w:rsidRPr="000B7589">
              <w:rPr>
                <w:lang w:eastAsia="en-US"/>
              </w:rPr>
              <w:t xml:space="preserve">elying </w:t>
            </w:r>
            <w:r w:rsidR="00866CB8">
              <w:rPr>
                <w:lang w:eastAsia="en-US"/>
              </w:rPr>
              <w:t>p</w:t>
            </w:r>
            <w:r w:rsidRPr="000B7589">
              <w:rPr>
                <w:lang w:eastAsia="en-US"/>
              </w:rPr>
              <w:t xml:space="preserve">arties creates a larger potential customer pool for IDPs, beyond government entities. As more entities seek to become </w:t>
            </w:r>
            <w:r w:rsidR="00866CB8">
              <w:rPr>
                <w:lang w:eastAsia="en-US"/>
              </w:rPr>
              <w:t>r</w:t>
            </w:r>
            <w:r w:rsidRPr="000B7589">
              <w:rPr>
                <w:lang w:eastAsia="en-US"/>
              </w:rPr>
              <w:t xml:space="preserve">elying </w:t>
            </w:r>
            <w:r w:rsidR="00866CB8">
              <w:rPr>
                <w:lang w:eastAsia="en-US"/>
              </w:rPr>
              <w:t>p</w:t>
            </w:r>
            <w:r w:rsidRPr="000B7589">
              <w:rPr>
                <w:lang w:eastAsia="en-US"/>
              </w:rPr>
              <w:t>arties, this also increases the range of services and contexts in which individuals can use Digital I</w:t>
            </w:r>
            <w:r w:rsidR="00EB2443">
              <w:rPr>
                <w:lang w:eastAsia="en-US"/>
              </w:rPr>
              <w:t>D</w:t>
            </w:r>
            <w:r w:rsidRPr="000B7589">
              <w:rPr>
                <w:lang w:eastAsia="en-US"/>
              </w:rPr>
              <w:t xml:space="preserve">, creating a self-reinforcing loop of more </w:t>
            </w:r>
            <w:r w:rsidR="00866CB8">
              <w:rPr>
                <w:lang w:eastAsia="en-US"/>
              </w:rPr>
              <w:t>r</w:t>
            </w:r>
            <w:r w:rsidRPr="000B7589">
              <w:rPr>
                <w:lang w:eastAsia="en-US"/>
              </w:rPr>
              <w:t xml:space="preserve">elying </w:t>
            </w:r>
            <w:r w:rsidR="00866CB8">
              <w:rPr>
                <w:lang w:eastAsia="en-US"/>
              </w:rPr>
              <w:t>p</w:t>
            </w:r>
            <w:r w:rsidRPr="000B7589">
              <w:rPr>
                <w:lang w:eastAsia="en-US"/>
              </w:rPr>
              <w:t xml:space="preserve">arties generating more individual </w:t>
            </w:r>
            <w:r w:rsidRPr="000B7589">
              <w:rPr>
                <w:lang w:eastAsia="en-US"/>
              </w:rPr>
              <w:lastRenderedPageBreak/>
              <w:t xml:space="preserve">participants, and more individuals supporting increased uptake by </w:t>
            </w:r>
            <w:r w:rsidR="00866CB8">
              <w:rPr>
                <w:lang w:eastAsia="en-US"/>
              </w:rPr>
              <w:t>r</w:t>
            </w:r>
            <w:r w:rsidRPr="000B7589">
              <w:rPr>
                <w:lang w:eastAsia="en-US"/>
              </w:rPr>
              <w:t xml:space="preserve">elying </w:t>
            </w:r>
            <w:r w:rsidR="00866CB8">
              <w:rPr>
                <w:lang w:eastAsia="en-US"/>
              </w:rPr>
              <w:t>p</w:t>
            </w:r>
            <w:r w:rsidRPr="000B7589">
              <w:rPr>
                <w:lang w:eastAsia="en-US"/>
              </w:rPr>
              <w:t xml:space="preserve">arties. </w:t>
            </w:r>
          </w:p>
          <w:p w14:paraId="11F8428E" w14:textId="0708EE79"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lang w:eastAsia="en-US"/>
              </w:rPr>
              <w:t xml:space="preserve">Private sector IDPs will face different financial incentives than existing IDPs. It is anticipated that these entities will only participate where there is an opportunity for them to gain financially from doing so. The </w:t>
            </w:r>
            <w:r w:rsidR="002F366A">
              <w:rPr>
                <w:lang w:eastAsia="en-US"/>
              </w:rPr>
              <w:t>Australian Government</w:t>
            </w:r>
            <w:r w:rsidR="002F366A" w:rsidRPr="000B7589" w:rsidDel="002F366A">
              <w:rPr>
                <w:lang w:eastAsia="en-US"/>
              </w:rPr>
              <w:t xml:space="preserve"> </w:t>
            </w:r>
            <w:r w:rsidRPr="000B7589">
              <w:rPr>
                <w:lang w:eastAsia="en-US"/>
              </w:rPr>
              <w:t xml:space="preserve">has acknowledged this and initiated design work on an appropriate charging regime as part of its expansion planning. Within the bounds of this framework, private sector IDPs would be expected to seek to recover the costs of participation through fee-for-service arrangements. Service efficiency principles suggest it would be easier to recover these costs through </w:t>
            </w:r>
            <w:r w:rsidR="00866CB8">
              <w:rPr>
                <w:lang w:eastAsia="en-US"/>
              </w:rPr>
              <w:t>r</w:t>
            </w:r>
            <w:r w:rsidRPr="000B7589">
              <w:rPr>
                <w:lang w:eastAsia="en-US"/>
              </w:rPr>
              <w:t xml:space="preserve">elying </w:t>
            </w:r>
            <w:r w:rsidR="00866CB8">
              <w:rPr>
                <w:lang w:eastAsia="en-US"/>
              </w:rPr>
              <w:t>p</w:t>
            </w:r>
            <w:r w:rsidRPr="000B7589">
              <w:rPr>
                <w:lang w:eastAsia="en-US"/>
              </w:rPr>
              <w:t xml:space="preserve">arties on a contract basis than from people on an individual transaction basis. Any steps by the Commonwealth to regulate IDP behaviour through the charging regime would also affect the specific incentives for IDPs. </w:t>
            </w:r>
          </w:p>
          <w:p w14:paraId="25B3A873" w14:textId="4F6F8959"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lang w:eastAsia="en-US"/>
              </w:rPr>
              <w:t xml:space="preserve">As participation is entirely voluntary, private sector IDPs would only be expected to participate where charging arrangements do not impose unreasonably high costs, or where such costs can be recouped through other participants (e.g. </w:t>
            </w:r>
            <w:r w:rsidR="00866CB8">
              <w:rPr>
                <w:lang w:eastAsia="en-US"/>
              </w:rPr>
              <w:t>r</w:t>
            </w:r>
            <w:r w:rsidRPr="000B7589">
              <w:rPr>
                <w:lang w:eastAsia="en-US"/>
              </w:rPr>
              <w:t xml:space="preserve">elying </w:t>
            </w:r>
            <w:r w:rsidR="00866CB8">
              <w:rPr>
                <w:lang w:eastAsia="en-US"/>
              </w:rPr>
              <w:t>p</w:t>
            </w:r>
            <w:r w:rsidRPr="000B7589">
              <w:rPr>
                <w:lang w:eastAsia="en-US"/>
              </w:rPr>
              <w:t>arties) at a level and in a manner which does not inhibit uptake by those participants.</w:t>
            </w:r>
            <w:r w:rsidR="00737BA2">
              <w:rPr>
                <w:lang w:eastAsia="en-US"/>
              </w:rPr>
              <w:t xml:space="preserve"> </w:t>
            </w:r>
          </w:p>
        </w:tc>
        <w:tc>
          <w:tcPr>
            <w:tcW w:w="3118" w:type="dxa"/>
          </w:tcPr>
          <w:p w14:paraId="78521106" w14:textId="77777777"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lang w:eastAsia="en-US"/>
              </w:rPr>
              <w:lastRenderedPageBreak/>
              <w:t>In addition to current:</w:t>
            </w:r>
          </w:p>
          <w:p w14:paraId="7F641DCB" w14:textId="77777777"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0B7589">
              <w:rPr>
                <w:rFonts w:eastAsia="Calibri"/>
                <w:lang w:eastAsia="en-US"/>
              </w:rPr>
              <w:t>Private sector (e.g. financial services institutions, identity management agencies)</w:t>
            </w:r>
          </w:p>
        </w:tc>
      </w:tr>
      <w:tr w:rsidR="00184701" w:rsidRPr="000B7589" w14:paraId="483A51FA"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dxa"/>
            <w:shd w:val="clear" w:color="auto" w:fill="D2EEED"/>
          </w:tcPr>
          <w:p w14:paraId="3B0B6C5A" w14:textId="223D6703" w:rsidR="00E6232E" w:rsidRPr="003C5930" w:rsidRDefault="00E6232E" w:rsidP="00D62B9B">
            <w:pPr>
              <w:pStyle w:val="TableTextLeft"/>
              <w:spacing w:before="30" w:after="30"/>
              <w:rPr>
                <w:b w:val="0"/>
                <w:bCs w:val="0"/>
                <w:lang w:eastAsia="en-US"/>
              </w:rPr>
            </w:pPr>
            <w:r w:rsidRPr="00632A3A">
              <w:rPr>
                <w:b w:val="0"/>
                <w:bCs w:val="0"/>
                <w:lang w:eastAsia="en-US"/>
              </w:rPr>
              <w:t xml:space="preserve">Attribute </w:t>
            </w:r>
            <w:r w:rsidR="00FB2C6E">
              <w:rPr>
                <w:b w:val="0"/>
                <w:bCs w:val="0"/>
                <w:lang w:eastAsia="en-US"/>
              </w:rPr>
              <w:t>s</w:t>
            </w:r>
            <w:r w:rsidRPr="00632A3A">
              <w:rPr>
                <w:b w:val="0"/>
                <w:bCs w:val="0"/>
                <w:lang w:eastAsia="en-US"/>
              </w:rPr>
              <w:t xml:space="preserve">ervice </w:t>
            </w:r>
            <w:r w:rsidR="00FB2C6E">
              <w:rPr>
                <w:b w:val="0"/>
                <w:bCs w:val="0"/>
                <w:lang w:eastAsia="en-US"/>
              </w:rPr>
              <w:t>p</w:t>
            </w:r>
            <w:r w:rsidRPr="00632A3A">
              <w:rPr>
                <w:b w:val="0"/>
                <w:bCs w:val="0"/>
                <w:lang w:eastAsia="en-US"/>
              </w:rPr>
              <w:t>rovider</w:t>
            </w:r>
            <w:r w:rsidR="003C5930">
              <w:rPr>
                <w:b w:val="0"/>
                <w:bCs w:val="0"/>
                <w:lang w:eastAsia="en-US"/>
              </w:rPr>
              <w:t xml:space="preserve"> </w:t>
            </w:r>
            <w:r w:rsidRPr="00632A3A">
              <w:rPr>
                <w:b w:val="0"/>
                <w:bCs w:val="0"/>
                <w:lang w:eastAsia="en-US"/>
              </w:rPr>
              <w:t>(AP)</w:t>
            </w:r>
          </w:p>
        </w:tc>
        <w:tc>
          <w:tcPr>
            <w:tcW w:w="4435" w:type="dxa"/>
            <w:shd w:val="clear" w:color="auto" w:fill="D2EEED"/>
          </w:tcPr>
          <w:p w14:paraId="39F3F169" w14:textId="6C18A425"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Role:</w:t>
            </w:r>
            <w:r w:rsidRPr="000B7589">
              <w:rPr>
                <w:lang w:eastAsia="en-US"/>
              </w:rPr>
              <w:t xml:space="preserve"> As in ‘Current’ table above. There are a wide range of entities outside of the </w:t>
            </w:r>
            <w:r w:rsidR="002F366A">
              <w:rPr>
                <w:lang w:eastAsia="en-US"/>
              </w:rPr>
              <w:t>Australian Government</w:t>
            </w:r>
            <w:r w:rsidR="002F366A" w:rsidRPr="000B7589" w:rsidDel="002F366A">
              <w:rPr>
                <w:lang w:eastAsia="en-US"/>
              </w:rPr>
              <w:t xml:space="preserve"> </w:t>
            </w:r>
            <w:r w:rsidRPr="000B7589">
              <w:rPr>
                <w:lang w:eastAsia="en-US"/>
              </w:rPr>
              <w:t xml:space="preserve">holding information on individuals’ attributes. For example, a </w:t>
            </w:r>
            <w:r w:rsidR="00866CB8">
              <w:rPr>
                <w:lang w:eastAsia="en-US"/>
              </w:rPr>
              <w:t>r</w:t>
            </w:r>
            <w:r w:rsidRPr="000B7589">
              <w:rPr>
                <w:lang w:eastAsia="en-US"/>
              </w:rPr>
              <w:t xml:space="preserve">elying </w:t>
            </w:r>
            <w:r w:rsidR="00866CB8">
              <w:rPr>
                <w:lang w:eastAsia="en-US"/>
              </w:rPr>
              <w:t>p</w:t>
            </w:r>
            <w:r w:rsidRPr="000B7589">
              <w:rPr>
                <w:lang w:eastAsia="en-US"/>
              </w:rPr>
              <w:t>arty may need to verify whether a particular individual holds a specific university qualification, or is a member of a compulsory professional body. Under an expan</w:t>
            </w:r>
            <w:r w:rsidR="0099702D">
              <w:rPr>
                <w:lang w:eastAsia="en-US"/>
              </w:rPr>
              <w:t>sion scenario</w:t>
            </w:r>
            <w:r w:rsidRPr="000B7589">
              <w:rPr>
                <w:lang w:eastAsia="en-US"/>
              </w:rPr>
              <w:t xml:space="preserve">, a wider range of these entities would be able to participate as </w:t>
            </w:r>
            <w:r w:rsidR="00866CB8" w:rsidRPr="000B7589">
              <w:rPr>
                <w:lang w:eastAsia="en-US"/>
              </w:rPr>
              <w:t>A</w:t>
            </w:r>
            <w:r w:rsidR="00866CB8">
              <w:rPr>
                <w:lang w:eastAsia="en-US"/>
              </w:rPr>
              <w:t>P</w:t>
            </w:r>
            <w:r w:rsidR="00866CB8" w:rsidRPr="000B7589">
              <w:rPr>
                <w:lang w:eastAsia="en-US"/>
              </w:rPr>
              <w:t>s</w:t>
            </w:r>
            <w:r w:rsidRPr="000B7589">
              <w:rPr>
                <w:lang w:eastAsia="en-US"/>
              </w:rPr>
              <w:t>. This would result in both efficiency benefits and revenue opportunities for participating entities.</w:t>
            </w:r>
            <w:r w:rsidR="00737BA2">
              <w:rPr>
                <w:lang w:eastAsia="en-US"/>
              </w:rPr>
              <w:t xml:space="preserve"> </w:t>
            </w:r>
          </w:p>
          <w:p w14:paraId="18CC4A61" w14:textId="085E22A5"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As in ‘Current’ table above. Regardless of which entities choose to become </w:t>
            </w:r>
            <w:r w:rsidR="00D62B9B" w:rsidRPr="000B7589">
              <w:rPr>
                <w:lang w:eastAsia="en-US"/>
              </w:rPr>
              <w:t>A</w:t>
            </w:r>
            <w:r w:rsidR="00D62B9B">
              <w:rPr>
                <w:lang w:eastAsia="en-US"/>
              </w:rPr>
              <w:t>P</w:t>
            </w:r>
            <w:r w:rsidR="00D62B9B" w:rsidRPr="000B7589">
              <w:rPr>
                <w:lang w:eastAsia="en-US"/>
              </w:rPr>
              <w:t>s</w:t>
            </w:r>
            <w:r w:rsidRPr="000B7589">
              <w:rPr>
                <w:lang w:eastAsia="en-US"/>
              </w:rPr>
              <w:t xml:space="preserve">, the nature of their interactions with other components will remain the same. </w:t>
            </w:r>
          </w:p>
          <w:p w14:paraId="0321FFF2" w14:textId="497F56B5"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Incentives:</w:t>
            </w:r>
            <w:r w:rsidRPr="000B7589">
              <w:rPr>
                <w:lang w:eastAsia="en-US"/>
              </w:rPr>
              <w:t xml:space="preserve"> As with IDPs, under an expan</w:t>
            </w:r>
            <w:r w:rsidR="0099702D">
              <w:rPr>
                <w:lang w:eastAsia="en-US"/>
              </w:rPr>
              <w:t>sion scenario</w:t>
            </w:r>
            <w:r w:rsidRPr="000B7589">
              <w:rPr>
                <w:lang w:eastAsia="en-US"/>
              </w:rPr>
              <w:t xml:space="preserve"> it would be possible for </w:t>
            </w:r>
            <w:r w:rsidR="00D62B9B" w:rsidRPr="000B7589">
              <w:rPr>
                <w:lang w:eastAsia="en-US"/>
              </w:rPr>
              <w:t>A</w:t>
            </w:r>
            <w:r w:rsidR="00D62B9B">
              <w:rPr>
                <w:lang w:eastAsia="en-US"/>
              </w:rPr>
              <w:t>P</w:t>
            </w:r>
            <w:r w:rsidR="00D62B9B" w:rsidRPr="000B7589">
              <w:rPr>
                <w:lang w:eastAsia="en-US"/>
              </w:rPr>
              <w:t xml:space="preserve">s </w:t>
            </w:r>
            <w:r w:rsidRPr="000B7589">
              <w:rPr>
                <w:lang w:eastAsia="en-US"/>
              </w:rPr>
              <w:t xml:space="preserve">to </w:t>
            </w:r>
            <w:r w:rsidRPr="000B7589">
              <w:rPr>
                <w:lang w:eastAsia="en-US"/>
              </w:rPr>
              <w:lastRenderedPageBreak/>
              <w:t xml:space="preserve">generate revenue through the provision of attribute verification services. For example, an AP may charge an IDP a small fee for each attribute verified, with this fee then being reflected in the aggregate fee a </w:t>
            </w:r>
            <w:r w:rsidR="00866CB8">
              <w:rPr>
                <w:lang w:eastAsia="en-US"/>
              </w:rPr>
              <w:t>r</w:t>
            </w:r>
            <w:r w:rsidRPr="000B7589">
              <w:rPr>
                <w:lang w:eastAsia="en-US"/>
              </w:rPr>
              <w:t xml:space="preserve">elying </w:t>
            </w:r>
            <w:r w:rsidR="00866CB8">
              <w:rPr>
                <w:lang w:eastAsia="en-US"/>
              </w:rPr>
              <w:t>p</w:t>
            </w:r>
            <w:r w:rsidRPr="000B7589">
              <w:rPr>
                <w:lang w:eastAsia="en-US"/>
              </w:rPr>
              <w:t>arty is charged for the IDP’s services. A</w:t>
            </w:r>
            <w:r w:rsidR="00866CB8">
              <w:rPr>
                <w:lang w:eastAsia="en-US"/>
              </w:rPr>
              <w:t>P</w:t>
            </w:r>
            <w:r w:rsidRPr="000B7589">
              <w:rPr>
                <w:lang w:eastAsia="en-US"/>
              </w:rPr>
              <w:t xml:space="preserve">s and IDPs are likely to be incentivised to enter into volume-based arrangements within such a </w:t>
            </w:r>
            <w:r w:rsidR="0004571F">
              <w:rPr>
                <w:lang w:eastAsia="en-US"/>
              </w:rPr>
              <w:t>c</w:t>
            </w:r>
            <w:r w:rsidRPr="000B7589">
              <w:rPr>
                <w:lang w:eastAsia="en-US"/>
              </w:rPr>
              <w:t xml:space="preserve">harging </w:t>
            </w:r>
            <w:r w:rsidR="0004571F">
              <w:rPr>
                <w:lang w:eastAsia="en-US"/>
              </w:rPr>
              <w:t>f</w:t>
            </w:r>
            <w:r w:rsidRPr="000B7589">
              <w:rPr>
                <w:lang w:eastAsia="en-US"/>
              </w:rPr>
              <w:t>ramework.</w:t>
            </w:r>
          </w:p>
          <w:p w14:paraId="100545B2" w14:textId="3BB2269F"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t>It should also be noted that the expansion has the potential to lead to significant efficiencies for entities which are enabled to become APs. For example, professional bodies may already handle a volume of requests to confirm an individual’s accreditation. Where entities already deal with such requests by manual</w:t>
            </w:r>
            <w:r w:rsidR="00737BA2">
              <w:rPr>
                <w:lang w:eastAsia="en-US"/>
              </w:rPr>
              <w:t xml:space="preserve"> /</w:t>
            </w:r>
            <w:r w:rsidRPr="000B7589">
              <w:rPr>
                <w:lang w:eastAsia="en-US"/>
              </w:rPr>
              <w:t>paper-based means, considerable efficiencies may be achieved by becoming an AP and processing requests within the System instead.</w:t>
            </w:r>
            <w:r w:rsidR="00737BA2">
              <w:rPr>
                <w:lang w:eastAsia="en-US"/>
              </w:rPr>
              <w:t xml:space="preserve"> </w:t>
            </w:r>
          </w:p>
        </w:tc>
        <w:tc>
          <w:tcPr>
            <w:tcW w:w="3118" w:type="dxa"/>
            <w:shd w:val="clear" w:color="auto" w:fill="D2EEED"/>
          </w:tcPr>
          <w:p w14:paraId="354F7D34" w14:textId="07F64F75"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lastRenderedPageBreak/>
              <w:t xml:space="preserve">In addition to existing </w:t>
            </w:r>
            <w:r w:rsidR="002F366A">
              <w:rPr>
                <w:lang w:eastAsia="en-US"/>
              </w:rPr>
              <w:t>Australian Government</w:t>
            </w:r>
            <w:r w:rsidR="002F366A" w:rsidRPr="000B7589" w:rsidDel="002F366A">
              <w:rPr>
                <w:lang w:eastAsia="en-US"/>
              </w:rPr>
              <w:t xml:space="preserve"> </w:t>
            </w:r>
            <w:r w:rsidRPr="000B7589">
              <w:rPr>
                <w:lang w:eastAsia="en-US"/>
              </w:rPr>
              <w:t>entities:</w:t>
            </w:r>
          </w:p>
          <w:p w14:paraId="45830EEE"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State, territory and local governments</w:t>
            </w:r>
          </w:p>
          <w:p w14:paraId="4FE08E89"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Universities</w:t>
            </w:r>
          </w:p>
          <w:p w14:paraId="74C901F2"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Professional bodies</w:t>
            </w:r>
          </w:p>
          <w:p w14:paraId="4C432DA1" w14:textId="11CD707F" w:rsidR="00E6232E" w:rsidRPr="00595EE7"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Credit ratings agencies</w:t>
            </w:r>
          </w:p>
        </w:tc>
      </w:tr>
      <w:tr w:rsidR="00E6232E" w:rsidRPr="000B7589" w14:paraId="7E24A3C4" w14:textId="77777777" w:rsidTr="00154831">
        <w:trPr>
          <w:trHeight w:val="2723"/>
        </w:trPr>
        <w:tc>
          <w:tcPr>
            <w:cnfStyle w:val="001000000000" w:firstRow="0" w:lastRow="0" w:firstColumn="1" w:lastColumn="0" w:oddVBand="0" w:evenVBand="0" w:oddHBand="0" w:evenHBand="0" w:firstRowFirstColumn="0" w:firstRowLastColumn="0" w:lastRowFirstColumn="0" w:lastRowLastColumn="0"/>
            <w:tcW w:w="1661" w:type="dxa"/>
          </w:tcPr>
          <w:p w14:paraId="29DD8BCC" w14:textId="7EB1E1CE" w:rsidR="00E6232E" w:rsidRPr="003C5930" w:rsidRDefault="00E6232E" w:rsidP="00D62B9B">
            <w:pPr>
              <w:pStyle w:val="TableTextLeft"/>
              <w:spacing w:before="30" w:after="30"/>
              <w:rPr>
                <w:b w:val="0"/>
                <w:bCs w:val="0"/>
                <w:lang w:eastAsia="en-US"/>
              </w:rPr>
            </w:pPr>
            <w:r w:rsidRPr="00632A3A">
              <w:rPr>
                <w:b w:val="0"/>
                <w:bCs w:val="0"/>
                <w:lang w:eastAsia="en-US"/>
              </w:rPr>
              <w:t xml:space="preserve">Credential </w:t>
            </w:r>
            <w:r w:rsidR="00902684">
              <w:rPr>
                <w:b w:val="0"/>
                <w:bCs w:val="0"/>
                <w:lang w:eastAsia="en-US"/>
              </w:rPr>
              <w:t>s</w:t>
            </w:r>
            <w:r w:rsidRPr="00632A3A">
              <w:rPr>
                <w:b w:val="0"/>
                <w:bCs w:val="0"/>
                <w:lang w:eastAsia="en-US"/>
              </w:rPr>
              <w:t xml:space="preserve">ervice </w:t>
            </w:r>
            <w:r w:rsidR="00902684">
              <w:rPr>
                <w:b w:val="0"/>
                <w:bCs w:val="0"/>
                <w:lang w:eastAsia="en-US"/>
              </w:rPr>
              <w:t>p</w:t>
            </w:r>
            <w:r w:rsidRPr="00632A3A">
              <w:rPr>
                <w:b w:val="0"/>
                <w:bCs w:val="0"/>
                <w:lang w:eastAsia="en-US"/>
              </w:rPr>
              <w:t>rovider</w:t>
            </w:r>
            <w:r w:rsidR="003C5930">
              <w:rPr>
                <w:b w:val="0"/>
                <w:bCs w:val="0"/>
                <w:lang w:eastAsia="en-US"/>
              </w:rPr>
              <w:t xml:space="preserve"> </w:t>
            </w:r>
            <w:r w:rsidRPr="00632A3A">
              <w:rPr>
                <w:b w:val="0"/>
                <w:bCs w:val="0"/>
                <w:lang w:eastAsia="en-US"/>
              </w:rPr>
              <w:t>(CSP)</w:t>
            </w:r>
          </w:p>
        </w:tc>
        <w:tc>
          <w:tcPr>
            <w:tcW w:w="4435" w:type="dxa"/>
          </w:tcPr>
          <w:p w14:paraId="0CAA0C06" w14:textId="2959F11A"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Role:</w:t>
            </w:r>
            <w:r w:rsidRPr="000B7589">
              <w:rPr>
                <w:lang w:eastAsia="en-US"/>
              </w:rPr>
              <w:t xml:space="preserve"> As in ‘Current’ table above. </w:t>
            </w:r>
          </w:p>
          <w:p w14:paraId="653753AD" w14:textId="3C806BDE"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As in ‘Current’ table above. However, the expansion creates the opportunity for entities to participate as standalone CSPs, rather than this function being combined with that of an IDP. </w:t>
            </w:r>
          </w:p>
          <w:p w14:paraId="77584A9B" w14:textId="25B6EFC7"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Incentives:</w:t>
            </w:r>
            <w:r w:rsidRPr="000B7589">
              <w:rPr>
                <w:lang w:eastAsia="en-US"/>
              </w:rPr>
              <w:t xml:space="preserve"> The expansion would potentially create incentives for new entities to participate as standalone CSPs where they are able to provide bespoke or niche credentialing services. For example, private security companies may seek to provide highly</w:t>
            </w:r>
            <w:r w:rsidR="003E4FB0">
              <w:rPr>
                <w:lang w:eastAsia="en-US"/>
              </w:rPr>
              <w:t xml:space="preserve"> </w:t>
            </w:r>
            <w:r w:rsidRPr="000B7589">
              <w:rPr>
                <w:lang w:eastAsia="en-US"/>
              </w:rPr>
              <w:t xml:space="preserve">secure credentialing services based on advanced biometrics, for use by private sector IDPs and </w:t>
            </w:r>
            <w:r w:rsidR="00BF5AB8">
              <w:rPr>
                <w:lang w:eastAsia="en-US"/>
              </w:rPr>
              <w:t>r</w:t>
            </w:r>
            <w:r w:rsidRPr="000B7589">
              <w:rPr>
                <w:lang w:eastAsia="en-US"/>
              </w:rPr>
              <w:t xml:space="preserve">elying </w:t>
            </w:r>
            <w:r w:rsidR="00BF5AB8">
              <w:rPr>
                <w:lang w:eastAsia="en-US"/>
              </w:rPr>
              <w:t>p</w:t>
            </w:r>
            <w:r w:rsidRPr="000B7589">
              <w:rPr>
                <w:lang w:eastAsia="en-US"/>
              </w:rPr>
              <w:t>arties which need very high levels of reliability in identity verification.</w:t>
            </w:r>
          </w:p>
          <w:p w14:paraId="11331C11" w14:textId="760DF44C"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lang w:eastAsia="en-US"/>
              </w:rPr>
              <w:t>As with private sector IDPs, entities are only expected to participate in the system as standalone CSPs where there is a market opportunity to do so, given such participation is voluntary.</w:t>
            </w:r>
          </w:p>
        </w:tc>
        <w:tc>
          <w:tcPr>
            <w:tcW w:w="3118" w:type="dxa"/>
          </w:tcPr>
          <w:p w14:paraId="70C8601C" w14:textId="6A54639D"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lang w:eastAsia="en-US"/>
              </w:rPr>
              <w:t xml:space="preserve">In addition to existing </w:t>
            </w:r>
            <w:r w:rsidR="004A166A">
              <w:rPr>
                <w:lang w:eastAsia="en-US"/>
              </w:rPr>
              <w:t>Australian Government</w:t>
            </w:r>
            <w:r w:rsidRPr="000B7589">
              <w:rPr>
                <w:lang w:eastAsia="en-US"/>
              </w:rPr>
              <w:t xml:space="preserve"> CSPs:</w:t>
            </w:r>
          </w:p>
          <w:p w14:paraId="521C0B41" w14:textId="77777777"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0B7589">
              <w:rPr>
                <w:rFonts w:eastAsia="Calibri"/>
                <w:lang w:eastAsia="en-US"/>
              </w:rPr>
              <w:t>Private sector IDPs</w:t>
            </w:r>
          </w:p>
          <w:p w14:paraId="7AF40304" w14:textId="7BB0DF0E" w:rsidR="00E6232E" w:rsidRPr="00595EE7"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0B7589">
              <w:rPr>
                <w:rFonts w:eastAsia="Calibri"/>
                <w:lang w:eastAsia="en-US"/>
              </w:rPr>
              <w:t>Private sector security solution providers</w:t>
            </w:r>
          </w:p>
        </w:tc>
      </w:tr>
      <w:tr w:rsidR="00184701" w:rsidRPr="000B7589" w14:paraId="45019D6B"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dxa"/>
            <w:shd w:val="clear" w:color="auto" w:fill="D2EEED"/>
          </w:tcPr>
          <w:p w14:paraId="751B0387" w14:textId="427E5B05" w:rsidR="00E6232E" w:rsidRPr="003C5930" w:rsidRDefault="00E6232E" w:rsidP="00D62B9B">
            <w:pPr>
              <w:pStyle w:val="TableTextLeft"/>
              <w:spacing w:before="30" w:after="30"/>
              <w:rPr>
                <w:b w:val="0"/>
                <w:bCs w:val="0"/>
                <w:lang w:eastAsia="en-US"/>
              </w:rPr>
            </w:pPr>
            <w:r w:rsidRPr="00632A3A">
              <w:rPr>
                <w:b w:val="0"/>
                <w:bCs w:val="0"/>
                <w:lang w:eastAsia="en-US"/>
              </w:rPr>
              <w:t xml:space="preserve">Identity </w:t>
            </w:r>
            <w:r w:rsidR="00902684">
              <w:rPr>
                <w:b w:val="0"/>
                <w:bCs w:val="0"/>
                <w:lang w:eastAsia="en-US"/>
              </w:rPr>
              <w:t>e</w:t>
            </w:r>
            <w:r w:rsidRPr="00632A3A">
              <w:rPr>
                <w:b w:val="0"/>
                <w:bCs w:val="0"/>
                <w:lang w:eastAsia="en-US"/>
              </w:rPr>
              <w:t>xchange</w:t>
            </w:r>
            <w:r w:rsidR="003C5930">
              <w:rPr>
                <w:b w:val="0"/>
                <w:bCs w:val="0"/>
                <w:lang w:eastAsia="en-US"/>
              </w:rPr>
              <w:t xml:space="preserve"> </w:t>
            </w:r>
            <w:r w:rsidRPr="00632A3A">
              <w:rPr>
                <w:b w:val="0"/>
                <w:bCs w:val="0"/>
                <w:lang w:eastAsia="en-US"/>
              </w:rPr>
              <w:t>(IDX)</w:t>
            </w:r>
          </w:p>
        </w:tc>
        <w:tc>
          <w:tcPr>
            <w:tcW w:w="4435" w:type="dxa"/>
            <w:shd w:val="clear" w:color="auto" w:fill="D2EEED"/>
          </w:tcPr>
          <w:p w14:paraId="05DE26A2" w14:textId="0476B89E"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Role:</w:t>
            </w:r>
            <w:r w:rsidRPr="000B7589">
              <w:rPr>
                <w:lang w:eastAsia="en-US"/>
              </w:rPr>
              <w:t xml:space="preserve"> As in ‘Current’ table above.</w:t>
            </w:r>
            <w:r w:rsidR="00737BA2">
              <w:rPr>
                <w:lang w:eastAsia="en-US"/>
              </w:rPr>
              <w:t xml:space="preserve"> </w:t>
            </w:r>
            <w:r w:rsidRPr="000B7589">
              <w:rPr>
                <w:lang w:eastAsia="en-US"/>
              </w:rPr>
              <w:t xml:space="preserve">Whilst there is no legal barrier to a non-government IDX, it is not anticipated that this function would be transferred to entities beyond the </w:t>
            </w:r>
            <w:r w:rsidR="004A166A">
              <w:rPr>
                <w:lang w:eastAsia="en-US"/>
              </w:rPr>
              <w:t>Australian Government</w:t>
            </w:r>
            <w:r w:rsidR="004A166A" w:rsidRPr="000B7589" w:rsidDel="004A166A">
              <w:rPr>
                <w:lang w:eastAsia="en-US"/>
              </w:rPr>
              <w:t xml:space="preserve"> </w:t>
            </w:r>
            <w:r w:rsidRPr="000B7589">
              <w:rPr>
                <w:lang w:eastAsia="en-US"/>
              </w:rPr>
              <w:t xml:space="preserve">in the medium term. </w:t>
            </w:r>
          </w:p>
          <w:p w14:paraId="6DDB9C24" w14:textId="74AD3025"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As above. </w:t>
            </w:r>
          </w:p>
          <w:p w14:paraId="1D01F7E2"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Incentives:</w:t>
            </w:r>
            <w:r w:rsidRPr="000B7589">
              <w:rPr>
                <w:lang w:eastAsia="en-US"/>
              </w:rPr>
              <w:t xml:space="preserve"> As above. </w:t>
            </w:r>
          </w:p>
        </w:tc>
        <w:tc>
          <w:tcPr>
            <w:tcW w:w="3118" w:type="dxa"/>
            <w:shd w:val="clear" w:color="auto" w:fill="D2EEED"/>
          </w:tcPr>
          <w:p w14:paraId="68B00D78" w14:textId="4A9BA8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 xml:space="preserve">Anticipated the Commonwealth government will remain the sole provider of the </w:t>
            </w:r>
            <w:r w:rsidR="00353A8A">
              <w:rPr>
                <w:rFonts w:eastAsia="Calibri"/>
                <w:lang w:eastAsia="en-US"/>
              </w:rPr>
              <w:t>IDX</w:t>
            </w:r>
            <w:r w:rsidRPr="000B7589">
              <w:rPr>
                <w:rFonts w:eastAsia="Calibri"/>
                <w:lang w:eastAsia="en-US"/>
              </w:rPr>
              <w:t xml:space="preserve"> for the foreseeable future.</w:t>
            </w:r>
          </w:p>
        </w:tc>
      </w:tr>
      <w:tr w:rsidR="003221C7" w:rsidRPr="003221C7" w14:paraId="41090F29" w14:textId="77777777" w:rsidTr="004D35CA">
        <w:trPr>
          <w:gridAfter w:val="2"/>
          <w:wAfter w:w="7553" w:type="dxa"/>
          <w:trHeight w:val="340"/>
        </w:trPr>
        <w:tc>
          <w:tcPr>
            <w:cnfStyle w:val="001000000000" w:firstRow="0" w:lastRow="0" w:firstColumn="1" w:lastColumn="0" w:oddVBand="0" w:evenVBand="0" w:oddHBand="0" w:evenHBand="0" w:firstRowFirstColumn="0" w:firstRowLastColumn="0" w:lastRowFirstColumn="0" w:lastRowLastColumn="0"/>
            <w:tcW w:w="1661" w:type="dxa"/>
          </w:tcPr>
          <w:p w14:paraId="6A00F021" w14:textId="37A33CC9" w:rsidR="00201EBB" w:rsidRPr="003221C7" w:rsidRDefault="00201EBB" w:rsidP="00D62B9B">
            <w:pPr>
              <w:pStyle w:val="TableTextLeft"/>
              <w:spacing w:before="30" w:after="30"/>
              <w:rPr>
                <w:color w:val="008675"/>
                <w:lang w:eastAsia="en-US"/>
              </w:rPr>
            </w:pPr>
            <w:r w:rsidRPr="003221C7">
              <w:rPr>
                <w:color w:val="008675"/>
                <w:lang w:eastAsia="en-US"/>
              </w:rPr>
              <w:lastRenderedPageBreak/>
              <w:t>Relying</w:t>
            </w:r>
            <w:r w:rsidR="00A41B96" w:rsidRPr="003221C7">
              <w:rPr>
                <w:color w:val="008675"/>
                <w:lang w:eastAsia="en-US"/>
              </w:rPr>
              <w:t xml:space="preserve"> </w:t>
            </w:r>
            <w:r w:rsidRPr="003221C7">
              <w:rPr>
                <w:color w:val="008675"/>
                <w:lang w:eastAsia="en-US"/>
              </w:rPr>
              <w:t>parties</w:t>
            </w:r>
          </w:p>
        </w:tc>
      </w:tr>
      <w:tr w:rsidR="00184701" w:rsidRPr="000B7589" w14:paraId="570A84BA"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dxa"/>
            <w:shd w:val="clear" w:color="auto" w:fill="D2EEED"/>
          </w:tcPr>
          <w:p w14:paraId="13976453" w14:textId="7752FE02" w:rsidR="00E6232E" w:rsidRPr="00632A3A" w:rsidRDefault="00112364" w:rsidP="00D62B9B">
            <w:pPr>
              <w:pStyle w:val="TableTextLeft"/>
              <w:spacing w:before="30" w:after="30"/>
              <w:rPr>
                <w:b w:val="0"/>
                <w:bCs w:val="0"/>
                <w:lang w:eastAsia="en-US"/>
              </w:rPr>
            </w:pPr>
            <w:r>
              <w:rPr>
                <w:b w:val="0"/>
                <w:bCs w:val="0"/>
                <w:lang w:eastAsia="en-US"/>
              </w:rPr>
              <w:t>Non-Australian Government</w:t>
            </w:r>
            <w:r w:rsidR="00E6232E" w:rsidRPr="00632A3A">
              <w:rPr>
                <w:b w:val="0"/>
                <w:bCs w:val="0"/>
                <w:lang w:eastAsia="en-US"/>
              </w:rPr>
              <w:t xml:space="preserve"> </w:t>
            </w:r>
            <w:r w:rsidR="00902684">
              <w:rPr>
                <w:b w:val="0"/>
                <w:bCs w:val="0"/>
                <w:lang w:eastAsia="en-US"/>
              </w:rPr>
              <w:t>r</w:t>
            </w:r>
            <w:r w:rsidR="00E6232E" w:rsidRPr="00632A3A">
              <w:rPr>
                <w:b w:val="0"/>
                <w:bCs w:val="0"/>
                <w:lang w:eastAsia="en-US"/>
              </w:rPr>
              <w:t xml:space="preserve">elying </w:t>
            </w:r>
            <w:r w:rsidR="00902684">
              <w:rPr>
                <w:b w:val="0"/>
                <w:bCs w:val="0"/>
                <w:lang w:eastAsia="en-US"/>
              </w:rPr>
              <w:t>p</w:t>
            </w:r>
            <w:r w:rsidR="00E6232E" w:rsidRPr="00632A3A">
              <w:rPr>
                <w:b w:val="0"/>
                <w:bCs w:val="0"/>
                <w:lang w:eastAsia="en-US"/>
              </w:rPr>
              <w:t>arty</w:t>
            </w:r>
          </w:p>
        </w:tc>
        <w:tc>
          <w:tcPr>
            <w:tcW w:w="4435" w:type="dxa"/>
            <w:shd w:val="clear" w:color="auto" w:fill="D2EEED"/>
          </w:tcPr>
          <w:p w14:paraId="72BC9B0D" w14:textId="6B2ADEF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Role:</w:t>
            </w:r>
            <w:r w:rsidRPr="000B7589">
              <w:rPr>
                <w:lang w:eastAsia="en-US"/>
              </w:rPr>
              <w:t xml:space="preserve"> As in ‘Current’ table above. A key feature of an expan</w:t>
            </w:r>
            <w:r w:rsidR="00BA7160">
              <w:rPr>
                <w:lang w:eastAsia="en-US"/>
              </w:rPr>
              <w:t xml:space="preserve">sion scenario </w:t>
            </w:r>
            <w:r w:rsidRPr="000B7589">
              <w:rPr>
                <w:lang w:eastAsia="en-US"/>
              </w:rPr>
              <w:t xml:space="preserve">is the capacity for entities beyond the </w:t>
            </w:r>
            <w:r w:rsidR="004A166A">
              <w:rPr>
                <w:lang w:eastAsia="en-US"/>
              </w:rPr>
              <w:t>Australian Government</w:t>
            </w:r>
            <w:r w:rsidR="004A166A" w:rsidRPr="000B7589" w:rsidDel="004A166A">
              <w:rPr>
                <w:lang w:eastAsia="en-US"/>
              </w:rPr>
              <w:t xml:space="preserve"> </w:t>
            </w:r>
            <w:r w:rsidRPr="000B7589">
              <w:rPr>
                <w:lang w:eastAsia="en-US"/>
              </w:rPr>
              <w:t xml:space="preserve">to become </w:t>
            </w:r>
            <w:r w:rsidR="00BF5AB8">
              <w:rPr>
                <w:lang w:eastAsia="en-US"/>
              </w:rPr>
              <w:t>r</w:t>
            </w:r>
            <w:r w:rsidRPr="000B7589">
              <w:rPr>
                <w:lang w:eastAsia="en-US"/>
              </w:rPr>
              <w:t xml:space="preserve">elying </w:t>
            </w:r>
            <w:r w:rsidR="00BF5AB8">
              <w:rPr>
                <w:lang w:eastAsia="en-US"/>
              </w:rPr>
              <w:t>p</w:t>
            </w:r>
            <w:r w:rsidRPr="000B7589">
              <w:rPr>
                <w:lang w:eastAsia="en-US"/>
              </w:rPr>
              <w:t xml:space="preserve">arties. However, participation as a </w:t>
            </w:r>
            <w:r w:rsidR="00BF5AB8">
              <w:rPr>
                <w:lang w:eastAsia="en-US"/>
              </w:rPr>
              <w:t>r</w:t>
            </w:r>
            <w:r w:rsidRPr="000B7589">
              <w:rPr>
                <w:lang w:eastAsia="en-US"/>
              </w:rPr>
              <w:t xml:space="preserve">elying </w:t>
            </w:r>
            <w:r w:rsidR="00BF5AB8">
              <w:rPr>
                <w:lang w:eastAsia="en-US"/>
              </w:rPr>
              <w:t>p</w:t>
            </w:r>
            <w:r w:rsidRPr="000B7589">
              <w:rPr>
                <w:lang w:eastAsia="en-US"/>
              </w:rPr>
              <w:t>arty would remain entirely voluntary.</w:t>
            </w:r>
            <w:r w:rsidR="00737BA2">
              <w:rPr>
                <w:lang w:eastAsia="en-US"/>
              </w:rPr>
              <w:t xml:space="preserve"> </w:t>
            </w:r>
          </w:p>
          <w:p w14:paraId="20C43636" w14:textId="2B300EAA"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As in ‘Current’ table above. Under an</w:t>
            </w:r>
            <w:r w:rsidR="00BA7160">
              <w:rPr>
                <w:lang w:eastAsia="en-US"/>
              </w:rPr>
              <w:t xml:space="preserve"> expansion scenario</w:t>
            </w:r>
            <w:r w:rsidRPr="000B7589">
              <w:rPr>
                <w:lang w:eastAsia="en-US"/>
              </w:rPr>
              <w:t xml:space="preserve">, </w:t>
            </w:r>
            <w:r w:rsidR="00BF5AB8">
              <w:rPr>
                <w:lang w:eastAsia="en-US"/>
              </w:rPr>
              <w:t>r</w:t>
            </w:r>
            <w:r w:rsidRPr="000B7589">
              <w:rPr>
                <w:lang w:eastAsia="en-US"/>
              </w:rPr>
              <w:t xml:space="preserve">elying </w:t>
            </w:r>
            <w:r w:rsidR="00BF5AB8">
              <w:rPr>
                <w:lang w:eastAsia="en-US"/>
              </w:rPr>
              <w:t>p</w:t>
            </w:r>
            <w:r w:rsidRPr="000B7589">
              <w:rPr>
                <w:lang w:eastAsia="en-US"/>
              </w:rPr>
              <w:t xml:space="preserve">arties would likely have a greater choice of IDPs to transact with, due to the entry of private sector IDPs in competition with </w:t>
            </w:r>
            <w:proofErr w:type="spellStart"/>
            <w:r w:rsidRPr="000B7589">
              <w:rPr>
                <w:lang w:eastAsia="en-US"/>
              </w:rPr>
              <w:t>myGovID</w:t>
            </w:r>
            <w:proofErr w:type="spellEnd"/>
            <w:r w:rsidRPr="000B7589">
              <w:rPr>
                <w:lang w:eastAsia="en-US"/>
              </w:rPr>
              <w:t xml:space="preserve">. </w:t>
            </w:r>
          </w:p>
          <w:p w14:paraId="226067AC" w14:textId="6DAF6BEB" w:rsidR="00E6232E" w:rsidRPr="000B7589" w:rsidRDefault="00E6232E" w:rsidP="00D62B9B">
            <w:pPr>
              <w:pStyle w:val="TableTextLeft"/>
              <w:spacing w:before="30" w:after="30"/>
              <w:contextualSpacing/>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Incentives:</w:t>
            </w:r>
            <w:r w:rsidRPr="000B7589">
              <w:rPr>
                <w:lang w:eastAsia="en-US"/>
              </w:rPr>
              <w:t xml:space="preserve"> As with government </w:t>
            </w:r>
            <w:r w:rsidR="00BF5AB8">
              <w:rPr>
                <w:lang w:eastAsia="en-US"/>
              </w:rPr>
              <w:t>r</w:t>
            </w:r>
            <w:r w:rsidRPr="000B7589">
              <w:rPr>
                <w:lang w:eastAsia="en-US"/>
              </w:rPr>
              <w:t xml:space="preserve">elying </w:t>
            </w:r>
            <w:r w:rsidR="00BF5AB8">
              <w:rPr>
                <w:lang w:eastAsia="en-US"/>
              </w:rPr>
              <w:t>p</w:t>
            </w:r>
            <w:r w:rsidRPr="000B7589">
              <w:rPr>
                <w:lang w:eastAsia="en-US"/>
              </w:rPr>
              <w:t xml:space="preserve">arties, other government and private sector entities would be expected to experience the following benefits from participation: </w:t>
            </w:r>
          </w:p>
          <w:p w14:paraId="6775F1D8" w14:textId="07460483" w:rsidR="00E6232E" w:rsidRPr="00D36562" w:rsidRDefault="00E6232E" w:rsidP="00D36562">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36562">
              <w:rPr>
                <w:rFonts w:eastAsia="Calibri"/>
                <w:sz w:val="20"/>
                <w:szCs w:val="20"/>
                <w:lang w:eastAsia="en-US"/>
              </w:rPr>
              <w:t>Improved processing times for transactions requiring identity verification</w:t>
            </w:r>
          </w:p>
          <w:p w14:paraId="32CBECCC" w14:textId="2427CC70" w:rsidR="00E6232E" w:rsidRPr="00D36562" w:rsidRDefault="00E6232E" w:rsidP="00D36562">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36562">
              <w:rPr>
                <w:rFonts w:eastAsia="Calibri"/>
                <w:sz w:val="20"/>
                <w:szCs w:val="20"/>
                <w:lang w:eastAsia="en-US"/>
              </w:rPr>
              <w:t>Improved customer experience by removing the need for people to attend venues in person or provide physical documents</w:t>
            </w:r>
          </w:p>
          <w:p w14:paraId="6C62C747" w14:textId="067350D9" w:rsidR="00E6232E" w:rsidRPr="00D36562" w:rsidRDefault="00E6232E" w:rsidP="00D36562">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D36562">
              <w:rPr>
                <w:rFonts w:eastAsia="Calibri"/>
                <w:sz w:val="20"/>
                <w:szCs w:val="20"/>
                <w:lang w:eastAsia="en-US"/>
              </w:rPr>
              <w:t>Reduced manual handling of paperwork and ability to re-direct associated resources to alternative tasks.</w:t>
            </w:r>
          </w:p>
          <w:p w14:paraId="738E88BA" w14:textId="733BBF83"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t xml:space="preserve">These are likely to incentivise strong uptake by non-government </w:t>
            </w:r>
            <w:r w:rsidR="00BF5AB8">
              <w:rPr>
                <w:lang w:eastAsia="en-US"/>
              </w:rPr>
              <w:t>r</w:t>
            </w:r>
            <w:r w:rsidRPr="000B7589">
              <w:rPr>
                <w:lang w:eastAsia="en-US"/>
              </w:rPr>
              <w:t xml:space="preserve">elying </w:t>
            </w:r>
            <w:r w:rsidR="00BF5AB8">
              <w:rPr>
                <w:lang w:eastAsia="en-US"/>
              </w:rPr>
              <w:t>p</w:t>
            </w:r>
            <w:r w:rsidRPr="000B7589">
              <w:rPr>
                <w:lang w:eastAsia="en-US"/>
              </w:rPr>
              <w:t>arties under an expan</w:t>
            </w:r>
            <w:r w:rsidR="00542379">
              <w:rPr>
                <w:lang w:eastAsia="en-US"/>
              </w:rPr>
              <w:t>sion scenario</w:t>
            </w:r>
            <w:r w:rsidRPr="000B7589">
              <w:rPr>
                <w:lang w:eastAsia="en-US"/>
              </w:rPr>
              <w:t xml:space="preserve">. In this instance, non-government </w:t>
            </w:r>
            <w:r w:rsidR="00BF5AB8">
              <w:rPr>
                <w:lang w:eastAsia="en-US"/>
              </w:rPr>
              <w:t>r</w:t>
            </w:r>
            <w:r w:rsidRPr="000B7589">
              <w:rPr>
                <w:lang w:eastAsia="en-US"/>
              </w:rPr>
              <w:t xml:space="preserve">elying </w:t>
            </w:r>
            <w:r w:rsidR="00BF5AB8">
              <w:rPr>
                <w:lang w:eastAsia="en-US"/>
              </w:rPr>
              <w:t>p</w:t>
            </w:r>
            <w:r w:rsidRPr="000B7589">
              <w:rPr>
                <w:lang w:eastAsia="en-US"/>
              </w:rPr>
              <w:t xml:space="preserve">arties would be expected to seek the most cost-efficient commercial arrangements possible with IDPs for the provision of identity verification services. Increased competition through the entry of more IDPs would be expected to put downward pressure on pricing for such services. </w:t>
            </w:r>
          </w:p>
          <w:p w14:paraId="76127866" w14:textId="2B8E41DC"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t xml:space="preserve">These </w:t>
            </w:r>
            <w:r w:rsidR="00BF5AB8">
              <w:rPr>
                <w:lang w:eastAsia="en-US"/>
              </w:rPr>
              <w:t>r</w:t>
            </w:r>
            <w:r w:rsidRPr="000B7589">
              <w:rPr>
                <w:lang w:eastAsia="en-US"/>
              </w:rPr>
              <w:t xml:space="preserve">elying </w:t>
            </w:r>
            <w:r w:rsidR="00BF5AB8">
              <w:rPr>
                <w:lang w:eastAsia="en-US"/>
              </w:rPr>
              <w:t>p</w:t>
            </w:r>
            <w:r w:rsidRPr="000B7589">
              <w:rPr>
                <w:lang w:eastAsia="en-US"/>
              </w:rPr>
              <w:t>arties may also seek to undertake cost recovery through the pricing of services provided to Users. Their capacity to do so directly would be determined by any specific provisions within the charging regime when determined. However, this would not necessarily prohibit indirect cost recovery – for example through charging higher overall prices for services.</w:t>
            </w:r>
            <w:r w:rsidR="00737BA2">
              <w:rPr>
                <w:lang w:eastAsia="en-US"/>
              </w:rPr>
              <w:t xml:space="preserve"> </w:t>
            </w:r>
          </w:p>
          <w:p w14:paraId="3DA1C84E" w14:textId="7B790974"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t>Under an expan</w:t>
            </w:r>
            <w:r w:rsidR="00542379">
              <w:rPr>
                <w:lang w:eastAsia="en-US"/>
              </w:rPr>
              <w:t>sion scenario</w:t>
            </w:r>
            <w:r w:rsidRPr="000B7589">
              <w:rPr>
                <w:lang w:eastAsia="en-US"/>
              </w:rPr>
              <w:t xml:space="preserve">, it is anticipated that participation by private sector </w:t>
            </w:r>
            <w:r w:rsidR="00BF5AB8">
              <w:rPr>
                <w:lang w:eastAsia="en-US"/>
              </w:rPr>
              <w:t>r</w:t>
            </w:r>
            <w:r w:rsidRPr="000B7589">
              <w:rPr>
                <w:lang w:eastAsia="en-US"/>
              </w:rPr>
              <w:t xml:space="preserve">elying </w:t>
            </w:r>
            <w:r w:rsidR="00BF5AB8">
              <w:rPr>
                <w:lang w:eastAsia="en-US"/>
              </w:rPr>
              <w:t>p</w:t>
            </w:r>
            <w:r w:rsidRPr="000B7589">
              <w:rPr>
                <w:lang w:eastAsia="en-US"/>
              </w:rPr>
              <w:t xml:space="preserve">arties will be influenced to a greater degree by </w:t>
            </w:r>
            <w:r w:rsidRPr="000B7589">
              <w:rPr>
                <w:lang w:eastAsia="en-US"/>
              </w:rPr>
              <w:lastRenderedPageBreak/>
              <w:t xml:space="preserve">these financial and commercial considerations than is currently the case for government </w:t>
            </w:r>
            <w:r w:rsidR="00A14C46">
              <w:rPr>
                <w:lang w:eastAsia="en-US"/>
              </w:rPr>
              <w:t>r</w:t>
            </w:r>
            <w:r w:rsidRPr="000B7589">
              <w:rPr>
                <w:lang w:eastAsia="en-US"/>
              </w:rPr>
              <w:t xml:space="preserve">elying </w:t>
            </w:r>
            <w:r w:rsidR="00A14C46">
              <w:rPr>
                <w:lang w:eastAsia="en-US"/>
              </w:rPr>
              <w:t>p</w:t>
            </w:r>
            <w:r w:rsidRPr="000B7589">
              <w:rPr>
                <w:lang w:eastAsia="en-US"/>
              </w:rPr>
              <w:t>arties.</w:t>
            </w:r>
            <w:r w:rsidR="00737BA2">
              <w:rPr>
                <w:lang w:eastAsia="en-US"/>
              </w:rPr>
              <w:t xml:space="preserve"> </w:t>
            </w:r>
          </w:p>
        </w:tc>
        <w:tc>
          <w:tcPr>
            <w:tcW w:w="3118" w:type="dxa"/>
            <w:shd w:val="clear" w:color="auto" w:fill="D2EEED"/>
          </w:tcPr>
          <w:p w14:paraId="028E3DDE" w14:textId="175D8109"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lastRenderedPageBreak/>
              <w:t xml:space="preserve">In addition to </w:t>
            </w:r>
            <w:r w:rsidR="004A166A">
              <w:rPr>
                <w:lang w:eastAsia="en-US"/>
              </w:rPr>
              <w:t>Australian Government</w:t>
            </w:r>
            <w:r w:rsidR="004A166A" w:rsidRPr="000B7589" w:rsidDel="004A166A">
              <w:rPr>
                <w:lang w:eastAsia="en-US"/>
              </w:rPr>
              <w:t xml:space="preserve"> </w:t>
            </w:r>
            <w:r w:rsidRPr="000B7589">
              <w:rPr>
                <w:lang w:eastAsia="en-US"/>
              </w:rPr>
              <w:t>entities:</w:t>
            </w:r>
          </w:p>
          <w:p w14:paraId="25E825D9"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 xml:space="preserve">State, territory and local government entities </w:t>
            </w:r>
          </w:p>
          <w:p w14:paraId="5600B227"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 xml:space="preserve">Financial services providers </w:t>
            </w:r>
          </w:p>
          <w:p w14:paraId="73BF551C"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 xml:space="preserve">Utilities and telecommunications providers </w:t>
            </w:r>
          </w:p>
          <w:p w14:paraId="0E31164D"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Recruitment agencies</w:t>
            </w:r>
          </w:p>
          <w:p w14:paraId="0C3136A8"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p>
        </w:tc>
      </w:tr>
      <w:tr w:rsidR="0089078C" w:rsidRPr="000B7589" w14:paraId="4CB7757B" w14:textId="77777777" w:rsidTr="00154831">
        <w:trPr>
          <w:trHeight w:val="20"/>
        </w:trPr>
        <w:tc>
          <w:tcPr>
            <w:cnfStyle w:val="001000000000" w:firstRow="0" w:lastRow="0" w:firstColumn="1" w:lastColumn="0" w:oddVBand="0" w:evenVBand="0" w:oddHBand="0" w:evenHBand="0" w:firstRowFirstColumn="0" w:firstRowLastColumn="0" w:lastRowFirstColumn="0" w:lastRowLastColumn="0"/>
            <w:tcW w:w="1661" w:type="dxa"/>
          </w:tcPr>
          <w:p w14:paraId="4992A82A" w14:textId="2A68CE64" w:rsidR="00E6232E" w:rsidRPr="003221C7" w:rsidRDefault="00EB3C47" w:rsidP="00D62B9B">
            <w:pPr>
              <w:pStyle w:val="TableTextLeft"/>
              <w:spacing w:before="30" w:after="30"/>
              <w:rPr>
                <w:color w:val="008675"/>
                <w:lang w:eastAsia="en-US"/>
              </w:rPr>
            </w:pPr>
            <w:r w:rsidRPr="003221C7">
              <w:rPr>
                <w:color w:val="008675"/>
                <w:lang w:eastAsia="en-US"/>
              </w:rPr>
              <w:t>Permanent governance body</w:t>
            </w:r>
          </w:p>
        </w:tc>
        <w:tc>
          <w:tcPr>
            <w:tcW w:w="4435" w:type="dxa"/>
          </w:tcPr>
          <w:p w14:paraId="2B1B44F8" w14:textId="359952AA"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highlight w:val="green"/>
                <w:lang w:eastAsia="en-US"/>
              </w:rPr>
            </w:pPr>
            <w:r w:rsidRPr="000B7589">
              <w:rPr>
                <w:u w:val="single"/>
                <w:lang w:eastAsia="en-US"/>
              </w:rPr>
              <w:t xml:space="preserve">Role: </w:t>
            </w:r>
            <w:r w:rsidRPr="000B7589">
              <w:rPr>
                <w:lang w:eastAsia="en-US"/>
              </w:rPr>
              <w:t>As in ‘Current’ table above. The permanent governance body could be a legislated function of a new or existing government agency.</w:t>
            </w:r>
          </w:p>
          <w:p w14:paraId="1E7E3C98" w14:textId="279C9D53"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Similar interactions as above, continuing to oversee the accreditation process and operating rules governing how these entities act. However, unlike the status quo, it would be expected that a governance body may have increased interaction with </w:t>
            </w:r>
            <w:r w:rsidR="00A14C46">
              <w:rPr>
                <w:lang w:eastAsia="en-US"/>
              </w:rPr>
              <w:t>r</w:t>
            </w:r>
            <w:r w:rsidRPr="000B7589">
              <w:rPr>
                <w:lang w:eastAsia="en-US"/>
              </w:rPr>
              <w:t xml:space="preserve">elying </w:t>
            </w:r>
            <w:r w:rsidR="00A14C46">
              <w:rPr>
                <w:lang w:eastAsia="en-US"/>
              </w:rPr>
              <w:t>p</w:t>
            </w:r>
            <w:r w:rsidRPr="000B7589">
              <w:rPr>
                <w:lang w:eastAsia="en-US"/>
              </w:rPr>
              <w:t>arties, particularly relating to any new</w:t>
            </w:r>
            <w:r w:rsidR="0004571F">
              <w:rPr>
                <w:lang w:eastAsia="en-US"/>
              </w:rPr>
              <w:t xml:space="preserve"> c</w:t>
            </w:r>
            <w:r w:rsidRPr="000B7589">
              <w:rPr>
                <w:lang w:eastAsia="en-US"/>
              </w:rPr>
              <w:t xml:space="preserve">harging </w:t>
            </w:r>
            <w:r w:rsidR="0004571F">
              <w:rPr>
                <w:lang w:eastAsia="en-US"/>
              </w:rPr>
              <w:t>f</w:t>
            </w:r>
            <w:r w:rsidRPr="000B7589">
              <w:rPr>
                <w:lang w:eastAsia="en-US"/>
              </w:rPr>
              <w:t xml:space="preserve">ramework which would impact </w:t>
            </w:r>
            <w:r w:rsidR="00A14C46">
              <w:rPr>
                <w:lang w:eastAsia="en-US"/>
              </w:rPr>
              <w:t>r</w:t>
            </w:r>
            <w:r w:rsidRPr="000B7589">
              <w:rPr>
                <w:lang w:eastAsia="en-US"/>
              </w:rPr>
              <w:t xml:space="preserve">elying </w:t>
            </w:r>
            <w:r w:rsidR="00A14C46">
              <w:rPr>
                <w:lang w:eastAsia="en-US"/>
              </w:rPr>
              <w:t>p</w:t>
            </w:r>
            <w:r w:rsidRPr="000B7589">
              <w:rPr>
                <w:lang w:eastAsia="en-US"/>
              </w:rPr>
              <w:t xml:space="preserve">arties (but not Users). </w:t>
            </w:r>
          </w:p>
          <w:p w14:paraId="23EBBCB1" w14:textId="3E4C3313"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lang w:eastAsia="en-US"/>
              </w:rPr>
            </w:pPr>
            <w:r w:rsidRPr="000B7589">
              <w:rPr>
                <w:u w:val="single"/>
                <w:lang w:eastAsia="en-US"/>
              </w:rPr>
              <w:t>Incentives</w:t>
            </w:r>
            <w:r w:rsidRPr="000B7589">
              <w:rPr>
                <w:lang w:eastAsia="en-US"/>
              </w:rPr>
              <w:t>: As a</w:t>
            </w:r>
            <w:r w:rsidR="004A166A">
              <w:rPr>
                <w:lang w:eastAsia="en-US"/>
              </w:rPr>
              <w:t>n</w:t>
            </w:r>
            <w:r w:rsidRPr="000B7589">
              <w:rPr>
                <w:lang w:eastAsia="en-US"/>
              </w:rPr>
              <w:t xml:space="preserve"> </w:t>
            </w:r>
            <w:r w:rsidR="004A166A">
              <w:rPr>
                <w:lang w:eastAsia="en-US"/>
              </w:rPr>
              <w:t>Australian Government</w:t>
            </w:r>
            <w:r w:rsidRPr="000B7589">
              <w:rPr>
                <w:lang w:eastAsia="en-US"/>
              </w:rPr>
              <w:t xml:space="preserve"> entity, the permanent governance body’s primary incentive would remain promoting the efficient, safe and transparent operation. It may have other stated objectives set out in any establishing legislation, for example accountability and independence.</w:t>
            </w:r>
          </w:p>
        </w:tc>
        <w:tc>
          <w:tcPr>
            <w:tcW w:w="3118" w:type="dxa"/>
          </w:tcPr>
          <w:p w14:paraId="25B2857B" w14:textId="083F8AB1" w:rsidR="00E6232E" w:rsidRPr="000B7589" w:rsidRDefault="00E6232E" w:rsidP="00D62B9B">
            <w:pPr>
              <w:pStyle w:val="TableTextLeft"/>
              <w:spacing w:before="30" w:after="30"/>
              <w:cnfStyle w:val="000000000000" w:firstRow="0" w:lastRow="0" w:firstColumn="0" w:lastColumn="0" w:oddVBand="0" w:evenVBand="0" w:oddHBand="0" w:evenHBand="0" w:firstRowFirstColumn="0" w:firstRowLastColumn="0" w:lastRowFirstColumn="0" w:lastRowLastColumn="0"/>
              <w:rPr>
                <w:rFonts w:eastAsia="Calibri"/>
                <w:lang w:eastAsia="en-US"/>
              </w:rPr>
            </w:pPr>
            <w:r w:rsidRPr="000B7589">
              <w:rPr>
                <w:rFonts w:eastAsia="Calibri"/>
                <w:lang w:eastAsia="en-US"/>
              </w:rPr>
              <w:t xml:space="preserve">A new or existing government agency given regulatory functions </w:t>
            </w:r>
            <w:r w:rsidR="00542379">
              <w:rPr>
                <w:rFonts w:eastAsia="Calibri"/>
                <w:lang w:eastAsia="en-US"/>
              </w:rPr>
              <w:t>in an expansion scenario</w:t>
            </w:r>
          </w:p>
        </w:tc>
      </w:tr>
      <w:tr w:rsidR="00184701" w:rsidRPr="000B7589" w14:paraId="10942A26" w14:textId="77777777" w:rsidTr="00154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dxa"/>
            <w:shd w:val="clear" w:color="auto" w:fill="D2EEED"/>
          </w:tcPr>
          <w:p w14:paraId="3522D98F" w14:textId="23C84942" w:rsidR="00E6232E" w:rsidRPr="003221C7" w:rsidRDefault="00E6232E" w:rsidP="00D62B9B">
            <w:pPr>
              <w:pStyle w:val="TableTextLeft"/>
              <w:spacing w:before="30" w:after="30"/>
              <w:rPr>
                <w:color w:val="008675"/>
                <w:lang w:eastAsia="en-US"/>
              </w:rPr>
            </w:pPr>
            <w:r w:rsidRPr="003221C7">
              <w:rPr>
                <w:color w:val="008675"/>
                <w:lang w:eastAsia="en-US"/>
              </w:rPr>
              <w:t>U</w:t>
            </w:r>
            <w:r w:rsidR="00EB3C47" w:rsidRPr="003221C7">
              <w:rPr>
                <w:color w:val="008675"/>
                <w:lang w:eastAsia="en-US"/>
              </w:rPr>
              <w:t>ser</w:t>
            </w:r>
          </w:p>
        </w:tc>
        <w:tc>
          <w:tcPr>
            <w:tcW w:w="4435" w:type="dxa"/>
            <w:shd w:val="clear" w:color="auto" w:fill="D2EEED"/>
          </w:tcPr>
          <w:p w14:paraId="64C339AF" w14:textId="08B8673F"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Role:</w:t>
            </w:r>
            <w:r w:rsidRPr="000B7589">
              <w:rPr>
                <w:lang w:eastAsia="en-US"/>
              </w:rPr>
              <w:t xml:space="preserve"> As in ‘Current’ table above. The role of </w:t>
            </w:r>
            <w:r w:rsidR="004A166A">
              <w:rPr>
                <w:lang w:eastAsia="en-US"/>
              </w:rPr>
              <w:t>u</w:t>
            </w:r>
            <w:r w:rsidR="004A166A" w:rsidRPr="000B7589">
              <w:rPr>
                <w:lang w:eastAsia="en-US"/>
              </w:rPr>
              <w:t xml:space="preserve">sers </w:t>
            </w:r>
            <w:r w:rsidRPr="000B7589">
              <w:rPr>
                <w:lang w:eastAsia="en-US"/>
              </w:rPr>
              <w:t xml:space="preserve">is expected to remain constant regardless of which IDPs they choose to use. Participation would remain fully voluntary. </w:t>
            </w:r>
          </w:p>
          <w:p w14:paraId="0F03C811" w14:textId="75EFE27D"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Interactions:</w:t>
            </w:r>
            <w:r w:rsidRPr="000B7589">
              <w:rPr>
                <w:lang w:eastAsia="en-US"/>
              </w:rPr>
              <w:t xml:space="preserve"> Under an expan</w:t>
            </w:r>
            <w:r w:rsidR="00542379">
              <w:rPr>
                <w:lang w:eastAsia="en-US"/>
              </w:rPr>
              <w:t>sion scenario</w:t>
            </w:r>
            <w:r w:rsidRPr="000B7589">
              <w:rPr>
                <w:lang w:eastAsia="en-US"/>
              </w:rPr>
              <w:t xml:space="preserve">, </w:t>
            </w:r>
            <w:r w:rsidR="004A166A">
              <w:rPr>
                <w:lang w:eastAsia="en-US"/>
              </w:rPr>
              <w:t>u</w:t>
            </w:r>
            <w:r w:rsidR="004A166A" w:rsidRPr="000B7589">
              <w:rPr>
                <w:lang w:eastAsia="en-US"/>
              </w:rPr>
              <w:t xml:space="preserve">sers </w:t>
            </w:r>
            <w:r w:rsidRPr="000B7589">
              <w:rPr>
                <w:lang w:eastAsia="en-US"/>
              </w:rPr>
              <w:t>would be expected to have a wider range of IDPs to choose from because of the incentives discussed above for the entities. Users would also be able to access Digital I</w:t>
            </w:r>
            <w:r w:rsidR="00EB2443">
              <w:rPr>
                <w:lang w:eastAsia="en-US"/>
              </w:rPr>
              <w:t>D</w:t>
            </w:r>
            <w:r w:rsidRPr="000B7589">
              <w:rPr>
                <w:lang w:eastAsia="en-US"/>
              </w:rPr>
              <w:t xml:space="preserve"> to verify themselves with a much wider range of </w:t>
            </w:r>
            <w:r w:rsidR="00A14C46">
              <w:rPr>
                <w:lang w:eastAsia="en-US"/>
              </w:rPr>
              <w:t>r</w:t>
            </w:r>
            <w:r w:rsidRPr="000B7589">
              <w:rPr>
                <w:lang w:eastAsia="en-US"/>
              </w:rPr>
              <w:t xml:space="preserve">elying </w:t>
            </w:r>
            <w:r w:rsidR="00A14C46">
              <w:rPr>
                <w:lang w:eastAsia="en-US"/>
              </w:rPr>
              <w:t>p</w:t>
            </w:r>
            <w:r w:rsidRPr="000B7589">
              <w:rPr>
                <w:lang w:eastAsia="en-US"/>
              </w:rPr>
              <w:t>arties, as non-government entities are enabled to join for the first time.</w:t>
            </w:r>
            <w:r w:rsidR="00737BA2">
              <w:rPr>
                <w:lang w:eastAsia="en-US"/>
              </w:rPr>
              <w:t xml:space="preserve"> </w:t>
            </w:r>
          </w:p>
          <w:p w14:paraId="1F1EDC0A" w14:textId="6A160D67" w:rsidR="00E6232E" w:rsidRPr="000B7589" w:rsidRDefault="00E6232E" w:rsidP="00D62B9B">
            <w:pPr>
              <w:pStyle w:val="TableTextLeft"/>
              <w:spacing w:before="30" w:after="30"/>
              <w:contextualSpacing/>
              <w:cnfStyle w:val="000000100000" w:firstRow="0" w:lastRow="0" w:firstColumn="0" w:lastColumn="0" w:oddVBand="0" w:evenVBand="0" w:oddHBand="1" w:evenHBand="0" w:firstRowFirstColumn="0" w:firstRowLastColumn="0" w:lastRowFirstColumn="0" w:lastRowLastColumn="0"/>
              <w:rPr>
                <w:lang w:eastAsia="en-US"/>
              </w:rPr>
            </w:pPr>
            <w:r w:rsidRPr="000B7589">
              <w:rPr>
                <w:u w:val="single"/>
                <w:lang w:eastAsia="en-US"/>
              </w:rPr>
              <w:t>Incentives:</w:t>
            </w:r>
            <w:r w:rsidRPr="000B7589">
              <w:rPr>
                <w:lang w:eastAsia="en-US"/>
              </w:rPr>
              <w:t xml:space="preserve"> </w:t>
            </w:r>
            <w:r w:rsidR="00542379">
              <w:rPr>
                <w:lang w:eastAsia="en-US"/>
              </w:rPr>
              <w:t xml:space="preserve">Expansion </w:t>
            </w:r>
            <w:r w:rsidRPr="000B7589">
              <w:rPr>
                <w:lang w:eastAsia="en-US"/>
              </w:rPr>
              <w:t xml:space="preserve">offers increased incentives for participation by </w:t>
            </w:r>
            <w:r w:rsidR="004A166A">
              <w:rPr>
                <w:lang w:eastAsia="en-US"/>
              </w:rPr>
              <w:t>u</w:t>
            </w:r>
            <w:r w:rsidR="004A166A" w:rsidRPr="000B7589">
              <w:rPr>
                <w:lang w:eastAsia="en-US"/>
              </w:rPr>
              <w:t>sers</w:t>
            </w:r>
            <w:r w:rsidRPr="000B7589">
              <w:rPr>
                <w:lang w:eastAsia="en-US"/>
              </w:rPr>
              <w:t xml:space="preserve">, including: </w:t>
            </w:r>
          </w:p>
          <w:p w14:paraId="7DEC3762" w14:textId="3BB3EA79" w:rsidR="00E6232E" w:rsidRPr="00AA1F76" w:rsidRDefault="00B67B71" w:rsidP="00DC6133">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AA1F76">
              <w:rPr>
                <w:rFonts w:eastAsia="Calibri"/>
                <w:sz w:val="20"/>
                <w:szCs w:val="20"/>
                <w:lang w:eastAsia="en-US"/>
              </w:rPr>
              <w:t>i</w:t>
            </w:r>
            <w:r w:rsidR="00E6232E" w:rsidRPr="00AA1F76">
              <w:rPr>
                <w:rFonts w:eastAsia="Calibri"/>
                <w:sz w:val="20"/>
                <w:szCs w:val="20"/>
                <w:lang w:eastAsia="en-US"/>
              </w:rPr>
              <w:t>mproved convenience and speed of processing when interacting with a wide range of government and private sector entities</w:t>
            </w:r>
          </w:p>
          <w:p w14:paraId="6A159CF1" w14:textId="561B4AA8" w:rsidR="00E6232E" w:rsidRPr="00AA1F76" w:rsidRDefault="00B67B71" w:rsidP="00DC6133">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AA1F76">
              <w:rPr>
                <w:rFonts w:eastAsia="Calibri"/>
                <w:sz w:val="20"/>
                <w:szCs w:val="20"/>
                <w:lang w:eastAsia="en-US"/>
              </w:rPr>
              <w:t>s</w:t>
            </w:r>
            <w:r w:rsidR="00E6232E" w:rsidRPr="00AA1F76">
              <w:rPr>
                <w:rFonts w:eastAsia="Calibri"/>
                <w:sz w:val="20"/>
                <w:szCs w:val="20"/>
                <w:lang w:eastAsia="en-US"/>
              </w:rPr>
              <w:t>trengthened autonomy and control over which entities will hold information on their identity and attributes</w:t>
            </w:r>
          </w:p>
          <w:p w14:paraId="64C6F895" w14:textId="6B0D26D2" w:rsidR="00E6232E" w:rsidRPr="00AA1F76" w:rsidRDefault="00B67B71" w:rsidP="00AA1F76">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AA1F76">
              <w:rPr>
                <w:rFonts w:eastAsia="Calibri"/>
                <w:sz w:val="20"/>
                <w:szCs w:val="20"/>
                <w:lang w:eastAsia="en-US"/>
              </w:rPr>
              <w:t>r</w:t>
            </w:r>
            <w:r w:rsidR="00E6232E" w:rsidRPr="00AA1F76">
              <w:rPr>
                <w:rFonts w:eastAsia="Calibri"/>
                <w:sz w:val="20"/>
                <w:szCs w:val="20"/>
                <w:lang w:eastAsia="en-US"/>
              </w:rPr>
              <w:t>educed risk of identity theft due to strong levels of security built into.</w:t>
            </w:r>
          </w:p>
          <w:p w14:paraId="403B5FE5" w14:textId="1D1BDE8B" w:rsidR="00E6232E" w:rsidRPr="000B7589" w:rsidRDefault="00542379" w:rsidP="00D62B9B">
            <w:pPr>
              <w:pStyle w:val="TableTextLeft"/>
              <w:spacing w:before="30" w:after="30"/>
              <w:contextualSpacing/>
              <w:cnfStyle w:val="000000100000" w:firstRow="0" w:lastRow="0" w:firstColumn="0" w:lastColumn="0" w:oddVBand="0" w:evenVBand="0" w:oddHBand="1" w:evenHBand="0" w:firstRowFirstColumn="0" w:firstRowLastColumn="0" w:lastRowFirstColumn="0" w:lastRowLastColumn="0"/>
              <w:rPr>
                <w:lang w:eastAsia="en-US"/>
              </w:rPr>
            </w:pPr>
            <w:r>
              <w:rPr>
                <w:lang w:eastAsia="en-US"/>
              </w:rPr>
              <w:lastRenderedPageBreak/>
              <w:t>Expansion</w:t>
            </w:r>
            <w:r w:rsidR="00E6232E" w:rsidRPr="000B7589">
              <w:rPr>
                <w:lang w:eastAsia="en-US"/>
              </w:rPr>
              <w:t xml:space="preserve"> also addresses several of the potential disincentives for </w:t>
            </w:r>
            <w:r w:rsidR="004A166A">
              <w:rPr>
                <w:lang w:eastAsia="en-US"/>
              </w:rPr>
              <w:t>u</w:t>
            </w:r>
            <w:r w:rsidR="004A166A" w:rsidRPr="000B7589">
              <w:rPr>
                <w:lang w:eastAsia="en-US"/>
              </w:rPr>
              <w:t xml:space="preserve">sers </w:t>
            </w:r>
            <w:r w:rsidR="00E6232E" w:rsidRPr="000B7589">
              <w:rPr>
                <w:lang w:eastAsia="en-US"/>
              </w:rPr>
              <w:t xml:space="preserve">discussed in ‘Current’ table above, further strengthening the incentive to participate: </w:t>
            </w:r>
          </w:p>
          <w:p w14:paraId="40DAA005" w14:textId="33DC2741" w:rsidR="00E6232E" w:rsidRPr="00AA1F76" w:rsidRDefault="00E6232E" w:rsidP="00DC6133">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AA1F76">
              <w:rPr>
                <w:rFonts w:eastAsia="Calibri"/>
                <w:sz w:val="20"/>
                <w:szCs w:val="20"/>
                <w:lang w:eastAsia="en-US"/>
              </w:rPr>
              <w:t>Reduced concern over government centralisation or control of information on their identity and attributes because of increased choice of IDPs</w:t>
            </w:r>
          </w:p>
          <w:p w14:paraId="1E39B2C4" w14:textId="222CBE50" w:rsidR="00E6232E" w:rsidRPr="00AA1F76" w:rsidRDefault="00E6232E" w:rsidP="00DC6133">
            <w:pPr>
              <w:pStyle w:val="ListBulletLevel1"/>
              <w:spacing w:before="0" w:after="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AA1F76">
              <w:rPr>
                <w:rFonts w:eastAsia="Calibri"/>
                <w:sz w:val="20"/>
                <w:szCs w:val="20"/>
                <w:lang w:eastAsia="en-US"/>
              </w:rPr>
              <w:t xml:space="preserve">Strengthened legal framework for protecting </w:t>
            </w:r>
            <w:r w:rsidR="004E13E2" w:rsidRPr="00AA1F76">
              <w:rPr>
                <w:rFonts w:eastAsia="Calibri"/>
                <w:sz w:val="20"/>
                <w:szCs w:val="20"/>
                <w:lang w:eastAsia="en-US"/>
              </w:rPr>
              <w:t>u</w:t>
            </w:r>
            <w:r w:rsidRPr="00AA1F76">
              <w:rPr>
                <w:rFonts w:eastAsia="Calibri"/>
                <w:sz w:val="20"/>
                <w:szCs w:val="20"/>
                <w:lang w:eastAsia="en-US"/>
              </w:rPr>
              <w:t>ser privacy, and ensuring the requirements of the TDIF are met</w:t>
            </w:r>
          </w:p>
          <w:p w14:paraId="268BBF9A" w14:textId="56FE8457" w:rsidR="00E6232E" w:rsidRPr="00AA1F76" w:rsidRDefault="00E6232E" w:rsidP="00AA1F76">
            <w:pPr>
              <w:pStyle w:val="ListBulletLevel1"/>
              <w:spacing w:before="60" w:after="60" w:line="288" w:lineRule="auto"/>
              <w:cnfStyle w:val="000000100000" w:firstRow="0" w:lastRow="0" w:firstColumn="0" w:lastColumn="0" w:oddVBand="0" w:evenVBand="0" w:oddHBand="1" w:evenHBand="0" w:firstRowFirstColumn="0" w:firstRowLastColumn="0" w:lastRowFirstColumn="0" w:lastRowLastColumn="0"/>
              <w:rPr>
                <w:rFonts w:eastAsia="Calibri"/>
                <w:sz w:val="20"/>
                <w:szCs w:val="20"/>
                <w:lang w:eastAsia="en-US"/>
              </w:rPr>
            </w:pPr>
            <w:r w:rsidRPr="00AA1F76">
              <w:rPr>
                <w:rFonts w:eastAsia="Calibri"/>
                <w:sz w:val="20"/>
                <w:szCs w:val="20"/>
                <w:lang w:eastAsia="en-US"/>
              </w:rPr>
              <w:t xml:space="preserve">Strengthened useability of digital </w:t>
            </w:r>
            <w:r w:rsidR="00F630ED">
              <w:rPr>
                <w:rFonts w:eastAsia="Calibri"/>
                <w:sz w:val="20"/>
                <w:szCs w:val="20"/>
                <w:lang w:eastAsia="en-US"/>
              </w:rPr>
              <w:t>ID</w:t>
            </w:r>
            <w:r w:rsidR="00F630ED" w:rsidRPr="00AA1F76">
              <w:rPr>
                <w:rFonts w:eastAsia="Calibri"/>
                <w:sz w:val="20"/>
                <w:szCs w:val="20"/>
                <w:lang w:eastAsia="en-US"/>
              </w:rPr>
              <w:t xml:space="preserve"> </w:t>
            </w:r>
            <w:r w:rsidRPr="00AA1F76">
              <w:rPr>
                <w:rFonts w:eastAsia="Calibri"/>
                <w:sz w:val="20"/>
                <w:szCs w:val="20"/>
                <w:lang w:eastAsia="en-US"/>
              </w:rPr>
              <w:t>outside of interaction with government entities.</w:t>
            </w:r>
          </w:p>
          <w:p w14:paraId="5A424BD6" w14:textId="323A819A"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lang w:eastAsia="en-US"/>
              </w:rPr>
            </w:pPr>
            <w:r w:rsidRPr="000B7589">
              <w:rPr>
                <w:lang w:eastAsia="en-US"/>
              </w:rPr>
              <w:t xml:space="preserve">As direct charging of </w:t>
            </w:r>
            <w:r w:rsidR="0069095E">
              <w:rPr>
                <w:lang w:eastAsia="en-US"/>
              </w:rPr>
              <w:t>u</w:t>
            </w:r>
            <w:r w:rsidRPr="000B7589">
              <w:rPr>
                <w:lang w:eastAsia="en-US"/>
              </w:rPr>
              <w:t>sers is not anticipated within an expan</w:t>
            </w:r>
            <w:r w:rsidR="00542379">
              <w:rPr>
                <w:lang w:eastAsia="en-US"/>
              </w:rPr>
              <w:t>sion scenario</w:t>
            </w:r>
            <w:r w:rsidRPr="000B7589">
              <w:rPr>
                <w:lang w:eastAsia="en-US"/>
              </w:rPr>
              <w:t>, these participants would not generally be incentivised to ‘shop around’ between IDPs. However, there is likely to be a positive feedback loop between the range of services (</w:t>
            </w:r>
            <w:r w:rsidR="00BB4F59">
              <w:rPr>
                <w:lang w:eastAsia="en-US"/>
              </w:rPr>
              <w:t>r</w:t>
            </w:r>
            <w:r w:rsidRPr="000B7589">
              <w:rPr>
                <w:lang w:eastAsia="en-US"/>
              </w:rPr>
              <w:t xml:space="preserve">elying </w:t>
            </w:r>
            <w:r w:rsidR="00BB4F59">
              <w:rPr>
                <w:lang w:eastAsia="en-US"/>
              </w:rPr>
              <w:t>p</w:t>
            </w:r>
            <w:r w:rsidRPr="000B7589">
              <w:rPr>
                <w:lang w:eastAsia="en-US"/>
              </w:rPr>
              <w:t xml:space="preserve">arties) a </w:t>
            </w:r>
            <w:r w:rsidR="004E13E2">
              <w:rPr>
                <w:lang w:eastAsia="en-US"/>
              </w:rPr>
              <w:t>u</w:t>
            </w:r>
            <w:r w:rsidRPr="000B7589">
              <w:rPr>
                <w:lang w:eastAsia="en-US"/>
              </w:rPr>
              <w:t>ser can access with their chosen IDP and ongoing uptake of that IDP’s services. These indirect competitive dynamics can be observed in other digital service delivery contexts, such as food delivery and ride-sharing apps.</w:t>
            </w:r>
          </w:p>
        </w:tc>
        <w:tc>
          <w:tcPr>
            <w:tcW w:w="3118" w:type="dxa"/>
            <w:shd w:val="clear" w:color="auto" w:fill="D2EEED"/>
          </w:tcPr>
          <w:p w14:paraId="3C64493A" w14:textId="77777777" w:rsidR="00E6232E" w:rsidRPr="000B7589" w:rsidRDefault="00E6232E" w:rsidP="00D62B9B">
            <w:pPr>
              <w:pStyle w:val="TableTextLef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lastRenderedPageBreak/>
              <w:t>Individual citizens in private capacity</w:t>
            </w:r>
          </w:p>
          <w:p w14:paraId="6E5A12E7" w14:textId="5DDDA37D" w:rsidR="00E6232E" w:rsidRPr="000B7589" w:rsidRDefault="00E6232E" w:rsidP="00A60647">
            <w:pPr>
              <w:pStyle w:val="TableTextLeft"/>
              <w:keepNext/>
              <w:spacing w:before="30" w:after="3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0B7589">
              <w:rPr>
                <w:rFonts w:eastAsia="Calibri"/>
                <w:lang w:eastAsia="en-US"/>
              </w:rPr>
              <w:t>Individuals in capacity as business owners</w:t>
            </w:r>
          </w:p>
        </w:tc>
      </w:tr>
    </w:tbl>
    <w:p w14:paraId="488F02FF" w14:textId="06DD4CC5" w:rsidR="0052151B" w:rsidRDefault="0052151B">
      <w:pPr>
        <w:pStyle w:val="Caption"/>
      </w:pPr>
      <w:bookmarkStart w:id="682" w:name="_Toc130390618"/>
      <w:bookmarkStart w:id="683" w:name="_Toc82532405"/>
      <w:r>
        <w:t xml:space="preserve">Table </w:t>
      </w:r>
      <w:r>
        <w:fldChar w:fldCharType="begin"/>
      </w:r>
      <w:r>
        <w:instrText>SEQ Table \* ARABIC</w:instrText>
      </w:r>
      <w:r>
        <w:fldChar w:fldCharType="separate"/>
      </w:r>
      <w:r>
        <w:rPr>
          <w:noProof/>
        </w:rPr>
        <w:t>14</w:t>
      </w:r>
      <w:r>
        <w:fldChar w:fldCharType="end"/>
      </w:r>
      <w:r>
        <w:t xml:space="preserve">: </w:t>
      </w:r>
      <w:r w:rsidRPr="00BC4775">
        <w:t xml:space="preserve">Details of potential entities, interactions and incentives in an expanded </w:t>
      </w:r>
      <w:r w:rsidR="007525B9">
        <w:t xml:space="preserve">Digital ID </w:t>
      </w:r>
      <w:r w:rsidRPr="00BC4775">
        <w:t>System</w:t>
      </w:r>
      <w:bookmarkEnd w:id="682"/>
    </w:p>
    <w:p w14:paraId="55CCA60D" w14:textId="7CBD5F5E" w:rsidR="00E6232E" w:rsidRPr="003221C7" w:rsidRDefault="001A6833" w:rsidP="001A6833">
      <w:pPr>
        <w:pStyle w:val="Heading1NoNumbers"/>
        <w:rPr>
          <w:color w:val="008675"/>
          <w:lang w:eastAsia="en-US"/>
        </w:rPr>
      </w:pPr>
      <w:bookmarkStart w:id="684" w:name="_Ref63778150"/>
      <w:bookmarkStart w:id="685" w:name="_Ref63778153"/>
      <w:bookmarkStart w:id="686" w:name="_Toc83951224"/>
      <w:bookmarkStart w:id="687" w:name="_Toc84925849"/>
      <w:bookmarkStart w:id="688" w:name="_Toc84925922"/>
      <w:bookmarkStart w:id="689" w:name="_Toc86045166"/>
      <w:bookmarkStart w:id="690" w:name="_Toc86070063"/>
      <w:bookmarkStart w:id="691" w:name="_Toc149740372"/>
      <w:bookmarkStart w:id="692" w:name="AppendixD"/>
      <w:bookmarkEnd w:id="683"/>
      <w:r w:rsidRPr="003221C7">
        <w:rPr>
          <w:color w:val="008675"/>
          <w:lang w:eastAsia="en-US"/>
        </w:rPr>
        <w:lastRenderedPageBreak/>
        <w:t xml:space="preserve">Appendix D </w:t>
      </w:r>
      <w:r w:rsidR="0098502F" w:rsidRPr="003221C7">
        <w:rPr>
          <w:color w:val="008675"/>
        </w:rPr>
        <w:t>–</w:t>
      </w:r>
      <w:r w:rsidRPr="003221C7">
        <w:rPr>
          <w:color w:val="008675"/>
          <w:lang w:eastAsia="en-US"/>
        </w:rPr>
        <w:t xml:space="preserve"> </w:t>
      </w:r>
      <w:bookmarkEnd w:id="684"/>
      <w:bookmarkEnd w:id="685"/>
      <w:bookmarkEnd w:id="686"/>
      <w:bookmarkEnd w:id="687"/>
      <w:bookmarkEnd w:id="688"/>
      <w:bookmarkEnd w:id="689"/>
      <w:bookmarkEnd w:id="690"/>
      <w:r w:rsidR="00766284" w:rsidRPr="003221C7">
        <w:rPr>
          <w:color w:val="008675"/>
          <w:lang w:eastAsia="en-US"/>
        </w:rPr>
        <w:t>Consultation Details</w:t>
      </w:r>
      <w:bookmarkEnd w:id="691"/>
      <w:r w:rsidR="00D44FE0" w:rsidRPr="003221C7">
        <w:rPr>
          <w:color w:val="008675"/>
          <w:lang w:eastAsia="en-US"/>
        </w:rPr>
        <w:t xml:space="preserve"> </w:t>
      </w:r>
    </w:p>
    <w:bookmarkEnd w:id="692"/>
    <w:p w14:paraId="45971133" w14:textId="7B76588E" w:rsidR="00480786" w:rsidRPr="00085642" w:rsidRDefault="000328C3" w:rsidP="1FEA9081">
      <w:pPr>
        <w:pStyle w:val="BodyText"/>
        <w:rPr>
          <w:lang w:eastAsia="en-US"/>
        </w:rPr>
      </w:pPr>
      <w:r w:rsidRPr="1FEA9081">
        <w:rPr>
          <w:lang w:eastAsia="en-US"/>
        </w:rPr>
        <w:t xml:space="preserve">This Appendix provides further detail of </w:t>
      </w:r>
      <w:r w:rsidR="00B31D26" w:rsidRPr="1FEA9081">
        <w:rPr>
          <w:lang w:eastAsia="en-US"/>
        </w:rPr>
        <w:t xml:space="preserve">consultation feedback </w:t>
      </w:r>
      <w:r w:rsidR="003C6BF1" w:rsidRPr="1FEA9081">
        <w:rPr>
          <w:lang w:eastAsia="en-US"/>
        </w:rPr>
        <w:t>considered</w:t>
      </w:r>
      <w:r w:rsidR="00B31D26" w:rsidRPr="1FEA9081">
        <w:rPr>
          <w:lang w:eastAsia="en-US"/>
        </w:rPr>
        <w:t xml:space="preserve"> by </w:t>
      </w:r>
      <w:r w:rsidR="003C6BF1" w:rsidRPr="1FEA9081">
        <w:rPr>
          <w:lang w:eastAsia="en-US"/>
        </w:rPr>
        <w:t xml:space="preserve">round of feedback or </w:t>
      </w:r>
      <w:r w:rsidR="00B31D26" w:rsidRPr="1FEA9081">
        <w:rPr>
          <w:lang w:eastAsia="en-US"/>
        </w:rPr>
        <w:t>stakeholder segment</w:t>
      </w:r>
      <w:r w:rsidRPr="1FEA9081">
        <w:rPr>
          <w:lang w:eastAsia="en-US"/>
        </w:rPr>
        <w:t xml:space="preserve">, supplementing </w:t>
      </w:r>
      <w:r w:rsidR="00B31D26" w:rsidRPr="1FEA9081">
        <w:rPr>
          <w:lang w:eastAsia="en-US"/>
        </w:rPr>
        <w:t xml:space="preserve">the discussion in </w:t>
      </w:r>
      <w:r w:rsidRPr="1FEA9081">
        <w:rPr>
          <w:lang w:eastAsia="en-US"/>
        </w:rPr>
        <w:t xml:space="preserve">Section 10 </w:t>
      </w:r>
      <w:r w:rsidR="00B31D26" w:rsidRPr="1FEA9081">
        <w:rPr>
          <w:lang w:eastAsia="en-US"/>
        </w:rPr>
        <w:t>of th</w:t>
      </w:r>
      <w:r w:rsidR="005006B1" w:rsidRPr="1FEA9081">
        <w:rPr>
          <w:lang w:eastAsia="en-US"/>
        </w:rPr>
        <w:t>e</w:t>
      </w:r>
      <w:r w:rsidR="00B31D26" w:rsidRPr="1FEA9081">
        <w:rPr>
          <w:lang w:eastAsia="en-US"/>
        </w:rPr>
        <w:t xml:space="preserve"> </w:t>
      </w:r>
      <w:r w:rsidR="00465F3F" w:rsidRPr="1FEA9081">
        <w:rPr>
          <w:lang w:eastAsia="en-US"/>
        </w:rPr>
        <w:t>Impact Analysis</w:t>
      </w:r>
      <w:r w:rsidR="00B31D26" w:rsidRPr="1FEA9081">
        <w:rPr>
          <w:lang w:eastAsia="en-US"/>
        </w:rPr>
        <w:t xml:space="preserve">. </w:t>
      </w:r>
      <w:r w:rsidR="00C01DE4" w:rsidRPr="1FEA9081">
        <w:rPr>
          <w:lang w:eastAsia="en-US"/>
        </w:rPr>
        <w:t>T</w:t>
      </w:r>
      <w:r w:rsidR="00AB19CE" w:rsidRPr="1FEA9081">
        <w:rPr>
          <w:lang w:eastAsia="en-US"/>
        </w:rPr>
        <w:t xml:space="preserve">he below draws out broad themes </w:t>
      </w:r>
      <w:r w:rsidR="00CE6000" w:rsidRPr="1FEA9081">
        <w:rPr>
          <w:lang w:eastAsia="en-US"/>
        </w:rPr>
        <w:t xml:space="preserve">for discussion and analysis purposes, </w:t>
      </w:r>
      <w:r w:rsidR="00C01DE4" w:rsidRPr="1FEA9081">
        <w:rPr>
          <w:lang w:eastAsia="en-US"/>
        </w:rPr>
        <w:t>however it is important to understand that the Program has received a significant quantity of diverse feedback over many years across a spectrum of stakeholders</w:t>
      </w:r>
      <w:r w:rsidR="003C6BF1" w:rsidRPr="1FEA9081">
        <w:rPr>
          <w:lang w:eastAsia="en-US"/>
        </w:rPr>
        <w:t xml:space="preserve">. Whilst best efforts have been made to accurately describe </w:t>
      </w:r>
      <w:r w:rsidR="00790DBD" w:rsidRPr="1FEA9081">
        <w:rPr>
          <w:lang w:eastAsia="en-US"/>
        </w:rPr>
        <w:t>this feedback at a broad level, t</w:t>
      </w:r>
      <w:r w:rsidR="003C6BF1" w:rsidRPr="1FEA9081">
        <w:rPr>
          <w:lang w:eastAsia="en-US"/>
        </w:rPr>
        <w:t xml:space="preserve">here are </w:t>
      </w:r>
      <w:r w:rsidR="00312840" w:rsidRPr="1FEA9081">
        <w:rPr>
          <w:lang w:eastAsia="en-US"/>
        </w:rPr>
        <w:t>inherent limitations in generalis</w:t>
      </w:r>
      <w:r w:rsidR="003C6BF1" w:rsidRPr="1FEA9081">
        <w:rPr>
          <w:lang w:eastAsia="en-US"/>
        </w:rPr>
        <w:t xml:space="preserve">ing or attributing discrete sentiments or themes to what has consistently been very nuanced feedback on a complex issue. </w:t>
      </w:r>
    </w:p>
    <w:p w14:paraId="7A399A43" w14:textId="781C68A0" w:rsidR="00480786" w:rsidRPr="00085642" w:rsidRDefault="00480786" w:rsidP="1FEA9081">
      <w:pPr>
        <w:pStyle w:val="BodyText"/>
        <w:rPr>
          <w:b/>
          <w:bCs/>
          <w:lang w:eastAsia="en-US"/>
        </w:rPr>
      </w:pPr>
      <w:r w:rsidRPr="1FEA9081">
        <w:rPr>
          <w:b/>
          <w:bCs/>
          <w:lang w:eastAsia="en-US"/>
        </w:rPr>
        <w:t xml:space="preserve">Previous </w:t>
      </w:r>
      <w:r w:rsidR="0022397E" w:rsidRPr="1FEA9081">
        <w:rPr>
          <w:b/>
          <w:bCs/>
          <w:lang w:eastAsia="en-US"/>
        </w:rPr>
        <w:t>c</w:t>
      </w:r>
      <w:r w:rsidRPr="1FEA9081">
        <w:rPr>
          <w:b/>
          <w:bCs/>
          <w:lang w:eastAsia="en-US"/>
        </w:rPr>
        <w:t xml:space="preserve">onsultations </w:t>
      </w:r>
    </w:p>
    <w:p w14:paraId="35A60F11" w14:textId="768F5BB5" w:rsidR="00480786" w:rsidRPr="00085642" w:rsidRDefault="006D11C2" w:rsidP="00813CBB">
      <w:pPr>
        <w:pStyle w:val="BodyText"/>
        <w:rPr>
          <w:lang w:eastAsia="en-US"/>
        </w:rPr>
      </w:pPr>
      <w:r w:rsidRPr="00085642">
        <w:rPr>
          <w:lang w:eastAsia="en-US"/>
        </w:rPr>
        <w:t>Table</w:t>
      </w:r>
      <w:r w:rsidR="00B4284D" w:rsidRPr="00085642">
        <w:rPr>
          <w:lang w:eastAsia="en-US"/>
        </w:rPr>
        <w:t xml:space="preserve"> 15</w:t>
      </w:r>
      <w:r w:rsidRPr="00085642">
        <w:rPr>
          <w:lang w:eastAsia="en-US"/>
        </w:rPr>
        <w:t xml:space="preserve"> below</w:t>
      </w:r>
      <w:r w:rsidR="00E6232E" w:rsidRPr="00085642">
        <w:rPr>
          <w:lang w:eastAsia="en-US"/>
        </w:rPr>
        <w:t xml:space="preserve"> details the Program’s </w:t>
      </w:r>
      <w:r w:rsidR="00362232" w:rsidRPr="00085642">
        <w:rPr>
          <w:lang w:eastAsia="en-US"/>
        </w:rPr>
        <w:t xml:space="preserve">schedule of </w:t>
      </w:r>
      <w:r w:rsidR="00542379">
        <w:rPr>
          <w:lang w:eastAsia="en-US"/>
        </w:rPr>
        <w:t>c</w:t>
      </w:r>
      <w:r w:rsidR="00E6232E" w:rsidRPr="00085642">
        <w:rPr>
          <w:lang w:eastAsia="en-US"/>
        </w:rPr>
        <w:t>onsultations.</w:t>
      </w:r>
    </w:p>
    <w:tbl>
      <w:tblPr>
        <w:tblStyle w:val="GridTable2-Accent3"/>
        <w:tblW w:w="9308"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574"/>
        <w:gridCol w:w="3152"/>
        <w:gridCol w:w="2291"/>
        <w:gridCol w:w="2291"/>
      </w:tblGrid>
      <w:tr w:rsidR="003B25CC" w:rsidRPr="003B25CC" w14:paraId="2EFF472E" w14:textId="77777777" w:rsidTr="003B25CC">
        <w:trPr>
          <w:cnfStyle w:val="100000000000" w:firstRow="1" w:lastRow="0" w:firstColumn="0" w:lastColumn="0" w:oddVBand="0" w:evenVBand="0" w:oddHBand="0" w:evenHBand="0" w:firstRowFirstColumn="0" w:firstRowLastColumn="0" w:lastRowFirstColumn="0" w:lastRowLastColumn="0"/>
          <w:trHeight w:val="19"/>
          <w:tblHeader/>
        </w:trPr>
        <w:tc>
          <w:tcPr>
            <w:cnfStyle w:val="001000000000" w:firstRow="0" w:lastRow="0" w:firstColumn="1" w:lastColumn="0" w:oddVBand="0" w:evenVBand="0" w:oddHBand="0" w:evenHBand="0" w:firstRowFirstColumn="0" w:firstRowLastColumn="0" w:lastRowFirstColumn="0" w:lastRowLastColumn="0"/>
            <w:tcW w:w="1574" w:type="dxa"/>
            <w:hideMark/>
          </w:tcPr>
          <w:p w14:paraId="72120072" w14:textId="77777777" w:rsidR="00E6232E" w:rsidRPr="003B25CC" w:rsidRDefault="00E6232E" w:rsidP="00EB3C47">
            <w:pPr>
              <w:pStyle w:val="TableTextLeft"/>
              <w:rPr>
                <w:color w:val="008675"/>
              </w:rPr>
            </w:pPr>
            <w:r w:rsidRPr="003B25CC">
              <w:rPr>
                <w:color w:val="008675"/>
              </w:rPr>
              <w:t>Consultation</w:t>
            </w:r>
          </w:p>
        </w:tc>
        <w:tc>
          <w:tcPr>
            <w:tcW w:w="3152" w:type="dxa"/>
            <w:hideMark/>
          </w:tcPr>
          <w:p w14:paraId="37A8000A" w14:textId="77777777" w:rsidR="00E6232E" w:rsidRPr="003B25CC" w:rsidRDefault="00E6232E" w:rsidP="00EB3C47">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3B25CC">
              <w:rPr>
                <w:color w:val="008675"/>
              </w:rPr>
              <w:t>Details</w:t>
            </w:r>
          </w:p>
        </w:tc>
        <w:tc>
          <w:tcPr>
            <w:tcW w:w="2291" w:type="dxa"/>
            <w:hideMark/>
          </w:tcPr>
          <w:p w14:paraId="43164564" w14:textId="77777777" w:rsidR="00E6232E" w:rsidRPr="003B25CC" w:rsidRDefault="00E6232E" w:rsidP="00EB3C47">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3B25CC">
              <w:rPr>
                <w:color w:val="008675"/>
              </w:rPr>
              <w:t>Timeframe occurred</w:t>
            </w:r>
          </w:p>
        </w:tc>
        <w:tc>
          <w:tcPr>
            <w:tcW w:w="2291" w:type="dxa"/>
            <w:hideMark/>
          </w:tcPr>
          <w:p w14:paraId="4870EB4A" w14:textId="77777777" w:rsidR="00E6232E" w:rsidRPr="003B25CC" w:rsidRDefault="00E6232E" w:rsidP="00EB3C47">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3B25CC">
              <w:rPr>
                <w:color w:val="008675"/>
              </w:rPr>
              <w:t>No. of stakeholders engaged</w:t>
            </w:r>
          </w:p>
        </w:tc>
      </w:tr>
      <w:tr w:rsidR="006412B9" w:rsidRPr="00085642" w14:paraId="1C01F605" w14:textId="77777777" w:rsidTr="00942C37">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dxa"/>
            <w:shd w:val="clear" w:color="auto" w:fill="D2EEED"/>
            <w:hideMark/>
          </w:tcPr>
          <w:p w14:paraId="125A8CA0" w14:textId="74AA4119" w:rsidR="00E6232E" w:rsidRPr="003B25CC" w:rsidRDefault="008F15E0" w:rsidP="00EB3C47">
            <w:pPr>
              <w:pStyle w:val="TableTextLeft"/>
              <w:rPr>
                <w:color w:val="008675"/>
              </w:rPr>
            </w:pPr>
            <w:r w:rsidRPr="003B25CC">
              <w:rPr>
                <w:color w:val="008675"/>
              </w:rPr>
              <w:t>PIAs</w:t>
            </w:r>
          </w:p>
        </w:tc>
        <w:tc>
          <w:tcPr>
            <w:tcW w:w="0" w:type="dxa"/>
            <w:shd w:val="clear" w:color="auto" w:fill="D2EEED"/>
            <w:hideMark/>
          </w:tcPr>
          <w:p w14:paraId="36D19298" w14:textId="07CEBE73"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There have been </w:t>
            </w:r>
            <w:r w:rsidR="00B345E0" w:rsidRPr="00085642">
              <w:t xml:space="preserve">multiple </w:t>
            </w:r>
            <w:r w:rsidRPr="00085642">
              <w:t>PIAs conducted on Digital I</w:t>
            </w:r>
            <w:r w:rsidR="00EB2443" w:rsidRPr="00085642">
              <w:t>D</w:t>
            </w:r>
            <w:r w:rsidRPr="00085642">
              <w:t xml:space="preserve">, </w:t>
            </w:r>
            <w:r w:rsidR="00B345E0" w:rsidRPr="00085642">
              <w:t xml:space="preserve">all </w:t>
            </w:r>
            <w:r w:rsidRPr="00085642">
              <w:t xml:space="preserve">of which </w:t>
            </w:r>
            <w:r w:rsidR="00B345E0" w:rsidRPr="00085642">
              <w:t xml:space="preserve">have </w:t>
            </w:r>
            <w:r w:rsidRPr="00085642">
              <w:t xml:space="preserve">involved engagement with a variety of stakeholders on privacy, consumer protection and security issues. </w:t>
            </w:r>
          </w:p>
          <w:p w14:paraId="20F19B1A"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p>
        </w:tc>
        <w:tc>
          <w:tcPr>
            <w:tcW w:w="0" w:type="dxa"/>
            <w:shd w:val="clear" w:color="auto" w:fill="D2EEED"/>
            <w:hideMark/>
          </w:tcPr>
          <w:p w14:paraId="6FD7EBAA" w14:textId="4362896B"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Initial PIA for the TDIF Alpha </w:t>
            </w:r>
            <w:r w:rsidR="007525B9">
              <w:t>–</w:t>
            </w:r>
            <w:r w:rsidRPr="00085642">
              <w:t xml:space="preserve"> December 2016</w:t>
            </w:r>
            <w:r w:rsidR="00B345E0" w:rsidRPr="00085642">
              <w:t xml:space="preserve"> through to present </w:t>
            </w:r>
          </w:p>
          <w:p w14:paraId="4978D3F1"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rPr>
                <w:sz w:val="8"/>
                <w:szCs w:val="8"/>
              </w:rPr>
            </w:pPr>
          </w:p>
          <w:p w14:paraId="3B678FB4" w14:textId="6183FE13"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p>
        </w:tc>
        <w:tc>
          <w:tcPr>
            <w:tcW w:w="0" w:type="dxa"/>
            <w:shd w:val="clear" w:color="auto" w:fill="D2EEED"/>
            <w:hideMark/>
          </w:tcPr>
          <w:p w14:paraId="28F00BD0" w14:textId="0A10C5E8" w:rsidR="00E6232E" w:rsidRPr="00085642" w:rsidRDefault="003406A0"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Refer to </w:t>
            </w:r>
            <w:hyperlink r:id="rId96" w:history="1">
              <w:r w:rsidR="00AA30CA" w:rsidRPr="00AA30CA">
                <w:rPr>
                  <w:rStyle w:val="Hyperlink"/>
                  <w:rFonts w:eastAsia="Times"/>
                  <w:color w:val="008675"/>
                </w:rPr>
                <w:t>Privacy and security | Digital Identity</w:t>
              </w:r>
            </w:hyperlink>
            <w:r w:rsidR="00AA30CA" w:rsidRPr="00AA30CA">
              <w:rPr>
                <w:color w:val="008675"/>
              </w:rPr>
              <w:t xml:space="preserve"> </w:t>
            </w:r>
            <w:r w:rsidRPr="00085642">
              <w:t>for full copies and details of stakeholder engagement.</w:t>
            </w:r>
          </w:p>
        </w:tc>
      </w:tr>
      <w:tr w:rsidR="006412B9" w:rsidRPr="00085642" w14:paraId="1C2C1F10" w14:textId="77777777" w:rsidTr="00942C37">
        <w:trPr>
          <w:trHeight w:val="752"/>
        </w:trPr>
        <w:tc>
          <w:tcPr>
            <w:cnfStyle w:val="001000000000" w:firstRow="0" w:lastRow="0" w:firstColumn="1" w:lastColumn="0" w:oddVBand="0" w:evenVBand="0" w:oddHBand="0" w:evenHBand="0" w:firstRowFirstColumn="0" w:firstRowLastColumn="0" w:lastRowFirstColumn="0" w:lastRowLastColumn="0"/>
            <w:tcW w:w="0" w:type="dxa"/>
            <w:hideMark/>
          </w:tcPr>
          <w:p w14:paraId="1247CDEC" w14:textId="77777777" w:rsidR="00E6232E" w:rsidRPr="003B25CC" w:rsidRDefault="00E6232E" w:rsidP="00EB3C47">
            <w:pPr>
              <w:pStyle w:val="TableTextLeft"/>
              <w:rPr>
                <w:color w:val="008675"/>
              </w:rPr>
            </w:pPr>
            <w:r w:rsidRPr="003B25CC">
              <w:rPr>
                <w:color w:val="008675"/>
              </w:rPr>
              <w:t>TDIF public consultations</w:t>
            </w:r>
          </w:p>
        </w:tc>
        <w:tc>
          <w:tcPr>
            <w:tcW w:w="0" w:type="dxa"/>
            <w:hideMark/>
          </w:tcPr>
          <w:p w14:paraId="3D7DD0F1" w14:textId="5BBE2AF2"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There have been four releases of public consultation on the TDIF to date. These consultations are designed to elicit stakeholder views on all elements of the TDIF to ensure a consistent approach is taken to usability, accessibility, privacy protection, security and more. </w:t>
            </w:r>
          </w:p>
        </w:tc>
        <w:tc>
          <w:tcPr>
            <w:tcW w:w="0" w:type="dxa"/>
            <w:hideMark/>
          </w:tcPr>
          <w:p w14:paraId="1EC57E67"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Four TDIF releases – respectively February 2018, August 2018, April 2019 and May 2020</w:t>
            </w:r>
          </w:p>
          <w:p w14:paraId="198EE886" w14:textId="3550E65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p>
          <w:p w14:paraId="1A7B0B83"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p>
        </w:tc>
        <w:tc>
          <w:tcPr>
            <w:tcW w:w="0" w:type="dxa"/>
            <w:hideMark/>
          </w:tcPr>
          <w:p w14:paraId="7D756838"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Broad consultations with government, privacy experts and industry associations. More than 2450 comments received over 3 rounds of consultation. </w:t>
            </w:r>
          </w:p>
        </w:tc>
      </w:tr>
      <w:tr w:rsidR="006412B9" w:rsidRPr="00085642" w14:paraId="409DD9BD" w14:textId="77777777" w:rsidTr="00942C37">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0" w:type="dxa"/>
            <w:shd w:val="clear" w:color="auto" w:fill="D2EEED"/>
            <w:hideMark/>
          </w:tcPr>
          <w:p w14:paraId="63B05FE2" w14:textId="24EDEA52" w:rsidR="00E6232E" w:rsidRPr="003B25CC" w:rsidRDefault="00E6232E" w:rsidP="00EB3C47">
            <w:pPr>
              <w:pStyle w:val="TableTextLeft"/>
              <w:rPr>
                <w:color w:val="008675"/>
              </w:rPr>
            </w:pPr>
            <w:r w:rsidRPr="003B25CC">
              <w:rPr>
                <w:color w:val="008675"/>
              </w:rPr>
              <w:t xml:space="preserve">Targeted consultation with </w:t>
            </w:r>
            <w:r w:rsidR="004A166A" w:rsidRPr="003B25CC">
              <w:rPr>
                <w:color w:val="008675"/>
                <w:lang w:eastAsia="en-US"/>
              </w:rPr>
              <w:t>Australian Government</w:t>
            </w:r>
            <w:r w:rsidR="004A166A" w:rsidRPr="003B25CC" w:rsidDel="004A166A">
              <w:rPr>
                <w:color w:val="008675"/>
              </w:rPr>
              <w:t xml:space="preserve"> </w:t>
            </w:r>
            <w:r w:rsidR="00A913A2" w:rsidRPr="003B25CC">
              <w:rPr>
                <w:color w:val="008675"/>
              </w:rPr>
              <w:t>agencies</w:t>
            </w:r>
          </w:p>
        </w:tc>
        <w:tc>
          <w:tcPr>
            <w:tcW w:w="0" w:type="dxa"/>
            <w:shd w:val="clear" w:color="auto" w:fill="D2EEED"/>
            <w:hideMark/>
          </w:tcPr>
          <w:p w14:paraId="49D97FBA" w14:textId="216CEAC4"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Relevant </w:t>
            </w:r>
            <w:r w:rsidR="004A166A" w:rsidRPr="00085642">
              <w:rPr>
                <w:lang w:eastAsia="en-US"/>
              </w:rPr>
              <w:t>Australian Government</w:t>
            </w:r>
            <w:r w:rsidRPr="00085642">
              <w:t xml:space="preserve"> </w:t>
            </w:r>
            <w:r w:rsidR="00A913A2" w:rsidRPr="00085642">
              <w:t xml:space="preserve">agencies </w:t>
            </w:r>
            <w:r w:rsidRPr="00085642">
              <w:t>were consulted for their input on an initial Scoping Paper and a draft Consultation Paper prior to their respective public releases. This occurred through the Digital I</w:t>
            </w:r>
            <w:r w:rsidR="00EB2443" w:rsidRPr="00085642">
              <w:t>D</w:t>
            </w:r>
            <w:r w:rsidRPr="00085642">
              <w:t xml:space="preserve"> Legislation Working Group (DILWG), a forum with representation from </w:t>
            </w:r>
            <w:r w:rsidRPr="00085642">
              <w:lastRenderedPageBreak/>
              <w:t xml:space="preserve">thirteen </w:t>
            </w:r>
            <w:r w:rsidR="004A166A" w:rsidRPr="00085642">
              <w:rPr>
                <w:lang w:eastAsia="en-US"/>
              </w:rPr>
              <w:t>Australian Government</w:t>
            </w:r>
            <w:r w:rsidR="004A166A" w:rsidRPr="00085642" w:rsidDel="004A166A">
              <w:t xml:space="preserve"> </w:t>
            </w:r>
            <w:r w:rsidR="00A913A2" w:rsidRPr="00085642">
              <w:t>agencies</w:t>
            </w:r>
            <w:r w:rsidRPr="00085642">
              <w:t xml:space="preserve">. </w:t>
            </w:r>
          </w:p>
        </w:tc>
        <w:tc>
          <w:tcPr>
            <w:tcW w:w="0" w:type="dxa"/>
            <w:shd w:val="clear" w:color="auto" w:fill="D2EEED"/>
            <w:hideMark/>
          </w:tcPr>
          <w:p w14:paraId="3805E2C8" w14:textId="363EB965"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lastRenderedPageBreak/>
              <w:t xml:space="preserve">Scoping Paper phase </w:t>
            </w:r>
            <w:r w:rsidR="007525B9">
              <w:t>–</w:t>
            </w:r>
            <w:r w:rsidRPr="00085642">
              <w:t xml:space="preserve"> March 2020</w:t>
            </w:r>
          </w:p>
          <w:p w14:paraId="54D9DD35"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rPr>
                <w:sz w:val="8"/>
                <w:szCs w:val="8"/>
              </w:rPr>
            </w:pPr>
          </w:p>
          <w:p w14:paraId="45083031" w14:textId="1F5B2445"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Draft Consultation phase </w:t>
            </w:r>
            <w:r w:rsidR="007525B9">
              <w:t>–</w:t>
            </w:r>
            <w:r w:rsidRPr="00085642">
              <w:t xml:space="preserve"> August 2020. </w:t>
            </w:r>
          </w:p>
        </w:tc>
        <w:tc>
          <w:tcPr>
            <w:tcW w:w="0" w:type="dxa"/>
            <w:shd w:val="clear" w:color="auto" w:fill="D2EEED"/>
            <w:hideMark/>
          </w:tcPr>
          <w:p w14:paraId="662D9DE4" w14:textId="068B36F9"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Scoping Paper phase </w:t>
            </w:r>
            <w:r w:rsidR="007525B9">
              <w:t>–</w:t>
            </w:r>
            <w:r w:rsidRPr="00085642">
              <w:t xml:space="preserve"> 23 </w:t>
            </w:r>
            <w:r w:rsidR="004A166A" w:rsidRPr="00085642">
              <w:rPr>
                <w:lang w:eastAsia="en-US"/>
              </w:rPr>
              <w:t>Australian Government</w:t>
            </w:r>
            <w:r w:rsidR="004A166A" w:rsidRPr="00085642" w:rsidDel="004A166A">
              <w:t xml:space="preserve"> </w:t>
            </w:r>
            <w:r w:rsidRPr="00085642">
              <w:t>agencies</w:t>
            </w:r>
          </w:p>
          <w:p w14:paraId="7F0F28B6"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rPr>
                <w:sz w:val="8"/>
                <w:szCs w:val="8"/>
              </w:rPr>
            </w:pPr>
          </w:p>
          <w:p w14:paraId="0399DC1C" w14:textId="25C8A202"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Draft Consultation phase </w:t>
            </w:r>
            <w:r w:rsidR="007525B9">
              <w:t>–</w:t>
            </w:r>
            <w:r w:rsidRPr="00085642">
              <w:t xml:space="preserve"> 17 </w:t>
            </w:r>
            <w:r w:rsidR="004A166A" w:rsidRPr="00085642">
              <w:rPr>
                <w:lang w:eastAsia="en-US"/>
              </w:rPr>
              <w:t>Australian Government</w:t>
            </w:r>
            <w:r w:rsidR="004A166A" w:rsidRPr="00085642" w:rsidDel="004A166A">
              <w:t xml:space="preserve"> </w:t>
            </w:r>
            <w:r w:rsidRPr="00085642">
              <w:t>agencies</w:t>
            </w:r>
          </w:p>
        </w:tc>
      </w:tr>
      <w:tr w:rsidR="006412B9" w:rsidRPr="00085642" w14:paraId="70F8E644" w14:textId="77777777" w:rsidTr="00942C37">
        <w:trPr>
          <w:trHeight w:val="1143"/>
        </w:trPr>
        <w:tc>
          <w:tcPr>
            <w:cnfStyle w:val="001000000000" w:firstRow="0" w:lastRow="0" w:firstColumn="1" w:lastColumn="0" w:oddVBand="0" w:evenVBand="0" w:oddHBand="0" w:evenHBand="0" w:firstRowFirstColumn="0" w:firstRowLastColumn="0" w:lastRowFirstColumn="0" w:lastRowLastColumn="0"/>
            <w:tcW w:w="0" w:type="dxa"/>
            <w:hideMark/>
          </w:tcPr>
          <w:p w14:paraId="02B71103" w14:textId="77777777" w:rsidR="00E6232E" w:rsidRPr="003B25CC" w:rsidRDefault="00E6232E" w:rsidP="00EB3C47">
            <w:pPr>
              <w:pStyle w:val="TableTextLeft"/>
              <w:rPr>
                <w:color w:val="008675"/>
              </w:rPr>
            </w:pPr>
            <w:r w:rsidRPr="003B25CC">
              <w:rPr>
                <w:color w:val="008675"/>
              </w:rPr>
              <w:t xml:space="preserve">Targeted consultation with states and territories </w:t>
            </w:r>
          </w:p>
        </w:tc>
        <w:tc>
          <w:tcPr>
            <w:tcW w:w="0" w:type="dxa"/>
            <w:hideMark/>
          </w:tcPr>
          <w:p w14:paraId="44146267"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States and territories were initially engaged for commentary at the early stages of policy development. This consultation occurred through the Digital Identity Cross Jurisdictional Working Group (DICJWG), a forum with representation from all eight states and territories in Australia. The DICJWG conducted four themed workshops inviting engagement in formulation of the three policy options. </w:t>
            </w:r>
          </w:p>
        </w:tc>
        <w:tc>
          <w:tcPr>
            <w:tcW w:w="0" w:type="dxa"/>
            <w:hideMark/>
          </w:tcPr>
          <w:p w14:paraId="5D0FD9BE"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Throughout 2020</w:t>
            </w:r>
          </w:p>
        </w:tc>
        <w:tc>
          <w:tcPr>
            <w:tcW w:w="0" w:type="dxa"/>
            <w:hideMark/>
          </w:tcPr>
          <w:p w14:paraId="44213413"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8 states and territories in Australia</w:t>
            </w:r>
          </w:p>
          <w:p w14:paraId="48D7A5E0"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rPr>
                <w:sz w:val="8"/>
                <w:szCs w:val="8"/>
              </w:rPr>
            </w:pPr>
          </w:p>
          <w:p w14:paraId="62B5BBF7" w14:textId="01C23FB1"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Themed workshop invitations sent to all Australian jurisdictions</w:t>
            </w:r>
          </w:p>
        </w:tc>
      </w:tr>
      <w:tr w:rsidR="006412B9" w:rsidRPr="00085642" w14:paraId="4B788548" w14:textId="77777777" w:rsidTr="00942C3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0" w:type="dxa"/>
            <w:shd w:val="clear" w:color="auto" w:fill="D2EEED"/>
            <w:hideMark/>
          </w:tcPr>
          <w:p w14:paraId="17A6C25B" w14:textId="77777777" w:rsidR="00E6232E" w:rsidRPr="003B25CC" w:rsidRDefault="00E6232E" w:rsidP="00EB3C47">
            <w:pPr>
              <w:pStyle w:val="TableTextLeft"/>
              <w:rPr>
                <w:b w:val="0"/>
                <w:color w:val="008675"/>
              </w:rPr>
            </w:pPr>
            <w:r w:rsidRPr="003B25CC">
              <w:rPr>
                <w:color w:val="008675"/>
              </w:rPr>
              <w:t xml:space="preserve">Targeted consultation with financial institutions </w:t>
            </w:r>
          </w:p>
        </w:tc>
        <w:tc>
          <w:tcPr>
            <w:tcW w:w="0" w:type="dxa"/>
            <w:shd w:val="clear" w:color="auto" w:fill="D2EEED"/>
            <w:hideMark/>
          </w:tcPr>
          <w:p w14:paraId="737AD614"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The Program met with twelve key financial institutions across 2020, some numerous times, to discuss issues related to potential regulation. </w:t>
            </w:r>
          </w:p>
        </w:tc>
        <w:tc>
          <w:tcPr>
            <w:tcW w:w="0" w:type="dxa"/>
            <w:shd w:val="clear" w:color="auto" w:fill="D2EEED"/>
            <w:hideMark/>
          </w:tcPr>
          <w:p w14:paraId="4A739FDF"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Throughout 2020</w:t>
            </w:r>
          </w:p>
        </w:tc>
        <w:tc>
          <w:tcPr>
            <w:tcW w:w="0" w:type="dxa"/>
            <w:shd w:val="clear" w:color="auto" w:fill="D2EEED"/>
            <w:hideMark/>
          </w:tcPr>
          <w:p w14:paraId="50C90959" w14:textId="77777777"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12 financial institutions</w:t>
            </w:r>
          </w:p>
        </w:tc>
      </w:tr>
      <w:tr w:rsidR="006412B9" w:rsidRPr="00085642" w14:paraId="35E50A52" w14:textId="77777777" w:rsidTr="00942C37">
        <w:trPr>
          <w:trHeight w:val="897"/>
        </w:trPr>
        <w:tc>
          <w:tcPr>
            <w:cnfStyle w:val="001000000000" w:firstRow="0" w:lastRow="0" w:firstColumn="1" w:lastColumn="0" w:oddVBand="0" w:evenVBand="0" w:oddHBand="0" w:evenHBand="0" w:firstRowFirstColumn="0" w:firstRowLastColumn="0" w:lastRowFirstColumn="0" w:lastRowLastColumn="0"/>
            <w:tcW w:w="0" w:type="dxa"/>
          </w:tcPr>
          <w:p w14:paraId="699DEED9" w14:textId="527CE4A5" w:rsidR="00E6232E" w:rsidRPr="003B25CC" w:rsidRDefault="00E6232E" w:rsidP="00EB3C47">
            <w:pPr>
              <w:pStyle w:val="TableTextLeft"/>
              <w:rPr>
                <w:color w:val="008675"/>
              </w:rPr>
            </w:pPr>
            <w:r w:rsidRPr="003B25CC">
              <w:rPr>
                <w:color w:val="008675"/>
              </w:rPr>
              <w:t xml:space="preserve">Public </w:t>
            </w:r>
            <w:r w:rsidR="0055272E" w:rsidRPr="003B25CC">
              <w:rPr>
                <w:color w:val="008675"/>
              </w:rPr>
              <w:t>consultation p</w:t>
            </w:r>
            <w:r w:rsidRPr="003B25CC">
              <w:rPr>
                <w:color w:val="008675"/>
              </w:rPr>
              <w:t xml:space="preserve">aper </w:t>
            </w:r>
          </w:p>
        </w:tc>
        <w:tc>
          <w:tcPr>
            <w:tcW w:w="0" w:type="dxa"/>
          </w:tcPr>
          <w:p w14:paraId="6AE0F6E9" w14:textId="028C94BB"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The </w:t>
            </w:r>
            <w:r w:rsidR="0055272E" w:rsidRPr="00085642">
              <w:t>p</w:t>
            </w:r>
            <w:r w:rsidRPr="00085642">
              <w:t xml:space="preserve">ublic </w:t>
            </w:r>
            <w:r w:rsidR="0055272E" w:rsidRPr="00085642">
              <w:t>c</w:t>
            </w:r>
            <w:r w:rsidRPr="00085642">
              <w:t xml:space="preserve">onsultation </w:t>
            </w:r>
            <w:r w:rsidR="0055272E" w:rsidRPr="00085642">
              <w:t>p</w:t>
            </w:r>
            <w:r w:rsidRPr="00085642">
              <w:t xml:space="preserve">aper on </w:t>
            </w:r>
            <w:r w:rsidR="004A166A" w:rsidRPr="00085642">
              <w:t xml:space="preserve">legislation </w:t>
            </w:r>
            <w:r w:rsidRPr="00085642">
              <w:t xml:space="preserve">sought government, community, industry and individual views on the scope, nature and extent of possible government regulation of the </w:t>
            </w:r>
            <w:r w:rsidR="007525B9">
              <w:t xml:space="preserve">Digital ID </w:t>
            </w:r>
            <w:r w:rsidRPr="00085642">
              <w:t xml:space="preserve">System. </w:t>
            </w:r>
            <w:r w:rsidR="000C6CAC" w:rsidRPr="00085642">
              <w:t xml:space="preserve">Five webinars supported </w:t>
            </w:r>
            <w:r w:rsidRPr="00085642">
              <w:t xml:space="preserve">the release of the </w:t>
            </w:r>
            <w:r w:rsidR="0055272E" w:rsidRPr="00085642">
              <w:t>p</w:t>
            </w:r>
            <w:r w:rsidRPr="00085642">
              <w:t xml:space="preserve">aper, aimed at academics, advocacy groups, private sector, state and territory privacy commissioners and the public. </w:t>
            </w:r>
          </w:p>
          <w:p w14:paraId="21658C08" w14:textId="1A3365E2"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A </w:t>
            </w:r>
            <w:r w:rsidR="0055272E" w:rsidRPr="00085642">
              <w:t>c</w:t>
            </w:r>
            <w:r w:rsidRPr="00085642">
              <w:t xml:space="preserve">onsultation </w:t>
            </w:r>
            <w:r w:rsidR="0055272E" w:rsidRPr="00085642">
              <w:t>s</w:t>
            </w:r>
            <w:r w:rsidRPr="00085642">
              <w:t xml:space="preserve">ynthesis </w:t>
            </w:r>
            <w:r w:rsidR="0055272E" w:rsidRPr="00085642">
              <w:t>r</w:t>
            </w:r>
            <w:r w:rsidRPr="00085642">
              <w:t xml:space="preserve">eport was subsequently published online, and summarised key messages, themes and outcomes of the </w:t>
            </w:r>
            <w:r w:rsidR="0055272E" w:rsidRPr="00085642">
              <w:t>p</w:t>
            </w:r>
            <w:r w:rsidRPr="00085642">
              <w:t xml:space="preserve">ublic </w:t>
            </w:r>
            <w:r w:rsidR="0055272E" w:rsidRPr="00085642">
              <w:t>c</w:t>
            </w:r>
            <w:r w:rsidRPr="00085642">
              <w:t xml:space="preserve">onsultation </w:t>
            </w:r>
            <w:r w:rsidR="0055272E" w:rsidRPr="00085642">
              <w:t>p</w:t>
            </w:r>
            <w:r w:rsidRPr="00085642">
              <w:t>aper process.</w:t>
            </w:r>
          </w:p>
          <w:p w14:paraId="265A04A5" w14:textId="4531144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Finally, a </w:t>
            </w:r>
            <w:r w:rsidR="0055272E" w:rsidRPr="00085642">
              <w:t>p</w:t>
            </w:r>
            <w:r w:rsidRPr="00085642">
              <w:t xml:space="preserve">osition </w:t>
            </w:r>
            <w:r w:rsidR="0055272E" w:rsidRPr="00085642">
              <w:t>p</w:t>
            </w:r>
            <w:r w:rsidRPr="00085642">
              <w:t>aper was released online for further public consultation and provided updated assessments of key policy positions and the nature of potential regulation.</w:t>
            </w:r>
          </w:p>
        </w:tc>
        <w:tc>
          <w:tcPr>
            <w:tcW w:w="0" w:type="dxa"/>
          </w:tcPr>
          <w:p w14:paraId="6670E8AF"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Public Consultation Paper – November to December 2020</w:t>
            </w:r>
          </w:p>
          <w:p w14:paraId="149B6B00"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rPr>
                <w:sz w:val="8"/>
                <w:szCs w:val="8"/>
              </w:rPr>
            </w:pPr>
          </w:p>
          <w:p w14:paraId="2964A848"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Consultation Synthesis Report – published 12 February 2021</w:t>
            </w:r>
          </w:p>
          <w:p w14:paraId="15989E5C"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rPr>
                <w:sz w:val="8"/>
                <w:szCs w:val="8"/>
              </w:rPr>
            </w:pPr>
          </w:p>
          <w:p w14:paraId="1AFFFED9" w14:textId="035AD463"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Position Paper – published</w:t>
            </w:r>
            <w:r w:rsidR="001C5C80" w:rsidRPr="00085642">
              <w:t xml:space="preserve"> 10</w:t>
            </w:r>
            <w:r w:rsidRPr="00085642">
              <w:t xml:space="preserve"> </w:t>
            </w:r>
            <w:r w:rsidR="00CC166F" w:rsidRPr="00085642">
              <w:t>June</w:t>
            </w:r>
            <w:r w:rsidRPr="00085642">
              <w:t xml:space="preserve"> 2021</w:t>
            </w:r>
          </w:p>
        </w:tc>
        <w:tc>
          <w:tcPr>
            <w:tcW w:w="0" w:type="dxa"/>
          </w:tcPr>
          <w:p w14:paraId="69E092FC" w14:textId="23B6B8CE"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Supporting webinars -</w:t>
            </w:r>
            <w:r w:rsidR="00CB31D6" w:rsidRPr="00085642">
              <w:t xml:space="preserve"> </w:t>
            </w:r>
            <w:r w:rsidRPr="00085642">
              <w:t>attended by 110 stakeholders</w:t>
            </w:r>
          </w:p>
          <w:p w14:paraId="6773CAAD"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rPr>
                <w:sz w:val="8"/>
                <w:szCs w:val="8"/>
              </w:rPr>
            </w:pPr>
          </w:p>
          <w:p w14:paraId="603335B9" w14:textId="69A7FF9C"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Public </w:t>
            </w:r>
            <w:r w:rsidR="0055272E" w:rsidRPr="00085642">
              <w:t>c</w:t>
            </w:r>
            <w:r w:rsidRPr="00085642">
              <w:t xml:space="preserve">onsultation </w:t>
            </w:r>
            <w:r w:rsidR="0055272E" w:rsidRPr="00085642">
              <w:t>p</w:t>
            </w:r>
            <w:r w:rsidRPr="00085642">
              <w:t>aper - received 44 submissions (16 state and territory government, 20 private sector, 8 individuals and consumer groups)</w:t>
            </w:r>
          </w:p>
          <w:p w14:paraId="27A0E31C" w14:textId="77777777"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rPr>
                <w:sz w:val="8"/>
                <w:szCs w:val="8"/>
              </w:rPr>
            </w:pPr>
          </w:p>
          <w:p w14:paraId="62356809" w14:textId="6D05EB98"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Position </w:t>
            </w:r>
            <w:r w:rsidR="0055272E" w:rsidRPr="00085642">
              <w:t>p</w:t>
            </w:r>
            <w:r w:rsidRPr="00085642">
              <w:t xml:space="preserve">aper – received </w:t>
            </w:r>
            <w:r w:rsidR="00CB31D6" w:rsidRPr="00085642">
              <w:t>62</w:t>
            </w:r>
            <w:r w:rsidRPr="00085642">
              <w:t xml:space="preserve"> submissions</w:t>
            </w:r>
          </w:p>
        </w:tc>
      </w:tr>
      <w:tr w:rsidR="006412B9" w:rsidRPr="00085642" w14:paraId="1CE00BF0" w14:textId="77777777" w:rsidTr="00942C37">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2EC9B898" w14:textId="77777777" w:rsidR="00E6232E" w:rsidRPr="003B25CC" w:rsidRDefault="00E6232E" w:rsidP="00EB3C47">
            <w:pPr>
              <w:pStyle w:val="TableTextLeft"/>
              <w:rPr>
                <w:color w:val="008675"/>
              </w:rPr>
            </w:pPr>
            <w:r w:rsidRPr="003B25CC">
              <w:rPr>
                <w:color w:val="008675"/>
              </w:rPr>
              <w:lastRenderedPageBreak/>
              <w:t xml:space="preserve">Targeted consultations with critical stakeholders </w:t>
            </w:r>
          </w:p>
        </w:tc>
        <w:tc>
          <w:tcPr>
            <w:tcW w:w="0" w:type="dxa"/>
            <w:shd w:val="clear" w:color="auto" w:fill="D2EEED"/>
          </w:tcPr>
          <w:p w14:paraId="0BBB59AB" w14:textId="1E31FE1A" w:rsidR="00E6232E" w:rsidRPr="00085642" w:rsidRDefault="00E6232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Further targeted consultation occurred across key areas from the </w:t>
            </w:r>
            <w:r w:rsidR="0055272E" w:rsidRPr="00085642">
              <w:t>s</w:t>
            </w:r>
            <w:r w:rsidRPr="00085642">
              <w:t xml:space="preserve">ynthesis </w:t>
            </w:r>
            <w:r w:rsidR="0055272E" w:rsidRPr="00085642">
              <w:t>r</w:t>
            </w:r>
            <w:r w:rsidRPr="00085642">
              <w:t xml:space="preserve">eport, in the form of one-on-one engagements, Q&amp;A sessions and webinars. Stakeholders engaged include the Privacy Information Commissioner’s group, state and territory governments, the </w:t>
            </w:r>
            <w:r w:rsidR="004A166A" w:rsidRPr="00085642">
              <w:rPr>
                <w:lang w:eastAsia="en-US"/>
              </w:rPr>
              <w:t>Australian Government</w:t>
            </w:r>
            <w:r w:rsidR="004A166A" w:rsidRPr="00085642" w:rsidDel="004A166A">
              <w:t xml:space="preserve"> </w:t>
            </w:r>
            <w:r w:rsidRPr="00085642">
              <w:t xml:space="preserve">Digital Identity Working Group, private sector groups, non-for-profit sector groups and various programs/status groups. Feedback was incorporated into the </w:t>
            </w:r>
            <w:r w:rsidR="002F3111" w:rsidRPr="00085642">
              <w:t>p</w:t>
            </w:r>
            <w:r w:rsidRPr="00085642">
              <w:t xml:space="preserve">osition </w:t>
            </w:r>
            <w:r w:rsidR="002F3111" w:rsidRPr="00085642">
              <w:t>p</w:t>
            </w:r>
            <w:r w:rsidRPr="00085642">
              <w:t>aper.</w:t>
            </w:r>
          </w:p>
        </w:tc>
        <w:tc>
          <w:tcPr>
            <w:tcW w:w="0" w:type="dxa"/>
            <w:shd w:val="clear" w:color="auto" w:fill="D2EEED"/>
          </w:tcPr>
          <w:p w14:paraId="2D6B9C4F" w14:textId="77777777" w:rsidR="00E6232E" w:rsidRPr="00085642" w:rsidRDefault="00E6232E" w:rsidP="00581B3F">
            <w:pPr>
              <w:pStyle w:val="TableTextLeft"/>
              <w:cnfStyle w:val="000000100000" w:firstRow="0" w:lastRow="0" w:firstColumn="0" w:lastColumn="0" w:oddVBand="0" w:evenVBand="0" w:oddHBand="1" w:evenHBand="0" w:firstRowFirstColumn="0" w:firstRowLastColumn="0" w:lastRowFirstColumn="0" w:lastRowLastColumn="0"/>
            </w:pPr>
            <w:r w:rsidRPr="00085642">
              <w:t>Early months of 2021</w:t>
            </w:r>
          </w:p>
        </w:tc>
        <w:tc>
          <w:tcPr>
            <w:tcW w:w="0" w:type="dxa"/>
            <w:shd w:val="clear" w:color="auto" w:fill="D2EEED"/>
          </w:tcPr>
          <w:p w14:paraId="14585C77" w14:textId="77777777" w:rsidR="00E6232E" w:rsidRPr="00085642" w:rsidRDefault="00E6232E" w:rsidP="00581B3F">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23 submissions received </w:t>
            </w:r>
          </w:p>
        </w:tc>
      </w:tr>
      <w:tr w:rsidR="006412B9" w:rsidRPr="00085642" w14:paraId="04473150" w14:textId="77777777" w:rsidTr="00942C37">
        <w:trPr>
          <w:trHeight w:val="19"/>
        </w:trPr>
        <w:tc>
          <w:tcPr>
            <w:cnfStyle w:val="001000000000" w:firstRow="0" w:lastRow="0" w:firstColumn="1" w:lastColumn="0" w:oddVBand="0" w:evenVBand="0" w:oddHBand="0" w:evenHBand="0" w:firstRowFirstColumn="0" w:firstRowLastColumn="0" w:lastRowFirstColumn="0" w:lastRowLastColumn="0"/>
            <w:tcW w:w="0" w:type="dxa"/>
          </w:tcPr>
          <w:p w14:paraId="5A36AD55" w14:textId="581477A8" w:rsidR="00E6232E" w:rsidRPr="003B25CC" w:rsidRDefault="00E6232E" w:rsidP="00EB3C47">
            <w:pPr>
              <w:pStyle w:val="TableTextLeft"/>
              <w:rPr>
                <w:color w:val="008675"/>
              </w:rPr>
            </w:pPr>
            <w:r w:rsidRPr="003B25CC">
              <w:rPr>
                <w:color w:val="008675"/>
              </w:rPr>
              <w:t xml:space="preserve">Targeted </w:t>
            </w:r>
            <w:r w:rsidR="004147B5" w:rsidRPr="003B25CC">
              <w:rPr>
                <w:color w:val="008675"/>
              </w:rPr>
              <w:t xml:space="preserve">events </w:t>
            </w:r>
            <w:r w:rsidRPr="003B25CC">
              <w:rPr>
                <w:color w:val="008675"/>
              </w:rPr>
              <w:t>with key industry</w:t>
            </w:r>
            <w:r w:rsidR="00E1269C" w:rsidRPr="003B25CC">
              <w:rPr>
                <w:color w:val="008675"/>
              </w:rPr>
              <w:t xml:space="preserve"> and</w:t>
            </w:r>
            <w:r w:rsidR="00E40D94" w:rsidRPr="003B25CC">
              <w:rPr>
                <w:color w:val="008675"/>
              </w:rPr>
              <w:t xml:space="preserve"> government </w:t>
            </w:r>
            <w:r w:rsidRPr="003B25CC">
              <w:rPr>
                <w:color w:val="008675"/>
              </w:rPr>
              <w:t xml:space="preserve">associations </w:t>
            </w:r>
          </w:p>
        </w:tc>
        <w:tc>
          <w:tcPr>
            <w:tcW w:w="0" w:type="dxa"/>
          </w:tcPr>
          <w:p w14:paraId="7EA48A17" w14:textId="3C52896B" w:rsidR="00E6232E" w:rsidRPr="00085642" w:rsidRDefault="00E6232E"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Following release of the </w:t>
            </w:r>
            <w:r w:rsidR="002F3111" w:rsidRPr="00085642">
              <w:t>p</w:t>
            </w:r>
            <w:r w:rsidRPr="00085642">
              <w:t xml:space="preserve">osition </w:t>
            </w:r>
            <w:r w:rsidR="002F3111" w:rsidRPr="00085642">
              <w:t>p</w:t>
            </w:r>
            <w:r w:rsidRPr="00085642">
              <w:t xml:space="preserve">aper, targeted </w:t>
            </w:r>
            <w:r w:rsidR="009F7228" w:rsidRPr="00085642">
              <w:t>events</w:t>
            </w:r>
            <w:r w:rsidRPr="00085642">
              <w:t xml:space="preserve"> with key industry</w:t>
            </w:r>
            <w:r w:rsidR="009B0951" w:rsidRPr="00085642">
              <w:t xml:space="preserve"> and government</w:t>
            </w:r>
            <w:r w:rsidRPr="00085642">
              <w:t xml:space="preserve"> associations occurred, to facilitate open conversation and consideration of broad-ranging perspectives prior to the release of the Exposure Draft </w:t>
            </w:r>
            <w:r w:rsidR="0058045F" w:rsidRPr="00085642">
              <w:t>package</w:t>
            </w:r>
            <w:r w:rsidRPr="00085642">
              <w:t>.</w:t>
            </w:r>
            <w:r w:rsidR="009F7228" w:rsidRPr="00085642">
              <w:t xml:space="preserve"> Targeted events included roundtables and Q&amp;A sessions.</w:t>
            </w:r>
          </w:p>
        </w:tc>
        <w:tc>
          <w:tcPr>
            <w:tcW w:w="0" w:type="dxa"/>
          </w:tcPr>
          <w:p w14:paraId="5180B7D1" w14:textId="77777777" w:rsidR="00E6232E" w:rsidRPr="00085642" w:rsidRDefault="0099193B" w:rsidP="00EB3C47">
            <w:pPr>
              <w:pStyle w:val="TableTextLeft"/>
              <w:cnfStyle w:val="000000000000" w:firstRow="0" w:lastRow="0" w:firstColumn="0" w:lastColumn="0" w:oddVBand="0" w:evenVBand="0" w:oddHBand="0" w:evenHBand="0" w:firstRowFirstColumn="0" w:firstRowLastColumn="0" w:lastRowFirstColumn="0" w:lastRowLastColumn="0"/>
            </w:pPr>
            <w:r w:rsidRPr="00085642">
              <w:t>Roundtables:</w:t>
            </w:r>
          </w:p>
          <w:p w14:paraId="64442FC5" w14:textId="66A191B4" w:rsidR="0099193B" w:rsidRPr="00085642" w:rsidRDefault="0099193B" w:rsidP="00746311">
            <w:pPr>
              <w:pStyle w:val="ListBulletLevel1"/>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Australian Institute of International Affairs</w:t>
            </w:r>
            <w:r w:rsidR="005C468D" w:rsidRPr="00085642">
              <w:rPr>
                <w:sz w:val="20"/>
                <w:szCs w:val="20"/>
              </w:rPr>
              <w:t xml:space="preserve"> (AIIA)</w:t>
            </w:r>
            <w:r w:rsidRPr="00085642">
              <w:rPr>
                <w:sz w:val="20"/>
                <w:szCs w:val="20"/>
              </w:rPr>
              <w:t xml:space="preserve"> </w:t>
            </w:r>
            <w:r w:rsidR="00A50BAC" w:rsidRPr="00085642">
              <w:rPr>
                <w:sz w:val="20"/>
                <w:szCs w:val="20"/>
              </w:rPr>
              <w:t>–</w:t>
            </w:r>
            <w:r w:rsidRPr="00085642">
              <w:rPr>
                <w:sz w:val="20"/>
                <w:szCs w:val="20"/>
              </w:rPr>
              <w:t xml:space="preserve"> </w:t>
            </w:r>
            <w:r w:rsidR="00A50BAC" w:rsidRPr="00085642">
              <w:rPr>
                <w:sz w:val="20"/>
                <w:szCs w:val="20"/>
              </w:rPr>
              <w:t>1 July 2021</w:t>
            </w:r>
          </w:p>
          <w:p w14:paraId="18A453C3" w14:textId="6519C2DC" w:rsidR="0069563C" w:rsidRPr="00085642" w:rsidRDefault="00A50BAC" w:rsidP="00EB3C47">
            <w:pPr>
              <w:pStyle w:val="ListBulletLevel1"/>
              <w:spacing w:before="60" w:after="60" w:line="288" w:lineRule="auto"/>
              <w:ind w:left="284" w:hanging="284"/>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 xml:space="preserve">Australian Society for Computers and the Law </w:t>
            </w:r>
            <w:r w:rsidR="005C468D" w:rsidRPr="00085642">
              <w:rPr>
                <w:sz w:val="20"/>
                <w:szCs w:val="20"/>
              </w:rPr>
              <w:t>(AUSCL)</w:t>
            </w:r>
            <w:r w:rsidR="00842B41" w:rsidRPr="00085642">
              <w:rPr>
                <w:sz w:val="20"/>
                <w:szCs w:val="20"/>
              </w:rPr>
              <w:t xml:space="preserve"> </w:t>
            </w:r>
            <w:r w:rsidRPr="00085642">
              <w:rPr>
                <w:sz w:val="20"/>
                <w:szCs w:val="20"/>
              </w:rPr>
              <w:t xml:space="preserve">– 13 July 2021 </w:t>
            </w:r>
          </w:p>
          <w:p w14:paraId="2800403F" w14:textId="52479D26" w:rsidR="0069563C" w:rsidRPr="00085642" w:rsidRDefault="0069563C" w:rsidP="00EB3C47">
            <w:pPr>
              <w:pStyle w:val="TableTextLeft"/>
              <w:cnfStyle w:val="000000000000" w:firstRow="0" w:lastRow="0" w:firstColumn="0" w:lastColumn="0" w:oddVBand="0" w:evenVBand="0" w:oddHBand="0" w:evenHBand="0" w:firstRowFirstColumn="0" w:firstRowLastColumn="0" w:lastRowFirstColumn="0" w:lastRowLastColumn="0"/>
            </w:pPr>
            <w:r w:rsidRPr="00085642">
              <w:t>Q&amp;A sessions:</w:t>
            </w:r>
          </w:p>
          <w:p w14:paraId="2064A654" w14:textId="22138D4C" w:rsidR="00626750" w:rsidRPr="00085642" w:rsidRDefault="00E51862" w:rsidP="00746311">
            <w:pPr>
              <w:pStyle w:val="ListBulletLevel1"/>
              <w:spacing w:before="60" w:after="60" w:line="288" w:lineRule="auto"/>
              <w:ind w:left="340" w:hanging="340"/>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 xml:space="preserve">Banking sector – July 2021 </w:t>
            </w:r>
          </w:p>
          <w:p w14:paraId="095289FF" w14:textId="131D7F3A" w:rsidR="0069563C" w:rsidRPr="00085642" w:rsidRDefault="00E51862" w:rsidP="00746311">
            <w:pPr>
              <w:pStyle w:val="ListBulletLevel1"/>
              <w:spacing w:before="60" w:after="60" w:line="288" w:lineRule="auto"/>
              <w:ind w:left="340" w:hanging="340"/>
              <w:cnfStyle w:val="000000000000" w:firstRow="0" w:lastRow="0" w:firstColumn="0" w:lastColumn="0" w:oddVBand="0" w:evenVBand="0" w:oddHBand="0" w:evenHBand="0" w:firstRowFirstColumn="0" w:firstRowLastColumn="0" w:lastRowFirstColumn="0" w:lastRowLastColumn="0"/>
            </w:pPr>
            <w:r w:rsidRPr="00085642">
              <w:rPr>
                <w:sz w:val="20"/>
                <w:szCs w:val="20"/>
              </w:rPr>
              <w:t xml:space="preserve">Government sector – July 2021 </w:t>
            </w:r>
          </w:p>
        </w:tc>
        <w:tc>
          <w:tcPr>
            <w:tcW w:w="0" w:type="dxa"/>
          </w:tcPr>
          <w:p w14:paraId="1B4BEFAD" w14:textId="77777777" w:rsidR="00E51862" w:rsidRPr="00085642" w:rsidRDefault="00E51862" w:rsidP="00E51862">
            <w:pPr>
              <w:pStyle w:val="TableTextLeft"/>
              <w:cnfStyle w:val="000000000000" w:firstRow="0" w:lastRow="0" w:firstColumn="0" w:lastColumn="0" w:oddVBand="0" w:evenVBand="0" w:oddHBand="0" w:evenHBand="0" w:firstRowFirstColumn="0" w:firstRowLastColumn="0" w:lastRowFirstColumn="0" w:lastRowLastColumn="0"/>
            </w:pPr>
            <w:r w:rsidRPr="00085642">
              <w:t>Roundtables:</w:t>
            </w:r>
          </w:p>
          <w:p w14:paraId="4B3687A1" w14:textId="776F3137" w:rsidR="00E51862" w:rsidRPr="00085642" w:rsidRDefault="005C468D" w:rsidP="00746311">
            <w:pPr>
              <w:pStyle w:val="ListBulletLevel1"/>
              <w:spacing w:before="60" w:after="60" w:line="288" w:lineRule="auto"/>
              <w:ind w:left="340" w:hanging="340"/>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AIIA</w:t>
            </w:r>
            <w:r w:rsidR="00E51862" w:rsidRPr="00085642">
              <w:rPr>
                <w:sz w:val="20"/>
                <w:szCs w:val="20"/>
              </w:rPr>
              <w:t xml:space="preserve"> – </w:t>
            </w:r>
            <w:r w:rsidR="00756901" w:rsidRPr="00085642">
              <w:rPr>
                <w:sz w:val="20"/>
                <w:szCs w:val="20"/>
              </w:rPr>
              <w:t xml:space="preserve">attended by </w:t>
            </w:r>
            <w:r w:rsidR="00F83442" w:rsidRPr="00085642">
              <w:rPr>
                <w:sz w:val="20"/>
                <w:szCs w:val="20"/>
              </w:rPr>
              <w:t>over 50</w:t>
            </w:r>
            <w:r w:rsidR="00AC21EF" w:rsidRPr="00085642">
              <w:rPr>
                <w:sz w:val="20"/>
                <w:szCs w:val="20"/>
              </w:rPr>
              <w:t xml:space="preserve"> stakeholders</w:t>
            </w:r>
            <w:r w:rsidR="00D44FE0" w:rsidRPr="00085642">
              <w:rPr>
                <w:sz w:val="20"/>
                <w:szCs w:val="20"/>
              </w:rPr>
              <w:t xml:space="preserve"> </w:t>
            </w:r>
          </w:p>
          <w:p w14:paraId="7D307868" w14:textId="0385CEE1" w:rsidR="00E51862" w:rsidRPr="00085642" w:rsidRDefault="005C468D" w:rsidP="00E85186">
            <w:pPr>
              <w:pStyle w:val="ListBulletLevel1"/>
              <w:spacing w:before="60" w:after="60" w:line="288" w:lineRule="auto"/>
              <w:ind w:left="340" w:hanging="340"/>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AUSCL</w:t>
            </w:r>
            <w:r w:rsidR="00E51862" w:rsidRPr="00085642">
              <w:rPr>
                <w:sz w:val="20"/>
                <w:szCs w:val="20"/>
              </w:rPr>
              <w:t xml:space="preserve"> – </w:t>
            </w:r>
            <w:r w:rsidR="008C1048" w:rsidRPr="00085642">
              <w:rPr>
                <w:sz w:val="20"/>
                <w:szCs w:val="20"/>
              </w:rPr>
              <w:t xml:space="preserve">attended by </w:t>
            </w:r>
            <w:r w:rsidR="009453A2" w:rsidRPr="00085642">
              <w:rPr>
                <w:sz w:val="20"/>
                <w:szCs w:val="20"/>
              </w:rPr>
              <w:t>around 70 stakeholders</w:t>
            </w:r>
            <w:r w:rsidR="00E51862" w:rsidRPr="00085642">
              <w:rPr>
                <w:sz w:val="20"/>
                <w:szCs w:val="20"/>
              </w:rPr>
              <w:t xml:space="preserve"> </w:t>
            </w:r>
          </w:p>
          <w:p w14:paraId="47883B2C" w14:textId="77777777" w:rsidR="00E51862" w:rsidRPr="00085642" w:rsidRDefault="00E51862" w:rsidP="00E51862">
            <w:pPr>
              <w:pStyle w:val="TableTextLeft"/>
              <w:cnfStyle w:val="000000000000" w:firstRow="0" w:lastRow="0" w:firstColumn="0" w:lastColumn="0" w:oddVBand="0" w:evenVBand="0" w:oddHBand="0" w:evenHBand="0" w:firstRowFirstColumn="0" w:firstRowLastColumn="0" w:lastRowFirstColumn="0" w:lastRowLastColumn="0"/>
            </w:pPr>
            <w:r w:rsidRPr="00085642">
              <w:t>Q&amp;A sessions:</w:t>
            </w:r>
          </w:p>
          <w:p w14:paraId="5052D788" w14:textId="019FE81C" w:rsidR="00E51862" w:rsidRPr="00085642" w:rsidRDefault="00E51862" w:rsidP="00746311">
            <w:pPr>
              <w:pStyle w:val="ListBulletLevel1"/>
              <w:spacing w:before="60" w:after="60" w:line="288" w:lineRule="auto"/>
              <w:ind w:left="340" w:hanging="340"/>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 xml:space="preserve">Banking sector – </w:t>
            </w:r>
            <w:r w:rsidR="00230425" w:rsidRPr="00085642">
              <w:rPr>
                <w:sz w:val="20"/>
                <w:szCs w:val="20"/>
              </w:rPr>
              <w:t>attended by around 6 stakeholders</w:t>
            </w:r>
            <w:r w:rsidR="00D44FE0" w:rsidRPr="00085642">
              <w:rPr>
                <w:sz w:val="20"/>
                <w:szCs w:val="20"/>
              </w:rPr>
              <w:t xml:space="preserve"> </w:t>
            </w:r>
          </w:p>
          <w:p w14:paraId="3E84B602" w14:textId="1D299822" w:rsidR="00E6232E" w:rsidRPr="00085642" w:rsidRDefault="00E51862" w:rsidP="00746311">
            <w:pPr>
              <w:pStyle w:val="ListBulletLevel1"/>
              <w:spacing w:before="60" w:after="60" w:line="288" w:lineRule="auto"/>
              <w:ind w:left="340" w:hanging="340"/>
              <w:cnfStyle w:val="000000000000" w:firstRow="0" w:lastRow="0" w:firstColumn="0" w:lastColumn="0" w:oddVBand="0" w:evenVBand="0" w:oddHBand="0" w:evenHBand="0" w:firstRowFirstColumn="0" w:firstRowLastColumn="0" w:lastRowFirstColumn="0" w:lastRowLastColumn="0"/>
              <w:rPr>
                <w:sz w:val="17"/>
                <w:szCs w:val="17"/>
              </w:rPr>
            </w:pPr>
            <w:r w:rsidRPr="00085642">
              <w:rPr>
                <w:sz w:val="20"/>
                <w:szCs w:val="20"/>
              </w:rPr>
              <w:t xml:space="preserve">Government sector – </w:t>
            </w:r>
            <w:r w:rsidR="00230425" w:rsidRPr="00085642">
              <w:rPr>
                <w:sz w:val="20"/>
                <w:szCs w:val="20"/>
              </w:rPr>
              <w:t xml:space="preserve">attended by around </w:t>
            </w:r>
            <w:r w:rsidR="00197592" w:rsidRPr="00085642">
              <w:rPr>
                <w:sz w:val="20"/>
                <w:szCs w:val="20"/>
              </w:rPr>
              <w:t>15 stakeholders</w:t>
            </w:r>
          </w:p>
        </w:tc>
      </w:tr>
      <w:tr w:rsidR="00ED4FA6" w:rsidRPr="00085642" w14:paraId="1EC3041A" w14:textId="77777777" w:rsidTr="00942C3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68FDD1F3" w14:textId="5E2A95D7" w:rsidR="00ED4FA6" w:rsidRPr="003B25CC" w:rsidRDefault="00587C00" w:rsidP="00EB3C47">
            <w:pPr>
              <w:pStyle w:val="TableTextLeft"/>
              <w:rPr>
                <w:color w:val="008675"/>
              </w:rPr>
            </w:pPr>
            <w:r w:rsidRPr="003B25CC">
              <w:rPr>
                <w:color w:val="008675"/>
              </w:rPr>
              <w:t>Targeted consultation with</w:t>
            </w:r>
            <w:r w:rsidR="001A5BDD" w:rsidRPr="003B25CC">
              <w:rPr>
                <w:color w:val="008675"/>
              </w:rPr>
              <w:t xml:space="preserve"> Australian Government</w:t>
            </w:r>
            <w:r w:rsidRPr="003B25CC">
              <w:rPr>
                <w:color w:val="008675"/>
              </w:rPr>
              <w:t xml:space="preserve"> agencies</w:t>
            </w:r>
            <w:r w:rsidR="00D44FE0" w:rsidRPr="003B25CC">
              <w:rPr>
                <w:color w:val="008675"/>
              </w:rPr>
              <w:t xml:space="preserve"> </w:t>
            </w:r>
          </w:p>
        </w:tc>
        <w:tc>
          <w:tcPr>
            <w:tcW w:w="0" w:type="dxa"/>
            <w:shd w:val="clear" w:color="auto" w:fill="D2EEED"/>
          </w:tcPr>
          <w:p w14:paraId="6C6C49D7" w14:textId="29E89765" w:rsidR="00ED4FA6" w:rsidRPr="00085642" w:rsidRDefault="004839EF"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Relevant </w:t>
            </w:r>
            <w:r w:rsidRPr="00085642">
              <w:rPr>
                <w:lang w:eastAsia="en-US"/>
              </w:rPr>
              <w:t>Australian Government</w:t>
            </w:r>
            <w:r w:rsidRPr="00085642">
              <w:t xml:space="preserve"> agencies</w:t>
            </w:r>
            <w:r w:rsidR="009E31AD" w:rsidRPr="00085642">
              <w:t xml:space="preserve"> </w:t>
            </w:r>
            <w:r w:rsidRPr="00085642">
              <w:t>were consulted</w:t>
            </w:r>
            <w:r w:rsidR="005B1C75" w:rsidRPr="00085642">
              <w:t xml:space="preserve"> once again</w:t>
            </w:r>
            <w:r w:rsidRPr="00085642">
              <w:t xml:space="preserve"> for their input</w:t>
            </w:r>
            <w:r w:rsidR="005B1C75" w:rsidRPr="00085642">
              <w:t xml:space="preserve"> on the </w:t>
            </w:r>
            <w:r w:rsidR="00F51370" w:rsidRPr="00085642">
              <w:t>Bill</w:t>
            </w:r>
            <w:r w:rsidR="005B1C75" w:rsidRPr="00085642">
              <w:t xml:space="preserve"> prior to the release of the draft </w:t>
            </w:r>
            <w:r w:rsidR="00382F92" w:rsidRPr="00085642">
              <w:t xml:space="preserve">legislation </w:t>
            </w:r>
            <w:r w:rsidR="005B1C75" w:rsidRPr="00085642">
              <w:t xml:space="preserve">as part of the Exposure Draft package. </w:t>
            </w:r>
            <w:r w:rsidR="00F51370" w:rsidRPr="00085642">
              <w:t xml:space="preserve">This occurred through </w:t>
            </w:r>
            <w:r w:rsidR="006849FB" w:rsidRPr="00085642">
              <w:t>multiple forums including the DILW</w:t>
            </w:r>
            <w:r w:rsidR="0099214F" w:rsidRPr="00085642">
              <w:t>G, the</w:t>
            </w:r>
            <w:r w:rsidR="006849FB" w:rsidRPr="00085642">
              <w:t xml:space="preserve"> Steering and Portfolio Board</w:t>
            </w:r>
            <w:r w:rsidR="00396E6F" w:rsidRPr="00085642">
              <w:t>, one-on-one consultations, and a webinar.</w:t>
            </w:r>
          </w:p>
        </w:tc>
        <w:tc>
          <w:tcPr>
            <w:tcW w:w="0" w:type="dxa"/>
            <w:shd w:val="clear" w:color="auto" w:fill="D2EEED"/>
          </w:tcPr>
          <w:p w14:paraId="1159B2E5" w14:textId="6C94952C" w:rsidR="00ED4FA6" w:rsidRPr="00085642" w:rsidRDefault="00976F98"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6 to 12 </w:t>
            </w:r>
            <w:r w:rsidR="00DF25D2" w:rsidRPr="00085642">
              <w:t xml:space="preserve">August 2021 </w:t>
            </w:r>
          </w:p>
        </w:tc>
        <w:tc>
          <w:tcPr>
            <w:tcW w:w="0" w:type="dxa"/>
            <w:shd w:val="clear" w:color="auto" w:fill="D2EEED"/>
          </w:tcPr>
          <w:p w14:paraId="5425890A" w14:textId="0C80E5B2" w:rsidR="001B45C9" w:rsidRPr="00085642" w:rsidRDefault="006849FB" w:rsidP="00746311">
            <w:pPr>
              <w:pStyle w:val="ListBulletLevel1"/>
              <w:spacing w:before="60" w:after="60" w:line="288" w:lineRule="auto"/>
              <w:ind w:left="340" w:hanging="340"/>
              <w:cnfStyle w:val="000000100000" w:firstRow="0" w:lastRow="0" w:firstColumn="0" w:lastColumn="0" w:oddVBand="0" w:evenVBand="0" w:oddHBand="1" w:evenHBand="0" w:firstRowFirstColumn="0" w:firstRowLastColumn="0" w:lastRowFirstColumn="0" w:lastRowLastColumn="0"/>
              <w:rPr>
                <w:sz w:val="20"/>
                <w:szCs w:val="20"/>
              </w:rPr>
            </w:pPr>
            <w:r w:rsidRPr="00085642">
              <w:rPr>
                <w:sz w:val="20"/>
                <w:szCs w:val="20"/>
              </w:rPr>
              <w:t xml:space="preserve">DILWG - </w:t>
            </w:r>
            <w:r w:rsidR="008D441B" w:rsidRPr="00085642">
              <w:rPr>
                <w:sz w:val="20"/>
                <w:szCs w:val="20"/>
              </w:rPr>
              <w:t>11 Australian</w:t>
            </w:r>
            <w:r w:rsidR="00F97E2C" w:rsidRPr="00085642">
              <w:rPr>
                <w:sz w:val="20"/>
                <w:szCs w:val="20"/>
              </w:rPr>
              <w:t xml:space="preserve"> Government </w:t>
            </w:r>
            <w:r w:rsidR="005B1C75" w:rsidRPr="00085642">
              <w:rPr>
                <w:sz w:val="20"/>
                <w:szCs w:val="20"/>
              </w:rPr>
              <w:t xml:space="preserve">agencies </w:t>
            </w:r>
          </w:p>
          <w:p w14:paraId="320718A8" w14:textId="14753B7A" w:rsidR="00564EAF" w:rsidRPr="00085642" w:rsidRDefault="00564EAF" w:rsidP="00746311">
            <w:pPr>
              <w:pStyle w:val="ListBulletLevel1"/>
              <w:spacing w:before="60" w:after="60" w:line="288" w:lineRule="auto"/>
              <w:ind w:left="340" w:hanging="340"/>
              <w:cnfStyle w:val="000000100000" w:firstRow="0" w:lastRow="0" w:firstColumn="0" w:lastColumn="0" w:oddVBand="0" w:evenVBand="0" w:oddHBand="1" w:evenHBand="0" w:firstRowFirstColumn="0" w:firstRowLastColumn="0" w:lastRowFirstColumn="0" w:lastRowLastColumn="0"/>
              <w:rPr>
                <w:sz w:val="20"/>
                <w:szCs w:val="20"/>
              </w:rPr>
            </w:pPr>
            <w:r w:rsidRPr="00085642">
              <w:rPr>
                <w:sz w:val="20"/>
                <w:szCs w:val="20"/>
              </w:rPr>
              <w:t xml:space="preserve">Steering and Portfolio Board </w:t>
            </w:r>
            <w:r w:rsidR="001B45C9" w:rsidRPr="00085642">
              <w:rPr>
                <w:sz w:val="20"/>
                <w:szCs w:val="20"/>
              </w:rPr>
              <w:t>–</w:t>
            </w:r>
            <w:r w:rsidRPr="00085642">
              <w:rPr>
                <w:sz w:val="20"/>
                <w:szCs w:val="20"/>
              </w:rPr>
              <w:t xml:space="preserve"> </w:t>
            </w:r>
            <w:r w:rsidR="001B45C9" w:rsidRPr="00085642">
              <w:rPr>
                <w:sz w:val="20"/>
                <w:szCs w:val="20"/>
              </w:rPr>
              <w:t xml:space="preserve">4 </w:t>
            </w:r>
            <w:r w:rsidR="00F97E2C" w:rsidRPr="00085642">
              <w:rPr>
                <w:sz w:val="20"/>
                <w:szCs w:val="20"/>
              </w:rPr>
              <w:t xml:space="preserve">Australian Government </w:t>
            </w:r>
            <w:r w:rsidR="001B45C9" w:rsidRPr="00085642">
              <w:rPr>
                <w:sz w:val="20"/>
                <w:szCs w:val="20"/>
              </w:rPr>
              <w:t xml:space="preserve">agencies </w:t>
            </w:r>
          </w:p>
          <w:p w14:paraId="3930C359" w14:textId="542FC1AF" w:rsidR="001B45C9" w:rsidRPr="00085642" w:rsidRDefault="000C0F30" w:rsidP="00E51862">
            <w:pPr>
              <w:pStyle w:val="ListBulletLevel1"/>
              <w:spacing w:before="60" w:after="60" w:line="288" w:lineRule="auto"/>
              <w:ind w:left="340" w:hanging="340"/>
              <w:cnfStyle w:val="000000100000" w:firstRow="0" w:lastRow="0" w:firstColumn="0" w:lastColumn="0" w:oddVBand="0" w:evenVBand="0" w:oddHBand="1" w:evenHBand="0" w:firstRowFirstColumn="0" w:firstRowLastColumn="0" w:lastRowFirstColumn="0" w:lastRowLastColumn="0"/>
              <w:rPr>
                <w:sz w:val="20"/>
                <w:szCs w:val="20"/>
              </w:rPr>
            </w:pPr>
            <w:r w:rsidRPr="00085642">
              <w:rPr>
                <w:sz w:val="20"/>
                <w:szCs w:val="20"/>
              </w:rPr>
              <w:t xml:space="preserve">7 other Australian Government agencies </w:t>
            </w:r>
          </w:p>
        </w:tc>
      </w:tr>
      <w:tr w:rsidR="00C81243" w:rsidRPr="00085642" w14:paraId="6C8CB044" w14:textId="77777777" w:rsidTr="00942C37">
        <w:trPr>
          <w:trHeight w:val="19"/>
        </w:trPr>
        <w:tc>
          <w:tcPr>
            <w:cnfStyle w:val="001000000000" w:firstRow="0" w:lastRow="0" w:firstColumn="1" w:lastColumn="0" w:oddVBand="0" w:evenVBand="0" w:oddHBand="0" w:evenHBand="0" w:firstRowFirstColumn="0" w:firstRowLastColumn="0" w:lastRowFirstColumn="0" w:lastRowLastColumn="0"/>
            <w:tcW w:w="0" w:type="dxa"/>
          </w:tcPr>
          <w:p w14:paraId="2802ADC5" w14:textId="69C31595" w:rsidR="00C81243" w:rsidRPr="003B25CC" w:rsidRDefault="00C81243" w:rsidP="00EB3C47">
            <w:pPr>
              <w:pStyle w:val="TableTextLeft"/>
              <w:rPr>
                <w:color w:val="008675"/>
              </w:rPr>
            </w:pPr>
            <w:r w:rsidRPr="003B25CC">
              <w:rPr>
                <w:color w:val="008675"/>
              </w:rPr>
              <w:lastRenderedPageBreak/>
              <w:t xml:space="preserve">Exposure </w:t>
            </w:r>
            <w:r w:rsidR="008163C2" w:rsidRPr="003B25CC">
              <w:rPr>
                <w:color w:val="008675"/>
              </w:rPr>
              <w:t>d</w:t>
            </w:r>
            <w:r w:rsidRPr="003B25CC">
              <w:rPr>
                <w:color w:val="008675"/>
              </w:rPr>
              <w:t xml:space="preserve">raft package </w:t>
            </w:r>
          </w:p>
        </w:tc>
        <w:tc>
          <w:tcPr>
            <w:tcW w:w="0" w:type="dxa"/>
          </w:tcPr>
          <w:p w14:paraId="09D118DD" w14:textId="22C33EEF" w:rsidR="00125B6A" w:rsidRPr="00085642" w:rsidRDefault="00BC0E20" w:rsidP="00EB3C47">
            <w:pPr>
              <w:pStyle w:val="TableTextLeft"/>
              <w:cnfStyle w:val="000000000000" w:firstRow="0" w:lastRow="0" w:firstColumn="0" w:lastColumn="0" w:oddVBand="0" w:evenVBand="0" w:oddHBand="0" w:evenHBand="0" w:firstRowFirstColumn="0" w:firstRowLastColumn="0" w:lastRowFirstColumn="0" w:lastRowLastColumn="0"/>
            </w:pPr>
            <w:r w:rsidRPr="00085642">
              <w:t xml:space="preserve">The Program’s </w:t>
            </w:r>
            <w:r w:rsidR="003E2248" w:rsidRPr="00085642">
              <w:t>most recent legislation-specific consultation saw the release of the</w:t>
            </w:r>
            <w:r w:rsidR="009110DE" w:rsidRPr="00085642">
              <w:t xml:space="preserve"> </w:t>
            </w:r>
            <w:r w:rsidR="008163C2" w:rsidRPr="00085642">
              <w:t>e</w:t>
            </w:r>
            <w:r w:rsidR="009110DE" w:rsidRPr="00085642">
              <w:t xml:space="preserve">xposure </w:t>
            </w:r>
            <w:r w:rsidR="008163C2" w:rsidRPr="00085642">
              <w:t>d</w:t>
            </w:r>
            <w:r w:rsidR="009110DE" w:rsidRPr="00085642">
              <w:t>raft package</w:t>
            </w:r>
            <w:r w:rsidR="00362E3E" w:rsidRPr="00085642">
              <w:t xml:space="preserve">. The package </w:t>
            </w:r>
            <w:r w:rsidR="00545E37" w:rsidRPr="00085642">
              <w:t>invited</w:t>
            </w:r>
            <w:r w:rsidR="00386DD1" w:rsidRPr="00085642">
              <w:t xml:space="preserve"> public views on the draft Bill, </w:t>
            </w:r>
            <w:r w:rsidR="006D1166" w:rsidRPr="00085642">
              <w:t xml:space="preserve">TDIF accreditation rules, TDI rules and </w:t>
            </w:r>
            <w:r w:rsidR="001F2032" w:rsidRPr="00085642">
              <w:t xml:space="preserve">(separately) </w:t>
            </w:r>
            <w:r w:rsidR="006D1166" w:rsidRPr="00085642">
              <w:t xml:space="preserve">Consultation RIS. </w:t>
            </w:r>
            <w:r w:rsidR="005A3AF5" w:rsidRPr="00085642">
              <w:t>Feedback received from previous consultation (</w:t>
            </w:r>
            <w:r w:rsidR="00D17A5E" w:rsidRPr="00085642">
              <w:t xml:space="preserve">including position papers) </w:t>
            </w:r>
            <w:r w:rsidR="00920CE9" w:rsidRPr="00085642">
              <w:t xml:space="preserve">informed the draft Bill and supporting materials. In turn, the outcomes of consultation on the </w:t>
            </w:r>
            <w:r w:rsidR="007A4BE1" w:rsidRPr="00085642">
              <w:t>e</w:t>
            </w:r>
            <w:r w:rsidR="00920CE9" w:rsidRPr="00085642">
              <w:t xml:space="preserve">xposure </w:t>
            </w:r>
            <w:r w:rsidR="007A4BE1" w:rsidRPr="00085642">
              <w:t>d</w:t>
            </w:r>
            <w:r w:rsidR="00920CE9" w:rsidRPr="00085642">
              <w:t xml:space="preserve">raft have shaped the final policy positions taken in the Bill. </w:t>
            </w:r>
            <w:r w:rsidR="002B74E2" w:rsidRPr="00085642">
              <w:t>The outcomes of consultation on the</w:t>
            </w:r>
            <w:r w:rsidR="00A06210" w:rsidRPr="00085642">
              <w:t xml:space="preserve"> Consultation</w:t>
            </w:r>
            <w:r w:rsidR="002B74E2" w:rsidRPr="00085642">
              <w:t xml:space="preserve"> RIS </w:t>
            </w:r>
            <w:r w:rsidR="003757ED" w:rsidRPr="00085642">
              <w:t>validated and supported consideration of regulatory impacts a</w:t>
            </w:r>
            <w:r w:rsidR="00A06210" w:rsidRPr="00085642">
              <w:t xml:space="preserve">nd costs in </w:t>
            </w:r>
            <w:r w:rsidR="00F92A15" w:rsidRPr="00085642">
              <w:t xml:space="preserve">the final </w:t>
            </w:r>
            <w:r w:rsidR="00A06210" w:rsidRPr="00085642">
              <w:t xml:space="preserve">Decision </w:t>
            </w:r>
            <w:r w:rsidR="00465F3F" w:rsidRPr="00085642">
              <w:t>Impact Analysis</w:t>
            </w:r>
            <w:r w:rsidR="00A06210" w:rsidRPr="00085642">
              <w:t>.</w:t>
            </w:r>
          </w:p>
        </w:tc>
        <w:tc>
          <w:tcPr>
            <w:tcW w:w="0" w:type="dxa"/>
          </w:tcPr>
          <w:p w14:paraId="35B395E6" w14:textId="53814972" w:rsidR="00C81243" w:rsidRPr="00085642" w:rsidRDefault="00976F98" w:rsidP="00EB3C47">
            <w:pPr>
              <w:pStyle w:val="TableTextLeft"/>
              <w:cnfStyle w:val="000000000000" w:firstRow="0" w:lastRow="0" w:firstColumn="0" w:lastColumn="0" w:oddVBand="0" w:evenVBand="0" w:oddHBand="0" w:evenHBand="0" w:firstRowFirstColumn="0" w:firstRowLastColumn="0" w:lastRowFirstColumn="0" w:lastRowLastColumn="0"/>
            </w:pPr>
            <w:r w:rsidRPr="00085642">
              <w:t>1 to 27 October</w:t>
            </w:r>
            <w:r w:rsidR="007F19A4" w:rsidRPr="00085642">
              <w:t xml:space="preserve"> </w:t>
            </w:r>
            <w:r w:rsidR="00274C46" w:rsidRPr="00085642">
              <w:t>2021</w:t>
            </w:r>
          </w:p>
        </w:tc>
        <w:tc>
          <w:tcPr>
            <w:tcW w:w="0" w:type="dxa"/>
          </w:tcPr>
          <w:p w14:paraId="263D2FCD" w14:textId="77777777" w:rsidR="00C81243" w:rsidRPr="00085642" w:rsidRDefault="00D4755C" w:rsidP="00746311">
            <w:pPr>
              <w:pStyle w:val="ListBulletLevel1"/>
              <w:spacing w:before="0" w:after="0" w:line="288" w:lineRule="auto"/>
              <w:ind w:left="340" w:hanging="340"/>
              <w:cnfStyle w:val="000000000000" w:firstRow="0" w:lastRow="0" w:firstColumn="0" w:lastColumn="0" w:oddVBand="0" w:evenVBand="0" w:oddHBand="0" w:evenHBand="0" w:firstRowFirstColumn="0" w:firstRowLastColumn="0" w:lastRowFirstColumn="0" w:lastRowLastColumn="0"/>
              <w:rPr>
                <w:sz w:val="20"/>
                <w:szCs w:val="20"/>
              </w:rPr>
            </w:pPr>
            <w:r w:rsidRPr="00085642">
              <w:rPr>
                <w:sz w:val="20"/>
                <w:szCs w:val="20"/>
              </w:rPr>
              <w:t xml:space="preserve">69 </w:t>
            </w:r>
            <w:r w:rsidR="00EB10D1" w:rsidRPr="00085642">
              <w:rPr>
                <w:sz w:val="20"/>
                <w:szCs w:val="20"/>
              </w:rPr>
              <w:t xml:space="preserve">submissions received </w:t>
            </w:r>
            <w:r w:rsidR="00044068" w:rsidRPr="00085642">
              <w:rPr>
                <w:sz w:val="20"/>
                <w:szCs w:val="20"/>
              </w:rPr>
              <w:t>from industry and government stakeholders</w:t>
            </w:r>
          </w:p>
          <w:p w14:paraId="458A7A90" w14:textId="03B74F51" w:rsidR="00044068" w:rsidRPr="00085642" w:rsidRDefault="005D0FA3" w:rsidP="00746311">
            <w:pPr>
              <w:pStyle w:val="ListBulletLevel1"/>
              <w:spacing w:before="0" w:after="0" w:line="288" w:lineRule="auto"/>
              <w:ind w:left="340" w:hanging="340"/>
              <w:cnfStyle w:val="000000000000" w:firstRow="0" w:lastRow="0" w:firstColumn="0" w:lastColumn="0" w:oddVBand="0" w:evenVBand="0" w:oddHBand="0" w:evenHBand="0" w:firstRowFirstColumn="0" w:firstRowLastColumn="0" w:lastRowFirstColumn="0" w:lastRowLastColumn="0"/>
            </w:pPr>
            <w:r w:rsidRPr="00085642">
              <w:rPr>
                <w:sz w:val="20"/>
                <w:szCs w:val="20"/>
              </w:rPr>
              <w:t>Over 109,000 pieces of feedback, as well as over 6,200 emails</w:t>
            </w:r>
            <w:r w:rsidR="008D441B" w:rsidRPr="00085642">
              <w:rPr>
                <w:sz w:val="20"/>
                <w:szCs w:val="20"/>
              </w:rPr>
              <w:t xml:space="preserve">, </w:t>
            </w:r>
            <w:r w:rsidRPr="00085642">
              <w:rPr>
                <w:sz w:val="20"/>
                <w:szCs w:val="20"/>
              </w:rPr>
              <w:t>received from the Australian public, including individuals and small businesses</w:t>
            </w:r>
          </w:p>
        </w:tc>
      </w:tr>
      <w:tr w:rsidR="004403FC" w:rsidRPr="00085642" w14:paraId="444F9BEC" w14:textId="77777777" w:rsidTr="00942C37">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17F93423" w14:textId="51614F9C" w:rsidR="004403FC" w:rsidRPr="003B25CC" w:rsidRDefault="005667E3" w:rsidP="00EB3C47">
            <w:pPr>
              <w:pStyle w:val="TableTextLeft"/>
              <w:rPr>
                <w:color w:val="008675"/>
              </w:rPr>
            </w:pPr>
            <w:r w:rsidRPr="003B25CC">
              <w:rPr>
                <w:color w:val="008675"/>
              </w:rPr>
              <w:t>Targeted consultations on</w:t>
            </w:r>
            <w:r w:rsidR="0084555E" w:rsidRPr="003B25CC">
              <w:rPr>
                <w:color w:val="008675"/>
              </w:rPr>
              <w:t xml:space="preserve"> the</w:t>
            </w:r>
            <w:r w:rsidRPr="003B25CC">
              <w:rPr>
                <w:color w:val="008675"/>
              </w:rPr>
              <w:t xml:space="preserve"> </w:t>
            </w:r>
            <w:r w:rsidRPr="003B25CC">
              <w:rPr>
                <w:i/>
                <w:color w:val="008675"/>
                <w:sz w:val="19"/>
                <w:szCs w:val="19"/>
              </w:rPr>
              <w:t>Transition and Consequenti</w:t>
            </w:r>
            <w:r w:rsidR="002E6E1F" w:rsidRPr="003B25CC">
              <w:rPr>
                <w:i/>
                <w:color w:val="008675"/>
                <w:sz w:val="19"/>
                <w:szCs w:val="19"/>
              </w:rPr>
              <w:t>a</w:t>
            </w:r>
            <w:r w:rsidRPr="003B25CC">
              <w:rPr>
                <w:i/>
                <w:color w:val="008675"/>
                <w:sz w:val="19"/>
                <w:szCs w:val="19"/>
              </w:rPr>
              <w:t>l Provisions Bill</w:t>
            </w:r>
            <w:r w:rsidRPr="003B25CC">
              <w:rPr>
                <w:color w:val="008675"/>
                <w:sz w:val="19"/>
                <w:szCs w:val="19"/>
              </w:rPr>
              <w:t xml:space="preserve"> </w:t>
            </w:r>
            <w:r w:rsidRPr="003B25CC">
              <w:rPr>
                <w:color w:val="008675"/>
              </w:rPr>
              <w:t>(T&amp;C Bill)</w:t>
            </w:r>
          </w:p>
        </w:tc>
        <w:tc>
          <w:tcPr>
            <w:tcW w:w="0" w:type="dxa"/>
            <w:shd w:val="clear" w:color="auto" w:fill="D2EEED"/>
          </w:tcPr>
          <w:p w14:paraId="4E51E57A" w14:textId="2FB535F5" w:rsidR="004403FC" w:rsidRPr="00085642" w:rsidRDefault="005A158E"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Concurrent to the Program’s </w:t>
            </w:r>
            <w:r w:rsidR="002E6E1F" w:rsidRPr="00085642">
              <w:t>e</w:t>
            </w:r>
            <w:r w:rsidRPr="00085642">
              <w:t xml:space="preserve">xposure </w:t>
            </w:r>
            <w:r w:rsidR="002E6E1F" w:rsidRPr="00085642">
              <w:t>d</w:t>
            </w:r>
            <w:r w:rsidRPr="00085642">
              <w:t xml:space="preserve">raft consultations, </w:t>
            </w:r>
            <w:r w:rsidR="006A5D5D" w:rsidRPr="00085642">
              <w:t xml:space="preserve">key </w:t>
            </w:r>
            <w:r w:rsidRPr="00085642">
              <w:t xml:space="preserve">Australian Government agencies </w:t>
            </w:r>
            <w:r w:rsidR="006A5D5D" w:rsidRPr="00085642">
              <w:t xml:space="preserve">were consulted on the T&amp;C Bill, to </w:t>
            </w:r>
            <w:r w:rsidR="003E7D23" w:rsidRPr="00085642">
              <w:t xml:space="preserve">support the transition of existing </w:t>
            </w:r>
            <w:r w:rsidR="007525B9">
              <w:t xml:space="preserve">Digital ID </w:t>
            </w:r>
            <w:r w:rsidR="003E7D23" w:rsidRPr="00085642">
              <w:t xml:space="preserve">System participants </w:t>
            </w:r>
            <w:r w:rsidR="00306B06" w:rsidRPr="00085642">
              <w:t xml:space="preserve">to the new </w:t>
            </w:r>
            <w:r w:rsidR="007525B9">
              <w:t xml:space="preserve">Digital ID </w:t>
            </w:r>
            <w:r w:rsidR="00306B06" w:rsidRPr="00085642">
              <w:t>System</w:t>
            </w:r>
            <w:r w:rsidR="00EF05DC" w:rsidRPr="00085642">
              <w:t xml:space="preserve"> (following implementation of t</w:t>
            </w:r>
            <w:r w:rsidR="008D441B" w:rsidRPr="00085642">
              <w:t>he Bill).</w:t>
            </w:r>
          </w:p>
        </w:tc>
        <w:tc>
          <w:tcPr>
            <w:tcW w:w="0" w:type="dxa"/>
            <w:shd w:val="clear" w:color="auto" w:fill="D2EEED"/>
          </w:tcPr>
          <w:p w14:paraId="43EEBA21" w14:textId="0CC25B51" w:rsidR="004403FC" w:rsidRPr="00085642" w:rsidRDefault="00E22738"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One-on-one consultations – 14 to 21 October 2021 </w:t>
            </w:r>
          </w:p>
          <w:p w14:paraId="1735FA96" w14:textId="0CDAFCE6" w:rsidR="00E22738" w:rsidRPr="00085642" w:rsidRDefault="00E22738" w:rsidP="00EB3C47">
            <w:pPr>
              <w:pStyle w:val="TableTextLeft"/>
              <w:cnfStyle w:val="000000100000" w:firstRow="0" w:lastRow="0" w:firstColumn="0" w:lastColumn="0" w:oddVBand="0" w:evenVBand="0" w:oddHBand="1" w:evenHBand="0" w:firstRowFirstColumn="0" w:firstRowLastColumn="0" w:lastRowFirstColumn="0" w:lastRowLastColumn="0"/>
            </w:pPr>
          </w:p>
          <w:p w14:paraId="4824C411" w14:textId="50105B28" w:rsidR="00E22738" w:rsidRPr="00085642" w:rsidRDefault="00E22738" w:rsidP="00EB3C47">
            <w:pPr>
              <w:pStyle w:val="TableTextLeft"/>
              <w:cnfStyle w:val="000000100000" w:firstRow="0" w:lastRow="0" w:firstColumn="0" w:lastColumn="0" w:oddVBand="0" w:evenVBand="0" w:oddHBand="1" w:evenHBand="0" w:firstRowFirstColumn="0" w:firstRowLastColumn="0" w:lastRowFirstColumn="0" w:lastRowLastColumn="0"/>
            </w:pPr>
            <w:r w:rsidRPr="00085642">
              <w:t xml:space="preserve">Briefings to the DILWG </w:t>
            </w:r>
            <w:r w:rsidR="00397266" w:rsidRPr="00085642">
              <w:t xml:space="preserve">– 6 and 20 October 2021 </w:t>
            </w:r>
          </w:p>
          <w:p w14:paraId="6EF211EB" w14:textId="77777777" w:rsidR="00E22738" w:rsidRPr="00085642" w:rsidRDefault="00E22738" w:rsidP="00EB3C47">
            <w:pPr>
              <w:pStyle w:val="TableTextLeft"/>
              <w:cnfStyle w:val="000000100000" w:firstRow="0" w:lastRow="0" w:firstColumn="0" w:lastColumn="0" w:oddVBand="0" w:evenVBand="0" w:oddHBand="1" w:evenHBand="0" w:firstRowFirstColumn="0" w:firstRowLastColumn="0" w:lastRowFirstColumn="0" w:lastRowLastColumn="0"/>
            </w:pPr>
          </w:p>
          <w:p w14:paraId="36DD4D17" w14:textId="38675343" w:rsidR="00E22738" w:rsidRPr="00085642" w:rsidRDefault="00E22738" w:rsidP="00EB3C47">
            <w:pPr>
              <w:pStyle w:val="TableTextLeft"/>
              <w:cnfStyle w:val="000000100000" w:firstRow="0" w:lastRow="0" w:firstColumn="0" w:lastColumn="0" w:oddVBand="0" w:evenVBand="0" w:oddHBand="1" w:evenHBand="0" w:firstRowFirstColumn="0" w:firstRowLastColumn="0" w:lastRowFirstColumn="0" w:lastRowLastColumn="0"/>
            </w:pPr>
          </w:p>
        </w:tc>
        <w:tc>
          <w:tcPr>
            <w:tcW w:w="0" w:type="dxa"/>
            <w:shd w:val="clear" w:color="auto" w:fill="D2EEED"/>
          </w:tcPr>
          <w:p w14:paraId="1AC8E108" w14:textId="7DC00F04" w:rsidR="004403FC" w:rsidRPr="00085642" w:rsidRDefault="00FB3A86" w:rsidP="00E91877">
            <w:pPr>
              <w:pStyle w:val="ListBulletLevel1"/>
              <w:spacing w:before="0" w:after="0" w:line="288" w:lineRule="auto"/>
              <w:ind w:left="340" w:hanging="340"/>
              <w:cnfStyle w:val="000000100000" w:firstRow="0" w:lastRow="0" w:firstColumn="0" w:lastColumn="0" w:oddVBand="0" w:evenVBand="0" w:oddHBand="1" w:evenHBand="0" w:firstRowFirstColumn="0" w:firstRowLastColumn="0" w:lastRowFirstColumn="0" w:lastRowLastColumn="0"/>
              <w:rPr>
                <w:sz w:val="20"/>
                <w:szCs w:val="20"/>
              </w:rPr>
            </w:pPr>
            <w:r w:rsidRPr="00085642">
              <w:rPr>
                <w:sz w:val="20"/>
                <w:szCs w:val="20"/>
              </w:rPr>
              <w:t xml:space="preserve">One-on-one consultations - </w:t>
            </w:r>
            <w:r w:rsidR="005F244A" w:rsidRPr="00085642">
              <w:rPr>
                <w:sz w:val="20"/>
                <w:szCs w:val="20"/>
              </w:rPr>
              <w:t xml:space="preserve">5 Australian Government agencies </w:t>
            </w:r>
          </w:p>
          <w:p w14:paraId="62E3480A" w14:textId="7CCF3D6A" w:rsidR="005F244A" w:rsidRPr="00085642" w:rsidRDefault="001F4B82" w:rsidP="002E6E1F">
            <w:pPr>
              <w:pStyle w:val="ListBulletLevel1"/>
              <w:spacing w:before="0" w:after="0" w:line="288" w:lineRule="auto"/>
              <w:ind w:left="340" w:hanging="340"/>
              <w:cnfStyle w:val="000000100000" w:firstRow="0" w:lastRow="0" w:firstColumn="0" w:lastColumn="0" w:oddVBand="0" w:evenVBand="0" w:oddHBand="1" w:evenHBand="0" w:firstRowFirstColumn="0" w:firstRowLastColumn="0" w:lastRowFirstColumn="0" w:lastRowLastColumn="0"/>
              <w:rPr>
                <w:sz w:val="20"/>
                <w:szCs w:val="20"/>
              </w:rPr>
            </w:pPr>
            <w:r w:rsidRPr="00085642">
              <w:rPr>
                <w:sz w:val="20"/>
                <w:szCs w:val="20"/>
              </w:rPr>
              <w:t>Briefing</w:t>
            </w:r>
            <w:r w:rsidR="00A57B35" w:rsidRPr="00085642">
              <w:rPr>
                <w:sz w:val="20"/>
                <w:szCs w:val="20"/>
              </w:rPr>
              <w:t>s</w:t>
            </w:r>
            <w:r w:rsidRPr="00085642">
              <w:rPr>
                <w:sz w:val="20"/>
                <w:szCs w:val="20"/>
              </w:rPr>
              <w:t xml:space="preserve"> to the DILWG - </w:t>
            </w:r>
            <w:r w:rsidR="00F4195D" w:rsidRPr="00085642">
              <w:rPr>
                <w:sz w:val="20"/>
                <w:szCs w:val="20"/>
              </w:rPr>
              <w:t>11 Australian</w:t>
            </w:r>
            <w:r w:rsidR="00F97E2C" w:rsidRPr="00085642">
              <w:rPr>
                <w:sz w:val="20"/>
                <w:szCs w:val="20"/>
              </w:rPr>
              <w:t xml:space="preserve"> Government </w:t>
            </w:r>
            <w:r w:rsidRPr="00085642">
              <w:rPr>
                <w:sz w:val="20"/>
                <w:szCs w:val="20"/>
              </w:rPr>
              <w:t xml:space="preserve">agencies </w:t>
            </w:r>
          </w:p>
        </w:tc>
      </w:tr>
    </w:tbl>
    <w:p w14:paraId="28EDED66" w14:textId="66A18C14" w:rsidR="0052151B" w:rsidRPr="00085642" w:rsidRDefault="0052151B">
      <w:pPr>
        <w:pStyle w:val="Caption"/>
      </w:pPr>
      <w:bookmarkStart w:id="693" w:name="_Toc130390619"/>
      <w:bookmarkStart w:id="694" w:name="_Toc82532406"/>
      <w:r w:rsidRPr="00085642">
        <w:t xml:space="preserve">Table </w:t>
      </w:r>
      <w:r w:rsidRPr="00085642">
        <w:fldChar w:fldCharType="begin"/>
      </w:r>
      <w:r w:rsidRPr="00085642">
        <w:instrText>SEQ Table \* ARABIC</w:instrText>
      </w:r>
      <w:r w:rsidRPr="00085642">
        <w:fldChar w:fldCharType="separate"/>
      </w:r>
      <w:r w:rsidRPr="00085642">
        <w:rPr>
          <w:noProof/>
        </w:rPr>
        <w:t>15</w:t>
      </w:r>
      <w:r w:rsidRPr="00085642">
        <w:fldChar w:fldCharType="end"/>
      </w:r>
      <w:r w:rsidRPr="00085642">
        <w:t xml:space="preserve">: Program's previous and relevant consultations held to </w:t>
      </w:r>
      <w:bookmarkEnd w:id="693"/>
      <w:r w:rsidR="00C363D2" w:rsidRPr="00085642">
        <w:t>ahead of October 2021 Exposure Draft</w:t>
      </w:r>
    </w:p>
    <w:bookmarkEnd w:id="694"/>
    <w:p w14:paraId="36C5BC36" w14:textId="77777777" w:rsidR="00387A15" w:rsidRDefault="00387A15">
      <w:pPr>
        <w:spacing w:before="0" w:after="160" w:line="259" w:lineRule="auto"/>
        <w:rPr>
          <w:b/>
          <w:color w:val="2C476E"/>
          <w:kern w:val="28"/>
          <w:sz w:val="32"/>
          <w:szCs w:val="28"/>
          <w:highlight w:val="yellow"/>
          <w:lang w:eastAsia="en-US"/>
        </w:rPr>
      </w:pPr>
      <w:r>
        <w:rPr>
          <w:highlight w:val="yellow"/>
          <w:lang w:eastAsia="en-US"/>
        </w:rPr>
        <w:br w:type="page"/>
      </w:r>
    </w:p>
    <w:p w14:paraId="56030258" w14:textId="616D3CE3" w:rsidR="00C363D2" w:rsidRPr="008627B3" w:rsidRDefault="00C363D2" w:rsidP="00B4284D">
      <w:pPr>
        <w:pStyle w:val="Heading2NoNumbers"/>
        <w:rPr>
          <w:color w:val="008675"/>
          <w:lang w:eastAsia="en-US"/>
        </w:rPr>
      </w:pPr>
      <w:bookmarkStart w:id="695" w:name="_Toc149740373"/>
      <w:r w:rsidRPr="008627B3">
        <w:rPr>
          <w:color w:val="008675"/>
          <w:lang w:eastAsia="en-US"/>
        </w:rPr>
        <w:lastRenderedPageBreak/>
        <w:t>Consultation September-October 2023</w:t>
      </w:r>
      <w:bookmarkEnd w:id="695"/>
    </w:p>
    <w:tbl>
      <w:tblPr>
        <w:tblStyle w:val="GridTable2-Accent3"/>
        <w:tblpPr w:leftFromText="180" w:rightFromText="180" w:vertAnchor="text" w:tblpXSpec="center" w:tblpY="1"/>
        <w:tblOverlap w:val="never"/>
        <w:tblW w:w="9667"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4833"/>
        <w:gridCol w:w="4834"/>
      </w:tblGrid>
      <w:tr w:rsidR="004617CC" w:rsidRPr="0068779A" w14:paraId="105FFACB" w14:textId="77777777" w:rsidTr="008627B3">
        <w:trPr>
          <w:cnfStyle w:val="100000000000" w:firstRow="1" w:lastRow="0" w:firstColumn="0" w:lastColumn="0" w:oddVBand="0" w:evenVBand="0" w:oddHBand="0" w:evenHBand="0" w:firstRowFirstColumn="0" w:firstRowLastColumn="0" w:lastRowFirstColumn="0" w:lastRowLastColumn="0"/>
          <w:trHeight w:val="29"/>
          <w:tblHeader/>
        </w:trPr>
        <w:tc>
          <w:tcPr>
            <w:cnfStyle w:val="001000000000" w:firstRow="0" w:lastRow="0" w:firstColumn="1" w:lastColumn="0" w:oddVBand="0" w:evenVBand="0" w:oddHBand="0" w:evenHBand="0" w:firstRowFirstColumn="0" w:firstRowLastColumn="0" w:lastRowFirstColumn="0" w:lastRowLastColumn="0"/>
            <w:tcW w:w="0" w:type="dxa"/>
          </w:tcPr>
          <w:p w14:paraId="12AAACE5" w14:textId="294A3624" w:rsidR="004617CC" w:rsidRPr="0068779A" w:rsidRDefault="004617CC" w:rsidP="003E38D8">
            <w:pPr>
              <w:pStyle w:val="TableTextLeft"/>
              <w:rPr>
                <w:color w:val="2C476E" w:themeColor="accent1"/>
              </w:rPr>
            </w:pPr>
          </w:p>
        </w:tc>
        <w:tc>
          <w:tcPr>
            <w:tcW w:w="0" w:type="dxa"/>
          </w:tcPr>
          <w:p w14:paraId="38B79785" w14:textId="47DAA073" w:rsidR="004617CC" w:rsidRPr="0068779A" w:rsidRDefault="004617CC" w:rsidP="003E38D8">
            <w:pPr>
              <w:pStyle w:val="TableTextLeft"/>
              <w:cnfStyle w:val="100000000000" w:firstRow="1" w:lastRow="0" w:firstColumn="0" w:lastColumn="0" w:oddVBand="0" w:evenVBand="0" w:oddHBand="0" w:evenHBand="0" w:firstRowFirstColumn="0" w:firstRowLastColumn="0" w:lastRowFirstColumn="0" w:lastRowLastColumn="0"/>
              <w:rPr>
                <w:color w:val="2C476E" w:themeColor="accent1"/>
              </w:rPr>
            </w:pPr>
          </w:p>
        </w:tc>
      </w:tr>
      <w:tr w:rsidR="004617CC" w:rsidRPr="0068779A" w14:paraId="3BDDC6C5" w14:textId="77777777" w:rsidTr="008627B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1F583190" w14:textId="6314725C" w:rsidR="004617CC" w:rsidRPr="0068779A" w:rsidRDefault="004617CC" w:rsidP="003E38D8">
            <w:pPr>
              <w:pStyle w:val="TableTextLeft"/>
            </w:pPr>
            <w:r w:rsidRPr="0068779A">
              <w:t>Details</w:t>
            </w:r>
          </w:p>
        </w:tc>
        <w:tc>
          <w:tcPr>
            <w:tcW w:w="0" w:type="dxa"/>
            <w:shd w:val="clear" w:color="auto" w:fill="D2EEED"/>
          </w:tcPr>
          <w:p w14:paraId="75F0461D" w14:textId="23218D88" w:rsidR="004617CC" w:rsidRPr="0068779A" w:rsidRDefault="004617CC" w:rsidP="003E38D8">
            <w:pPr>
              <w:pStyle w:val="TableTextLeft"/>
              <w:cnfStyle w:val="000000100000" w:firstRow="0" w:lastRow="0" w:firstColumn="0" w:lastColumn="0" w:oddVBand="0" w:evenVBand="0" w:oddHBand="1" w:evenHBand="0" w:firstRowFirstColumn="0" w:firstRowLastColumn="0" w:lastRowFirstColumn="0" w:lastRowLastColumn="0"/>
            </w:pPr>
            <w:r w:rsidRPr="0068779A">
              <w:t>Date</w:t>
            </w:r>
          </w:p>
        </w:tc>
      </w:tr>
      <w:tr w:rsidR="004617CC" w:rsidRPr="0068779A" w14:paraId="5F6919E8" w14:textId="77777777" w:rsidTr="008627B3">
        <w:trPr>
          <w:trHeight w:val="1340"/>
        </w:trPr>
        <w:tc>
          <w:tcPr>
            <w:cnfStyle w:val="001000000000" w:firstRow="0" w:lastRow="0" w:firstColumn="1" w:lastColumn="0" w:oddVBand="0" w:evenVBand="0" w:oddHBand="0" w:evenHBand="0" w:firstRowFirstColumn="0" w:firstRowLastColumn="0" w:lastRowFirstColumn="0" w:lastRowLastColumn="0"/>
            <w:tcW w:w="0" w:type="dxa"/>
          </w:tcPr>
          <w:p w14:paraId="11CE46A3" w14:textId="03C35A56" w:rsidR="00997132" w:rsidRPr="0068779A" w:rsidRDefault="00997132" w:rsidP="003879B4">
            <w:pPr>
              <w:pStyle w:val="TableTextLeft"/>
              <w:rPr>
                <w:b w:val="0"/>
                <w:bCs w:val="0"/>
              </w:rPr>
            </w:pPr>
            <w:r w:rsidRPr="0068779A">
              <w:t>A</w:t>
            </w:r>
            <w:r w:rsidR="003879B4" w:rsidRPr="0068779A">
              <w:t>ustralian Information Industry Association (AIIA)</w:t>
            </w:r>
            <w:r w:rsidRPr="0068779A">
              <w:t xml:space="preserve"> Canberra Manager’s Forum </w:t>
            </w:r>
          </w:p>
          <w:p w14:paraId="59042304" w14:textId="77777777" w:rsidR="00997132" w:rsidRPr="0068779A" w:rsidRDefault="00997132" w:rsidP="003879B4">
            <w:pPr>
              <w:pStyle w:val="TableTextLeft"/>
            </w:pPr>
          </w:p>
          <w:p w14:paraId="31788AF2" w14:textId="77777777" w:rsidR="00997132" w:rsidRPr="0068779A" w:rsidRDefault="00997132" w:rsidP="003879B4">
            <w:pPr>
              <w:pStyle w:val="TableTextLeft"/>
            </w:pPr>
            <w:r w:rsidRPr="0068779A">
              <w:t>AIIA Roundtable </w:t>
            </w:r>
          </w:p>
          <w:p w14:paraId="370C616F" w14:textId="347075A1" w:rsidR="004617CC" w:rsidRPr="0068779A" w:rsidRDefault="004617CC" w:rsidP="003E38D8">
            <w:pPr>
              <w:pStyle w:val="TableTextLeft"/>
            </w:pPr>
          </w:p>
        </w:tc>
        <w:tc>
          <w:tcPr>
            <w:tcW w:w="0" w:type="dxa"/>
          </w:tcPr>
          <w:p w14:paraId="29C3D90F" w14:textId="11B14730" w:rsidR="00400364" w:rsidRPr="0068779A" w:rsidRDefault="00400364" w:rsidP="00B61098">
            <w:pPr>
              <w:pStyle w:val="TableTextLeft"/>
              <w:cnfStyle w:val="000000000000" w:firstRow="0" w:lastRow="0" w:firstColumn="0" w:lastColumn="0" w:oddVBand="0" w:evenVBand="0" w:oddHBand="0" w:evenHBand="0" w:firstRowFirstColumn="0" w:firstRowLastColumn="0" w:lastRowFirstColumn="0" w:lastRowLastColumn="0"/>
            </w:pPr>
            <w:r w:rsidRPr="0068779A">
              <w:t>Tuesday</w:t>
            </w:r>
            <w:r w:rsidR="00B61098" w:rsidRPr="0068779A">
              <w:t xml:space="preserve"> 19 S</w:t>
            </w:r>
            <w:r w:rsidRPr="0068779A">
              <w:t>ept</w:t>
            </w:r>
            <w:r w:rsidR="00B61098" w:rsidRPr="0068779A">
              <w:t>ember</w:t>
            </w:r>
          </w:p>
          <w:p w14:paraId="112E05DF" w14:textId="151B801B" w:rsidR="004617CC" w:rsidRPr="0068779A" w:rsidRDefault="004617CC" w:rsidP="00CB519F">
            <w:pPr>
              <w:pStyle w:val="TableTextLeft"/>
              <w:cnfStyle w:val="000000000000" w:firstRow="0" w:lastRow="0" w:firstColumn="0" w:lastColumn="0" w:oddVBand="0" w:evenVBand="0" w:oddHBand="0" w:evenHBand="0" w:firstRowFirstColumn="0" w:firstRowLastColumn="0" w:lastRowFirstColumn="0" w:lastRowLastColumn="0"/>
            </w:pPr>
          </w:p>
          <w:p w14:paraId="7ED0D195" w14:textId="77777777" w:rsidR="004617CC" w:rsidRPr="0068779A" w:rsidRDefault="004617CC" w:rsidP="003E38D8">
            <w:pPr>
              <w:pStyle w:val="TableTextLeft"/>
              <w:cnfStyle w:val="000000000000" w:firstRow="0" w:lastRow="0" w:firstColumn="0" w:lastColumn="0" w:oddVBand="0" w:evenVBand="0" w:oddHBand="0" w:evenHBand="0" w:firstRowFirstColumn="0" w:firstRowLastColumn="0" w:lastRowFirstColumn="0" w:lastRowLastColumn="0"/>
            </w:pPr>
          </w:p>
        </w:tc>
      </w:tr>
      <w:tr w:rsidR="004617CC" w:rsidRPr="0068779A" w14:paraId="76032E17" w14:textId="77777777" w:rsidTr="008627B3">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3273F6F5" w14:textId="6F07E243" w:rsidR="00B72D45" w:rsidRPr="0068779A" w:rsidRDefault="00B72D45" w:rsidP="00B72D45">
            <w:pPr>
              <w:pStyle w:val="TableTextLeft"/>
              <w:rPr>
                <w:b w:val="0"/>
                <w:bCs w:val="0"/>
              </w:rPr>
            </w:pPr>
            <w:r w:rsidRPr="0068779A">
              <w:t>Targeted Bilateral discussions </w:t>
            </w:r>
          </w:p>
          <w:p w14:paraId="646FBA51" w14:textId="77777777" w:rsidR="00B72D45" w:rsidRPr="0068779A" w:rsidRDefault="00B72D45" w:rsidP="00B72D45">
            <w:pPr>
              <w:pStyle w:val="TableTextLeft"/>
            </w:pPr>
            <w:r w:rsidRPr="0068779A">
              <w:t>Roundtable - Small Business Sector</w:t>
            </w:r>
          </w:p>
          <w:p w14:paraId="344A23C1" w14:textId="12FC6D9C" w:rsidR="004617CC" w:rsidRPr="0068779A" w:rsidRDefault="004617CC" w:rsidP="00B72D45">
            <w:pPr>
              <w:pStyle w:val="TableTextLeft"/>
            </w:pPr>
          </w:p>
        </w:tc>
        <w:tc>
          <w:tcPr>
            <w:tcW w:w="0" w:type="dxa"/>
            <w:shd w:val="clear" w:color="auto" w:fill="D2EEED"/>
          </w:tcPr>
          <w:p w14:paraId="2EC90275" w14:textId="7D40D0F9" w:rsidR="00B72D45" w:rsidRPr="0068779A" w:rsidRDefault="00B72D45" w:rsidP="00B72D45">
            <w:pPr>
              <w:pStyle w:val="TableTextLeft"/>
              <w:cnfStyle w:val="000000100000" w:firstRow="0" w:lastRow="0" w:firstColumn="0" w:lastColumn="0" w:oddVBand="0" w:evenVBand="0" w:oddHBand="1" w:evenHBand="0" w:firstRowFirstColumn="0" w:firstRowLastColumn="0" w:lastRowFirstColumn="0" w:lastRowLastColumn="0"/>
            </w:pPr>
            <w:r w:rsidRPr="0068779A">
              <w:t>Wed</w:t>
            </w:r>
            <w:r w:rsidR="00B61098" w:rsidRPr="0068779A">
              <w:t>nesday</w:t>
            </w:r>
            <w:r w:rsidRPr="0068779A">
              <w:t xml:space="preserve"> 20 Sept</w:t>
            </w:r>
          </w:p>
          <w:p w14:paraId="0C952868" w14:textId="24A96E62" w:rsidR="004617CC" w:rsidRPr="0068779A" w:rsidRDefault="004617CC" w:rsidP="003E38D8">
            <w:pPr>
              <w:pStyle w:val="TableTextLeft"/>
              <w:cnfStyle w:val="000000100000" w:firstRow="0" w:lastRow="0" w:firstColumn="0" w:lastColumn="0" w:oddVBand="0" w:evenVBand="0" w:oddHBand="1" w:evenHBand="0" w:firstRowFirstColumn="0" w:firstRowLastColumn="0" w:lastRowFirstColumn="0" w:lastRowLastColumn="0"/>
            </w:pPr>
          </w:p>
        </w:tc>
      </w:tr>
      <w:tr w:rsidR="004617CC" w:rsidRPr="0068779A" w14:paraId="768139A8" w14:textId="77777777" w:rsidTr="008627B3">
        <w:trPr>
          <w:trHeight w:val="1055"/>
        </w:trPr>
        <w:tc>
          <w:tcPr>
            <w:cnfStyle w:val="001000000000" w:firstRow="0" w:lastRow="0" w:firstColumn="1" w:lastColumn="0" w:oddVBand="0" w:evenVBand="0" w:oddHBand="0" w:evenHBand="0" w:firstRowFirstColumn="0" w:firstRowLastColumn="0" w:lastRowFirstColumn="0" w:lastRowLastColumn="0"/>
            <w:tcW w:w="0" w:type="dxa"/>
          </w:tcPr>
          <w:p w14:paraId="3368D41D" w14:textId="0CA42FC3" w:rsidR="004617CC" w:rsidRPr="0068779A" w:rsidRDefault="00B61098" w:rsidP="003E38D8">
            <w:pPr>
              <w:pStyle w:val="TableTextLeft"/>
            </w:pPr>
            <w:r w:rsidRPr="0068779A">
              <w:t>Digital Identity Working Group (State and Territory Governments)</w:t>
            </w:r>
          </w:p>
        </w:tc>
        <w:tc>
          <w:tcPr>
            <w:tcW w:w="0" w:type="dxa"/>
          </w:tcPr>
          <w:p w14:paraId="579E2298" w14:textId="2087EFE8" w:rsidR="004617CC" w:rsidRPr="0068779A" w:rsidRDefault="00B61098" w:rsidP="003E38D8">
            <w:pPr>
              <w:pStyle w:val="TableTextLeft"/>
              <w:cnfStyle w:val="000000000000" w:firstRow="0" w:lastRow="0" w:firstColumn="0" w:lastColumn="0" w:oddVBand="0" w:evenVBand="0" w:oddHBand="0" w:evenHBand="0" w:firstRowFirstColumn="0" w:firstRowLastColumn="0" w:lastRowFirstColumn="0" w:lastRowLastColumn="0"/>
            </w:pPr>
            <w:r w:rsidRPr="0068779A">
              <w:t>Thursday 21 September</w:t>
            </w:r>
          </w:p>
        </w:tc>
      </w:tr>
      <w:tr w:rsidR="004617CC" w:rsidRPr="0068779A" w14:paraId="70B5A472" w14:textId="77777777" w:rsidTr="008627B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18EE2EFF" w14:textId="3219EB82" w:rsidR="004617CC" w:rsidRPr="0068779A" w:rsidRDefault="00B61098" w:rsidP="003E38D8">
            <w:pPr>
              <w:pStyle w:val="TableTextLeft"/>
            </w:pPr>
            <w:r w:rsidRPr="0068779A">
              <w:t>Public Webinar – Digital ID Legislation overview</w:t>
            </w:r>
          </w:p>
        </w:tc>
        <w:tc>
          <w:tcPr>
            <w:tcW w:w="0" w:type="dxa"/>
            <w:shd w:val="clear" w:color="auto" w:fill="D2EEED"/>
          </w:tcPr>
          <w:p w14:paraId="048DAF54" w14:textId="76A482C4" w:rsidR="004617CC" w:rsidRPr="0068779A" w:rsidRDefault="00B61098" w:rsidP="003E38D8">
            <w:pPr>
              <w:pStyle w:val="TableTextLeft"/>
              <w:cnfStyle w:val="000000100000" w:firstRow="0" w:lastRow="0" w:firstColumn="0" w:lastColumn="0" w:oddVBand="0" w:evenVBand="0" w:oddHBand="1" w:evenHBand="0" w:firstRowFirstColumn="0" w:firstRowLastColumn="0" w:lastRowFirstColumn="0" w:lastRowLastColumn="0"/>
            </w:pPr>
            <w:r w:rsidRPr="0068779A">
              <w:t>Friday 22 September</w:t>
            </w:r>
          </w:p>
        </w:tc>
      </w:tr>
      <w:tr w:rsidR="004617CC" w:rsidRPr="0068779A" w14:paraId="3E830200" w14:textId="77777777" w:rsidTr="008627B3">
        <w:trPr>
          <w:trHeight w:val="1092"/>
        </w:trPr>
        <w:tc>
          <w:tcPr>
            <w:cnfStyle w:val="001000000000" w:firstRow="0" w:lastRow="0" w:firstColumn="1" w:lastColumn="0" w:oddVBand="0" w:evenVBand="0" w:oddHBand="0" w:evenHBand="0" w:firstRowFirstColumn="0" w:firstRowLastColumn="0" w:lastRowFirstColumn="0" w:lastRowLastColumn="0"/>
            <w:tcW w:w="0" w:type="dxa"/>
          </w:tcPr>
          <w:p w14:paraId="29407AE9" w14:textId="77777777" w:rsidR="004617CC" w:rsidRPr="0068779A" w:rsidRDefault="00B61098" w:rsidP="003E38D8">
            <w:pPr>
              <w:pStyle w:val="TableTextLeft"/>
              <w:rPr>
                <w:b w:val="0"/>
                <w:bCs w:val="0"/>
              </w:rPr>
            </w:pPr>
            <w:r w:rsidRPr="0068779A">
              <w:t>Banking and Payments Sector Roundtable</w:t>
            </w:r>
          </w:p>
          <w:p w14:paraId="028B0454" w14:textId="673D067F" w:rsidR="00B61098" w:rsidRPr="0068779A" w:rsidRDefault="00B61098" w:rsidP="003E38D8">
            <w:pPr>
              <w:pStyle w:val="TableTextLeft"/>
            </w:pPr>
            <w:proofErr w:type="spellStart"/>
            <w:r w:rsidRPr="0068779A">
              <w:t>FinTech</w:t>
            </w:r>
            <w:proofErr w:type="spellEnd"/>
            <w:r w:rsidRPr="0068779A">
              <w:t xml:space="preserve"> / </w:t>
            </w:r>
            <w:proofErr w:type="spellStart"/>
            <w:r w:rsidRPr="0068779A">
              <w:t>RegTech</w:t>
            </w:r>
            <w:proofErr w:type="spellEnd"/>
            <w:r w:rsidRPr="0068779A">
              <w:t xml:space="preserve"> / </w:t>
            </w:r>
            <w:proofErr w:type="spellStart"/>
            <w:r w:rsidRPr="0068779A">
              <w:t>Telco</w:t>
            </w:r>
            <w:r w:rsidR="00726EBE" w:rsidRPr="0068779A">
              <w:t>s</w:t>
            </w:r>
            <w:proofErr w:type="spellEnd"/>
            <w:r w:rsidR="00726EBE" w:rsidRPr="0068779A">
              <w:t xml:space="preserve"> roundtable</w:t>
            </w:r>
          </w:p>
        </w:tc>
        <w:tc>
          <w:tcPr>
            <w:tcW w:w="0" w:type="dxa"/>
          </w:tcPr>
          <w:p w14:paraId="6030334D" w14:textId="4B618D6B" w:rsidR="004617CC" w:rsidRPr="0068779A" w:rsidRDefault="00726EBE" w:rsidP="003E38D8">
            <w:pPr>
              <w:pStyle w:val="TableTextLeft"/>
              <w:cnfStyle w:val="000000000000" w:firstRow="0" w:lastRow="0" w:firstColumn="0" w:lastColumn="0" w:oddVBand="0" w:evenVBand="0" w:oddHBand="0" w:evenHBand="0" w:firstRowFirstColumn="0" w:firstRowLastColumn="0" w:lastRowFirstColumn="0" w:lastRowLastColumn="0"/>
            </w:pPr>
            <w:r w:rsidRPr="0068779A">
              <w:t>Monday 25 September</w:t>
            </w:r>
          </w:p>
        </w:tc>
      </w:tr>
      <w:tr w:rsidR="004617CC" w:rsidRPr="0068779A" w14:paraId="2DB63BF2" w14:textId="77777777" w:rsidTr="008627B3">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530C36C8" w14:textId="77777777" w:rsidR="007F303D" w:rsidRPr="0068779A" w:rsidRDefault="007F303D" w:rsidP="007F303D">
            <w:pPr>
              <w:pStyle w:val="TableTextLeft"/>
            </w:pPr>
            <w:r w:rsidRPr="0068779A">
              <w:t>Business Organisations Roundtable </w:t>
            </w:r>
          </w:p>
          <w:p w14:paraId="169E766B" w14:textId="77777777" w:rsidR="007F303D" w:rsidRPr="0068779A" w:rsidRDefault="007F303D" w:rsidP="007F303D">
            <w:pPr>
              <w:pStyle w:val="TableTextLeft"/>
            </w:pPr>
            <w:r w:rsidRPr="0068779A">
              <w:t>Legal, Human Rights and Consumer Advocates Roundtable #1 </w:t>
            </w:r>
          </w:p>
          <w:p w14:paraId="58319F97" w14:textId="77777777" w:rsidR="007F303D" w:rsidRPr="0068779A" w:rsidRDefault="007F303D" w:rsidP="007F303D">
            <w:pPr>
              <w:pStyle w:val="TableTextLeft"/>
            </w:pPr>
            <w:r w:rsidRPr="0068779A">
              <w:t>Inclusion Roundtable (Services Australia Advisory Groups) </w:t>
            </w:r>
          </w:p>
          <w:p w14:paraId="1EF1F87C" w14:textId="424F6684" w:rsidR="004617CC" w:rsidRPr="0068779A" w:rsidRDefault="004617CC" w:rsidP="003E38D8">
            <w:pPr>
              <w:pStyle w:val="TableTextLeft"/>
            </w:pPr>
          </w:p>
        </w:tc>
        <w:tc>
          <w:tcPr>
            <w:tcW w:w="0" w:type="dxa"/>
            <w:shd w:val="clear" w:color="auto" w:fill="D2EEED"/>
          </w:tcPr>
          <w:p w14:paraId="43D65F40" w14:textId="5E681A0C" w:rsidR="004617CC" w:rsidRPr="0068779A" w:rsidRDefault="007F303D" w:rsidP="003E38D8">
            <w:pPr>
              <w:pStyle w:val="TableTextLeft"/>
              <w:cnfStyle w:val="000000100000" w:firstRow="0" w:lastRow="0" w:firstColumn="0" w:lastColumn="0" w:oddVBand="0" w:evenVBand="0" w:oddHBand="1" w:evenHBand="0" w:firstRowFirstColumn="0" w:firstRowLastColumn="0" w:lastRowFirstColumn="0" w:lastRowLastColumn="0"/>
            </w:pPr>
            <w:r w:rsidRPr="0068779A">
              <w:t>Tuesday 26 September</w:t>
            </w:r>
          </w:p>
        </w:tc>
      </w:tr>
      <w:tr w:rsidR="004617CC" w:rsidRPr="0068779A" w14:paraId="561B3F1F" w14:textId="77777777" w:rsidTr="008627B3">
        <w:trPr>
          <w:trHeight w:val="948"/>
        </w:trPr>
        <w:tc>
          <w:tcPr>
            <w:cnfStyle w:val="001000000000" w:firstRow="0" w:lastRow="0" w:firstColumn="1" w:lastColumn="0" w:oddVBand="0" w:evenVBand="0" w:oddHBand="0" w:evenHBand="0" w:firstRowFirstColumn="0" w:firstRowLastColumn="0" w:lastRowFirstColumn="0" w:lastRowLastColumn="0"/>
            <w:tcW w:w="0" w:type="dxa"/>
          </w:tcPr>
          <w:p w14:paraId="79CB5F1D" w14:textId="77777777" w:rsidR="00A322B0" w:rsidRPr="0068779A" w:rsidRDefault="00A322B0" w:rsidP="00A322B0">
            <w:pPr>
              <w:pStyle w:val="TableTextLeft"/>
            </w:pPr>
            <w:r w:rsidRPr="0068779A">
              <w:t>Bilateral – Privacy Commissioners Roundtable</w:t>
            </w:r>
          </w:p>
          <w:p w14:paraId="0A0CDFDD" w14:textId="77777777" w:rsidR="00A322B0" w:rsidRPr="0068779A" w:rsidRDefault="00A322B0" w:rsidP="00A322B0">
            <w:pPr>
              <w:pStyle w:val="TableTextLeft"/>
            </w:pPr>
            <w:r w:rsidRPr="0068779A">
              <w:t>Tech Council of Australia Roundtable</w:t>
            </w:r>
          </w:p>
          <w:p w14:paraId="3640B8D3" w14:textId="211AFDF5" w:rsidR="004617CC" w:rsidRPr="0068779A" w:rsidRDefault="004617CC" w:rsidP="003E38D8">
            <w:pPr>
              <w:pStyle w:val="TableTextLeft"/>
            </w:pPr>
          </w:p>
        </w:tc>
        <w:tc>
          <w:tcPr>
            <w:tcW w:w="0" w:type="dxa"/>
          </w:tcPr>
          <w:p w14:paraId="2C572AB2" w14:textId="1732442B" w:rsidR="004617CC" w:rsidRPr="0068779A" w:rsidRDefault="00A322B0" w:rsidP="00A322B0">
            <w:pPr>
              <w:pStyle w:val="TableTextLeft"/>
              <w:cnfStyle w:val="000000000000" w:firstRow="0" w:lastRow="0" w:firstColumn="0" w:lastColumn="0" w:oddVBand="0" w:evenVBand="0" w:oddHBand="0" w:evenHBand="0" w:firstRowFirstColumn="0" w:firstRowLastColumn="0" w:lastRowFirstColumn="0" w:lastRowLastColumn="0"/>
            </w:pPr>
            <w:r w:rsidRPr="0068779A">
              <w:t>Wednesday 2</w:t>
            </w:r>
            <w:r w:rsidR="005E1922" w:rsidRPr="0068779A">
              <w:t>7</w:t>
            </w:r>
            <w:r w:rsidRPr="0068779A">
              <w:t xml:space="preserve"> September</w:t>
            </w:r>
          </w:p>
        </w:tc>
      </w:tr>
      <w:tr w:rsidR="004617CC" w:rsidRPr="0068779A" w14:paraId="24FA75F0" w14:textId="77777777" w:rsidTr="008627B3">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1CABF74D" w14:textId="77777777" w:rsidR="004617CC" w:rsidRPr="0068779A" w:rsidRDefault="005E1922" w:rsidP="003E38D8">
            <w:pPr>
              <w:pStyle w:val="TableTextLeft"/>
              <w:rPr>
                <w:b w:val="0"/>
                <w:bCs w:val="0"/>
              </w:rPr>
            </w:pPr>
            <w:r w:rsidRPr="0068779A">
              <w:t>Public Webinar – Deep Dive and Q&amp;As</w:t>
            </w:r>
          </w:p>
          <w:p w14:paraId="4754E144" w14:textId="39E5F339" w:rsidR="005E1922" w:rsidRPr="0068779A" w:rsidRDefault="005E1922" w:rsidP="003E38D8">
            <w:pPr>
              <w:pStyle w:val="TableTextLeft"/>
            </w:pPr>
            <w:r w:rsidRPr="0068779A">
              <w:t>Inclusion Roundtable</w:t>
            </w:r>
          </w:p>
        </w:tc>
        <w:tc>
          <w:tcPr>
            <w:tcW w:w="0" w:type="dxa"/>
            <w:shd w:val="clear" w:color="auto" w:fill="D2EEED"/>
          </w:tcPr>
          <w:p w14:paraId="1E52D0D6" w14:textId="64556C68" w:rsidR="004617CC" w:rsidRPr="0068779A" w:rsidRDefault="005E1922" w:rsidP="003E38D8">
            <w:pPr>
              <w:pStyle w:val="TableTextLeft"/>
              <w:cnfStyle w:val="000000100000" w:firstRow="0" w:lastRow="0" w:firstColumn="0" w:lastColumn="0" w:oddVBand="0" w:evenVBand="0" w:oddHBand="1" w:evenHBand="0" w:firstRowFirstColumn="0" w:firstRowLastColumn="0" w:lastRowFirstColumn="0" w:lastRowLastColumn="0"/>
            </w:pPr>
            <w:r w:rsidRPr="0068779A">
              <w:t xml:space="preserve">Thursday 28 September </w:t>
            </w:r>
          </w:p>
        </w:tc>
      </w:tr>
      <w:tr w:rsidR="004617CC" w:rsidRPr="0068779A" w14:paraId="3467309C" w14:textId="77777777" w:rsidTr="008627B3">
        <w:trPr>
          <w:trHeight w:val="29"/>
        </w:trPr>
        <w:tc>
          <w:tcPr>
            <w:cnfStyle w:val="001000000000" w:firstRow="0" w:lastRow="0" w:firstColumn="1" w:lastColumn="0" w:oddVBand="0" w:evenVBand="0" w:oddHBand="0" w:evenHBand="0" w:firstRowFirstColumn="0" w:firstRowLastColumn="0" w:lastRowFirstColumn="0" w:lastRowLastColumn="0"/>
            <w:tcW w:w="0" w:type="dxa"/>
          </w:tcPr>
          <w:p w14:paraId="6E7CBB3F" w14:textId="77777777" w:rsidR="00E16DA4" w:rsidRPr="0068779A" w:rsidRDefault="00E16DA4" w:rsidP="00E16DA4">
            <w:pPr>
              <w:pStyle w:val="TableTextLeft"/>
            </w:pPr>
            <w:r w:rsidRPr="0068779A">
              <w:t>Legal, Human Rights and Consumer Advocates Roundtable #2</w:t>
            </w:r>
          </w:p>
          <w:p w14:paraId="42286017" w14:textId="77777777" w:rsidR="00E16DA4" w:rsidRPr="0068779A" w:rsidRDefault="00E16DA4" w:rsidP="00E16DA4">
            <w:pPr>
              <w:pStyle w:val="TableTextLeft"/>
            </w:pPr>
            <w:r w:rsidRPr="0068779A">
              <w:t>Reserved for additional requested meetings (ANZ)</w:t>
            </w:r>
          </w:p>
          <w:p w14:paraId="21FB241B" w14:textId="77777777" w:rsidR="00E16DA4" w:rsidRPr="0068779A" w:rsidRDefault="00E16DA4" w:rsidP="00E16DA4">
            <w:pPr>
              <w:pStyle w:val="TableTextLeft"/>
            </w:pPr>
            <w:r w:rsidRPr="0068779A">
              <w:t>Youth Steering Committee</w:t>
            </w:r>
          </w:p>
          <w:p w14:paraId="3AA4D9CE" w14:textId="77777777" w:rsidR="00E16DA4" w:rsidRPr="0068779A" w:rsidRDefault="00E16DA4" w:rsidP="00E16DA4">
            <w:pPr>
              <w:pStyle w:val="TableTextLeft"/>
            </w:pPr>
            <w:r w:rsidRPr="0068779A">
              <w:t>Insurance, Retail, HR and Real Estate Roundtable </w:t>
            </w:r>
          </w:p>
          <w:p w14:paraId="714D87F8" w14:textId="38725C7F" w:rsidR="004617CC" w:rsidRPr="0068779A" w:rsidRDefault="004617CC" w:rsidP="003E38D8">
            <w:pPr>
              <w:pStyle w:val="TableTextLeft"/>
            </w:pPr>
          </w:p>
        </w:tc>
        <w:tc>
          <w:tcPr>
            <w:tcW w:w="0" w:type="dxa"/>
          </w:tcPr>
          <w:p w14:paraId="46663346" w14:textId="1A8A75B6" w:rsidR="004617CC" w:rsidRPr="0068779A" w:rsidRDefault="00F015E8" w:rsidP="003E38D8">
            <w:pPr>
              <w:pStyle w:val="TableTextLeft"/>
              <w:cnfStyle w:val="000000000000" w:firstRow="0" w:lastRow="0" w:firstColumn="0" w:lastColumn="0" w:oddVBand="0" w:evenVBand="0" w:oddHBand="0" w:evenHBand="0" w:firstRowFirstColumn="0" w:firstRowLastColumn="0" w:lastRowFirstColumn="0" w:lastRowLastColumn="0"/>
            </w:pPr>
            <w:r w:rsidRPr="0068779A">
              <w:t xml:space="preserve">Tuesday </w:t>
            </w:r>
            <w:r w:rsidR="006D2813" w:rsidRPr="0068779A">
              <w:t>3</w:t>
            </w:r>
            <w:r w:rsidR="007B263F" w:rsidRPr="0068779A">
              <w:t xml:space="preserve"> </w:t>
            </w:r>
            <w:r w:rsidR="006D2813" w:rsidRPr="0068779A">
              <w:t xml:space="preserve">October </w:t>
            </w:r>
          </w:p>
        </w:tc>
      </w:tr>
      <w:tr w:rsidR="004617CC" w:rsidRPr="00A221C9" w14:paraId="356552D1" w14:textId="77777777" w:rsidTr="008627B3">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268323E4" w14:textId="77777777" w:rsidR="004617CC" w:rsidRPr="0068779A" w:rsidRDefault="006D2813" w:rsidP="003E38D8">
            <w:pPr>
              <w:pStyle w:val="TableTextLeft"/>
              <w:rPr>
                <w:b w:val="0"/>
                <w:bCs w:val="0"/>
              </w:rPr>
            </w:pPr>
            <w:r w:rsidRPr="0068779A">
              <w:t>State and Territory Chief Information Officers</w:t>
            </w:r>
          </w:p>
          <w:p w14:paraId="7BFE0DE3" w14:textId="112AC6CA" w:rsidR="006D2813" w:rsidRPr="0068779A" w:rsidRDefault="006D2813" w:rsidP="003E38D8">
            <w:pPr>
              <w:pStyle w:val="TableTextLeft"/>
            </w:pPr>
            <w:r w:rsidRPr="0068779A">
              <w:lastRenderedPageBreak/>
              <w:t xml:space="preserve">Privacy Advocate </w:t>
            </w:r>
            <w:proofErr w:type="spellStart"/>
            <w:r w:rsidRPr="0068779A">
              <w:t>Bilaterals</w:t>
            </w:r>
            <w:proofErr w:type="spellEnd"/>
          </w:p>
        </w:tc>
        <w:tc>
          <w:tcPr>
            <w:tcW w:w="0" w:type="dxa"/>
            <w:shd w:val="clear" w:color="auto" w:fill="D2EEED"/>
          </w:tcPr>
          <w:p w14:paraId="21C90F6B" w14:textId="38F03B5A" w:rsidR="004617CC" w:rsidRPr="0068779A" w:rsidRDefault="009629B2" w:rsidP="003E38D8">
            <w:pPr>
              <w:pStyle w:val="TableTextLeft"/>
              <w:cnfStyle w:val="000000100000" w:firstRow="0" w:lastRow="0" w:firstColumn="0" w:lastColumn="0" w:oddVBand="0" w:evenVBand="0" w:oddHBand="1" w:evenHBand="0" w:firstRowFirstColumn="0" w:firstRowLastColumn="0" w:lastRowFirstColumn="0" w:lastRowLastColumn="0"/>
            </w:pPr>
            <w:r w:rsidRPr="0068779A">
              <w:lastRenderedPageBreak/>
              <w:t xml:space="preserve">Wednesday </w:t>
            </w:r>
            <w:r w:rsidR="007B263F" w:rsidRPr="0068779A">
              <w:t>4 October</w:t>
            </w:r>
          </w:p>
        </w:tc>
      </w:tr>
    </w:tbl>
    <w:p w14:paraId="497B72B0" w14:textId="1F6A1349" w:rsidR="00C363D2" w:rsidRDefault="00C363D2" w:rsidP="00280DC7">
      <w:pPr>
        <w:pStyle w:val="BodyText"/>
        <w:rPr>
          <w:lang w:eastAsia="en-US"/>
        </w:rPr>
        <w:sectPr w:rsidR="00C363D2" w:rsidSect="00D6446B">
          <w:pgSz w:w="11907" w:h="16840" w:code="9"/>
          <w:pgMar w:top="1418" w:right="1418" w:bottom="1418" w:left="1418" w:header="567" w:footer="340" w:gutter="0"/>
          <w:cols w:space="720"/>
          <w:docGrid w:linePitch="326"/>
        </w:sectPr>
      </w:pPr>
    </w:p>
    <w:p w14:paraId="103F691C" w14:textId="68F26AC4" w:rsidR="00731AE8" w:rsidRPr="008627B3" w:rsidRDefault="00A563EC" w:rsidP="00A60647">
      <w:pPr>
        <w:pStyle w:val="Heading2NoNumbers"/>
        <w:rPr>
          <w:color w:val="008675"/>
          <w:lang w:eastAsia="en-US"/>
        </w:rPr>
      </w:pPr>
      <w:bookmarkStart w:id="696" w:name="_Toc149740374"/>
      <w:r w:rsidRPr="008627B3">
        <w:rPr>
          <w:color w:val="008675"/>
          <w:lang w:eastAsia="en-US"/>
        </w:rPr>
        <w:lastRenderedPageBreak/>
        <w:t xml:space="preserve">Details </w:t>
      </w:r>
      <w:r w:rsidR="002F63D6" w:rsidRPr="008627B3">
        <w:rPr>
          <w:color w:val="008675"/>
          <w:lang w:eastAsia="en-US"/>
        </w:rPr>
        <w:t>O</w:t>
      </w:r>
      <w:r w:rsidR="00DC5E1F" w:rsidRPr="008627B3">
        <w:rPr>
          <w:color w:val="008675"/>
          <w:lang w:eastAsia="en-US"/>
        </w:rPr>
        <w:t>ctober 2021 Public Consultation Round</w:t>
      </w:r>
      <w:bookmarkEnd w:id="696"/>
    </w:p>
    <w:p w14:paraId="69B999BE" w14:textId="0F4A20BD" w:rsidR="00287B0C" w:rsidRPr="00D12859" w:rsidRDefault="00506FB9" w:rsidP="00280DC7">
      <w:pPr>
        <w:pStyle w:val="BodyText"/>
        <w:rPr>
          <w:lang w:eastAsia="en-US"/>
        </w:rPr>
      </w:pPr>
      <w:r w:rsidRPr="00D44FE0">
        <w:rPr>
          <w:lang w:eastAsia="en-US"/>
        </w:rPr>
        <w:t xml:space="preserve">The Table below </w:t>
      </w:r>
      <w:r w:rsidR="007C6718" w:rsidRPr="00D44FE0">
        <w:rPr>
          <w:lang w:eastAsia="en-US"/>
        </w:rPr>
        <w:t>details the key themes and issues drawn from the Program’s</w:t>
      </w:r>
      <w:r w:rsidR="00A61B87">
        <w:rPr>
          <w:lang w:eastAsia="en-US"/>
        </w:rPr>
        <w:t xml:space="preserve"> earlier</w:t>
      </w:r>
      <w:r w:rsidR="007C6718" w:rsidRPr="00D44FE0">
        <w:rPr>
          <w:lang w:eastAsia="en-US"/>
        </w:rPr>
        <w:t xml:space="preserve"> </w:t>
      </w:r>
      <w:hyperlink r:id="rId97" w:history="1">
        <w:r w:rsidR="007C6718" w:rsidRPr="008627B3">
          <w:rPr>
            <w:rStyle w:val="Hyperlink"/>
            <w:color w:val="008675"/>
            <w:lang w:eastAsia="en-US"/>
          </w:rPr>
          <w:t>exposure draft package</w:t>
        </w:r>
      </w:hyperlink>
      <w:r w:rsidR="007C6718" w:rsidRPr="00D44FE0">
        <w:rPr>
          <w:lang w:eastAsia="en-US"/>
        </w:rPr>
        <w:t xml:space="preserve"> public consultation that occurred over October 2021.</w:t>
      </w:r>
    </w:p>
    <w:tbl>
      <w:tblPr>
        <w:tblStyle w:val="GridTable2-Accent3"/>
        <w:tblW w:w="14034"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3402"/>
        <w:gridCol w:w="5387"/>
        <w:gridCol w:w="5245"/>
      </w:tblGrid>
      <w:tr w:rsidR="00E5037E" w:rsidRPr="008627B3" w14:paraId="036B22D1" w14:textId="77777777" w:rsidTr="00E5037E">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3402" w:type="dxa"/>
          </w:tcPr>
          <w:p w14:paraId="59AF7611" w14:textId="77777777" w:rsidR="00CC3670" w:rsidRPr="008627B3" w:rsidRDefault="00CC3670">
            <w:pPr>
              <w:pStyle w:val="TableTextLeft"/>
              <w:rPr>
                <w:rFonts w:eastAsia="Calibri"/>
                <w:color w:val="008675"/>
                <w:szCs w:val="28"/>
                <w:lang w:eastAsia="en-US"/>
              </w:rPr>
            </w:pPr>
            <w:r w:rsidRPr="008627B3">
              <w:rPr>
                <w:rFonts w:eastAsia="Calibri"/>
                <w:color w:val="008675"/>
                <w:szCs w:val="28"/>
                <w:lang w:eastAsia="en-US"/>
              </w:rPr>
              <w:t xml:space="preserve">Key finding / theme </w:t>
            </w:r>
          </w:p>
        </w:tc>
        <w:tc>
          <w:tcPr>
            <w:tcW w:w="5387" w:type="dxa"/>
          </w:tcPr>
          <w:p w14:paraId="3C45AA1A" w14:textId="77777777" w:rsidR="00CC3670" w:rsidRPr="008627B3" w:rsidRDefault="00CC3670">
            <w:pPr>
              <w:pStyle w:val="TableTextLeft"/>
              <w:cnfStyle w:val="100000000000" w:firstRow="1" w:lastRow="0" w:firstColumn="0" w:lastColumn="0" w:oddVBand="0" w:evenVBand="0" w:oddHBand="0" w:evenHBand="0" w:firstRowFirstColumn="0" w:firstRowLastColumn="0" w:lastRowFirstColumn="0" w:lastRowLastColumn="0"/>
              <w:rPr>
                <w:rFonts w:eastAsia="Calibri"/>
                <w:color w:val="008675"/>
                <w:szCs w:val="28"/>
                <w:lang w:eastAsia="en-US"/>
              </w:rPr>
            </w:pPr>
            <w:r w:rsidRPr="008627B3">
              <w:rPr>
                <w:rFonts w:eastAsia="Calibri"/>
                <w:color w:val="008675"/>
                <w:szCs w:val="28"/>
                <w:lang w:eastAsia="en-US"/>
              </w:rPr>
              <w:t xml:space="preserve">Details of response </w:t>
            </w:r>
          </w:p>
        </w:tc>
        <w:tc>
          <w:tcPr>
            <w:tcW w:w="5245" w:type="dxa"/>
          </w:tcPr>
          <w:p w14:paraId="579B7F2F" w14:textId="77777777" w:rsidR="00CC3670" w:rsidRPr="008627B3" w:rsidRDefault="00CC3670">
            <w:pPr>
              <w:pStyle w:val="TableTextLeft"/>
              <w:cnfStyle w:val="100000000000" w:firstRow="1" w:lastRow="0" w:firstColumn="0" w:lastColumn="0" w:oddVBand="0" w:evenVBand="0" w:oddHBand="0" w:evenHBand="0" w:firstRowFirstColumn="0" w:firstRowLastColumn="0" w:lastRowFirstColumn="0" w:lastRowLastColumn="0"/>
              <w:rPr>
                <w:rFonts w:eastAsia="Calibri"/>
                <w:color w:val="008675"/>
                <w:szCs w:val="28"/>
                <w:lang w:eastAsia="en-US"/>
              </w:rPr>
            </w:pPr>
            <w:r w:rsidRPr="008627B3">
              <w:rPr>
                <w:rFonts w:eastAsia="Calibri"/>
                <w:color w:val="008675"/>
                <w:szCs w:val="28"/>
                <w:lang w:eastAsia="en-US"/>
              </w:rPr>
              <w:t>Impact on Program activity</w:t>
            </w:r>
          </w:p>
        </w:tc>
      </w:tr>
      <w:tr w:rsidR="00C118C9" w:rsidRPr="00D12859" w14:paraId="23A87003" w14:textId="77777777" w:rsidTr="00942C37">
        <w:trPr>
          <w:cnfStyle w:val="000000100000" w:firstRow="0" w:lastRow="0" w:firstColumn="0" w:lastColumn="0" w:oddVBand="0" w:evenVBand="0" w:oddHBand="1" w:evenHBand="0" w:firstRowFirstColumn="0" w:firstRowLastColumn="0" w:lastRowFirstColumn="0" w:lastRowLastColumn="0"/>
          <w:trHeight w:val="2111"/>
        </w:trPr>
        <w:tc>
          <w:tcPr>
            <w:cnfStyle w:val="001000000000" w:firstRow="0" w:lastRow="0" w:firstColumn="1" w:lastColumn="0" w:oddVBand="0" w:evenVBand="0" w:oddHBand="0" w:evenHBand="0" w:firstRowFirstColumn="0" w:firstRowLastColumn="0" w:lastRowFirstColumn="0" w:lastRowLastColumn="0"/>
            <w:tcW w:w="3402" w:type="dxa"/>
            <w:shd w:val="clear" w:color="auto" w:fill="D2EEED"/>
          </w:tcPr>
          <w:p w14:paraId="40235F41" w14:textId="77777777" w:rsidR="00CC3670" w:rsidRPr="008627B3" w:rsidRDefault="00CC3670">
            <w:pPr>
              <w:pStyle w:val="TableTextLeft"/>
              <w:rPr>
                <w:rFonts w:eastAsia="Calibri"/>
                <w:color w:val="008675"/>
                <w:szCs w:val="28"/>
              </w:rPr>
            </w:pPr>
            <w:r w:rsidRPr="008627B3">
              <w:rPr>
                <w:rFonts w:eastAsia="Calibri"/>
                <w:color w:val="008675"/>
                <w:szCs w:val="28"/>
              </w:rPr>
              <w:t>Regulatory costs understated</w:t>
            </w:r>
          </w:p>
          <w:p w14:paraId="280A045A" w14:textId="77777777" w:rsidR="00CC3670" w:rsidRPr="008627B3" w:rsidRDefault="00CC3670">
            <w:pPr>
              <w:pStyle w:val="TableTextLeft"/>
              <w:rPr>
                <w:rFonts w:eastAsia="Calibri"/>
                <w:color w:val="008675"/>
                <w:szCs w:val="28"/>
              </w:rPr>
            </w:pPr>
          </w:p>
        </w:tc>
        <w:tc>
          <w:tcPr>
            <w:tcW w:w="5387" w:type="dxa"/>
            <w:shd w:val="clear" w:color="auto" w:fill="D2EEED"/>
          </w:tcPr>
          <w:p w14:paraId="2660658D" w14:textId="46E23B80" w:rsidR="00CC3670" w:rsidRPr="00D44FE0" w:rsidRDefault="00CC3670">
            <w:pPr>
              <w:pStyle w:val="TableTextLeft"/>
              <w:cnfStyle w:val="000000100000" w:firstRow="0" w:lastRow="0" w:firstColumn="0" w:lastColumn="0" w:oddVBand="0" w:evenVBand="0" w:oddHBand="1" w:evenHBand="0" w:firstRowFirstColumn="0" w:firstRowLastColumn="0" w:lastRowFirstColumn="0" w:lastRowLastColumn="0"/>
              <w:rPr>
                <w:rFonts w:eastAsia="Calibri"/>
                <w:szCs w:val="28"/>
              </w:rPr>
            </w:pPr>
            <w:r w:rsidRPr="00D44FE0">
              <w:rPr>
                <w:bCs/>
                <w:szCs w:val="28"/>
              </w:rPr>
              <w:t>Whilst most RIS submissions agreed that the impacts of Options 1 and 2</w:t>
            </w:r>
            <w:r w:rsidRPr="00D44FE0">
              <w:rPr>
                <w:b/>
                <w:szCs w:val="28"/>
              </w:rPr>
              <w:t xml:space="preserve"> </w:t>
            </w:r>
            <w:r w:rsidRPr="00D44FE0">
              <w:rPr>
                <w:bCs/>
                <w:szCs w:val="28"/>
              </w:rPr>
              <w:t>were accurately described, the view was expressed that Option 3 regulatory costs were under-stated, particularly for large entities operating across multiple lines of business.</w:t>
            </w:r>
          </w:p>
        </w:tc>
        <w:tc>
          <w:tcPr>
            <w:tcW w:w="5245" w:type="dxa"/>
            <w:shd w:val="clear" w:color="auto" w:fill="D2EEED"/>
          </w:tcPr>
          <w:p w14:paraId="5B2488FE" w14:textId="77777777" w:rsidR="00CC3670" w:rsidRPr="00D44FE0" w:rsidRDefault="00CC3670">
            <w:pPr>
              <w:pStyle w:val="TableTextLeft"/>
              <w:cnfStyle w:val="000000100000" w:firstRow="0" w:lastRow="0" w:firstColumn="0" w:lastColumn="0" w:oddVBand="0" w:evenVBand="0" w:oddHBand="1" w:evenHBand="0" w:firstRowFirstColumn="0" w:firstRowLastColumn="0" w:lastRowFirstColumn="0" w:lastRowLastColumn="0"/>
              <w:rPr>
                <w:rFonts w:eastAsia="Calibri"/>
                <w:szCs w:val="28"/>
              </w:rPr>
            </w:pPr>
            <w:r w:rsidRPr="00D44FE0">
              <w:rPr>
                <w:szCs w:val="28"/>
              </w:rPr>
              <w:t>The estimated regulatory costs for Option 3 were re-visited, with increased resource burden and a higher contingency applied to certain activities to account for additional variables raised by respondents to the Consultation RIS.</w:t>
            </w:r>
          </w:p>
        </w:tc>
      </w:tr>
      <w:tr w:rsidR="008B617C" w:rsidRPr="00D12859" w14:paraId="680E157E" w14:textId="77777777" w:rsidTr="00942C37">
        <w:trPr>
          <w:trHeight w:val="411"/>
        </w:trPr>
        <w:tc>
          <w:tcPr>
            <w:cnfStyle w:val="001000000000" w:firstRow="0" w:lastRow="0" w:firstColumn="1" w:lastColumn="0" w:oddVBand="0" w:evenVBand="0" w:oddHBand="0" w:evenHBand="0" w:firstRowFirstColumn="0" w:firstRowLastColumn="0" w:lastRowFirstColumn="0" w:lastRowLastColumn="0"/>
            <w:tcW w:w="3402" w:type="dxa"/>
          </w:tcPr>
          <w:p w14:paraId="0FDDE09C" w14:textId="77777777" w:rsidR="00CC3670" w:rsidRPr="008627B3" w:rsidRDefault="00CC3670">
            <w:pPr>
              <w:pStyle w:val="TableTextLeft"/>
              <w:rPr>
                <w:rFonts w:eastAsia="Calibri"/>
                <w:color w:val="008675"/>
                <w:szCs w:val="28"/>
              </w:rPr>
            </w:pPr>
            <w:r w:rsidRPr="008627B3">
              <w:rPr>
                <w:rFonts w:eastAsia="Calibri"/>
                <w:color w:val="008675"/>
                <w:szCs w:val="28"/>
              </w:rPr>
              <w:t xml:space="preserve">Scope of the Bill </w:t>
            </w:r>
          </w:p>
        </w:tc>
        <w:tc>
          <w:tcPr>
            <w:tcW w:w="5387" w:type="dxa"/>
          </w:tcPr>
          <w:p w14:paraId="04631AB6" w14:textId="3E62105F"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Stakeholders raised questions on various definitions in the Bill, requested clarification on the extent of the Bill's powers in specific situations and queried whether the Bill may inadvertently regulate entities or services not intended to be regulated from a policy perspective.</w:t>
            </w:r>
          </w:p>
        </w:tc>
        <w:tc>
          <w:tcPr>
            <w:tcW w:w="5245" w:type="dxa"/>
          </w:tcPr>
          <w:p w14:paraId="6904611A" w14:textId="77777777"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Dialogue between the Program and the public has been revisited and strengthened, to provide further information and guidance clarifying the extent of the Bill's powers, the voluntary nature of participation and alignment with other regulatory schemes (re-iterating that the Bill leverages overarching principles from various existing definitions and regimes).</w:t>
            </w:r>
          </w:p>
        </w:tc>
      </w:tr>
      <w:tr w:rsidR="00C118C9" w:rsidRPr="00D12859" w14:paraId="1EB8A574" w14:textId="77777777" w:rsidTr="00942C3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02" w:type="dxa"/>
            <w:shd w:val="clear" w:color="auto" w:fill="D2EEED"/>
          </w:tcPr>
          <w:p w14:paraId="7F5B64B4" w14:textId="77777777" w:rsidR="00CC3670" w:rsidRPr="008627B3" w:rsidRDefault="00CC3670">
            <w:pPr>
              <w:pStyle w:val="TableTextLeft"/>
              <w:rPr>
                <w:rFonts w:eastAsia="Calibri"/>
                <w:color w:val="008675"/>
                <w:szCs w:val="28"/>
              </w:rPr>
            </w:pPr>
            <w:r w:rsidRPr="008627B3">
              <w:rPr>
                <w:rFonts w:eastAsia="Calibri"/>
                <w:color w:val="008675"/>
                <w:szCs w:val="28"/>
              </w:rPr>
              <w:t xml:space="preserve">Complexity of the Bill </w:t>
            </w:r>
          </w:p>
        </w:tc>
        <w:tc>
          <w:tcPr>
            <w:tcW w:w="5387" w:type="dxa"/>
            <w:shd w:val="clear" w:color="auto" w:fill="D2EEED"/>
          </w:tcPr>
          <w:p w14:paraId="77C7D97B" w14:textId="00A43C7C" w:rsidR="00CC3670" w:rsidRPr="00D44FE0" w:rsidRDefault="00CC3670">
            <w:pPr>
              <w:pStyle w:val="TableTextLeft"/>
              <w:cnfStyle w:val="000000100000" w:firstRow="0" w:lastRow="0" w:firstColumn="0" w:lastColumn="0" w:oddVBand="0" w:evenVBand="0" w:oddHBand="1" w:evenHBand="0" w:firstRowFirstColumn="0" w:firstRowLastColumn="0" w:lastRowFirstColumn="0" w:lastRowLastColumn="0"/>
              <w:rPr>
                <w:rFonts w:eastAsia="Calibri"/>
                <w:szCs w:val="28"/>
              </w:rPr>
            </w:pPr>
            <w:r w:rsidRPr="00D44FE0">
              <w:rPr>
                <w:rFonts w:eastAsia="Calibri"/>
                <w:szCs w:val="28"/>
              </w:rPr>
              <w:t xml:space="preserve">Some responses raised concerns around the inherent complexity of having two regulatory schemes (one around accreditation and the other around </w:t>
            </w:r>
            <w:r w:rsidR="007525B9">
              <w:rPr>
                <w:rFonts w:eastAsia="Calibri"/>
                <w:szCs w:val="28"/>
              </w:rPr>
              <w:t xml:space="preserve">Digital ID </w:t>
            </w:r>
            <w:r w:rsidRPr="00D44FE0">
              <w:rPr>
                <w:rFonts w:eastAsia="Calibri"/>
                <w:szCs w:val="28"/>
              </w:rPr>
              <w:t xml:space="preserve">System participation), as opposed to one combined scheme. These submissions queried on the effect this may have on public trust and understanding in the </w:t>
            </w:r>
            <w:r w:rsidR="007525B9">
              <w:rPr>
                <w:rFonts w:eastAsia="Calibri"/>
                <w:szCs w:val="28"/>
              </w:rPr>
              <w:t xml:space="preserve">Digital ID </w:t>
            </w:r>
            <w:r w:rsidRPr="00D44FE0">
              <w:rPr>
                <w:rFonts w:eastAsia="Calibri"/>
                <w:szCs w:val="28"/>
              </w:rPr>
              <w:t>System.</w:t>
            </w:r>
          </w:p>
        </w:tc>
        <w:tc>
          <w:tcPr>
            <w:tcW w:w="5245" w:type="dxa"/>
            <w:shd w:val="clear" w:color="auto" w:fill="D2EEED"/>
          </w:tcPr>
          <w:p w14:paraId="48EF4862" w14:textId="3208D917" w:rsidR="00CC3670" w:rsidRPr="00D44FE0" w:rsidRDefault="00CC3670">
            <w:pPr>
              <w:pStyle w:val="TableTextLeft"/>
              <w:cnfStyle w:val="000000100000" w:firstRow="0" w:lastRow="0" w:firstColumn="0" w:lastColumn="0" w:oddVBand="0" w:evenVBand="0" w:oddHBand="1" w:evenHBand="0" w:firstRowFirstColumn="0" w:firstRowLastColumn="0" w:lastRowFirstColumn="0" w:lastRowLastColumn="0"/>
              <w:rPr>
                <w:rFonts w:eastAsia="Calibri"/>
                <w:szCs w:val="28"/>
              </w:rPr>
            </w:pPr>
            <w:r w:rsidRPr="00D44FE0">
              <w:rPr>
                <w:rFonts w:eastAsia="Calibri"/>
                <w:szCs w:val="28"/>
              </w:rPr>
              <w:t xml:space="preserve">Dialogue between the Program and the public has been revisited and strengthened, to provide further information and guidance around the two schemes under the Bill and their respective purposes. In particular, education on the two regulatory schemes will form a core component of the implementation plan for the Program moving forwards. The Program has specifically designed </w:t>
            </w:r>
            <w:r w:rsidRPr="00D44FE0">
              <w:rPr>
                <w:rFonts w:eastAsia="Calibri"/>
                <w:szCs w:val="28"/>
              </w:rPr>
              <w:lastRenderedPageBreak/>
              <w:t xml:space="preserve">the Bill to enable private sector </w:t>
            </w:r>
            <w:proofErr w:type="gramStart"/>
            <w:r w:rsidRPr="00D44FE0">
              <w:rPr>
                <w:rFonts w:eastAsia="Calibri"/>
                <w:szCs w:val="28"/>
              </w:rPr>
              <w:t>participants</w:t>
            </w:r>
            <w:proofErr w:type="gramEnd"/>
            <w:r w:rsidRPr="00D44FE0">
              <w:rPr>
                <w:rFonts w:eastAsia="Calibri"/>
                <w:szCs w:val="28"/>
              </w:rPr>
              <w:t xml:space="preserve"> different options for involvement with appropriately tailored regulatory requirements – in direct response to earlier feedback provided by the private sector in particular.</w:t>
            </w:r>
            <w:r>
              <w:rPr>
                <w:rFonts w:eastAsia="Calibri"/>
                <w:szCs w:val="28"/>
              </w:rPr>
              <w:t xml:space="preserve"> </w:t>
            </w:r>
          </w:p>
        </w:tc>
      </w:tr>
      <w:tr w:rsidR="008B617C" w:rsidRPr="00D12859" w14:paraId="644B5B3A" w14:textId="77777777" w:rsidTr="00942C37">
        <w:trPr>
          <w:trHeight w:val="411"/>
        </w:trPr>
        <w:tc>
          <w:tcPr>
            <w:cnfStyle w:val="001000000000" w:firstRow="0" w:lastRow="0" w:firstColumn="1" w:lastColumn="0" w:oddVBand="0" w:evenVBand="0" w:oddHBand="0" w:evenHBand="0" w:firstRowFirstColumn="0" w:firstRowLastColumn="0" w:lastRowFirstColumn="0" w:lastRowLastColumn="0"/>
            <w:tcW w:w="3402" w:type="dxa"/>
          </w:tcPr>
          <w:p w14:paraId="2CB0226B" w14:textId="77777777" w:rsidR="00CC3670" w:rsidRPr="008627B3" w:rsidRDefault="00CC3670">
            <w:pPr>
              <w:pStyle w:val="TableTextLeft"/>
              <w:rPr>
                <w:rFonts w:eastAsia="Calibri"/>
                <w:color w:val="008675"/>
                <w:szCs w:val="28"/>
              </w:rPr>
            </w:pPr>
            <w:r w:rsidRPr="008627B3">
              <w:rPr>
                <w:rFonts w:eastAsia="Calibri"/>
                <w:color w:val="008675"/>
                <w:szCs w:val="28"/>
              </w:rPr>
              <w:lastRenderedPageBreak/>
              <w:t xml:space="preserve">Governance </w:t>
            </w:r>
          </w:p>
        </w:tc>
        <w:tc>
          <w:tcPr>
            <w:tcW w:w="5387" w:type="dxa"/>
          </w:tcPr>
          <w:p w14:paraId="0AC51392" w14:textId="26B1727C"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Feedback received included queries about the opportunities available for industry and cross-government (including state, territory and cross-jurisdictional) involvement in the</w:t>
            </w:r>
            <w:r w:rsidR="007525B9">
              <w:rPr>
                <w:rFonts w:eastAsia="Calibri"/>
                <w:szCs w:val="28"/>
              </w:rPr>
              <w:t xml:space="preserve"> Digital ID</w:t>
            </w:r>
            <w:r w:rsidRPr="00D44FE0">
              <w:rPr>
                <w:rFonts w:eastAsia="Calibri"/>
                <w:szCs w:val="28"/>
              </w:rPr>
              <w:t xml:space="preserve"> System's proposed governance arrangements. Some stakeholders also provided feedback on the Minister's power to make decisions with respect to the Rules, without the requirement of prior consultation.</w:t>
            </w:r>
          </w:p>
        </w:tc>
        <w:tc>
          <w:tcPr>
            <w:tcW w:w="5245" w:type="dxa"/>
          </w:tcPr>
          <w:p w14:paraId="458C870E" w14:textId="3B17AF44"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 xml:space="preserve">Since the beginning of consultation, the Program has ensured that industry and Australian Government representatives have had an active platform to voice opinions and perspectives. The Program has established advisory committees to enable these stakeholders to support the OA in governance of the </w:t>
            </w:r>
            <w:r w:rsidR="007525B9">
              <w:rPr>
                <w:rFonts w:eastAsia="Calibri"/>
                <w:szCs w:val="28"/>
              </w:rPr>
              <w:t xml:space="preserve">Digital ID </w:t>
            </w:r>
            <w:r w:rsidRPr="00D44FE0">
              <w:rPr>
                <w:rFonts w:eastAsia="Calibri"/>
                <w:szCs w:val="28"/>
              </w:rPr>
              <w:t xml:space="preserve">System, and the Minister’s ability to establish advisory committees is now entrenched in the Bill. </w:t>
            </w:r>
          </w:p>
          <w:p w14:paraId="3A29AEAD" w14:textId="1CFBFF5F"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The Program has also been continuously engaging with stakeholders on the issue of the scope of the Minister</w:t>
            </w:r>
            <w:r w:rsidR="007525B9">
              <w:rPr>
                <w:rFonts w:eastAsia="Calibri"/>
                <w:szCs w:val="28"/>
              </w:rPr>
              <w:t>’</w:t>
            </w:r>
            <w:r w:rsidRPr="00D44FE0">
              <w:rPr>
                <w:rFonts w:eastAsia="Calibri"/>
                <w:szCs w:val="28"/>
              </w:rPr>
              <w:t>s powers to make decisions, and has directly addressed questions around what issues fall within and outside this scope. Overall, the Program has moved towards limiting the number of instances where the Minister is enabled absolute decision-making power in the legislation to narrow circumstances, for example national security reasons leveraging existing regulatory models and definitions.</w:t>
            </w:r>
          </w:p>
          <w:p w14:paraId="7CF8D049" w14:textId="77777777"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An example of a stakeholder response acknowledging the Program’s active efforts in ensuring final policy positions related to governance issues reflect views expressed through ongoing consultation follows:</w:t>
            </w:r>
          </w:p>
          <w:p w14:paraId="705B7DDF" w14:textId="7BA154AB" w:rsidR="00CC3670" w:rsidRPr="008627B3" w:rsidRDefault="00CC3670">
            <w:pPr>
              <w:pStyle w:val="TableTextLeft"/>
              <w:ind w:left="720"/>
              <w:cnfStyle w:val="000000000000" w:firstRow="0" w:lastRow="0" w:firstColumn="0" w:lastColumn="0" w:oddVBand="0" w:evenVBand="0" w:oddHBand="0" w:evenHBand="0" w:firstRowFirstColumn="0" w:firstRowLastColumn="0" w:lastRowFirstColumn="0" w:lastRowLastColumn="0"/>
              <w:rPr>
                <w:rFonts w:eastAsia="Times"/>
                <w:i/>
                <w:color w:val="008675"/>
                <w:szCs w:val="20"/>
                <w:lang w:eastAsia="en-US"/>
              </w:rPr>
            </w:pPr>
            <w:r w:rsidRPr="008627B3">
              <w:rPr>
                <w:rFonts w:eastAsia="Times"/>
                <w:i/>
                <w:color w:val="008675"/>
                <w:szCs w:val="20"/>
                <w:lang w:eastAsia="en-US"/>
              </w:rPr>
              <w:t xml:space="preserve">We appreciate the efforts made by the [Australian Government] to respond to the concerns raised by many stakeholders </w:t>
            </w:r>
            <w:r w:rsidRPr="008627B3">
              <w:rPr>
                <w:rFonts w:eastAsia="Times"/>
                <w:i/>
                <w:color w:val="008675"/>
                <w:szCs w:val="20"/>
                <w:lang w:eastAsia="en-US"/>
              </w:rPr>
              <w:lastRenderedPageBreak/>
              <w:t>regarding the proposed amount of delegated legislation and rulemaking that was described in the first consultation paper.</w:t>
            </w:r>
          </w:p>
          <w:p w14:paraId="00F8CFDF" w14:textId="4D7FA3FB" w:rsidR="00CC3670" w:rsidRPr="00D44FE0" w:rsidRDefault="00CC3670">
            <w:pPr>
              <w:pStyle w:val="TableTextLeft"/>
              <w:jc w:val="righ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 xml:space="preserve">(Source: </w:t>
            </w:r>
            <w:hyperlink r:id="rId98" w:history="1">
              <w:r w:rsidRPr="008627B3">
                <w:rPr>
                  <w:i/>
                  <w:color w:val="008675"/>
                </w:rPr>
                <w:t xml:space="preserve"> </w:t>
              </w:r>
              <w:hyperlink r:id="rId99" w:history="1">
                <w:r w:rsidRPr="008627B3">
                  <w:rPr>
                    <w:rStyle w:val="Hyperlink"/>
                    <w:rFonts w:eastAsia="Times"/>
                    <w:color w:val="008675"/>
                  </w:rPr>
                  <w:t>Access Now input to Australia Digital ID Position Paper for proposed Trusted Digital Identity Bill (July 2021) (digitalidentity.gov.au)</w:t>
                </w:r>
              </w:hyperlink>
            </w:hyperlink>
            <w:r w:rsidRPr="00D44FE0">
              <w:rPr>
                <w:rFonts w:eastAsia="Calibri"/>
                <w:szCs w:val="28"/>
              </w:rPr>
              <w:t>)</w:t>
            </w:r>
          </w:p>
        </w:tc>
      </w:tr>
      <w:tr w:rsidR="00C118C9" w:rsidRPr="00D12859" w14:paraId="7C238C8C" w14:textId="77777777" w:rsidTr="00942C3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02" w:type="dxa"/>
            <w:shd w:val="clear" w:color="auto" w:fill="D2EEED"/>
          </w:tcPr>
          <w:p w14:paraId="39F7A946" w14:textId="77777777" w:rsidR="00CC3670" w:rsidRPr="008627B3" w:rsidRDefault="00CC3670">
            <w:pPr>
              <w:pStyle w:val="TableTextLeft"/>
              <w:rPr>
                <w:rFonts w:eastAsia="Calibri"/>
                <w:color w:val="008675"/>
                <w:szCs w:val="28"/>
              </w:rPr>
            </w:pPr>
            <w:r w:rsidRPr="008627B3">
              <w:rPr>
                <w:rFonts w:eastAsia="Calibri"/>
                <w:color w:val="008675"/>
                <w:szCs w:val="28"/>
              </w:rPr>
              <w:lastRenderedPageBreak/>
              <w:t xml:space="preserve">Law enforcement access </w:t>
            </w:r>
          </w:p>
        </w:tc>
        <w:tc>
          <w:tcPr>
            <w:tcW w:w="5387" w:type="dxa"/>
            <w:shd w:val="clear" w:color="auto" w:fill="D2EEED"/>
          </w:tcPr>
          <w:p w14:paraId="6370FA75" w14:textId="77777777" w:rsidR="00CC3670" w:rsidRPr="00D44FE0" w:rsidRDefault="00CC3670">
            <w:pPr>
              <w:pStyle w:val="TableTextLeft"/>
              <w:cnfStyle w:val="000000100000" w:firstRow="0" w:lastRow="0" w:firstColumn="0" w:lastColumn="0" w:oddVBand="0" w:evenVBand="0" w:oddHBand="1" w:evenHBand="0" w:firstRowFirstColumn="0" w:firstRowLastColumn="0" w:lastRowFirstColumn="0" w:lastRowLastColumn="0"/>
              <w:rPr>
                <w:rFonts w:eastAsia="Calibri"/>
                <w:szCs w:val="28"/>
              </w:rPr>
            </w:pPr>
            <w:r w:rsidRPr="00D44FE0">
              <w:rPr>
                <w:rFonts w:eastAsia="Calibri"/>
                <w:szCs w:val="28"/>
              </w:rPr>
              <w:t>Submissions saw divergent views on this issue, with some entities opposed to any form of law enforcement access, and others believing the current framework should be extended to allow for more access. Law enforcement agencies that responded voiced queries around how their current operations may be affected by the Bill.</w:t>
            </w:r>
          </w:p>
        </w:tc>
        <w:tc>
          <w:tcPr>
            <w:tcW w:w="5245" w:type="dxa"/>
            <w:shd w:val="clear" w:color="auto" w:fill="D2EEED"/>
          </w:tcPr>
          <w:p w14:paraId="004542E2" w14:textId="77777777" w:rsidR="00CC3670" w:rsidRPr="00D44FE0" w:rsidRDefault="00CC3670">
            <w:pPr>
              <w:pStyle w:val="TableTextLeft"/>
              <w:cnfStyle w:val="000000100000" w:firstRow="0" w:lastRow="0" w:firstColumn="0" w:lastColumn="0" w:oddVBand="0" w:evenVBand="0" w:oddHBand="1" w:evenHBand="0" w:firstRowFirstColumn="0" w:firstRowLastColumn="0" w:lastRowFirstColumn="0" w:lastRowLastColumn="0"/>
              <w:rPr>
                <w:rFonts w:eastAsia="Calibri"/>
                <w:szCs w:val="28"/>
              </w:rPr>
            </w:pPr>
            <w:r w:rsidRPr="00D44FE0">
              <w:rPr>
                <w:rFonts w:eastAsia="Calibri"/>
                <w:szCs w:val="28"/>
              </w:rPr>
              <w:t>The final policy positions on this issue, as reflected in the Bill, seek to achieve a balance between providing access to law enforcement in narrow, clearly defined circumstances, and recognizing the importance of restricting the use of particularly sensitive information, in order to achieve the goal of a citizen-centric system (for example, the legislation specifically prohibits disclosure of biometric information to law enforcement).</w:t>
            </w:r>
          </w:p>
        </w:tc>
      </w:tr>
      <w:tr w:rsidR="008B617C" w:rsidRPr="00D12859" w14:paraId="63345A20" w14:textId="77777777" w:rsidTr="00942C37">
        <w:trPr>
          <w:trHeight w:val="411"/>
        </w:trPr>
        <w:tc>
          <w:tcPr>
            <w:cnfStyle w:val="001000000000" w:firstRow="0" w:lastRow="0" w:firstColumn="1" w:lastColumn="0" w:oddVBand="0" w:evenVBand="0" w:oddHBand="0" w:evenHBand="0" w:firstRowFirstColumn="0" w:firstRowLastColumn="0" w:lastRowFirstColumn="0" w:lastRowLastColumn="0"/>
            <w:tcW w:w="3402" w:type="dxa"/>
          </w:tcPr>
          <w:p w14:paraId="7AD3DCC1" w14:textId="77777777" w:rsidR="00CC3670" w:rsidRPr="008627B3" w:rsidRDefault="00CC3670">
            <w:pPr>
              <w:pStyle w:val="TableTextLeft"/>
              <w:rPr>
                <w:rFonts w:eastAsia="Calibri"/>
                <w:color w:val="008675"/>
                <w:szCs w:val="28"/>
              </w:rPr>
            </w:pPr>
            <w:r w:rsidRPr="008627B3">
              <w:rPr>
                <w:rFonts w:eastAsia="Calibri"/>
                <w:color w:val="008675"/>
                <w:szCs w:val="28"/>
              </w:rPr>
              <w:t xml:space="preserve">Charging </w:t>
            </w:r>
          </w:p>
        </w:tc>
        <w:tc>
          <w:tcPr>
            <w:tcW w:w="5387" w:type="dxa"/>
          </w:tcPr>
          <w:p w14:paraId="5C457317" w14:textId="664E9FAB" w:rsidR="00CC3670" w:rsidRPr="00D44FE0" w:rsidRDefault="00CC3670">
            <w:pPr>
              <w:pStyle w:val="TableTextLef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 xml:space="preserve">Most submissions received supported the idea that Australian citizens will not have to pay to participate in the </w:t>
            </w:r>
            <w:r w:rsidR="007525B9">
              <w:rPr>
                <w:rFonts w:eastAsia="Calibri"/>
                <w:szCs w:val="28"/>
              </w:rPr>
              <w:t xml:space="preserve">Digital ID </w:t>
            </w:r>
            <w:r w:rsidRPr="00D44FE0">
              <w:rPr>
                <w:rFonts w:eastAsia="Calibri"/>
                <w:szCs w:val="28"/>
              </w:rPr>
              <w:t>System. However, views were voiced around requiring further clarity on the details of the charging framework.</w:t>
            </w:r>
          </w:p>
        </w:tc>
        <w:tc>
          <w:tcPr>
            <w:tcW w:w="5245" w:type="dxa"/>
          </w:tcPr>
          <w:p w14:paraId="6F5D23D3" w14:textId="77777777" w:rsidR="00CC3670" w:rsidRPr="00D44FE0" w:rsidRDefault="00CC3670" w:rsidP="00845144">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D44FE0">
              <w:rPr>
                <w:rFonts w:eastAsia="Calibri"/>
                <w:szCs w:val="28"/>
              </w:rPr>
              <w:t>This feedback has informed the regulatory approach of including principles in the Bill that set broad parameters for the charging framework’s operation (for example, ensuring legislative enshrinement of important principles such as the citizen not having to pay to participate), but leaving specific details to be determined through subordinate instruments. The Program's response effectively addresses the need for certainty as expressed through submissions, while also allowing for flexibility.</w:t>
            </w:r>
          </w:p>
        </w:tc>
      </w:tr>
    </w:tbl>
    <w:p w14:paraId="033F0EAC" w14:textId="11EADDFB" w:rsidR="00D96153" w:rsidRPr="008627B3" w:rsidRDefault="00D96153" w:rsidP="00D96153">
      <w:pPr>
        <w:pStyle w:val="Heading2NoNumbers"/>
        <w:rPr>
          <w:color w:val="008675"/>
          <w:lang w:eastAsia="en-US"/>
        </w:rPr>
      </w:pPr>
      <w:bookmarkStart w:id="697" w:name="_Toc149740375"/>
      <w:r w:rsidRPr="008627B3">
        <w:rPr>
          <w:color w:val="008675"/>
          <w:lang w:eastAsia="en-US"/>
        </w:rPr>
        <w:lastRenderedPageBreak/>
        <w:t>Details September-October 2023 Consultation Round</w:t>
      </w:r>
      <w:bookmarkEnd w:id="697"/>
    </w:p>
    <w:p w14:paraId="6DED6CC4" w14:textId="4C37A4BB" w:rsidR="00AC0CF6" w:rsidRDefault="00AC0CF6" w:rsidP="00AC0CF6">
      <w:pPr>
        <w:pStyle w:val="BodyText"/>
        <w:rPr>
          <w:lang w:eastAsia="en-US"/>
        </w:rPr>
      </w:pPr>
      <w:r w:rsidRPr="00D44FE0">
        <w:rPr>
          <w:lang w:eastAsia="en-US"/>
        </w:rPr>
        <w:t xml:space="preserve">The Table below details the key themes and issues drawn from the Program’s most recent </w:t>
      </w:r>
      <w:r w:rsidRPr="00AC0CF6">
        <w:rPr>
          <w:lang w:eastAsia="en-US"/>
        </w:rPr>
        <w:t>exposure draft package</w:t>
      </w:r>
      <w:r w:rsidRPr="00D44FE0">
        <w:rPr>
          <w:lang w:eastAsia="en-US"/>
        </w:rPr>
        <w:t xml:space="preserve"> public consultation that occurred </w:t>
      </w:r>
      <w:r w:rsidR="00DA09C0">
        <w:rPr>
          <w:lang w:eastAsia="en-US"/>
        </w:rPr>
        <w:t>across September and October 2023</w:t>
      </w:r>
      <w:r w:rsidRPr="00D44FE0">
        <w:rPr>
          <w:lang w:eastAsia="en-US"/>
        </w:rPr>
        <w:t>.</w:t>
      </w:r>
      <w:r w:rsidR="003B38F8">
        <w:rPr>
          <w:lang w:eastAsia="en-US"/>
        </w:rPr>
        <w:t xml:space="preserve"> </w:t>
      </w:r>
    </w:p>
    <w:tbl>
      <w:tblPr>
        <w:tblStyle w:val="GridTable2-Accent3"/>
        <w:tblW w:w="12111" w:type="dxa"/>
        <w:tblBorders>
          <w:top w:val="none" w:sz="0" w:space="0" w:color="auto"/>
          <w:insideH w:val="single" w:sz="4" w:space="0" w:color="008675"/>
          <w:insideV w:val="single" w:sz="4" w:space="0" w:color="008675"/>
        </w:tblBorders>
        <w:tblLook w:val="04A0" w:firstRow="1" w:lastRow="0" w:firstColumn="1" w:lastColumn="0" w:noHBand="0" w:noVBand="1"/>
      </w:tblPr>
      <w:tblGrid>
        <w:gridCol w:w="2694"/>
        <w:gridCol w:w="4110"/>
        <w:gridCol w:w="5307"/>
      </w:tblGrid>
      <w:tr w:rsidR="003B38F8" w:rsidRPr="00CC3670" w14:paraId="56313FD1" w14:textId="77777777" w:rsidTr="00942C3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94" w:type="dxa"/>
            <w:hideMark/>
          </w:tcPr>
          <w:p w14:paraId="7A43638B" w14:textId="77777777" w:rsidR="00CC3670" w:rsidRPr="00CC3670" w:rsidRDefault="00CC3670" w:rsidP="00CC3670">
            <w:pPr>
              <w:pStyle w:val="TableTextLeft"/>
              <w:keepNext/>
              <w:rPr>
                <w:rFonts w:eastAsia="Calibri"/>
                <w:szCs w:val="28"/>
              </w:rPr>
            </w:pPr>
            <w:r w:rsidRPr="00CC3670">
              <w:rPr>
                <w:rFonts w:eastAsia="Calibri"/>
                <w:szCs w:val="28"/>
              </w:rPr>
              <w:lastRenderedPageBreak/>
              <w:t>Key finding  </w:t>
            </w:r>
          </w:p>
        </w:tc>
        <w:tc>
          <w:tcPr>
            <w:tcW w:w="0" w:type="dxa"/>
            <w:hideMark/>
          </w:tcPr>
          <w:p w14:paraId="064EC5DC" w14:textId="77777777" w:rsidR="00CC3670" w:rsidRPr="00CC3670" w:rsidRDefault="00CC3670" w:rsidP="00CC3670">
            <w:pPr>
              <w:pStyle w:val="TableTextLeft"/>
              <w:keepNext/>
              <w:cnfStyle w:val="100000000000" w:firstRow="1"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Details of response </w:t>
            </w:r>
          </w:p>
        </w:tc>
        <w:tc>
          <w:tcPr>
            <w:tcW w:w="0" w:type="dxa"/>
            <w:hideMark/>
          </w:tcPr>
          <w:p w14:paraId="17092DDD" w14:textId="3DFC533F" w:rsidR="00CC3670" w:rsidRPr="00CC3670" w:rsidRDefault="00CC3670" w:rsidP="00CC3670">
            <w:pPr>
              <w:pStyle w:val="TableTextLeft"/>
              <w:keepNext/>
              <w:cnfStyle w:val="100000000000" w:firstRow="1"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Impact on Program activity </w:t>
            </w:r>
          </w:p>
        </w:tc>
      </w:tr>
      <w:tr w:rsidR="003B38F8" w:rsidRPr="00CC3670" w14:paraId="0F191397" w14:textId="77777777" w:rsidTr="00942C37">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694" w:type="dxa"/>
            <w:shd w:val="clear" w:color="auto" w:fill="D2EEED"/>
            <w:hideMark/>
          </w:tcPr>
          <w:p w14:paraId="3A6A082C" w14:textId="77777777" w:rsidR="00CC3670" w:rsidRPr="00CC3670" w:rsidRDefault="00CC3670" w:rsidP="00CC3670">
            <w:pPr>
              <w:pStyle w:val="TableTextLeft"/>
              <w:keepNext/>
              <w:rPr>
                <w:rFonts w:eastAsia="Calibri"/>
                <w:szCs w:val="28"/>
              </w:rPr>
            </w:pPr>
            <w:r w:rsidRPr="00CC3670">
              <w:rPr>
                <w:rFonts w:eastAsia="Calibri"/>
                <w:szCs w:val="28"/>
              </w:rPr>
              <w:t>There is strong support for Digital ID from business and industry </w:t>
            </w:r>
          </w:p>
        </w:tc>
        <w:tc>
          <w:tcPr>
            <w:tcW w:w="4110" w:type="dxa"/>
            <w:shd w:val="clear" w:color="auto" w:fill="D2EEED"/>
            <w:hideMark/>
          </w:tcPr>
          <w:p w14:paraId="10C85242" w14:textId="6C7B5DE9"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Business and industry support the rollout of Digital ID</w:t>
            </w:r>
          </w:p>
        </w:tc>
        <w:tc>
          <w:tcPr>
            <w:tcW w:w="0" w:type="dxa"/>
            <w:shd w:val="clear" w:color="auto" w:fill="D2EEED"/>
            <w:hideMark/>
          </w:tcPr>
          <w:p w14:paraId="6BECA7ED" w14:textId="77777777"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Positive support from business and industry will assist the proposed Digital ID legislation. Increasing cyber breach events have emphasised the need for individuals transacting online to have a safe, secure and convenient way to prove who they are.  </w:t>
            </w:r>
          </w:p>
          <w:p w14:paraId="2CEDACDF" w14:textId="77777777"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br/>
              <w:t>Enshrining in legislation, privacy safeguards and enforceable penalties for breaches will build trust in the AGDIS and Accreditation Scheme. </w:t>
            </w:r>
          </w:p>
          <w:p w14:paraId="70087262" w14:textId="5EF01980"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p>
        </w:tc>
      </w:tr>
      <w:tr w:rsidR="00CC3670" w:rsidRPr="00CC3670" w14:paraId="34AC62AE" w14:textId="77777777" w:rsidTr="00942C37">
        <w:trPr>
          <w:trHeight w:val="1342"/>
        </w:trPr>
        <w:tc>
          <w:tcPr>
            <w:cnfStyle w:val="001000000000" w:firstRow="0" w:lastRow="0" w:firstColumn="1" w:lastColumn="0" w:oddVBand="0" w:evenVBand="0" w:oddHBand="0" w:evenHBand="0" w:firstRowFirstColumn="0" w:firstRowLastColumn="0" w:lastRowFirstColumn="0" w:lastRowLastColumn="0"/>
            <w:tcW w:w="2694" w:type="dxa"/>
            <w:hideMark/>
          </w:tcPr>
          <w:p w14:paraId="5011303E" w14:textId="77777777" w:rsidR="00CC3670" w:rsidRPr="00CC3670" w:rsidRDefault="00CC3670" w:rsidP="00CC3670">
            <w:pPr>
              <w:pStyle w:val="TableTextLeft"/>
              <w:keepNext/>
              <w:rPr>
                <w:rFonts w:eastAsia="Calibri"/>
                <w:szCs w:val="28"/>
              </w:rPr>
            </w:pPr>
            <w:r w:rsidRPr="00CC3670">
              <w:rPr>
                <w:rFonts w:eastAsia="Calibri"/>
                <w:szCs w:val="28"/>
              </w:rPr>
              <w:t>Business wants to maximise inclusion and stronger branding </w:t>
            </w:r>
          </w:p>
        </w:tc>
        <w:tc>
          <w:tcPr>
            <w:tcW w:w="4110" w:type="dxa"/>
            <w:hideMark/>
          </w:tcPr>
          <w:p w14:paraId="3E7490B1" w14:textId="7DC95D92"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The Digital ID Taskforce is developing an Inclusion strategy which has a strong focus on accessibility, affordability and digital ability </w:t>
            </w:r>
          </w:p>
          <w:p w14:paraId="6C5AECBC"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p w14:paraId="18DFABCC" w14:textId="76FDE97D" w:rsidR="00CC3670" w:rsidRPr="00CC3670" w:rsidRDefault="2A0191EC" w:rsidP="78F42BF0">
            <w:pPr>
              <w:pStyle w:val="TableTextLeft"/>
              <w:keepNext/>
              <w:cnfStyle w:val="000000000000" w:firstRow="0" w:lastRow="0" w:firstColumn="0" w:lastColumn="0" w:oddVBand="0" w:evenVBand="0" w:oddHBand="0" w:evenHBand="0" w:firstRowFirstColumn="0" w:firstRowLastColumn="0" w:lastRowFirstColumn="0" w:lastRowLastColumn="0"/>
              <w:rPr>
                <w:rFonts w:eastAsia="Calibri"/>
              </w:rPr>
            </w:pPr>
            <w:r w:rsidRPr="78F42BF0">
              <w:rPr>
                <w:rFonts w:eastAsia="Calibri"/>
              </w:rPr>
              <w:t xml:space="preserve">The passing of legislation will enable the development and use of a </w:t>
            </w:r>
            <w:r w:rsidR="4BE43BA8" w:rsidRPr="78F42BF0">
              <w:rPr>
                <w:rFonts w:eastAsia="Calibri"/>
              </w:rPr>
              <w:t>Trustmark</w:t>
            </w:r>
            <w:r w:rsidRPr="78F42BF0">
              <w:rPr>
                <w:rFonts w:eastAsia="Calibri"/>
              </w:rPr>
              <w:t xml:space="preserve"> for accredited services and AGDIS participants. The </w:t>
            </w:r>
            <w:r w:rsidR="225F3DDB" w:rsidRPr="78F42BF0">
              <w:rPr>
                <w:rFonts w:eastAsia="Calibri"/>
              </w:rPr>
              <w:t>Trustmark</w:t>
            </w:r>
            <w:r w:rsidRPr="78F42BF0">
              <w:rPr>
                <w:rFonts w:eastAsia="Calibri"/>
              </w:rPr>
              <w:t xml:space="preserve"> will develop trust in the AGDIS and the Accreditation Scheme for providing a safe, secure option for transacting online. </w:t>
            </w:r>
          </w:p>
          <w:p w14:paraId="57CE6E40"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 </w:t>
            </w:r>
          </w:p>
        </w:tc>
        <w:tc>
          <w:tcPr>
            <w:tcW w:w="5307" w:type="dxa"/>
            <w:hideMark/>
          </w:tcPr>
          <w:p w14:paraId="25686F7C"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The Digital ID Taskforce recognises that those that stand to benefit the most from a Digital ID will most likely be our most vulnerable members of society.  </w:t>
            </w:r>
          </w:p>
          <w:p w14:paraId="3289A08B"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 </w:t>
            </w:r>
          </w:p>
          <w:p w14:paraId="64E0CCAF"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The development of the Inclusion Strategy is underway and seeks to ensure that both the AGDIS and the Accreditation Scheme will provide best practice for various Inclusion aspects, but focussing on accessibility, affordability and digital ability. These policies will be developed with support from all levels of governments and privates sector input. </w:t>
            </w:r>
          </w:p>
          <w:p w14:paraId="1F194DC3"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 </w:t>
            </w:r>
          </w:p>
          <w:p w14:paraId="28C8F2CE"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Impact to the Taskforce is expected to be minimal. </w:t>
            </w:r>
          </w:p>
          <w:p w14:paraId="40178ED2"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 </w:t>
            </w:r>
          </w:p>
          <w:p w14:paraId="62CEDACA"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 </w:t>
            </w:r>
          </w:p>
        </w:tc>
      </w:tr>
      <w:tr w:rsidR="003B38F8" w:rsidRPr="00CC3670" w14:paraId="49F0EF89" w14:textId="77777777" w:rsidTr="00942C37">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694" w:type="dxa"/>
            <w:shd w:val="clear" w:color="auto" w:fill="D2EEED"/>
            <w:hideMark/>
          </w:tcPr>
          <w:p w14:paraId="54528B3F" w14:textId="77777777" w:rsidR="00CC3670" w:rsidRPr="00CC3670" w:rsidRDefault="00CC3670" w:rsidP="00CC3670">
            <w:pPr>
              <w:pStyle w:val="TableTextLeft"/>
              <w:keepNext/>
              <w:rPr>
                <w:rFonts w:eastAsia="Calibri"/>
                <w:szCs w:val="28"/>
              </w:rPr>
            </w:pPr>
            <w:r w:rsidRPr="00CC3670">
              <w:rPr>
                <w:rFonts w:eastAsia="Calibri"/>
                <w:szCs w:val="28"/>
              </w:rPr>
              <w:lastRenderedPageBreak/>
              <w:t>Phasing and interoperability needs more consideration for private sector participation </w:t>
            </w:r>
          </w:p>
        </w:tc>
        <w:tc>
          <w:tcPr>
            <w:tcW w:w="4110" w:type="dxa"/>
            <w:shd w:val="clear" w:color="auto" w:fill="D2EEED"/>
            <w:hideMark/>
          </w:tcPr>
          <w:p w14:paraId="38F0BEF2" w14:textId="77777777" w:rsid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The expansion of the AGDIS will be done in phases to ensure foundational elements of the AGDIS and Accreditation scheme are established before enabling private sector participation.  </w:t>
            </w:r>
          </w:p>
          <w:p w14:paraId="7DB4C826" w14:textId="53CEA084"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 </w:t>
            </w:r>
          </w:p>
          <w:p w14:paraId="1B6F58F6" w14:textId="77777777"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Introduction of each phase will be a consideration for Government.  </w:t>
            </w:r>
          </w:p>
        </w:tc>
        <w:tc>
          <w:tcPr>
            <w:tcW w:w="0" w:type="dxa"/>
            <w:shd w:val="clear" w:color="auto" w:fill="D2EEED"/>
            <w:hideMark/>
          </w:tcPr>
          <w:p w14:paraId="19B49249" w14:textId="77777777" w:rsid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Phasing the expansion of the AGDIS is required to lay foundation components, specifically the establishment of Governance for the AGDIS, the associated roles and responsibilities and successful introduction of the draft legislation, enabling state and territory governments and private sector participation. </w:t>
            </w:r>
          </w:p>
          <w:p w14:paraId="6662433C" w14:textId="77777777"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p>
          <w:p w14:paraId="3F5CC7D9" w14:textId="77777777"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The subsequent phasing will be enabled by Government where further consideration will be given to enabling private sector participation within the AGDIS. </w:t>
            </w:r>
          </w:p>
          <w:p w14:paraId="6B34215D" w14:textId="4B44B4DC"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p>
        </w:tc>
      </w:tr>
      <w:tr w:rsidR="00CC3670" w:rsidRPr="00CC3670" w14:paraId="72A55DA2" w14:textId="77777777" w:rsidTr="00942C37">
        <w:trPr>
          <w:trHeight w:val="1454"/>
        </w:trPr>
        <w:tc>
          <w:tcPr>
            <w:cnfStyle w:val="001000000000" w:firstRow="0" w:lastRow="0" w:firstColumn="1" w:lastColumn="0" w:oddVBand="0" w:evenVBand="0" w:oddHBand="0" w:evenHBand="0" w:firstRowFirstColumn="0" w:firstRowLastColumn="0" w:lastRowFirstColumn="0" w:lastRowLastColumn="0"/>
            <w:tcW w:w="2694" w:type="dxa"/>
            <w:hideMark/>
          </w:tcPr>
          <w:p w14:paraId="3B223343" w14:textId="77777777" w:rsidR="00CC3670" w:rsidRPr="00CC3670" w:rsidRDefault="00CC3670" w:rsidP="00CC3670">
            <w:pPr>
              <w:pStyle w:val="TableTextLeft"/>
              <w:keepNext/>
              <w:rPr>
                <w:rFonts w:eastAsia="Calibri"/>
                <w:szCs w:val="28"/>
              </w:rPr>
            </w:pPr>
            <w:r w:rsidRPr="00CC3670">
              <w:rPr>
                <w:rFonts w:eastAsia="Calibri"/>
                <w:szCs w:val="28"/>
              </w:rPr>
              <w:t>Interoperability with other digital identity systems and digital wallets </w:t>
            </w:r>
          </w:p>
        </w:tc>
        <w:tc>
          <w:tcPr>
            <w:tcW w:w="4110" w:type="dxa"/>
            <w:hideMark/>
          </w:tcPr>
          <w:p w14:paraId="2A1558AC"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The AGDIS has been built utilising a federated model allowing public and private sector identity providers to supply trusted digital identities to individuals and businesses. </w:t>
            </w:r>
          </w:p>
          <w:p w14:paraId="0FF79554"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The federated model allows interoperability with the various developing digital identity ecosystems outside of the AGDIS. </w:t>
            </w:r>
          </w:p>
          <w:p w14:paraId="28287F00"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Policy development for digital wallets is underway  </w:t>
            </w:r>
          </w:p>
        </w:tc>
        <w:tc>
          <w:tcPr>
            <w:tcW w:w="5307" w:type="dxa"/>
            <w:hideMark/>
          </w:tcPr>
          <w:p w14:paraId="349CE16B" w14:textId="62BA32FB"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Earlier research focussed on the operation of digital ID systems across other international examples. This research led to inclusion of an interoperability obligation, clarifying the expectation of how entities would interact.   </w:t>
            </w:r>
          </w:p>
          <w:p w14:paraId="0180851D" w14:textId="77777777"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CC3670">
              <w:rPr>
                <w:rFonts w:eastAsia="Calibri"/>
                <w:szCs w:val="28"/>
              </w:rPr>
              <w:t> </w:t>
            </w:r>
          </w:p>
          <w:p w14:paraId="44E07997" w14:textId="3201C063" w:rsidR="00CC3670" w:rsidRPr="00CC3670" w:rsidRDefault="00CC3670"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rPr>
            </w:pPr>
            <w:r w:rsidRPr="16EF2BD3">
              <w:rPr>
                <w:rFonts w:eastAsia="Calibri"/>
              </w:rPr>
              <w:t>There is zero to minimal impact expected to the program on the policy development for use of digital wallets.  </w:t>
            </w:r>
          </w:p>
        </w:tc>
      </w:tr>
      <w:tr w:rsidR="003B38F8" w:rsidRPr="00CC3670" w14:paraId="7970C6FA" w14:textId="77777777" w:rsidTr="00942C37">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2694" w:type="dxa"/>
            <w:shd w:val="clear" w:color="auto" w:fill="D2EEED"/>
            <w:hideMark/>
          </w:tcPr>
          <w:p w14:paraId="4D061081" w14:textId="77777777" w:rsidR="00CC3670" w:rsidRPr="00CC3670" w:rsidRDefault="00CC3670" w:rsidP="00CC3670">
            <w:pPr>
              <w:pStyle w:val="TableTextLeft"/>
              <w:keepNext/>
              <w:rPr>
                <w:rFonts w:eastAsia="Calibri"/>
                <w:szCs w:val="28"/>
              </w:rPr>
            </w:pPr>
            <w:r w:rsidRPr="00CC3670">
              <w:rPr>
                <w:rFonts w:eastAsia="Calibri"/>
                <w:szCs w:val="28"/>
              </w:rPr>
              <w:t>Alignment with other Commonwealth reviews, legislative instruments and processes is required </w:t>
            </w:r>
          </w:p>
        </w:tc>
        <w:tc>
          <w:tcPr>
            <w:tcW w:w="4110" w:type="dxa"/>
            <w:shd w:val="clear" w:color="auto" w:fill="D2EEED"/>
            <w:hideMark/>
          </w:tcPr>
          <w:p w14:paraId="7CB3FA0E" w14:textId="77777777"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The Taskforce are working across Commonwealth agencies to align developing legislation which seek to provide stronger cyber security protections and minimise duplication of regulatory requirements. </w:t>
            </w:r>
          </w:p>
        </w:tc>
        <w:tc>
          <w:tcPr>
            <w:tcW w:w="0" w:type="dxa"/>
            <w:shd w:val="clear" w:color="auto" w:fill="D2EEED"/>
            <w:hideMark/>
          </w:tcPr>
          <w:p w14:paraId="1F8CD915" w14:textId="0BE2A88C" w:rsidR="00CC3670" w:rsidRPr="00CC3670" w:rsidRDefault="00CC3670" w:rsidP="00CC3670">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CC3670">
              <w:rPr>
                <w:rFonts w:eastAsia="Calibri"/>
                <w:szCs w:val="28"/>
              </w:rPr>
              <w:t xml:space="preserve">There is a potential impact pending outcomes of the Privacy Review. </w:t>
            </w:r>
          </w:p>
        </w:tc>
      </w:tr>
      <w:tr w:rsidR="00F319E5" w:rsidRPr="00CC3670" w14:paraId="36EF0552" w14:textId="77777777" w:rsidTr="00942C37">
        <w:trPr>
          <w:trHeight w:val="1294"/>
        </w:trPr>
        <w:tc>
          <w:tcPr>
            <w:cnfStyle w:val="001000000000" w:firstRow="0" w:lastRow="0" w:firstColumn="1" w:lastColumn="0" w:oddVBand="0" w:evenVBand="0" w:oddHBand="0" w:evenHBand="0" w:firstRowFirstColumn="0" w:firstRowLastColumn="0" w:lastRowFirstColumn="0" w:lastRowLastColumn="0"/>
            <w:tcW w:w="2694" w:type="dxa"/>
          </w:tcPr>
          <w:p w14:paraId="2867D98B" w14:textId="77777777" w:rsidR="00F319E5" w:rsidRPr="00CC3670" w:rsidRDefault="00F319E5" w:rsidP="00CC3670">
            <w:pPr>
              <w:pStyle w:val="TableTextLeft"/>
              <w:keepNext/>
              <w:rPr>
                <w:rFonts w:eastAsia="Calibri"/>
                <w:szCs w:val="28"/>
              </w:rPr>
            </w:pPr>
          </w:p>
        </w:tc>
        <w:tc>
          <w:tcPr>
            <w:tcW w:w="4110" w:type="dxa"/>
          </w:tcPr>
          <w:p w14:paraId="331184C3" w14:textId="77777777" w:rsidR="00F319E5" w:rsidRPr="00CC3670" w:rsidRDefault="00F319E5"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tc>
        <w:tc>
          <w:tcPr>
            <w:tcW w:w="5307" w:type="dxa"/>
          </w:tcPr>
          <w:p w14:paraId="421EE975" w14:textId="77777777" w:rsidR="00F319E5" w:rsidRPr="00CC3670" w:rsidRDefault="00F319E5" w:rsidP="00CC3670">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tc>
      </w:tr>
      <w:tr w:rsidR="003B38F8" w:rsidRPr="00F319E5" w14:paraId="1560F6F5" w14:textId="77777777" w:rsidTr="00942C37">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694" w:type="dxa"/>
            <w:shd w:val="clear" w:color="auto" w:fill="D2EEED"/>
            <w:hideMark/>
          </w:tcPr>
          <w:p w14:paraId="12786A4F" w14:textId="77777777" w:rsidR="00F319E5" w:rsidRPr="00F319E5" w:rsidRDefault="00F319E5" w:rsidP="00C31299">
            <w:pPr>
              <w:pStyle w:val="TableTextLeft"/>
              <w:keepNext/>
              <w:rPr>
                <w:rFonts w:eastAsia="Calibri"/>
                <w:szCs w:val="28"/>
              </w:rPr>
            </w:pPr>
            <w:r w:rsidRPr="00F319E5">
              <w:rPr>
                <w:rFonts w:eastAsia="Calibri"/>
                <w:szCs w:val="28"/>
              </w:rPr>
              <w:t>What will be the associated charging and costs with participation and accreditation be?  </w:t>
            </w:r>
          </w:p>
        </w:tc>
        <w:tc>
          <w:tcPr>
            <w:tcW w:w="4110" w:type="dxa"/>
            <w:shd w:val="clear" w:color="auto" w:fill="D2EEED"/>
            <w:hideMark/>
          </w:tcPr>
          <w:p w14:paraId="3093044F" w14:textId="07F24007" w:rsidR="00F319E5" w:rsidRPr="00F319E5" w:rsidRDefault="00F319E5"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F319E5">
              <w:rPr>
                <w:rFonts w:eastAsia="Calibri"/>
                <w:szCs w:val="28"/>
              </w:rPr>
              <w:t xml:space="preserve">Government will not charge for accreditation and participation during the first </w:t>
            </w:r>
            <w:r w:rsidR="009B12CD">
              <w:rPr>
                <w:rFonts w:eastAsia="Calibri"/>
                <w:szCs w:val="28"/>
              </w:rPr>
              <w:t>two</w:t>
            </w:r>
            <w:r w:rsidRPr="00F319E5">
              <w:rPr>
                <w:rFonts w:eastAsia="Calibri"/>
                <w:szCs w:val="28"/>
              </w:rPr>
              <w:t xml:space="preserve"> phases of expansion  </w:t>
            </w:r>
          </w:p>
          <w:p w14:paraId="1FE16E8A" w14:textId="77777777" w:rsidR="00C31299" w:rsidRPr="00C31299" w:rsidRDefault="00C31299"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p>
          <w:p w14:paraId="1319199A" w14:textId="19424F1B" w:rsidR="00F319E5" w:rsidRPr="00F319E5" w:rsidRDefault="00F319E5"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F319E5">
              <w:rPr>
                <w:rFonts w:eastAsia="Calibri"/>
                <w:szCs w:val="28"/>
              </w:rPr>
              <w:t>Users will not be charged for creating and using a Digital ID </w:t>
            </w:r>
          </w:p>
          <w:p w14:paraId="76ED7EA7" w14:textId="77777777" w:rsidR="00C31299" w:rsidRPr="00C31299" w:rsidRDefault="00C31299"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p>
          <w:p w14:paraId="44F7E6B0" w14:textId="265A72A9" w:rsidR="00F319E5" w:rsidRPr="00F319E5" w:rsidRDefault="00F319E5"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F319E5">
              <w:rPr>
                <w:rFonts w:eastAsia="Calibri"/>
                <w:szCs w:val="28"/>
              </w:rPr>
              <w:t>Accreditation and service provider charges are still being considered by Government </w:t>
            </w:r>
          </w:p>
          <w:p w14:paraId="7559BB30" w14:textId="77777777" w:rsidR="00F319E5" w:rsidRPr="00F319E5" w:rsidRDefault="00F319E5"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F319E5">
              <w:rPr>
                <w:rFonts w:eastAsia="Calibri"/>
                <w:szCs w:val="28"/>
              </w:rPr>
              <w:t> </w:t>
            </w:r>
          </w:p>
        </w:tc>
        <w:tc>
          <w:tcPr>
            <w:tcW w:w="0" w:type="dxa"/>
            <w:shd w:val="clear" w:color="auto" w:fill="D2EEED"/>
            <w:hideMark/>
          </w:tcPr>
          <w:p w14:paraId="0E6F04B2" w14:textId="77777777" w:rsidR="00F319E5" w:rsidRPr="00F319E5" w:rsidRDefault="00F319E5"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F319E5">
              <w:rPr>
                <w:rFonts w:eastAsia="Calibri"/>
                <w:szCs w:val="28"/>
              </w:rPr>
              <w:t>Finance will develop an approach for charging, which will include public consultation, for Government consideration ahead of implementation of phases where the private sector can join the Australian Government Digital ID System. </w:t>
            </w:r>
          </w:p>
          <w:p w14:paraId="3C7D59E0" w14:textId="77777777" w:rsidR="00C31299" w:rsidRDefault="00F319E5"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sidRPr="00F319E5">
              <w:rPr>
                <w:rFonts w:eastAsia="Calibri"/>
                <w:szCs w:val="28"/>
              </w:rPr>
              <w:t> </w:t>
            </w:r>
          </w:p>
          <w:p w14:paraId="17F7B82B" w14:textId="43AFC196" w:rsidR="00F319E5" w:rsidRPr="00F319E5" w:rsidRDefault="00C31299" w:rsidP="00C31299">
            <w:pPr>
              <w:pStyle w:val="TableTextLeft"/>
              <w:keepNext/>
              <w:cnfStyle w:val="000000100000" w:firstRow="0" w:lastRow="0" w:firstColumn="0" w:lastColumn="0" w:oddVBand="0" w:evenVBand="0" w:oddHBand="1" w:evenHBand="0" w:firstRowFirstColumn="0" w:firstRowLastColumn="0" w:lastRowFirstColumn="0" w:lastRowLastColumn="0"/>
              <w:rPr>
                <w:rFonts w:eastAsia="Calibri"/>
                <w:szCs w:val="28"/>
              </w:rPr>
            </w:pPr>
            <w:r>
              <w:rPr>
                <w:rFonts w:eastAsia="Calibri"/>
                <w:szCs w:val="28"/>
              </w:rPr>
              <w:t>P</w:t>
            </w:r>
            <w:r w:rsidR="00F319E5" w:rsidRPr="00F319E5">
              <w:rPr>
                <w:rFonts w:eastAsia="Calibri"/>
                <w:szCs w:val="28"/>
              </w:rPr>
              <w:t>olicy development and charging</w:t>
            </w:r>
            <w:r>
              <w:rPr>
                <w:rFonts w:eastAsia="Calibri"/>
                <w:szCs w:val="28"/>
              </w:rPr>
              <w:t xml:space="preserve"> work</w:t>
            </w:r>
            <w:r w:rsidR="00F319E5" w:rsidRPr="00F319E5">
              <w:rPr>
                <w:rFonts w:eastAsia="Calibri"/>
                <w:szCs w:val="28"/>
              </w:rPr>
              <w:t xml:space="preserve"> to inform this process and future charging arrangements. </w:t>
            </w:r>
          </w:p>
        </w:tc>
      </w:tr>
      <w:tr w:rsidR="00F319E5" w:rsidRPr="00F319E5" w14:paraId="522BABD8" w14:textId="77777777" w:rsidTr="00942C37">
        <w:trPr>
          <w:trHeight w:val="750"/>
        </w:trPr>
        <w:tc>
          <w:tcPr>
            <w:cnfStyle w:val="001000000000" w:firstRow="0" w:lastRow="0" w:firstColumn="1" w:lastColumn="0" w:oddVBand="0" w:evenVBand="0" w:oddHBand="0" w:evenHBand="0" w:firstRowFirstColumn="0" w:firstRowLastColumn="0" w:lastRowFirstColumn="0" w:lastRowLastColumn="0"/>
            <w:tcW w:w="2694" w:type="dxa"/>
            <w:hideMark/>
          </w:tcPr>
          <w:p w14:paraId="43EEC45C" w14:textId="77777777" w:rsidR="00F319E5" w:rsidRPr="00F319E5" w:rsidRDefault="00F319E5" w:rsidP="00C31299">
            <w:pPr>
              <w:pStyle w:val="TableTextLeft"/>
              <w:keepNext/>
              <w:rPr>
                <w:rFonts w:eastAsia="Calibri"/>
                <w:szCs w:val="28"/>
              </w:rPr>
            </w:pPr>
            <w:r w:rsidRPr="00F319E5">
              <w:rPr>
                <w:rFonts w:eastAsia="Calibri"/>
                <w:szCs w:val="28"/>
              </w:rPr>
              <w:lastRenderedPageBreak/>
              <w:t>Strong support for: </w:t>
            </w:r>
          </w:p>
          <w:p w14:paraId="39EFCF78" w14:textId="77777777" w:rsidR="00F319E5" w:rsidRPr="00F319E5" w:rsidRDefault="00F319E5" w:rsidP="00C31299">
            <w:pPr>
              <w:pStyle w:val="TableTextLeft"/>
              <w:keepNext/>
              <w:rPr>
                <w:rFonts w:eastAsia="Calibri"/>
                <w:szCs w:val="28"/>
              </w:rPr>
            </w:pPr>
            <w:r w:rsidRPr="00F319E5">
              <w:rPr>
                <w:rFonts w:eastAsia="Calibri"/>
                <w:szCs w:val="28"/>
              </w:rPr>
              <w:t>Digital ID to remain voluntary for Government services; and </w:t>
            </w:r>
          </w:p>
          <w:p w14:paraId="3F551864" w14:textId="77777777" w:rsidR="00C31299" w:rsidRPr="00C31299" w:rsidRDefault="00C31299" w:rsidP="00C31299">
            <w:pPr>
              <w:pStyle w:val="TableTextLeft"/>
              <w:keepNext/>
              <w:rPr>
                <w:rFonts w:eastAsia="Calibri"/>
                <w:szCs w:val="28"/>
              </w:rPr>
            </w:pPr>
          </w:p>
          <w:p w14:paraId="3FF70476" w14:textId="293DB4FD" w:rsidR="00F319E5" w:rsidRPr="00F319E5" w:rsidRDefault="00F319E5" w:rsidP="00C31299">
            <w:pPr>
              <w:pStyle w:val="TableTextLeft"/>
              <w:keepNext/>
              <w:rPr>
                <w:rFonts w:eastAsia="Calibri"/>
                <w:szCs w:val="28"/>
              </w:rPr>
            </w:pPr>
            <w:r w:rsidRPr="00F319E5">
              <w:rPr>
                <w:rFonts w:eastAsia="Calibri"/>
                <w:szCs w:val="28"/>
              </w:rPr>
              <w:t>Government services continue to provide non digital options for individuals who cannot, or choose not to obtain a Digital ID </w:t>
            </w:r>
          </w:p>
        </w:tc>
        <w:tc>
          <w:tcPr>
            <w:tcW w:w="4110" w:type="dxa"/>
            <w:hideMark/>
          </w:tcPr>
          <w:p w14:paraId="5693EAFF" w14:textId="77777777" w:rsidR="00C31299" w:rsidRPr="00C31299" w:rsidRDefault="00C31299"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p w14:paraId="027302DB" w14:textId="1020D4E4"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F319E5">
              <w:rPr>
                <w:rFonts w:eastAsia="Calibri"/>
                <w:szCs w:val="28"/>
              </w:rPr>
              <w:t>The Government’s key policy decision is that creation and use of a Digital ID by an individual to access Government services for an individual within the AGDIS will be voluntary. </w:t>
            </w:r>
          </w:p>
          <w:p w14:paraId="541ECD6F" w14:textId="77777777" w:rsidR="00C31299" w:rsidRPr="00C31299" w:rsidRDefault="00C31299"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p w14:paraId="114132D3" w14:textId="03AB0D03"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F319E5">
              <w:rPr>
                <w:rFonts w:eastAsia="Calibri"/>
                <w:szCs w:val="28"/>
              </w:rPr>
              <w:t>Services can seek an exemption from the Regulator to this requirement, such that they can require use of a Digital ID to access the service. </w:t>
            </w:r>
          </w:p>
          <w:p w14:paraId="10BF092F" w14:textId="77777777" w:rsidR="00C31299" w:rsidRPr="00C31299" w:rsidRDefault="00C31299"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p w14:paraId="0D478307" w14:textId="481093C8"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F319E5">
              <w:rPr>
                <w:rFonts w:eastAsia="Calibri"/>
                <w:szCs w:val="28"/>
              </w:rPr>
              <w:t>This voluntariness principle does not apply to services where an individual is acting on behalf of another entity in a professional or business capacity </w:t>
            </w:r>
          </w:p>
          <w:p w14:paraId="51340807" w14:textId="77777777" w:rsidR="00C31299" w:rsidRPr="00C31299" w:rsidRDefault="00C31299"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p w14:paraId="0B7A5AC5" w14:textId="3F022AE2"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F319E5">
              <w:rPr>
                <w:rFonts w:eastAsia="Calibri"/>
                <w:szCs w:val="28"/>
              </w:rPr>
              <w:t>The voluntariness principle does not apply for services operating outside of the AGDIS, including services provided outside the AGDIS by an accredited Digital ID provider  </w:t>
            </w:r>
          </w:p>
        </w:tc>
        <w:tc>
          <w:tcPr>
            <w:tcW w:w="5307" w:type="dxa"/>
            <w:hideMark/>
          </w:tcPr>
          <w:p w14:paraId="08B37624" w14:textId="77777777" w:rsidR="00C31299" w:rsidRDefault="00C31299"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p w14:paraId="6FF8E605" w14:textId="64BE0A8B"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rPr>
            </w:pPr>
            <w:r w:rsidRPr="12D66F4E">
              <w:rPr>
                <w:rFonts w:eastAsia="Calibri"/>
              </w:rPr>
              <w:t>Impacts of the Voluntariness rule will be monitored to ensure Inclusion standards are met within the AGDIS. </w:t>
            </w:r>
            <w:r w:rsidR="71811068" w:rsidRPr="1F67DC0B">
              <w:rPr>
                <w:rFonts w:eastAsia="Calibri"/>
              </w:rPr>
              <w:t xml:space="preserve"> </w:t>
            </w:r>
            <w:r w:rsidR="71811068" w:rsidRPr="00960F18">
              <w:rPr>
                <w:rFonts w:eastAsia="Calibri"/>
                <w:szCs w:val="20"/>
              </w:rPr>
              <w:t>F</w:t>
            </w:r>
            <w:r w:rsidR="71811068" w:rsidRPr="64E161E0">
              <w:rPr>
                <w:rFonts w:eastAsia="Calibri"/>
                <w:szCs w:val="20"/>
              </w:rPr>
              <w:t xml:space="preserve">urther consultation is proposed through the Parliamentary process before legislation is passed. </w:t>
            </w:r>
            <w:r w:rsidR="71811068" w:rsidRPr="1F67DC0B">
              <w:t xml:space="preserve"> </w:t>
            </w:r>
          </w:p>
          <w:p w14:paraId="7CFE7D3B" w14:textId="711D89FD" w:rsidR="12D66F4E" w:rsidRDefault="12D66F4E" w:rsidP="12D66F4E">
            <w:pPr>
              <w:pStyle w:val="TableTextLeft"/>
              <w:keepNext/>
              <w:cnfStyle w:val="000000000000" w:firstRow="0" w:lastRow="0" w:firstColumn="0" w:lastColumn="0" w:oddVBand="0" w:evenVBand="0" w:oddHBand="0" w:evenHBand="0" w:firstRowFirstColumn="0" w:firstRowLastColumn="0" w:lastRowFirstColumn="0" w:lastRowLastColumn="0"/>
              <w:rPr>
                <w:rFonts w:eastAsia="Calibri"/>
              </w:rPr>
            </w:pPr>
          </w:p>
          <w:p w14:paraId="3A9D3F55" w14:textId="738EFFA4"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F319E5">
              <w:rPr>
                <w:rFonts w:eastAsia="Calibri"/>
                <w:szCs w:val="28"/>
              </w:rPr>
              <w:t>The Voluntariness principle may</w:t>
            </w:r>
            <w:r w:rsidR="00C14884">
              <w:rPr>
                <w:rFonts w:eastAsia="Calibri"/>
                <w:szCs w:val="28"/>
              </w:rPr>
              <w:t xml:space="preserve"> </w:t>
            </w:r>
            <w:r w:rsidRPr="00F319E5">
              <w:rPr>
                <w:rFonts w:eastAsia="Calibri"/>
                <w:szCs w:val="28"/>
              </w:rPr>
              <w:t xml:space="preserve">be reviewed again at the </w:t>
            </w:r>
            <w:r w:rsidR="1047FC0A" w:rsidRPr="5AB9E008">
              <w:rPr>
                <w:rFonts w:eastAsia="Calibri"/>
              </w:rPr>
              <w:t>two</w:t>
            </w:r>
            <w:r w:rsidRPr="00F319E5">
              <w:rPr>
                <w:rFonts w:eastAsia="Calibri"/>
                <w:szCs w:val="28"/>
              </w:rPr>
              <w:t xml:space="preserve"> year Review point and may also consider potential impacts of Voluntariness in the private sector.  </w:t>
            </w:r>
          </w:p>
          <w:p w14:paraId="3D9380E9" w14:textId="77777777"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r w:rsidRPr="00F319E5">
              <w:rPr>
                <w:rFonts w:eastAsia="Calibri"/>
                <w:szCs w:val="28"/>
              </w:rPr>
              <w:t> </w:t>
            </w:r>
          </w:p>
          <w:p w14:paraId="5EC54D19" w14:textId="0580228F" w:rsidR="00F319E5" w:rsidRPr="00F319E5" w:rsidRDefault="00F319E5" w:rsidP="00C31299">
            <w:pPr>
              <w:pStyle w:val="TableTextLeft"/>
              <w:keepNext/>
              <w:cnfStyle w:val="000000000000" w:firstRow="0" w:lastRow="0" w:firstColumn="0" w:lastColumn="0" w:oddVBand="0" w:evenVBand="0" w:oddHBand="0" w:evenHBand="0" w:firstRowFirstColumn="0" w:firstRowLastColumn="0" w:lastRowFirstColumn="0" w:lastRowLastColumn="0"/>
              <w:rPr>
                <w:rFonts w:eastAsia="Calibri"/>
                <w:szCs w:val="28"/>
              </w:rPr>
            </w:pPr>
          </w:p>
        </w:tc>
      </w:tr>
    </w:tbl>
    <w:p w14:paraId="6920BD43" w14:textId="0EA39C1F" w:rsidR="00B42317" w:rsidRPr="00B42317" w:rsidRDefault="00B42317" w:rsidP="00B42317">
      <w:pPr>
        <w:pStyle w:val="BodyText"/>
        <w:rPr>
          <w:lang w:eastAsia="en-US"/>
        </w:rPr>
        <w:sectPr w:rsidR="00B42317" w:rsidRPr="00B42317" w:rsidSect="00445124">
          <w:pgSz w:w="16840" w:h="11907" w:orient="landscape" w:code="9"/>
          <w:pgMar w:top="1418" w:right="1418" w:bottom="1418" w:left="1418" w:header="567" w:footer="340" w:gutter="0"/>
          <w:cols w:space="720"/>
          <w:docGrid w:linePitch="326"/>
        </w:sectPr>
      </w:pPr>
    </w:p>
    <w:p w14:paraId="6817236F" w14:textId="60B36F30" w:rsidR="0022397E" w:rsidRPr="008627B3" w:rsidRDefault="0022397E" w:rsidP="00A60647">
      <w:pPr>
        <w:pStyle w:val="Heading2NoNumbers"/>
        <w:rPr>
          <w:color w:val="008675"/>
          <w:lang w:eastAsia="en-US"/>
        </w:rPr>
      </w:pPr>
      <w:bookmarkStart w:id="698" w:name="_Toc149740376"/>
      <w:r w:rsidRPr="008627B3">
        <w:rPr>
          <w:color w:val="008675"/>
          <w:lang w:eastAsia="en-US"/>
        </w:rPr>
        <w:lastRenderedPageBreak/>
        <w:t>Evolution of stakeholder views throughout consultation</w:t>
      </w:r>
      <w:bookmarkEnd w:id="698"/>
      <w:r w:rsidRPr="008627B3">
        <w:rPr>
          <w:color w:val="008675"/>
          <w:lang w:eastAsia="en-US"/>
        </w:rPr>
        <w:t xml:space="preserve"> </w:t>
      </w:r>
    </w:p>
    <w:p w14:paraId="724575B2" w14:textId="4FF23222" w:rsidR="00280DC7" w:rsidRPr="00D44FE0" w:rsidRDefault="006D11C2" w:rsidP="00280DC7">
      <w:pPr>
        <w:pStyle w:val="BodyText"/>
        <w:rPr>
          <w:lang w:eastAsia="en-US"/>
        </w:rPr>
      </w:pPr>
      <w:r w:rsidRPr="00D44FE0">
        <w:rPr>
          <w:lang w:eastAsia="en-US"/>
        </w:rPr>
        <w:t>The</w:t>
      </w:r>
      <w:r w:rsidRPr="00D44FE0" w:rsidDel="008627B3">
        <w:rPr>
          <w:lang w:eastAsia="en-US"/>
        </w:rPr>
        <w:t xml:space="preserve"> </w:t>
      </w:r>
      <w:r w:rsidR="008627B3">
        <w:rPr>
          <w:lang w:eastAsia="en-US"/>
        </w:rPr>
        <w:t>t</w:t>
      </w:r>
      <w:r w:rsidR="008627B3" w:rsidRPr="00D44FE0">
        <w:rPr>
          <w:lang w:eastAsia="en-US"/>
        </w:rPr>
        <w:t xml:space="preserve">able </w:t>
      </w:r>
      <w:r w:rsidRPr="00D44FE0">
        <w:rPr>
          <w:lang w:eastAsia="en-US"/>
        </w:rPr>
        <w:t>below</w:t>
      </w:r>
      <w:r w:rsidR="00280DC7" w:rsidRPr="00D44FE0">
        <w:rPr>
          <w:lang w:eastAsia="en-US"/>
        </w:rPr>
        <w:t xml:space="preserve"> provides </w:t>
      </w:r>
      <w:r w:rsidR="005E621B" w:rsidRPr="00D44FE0">
        <w:rPr>
          <w:lang w:eastAsia="en-US"/>
        </w:rPr>
        <w:t>a</w:t>
      </w:r>
      <w:r w:rsidR="009F762B" w:rsidRPr="00D44FE0">
        <w:rPr>
          <w:lang w:eastAsia="en-US"/>
        </w:rPr>
        <w:t>n</w:t>
      </w:r>
      <w:r w:rsidR="005E621B" w:rsidRPr="00D44FE0">
        <w:rPr>
          <w:lang w:eastAsia="en-US"/>
        </w:rPr>
        <w:t xml:space="preserve"> overview of how the </w:t>
      </w:r>
      <w:r w:rsidR="00280DC7" w:rsidRPr="00D44FE0">
        <w:rPr>
          <w:lang w:eastAsia="en-US"/>
        </w:rPr>
        <w:t xml:space="preserve">views of </w:t>
      </w:r>
      <w:r w:rsidR="00F831DD" w:rsidRPr="00D44FE0">
        <w:rPr>
          <w:lang w:eastAsia="en-US"/>
        </w:rPr>
        <w:t>i</w:t>
      </w:r>
      <w:r w:rsidR="005E621B" w:rsidRPr="00D44FE0">
        <w:rPr>
          <w:lang w:eastAsia="en-US"/>
        </w:rPr>
        <w:t>ndividual</w:t>
      </w:r>
      <w:r w:rsidR="00F831DD" w:rsidRPr="00D44FE0">
        <w:rPr>
          <w:lang w:eastAsia="en-US"/>
        </w:rPr>
        <w:t>s</w:t>
      </w:r>
      <w:r w:rsidR="005E621B" w:rsidRPr="00D44FE0">
        <w:rPr>
          <w:lang w:eastAsia="en-US"/>
        </w:rPr>
        <w:t>, business</w:t>
      </w:r>
      <w:r w:rsidR="00F831DD" w:rsidRPr="00D44FE0">
        <w:rPr>
          <w:lang w:eastAsia="en-US"/>
        </w:rPr>
        <w:t>es</w:t>
      </w:r>
      <w:r w:rsidR="005E621B" w:rsidRPr="00D44FE0">
        <w:rPr>
          <w:lang w:eastAsia="en-US"/>
        </w:rPr>
        <w:t>, communit</w:t>
      </w:r>
      <w:r w:rsidR="00F831DD" w:rsidRPr="00D44FE0">
        <w:rPr>
          <w:lang w:eastAsia="en-US"/>
        </w:rPr>
        <w:t>ies</w:t>
      </w:r>
      <w:r w:rsidR="005E621B" w:rsidRPr="00D44FE0">
        <w:rPr>
          <w:lang w:eastAsia="en-US"/>
        </w:rPr>
        <w:t xml:space="preserve"> and government</w:t>
      </w:r>
      <w:r w:rsidR="00F831DD" w:rsidRPr="00D44FE0">
        <w:rPr>
          <w:lang w:eastAsia="en-US"/>
        </w:rPr>
        <w:t>s</w:t>
      </w:r>
      <w:r w:rsidR="005E621B" w:rsidRPr="00D44FE0">
        <w:rPr>
          <w:lang w:eastAsia="en-US"/>
        </w:rPr>
        <w:t xml:space="preserve"> </w:t>
      </w:r>
      <w:r w:rsidR="00F831DD" w:rsidRPr="00D44FE0">
        <w:rPr>
          <w:lang w:eastAsia="en-US"/>
        </w:rPr>
        <w:t>on the</w:t>
      </w:r>
      <w:r w:rsidR="00AE6DAF" w:rsidRPr="00D44FE0">
        <w:rPr>
          <w:lang w:eastAsia="en-US"/>
        </w:rPr>
        <w:t xml:space="preserve"> Program and </w:t>
      </w:r>
      <w:r w:rsidR="00413A0D" w:rsidRPr="00D44FE0">
        <w:rPr>
          <w:lang w:eastAsia="en-US"/>
        </w:rPr>
        <w:t>its r</w:t>
      </w:r>
      <w:r w:rsidR="00C427BE" w:rsidRPr="00D44FE0">
        <w:rPr>
          <w:lang w:eastAsia="en-US"/>
        </w:rPr>
        <w:t>egulation</w:t>
      </w:r>
      <w:r w:rsidR="00E476C9" w:rsidRPr="00D44FE0">
        <w:rPr>
          <w:lang w:eastAsia="en-US"/>
        </w:rPr>
        <w:t xml:space="preserve"> have </w:t>
      </w:r>
      <w:r w:rsidR="00280DC7" w:rsidRPr="00D44FE0">
        <w:rPr>
          <w:lang w:eastAsia="en-US"/>
        </w:rPr>
        <w:t xml:space="preserve">evolved </w:t>
      </w:r>
      <w:r w:rsidR="007333E6" w:rsidRPr="00D44FE0">
        <w:rPr>
          <w:lang w:eastAsia="en-US"/>
        </w:rPr>
        <w:t>throughout</w:t>
      </w:r>
      <w:r w:rsidR="00280DC7" w:rsidRPr="00D44FE0">
        <w:rPr>
          <w:lang w:eastAsia="en-US"/>
        </w:rPr>
        <w:t xml:space="preserve"> </w:t>
      </w:r>
      <w:r w:rsidR="00011990" w:rsidRPr="00D44FE0">
        <w:rPr>
          <w:lang w:eastAsia="en-US"/>
        </w:rPr>
        <w:t>consultation.</w:t>
      </w:r>
      <w:r w:rsidR="00D44FE0">
        <w:rPr>
          <w:lang w:eastAsia="en-US"/>
        </w:rPr>
        <w:t xml:space="preserve"> </w:t>
      </w:r>
    </w:p>
    <w:tbl>
      <w:tblPr>
        <w:tblStyle w:val="GridTable2-Accent3"/>
        <w:tblW w:w="9534"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467"/>
        <w:gridCol w:w="2347"/>
        <w:gridCol w:w="3667"/>
        <w:gridCol w:w="2053"/>
      </w:tblGrid>
      <w:tr w:rsidR="008627B3" w:rsidRPr="008627B3" w14:paraId="2140F321" w14:textId="77777777" w:rsidTr="008627B3">
        <w:trPr>
          <w:cnfStyle w:val="100000000000" w:firstRow="1" w:lastRow="0" w:firstColumn="0" w:lastColumn="0" w:oddVBand="0" w:evenVBand="0" w:oddHBand="0" w:evenHBand="0" w:firstRowFirstColumn="0" w:firstRowLastColumn="0" w:lastRowFirstColumn="0" w:lastRowLastColumn="0"/>
          <w:trHeight w:val="19"/>
          <w:tblHeader/>
        </w:trPr>
        <w:tc>
          <w:tcPr>
            <w:cnfStyle w:val="001000000000" w:firstRow="0" w:lastRow="0" w:firstColumn="1" w:lastColumn="0" w:oddVBand="0" w:evenVBand="0" w:oddHBand="0" w:evenHBand="0" w:firstRowFirstColumn="0" w:firstRowLastColumn="0" w:lastRowFirstColumn="0" w:lastRowLastColumn="0"/>
            <w:tcW w:w="1467" w:type="dxa"/>
            <w:hideMark/>
          </w:tcPr>
          <w:p w14:paraId="6DC1119E" w14:textId="77777777" w:rsidR="00280DC7" w:rsidRPr="008627B3" w:rsidRDefault="00280DC7">
            <w:pPr>
              <w:pStyle w:val="TableTextLeft"/>
              <w:rPr>
                <w:color w:val="008675"/>
              </w:rPr>
            </w:pPr>
            <w:r w:rsidRPr="008627B3">
              <w:rPr>
                <w:color w:val="008675"/>
              </w:rPr>
              <w:t>Stakeholder group</w:t>
            </w:r>
          </w:p>
        </w:tc>
        <w:tc>
          <w:tcPr>
            <w:tcW w:w="2347" w:type="dxa"/>
          </w:tcPr>
          <w:p w14:paraId="22CDC03A" w14:textId="77777777" w:rsidR="00280DC7" w:rsidRPr="008627B3" w:rsidRDefault="00280DC7">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8627B3">
              <w:rPr>
                <w:color w:val="008675"/>
              </w:rPr>
              <w:t>Initial views / positions on Program</w:t>
            </w:r>
          </w:p>
        </w:tc>
        <w:tc>
          <w:tcPr>
            <w:tcW w:w="3667" w:type="dxa"/>
          </w:tcPr>
          <w:p w14:paraId="4A544537" w14:textId="296D798B" w:rsidR="00280DC7" w:rsidRPr="008627B3" w:rsidRDefault="00280DC7">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8627B3">
              <w:rPr>
                <w:color w:val="008675"/>
              </w:rPr>
              <w:t xml:space="preserve">Evolution of views </w:t>
            </w:r>
            <w:r w:rsidR="001B7B9C" w:rsidRPr="008627B3">
              <w:rPr>
                <w:color w:val="008675"/>
              </w:rPr>
              <w:t xml:space="preserve">and Program </w:t>
            </w:r>
            <w:r w:rsidRPr="008627B3">
              <w:rPr>
                <w:color w:val="008675"/>
              </w:rPr>
              <w:t>over consultation</w:t>
            </w:r>
          </w:p>
        </w:tc>
        <w:tc>
          <w:tcPr>
            <w:tcW w:w="2053" w:type="dxa"/>
          </w:tcPr>
          <w:p w14:paraId="1DF02826" w14:textId="77777777" w:rsidR="00280DC7" w:rsidRPr="008627B3" w:rsidRDefault="00280DC7">
            <w:pPr>
              <w:pStyle w:val="TableTextLeft"/>
              <w:cnfStyle w:val="100000000000" w:firstRow="1" w:lastRow="0" w:firstColumn="0" w:lastColumn="0" w:oddVBand="0" w:evenVBand="0" w:oddHBand="0" w:evenHBand="0" w:firstRowFirstColumn="0" w:firstRowLastColumn="0" w:lastRowFirstColumn="0" w:lastRowLastColumn="0"/>
              <w:rPr>
                <w:color w:val="008675"/>
              </w:rPr>
            </w:pPr>
            <w:r w:rsidRPr="008627B3">
              <w:rPr>
                <w:color w:val="008675"/>
              </w:rPr>
              <w:t>Final views / positions on preferred Option</w:t>
            </w:r>
          </w:p>
        </w:tc>
      </w:tr>
      <w:tr w:rsidR="00D6545D" w:rsidRPr="00D12859" w14:paraId="72D6A31A" w14:textId="77777777" w:rsidTr="008627B3">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0" w:type="dxa"/>
            <w:shd w:val="clear" w:color="auto" w:fill="D2EEED"/>
          </w:tcPr>
          <w:p w14:paraId="53BBEABD" w14:textId="3D08E889" w:rsidR="00280DC7" w:rsidRPr="008627B3" w:rsidRDefault="00B91DAD">
            <w:pPr>
              <w:pStyle w:val="TableTextLeft"/>
              <w:rPr>
                <w:color w:val="008675"/>
              </w:rPr>
            </w:pPr>
            <w:r w:rsidRPr="008627B3">
              <w:rPr>
                <w:color w:val="008675"/>
              </w:rPr>
              <w:t xml:space="preserve">Individuals </w:t>
            </w:r>
          </w:p>
        </w:tc>
        <w:tc>
          <w:tcPr>
            <w:tcW w:w="0" w:type="dxa"/>
            <w:shd w:val="clear" w:color="auto" w:fill="D2EEED"/>
          </w:tcPr>
          <w:p w14:paraId="51E3461E" w14:textId="16A00DA8" w:rsidR="004E12E5" w:rsidRPr="00D44FE0" w:rsidRDefault="004E12E5" w:rsidP="00F409BB">
            <w:pPr>
              <w:pStyle w:val="TableTextLeft"/>
              <w:numPr>
                <w:ilvl w:val="0"/>
                <w:numId w:val="19"/>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G</w:t>
            </w:r>
            <w:r w:rsidR="007E4CCB" w:rsidRPr="00D44FE0">
              <w:rPr>
                <w:szCs w:val="20"/>
                <w:lang w:val="en-US"/>
              </w:rPr>
              <w:t xml:space="preserve">enerally indicated tentative positivity about </w:t>
            </w:r>
            <w:r w:rsidR="00FA0C40">
              <w:rPr>
                <w:szCs w:val="20"/>
                <w:lang w:val="en-US"/>
              </w:rPr>
              <w:t>Digital ID</w:t>
            </w:r>
            <w:r w:rsidR="007E4CCB" w:rsidRPr="00D44FE0">
              <w:rPr>
                <w:szCs w:val="20"/>
                <w:lang w:val="en-US"/>
              </w:rPr>
              <w:t xml:space="preserve"> and its potential benefit</w:t>
            </w:r>
            <w:r w:rsidRPr="00D44FE0">
              <w:rPr>
                <w:szCs w:val="20"/>
                <w:lang w:val="en-US"/>
              </w:rPr>
              <w:t xml:space="preserve"> </w:t>
            </w:r>
          </w:p>
          <w:p w14:paraId="1B5F3987" w14:textId="19B10791" w:rsidR="00280DC7" w:rsidRDefault="004E12E5" w:rsidP="00F409BB">
            <w:pPr>
              <w:pStyle w:val="TableTextLeft"/>
              <w:numPr>
                <w:ilvl w:val="0"/>
                <w:numId w:val="19"/>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Expressed hesitation on matters including privacy, safety, security and other consumer impacts</w:t>
            </w:r>
          </w:p>
          <w:p w14:paraId="5F9BB6AC" w14:textId="7AB28EBB" w:rsidR="00C3254B" w:rsidRDefault="00C3254B" w:rsidP="00F409BB">
            <w:pPr>
              <w:pStyle w:val="TableTextLeft"/>
              <w:numPr>
                <w:ilvl w:val="0"/>
                <w:numId w:val="19"/>
              </w:numPr>
              <w:cnfStyle w:val="000000100000" w:firstRow="0" w:lastRow="0" w:firstColumn="0" w:lastColumn="0" w:oddVBand="0" w:evenVBand="0" w:oddHBand="1" w:evenHBand="0" w:firstRowFirstColumn="0" w:firstRowLastColumn="0" w:lastRowFirstColumn="0" w:lastRowLastColumn="0"/>
              <w:rPr>
                <w:szCs w:val="20"/>
                <w:lang w:val="en-US"/>
              </w:rPr>
            </w:pPr>
            <w:r>
              <w:rPr>
                <w:szCs w:val="20"/>
                <w:lang w:val="en-US"/>
              </w:rPr>
              <w:t>Governance was raised as a substantial issue, with Governments having too much power being a concern.</w:t>
            </w:r>
          </w:p>
          <w:p w14:paraId="628D3AB2" w14:textId="77777777" w:rsidR="001735AD" w:rsidRPr="00D44FE0" w:rsidRDefault="001735AD" w:rsidP="001735AD">
            <w:pPr>
              <w:pStyle w:val="TableTextLeft"/>
              <w:numPr>
                <w:ilvl w:val="0"/>
                <w:numId w:val="19"/>
              </w:numPr>
              <w:cnfStyle w:val="000000100000" w:firstRow="0" w:lastRow="0" w:firstColumn="0" w:lastColumn="0" w:oddVBand="0" w:evenVBand="0" w:oddHBand="1" w:evenHBand="0" w:firstRowFirstColumn="0" w:firstRowLastColumn="0" w:lastRowFirstColumn="0" w:lastRowLastColumn="0"/>
              <w:rPr>
                <w:szCs w:val="20"/>
                <w:lang w:val="en-US"/>
              </w:rPr>
            </w:pPr>
            <w:r>
              <w:rPr>
                <w:szCs w:val="20"/>
                <w:lang w:val="en-US"/>
              </w:rPr>
              <w:t>Law enforcement access to Digital ID data was cited as a concern.</w:t>
            </w:r>
          </w:p>
          <w:p w14:paraId="6B2945E0" w14:textId="752158F9" w:rsidR="007E4CCB" w:rsidRPr="00D44FE0" w:rsidRDefault="007E4CCB" w:rsidP="001735AD">
            <w:pPr>
              <w:pStyle w:val="TableTextLeft"/>
              <w:ind w:left="720"/>
              <w:cnfStyle w:val="000000100000" w:firstRow="0" w:lastRow="0" w:firstColumn="0" w:lastColumn="0" w:oddVBand="0" w:evenVBand="0" w:oddHBand="1" w:evenHBand="0" w:firstRowFirstColumn="0" w:firstRowLastColumn="0" w:lastRowFirstColumn="0" w:lastRowLastColumn="0"/>
              <w:rPr>
                <w:szCs w:val="20"/>
              </w:rPr>
            </w:pPr>
          </w:p>
        </w:tc>
        <w:tc>
          <w:tcPr>
            <w:tcW w:w="0" w:type="dxa"/>
            <w:shd w:val="clear" w:color="auto" w:fill="D2EEED"/>
          </w:tcPr>
          <w:p w14:paraId="184B91F7" w14:textId="71622E31" w:rsidR="006A203F" w:rsidRPr="00D44FE0" w:rsidRDefault="00A6373D" w:rsidP="00F409BB">
            <w:pPr>
              <w:pStyle w:val="TableTextLeft"/>
              <w:numPr>
                <w:ilvl w:val="0"/>
                <w:numId w:val="19"/>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 xml:space="preserve">Over time, informed the </w:t>
            </w:r>
            <w:r w:rsidR="001B7B9C" w:rsidRPr="00D44FE0">
              <w:rPr>
                <w:szCs w:val="20"/>
                <w:lang w:val="en-US"/>
              </w:rPr>
              <w:t xml:space="preserve">Program’s </w:t>
            </w:r>
            <w:r w:rsidRPr="00D44FE0">
              <w:rPr>
                <w:szCs w:val="20"/>
                <w:lang w:val="en-US"/>
              </w:rPr>
              <w:t>regulatory approach of including more detailed, rather than lesser, safeguards and protections in the Bill</w:t>
            </w:r>
          </w:p>
          <w:p w14:paraId="34252DF2" w14:textId="77777777" w:rsidR="00A6373D" w:rsidRDefault="006A203F" w:rsidP="00F409BB">
            <w:pPr>
              <w:pStyle w:val="TableTextLeft"/>
              <w:numPr>
                <w:ilvl w:val="0"/>
                <w:numId w:val="19"/>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Airing of certain concerns from individuals led to certain safeguards being built into legislation, rather than being delegated to subordinate instruments – such as a legislative guarantee of the system’s voluntariness. </w:t>
            </w:r>
          </w:p>
          <w:p w14:paraId="296A8DD3" w14:textId="6473C4AA" w:rsidR="001735AD" w:rsidRPr="00D44FE0" w:rsidRDefault="001735AD" w:rsidP="00FA0C40">
            <w:pPr>
              <w:pStyle w:val="TableTextLeft"/>
              <w:ind w:left="720"/>
              <w:cnfStyle w:val="000000100000" w:firstRow="0" w:lastRow="0" w:firstColumn="0" w:lastColumn="0" w:oddVBand="0" w:evenVBand="0" w:oddHBand="1" w:evenHBand="0" w:firstRowFirstColumn="0" w:firstRowLastColumn="0" w:lastRowFirstColumn="0" w:lastRowLastColumn="0"/>
              <w:rPr>
                <w:szCs w:val="20"/>
                <w:lang w:val="en-US"/>
              </w:rPr>
            </w:pPr>
          </w:p>
        </w:tc>
        <w:tc>
          <w:tcPr>
            <w:tcW w:w="0" w:type="dxa"/>
            <w:shd w:val="clear" w:color="auto" w:fill="D2EEED"/>
          </w:tcPr>
          <w:p w14:paraId="29B6EA1E" w14:textId="3B2A1BEE" w:rsidR="00280DC7" w:rsidRDefault="00E3289C">
            <w:pPr>
              <w:pStyle w:val="TableTextLeft"/>
              <w:cnfStyle w:val="000000100000" w:firstRow="0" w:lastRow="0" w:firstColumn="0" w:lastColumn="0" w:oddVBand="0" w:evenVBand="0" w:oddHBand="1" w:evenHBand="0" w:firstRowFirstColumn="0" w:firstRowLastColumn="0" w:lastRowFirstColumn="0" w:lastRowLastColumn="0"/>
            </w:pPr>
            <w:r w:rsidRPr="00D44FE0">
              <w:t>I</w:t>
            </w:r>
            <w:r w:rsidR="0047781D" w:rsidRPr="00D44FE0">
              <w:t>nformed i</w:t>
            </w:r>
            <w:r w:rsidRPr="00D44FE0">
              <w:t xml:space="preserve">ndividual stakeholders </w:t>
            </w:r>
            <w:r w:rsidR="005D1A61" w:rsidRPr="00D44FE0">
              <w:t>continue to indicate tentative positivity toward</w:t>
            </w:r>
            <w:r w:rsidR="002D15CB" w:rsidRPr="00D44FE0">
              <w:t xml:space="preserve">s the </w:t>
            </w:r>
            <w:r w:rsidR="007525B9">
              <w:t xml:space="preserve">Digital ID </w:t>
            </w:r>
            <w:r w:rsidR="002D15CB" w:rsidRPr="00D44FE0">
              <w:t xml:space="preserve">System and regulation under Option 3. The Program has actively </w:t>
            </w:r>
            <w:r w:rsidR="00651801" w:rsidRPr="00D44FE0">
              <w:t xml:space="preserve">addressed concerns raised </w:t>
            </w:r>
            <w:r w:rsidR="002D105E" w:rsidRPr="00D44FE0">
              <w:t xml:space="preserve">throughout consultation and reflected changes in the Bill. </w:t>
            </w:r>
            <w:r w:rsidR="0004158F" w:rsidRPr="00D44FE0">
              <w:t>The Program continues to consult with this group through communication and education pieces to support their understandin</w:t>
            </w:r>
            <w:r w:rsidR="00AA4933" w:rsidRPr="00D44FE0">
              <w:t xml:space="preserve">g. </w:t>
            </w:r>
          </w:p>
          <w:p w14:paraId="25080BA1" w14:textId="77777777" w:rsidR="00C3254B" w:rsidRDefault="00C3254B">
            <w:pPr>
              <w:pStyle w:val="TableTextLeft"/>
              <w:cnfStyle w:val="000000100000" w:firstRow="0" w:lastRow="0" w:firstColumn="0" w:lastColumn="0" w:oddVBand="0" w:evenVBand="0" w:oddHBand="1" w:evenHBand="0" w:firstRowFirstColumn="0" w:firstRowLastColumn="0" w:lastRowFirstColumn="0" w:lastRowLastColumn="0"/>
            </w:pPr>
          </w:p>
          <w:p w14:paraId="4498160E" w14:textId="77777777" w:rsidR="00C3254B" w:rsidRDefault="00C3254B">
            <w:pPr>
              <w:pStyle w:val="TableTextLeft"/>
              <w:cnfStyle w:val="000000100000" w:firstRow="0" w:lastRow="0" w:firstColumn="0" w:lastColumn="0" w:oddVBand="0" w:evenVBand="0" w:oddHBand="1" w:evenHBand="0" w:firstRowFirstColumn="0" w:firstRowLastColumn="0" w:lastRowFirstColumn="0" w:lastRowLastColumn="0"/>
            </w:pPr>
            <w:r>
              <w:t>Governance concerns have been addressed through a new regulatory approach with the ACCC as initial regulator, and the Data Standards Chair being contained in the legislation.</w:t>
            </w:r>
          </w:p>
          <w:p w14:paraId="374B0D96" w14:textId="77777777" w:rsidR="001735AD" w:rsidRDefault="001735AD">
            <w:pPr>
              <w:pStyle w:val="TableTextLeft"/>
              <w:cnfStyle w:val="000000100000" w:firstRow="0" w:lastRow="0" w:firstColumn="0" w:lastColumn="0" w:oddVBand="0" w:evenVBand="0" w:oddHBand="1" w:evenHBand="0" w:firstRowFirstColumn="0" w:firstRowLastColumn="0" w:lastRowFirstColumn="0" w:lastRowLastColumn="0"/>
            </w:pPr>
          </w:p>
          <w:p w14:paraId="77CF9D68" w14:textId="6B0CAE3C" w:rsidR="001735AD" w:rsidRPr="00D44FE0" w:rsidRDefault="001735AD">
            <w:pPr>
              <w:pStyle w:val="TableTextLeft"/>
              <w:cnfStyle w:val="000000100000" w:firstRow="0" w:lastRow="0" w:firstColumn="0" w:lastColumn="0" w:oddVBand="0" w:evenVBand="0" w:oddHBand="1" w:evenHBand="0" w:firstRowFirstColumn="0" w:firstRowLastColumn="0" w:lastRowFirstColumn="0" w:lastRowLastColumn="0"/>
            </w:pPr>
            <w:r>
              <w:t xml:space="preserve">Changes Law enforcement access </w:t>
            </w:r>
            <w:r>
              <w:lastRenderedPageBreak/>
              <w:t>to Digital ID data has been changed in the legislation to</w:t>
            </w:r>
            <w:r w:rsidR="00FA5015">
              <w:t xml:space="preserve"> achieve balance between</w:t>
            </w:r>
            <w:r>
              <w:t xml:space="preserve"> </w:t>
            </w:r>
            <w:r w:rsidR="00FA5015">
              <w:t>security, safety, reducing fraud, and privacy concerns.</w:t>
            </w:r>
          </w:p>
        </w:tc>
      </w:tr>
      <w:tr w:rsidR="00D6545D" w:rsidRPr="00D12859" w14:paraId="749C9318" w14:textId="77777777" w:rsidTr="008627B3">
        <w:trPr>
          <w:trHeight w:val="760"/>
        </w:trPr>
        <w:tc>
          <w:tcPr>
            <w:cnfStyle w:val="001000000000" w:firstRow="0" w:lastRow="0" w:firstColumn="1" w:lastColumn="0" w:oddVBand="0" w:evenVBand="0" w:oddHBand="0" w:evenHBand="0" w:firstRowFirstColumn="0" w:firstRowLastColumn="0" w:lastRowFirstColumn="0" w:lastRowLastColumn="0"/>
            <w:tcW w:w="0" w:type="dxa"/>
          </w:tcPr>
          <w:p w14:paraId="2F3C1442" w14:textId="1CF79B66" w:rsidR="00280DC7" w:rsidRPr="008627B3" w:rsidRDefault="0083033A">
            <w:pPr>
              <w:pStyle w:val="TableTextLeft"/>
              <w:rPr>
                <w:color w:val="008675"/>
              </w:rPr>
            </w:pPr>
            <w:r w:rsidRPr="008627B3">
              <w:rPr>
                <w:color w:val="008675"/>
              </w:rPr>
              <w:lastRenderedPageBreak/>
              <w:t xml:space="preserve">Businesses </w:t>
            </w:r>
          </w:p>
        </w:tc>
        <w:tc>
          <w:tcPr>
            <w:tcW w:w="0" w:type="dxa"/>
          </w:tcPr>
          <w:p w14:paraId="1B760EC2" w14:textId="05DF89C9" w:rsidR="00D6545D" w:rsidRPr="00D44FE0" w:rsidRDefault="00D6545D" w:rsidP="00F409BB">
            <w:pPr>
              <w:pStyle w:val="TableTextLeft"/>
              <w:numPr>
                <w:ilvl w:val="0"/>
                <w:numId w:val="20"/>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B</w:t>
            </w:r>
            <w:r w:rsidR="00D61AC8" w:rsidRPr="00D44FE0">
              <w:rPr>
                <w:szCs w:val="20"/>
                <w:lang w:val="en-US"/>
              </w:rPr>
              <w:t xml:space="preserve">roadly supportive of a whole-of-economy </w:t>
            </w:r>
            <w:r w:rsidR="007525B9">
              <w:rPr>
                <w:szCs w:val="20"/>
                <w:lang w:val="en-US"/>
              </w:rPr>
              <w:t xml:space="preserve">Digital ID </w:t>
            </w:r>
            <w:r w:rsidR="00D61AC8" w:rsidRPr="00D44FE0">
              <w:rPr>
                <w:szCs w:val="20"/>
                <w:lang w:val="en-US"/>
              </w:rPr>
              <w:t>System</w:t>
            </w:r>
          </w:p>
          <w:p w14:paraId="1C69C256" w14:textId="7EDE2520" w:rsidR="00D6545D" w:rsidRPr="00D44FE0" w:rsidRDefault="00D6545D" w:rsidP="00F409BB">
            <w:pPr>
              <w:pStyle w:val="TableTextLeft"/>
              <w:numPr>
                <w:ilvl w:val="0"/>
                <w:numId w:val="20"/>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S</w:t>
            </w:r>
            <w:r w:rsidR="00576F4C" w:rsidRPr="00D44FE0">
              <w:rPr>
                <w:szCs w:val="20"/>
                <w:lang w:val="en-US"/>
              </w:rPr>
              <w:t xml:space="preserve">ought clarity on the scope and application </w:t>
            </w:r>
            <w:r w:rsidR="00C75568">
              <w:rPr>
                <w:szCs w:val="20"/>
                <w:lang w:val="en-US"/>
              </w:rPr>
              <w:t>Digital ID</w:t>
            </w:r>
          </w:p>
          <w:p w14:paraId="614B8531" w14:textId="34A0EB25" w:rsidR="00D61AC8" w:rsidRPr="00D44FE0" w:rsidRDefault="00576F4C" w:rsidP="00F409BB">
            <w:pPr>
              <w:pStyle w:val="TableTextLeft"/>
              <w:numPr>
                <w:ilvl w:val="0"/>
                <w:numId w:val="20"/>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Queries around interoperability with other existing (current and future) systems</w:t>
            </w:r>
          </w:p>
          <w:p w14:paraId="2EE1EC8A" w14:textId="100F848F" w:rsidR="00D61AC8" w:rsidRPr="00D44FE0" w:rsidRDefault="00D61AC8">
            <w:pPr>
              <w:pStyle w:val="TableTextLeft"/>
              <w:cnfStyle w:val="000000000000" w:firstRow="0" w:lastRow="0" w:firstColumn="0" w:lastColumn="0" w:oddVBand="0" w:evenVBand="0" w:oddHBand="0" w:evenHBand="0" w:firstRowFirstColumn="0" w:firstRowLastColumn="0" w:lastRowFirstColumn="0" w:lastRowLastColumn="0"/>
              <w:rPr>
                <w:szCs w:val="20"/>
                <w:lang w:val="en-US"/>
              </w:rPr>
            </w:pPr>
          </w:p>
        </w:tc>
        <w:tc>
          <w:tcPr>
            <w:tcW w:w="0" w:type="dxa"/>
          </w:tcPr>
          <w:p w14:paraId="09CD8D0A" w14:textId="22DEA2FD" w:rsidR="00D6545D" w:rsidRPr="00D44FE0" w:rsidRDefault="00615F98" w:rsidP="00F409BB">
            <w:pPr>
              <w:pStyle w:val="TableTextLeft"/>
              <w:numPr>
                <w:ilvl w:val="0"/>
                <w:numId w:val="20"/>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Dialogue between the Program and the business community, particularly those in relatively highly regulated sectors such as financial services and telecommunications, focused on alignment with other existing regulatory schemes in areas including privacy, anti-money laundering</w:t>
            </w:r>
          </w:p>
          <w:p w14:paraId="76C7C2E4" w14:textId="5135178F" w:rsidR="00D6545D" w:rsidRPr="00D44FE0" w:rsidRDefault="00286F0B" w:rsidP="00F409BB">
            <w:pPr>
              <w:pStyle w:val="TableTextLeft"/>
              <w:numPr>
                <w:ilvl w:val="0"/>
                <w:numId w:val="20"/>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C</w:t>
            </w:r>
            <w:r w:rsidR="006D1275" w:rsidRPr="00D44FE0">
              <w:rPr>
                <w:szCs w:val="20"/>
                <w:lang w:val="en-US"/>
              </w:rPr>
              <w:t xml:space="preserve">ommunication from the Program </w:t>
            </w:r>
            <w:r w:rsidR="00A4363A" w:rsidRPr="00D44FE0">
              <w:rPr>
                <w:szCs w:val="20"/>
                <w:lang w:val="en-US"/>
              </w:rPr>
              <w:t>focused on explaining the</w:t>
            </w:r>
            <w:r w:rsidR="004D5BAE" w:rsidRPr="00D44FE0">
              <w:rPr>
                <w:szCs w:val="20"/>
                <w:lang w:val="en-US"/>
              </w:rPr>
              <w:t xml:space="preserve"> </w:t>
            </w:r>
            <w:r w:rsidR="00D6545D" w:rsidRPr="00D44FE0">
              <w:rPr>
                <w:szCs w:val="20"/>
                <w:lang w:val="en-US"/>
              </w:rPr>
              <w:t>l</w:t>
            </w:r>
            <w:r w:rsidR="004D5BAE" w:rsidRPr="00D44FE0">
              <w:rPr>
                <w:szCs w:val="20"/>
                <w:lang w:val="en-US"/>
              </w:rPr>
              <w:t xml:space="preserve">egislative entrenchment of two distinct ways to be involved (accreditation and system participation), and </w:t>
            </w:r>
            <w:r w:rsidR="0091554D" w:rsidRPr="00D44FE0">
              <w:rPr>
                <w:szCs w:val="20"/>
                <w:lang w:val="en-US"/>
              </w:rPr>
              <w:t>the flexibility this allows for businesses</w:t>
            </w:r>
            <w:r w:rsidRPr="00D44FE0">
              <w:rPr>
                <w:szCs w:val="20"/>
                <w:lang w:val="en-US"/>
              </w:rPr>
              <w:t xml:space="preserve"> specifically</w:t>
            </w:r>
          </w:p>
          <w:p w14:paraId="2C3C2554" w14:textId="348AB441" w:rsidR="00D6545D" w:rsidRPr="00D44FE0" w:rsidRDefault="00D6545D" w:rsidP="00F409BB">
            <w:pPr>
              <w:pStyle w:val="TableTextLeft"/>
              <w:numPr>
                <w:ilvl w:val="0"/>
                <w:numId w:val="20"/>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Feedback from business’ emphasiz</w:t>
            </w:r>
            <w:r w:rsidR="00286F0B" w:rsidRPr="00D44FE0">
              <w:rPr>
                <w:szCs w:val="20"/>
                <w:lang w:val="en-US"/>
              </w:rPr>
              <w:t xml:space="preserve">ed </w:t>
            </w:r>
            <w:r w:rsidRPr="00D44FE0">
              <w:rPr>
                <w:szCs w:val="20"/>
                <w:lang w:val="en-US"/>
              </w:rPr>
              <w:t xml:space="preserve">the need for certainty yet flexibility, </w:t>
            </w:r>
            <w:r w:rsidR="00286F0B" w:rsidRPr="00D44FE0">
              <w:rPr>
                <w:szCs w:val="20"/>
                <w:lang w:val="en-US"/>
              </w:rPr>
              <w:t xml:space="preserve">which </w:t>
            </w:r>
            <w:r w:rsidRPr="00D44FE0">
              <w:rPr>
                <w:szCs w:val="20"/>
                <w:lang w:val="en-US"/>
              </w:rPr>
              <w:t xml:space="preserve">informed the inclusion of principles in the Bill setting broad parameters for the framework’s operation, </w:t>
            </w:r>
            <w:r w:rsidR="00286F0B" w:rsidRPr="00D44FE0">
              <w:rPr>
                <w:szCs w:val="20"/>
                <w:lang w:val="en-US"/>
              </w:rPr>
              <w:t xml:space="preserve">while </w:t>
            </w:r>
            <w:r w:rsidRPr="00D44FE0">
              <w:rPr>
                <w:szCs w:val="20"/>
                <w:lang w:val="en-US"/>
              </w:rPr>
              <w:t>leaving specific details to be determined through subordinate instrument</w:t>
            </w:r>
            <w:r w:rsidR="00286F0B" w:rsidRPr="00D44FE0">
              <w:rPr>
                <w:szCs w:val="20"/>
                <w:lang w:val="en-US"/>
              </w:rPr>
              <w:t>s</w:t>
            </w:r>
          </w:p>
        </w:tc>
        <w:tc>
          <w:tcPr>
            <w:tcW w:w="0" w:type="dxa"/>
          </w:tcPr>
          <w:p w14:paraId="1A70CE07" w14:textId="1CC54847" w:rsidR="00280DC7" w:rsidRPr="00D44FE0" w:rsidRDefault="6E5A277D" w:rsidP="78F42BF0">
            <w:pPr>
              <w:pStyle w:val="TableTextLeft"/>
              <w:cnfStyle w:val="000000000000" w:firstRow="0" w:lastRow="0" w:firstColumn="0" w:lastColumn="0" w:oddVBand="0" w:evenVBand="0" w:oddHBand="0" w:evenHBand="0" w:firstRowFirstColumn="0" w:firstRowLastColumn="0" w:lastRowFirstColumn="0" w:lastRowLastColumn="0"/>
              <w:rPr>
                <w:lang w:val="en-US"/>
              </w:rPr>
            </w:pPr>
            <w:r w:rsidRPr="78F42BF0">
              <w:rPr>
                <w:lang w:val="en-US"/>
              </w:rPr>
              <w:t xml:space="preserve">Businesses continue to be broadly supportive of </w:t>
            </w:r>
            <w:r w:rsidR="15E56FDF" w:rsidRPr="78F42BF0">
              <w:rPr>
                <w:lang w:val="en-US"/>
              </w:rPr>
              <w:t>regulation of an expan</w:t>
            </w:r>
            <w:r w:rsidR="3AE7DFD2" w:rsidRPr="78F42BF0">
              <w:rPr>
                <w:lang w:val="en-US"/>
              </w:rPr>
              <w:t xml:space="preserve">sion scenario </w:t>
            </w:r>
            <w:r w:rsidR="15E56FDF" w:rsidRPr="78F42BF0">
              <w:rPr>
                <w:lang w:val="en-US"/>
              </w:rPr>
              <w:t>under Option 3</w:t>
            </w:r>
            <w:r w:rsidR="4E232770" w:rsidRPr="78F42BF0">
              <w:rPr>
                <w:lang w:val="en-US"/>
              </w:rPr>
              <w:t xml:space="preserve">. Many </w:t>
            </w:r>
            <w:r w:rsidR="42548E3D" w:rsidRPr="78F42BF0">
              <w:rPr>
                <w:lang w:val="en-US"/>
              </w:rPr>
              <w:t xml:space="preserve">private sector entities see the Bill and the Program as a fundamental enabler of Australia’s digital economy and have expressed interest in future participation </w:t>
            </w:r>
            <w:r w:rsidR="15A8AB03" w:rsidRPr="78F42BF0">
              <w:rPr>
                <w:lang w:val="en-US"/>
              </w:rPr>
              <w:t xml:space="preserve">(whilst emphasizing the importance </w:t>
            </w:r>
            <w:r w:rsidR="57A0CDCF" w:rsidRPr="78F42BF0">
              <w:rPr>
                <w:lang w:val="en-US"/>
              </w:rPr>
              <w:t xml:space="preserve">of charging framework details to their </w:t>
            </w:r>
            <w:r w:rsidR="14C0D76F" w:rsidRPr="78F42BF0">
              <w:rPr>
                <w:lang w:val="en-US"/>
              </w:rPr>
              <w:t>ultimate</w:t>
            </w:r>
            <w:r w:rsidR="57A0CDCF" w:rsidRPr="78F42BF0">
              <w:rPr>
                <w:lang w:val="en-US"/>
              </w:rPr>
              <w:t xml:space="preserve"> decision to participate</w:t>
            </w:r>
            <w:r w:rsidR="15A8AB03" w:rsidRPr="78F42BF0">
              <w:rPr>
                <w:lang w:val="en-US"/>
              </w:rPr>
              <w:t>)</w:t>
            </w:r>
            <w:r w:rsidR="42548E3D" w:rsidRPr="78F42BF0">
              <w:rPr>
                <w:lang w:val="en-US"/>
              </w:rPr>
              <w:t xml:space="preserve">. The Program has actively consulted </w:t>
            </w:r>
            <w:r w:rsidR="16815853" w:rsidRPr="78F42BF0">
              <w:rPr>
                <w:lang w:val="en-US"/>
              </w:rPr>
              <w:t xml:space="preserve">with this stakeholder group through public and targeted forums, and have adjusted several policy positions in response to feedback. </w:t>
            </w:r>
            <w:r w:rsidR="16815853">
              <w:t xml:space="preserve">The Program continues to consult </w:t>
            </w:r>
            <w:r w:rsidR="054746C6">
              <w:t xml:space="preserve">with this group </w:t>
            </w:r>
            <w:r w:rsidR="16815853">
              <w:t xml:space="preserve">through communication and education </w:t>
            </w:r>
            <w:r w:rsidR="054746C6">
              <w:t>pieces</w:t>
            </w:r>
            <w:r w:rsidR="16815853">
              <w:t xml:space="preserve"> to </w:t>
            </w:r>
            <w:r w:rsidR="16815853">
              <w:lastRenderedPageBreak/>
              <w:t xml:space="preserve">support </w:t>
            </w:r>
            <w:r w:rsidR="054746C6">
              <w:t>their understanding</w:t>
            </w:r>
            <w:r w:rsidR="7465EE27">
              <w:t xml:space="preserve">. </w:t>
            </w:r>
          </w:p>
        </w:tc>
      </w:tr>
      <w:tr w:rsidR="00D6545D" w:rsidRPr="00D12859" w14:paraId="089CA27D" w14:textId="77777777" w:rsidTr="008627B3">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shd w:val="clear" w:color="auto" w:fill="D2EEED"/>
          </w:tcPr>
          <w:p w14:paraId="35C3F488" w14:textId="1B392450" w:rsidR="00280DC7" w:rsidRPr="008627B3" w:rsidRDefault="00D8532F">
            <w:pPr>
              <w:pStyle w:val="TableTextLeft"/>
              <w:rPr>
                <w:color w:val="008675"/>
              </w:rPr>
            </w:pPr>
            <w:r w:rsidRPr="008627B3">
              <w:rPr>
                <w:color w:val="008675"/>
              </w:rPr>
              <w:lastRenderedPageBreak/>
              <w:t xml:space="preserve">Government </w:t>
            </w:r>
          </w:p>
        </w:tc>
        <w:tc>
          <w:tcPr>
            <w:tcW w:w="0" w:type="dxa"/>
            <w:tcBorders>
              <w:bottom w:val="nil"/>
            </w:tcBorders>
            <w:shd w:val="clear" w:color="auto" w:fill="D2EEED"/>
          </w:tcPr>
          <w:p w14:paraId="58A7003B" w14:textId="7C4594CD" w:rsidR="00D8532F" w:rsidRPr="00D44FE0" w:rsidRDefault="00D8532F" w:rsidP="00F409BB">
            <w:pPr>
              <w:pStyle w:val="TableTextLeft"/>
              <w:numPr>
                <w:ilvl w:val="0"/>
                <w:numId w:val="20"/>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 xml:space="preserve">Broadly supportive of a whole-of-economy </w:t>
            </w:r>
            <w:r w:rsidR="007525B9">
              <w:rPr>
                <w:szCs w:val="20"/>
                <w:lang w:val="en-US"/>
              </w:rPr>
              <w:t xml:space="preserve">Digital ID </w:t>
            </w:r>
            <w:r w:rsidRPr="00D44FE0">
              <w:rPr>
                <w:szCs w:val="20"/>
                <w:lang w:val="en-US"/>
              </w:rPr>
              <w:t>System</w:t>
            </w:r>
          </w:p>
          <w:p w14:paraId="01A841CC" w14:textId="77777777" w:rsidR="00280DC7" w:rsidRPr="00D44FE0" w:rsidRDefault="00D8532F" w:rsidP="00F409BB">
            <w:pPr>
              <w:pStyle w:val="TableTextLeft"/>
              <w:numPr>
                <w:ilvl w:val="0"/>
                <w:numId w:val="20"/>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 xml:space="preserve">Raised concerns </w:t>
            </w:r>
            <w:r w:rsidR="00A315BB" w:rsidRPr="00D44FE0">
              <w:rPr>
                <w:szCs w:val="20"/>
                <w:lang w:val="en-US"/>
              </w:rPr>
              <w:t>around the</w:t>
            </w:r>
            <w:r w:rsidRPr="00D44FE0">
              <w:rPr>
                <w:szCs w:val="20"/>
                <w:lang w:val="en-US"/>
              </w:rPr>
              <w:t xml:space="preserve"> alignment with existing regulatory regimes, particularly State and Territory</w:t>
            </w:r>
            <w:r w:rsidR="00A315BB" w:rsidRPr="00D44FE0">
              <w:rPr>
                <w:szCs w:val="20"/>
                <w:lang w:val="en-US"/>
              </w:rPr>
              <w:t xml:space="preserve"> </w:t>
            </w:r>
            <w:r w:rsidRPr="00D44FE0">
              <w:rPr>
                <w:szCs w:val="20"/>
                <w:lang w:val="en-US"/>
              </w:rPr>
              <w:t>privacy authorities</w:t>
            </w:r>
          </w:p>
          <w:p w14:paraId="3988E624" w14:textId="367B013D" w:rsidR="006D5592" w:rsidRPr="00D44FE0" w:rsidRDefault="006D5592" w:rsidP="00F409BB">
            <w:pPr>
              <w:pStyle w:val="TableTextLeft"/>
              <w:numPr>
                <w:ilvl w:val="0"/>
                <w:numId w:val="20"/>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 xml:space="preserve">Queries around the extent to which law enforcement agencies can access and use information within the </w:t>
            </w:r>
            <w:r w:rsidR="007525B9">
              <w:rPr>
                <w:szCs w:val="20"/>
                <w:lang w:val="en-US"/>
              </w:rPr>
              <w:t xml:space="preserve">Digital ID </w:t>
            </w:r>
            <w:r w:rsidRPr="00D44FE0">
              <w:rPr>
                <w:szCs w:val="20"/>
                <w:lang w:val="en-US"/>
              </w:rPr>
              <w:t>System</w:t>
            </w:r>
          </w:p>
        </w:tc>
        <w:tc>
          <w:tcPr>
            <w:tcW w:w="0" w:type="dxa"/>
            <w:tcBorders>
              <w:bottom w:val="nil"/>
            </w:tcBorders>
            <w:shd w:val="clear" w:color="auto" w:fill="D2EEED"/>
          </w:tcPr>
          <w:p w14:paraId="2983F15D" w14:textId="2B1674F6" w:rsidR="00280DC7" w:rsidRPr="00D44FE0" w:rsidRDefault="00E375A8" w:rsidP="00F409BB">
            <w:pPr>
              <w:pStyle w:val="TableTextLeft"/>
              <w:numPr>
                <w:ilvl w:val="0"/>
                <w:numId w:val="20"/>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Support</w:t>
            </w:r>
            <w:r w:rsidR="00E522A6" w:rsidRPr="00D44FE0">
              <w:rPr>
                <w:szCs w:val="20"/>
                <w:lang w:val="en-US"/>
              </w:rPr>
              <w:t>ive</w:t>
            </w:r>
            <w:r w:rsidRPr="00D44FE0">
              <w:rPr>
                <w:szCs w:val="20"/>
                <w:lang w:val="en-US"/>
              </w:rPr>
              <w:t xml:space="preserve"> </w:t>
            </w:r>
            <w:r w:rsidR="00E522A6" w:rsidRPr="00D44FE0">
              <w:rPr>
                <w:szCs w:val="20"/>
                <w:lang w:val="en-US"/>
              </w:rPr>
              <w:t xml:space="preserve">of </w:t>
            </w:r>
            <w:r w:rsidR="00D23A2D" w:rsidRPr="00D44FE0">
              <w:rPr>
                <w:szCs w:val="20"/>
                <w:lang w:val="en-US"/>
              </w:rPr>
              <w:t>modifi</w:t>
            </w:r>
            <w:r w:rsidR="00E522A6" w:rsidRPr="00D44FE0">
              <w:rPr>
                <w:szCs w:val="20"/>
                <w:lang w:val="en-US"/>
              </w:rPr>
              <w:t>cations</w:t>
            </w:r>
            <w:r w:rsidR="00D23A2D" w:rsidRPr="00D44FE0">
              <w:rPr>
                <w:szCs w:val="20"/>
                <w:lang w:val="en-US"/>
              </w:rPr>
              <w:t xml:space="preserve"> to contain appropriate exemptions for state / territory entities already meeting a similar level of privacy protection to Commonwealth privacy standards</w:t>
            </w:r>
          </w:p>
          <w:p w14:paraId="53F1B9A9" w14:textId="55F0CE74" w:rsidR="00D23A2D" w:rsidRPr="00D44FE0" w:rsidRDefault="00E375A8" w:rsidP="00F409BB">
            <w:pPr>
              <w:pStyle w:val="TableTextLeft"/>
              <w:numPr>
                <w:ilvl w:val="0"/>
                <w:numId w:val="20"/>
              </w:numPr>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Opinions from government led to r</w:t>
            </w:r>
            <w:r w:rsidR="0083657C" w:rsidRPr="00D44FE0">
              <w:rPr>
                <w:szCs w:val="20"/>
                <w:lang w:val="en-US"/>
              </w:rPr>
              <w:t>evised policy positions seek</w:t>
            </w:r>
            <w:r w:rsidRPr="00D44FE0">
              <w:rPr>
                <w:szCs w:val="20"/>
                <w:lang w:val="en-US"/>
              </w:rPr>
              <w:t>ing</w:t>
            </w:r>
            <w:r w:rsidR="0083657C" w:rsidRPr="00D44FE0">
              <w:rPr>
                <w:szCs w:val="20"/>
                <w:lang w:val="en-US"/>
              </w:rPr>
              <w:t xml:space="preserve"> to achieve a balance between providing access to law enforcement in narrow, clearly defined circumstances, and recognizing the importance of restricting the use of particularly sensitive information</w:t>
            </w:r>
          </w:p>
        </w:tc>
        <w:tc>
          <w:tcPr>
            <w:tcW w:w="0" w:type="dxa"/>
            <w:tcBorders>
              <w:bottom w:val="nil"/>
            </w:tcBorders>
            <w:shd w:val="clear" w:color="auto" w:fill="D2EEED"/>
          </w:tcPr>
          <w:p w14:paraId="7B6C6647" w14:textId="418B6CC8" w:rsidR="00280DC7" w:rsidRPr="00D44FE0" w:rsidRDefault="001A3FD2">
            <w:pPr>
              <w:pStyle w:val="TableTextLeft"/>
              <w:cnfStyle w:val="000000100000" w:firstRow="0" w:lastRow="0" w:firstColumn="0" w:lastColumn="0" w:oddVBand="0" w:evenVBand="0" w:oddHBand="1" w:evenHBand="0" w:firstRowFirstColumn="0" w:firstRowLastColumn="0" w:lastRowFirstColumn="0" w:lastRowLastColumn="0"/>
              <w:rPr>
                <w:szCs w:val="20"/>
                <w:lang w:val="en-US"/>
              </w:rPr>
            </w:pPr>
            <w:r w:rsidRPr="00D44FE0">
              <w:rPr>
                <w:szCs w:val="20"/>
                <w:lang w:val="en-US"/>
              </w:rPr>
              <w:t xml:space="preserve">As </w:t>
            </w:r>
            <w:r w:rsidR="0013595E" w:rsidRPr="00D44FE0">
              <w:rPr>
                <w:szCs w:val="20"/>
                <w:lang w:val="en-US"/>
              </w:rPr>
              <w:t>early</w:t>
            </w:r>
            <w:r w:rsidRPr="00D44FE0">
              <w:rPr>
                <w:szCs w:val="20"/>
                <w:lang w:val="en-US"/>
              </w:rPr>
              <w:t xml:space="preserve"> adopters of the System, government agencies have been broadly supportive of the </w:t>
            </w:r>
            <w:r w:rsidR="007525B9">
              <w:rPr>
                <w:szCs w:val="20"/>
                <w:lang w:val="en-US"/>
              </w:rPr>
              <w:t xml:space="preserve">Digital ID </w:t>
            </w:r>
            <w:r w:rsidRPr="00D44FE0">
              <w:rPr>
                <w:szCs w:val="20"/>
                <w:lang w:val="en-US"/>
              </w:rPr>
              <w:t>System</w:t>
            </w:r>
            <w:r w:rsidR="00291DAC" w:rsidRPr="00D44FE0">
              <w:rPr>
                <w:szCs w:val="20"/>
                <w:lang w:val="en-US"/>
              </w:rPr>
              <w:t xml:space="preserve"> for the longest period. </w:t>
            </w:r>
            <w:r w:rsidR="0013595E" w:rsidRPr="00D44FE0">
              <w:rPr>
                <w:szCs w:val="20"/>
                <w:lang w:val="en-US"/>
              </w:rPr>
              <w:t xml:space="preserve">Key agencies have been continuously consulted with since the Program’s commencement. </w:t>
            </w:r>
            <w:r w:rsidR="00A87668" w:rsidRPr="00D44FE0">
              <w:rPr>
                <w:szCs w:val="20"/>
                <w:lang w:val="en-US"/>
              </w:rPr>
              <w:t xml:space="preserve">This stakeholder group has not shown opposition to </w:t>
            </w:r>
            <w:r w:rsidR="005B725C" w:rsidRPr="00D44FE0">
              <w:rPr>
                <w:szCs w:val="20"/>
                <w:lang w:val="en-US"/>
              </w:rPr>
              <w:t xml:space="preserve">regulation of the </w:t>
            </w:r>
            <w:r w:rsidR="007525B9">
              <w:rPr>
                <w:szCs w:val="20"/>
                <w:lang w:val="en-US"/>
              </w:rPr>
              <w:t xml:space="preserve">Digital ID </w:t>
            </w:r>
            <w:r w:rsidR="005B725C" w:rsidRPr="00D44FE0">
              <w:rPr>
                <w:szCs w:val="20"/>
                <w:lang w:val="en-US"/>
              </w:rPr>
              <w:t>System under Option 3</w:t>
            </w:r>
            <w:r w:rsidR="008C70E7" w:rsidRPr="00D44FE0">
              <w:rPr>
                <w:szCs w:val="20"/>
                <w:lang w:val="en-US"/>
              </w:rPr>
              <w:t xml:space="preserve">. Concerns raised by government stakeholders, e.g. regarding alignment </w:t>
            </w:r>
            <w:r w:rsidR="00455AB1" w:rsidRPr="00D44FE0">
              <w:rPr>
                <w:szCs w:val="20"/>
                <w:lang w:val="en-US"/>
              </w:rPr>
              <w:t xml:space="preserve">of regulatory regimes and law enforcement agencies, have </w:t>
            </w:r>
            <w:r w:rsidR="00BF0998" w:rsidRPr="00D44FE0">
              <w:rPr>
                <w:szCs w:val="20"/>
                <w:lang w:val="en-US"/>
              </w:rPr>
              <w:t xml:space="preserve">resulted in revisions to policy positions and </w:t>
            </w:r>
            <w:r w:rsidR="00375552" w:rsidRPr="00D44FE0">
              <w:rPr>
                <w:szCs w:val="20"/>
                <w:lang w:val="en-US"/>
              </w:rPr>
              <w:t xml:space="preserve">the Bill. The Program </w:t>
            </w:r>
            <w:r w:rsidR="00496B13" w:rsidRPr="00D44FE0">
              <w:rPr>
                <w:szCs w:val="20"/>
                <w:lang w:val="en-US"/>
              </w:rPr>
              <w:t>plans to continue to consult with this group, especially throughout its implementation plan.</w:t>
            </w:r>
            <w:r w:rsidR="00D44FE0">
              <w:rPr>
                <w:szCs w:val="20"/>
                <w:lang w:val="en-US"/>
              </w:rPr>
              <w:t xml:space="preserve"> </w:t>
            </w:r>
          </w:p>
        </w:tc>
      </w:tr>
      <w:tr w:rsidR="00445124" w:rsidRPr="00D12859" w14:paraId="7552BC39" w14:textId="77777777" w:rsidTr="008627B3">
        <w:trPr>
          <w:trHeight w:val="76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008675"/>
            </w:tcBorders>
          </w:tcPr>
          <w:p w14:paraId="7C125013" w14:textId="1D329064" w:rsidR="00280DC7" w:rsidRPr="008627B3" w:rsidRDefault="008C0A1F">
            <w:pPr>
              <w:pStyle w:val="TableTextLeft"/>
              <w:rPr>
                <w:color w:val="008675"/>
              </w:rPr>
            </w:pPr>
            <w:r w:rsidRPr="008627B3">
              <w:rPr>
                <w:color w:val="008675"/>
              </w:rPr>
              <w:t xml:space="preserve">Community </w:t>
            </w:r>
          </w:p>
        </w:tc>
        <w:tc>
          <w:tcPr>
            <w:tcW w:w="0" w:type="dxa"/>
            <w:tcBorders>
              <w:top w:val="nil"/>
              <w:bottom w:val="single" w:sz="4" w:space="0" w:color="008675"/>
            </w:tcBorders>
          </w:tcPr>
          <w:p w14:paraId="6596F1B8" w14:textId="6CDB1771" w:rsidR="00280DC7" w:rsidRPr="00D44FE0" w:rsidRDefault="009715B1" w:rsidP="00F409BB">
            <w:pPr>
              <w:pStyle w:val="TableTextLeft"/>
              <w:numPr>
                <w:ilvl w:val="0"/>
                <w:numId w:val="21"/>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t>C</w:t>
            </w:r>
            <w:r w:rsidR="00A82720" w:rsidRPr="00D44FE0">
              <w:rPr>
                <w:szCs w:val="20"/>
                <w:lang w:val="en-US"/>
              </w:rPr>
              <w:t xml:space="preserve">oncerns raised regarding the practicalities of enforcing this </w:t>
            </w:r>
            <w:r w:rsidR="00A82720" w:rsidRPr="00D44FE0">
              <w:rPr>
                <w:szCs w:val="20"/>
                <w:lang w:val="en-US"/>
              </w:rPr>
              <w:lastRenderedPageBreak/>
              <w:t>voluntary mandate</w:t>
            </w:r>
          </w:p>
        </w:tc>
        <w:tc>
          <w:tcPr>
            <w:tcW w:w="0" w:type="dxa"/>
            <w:tcBorders>
              <w:top w:val="nil"/>
              <w:bottom w:val="single" w:sz="4" w:space="0" w:color="008675"/>
            </w:tcBorders>
          </w:tcPr>
          <w:p w14:paraId="6AC413C1" w14:textId="7C6F9AEA" w:rsidR="00280DC7" w:rsidRPr="00D44FE0" w:rsidRDefault="009715B1" w:rsidP="00F409BB">
            <w:pPr>
              <w:pStyle w:val="TableTextLeft"/>
              <w:numPr>
                <w:ilvl w:val="0"/>
                <w:numId w:val="21"/>
              </w:numPr>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lastRenderedPageBreak/>
              <w:t>The</w:t>
            </w:r>
            <w:r w:rsidRPr="00D44FE0">
              <w:rPr>
                <w:rFonts w:ascii="Calibri" w:hAnsi="Calibri" w:cs="Calibri"/>
                <w:color w:val="4472C4"/>
                <w:sz w:val="22"/>
                <w:szCs w:val="22"/>
                <w:lang w:val="en-US"/>
              </w:rPr>
              <w:t xml:space="preserve"> </w:t>
            </w:r>
            <w:r w:rsidRPr="00D44FE0">
              <w:rPr>
                <w:szCs w:val="20"/>
                <w:lang w:val="en-US"/>
              </w:rPr>
              <w:t xml:space="preserve">Program continues to liaise closely with the Australian Human Rights Commission (AHRC), the National Children Commissioner, and the </w:t>
            </w:r>
            <w:r w:rsidRPr="00D44FE0">
              <w:rPr>
                <w:szCs w:val="20"/>
                <w:lang w:val="en-US"/>
              </w:rPr>
              <w:lastRenderedPageBreak/>
              <w:t>Attorney-General’s Department in order to address</w:t>
            </w:r>
            <w:r w:rsidR="00EE1E79" w:rsidRPr="00D44FE0">
              <w:rPr>
                <w:szCs w:val="20"/>
                <w:lang w:val="en-US"/>
              </w:rPr>
              <w:t xml:space="preserve"> </w:t>
            </w:r>
            <w:r w:rsidRPr="00D44FE0">
              <w:rPr>
                <w:szCs w:val="20"/>
                <w:lang w:val="en-US"/>
              </w:rPr>
              <w:t>concerns</w:t>
            </w:r>
          </w:p>
        </w:tc>
        <w:tc>
          <w:tcPr>
            <w:tcW w:w="0" w:type="dxa"/>
            <w:tcBorders>
              <w:top w:val="nil"/>
              <w:bottom w:val="single" w:sz="4" w:space="0" w:color="008675"/>
            </w:tcBorders>
          </w:tcPr>
          <w:p w14:paraId="7F36D33D" w14:textId="37F0B526" w:rsidR="00280DC7" w:rsidRPr="00D44FE0" w:rsidRDefault="007856C9" w:rsidP="00A60647">
            <w:pPr>
              <w:pStyle w:val="TableTextLeft"/>
              <w:keepNext/>
              <w:cnfStyle w:val="000000000000" w:firstRow="0" w:lastRow="0" w:firstColumn="0" w:lastColumn="0" w:oddVBand="0" w:evenVBand="0" w:oddHBand="0" w:evenHBand="0" w:firstRowFirstColumn="0" w:firstRowLastColumn="0" w:lastRowFirstColumn="0" w:lastRowLastColumn="0"/>
              <w:rPr>
                <w:szCs w:val="20"/>
                <w:lang w:val="en-US"/>
              </w:rPr>
            </w:pPr>
            <w:r w:rsidRPr="00D44FE0">
              <w:rPr>
                <w:szCs w:val="20"/>
                <w:lang w:val="en-US"/>
              </w:rPr>
              <w:lastRenderedPageBreak/>
              <w:t>While community</w:t>
            </w:r>
            <w:r w:rsidR="00EE1E79" w:rsidRPr="00D44FE0">
              <w:rPr>
                <w:szCs w:val="20"/>
                <w:lang w:val="en-US"/>
              </w:rPr>
              <w:t xml:space="preserve"> stakeholders are</w:t>
            </w:r>
            <w:r w:rsidR="00C24D4D" w:rsidRPr="00D44FE0">
              <w:rPr>
                <w:szCs w:val="20"/>
                <w:lang w:val="en-US"/>
              </w:rPr>
              <w:t xml:space="preserve"> broadly supportive of Option 3</w:t>
            </w:r>
            <w:r w:rsidR="00EE1E79" w:rsidRPr="00D44FE0">
              <w:rPr>
                <w:szCs w:val="20"/>
                <w:lang w:val="en-US"/>
              </w:rPr>
              <w:t xml:space="preserve"> as the preferred option</w:t>
            </w:r>
            <w:r w:rsidR="00C24D4D" w:rsidRPr="00D44FE0">
              <w:rPr>
                <w:szCs w:val="20"/>
                <w:lang w:val="en-US"/>
              </w:rPr>
              <w:t xml:space="preserve">, </w:t>
            </w:r>
            <w:r w:rsidR="00EE1E79" w:rsidRPr="00D44FE0">
              <w:rPr>
                <w:szCs w:val="20"/>
                <w:lang w:val="en-US"/>
              </w:rPr>
              <w:t xml:space="preserve">the Program continues </w:t>
            </w:r>
            <w:r w:rsidR="00EE1E79" w:rsidRPr="00D44FE0">
              <w:rPr>
                <w:szCs w:val="20"/>
                <w:lang w:val="en-US"/>
              </w:rPr>
              <w:lastRenderedPageBreak/>
              <w:t>to liaise with these stakeholders to address voiced concerns</w:t>
            </w:r>
            <w:r w:rsidR="0094309A" w:rsidRPr="00D44FE0">
              <w:rPr>
                <w:szCs w:val="20"/>
                <w:lang w:val="en-US"/>
              </w:rPr>
              <w:t>.</w:t>
            </w:r>
            <w:r w:rsidR="00C3254B">
              <w:rPr>
                <w:szCs w:val="20"/>
                <w:lang w:val="en-US"/>
              </w:rPr>
              <w:t xml:space="preserve"> This was a key theme raised in the consultation process in 2023.</w:t>
            </w:r>
          </w:p>
        </w:tc>
      </w:tr>
    </w:tbl>
    <w:p w14:paraId="7AC9DB84" w14:textId="32127998" w:rsidR="00F55718" w:rsidRPr="00A60647" w:rsidRDefault="0052151B">
      <w:pPr>
        <w:pStyle w:val="Caption"/>
      </w:pPr>
      <w:bookmarkStart w:id="699" w:name="_Toc130390621"/>
      <w:r w:rsidRPr="00D44FE0">
        <w:lastRenderedPageBreak/>
        <w:t xml:space="preserve">Table </w:t>
      </w:r>
      <w:r>
        <w:fldChar w:fldCharType="begin"/>
      </w:r>
      <w:r>
        <w:instrText>SEQ Table \* ARABIC</w:instrText>
      </w:r>
      <w:r>
        <w:fldChar w:fldCharType="separate"/>
      </w:r>
      <w:r w:rsidRPr="00D44FE0">
        <w:rPr>
          <w:noProof/>
        </w:rPr>
        <w:t>16</w:t>
      </w:r>
      <w:r>
        <w:fldChar w:fldCharType="end"/>
      </w:r>
      <w:r w:rsidRPr="00D44FE0">
        <w:t>: Evolution of stakeholder views on the Program over consultation</w:t>
      </w:r>
      <w:bookmarkEnd w:id="699"/>
    </w:p>
    <w:p w14:paraId="58256E4C" w14:textId="5FA75939" w:rsidR="00F55718" w:rsidRDefault="00F55718" w:rsidP="008C6B44">
      <w:pPr>
        <w:pStyle w:val="BodyText"/>
      </w:pPr>
      <w:bookmarkStart w:id="700" w:name="_Ref75345783"/>
      <w:bookmarkStart w:id="701" w:name="_Ref75347681"/>
      <w:bookmarkStart w:id="702" w:name="_Ref75347825"/>
      <w:bookmarkStart w:id="703" w:name="_Ref75347974"/>
      <w:bookmarkStart w:id="704" w:name="_Ref75348065"/>
      <w:bookmarkStart w:id="705" w:name="_Toc83951225"/>
      <w:bookmarkStart w:id="706" w:name="_Toc84925850"/>
      <w:bookmarkStart w:id="707" w:name="_Toc84925923"/>
      <w:bookmarkStart w:id="708" w:name="_Toc86045167"/>
      <w:bookmarkStart w:id="709" w:name="_Toc86070064"/>
      <w:bookmarkStart w:id="710" w:name="appendixe"/>
    </w:p>
    <w:p w14:paraId="3216C2FD" w14:textId="77777777" w:rsidR="00480786" w:rsidRDefault="00480786" w:rsidP="00A60647">
      <w:pPr>
        <w:pStyle w:val="BodyText"/>
      </w:pPr>
    </w:p>
    <w:p w14:paraId="50AD7A56" w14:textId="6A3E5EF2" w:rsidR="002F0E59" w:rsidRPr="00C118C9" w:rsidRDefault="001A6833" w:rsidP="001A6833">
      <w:pPr>
        <w:pStyle w:val="Heading1NoNumbers"/>
        <w:rPr>
          <w:color w:val="008675"/>
        </w:rPr>
      </w:pPr>
      <w:bookmarkStart w:id="711" w:name="_Toc149740377"/>
      <w:r w:rsidRPr="00C118C9">
        <w:rPr>
          <w:color w:val="008675"/>
        </w:rPr>
        <w:lastRenderedPageBreak/>
        <w:t xml:space="preserve">Appendix E </w:t>
      </w:r>
      <w:r w:rsidR="0098502F" w:rsidRPr="00C118C9">
        <w:rPr>
          <w:color w:val="008675"/>
        </w:rPr>
        <w:t>–</w:t>
      </w:r>
      <w:r w:rsidRPr="00C118C9">
        <w:rPr>
          <w:color w:val="008675"/>
        </w:rPr>
        <w:t xml:space="preserve"> </w:t>
      </w:r>
      <w:r w:rsidR="002F0E59" w:rsidRPr="00C118C9">
        <w:rPr>
          <w:color w:val="008675"/>
        </w:rPr>
        <w:t xml:space="preserve">Regulatory </w:t>
      </w:r>
      <w:r w:rsidR="00CB29B2" w:rsidRPr="00C118C9">
        <w:rPr>
          <w:color w:val="008675"/>
        </w:rPr>
        <w:t>c</w:t>
      </w:r>
      <w:r w:rsidR="002F0E59" w:rsidRPr="00C118C9">
        <w:rPr>
          <w:color w:val="008675"/>
        </w:rPr>
        <w:t>ost</w:t>
      </w:r>
      <w:r w:rsidR="00765459" w:rsidRPr="00C118C9">
        <w:rPr>
          <w:color w:val="008675"/>
        </w:rPr>
        <w:t xml:space="preserve">s: </w:t>
      </w:r>
      <w:r w:rsidR="000E7767" w:rsidRPr="00C118C9">
        <w:rPr>
          <w:color w:val="008675"/>
        </w:rPr>
        <w:t>Methodology</w:t>
      </w:r>
      <w:r w:rsidR="00765459" w:rsidRPr="00C118C9">
        <w:rPr>
          <w:color w:val="008675"/>
        </w:rPr>
        <w:t xml:space="preserve"> and </w:t>
      </w:r>
      <w:r w:rsidR="00CB29B2" w:rsidRPr="00C118C9">
        <w:rPr>
          <w:color w:val="008675"/>
        </w:rPr>
        <w:t>a</w:t>
      </w:r>
      <w:r w:rsidR="00765459" w:rsidRPr="00C118C9">
        <w:rPr>
          <w:color w:val="008675"/>
        </w:rPr>
        <w:t>ssumptions</w:t>
      </w:r>
      <w:bookmarkEnd w:id="700"/>
      <w:bookmarkEnd w:id="701"/>
      <w:bookmarkEnd w:id="702"/>
      <w:bookmarkEnd w:id="703"/>
      <w:bookmarkEnd w:id="704"/>
      <w:bookmarkEnd w:id="705"/>
      <w:bookmarkEnd w:id="706"/>
      <w:bookmarkEnd w:id="707"/>
      <w:bookmarkEnd w:id="708"/>
      <w:bookmarkEnd w:id="709"/>
      <w:bookmarkEnd w:id="711"/>
    </w:p>
    <w:bookmarkEnd w:id="710"/>
    <w:p w14:paraId="2BB4EE1C" w14:textId="773A25BE" w:rsidR="006E0E1F" w:rsidRPr="00ED433E" w:rsidRDefault="006E0E1F" w:rsidP="006E0E1F">
      <w:pPr>
        <w:pStyle w:val="BodyText"/>
        <w:rPr>
          <w:rStyle w:val="Bold"/>
          <w:b w:val="0"/>
        </w:rPr>
      </w:pPr>
      <w:r w:rsidRPr="00ED433E">
        <w:t xml:space="preserve">This Appendix outlines the approach taken to estimate net regulatory burden in the </w:t>
      </w:r>
      <w:r w:rsidR="00465F3F">
        <w:t>Impact Analysis</w:t>
      </w:r>
      <w:r w:rsidRPr="00ED433E">
        <w:t xml:space="preserve">. The </w:t>
      </w:r>
      <w:r w:rsidR="00465F3F">
        <w:t>Impact Analysis</w:t>
      </w:r>
      <w:r w:rsidRPr="00ED433E">
        <w:t xml:space="preserve"> provides economy-wide, annualised regulatory burden estimates for each </w:t>
      </w:r>
      <w:r w:rsidR="00362232" w:rsidRPr="00ED433E">
        <w:t xml:space="preserve">relevant </w:t>
      </w:r>
      <w:r w:rsidRPr="00ED433E">
        <w:t xml:space="preserve">Option, in accordance with the </w:t>
      </w:r>
      <w:hyperlink r:id="rId100" w:history="1">
        <w:r w:rsidRPr="00ED433E">
          <w:rPr>
            <w:rStyle w:val="Hyperlink"/>
            <w:color w:val="auto"/>
          </w:rPr>
          <w:t>Regulatory Burden Measurement Framework</w:t>
        </w:r>
      </w:hyperlink>
      <w:r w:rsidRPr="00ED433E">
        <w:t xml:space="preserve">. These costs reflect data derived from multiple data sources, including internal </w:t>
      </w:r>
      <w:r w:rsidR="00B42D00">
        <w:t>Australian Government</w:t>
      </w:r>
      <w:r w:rsidR="00B42D00" w:rsidRPr="00ED433E">
        <w:t xml:space="preserve"> </w:t>
      </w:r>
      <w:r w:rsidRPr="00ED433E">
        <w:t xml:space="preserve">analysis and external research, validated through direct consultation with potentially impacted entities through the </w:t>
      </w:r>
      <w:hyperlink r:id="rId101" w:history="1">
        <w:r w:rsidRPr="00ED433E">
          <w:rPr>
            <w:rStyle w:val="Hyperlink"/>
            <w:color w:val="auto"/>
          </w:rPr>
          <w:t>Consultation RIS</w:t>
        </w:r>
      </w:hyperlink>
      <w:r w:rsidRPr="00ED433E">
        <w:t xml:space="preserve">. </w:t>
      </w:r>
    </w:p>
    <w:p w14:paraId="571F7C17" w14:textId="37B40D45" w:rsidR="006E0E1F" w:rsidRPr="00C118C9" w:rsidRDefault="006E0E1F" w:rsidP="00986346">
      <w:pPr>
        <w:pStyle w:val="Heading2NoNumbers"/>
        <w:rPr>
          <w:rStyle w:val="Bold"/>
          <w:b/>
          <w:color w:val="008675"/>
          <w:szCs w:val="32"/>
        </w:rPr>
      </w:pPr>
      <w:bookmarkStart w:id="712" w:name="_Toc84925851"/>
      <w:bookmarkStart w:id="713" w:name="_Toc84925924"/>
      <w:bookmarkStart w:id="714" w:name="_Toc86045168"/>
      <w:bookmarkStart w:id="715" w:name="_Toc86070065"/>
      <w:bookmarkStart w:id="716" w:name="_Toc149740378"/>
      <w:r w:rsidRPr="00C118C9">
        <w:rPr>
          <w:rStyle w:val="Bold"/>
          <w:b/>
          <w:color w:val="008675"/>
          <w:szCs w:val="32"/>
        </w:rPr>
        <w:t>Methodology</w:t>
      </w:r>
      <w:bookmarkEnd w:id="712"/>
      <w:bookmarkEnd w:id="713"/>
      <w:bookmarkEnd w:id="714"/>
      <w:bookmarkEnd w:id="715"/>
      <w:bookmarkEnd w:id="716"/>
      <w:r w:rsidRPr="00C118C9">
        <w:rPr>
          <w:rStyle w:val="Bold"/>
          <w:b/>
          <w:color w:val="008675"/>
          <w:szCs w:val="32"/>
        </w:rPr>
        <w:t xml:space="preserve"> </w:t>
      </w:r>
    </w:p>
    <w:p w14:paraId="6DE868FA" w14:textId="77777777" w:rsidR="006E0E1F" w:rsidRPr="002454F7" w:rsidRDefault="006E0E1F" w:rsidP="00ED433E">
      <w:pPr>
        <w:pStyle w:val="BodyText"/>
      </w:pPr>
      <w:r w:rsidRPr="002454F7">
        <w:t>The regulatory cost estimates included in this document have been developed in accordance with the below approach:</w:t>
      </w:r>
    </w:p>
    <w:p w14:paraId="6F495DCA" w14:textId="3C4ACBC0" w:rsidR="006E0E1F" w:rsidRPr="00CB4CC8" w:rsidRDefault="006E0E1F" w:rsidP="00F409BB">
      <w:pPr>
        <w:pStyle w:val="ListNumberedLevel1"/>
        <w:numPr>
          <w:ilvl w:val="0"/>
          <w:numId w:val="7"/>
        </w:numPr>
      </w:pPr>
      <w:r>
        <w:t xml:space="preserve">Identifying activities that would influence regulatory costs of a regulated entity under the </w:t>
      </w:r>
      <w:r w:rsidRPr="00CB4CC8">
        <w:t xml:space="preserve">relevant Option as either application, privacy and security obligation, ongoing obligation or administrative. </w:t>
      </w:r>
    </w:p>
    <w:p w14:paraId="6C9FF1BC" w14:textId="70EAA68C" w:rsidR="006E0E1F" w:rsidRPr="00CB4CC8" w:rsidRDefault="006E0E1F" w:rsidP="00F409BB">
      <w:pPr>
        <w:pStyle w:val="ListNumberedLevel1"/>
        <w:numPr>
          <w:ilvl w:val="0"/>
          <w:numId w:val="7"/>
        </w:numPr>
      </w:pPr>
      <w:r w:rsidRPr="00CB4CC8">
        <w:t>Categorising the frequency of the activity as either start-up (</w:t>
      </w:r>
      <w:r w:rsidR="0074110D" w:rsidRPr="00CB4CC8">
        <w:t>i.e.,</w:t>
      </w:r>
      <w:r w:rsidRPr="00CB4CC8">
        <w:t xml:space="preserve"> a mobilisation or initial cost incurring in Initial Year only), ad hoc (occurring less predictably and frequently more than once) or ongoing (if occurrence is known and frequent more than once, </w:t>
      </w:r>
      <w:r w:rsidR="0074110D" w:rsidRPr="00CB4CC8">
        <w:t>e.g.,</w:t>
      </w:r>
      <w:r w:rsidRPr="00CB4CC8">
        <w:t xml:space="preserve"> ongoing maintenance/monitoring obligations).</w:t>
      </w:r>
    </w:p>
    <w:p w14:paraId="4F09B41B" w14:textId="6EC49572" w:rsidR="006E0E1F" w:rsidRPr="00CB4CC8" w:rsidRDefault="006E0E1F" w:rsidP="00F409BB">
      <w:pPr>
        <w:pStyle w:val="ListNumberedLevel1"/>
        <w:numPr>
          <w:ilvl w:val="0"/>
          <w:numId w:val="7"/>
        </w:numPr>
      </w:pPr>
      <w:r w:rsidRPr="00CB4CC8">
        <w:t xml:space="preserve">For post start-up ad hoc activities, making assumptions on the expected annual frequency of each activity. These assumptions were informed by Government’s experience working to date, internally tested and validated through public consultation. </w:t>
      </w:r>
    </w:p>
    <w:p w14:paraId="424F3E8F" w14:textId="77777777" w:rsidR="006E0E1F" w:rsidRPr="00CB4CC8" w:rsidRDefault="006E0E1F" w:rsidP="00F409BB">
      <w:pPr>
        <w:pStyle w:val="ListNumberedLevel1"/>
        <w:numPr>
          <w:ilvl w:val="0"/>
          <w:numId w:val="7"/>
        </w:numPr>
      </w:pPr>
      <w:r w:rsidRPr="00CB4CC8">
        <w:t>Estimating the resource effort (time taken) to comply with that requirement, taking the average-level scenario for each activity (see Assumptions below).</w:t>
      </w:r>
    </w:p>
    <w:p w14:paraId="751FCA1D" w14:textId="3DF339D2" w:rsidR="006E0E1F" w:rsidRPr="00CB4CC8" w:rsidRDefault="006E0E1F" w:rsidP="00F409BB">
      <w:pPr>
        <w:pStyle w:val="ListNumberedLevel1"/>
        <w:numPr>
          <w:ilvl w:val="0"/>
          <w:numId w:val="7"/>
        </w:numPr>
      </w:pPr>
      <w:r w:rsidRPr="00CB4CC8">
        <w:t>Estimating labour costs associated with a regulatory task, by multiplying time taken to complete the required compliance activity (average-level scenario) by expected annual frequency of each activity and by hourly cost for relevant staff.</w:t>
      </w:r>
    </w:p>
    <w:p w14:paraId="5F99B664" w14:textId="77777777" w:rsidR="006E0E1F" w:rsidRPr="00CB4CC8" w:rsidRDefault="006E0E1F" w:rsidP="00F409BB">
      <w:pPr>
        <w:pStyle w:val="ListNumberedLevel1"/>
        <w:numPr>
          <w:ilvl w:val="0"/>
          <w:numId w:val="7"/>
        </w:numPr>
      </w:pPr>
      <w:r w:rsidRPr="00CB4CC8">
        <w:t xml:space="preserve">This provides the annual cost of complying with the regulatory requirements for each activity per Option and entity group as relevant, and produces a yearly per-entity regulatory cost. </w:t>
      </w:r>
    </w:p>
    <w:p w14:paraId="26F6FDE9" w14:textId="77777777" w:rsidR="006E0E1F" w:rsidRPr="00CB4CC8" w:rsidRDefault="006E0E1F" w:rsidP="00F409BB">
      <w:pPr>
        <w:pStyle w:val="ListNumberedLevel1"/>
        <w:numPr>
          <w:ilvl w:val="0"/>
          <w:numId w:val="7"/>
        </w:numPr>
      </w:pPr>
      <w:r w:rsidRPr="00CB4CC8">
        <w:lastRenderedPageBreak/>
        <w:t>Validating yearly per-entity regulatory costs through broad consultation with potentially impacted entities through the Consultation RIS, and adjusting data estimations and assumptions in accordance with responses received.</w:t>
      </w:r>
    </w:p>
    <w:p w14:paraId="6C77967A" w14:textId="28D31F07" w:rsidR="006E0E1F" w:rsidRPr="00CB4CC8" w:rsidRDefault="006E0E1F" w:rsidP="00F409BB">
      <w:pPr>
        <w:pStyle w:val="ListNumberedLevel1"/>
        <w:numPr>
          <w:ilvl w:val="0"/>
          <w:numId w:val="7"/>
        </w:numPr>
      </w:pPr>
      <w:r w:rsidRPr="00CB4CC8">
        <w:t>Multiplying each yearly per-entity regulatory cost by expected economy-wide uptake rate (see Assumptions) for the entity group. This was calculated over the default 10</w:t>
      </w:r>
      <w:r w:rsidR="00C43804">
        <w:t xml:space="preserve"> </w:t>
      </w:r>
      <w:r w:rsidRPr="00CB4CC8">
        <w:t xml:space="preserve">years of regulation considered by the Regulatory Burden Measurement Framework. </w:t>
      </w:r>
    </w:p>
    <w:p w14:paraId="4CBF30A5" w14:textId="0C3A430B" w:rsidR="006E0E1F" w:rsidRPr="00DB6C47" w:rsidRDefault="006E0E1F" w:rsidP="00F409BB">
      <w:pPr>
        <w:pStyle w:val="ListNumberedLevel1"/>
        <w:numPr>
          <w:ilvl w:val="0"/>
          <w:numId w:val="7"/>
        </w:numPr>
      </w:pPr>
      <w:r w:rsidRPr="00CB4CC8">
        <w:t>Dividing the sum of all yearly, economy-wide costs for each entity group over the 10</w:t>
      </w:r>
      <w:r w:rsidR="00C43804">
        <w:t xml:space="preserve"> </w:t>
      </w:r>
      <w:r w:rsidRPr="00CB4CC8">
        <w:t xml:space="preserve">years (per Option) by 10, to derive average annualised regulatory burden for each Option. </w:t>
      </w:r>
    </w:p>
    <w:p w14:paraId="76E41EEC" w14:textId="3F7B0D93" w:rsidR="00515C37" w:rsidRDefault="006E0E1F" w:rsidP="00DB6C47">
      <w:pPr>
        <w:pStyle w:val="BodyText"/>
      </w:pPr>
      <w:r w:rsidRPr="00DB6C47">
        <w:rPr>
          <w:b/>
        </w:rPr>
        <w:t xml:space="preserve">Note </w:t>
      </w:r>
      <w:r w:rsidRPr="00DB6C47">
        <w:t xml:space="preserve">– the above approach was followed for all entity groups for </w:t>
      </w:r>
      <w:hyperlink w:anchor="Dedicated" w:history="1">
        <w:r w:rsidRPr="00C118C9">
          <w:rPr>
            <w:rStyle w:val="Hyperlink"/>
            <w:color w:val="008675"/>
          </w:rPr>
          <w:t>Option 3</w:t>
        </w:r>
      </w:hyperlink>
      <w:r w:rsidRPr="00DB6C47">
        <w:t xml:space="preserve">. </w:t>
      </w:r>
      <w:r w:rsidR="005B57E7" w:rsidRPr="00DB6C47">
        <w:br/>
      </w:r>
      <w:r w:rsidRPr="00DB6C47">
        <w:t xml:space="preserve">As </w:t>
      </w:r>
      <w:hyperlink w:anchor="Leverage" w:history="1">
        <w:r w:rsidRPr="00C118C9">
          <w:rPr>
            <w:rStyle w:val="Hyperlink"/>
            <w:color w:val="008675"/>
          </w:rPr>
          <w:t>Option 2</w:t>
        </w:r>
      </w:hyperlink>
      <w:r w:rsidRPr="00DB6C47">
        <w:t xml:space="preserve"> involves </w:t>
      </w:r>
      <w:r w:rsidR="00F125C8">
        <w:t>fewer</w:t>
      </w:r>
      <w:r w:rsidRPr="00DB6C47">
        <w:t xml:space="preserve"> regulatory measures </w:t>
      </w:r>
      <w:r w:rsidR="00F125C8">
        <w:t>than</w:t>
      </w:r>
      <w:r w:rsidRPr="00DB6C47">
        <w:t xml:space="preserve"> Option 3 (mainly privacy-related), this was costed for GBEs by focusing on relevant privacy activities required by the legislati</w:t>
      </w:r>
      <w:r w:rsidR="00776803" w:rsidRPr="00DB6C47">
        <w:t xml:space="preserve">on. </w:t>
      </w:r>
      <w:r w:rsidR="00E57E33" w:rsidRPr="00DB6C47">
        <w:t>Option 2 calculations have</w:t>
      </w:r>
      <w:r w:rsidR="00776803" w:rsidRPr="00DB6C47">
        <w:t xml:space="preserve"> </w:t>
      </w:r>
      <w:r w:rsidR="00193450" w:rsidRPr="00DB6C47">
        <w:t xml:space="preserve">assumed that all 9 GBEs currently in existence in Australia would gradually seek to </w:t>
      </w:r>
      <w:r w:rsidR="00106E0F" w:rsidRPr="00DB6C47">
        <w:t xml:space="preserve">participate </w:t>
      </w:r>
      <w:r w:rsidR="003F49ED" w:rsidRPr="00DB6C47">
        <w:t xml:space="preserve">over the 10-year duration of regulation calculated (per the </w:t>
      </w:r>
      <w:hyperlink r:id="rId102" w:history="1">
        <w:r w:rsidR="003F49ED" w:rsidRPr="00C118C9">
          <w:rPr>
            <w:rStyle w:val="Hyperlink"/>
            <w:color w:val="008675"/>
          </w:rPr>
          <w:t>Regulatory Burden Measurement Framework</w:t>
        </w:r>
      </w:hyperlink>
      <w:r w:rsidR="003F49ED" w:rsidRPr="00DB6C47">
        <w:t>)</w:t>
      </w:r>
      <w:r w:rsidR="00106E0F" w:rsidRPr="00DB6C47">
        <w:t xml:space="preserve">. </w:t>
      </w:r>
      <w:r w:rsidRPr="00DB6C47">
        <w:t xml:space="preserve">Option 2 does not distinguish between start-up and ongoing costs, because there are limited </w:t>
      </w:r>
      <w:r w:rsidR="00B81444">
        <w:t>‘</w:t>
      </w:r>
      <w:r w:rsidRPr="00DB6C47">
        <w:t>initial</w:t>
      </w:r>
      <w:r w:rsidR="002412A6">
        <w:t>’</w:t>
      </w:r>
      <w:r w:rsidRPr="00DB6C47">
        <w:t xml:space="preserve"> regulatory requirements involved.</w:t>
      </w:r>
      <w:r w:rsidR="00A85398" w:rsidRPr="00DB6C47">
        <w:t xml:space="preserve"> </w:t>
      </w:r>
    </w:p>
    <w:p w14:paraId="42867478" w14:textId="77777777" w:rsidR="006E0E1F" w:rsidRPr="00C118C9" w:rsidRDefault="006E0E1F" w:rsidP="00986346">
      <w:pPr>
        <w:pStyle w:val="Heading2NoNumbers"/>
        <w:rPr>
          <w:rStyle w:val="Bold"/>
          <w:rFonts w:ascii="Times New Roman" w:hAnsi="Times New Roman" w:cs="Times New Roman"/>
          <w:color w:val="008675"/>
          <w:szCs w:val="32"/>
        </w:rPr>
      </w:pPr>
      <w:bookmarkStart w:id="717" w:name="_Toc84925852"/>
      <w:bookmarkStart w:id="718" w:name="_Toc84925925"/>
      <w:bookmarkStart w:id="719" w:name="_Toc86045169"/>
      <w:bookmarkStart w:id="720" w:name="_Toc86070066"/>
      <w:bookmarkStart w:id="721" w:name="_Toc149740379"/>
      <w:r w:rsidRPr="00C118C9">
        <w:rPr>
          <w:rStyle w:val="Bold"/>
          <w:b/>
          <w:color w:val="008675"/>
          <w:szCs w:val="32"/>
        </w:rPr>
        <w:t>Assumptions and sources</w:t>
      </w:r>
      <w:bookmarkEnd w:id="717"/>
      <w:bookmarkEnd w:id="718"/>
      <w:bookmarkEnd w:id="719"/>
      <w:bookmarkEnd w:id="720"/>
      <w:bookmarkEnd w:id="721"/>
    </w:p>
    <w:p w14:paraId="3B2EF516" w14:textId="516CA5CB" w:rsidR="006E0E1F" w:rsidRPr="002412A6" w:rsidRDefault="006E0E1F" w:rsidP="005B57E7">
      <w:pPr>
        <w:pStyle w:val="BodyText"/>
        <w:rPr>
          <w:rFonts w:eastAsia="Times New Roman"/>
        </w:rPr>
      </w:pPr>
      <w:r w:rsidRPr="002412A6">
        <w:t xml:space="preserve">The key assumptions </w:t>
      </w:r>
      <w:r w:rsidRPr="002412A6">
        <w:rPr>
          <w:rFonts w:eastAsia="Times New Roman"/>
        </w:rPr>
        <w:t>and sources used for regulatory cost estimates are</w:t>
      </w:r>
      <w:r w:rsidR="00540E90">
        <w:rPr>
          <w:rFonts w:eastAsia="Times New Roman"/>
        </w:rPr>
        <w:t>:</w:t>
      </w:r>
      <w:r w:rsidRPr="002412A6">
        <w:rPr>
          <w:rFonts w:eastAsia="Times New Roman"/>
        </w:rPr>
        <w:t xml:space="preserve"> </w:t>
      </w:r>
    </w:p>
    <w:p w14:paraId="44BA5A5E" w14:textId="31506B5B" w:rsidR="006E0E1F" w:rsidRPr="00632BBD" w:rsidRDefault="006E0E1F" w:rsidP="00632BBD">
      <w:pPr>
        <w:pStyle w:val="ListBulletLevel1"/>
      </w:pPr>
      <w:r w:rsidRPr="78F42BF0">
        <w:rPr>
          <w:b/>
          <w:bCs/>
        </w:rPr>
        <w:t>Start-up or ongoing costs</w:t>
      </w:r>
      <w:r w:rsidRPr="002412A6">
        <w:t xml:space="preserve"> </w:t>
      </w:r>
      <w:r w:rsidR="00540E90">
        <w:t>– the</w:t>
      </w:r>
      <w:r w:rsidRPr="002412A6">
        <w:t>se classifications were derived from analysis of the nature of the regulatory activities prescribed to businesses, and further broken down per individual regulated entity for each considered Option. Start</w:t>
      </w:r>
      <w:r w:rsidR="00D536AE">
        <w:noBreakHyphen/>
      </w:r>
      <w:r w:rsidRPr="002412A6">
        <w:t>up costs (Initial Year activities) were assumed to occur once in the first year of Option adoption, and generally included onboarding or initial accreditation activities. Other ad-hoc or ongoing compliance activities undertaken during the Initial Year were estimated based on the assumed frequency of undertaking the activities. The frequency of ongoing costs (</w:t>
      </w:r>
      <w:r w:rsidR="481F699E" w:rsidRPr="002412A6">
        <w:t>Post Initial</w:t>
      </w:r>
      <w:r w:rsidR="00BD07EB">
        <w:noBreakHyphen/>
      </w:r>
      <w:r w:rsidRPr="002412A6">
        <w:t xml:space="preserve"> Year ongoing activities) were considered based upon the nature of the activity (</w:t>
      </w:r>
      <w:r w:rsidR="00BD2AA0" w:rsidRPr="002412A6">
        <w:t>e.g.,</w:t>
      </w:r>
      <w:r w:rsidRPr="002412A6">
        <w:t xml:space="preserve"> whether an ongoing monitoring/maintenance obligation, or a one-off activity that may be needed throughout the year). Ongoing costs maintained constant prices and were not inflated to take account of inflation over the </w:t>
      </w:r>
      <w:r w:rsidRPr="002412A6">
        <w:lastRenderedPageBreak/>
        <w:t xml:space="preserve">default 10-year duration of regulation calculated (per the </w:t>
      </w:r>
      <w:hyperlink r:id="rId103" w:history="1">
        <w:r w:rsidRPr="00C118C9">
          <w:rPr>
            <w:rStyle w:val="Hyperlink"/>
            <w:color w:val="008675"/>
          </w:rPr>
          <w:t>Regulatory Burden Measurement Framework</w:t>
        </w:r>
      </w:hyperlink>
      <w:r w:rsidRPr="002412A6">
        <w:t>). These assumptions have been internally tested and were further validated through the public consultation process.</w:t>
      </w:r>
    </w:p>
    <w:p w14:paraId="7C2DF186" w14:textId="464140B3" w:rsidR="001A7F2C" w:rsidRPr="00133FCA" w:rsidRDefault="006E0E1F" w:rsidP="005B57E7">
      <w:pPr>
        <w:pStyle w:val="ListBulletLevel1"/>
      </w:pPr>
      <w:r w:rsidRPr="006B2129">
        <w:rPr>
          <w:b/>
        </w:rPr>
        <w:t>Year on year uptake</w:t>
      </w:r>
      <w:r w:rsidRPr="006B2129">
        <w:t xml:space="preserve"> –</w:t>
      </w:r>
      <w:r w:rsidR="008D64D5">
        <w:t xml:space="preserve"> </w:t>
      </w:r>
      <w:r w:rsidR="001A7F2C" w:rsidRPr="006B2129">
        <w:t xml:space="preserve">based </w:t>
      </w:r>
      <w:r w:rsidR="001A7F2C">
        <w:t>on</w:t>
      </w:r>
      <w:r w:rsidR="001A7F2C" w:rsidRPr="006B2129">
        <w:t xml:space="preserve"> internal Digital ID use case demand modelling</w:t>
      </w:r>
      <w:r w:rsidR="001A7F2C">
        <w:t>,</w:t>
      </w:r>
      <w:r w:rsidR="001A7F2C" w:rsidRPr="006B2129">
        <w:t xml:space="preserve"> estimating the rate of potential uptake and adoption on an economy-wide basis</w:t>
      </w:r>
      <w:r w:rsidR="001A7F2C">
        <w:t xml:space="preserve"> over the next 10</w:t>
      </w:r>
      <w:r w:rsidR="00CA2B27">
        <w:t xml:space="preserve"> </w:t>
      </w:r>
      <w:r w:rsidR="001A7F2C">
        <w:t>years</w:t>
      </w:r>
      <w:r w:rsidR="001A7F2C" w:rsidRPr="006B2129">
        <w:t xml:space="preserve">. </w:t>
      </w:r>
      <w:r w:rsidR="00CA2B27">
        <w:t>U</w:t>
      </w:r>
      <w:r w:rsidR="001A7F2C" w:rsidRPr="006B2129">
        <w:t>ptake estimates were based on publicly available data sourced through desktop research and a range of assumptions where no reliable data could be sourced</w:t>
      </w:r>
      <w:r w:rsidR="001A7F2C">
        <w:t xml:space="preserve"> (for example, the number of onboarded accredited participants was limited based on the assumptions of the total number of participating entities that would be commercially viable to support. From that saturation </w:t>
      </w:r>
      <w:r w:rsidR="001A7F2C" w:rsidRPr="00133FCA">
        <w:t xml:space="preserve">point, all further onboardings would only be as accredited entities). </w:t>
      </w:r>
    </w:p>
    <w:p w14:paraId="176F80C4" w14:textId="0FBBB6FB" w:rsidR="001A7F2C" w:rsidRPr="00133FCA" w:rsidRDefault="001A7F2C" w:rsidP="005B57E7">
      <w:pPr>
        <w:pStyle w:val="ListBulletLevel1"/>
        <w:numPr>
          <w:ilvl w:val="0"/>
          <w:numId w:val="0"/>
        </w:numPr>
        <w:ind w:left="596"/>
      </w:pPr>
      <w:r w:rsidRPr="00133FCA">
        <w:t>Year on year uptake included a yearly estimate of newly participating entities and of entities seeking to continue participation. Standard uptake rates, without yearly uplifts, were applied across Year 1 estimates (2022</w:t>
      </w:r>
      <w:r w:rsidR="00FB3F8F">
        <w:t>–23</w:t>
      </w:r>
      <w:r w:rsidRPr="00133FCA">
        <w:t>) though to Year 10 (2031</w:t>
      </w:r>
      <w:r w:rsidR="00FB3F8F">
        <w:t>–</w:t>
      </w:r>
      <w:r w:rsidRPr="00133FCA">
        <w:t>32).</w:t>
      </w:r>
    </w:p>
    <w:p w14:paraId="6C991AD4" w14:textId="3B525A78" w:rsidR="006E0E1F" w:rsidRPr="00133FCA" w:rsidRDefault="001A7F2C" w:rsidP="00632BBD">
      <w:pPr>
        <w:pStyle w:val="ListBulletLevel1"/>
        <w:numPr>
          <w:ilvl w:val="0"/>
          <w:numId w:val="0"/>
        </w:numPr>
        <w:ind w:left="596"/>
      </w:pPr>
      <w:r w:rsidRPr="00133FCA">
        <w:t xml:space="preserve">As a proportion of the total year on year uptake rate, the percentage of entities estimated to apply for and (separately) be approved for </w:t>
      </w:r>
      <w:r w:rsidR="00C466CF">
        <w:t>r</w:t>
      </w:r>
      <w:r w:rsidRPr="00133FCA">
        <w:t xml:space="preserve">estricted </w:t>
      </w:r>
      <w:r w:rsidR="00C466CF">
        <w:t>a</w:t>
      </w:r>
      <w:r w:rsidRPr="00133FCA">
        <w:t xml:space="preserve">ttributes (incurring greater application and privacy and security obligations) was assumed to be 90% and 60% respectively. The percentage of entities (excluding the </w:t>
      </w:r>
      <w:r w:rsidR="00C466CF">
        <w:t>r</w:t>
      </w:r>
      <w:r w:rsidRPr="00133FCA">
        <w:t xml:space="preserve">elying </w:t>
      </w:r>
      <w:r w:rsidR="00C466CF">
        <w:t>p</w:t>
      </w:r>
      <w:r w:rsidRPr="00133FCA">
        <w:t xml:space="preserve">arty entity group) estimated to be approved for IP3 (similarly incurring greater privacy and security obligations) was assumed to be 100% of the entities applying for </w:t>
      </w:r>
      <w:r w:rsidR="00C466CF">
        <w:t>r</w:t>
      </w:r>
      <w:r w:rsidRPr="00133FCA">
        <w:t xml:space="preserve">estricted </w:t>
      </w:r>
      <w:r w:rsidR="00C466CF">
        <w:t>a</w:t>
      </w:r>
      <w:r w:rsidRPr="00133FCA">
        <w:t>ttributes. These assumed proportions were applied to the yearly per-entity regulatory costs of each entity group under Option 3, allowing for further nuance in the economy-wide figures derived.</w:t>
      </w:r>
    </w:p>
    <w:p w14:paraId="4E3E1C49" w14:textId="1083CB6C" w:rsidR="006E0E1F" w:rsidRDefault="006E0E1F" w:rsidP="005B57E7">
      <w:pPr>
        <w:pStyle w:val="ListBulletLevel1"/>
      </w:pPr>
      <w:r w:rsidRPr="00A60647">
        <w:rPr>
          <w:b/>
          <w:bCs/>
        </w:rPr>
        <w:t>Resource</w:t>
      </w:r>
      <w:r w:rsidRPr="003957BC">
        <w:rPr>
          <w:b/>
        </w:rPr>
        <w:t xml:space="preserve"> efforts</w:t>
      </w:r>
      <w:r w:rsidRPr="003957BC">
        <w:t xml:space="preserve"> </w:t>
      </w:r>
      <w:r w:rsidR="0048679F">
        <w:t xml:space="preserve">– </w:t>
      </w:r>
      <w:r w:rsidRPr="003957BC">
        <w:t xml:space="preserve">estimated based </w:t>
      </w:r>
      <w:r w:rsidR="0048679F">
        <w:t>on</w:t>
      </w:r>
      <w:r w:rsidRPr="003957BC">
        <w:t xml:space="preserve"> analysis of regulatory activities prescribed per individual regulated entity</w:t>
      </w:r>
      <w:r>
        <w:t xml:space="preserve"> (within the ‘business’ sector)</w:t>
      </w:r>
      <w:r w:rsidRPr="003957BC">
        <w:t xml:space="preserve"> for each considered Option. This analysis was informed by </w:t>
      </w:r>
      <w:r>
        <w:t xml:space="preserve">Government’s current understanding </w:t>
      </w:r>
      <w:r w:rsidRPr="003957BC">
        <w:t xml:space="preserve">of </w:t>
      </w:r>
      <w:r>
        <w:t xml:space="preserve">the </w:t>
      </w:r>
      <w:r w:rsidRPr="003957BC">
        <w:t xml:space="preserve">potential </w:t>
      </w:r>
      <w:r>
        <w:t xml:space="preserve">future </w:t>
      </w:r>
      <w:r w:rsidRPr="003957BC">
        <w:t>regulatory activities, as detailed in the</w:t>
      </w:r>
      <w:r w:rsidR="00D43E93">
        <w:t xml:space="preserve"> Bill </w:t>
      </w:r>
      <w:r w:rsidRPr="003957BC">
        <w:t xml:space="preserve">(and where activities were considered within the scope of the Regulatory Burden Measurement Framework). </w:t>
      </w:r>
    </w:p>
    <w:p w14:paraId="2872D5DD" w14:textId="7CEA15C6" w:rsidR="006E0E1F" w:rsidRPr="005B57E7" w:rsidRDefault="006E0E1F" w:rsidP="005B57E7">
      <w:pPr>
        <w:pStyle w:val="ListBulletLevel1"/>
        <w:numPr>
          <w:ilvl w:val="0"/>
          <w:numId w:val="0"/>
        </w:numPr>
        <w:ind w:left="596"/>
      </w:pPr>
      <w:r>
        <w:t xml:space="preserve">To accommodate variations across size and maturity levels of potentially impacted private business entities when deriving resource effort estimations, a </w:t>
      </w:r>
      <w:r>
        <w:lastRenderedPageBreak/>
        <w:t xml:space="preserve">‘maturity spectrum’ applying three ranging resource effort scenarios was used to cost regulatory activities. The scenarios underpinning the maturity spectrum were drawn from experiences shared by a range of entities encountered through internal and external consultation. These consultation sessions revealed that entities and their facilities needed to meet, at a minimum, a ‘baseline’ level of maturity (outside of the regulatory requirements) to seek entry into the digital </w:t>
      </w:r>
      <w:r w:rsidR="003F3000">
        <w:t xml:space="preserve">ID </w:t>
      </w:r>
      <w:r>
        <w:t xml:space="preserve">market. Accordingly, all scenarios within the maturity spectrum assumed entities met, at a minimum, this baseline level required for market entry. The estimated resource efforts required by low maturity entities were not considered within the maturity spectrum, as these entities were considered still premature for market entry. </w:t>
      </w:r>
    </w:p>
    <w:p w14:paraId="58833E60" w14:textId="77777777" w:rsidR="006E0E1F" w:rsidRPr="00721C0F" w:rsidRDefault="006E0E1F" w:rsidP="005B57E7">
      <w:pPr>
        <w:pStyle w:val="ListBulletLevel1"/>
        <w:numPr>
          <w:ilvl w:val="0"/>
          <w:numId w:val="0"/>
        </w:numPr>
        <w:ind w:left="596"/>
        <w:rPr>
          <w:sz w:val="20"/>
          <w:szCs w:val="20"/>
        </w:rPr>
      </w:pPr>
      <w:r>
        <w:t>The scenarios considered within the maturity spectrum included:</w:t>
      </w:r>
    </w:p>
    <w:p w14:paraId="3DFCC077" w14:textId="58C414F2" w:rsidR="006E0E1F" w:rsidRPr="00FD63BE" w:rsidRDefault="006E0E1F" w:rsidP="00DF6DEA">
      <w:pPr>
        <w:pStyle w:val="ListBulletLevel2"/>
      </w:pPr>
      <w:r w:rsidRPr="001B3188">
        <w:rPr>
          <w:b/>
          <w:iCs/>
        </w:rPr>
        <w:t>Low-level scenario</w:t>
      </w:r>
      <w:r w:rsidRPr="00FD63BE">
        <w:t xml:space="preserve"> – estimat</w:t>
      </w:r>
      <w:r>
        <w:t>ing</w:t>
      </w:r>
      <w:r w:rsidRPr="00FD63BE">
        <w:t xml:space="preserve"> resource effort required by a </w:t>
      </w:r>
      <w:r w:rsidRPr="001B3188">
        <w:rPr>
          <w:bCs/>
          <w:i/>
          <w:iCs/>
        </w:rPr>
        <w:t>high maturity entity,</w:t>
      </w:r>
      <w:r>
        <w:t xml:space="preserve"> </w:t>
      </w:r>
      <w:r w:rsidRPr="00FD63BE">
        <w:t>usually with established technical systems/processes, mature privacy and security arrangements and available experienced resources</w:t>
      </w:r>
    </w:p>
    <w:p w14:paraId="24707C09" w14:textId="2E3209B7" w:rsidR="006E0E1F" w:rsidRPr="00C94370" w:rsidRDefault="006E0E1F" w:rsidP="00DF6DEA">
      <w:pPr>
        <w:pStyle w:val="ListBulletLevel2"/>
      </w:pPr>
      <w:r w:rsidRPr="001B3188">
        <w:rPr>
          <w:b/>
          <w:iCs/>
        </w:rPr>
        <w:t>High-level scenario</w:t>
      </w:r>
      <w:r w:rsidRPr="00FD63BE">
        <w:t xml:space="preserve"> – estimat</w:t>
      </w:r>
      <w:r>
        <w:t>ing</w:t>
      </w:r>
      <w:r w:rsidRPr="00FD63BE">
        <w:t xml:space="preserve"> resource effort required by a </w:t>
      </w:r>
      <w:r w:rsidRPr="001B3188">
        <w:rPr>
          <w:bCs/>
          <w:i/>
          <w:iCs/>
        </w:rPr>
        <w:t>medium maturity entity*</w:t>
      </w:r>
      <w:r w:rsidRPr="00FD63BE">
        <w:t xml:space="preserve"> meeting the </w:t>
      </w:r>
      <w:r w:rsidRPr="00DF6DEA">
        <w:t>minimum</w:t>
      </w:r>
      <w:r w:rsidRPr="00FD63BE">
        <w:t xml:space="preserve"> facility and resource thresholds of accreditation</w:t>
      </w:r>
      <w:r>
        <w:t xml:space="preserve">, </w:t>
      </w:r>
      <w:r w:rsidRPr="00FD63BE">
        <w:t>usually with less established technical systems / processes, few privacy &amp; security arrangements and few available experienced resources</w:t>
      </w:r>
    </w:p>
    <w:p w14:paraId="0A5320D7" w14:textId="7566F605" w:rsidR="006E0E1F" w:rsidRDefault="006E0E1F" w:rsidP="00DF6DEA">
      <w:pPr>
        <w:pStyle w:val="ListBulletLevel2"/>
      </w:pPr>
      <w:r w:rsidRPr="001B3188">
        <w:rPr>
          <w:b/>
          <w:iCs/>
        </w:rPr>
        <w:t>Average-level</w:t>
      </w:r>
      <w:r w:rsidRPr="00261BA8">
        <w:rPr>
          <w:b/>
          <w:bCs/>
          <w:i/>
        </w:rPr>
        <w:t xml:space="preserve"> </w:t>
      </w:r>
      <w:r w:rsidRPr="00A60647">
        <w:rPr>
          <w:b/>
          <w:bCs/>
        </w:rPr>
        <w:t>scenario</w:t>
      </w:r>
      <w:r w:rsidRPr="00FD63BE">
        <w:t xml:space="preserve"> –</w:t>
      </w:r>
      <w:r w:rsidR="00B60DD2">
        <w:t xml:space="preserve"> </w:t>
      </w:r>
      <w:r w:rsidRPr="00FD63BE">
        <w:t xml:space="preserve">average of the low-level and high-level resource effort calculations. </w:t>
      </w:r>
    </w:p>
    <w:p w14:paraId="018DAA09" w14:textId="2317A372" w:rsidR="006E0E1F" w:rsidRPr="00133FCA" w:rsidRDefault="006E0E1F" w:rsidP="007C63B5">
      <w:pPr>
        <w:pStyle w:val="ListBulletLevel1"/>
        <w:numPr>
          <w:ilvl w:val="0"/>
          <w:numId w:val="0"/>
        </w:numPr>
        <w:ind w:left="596"/>
      </w:pPr>
      <w:r w:rsidRPr="00A97A0A">
        <w:t xml:space="preserve">*The minimum entity maturity considered by the maturity spectrum </w:t>
      </w:r>
      <w:r>
        <w:t>was</w:t>
      </w:r>
      <w:r w:rsidRPr="00A97A0A">
        <w:t xml:space="preserve"> a medium maturity entity (within high-level scenario). </w:t>
      </w:r>
      <w:r>
        <w:t xml:space="preserve">The maturity spectrum assumed that low maturity entities did not, at a minimum, meet the ‘baseline’ level of maturity required for entry into the digital </w:t>
      </w:r>
      <w:r w:rsidR="003F3000">
        <w:t xml:space="preserve">ID </w:t>
      </w:r>
      <w:r>
        <w:t>market, and thus their corresponding estimated resource efforts were excluded from calculations.</w:t>
      </w:r>
    </w:p>
    <w:p w14:paraId="285B377C" w14:textId="06E2434F" w:rsidR="006E0E1F" w:rsidRPr="00133FCA" w:rsidRDefault="006E0E1F" w:rsidP="00DF6DEA">
      <w:pPr>
        <w:pStyle w:val="ListBulletLevel1"/>
      </w:pPr>
      <w:r w:rsidRPr="00FD63BE">
        <w:rPr>
          <w:b/>
        </w:rPr>
        <w:t>Contingency costs</w:t>
      </w:r>
      <w:r w:rsidRPr="00FD63BE">
        <w:t xml:space="preserve"> – </w:t>
      </w:r>
      <w:r w:rsidR="005134EE">
        <w:t>I</w:t>
      </w:r>
      <w:r w:rsidRPr="00FD63BE">
        <w:t xml:space="preserve">ncluded as an approximate 10% flat rate allocation within the three resource impost scenarios (low, average and high). </w:t>
      </w:r>
    </w:p>
    <w:p w14:paraId="2FC0EFBB" w14:textId="78665080" w:rsidR="006E0E1F" w:rsidRPr="00133FCA" w:rsidRDefault="006E0E1F" w:rsidP="00DF6DEA">
      <w:pPr>
        <w:pStyle w:val="ListBulletLevel1"/>
      </w:pPr>
      <w:r>
        <w:rPr>
          <w:b/>
        </w:rPr>
        <w:t xml:space="preserve">Labour rates </w:t>
      </w:r>
      <w:r w:rsidRPr="002A5AA8">
        <w:rPr>
          <w:bCs/>
        </w:rPr>
        <w:t>–</w:t>
      </w:r>
      <w:r>
        <w:rPr>
          <w:b/>
        </w:rPr>
        <w:t xml:space="preserve"> </w:t>
      </w:r>
      <w:r w:rsidRPr="003957BC">
        <w:t xml:space="preserve">In accordance with </w:t>
      </w:r>
      <w:r>
        <w:t xml:space="preserve">Australian Government </w:t>
      </w:r>
      <w:r w:rsidRPr="003957BC">
        <w:t xml:space="preserve">guidance, </w:t>
      </w:r>
      <w:r>
        <w:t xml:space="preserve">the default hourly labour rate contained </w:t>
      </w:r>
      <w:r w:rsidR="004730C6">
        <w:t>in</w:t>
      </w:r>
      <w:r>
        <w:t xml:space="preserve"> the Regulatory Burden Measurement Framework was used. This was </w:t>
      </w:r>
      <w:r w:rsidRPr="003957BC">
        <w:t xml:space="preserve">based on average weekly earnings, adjusted to </w:t>
      </w:r>
      <w:r w:rsidRPr="003957BC">
        <w:lastRenderedPageBreak/>
        <w:t>include income tax.</w:t>
      </w:r>
      <w:r>
        <w:t xml:space="preserve"> </w:t>
      </w:r>
      <w:r w:rsidRPr="003957BC">
        <w:t>This provide</w:t>
      </w:r>
      <w:r>
        <w:t>d</w:t>
      </w:r>
      <w:r w:rsidRPr="003957BC">
        <w:t xml:space="preserve"> an economy-wide value for employees of $41.74 per hour. This value </w:t>
      </w:r>
      <w:r>
        <w:t xml:space="preserve">was then </w:t>
      </w:r>
      <w:r w:rsidRPr="003957BC">
        <w:t xml:space="preserve">scaled up using a multiplier of 1.75 (or 75 per cent as </w:t>
      </w:r>
      <w:r w:rsidR="00B47BFE">
        <w:t>per</w:t>
      </w:r>
      <w:r w:rsidRPr="003957BC">
        <w:t xml:space="preserve"> the Regulatory Burden Measure) to account for non</w:t>
      </w:r>
      <w:r w:rsidR="00DC4C73">
        <w:noBreakHyphen/>
      </w:r>
      <w:r w:rsidRPr="003957BC">
        <w:t xml:space="preserve">wage labour on-costs (for example, payroll tax and superannuation) and overhead costs (for example, rent, telephone, </w:t>
      </w:r>
      <w:proofErr w:type="gramStart"/>
      <w:r w:rsidRPr="003957BC">
        <w:t>electricity</w:t>
      </w:r>
      <w:proofErr w:type="gramEnd"/>
      <w:r w:rsidRPr="003957BC">
        <w:t xml:space="preserve"> and information technology equipment expenses). This result</w:t>
      </w:r>
      <w:r>
        <w:t>ed</w:t>
      </w:r>
      <w:r w:rsidRPr="003957BC">
        <w:t xml:space="preserve"> in a scaled</w:t>
      </w:r>
      <w:r>
        <w:t>-</w:t>
      </w:r>
      <w:r w:rsidRPr="003957BC">
        <w:t xml:space="preserve">up rate of $73.05 </w:t>
      </w:r>
      <w:r w:rsidRPr="00206DD3">
        <w:t>per hour ($41.74 multiplied by 1.75). Australian Government guidance is that this default rate should be used where regulation cuts across a number of sectors, as is the case for regulation</w:t>
      </w:r>
      <w:r w:rsidR="00685111">
        <w:t xml:space="preserve">. </w:t>
      </w:r>
      <w:r w:rsidRPr="00206DD3">
        <w:t>Note</w:t>
      </w:r>
      <w:r w:rsidR="00DC4C73">
        <w:t>:</w:t>
      </w:r>
      <w:r w:rsidRPr="00206DD3">
        <w:t xml:space="preserve"> rates in the </w:t>
      </w:r>
      <w:hyperlink r:id="rId104" w:history="1">
        <w:r w:rsidRPr="00C118C9">
          <w:rPr>
            <w:rStyle w:val="Hyperlink"/>
            <w:color w:val="008675"/>
          </w:rPr>
          <w:t>Regulatory Burden Measurement Framework</w:t>
        </w:r>
      </w:hyperlink>
      <w:r w:rsidRPr="00206DD3">
        <w:t xml:space="preserve"> latest version (March 2020) were escalated to FY21/22 dollars using the </w:t>
      </w:r>
      <w:hyperlink r:id="rId105" w:history="1">
        <w:r w:rsidRPr="00C118C9">
          <w:rPr>
            <w:rStyle w:val="Hyperlink"/>
            <w:color w:val="008675"/>
          </w:rPr>
          <w:t>Australian Bureau of Statistics’ Wage Price Index</w:t>
        </w:r>
      </w:hyperlink>
      <w:r w:rsidRPr="00206DD3">
        <w:t xml:space="preserve"> (WPI) average indexation of 1.5 % per year</w:t>
      </w:r>
      <w:r>
        <w:t>.</w:t>
      </w:r>
    </w:p>
    <w:p w14:paraId="4609F5C5" w14:textId="6116530E" w:rsidR="006E0E1F" w:rsidRPr="00133FCA" w:rsidRDefault="006E0E1F" w:rsidP="00DF6DEA">
      <w:pPr>
        <w:pStyle w:val="ListBulletLevel1"/>
      </w:pPr>
      <w:r w:rsidRPr="00B7271F">
        <w:rPr>
          <w:b/>
        </w:rPr>
        <w:t>Technology and System uplifts</w:t>
      </w:r>
      <w:r w:rsidRPr="00B7271F">
        <w:t xml:space="preserve"> – </w:t>
      </w:r>
      <w:r w:rsidR="008A2CFD">
        <w:t>R</w:t>
      </w:r>
      <w:r w:rsidRPr="00B7271F">
        <w:t>egulatory burden estimates produced by the methodology described above are based on the most relevant information available at time of calculation</w:t>
      </w:r>
      <w:r>
        <w:t xml:space="preserve">. They are </w:t>
      </w:r>
      <w:r w:rsidRPr="00B7271F">
        <w:t xml:space="preserve">subject to change based on potential future technological uplifts to </w:t>
      </w:r>
      <w:r>
        <w:t xml:space="preserve">existing </w:t>
      </w:r>
      <w:r w:rsidRPr="00B7271F">
        <w:t xml:space="preserve">systems and </w:t>
      </w:r>
      <w:r w:rsidRPr="00DF6DEA">
        <w:t>enabling</w:t>
      </w:r>
      <w:r w:rsidRPr="00B7271F">
        <w:t xml:space="preserve"> infrastructure facilitating participation in the Australian Government Digital I</w:t>
      </w:r>
      <w:r w:rsidR="00EB2443">
        <w:t>D</w:t>
      </w:r>
      <w:r w:rsidRPr="00B7271F">
        <w:t xml:space="preserve"> ecosystem. </w:t>
      </w:r>
    </w:p>
    <w:p w14:paraId="36BC60C6" w14:textId="307D2A69" w:rsidR="00607A13" w:rsidRDefault="006E0E1F" w:rsidP="005B57E7">
      <w:pPr>
        <w:pStyle w:val="ListBulletLevel1"/>
      </w:pPr>
      <w:r w:rsidRPr="00FD63BE">
        <w:rPr>
          <w:b/>
        </w:rPr>
        <w:t>General</w:t>
      </w:r>
      <w:r w:rsidRPr="00FD63BE">
        <w:t xml:space="preserve"> – </w:t>
      </w:r>
      <w:r w:rsidR="005877D0">
        <w:t>T</w:t>
      </w:r>
      <w:r w:rsidRPr="00FD63BE">
        <w:t xml:space="preserve">his </w:t>
      </w:r>
      <w:r w:rsidR="00465F3F">
        <w:t>Impact Analysis</w:t>
      </w:r>
      <w:r w:rsidRPr="00FD63BE">
        <w:t xml:space="preserve"> over-estimate</w:t>
      </w:r>
      <w:r w:rsidR="008A2CFD">
        <w:t>s</w:t>
      </w:r>
      <w:r w:rsidRPr="00FD63BE">
        <w:t>, rather than under-estimate</w:t>
      </w:r>
      <w:r w:rsidR="008A2CFD">
        <w:t>s</w:t>
      </w:r>
      <w:r w:rsidRPr="00FD63BE">
        <w:t>, potential regulatory costs. This has been a guiding principle through this costing, including in making assumptions. For example, it has been assumed that all entities apply</w:t>
      </w:r>
      <w:r w:rsidR="001A6C92">
        <w:t>ing</w:t>
      </w:r>
      <w:r w:rsidRPr="00FD63BE">
        <w:t xml:space="preserve"> for initial accreditation will seek to maintain accreditation, incurring corresponding re-accreditation regulatory burdens, over the 10-year default duration of the regulation (per the Regulatory Burden Measurement Framework). This may not be the case once regulation is in place. </w:t>
      </w:r>
    </w:p>
    <w:p w14:paraId="292591B0" w14:textId="42034A6E" w:rsidR="003B20BE" w:rsidRDefault="00DA6278" w:rsidP="00261BA8">
      <w:pPr>
        <w:pStyle w:val="ListBulletLevel1"/>
        <w:numPr>
          <w:ilvl w:val="0"/>
          <w:numId w:val="0"/>
        </w:numPr>
        <w:ind w:left="596"/>
        <w:sectPr w:rsidR="003B20BE" w:rsidSect="00B42317">
          <w:pgSz w:w="11907" w:h="16840" w:code="9"/>
          <w:pgMar w:top="1418" w:right="1418" w:bottom="1418" w:left="1418" w:header="567" w:footer="340" w:gutter="0"/>
          <w:cols w:space="720"/>
          <w:docGrid w:linePitch="326"/>
        </w:sectPr>
      </w:pPr>
      <w:r w:rsidRPr="00607A13">
        <w:t xml:space="preserve">Only regulatory measures which necessitated some positive action from regulated entities were included </w:t>
      </w:r>
      <w:r w:rsidRPr="00DF6DEA">
        <w:t>within</w:t>
      </w:r>
      <w:r w:rsidRPr="00607A13">
        <w:t xml:space="preserve"> calculations (not, for example, prohibitions on the entity doing something they are unlikely to already be doing). Additionally, regulatory measures such as the Interoperability Obligation (requiring each onboarded entity to interact with all other entities) were not included, being planned to be enabled by design and not requiring positive activity by regulated entities. Many regulatory requirements included provision for exemptions based upon defined criteria, however to ensure completeness for regulatory costing purposes it was assumed that exemptions would not be granted.</w:t>
      </w:r>
    </w:p>
    <w:p w14:paraId="4522167A" w14:textId="19C10EDE" w:rsidR="000E386F" w:rsidRDefault="004C7AEA" w:rsidP="000E386F">
      <w:pPr>
        <w:pStyle w:val="Heading2NoNumbers"/>
        <w:rPr>
          <w:rStyle w:val="Bold"/>
          <w:b/>
          <w:bCs/>
        </w:rPr>
      </w:pPr>
      <w:bookmarkStart w:id="722" w:name="_Toc149740380"/>
      <w:r>
        <w:rPr>
          <w:rStyle w:val="Bold"/>
          <w:b/>
          <w:bCs/>
        </w:rPr>
        <w:lastRenderedPageBreak/>
        <w:t xml:space="preserve">Detailed </w:t>
      </w:r>
      <w:r w:rsidR="000E386F" w:rsidRPr="00D6225C">
        <w:rPr>
          <w:rStyle w:val="Bold"/>
          <w:b/>
          <w:bCs/>
        </w:rPr>
        <w:t>Calculations</w:t>
      </w:r>
      <w:bookmarkEnd w:id="722"/>
    </w:p>
    <w:p w14:paraId="006511A6" w14:textId="1D855C02" w:rsidR="00963B27" w:rsidRPr="00A60647" w:rsidRDefault="00964B43" w:rsidP="00A60647">
      <w:pPr>
        <w:pStyle w:val="BodyText"/>
      </w:pPr>
      <w:r>
        <w:t xml:space="preserve">This section includes detailed calculations that underpin the </w:t>
      </w:r>
      <w:r w:rsidR="001B152F">
        <w:t xml:space="preserve">RBE tables included </w:t>
      </w:r>
      <w:r w:rsidR="00FC043F">
        <w:t>in Section 8.2 and Section 9.2.2 of th</w:t>
      </w:r>
      <w:r w:rsidR="00631969">
        <w:t xml:space="preserve">e RIS. </w:t>
      </w:r>
    </w:p>
    <w:p w14:paraId="6E75AD53" w14:textId="1F6CB9D2" w:rsidR="000E386F" w:rsidRPr="00845144" w:rsidRDefault="000E386F" w:rsidP="009F4266">
      <w:pPr>
        <w:pStyle w:val="Heading3NoNumbers"/>
      </w:pPr>
      <w:r w:rsidRPr="00A60647">
        <w:t xml:space="preserve">Option 2 </w:t>
      </w:r>
    </w:p>
    <w:p w14:paraId="696B20D4" w14:textId="5B7E8CB6" w:rsidR="00D7204A" w:rsidRPr="003F25D9" w:rsidRDefault="00D7204A" w:rsidP="00D7204A">
      <w:pPr>
        <w:suppressAutoHyphens/>
        <w:spacing w:before="280" w:after="0" w:line="336" w:lineRule="auto"/>
        <w:rPr>
          <w:color w:val="auto"/>
        </w:rPr>
      </w:pPr>
      <w:r w:rsidRPr="00845144">
        <w:rPr>
          <w:color w:val="auto"/>
        </w:rPr>
        <w:t xml:space="preserve">As described in the methodology above, </w:t>
      </w:r>
      <w:hyperlink w:anchor="Leverage" w:history="1">
        <w:r w:rsidRPr="00C118C9">
          <w:rPr>
            <w:color w:val="008675"/>
          </w:rPr>
          <w:t>Option 2</w:t>
        </w:r>
      </w:hyperlink>
      <w:r w:rsidRPr="00845144">
        <w:rPr>
          <w:color w:val="auto"/>
        </w:rPr>
        <w:t xml:space="preserve"> involves fewer regulatory measures than Option 3 (mainly privacy-related) and was costed for GBEs by focusing on relevant privacy and security obligation activities required by the</w:t>
      </w:r>
      <w:r w:rsidRPr="003F25D9">
        <w:rPr>
          <w:color w:val="auto"/>
        </w:rPr>
        <w:t xml:space="preserve"> legislation. In calculating Option 2 regulatory costs, relevant privacy and security obligation activities were identified from the legislation and assumptions around the expected resource effort required (time taken) and annual frequency of each activity (per the methodology and assumptions described above) were validated with stakeholders. Option 2 does not distinguish between start-up and ongoing costs, because there are no ‘initial’ regulatory requirements involved. Table </w:t>
      </w:r>
      <w:r w:rsidR="0042165A" w:rsidRPr="003F25D9">
        <w:rPr>
          <w:color w:val="auto"/>
        </w:rPr>
        <w:t>11</w:t>
      </w:r>
      <w:r w:rsidRPr="003F25D9">
        <w:rPr>
          <w:color w:val="auto"/>
        </w:rPr>
        <w:t xml:space="preserve"> below shows the per annum cost,10-year average </w:t>
      </w:r>
      <w:r w:rsidR="00271778" w:rsidRPr="003F25D9">
        <w:rPr>
          <w:color w:val="auto"/>
        </w:rPr>
        <w:t>with a 10%</w:t>
      </w:r>
      <w:r w:rsidRPr="003F25D9">
        <w:rPr>
          <w:color w:val="auto"/>
        </w:rPr>
        <w:t xml:space="preserve"> contingency incorporated (</w:t>
      </w:r>
      <w:r w:rsidR="00271778" w:rsidRPr="003F25D9">
        <w:rPr>
          <w:color w:val="auto"/>
        </w:rPr>
        <w:t>see assumptions</w:t>
      </w:r>
      <w:r w:rsidRPr="003F25D9">
        <w:rPr>
          <w:color w:val="auto"/>
        </w:rPr>
        <w:t>).</w:t>
      </w:r>
    </w:p>
    <w:p w14:paraId="24E8B9BF" w14:textId="77777777" w:rsidR="00151CBB" w:rsidRPr="003F25D9" w:rsidRDefault="00151CBB" w:rsidP="00151CBB">
      <w:pPr>
        <w:suppressAutoHyphens/>
        <w:spacing w:before="280" w:after="0" w:line="336" w:lineRule="auto"/>
        <w:rPr>
          <w:color w:val="auto"/>
        </w:rPr>
      </w:pPr>
      <w:r w:rsidRPr="003F25D9">
        <w:rPr>
          <w:color w:val="auto"/>
        </w:rPr>
        <w:t>The annual costs were calculated as follows:</w:t>
      </w:r>
    </w:p>
    <w:p w14:paraId="0F2AA2FD" w14:textId="77777777" w:rsidR="00151CBB" w:rsidRPr="003F25D9" w:rsidRDefault="00151CBB" w:rsidP="00151CBB">
      <w:pPr>
        <w:suppressAutoHyphens/>
        <w:spacing w:before="280" w:after="140" w:line="336" w:lineRule="auto"/>
        <w:jc w:val="center"/>
        <w:rPr>
          <w:color w:val="auto"/>
        </w:rPr>
      </w:pPr>
      <w:r w:rsidRPr="003F25D9">
        <w:rPr>
          <w:i/>
          <w:iCs/>
          <w:color w:val="auto"/>
        </w:rPr>
        <w:t xml:space="preserve">estimated time taken (average-level scenario) </w:t>
      </w:r>
      <w:r w:rsidRPr="003F25D9">
        <w:rPr>
          <w:color w:val="auto"/>
        </w:rPr>
        <w:t xml:space="preserve">x </w:t>
      </w:r>
      <w:r w:rsidRPr="003F25D9">
        <w:rPr>
          <w:i/>
          <w:iCs/>
          <w:color w:val="auto"/>
        </w:rPr>
        <w:t>expected annual frequency</w:t>
      </w:r>
      <w:r w:rsidRPr="003F25D9">
        <w:rPr>
          <w:color w:val="auto"/>
        </w:rPr>
        <w:t xml:space="preserve"> x </w:t>
      </w:r>
      <w:r w:rsidRPr="003F25D9">
        <w:rPr>
          <w:i/>
          <w:iCs/>
          <w:color w:val="auto"/>
        </w:rPr>
        <w:t>estimated labour cost</w:t>
      </w:r>
      <w:r w:rsidRPr="003F25D9">
        <w:rPr>
          <w:color w:val="auto"/>
        </w:rPr>
        <w:t xml:space="preserve"> ($73.05 per hour) = </w:t>
      </w:r>
      <w:r w:rsidRPr="003F25D9">
        <w:rPr>
          <w:i/>
          <w:iCs/>
          <w:color w:val="auto"/>
        </w:rPr>
        <w:t>annual regulatory cost</w:t>
      </w:r>
    </w:p>
    <w:p w14:paraId="20E8FAC2" w14:textId="38C1B9AA" w:rsidR="00151CBB" w:rsidRPr="003F25D9" w:rsidRDefault="00151CBB" w:rsidP="00151CBB">
      <w:pPr>
        <w:pStyle w:val="BodyText"/>
      </w:pPr>
      <w:r w:rsidRPr="003F25D9">
        <w:t>Noting that the expected annual frequency is based on the number of entities expected to be undertaking the activity and the frequency that the activity would be required to be undertaken each year by these entities. The assumptions regarding onboarding of entities can be found in Table 12 below. It is assumed that all nine GBEs in existence in Australia would gradually seek to participate over the first four years of regulation calculated.</w:t>
      </w:r>
    </w:p>
    <w:p w14:paraId="594585CE" w14:textId="77777777" w:rsidR="00AA1EEC" w:rsidRPr="00A60647" w:rsidRDefault="00AA1EEC" w:rsidP="00A60647">
      <w:pPr>
        <w:pStyle w:val="BodyText"/>
        <w:rPr>
          <w:highlight w:val="yellow"/>
        </w:rPr>
      </w:pPr>
    </w:p>
    <w:p w14:paraId="040A6DF9" w14:textId="77777777" w:rsidR="00BD6392" w:rsidRPr="00A60647" w:rsidRDefault="00BD6392">
      <w:pPr>
        <w:spacing w:before="0" w:after="0" w:line="240" w:lineRule="auto"/>
        <w:jc w:val="center"/>
        <w:rPr>
          <w:rFonts w:eastAsia="Times New Roman"/>
          <w:b/>
          <w:bCs/>
          <w:color w:val="FFFFFF"/>
          <w:sz w:val="18"/>
          <w:szCs w:val="18"/>
          <w:highlight w:val="yellow"/>
        </w:rPr>
        <w:sectPr w:rsidR="00BD6392" w:rsidRPr="00A60647" w:rsidSect="00A60647">
          <w:pgSz w:w="11907" w:h="16840" w:code="9"/>
          <w:pgMar w:top="1418" w:right="1418" w:bottom="1418" w:left="1418" w:header="567" w:footer="340" w:gutter="0"/>
          <w:cols w:space="720"/>
          <w:docGrid w:linePitch="326"/>
        </w:sectPr>
      </w:pPr>
    </w:p>
    <w:tbl>
      <w:tblPr>
        <w:tblStyle w:val="GridTable2-Accent31"/>
        <w:tblW w:w="16409" w:type="dxa"/>
        <w:jc w:val="center"/>
        <w:tblBorders>
          <w:top w:val="none" w:sz="0" w:space="0" w:color="auto"/>
          <w:insideH w:val="single" w:sz="4" w:space="0" w:color="008675"/>
          <w:insideV w:val="single" w:sz="4" w:space="0" w:color="008675"/>
        </w:tblBorders>
        <w:tblLook w:val="04A0" w:firstRow="1" w:lastRow="0" w:firstColumn="1" w:lastColumn="0" w:noHBand="0" w:noVBand="1"/>
      </w:tblPr>
      <w:tblGrid>
        <w:gridCol w:w="1316"/>
        <w:gridCol w:w="1024"/>
        <w:gridCol w:w="1125"/>
        <w:gridCol w:w="1125"/>
        <w:gridCol w:w="1125"/>
        <w:gridCol w:w="1126"/>
        <w:gridCol w:w="1126"/>
        <w:gridCol w:w="1126"/>
        <w:gridCol w:w="1126"/>
        <w:gridCol w:w="1126"/>
        <w:gridCol w:w="1126"/>
        <w:gridCol w:w="1226"/>
        <w:gridCol w:w="1126"/>
        <w:gridCol w:w="269"/>
        <w:gridCol w:w="1317"/>
      </w:tblGrid>
      <w:tr w:rsidR="00D7204A" w:rsidRPr="009974AC" w14:paraId="564B20F4" w14:textId="77777777" w:rsidTr="00C118C9">
        <w:trPr>
          <w:cnfStyle w:val="100000000000" w:firstRow="1" w:lastRow="0" w:firstColumn="0" w:lastColumn="0" w:oddVBand="0" w:evenVBand="0" w:oddHBand="0"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dxa"/>
            <w:gridSpan w:val="15"/>
            <w:noWrap/>
            <w:hideMark/>
          </w:tcPr>
          <w:p w14:paraId="4DD743A6" w14:textId="2A185F3D" w:rsidR="00D7204A" w:rsidRPr="00845144" w:rsidRDefault="00D7204A">
            <w:pPr>
              <w:spacing w:before="0" w:after="0" w:line="240" w:lineRule="auto"/>
              <w:jc w:val="center"/>
              <w:rPr>
                <w:rFonts w:eastAsia="Times New Roman"/>
                <w:color w:val="FFFFFF"/>
                <w:sz w:val="18"/>
                <w:szCs w:val="18"/>
              </w:rPr>
            </w:pPr>
            <w:r w:rsidRPr="00845144">
              <w:rPr>
                <w:rFonts w:eastAsia="Times New Roman"/>
                <w:color w:val="FFFFFF"/>
                <w:sz w:val="18"/>
                <w:szCs w:val="18"/>
              </w:rPr>
              <w:lastRenderedPageBreak/>
              <w:t>Total Costs</w:t>
            </w:r>
          </w:p>
        </w:tc>
      </w:tr>
      <w:tr w:rsidR="002218B4" w:rsidRPr="00C118C9" w14:paraId="47CABE7E" w14:textId="77777777" w:rsidTr="00F75DC6">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1B3C0ED4" w14:textId="77777777" w:rsidR="00D7204A" w:rsidRPr="00C118C9" w:rsidRDefault="00D7204A">
            <w:pPr>
              <w:spacing w:before="0" w:after="0" w:line="240" w:lineRule="auto"/>
              <w:rPr>
                <w:rFonts w:eastAsia="Times New Roman"/>
                <w:color w:val="008675"/>
                <w:sz w:val="18"/>
                <w:szCs w:val="18"/>
              </w:rPr>
            </w:pPr>
            <w:r w:rsidRPr="00C118C9">
              <w:rPr>
                <w:rFonts w:eastAsia="Times New Roman"/>
                <w:color w:val="008675"/>
                <w:sz w:val="18"/>
                <w:szCs w:val="18"/>
              </w:rPr>
              <w:t> </w:t>
            </w:r>
          </w:p>
        </w:tc>
        <w:tc>
          <w:tcPr>
            <w:tcW w:w="0" w:type="dxa"/>
            <w:shd w:val="clear" w:color="auto" w:fill="D2EEED"/>
            <w:noWrap/>
            <w:hideMark/>
          </w:tcPr>
          <w:p w14:paraId="6A119ADA"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1</w:t>
            </w:r>
          </w:p>
        </w:tc>
        <w:tc>
          <w:tcPr>
            <w:tcW w:w="0" w:type="dxa"/>
            <w:shd w:val="clear" w:color="auto" w:fill="D2EEED"/>
            <w:noWrap/>
            <w:hideMark/>
          </w:tcPr>
          <w:p w14:paraId="406E941B"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2</w:t>
            </w:r>
          </w:p>
        </w:tc>
        <w:tc>
          <w:tcPr>
            <w:tcW w:w="0" w:type="dxa"/>
            <w:shd w:val="clear" w:color="auto" w:fill="D2EEED"/>
            <w:noWrap/>
            <w:hideMark/>
          </w:tcPr>
          <w:p w14:paraId="6D34B3C3"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3</w:t>
            </w:r>
          </w:p>
        </w:tc>
        <w:tc>
          <w:tcPr>
            <w:tcW w:w="0" w:type="dxa"/>
            <w:shd w:val="clear" w:color="auto" w:fill="D2EEED"/>
            <w:noWrap/>
            <w:hideMark/>
          </w:tcPr>
          <w:p w14:paraId="19E12585"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4</w:t>
            </w:r>
          </w:p>
        </w:tc>
        <w:tc>
          <w:tcPr>
            <w:tcW w:w="0" w:type="dxa"/>
            <w:shd w:val="clear" w:color="auto" w:fill="D2EEED"/>
            <w:noWrap/>
            <w:hideMark/>
          </w:tcPr>
          <w:p w14:paraId="6D692586"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5</w:t>
            </w:r>
          </w:p>
        </w:tc>
        <w:tc>
          <w:tcPr>
            <w:tcW w:w="0" w:type="dxa"/>
            <w:shd w:val="clear" w:color="auto" w:fill="D2EEED"/>
            <w:noWrap/>
            <w:hideMark/>
          </w:tcPr>
          <w:p w14:paraId="75D16715"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6</w:t>
            </w:r>
          </w:p>
        </w:tc>
        <w:tc>
          <w:tcPr>
            <w:tcW w:w="0" w:type="dxa"/>
            <w:shd w:val="clear" w:color="auto" w:fill="D2EEED"/>
            <w:noWrap/>
            <w:hideMark/>
          </w:tcPr>
          <w:p w14:paraId="7D6C95EC"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7</w:t>
            </w:r>
          </w:p>
        </w:tc>
        <w:tc>
          <w:tcPr>
            <w:tcW w:w="0" w:type="dxa"/>
            <w:shd w:val="clear" w:color="auto" w:fill="D2EEED"/>
            <w:noWrap/>
            <w:hideMark/>
          </w:tcPr>
          <w:p w14:paraId="49C08455"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8</w:t>
            </w:r>
          </w:p>
        </w:tc>
        <w:tc>
          <w:tcPr>
            <w:tcW w:w="0" w:type="dxa"/>
            <w:shd w:val="clear" w:color="auto" w:fill="D2EEED"/>
            <w:noWrap/>
            <w:hideMark/>
          </w:tcPr>
          <w:p w14:paraId="79A1859F"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9</w:t>
            </w:r>
          </w:p>
        </w:tc>
        <w:tc>
          <w:tcPr>
            <w:tcW w:w="0" w:type="dxa"/>
            <w:shd w:val="clear" w:color="auto" w:fill="D2EEED"/>
            <w:noWrap/>
            <w:hideMark/>
          </w:tcPr>
          <w:p w14:paraId="44900F4F"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Year 10</w:t>
            </w:r>
          </w:p>
        </w:tc>
        <w:tc>
          <w:tcPr>
            <w:tcW w:w="0" w:type="dxa"/>
            <w:shd w:val="clear" w:color="auto" w:fill="D2EEED"/>
            <w:noWrap/>
            <w:hideMark/>
          </w:tcPr>
          <w:p w14:paraId="65A82EED"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 </w:t>
            </w:r>
          </w:p>
        </w:tc>
        <w:tc>
          <w:tcPr>
            <w:tcW w:w="0" w:type="dxa"/>
            <w:vMerge w:val="restart"/>
            <w:shd w:val="clear" w:color="auto" w:fill="D2EEED"/>
            <w:hideMark/>
          </w:tcPr>
          <w:p w14:paraId="001D2327"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10-year average</w:t>
            </w:r>
          </w:p>
        </w:tc>
        <w:tc>
          <w:tcPr>
            <w:tcW w:w="0" w:type="dxa"/>
            <w:shd w:val="clear" w:color="auto" w:fill="D2EEED"/>
            <w:noWrap/>
            <w:hideMark/>
          </w:tcPr>
          <w:p w14:paraId="78DA359A"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 </w:t>
            </w:r>
          </w:p>
        </w:tc>
        <w:tc>
          <w:tcPr>
            <w:tcW w:w="0" w:type="dxa"/>
            <w:shd w:val="clear" w:color="auto" w:fill="D2EEED"/>
            <w:hideMark/>
          </w:tcPr>
          <w:p w14:paraId="66475C1E" w14:textId="77777777" w:rsidR="00D7204A" w:rsidRPr="00C118C9" w:rsidRDefault="00D7204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Contingency applied</w:t>
            </w:r>
          </w:p>
        </w:tc>
      </w:tr>
      <w:tr w:rsidR="004C7AEA" w:rsidRPr="009974AC" w14:paraId="543A1AEE" w14:textId="77777777" w:rsidTr="00C118C9">
        <w:trPr>
          <w:trHeight w:val="192"/>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4C9D4B6" w14:textId="77777777" w:rsidR="00D7204A" w:rsidRPr="009974AC" w:rsidRDefault="00D7204A">
            <w:pPr>
              <w:spacing w:before="0" w:after="0" w:line="240" w:lineRule="auto"/>
              <w:rPr>
                <w:rFonts w:eastAsia="Times New Roman"/>
                <w:color w:val="000000"/>
                <w:sz w:val="18"/>
                <w:szCs w:val="18"/>
              </w:rPr>
            </w:pPr>
            <w:r w:rsidRPr="009974AC">
              <w:rPr>
                <w:rFonts w:eastAsia="Times New Roman"/>
                <w:color w:val="000000"/>
                <w:sz w:val="18"/>
                <w:szCs w:val="18"/>
              </w:rPr>
              <w:t> </w:t>
            </w:r>
          </w:p>
        </w:tc>
        <w:tc>
          <w:tcPr>
            <w:tcW w:w="0" w:type="dxa"/>
            <w:noWrap/>
          </w:tcPr>
          <w:p w14:paraId="6DF22334" w14:textId="4BDF9D5C"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7D3D80F7" w14:textId="70677425"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3B898655" w14:textId="183CD296"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25F3356F" w14:textId="6923A9FA"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7E55B2E5" w14:textId="335F4696"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38BCF7A6" w14:textId="443EAC28"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447569E8" w14:textId="77D1BCA3"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676CB183" w14:textId="364107B7"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4FE2CC53" w14:textId="72E42A8B"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tcPr>
          <w:p w14:paraId="4AC56EE8" w14:textId="0FE8D947"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hideMark/>
          </w:tcPr>
          <w:p w14:paraId="133CA38F" w14:textId="77777777"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r w:rsidRPr="009974AC">
              <w:rPr>
                <w:rFonts w:eastAsia="Times New Roman"/>
                <w:b/>
                <w:bCs/>
                <w:color w:val="2C476E"/>
                <w:sz w:val="18"/>
                <w:szCs w:val="18"/>
              </w:rPr>
              <w:t>Total</w:t>
            </w:r>
          </w:p>
        </w:tc>
        <w:tc>
          <w:tcPr>
            <w:tcW w:w="0" w:type="dxa"/>
            <w:vMerge/>
            <w:hideMark/>
          </w:tcPr>
          <w:p w14:paraId="185B604C"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p>
        </w:tc>
        <w:tc>
          <w:tcPr>
            <w:tcW w:w="0" w:type="dxa"/>
            <w:noWrap/>
            <w:hideMark/>
          </w:tcPr>
          <w:p w14:paraId="0489F1B2" w14:textId="77777777"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r w:rsidRPr="009974AC">
              <w:rPr>
                <w:rFonts w:eastAsia="Times New Roman"/>
                <w:b/>
                <w:bCs/>
                <w:color w:val="2C476E"/>
                <w:sz w:val="18"/>
                <w:szCs w:val="18"/>
              </w:rPr>
              <w:t> </w:t>
            </w:r>
          </w:p>
        </w:tc>
        <w:tc>
          <w:tcPr>
            <w:tcW w:w="0" w:type="dxa"/>
            <w:noWrap/>
            <w:hideMark/>
          </w:tcPr>
          <w:p w14:paraId="3B09E1FA" w14:textId="77777777" w:rsidR="00D7204A" w:rsidRPr="009974AC" w:rsidRDefault="00D7204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2C476E"/>
                <w:sz w:val="18"/>
                <w:szCs w:val="18"/>
              </w:rPr>
            </w:pPr>
            <w:r w:rsidRPr="009974AC">
              <w:rPr>
                <w:rFonts w:eastAsia="Times New Roman"/>
                <w:b/>
                <w:bCs/>
                <w:color w:val="2C476E"/>
                <w:sz w:val="18"/>
                <w:szCs w:val="18"/>
              </w:rPr>
              <w:t> </w:t>
            </w:r>
          </w:p>
        </w:tc>
      </w:tr>
      <w:tr w:rsidR="002218B4" w:rsidRPr="009974AC" w14:paraId="2C4938AF" w14:textId="77777777" w:rsidTr="00C118C9">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7793B06D" w14:textId="0187E0E8" w:rsidR="00D7204A" w:rsidRPr="00C118C9" w:rsidRDefault="00627558">
            <w:pPr>
              <w:spacing w:before="0" w:after="0" w:line="240" w:lineRule="auto"/>
              <w:rPr>
                <w:rFonts w:eastAsia="Times New Roman"/>
                <w:color w:val="008675"/>
                <w:sz w:val="18"/>
                <w:szCs w:val="18"/>
              </w:rPr>
            </w:pPr>
            <w:r w:rsidRPr="00C118C9">
              <w:rPr>
                <w:rFonts w:eastAsia="Times New Roman"/>
                <w:color w:val="008675"/>
                <w:sz w:val="18"/>
                <w:szCs w:val="18"/>
              </w:rPr>
              <w:t>Relying party</w:t>
            </w:r>
            <w:r w:rsidR="00D44FE0" w:rsidRPr="00C118C9">
              <w:rPr>
                <w:rFonts w:eastAsia="Times New Roman"/>
                <w:color w:val="008675"/>
                <w:sz w:val="18"/>
                <w:szCs w:val="18"/>
              </w:rPr>
              <w:t xml:space="preserve"> </w:t>
            </w:r>
            <w:r w:rsidR="00D7204A" w:rsidRPr="00C118C9">
              <w:rPr>
                <w:rFonts w:eastAsia="Times New Roman"/>
                <w:color w:val="008675"/>
                <w:sz w:val="18"/>
                <w:szCs w:val="18"/>
              </w:rPr>
              <w:t>(non-government)</w:t>
            </w:r>
          </w:p>
        </w:tc>
        <w:tc>
          <w:tcPr>
            <w:tcW w:w="0" w:type="dxa"/>
            <w:shd w:val="clear" w:color="auto" w:fill="D2EEED"/>
            <w:noWrap/>
            <w:hideMark/>
          </w:tcPr>
          <w:p w14:paraId="77E44F17"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0CBB0B30"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7EA8DE37"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2F61E38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5961D20F"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18C46F8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42F66A7A"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025F9028"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272A0D19"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1345454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637EE94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16C7ABF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hideMark/>
          </w:tcPr>
          <w:p w14:paraId="051C3F6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p>
        </w:tc>
        <w:tc>
          <w:tcPr>
            <w:tcW w:w="0" w:type="dxa"/>
            <w:shd w:val="clear" w:color="auto" w:fill="D2EEED"/>
            <w:noWrap/>
            <w:hideMark/>
          </w:tcPr>
          <w:p w14:paraId="27B8254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r>
      <w:tr w:rsidR="004C7AEA" w:rsidRPr="009974AC" w14:paraId="7241AFAF" w14:textId="77777777" w:rsidTr="00C118C9">
        <w:trPr>
          <w:trHeight w:val="192"/>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1B32A78" w14:textId="77777777" w:rsidR="00D7204A" w:rsidRPr="00C118C9" w:rsidRDefault="00D7204A">
            <w:pPr>
              <w:spacing w:before="0" w:after="0" w:line="240" w:lineRule="auto"/>
              <w:ind w:firstLineChars="200" w:firstLine="360"/>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vAlign w:val="center"/>
            <w:hideMark/>
          </w:tcPr>
          <w:p w14:paraId="2171012E" w14:textId="77777777" w:rsidR="00D7204A" w:rsidRPr="00845144"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45144">
              <w:rPr>
                <w:rFonts w:eastAsia="Times New Roman"/>
                <w:color w:val="000000"/>
                <w:sz w:val="18"/>
                <w:szCs w:val="18"/>
              </w:rPr>
              <w:t>$9,039.32</w:t>
            </w:r>
          </w:p>
        </w:tc>
        <w:tc>
          <w:tcPr>
            <w:tcW w:w="0" w:type="dxa"/>
            <w:noWrap/>
            <w:vAlign w:val="center"/>
            <w:hideMark/>
          </w:tcPr>
          <w:p w14:paraId="07471569"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$15,065.53</w:t>
            </w:r>
          </w:p>
        </w:tc>
        <w:tc>
          <w:tcPr>
            <w:tcW w:w="0" w:type="dxa"/>
            <w:noWrap/>
            <w:vAlign w:val="center"/>
            <w:hideMark/>
          </w:tcPr>
          <w:p w14:paraId="4D0D0C80"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$21,091.74</w:t>
            </w:r>
          </w:p>
        </w:tc>
        <w:tc>
          <w:tcPr>
            <w:tcW w:w="0" w:type="dxa"/>
            <w:noWrap/>
            <w:vAlign w:val="center"/>
            <w:hideMark/>
          </w:tcPr>
          <w:p w14:paraId="08A55C8D"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4ADC3CBA"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7E128B8D"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28809437"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67C2BC59"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34C08F47"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5A4574AD"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$27,117.96</w:t>
            </w:r>
          </w:p>
        </w:tc>
        <w:tc>
          <w:tcPr>
            <w:tcW w:w="0" w:type="dxa"/>
            <w:noWrap/>
            <w:vAlign w:val="center"/>
            <w:hideMark/>
          </w:tcPr>
          <w:p w14:paraId="359A018A"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$235,022.29</w:t>
            </w:r>
          </w:p>
        </w:tc>
        <w:tc>
          <w:tcPr>
            <w:tcW w:w="0" w:type="dxa"/>
            <w:noWrap/>
            <w:vAlign w:val="center"/>
            <w:hideMark/>
          </w:tcPr>
          <w:p w14:paraId="7039EC2A"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$23,502.23</w:t>
            </w:r>
          </w:p>
        </w:tc>
        <w:tc>
          <w:tcPr>
            <w:tcW w:w="0" w:type="dxa"/>
            <w:noWrap/>
            <w:vAlign w:val="center"/>
            <w:hideMark/>
          </w:tcPr>
          <w:p w14:paraId="7925E9B6"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vAlign w:val="center"/>
            <w:hideMark/>
          </w:tcPr>
          <w:p w14:paraId="3E83DF08"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$2,136.57</w:t>
            </w:r>
          </w:p>
        </w:tc>
      </w:tr>
      <w:tr w:rsidR="002218B4" w:rsidRPr="009974AC" w14:paraId="34159C9B" w14:textId="77777777" w:rsidTr="00C118C9">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5738E40F" w14:textId="17962CDD" w:rsidR="00D7204A" w:rsidRPr="00C118C9" w:rsidRDefault="00627558">
            <w:pPr>
              <w:spacing w:before="0" w:after="0" w:line="240" w:lineRule="auto"/>
              <w:rPr>
                <w:rFonts w:eastAsia="Times New Roman"/>
                <w:color w:val="008675"/>
                <w:sz w:val="18"/>
                <w:szCs w:val="18"/>
              </w:rPr>
            </w:pPr>
            <w:r w:rsidRPr="00C118C9">
              <w:rPr>
                <w:rFonts w:eastAsia="Times New Roman"/>
                <w:color w:val="008675"/>
                <w:sz w:val="18"/>
                <w:szCs w:val="18"/>
              </w:rPr>
              <w:t>Accredited entity</w:t>
            </w:r>
            <w:r w:rsidR="00D7204A" w:rsidRPr="00C118C9">
              <w:rPr>
                <w:rFonts w:eastAsia="Times New Roman"/>
                <w:color w:val="008675"/>
                <w:sz w:val="18"/>
                <w:szCs w:val="18"/>
              </w:rPr>
              <w:t xml:space="preserve"> (non-government)</w:t>
            </w:r>
          </w:p>
        </w:tc>
        <w:tc>
          <w:tcPr>
            <w:tcW w:w="0" w:type="dxa"/>
            <w:shd w:val="clear" w:color="auto" w:fill="D2EEED"/>
            <w:noWrap/>
            <w:vAlign w:val="center"/>
            <w:hideMark/>
          </w:tcPr>
          <w:p w14:paraId="3C91ECD7"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4537C255"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72702A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7E9CCCD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606AC1E5"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7A9D6925"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3D7B36C"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50AD6D5"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BE05D62"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396B2E5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5FDD090E"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3DB1554C"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57221E1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p>
        </w:tc>
        <w:tc>
          <w:tcPr>
            <w:tcW w:w="0" w:type="dxa"/>
            <w:shd w:val="clear" w:color="auto" w:fill="D2EEED"/>
            <w:noWrap/>
            <w:vAlign w:val="center"/>
            <w:hideMark/>
          </w:tcPr>
          <w:p w14:paraId="52E89418"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r>
      <w:tr w:rsidR="004C7AEA" w:rsidRPr="009974AC" w14:paraId="0BD2A4F9" w14:textId="77777777" w:rsidTr="00C118C9">
        <w:trPr>
          <w:trHeight w:val="192"/>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DED1AD6" w14:textId="77777777" w:rsidR="00D7204A" w:rsidRPr="00C118C9" w:rsidRDefault="00D7204A">
            <w:pPr>
              <w:spacing w:before="0" w:after="0" w:line="240" w:lineRule="auto"/>
              <w:ind w:firstLineChars="200" w:firstLine="360"/>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vAlign w:val="center"/>
            <w:hideMark/>
          </w:tcPr>
          <w:p w14:paraId="2C2B3ABE" w14:textId="77777777" w:rsidR="00D7204A" w:rsidRPr="00845144"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45144">
              <w:rPr>
                <w:rFonts w:eastAsia="Times New Roman"/>
                <w:color w:val="000000"/>
                <w:sz w:val="18"/>
                <w:szCs w:val="18"/>
              </w:rPr>
              <w:t>$0.00</w:t>
            </w:r>
          </w:p>
        </w:tc>
        <w:tc>
          <w:tcPr>
            <w:tcW w:w="0" w:type="dxa"/>
            <w:noWrap/>
            <w:vAlign w:val="center"/>
            <w:hideMark/>
          </w:tcPr>
          <w:p w14:paraId="11794AF1"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753CB0B3"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3453C93A"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0D5B75D6"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08C45C53"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70169DDD"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2EB30C97"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25F6C683"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072A5846"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7E89303F"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700CD147"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36C57C51"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vAlign w:val="center"/>
            <w:hideMark/>
          </w:tcPr>
          <w:p w14:paraId="513EFC14"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r>
      <w:tr w:rsidR="002218B4" w:rsidRPr="009974AC" w14:paraId="39D0FE0D" w14:textId="77777777" w:rsidTr="00C118C9">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177D3A83" w14:textId="4394E7D5" w:rsidR="00D7204A" w:rsidRPr="00C118C9" w:rsidRDefault="00627558">
            <w:pPr>
              <w:spacing w:before="0" w:after="0" w:line="240" w:lineRule="auto"/>
              <w:rPr>
                <w:rFonts w:eastAsia="Times New Roman"/>
                <w:color w:val="008675"/>
                <w:sz w:val="18"/>
                <w:szCs w:val="18"/>
              </w:rPr>
            </w:pPr>
            <w:r w:rsidRPr="00C118C9">
              <w:rPr>
                <w:rFonts w:eastAsia="Times New Roman"/>
                <w:color w:val="008675"/>
                <w:sz w:val="18"/>
                <w:szCs w:val="18"/>
              </w:rPr>
              <w:t>Onboarded accredited entity</w:t>
            </w:r>
            <w:r w:rsidR="00D7204A" w:rsidRPr="00C118C9">
              <w:rPr>
                <w:rFonts w:eastAsia="Times New Roman"/>
                <w:color w:val="008675"/>
                <w:sz w:val="18"/>
                <w:szCs w:val="18"/>
              </w:rPr>
              <w:t xml:space="preserve"> (non-government)</w:t>
            </w:r>
          </w:p>
        </w:tc>
        <w:tc>
          <w:tcPr>
            <w:tcW w:w="0" w:type="dxa"/>
            <w:shd w:val="clear" w:color="auto" w:fill="D2EEED"/>
            <w:noWrap/>
            <w:vAlign w:val="center"/>
            <w:hideMark/>
          </w:tcPr>
          <w:p w14:paraId="3A3A665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6D740A23"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17B5E35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37DE64FB"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69D4C0C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21F3A892"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1B96B79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00CF6F1"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C6A370C"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61CE8360"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4A92F454"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02B404D9"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c>
          <w:tcPr>
            <w:tcW w:w="0" w:type="dxa"/>
            <w:shd w:val="clear" w:color="auto" w:fill="D2EEED"/>
            <w:noWrap/>
            <w:vAlign w:val="center"/>
            <w:hideMark/>
          </w:tcPr>
          <w:p w14:paraId="4F2AB380"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p>
        </w:tc>
        <w:tc>
          <w:tcPr>
            <w:tcW w:w="0" w:type="dxa"/>
            <w:shd w:val="clear" w:color="auto" w:fill="D2EEED"/>
            <w:noWrap/>
            <w:vAlign w:val="center"/>
            <w:hideMark/>
          </w:tcPr>
          <w:p w14:paraId="343517F6" w14:textId="77777777" w:rsidR="00D7204A" w:rsidRPr="009974AC" w:rsidRDefault="00D7204A">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974AC">
              <w:rPr>
                <w:rFonts w:eastAsia="Times New Roman"/>
                <w:b/>
                <w:bCs/>
                <w:color w:val="000000"/>
                <w:sz w:val="18"/>
                <w:szCs w:val="18"/>
              </w:rPr>
              <w:t> </w:t>
            </w:r>
          </w:p>
        </w:tc>
      </w:tr>
      <w:tr w:rsidR="004C7AEA" w:rsidRPr="00765434" w14:paraId="1743CCCB" w14:textId="77777777" w:rsidTr="00C118C9">
        <w:trPr>
          <w:trHeight w:val="192"/>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1CDDCE8" w14:textId="77777777" w:rsidR="00D7204A" w:rsidRPr="00C118C9" w:rsidRDefault="00D7204A">
            <w:pPr>
              <w:spacing w:before="0" w:after="0" w:line="240" w:lineRule="auto"/>
              <w:ind w:firstLineChars="200" w:firstLine="360"/>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vAlign w:val="center"/>
            <w:hideMark/>
          </w:tcPr>
          <w:p w14:paraId="41A08420" w14:textId="77777777" w:rsidR="00D7204A" w:rsidRPr="00845144"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845144">
              <w:rPr>
                <w:rFonts w:eastAsia="Times New Roman"/>
                <w:color w:val="000000"/>
                <w:sz w:val="18"/>
                <w:szCs w:val="18"/>
              </w:rPr>
              <w:t>$0.00</w:t>
            </w:r>
          </w:p>
        </w:tc>
        <w:tc>
          <w:tcPr>
            <w:tcW w:w="0" w:type="dxa"/>
            <w:noWrap/>
            <w:vAlign w:val="center"/>
            <w:hideMark/>
          </w:tcPr>
          <w:p w14:paraId="45F9A348"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14F9CAF7"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4DEC15FC"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75143D7C"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2487AF31"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0458A912"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585AC8D7"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2DD7CDE0"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4B01E82F"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23353CCD"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4C6A4343"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c>
          <w:tcPr>
            <w:tcW w:w="0" w:type="dxa"/>
            <w:noWrap/>
            <w:vAlign w:val="center"/>
            <w:hideMark/>
          </w:tcPr>
          <w:p w14:paraId="23A3436C" w14:textId="77777777" w:rsidR="00D7204A" w:rsidRPr="009974AC" w:rsidRDefault="00D7204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vAlign w:val="center"/>
            <w:hideMark/>
          </w:tcPr>
          <w:p w14:paraId="495E5728" w14:textId="77777777" w:rsidR="00D7204A" w:rsidRPr="009974AC" w:rsidRDefault="00D7204A">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74AC">
              <w:rPr>
                <w:rFonts w:eastAsia="Times New Roman"/>
                <w:color w:val="000000"/>
                <w:sz w:val="18"/>
                <w:szCs w:val="18"/>
              </w:rPr>
              <w:t>$0.00</w:t>
            </w:r>
          </w:p>
        </w:tc>
      </w:tr>
    </w:tbl>
    <w:p w14:paraId="10A9C0BB" w14:textId="65F969B8" w:rsidR="00D7204A" w:rsidRPr="00A60647" w:rsidRDefault="0052151B" w:rsidP="00A60647">
      <w:pPr>
        <w:pStyle w:val="Caption"/>
        <w:rPr>
          <w:highlight w:val="yellow"/>
        </w:rPr>
      </w:pPr>
      <w:bookmarkStart w:id="723" w:name="_Toc130390622"/>
      <w:r>
        <w:t xml:space="preserve">Table </w:t>
      </w:r>
      <w:r>
        <w:fldChar w:fldCharType="begin"/>
      </w:r>
      <w:r>
        <w:instrText>SEQ Table \* ARABIC</w:instrText>
      </w:r>
      <w:r>
        <w:fldChar w:fldCharType="separate"/>
      </w:r>
      <w:r>
        <w:rPr>
          <w:noProof/>
        </w:rPr>
        <w:t>17</w:t>
      </w:r>
      <w:r>
        <w:fldChar w:fldCharType="end"/>
      </w:r>
      <w:r>
        <w:t xml:space="preserve">: </w:t>
      </w:r>
      <w:r w:rsidRPr="002B0416">
        <w:t>Option 2 estimated per-entity annual regulatory costs across 10-years of regulation (per the Regulatory Burden Measurement Framework)</w:t>
      </w:r>
      <w:bookmarkEnd w:id="723"/>
    </w:p>
    <w:tbl>
      <w:tblPr>
        <w:tblStyle w:val="GridTable2-Accent31"/>
        <w:tblW w:w="13599" w:type="dxa"/>
        <w:jc w:val="center"/>
        <w:tblBorders>
          <w:top w:val="none" w:sz="0" w:space="0" w:color="auto"/>
          <w:insideH w:val="single" w:sz="4" w:space="0" w:color="008675"/>
          <w:insideV w:val="single" w:sz="4" w:space="0" w:color="008675"/>
        </w:tblBorders>
        <w:tblLook w:val="04A0" w:firstRow="1" w:lastRow="0" w:firstColumn="1" w:lastColumn="0" w:noHBand="0" w:noVBand="1"/>
      </w:tblPr>
      <w:tblGrid>
        <w:gridCol w:w="3518"/>
        <w:gridCol w:w="995"/>
        <w:gridCol w:w="995"/>
        <w:gridCol w:w="995"/>
        <w:gridCol w:w="995"/>
        <w:gridCol w:w="995"/>
        <w:gridCol w:w="995"/>
        <w:gridCol w:w="995"/>
        <w:gridCol w:w="995"/>
        <w:gridCol w:w="995"/>
        <w:gridCol w:w="1126"/>
      </w:tblGrid>
      <w:tr w:rsidR="00C118C9" w:rsidRPr="00C118C9" w14:paraId="7FAF4907" w14:textId="77777777" w:rsidTr="00C118C9">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5387B8" w14:textId="4B3EBA9F" w:rsidR="00D7204A" w:rsidRPr="00C118C9" w:rsidRDefault="00D7204A">
            <w:pPr>
              <w:suppressAutoHyphens/>
              <w:spacing w:before="280" w:after="140" w:line="336" w:lineRule="auto"/>
              <w:rPr>
                <w:color w:val="008675"/>
                <w:sz w:val="18"/>
                <w:szCs w:val="18"/>
              </w:rPr>
            </w:pPr>
          </w:p>
        </w:tc>
        <w:tc>
          <w:tcPr>
            <w:tcW w:w="0" w:type="auto"/>
            <w:noWrap/>
            <w:hideMark/>
          </w:tcPr>
          <w:p w14:paraId="2E8A8A1E" w14:textId="3779F12A"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1</w:t>
            </w:r>
          </w:p>
        </w:tc>
        <w:tc>
          <w:tcPr>
            <w:tcW w:w="0" w:type="auto"/>
            <w:noWrap/>
            <w:hideMark/>
          </w:tcPr>
          <w:p w14:paraId="13E1666F" w14:textId="12CBDF41"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2</w:t>
            </w:r>
          </w:p>
        </w:tc>
        <w:tc>
          <w:tcPr>
            <w:tcW w:w="0" w:type="auto"/>
            <w:noWrap/>
            <w:hideMark/>
          </w:tcPr>
          <w:p w14:paraId="49237961" w14:textId="0FB43884"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3</w:t>
            </w:r>
          </w:p>
        </w:tc>
        <w:tc>
          <w:tcPr>
            <w:tcW w:w="0" w:type="auto"/>
            <w:noWrap/>
            <w:hideMark/>
          </w:tcPr>
          <w:p w14:paraId="70F45BE5" w14:textId="631C24A7"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4</w:t>
            </w:r>
          </w:p>
        </w:tc>
        <w:tc>
          <w:tcPr>
            <w:tcW w:w="0" w:type="auto"/>
            <w:noWrap/>
            <w:hideMark/>
          </w:tcPr>
          <w:p w14:paraId="69766257" w14:textId="2FCBC505"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5</w:t>
            </w:r>
          </w:p>
        </w:tc>
        <w:tc>
          <w:tcPr>
            <w:tcW w:w="0" w:type="auto"/>
            <w:noWrap/>
            <w:hideMark/>
          </w:tcPr>
          <w:p w14:paraId="7DA79112" w14:textId="14252038"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6</w:t>
            </w:r>
          </w:p>
        </w:tc>
        <w:tc>
          <w:tcPr>
            <w:tcW w:w="0" w:type="auto"/>
            <w:noWrap/>
            <w:hideMark/>
          </w:tcPr>
          <w:p w14:paraId="20756E34" w14:textId="7CEA0ADA"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7</w:t>
            </w:r>
          </w:p>
        </w:tc>
        <w:tc>
          <w:tcPr>
            <w:tcW w:w="0" w:type="auto"/>
            <w:noWrap/>
            <w:hideMark/>
          </w:tcPr>
          <w:p w14:paraId="541194BC" w14:textId="1FF46EF7"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8</w:t>
            </w:r>
          </w:p>
        </w:tc>
        <w:tc>
          <w:tcPr>
            <w:tcW w:w="0" w:type="auto"/>
            <w:noWrap/>
            <w:hideMark/>
          </w:tcPr>
          <w:p w14:paraId="4183D3F4" w14:textId="1F13E4E2"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9</w:t>
            </w:r>
          </w:p>
        </w:tc>
        <w:tc>
          <w:tcPr>
            <w:tcW w:w="0" w:type="auto"/>
            <w:noWrap/>
            <w:hideMark/>
          </w:tcPr>
          <w:p w14:paraId="79670171" w14:textId="18005339" w:rsidR="00D7204A" w:rsidRPr="00C118C9" w:rsidRDefault="00C93C3F">
            <w:pPr>
              <w:suppressAutoHyphens/>
              <w:spacing w:before="280" w:after="140" w:line="336" w:lineRule="auto"/>
              <w:cnfStyle w:val="100000000000" w:firstRow="1" w:lastRow="0" w:firstColumn="0" w:lastColumn="0" w:oddVBand="0" w:evenVBand="0" w:oddHBand="0" w:evenHBand="0" w:firstRowFirstColumn="0" w:firstRowLastColumn="0" w:lastRowFirstColumn="0" w:lastRowLastColumn="0"/>
              <w:rPr>
                <w:color w:val="008675"/>
                <w:sz w:val="18"/>
                <w:szCs w:val="18"/>
              </w:rPr>
            </w:pPr>
            <w:r w:rsidRPr="00C118C9">
              <w:rPr>
                <w:color w:val="008675"/>
                <w:sz w:val="18"/>
                <w:szCs w:val="18"/>
              </w:rPr>
              <w:t>Year 10</w:t>
            </w:r>
          </w:p>
        </w:tc>
      </w:tr>
      <w:tr w:rsidR="00C93C3F" w:rsidRPr="009974AC" w14:paraId="45A2EC70" w14:textId="77777777" w:rsidTr="00C118C9">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2EEED"/>
            <w:noWrap/>
            <w:hideMark/>
          </w:tcPr>
          <w:p w14:paraId="029190DA" w14:textId="5B23E486" w:rsidR="00D7204A" w:rsidRPr="00C118C9" w:rsidRDefault="00D7204A">
            <w:pPr>
              <w:suppressAutoHyphens/>
              <w:spacing w:before="280" w:after="140" w:line="336" w:lineRule="auto"/>
              <w:rPr>
                <w:color w:val="008675"/>
                <w:sz w:val="18"/>
                <w:szCs w:val="18"/>
              </w:rPr>
            </w:pPr>
            <w:r w:rsidRPr="00C118C9">
              <w:rPr>
                <w:color w:val="008675"/>
                <w:sz w:val="18"/>
                <w:szCs w:val="18"/>
              </w:rPr>
              <w:t xml:space="preserve">New GBE </w:t>
            </w:r>
            <w:r w:rsidR="00627558" w:rsidRPr="00C118C9">
              <w:rPr>
                <w:color w:val="008675"/>
                <w:sz w:val="18"/>
                <w:szCs w:val="18"/>
              </w:rPr>
              <w:t>relying parties</w:t>
            </w:r>
          </w:p>
        </w:tc>
        <w:tc>
          <w:tcPr>
            <w:tcW w:w="0" w:type="auto"/>
            <w:shd w:val="clear" w:color="auto" w:fill="D2EEED"/>
            <w:noWrap/>
            <w:hideMark/>
          </w:tcPr>
          <w:p w14:paraId="256E9FB0"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2</w:t>
            </w:r>
          </w:p>
        </w:tc>
        <w:tc>
          <w:tcPr>
            <w:tcW w:w="0" w:type="auto"/>
            <w:shd w:val="clear" w:color="auto" w:fill="D2EEED"/>
            <w:noWrap/>
            <w:hideMark/>
          </w:tcPr>
          <w:p w14:paraId="1FF0E807"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2</w:t>
            </w:r>
          </w:p>
        </w:tc>
        <w:tc>
          <w:tcPr>
            <w:tcW w:w="0" w:type="auto"/>
            <w:shd w:val="clear" w:color="auto" w:fill="D2EEED"/>
            <w:noWrap/>
            <w:hideMark/>
          </w:tcPr>
          <w:p w14:paraId="78020ACA"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2</w:t>
            </w:r>
          </w:p>
        </w:tc>
        <w:tc>
          <w:tcPr>
            <w:tcW w:w="0" w:type="auto"/>
            <w:shd w:val="clear" w:color="auto" w:fill="D2EEED"/>
            <w:noWrap/>
            <w:hideMark/>
          </w:tcPr>
          <w:p w14:paraId="0164D4B5"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2</w:t>
            </w:r>
          </w:p>
        </w:tc>
        <w:tc>
          <w:tcPr>
            <w:tcW w:w="0" w:type="auto"/>
            <w:shd w:val="clear" w:color="auto" w:fill="D2EEED"/>
            <w:noWrap/>
            <w:hideMark/>
          </w:tcPr>
          <w:p w14:paraId="1440D7D5"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0</w:t>
            </w:r>
          </w:p>
        </w:tc>
        <w:tc>
          <w:tcPr>
            <w:tcW w:w="0" w:type="auto"/>
            <w:shd w:val="clear" w:color="auto" w:fill="D2EEED"/>
            <w:noWrap/>
            <w:hideMark/>
          </w:tcPr>
          <w:p w14:paraId="16A4C313"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0</w:t>
            </w:r>
          </w:p>
        </w:tc>
        <w:tc>
          <w:tcPr>
            <w:tcW w:w="0" w:type="auto"/>
            <w:shd w:val="clear" w:color="auto" w:fill="D2EEED"/>
            <w:noWrap/>
            <w:hideMark/>
          </w:tcPr>
          <w:p w14:paraId="49DC73D3"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0</w:t>
            </w:r>
          </w:p>
        </w:tc>
        <w:tc>
          <w:tcPr>
            <w:tcW w:w="0" w:type="auto"/>
            <w:shd w:val="clear" w:color="auto" w:fill="D2EEED"/>
            <w:noWrap/>
            <w:hideMark/>
          </w:tcPr>
          <w:p w14:paraId="29544586"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0</w:t>
            </w:r>
          </w:p>
        </w:tc>
        <w:tc>
          <w:tcPr>
            <w:tcW w:w="0" w:type="auto"/>
            <w:shd w:val="clear" w:color="auto" w:fill="D2EEED"/>
            <w:noWrap/>
            <w:hideMark/>
          </w:tcPr>
          <w:p w14:paraId="20FBFC00"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0</w:t>
            </w:r>
          </w:p>
        </w:tc>
        <w:tc>
          <w:tcPr>
            <w:tcW w:w="0" w:type="auto"/>
            <w:shd w:val="clear" w:color="auto" w:fill="D2EEED"/>
            <w:noWrap/>
            <w:hideMark/>
          </w:tcPr>
          <w:p w14:paraId="7DFF4910" w14:textId="77777777" w:rsidR="00D7204A" w:rsidRPr="009974AC" w:rsidRDefault="00D7204A">
            <w:pPr>
              <w:suppressAutoHyphens/>
              <w:spacing w:before="280" w:after="140" w:line="336"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9974AC">
              <w:rPr>
                <w:b/>
                <w:bCs/>
                <w:color w:val="auto"/>
                <w:sz w:val="18"/>
                <w:szCs w:val="18"/>
              </w:rPr>
              <w:t>0</w:t>
            </w:r>
          </w:p>
        </w:tc>
      </w:tr>
      <w:tr w:rsidR="00C93C3F" w:rsidRPr="00765434" w14:paraId="391D7534" w14:textId="77777777" w:rsidTr="00C118C9">
        <w:trPr>
          <w:trHeight w:val="12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5567D2" w14:textId="4E00CAED" w:rsidR="00D7204A" w:rsidRPr="00C118C9" w:rsidRDefault="00D7204A">
            <w:pPr>
              <w:suppressAutoHyphens/>
              <w:spacing w:before="280" w:after="140" w:line="336" w:lineRule="auto"/>
              <w:rPr>
                <w:color w:val="008675"/>
                <w:sz w:val="18"/>
                <w:szCs w:val="18"/>
              </w:rPr>
            </w:pPr>
            <w:r w:rsidRPr="00C118C9">
              <w:rPr>
                <w:color w:val="008675"/>
                <w:sz w:val="18"/>
                <w:szCs w:val="18"/>
              </w:rPr>
              <w:t xml:space="preserve">Ongoing GBE </w:t>
            </w:r>
            <w:r w:rsidR="00627558" w:rsidRPr="00C118C9">
              <w:rPr>
                <w:color w:val="008675"/>
                <w:sz w:val="18"/>
                <w:szCs w:val="18"/>
              </w:rPr>
              <w:t xml:space="preserve">relying parties </w:t>
            </w:r>
          </w:p>
        </w:tc>
        <w:tc>
          <w:tcPr>
            <w:tcW w:w="0" w:type="auto"/>
            <w:noWrap/>
            <w:hideMark/>
          </w:tcPr>
          <w:p w14:paraId="657CA2AD"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3</w:t>
            </w:r>
          </w:p>
        </w:tc>
        <w:tc>
          <w:tcPr>
            <w:tcW w:w="0" w:type="auto"/>
            <w:noWrap/>
            <w:hideMark/>
          </w:tcPr>
          <w:p w14:paraId="7979BA4F"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5</w:t>
            </w:r>
          </w:p>
        </w:tc>
        <w:tc>
          <w:tcPr>
            <w:tcW w:w="0" w:type="auto"/>
            <w:noWrap/>
            <w:hideMark/>
          </w:tcPr>
          <w:p w14:paraId="4DED6561"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7</w:t>
            </w:r>
          </w:p>
        </w:tc>
        <w:tc>
          <w:tcPr>
            <w:tcW w:w="0" w:type="auto"/>
            <w:noWrap/>
            <w:hideMark/>
          </w:tcPr>
          <w:p w14:paraId="27571DAC"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c>
          <w:tcPr>
            <w:tcW w:w="0" w:type="auto"/>
            <w:noWrap/>
            <w:hideMark/>
          </w:tcPr>
          <w:p w14:paraId="541A0462"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c>
          <w:tcPr>
            <w:tcW w:w="0" w:type="auto"/>
            <w:noWrap/>
            <w:hideMark/>
          </w:tcPr>
          <w:p w14:paraId="05270696"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c>
          <w:tcPr>
            <w:tcW w:w="0" w:type="auto"/>
            <w:noWrap/>
            <w:hideMark/>
          </w:tcPr>
          <w:p w14:paraId="453459F2"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c>
          <w:tcPr>
            <w:tcW w:w="0" w:type="auto"/>
            <w:noWrap/>
            <w:hideMark/>
          </w:tcPr>
          <w:p w14:paraId="046B6E43"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c>
          <w:tcPr>
            <w:tcW w:w="0" w:type="auto"/>
            <w:noWrap/>
            <w:hideMark/>
          </w:tcPr>
          <w:p w14:paraId="2871AF8C" w14:textId="77777777" w:rsidR="00D7204A" w:rsidRPr="009974AC" w:rsidRDefault="00D7204A">
            <w:pPr>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c>
          <w:tcPr>
            <w:tcW w:w="0" w:type="auto"/>
            <w:noWrap/>
            <w:hideMark/>
          </w:tcPr>
          <w:p w14:paraId="2C6851F9" w14:textId="77777777" w:rsidR="00D7204A" w:rsidRPr="009974AC" w:rsidRDefault="00D7204A">
            <w:pPr>
              <w:keepNext/>
              <w:suppressAutoHyphens/>
              <w:spacing w:before="280" w:after="140" w:line="336" w:lineRule="auto"/>
              <w:cnfStyle w:val="000000000000" w:firstRow="0" w:lastRow="0" w:firstColumn="0" w:lastColumn="0" w:oddVBand="0" w:evenVBand="0" w:oddHBand="0" w:evenHBand="0" w:firstRowFirstColumn="0" w:firstRowLastColumn="0" w:lastRowFirstColumn="0" w:lastRowLastColumn="0"/>
              <w:rPr>
                <w:b/>
                <w:bCs/>
                <w:color w:val="auto"/>
                <w:sz w:val="18"/>
                <w:szCs w:val="18"/>
              </w:rPr>
            </w:pPr>
            <w:r w:rsidRPr="009974AC">
              <w:rPr>
                <w:b/>
                <w:bCs/>
                <w:color w:val="auto"/>
                <w:sz w:val="18"/>
                <w:szCs w:val="18"/>
              </w:rPr>
              <w:t>9</w:t>
            </w:r>
          </w:p>
        </w:tc>
      </w:tr>
    </w:tbl>
    <w:p w14:paraId="1873C5A6" w14:textId="3AA51096" w:rsidR="0090783B" w:rsidRPr="00A60647" w:rsidRDefault="0052151B" w:rsidP="00A60647">
      <w:pPr>
        <w:pStyle w:val="Caption"/>
        <w:rPr>
          <w:highlight w:val="yellow"/>
        </w:rPr>
        <w:sectPr w:rsidR="0090783B" w:rsidRPr="00A60647" w:rsidSect="003B20BE">
          <w:pgSz w:w="16840" w:h="11907" w:orient="landscape" w:code="9"/>
          <w:pgMar w:top="1418" w:right="1418" w:bottom="1418" w:left="1418" w:header="567" w:footer="340" w:gutter="0"/>
          <w:cols w:space="720"/>
          <w:docGrid w:linePitch="326"/>
        </w:sectPr>
      </w:pPr>
      <w:bookmarkStart w:id="724" w:name="_Toc130390623"/>
      <w:r>
        <w:t xml:space="preserve">Table </w:t>
      </w:r>
      <w:r>
        <w:fldChar w:fldCharType="begin"/>
      </w:r>
      <w:r>
        <w:instrText>SEQ Table \* ARABIC</w:instrText>
      </w:r>
      <w:r>
        <w:fldChar w:fldCharType="separate"/>
      </w:r>
      <w:r>
        <w:rPr>
          <w:noProof/>
        </w:rPr>
        <w:t>18</w:t>
      </w:r>
      <w:r>
        <w:fldChar w:fldCharType="end"/>
      </w:r>
      <w:r>
        <w:t xml:space="preserve">: </w:t>
      </w:r>
      <w:r w:rsidRPr="000D38D8">
        <w:t xml:space="preserve">Option 2 expected year on year </w:t>
      </w:r>
      <w:r w:rsidR="007525B9">
        <w:t xml:space="preserve">Digital ID </w:t>
      </w:r>
      <w:r w:rsidRPr="000D38D8">
        <w:t>System uptake of GBE relying parties</w:t>
      </w:r>
      <w:bookmarkEnd w:id="724"/>
    </w:p>
    <w:p w14:paraId="5718FD07" w14:textId="0E7F8165" w:rsidR="00E94C19" w:rsidRPr="00C118C9" w:rsidRDefault="00477A50" w:rsidP="00A60647">
      <w:pPr>
        <w:pStyle w:val="Heading3NoNumbers"/>
        <w:rPr>
          <w:color w:val="008675"/>
        </w:rPr>
      </w:pPr>
      <w:r w:rsidRPr="00C118C9">
        <w:rPr>
          <w:color w:val="008675"/>
        </w:rPr>
        <w:lastRenderedPageBreak/>
        <w:t>Option 3</w:t>
      </w:r>
    </w:p>
    <w:p w14:paraId="5C4CC7C3" w14:textId="17E3F3AC" w:rsidR="00CD4AA6" w:rsidRPr="00665528" w:rsidRDefault="00CD4AA6" w:rsidP="00CD4AA6">
      <w:pPr>
        <w:suppressAutoHyphens/>
        <w:spacing w:before="280" w:after="140" w:line="336" w:lineRule="auto"/>
        <w:rPr>
          <w:color w:val="auto"/>
        </w:rPr>
      </w:pPr>
      <w:r w:rsidRPr="00665528">
        <w:rPr>
          <w:color w:val="auto"/>
        </w:rPr>
        <w:t xml:space="preserve">Option 3 </w:t>
      </w:r>
      <w:r w:rsidRPr="00845144">
        <w:rPr>
          <w:color w:val="auto"/>
        </w:rPr>
        <w:t>involves the most significant regulatory measures for the categories of regulated entities, being relying parties, accredited entities and onboarded accredited entities. The regulatory impacts of Option 3 fall into the broader groups of application-related</w:t>
      </w:r>
      <w:r w:rsidRPr="00665528">
        <w:rPr>
          <w:color w:val="auto"/>
        </w:rPr>
        <w:t xml:space="preserve"> activities, privacy and security obligations, ongoing obligations and administrative activities required by the legislation (see Section 9.2 </w:t>
      </w:r>
      <w:r w:rsidRPr="00845144">
        <w:rPr>
          <w:color w:val="auto"/>
        </w:rPr>
        <w:t xml:space="preserve">for further detail), which were validated through the </w:t>
      </w:r>
      <w:hyperlink r:id="rId106" w:history="1">
        <w:r w:rsidRPr="00C118C9">
          <w:rPr>
            <w:rStyle w:val="Hyperlink"/>
            <w:color w:val="008675"/>
          </w:rPr>
          <w:t>Consultation RIS</w:t>
        </w:r>
      </w:hyperlink>
      <w:r w:rsidRPr="00845144">
        <w:rPr>
          <w:color w:val="auto"/>
        </w:rPr>
        <w:t>. In calculating Option 3 regulatory costs, relevant activities were identified from the legislation and grouped accordingly. Assumptions around the resource effort requi</w:t>
      </w:r>
      <w:r w:rsidRPr="00665528">
        <w:rPr>
          <w:color w:val="auto"/>
        </w:rPr>
        <w:t xml:space="preserve">red (time taken) and annual frequency of each activity (per the methodology and assumptions described above) were drawn and further validated with stakeholders. Option 3 does distinguish between start-up and ongoing costs, with ‘initial’ regulatory requirements required, and these were accordingly considered as part of calculations. Table 13 below shows the per annum, 10-year average with a 10% contingency incorporated (see assumptions). </w:t>
      </w:r>
    </w:p>
    <w:p w14:paraId="61830B32" w14:textId="713B4C57" w:rsidR="00416498" w:rsidRPr="00665528" w:rsidRDefault="00416498" w:rsidP="00261BA8">
      <w:pPr>
        <w:pStyle w:val="BodyText"/>
      </w:pPr>
      <w:r w:rsidRPr="00665528">
        <w:t xml:space="preserve">The annual costs were calculated as follows: </w:t>
      </w:r>
    </w:p>
    <w:p w14:paraId="7B516277" w14:textId="77777777" w:rsidR="00416498" w:rsidRPr="00665528" w:rsidRDefault="00416498" w:rsidP="00416498">
      <w:pPr>
        <w:suppressAutoHyphens/>
        <w:spacing w:before="280" w:after="140" w:line="336" w:lineRule="auto"/>
        <w:jc w:val="center"/>
        <w:rPr>
          <w:color w:val="auto"/>
        </w:rPr>
      </w:pPr>
      <w:r w:rsidRPr="00665528">
        <w:rPr>
          <w:i/>
          <w:iCs/>
          <w:color w:val="auto"/>
        </w:rPr>
        <w:t xml:space="preserve">estimated time taken (average-level scenario) </w:t>
      </w:r>
      <w:r w:rsidRPr="00665528">
        <w:rPr>
          <w:color w:val="auto"/>
        </w:rPr>
        <w:t xml:space="preserve">x </w:t>
      </w:r>
      <w:r w:rsidRPr="00665528">
        <w:rPr>
          <w:i/>
          <w:iCs/>
          <w:color w:val="auto"/>
        </w:rPr>
        <w:t>expected annual frequency</w:t>
      </w:r>
      <w:r w:rsidRPr="00665528">
        <w:rPr>
          <w:color w:val="auto"/>
        </w:rPr>
        <w:t xml:space="preserve"> x </w:t>
      </w:r>
      <w:r w:rsidRPr="00665528">
        <w:rPr>
          <w:i/>
          <w:iCs/>
          <w:color w:val="auto"/>
        </w:rPr>
        <w:t>estimated labour cost</w:t>
      </w:r>
      <w:r w:rsidRPr="00665528">
        <w:rPr>
          <w:color w:val="auto"/>
        </w:rPr>
        <w:t xml:space="preserve"> ($73.05 per hour) = </w:t>
      </w:r>
      <w:r w:rsidRPr="00665528">
        <w:rPr>
          <w:i/>
          <w:iCs/>
          <w:color w:val="auto"/>
        </w:rPr>
        <w:t>annual regulatory cost</w:t>
      </w:r>
    </w:p>
    <w:p w14:paraId="4C93C72C" w14:textId="72E8BC5C" w:rsidR="00CD4AA6" w:rsidRPr="00845144" w:rsidRDefault="00416498" w:rsidP="005D43ED">
      <w:pPr>
        <w:pStyle w:val="BodyText"/>
      </w:pPr>
      <w:r w:rsidRPr="00665528">
        <w:t xml:space="preserve">Noting that the expected annual frequency is based on the number of entities expected to be undertaking the activity and the frequency that the activity would be required to be undertaken each year by these entities. The assumptions regarding onboarding of entities can be found in Tables 14, 15 and 16 below. These assumptions have been based on internal Digital ID use case demand modelling, estimating the rate of potential uptake and adoption on an economy-wide basis over the next 10 years (per the </w:t>
      </w:r>
      <w:hyperlink r:id="rId107" w:history="1">
        <w:r w:rsidRPr="00C118C9">
          <w:rPr>
            <w:rStyle w:val="Hyperlink"/>
            <w:color w:val="008675"/>
          </w:rPr>
          <w:t>Regulatory Burden Measurement Framework</w:t>
        </w:r>
      </w:hyperlink>
      <w:r w:rsidRPr="00845144">
        <w:t>).</w:t>
      </w:r>
    </w:p>
    <w:p w14:paraId="3338EFF9" w14:textId="77777777" w:rsidR="00BD6392" w:rsidRPr="00A60647" w:rsidRDefault="00BD6392" w:rsidP="00477A50">
      <w:pPr>
        <w:spacing w:before="0" w:after="0" w:line="240" w:lineRule="auto"/>
        <w:rPr>
          <w:rFonts w:eastAsia="Times New Roman"/>
          <w:b/>
          <w:bCs/>
          <w:color w:val="000000"/>
          <w:sz w:val="18"/>
          <w:szCs w:val="18"/>
          <w:highlight w:val="yellow"/>
        </w:rPr>
        <w:sectPr w:rsidR="00BD6392" w:rsidRPr="00A60647" w:rsidSect="00A60647">
          <w:pgSz w:w="11907" w:h="16840" w:code="9"/>
          <w:pgMar w:top="1418" w:right="1418" w:bottom="1418" w:left="1418" w:header="567" w:footer="340" w:gutter="0"/>
          <w:cols w:space="720"/>
          <w:docGrid w:linePitch="326"/>
        </w:sectPr>
      </w:pPr>
    </w:p>
    <w:tbl>
      <w:tblPr>
        <w:tblStyle w:val="GridTable2-Accent312"/>
        <w:tblpPr w:leftFromText="180" w:rightFromText="180" w:vertAnchor="text" w:horzAnchor="margin" w:tblpXSpec="center" w:tblpY="-161"/>
        <w:tblW w:w="15617" w:type="dxa"/>
        <w:tblBorders>
          <w:top w:val="none" w:sz="0" w:space="0" w:color="auto"/>
          <w:insideH w:val="single" w:sz="4" w:space="0" w:color="008675"/>
          <w:insideV w:val="single" w:sz="4" w:space="0" w:color="008675"/>
        </w:tblBorders>
        <w:tblLook w:val="04A0" w:firstRow="1" w:lastRow="0" w:firstColumn="1" w:lastColumn="0" w:noHBand="0" w:noVBand="1"/>
      </w:tblPr>
      <w:tblGrid>
        <w:gridCol w:w="1827"/>
        <w:gridCol w:w="1017"/>
        <w:gridCol w:w="1017"/>
        <w:gridCol w:w="1017"/>
        <w:gridCol w:w="1017"/>
        <w:gridCol w:w="1017"/>
        <w:gridCol w:w="1017"/>
        <w:gridCol w:w="1017"/>
        <w:gridCol w:w="1017"/>
        <w:gridCol w:w="1017"/>
        <w:gridCol w:w="1017"/>
        <w:gridCol w:w="1117"/>
        <w:gridCol w:w="1017"/>
        <w:gridCol w:w="267"/>
        <w:gridCol w:w="1307"/>
      </w:tblGrid>
      <w:tr w:rsidR="00C118C9" w:rsidRPr="00C118C9" w14:paraId="47783BB9" w14:textId="77777777" w:rsidTr="00C118C9">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739" w:type="dxa"/>
            <w:noWrap/>
            <w:hideMark/>
          </w:tcPr>
          <w:p w14:paraId="02C8E421" w14:textId="2C722D19"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lastRenderedPageBreak/>
              <w:t> </w:t>
            </w:r>
          </w:p>
        </w:tc>
        <w:tc>
          <w:tcPr>
            <w:tcW w:w="1017" w:type="dxa"/>
            <w:noWrap/>
            <w:hideMark/>
          </w:tcPr>
          <w:p w14:paraId="6FE489CC"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1</w:t>
            </w:r>
          </w:p>
        </w:tc>
        <w:tc>
          <w:tcPr>
            <w:tcW w:w="1017" w:type="dxa"/>
            <w:noWrap/>
            <w:hideMark/>
          </w:tcPr>
          <w:p w14:paraId="2D873FB7"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2</w:t>
            </w:r>
          </w:p>
        </w:tc>
        <w:tc>
          <w:tcPr>
            <w:tcW w:w="1017" w:type="dxa"/>
            <w:noWrap/>
            <w:hideMark/>
          </w:tcPr>
          <w:p w14:paraId="38A4098D"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3</w:t>
            </w:r>
          </w:p>
        </w:tc>
        <w:tc>
          <w:tcPr>
            <w:tcW w:w="1017" w:type="dxa"/>
            <w:noWrap/>
            <w:hideMark/>
          </w:tcPr>
          <w:p w14:paraId="080F374C"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4</w:t>
            </w:r>
          </w:p>
        </w:tc>
        <w:tc>
          <w:tcPr>
            <w:tcW w:w="1017" w:type="dxa"/>
            <w:noWrap/>
            <w:hideMark/>
          </w:tcPr>
          <w:p w14:paraId="4AC9269D"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5</w:t>
            </w:r>
          </w:p>
        </w:tc>
        <w:tc>
          <w:tcPr>
            <w:tcW w:w="1017" w:type="dxa"/>
            <w:noWrap/>
            <w:hideMark/>
          </w:tcPr>
          <w:p w14:paraId="21DB443B"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6</w:t>
            </w:r>
          </w:p>
        </w:tc>
        <w:tc>
          <w:tcPr>
            <w:tcW w:w="1017" w:type="dxa"/>
            <w:noWrap/>
            <w:hideMark/>
          </w:tcPr>
          <w:p w14:paraId="73D55430"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7</w:t>
            </w:r>
          </w:p>
        </w:tc>
        <w:tc>
          <w:tcPr>
            <w:tcW w:w="1017" w:type="dxa"/>
            <w:noWrap/>
            <w:hideMark/>
          </w:tcPr>
          <w:p w14:paraId="5A0B9D96"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8</w:t>
            </w:r>
          </w:p>
        </w:tc>
        <w:tc>
          <w:tcPr>
            <w:tcW w:w="1017" w:type="dxa"/>
            <w:noWrap/>
            <w:hideMark/>
          </w:tcPr>
          <w:p w14:paraId="0AA96FEB"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9</w:t>
            </w:r>
          </w:p>
        </w:tc>
        <w:tc>
          <w:tcPr>
            <w:tcW w:w="1017" w:type="dxa"/>
            <w:noWrap/>
            <w:hideMark/>
          </w:tcPr>
          <w:p w14:paraId="2137377B"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Year 10</w:t>
            </w:r>
          </w:p>
        </w:tc>
        <w:tc>
          <w:tcPr>
            <w:tcW w:w="1117" w:type="dxa"/>
            <w:noWrap/>
            <w:hideMark/>
          </w:tcPr>
          <w:p w14:paraId="5E582A7F"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 </w:t>
            </w:r>
          </w:p>
        </w:tc>
        <w:tc>
          <w:tcPr>
            <w:tcW w:w="1017" w:type="dxa"/>
            <w:vMerge w:val="restart"/>
            <w:hideMark/>
          </w:tcPr>
          <w:p w14:paraId="7763288B"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10-year average</w:t>
            </w:r>
          </w:p>
        </w:tc>
        <w:tc>
          <w:tcPr>
            <w:tcW w:w="267" w:type="dxa"/>
            <w:noWrap/>
            <w:hideMark/>
          </w:tcPr>
          <w:p w14:paraId="3217579B"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 </w:t>
            </w:r>
          </w:p>
        </w:tc>
        <w:tc>
          <w:tcPr>
            <w:tcW w:w="1307" w:type="dxa"/>
            <w:hideMark/>
          </w:tcPr>
          <w:p w14:paraId="44889991" w14:textId="77777777" w:rsidR="00477A50" w:rsidRPr="00C118C9" w:rsidRDefault="00477A50" w:rsidP="00477A5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8675"/>
                <w:sz w:val="18"/>
                <w:szCs w:val="18"/>
              </w:rPr>
            </w:pPr>
            <w:r w:rsidRPr="00C118C9">
              <w:rPr>
                <w:rFonts w:eastAsia="Times New Roman"/>
                <w:color w:val="008675"/>
                <w:sz w:val="18"/>
                <w:szCs w:val="18"/>
              </w:rPr>
              <w:t>Contingency applied</w:t>
            </w:r>
          </w:p>
        </w:tc>
      </w:tr>
      <w:tr w:rsidR="002218B4" w:rsidRPr="00C118C9" w14:paraId="786691E7"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6A97FF32" w14:textId="77777777"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t> </w:t>
            </w:r>
          </w:p>
        </w:tc>
        <w:tc>
          <w:tcPr>
            <w:tcW w:w="0" w:type="dxa"/>
            <w:shd w:val="clear" w:color="auto" w:fill="D2EEED"/>
            <w:noWrap/>
          </w:tcPr>
          <w:p w14:paraId="64261CF2" w14:textId="334C7323"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25314C74" w14:textId="66D92424"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6F4EBE20" w14:textId="34A2DBDB"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3AE0D679" w14:textId="3B047254"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5E90BBBE" w14:textId="1B98410E"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717F556B" w14:textId="210017A8"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3CFCCB34" w14:textId="14F1F2E6"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490C61EE" w14:textId="45C796D3"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7B15D1B5" w14:textId="4856D21E"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tcPr>
          <w:p w14:paraId="0F1AFC53" w14:textId="1055D847"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hideMark/>
          </w:tcPr>
          <w:p w14:paraId="194EC177" w14:textId="77777777"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Total</w:t>
            </w:r>
          </w:p>
        </w:tc>
        <w:tc>
          <w:tcPr>
            <w:tcW w:w="0" w:type="dxa"/>
            <w:vMerge/>
            <w:shd w:val="clear" w:color="auto" w:fill="D2EEED"/>
            <w:hideMark/>
          </w:tcPr>
          <w:p w14:paraId="7D60A661" w14:textId="77777777" w:rsidR="00477A50" w:rsidRPr="00C118C9"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p>
        </w:tc>
        <w:tc>
          <w:tcPr>
            <w:tcW w:w="0" w:type="dxa"/>
            <w:shd w:val="clear" w:color="auto" w:fill="D2EEED"/>
            <w:noWrap/>
            <w:hideMark/>
          </w:tcPr>
          <w:p w14:paraId="7FDBC142" w14:textId="77777777"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 </w:t>
            </w:r>
          </w:p>
        </w:tc>
        <w:tc>
          <w:tcPr>
            <w:tcW w:w="0" w:type="dxa"/>
            <w:shd w:val="clear" w:color="auto" w:fill="D2EEED"/>
            <w:noWrap/>
            <w:hideMark/>
          </w:tcPr>
          <w:p w14:paraId="2C920214" w14:textId="77777777" w:rsidR="00477A50" w:rsidRPr="00C118C9"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color w:val="008675"/>
                <w:sz w:val="18"/>
                <w:szCs w:val="18"/>
              </w:rPr>
            </w:pPr>
            <w:r w:rsidRPr="00C118C9">
              <w:rPr>
                <w:rFonts w:eastAsia="Times New Roman"/>
                <w:b/>
                <w:color w:val="008675"/>
                <w:sz w:val="18"/>
                <w:szCs w:val="18"/>
              </w:rPr>
              <w:t> </w:t>
            </w:r>
          </w:p>
        </w:tc>
      </w:tr>
      <w:tr w:rsidR="00BD6392" w:rsidRPr="00531BD1" w14:paraId="67A01619"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11F8468E" w14:textId="77777777"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t>Relying Party (non-government)</w:t>
            </w:r>
          </w:p>
        </w:tc>
        <w:tc>
          <w:tcPr>
            <w:tcW w:w="0" w:type="dxa"/>
            <w:noWrap/>
            <w:hideMark/>
          </w:tcPr>
          <w:p w14:paraId="7CB75DF8" w14:textId="242E8C4C" w:rsidR="00477A50" w:rsidRPr="00A60647" w:rsidRDefault="00D44FE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Pr>
                <w:rFonts w:eastAsia="Times New Roman"/>
                <w:b/>
                <w:bCs/>
                <w:color w:val="000000"/>
                <w:sz w:val="18"/>
                <w:szCs w:val="18"/>
              </w:rPr>
              <w:t xml:space="preserve">   </w:t>
            </w:r>
            <w:r w:rsidR="00477A50" w:rsidRPr="00A60647">
              <w:rPr>
                <w:rFonts w:eastAsia="Times New Roman"/>
                <w:b/>
                <w:bCs/>
                <w:color w:val="000000"/>
                <w:sz w:val="18"/>
                <w:szCs w:val="18"/>
              </w:rPr>
              <w:t xml:space="preserve"> 489,594 </w:t>
            </w:r>
          </w:p>
        </w:tc>
        <w:tc>
          <w:tcPr>
            <w:tcW w:w="0" w:type="dxa"/>
            <w:noWrap/>
            <w:hideMark/>
          </w:tcPr>
          <w:p w14:paraId="219CEFA0" w14:textId="44415534" w:rsidR="00477A50" w:rsidRPr="00A60647" w:rsidRDefault="00D44FE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Pr>
                <w:rFonts w:eastAsia="Times New Roman"/>
                <w:b/>
                <w:bCs/>
                <w:color w:val="000000"/>
                <w:sz w:val="18"/>
                <w:szCs w:val="18"/>
              </w:rPr>
              <w:t xml:space="preserve">  </w:t>
            </w:r>
            <w:r w:rsidR="00477A50" w:rsidRPr="00A60647">
              <w:rPr>
                <w:rFonts w:eastAsia="Times New Roman"/>
                <w:b/>
                <w:bCs/>
                <w:color w:val="000000"/>
                <w:sz w:val="18"/>
                <w:szCs w:val="18"/>
              </w:rPr>
              <w:t xml:space="preserve">  533,453 </w:t>
            </w:r>
          </w:p>
        </w:tc>
        <w:tc>
          <w:tcPr>
            <w:tcW w:w="0" w:type="dxa"/>
            <w:noWrap/>
            <w:hideMark/>
          </w:tcPr>
          <w:p w14:paraId="1CA1A2C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575,384 </w:t>
            </w:r>
          </w:p>
        </w:tc>
        <w:tc>
          <w:tcPr>
            <w:tcW w:w="0" w:type="dxa"/>
            <w:noWrap/>
            <w:hideMark/>
          </w:tcPr>
          <w:p w14:paraId="7FEE2AA4"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625,884 </w:t>
            </w:r>
          </w:p>
        </w:tc>
        <w:tc>
          <w:tcPr>
            <w:tcW w:w="0" w:type="dxa"/>
            <w:noWrap/>
            <w:hideMark/>
          </w:tcPr>
          <w:p w14:paraId="6EE6D5E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676,384 </w:t>
            </w:r>
          </w:p>
        </w:tc>
        <w:tc>
          <w:tcPr>
            <w:tcW w:w="0" w:type="dxa"/>
            <w:noWrap/>
            <w:hideMark/>
          </w:tcPr>
          <w:p w14:paraId="28A9EB2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726,883 </w:t>
            </w:r>
          </w:p>
        </w:tc>
        <w:tc>
          <w:tcPr>
            <w:tcW w:w="0" w:type="dxa"/>
            <w:noWrap/>
            <w:hideMark/>
          </w:tcPr>
          <w:p w14:paraId="19AEC2A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776,298 </w:t>
            </w:r>
          </w:p>
        </w:tc>
        <w:tc>
          <w:tcPr>
            <w:tcW w:w="0" w:type="dxa"/>
            <w:noWrap/>
            <w:hideMark/>
          </w:tcPr>
          <w:p w14:paraId="606D92A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826,798 </w:t>
            </w:r>
          </w:p>
        </w:tc>
        <w:tc>
          <w:tcPr>
            <w:tcW w:w="0" w:type="dxa"/>
            <w:noWrap/>
            <w:hideMark/>
          </w:tcPr>
          <w:p w14:paraId="66A0B7C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877,298 </w:t>
            </w:r>
          </w:p>
        </w:tc>
        <w:tc>
          <w:tcPr>
            <w:tcW w:w="0" w:type="dxa"/>
            <w:noWrap/>
            <w:hideMark/>
          </w:tcPr>
          <w:p w14:paraId="3EB86C8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927,797 </w:t>
            </w:r>
          </w:p>
        </w:tc>
        <w:tc>
          <w:tcPr>
            <w:tcW w:w="0" w:type="dxa"/>
            <w:noWrap/>
            <w:hideMark/>
          </w:tcPr>
          <w:p w14:paraId="4429035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7,035,773 </w:t>
            </w:r>
          </w:p>
        </w:tc>
        <w:tc>
          <w:tcPr>
            <w:tcW w:w="0" w:type="dxa"/>
            <w:noWrap/>
            <w:hideMark/>
          </w:tcPr>
          <w:p w14:paraId="7472CBB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703,577 </w:t>
            </w:r>
          </w:p>
        </w:tc>
        <w:tc>
          <w:tcPr>
            <w:tcW w:w="0" w:type="dxa"/>
            <w:noWrap/>
            <w:hideMark/>
          </w:tcPr>
          <w:p w14:paraId="72FE2FE0"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1C7FA31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639,616 </w:t>
            </w:r>
          </w:p>
        </w:tc>
      </w:tr>
      <w:tr w:rsidR="002218B4" w:rsidRPr="00531BD1" w14:paraId="550378FC"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037CA323"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Application</w:t>
            </w:r>
          </w:p>
        </w:tc>
        <w:tc>
          <w:tcPr>
            <w:tcW w:w="0" w:type="dxa"/>
            <w:shd w:val="clear" w:color="auto" w:fill="D2EEED"/>
            <w:noWrap/>
            <w:hideMark/>
          </w:tcPr>
          <w:p w14:paraId="5F8B385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177,797 </w:t>
            </w:r>
          </w:p>
        </w:tc>
        <w:tc>
          <w:tcPr>
            <w:tcW w:w="0" w:type="dxa"/>
            <w:shd w:val="clear" w:color="auto" w:fill="D2EEED"/>
            <w:noWrap/>
            <w:hideMark/>
          </w:tcPr>
          <w:p w14:paraId="7AFCB45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169,229 </w:t>
            </w:r>
          </w:p>
        </w:tc>
        <w:tc>
          <w:tcPr>
            <w:tcW w:w="0" w:type="dxa"/>
            <w:shd w:val="clear" w:color="auto" w:fill="D2EEED"/>
            <w:noWrap/>
            <w:hideMark/>
          </w:tcPr>
          <w:p w14:paraId="4B9F9F4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45AD9A97"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3010771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02B6485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2602CD70"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548FF74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320DB150"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52581A1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160,660 </w:t>
            </w:r>
          </w:p>
        </w:tc>
        <w:tc>
          <w:tcPr>
            <w:tcW w:w="0" w:type="dxa"/>
            <w:shd w:val="clear" w:color="auto" w:fill="D2EEED"/>
            <w:noWrap/>
            <w:hideMark/>
          </w:tcPr>
          <w:p w14:paraId="18ED978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1,632,310 </w:t>
            </w:r>
          </w:p>
        </w:tc>
        <w:tc>
          <w:tcPr>
            <w:tcW w:w="0" w:type="dxa"/>
            <w:shd w:val="clear" w:color="auto" w:fill="D2EEED"/>
            <w:noWrap/>
            <w:hideMark/>
          </w:tcPr>
          <w:p w14:paraId="6DDB189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163,231 </w:t>
            </w:r>
          </w:p>
        </w:tc>
        <w:tc>
          <w:tcPr>
            <w:tcW w:w="0" w:type="dxa"/>
            <w:shd w:val="clear" w:color="auto" w:fill="D2EEED"/>
            <w:noWrap/>
            <w:hideMark/>
          </w:tcPr>
          <w:p w14:paraId="094A5C8E"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04CD5A07"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148,392 </w:t>
            </w:r>
          </w:p>
        </w:tc>
      </w:tr>
      <w:tr w:rsidR="00BD6392" w:rsidRPr="00531BD1" w14:paraId="05F60134"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01454F77"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hideMark/>
          </w:tcPr>
          <w:p w14:paraId="5B063BA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311,796 </w:t>
            </w:r>
          </w:p>
        </w:tc>
        <w:tc>
          <w:tcPr>
            <w:tcW w:w="0" w:type="dxa"/>
            <w:noWrap/>
            <w:hideMark/>
          </w:tcPr>
          <w:p w14:paraId="192A808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364,224 </w:t>
            </w:r>
          </w:p>
        </w:tc>
        <w:tc>
          <w:tcPr>
            <w:tcW w:w="0" w:type="dxa"/>
            <w:noWrap/>
            <w:hideMark/>
          </w:tcPr>
          <w:p w14:paraId="0E92B09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414,724 </w:t>
            </w:r>
          </w:p>
        </w:tc>
        <w:tc>
          <w:tcPr>
            <w:tcW w:w="0" w:type="dxa"/>
            <w:noWrap/>
            <w:hideMark/>
          </w:tcPr>
          <w:p w14:paraId="2C8C4A26"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465,224 </w:t>
            </w:r>
          </w:p>
        </w:tc>
        <w:tc>
          <w:tcPr>
            <w:tcW w:w="0" w:type="dxa"/>
            <w:noWrap/>
            <w:hideMark/>
          </w:tcPr>
          <w:p w14:paraId="1D05525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515,723 </w:t>
            </w:r>
          </w:p>
        </w:tc>
        <w:tc>
          <w:tcPr>
            <w:tcW w:w="0" w:type="dxa"/>
            <w:noWrap/>
            <w:hideMark/>
          </w:tcPr>
          <w:p w14:paraId="7035D3A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566,223 </w:t>
            </w:r>
          </w:p>
        </w:tc>
        <w:tc>
          <w:tcPr>
            <w:tcW w:w="0" w:type="dxa"/>
            <w:noWrap/>
            <w:hideMark/>
          </w:tcPr>
          <w:p w14:paraId="5C06E43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615,638 </w:t>
            </w:r>
          </w:p>
        </w:tc>
        <w:tc>
          <w:tcPr>
            <w:tcW w:w="0" w:type="dxa"/>
            <w:noWrap/>
            <w:hideMark/>
          </w:tcPr>
          <w:p w14:paraId="0F6E3E1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666,138 </w:t>
            </w:r>
          </w:p>
        </w:tc>
        <w:tc>
          <w:tcPr>
            <w:tcW w:w="0" w:type="dxa"/>
            <w:noWrap/>
            <w:hideMark/>
          </w:tcPr>
          <w:p w14:paraId="1350DAF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716,637 </w:t>
            </w:r>
          </w:p>
        </w:tc>
        <w:tc>
          <w:tcPr>
            <w:tcW w:w="0" w:type="dxa"/>
            <w:noWrap/>
            <w:hideMark/>
          </w:tcPr>
          <w:p w14:paraId="1FECEAB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767,137 </w:t>
            </w:r>
          </w:p>
        </w:tc>
        <w:tc>
          <w:tcPr>
            <w:tcW w:w="0" w:type="dxa"/>
            <w:noWrap/>
            <w:hideMark/>
          </w:tcPr>
          <w:p w14:paraId="5EF4E556"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5,403,464 </w:t>
            </w:r>
          </w:p>
        </w:tc>
        <w:tc>
          <w:tcPr>
            <w:tcW w:w="0" w:type="dxa"/>
            <w:noWrap/>
            <w:hideMark/>
          </w:tcPr>
          <w:p w14:paraId="740F0E4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540,346 </w:t>
            </w:r>
          </w:p>
        </w:tc>
        <w:tc>
          <w:tcPr>
            <w:tcW w:w="0" w:type="dxa"/>
            <w:noWrap/>
            <w:hideMark/>
          </w:tcPr>
          <w:p w14:paraId="00A475B2"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4043D95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491,224 </w:t>
            </w:r>
          </w:p>
        </w:tc>
      </w:tr>
      <w:tr w:rsidR="002218B4" w:rsidRPr="00531BD1" w14:paraId="437268FC"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4998ECF9"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Ongoing Obligations</w:t>
            </w:r>
          </w:p>
        </w:tc>
        <w:tc>
          <w:tcPr>
            <w:tcW w:w="0" w:type="dxa"/>
            <w:shd w:val="clear" w:color="auto" w:fill="D2EEED"/>
            <w:noWrap/>
            <w:hideMark/>
          </w:tcPr>
          <w:p w14:paraId="0AC7F86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349263F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6F12941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36C7EC2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2EBB7E3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69E4F87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101CBED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39D19D70"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3991A40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234EB8A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1E0E87CE"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2E7CB8F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01D08804"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37FEC25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r>
      <w:tr w:rsidR="00BD6392" w:rsidRPr="00531BD1" w14:paraId="4C565EB0"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1732732D"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Administrative</w:t>
            </w:r>
          </w:p>
        </w:tc>
        <w:tc>
          <w:tcPr>
            <w:tcW w:w="0" w:type="dxa"/>
            <w:noWrap/>
            <w:hideMark/>
          </w:tcPr>
          <w:p w14:paraId="057940D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212,551 </w:t>
            </w:r>
          </w:p>
        </w:tc>
        <w:tc>
          <w:tcPr>
            <w:tcW w:w="0" w:type="dxa"/>
            <w:noWrap/>
            <w:hideMark/>
          </w:tcPr>
          <w:p w14:paraId="17B95A7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248,548 </w:t>
            </w:r>
          </w:p>
        </w:tc>
        <w:tc>
          <w:tcPr>
            <w:tcW w:w="0" w:type="dxa"/>
            <w:noWrap/>
            <w:hideMark/>
          </w:tcPr>
          <w:p w14:paraId="3CD133D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282,830 </w:t>
            </w:r>
          </w:p>
        </w:tc>
        <w:tc>
          <w:tcPr>
            <w:tcW w:w="0" w:type="dxa"/>
            <w:noWrap/>
            <w:hideMark/>
          </w:tcPr>
          <w:p w14:paraId="40BEB56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317,113 </w:t>
            </w:r>
          </w:p>
        </w:tc>
        <w:tc>
          <w:tcPr>
            <w:tcW w:w="0" w:type="dxa"/>
            <w:noWrap/>
            <w:hideMark/>
          </w:tcPr>
          <w:p w14:paraId="6F429C7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351,395 </w:t>
            </w:r>
          </w:p>
        </w:tc>
        <w:tc>
          <w:tcPr>
            <w:tcW w:w="0" w:type="dxa"/>
            <w:noWrap/>
            <w:hideMark/>
          </w:tcPr>
          <w:p w14:paraId="69787B5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385,678 </w:t>
            </w:r>
          </w:p>
        </w:tc>
        <w:tc>
          <w:tcPr>
            <w:tcW w:w="0" w:type="dxa"/>
            <w:noWrap/>
            <w:hideMark/>
          </w:tcPr>
          <w:p w14:paraId="4E205574"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419,960 </w:t>
            </w:r>
          </w:p>
        </w:tc>
        <w:tc>
          <w:tcPr>
            <w:tcW w:w="0" w:type="dxa"/>
            <w:noWrap/>
            <w:hideMark/>
          </w:tcPr>
          <w:p w14:paraId="497B1A5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454,243 </w:t>
            </w:r>
          </w:p>
        </w:tc>
        <w:tc>
          <w:tcPr>
            <w:tcW w:w="0" w:type="dxa"/>
            <w:noWrap/>
            <w:hideMark/>
          </w:tcPr>
          <w:p w14:paraId="12AEFF6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488,525 </w:t>
            </w:r>
          </w:p>
        </w:tc>
        <w:tc>
          <w:tcPr>
            <w:tcW w:w="0" w:type="dxa"/>
            <w:noWrap/>
            <w:hideMark/>
          </w:tcPr>
          <w:p w14:paraId="5E8822C6"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522,807 </w:t>
            </w:r>
          </w:p>
        </w:tc>
        <w:tc>
          <w:tcPr>
            <w:tcW w:w="0" w:type="dxa"/>
            <w:noWrap/>
            <w:hideMark/>
          </w:tcPr>
          <w:p w14:paraId="27AAED6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3,683,650 </w:t>
            </w:r>
          </w:p>
        </w:tc>
        <w:tc>
          <w:tcPr>
            <w:tcW w:w="0" w:type="dxa"/>
            <w:noWrap/>
            <w:hideMark/>
          </w:tcPr>
          <w:p w14:paraId="636282B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368,365 </w:t>
            </w:r>
          </w:p>
        </w:tc>
        <w:tc>
          <w:tcPr>
            <w:tcW w:w="0" w:type="dxa"/>
            <w:noWrap/>
            <w:hideMark/>
          </w:tcPr>
          <w:p w14:paraId="553CF7A6"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1EF5875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334,877 </w:t>
            </w:r>
          </w:p>
        </w:tc>
      </w:tr>
      <w:tr w:rsidR="002218B4" w:rsidRPr="00531BD1" w14:paraId="7473C281"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287B5B5C" w14:textId="77777777" w:rsidR="00477A50" w:rsidRPr="00C118C9" w:rsidRDefault="00477A50" w:rsidP="00477A50">
            <w:pPr>
              <w:spacing w:before="0" w:after="0" w:line="240" w:lineRule="auto"/>
              <w:ind w:firstLineChars="200" w:firstLine="360"/>
              <w:rPr>
                <w:rFonts w:eastAsia="Times New Roman"/>
                <w:color w:val="008675"/>
                <w:sz w:val="18"/>
                <w:szCs w:val="18"/>
              </w:rPr>
            </w:pPr>
            <w:r w:rsidRPr="00C118C9">
              <w:rPr>
                <w:rFonts w:eastAsia="Times New Roman"/>
                <w:color w:val="008675"/>
                <w:sz w:val="18"/>
                <w:szCs w:val="18"/>
              </w:rPr>
              <w:t> </w:t>
            </w:r>
          </w:p>
        </w:tc>
        <w:tc>
          <w:tcPr>
            <w:tcW w:w="0" w:type="dxa"/>
            <w:shd w:val="clear" w:color="auto" w:fill="D2EEED"/>
            <w:noWrap/>
            <w:hideMark/>
          </w:tcPr>
          <w:p w14:paraId="1F6C8E9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22A7439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05D81687"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DE4EE6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629A58C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564BC99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3480974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437F28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315F20C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2979F51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6BC826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8E32D0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E42C180"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72063D8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r>
      <w:tr w:rsidR="00BD6392" w:rsidRPr="00531BD1" w14:paraId="23DA26DE"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17F9B3F2" w14:textId="77777777"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t>Accredited Entity (non-government)</w:t>
            </w:r>
          </w:p>
        </w:tc>
        <w:tc>
          <w:tcPr>
            <w:tcW w:w="0" w:type="dxa"/>
            <w:noWrap/>
            <w:hideMark/>
          </w:tcPr>
          <w:p w14:paraId="6178FFB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268,689 </w:t>
            </w:r>
          </w:p>
        </w:tc>
        <w:tc>
          <w:tcPr>
            <w:tcW w:w="0" w:type="dxa"/>
            <w:noWrap/>
            <w:hideMark/>
          </w:tcPr>
          <w:p w14:paraId="79F7D1A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345,824 </w:t>
            </w:r>
          </w:p>
        </w:tc>
        <w:tc>
          <w:tcPr>
            <w:tcW w:w="0" w:type="dxa"/>
            <w:noWrap/>
            <w:hideMark/>
          </w:tcPr>
          <w:p w14:paraId="33338F6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260,975 </w:t>
            </w:r>
          </w:p>
        </w:tc>
        <w:tc>
          <w:tcPr>
            <w:tcW w:w="0" w:type="dxa"/>
            <w:noWrap/>
            <w:hideMark/>
          </w:tcPr>
          <w:p w14:paraId="5C11F74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327,183 </w:t>
            </w:r>
          </w:p>
        </w:tc>
        <w:tc>
          <w:tcPr>
            <w:tcW w:w="0" w:type="dxa"/>
            <w:noWrap/>
            <w:hideMark/>
          </w:tcPr>
          <w:p w14:paraId="38483EDA"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446,743 </w:t>
            </w:r>
          </w:p>
        </w:tc>
        <w:tc>
          <w:tcPr>
            <w:tcW w:w="0" w:type="dxa"/>
            <w:noWrap/>
            <w:hideMark/>
          </w:tcPr>
          <w:p w14:paraId="46A005CA"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511,023 </w:t>
            </w:r>
          </w:p>
        </w:tc>
        <w:tc>
          <w:tcPr>
            <w:tcW w:w="0" w:type="dxa"/>
            <w:noWrap/>
            <w:hideMark/>
          </w:tcPr>
          <w:p w14:paraId="040AF30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575,302 </w:t>
            </w:r>
          </w:p>
        </w:tc>
        <w:tc>
          <w:tcPr>
            <w:tcW w:w="0" w:type="dxa"/>
            <w:noWrap/>
            <w:hideMark/>
          </w:tcPr>
          <w:p w14:paraId="3318E79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639,582 </w:t>
            </w:r>
          </w:p>
        </w:tc>
        <w:tc>
          <w:tcPr>
            <w:tcW w:w="0" w:type="dxa"/>
            <w:noWrap/>
            <w:hideMark/>
          </w:tcPr>
          <w:p w14:paraId="5D798C9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703,862 </w:t>
            </w:r>
          </w:p>
        </w:tc>
        <w:tc>
          <w:tcPr>
            <w:tcW w:w="0" w:type="dxa"/>
            <w:noWrap/>
            <w:hideMark/>
          </w:tcPr>
          <w:p w14:paraId="1B130C3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768,141 </w:t>
            </w:r>
          </w:p>
        </w:tc>
        <w:tc>
          <w:tcPr>
            <w:tcW w:w="0" w:type="dxa"/>
            <w:noWrap/>
            <w:hideMark/>
          </w:tcPr>
          <w:p w14:paraId="44C87CE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4,847,325 </w:t>
            </w:r>
          </w:p>
        </w:tc>
        <w:tc>
          <w:tcPr>
            <w:tcW w:w="0" w:type="dxa"/>
            <w:noWrap/>
            <w:hideMark/>
          </w:tcPr>
          <w:p w14:paraId="5A6BE15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484,732 </w:t>
            </w:r>
          </w:p>
        </w:tc>
        <w:tc>
          <w:tcPr>
            <w:tcW w:w="0" w:type="dxa"/>
            <w:noWrap/>
            <w:hideMark/>
          </w:tcPr>
          <w:p w14:paraId="77AF9386"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25BB773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440,666 </w:t>
            </w:r>
          </w:p>
        </w:tc>
      </w:tr>
      <w:tr w:rsidR="002218B4" w:rsidRPr="00531BD1" w14:paraId="0AE89ED2"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0311E5F9"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Application</w:t>
            </w:r>
          </w:p>
        </w:tc>
        <w:tc>
          <w:tcPr>
            <w:tcW w:w="0" w:type="dxa"/>
            <w:shd w:val="clear" w:color="auto" w:fill="D2EEED"/>
            <w:noWrap/>
            <w:hideMark/>
          </w:tcPr>
          <w:p w14:paraId="60B0345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165,841 </w:t>
            </w:r>
          </w:p>
        </w:tc>
        <w:tc>
          <w:tcPr>
            <w:tcW w:w="0" w:type="dxa"/>
            <w:shd w:val="clear" w:color="auto" w:fill="D2EEED"/>
            <w:noWrap/>
            <w:hideMark/>
          </w:tcPr>
          <w:p w14:paraId="62D4878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165,841 </w:t>
            </w:r>
          </w:p>
        </w:tc>
        <w:tc>
          <w:tcPr>
            <w:tcW w:w="0" w:type="dxa"/>
            <w:shd w:val="clear" w:color="auto" w:fill="D2EEED"/>
            <w:noWrap/>
            <w:hideMark/>
          </w:tcPr>
          <w:p w14:paraId="0E60576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55,280 </w:t>
            </w:r>
          </w:p>
        </w:tc>
        <w:tc>
          <w:tcPr>
            <w:tcW w:w="0" w:type="dxa"/>
            <w:shd w:val="clear" w:color="auto" w:fill="D2EEED"/>
            <w:noWrap/>
            <w:hideMark/>
          </w:tcPr>
          <w:p w14:paraId="2105F2F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82,921 </w:t>
            </w:r>
          </w:p>
        </w:tc>
        <w:tc>
          <w:tcPr>
            <w:tcW w:w="0" w:type="dxa"/>
            <w:shd w:val="clear" w:color="auto" w:fill="D2EEED"/>
            <w:noWrap/>
            <w:hideMark/>
          </w:tcPr>
          <w:p w14:paraId="7C45F04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138,201 </w:t>
            </w:r>
          </w:p>
        </w:tc>
        <w:tc>
          <w:tcPr>
            <w:tcW w:w="0" w:type="dxa"/>
            <w:shd w:val="clear" w:color="auto" w:fill="D2EEED"/>
            <w:noWrap/>
            <w:hideMark/>
          </w:tcPr>
          <w:p w14:paraId="2220914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138,201 </w:t>
            </w:r>
          </w:p>
        </w:tc>
        <w:tc>
          <w:tcPr>
            <w:tcW w:w="0" w:type="dxa"/>
            <w:shd w:val="clear" w:color="auto" w:fill="D2EEED"/>
            <w:noWrap/>
            <w:hideMark/>
          </w:tcPr>
          <w:p w14:paraId="5671A8B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138,201 </w:t>
            </w:r>
          </w:p>
        </w:tc>
        <w:tc>
          <w:tcPr>
            <w:tcW w:w="0" w:type="dxa"/>
            <w:shd w:val="clear" w:color="auto" w:fill="D2EEED"/>
            <w:noWrap/>
            <w:hideMark/>
          </w:tcPr>
          <w:p w14:paraId="6161FAC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138,201 </w:t>
            </w:r>
          </w:p>
        </w:tc>
        <w:tc>
          <w:tcPr>
            <w:tcW w:w="0" w:type="dxa"/>
            <w:shd w:val="clear" w:color="auto" w:fill="D2EEED"/>
            <w:noWrap/>
            <w:hideMark/>
          </w:tcPr>
          <w:p w14:paraId="06DE61A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138,201 </w:t>
            </w:r>
          </w:p>
        </w:tc>
        <w:tc>
          <w:tcPr>
            <w:tcW w:w="0" w:type="dxa"/>
            <w:shd w:val="clear" w:color="auto" w:fill="D2EEED"/>
            <w:noWrap/>
            <w:hideMark/>
          </w:tcPr>
          <w:p w14:paraId="1C55612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138,201 </w:t>
            </w:r>
          </w:p>
        </w:tc>
        <w:tc>
          <w:tcPr>
            <w:tcW w:w="0" w:type="dxa"/>
            <w:shd w:val="clear" w:color="auto" w:fill="D2EEED"/>
            <w:noWrap/>
            <w:hideMark/>
          </w:tcPr>
          <w:p w14:paraId="127D811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1,299,091 </w:t>
            </w:r>
          </w:p>
        </w:tc>
        <w:tc>
          <w:tcPr>
            <w:tcW w:w="0" w:type="dxa"/>
            <w:shd w:val="clear" w:color="auto" w:fill="D2EEED"/>
            <w:noWrap/>
            <w:hideMark/>
          </w:tcPr>
          <w:p w14:paraId="73CF353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129,909 </w:t>
            </w:r>
          </w:p>
        </w:tc>
        <w:tc>
          <w:tcPr>
            <w:tcW w:w="0" w:type="dxa"/>
            <w:shd w:val="clear" w:color="auto" w:fill="D2EEED"/>
            <w:noWrap/>
            <w:hideMark/>
          </w:tcPr>
          <w:p w14:paraId="6F39463C"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0348621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118,099 </w:t>
            </w:r>
          </w:p>
        </w:tc>
      </w:tr>
      <w:tr w:rsidR="00BD6392" w:rsidRPr="00531BD1" w14:paraId="38792964"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19219F2F"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hideMark/>
          </w:tcPr>
          <w:p w14:paraId="39E47DB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DB7DA8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146D3D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53AC44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A892026"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29A346E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7E47B8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136432A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5F707B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0EF6D96"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2C4C149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DBEE3D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1F384431"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4C9CDA8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r>
      <w:tr w:rsidR="002218B4" w:rsidRPr="00531BD1" w14:paraId="63E8449E"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1B35B6D3"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Ongoing Obligations</w:t>
            </w:r>
          </w:p>
        </w:tc>
        <w:tc>
          <w:tcPr>
            <w:tcW w:w="0" w:type="dxa"/>
            <w:shd w:val="clear" w:color="auto" w:fill="D2EEED"/>
            <w:noWrap/>
            <w:hideMark/>
          </w:tcPr>
          <w:p w14:paraId="76B379C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102,847 </w:t>
            </w:r>
          </w:p>
        </w:tc>
        <w:tc>
          <w:tcPr>
            <w:tcW w:w="0" w:type="dxa"/>
            <w:shd w:val="clear" w:color="auto" w:fill="D2EEED"/>
            <w:noWrap/>
            <w:hideMark/>
          </w:tcPr>
          <w:p w14:paraId="5E5442F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179,983 </w:t>
            </w:r>
          </w:p>
        </w:tc>
        <w:tc>
          <w:tcPr>
            <w:tcW w:w="0" w:type="dxa"/>
            <w:shd w:val="clear" w:color="auto" w:fill="D2EEED"/>
            <w:noWrap/>
            <w:hideMark/>
          </w:tcPr>
          <w:p w14:paraId="619A4FC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205,695 </w:t>
            </w:r>
          </w:p>
        </w:tc>
        <w:tc>
          <w:tcPr>
            <w:tcW w:w="0" w:type="dxa"/>
            <w:shd w:val="clear" w:color="auto" w:fill="D2EEED"/>
            <w:noWrap/>
            <w:hideMark/>
          </w:tcPr>
          <w:p w14:paraId="77F27E4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244,262 </w:t>
            </w:r>
          </w:p>
        </w:tc>
        <w:tc>
          <w:tcPr>
            <w:tcW w:w="0" w:type="dxa"/>
            <w:shd w:val="clear" w:color="auto" w:fill="D2EEED"/>
            <w:noWrap/>
            <w:hideMark/>
          </w:tcPr>
          <w:p w14:paraId="2CE3112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308,542 </w:t>
            </w:r>
          </w:p>
        </w:tc>
        <w:tc>
          <w:tcPr>
            <w:tcW w:w="0" w:type="dxa"/>
            <w:shd w:val="clear" w:color="auto" w:fill="D2EEED"/>
            <w:noWrap/>
            <w:hideMark/>
          </w:tcPr>
          <w:p w14:paraId="1E1506C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372,822 </w:t>
            </w:r>
          </w:p>
        </w:tc>
        <w:tc>
          <w:tcPr>
            <w:tcW w:w="0" w:type="dxa"/>
            <w:shd w:val="clear" w:color="auto" w:fill="D2EEED"/>
            <w:noWrap/>
            <w:hideMark/>
          </w:tcPr>
          <w:p w14:paraId="27B156A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437,101 </w:t>
            </w:r>
          </w:p>
        </w:tc>
        <w:tc>
          <w:tcPr>
            <w:tcW w:w="0" w:type="dxa"/>
            <w:shd w:val="clear" w:color="auto" w:fill="D2EEED"/>
            <w:noWrap/>
            <w:hideMark/>
          </w:tcPr>
          <w:p w14:paraId="59555EF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501,381 </w:t>
            </w:r>
          </w:p>
        </w:tc>
        <w:tc>
          <w:tcPr>
            <w:tcW w:w="0" w:type="dxa"/>
            <w:shd w:val="clear" w:color="auto" w:fill="D2EEED"/>
            <w:noWrap/>
            <w:hideMark/>
          </w:tcPr>
          <w:p w14:paraId="3B29FD7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565,660 </w:t>
            </w:r>
          </w:p>
        </w:tc>
        <w:tc>
          <w:tcPr>
            <w:tcW w:w="0" w:type="dxa"/>
            <w:shd w:val="clear" w:color="auto" w:fill="D2EEED"/>
            <w:noWrap/>
            <w:hideMark/>
          </w:tcPr>
          <w:p w14:paraId="54ED3A6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629,940 </w:t>
            </w:r>
          </w:p>
        </w:tc>
        <w:tc>
          <w:tcPr>
            <w:tcW w:w="0" w:type="dxa"/>
            <w:shd w:val="clear" w:color="auto" w:fill="D2EEED"/>
            <w:noWrap/>
            <w:hideMark/>
          </w:tcPr>
          <w:p w14:paraId="2BE69DD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3,548,234 </w:t>
            </w:r>
          </w:p>
        </w:tc>
        <w:tc>
          <w:tcPr>
            <w:tcW w:w="0" w:type="dxa"/>
            <w:shd w:val="clear" w:color="auto" w:fill="D2EEED"/>
            <w:noWrap/>
            <w:hideMark/>
          </w:tcPr>
          <w:p w14:paraId="494331A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354,823 </w:t>
            </w:r>
          </w:p>
        </w:tc>
        <w:tc>
          <w:tcPr>
            <w:tcW w:w="0" w:type="dxa"/>
            <w:shd w:val="clear" w:color="auto" w:fill="D2EEED"/>
            <w:noWrap/>
            <w:hideMark/>
          </w:tcPr>
          <w:p w14:paraId="31D5A67F"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6C61182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322,567 </w:t>
            </w:r>
          </w:p>
        </w:tc>
      </w:tr>
      <w:tr w:rsidR="00BD6392" w:rsidRPr="00531BD1" w14:paraId="748609EB"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609D40EE"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Administrative</w:t>
            </w:r>
          </w:p>
        </w:tc>
        <w:tc>
          <w:tcPr>
            <w:tcW w:w="0" w:type="dxa"/>
            <w:noWrap/>
            <w:hideMark/>
          </w:tcPr>
          <w:p w14:paraId="0BD0DB0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66E887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3975DB34"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967268A"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53E755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48296D1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84AF24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E3E8A34"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048CE1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3416790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5D2D0DE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247C32E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4BB8F69F"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11DA088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r>
      <w:tr w:rsidR="002218B4" w:rsidRPr="00531BD1" w14:paraId="4F1BA26E"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55376545" w14:textId="77777777" w:rsidR="00477A50" w:rsidRPr="00C118C9" w:rsidRDefault="00477A50" w:rsidP="00477A50">
            <w:pPr>
              <w:spacing w:before="0" w:after="0" w:line="240" w:lineRule="auto"/>
              <w:ind w:firstLineChars="200" w:firstLine="360"/>
              <w:rPr>
                <w:rFonts w:eastAsia="Times New Roman"/>
                <w:color w:val="008675"/>
                <w:sz w:val="18"/>
                <w:szCs w:val="18"/>
              </w:rPr>
            </w:pPr>
            <w:r w:rsidRPr="00C118C9">
              <w:rPr>
                <w:rFonts w:eastAsia="Times New Roman"/>
                <w:color w:val="008675"/>
                <w:sz w:val="18"/>
                <w:szCs w:val="18"/>
              </w:rPr>
              <w:t> </w:t>
            </w:r>
          </w:p>
        </w:tc>
        <w:tc>
          <w:tcPr>
            <w:tcW w:w="0" w:type="dxa"/>
            <w:shd w:val="clear" w:color="auto" w:fill="D2EEED"/>
            <w:noWrap/>
            <w:hideMark/>
          </w:tcPr>
          <w:p w14:paraId="4934ED4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0E803F4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6909136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1C3A83F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0BE4F53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699F3290"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1B63AF6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5A4BF9B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2FB9089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688BCB3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560003E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59A37A1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6F9043EF"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0C8B17C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r>
      <w:tr w:rsidR="00BD6392" w:rsidRPr="00531BD1" w14:paraId="2637450D" w14:textId="77777777" w:rsidTr="00C118C9">
        <w:trPr>
          <w:trHeight w:val="226"/>
        </w:trPr>
        <w:tc>
          <w:tcPr>
            <w:cnfStyle w:val="001000000000" w:firstRow="0" w:lastRow="0" w:firstColumn="1" w:lastColumn="0" w:oddVBand="0" w:evenVBand="0" w:oddHBand="0" w:evenHBand="0" w:firstRowFirstColumn="0" w:firstRowLastColumn="0" w:lastRowFirstColumn="0" w:lastRowLastColumn="0"/>
            <w:tcW w:w="0" w:type="dxa"/>
            <w:noWrap/>
            <w:hideMark/>
          </w:tcPr>
          <w:p w14:paraId="723322D6" w14:textId="77777777"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t>Accredited Participant (non-government)</w:t>
            </w:r>
          </w:p>
        </w:tc>
        <w:tc>
          <w:tcPr>
            <w:tcW w:w="0" w:type="dxa"/>
            <w:noWrap/>
            <w:hideMark/>
          </w:tcPr>
          <w:p w14:paraId="2ECC538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285,401 </w:t>
            </w:r>
          </w:p>
        </w:tc>
        <w:tc>
          <w:tcPr>
            <w:tcW w:w="0" w:type="dxa"/>
            <w:noWrap/>
            <w:hideMark/>
          </w:tcPr>
          <w:p w14:paraId="6FACDED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323,969 </w:t>
            </w:r>
          </w:p>
        </w:tc>
        <w:tc>
          <w:tcPr>
            <w:tcW w:w="0" w:type="dxa"/>
            <w:noWrap/>
            <w:hideMark/>
          </w:tcPr>
          <w:p w14:paraId="55ECFF6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362,537 </w:t>
            </w:r>
          </w:p>
        </w:tc>
        <w:tc>
          <w:tcPr>
            <w:tcW w:w="0" w:type="dxa"/>
            <w:noWrap/>
            <w:hideMark/>
          </w:tcPr>
          <w:p w14:paraId="000EAF1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357,395 </w:t>
            </w:r>
          </w:p>
        </w:tc>
        <w:tc>
          <w:tcPr>
            <w:tcW w:w="0" w:type="dxa"/>
            <w:noWrap/>
            <w:hideMark/>
          </w:tcPr>
          <w:p w14:paraId="4E60DB2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295,686 </w:t>
            </w:r>
          </w:p>
        </w:tc>
        <w:tc>
          <w:tcPr>
            <w:tcW w:w="0" w:type="dxa"/>
            <w:noWrap/>
            <w:hideMark/>
          </w:tcPr>
          <w:p w14:paraId="74C53FE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295,686 </w:t>
            </w:r>
          </w:p>
        </w:tc>
        <w:tc>
          <w:tcPr>
            <w:tcW w:w="0" w:type="dxa"/>
            <w:noWrap/>
            <w:hideMark/>
          </w:tcPr>
          <w:p w14:paraId="4E31D11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295,686 </w:t>
            </w:r>
          </w:p>
        </w:tc>
        <w:tc>
          <w:tcPr>
            <w:tcW w:w="0" w:type="dxa"/>
            <w:noWrap/>
            <w:hideMark/>
          </w:tcPr>
          <w:p w14:paraId="682E6A1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295,686 </w:t>
            </w:r>
          </w:p>
        </w:tc>
        <w:tc>
          <w:tcPr>
            <w:tcW w:w="0" w:type="dxa"/>
            <w:noWrap/>
            <w:hideMark/>
          </w:tcPr>
          <w:p w14:paraId="57A8EA4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295,686 </w:t>
            </w:r>
          </w:p>
        </w:tc>
        <w:tc>
          <w:tcPr>
            <w:tcW w:w="0" w:type="dxa"/>
            <w:noWrap/>
            <w:hideMark/>
          </w:tcPr>
          <w:p w14:paraId="0631155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295,686 </w:t>
            </w:r>
          </w:p>
        </w:tc>
        <w:tc>
          <w:tcPr>
            <w:tcW w:w="0" w:type="dxa"/>
            <w:noWrap/>
            <w:hideMark/>
          </w:tcPr>
          <w:p w14:paraId="240C792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3,103,419 </w:t>
            </w:r>
          </w:p>
        </w:tc>
        <w:tc>
          <w:tcPr>
            <w:tcW w:w="0" w:type="dxa"/>
            <w:noWrap/>
            <w:hideMark/>
          </w:tcPr>
          <w:p w14:paraId="0D8FCE9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310,342 </w:t>
            </w:r>
          </w:p>
        </w:tc>
        <w:tc>
          <w:tcPr>
            <w:tcW w:w="0" w:type="dxa"/>
            <w:noWrap/>
            <w:hideMark/>
          </w:tcPr>
          <w:p w14:paraId="60F63EE4"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61D7933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282,129 </w:t>
            </w:r>
          </w:p>
        </w:tc>
      </w:tr>
      <w:tr w:rsidR="002218B4" w:rsidRPr="00531BD1" w14:paraId="1BF8911A"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3160D3AC"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Application</w:t>
            </w:r>
          </w:p>
        </w:tc>
        <w:tc>
          <w:tcPr>
            <w:tcW w:w="0" w:type="dxa"/>
            <w:shd w:val="clear" w:color="auto" w:fill="D2EEED"/>
            <w:noWrap/>
            <w:hideMark/>
          </w:tcPr>
          <w:p w14:paraId="6AA5400E"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92,563 </w:t>
            </w:r>
          </w:p>
        </w:tc>
        <w:tc>
          <w:tcPr>
            <w:tcW w:w="0" w:type="dxa"/>
            <w:shd w:val="clear" w:color="auto" w:fill="D2EEED"/>
            <w:noWrap/>
            <w:hideMark/>
          </w:tcPr>
          <w:p w14:paraId="6097395E"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92,563 </w:t>
            </w:r>
          </w:p>
        </w:tc>
        <w:tc>
          <w:tcPr>
            <w:tcW w:w="0" w:type="dxa"/>
            <w:shd w:val="clear" w:color="auto" w:fill="D2EEED"/>
            <w:noWrap/>
            <w:hideMark/>
          </w:tcPr>
          <w:p w14:paraId="2480B4A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92,563 </w:t>
            </w:r>
          </w:p>
        </w:tc>
        <w:tc>
          <w:tcPr>
            <w:tcW w:w="0" w:type="dxa"/>
            <w:shd w:val="clear" w:color="auto" w:fill="D2EEED"/>
            <w:noWrap/>
            <w:hideMark/>
          </w:tcPr>
          <w:p w14:paraId="789F148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61,708 </w:t>
            </w:r>
          </w:p>
        </w:tc>
        <w:tc>
          <w:tcPr>
            <w:tcW w:w="0" w:type="dxa"/>
            <w:shd w:val="clear" w:color="auto" w:fill="D2EEED"/>
            <w:noWrap/>
            <w:hideMark/>
          </w:tcPr>
          <w:p w14:paraId="09E453A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176A971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6F32601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7A9DF27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186B35B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63F884C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shd w:val="clear" w:color="auto" w:fill="D2EEED"/>
            <w:noWrap/>
            <w:hideMark/>
          </w:tcPr>
          <w:p w14:paraId="500A6AD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339,396 </w:t>
            </w:r>
          </w:p>
        </w:tc>
        <w:tc>
          <w:tcPr>
            <w:tcW w:w="0" w:type="dxa"/>
            <w:shd w:val="clear" w:color="auto" w:fill="D2EEED"/>
            <w:noWrap/>
            <w:hideMark/>
          </w:tcPr>
          <w:p w14:paraId="3AB245F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33,940 </w:t>
            </w:r>
          </w:p>
        </w:tc>
        <w:tc>
          <w:tcPr>
            <w:tcW w:w="0" w:type="dxa"/>
            <w:shd w:val="clear" w:color="auto" w:fill="D2EEED"/>
            <w:noWrap/>
            <w:hideMark/>
          </w:tcPr>
          <w:p w14:paraId="6433494E"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1E902C1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30,854 </w:t>
            </w:r>
          </w:p>
        </w:tc>
      </w:tr>
      <w:tr w:rsidR="00BD6392" w:rsidRPr="00531BD1" w14:paraId="5497668D"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29E35A01"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hideMark/>
          </w:tcPr>
          <w:p w14:paraId="12009DC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3CB089D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5BA5EF8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7E3CF44"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49930B6A"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2929C5B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4291C52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D456FA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1BD9A85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81B2A6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1537933B"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10180D0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5B8DA81"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1FA33E3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r>
      <w:tr w:rsidR="002218B4" w:rsidRPr="00531BD1" w14:paraId="543C3A81"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4F46187F"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Ongoing Obligations</w:t>
            </w:r>
          </w:p>
        </w:tc>
        <w:tc>
          <w:tcPr>
            <w:tcW w:w="0" w:type="dxa"/>
            <w:shd w:val="clear" w:color="auto" w:fill="D2EEED"/>
            <w:noWrap/>
            <w:hideMark/>
          </w:tcPr>
          <w:p w14:paraId="4F26A1D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192,839 </w:t>
            </w:r>
          </w:p>
        </w:tc>
        <w:tc>
          <w:tcPr>
            <w:tcW w:w="0" w:type="dxa"/>
            <w:shd w:val="clear" w:color="auto" w:fill="D2EEED"/>
            <w:noWrap/>
            <w:hideMark/>
          </w:tcPr>
          <w:p w14:paraId="181BAFE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231,407 </w:t>
            </w:r>
          </w:p>
        </w:tc>
        <w:tc>
          <w:tcPr>
            <w:tcW w:w="0" w:type="dxa"/>
            <w:shd w:val="clear" w:color="auto" w:fill="D2EEED"/>
            <w:noWrap/>
            <w:hideMark/>
          </w:tcPr>
          <w:p w14:paraId="793872AE"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269,974 </w:t>
            </w:r>
          </w:p>
        </w:tc>
        <w:tc>
          <w:tcPr>
            <w:tcW w:w="0" w:type="dxa"/>
            <w:shd w:val="clear" w:color="auto" w:fill="D2EEED"/>
            <w:noWrap/>
            <w:hideMark/>
          </w:tcPr>
          <w:p w14:paraId="059472C7"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2B03EF9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510C6A7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645E6BC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1559320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19E1A2C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002F149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2935022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2,764,023 </w:t>
            </w:r>
          </w:p>
        </w:tc>
        <w:tc>
          <w:tcPr>
            <w:tcW w:w="0" w:type="dxa"/>
            <w:shd w:val="clear" w:color="auto" w:fill="D2EEED"/>
            <w:noWrap/>
            <w:hideMark/>
          </w:tcPr>
          <w:p w14:paraId="71A149B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276,402 </w:t>
            </w:r>
          </w:p>
        </w:tc>
        <w:tc>
          <w:tcPr>
            <w:tcW w:w="0" w:type="dxa"/>
            <w:shd w:val="clear" w:color="auto" w:fill="D2EEED"/>
            <w:noWrap/>
            <w:hideMark/>
          </w:tcPr>
          <w:p w14:paraId="53960A1C"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3E0EAE2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251,275 </w:t>
            </w:r>
          </w:p>
        </w:tc>
      </w:tr>
      <w:tr w:rsidR="00BD6392" w:rsidRPr="00531BD1" w14:paraId="4EBCDC48"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259D3803"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Administrative</w:t>
            </w:r>
          </w:p>
        </w:tc>
        <w:tc>
          <w:tcPr>
            <w:tcW w:w="0" w:type="dxa"/>
            <w:noWrap/>
            <w:hideMark/>
          </w:tcPr>
          <w:p w14:paraId="1B7A9A1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497542E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3293C79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A5CF6D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B76BA8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4DD87E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21B3AD1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504351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0D75256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2295BF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67B9709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502024B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c>
          <w:tcPr>
            <w:tcW w:w="0" w:type="dxa"/>
            <w:noWrap/>
            <w:hideMark/>
          </w:tcPr>
          <w:p w14:paraId="7C2E8475"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1F9C6AE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   </w:t>
            </w:r>
          </w:p>
        </w:tc>
      </w:tr>
      <w:tr w:rsidR="002218B4" w:rsidRPr="00531BD1" w14:paraId="324E3242"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3E5B85E1" w14:textId="77777777"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t> </w:t>
            </w:r>
          </w:p>
        </w:tc>
        <w:tc>
          <w:tcPr>
            <w:tcW w:w="0" w:type="dxa"/>
            <w:shd w:val="clear" w:color="auto" w:fill="D2EEED"/>
            <w:noWrap/>
            <w:hideMark/>
          </w:tcPr>
          <w:p w14:paraId="582BECC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282707DA"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7C64F83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892E41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6443FB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434CF34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7A1E7DB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7EC94D1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0B9F380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763477A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55DFDE3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085DEBE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shd w:val="clear" w:color="auto" w:fill="D2EEED"/>
            <w:noWrap/>
            <w:hideMark/>
          </w:tcPr>
          <w:p w14:paraId="1630E986"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6D7B67E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r>
      <w:tr w:rsidR="00BD6392" w:rsidRPr="00531BD1" w14:paraId="1CA37989"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7CEAD4EE" w14:textId="77777777" w:rsidR="00477A50" w:rsidRPr="00C118C9" w:rsidRDefault="00477A50" w:rsidP="00477A50">
            <w:pPr>
              <w:spacing w:before="0" w:after="0" w:line="240" w:lineRule="auto"/>
              <w:rPr>
                <w:rFonts w:eastAsia="Times New Roman"/>
                <w:color w:val="008675"/>
                <w:sz w:val="18"/>
                <w:szCs w:val="18"/>
              </w:rPr>
            </w:pPr>
            <w:r w:rsidRPr="00C118C9">
              <w:rPr>
                <w:rFonts w:eastAsia="Times New Roman"/>
                <w:color w:val="008675"/>
                <w:sz w:val="18"/>
                <w:szCs w:val="18"/>
              </w:rPr>
              <w:t>Total regulatory cost for non-</w:t>
            </w:r>
            <w:r w:rsidRPr="00C118C9">
              <w:rPr>
                <w:rFonts w:eastAsia="Times New Roman"/>
                <w:color w:val="008675"/>
                <w:sz w:val="18"/>
                <w:szCs w:val="18"/>
              </w:rPr>
              <w:lastRenderedPageBreak/>
              <w:t>government entities</w:t>
            </w:r>
          </w:p>
        </w:tc>
        <w:tc>
          <w:tcPr>
            <w:tcW w:w="0" w:type="dxa"/>
            <w:noWrap/>
            <w:hideMark/>
          </w:tcPr>
          <w:p w14:paraId="57F7AF3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lastRenderedPageBreak/>
              <w:t xml:space="preserve">   1,043,684 </w:t>
            </w:r>
          </w:p>
        </w:tc>
        <w:tc>
          <w:tcPr>
            <w:tcW w:w="0" w:type="dxa"/>
            <w:noWrap/>
            <w:hideMark/>
          </w:tcPr>
          <w:p w14:paraId="5408A0A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1,203,247 </w:t>
            </w:r>
          </w:p>
        </w:tc>
        <w:tc>
          <w:tcPr>
            <w:tcW w:w="0" w:type="dxa"/>
            <w:noWrap/>
            <w:hideMark/>
          </w:tcPr>
          <w:p w14:paraId="6A08D75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1,198,896 </w:t>
            </w:r>
          </w:p>
        </w:tc>
        <w:tc>
          <w:tcPr>
            <w:tcW w:w="0" w:type="dxa"/>
            <w:noWrap/>
            <w:hideMark/>
          </w:tcPr>
          <w:p w14:paraId="70397A1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1,310,462 </w:t>
            </w:r>
          </w:p>
        </w:tc>
        <w:tc>
          <w:tcPr>
            <w:tcW w:w="0" w:type="dxa"/>
            <w:noWrap/>
            <w:hideMark/>
          </w:tcPr>
          <w:p w14:paraId="680ED17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1,418,813 </w:t>
            </w:r>
          </w:p>
        </w:tc>
        <w:tc>
          <w:tcPr>
            <w:tcW w:w="0" w:type="dxa"/>
            <w:noWrap/>
            <w:hideMark/>
          </w:tcPr>
          <w:p w14:paraId="1B870379"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1,533,592 </w:t>
            </w:r>
          </w:p>
        </w:tc>
        <w:tc>
          <w:tcPr>
            <w:tcW w:w="0" w:type="dxa"/>
            <w:noWrap/>
            <w:hideMark/>
          </w:tcPr>
          <w:p w14:paraId="259CFDB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1,647,287 </w:t>
            </w:r>
          </w:p>
        </w:tc>
        <w:tc>
          <w:tcPr>
            <w:tcW w:w="0" w:type="dxa"/>
            <w:noWrap/>
            <w:hideMark/>
          </w:tcPr>
          <w:p w14:paraId="12BF322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1,762,066 </w:t>
            </w:r>
          </w:p>
        </w:tc>
        <w:tc>
          <w:tcPr>
            <w:tcW w:w="0" w:type="dxa"/>
            <w:noWrap/>
            <w:hideMark/>
          </w:tcPr>
          <w:p w14:paraId="4BF2AFC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1,876,845 </w:t>
            </w:r>
          </w:p>
        </w:tc>
        <w:tc>
          <w:tcPr>
            <w:tcW w:w="0" w:type="dxa"/>
            <w:noWrap/>
            <w:hideMark/>
          </w:tcPr>
          <w:p w14:paraId="384DF09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1,991,625 </w:t>
            </w:r>
          </w:p>
        </w:tc>
        <w:tc>
          <w:tcPr>
            <w:tcW w:w="0" w:type="dxa"/>
            <w:noWrap/>
            <w:hideMark/>
          </w:tcPr>
          <w:p w14:paraId="2114548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14,986,517 </w:t>
            </w:r>
          </w:p>
        </w:tc>
        <w:tc>
          <w:tcPr>
            <w:tcW w:w="0" w:type="dxa"/>
            <w:noWrap/>
            <w:hideMark/>
          </w:tcPr>
          <w:p w14:paraId="23FCBB2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1,498,652 </w:t>
            </w:r>
          </w:p>
        </w:tc>
        <w:tc>
          <w:tcPr>
            <w:tcW w:w="0" w:type="dxa"/>
            <w:noWrap/>
            <w:hideMark/>
          </w:tcPr>
          <w:p w14:paraId="31A4B2C4"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166ADCC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xml:space="preserve">      1,362,411 </w:t>
            </w:r>
          </w:p>
        </w:tc>
      </w:tr>
      <w:tr w:rsidR="002218B4" w:rsidRPr="00531BD1" w14:paraId="6FC79F04"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467A30B2"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Application</w:t>
            </w:r>
          </w:p>
        </w:tc>
        <w:tc>
          <w:tcPr>
            <w:tcW w:w="0" w:type="dxa"/>
            <w:shd w:val="clear" w:color="auto" w:fill="D2EEED"/>
            <w:noWrap/>
            <w:hideMark/>
          </w:tcPr>
          <w:p w14:paraId="58AAF1C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436,201 </w:t>
            </w:r>
          </w:p>
        </w:tc>
        <w:tc>
          <w:tcPr>
            <w:tcW w:w="0" w:type="dxa"/>
            <w:shd w:val="clear" w:color="auto" w:fill="D2EEED"/>
            <w:noWrap/>
            <w:hideMark/>
          </w:tcPr>
          <w:p w14:paraId="310A6CA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427,633 </w:t>
            </w:r>
          </w:p>
        </w:tc>
        <w:tc>
          <w:tcPr>
            <w:tcW w:w="0" w:type="dxa"/>
            <w:shd w:val="clear" w:color="auto" w:fill="D2EEED"/>
            <w:noWrap/>
            <w:hideMark/>
          </w:tcPr>
          <w:p w14:paraId="77F8460B"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308,504 </w:t>
            </w:r>
          </w:p>
        </w:tc>
        <w:tc>
          <w:tcPr>
            <w:tcW w:w="0" w:type="dxa"/>
            <w:shd w:val="clear" w:color="auto" w:fill="D2EEED"/>
            <w:noWrap/>
            <w:hideMark/>
          </w:tcPr>
          <w:p w14:paraId="0AA4175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305,290 </w:t>
            </w:r>
          </w:p>
        </w:tc>
        <w:tc>
          <w:tcPr>
            <w:tcW w:w="0" w:type="dxa"/>
            <w:shd w:val="clear" w:color="auto" w:fill="D2EEED"/>
            <w:noWrap/>
            <w:hideMark/>
          </w:tcPr>
          <w:p w14:paraId="542074D7"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298,862 </w:t>
            </w:r>
          </w:p>
        </w:tc>
        <w:tc>
          <w:tcPr>
            <w:tcW w:w="0" w:type="dxa"/>
            <w:shd w:val="clear" w:color="auto" w:fill="D2EEED"/>
            <w:noWrap/>
            <w:hideMark/>
          </w:tcPr>
          <w:p w14:paraId="7C2F4F3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298,862 </w:t>
            </w:r>
          </w:p>
        </w:tc>
        <w:tc>
          <w:tcPr>
            <w:tcW w:w="0" w:type="dxa"/>
            <w:shd w:val="clear" w:color="auto" w:fill="D2EEED"/>
            <w:noWrap/>
            <w:hideMark/>
          </w:tcPr>
          <w:p w14:paraId="3DFE0B0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298,862 </w:t>
            </w:r>
          </w:p>
        </w:tc>
        <w:tc>
          <w:tcPr>
            <w:tcW w:w="0" w:type="dxa"/>
            <w:shd w:val="clear" w:color="auto" w:fill="D2EEED"/>
            <w:noWrap/>
            <w:hideMark/>
          </w:tcPr>
          <w:p w14:paraId="55F8F71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298,862 </w:t>
            </w:r>
          </w:p>
        </w:tc>
        <w:tc>
          <w:tcPr>
            <w:tcW w:w="0" w:type="dxa"/>
            <w:shd w:val="clear" w:color="auto" w:fill="D2EEED"/>
            <w:noWrap/>
            <w:hideMark/>
          </w:tcPr>
          <w:p w14:paraId="4B2CCD8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298,862 </w:t>
            </w:r>
          </w:p>
        </w:tc>
        <w:tc>
          <w:tcPr>
            <w:tcW w:w="0" w:type="dxa"/>
            <w:shd w:val="clear" w:color="auto" w:fill="D2EEED"/>
            <w:noWrap/>
            <w:hideMark/>
          </w:tcPr>
          <w:p w14:paraId="10D5A48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298,862 </w:t>
            </w:r>
          </w:p>
        </w:tc>
        <w:tc>
          <w:tcPr>
            <w:tcW w:w="0" w:type="dxa"/>
            <w:shd w:val="clear" w:color="auto" w:fill="D2EEED"/>
            <w:noWrap/>
            <w:hideMark/>
          </w:tcPr>
          <w:p w14:paraId="6F1501B7"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3,270,797 </w:t>
            </w:r>
          </w:p>
        </w:tc>
        <w:tc>
          <w:tcPr>
            <w:tcW w:w="0" w:type="dxa"/>
            <w:shd w:val="clear" w:color="auto" w:fill="D2EEED"/>
            <w:noWrap/>
            <w:hideMark/>
          </w:tcPr>
          <w:p w14:paraId="13EFB84D"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327,080 </w:t>
            </w:r>
          </w:p>
        </w:tc>
        <w:tc>
          <w:tcPr>
            <w:tcW w:w="0" w:type="dxa"/>
            <w:shd w:val="clear" w:color="auto" w:fill="D2EEED"/>
            <w:noWrap/>
            <w:hideMark/>
          </w:tcPr>
          <w:p w14:paraId="6E7E2E52"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79C40383"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297,345 </w:t>
            </w:r>
          </w:p>
        </w:tc>
      </w:tr>
      <w:tr w:rsidR="00BD6392" w:rsidRPr="00531BD1" w14:paraId="1E33C4E9"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582C41FB"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Privacy &amp; Security Obligations</w:t>
            </w:r>
          </w:p>
        </w:tc>
        <w:tc>
          <w:tcPr>
            <w:tcW w:w="0" w:type="dxa"/>
            <w:noWrap/>
            <w:hideMark/>
          </w:tcPr>
          <w:p w14:paraId="34EC18D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311,796 </w:t>
            </w:r>
          </w:p>
        </w:tc>
        <w:tc>
          <w:tcPr>
            <w:tcW w:w="0" w:type="dxa"/>
            <w:noWrap/>
            <w:hideMark/>
          </w:tcPr>
          <w:p w14:paraId="6080F39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364,224 </w:t>
            </w:r>
          </w:p>
        </w:tc>
        <w:tc>
          <w:tcPr>
            <w:tcW w:w="0" w:type="dxa"/>
            <w:noWrap/>
            <w:hideMark/>
          </w:tcPr>
          <w:p w14:paraId="4E0D2C96"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414,724 </w:t>
            </w:r>
          </w:p>
        </w:tc>
        <w:tc>
          <w:tcPr>
            <w:tcW w:w="0" w:type="dxa"/>
            <w:noWrap/>
            <w:hideMark/>
          </w:tcPr>
          <w:p w14:paraId="6A745CB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465,224 </w:t>
            </w:r>
          </w:p>
        </w:tc>
        <w:tc>
          <w:tcPr>
            <w:tcW w:w="0" w:type="dxa"/>
            <w:noWrap/>
            <w:hideMark/>
          </w:tcPr>
          <w:p w14:paraId="0D14E93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515,723 </w:t>
            </w:r>
          </w:p>
        </w:tc>
        <w:tc>
          <w:tcPr>
            <w:tcW w:w="0" w:type="dxa"/>
            <w:noWrap/>
            <w:hideMark/>
          </w:tcPr>
          <w:p w14:paraId="7643A09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566,223 </w:t>
            </w:r>
          </w:p>
        </w:tc>
        <w:tc>
          <w:tcPr>
            <w:tcW w:w="0" w:type="dxa"/>
            <w:noWrap/>
            <w:hideMark/>
          </w:tcPr>
          <w:p w14:paraId="1B73E6B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615,638 </w:t>
            </w:r>
          </w:p>
        </w:tc>
        <w:tc>
          <w:tcPr>
            <w:tcW w:w="0" w:type="dxa"/>
            <w:noWrap/>
            <w:hideMark/>
          </w:tcPr>
          <w:p w14:paraId="4866E70D"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666,138 </w:t>
            </w:r>
          </w:p>
        </w:tc>
        <w:tc>
          <w:tcPr>
            <w:tcW w:w="0" w:type="dxa"/>
            <w:noWrap/>
            <w:hideMark/>
          </w:tcPr>
          <w:p w14:paraId="2EBABF21"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716,637 </w:t>
            </w:r>
          </w:p>
        </w:tc>
        <w:tc>
          <w:tcPr>
            <w:tcW w:w="0" w:type="dxa"/>
            <w:noWrap/>
            <w:hideMark/>
          </w:tcPr>
          <w:p w14:paraId="4D4333E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767,137 </w:t>
            </w:r>
          </w:p>
        </w:tc>
        <w:tc>
          <w:tcPr>
            <w:tcW w:w="0" w:type="dxa"/>
            <w:noWrap/>
            <w:hideMark/>
          </w:tcPr>
          <w:p w14:paraId="262BC3E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5,403,464 </w:t>
            </w:r>
          </w:p>
        </w:tc>
        <w:tc>
          <w:tcPr>
            <w:tcW w:w="0" w:type="dxa"/>
            <w:noWrap/>
            <w:hideMark/>
          </w:tcPr>
          <w:p w14:paraId="7806F5E4"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540,346 </w:t>
            </w:r>
          </w:p>
        </w:tc>
        <w:tc>
          <w:tcPr>
            <w:tcW w:w="0" w:type="dxa"/>
            <w:noWrap/>
            <w:hideMark/>
          </w:tcPr>
          <w:p w14:paraId="3E141388" w14:textId="77777777" w:rsidR="00477A50" w:rsidRPr="00A60647" w:rsidRDefault="00477A50" w:rsidP="00477A5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noWrap/>
            <w:hideMark/>
          </w:tcPr>
          <w:p w14:paraId="233E0AD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491,224 </w:t>
            </w:r>
          </w:p>
        </w:tc>
      </w:tr>
      <w:tr w:rsidR="002218B4" w:rsidRPr="00531BD1" w14:paraId="5C1002A5" w14:textId="77777777" w:rsidTr="00F75DC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4315E574"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Ongoing Obligations</w:t>
            </w:r>
          </w:p>
        </w:tc>
        <w:tc>
          <w:tcPr>
            <w:tcW w:w="0" w:type="dxa"/>
            <w:shd w:val="clear" w:color="auto" w:fill="D2EEED"/>
            <w:noWrap/>
            <w:hideMark/>
          </w:tcPr>
          <w:p w14:paraId="3A105F9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295,686 </w:t>
            </w:r>
          </w:p>
        </w:tc>
        <w:tc>
          <w:tcPr>
            <w:tcW w:w="0" w:type="dxa"/>
            <w:shd w:val="clear" w:color="auto" w:fill="D2EEED"/>
            <w:noWrap/>
            <w:hideMark/>
          </w:tcPr>
          <w:p w14:paraId="212F220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411,389 </w:t>
            </w:r>
          </w:p>
        </w:tc>
        <w:tc>
          <w:tcPr>
            <w:tcW w:w="0" w:type="dxa"/>
            <w:shd w:val="clear" w:color="auto" w:fill="D2EEED"/>
            <w:noWrap/>
            <w:hideMark/>
          </w:tcPr>
          <w:p w14:paraId="28386285"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475,669 </w:t>
            </w:r>
          </w:p>
        </w:tc>
        <w:tc>
          <w:tcPr>
            <w:tcW w:w="0" w:type="dxa"/>
            <w:shd w:val="clear" w:color="auto" w:fill="D2EEED"/>
            <w:noWrap/>
            <w:hideMark/>
          </w:tcPr>
          <w:p w14:paraId="1628603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539,949 </w:t>
            </w:r>
          </w:p>
        </w:tc>
        <w:tc>
          <w:tcPr>
            <w:tcW w:w="0" w:type="dxa"/>
            <w:shd w:val="clear" w:color="auto" w:fill="D2EEED"/>
            <w:noWrap/>
            <w:hideMark/>
          </w:tcPr>
          <w:p w14:paraId="25FFAD91"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604,228 </w:t>
            </w:r>
          </w:p>
        </w:tc>
        <w:tc>
          <w:tcPr>
            <w:tcW w:w="0" w:type="dxa"/>
            <w:shd w:val="clear" w:color="auto" w:fill="D2EEED"/>
            <w:noWrap/>
            <w:hideMark/>
          </w:tcPr>
          <w:p w14:paraId="5CB2651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668,508 </w:t>
            </w:r>
          </w:p>
        </w:tc>
        <w:tc>
          <w:tcPr>
            <w:tcW w:w="0" w:type="dxa"/>
            <w:shd w:val="clear" w:color="auto" w:fill="D2EEED"/>
            <w:noWrap/>
            <w:hideMark/>
          </w:tcPr>
          <w:p w14:paraId="42DE411C"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732,787 </w:t>
            </w:r>
          </w:p>
        </w:tc>
        <w:tc>
          <w:tcPr>
            <w:tcW w:w="0" w:type="dxa"/>
            <w:shd w:val="clear" w:color="auto" w:fill="D2EEED"/>
            <w:noWrap/>
            <w:hideMark/>
          </w:tcPr>
          <w:p w14:paraId="6374A9C2"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797,067 </w:t>
            </w:r>
          </w:p>
        </w:tc>
        <w:tc>
          <w:tcPr>
            <w:tcW w:w="0" w:type="dxa"/>
            <w:shd w:val="clear" w:color="auto" w:fill="D2EEED"/>
            <w:noWrap/>
            <w:hideMark/>
          </w:tcPr>
          <w:p w14:paraId="0DA16879"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861,347 </w:t>
            </w:r>
          </w:p>
        </w:tc>
        <w:tc>
          <w:tcPr>
            <w:tcW w:w="0" w:type="dxa"/>
            <w:shd w:val="clear" w:color="auto" w:fill="D2EEED"/>
            <w:noWrap/>
            <w:hideMark/>
          </w:tcPr>
          <w:p w14:paraId="04319A24"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925,626 </w:t>
            </w:r>
          </w:p>
        </w:tc>
        <w:tc>
          <w:tcPr>
            <w:tcW w:w="0" w:type="dxa"/>
            <w:shd w:val="clear" w:color="auto" w:fill="D2EEED"/>
            <w:noWrap/>
            <w:hideMark/>
          </w:tcPr>
          <w:p w14:paraId="7DF302AF"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6,312,257 </w:t>
            </w:r>
          </w:p>
        </w:tc>
        <w:tc>
          <w:tcPr>
            <w:tcW w:w="0" w:type="dxa"/>
            <w:shd w:val="clear" w:color="auto" w:fill="D2EEED"/>
            <w:noWrap/>
            <w:hideMark/>
          </w:tcPr>
          <w:p w14:paraId="6EBAE8D6"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631,226 </w:t>
            </w:r>
          </w:p>
        </w:tc>
        <w:tc>
          <w:tcPr>
            <w:tcW w:w="0" w:type="dxa"/>
            <w:shd w:val="clear" w:color="auto" w:fill="D2EEED"/>
            <w:noWrap/>
            <w:hideMark/>
          </w:tcPr>
          <w:p w14:paraId="13833DED" w14:textId="77777777" w:rsidR="00477A50" w:rsidRPr="00A60647" w:rsidRDefault="00477A50" w:rsidP="00477A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A60647">
              <w:rPr>
                <w:rFonts w:eastAsia="Times New Roman"/>
                <w:b/>
                <w:bCs/>
                <w:color w:val="000000"/>
                <w:sz w:val="18"/>
                <w:szCs w:val="18"/>
              </w:rPr>
              <w:t> </w:t>
            </w:r>
          </w:p>
        </w:tc>
        <w:tc>
          <w:tcPr>
            <w:tcW w:w="0" w:type="dxa"/>
            <w:shd w:val="clear" w:color="auto" w:fill="D2EEED"/>
            <w:noWrap/>
            <w:hideMark/>
          </w:tcPr>
          <w:p w14:paraId="2CEB5B08" w14:textId="77777777" w:rsidR="00477A50" w:rsidRPr="00A60647" w:rsidRDefault="00477A50" w:rsidP="00477A50">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573,842 </w:t>
            </w:r>
          </w:p>
        </w:tc>
      </w:tr>
      <w:tr w:rsidR="00BD6392" w:rsidRPr="00765434" w14:paraId="578C5F19" w14:textId="77777777" w:rsidTr="00C118C9">
        <w:trPr>
          <w:trHeight w:val="243"/>
        </w:trPr>
        <w:tc>
          <w:tcPr>
            <w:cnfStyle w:val="001000000000" w:firstRow="0" w:lastRow="0" w:firstColumn="1" w:lastColumn="0" w:oddVBand="0" w:evenVBand="0" w:oddHBand="0" w:evenHBand="0" w:firstRowFirstColumn="0" w:firstRowLastColumn="0" w:lastRowFirstColumn="0" w:lastRowLastColumn="0"/>
            <w:tcW w:w="0" w:type="dxa"/>
            <w:noWrap/>
            <w:hideMark/>
          </w:tcPr>
          <w:p w14:paraId="6D424B61" w14:textId="77777777" w:rsidR="00477A50" w:rsidRPr="00C118C9" w:rsidRDefault="00477A50" w:rsidP="00477A50">
            <w:pPr>
              <w:spacing w:before="0" w:after="0" w:line="240" w:lineRule="auto"/>
              <w:ind w:firstLineChars="200" w:firstLine="360"/>
              <w:jc w:val="right"/>
              <w:rPr>
                <w:rFonts w:eastAsia="Times New Roman"/>
                <w:b w:val="0"/>
                <w:color w:val="008675"/>
                <w:sz w:val="18"/>
                <w:szCs w:val="18"/>
              </w:rPr>
            </w:pPr>
            <w:r w:rsidRPr="00C118C9">
              <w:rPr>
                <w:rFonts w:eastAsia="Times New Roman"/>
                <w:color w:val="008675"/>
                <w:sz w:val="18"/>
                <w:szCs w:val="18"/>
              </w:rPr>
              <w:t>Administrative</w:t>
            </w:r>
          </w:p>
        </w:tc>
        <w:tc>
          <w:tcPr>
            <w:tcW w:w="0" w:type="dxa"/>
            <w:noWrap/>
            <w:hideMark/>
          </w:tcPr>
          <w:p w14:paraId="2352C778"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212,551 </w:t>
            </w:r>
          </w:p>
        </w:tc>
        <w:tc>
          <w:tcPr>
            <w:tcW w:w="0" w:type="dxa"/>
            <w:noWrap/>
            <w:hideMark/>
          </w:tcPr>
          <w:p w14:paraId="39BB0A8E"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248,548 </w:t>
            </w:r>
          </w:p>
        </w:tc>
        <w:tc>
          <w:tcPr>
            <w:tcW w:w="0" w:type="dxa"/>
            <w:noWrap/>
            <w:hideMark/>
          </w:tcPr>
          <w:p w14:paraId="5790B9C2"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282,830 </w:t>
            </w:r>
          </w:p>
        </w:tc>
        <w:tc>
          <w:tcPr>
            <w:tcW w:w="0" w:type="dxa"/>
            <w:noWrap/>
            <w:hideMark/>
          </w:tcPr>
          <w:p w14:paraId="66332EF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317,113 </w:t>
            </w:r>
          </w:p>
        </w:tc>
        <w:tc>
          <w:tcPr>
            <w:tcW w:w="0" w:type="dxa"/>
            <w:noWrap/>
            <w:hideMark/>
          </w:tcPr>
          <w:p w14:paraId="549D1A8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351,395 </w:t>
            </w:r>
          </w:p>
        </w:tc>
        <w:tc>
          <w:tcPr>
            <w:tcW w:w="0" w:type="dxa"/>
            <w:noWrap/>
            <w:hideMark/>
          </w:tcPr>
          <w:p w14:paraId="2A10CA9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385,678 </w:t>
            </w:r>
          </w:p>
        </w:tc>
        <w:tc>
          <w:tcPr>
            <w:tcW w:w="0" w:type="dxa"/>
            <w:noWrap/>
            <w:hideMark/>
          </w:tcPr>
          <w:p w14:paraId="61382F1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419,960 </w:t>
            </w:r>
          </w:p>
        </w:tc>
        <w:tc>
          <w:tcPr>
            <w:tcW w:w="0" w:type="dxa"/>
            <w:noWrap/>
            <w:hideMark/>
          </w:tcPr>
          <w:p w14:paraId="437335FC"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454,243 </w:t>
            </w:r>
          </w:p>
        </w:tc>
        <w:tc>
          <w:tcPr>
            <w:tcW w:w="0" w:type="dxa"/>
            <w:noWrap/>
            <w:hideMark/>
          </w:tcPr>
          <w:p w14:paraId="35EAD9F7"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488,525 </w:t>
            </w:r>
          </w:p>
        </w:tc>
        <w:tc>
          <w:tcPr>
            <w:tcW w:w="0" w:type="dxa"/>
            <w:noWrap/>
            <w:hideMark/>
          </w:tcPr>
          <w:p w14:paraId="0DB8B545"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522,807 </w:t>
            </w:r>
          </w:p>
        </w:tc>
        <w:tc>
          <w:tcPr>
            <w:tcW w:w="0" w:type="dxa"/>
            <w:noWrap/>
            <w:hideMark/>
          </w:tcPr>
          <w:p w14:paraId="020ED80F"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3,683,650 </w:t>
            </w:r>
          </w:p>
        </w:tc>
        <w:tc>
          <w:tcPr>
            <w:tcW w:w="0" w:type="dxa"/>
            <w:noWrap/>
            <w:hideMark/>
          </w:tcPr>
          <w:p w14:paraId="0E836F93"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368,365 </w:t>
            </w:r>
          </w:p>
        </w:tc>
        <w:tc>
          <w:tcPr>
            <w:tcW w:w="0" w:type="dxa"/>
            <w:noWrap/>
            <w:hideMark/>
          </w:tcPr>
          <w:p w14:paraId="635C0FC0" w14:textId="77777777" w:rsidR="00477A50" w:rsidRPr="00A60647" w:rsidRDefault="00477A50" w:rsidP="00477A5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w:t>
            </w:r>
          </w:p>
        </w:tc>
        <w:tc>
          <w:tcPr>
            <w:tcW w:w="0" w:type="dxa"/>
            <w:noWrap/>
            <w:hideMark/>
          </w:tcPr>
          <w:p w14:paraId="5DD5362E" w14:textId="77777777" w:rsidR="00477A50" w:rsidRPr="00A60647" w:rsidRDefault="00477A50" w:rsidP="00A60647">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 xml:space="preserve">          334,877 </w:t>
            </w:r>
          </w:p>
        </w:tc>
      </w:tr>
    </w:tbl>
    <w:p w14:paraId="3CAAB8FA" w14:textId="7A51A922" w:rsidR="00A9110A" w:rsidRDefault="0052151B" w:rsidP="00A60647">
      <w:pPr>
        <w:pStyle w:val="Caption"/>
        <w:framePr w:w="14779" w:h="528" w:hRule="exact" w:hSpace="180" w:wrap="around" w:vAnchor="text" w:hAnchor="page" w:x="776" w:y="2290"/>
      </w:pPr>
      <w:bookmarkStart w:id="725" w:name="_Toc130390624"/>
      <w:r>
        <w:t xml:space="preserve">Table </w:t>
      </w:r>
      <w:r>
        <w:fldChar w:fldCharType="begin"/>
      </w:r>
      <w:r>
        <w:instrText>SEQ Table \* ARABIC</w:instrText>
      </w:r>
      <w:r>
        <w:fldChar w:fldCharType="separate"/>
      </w:r>
      <w:r>
        <w:rPr>
          <w:noProof/>
        </w:rPr>
        <w:t>19</w:t>
      </w:r>
      <w:r>
        <w:fldChar w:fldCharType="end"/>
      </w:r>
      <w:r>
        <w:t xml:space="preserve">: </w:t>
      </w:r>
      <w:r w:rsidRPr="00D65493">
        <w:t>Option 3 estimated per-entity annual regulatory costs across 10-years of regulation (per the Regulatory Burden Measurement Framework)</w:t>
      </w:r>
      <w:bookmarkEnd w:id="725"/>
    </w:p>
    <w:p w14:paraId="29D27DEE" w14:textId="77777777" w:rsidR="00C00069" w:rsidRPr="00A60647" w:rsidRDefault="00C00069" w:rsidP="00A60647">
      <w:pPr>
        <w:pStyle w:val="BodyText"/>
        <w:framePr w:w="14779" w:h="528" w:hRule="exact" w:hSpace="180" w:wrap="around" w:vAnchor="text" w:hAnchor="page" w:x="776" w:y="2290"/>
        <w:rPr>
          <w:highlight w:val="yellow"/>
        </w:rPr>
      </w:pPr>
    </w:p>
    <w:p w14:paraId="7881B526" w14:textId="195EA6D4" w:rsidR="00531BD1" w:rsidRPr="00A60647" w:rsidRDefault="00531BD1" w:rsidP="00A60647">
      <w:pPr>
        <w:pStyle w:val="Caption"/>
      </w:pPr>
    </w:p>
    <w:tbl>
      <w:tblPr>
        <w:tblStyle w:val="GridTable2-Accent311"/>
        <w:tblW w:w="14742" w:type="dxa"/>
        <w:jc w:val="center"/>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tblGrid>
      <w:tr w:rsidR="00184701" w:rsidRPr="00765434" w14:paraId="5FA8CD62" w14:textId="77777777" w:rsidTr="00C118C9">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8675"/>
            </w:tcBorders>
            <w:noWrap/>
            <w:hideMark/>
          </w:tcPr>
          <w:p w14:paraId="28BD08B5" w14:textId="77777777" w:rsidR="00AD25A7" w:rsidRPr="005E1F2A" w:rsidRDefault="00AD25A7">
            <w:pPr>
              <w:spacing w:before="0" w:after="0" w:line="240" w:lineRule="auto"/>
              <w:rPr>
                <w:rFonts w:eastAsia="Times New Roman"/>
                <w:color w:val="000000"/>
                <w:sz w:val="18"/>
                <w:szCs w:val="18"/>
              </w:rPr>
            </w:pPr>
          </w:p>
        </w:tc>
        <w:tc>
          <w:tcPr>
            <w:tcW w:w="0" w:type="dxa"/>
            <w:tcBorders>
              <w:bottom w:val="single" w:sz="4" w:space="0" w:color="008675"/>
            </w:tcBorders>
            <w:noWrap/>
          </w:tcPr>
          <w:p w14:paraId="7703D022" w14:textId="6A6DDEDD"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68549405" w14:textId="5A28CDD9"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0FBF84C5" w14:textId="4BBE2F48"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41554432" w14:textId="499DF49E"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7F2608B4" w14:textId="4697D39C"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7128D9B9" w14:textId="0A67AE56"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4735839F" w14:textId="340A4E39"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6B073683" w14:textId="5D522961"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0EC331EF" w14:textId="2494035F"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715F587E" w14:textId="16E9DB70"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hideMark/>
          </w:tcPr>
          <w:p w14:paraId="71D2BC3A" w14:textId="77777777"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hideMark/>
          </w:tcPr>
          <w:p w14:paraId="3C8BF0FC" w14:textId="77777777" w:rsidR="00AD25A7" w:rsidRPr="005E1F2A" w:rsidRDefault="00AD25A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r>
      <w:tr w:rsidR="003461F3" w:rsidRPr="00765434" w14:paraId="10D12871" w14:textId="77777777" w:rsidTr="00F75DC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tcBorders>
            <w:shd w:val="clear" w:color="auto" w:fill="D2EEED"/>
            <w:noWrap/>
            <w:hideMark/>
          </w:tcPr>
          <w:p w14:paraId="69DC20A2" w14:textId="77777777" w:rsidR="00AD25A7" w:rsidRPr="00C118C9" w:rsidRDefault="00AD25A7">
            <w:pPr>
              <w:spacing w:before="0" w:after="0" w:line="240" w:lineRule="auto"/>
              <w:rPr>
                <w:rFonts w:eastAsia="Times New Roman"/>
                <w:color w:val="008675"/>
                <w:sz w:val="18"/>
                <w:szCs w:val="18"/>
              </w:rPr>
            </w:pPr>
            <w:r w:rsidRPr="00C118C9">
              <w:rPr>
                <w:rFonts w:eastAsia="Times New Roman"/>
                <w:color w:val="008675"/>
                <w:sz w:val="18"/>
                <w:szCs w:val="18"/>
              </w:rPr>
              <w:t>New relying parties</w:t>
            </w:r>
          </w:p>
        </w:tc>
        <w:tc>
          <w:tcPr>
            <w:tcW w:w="0" w:type="dxa"/>
            <w:tcBorders>
              <w:top w:val="single" w:sz="4" w:space="0" w:color="008675"/>
            </w:tcBorders>
            <w:shd w:val="clear" w:color="auto" w:fill="D2EEED"/>
            <w:noWrap/>
            <w:hideMark/>
          </w:tcPr>
          <w:p w14:paraId="3CDCE69B"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22</w:t>
            </w:r>
          </w:p>
        </w:tc>
        <w:tc>
          <w:tcPr>
            <w:tcW w:w="0" w:type="dxa"/>
            <w:tcBorders>
              <w:top w:val="single" w:sz="4" w:space="0" w:color="008675"/>
            </w:tcBorders>
            <w:shd w:val="clear" w:color="auto" w:fill="D2EEED"/>
            <w:noWrap/>
            <w:hideMark/>
          </w:tcPr>
          <w:p w14:paraId="0187968A"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21</w:t>
            </w:r>
          </w:p>
        </w:tc>
        <w:tc>
          <w:tcPr>
            <w:tcW w:w="0" w:type="dxa"/>
            <w:tcBorders>
              <w:top w:val="single" w:sz="4" w:space="0" w:color="008675"/>
            </w:tcBorders>
            <w:shd w:val="clear" w:color="auto" w:fill="D2EEED"/>
            <w:noWrap/>
            <w:hideMark/>
          </w:tcPr>
          <w:p w14:paraId="49A6D186"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1FC0CDA9"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429E9261"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58625FBD"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50FFC0F5"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7E9A5509"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01BD38E7"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533CA87E"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tcBorders>
              <w:top w:val="single" w:sz="4" w:space="0" w:color="008675"/>
            </w:tcBorders>
            <w:shd w:val="clear" w:color="auto" w:fill="D2EEED"/>
            <w:noWrap/>
            <w:hideMark/>
          </w:tcPr>
          <w:p w14:paraId="5918DAEB"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tcBorders>
              <w:top w:val="single" w:sz="4" w:space="0" w:color="008675"/>
            </w:tcBorders>
            <w:shd w:val="clear" w:color="auto" w:fill="D2EEED"/>
            <w:noWrap/>
            <w:hideMark/>
          </w:tcPr>
          <w:p w14:paraId="29933E7E"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r>
      <w:tr w:rsidR="00AD25A7" w:rsidRPr="00765434" w14:paraId="6D91A051" w14:textId="77777777" w:rsidTr="00C118C9">
        <w:trPr>
          <w:trHeight w:val="29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43092129" w14:textId="77777777" w:rsidR="00AD25A7" w:rsidRPr="00C118C9" w:rsidRDefault="00AD25A7">
            <w:pPr>
              <w:spacing w:before="0" w:after="0" w:line="240" w:lineRule="auto"/>
              <w:rPr>
                <w:rFonts w:eastAsia="Times New Roman"/>
                <w:color w:val="008675"/>
                <w:sz w:val="18"/>
                <w:szCs w:val="18"/>
              </w:rPr>
            </w:pPr>
            <w:r w:rsidRPr="00C118C9">
              <w:rPr>
                <w:rFonts w:eastAsia="Times New Roman"/>
                <w:color w:val="008675"/>
                <w:sz w:val="18"/>
                <w:szCs w:val="18"/>
              </w:rPr>
              <w:t xml:space="preserve">Ongoing relying parties </w:t>
            </w:r>
          </w:p>
        </w:tc>
        <w:tc>
          <w:tcPr>
            <w:tcW w:w="0" w:type="dxa"/>
            <w:noWrap/>
            <w:hideMark/>
          </w:tcPr>
          <w:p w14:paraId="5049FEE1"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124</w:t>
            </w:r>
          </w:p>
        </w:tc>
        <w:tc>
          <w:tcPr>
            <w:tcW w:w="0" w:type="dxa"/>
            <w:noWrap/>
            <w:hideMark/>
          </w:tcPr>
          <w:p w14:paraId="41C3E78A"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145</w:t>
            </w:r>
          </w:p>
        </w:tc>
        <w:tc>
          <w:tcPr>
            <w:tcW w:w="0" w:type="dxa"/>
            <w:noWrap/>
            <w:hideMark/>
          </w:tcPr>
          <w:p w14:paraId="13965EE5"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165</w:t>
            </w:r>
          </w:p>
        </w:tc>
        <w:tc>
          <w:tcPr>
            <w:tcW w:w="0" w:type="dxa"/>
            <w:noWrap/>
            <w:hideMark/>
          </w:tcPr>
          <w:p w14:paraId="0AC32ECB"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185</w:t>
            </w:r>
          </w:p>
        </w:tc>
        <w:tc>
          <w:tcPr>
            <w:tcW w:w="0" w:type="dxa"/>
            <w:noWrap/>
            <w:hideMark/>
          </w:tcPr>
          <w:p w14:paraId="7CE6CCAD"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205</w:t>
            </w:r>
          </w:p>
        </w:tc>
        <w:tc>
          <w:tcPr>
            <w:tcW w:w="0" w:type="dxa"/>
            <w:noWrap/>
            <w:hideMark/>
          </w:tcPr>
          <w:p w14:paraId="3D470C1F"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225</w:t>
            </w:r>
          </w:p>
        </w:tc>
        <w:tc>
          <w:tcPr>
            <w:tcW w:w="0" w:type="dxa"/>
            <w:noWrap/>
            <w:hideMark/>
          </w:tcPr>
          <w:p w14:paraId="69A8E417"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245</w:t>
            </w:r>
          </w:p>
        </w:tc>
        <w:tc>
          <w:tcPr>
            <w:tcW w:w="0" w:type="dxa"/>
            <w:noWrap/>
            <w:hideMark/>
          </w:tcPr>
          <w:p w14:paraId="0F43369A"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265</w:t>
            </w:r>
          </w:p>
        </w:tc>
        <w:tc>
          <w:tcPr>
            <w:tcW w:w="0" w:type="dxa"/>
            <w:noWrap/>
            <w:hideMark/>
          </w:tcPr>
          <w:p w14:paraId="2092692B"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285</w:t>
            </w:r>
          </w:p>
        </w:tc>
        <w:tc>
          <w:tcPr>
            <w:tcW w:w="0" w:type="dxa"/>
            <w:noWrap/>
            <w:hideMark/>
          </w:tcPr>
          <w:p w14:paraId="2BD96B71"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305</w:t>
            </w:r>
          </w:p>
        </w:tc>
        <w:tc>
          <w:tcPr>
            <w:tcW w:w="0" w:type="dxa"/>
            <w:noWrap/>
            <w:hideMark/>
          </w:tcPr>
          <w:p w14:paraId="4EFB9934"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253140DA"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r>
      <w:tr w:rsidR="00003EDD" w:rsidRPr="00765434" w14:paraId="6BF0FF56" w14:textId="77777777" w:rsidTr="00F75DC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06C03B51" w14:textId="77777777" w:rsidR="00AD25A7" w:rsidRPr="00C118C9" w:rsidRDefault="00AD25A7">
            <w:pPr>
              <w:spacing w:before="0" w:after="0" w:line="240" w:lineRule="auto"/>
              <w:rPr>
                <w:rFonts w:eastAsia="Times New Roman"/>
                <w:color w:val="008675"/>
                <w:sz w:val="18"/>
                <w:szCs w:val="18"/>
              </w:rPr>
            </w:pPr>
          </w:p>
        </w:tc>
        <w:tc>
          <w:tcPr>
            <w:tcW w:w="0" w:type="dxa"/>
            <w:shd w:val="clear" w:color="auto" w:fill="D2EEED"/>
            <w:noWrap/>
            <w:hideMark/>
          </w:tcPr>
          <w:p w14:paraId="17B03785"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5E4E996B"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08608F3E"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7B63EA2D"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31BCA71"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1C3221E7"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A4B4E05"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5FCEB03"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12D099B9"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67A61A8F"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6A55BD4F"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764C65F9"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r>
      <w:tr w:rsidR="00AD25A7" w:rsidRPr="00765434" w14:paraId="2013371C" w14:textId="77777777" w:rsidTr="00C118C9">
        <w:trPr>
          <w:trHeight w:val="29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7806614" w14:textId="77777777" w:rsidR="00AD25A7" w:rsidRPr="00C118C9" w:rsidRDefault="00AD25A7">
            <w:pPr>
              <w:spacing w:before="0" w:after="0" w:line="240" w:lineRule="auto"/>
              <w:rPr>
                <w:rFonts w:eastAsia="Times New Roman"/>
                <w:color w:val="008675"/>
                <w:sz w:val="18"/>
                <w:szCs w:val="18"/>
              </w:rPr>
            </w:pPr>
          </w:p>
        </w:tc>
        <w:tc>
          <w:tcPr>
            <w:tcW w:w="0" w:type="dxa"/>
            <w:noWrap/>
          </w:tcPr>
          <w:p w14:paraId="33D8CD08" w14:textId="47AFBA11"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1F3E757D" w14:textId="08C34EB9"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3A2DFE1F" w14:textId="5C4972BB"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117AD091" w14:textId="71E0E8A2"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2FA01455" w14:textId="5BF21A1E"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2B38C990" w14:textId="4E84E92C"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3C995422" w14:textId="73E90C2C"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613D6661" w14:textId="098CA6D6"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0B8D82C4" w14:textId="28F9931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4EDE3F6A" w14:textId="0F8CD5FA"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hideMark/>
          </w:tcPr>
          <w:p w14:paraId="3F33B7C6"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hideMark/>
          </w:tcPr>
          <w:p w14:paraId="3E1E00D8"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5E1F2A">
              <w:rPr>
                <w:rFonts w:eastAsia="Times New Roman"/>
                <w:b/>
                <w:bCs/>
                <w:color w:val="000000"/>
                <w:sz w:val="18"/>
                <w:szCs w:val="18"/>
              </w:rPr>
              <w:t>Proportion*</w:t>
            </w:r>
          </w:p>
        </w:tc>
      </w:tr>
      <w:tr w:rsidR="00003EDD" w:rsidRPr="00765434" w14:paraId="66C45AA8" w14:textId="77777777" w:rsidTr="00F75DC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1C360271" w14:textId="77777777" w:rsidR="00AD25A7" w:rsidRPr="00C118C9" w:rsidRDefault="00AD25A7">
            <w:pPr>
              <w:spacing w:before="0" w:after="0" w:line="240" w:lineRule="auto"/>
              <w:rPr>
                <w:rFonts w:eastAsia="Times New Roman"/>
                <w:color w:val="008675"/>
                <w:sz w:val="18"/>
                <w:szCs w:val="18"/>
              </w:rPr>
            </w:pPr>
            <w:r w:rsidRPr="00C118C9">
              <w:rPr>
                <w:rFonts w:eastAsia="Times New Roman"/>
                <w:color w:val="008675"/>
                <w:sz w:val="18"/>
                <w:szCs w:val="18"/>
              </w:rPr>
              <w:t xml:space="preserve">Entities applying for restricted attributes </w:t>
            </w:r>
          </w:p>
        </w:tc>
        <w:tc>
          <w:tcPr>
            <w:tcW w:w="0" w:type="dxa"/>
            <w:shd w:val="clear" w:color="auto" w:fill="D2EEED"/>
            <w:noWrap/>
            <w:hideMark/>
          </w:tcPr>
          <w:p w14:paraId="5F0877A6"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20</w:t>
            </w:r>
          </w:p>
        </w:tc>
        <w:tc>
          <w:tcPr>
            <w:tcW w:w="0" w:type="dxa"/>
            <w:shd w:val="clear" w:color="auto" w:fill="D2EEED"/>
            <w:noWrap/>
            <w:hideMark/>
          </w:tcPr>
          <w:p w14:paraId="62E309E6"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19</w:t>
            </w:r>
          </w:p>
        </w:tc>
        <w:tc>
          <w:tcPr>
            <w:tcW w:w="0" w:type="dxa"/>
            <w:shd w:val="clear" w:color="auto" w:fill="D2EEED"/>
            <w:noWrap/>
            <w:hideMark/>
          </w:tcPr>
          <w:p w14:paraId="3AFF9A4A"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7ACEEBA3"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6F32B57D"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07695E32"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704F5949"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2F213D68"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293D8A3C"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38ECF644"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18</w:t>
            </w:r>
          </w:p>
        </w:tc>
        <w:tc>
          <w:tcPr>
            <w:tcW w:w="0" w:type="dxa"/>
            <w:shd w:val="clear" w:color="auto" w:fill="D2EEED"/>
            <w:noWrap/>
            <w:hideMark/>
          </w:tcPr>
          <w:p w14:paraId="75B059B4"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096E47C7"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90%</w:t>
            </w:r>
          </w:p>
        </w:tc>
      </w:tr>
      <w:tr w:rsidR="00AD25A7" w:rsidRPr="00765434" w14:paraId="03B46E6A" w14:textId="77777777" w:rsidTr="00C118C9">
        <w:trPr>
          <w:trHeight w:val="29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5D6D62C" w14:textId="77777777" w:rsidR="00AD25A7" w:rsidRPr="00C118C9" w:rsidRDefault="00AD25A7">
            <w:pPr>
              <w:spacing w:before="0" w:after="0" w:line="240" w:lineRule="auto"/>
              <w:rPr>
                <w:rFonts w:eastAsia="Times New Roman"/>
                <w:color w:val="008675"/>
                <w:sz w:val="18"/>
                <w:szCs w:val="18"/>
              </w:rPr>
            </w:pPr>
            <w:r w:rsidRPr="00C118C9">
              <w:rPr>
                <w:rFonts w:eastAsia="Times New Roman"/>
                <w:color w:val="008675"/>
                <w:sz w:val="18"/>
                <w:szCs w:val="18"/>
              </w:rPr>
              <w:t xml:space="preserve">Proportion of entities approved for restricted attributes </w:t>
            </w:r>
          </w:p>
        </w:tc>
        <w:tc>
          <w:tcPr>
            <w:tcW w:w="0" w:type="dxa"/>
            <w:noWrap/>
            <w:hideMark/>
          </w:tcPr>
          <w:p w14:paraId="6DE3021D"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12</w:t>
            </w:r>
          </w:p>
        </w:tc>
        <w:tc>
          <w:tcPr>
            <w:tcW w:w="0" w:type="dxa"/>
            <w:noWrap/>
            <w:hideMark/>
          </w:tcPr>
          <w:p w14:paraId="38D51237"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61288F3C"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6C0BE708"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1FAB0FE0"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008CC27F"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330E2581"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40C19583"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5D91AB27"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385FD02F"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noWrap/>
            <w:hideMark/>
          </w:tcPr>
          <w:p w14:paraId="4EC26CD2"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13D594A6" w14:textId="77777777" w:rsidR="00AD25A7" w:rsidRPr="005E1F2A" w:rsidRDefault="00AD25A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60%</w:t>
            </w:r>
          </w:p>
        </w:tc>
      </w:tr>
      <w:tr w:rsidR="00003EDD" w:rsidRPr="00765434" w14:paraId="5CFBC7AC" w14:textId="77777777" w:rsidTr="00F75DC6">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3BFC7E46" w14:textId="77777777" w:rsidR="00AD25A7" w:rsidRPr="00C118C9" w:rsidRDefault="00AD25A7">
            <w:pPr>
              <w:spacing w:before="0" w:after="0" w:line="240" w:lineRule="auto"/>
              <w:rPr>
                <w:rFonts w:eastAsia="Times New Roman"/>
                <w:color w:val="008675"/>
                <w:sz w:val="18"/>
                <w:szCs w:val="18"/>
              </w:rPr>
            </w:pPr>
            <w:r w:rsidRPr="00C118C9">
              <w:rPr>
                <w:rFonts w:eastAsia="Times New Roman"/>
                <w:color w:val="008675"/>
                <w:sz w:val="18"/>
                <w:szCs w:val="18"/>
              </w:rPr>
              <w:t xml:space="preserve">Proportion of </w:t>
            </w:r>
            <w:r w:rsidRPr="00C118C9">
              <w:rPr>
                <w:rFonts w:eastAsia="Times New Roman"/>
                <w:color w:val="008675"/>
                <w:sz w:val="18"/>
                <w:szCs w:val="18"/>
              </w:rPr>
              <w:lastRenderedPageBreak/>
              <w:t>entities approved for IP3</w:t>
            </w:r>
          </w:p>
        </w:tc>
        <w:tc>
          <w:tcPr>
            <w:tcW w:w="0" w:type="dxa"/>
            <w:shd w:val="clear" w:color="auto" w:fill="D2EEED"/>
            <w:noWrap/>
            <w:hideMark/>
          </w:tcPr>
          <w:p w14:paraId="60850BE2"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lastRenderedPageBreak/>
              <w:t>12</w:t>
            </w:r>
          </w:p>
        </w:tc>
        <w:tc>
          <w:tcPr>
            <w:tcW w:w="0" w:type="dxa"/>
            <w:shd w:val="clear" w:color="auto" w:fill="D2EEED"/>
            <w:noWrap/>
            <w:hideMark/>
          </w:tcPr>
          <w:p w14:paraId="6B25CFBD"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249F826B"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165B06FC"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3D27A94B"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3596817B"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69F2205A"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08D00047"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2EA766A1"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67190939"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11</w:t>
            </w:r>
          </w:p>
        </w:tc>
        <w:tc>
          <w:tcPr>
            <w:tcW w:w="0" w:type="dxa"/>
            <w:shd w:val="clear" w:color="auto" w:fill="D2EEED"/>
            <w:noWrap/>
            <w:hideMark/>
          </w:tcPr>
          <w:p w14:paraId="4683CEA3" w14:textId="77777777" w:rsidR="00AD25A7" w:rsidRPr="005E1F2A" w:rsidRDefault="00AD25A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99B1184" w14:textId="77777777" w:rsidR="00AD25A7" w:rsidRPr="005E1F2A" w:rsidRDefault="00AD25A7" w:rsidP="00845144">
            <w:pPr>
              <w:keepNext/>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5E1F2A">
              <w:rPr>
                <w:rFonts w:eastAsia="Times New Roman"/>
                <w:color w:val="000000"/>
                <w:sz w:val="18"/>
                <w:szCs w:val="18"/>
              </w:rPr>
              <w:t>100%</w:t>
            </w:r>
          </w:p>
        </w:tc>
      </w:tr>
    </w:tbl>
    <w:p w14:paraId="54DFCCB4" w14:textId="360590BE" w:rsidR="00AD25A7" w:rsidRDefault="00AD25A7" w:rsidP="00A60647">
      <w:pPr>
        <w:pStyle w:val="Caption"/>
        <w:rPr>
          <w:sz w:val="20"/>
          <w:szCs w:val="20"/>
        </w:rPr>
      </w:pPr>
      <w:bookmarkStart w:id="726" w:name="_Toc130390625"/>
      <w:r>
        <w:t xml:space="preserve">Table </w:t>
      </w:r>
      <w:r>
        <w:fldChar w:fldCharType="begin"/>
      </w:r>
      <w:r>
        <w:instrText>SEQ Table \* ARABIC</w:instrText>
      </w:r>
      <w:r>
        <w:fldChar w:fldCharType="separate"/>
      </w:r>
      <w:r>
        <w:rPr>
          <w:noProof/>
        </w:rPr>
        <w:t>20</w:t>
      </w:r>
      <w:r>
        <w:fldChar w:fldCharType="end"/>
      </w:r>
      <w:r>
        <w:t xml:space="preserve">: </w:t>
      </w:r>
      <w:r w:rsidRPr="00323D17">
        <w:t xml:space="preserve">Option 3 expected year on year </w:t>
      </w:r>
      <w:r w:rsidR="007525B9">
        <w:t xml:space="preserve">Digital ID </w:t>
      </w:r>
      <w:r w:rsidRPr="00323D17">
        <w:t>System uptake of relying parties</w:t>
      </w:r>
      <w:bookmarkEnd w:id="726"/>
    </w:p>
    <w:p w14:paraId="2B8DAB1A" w14:textId="3A57C9A7" w:rsidR="00C00069" w:rsidRDefault="00657EE2" w:rsidP="00AD25A7">
      <w:pPr>
        <w:spacing w:before="0" w:after="120"/>
        <w:rPr>
          <w:color w:val="auto"/>
          <w:sz w:val="20"/>
          <w:szCs w:val="20"/>
        </w:rPr>
      </w:pPr>
      <w:r w:rsidRPr="00A60647">
        <w:rPr>
          <w:color w:val="auto"/>
          <w:sz w:val="20"/>
          <w:szCs w:val="20"/>
        </w:rPr>
        <w:t>* Proportion</w:t>
      </w:r>
      <w:r w:rsidR="00EA3703" w:rsidRPr="00A60647">
        <w:rPr>
          <w:color w:val="auto"/>
          <w:sz w:val="20"/>
          <w:szCs w:val="20"/>
        </w:rPr>
        <w:t xml:space="preserve"> (percentage)</w:t>
      </w:r>
      <w:r w:rsidRPr="00A60647">
        <w:rPr>
          <w:color w:val="auto"/>
          <w:sz w:val="20"/>
          <w:szCs w:val="20"/>
        </w:rPr>
        <w:t xml:space="preserve"> of new </w:t>
      </w:r>
      <w:r w:rsidR="000D4B72" w:rsidRPr="00A60647">
        <w:rPr>
          <w:color w:val="auto"/>
          <w:sz w:val="20"/>
          <w:szCs w:val="20"/>
        </w:rPr>
        <w:t>relying partie</w:t>
      </w:r>
      <w:r w:rsidRPr="00A60647">
        <w:rPr>
          <w:color w:val="auto"/>
          <w:sz w:val="20"/>
          <w:szCs w:val="20"/>
        </w:rPr>
        <w:t xml:space="preserve">s </w:t>
      </w:r>
      <w:r w:rsidR="00EA3703" w:rsidRPr="00A60647">
        <w:rPr>
          <w:color w:val="auto"/>
          <w:sz w:val="20"/>
          <w:szCs w:val="20"/>
        </w:rPr>
        <w:t xml:space="preserve">estimated to apply for and (separately) be approved for </w:t>
      </w:r>
      <w:r w:rsidR="00C466CF" w:rsidRPr="00A60647">
        <w:rPr>
          <w:color w:val="auto"/>
          <w:sz w:val="20"/>
          <w:szCs w:val="20"/>
        </w:rPr>
        <w:t>r</w:t>
      </w:r>
      <w:r w:rsidR="00EA3703" w:rsidRPr="00A60647">
        <w:rPr>
          <w:color w:val="auto"/>
          <w:sz w:val="20"/>
          <w:szCs w:val="20"/>
        </w:rPr>
        <w:t xml:space="preserve">estricted </w:t>
      </w:r>
      <w:r w:rsidR="00C466CF" w:rsidRPr="00A60647">
        <w:rPr>
          <w:color w:val="auto"/>
          <w:sz w:val="20"/>
          <w:szCs w:val="20"/>
        </w:rPr>
        <w:t>a</w:t>
      </w:r>
      <w:r w:rsidR="00EA3703" w:rsidRPr="00A60647">
        <w:rPr>
          <w:color w:val="auto"/>
          <w:sz w:val="20"/>
          <w:szCs w:val="20"/>
        </w:rPr>
        <w:t>ttributes</w:t>
      </w:r>
      <w:r w:rsidR="00AD075D" w:rsidRPr="00A60647">
        <w:rPr>
          <w:color w:val="auto"/>
          <w:sz w:val="20"/>
          <w:szCs w:val="20"/>
        </w:rPr>
        <w:t xml:space="preserve"> and IP3</w:t>
      </w:r>
      <w:r w:rsidR="000636CC" w:rsidRPr="00A60647">
        <w:rPr>
          <w:color w:val="auto"/>
          <w:sz w:val="20"/>
          <w:szCs w:val="20"/>
        </w:rPr>
        <w:t xml:space="preserve">. These entities are expected to incur greater application and privacy and security obligations as a result.  </w:t>
      </w:r>
    </w:p>
    <w:p w14:paraId="22CD7510" w14:textId="77777777" w:rsidR="00AD25A7" w:rsidRPr="00845144" w:rsidRDefault="00AD25A7" w:rsidP="00A60647">
      <w:pPr>
        <w:pStyle w:val="BodyText"/>
      </w:pPr>
    </w:p>
    <w:tbl>
      <w:tblPr>
        <w:tblStyle w:val="GridTable2-Accent311"/>
        <w:tblW w:w="14387"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106"/>
        <w:gridCol w:w="1106"/>
        <w:gridCol w:w="1106"/>
        <w:gridCol w:w="1106"/>
        <w:gridCol w:w="1107"/>
        <w:gridCol w:w="1107"/>
        <w:gridCol w:w="1107"/>
        <w:gridCol w:w="1107"/>
        <w:gridCol w:w="1107"/>
        <w:gridCol w:w="1107"/>
        <w:gridCol w:w="1107"/>
        <w:gridCol w:w="1107"/>
        <w:gridCol w:w="1107"/>
      </w:tblGrid>
      <w:tr w:rsidR="00184701" w:rsidRPr="00765434" w14:paraId="3848EAA2" w14:textId="77777777" w:rsidTr="00C118C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8675"/>
            </w:tcBorders>
            <w:noWrap/>
            <w:hideMark/>
          </w:tcPr>
          <w:p w14:paraId="5425E773" w14:textId="5CA81826" w:rsidR="00657EE2" w:rsidRPr="00A60647" w:rsidRDefault="00657EE2" w:rsidP="00A60647">
            <w:pPr>
              <w:spacing w:before="0" w:after="0" w:line="240" w:lineRule="auto"/>
              <w:rPr>
                <w:rFonts w:eastAsia="Times New Roman"/>
                <w:color w:val="000000"/>
                <w:sz w:val="18"/>
                <w:szCs w:val="18"/>
              </w:rPr>
            </w:pPr>
          </w:p>
        </w:tc>
        <w:tc>
          <w:tcPr>
            <w:tcW w:w="0" w:type="dxa"/>
            <w:tcBorders>
              <w:bottom w:val="single" w:sz="4" w:space="0" w:color="008675"/>
            </w:tcBorders>
            <w:noWrap/>
          </w:tcPr>
          <w:p w14:paraId="4D2D064F" w14:textId="0016CC2F"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5357F53E" w14:textId="0FE5DB32"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70681E9E" w14:textId="7CBD940E"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656B7E18" w14:textId="0261CB36"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67D151BB" w14:textId="13ECE6E0"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64396C2A" w14:textId="78B00641"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09F7836B" w14:textId="1D98598C"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77795285" w14:textId="4A32E56D"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045FB06E" w14:textId="1E08946D"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tcPr>
          <w:p w14:paraId="66002607" w14:textId="140BA6BE"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hideMark/>
          </w:tcPr>
          <w:p w14:paraId="2EBFD1FB" w14:textId="77777777"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tcBorders>
              <w:bottom w:val="single" w:sz="4" w:space="0" w:color="008675"/>
            </w:tcBorders>
            <w:noWrap/>
            <w:hideMark/>
          </w:tcPr>
          <w:p w14:paraId="0FE75231" w14:textId="77777777" w:rsidR="00657EE2" w:rsidRPr="00A60647" w:rsidRDefault="00657EE2" w:rsidP="00A606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r>
      <w:tr w:rsidR="00003EDD" w:rsidRPr="00765434" w14:paraId="51B69531" w14:textId="77777777" w:rsidTr="00F75DC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8675"/>
            </w:tcBorders>
            <w:shd w:val="clear" w:color="auto" w:fill="D2EEED"/>
            <w:noWrap/>
            <w:hideMark/>
          </w:tcPr>
          <w:p w14:paraId="605E119B" w14:textId="0A1959A8" w:rsidR="00657EE2" w:rsidRPr="00C118C9" w:rsidRDefault="00657EE2" w:rsidP="00A60647">
            <w:pPr>
              <w:spacing w:before="0" w:after="0" w:line="240" w:lineRule="auto"/>
              <w:rPr>
                <w:rFonts w:eastAsia="Times New Roman"/>
                <w:color w:val="008675"/>
                <w:sz w:val="18"/>
                <w:szCs w:val="18"/>
              </w:rPr>
            </w:pPr>
            <w:r w:rsidRPr="00C118C9">
              <w:rPr>
                <w:rFonts w:eastAsia="Times New Roman"/>
                <w:color w:val="008675"/>
                <w:sz w:val="18"/>
                <w:szCs w:val="18"/>
              </w:rPr>
              <w:t xml:space="preserve">New </w:t>
            </w:r>
            <w:r w:rsidR="00A97D1E" w:rsidRPr="00C118C9">
              <w:rPr>
                <w:rFonts w:eastAsia="Times New Roman"/>
                <w:color w:val="008675"/>
                <w:sz w:val="18"/>
                <w:szCs w:val="18"/>
              </w:rPr>
              <w:t>accredited entitie</w:t>
            </w:r>
            <w:r w:rsidRPr="00C118C9">
              <w:rPr>
                <w:rFonts w:eastAsia="Times New Roman"/>
                <w:color w:val="008675"/>
                <w:sz w:val="18"/>
                <w:szCs w:val="18"/>
              </w:rPr>
              <w:t>s</w:t>
            </w:r>
          </w:p>
        </w:tc>
        <w:tc>
          <w:tcPr>
            <w:tcW w:w="0" w:type="dxa"/>
            <w:tcBorders>
              <w:top w:val="single" w:sz="4" w:space="0" w:color="008675"/>
            </w:tcBorders>
            <w:shd w:val="clear" w:color="auto" w:fill="D2EEED"/>
            <w:noWrap/>
            <w:hideMark/>
          </w:tcPr>
          <w:p w14:paraId="13D64F76"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6</w:t>
            </w:r>
          </w:p>
        </w:tc>
        <w:tc>
          <w:tcPr>
            <w:tcW w:w="0" w:type="dxa"/>
            <w:tcBorders>
              <w:top w:val="single" w:sz="4" w:space="0" w:color="008675"/>
            </w:tcBorders>
            <w:shd w:val="clear" w:color="auto" w:fill="D2EEED"/>
            <w:noWrap/>
            <w:hideMark/>
          </w:tcPr>
          <w:p w14:paraId="1FB327C7"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6</w:t>
            </w:r>
          </w:p>
        </w:tc>
        <w:tc>
          <w:tcPr>
            <w:tcW w:w="0" w:type="dxa"/>
            <w:tcBorders>
              <w:top w:val="single" w:sz="4" w:space="0" w:color="008675"/>
            </w:tcBorders>
            <w:shd w:val="clear" w:color="auto" w:fill="D2EEED"/>
            <w:noWrap/>
            <w:hideMark/>
          </w:tcPr>
          <w:p w14:paraId="3709C2D4"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w:t>
            </w:r>
          </w:p>
        </w:tc>
        <w:tc>
          <w:tcPr>
            <w:tcW w:w="0" w:type="dxa"/>
            <w:tcBorders>
              <w:top w:val="single" w:sz="4" w:space="0" w:color="008675"/>
            </w:tcBorders>
            <w:shd w:val="clear" w:color="auto" w:fill="D2EEED"/>
            <w:noWrap/>
            <w:hideMark/>
          </w:tcPr>
          <w:p w14:paraId="0C840813"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tcBorders>
              <w:top w:val="single" w:sz="4" w:space="0" w:color="008675"/>
            </w:tcBorders>
            <w:shd w:val="clear" w:color="auto" w:fill="D2EEED"/>
            <w:noWrap/>
            <w:hideMark/>
          </w:tcPr>
          <w:p w14:paraId="40367833"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tcBorders>
              <w:top w:val="single" w:sz="4" w:space="0" w:color="008675"/>
            </w:tcBorders>
            <w:shd w:val="clear" w:color="auto" w:fill="D2EEED"/>
            <w:noWrap/>
            <w:hideMark/>
          </w:tcPr>
          <w:p w14:paraId="04AE1852"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tcBorders>
              <w:top w:val="single" w:sz="4" w:space="0" w:color="008675"/>
            </w:tcBorders>
            <w:shd w:val="clear" w:color="auto" w:fill="D2EEED"/>
            <w:noWrap/>
            <w:hideMark/>
          </w:tcPr>
          <w:p w14:paraId="25E7A276"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tcBorders>
              <w:top w:val="single" w:sz="4" w:space="0" w:color="008675"/>
            </w:tcBorders>
            <w:shd w:val="clear" w:color="auto" w:fill="D2EEED"/>
            <w:noWrap/>
            <w:hideMark/>
          </w:tcPr>
          <w:p w14:paraId="425043D6"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tcBorders>
              <w:top w:val="single" w:sz="4" w:space="0" w:color="008675"/>
            </w:tcBorders>
            <w:shd w:val="clear" w:color="auto" w:fill="D2EEED"/>
            <w:noWrap/>
            <w:hideMark/>
          </w:tcPr>
          <w:p w14:paraId="1C4740B6"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tcBorders>
              <w:top w:val="single" w:sz="4" w:space="0" w:color="008675"/>
            </w:tcBorders>
            <w:shd w:val="clear" w:color="auto" w:fill="D2EEED"/>
            <w:noWrap/>
            <w:hideMark/>
          </w:tcPr>
          <w:p w14:paraId="748A4308"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tcBorders>
              <w:top w:val="single" w:sz="4" w:space="0" w:color="008675"/>
            </w:tcBorders>
            <w:shd w:val="clear" w:color="auto" w:fill="D2EEED"/>
            <w:noWrap/>
            <w:hideMark/>
          </w:tcPr>
          <w:p w14:paraId="773A7D98"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tcBorders>
              <w:top w:val="single" w:sz="4" w:space="0" w:color="008675"/>
            </w:tcBorders>
            <w:shd w:val="clear" w:color="auto" w:fill="D2EEED"/>
            <w:noWrap/>
            <w:hideMark/>
          </w:tcPr>
          <w:p w14:paraId="19F11B72"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r>
      <w:tr w:rsidR="009E4BFC" w:rsidRPr="00765434" w14:paraId="3C3C5B32" w14:textId="77777777" w:rsidTr="00C118C9">
        <w:trPr>
          <w:trHeight w:val="236"/>
        </w:trPr>
        <w:tc>
          <w:tcPr>
            <w:cnfStyle w:val="001000000000" w:firstRow="0" w:lastRow="0" w:firstColumn="1" w:lastColumn="0" w:oddVBand="0" w:evenVBand="0" w:oddHBand="0" w:evenHBand="0" w:firstRowFirstColumn="0" w:firstRowLastColumn="0" w:lastRowFirstColumn="0" w:lastRowLastColumn="0"/>
            <w:tcW w:w="0" w:type="dxa"/>
            <w:noWrap/>
            <w:hideMark/>
          </w:tcPr>
          <w:p w14:paraId="64865C27" w14:textId="46559D43" w:rsidR="00657EE2" w:rsidRPr="00C118C9" w:rsidRDefault="00657EE2" w:rsidP="00A60647">
            <w:pPr>
              <w:spacing w:before="0" w:after="0" w:line="240" w:lineRule="auto"/>
              <w:rPr>
                <w:rFonts w:eastAsia="Times New Roman"/>
                <w:color w:val="008675"/>
                <w:sz w:val="18"/>
                <w:szCs w:val="18"/>
              </w:rPr>
            </w:pPr>
            <w:r w:rsidRPr="00C118C9">
              <w:rPr>
                <w:rFonts w:eastAsia="Times New Roman"/>
                <w:color w:val="008675"/>
                <w:sz w:val="18"/>
                <w:szCs w:val="18"/>
              </w:rPr>
              <w:t xml:space="preserve">Ongoing </w:t>
            </w:r>
            <w:r w:rsidR="007B6FE4" w:rsidRPr="00C118C9">
              <w:rPr>
                <w:rFonts w:eastAsia="Times New Roman"/>
                <w:color w:val="008675"/>
                <w:sz w:val="18"/>
                <w:szCs w:val="18"/>
              </w:rPr>
              <w:t>accredited entitie</w:t>
            </w:r>
            <w:r w:rsidRPr="00C118C9">
              <w:rPr>
                <w:rFonts w:eastAsia="Times New Roman"/>
                <w:color w:val="008675"/>
                <w:sz w:val="18"/>
                <w:szCs w:val="18"/>
              </w:rPr>
              <w:t>s</w:t>
            </w:r>
          </w:p>
        </w:tc>
        <w:tc>
          <w:tcPr>
            <w:tcW w:w="0" w:type="dxa"/>
            <w:noWrap/>
            <w:hideMark/>
          </w:tcPr>
          <w:p w14:paraId="118A3ED4"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8</w:t>
            </w:r>
          </w:p>
        </w:tc>
        <w:tc>
          <w:tcPr>
            <w:tcW w:w="0" w:type="dxa"/>
            <w:noWrap/>
            <w:hideMark/>
          </w:tcPr>
          <w:p w14:paraId="7F990BC0"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14</w:t>
            </w:r>
          </w:p>
        </w:tc>
        <w:tc>
          <w:tcPr>
            <w:tcW w:w="0" w:type="dxa"/>
            <w:noWrap/>
            <w:hideMark/>
          </w:tcPr>
          <w:p w14:paraId="2D64C28E"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16</w:t>
            </w:r>
          </w:p>
        </w:tc>
        <w:tc>
          <w:tcPr>
            <w:tcW w:w="0" w:type="dxa"/>
            <w:noWrap/>
            <w:hideMark/>
          </w:tcPr>
          <w:p w14:paraId="0D889A87"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19</w:t>
            </w:r>
          </w:p>
        </w:tc>
        <w:tc>
          <w:tcPr>
            <w:tcW w:w="0" w:type="dxa"/>
            <w:noWrap/>
            <w:hideMark/>
          </w:tcPr>
          <w:p w14:paraId="4C9CF7D2"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24</w:t>
            </w:r>
          </w:p>
        </w:tc>
        <w:tc>
          <w:tcPr>
            <w:tcW w:w="0" w:type="dxa"/>
            <w:noWrap/>
            <w:hideMark/>
          </w:tcPr>
          <w:p w14:paraId="3CDC17C5"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29</w:t>
            </w:r>
          </w:p>
        </w:tc>
        <w:tc>
          <w:tcPr>
            <w:tcW w:w="0" w:type="dxa"/>
            <w:noWrap/>
            <w:hideMark/>
          </w:tcPr>
          <w:p w14:paraId="6288AA4B"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34</w:t>
            </w:r>
          </w:p>
        </w:tc>
        <w:tc>
          <w:tcPr>
            <w:tcW w:w="0" w:type="dxa"/>
            <w:noWrap/>
            <w:hideMark/>
          </w:tcPr>
          <w:p w14:paraId="2FF9F542"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39</w:t>
            </w:r>
          </w:p>
        </w:tc>
        <w:tc>
          <w:tcPr>
            <w:tcW w:w="0" w:type="dxa"/>
            <w:noWrap/>
            <w:hideMark/>
          </w:tcPr>
          <w:p w14:paraId="2342C20A"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44</w:t>
            </w:r>
          </w:p>
        </w:tc>
        <w:tc>
          <w:tcPr>
            <w:tcW w:w="0" w:type="dxa"/>
            <w:noWrap/>
            <w:hideMark/>
          </w:tcPr>
          <w:p w14:paraId="531AC409"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49</w:t>
            </w:r>
          </w:p>
        </w:tc>
        <w:tc>
          <w:tcPr>
            <w:tcW w:w="0" w:type="dxa"/>
            <w:noWrap/>
            <w:hideMark/>
          </w:tcPr>
          <w:p w14:paraId="44DF7545"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4BA2B667"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r>
      <w:tr w:rsidR="00003EDD" w:rsidRPr="00765434" w14:paraId="35EB36BF" w14:textId="77777777" w:rsidTr="00C118C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72835578" w14:textId="77777777" w:rsidR="00657EE2" w:rsidRPr="00C118C9" w:rsidRDefault="00657EE2" w:rsidP="00A60647">
            <w:pPr>
              <w:spacing w:before="0" w:after="0" w:line="240" w:lineRule="auto"/>
              <w:rPr>
                <w:rFonts w:eastAsia="Times New Roman"/>
                <w:color w:val="008675"/>
                <w:sz w:val="18"/>
                <w:szCs w:val="18"/>
              </w:rPr>
            </w:pPr>
          </w:p>
        </w:tc>
        <w:tc>
          <w:tcPr>
            <w:tcW w:w="0" w:type="dxa"/>
            <w:shd w:val="clear" w:color="auto" w:fill="D2EEED"/>
            <w:noWrap/>
            <w:hideMark/>
          </w:tcPr>
          <w:p w14:paraId="3372C14C"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546E5F3E"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2948B72D"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65A7F12B"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76DBE4D2"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6CE64333"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58ACDF8E"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7B09374E"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2B9B9AAE"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0B89DC0E"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2CBCC91"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1F73BB75"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r>
      <w:tr w:rsidR="009E4BFC" w:rsidRPr="00765434" w14:paraId="4CED1338" w14:textId="77777777" w:rsidTr="00C118C9">
        <w:trPr>
          <w:trHeight w:val="236"/>
        </w:trPr>
        <w:tc>
          <w:tcPr>
            <w:cnfStyle w:val="001000000000" w:firstRow="0" w:lastRow="0" w:firstColumn="1" w:lastColumn="0" w:oddVBand="0" w:evenVBand="0" w:oddHBand="0" w:evenHBand="0" w:firstRowFirstColumn="0" w:firstRowLastColumn="0" w:lastRowFirstColumn="0" w:lastRowLastColumn="0"/>
            <w:tcW w:w="0" w:type="dxa"/>
            <w:noWrap/>
            <w:hideMark/>
          </w:tcPr>
          <w:p w14:paraId="1B9FFC8E" w14:textId="77777777" w:rsidR="00657EE2" w:rsidRPr="00C118C9" w:rsidRDefault="00657EE2" w:rsidP="00A60647">
            <w:pPr>
              <w:spacing w:before="0" w:after="0" w:line="240" w:lineRule="auto"/>
              <w:rPr>
                <w:rFonts w:eastAsia="Times New Roman"/>
                <w:color w:val="008675"/>
                <w:sz w:val="18"/>
                <w:szCs w:val="18"/>
              </w:rPr>
            </w:pPr>
          </w:p>
        </w:tc>
        <w:tc>
          <w:tcPr>
            <w:tcW w:w="0" w:type="dxa"/>
            <w:noWrap/>
          </w:tcPr>
          <w:p w14:paraId="63A88BC8" w14:textId="5D52D045"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54075A56" w14:textId="29B34460"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3921778D" w14:textId="3B904BA8"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53F41BB0" w14:textId="79292C2A"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56D70302" w14:textId="4609986B"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119B35ED" w14:textId="4A8406E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0A70828B" w14:textId="1FB6FFE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194CBFE0" w14:textId="10336BB0"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3069C2C0" w14:textId="78A294CD"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tcPr>
          <w:p w14:paraId="64611970" w14:textId="05A3D156"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p>
        </w:tc>
        <w:tc>
          <w:tcPr>
            <w:tcW w:w="0" w:type="dxa"/>
            <w:noWrap/>
            <w:hideMark/>
          </w:tcPr>
          <w:p w14:paraId="7C19C7C8"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04124BA8" w14:textId="6003532F"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Proportion</w:t>
            </w:r>
            <w:r w:rsidR="0045737D" w:rsidRPr="00A60647">
              <w:rPr>
                <w:rFonts w:eastAsia="Times New Roman"/>
                <w:color w:val="000000"/>
                <w:sz w:val="18"/>
                <w:szCs w:val="18"/>
              </w:rPr>
              <w:t>*</w:t>
            </w:r>
          </w:p>
        </w:tc>
      </w:tr>
      <w:tr w:rsidR="00003EDD" w:rsidRPr="00765434" w14:paraId="5D5D30C0" w14:textId="77777777" w:rsidTr="00C118C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3E07251C" w14:textId="57D2AF27" w:rsidR="00657EE2" w:rsidRPr="00C118C9" w:rsidRDefault="00657EE2" w:rsidP="00A60647">
            <w:pPr>
              <w:spacing w:before="0" w:after="0" w:line="240" w:lineRule="auto"/>
              <w:rPr>
                <w:rFonts w:eastAsia="Times New Roman"/>
                <w:color w:val="008675"/>
                <w:sz w:val="18"/>
                <w:szCs w:val="18"/>
              </w:rPr>
            </w:pPr>
            <w:r w:rsidRPr="00C118C9">
              <w:rPr>
                <w:rFonts w:eastAsia="Times New Roman"/>
                <w:color w:val="008675"/>
                <w:sz w:val="18"/>
                <w:szCs w:val="18"/>
              </w:rPr>
              <w:t xml:space="preserve">Entities applying for </w:t>
            </w:r>
            <w:r w:rsidR="00AD1C80" w:rsidRPr="00C118C9">
              <w:rPr>
                <w:rFonts w:eastAsia="Times New Roman"/>
                <w:color w:val="008675"/>
                <w:sz w:val="18"/>
                <w:szCs w:val="18"/>
              </w:rPr>
              <w:t>r</w:t>
            </w:r>
            <w:r w:rsidRPr="00C118C9">
              <w:rPr>
                <w:rFonts w:eastAsia="Times New Roman"/>
                <w:color w:val="008675"/>
                <w:sz w:val="18"/>
                <w:szCs w:val="18"/>
              </w:rPr>
              <w:t xml:space="preserve">estricted </w:t>
            </w:r>
            <w:r w:rsidR="00AD1C80" w:rsidRPr="00C118C9">
              <w:rPr>
                <w:rFonts w:eastAsia="Times New Roman"/>
                <w:color w:val="008675"/>
                <w:sz w:val="18"/>
                <w:szCs w:val="18"/>
              </w:rPr>
              <w:t>a</w:t>
            </w:r>
            <w:r w:rsidRPr="00C118C9">
              <w:rPr>
                <w:rFonts w:eastAsia="Times New Roman"/>
                <w:color w:val="008675"/>
                <w:sz w:val="18"/>
                <w:szCs w:val="18"/>
              </w:rPr>
              <w:t xml:space="preserve">ttributes </w:t>
            </w:r>
          </w:p>
        </w:tc>
        <w:tc>
          <w:tcPr>
            <w:tcW w:w="0" w:type="dxa"/>
            <w:shd w:val="clear" w:color="auto" w:fill="D2EEED"/>
            <w:noWrap/>
            <w:hideMark/>
          </w:tcPr>
          <w:p w14:paraId="33276DE0"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0AAF07E4"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77CE5D50"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w:t>
            </w:r>
          </w:p>
        </w:tc>
        <w:tc>
          <w:tcPr>
            <w:tcW w:w="0" w:type="dxa"/>
            <w:shd w:val="clear" w:color="auto" w:fill="D2EEED"/>
            <w:noWrap/>
            <w:hideMark/>
          </w:tcPr>
          <w:p w14:paraId="42DEBBB3"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75D3A2C2"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5317D96C"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54FCE245"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04814956"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6EE71AAB"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32F6F554"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472E5DE0"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58D4235B"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90%</w:t>
            </w:r>
          </w:p>
        </w:tc>
      </w:tr>
      <w:tr w:rsidR="009E4BFC" w:rsidRPr="00765434" w14:paraId="2ED1DD47" w14:textId="77777777" w:rsidTr="00C118C9">
        <w:trPr>
          <w:trHeight w:val="236"/>
        </w:trPr>
        <w:tc>
          <w:tcPr>
            <w:cnfStyle w:val="001000000000" w:firstRow="0" w:lastRow="0" w:firstColumn="1" w:lastColumn="0" w:oddVBand="0" w:evenVBand="0" w:oddHBand="0" w:evenHBand="0" w:firstRowFirstColumn="0" w:firstRowLastColumn="0" w:lastRowFirstColumn="0" w:lastRowLastColumn="0"/>
            <w:tcW w:w="0" w:type="dxa"/>
            <w:noWrap/>
            <w:hideMark/>
          </w:tcPr>
          <w:p w14:paraId="5B2415A8" w14:textId="4D323904" w:rsidR="00657EE2" w:rsidRPr="00C118C9" w:rsidRDefault="00657EE2" w:rsidP="00A60647">
            <w:pPr>
              <w:spacing w:before="0" w:after="0" w:line="240" w:lineRule="auto"/>
              <w:rPr>
                <w:rFonts w:eastAsia="Times New Roman"/>
                <w:color w:val="008675"/>
                <w:sz w:val="18"/>
                <w:szCs w:val="18"/>
              </w:rPr>
            </w:pPr>
            <w:r w:rsidRPr="00C118C9">
              <w:rPr>
                <w:rFonts w:eastAsia="Times New Roman"/>
                <w:color w:val="008675"/>
                <w:sz w:val="18"/>
                <w:szCs w:val="18"/>
              </w:rPr>
              <w:t xml:space="preserve">Proportion of entities approved for </w:t>
            </w:r>
            <w:r w:rsidR="00AD1C80" w:rsidRPr="00C118C9">
              <w:rPr>
                <w:rFonts w:eastAsia="Times New Roman"/>
                <w:color w:val="008675"/>
                <w:sz w:val="18"/>
                <w:szCs w:val="18"/>
              </w:rPr>
              <w:t>restricted attributes</w:t>
            </w:r>
          </w:p>
        </w:tc>
        <w:tc>
          <w:tcPr>
            <w:tcW w:w="0" w:type="dxa"/>
            <w:noWrap/>
            <w:hideMark/>
          </w:tcPr>
          <w:p w14:paraId="125FBB0E"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7D97C693"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42A9E1F9"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w:t>
            </w:r>
          </w:p>
        </w:tc>
        <w:tc>
          <w:tcPr>
            <w:tcW w:w="0" w:type="dxa"/>
            <w:noWrap/>
            <w:hideMark/>
          </w:tcPr>
          <w:p w14:paraId="0A4EEEF1"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w:t>
            </w:r>
          </w:p>
        </w:tc>
        <w:tc>
          <w:tcPr>
            <w:tcW w:w="0" w:type="dxa"/>
            <w:noWrap/>
            <w:hideMark/>
          </w:tcPr>
          <w:p w14:paraId="11315318"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2C4D7465"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327714C5"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1D648762"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34AA8ED2"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0E35EE6D"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460880CC"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4F41EA99" w14:textId="77777777" w:rsidR="00657EE2" w:rsidRPr="00A60647" w:rsidRDefault="00657EE2" w:rsidP="00A6064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60%</w:t>
            </w:r>
          </w:p>
        </w:tc>
      </w:tr>
      <w:tr w:rsidR="00003EDD" w:rsidRPr="00765434" w14:paraId="4DA4E276" w14:textId="77777777" w:rsidTr="00C118C9">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4422C3A3" w14:textId="77777777" w:rsidR="00657EE2" w:rsidRPr="00C118C9" w:rsidRDefault="00657EE2" w:rsidP="00A60647">
            <w:pPr>
              <w:spacing w:before="0" w:after="0" w:line="240" w:lineRule="auto"/>
              <w:rPr>
                <w:rFonts w:eastAsia="Times New Roman"/>
                <w:color w:val="008675"/>
                <w:sz w:val="18"/>
                <w:szCs w:val="18"/>
              </w:rPr>
            </w:pPr>
            <w:r w:rsidRPr="00C118C9">
              <w:rPr>
                <w:rFonts w:eastAsia="Times New Roman"/>
                <w:color w:val="008675"/>
                <w:sz w:val="18"/>
                <w:szCs w:val="18"/>
              </w:rPr>
              <w:t>Proportion of entities approved for IP3</w:t>
            </w:r>
          </w:p>
        </w:tc>
        <w:tc>
          <w:tcPr>
            <w:tcW w:w="0" w:type="dxa"/>
            <w:shd w:val="clear" w:color="auto" w:fill="D2EEED"/>
            <w:noWrap/>
            <w:hideMark/>
          </w:tcPr>
          <w:p w14:paraId="04B80BB3"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23A59072"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21A324A8"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w:t>
            </w:r>
          </w:p>
        </w:tc>
        <w:tc>
          <w:tcPr>
            <w:tcW w:w="0" w:type="dxa"/>
            <w:shd w:val="clear" w:color="auto" w:fill="D2EEED"/>
            <w:noWrap/>
            <w:hideMark/>
          </w:tcPr>
          <w:p w14:paraId="0AC20033"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w:t>
            </w:r>
          </w:p>
        </w:tc>
        <w:tc>
          <w:tcPr>
            <w:tcW w:w="0" w:type="dxa"/>
            <w:shd w:val="clear" w:color="auto" w:fill="D2EEED"/>
            <w:noWrap/>
            <w:hideMark/>
          </w:tcPr>
          <w:p w14:paraId="4F8E5CB9"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238807E4"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34A371C6"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7D507864"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13278EC4"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6F9CA12F"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66E079D0" w14:textId="77777777" w:rsidR="00657EE2" w:rsidRPr="00A60647" w:rsidRDefault="00657EE2" w:rsidP="00A6064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CAE1693" w14:textId="77777777" w:rsidR="00657EE2" w:rsidRPr="00A60647" w:rsidRDefault="00657EE2" w:rsidP="00A60647">
            <w:pPr>
              <w:keepNext/>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100%</w:t>
            </w:r>
          </w:p>
        </w:tc>
      </w:tr>
    </w:tbl>
    <w:p w14:paraId="46BD5368" w14:textId="66147C95" w:rsidR="00C00069" w:rsidRDefault="00C00069">
      <w:pPr>
        <w:pStyle w:val="Caption"/>
      </w:pPr>
      <w:bookmarkStart w:id="727" w:name="_Toc130390626"/>
      <w:r>
        <w:lastRenderedPageBreak/>
        <w:t xml:space="preserve">Table </w:t>
      </w:r>
      <w:r>
        <w:fldChar w:fldCharType="begin"/>
      </w:r>
      <w:r>
        <w:instrText>SEQ Table \* ARABIC</w:instrText>
      </w:r>
      <w:r>
        <w:fldChar w:fldCharType="separate"/>
      </w:r>
      <w:r>
        <w:rPr>
          <w:noProof/>
        </w:rPr>
        <w:t>21</w:t>
      </w:r>
      <w:r>
        <w:fldChar w:fldCharType="end"/>
      </w:r>
      <w:r>
        <w:t xml:space="preserve">: </w:t>
      </w:r>
      <w:r w:rsidRPr="009D0991">
        <w:t xml:space="preserve">Option 3 expected year on year </w:t>
      </w:r>
      <w:r w:rsidR="007525B9">
        <w:t xml:space="preserve">Digital ID </w:t>
      </w:r>
      <w:r w:rsidRPr="009D0991">
        <w:t>System uptake of accredited entities</w:t>
      </w:r>
      <w:bookmarkEnd w:id="727"/>
    </w:p>
    <w:p w14:paraId="50FFAB8C" w14:textId="4A9DB559" w:rsidR="00374410" w:rsidRDefault="0045737D" w:rsidP="009D3533">
      <w:pPr>
        <w:pStyle w:val="BodyText"/>
        <w:rPr>
          <w:sz w:val="20"/>
          <w:szCs w:val="20"/>
        </w:rPr>
      </w:pPr>
      <w:r w:rsidRPr="00A60647">
        <w:rPr>
          <w:sz w:val="20"/>
          <w:szCs w:val="20"/>
        </w:rPr>
        <w:t xml:space="preserve">* </w:t>
      </w:r>
      <w:r w:rsidR="000636CC" w:rsidRPr="00A60647">
        <w:rPr>
          <w:sz w:val="20"/>
          <w:szCs w:val="20"/>
        </w:rPr>
        <w:t xml:space="preserve">Proportion (percentage) of new </w:t>
      </w:r>
      <w:r w:rsidR="007B6FE4" w:rsidRPr="00A60647">
        <w:rPr>
          <w:sz w:val="20"/>
          <w:szCs w:val="20"/>
        </w:rPr>
        <w:t>accredited entitie</w:t>
      </w:r>
      <w:r w:rsidR="000636CC" w:rsidRPr="00A60647">
        <w:rPr>
          <w:sz w:val="20"/>
          <w:szCs w:val="20"/>
        </w:rPr>
        <w:t xml:space="preserve">s estimated to apply for and (separately) be approved for </w:t>
      </w:r>
      <w:r w:rsidR="004355E6" w:rsidRPr="00845144">
        <w:rPr>
          <w:sz w:val="20"/>
          <w:szCs w:val="20"/>
        </w:rPr>
        <w:t>r</w:t>
      </w:r>
      <w:r w:rsidR="000636CC" w:rsidRPr="00A60647">
        <w:rPr>
          <w:sz w:val="20"/>
          <w:szCs w:val="20"/>
        </w:rPr>
        <w:t xml:space="preserve">estricted </w:t>
      </w:r>
      <w:r w:rsidR="004355E6" w:rsidRPr="00845144">
        <w:rPr>
          <w:sz w:val="20"/>
          <w:szCs w:val="20"/>
        </w:rPr>
        <w:t>a</w:t>
      </w:r>
      <w:r w:rsidR="000636CC" w:rsidRPr="00A60647">
        <w:rPr>
          <w:sz w:val="20"/>
          <w:szCs w:val="20"/>
        </w:rPr>
        <w:t xml:space="preserve">ttributes and IP3. These entities are expected to incur greater application and privacy and security obligations as a result.  </w:t>
      </w:r>
    </w:p>
    <w:tbl>
      <w:tblPr>
        <w:tblStyle w:val="GridTable2-Accent3"/>
        <w:tblW w:w="14459" w:type="dxa"/>
        <w:tblBorders>
          <w:top w:val="none" w:sz="0" w:space="0" w:color="auto"/>
          <w:insideH w:val="single" w:sz="4" w:space="0" w:color="008675"/>
          <w:insideV w:val="single" w:sz="4" w:space="0" w:color="008675"/>
        </w:tblBorders>
        <w:tblLayout w:type="fixed"/>
        <w:tblLook w:val="04A0" w:firstRow="1" w:lastRow="0" w:firstColumn="1" w:lastColumn="0" w:noHBand="0" w:noVBand="1"/>
      </w:tblPr>
      <w:tblGrid>
        <w:gridCol w:w="1113"/>
        <w:gridCol w:w="1113"/>
        <w:gridCol w:w="1113"/>
        <w:gridCol w:w="1112"/>
        <w:gridCol w:w="1112"/>
        <w:gridCol w:w="1112"/>
        <w:gridCol w:w="1112"/>
        <w:gridCol w:w="1112"/>
        <w:gridCol w:w="1112"/>
        <w:gridCol w:w="1112"/>
        <w:gridCol w:w="1112"/>
        <w:gridCol w:w="1112"/>
        <w:gridCol w:w="1112"/>
      </w:tblGrid>
      <w:tr w:rsidR="00C00069" w:rsidRPr="00664725" w14:paraId="5AB7F9E1" w14:textId="77777777" w:rsidTr="00C118C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dxa"/>
            <w:noWrap/>
            <w:hideMark/>
          </w:tcPr>
          <w:p w14:paraId="2A948694" w14:textId="21C96F5B" w:rsidR="00664725" w:rsidRPr="00C118C9" w:rsidRDefault="00664725" w:rsidP="00664725">
            <w:pPr>
              <w:spacing w:before="0" w:after="0" w:line="240" w:lineRule="auto"/>
              <w:rPr>
                <w:rFonts w:eastAsia="Times New Roman"/>
                <w:color w:val="008675"/>
                <w:sz w:val="18"/>
                <w:szCs w:val="18"/>
              </w:rPr>
            </w:pPr>
            <w:r w:rsidRPr="00C118C9">
              <w:rPr>
                <w:rFonts w:eastAsia="Times New Roman"/>
                <w:color w:val="008675"/>
                <w:sz w:val="18"/>
                <w:szCs w:val="18"/>
              </w:rPr>
              <w:t xml:space="preserve">New </w:t>
            </w:r>
            <w:r w:rsidR="00C00069" w:rsidRPr="00C118C9">
              <w:rPr>
                <w:rFonts w:eastAsia="Times New Roman"/>
                <w:color w:val="008675"/>
                <w:sz w:val="18"/>
                <w:szCs w:val="18"/>
              </w:rPr>
              <w:t xml:space="preserve">onboarded </w:t>
            </w:r>
            <w:r w:rsidRPr="00C118C9">
              <w:rPr>
                <w:rFonts w:eastAsia="Times New Roman"/>
                <w:color w:val="008675"/>
                <w:sz w:val="18"/>
                <w:szCs w:val="18"/>
              </w:rPr>
              <w:t xml:space="preserve">accredited </w:t>
            </w:r>
            <w:r w:rsidR="00C00069" w:rsidRPr="00C118C9">
              <w:rPr>
                <w:rFonts w:eastAsia="Times New Roman"/>
                <w:color w:val="008675"/>
                <w:sz w:val="18"/>
                <w:szCs w:val="18"/>
              </w:rPr>
              <w:t>entities</w:t>
            </w:r>
          </w:p>
        </w:tc>
        <w:tc>
          <w:tcPr>
            <w:tcW w:w="0" w:type="dxa"/>
            <w:noWrap/>
            <w:hideMark/>
          </w:tcPr>
          <w:p w14:paraId="1EFBB622"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3986EC13"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081B77D0"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20D0110D"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w:t>
            </w:r>
          </w:p>
        </w:tc>
        <w:tc>
          <w:tcPr>
            <w:tcW w:w="0" w:type="dxa"/>
            <w:noWrap/>
            <w:hideMark/>
          </w:tcPr>
          <w:p w14:paraId="692AD2D2"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0</w:t>
            </w:r>
          </w:p>
        </w:tc>
        <w:tc>
          <w:tcPr>
            <w:tcW w:w="0" w:type="dxa"/>
            <w:noWrap/>
            <w:hideMark/>
          </w:tcPr>
          <w:p w14:paraId="2AE6BDD9"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0</w:t>
            </w:r>
          </w:p>
        </w:tc>
        <w:tc>
          <w:tcPr>
            <w:tcW w:w="0" w:type="dxa"/>
            <w:noWrap/>
            <w:hideMark/>
          </w:tcPr>
          <w:p w14:paraId="710DF576"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0</w:t>
            </w:r>
          </w:p>
        </w:tc>
        <w:tc>
          <w:tcPr>
            <w:tcW w:w="0" w:type="dxa"/>
            <w:noWrap/>
            <w:hideMark/>
          </w:tcPr>
          <w:p w14:paraId="3F8EA295"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0</w:t>
            </w:r>
          </w:p>
        </w:tc>
        <w:tc>
          <w:tcPr>
            <w:tcW w:w="0" w:type="dxa"/>
            <w:noWrap/>
            <w:hideMark/>
          </w:tcPr>
          <w:p w14:paraId="5E000B90"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0</w:t>
            </w:r>
          </w:p>
        </w:tc>
        <w:tc>
          <w:tcPr>
            <w:tcW w:w="0" w:type="dxa"/>
            <w:noWrap/>
            <w:hideMark/>
          </w:tcPr>
          <w:p w14:paraId="42C8808F"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0</w:t>
            </w:r>
          </w:p>
        </w:tc>
        <w:tc>
          <w:tcPr>
            <w:tcW w:w="0" w:type="dxa"/>
            <w:noWrap/>
            <w:hideMark/>
          </w:tcPr>
          <w:p w14:paraId="20F8C159" w14:textId="77777777" w:rsidR="00664725" w:rsidRPr="00A60647" w:rsidRDefault="00664725" w:rsidP="0066472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021E2D2E" w14:textId="77777777" w:rsidR="00664725" w:rsidRPr="00A60647" w:rsidRDefault="00664725" w:rsidP="00664725">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auto"/>
                <w:sz w:val="18"/>
                <w:szCs w:val="18"/>
              </w:rPr>
            </w:pPr>
          </w:p>
        </w:tc>
      </w:tr>
      <w:tr w:rsidR="00003EDD" w:rsidRPr="00664725" w14:paraId="24B31E90" w14:textId="77777777" w:rsidTr="00C118C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5EFA011C" w14:textId="4F026540" w:rsidR="00664725" w:rsidRPr="00C118C9" w:rsidRDefault="00664725" w:rsidP="00664725">
            <w:pPr>
              <w:spacing w:before="0" w:after="0" w:line="240" w:lineRule="auto"/>
              <w:rPr>
                <w:rFonts w:eastAsia="Times New Roman"/>
                <w:color w:val="008675"/>
                <w:sz w:val="18"/>
                <w:szCs w:val="18"/>
              </w:rPr>
            </w:pPr>
            <w:r w:rsidRPr="00C118C9">
              <w:rPr>
                <w:rFonts w:eastAsia="Times New Roman"/>
                <w:color w:val="008675"/>
                <w:sz w:val="18"/>
                <w:szCs w:val="18"/>
              </w:rPr>
              <w:t xml:space="preserve">Ongoing </w:t>
            </w:r>
            <w:r w:rsidR="00C00069" w:rsidRPr="00C118C9">
              <w:rPr>
                <w:rFonts w:eastAsia="Times New Roman"/>
                <w:color w:val="008675"/>
                <w:sz w:val="18"/>
                <w:szCs w:val="18"/>
              </w:rPr>
              <w:t>onboarded accredited entities</w:t>
            </w:r>
          </w:p>
        </w:tc>
        <w:tc>
          <w:tcPr>
            <w:tcW w:w="0" w:type="dxa"/>
            <w:shd w:val="clear" w:color="auto" w:fill="D2EEED"/>
            <w:noWrap/>
            <w:hideMark/>
          </w:tcPr>
          <w:p w14:paraId="38096DE2"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15</w:t>
            </w:r>
          </w:p>
        </w:tc>
        <w:tc>
          <w:tcPr>
            <w:tcW w:w="0" w:type="dxa"/>
            <w:shd w:val="clear" w:color="auto" w:fill="D2EEED"/>
            <w:noWrap/>
            <w:hideMark/>
          </w:tcPr>
          <w:p w14:paraId="5CC9415B"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18</w:t>
            </w:r>
          </w:p>
        </w:tc>
        <w:tc>
          <w:tcPr>
            <w:tcW w:w="0" w:type="dxa"/>
            <w:shd w:val="clear" w:color="auto" w:fill="D2EEED"/>
            <w:noWrap/>
            <w:hideMark/>
          </w:tcPr>
          <w:p w14:paraId="2FDD1A20"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21</w:t>
            </w:r>
          </w:p>
        </w:tc>
        <w:tc>
          <w:tcPr>
            <w:tcW w:w="0" w:type="dxa"/>
            <w:shd w:val="clear" w:color="auto" w:fill="D2EEED"/>
            <w:noWrap/>
            <w:hideMark/>
          </w:tcPr>
          <w:p w14:paraId="503FFDD6"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41F9EE22"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2C315DB4"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7CE48393"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65989FA7"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2B31B03F"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2C432DEA"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23</w:t>
            </w:r>
          </w:p>
        </w:tc>
        <w:tc>
          <w:tcPr>
            <w:tcW w:w="0" w:type="dxa"/>
            <w:shd w:val="clear" w:color="auto" w:fill="D2EEED"/>
            <w:noWrap/>
            <w:hideMark/>
          </w:tcPr>
          <w:p w14:paraId="2845395C"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02B63F9D" w14:textId="77777777" w:rsidR="00664725" w:rsidRPr="00A60647" w:rsidRDefault="00664725" w:rsidP="00664725">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18"/>
                <w:szCs w:val="18"/>
              </w:rPr>
            </w:pPr>
          </w:p>
        </w:tc>
      </w:tr>
      <w:tr w:rsidR="00C00069" w:rsidRPr="00664725" w14:paraId="7D2FB1AD" w14:textId="77777777" w:rsidTr="00C118C9">
        <w:trPr>
          <w:trHeight w:val="274"/>
        </w:trPr>
        <w:tc>
          <w:tcPr>
            <w:cnfStyle w:val="001000000000" w:firstRow="0" w:lastRow="0" w:firstColumn="1" w:lastColumn="0" w:oddVBand="0" w:evenVBand="0" w:oddHBand="0" w:evenHBand="0" w:firstRowFirstColumn="0" w:firstRowLastColumn="0" w:lastRowFirstColumn="0" w:lastRowLastColumn="0"/>
            <w:tcW w:w="0" w:type="dxa"/>
            <w:noWrap/>
            <w:hideMark/>
          </w:tcPr>
          <w:p w14:paraId="06A83A75" w14:textId="77777777" w:rsidR="00664725" w:rsidRPr="00C118C9" w:rsidRDefault="00664725" w:rsidP="00664725">
            <w:pPr>
              <w:spacing w:before="0" w:after="0" w:line="240" w:lineRule="auto"/>
              <w:rPr>
                <w:rFonts w:eastAsia="Times New Roman"/>
                <w:color w:val="008675"/>
                <w:sz w:val="18"/>
                <w:szCs w:val="18"/>
              </w:rPr>
            </w:pPr>
          </w:p>
        </w:tc>
        <w:tc>
          <w:tcPr>
            <w:tcW w:w="0" w:type="dxa"/>
            <w:noWrap/>
            <w:hideMark/>
          </w:tcPr>
          <w:p w14:paraId="7ED75133"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2553024C"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7C8BDF51"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1D033218"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1EA58C60"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5007078E"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38B9B3C5"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47325698"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7130F0BD"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7D907599"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29FC6100"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c>
          <w:tcPr>
            <w:tcW w:w="0" w:type="dxa"/>
            <w:noWrap/>
            <w:hideMark/>
          </w:tcPr>
          <w:p w14:paraId="5221FE90" w14:textId="77777777" w:rsidR="00664725" w:rsidRPr="00A60647" w:rsidRDefault="00664725" w:rsidP="0066472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18"/>
                <w:szCs w:val="18"/>
              </w:rPr>
            </w:pPr>
          </w:p>
        </w:tc>
      </w:tr>
      <w:tr w:rsidR="00003EDD" w:rsidRPr="00664725" w14:paraId="13CA9A58" w14:textId="77777777" w:rsidTr="00F75DC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29C0321C" w14:textId="77777777" w:rsidR="00664725" w:rsidRPr="00C118C9" w:rsidRDefault="00664725" w:rsidP="00664725">
            <w:pPr>
              <w:spacing w:before="0" w:after="0" w:line="240" w:lineRule="auto"/>
              <w:rPr>
                <w:rFonts w:eastAsia="Times New Roman"/>
                <w:color w:val="008675"/>
                <w:sz w:val="18"/>
                <w:szCs w:val="18"/>
              </w:rPr>
            </w:pPr>
          </w:p>
        </w:tc>
        <w:tc>
          <w:tcPr>
            <w:tcW w:w="0" w:type="dxa"/>
            <w:shd w:val="clear" w:color="auto" w:fill="D2EEED"/>
            <w:noWrap/>
          </w:tcPr>
          <w:p w14:paraId="4D4F242D" w14:textId="5CED1D60"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702BC18A" w14:textId="33BFB770"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59ACBA40" w14:textId="1D7BDC50"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52721179" w14:textId="058369BB"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7D154231" w14:textId="6D76E6DC"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33995FF1" w14:textId="3AC688B2"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1E026A0F" w14:textId="4E47FD20"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5DAB7C31" w14:textId="2875E7BD"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16C84D3A" w14:textId="6EE02846"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tcPr>
          <w:p w14:paraId="1D47735A" w14:textId="0EDDD279"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59210FE5" w14:textId="77777777"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646BB9FA" w14:textId="26926F76" w:rsidR="00664725" w:rsidRPr="00A60647" w:rsidRDefault="00664725" w:rsidP="006647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Proportion</w:t>
            </w:r>
            <w:r w:rsidR="00C00069" w:rsidRPr="00A60647">
              <w:rPr>
                <w:rFonts w:eastAsia="Times New Roman"/>
                <w:color w:val="000000"/>
                <w:sz w:val="18"/>
                <w:szCs w:val="18"/>
              </w:rPr>
              <w:t>*</w:t>
            </w:r>
          </w:p>
        </w:tc>
      </w:tr>
      <w:tr w:rsidR="00C00069" w:rsidRPr="00664725" w14:paraId="3A4F8AA2" w14:textId="77777777" w:rsidTr="00C118C9">
        <w:trPr>
          <w:trHeight w:val="274"/>
        </w:trPr>
        <w:tc>
          <w:tcPr>
            <w:cnfStyle w:val="001000000000" w:firstRow="0" w:lastRow="0" w:firstColumn="1" w:lastColumn="0" w:oddVBand="0" w:evenVBand="0" w:oddHBand="0" w:evenHBand="0" w:firstRowFirstColumn="0" w:firstRowLastColumn="0" w:lastRowFirstColumn="0" w:lastRowLastColumn="0"/>
            <w:tcW w:w="0" w:type="dxa"/>
            <w:noWrap/>
            <w:hideMark/>
          </w:tcPr>
          <w:p w14:paraId="5E8FD25F" w14:textId="77777777" w:rsidR="00664725" w:rsidRPr="00C118C9" w:rsidRDefault="00664725" w:rsidP="00664725">
            <w:pPr>
              <w:spacing w:before="0" w:after="0" w:line="240" w:lineRule="auto"/>
              <w:rPr>
                <w:rFonts w:eastAsia="Times New Roman"/>
                <w:color w:val="008675"/>
                <w:sz w:val="18"/>
                <w:szCs w:val="18"/>
              </w:rPr>
            </w:pPr>
            <w:r w:rsidRPr="00C118C9">
              <w:rPr>
                <w:rFonts w:eastAsia="Times New Roman"/>
                <w:color w:val="008675"/>
                <w:sz w:val="18"/>
                <w:szCs w:val="18"/>
              </w:rPr>
              <w:t>Entities applying for Restricted Attributes (RA)</w:t>
            </w:r>
          </w:p>
        </w:tc>
        <w:tc>
          <w:tcPr>
            <w:tcW w:w="0" w:type="dxa"/>
            <w:noWrap/>
            <w:hideMark/>
          </w:tcPr>
          <w:p w14:paraId="4E866D63"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8</w:t>
            </w:r>
          </w:p>
        </w:tc>
        <w:tc>
          <w:tcPr>
            <w:tcW w:w="0" w:type="dxa"/>
            <w:noWrap/>
            <w:hideMark/>
          </w:tcPr>
          <w:p w14:paraId="161F57DE"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8</w:t>
            </w:r>
          </w:p>
        </w:tc>
        <w:tc>
          <w:tcPr>
            <w:tcW w:w="0" w:type="dxa"/>
            <w:noWrap/>
            <w:hideMark/>
          </w:tcPr>
          <w:p w14:paraId="4B7A9E83"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3A1FF0A4"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765F9060"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4B32BA0C"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74182BE8"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5E596368"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26477E00"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1FB98B16"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2C19909A"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6BCD33F7"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90%</w:t>
            </w:r>
          </w:p>
        </w:tc>
      </w:tr>
      <w:tr w:rsidR="00003EDD" w:rsidRPr="00664725" w14:paraId="5DC2E63A" w14:textId="77777777" w:rsidTr="00C118C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dxa"/>
            <w:shd w:val="clear" w:color="auto" w:fill="D2EEED"/>
            <w:noWrap/>
            <w:hideMark/>
          </w:tcPr>
          <w:p w14:paraId="18864517" w14:textId="77777777" w:rsidR="00664725" w:rsidRPr="00C118C9" w:rsidRDefault="00664725" w:rsidP="00664725">
            <w:pPr>
              <w:spacing w:before="0" w:after="0" w:line="240" w:lineRule="auto"/>
              <w:rPr>
                <w:rFonts w:eastAsia="Times New Roman"/>
                <w:color w:val="008675"/>
                <w:sz w:val="18"/>
                <w:szCs w:val="18"/>
              </w:rPr>
            </w:pPr>
            <w:r w:rsidRPr="00C118C9">
              <w:rPr>
                <w:rFonts w:eastAsia="Times New Roman"/>
                <w:color w:val="008675"/>
                <w:sz w:val="18"/>
                <w:szCs w:val="18"/>
              </w:rPr>
              <w:t>Entities approved for Restricted Attributes</w:t>
            </w:r>
          </w:p>
        </w:tc>
        <w:tc>
          <w:tcPr>
            <w:tcW w:w="0" w:type="dxa"/>
            <w:shd w:val="clear" w:color="auto" w:fill="D2EEED"/>
            <w:noWrap/>
            <w:hideMark/>
          </w:tcPr>
          <w:p w14:paraId="72154DD5"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3657D359"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shd w:val="clear" w:color="auto" w:fill="D2EEED"/>
            <w:noWrap/>
            <w:hideMark/>
          </w:tcPr>
          <w:p w14:paraId="6253D79E"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4583C3E1"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6AFE75C3"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3EF8B0AD"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659EB9FB"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1551C9EC"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7DBC203F"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352E15F6"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shd w:val="clear" w:color="auto" w:fill="D2EEED"/>
            <w:noWrap/>
            <w:hideMark/>
          </w:tcPr>
          <w:p w14:paraId="440D489F"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0" w:type="dxa"/>
            <w:shd w:val="clear" w:color="auto" w:fill="D2EEED"/>
            <w:noWrap/>
            <w:hideMark/>
          </w:tcPr>
          <w:p w14:paraId="4CA7D5D3" w14:textId="77777777" w:rsidR="00664725" w:rsidRPr="00A60647" w:rsidRDefault="00664725" w:rsidP="0066472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60%</w:t>
            </w:r>
          </w:p>
        </w:tc>
      </w:tr>
      <w:tr w:rsidR="00C00069" w:rsidRPr="00664725" w14:paraId="10DF7EF8" w14:textId="77777777" w:rsidTr="00C118C9">
        <w:trPr>
          <w:trHeight w:val="274"/>
        </w:trPr>
        <w:tc>
          <w:tcPr>
            <w:cnfStyle w:val="001000000000" w:firstRow="0" w:lastRow="0" w:firstColumn="1" w:lastColumn="0" w:oddVBand="0" w:evenVBand="0" w:oddHBand="0" w:evenHBand="0" w:firstRowFirstColumn="0" w:firstRowLastColumn="0" w:lastRowFirstColumn="0" w:lastRowLastColumn="0"/>
            <w:tcW w:w="0" w:type="dxa"/>
            <w:noWrap/>
            <w:hideMark/>
          </w:tcPr>
          <w:p w14:paraId="19073276" w14:textId="77777777" w:rsidR="00664725" w:rsidRPr="00C118C9" w:rsidRDefault="00664725" w:rsidP="00664725">
            <w:pPr>
              <w:spacing w:before="0" w:after="0" w:line="240" w:lineRule="auto"/>
              <w:rPr>
                <w:rFonts w:eastAsia="Times New Roman"/>
                <w:color w:val="008675"/>
                <w:sz w:val="18"/>
                <w:szCs w:val="18"/>
              </w:rPr>
            </w:pPr>
            <w:r w:rsidRPr="00C118C9">
              <w:rPr>
                <w:rFonts w:eastAsia="Times New Roman"/>
                <w:color w:val="008675"/>
                <w:sz w:val="18"/>
                <w:szCs w:val="18"/>
              </w:rPr>
              <w:t>Entities approved for IP3</w:t>
            </w:r>
          </w:p>
        </w:tc>
        <w:tc>
          <w:tcPr>
            <w:tcW w:w="0" w:type="dxa"/>
            <w:noWrap/>
            <w:hideMark/>
          </w:tcPr>
          <w:p w14:paraId="4427A837"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406D2D88"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5</w:t>
            </w:r>
          </w:p>
        </w:tc>
        <w:tc>
          <w:tcPr>
            <w:tcW w:w="0" w:type="dxa"/>
            <w:noWrap/>
            <w:hideMark/>
          </w:tcPr>
          <w:p w14:paraId="3778954C"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280444C0"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46CE3FCF"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7172BBAB"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5996764C"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7C452017"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02ED146F"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5C35A663"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3</w:t>
            </w:r>
          </w:p>
        </w:tc>
        <w:tc>
          <w:tcPr>
            <w:tcW w:w="0" w:type="dxa"/>
            <w:noWrap/>
            <w:hideMark/>
          </w:tcPr>
          <w:p w14:paraId="113D096C" w14:textId="77777777" w:rsidR="00664725" w:rsidRPr="00A60647" w:rsidRDefault="00664725" w:rsidP="0066472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0" w:type="dxa"/>
            <w:noWrap/>
            <w:hideMark/>
          </w:tcPr>
          <w:p w14:paraId="6D9F3C76" w14:textId="77777777" w:rsidR="00664725" w:rsidRPr="00A60647" w:rsidRDefault="00664725" w:rsidP="00A6064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A60647">
              <w:rPr>
                <w:rFonts w:eastAsia="Times New Roman"/>
                <w:color w:val="000000"/>
                <w:sz w:val="18"/>
                <w:szCs w:val="18"/>
              </w:rPr>
              <w:t>100%</w:t>
            </w:r>
          </w:p>
        </w:tc>
      </w:tr>
    </w:tbl>
    <w:p w14:paraId="4079E231" w14:textId="6A0EC6DE" w:rsidR="00C00069" w:rsidRDefault="00C00069">
      <w:pPr>
        <w:pStyle w:val="Caption"/>
      </w:pPr>
      <w:bookmarkStart w:id="728" w:name="_Toc130390627"/>
      <w:r>
        <w:t xml:space="preserve">Table </w:t>
      </w:r>
      <w:r>
        <w:fldChar w:fldCharType="begin"/>
      </w:r>
      <w:r>
        <w:instrText>SEQ Table \* ARABIC</w:instrText>
      </w:r>
      <w:r>
        <w:fldChar w:fldCharType="separate"/>
      </w:r>
      <w:r>
        <w:rPr>
          <w:noProof/>
        </w:rPr>
        <w:t>22</w:t>
      </w:r>
      <w:r>
        <w:fldChar w:fldCharType="end"/>
      </w:r>
      <w:r>
        <w:t xml:space="preserve">: </w:t>
      </w:r>
      <w:r w:rsidRPr="00952570">
        <w:t>Option 3 expected year on year system uptake for onboarded accredited entities</w:t>
      </w:r>
      <w:bookmarkEnd w:id="728"/>
    </w:p>
    <w:p w14:paraId="25E6DA32" w14:textId="164482BF" w:rsidR="00664725" w:rsidRPr="00664725" w:rsidRDefault="00664725" w:rsidP="00664725">
      <w:pPr>
        <w:suppressAutoHyphens/>
        <w:spacing w:before="280" w:after="140" w:line="336" w:lineRule="auto"/>
        <w:rPr>
          <w:color w:val="auto"/>
          <w:sz w:val="20"/>
          <w:szCs w:val="20"/>
        </w:rPr>
      </w:pPr>
      <w:r w:rsidRPr="00664725">
        <w:rPr>
          <w:color w:val="auto"/>
          <w:sz w:val="20"/>
          <w:szCs w:val="20"/>
        </w:rPr>
        <w:t xml:space="preserve">* Proportion (percentage) of new onboarded accredited entities estimated to apply for and (separately) be approved for restricted attributes and IP3. These entities are expected to incur greater application and privacy and security obligations as a result.  </w:t>
      </w:r>
    </w:p>
    <w:p w14:paraId="738D7DE1" w14:textId="054FEF8D" w:rsidR="007029AC" w:rsidRDefault="007029AC" w:rsidP="009D3533">
      <w:pPr>
        <w:pStyle w:val="BodyText"/>
        <w:rPr>
          <w:lang w:eastAsia="en-US"/>
        </w:rPr>
      </w:pPr>
    </w:p>
    <w:p w14:paraId="66A5AC58" w14:textId="2B71C6BF" w:rsidR="007029AC" w:rsidRDefault="007029AC" w:rsidP="009D3533">
      <w:pPr>
        <w:pStyle w:val="BodyText"/>
        <w:rPr>
          <w:lang w:eastAsia="en-US"/>
        </w:rPr>
      </w:pPr>
    </w:p>
    <w:p w14:paraId="46E24595" w14:textId="1D33E4B1" w:rsidR="007029AC" w:rsidRDefault="007029AC" w:rsidP="009D3533">
      <w:pPr>
        <w:pStyle w:val="BodyText"/>
        <w:rPr>
          <w:lang w:eastAsia="en-US"/>
        </w:rPr>
      </w:pPr>
    </w:p>
    <w:p w14:paraId="6AD92E5E" w14:textId="48E22090" w:rsidR="007029AC" w:rsidRDefault="007029AC" w:rsidP="009D3533">
      <w:pPr>
        <w:pStyle w:val="BodyText"/>
        <w:rPr>
          <w:lang w:eastAsia="en-US"/>
        </w:rPr>
      </w:pPr>
    </w:p>
    <w:p w14:paraId="2607FE91" w14:textId="2F87D030" w:rsidR="007029AC" w:rsidRDefault="007029AC" w:rsidP="009D3533">
      <w:pPr>
        <w:pStyle w:val="BodyText"/>
        <w:rPr>
          <w:lang w:eastAsia="en-US"/>
        </w:rPr>
      </w:pPr>
    </w:p>
    <w:p w14:paraId="7E20DD00" w14:textId="77777777" w:rsidR="007029AC" w:rsidRDefault="007029AC" w:rsidP="009D3533">
      <w:pPr>
        <w:pStyle w:val="BodyText"/>
        <w:rPr>
          <w:lang w:eastAsia="en-US"/>
        </w:rPr>
        <w:sectPr w:rsidR="007029AC" w:rsidSect="007029AC">
          <w:pgSz w:w="16840" w:h="11907" w:orient="landscape" w:code="9"/>
          <w:pgMar w:top="1418" w:right="1418" w:bottom="1418" w:left="1418" w:header="567" w:footer="340" w:gutter="0"/>
          <w:cols w:space="720"/>
          <w:docGrid w:linePitch="326"/>
        </w:sectPr>
      </w:pPr>
    </w:p>
    <w:p w14:paraId="17E721D3" w14:textId="11D1E22C" w:rsidR="00E6232E" w:rsidRPr="00C118C9" w:rsidRDefault="003E7DB4">
      <w:pPr>
        <w:pStyle w:val="Heading1NoNumbers"/>
        <w:rPr>
          <w:color w:val="008675"/>
          <w:lang w:eastAsia="en-US"/>
        </w:rPr>
      </w:pPr>
      <w:bookmarkStart w:id="729" w:name="_Toc83951226"/>
      <w:bookmarkStart w:id="730" w:name="_Toc84925853"/>
      <w:bookmarkStart w:id="731" w:name="_Toc84925926"/>
      <w:bookmarkStart w:id="732" w:name="_Toc86045170"/>
      <w:bookmarkStart w:id="733" w:name="_Toc86070067"/>
      <w:bookmarkStart w:id="734" w:name="_Toc149740381"/>
      <w:r w:rsidRPr="00C118C9">
        <w:rPr>
          <w:color w:val="008675"/>
          <w:lang w:eastAsia="en-US"/>
        </w:rPr>
        <w:lastRenderedPageBreak/>
        <w:t>A</w:t>
      </w:r>
      <w:r w:rsidR="001A6833" w:rsidRPr="00C118C9">
        <w:rPr>
          <w:color w:val="008675"/>
          <w:lang w:eastAsia="en-US"/>
        </w:rPr>
        <w:t xml:space="preserve">ppendix F </w:t>
      </w:r>
      <w:r w:rsidR="00005992" w:rsidRPr="00C118C9">
        <w:rPr>
          <w:color w:val="008675"/>
          <w:lang w:eastAsia="en-US"/>
        </w:rPr>
        <w:t>–</w:t>
      </w:r>
      <w:r w:rsidR="001A6833" w:rsidRPr="00C118C9">
        <w:rPr>
          <w:color w:val="008675"/>
          <w:lang w:eastAsia="en-US"/>
        </w:rPr>
        <w:t xml:space="preserve"> </w:t>
      </w:r>
      <w:r w:rsidR="00E6232E" w:rsidRPr="00C118C9">
        <w:rPr>
          <w:color w:val="008675"/>
          <w:lang w:eastAsia="en-US"/>
        </w:rPr>
        <w:t xml:space="preserve">Figures and </w:t>
      </w:r>
      <w:r w:rsidR="00CB29B2" w:rsidRPr="00C118C9">
        <w:rPr>
          <w:color w:val="008675"/>
          <w:lang w:eastAsia="en-US"/>
        </w:rPr>
        <w:t>t</w:t>
      </w:r>
      <w:r w:rsidR="00E6232E" w:rsidRPr="00C118C9">
        <w:rPr>
          <w:color w:val="008675"/>
          <w:lang w:eastAsia="en-US"/>
        </w:rPr>
        <w:t>ables</w:t>
      </w:r>
      <w:bookmarkEnd w:id="729"/>
      <w:bookmarkEnd w:id="730"/>
      <w:bookmarkEnd w:id="731"/>
      <w:bookmarkEnd w:id="732"/>
      <w:bookmarkEnd w:id="733"/>
      <w:bookmarkEnd w:id="734"/>
    </w:p>
    <w:p w14:paraId="6EDE5A7C" w14:textId="77777777" w:rsidR="00C85991" w:rsidRPr="00C118C9" w:rsidRDefault="00E6232E" w:rsidP="00A60647">
      <w:pPr>
        <w:pStyle w:val="HeadingAppendix2"/>
        <w:rPr>
          <w:color w:val="008675"/>
          <w:lang w:eastAsia="en-US"/>
        </w:rPr>
      </w:pPr>
      <w:bookmarkStart w:id="735" w:name="_Toc149740382"/>
      <w:bookmarkStart w:id="736" w:name="_Toc80884720"/>
      <w:bookmarkStart w:id="737" w:name="_Toc81226659"/>
      <w:bookmarkStart w:id="738" w:name="_Toc81226935"/>
      <w:bookmarkStart w:id="739" w:name="_Toc81228279"/>
      <w:bookmarkStart w:id="740" w:name="_Toc83951227"/>
      <w:bookmarkStart w:id="741" w:name="_Toc84925854"/>
      <w:bookmarkStart w:id="742" w:name="_Toc84925927"/>
      <w:bookmarkStart w:id="743" w:name="_Toc86045171"/>
      <w:bookmarkStart w:id="744" w:name="_Toc86070068"/>
      <w:r w:rsidRPr="00C118C9">
        <w:rPr>
          <w:rFonts w:cs="Arial"/>
          <w:color w:val="008675"/>
          <w:lang w:eastAsia="en-US"/>
        </w:rPr>
        <w:t>Figu</w:t>
      </w:r>
      <w:r w:rsidR="00921A60" w:rsidRPr="00C118C9">
        <w:rPr>
          <w:rFonts w:cs="Arial"/>
          <w:color w:val="008675"/>
          <w:lang w:eastAsia="en-US"/>
        </w:rPr>
        <w:t>res</w:t>
      </w:r>
      <w:bookmarkEnd w:id="735"/>
    </w:p>
    <w:bookmarkEnd w:id="736"/>
    <w:bookmarkEnd w:id="737"/>
    <w:bookmarkEnd w:id="738"/>
    <w:bookmarkEnd w:id="739"/>
    <w:bookmarkEnd w:id="740"/>
    <w:bookmarkEnd w:id="741"/>
    <w:bookmarkEnd w:id="742"/>
    <w:bookmarkEnd w:id="743"/>
    <w:bookmarkEnd w:id="744"/>
    <w:p w14:paraId="0B59809F" w14:textId="5E9508F5" w:rsidR="00465F3F" w:rsidRDefault="00921A60">
      <w:pPr>
        <w:pStyle w:val="TableofFigures"/>
        <w:tabs>
          <w:tab w:val="right" w:leader="dot" w:pos="9061"/>
        </w:tabs>
        <w:rPr>
          <w:rFonts w:asciiTheme="minorHAnsi" w:eastAsiaTheme="minorEastAsia" w:hAnsiTheme="minorHAnsi" w:cstheme="minorBidi"/>
          <w:i w:val="0"/>
          <w:noProof/>
          <w:sz w:val="22"/>
          <w:szCs w:val="22"/>
        </w:rPr>
      </w:pPr>
      <w:r w:rsidRPr="006348FB">
        <w:rPr>
          <w:rFonts w:cs="Times New Roman"/>
          <w:b/>
          <w:color w:val="2C476E"/>
          <w:sz w:val="32"/>
          <w:szCs w:val="30"/>
          <w:lang w:eastAsia="en-US"/>
        </w:rPr>
        <w:fldChar w:fldCharType="begin"/>
      </w:r>
      <w:r w:rsidRPr="006348FB">
        <w:rPr>
          <w:lang w:eastAsia="en-US"/>
        </w:rPr>
        <w:instrText xml:space="preserve"> TOC \h \z \c "Figure" </w:instrText>
      </w:r>
      <w:r w:rsidRPr="006348FB">
        <w:rPr>
          <w:rFonts w:cs="Times New Roman"/>
          <w:b/>
          <w:color w:val="2C476E"/>
          <w:sz w:val="32"/>
          <w:szCs w:val="30"/>
          <w:lang w:eastAsia="en-US"/>
        </w:rPr>
        <w:fldChar w:fldCharType="separate"/>
      </w:r>
      <w:hyperlink w:anchor="_Toc130390594" w:history="1">
        <w:r w:rsidR="00465F3F" w:rsidRPr="000518EB">
          <w:rPr>
            <w:rStyle w:val="Hyperlink"/>
            <w:noProof/>
          </w:rPr>
          <w:t xml:space="preserve">Figure </w:t>
        </w:r>
        <w:r w:rsidR="003448FB">
          <w:rPr>
            <w:rStyle w:val="Hyperlink"/>
            <w:noProof/>
          </w:rPr>
          <w:t>1</w:t>
        </w:r>
        <w:r w:rsidR="00465F3F" w:rsidRPr="000518EB">
          <w:rPr>
            <w:rStyle w:val="Hyperlink"/>
            <w:noProof/>
          </w:rPr>
          <w:t xml:space="preserve">: Entities, interactions and incentives within the current </w:t>
        </w:r>
        <w:r w:rsidR="004D35CA">
          <w:rPr>
            <w:rStyle w:val="Hyperlink"/>
            <w:noProof/>
          </w:rPr>
          <w:t>AGDIS</w:t>
        </w:r>
        <w:r w:rsidR="00465F3F">
          <w:rPr>
            <w:noProof/>
            <w:webHidden/>
          </w:rPr>
          <w:tab/>
        </w:r>
        <w:r w:rsidR="00465F3F">
          <w:rPr>
            <w:noProof/>
            <w:webHidden/>
          </w:rPr>
          <w:fldChar w:fldCharType="begin"/>
        </w:r>
        <w:r w:rsidR="00465F3F">
          <w:rPr>
            <w:noProof/>
            <w:webHidden/>
          </w:rPr>
          <w:instrText xml:space="preserve"> PAGEREF _Toc130390594 \h </w:instrText>
        </w:r>
        <w:r w:rsidR="00465F3F">
          <w:rPr>
            <w:noProof/>
            <w:webHidden/>
          </w:rPr>
        </w:r>
        <w:r w:rsidR="00465F3F">
          <w:rPr>
            <w:noProof/>
            <w:webHidden/>
          </w:rPr>
          <w:fldChar w:fldCharType="separate"/>
        </w:r>
        <w:r w:rsidR="00465F3F">
          <w:rPr>
            <w:noProof/>
            <w:webHidden/>
          </w:rPr>
          <w:t>17</w:t>
        </w:r>
        <w:r w:rsidR="00465F3F">
          <w:rPr>
            <w:noProof/>
            <w:webHidden/>
          </w:rPr>
          <w:fldChar w:fldCharType="end"/>
        </w:r>
      </w:hyperlink>
    </w:p>
    <w:p w14:paraId="3AEAA62A" w14:textId="168595C5" w:rsidR="00070EB3" w:rsidRPr="00FD276A" w:rsidRDefault="006E3B9A" w:rsidP="00D915C0">
      <w:pPr>
        <w:pStyle w:val="TableofFigures"/>
        <w:tabs>
          <w:tab w:val="right" w:leader="dot" w:pos="9061"/>
        </w:tabs>
        <w:rPr>
          <w:lang w:eastAsia="en-US"/>
        </w:rPr>
      </w:pPr>
      <w:hyperlink w:anchor="_Toc130390595" w:history="1">
        <w:r w:rsidR="00465F3F" w:rsidRPr="000518EB">
          <w:rPr>
            <w:rStyle w:val="Hyperlink"/>
            <w:noProof/>
          </w:rPr>
          <w:t xml:space="preserve">Figure </w:t>
        </w:r>
        <w:r w:rsidR="003448FB">
          <w:rPr>
            <w:rStyle w:val="Hyperlink"/>
            <w:noProof/>
          </w:rPr>
          <w:t>2</w:t>
        </w:r>
        <w:r w:rsidR="00465F3F" w:rsidRPr="000518EB">
          <w:rPr>
            <w:rStyle w:val="Hyperlink"/>
            <w:noProof/>
          </w:rPr>
          <w:t xml:space="preserve">: Entities, interactions and incentives within an expanded </w:t>
        </w:r>
        <w:r w:rsidR="004D35CA">
          <w:rPr>
            <w:rStyle w:val="Hyperlink"/>
            <w:noProof/>
          </w:rPr>
          <w:t>AGDIS</w:t>
        </w:r>
        <w:r w:rsidR="00465F3F">
          <w:rPr>
            <w:noProof/>
            <w:webHidden/>
          </w:rPr>
          <w:tab/>
        </w:r>
        <w:r w:rsidR="00465F3F">
          <w:rPr>
            <w:i w:val="0"/>
            <w:noProof/>
            <w:webHidden/>
          </w:rPr>
          <w:fldChar w:fldCharType="begin"/>
        </w:r>
        <w:r w:rsidR="00465F3F">
          <w:rPr>
            <w:noProof/>
            <w:webHidden/>
          </w:rPr>
          <w:instrText xml:space="preserve"> PAGEREF _Toc130390595 \h </w:instrText>
        </w:r>
        <w:r w:rsidR="00465F3F">
          <w:rPr>
            <w:i w:val="0"/>
            <w:noProof/>
            <w:webHidden/>
          </w:rPr>
        </w:r>
        <w:r w:rsidR="00465F3F">
          <w:rPr>
            <w:i w:val="0"/>
            <w:noProof/>
            <w:webHidden/>
          </w:rPr>
          <w:fldChar w:fldCharType="separate"/>
        </w:r>
        <w:r w:rsidR="00465F3F">
          <w:rPr>
            <w:noProof/>
            <w:webHidden/>
          </w:rPr>
          <w:t>26</w:t>
        </w:r>
        <w:r w:rsidR="00465F3F">
          <w:rPr>
            <w:i w:val="0"/>
            <w:noProof/>
            <w:webHidden/>
          </w:rPr>
          <w:fldChar w:fldCharType="end"/>
        </w:r>
      </w:hyperlink>
      <w:r w:rsidR="00921A60" w:rsidRPr="006348FB">
        <w:rPr>
          <w:lang w:eastAsia="en-US"/>
        </w:rPr>
        <w:fldChar w:fldCharType="end"/>
      </w:r>
    </w:p>
    <w:p w14:paraId="67B932F9" w14:textId="7BCD65C1" w:rsidR="00DF0372" w:rsidRPr="00C118C9" w:rsidRDefault="00DF0372" w:rsidP="00A60647">
      <w:pPr>
        <w:pStyle w:val="Heading2NoNumbers"/>
        <w:rPr>
          <w:color w:val="008675"/>
          <w:lang w:eastAsia="en-US"/>
        </w:rPr>
      </w:pPr>
      <w:bookmarkStart w:id="745" w:name="_Toc149740383"/>
      <w:bookmarkStart w:id="746" w:name="_Toc80884721"/>
      <w:bookmarkStart w:id="747" w:name="_Toc81226660"/>
      <w:bookmarkStart w:id="748" w:name="_Toc81226936"/>
      <w:bookmarkStart w:id="749" w:name="_Toc81228280"/>
      <w:bookmarkStart w:id="750" w:name="_Toc83951228"/>
      <w:bookmarkStart w:id="751" w:name="_Toc84925855"/>
      <w:bookmarkStart w:id="752" w:name="_Toc84925928"/>
      <w:bookmarkStart w:id="753" w:name="_Toc86045172"/>
      <w:bookmarkStart w:id="754" w:name="_Toc86070069"/>
      <w:r w:rsidRPr="00C118C9">
        <w:rPr>
          <w:color w:val="008675"/>
          <w:lang w:eastAsia="en-US"/>
        </w:rPr>
        <w:t xml:space="preserve">A.2 </w:t>
      </w:r>
      <w:r w:rsidR="00E6232E" w:rsidRPr="00C118C9">
        <w:rPr>
          <w:color w:val="008675"/>
          <w:lang w:eastAsia="en-US"/>
        </w:rPr>
        <w:t>Ta</w:t>
      </w:r>
      <w:r w:rsidR="00921A60" w:rsidRPr="00C118C9">
        <w:rPr>
          <w:color w:val="008675"/>
          <w:lang w:eastAsia="en-US"/>
        </w:rPr>
        <w:t>bles</w:t>
      </w:r>
      <w:bookmarkEnd w:id="745"/>
    </w:p>
    <w:bookmarkEnd w:id="746"/>
    <w:bookmarkEnd w:id="747"/>
    <w:bookmarkEnd w:id="748"/>
    <w:bookmarkEnd w:id="749"/>
    <w:bookmarkEnd w:id="750"/>
    <w:bookmarkEnd w:id="751"/>
    <w:bookmarkEnd w:id="752"/>
    <w:bookmarkEnd w:id="753"/>
    <w:bookmarkEnd w:id="754"/>
    <w:p w14:paraId="30774E0B" w14:textId="2A6D5EFF" w:rsidR="00465F3F" w:rsidRDefault="00921A60">
      <w:pPr>
        <w:pStyle w:val="TableofFigures"/>
        <w:tabs>
          <w:tab w:val="right" w:leader="dot" w:pos="9061"/>
        </w:tabs>
        <w:rPr>
          <w:rFonts w:asciiTheme="minorHAnsi" w:eastAsiaTheme="minorEastAsia" w:hAnsiTheme="minorHAnsi" w:cstheme="minorBidi"/>
          <w:i w:val="0"/>
          <w:noProof/>
          <w:sz w:val="22"/>
          <w:szCs w:val="22"/>
        </w:rPr>
      </w:pPr>
      <w:r w:rsidRPr="008C4F9F">
        <w:rPr>
          <w:b/>
          <w:color w:val="2C476E"/>
          <w:sz w:val="32"/>
          <w:szCs w:val="30"/>
          <w:lang w:eastAsia="en-US"/>
        </w:rPr>
        <w:fldChar w:fldCharType="begin"/>
      </w:r>
      <w:r w:rsidRPr="008C4F9F">
        <w:rPr>
          <w:lang w:eastAsia="en-US"/>
        </w:rPr>
        <w:instrText xml:space="preserve"> TOC \h \z \c "Table" </w:instrText>
      </w:r>
      <w:r w:rsidRPr="008C4F9F">
        <w:rPr>
          <w:b/>
          <w:color w:val="2C476E"/>
          <w:sz w:val="32"/>
          <w:szCs w:val="30"/>
          <w:lang w:eastAsia="en-US"/>
        </w:rPr>
        <w:fldChar w:fldCharType="separate"/>
      </w:r>
      <w:hyperlink w:anchor="_Toc130390608" w:history="1">
        <w:r w:rsidR="00465F3F" w:rsidRPr="00560A9D">
          <w:rPr>
            <w:rStyle w:val="Hyperlink"/>
            <w:rFonts w:eastAsia="Calibri"/>
            <w:noProof/>
          </w:rPr>
          <w:t>Table 1: Impact Analysis questions and relevant document section/s</w:t>
        </w:r>
        <w:r w:rsidR="00465F3F">
          <w:rPr>
            <w:noProof/>
            <w:webHidden/>
          </w:rPr>
          <w:tab/>
        </w:r>
        <w:r w:rsidR="00465F3F">
          <w:rPr>
            <w:noProof/>
            <w:webHidden/>
          </w:rPr>
          <w:fldChar w:fldCharType="begin"/>
        </w:r>
        <w:r w:rsidR="00465F3F">
          <w:rPr>
            <w:noProof/>
            <w:webHidden/>
          </w:rPr>
          <w:instrText xml:space="preserve"> PAGEREF _Toc130390608 \h </w:instrText>
        </w:r>
        <w:r w:rsidR="00465F3F">
          <w:rPr>
            <w:noProof/>
            <w:webHidden/>
          </w:rPr>
        </w:r>
        <w:r w:rsidR="00465F3F">
          <w:rPr>
            <w:noProof/>
            <w:webHidden/>
          </w:rPr>
          <w:fldChar w:fldCharType="separate"/>
        </w:r>
        <w:r w:rsidR="00465F3F">
          <w:rPr>
            <w:noProof/>
            <w:webHidden/>
          </w:rPr>
          <w:t>9</w:t>
        </w:r>
        <w:r w:rsidR="00465F3F">
          <w:rPr>
            <w:noProof/>
            <w:webHidden/>
          </w:rPr>
          <w:fldChar w:fldCharType="end"/>
        </w:r>
      </w:hyperlink>
    </w:p>
    <w:p w14:paraId="6BF9CC77" w14:textId="5312BD27"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09" w:history="1">
        <w:r w:rsidR="00465F3F" w:rsidRPr="00560A9D">
          <w:rPr>
            <w:rStyle w:val="Hyperlink"/>
            <w:rFonts w:eastAsia="Calibri"/>
            <w:noProof/>
            <w:lang w:eastAsia="en-US"/>
          </w:rPr>
          <w:t>Table 2: Objectives for Government action</w:t>
        </w:r>
        <w:r w:rsidR="00465F3F">
          <w:rPr>
            <w:noProof/>
            <w:webHidden/>
          </w:rPr>
          <w:tab/>
        </w:r>
        <w:r w:rsidR="00465F3F">
          <w:rPr>
            <w:noProof/>
            <w:webHidden/>
          </w:rPr>
          <w:fldChar w:fldCharType="begin"/>
        </w:r>
        <w:r w:rsidR="00465F3F">
          <w:rPr>
            <w:noProof/>
            <w:webHidden/>
          </w:rPr>
          <w:instrText xml:space="preserve"> PAGEREF _Toc130390609 \h </w:instrText>
        </w:r>
        <w:r w:rsidR="00465F3F">
          <w:rPr>
            <w:noProof/>
            <w:webHidden/>
          </w:rPr>
        </w:r>
        <w:r w:rsidR="00465F3F">
          <w:rPr>
            <w:noProof/>
            <w:webHidden/>
          </w:rPr>
          <w:fldChar w:fldCharType="separate"/>
        </w:r>
        <w:r w:rsidR="00465F3F">
          <w:rPr>
            <w:noProof/>
            <w:webHidden/>
          </w:rPr>
          <w:t>41</w:t>
        </w:r>
        <w:r w:rsidR="00465F3F">
          <w:rPr>
            <w:noProof/>
            <w:webHidden/>
          </w:rPr>
          <w:fldChar w:fldCharType="end"/>
        </w:r>
      </w:hyperlink>
    </w:p>
    <w:p w14:paraId="6925F494" w14:textId="363B70E8"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0" w:history="1">
        <w:r w:rsidR="00465F3F" w:rsidRPr="00560A9D">
          <w:rPr>
            <w:rStyle w:val="Hyperlink"/>
            <w:noProof/>
          </w:rPr>
          <w:t>Table 3: Option 2 Regulatory burden estimate (RBE) table</w:t>
        </w:r>
        <w:r w:rsidR="00465F3F">
          <w:rPr>
            <w:noProof/>
            <w:webHidden/>
          </w:rPr>
          <w:tab/>
        </w:r>
        <w:r w:rsidR="00465F3F">
          <w:rPr>
            <w:noProof/>
            <w:webHidden/>
          </w:rPr>
          <w:fldChar w:fldCharType="begin"/>
        </w:r>
        <w:r w:rsidR="00465F3F">
          <w:rPr>
            <w:noProof/>
            <w:webHidden/>
          </w:rPr>
          <w:instrText xml:space="preserve"> PAGEREF _Toc130390610 \h </w:instrText>
        </w:r>
        <w:r w:rsidR="00465F3F">
          <w:rPr>
            <w:noProof/>
            <w:webHidden/>
          </w:rPr>
        </w:r>
        <w:r w:rsidR="00465F3F">
          <w:rPr>
            <w:noProof/>
            <w:webHidden/>
          </w:rPr>
          <w:fldChar w:fldCharType="separate"/>
        </w:r>
        <w:r w:rsidR="00465F3F">
          <w:rPr>
            <w:noProof/>
            <w:webHidden/>
          </w:rPr>
          <w:t>68</w:t>
        </w:r>
        <w:r w:rsidR="00465F3F">
          <w:rPr>
            <w:noProof/>
            <w:webHidden/>
          </w:rPr>
          <w:fldChar w:fldCharType="end"/>
        </w:r>
      </w:hyperlink>
    </w:p>
    <w:p w14:paraId="7024BBA3" w14:textId="7F66E46F"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1" w:history="1">
        <w:r w:rsidR="00465F3F" w:rsidRPr="00560A9D">
          <w:rPr>
            <w:rStyle w:val="Hyperlink"/>
            <w:noProof/>
          </w:rPr>
          <w:t>Table 4: Option 2 Select indirect benefits table</w:t>
        </w:r>
        <w:r w:rsidR="00465F3F">
          <w:rPr>
            <w:noProof/>
            <w:webHidden/>
          </w:rPr>
          <w:tab/>
        </w:r>
        <w:r w:rsidR="00465F3F">
          <w:rPr>
            <w:noProof/>
            <w:webHidden/>
          </w:rPr>
          <w:fldChar w:fldCharType="begin"/>
        </w:r>
        <w:r w:rsidR="00465F3F">
          <w:rPr>
            <w:noProof/>
            <w:webHidden/>
          </w:rPr>
          <w:instrText xml:space="preserve"> PAGEREF _Toc130390611 \h </w:instrText>
        </w:r>
        <w:r w:rsidR="00465F3F">
          <w:rPr>
            <w:noProof/>
            <w:webHidden/>
          </w:rPr>
        </w:r>
        <w:r w:rsidR="00465F3F">
          <w:rPr>
            <w:noProof/>
            <w:webHidden/>
          </w:rPr>
          <w:fldChar w:fldCharType="separate"/>
        </w:r>
        <w:r w:rsidR="00465F3F">
          <w:rPr>
            <w:noProof/>
            <w:webHidden/>
          </w:rPr>
          <w:t>68</w:t>
        </w:r>
        <w:r w:rsidR="00465F3F">
          <w:rPr>
            <w:noProof/>
            <w:webHidden/>
          </w:rPr>
          <w:fldChar w:fldCharType="end"/>
        </w:r>
      </w:hyperlink>
    </w:p>
    <w:p w14:paraId="4C3F4F4E" w14:textId="41CAB9A8"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2" w:history="1">
        <w:r w:rsidR="00465F3F" w:rsidRPr="00560A9D">
          <w:rPr>
            <w:rStyle w:val="Hyperlink"/>
            <w:noProof/>
          </w:rPr>
          <w:t>Table 5: Option 3 Regulatory burden estimate (RBE) table</w:t>
        </w:r>
        <w:r w:rsidR="00465F3F">
          <w:rPr>
            <w:noProof/>
            <w:webHidden/>
          </w:rPr>
          <w:tab/>
        </w:r>
        <w:r w:rsidR="00465F3F">
          <w:rPr>
            <w:noProof/>
            <w:webHidden/>
          </w:rPr>
          <w:fldChar w:fldCharType="begin"/>
        </w:r>
        <w:r w:rsidR="00465F3F">
          <w:rPr>
            <w:noProof/>
            <w:webHidden/>
          </w:rPr>
          <w:instrText xml:space="preserve"> PAGEREF _Toc130390612 \h </w:instrText>
        </w:r>
        <w:r w:rsidR="00465F3F">
          <w:rPr>
            <w:noProof/>
            <w:webHidden/>
          </w:rPr>
        </w:r>
        <w:r w:rsidR="00465F3F">
          <w:rPr>
            <w:noProof/>
            <w:webHidden/>
          </w:rPr>
          <w:fldChar w:fldCharType="separate"/>
        </w:r>
        <w:r w:rsidR="00465F3F">
          <w:rPr>
            <w:noProof/>
            <w:webHidden/>
          </w:rPr>
          <w:t>88</w:t>
        </w:r>
        <w:r w:rsidR="00465F3F">
          <w:rPr>
            <w:noProof/>
            <w:webHidden/>
          </w:rPr>
          <w:fldChar w:fldCharType="end"/>
        </w:r>
      </w:hyperlink>
    </w:p>
    <w:p w14:paraId="33D23D2D" w14:textId="6B3BAAF7"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3" w:history="1">
        <w:r w:rsidR="00465F3F" w:rsidRPr="00560A9D">
          <w:rPr>
            <w:rStyle w:val="Hyperlink"/>
            <w:noProof/>
          </w:rPr>
          <w:t>Table 6: Option 3 Select indirect benefits table</w:t>
        </w:r>
        <w:r w:rsidR="00465F3F">
          <w:rPr>
            <w:noProof/>
            <w:webHidden/>
          </w:rPr>
          <w:tab/>
        </w:r>
        <w:r w:rsidR="00465F3F">
          <w:rPr>
            <w:noProof/>
            <w:webHidden/>
          </w:rPr>
          <w:fldChar w:fldCharType="begin"/>
        </w:r>
        <w:r w:rsidR="00465F3F">
          <w:rPr>
            <w:noProof/>
            <w:webHidden/>
          </w:rPr>
          <w:instrText xml:space="preserve"> PAGEREF _Toc130390613 \h </w:instrText>
        </w:r>
        <w:r w:rsidR="00465F3F">
          <w:rPr>
            <w:noProof/>
            <w:webHidden/>
          </w:rPr>
        </w:r>
        <w:r w:rsidR="00465F3F">
          <w:rPr>
            <w:noProof/>
            <w:webHidden/>
          </w:rPr>
          <w:fldChar w:fldCharType="separate"/>
        </w:r>
        <w:r w:rsidR="00465F3F">
          <w:rPr>
            <w:noProof/>
            <w:webHidden/>
          </w:rPr>
          <w:t>89</w:t>
        </w:r>
        <w:r w:rsidR="00465F3F">
          <w:rPr>
            <w:noProof/>
            <w:webHidden/>
          </w:rPr>
          <w:fldChar w:fldCharType="end"/>
        </w:r>
      </w:hyperlink>
    </w:p>
    <w:p w14:paraId="2381B906" w14:textId="7F242A4C"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4" w:history="1">
        <w:r w:rsidR="00465F3F" w:rsidRPr="00560A9D">
          <w:rPr>
            <w:rStyle w:val="Hyperlink"/>
            <w:noProof/>
          </w:rPr>
          <w:t>Table 10: Option 3 alignment with policy objectives and problem areas</w:t>
        </w:r>
        <w:r w:rsidR="00465F3F">
          <w:rPr>
            <w:noProof/>
            <w:webHidden/>
          </w:rPr>
          <w:tab/>
        </w:r>
        <w:r w:rsidR="00465F3F">
          <w:rPr>
            <w:noProof/>
            <w:webHidden/>
          </w:rPr>
          <w:fldChar w:fldCharType="begin"/>
        </w:r>
        <w:r w:rsidR="00465F3F">
          <w:rPr>
            <w:noProof/>
            <w:webHidden/>
          </w:rPr>
          <w:instrText xml:space="preserve"> PAGEREF _Toc130390614 \h </w:instrText>
        </w:r>
        <w:r w:rsidR="00465F3F">
          <w:rPr>
            <w:noProof/>
            <w:webHidden/>
          </w:rPr>
        </w:r>
        <w:r w:rsidR="00465F3F">
          <w:rPr>
            <w:noProof/>
            <w:webHidden/>
          </w:rPr>
          <w:fldChar w:fldCharType="separate"/>
        </w:r>
        <w:r w:rsidR="00465F3F">
          <w:rPr>
            <w:noProof/>
            <w:webHidden/>
          </w:rPr>
          <w:t>104</w:t>
        </w:r>
        <w:r w:rsidR="00465F3F">
          <w:rPr>
            <w:noProof/>
            <w:webHidden/>
          </w:rPr>
          <w:fldChar w:fldCharType="end"/>
        </w:r>
      </w:hyperlink>
    </w:p>
    <w:p w14:paraId="42A3CE35" w14:textId="03F2BAFA"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5" w:history="1">
        <w:r w:rsidR="00465F3F" w:rsidRPr="00560A9D">
          <w:rPr>
            <w:rStyle w:val="Hyperlink"/>
            <w:noProof/>
          </w:rPr>
          <w:t>Table 11: Stakeholder views on regulatory options throughout consultation</w:t>
        </w:r>
        <w:r w:rsidR="00465F3F">
          <w:rPr>
            <w:noProof/>
            <w:webHidden/>
          </w:rPr>
          <w:tab/>
        </w:r>
        <w:r w:rsidR="00465F3F">
          <w:rPr>
            <w:noProof/>
            <w:webHidden/>
          </w:rPr>
          <w:fldChar w:fldCharType="begin"/>
        </w:r>
        <w:r w:rsidR="00465F3F">
          <w:rPr>
            <w:noProof/>
            <w:webHidden/>
          </w:rPr>
          <w:instrText xml:space="preserve"> PAGEREF _Toc130390615 \h </w:instrText>
        </w:r>
        <w:r w:rsidR="00465F3F">
          <w:rPr>
            <w:noProof/>
            <w:webHidden/>
          </w:rPr>
        </w:r>
        <w:r w:rsidR="00465F3F">
          <w:rPr>
            <w:noProof/>
            <w:webHidden/>
          </w:rPr>
          <w:fldChar w:fldCharType="separate"/>
        </w:r>
        <w:r w:rsidR="00465F3F">
          <w:rPr>
            <w:noProof/>
            <w:webHidden/>
          </w:rPr>
          <w:t>107</w:t>
        </w:r>
        <w:r w:rsidR="00465F3F">
          <w:rPr>
            <w:noProof/>
            <w:webHidden/>
          </w:rPr>
          <w:fldChar w:fldCharType="end"/>
        </w:r>
      </w:hyperlink>
    </w:p>
    <w:p w14:paraId="212A957B" w14:textId="4996D909"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6" w:history="1">
        <w:r w:rsidR="00465F3F" w:rsidRPr="00560A9D">
          <w:rPr>
            <w:rStyle w:val="Hyperlink"/>
            <w:noProof/>
          </w:rPr>
          <w:t>Table 12: Challenges and risks of implementation of Option 3</w:t>
        </w:r>
        <w:r w:rsidR="00465F3F">
          <w:rPr>
            <w:noProof/>
            <w:webHidden/>
          </w:rPr>
          <w:tab/>
        </w:r>
        <w:r w:rsidR="00465F3F">
          <w:rPr>
            <w:noProof/>
            <w:webHidden/>
          </w:rPr>
          <w:fldChar w:fldCharType="begin"/>
        </w:r>
        <w:r w:rsidR="00465F3F">
          <w:rPr>
            <w:noProof/>
            <w:webHidden/>
          </w:rPr>
          <w:instrText xml:space="preserve"> PAGEREF _Toc130390616 \h </w:instrText>
        </w:r>
        <w:r w:rsidR="00465F3F">
          <w:rPr>
            <w:noProof/>
            <w:webHidden/>
          </w:rPr>
        </w:r>
        <w:r w:rsidR="00465F3F">
          <w:rPr>
            <w:noProof/>
            <w:webHidden/>
          </w:rPr>
          <w:fldChar w:fldCharType="separate"/>
        </w:r>
        <w:r w:rsidR="00465F3F">
          <w:rPr>
            <w:noProof/>
            <w:webHidden/>
          </w:rPr>
          <w:t>113</w:t>
        </w:r>
        <w:r w:rsidR="00465F3F">
          <w:rPr>
            <w:noProof/>
            <w:webHidden/>
          </w:rPr>
          <w:fldChar w:fldCharType="end"/>
        </w:r>
      </w:hyperlink>
    </w:p>
    <w:p w14:paraId="79B55B6F" w14:textId="14D07B72"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7" w:history="1">
        <w:r w:rsidR="00465F3F" w:rsidRPr="00560A9D">
          <w:rPr>
            <w:rStyle w:val="Hyperlink"/>
            <w:noProof/>
          </w:rPr>
          <w:t xml:space="preserve">Table 13: Details of entities, interactions and incentives within the current </w:t>
        </w:r>
        <w:r w:rsidR="004D35CA">
          <w:rPr>
            <w:rStyle w:val="Hyperlink"/>
            <w:noProof/>
          </w:rPr>
          <w:t>AGDIS</w:t>
        </w:r>
        <w:r w:rsidR="00465F3F">
          <w:rPr>
            <w:noProof/>
            <w:webHidden/>
          </w:rPr>
          <w:tab/>
        </w:r>
        <w:r w:rsidR="00465F3F">
          <w:rPr>
            <w:noProof/>
            <w:webHidden/>
          </w:rPr>
          <w:fldChar w:fldCharType="begin"/>
        </w:r>
        <w:r w:rsidR="00465F3F">
          <w:rPr>
            <w:noProof/>
            <w:webHidden/>
          </w:rPr>
          <w:instrText xml:space="preserve"> PAGEREF _Toc130390617 \h </w:instrText>
        </w:r>
        <w:r w:rsidR="00465F3F">
          <w:rPr>
            <w:noProof/>
            <w:webHidden/>
          </w:rPr>
        </w:r>
        <w:r w:rsidR="00465F3F">
          <w:rPr>
            <w:noProof/>
            <w:webHidden/>
          </w:rPr>
          <w:fldChar w:fldCharType="separate"/>
        </w:r>
        <w:r w:rsidR="00465F3F">
          <w:rPr>
            <w:noProof/>
            <w:webHidden/>
          </w:rPr>
          <w:t>124</w:t>
        </w:r>
        <w:r w:rsidR="00465F3F">
          <w:rPr>
            <w:noProof/>
            <w:webHidden/>
          </w:rPr>
          <w:fldChar w:fldCharType="end"/>
        </w:r>
      </w:hyperlink>
    </w:p>
    <w:p w14:paraId="3D81A3AA" w14:textId="1D1C823B"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8" w:history="1">
        <w:r w:rsidR="00465F3F" w:rsidRPr="00560A9D">
          <w:rPr>
            <w:rStyle w:val="Hyperlink"/>
            <w:noProof/>
          </w:rPr>
          <w:t xml:space="preserve">Table 14: Details of potential entities, interactions and incentives in an expanded </w:t>
        </w:r>
        <w:r w:rsidR="004D35CA">
          <w:rPr>
            <w:rStyle w:val="Hyperlink"/>
            <w:noProof/>
          </w:rPr>
          <w:t>AGDIS</w:t>
        </w:r>
        <w:r w:rsidR="00465F3F">
          <w:rPr>
            <w:noProof/>
            <w:webHidden/>
          </w:rPr>
          <w:tab/>
        </w:r>
        <w:r w:rsidR="00465F3F">
          <w:rPr>
            <w:noProof/>
            <w:webHidden/>
          </w:rPr>
          <w:fldChar w:fldCharType="begin"/>
        </w:r>
        <w:r w:rsidR="00465F3F">
          <w:rPr>
            <w:noProof/>
            <w:webHidden/>
          </w:rPr>
          <w:instrText xml:space="preserve"> PAGEREF _Toc130390618 \h </w:instrText>
        </w:r>
        <w:r w:rsidR="00465F3F">
          <w:rPr>
            <w:noProof/>
            <w:webHidden/>
          </w:rPr>
        </w:r>
        <w:r w:rsidR="00465F3F">
          <w:rPr>
            <w:noProof/>
            <w:webHidden/>
          </w:rPr>
          <w:fldChar w:fldCharType="separate"/>
        </w:r>
        <w:r w:rsidR="00465F3F">
          <w:rPr>
            <w:noProof/>
            <w:webHidden/>
          </w:rPr>
          <w:t>129</w:t>
        </w:r>
        <w:r w:rsidR="00465F3F">
          <w:rPr>
            <w:noProof/>
            <w:webHidden/>
          </w:rPr>
          <w:fldChar w:fldCharType="end"/>
        </w:r>
      </w:hyperlink>
    </w:p>
    <w:p w14:paraId="317091CB" w14:textId="1767AD11"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19" w:history="1">
        <w:r w:rsidR="00465F3F" w:rsidRPr="00560A9D">
          <w:rPr>
            <w:rStyle w:val="Hyperlink"/>
            <w:noProof/>
          </w:rPr>
          <w:t>Table 15: Program's previous and relevant consultations held to date</w:t>
        </w:r>
        <w:r w:rsidR="00465F3F">
          <w:rPr>
            <w:noProof/>
            <w:webHidden/>
          </w:rPr>
          <w:tab/>
        </w:r>
        <w:r w:rsidR="00465F3F">
          <w:rPr>
            <w:noProof/>
            <w:webHidden/>
          </w:rPr>
          <w:fldChar w:fldCharType="begin"/>
        </w:r>
        <w:r w:rsidR="00465F3F">
          <w:rPr>
            <w:noProof/>
            <w:webHidden/>
          </w:rPr>
          <w:instrText xml:space="preserve"> PAGEREF _Toc130390619 \h </w:instrText>
        </w:r>
        <w:r w:rsidR="00465F3F">
          <w:rPr>
            <w:noProof/>
            <w:webHidden/>
          </w:rPr>
        </w:r>
        <w:r w:rsidR="00465F3F">
          <w:rPr>
            <w:noProof/>
            <w:webHidden/>
          </w:rPr>
          <w:fldChar w:fldCharType="separate"/>
        </w:r>
        <w:r w:rsidR="00465F3F">
          <w:rPr>
            <w:noProof/>
            <w:webHidden/>
          </w:rPr>
          <w:t>134</w:t>
        </w:r>
        <w:r w:rsidR="00465F3F">
          <w:rPr>
            <w:noProof/>
            <w:webHidden/>
          </w:rPr>
          <w:fldChar w:fldCharType="end"/>
        </w:r>
      </w:hyperlink>
    </w:p>
    <w:p w14:paraId="4695D4D7" w14:textId="12440C9A"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0" w:history="1">
        <w:r w:rsidR="00465F3F" w:rsidRPr="00560A9D">
          <w:rPr>
            <w:rStyle w:val="Hyperlink"/>
            <w:noProof/>
          </w:rPr>
          <w:t>Table 15: Key findings and themes from the October 2021 Exposure Draft package consultation round</w:t>
        </w:r>
        <w:r w:rsidR="00465F3F">
          <w:rPr>
            <w:noProof/>
            <w:webHidden/>
          </w:rPr>
          <w:tab/>
        </w:r>
        <w:r w:rsidR="00465F3F">
          <w:rPr>
            <w:noProof/>
            <w:webHidden/>
          </w:rPr>
          <w:fldChar w:fldCharType="begin"/>
        </w:r>
        <w:r w:rsidR="00465F3F">
          <w:rPr>
            <w:noProof/>
            <w:webHidden/>
          </w:rPr>
          <w:instrText xml:space="preserve"> PAGEREF _Toc130390620 \h </w:instrText>
        </w:r>
        <w:r w:rsidR="00465F3F">
          <w:rPr>
            <w:noProof/>
            <w:webHidden/>
          </w:rPr>
        </w:r>
        <w:r w:rsidR="00465F3F">
          <w:rPr>
            <w:noProof/>
            <w:webHidden/>
          </w:rPr>
          <w:fldChar w:fldCharType="separate"/>
        </w:r>
        <w:r w:rsidR="00465F3F">
          <w:rPr>
            <w:noProof/>
            <w:webHidden/>
          </w:rPr>
          <w:t>138</w:t>
        </w:r>
        <w:r w:rsidR="00465F3F">
          <w:rPr>
            <w:noProof/>
            <w:webHidden/>
          </w:rPr>
          <w:fldChar w:fldCharType="end"/>
        </w:r>
      </w:hyperlink>
    </w:p>
    <w:p w14:paraId="7D130981" w14:textId="305A5B07"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1" w:history="1">
        <w:r w:rsidR="00465F3F" w:rsidRPr="00560A9D">
          <w:rPr>
            <w:rStyle w:val="Hyperlink"/>
            <w:noProof/>
          </w:rPr>
          <w:t>Table 16: Evolution of stakeholder views on the Program over consultation</w:t>
        </w:r>
        <w:r w:rsidR="00465F3F">
          <w:rPr>
            <w:noProof/>
            <w:webHidden/>
          </w:rPr>
          <w:tab/>
        </w:r>
        <w:r w:rsidR="00465F3F">
          <w:rPr>
            <w:noProof/>
            <w:webHidden/>
          </w:rPr>
          <w:fldChar w:fldCharType="begin"/>
        </w:r>
        <w:r w:rsidR="00465F3F">
          <w:rPr>
            <w:noProof/>
            <w:webHidden/>
          </w:rPr>
          <w:instrText xml:space="preserve"> PAGEREF _Toc130390621 \h </w:instrText>
        </w:r>
        <w:r w:rsidR="00465F3F">
          <w:rPr>
            <w:noProof/>
            <w:webHidden/>
          </w:rPr>
        </w:r>
        <w:r w:rsidR="00465F3F">
          <w:rPr>
            <w:noProof/>
            <w:webHidden/>
          </w:rPr>
          <w:fldChar w:fldCharType="separate"/>
        </w:r>
        <w:r w:rsidR="00465F3F">
          <w:rPr>
            <w:noProof/>
            <w:webHidden/>
          </w:rPr>
          <w:t>140</w:t>
        </w:r>
        <w:r w:rsidR="00465F3F">
          <w:rPr>
            <w:noProof/>
            <w:webHidden/>
          </w:rPr>
          <w:fldChar w:fldCharType="end"/>
        </w:r>
      </w:hyperlink>
    </w:p>
    <w:p w14:paraId="5E608C0D" w14:textId="14988790"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2" w:history="1">
        <w:r w:rsidR="00465F3F" w:rsidRPr="00560A9D">
          <w:rPr>
            <w:rStyle w:val="Hyperlink"/>
            <w:noProof/>
          </w:rPr>
          <w:t>Table 17: Option 2 estimated per-entity annual regulatory costs across 10-years of regulation (per the Regulatory Burden Measurement Framework)</w:t>
        </w:r>
        <w:r w:rsidR="00465F3F">
          <w:rPr>
            <w:noProof/>
            <w:webHidden/>
          </w:rPr>
          <w:tab/>
        </w:r>
        <w:r w:rsidR="00465F3F">
          <w:rPr>
            <w:noProof/>
            <w:webHidden/>
          </w:rPr>
          <w:fldChar w:fldCharType="begin"/>
        </w:r>
        <w:r w:rsidR="00465F3F">
          <w:rPr>
            <w:noProof/>
            <w:webHidden/>
          </w:rPr>
          <w:instrText xml:space="preserve"> PAGEREF _Toc130390622 \h </w:instrText>
        </w:r>
        <w:r w:rsidR="00465F3F">
          <w:rPr>
            <w:noProof/>
            <w:webHidden/>
          </w:rPr>
        </w:r>
        <w:r w:rsidR="00465F3F">
          <w:rPr>
            <w:noProof/>
            <w:webHidden/>
          </w:rPr>
          <w:fldChar w:fldCharType="separate"/>
        </w:r>
        <w:r w:rsidR="00465F3F">
          <w:rPr>
            <w:noProof/>
            <w:webHidden/>
          </w:rPr>
          <w:t>148</w:t>
        </w:r>
        <w:r w:rsidR="00465F3F">
          <w:rPr>
            <w:noProof/>
            <w:webHidden/>
          </w:rPr>
          <w:fldChar w:fldCharType="end"/>
        </w:r>
      </w:hyperlink>
    </w:p>
    <w:p w14:paraId="38E9C808" w14:textId="2DB2BC31"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3" w:history="1">
        <w:r w:rsidR="00465F3F" w:rsidRPr="00560A9D">
          <w:rPr>
            <w:rStyle w:val="Hyperlink"/>
            <w:noProof/>
          </w:rPr>
          <w:t>Table 18: Option 2 expected year on year System uptake of GBE relying parties</w:t>
        </w:r>
        <w:r w:rsidR="00465F3F">
          <w:rPr>
            <w:noProof/>
            <w:webHidden/>
          </w:rPr>
          <w:tab/>
        </w:r>
        <w:r w:rsidR="00465F3F">
          <w:rPr>
            <w:noProof/>
            <w:webHidden/>
          </w:rPr>
          <w:fldChar w:fldCharType="begin"/>
        </w:r>
        <w:r w:rsidR="00465F3F">
          <w:rPr>
            <w:noProof/>
            <w:webHidden/>
          </w:rPr>
          <w:instrText xml:space="preserve"> PAGEREF _Toc130390623 \h </w:instrText>
        </w:r>
        <w:r w:rsidR="00465F3F">
          <w:rPr>
            <w:noProof/>
            <w:webHidden/>
          </w:rPr>
        </w:r>
        <w:r w:rsidR="00465F3F">
          <w:rPr>
            <w:noProof/>
            <w:webHidden/>
          </w:rPr>
          <w:fldChar w:fldCharType="separate"/>
        </w:r>
        <w:r w:rsidR="00465F3F">
          <w:rPr>
            <w:noProof/>
            <w:webHidden/>
          </w:rPr>
          <w:t>148</w:t>
        </w:r>
        <w:r w:rsidR="00465F3F">
          <w:rPr>
            <w:noProof/>
            <w:webHidden/>
          </w:rPr>
          <w:fldChar w:fldCharType="end"/>
        </w:r>
      </w:hyperlink>
    </w:p>
    <w:p w14:paraId="7BABB7AA" w14:textId="41E9111C"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4" w:history="1">
        <w:r w:rsidR="00465F3F" w:rsidRPr="00560A9D">
          <w:rPr>
            <w:rStyle w:val="Hyperlink"/>
            <w:noProof/>
          </w:rPr>
          <w:t>Table 19: Option 3 estimated per-entity annual regulatory costs across 10-years of regulation (per the Regulatory Burden Measurement Framework)</w:t>
        </w:r>
        <w:r w:rsidR="00465F3F">
          <w:rPr>
            <w:noProof/>
            <w:webHidden/>
          </w:rPr>
          <w:tab/>
        </w:r>
        <w:r w:rsidR="00465F3F">
          <w:rPr>
            <w:noProof/>
            <w:webHidden/>
          </w:rPr>
          <w:fldChar w:fldCharType="begin"/>
        </w:r>
        <w:r w:rsidR="00465F3F">
          <w:rPr>
            <w:noProof/>
            <w:webHidden/>
          </w:rPr>
          <w:instrText xml:space="preserve"> PAGEREF _Toc130390624 \h </w:instrText>
        </w:r>
        <w:r w:rsidR="00465F3F">
          <w:rPr>
            <w:noProof/>
            <w:webHidden/>
          </w:rPr>
        </w:r>
        <w:r w:rsidR="00465F3F">
          <w:rPr>
            <w:noProof/>
            <w:webHidden/>
          </w:rPr>
          <w:fldChar w:fldCharType="separate"/>
        </w:r>
        <w:r w:rsidR="00465F3F">
          <w:rPr>
            <w:noProof/>
            <w:webHidden/>
          </w:rPr>
          <w:t>151</w:t>
        </w:r>
        <w:r w:rsidR="00465F3F">
          <w:rPr>
            <w:noProof/>
            <w:webHidden/>
          </w:rPr>
          <w:fldChar w:fldCharType="end"/>
        </w:r>
      </w:hyperlink>
    </w:p>
    <w:p w14:paraId="05B1F005" w14:textId="75C65E85"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5" w:history="1">
        <w:r w:rsidR="00465F3F" w:rsidRPr="00560A9D">
          <w:rPr>
            <w:rStyle w:val="Hyperlink"/>
            <w:noProof/>
          </w:rPr>
          <w:t>Table 20: Option 3 expected year on year System uptake of relying parties</w:t>
        </w:r>
        <w:r w:rsidR="00465F3F">
          <w:rPr>
            <w:noProof/>
            <w:webHidden/>
          </w:rPr>
          <w:tab/>
        </w:r>
        <w:r w:rsidR="00465F3F">
          <w:rPr>
            <w:noProof/>
            <w:webHidden/>
          </w:rPr>
          <w:fldChar w:fldCharType="begin"/>
        </w:r>
        <w:r w:rsidR="00465F3F">
          <w:rPr>
            <w:noProof/>
            <w:webHidden/>
          </w:rPr>
          <w:instrText xml:space="preserve"> PAGEREF _Toc130390625 \h </w:instrText>
        </w:r>
        <w:r w:rsidR="00465F3F">
          <w:rPr>
            <w:noProof/>
            <w:webHidden/>
          </w:rPr>
        </w:r>
        <w:r w:rsidR="00465F3F">
          <w:rPr>
            <w:noProof/>
            <w:webHidden/>
          </w:rPr>
          <w:fldChar w:fldCharType="separate"/>
        </w:r>
        <w:r w:rsidR="00465F3F">
          <w:rPr>
            <w:noProof/>
            <w:webHidden/>
          </w:rPr>
          <w:t>151</w:t>
        </w:r>
        <w:r w:rsidR="00465F3F">
          <w:rPr>
            <w:noProof/>
            <w:webHidden/>
          </w:rPr>
          <w:fldChar w:fldCharType="end"/>
        </w:r>
      </w:hyperlink>
    </w:p>
    <w:p w14:paraId="16519BA7" w14:textId="76A1999A"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6" w:history="1">
        <w:r w:rsidR="00465F3F" w:rsidRPr="00560A9D">
          <w:rPr>
            <w:rStyle w:val="Hyperlink"/>
            <w:noProof/>
          </w:rPr>
          <w:t>Table 21: Option 3 expected year on year System uptake of accredited entities</w:t>
        </w:r>
        <w:r w:rsidR="00465F3F">
          <w:rPr>
            <w:noProof/>
            <w:webHidden/>
          </w:rPr>
          <w:tab/>
        </w:r>
        <w:r w:rsidR="00465F3F">
          <w:rPr>
            <w:noProof/>
            <w:webHidden/>
          </w:rPr>
          <w:fldChar w:fldCharType="begin"/>
        </w:r>
        <w:r w:rsidR="00465F3F">
          <w:rPr>
            <w:noProof/>
            <w:webHidden/>
          </w:rPr>
          <w:instrText xml:space="preserve"> PAGEREF _Toc130390626 \h </w:instrText>
        </w:r>
        <w:r w:rsidR="00465F3F">
          <w:rPr>
            <w:noProof/>
            <w:webHidden/>
          </w:rPr>
        </w:r>
        <w:r w:rsidR="00465F3F">
          <w:rPr>
            <w:noProof/>
            <w:webHidden/>
          </w:rPr>
          <w:fldChar w:fldCharType="separate"/>
        </w:r>
        <w:r w:rsidR="00465F3F">
          <w:rPr>
            <w:noProof/>
            <w:webHidden/>
          </w:rPr>
          <w:t>152</w:t>
        </w:r>
        <w:r w:rsidR="00465F3F">
          <w:rPr>
            <w:noProof/>
            <w:webHidden/>
          </w:rPr>
          <w:fldChar w:fldCharType="end"/>
        </w:r>
      </w:hyperlink>
    </w:p>
    <w:p w14:paraId="53CD131C" w14:textId="5BA191BC" w:rsidR="00465F3F" w:rsidRDefault="006E3B9A">
      <w:pPr>
        <w:pStyle w:val="TableofFigures"/>
        <w:tabs>
          <w:tab w:val="right" w:leader="dot" w:pos="9061"/>
        </w:tabs>
        <w:rPr>
          <w:rFonts w:asciiTheme="minorHAnsi" w:eastAsiaTheme="minorEastAsia" w:hAnsiTheme="minorHAnsi" w:cstheme="minorBidi"/>
          <w:i w:val="0"/>
          <w:noProof/>
          <w:sz w:val="22"/>
          <w:szCs w:val="22"/>
        </w:rPr>
      </w:pPr>
      <w:hyperlink w:anchor="_Toc130390627" w:history="1">
        <w:r w:rsidR="00465F3F" w:rsidRPr="00560A9D">
          <w:rPr>
            <w:rStyle w:val="Hyperlink"/>
            <w:noProof/>
          </w:rPr>
          <w:t>Table 22: Option 3 expected year on year system uptake for onboarded accredited entities</w:t>
        </w:r>
        <w:r w:rsidR="00465F3F">
          <w:rPr>
            <w:noProof/>
            <w:webHidden/>
          </w:rPr>
          <w:tab/>
        </w:r>
        <w:r w:rsidR="00465F3F">
          <w:rPr>
            <w:noProof/>
            <w:webHidden/>
          </w:rPr>
          <w:fldChar w:fldCharType="begin"/>
        </w:r>
        <w:r w:rsidR="00465F3F">
          <w:rPr>
            <w:noProof/>
            <w:webHidden/>
          </w:rPr>
          <w:instrText xml:space="preserve"> PAGEREF _Toc130390627 \h </w:instrText>
        </w:r>
        <w:r w:rsidR="00465F3F">
          <w:rPr>
            <w:noProof/>
            <w:webHidden/>
          </w:rPr>
        </w:r>
        <w:r w:rsidR="00465F3F">
          <w:rPr>
            <w:noProof/>
            <w:webHidden/>
          </w:rPr>
          <w:fldChar w:fldCharType="separate"/>
        </w:r>
        <w:r w:rsidR="00465F3F">
          <w:rPr>
            <w:noProof/>
            <w:webHidden/>
          </w:rPr>
          <w:t>153</w:t>
        </w:r>
        <w:r w:rsidR="00465F3F">
          <w:rPr>
            <w:noProof/>
            <w:webHidden/>
          </w:rPr>
          <w:fldChar w:fldCharType="end"/>
        </w:r>
      </w:hyperlink>
    </w:p>
    <w:p w14:paraId="4058A4C5" w14:textId="58C9056A" w:rsidR="00F76BDB" w:rsidRDefault="00921A60" w:rsidP="008C4F9F">
      <w:pPr>
        <w:pStyle w:val="BodyText"/>
        <w:rPr>
          <w:rFonts w:eastAsia="Yu Gothic Light"/>
          <w:iCs/>
          <w:color w:val="2F5496"/>
          <w:sz w:val="32"/>
          <w:szCs w:val="32"/>
          <w:lang w:eastAsia="en-US"/>
        </w:rPr>
      </w:pPr>
      <w:r w:rsidRPr="008C4F9F">
        <w:rPr>
          <w:lang w:eastAsia="en-US"/>
        </w:rPr>
        <w:lastRenderedPageBreak/>
        <w:fldChar w:fldCharType="end"/>
      </w:r>
      <w:r w:rsidR="00F76BDB">
        <w:rPr>
          <w:rFonts w:eastAsia="Yu Gothic Light"/>
          <w:iCs/>
          <w:color w:val="2F5496"/>
          <w:sz w:val="32"/>
          <w:szCs w:val="32"/>
          <w:lang w:eastAsia="en-US"/>
        </w:rPr>
        <w:br w:type="page"/>
      </w:r>
    </w:p>
    <w:p w14:paraId="4927CA4C" w14:textId="62084BEA" w:rsidR="00F76BDB" w:rsidRPr="004D35CA" w:rsidRDefault="00F76BDB" w:rsidP="00F76BDB">
      <w:pPr>
        <w:pStyle w:val="Heading1NoNumbers"/>
        <w:rPr>
          <w:color w:val="008675"/>
          <w:lang w:eastAsia="en-US"/>
        </w:rPr>
      </w:pPr>
      <w:bookmarkStart w:id="755" w:name="_Toc149740384"/>
      <w:bookmarkStart w:id="756" w:name="AppendixG"/>
      <w:r w:rsidRPr="004D35CA">
        <w:rPr>
          <w:color w:val="008675"/>
          <w:lang w:eastAsia="en-US"/>
        </w:rPr>
        <w:lastRenderedPageBreak/>
        <w:t xml:space="preserve">Appendix G </w:t>
      </w:r>
      <w:r w:rsidRPr="004D35CA">
        <w:rPr>
          <w:color w:val="008675"/>
        </w:rPr>
        <w:t>–</w:t>
      </w:r>
      <w:r w:rsidRPr="004D35CA">
        <w:rPr>
          <w:color w:val="008675"/>
          <w:lang w:eastAsia="en-US"/>
        </w:rPr>
        <w:t xml:space="preserve"> Risk Matrix</w:t>
      </w:r>
      <w:bookmarkEnd w:id="755"/>
    </w:p>
    <w:bookmarkEnd w:id="756"/>
    <w:p w14:paraId="5600ED5D" w14:textId="495BB6E5" w:rsidR="00F76BDB" w:rsidRPr="00F76BDB" w:rsidRDefault="00187429" w:rsidP="00BB5FD5">
      <w:pPr>
        <w:pStyle w:val="BodyText"/>
        <w:spacing w:after="240"/>
        <w:rPr>
          <w:lang w:eastAsia="en-US"/>
        </w:rPr>
      </w:pPr>
      <w:r>
        <w:rPr>
          <w:lang w:eastAsia="en-US"/>
        </w:rPr>
        <w:t xml:space="preserve">The </w:t>
      </w:r>
      <w:r w:rsidR="00F76BDB">
        <w:rPr>
          <w:lang w:eastAsia="en-US"/>
        </w:rPr>
        <w:t xml:space="preserve">Risk Matrix used for assessing implementation risks (both untreated and residual) in </w:t>
      </w:r>
      <w:hyperlink w:anchor="Section12" w:history="1">
        <w:r w:rsidR="00F76BDB" w:rsidRPr="004D35CA">
          <w:rPr>
            <w:rStyle w:val="Hyperlink"/>
            <w:color w:val="008675"/>
            <w:lang w:eastAsia="en-US"/>
          </w:rPr>
          <w:t>Section 12</w:t>
        </w:r>
      </w:hyperlink>
      <w:r>
        <w:rPr>
          <w:lang w:eastAsia="en-US"/>
        </w:rPr>
        <w:t xml:space="preserve"> is set out below</w:t>
      </w:r>
      <w:r w:rsidR="00F76BDB">
        <w:rPr>
          <w:lang w:eastAsia="en-US"/>
        </w:rPr>
        <w:t>.</w:t>
      </w:r>
    </w:p>
    <w:tbl>
      <w:tblPr>
        <w:tblStyle w:val="TableGrid"/>
        <w:tblW w:w="9356" w:type="dxa"/>
        <w:tblBorders>
          <w:top w:val="none" w:sz="0" w:space="0" w:color="auto"/>
          <w:left w:val="none" w:sz="0" w:space="0" w:color="auto"/>
          <w:bottom w:val="single" w:sz="4" w:space="0" w:color="6ECFF5"/>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581"/>
        <w:gridCol w:w="1120"/>
        <w:gridCol w:w="1418"/>
        <w:gridCol w:w="1276"/>
        <w:gridCol w:w="1364"/>
        <w:gridCol w:w="1227"/>
        <w:gridCol w:w="1185"/>
        <w:gridCol w:w="1185"/>
      </w:tblGrid>
      <w:tr w:rsidR="004143E5" w14:paraId="299FCC65" w14:textId="77777777" w:rsidTr="00CC6A2D">
        <w:trPr>
          <w:trHeight w:val="567"/>
        </w:trPr>
        <w:tc>
          <w:tcPr>
            <w:tcW w:w="3119" w:type="dxa"/>
            <w:gridSpan w:val="3"/>
            <w:vMerge w:val="restart"/>
            <w:tcBorders>
              <w:right w:val="single" w:sz="4" w:space="0" w:color="auto"/>
            </w:tcBorders>
            <w:vAlign w:val="center"/>
          </w:tcPr>
          <w:p w14:paraId="7277CD9D" w14:textId="77777777" w:rsidR="00E34CF7" w:rsidRDefault="00E34CF7" w:rsidP="00022F37">
            <w:pPr>
              <w:spacing w:beforeLines="60" w:before="144" w:afterLines="60" w:after="144" w:line="259" w:lineRule="auto"/>
              <w:rPr>
                <w:rFonts w:eastAsia="Yu Gothic Light"/>
                <w:iCs/>
                <w:color w:val="2F5496"/>
                <w:sz w:val="32"/>
                <w:szCs w:val="32"/>
                <w:lang w:eastAsia="en-US"/>
              </w:rPr>
            </w:pPr>
          </w:p>
        </w:tc>
        <w:tc>
          <w:tcPr>
            <w:tcW w:w="6237" w:type="dxa"/>
            <w:gridSpan w:val="5"/>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791805B4" w14:textId="77777777" w:rsidR="00E34CF7" w:rsidRPr="001E0248" w:rsidRDefault="00E34CF7" w:rsidP="00022F37">
            <w:pPr>
              <w:pStyle w:val="TableTitle"/>
              <w:spacing w:beforeLines="60" w:before="144" w:afterLines="60" w:after="144" w:line="240" w:lineRule="auto"/>
              <w:rPr>
                <w:rFonts w:eastAsia="Yu Gothic Light"/>
                <w:b/>
                <w:bCs/>
                <w:i w:val="0"/>
                <w:iCs/>
                <w:lang w:eastAsia="en-US"/>
              </w:rPr>
            </w:pPr>
            <w:r w:rsidRPr="001E0248">
              <w:rPr>
                <w:rFonts w:eastAsia="Yu Gothic Light"/>
                <w:b/>
                <w:bCs/>
                <w:i w:val="0"/>
                <w:iCs/>
                <w:color w:val="2C476E" w:themeColor="accent1"/>
                <w:lang w:eastAsia="en-US"/>
              </w:rPr>
              <w:t>Consequence</w:t>
            </w:r>
          </w:p>
        </w:tc>
      </w:tr>
      <w:tr w:rsidR="00A652DE" w14:paraId="4CABA920" w14:textId="77777777" w:rsidTr="0000363A">
        <w:trPr>
          <w:trHeight w:val="397"/>
        </w:trPr>
        <w:tc>
          <w:tcPr>
            <w:tcW w:w="3119" w:type="dxa"/>
            <w:gridSpan w:val="3"/>
            <w:vMerge/>
            <w:tcBorders>
              <w:right w:val="single" w:sz="4" w:space="0" w:color="auto"/>
            </w:tcBorders>
            <w:vAlign w:val="center"/>
          </w:tcPr>
          <w:p w14:paraId="7270F7DC" w14:textId="77777777" w:rsidR="00E34CF7" w:rsidRDefault="00E34CF7" w:rsidP="00022F37">
            <w:pPr>
              <w:spacing w:before="0" w:after="160" w:line="259" w:lineRule="auto"/>
              <w:rPr>
                <w:rFonts w:eastAsia="Yu Gothic Light"/>
                <w:iCs/>
                <w:color w:val="2F5496"/>
                <w:sz w:val="32"/>
                <w:szCs w:val="32"/>
                <w:lang w:eastAsia="en-US"/>
              </w:rPr>
            </w:pPr>
          </w:p>
        </w:tc>
        <w:tc>
          <w:tcPr>
            <w:tcW w:w="1276" w:type="dxa"/>
            <w:tcBorders>
              <w:top w:val="single" w:sz="4" w:space="0" w:color="000000" w:themeColor="text1"/>
              <w:left w:val="single" w:sz="4" w:space="0" w:color="auto"/>
              <w:bottom w:val="single" w:sz="4" w:space="0" w:color="000000" w:themeColor="text1"/>
            </w:tcBorders>
            <w:shd w:val="clear" w:color="auto" w:fill="auto"/>
            <w:vAlign w:val="center"/>
          </w:tcPr>
          <w:p w14:paraId="72E1A376" w14:textId="77777777" w:rsidR="00E34CF7" w:rsidRPr="0098599E" w:rsidRDefault="00E34CF7" w:rsidP="00022F37">
            <w:pPr>
              <w:pStyle w:val="TableTextLeft"/>
              <w:rPr>
                <w:rFonts w:eastAsia="Yu Gothic Light"/>
                <w:b/>
                <w:color w:val="2C476E" w:themeColor="accent1"/>
                <w:sz w:val="14"/>
                <w:szCs w:val="18"/>
                <w:lang w:eastAsia="en-US"/>
              </w:rPr>
            </w:pPr>
            <w:r w:rsidRPr="0098599E">
              <w:rPr>
                <w:rFonts w:eastAsia="Yu Gothic Light"/>
                <w:b/>
                <w:color w:val="2C476E" w:themeColor="accent1"/>
                <w:sz w:val="14"/>
                <w:szCs w:val="18"/>
                <w:lang w:eastAsia="en-US"/>
              </w:rPr>
              <w:t>Insignificant</w:t>
            </w:r>
          </w:p>
        </w:tc>
        <w:tc>
          <w:tcPr>
            <w:tcW w:w="1364" w:type="dxa"/>
            <w:shd w:val="clear" w:color="auto" w:fill="auto"/>
            <w:vAlign w:val="center"/>
          </w:tcPr>
          <w:p w14:paraId="5548DF7A" w14:textId="77777777" w:rsidR="00E34CF7" w:rsidRPr="0098599E" w:rsidRDefault="00E34CF7" w:rsidP="00022F37">
            <w:pPr>
              <w:pStyle w:val="TableTextLeft"/>
              <w:rPr>
                <w:rFonts w:eastAsia="Yu Gothic Light"/>
                <w:b/>
                <w:color w:val="2C476E" w:themeColor="accent1"/>
                <w:sz w:val="14"/>
                <w:szCs w:val="18"/>
                <w:lang w:eastAsia="en-US"/>
              </w:rPr>
            </w:pPr>
            <w:r w:rsidRPr="0098599E">
              <w:rPr>
                <w:rFonts w:eastAsia="Yu Gothic Light"/>
                <w:b/>
                <w:color w:val="2C476E" w:themeColor="accent1"/>
                <w:sz w:val="14"/>
                <w:szCs w:val="18"/>
                <w:lang w:eastAsia="en-US"/>
              </w:rPr>
              <w:t>Minimal</w:t>
            </w:r>
          </w:p>
        </w:tc>
        <w:tc>
          <w:tcPr>
            <w:tcW w:w="1227" w:type="dxa"/>
            <w:shd w:val="clear" w:color="auto" w:fill="auto"/>
            <w:vAlign w:val="center"/>
          </w:tcPr>
          <w:p w14:paraId="67B21DAA" w14:textId="77777777" w:rsidR="00E34CF7" w:rsidRPr="0098599E" w:rsidRDefault="00E34CF7" w:rsidP="00022F37">
            <w:pPr>
              <w:pStyle w:val="TableTextLeft"/>
              <w:rPr>
                <w:rFonts w:eastAsia="Yu Gothic Light"/>
                <w:b/>
                <w:color w:val="2C476E" w:themeColor="accent1"/>
                <w:sz w:val="14"/>
                <w:szCs w:val="18"/>
                <w:lang w:eastAsia="en-US"/>
              </w:rPr>
            </w:pPr>
            <w:r w:rsidRPr="0098599E">
              <w:rPr>
                <w:rFonts w:eastAsia="Yu Gothic Light"/>
                <w:b/>
                <w:color w:val="2C476E" w:themeColor="accent1"/>
                <w:sz w:val="14"/>
                <w:szCs w:val="18"/>
                <w:lang w:eastAsia="en-US"/>
              </w:rPr>
              <w:t>Medium</w:t>
            </w:r>
          </w:p>
        </w:tc>
        <w:tc>
          <w:tcPr>
            <w:tcW w:w="1185" w:type="dxa"/>
            <w:shd w:val="clear" w:color="auto" w:fill="auto"/>
            <w:vAlign w:val="center"/>
          </w:tcPr>
          <w:p w14:paraId="3728F480" w14:textId="77777777" w:rsidR="00E34CF7" w:rsidRPr="0098599E" w:rsidRDefault="00E34CF7" w:rsidP="00022F37">
            <w:pPr>
              <w:pStyle w:val="TableTextLeft"/>
              <w:rPr>
                <w:rFonts w:eastAsia="Yu Gothic Light"/>
                <w:b/>
                <w:color w:val="2C476E" w:themeColor="accent1"/>
                <w:sz w:val="14"/>
                <w:szCs w:val="18"/>
                <w:lang w:eastAsia="en-US"/>
              </w:rPr>
            </w:pPr>
            <w:r w:rsidRPr="0098599E">
              <w:rPr>
                <w:rFonts w:eastAsia="Yu Gothic Light"/>
                <w:b/>
                <w:color w:val="2C476E" w:themeColor="accent1"/>
                <w:sz w:val="14"/>
                <w:szCs w:val="18"/>
                <w:lang w:eastAsia="en-US"/>
              </w:rPr>
              <w:t>Major</w:t>
            </w:r>
          </w:p>
        </w:tc>
        <w:tc>
          <w:tcPr>
            <w:tcW w:w="1185" w:type="dxa"/>
            <w:tcBorders>
              <w:right w:val="single" w:sz="4" w:space="0" w:color="auto"/>
            </w:tcBorders>
            <w:shd w:val="clear" w:color="auto" w:fill="auto"/>
            <w:vAlign w:val="center"/>
          </w:tcPr>
          <w:p w14:paraId="3938A200" w14:textId="77777777" w:rsidR="00E34CF7" w:rsidRPr="0098599E" w:rsidRDefault="00E34CF7" w:rsidP="00022F37">
            <w:pPr>
              <w:pStyle w:val="TableTextLeft"/>
              <w:rPr>
                <w:rFonts w:eastAsia="Yu Gothic Light"/>
                <w:b/>
                <w:color w:val="2C476E" w:themeColor="accent1"/>
                <w:sz w:val="14"/>
                <w:szCs w:val="18"/>
                <w:lang w:eastAsia="en-US"/>
              </w:rPr>
            </w:pPr>
            <w:r w:rsidRPr="0098599E">
              <w:rPr>
                <w:rFonts w:eastAsia="Yu Gothic Light"/>
                <w:b/>
                <w:color w:val="2C476E" w:themeColor="accent1"/>
                <w:sz w:val="14"/>
                <w:szCs w:val="18"/>
                <w:lang w:eastAsia="en-US"/>
              </w:rPr>
              <w:t>Severe</w:t>
            </w:r>
          </w:p>
        </w:tc>
      </w:tr>
      <w:tr w:rsidR="00A652DE" w14:paraId="7712318E" w14:textId="77777777" w:rsidTr="0000363A">
        <w:trPr>
          <w:trHeight w:val="1020"/>
        </w:trPr>
        <w:tc>
          <w:tcPr>
            <w:tcW w:w="3119" w:type="dxa"/>
            <w:gridSpan w:val="3"/>
            <w:vMerge/>
            <w:tcBorders>
              <w:bottom w:val="single" w:sz="4" w:space="0" w:color="auto"/>
              <w:right w:val="single" w:sz="4" w:space="0" w:color="auto"/>
            </w:tcBorders>
            <w:vAlign w:val="center"/>
          </w:tcPr>
          <w:p w14:paraId="70840345" w14:textId="77777777" w:rsidR="00E34CF7" w:rsidRDefault="00E34CF7" w:rsidP="00022F37">
            <w:pPr>
              <w:spacing w:before="0" w:after="160" w:line="259" w:lineRule="auto"/>
              <w:rPr>
                <w:rFonts w:eastAsia="Yu Gothic Light"/>
                <w:iCs/>
                <w:color w:val="2F5496"/>
                <w:sz w:val="32"/>
                <w:szCs w:val="32"/>
                <w:lang w:eastAsia="en-US"/>
              </w:rPr>
            </w:pPr>
          </w:p>
        </w:tc>
        <w:tc>
          <w:tcPr>
            <w:tcW w:w="1276" w:type="dxa"/>
            <w:tcBorders>
              <w:top w:val="single" w:sz="4" w:space="0" w:color="000000" w:themeColor="text1"/>
              <w:left w:val="single" w:sz="4" w:space="0" w:color="auto"/>
              <w:bottom w:val="single" w:sz="4" w:space="0" w:color="000000" w:themeColor="text1"/>
            </w:tcBorders>
            <w:shd w:val="clear" w:color="auto" w:fill="auto"/>
          </w:tcPr>
          <w:p w14:paraId="137E5552" w14:textId="07A4D217" w:rsidR="00E34CF7" w:rsidRDefault="00365036" w:rsidP="00365036">
            <w:pPr>
              <w:pStyle w:val="TableTextLeft"/>
              <w:spacing w:line="276" w:lineRule="auto"/>
              <w:rPr>
                <w:rFonts w:eastAsia="Yu Gothic Light"/>
                <w:lang w:eastAsia="en-US"/>
              </w:rPr>
            </w:pPr>
            <w:r w:rsidRPr="000669C0">
              <w:rPr>
                <w:rFonts w:eastAsia="Yu Gothic Light"/>
                <w:sz w:val="12"/>
                <w:szCs w:val="16"/>
                <w:lang w:eastAsia="en-US"/>
              </w:rPr>
              <w:t>A risk event that if it eventuates, the consequence will have little or no impact</w:t>
            </w:r>
            <w:r w:rsidR="000669C0" w:rsidRPr="000669C0">
              <w:rPr>
                <w:rFonts w:eastAsia="Yu Gothic Light"/>
                <w:sz w:val="12"/>
                <w:szCs w:val="16"/>
                <w:lang w:eastAsia="en-US"/>
              </w:rPr>
              <w:t xml:space="preserve"> </w:t>
            </w:r>
            <w:r w:rsidRPr="000669C0">
              <w:rPr>
                <w:rFonts w:eastAsia="Yu Gothic Light"/>
                <w:sz w:val="12"/>
                <w:szCs w:val="16"/>
                <w:lang w:eastAsia="en-US"/>
              </w:rPr>
              <w:t>on achieving objectives.</w:t>
            </w:r>
          </w:p>
        </w:tc>
        <w:tc>
          <w:tcPr>
            <w:tcW w:w="1364" w:type="dxa"/>
            <w:shd w:val="clear" w:color="auto" w:fill="auto"/>
          </w:tcPr>
          <w:p w14:paraId="709BE9F3" w14:textId="591C5F92" w:rsidR="00E34CF7" w:rsidRPr="00365036" w:rsidRDefault="00365036" w:rsidP="000669C0">
            <w:pPr>
              <w:pStyle w:val="TableTextLeft"/>
              <w:spacing w:line="276" w:lineRule="auto"/>
              <w:rPr>
                <w:rFonts w:eastAsia="Yu Gothic Light"/>
                <w:sz w:val="14"/>
                <w:szCs w:val="18"/>
                <w:lang w:eastAsia="en-US"/>
              </w:rPr>
            </w:pPr>
            <w:r w:rsidRPr="000669C0">
              <w:rPr>
                <w:rFonts w:eastAsia="Yu Gothic Light"/>
                <w:sz w:val="12"/>
                <w:szCs w:val="16"/>
                <w:lang w:eastAsia="en-US"/>
              </w:rPr>
              <w:t>A risk event that is it eventuates, the consequence will have a minor impact on achieving objectives</w:t>
            </w:r>
            <w:r w:rsidR="00DC3323" w:rsidRPr="000669C0">
              <w:rPr>
                <w:rFonts w:eastAsia="Yu Gothic Light"/>
                <w:sz w:val="12"/>
                <w:szCs w:val="16"/>
                <w:lang w:eastAsia="en-US"/>
              </w:rPr>
              <w:t xml:space="preserve">, to the extent that one or more agreed outcomes will fall below </w:t>
            </w:r>
            <w:r w:rsidR="000669C0" w:rsidRPr="000669C0">
              <w:rPr>
                <w:rFonts w:eastAsia="Yu Gothic Light"/>
                <w:sz w:val="12"/>
                <w:szCs w:val="16"/>
                <w:lang w:eastAsia="en-US"/>
              </w:rPr>
              <w:t>expected but well above minimum acceptable levels.</w:t>
            </w:r>
          </w:p>
        </w:tc>
        <w:tc>
          <w:tcPr>
            <w:tcW w:w="1227" w:type="dxa"/>
            <w:shd w:val="clear" w:color="auto" w:fill="auto"/>
          </w:tcPr>
          <w:p w14:paraId="286B1434" w14:textId="5ADD523E" w:rsidR="00E34CF7" w:rsidRPr="000669C0" w:rsidRDefault="000669C0" w:rsidP="000669C0">
            <w:pPr>
              <w:pStyle w:val="TableTextLeft"/>
              <w:spacing w:line="276" w:lineRule="auto"/>
              <w:rPr>
                <w:rFonts w:eastAsia="Yu Gothic Light"/>
                <w:sz w:val="12"/>
                <w:szCs w:val="16"/>
                <w:lang w:eastAsia="en-US"/>
              </w:rPr>
            </w:pPr>
            <w:r>
              <w:rPr>
                <w:rFonts w:eastAsia="Yu Gothic Light"/>
                <w:sz w:val="12"/>
                <w:szCs w:val="16"/>
                <w:lang w:eastAsia="en-US"/>
              </w:rPr>
              <w:t>A risk event that</w:t>
            </w:r>
            <w:r w:rsidR="00AF40DB">
              <w:rPr>
                <w:rFonts w:eastAsia="Yu Gothic Light"/>
                <w:sz w:val="12"/>
                <w:szCs w:val="16"/>
                <w:lang w:eastAsia="en-US"/>
              </w:rPr>
              <w:t xml:space="preserve"> </w:t>
            </w:r>
            <w:r>
              <w:rPr>
                <w:rFonts w:eastAsia="Yu Gothic Light"/>
                <w:sz w:val="12"/>
                <w:szCs w:val="16"/>
                <w:lang w:eastAsia="en-US"/>
              </w:rPr>
              <w:t>if it eventuates, the consequence will have a moderate impact</w:t>
            </w:r>
            <w:r w:rsidR="009221AF">
              <w:rPr>
                <w:rFonts w:eastAsia="Yu Gothic Light"/>
                <w:sz w:val="12"/>
                <w:szCs w:val="16"/>
                <w:lang w:eastAsia="en-US"/>
              </w:rPr>
              <w:t xml:space="preserve"> on achieving objectives, to the extent </w:t>
            </w:r>
            <w:r w:rsidR="00AF40DB">
              <w:rPr>
                <w:rFonts w:eastAsia="Yu Gothic Light"/>
                <w:sz w:val="12"/>
                <w:szCs w:val="16"/>
                <w:lang w:eastAsia="en-US"/>
              </w:rPr>
              <w:t xml:space="preserve">that one or more agreed </w:t>
            </w:r>
            <w:r w:rsidR="00AF40DB" w:rsidRPr="000669C0">
              <w:rPr>
                <w:rFonts w:eastAsia="Yu Gothic Light"/>
                <w:sz w:val="12"/>
                <w:szCs w:val="16"/>
                <w:lang w:eastAsia="en-US"/>
              </w:rPr>
              <w:t>outcomes will fall below expected but above minimum acceptable levels.</w:t>
            </w:r>
          </w:p>
        </w:tc>
        <w:tc>
          <w:tcPr>
            <w:tcW w:w="1185" w:type="dxa"/>
            <w:shd w:val="clear" w:color="auto" w:fill="auto"/>
          </w:tcPr>
          <w:p w14:paraId="2EF2CB5C" w14:textId="5A3CBFE6" w:rsidR="00E34CF7" w:rsidRPr="00AF40DB" w:rsidRDefault="00AF40DB" w:rsidP="00AF40DB">
            <w:pPr>
              <w:pStyle w:val="TableTextLeft"/>
              <w:spacing w:line="276" w:lineRule="auto"/>
              <w:rPr>
                <w:rFonts w:eastAsia="Yu Gothic Light"/>
                <w:sz w:val="12"/>
                <w:szCs w:val="16"/>
                <w:lang w:eastAsia="en-US"/>
              </w:rPr>
            </w:pPr>
            <w:r>
              <w:rPr>
                <w:rFonts w:eastAsia="Yu Gothic Light"/>
                <w:sz w:val="12"/>
                <w:szCs w:val="16"/>
                <w:lang w:eastAsia="en-US"/>
              </w:rPr>
              <w:t>A risk event that if it eventuates, the consequence will have a significant impact on achieving objectives</w:t>
            </w:r>
            <w:r w:rsidR="00EE58B3">
              <w:rPr>
                <w:rFonts w:eastAsia="Yu Gothic Light"/>
                <w:sz w:val="12"/>
                <w:szCs w:val="16"/>
                <w:lang w:eastAsia="en-US"/>
              </w:rPr>
              <w:t xml:space="preserve">, to the extent that one or more agreed </w:t>
            </w:r>
            <w:r w:rsidR="00EE58B3" w:rsidRPr="000669C0">
              <w:rPr>
                <w:rFonts w:eastAsia="Yu Gothic Light"/>
                <w:sz w:val="12"/>
                <w:szCs w:val="16"/>
                <w:lang w:eastAsia="en-US"/>
              </w:rPr>
              <w:t>outcomes will fall below acceptable levels.</w:t>
            </w:r>
          </w:p>
        </w:tc>
        <w:tc>
          <w:tcPr>
            <w:tcW w:w="1185" w:type="dxa"/>
            <w:tcBorders>
              <w:right w:val="single" w:sz="4" w:space="0" w:color="auto"/>
            </w:tcBorders>
            <w:shd w:val="clear" w:color="auto" w:fill="auto"/>
          </w:tcPr>
          <w:p w14:paraId="3370524D" w14:textId="353CAD39" w:rsidR="00E34CF7" w:rsidRDefault="00EE58B3" w:rsidP="00EE58B3">
            <w:pPr>
              <w:pStyle w:val="TableTextLeft"/>
              <w:spacing w:line="276" w:lineRule="auto"/>
              <w:rPr>
                <w:rFonts w:eastAsia="Yu Gothic Light"/>
                <w:iCs/>
                <w:color w:val="2F5496"/>
                <w:sz w:val="32"/>
                <w:szCs w:val="32"/>
                <w:lang w:eastAsia="en-US"/>
              </w:rPr>
            </w:pPr>
            <w:r w:rsidRPr="00EE58B3">
              <w:rPr>
                <w:rFonts w:eastAsia="Yu Gothic Light"/>
                <w:sz w:val="12"/>
                <w:szCs w:val="16"/>
                <w:lang w:eastAsia="en-US"/>
              </w:rPr>
              <w:t>A risk event that if it eventuates, the consequence will have a s</w:t>
            </w:r>
            <w:r w:rsidR="00876BFF">
              <w:rPr>
                <w:rFonts w:eastAsia="Yu Gothic Light"/>
                <w:sz w:val="12"/>
                <w:szCs w:val="16"/>
                <w:lang w:eastAsia="en-US"/>
              </w:rPr>
              <w:t>evere</w:t>
            </w:r>
            <w:r w:rsidRPr="00EE58B3">
              <w:rPr>
                <w:rFonts w:eastAsia="Yu Gothic Light"/>
                <w:sz w:val="12"/>
                <w:szCs w:val="16"/>
                <w:lang w:eastAsia="en-US"/>
              </w:rPr>
              <w:t xml:space="preserve"> impact on achieving objectives, to the extent that one or more agreed outcomes </w:t>
            </w:r>
            <w:r w:rsidR="0098599E">
              <w:rPr>
                <w:rFonts w:eastAsia="Yu Gothic Light"/>
                <w:sz w:val="12"/>
                <w:szCs w:val="16"/>
                <w:lang w:eastAsia="en-US"/>
              </w:rPr>
              <w:t>are unlikely to be achieved</w:t>
            </w:r>
            <w:r w:rsidRPr="00EE58B3">
              <w:rPr>
                <w:rFonts w:eastAsia="Yu Gothic Light"/>
                <w:sz w:val="12"/>
                <w:szCs w:val="16"/>
                <w:lang w:eastAsia="en-US"/>
              </w:rPr>
              <w:t>.</w:t>
            </w:r>
          </w:p>
        </w:tc>
      </w:tr>
      <w:tr w:rsidR="00A652DE" w14:paraId="42102302" w14:textId="77777777" w:rsidTr="00CC6A2D">
        <w:tc>
          <w:tcPr>
            <w:tcW w:w="581" w:type="dxa"/>
            <w:vMerge w:val="restart"/>
            <w:tcBorders>
              <w:top w:val="single" w:sz="4" w:space="0" w:color="auto"/>
              <w:left w:val="single" w:sz="4" w:space="0" w:color="auto"/>
            </w:tcBorders>
            <w:shd w:val="clear" w:color="auto" w:fill="auto"/>
            <w:textDirection w:val="btLr"/>
            <w:vAlign w:val="center"/>
          </w:tcPr>
          <w:p w14:paraId="02E0E5FA" w14:textId="77777777" w:rsidR="0040577E" w:rsidRPr="008B70FC" w:rsidRDefault="0040577E" w:rsidP="0040577E">
            <w:pPr>
              <w:pStyle w:val="TableTextLeft"/>
              <w:spacing w:before="0" w:after="0" w:line="240" w:lineRule="auto"/>
              <w:ind w:left="113" w:right="113"/>
              <w:rPr>
                <w:b/>
                <w:bCs/>
                <w:color w:val="2C476E" w:themeColor="accent1"/>
                <w:sz w:val="18"/>
                <w:szCs w:val="22"/>
              </w:rPr>
            </w:pPr>
            <w:r w:rsidRPr="008B70FC">
              <w:rPr>
                <w:b/>
                <w:bCs/>
                <w:color w:val="2C476E" w:themeColor="accent1"/>
                <w:sz w:val="18"/>
                <w:szCs w:val="22"/>
              </w:rPr>
              <w:t>Likelihood</w:t>
            </w:r>
          </w:p>
          <w:p w14:paraId="10040FC5" w14:textId="65838DB9" w:rsidR="00E34CF7" w:rsidRDefault="00E34CF7" w:rsidP="0040577E">
            <w:pPr>
              <w:spacing w:before="0" w:after="160" w:line="259" w:lineRule="auto"/>
              <w:ind w:left="113" w:right="113"/>
              <w:rPr>
                <w:rFonts w:eastAsia="Yu Gothic Light"/>
                <w:iCs/>
                <w:color w:val="2F5496"/>
                <w:sz w:val="32"/>
                <w:szCs w:val="32"/>
                <w:lang w:eastAsia="en-US"/>
              </w:rPr>
            </w:pPr>
          </w:p>
        </w:tc>
        <w:tc>
          <w:tcPr>
            <w:tcW w:w="1120" w:type="dxa"/>
            <w:tcBorders>
              <w:top w:val="single" w:sz="4" w:space="0" w:color="auto"/>
              <w:bottom w:val="single" w:sz="4" w:space="0" w:color="000000" w:themeColor="text1"/>
            </w:tcBorders>
            <w:shd w:val="clear" w:color="auto" w:fill="auto"/>
            <w:vAlign w:val="center"/>
          </w:tcPr>
          <w:p w14:paraId="06DDC3B9" w14:textId="45A9BACD" w:rsidR="00E34CF7" w:rsidRPr="0098599E" w:rsidRDefault="0098599E" w:rsidP="0098599E">
            <w:pPr>
              <w:pStyle w:val="TableTextLeft"/>
              <w:rPr>
                <w:rFonts w:eastAsia="Yu Gothic Light"/>
                <w:b/>
                <w:lang w:eastAsia="en-US"/>
              </w:rPr>
            </w:pPr>
            <w:r w:rsidRPr="0098599E">
              <w:rPr>
                <w:rFonts w:eastAsia="Yu Gothic Light"/>
                <w:b/>
                <w:bCs/>
                <w:color w:val="2C476E" w:themeColor="accent1"/>
                <w:sz w:val="14"/>
                <w:szCs w:val="18"/>
                <w:lang w:eastAsia="en-US"/>
              </w:rPr>
              <w:t>Almost certain</w:t>
            </w:r>
          </w:p>
        </w:tc>
        <w:tc>
          <w:tcPr>
            <w:tcW w:w="1418" w:type="dxa"/>
            <w:tcBorders>
              <w:top w:val="single" w:sz="4" w:space="0" w:color="auto"/>
              <w:bottom w:val="single" w:sz="4" w:space="0" w:color="000000" w:themeColor="text1"/>
            </w:tcBorders>
            <w:shd w:val="clear" w:color="auto" w:fill="auto"/>
            <w:vAlign w:val="center"/>
          </w:tcPr>
          <w:p w14:paraId="04AA4ACE" w14:textId="47E3F47B" w:rsidR="00E34CF7" w:rsidRDefault="0098599E" w:rsidP="0098599E">
            <w:pPr>
              <w:pStyle w:val="TableTextLeft"/>
              <w:rPr>
                <w:rFonts w:eastAsia="Yu Gothic Light"/>
                <w:iCs/>
                <w:color w:val="2F5496"/>
                <w:sz w:val="32"/>
                <w:szCs w:val="32"/>
                <w:lang w:eastAsia="en-US"/>
              </w:rPr>
            </w:pPr>
            <w:r>
              <w:rPr>
                <w:rFonts w:eastAsia="Yu Gothic Light"/>
                <w:sz w:val="12"/>
                <w:szCs w:val="16"/>
                <w:lang w:eastAsia="en-US"/>
              </w:rPr>
              <w:t xml:space="preserve">Expected in most circumstances – 80% or greater possibility </w:t>
            </w:r>
          </w:p>
        </w:tc>
        <w:tc>
          <w:tcPr>
            <w:tcW w:w="1276" w:type="dxa"/>
            <w:tcBorders>
              <w:top w:val="single" w:sz="4" w:space="0" w:color="000000" w:themeColor="text1"/>
            </w:tcBorders>
            <w:shd w:val="clear" w:color="auto" w:fill="D8EEC0"/>
          </w:tcPr>
          <w:p w14:paraId="140475F7" w14:textId="09D7E6E6" w:rsidR="00E34CF7" w:rsidRPr="006F461D" w:rsidRDefault="00E61E14" w:rsidP="00E61E1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Minor</w:t>
            </w:r>
          </w:p>
        </w:tc>
        <w:tc>
          <w:tcPr>
            <w:tcW w:w="1364" w:type="dxa"/>
            <w:shd w:val="clear" w:color="auto" w:fill="FFFF9B"/>
          </w:tcPr>
          <w:p w14:paraId="0A2E2FE5" w14:textId="3DFC8169" w:rsidR="00E34CF7" w:rsidRPr="006F461D" w:rsidRDefault="00E61E14" w:rsidP="00E61E1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Moderate</w:t>
            </w:r>
          </w:p>
        </w:tc>
        <w:tc>
          <w:tcPr>
            <w:tcW w:w="1227" w:type="dxa"/>
            <w:shd w:val="clear" w:color="auto" w:fill="FFE48F"/>
          </w:tcPr>
          <w:p w14:paraId="28F00948" w14:textId="4A94B875" w:rsidR="00E34CF7" w:rsidRPr="006F461D" w:rsidRDefault="00E61E14" w:rsidP="00E61E1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High</w:t>
            </w:r>
          </w:p>
        </w:tc>
        <w:tc>
          <w:tcPr>
            <w:tcW w:w="1185" w:type="dxa"/>
            <w:shd w:val="clear" w:color="auto" w:fill="FF8B8B"/>
          </w:tcPr>
          <w:p w14:paraId="1BA0E5A0" w14:textId="3199B961" w:rsidR="00E34CF7" w:rsidRPr="006F461D" w:rsidRDefault="00E61E14" w:rsidP="00E61E1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Very High</w:t>
            </w:r>
          </w:p>
        </w:tc>
        <w:tc>
          <w:tcPr>
            <w:tcW w:w="1185" w:type="dxa"/>
            <w:tcBorders>
              <w:right w:val="single" w:sz="4" w:space="0" w:color="auto"/>
            </w:tcBorders>
            <w:shd w:val="clear" w:color="auto" w:fill="FF8B8B"/>
          </w:tcPr>
          <w:p w14:paraId="0695F622" w14:textId="61C3734F" w:rsidR="00E34CF7" w:rsidRPr="006F461D" w:rsidRDefault="00E61E14" w:rsidP="00E61E1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Very High</w:t>
            </w:r>
          </w:p>
        </w:tc>
      </w:tr>
      <w:tr w:rsidR="00BF04A9" w14:paraId="5211F3E5" w14:textId="77777777" w:rsidTr="00CC6A2D">
        <w:tc>
          <w:tcPr>
            <w:tcW w:w="581" w:type="dxa"/>
            <w:vMerge/>
            <w:tcBorders>
              <w:left w:val="single" w:sz="4" w:space="0" w:color="auto"/>
            </w:tcBorders>
            <w:shd w:val="clear" w:color="auto" w:fill="auto"/>
          </w:tcPr>
          <w:p w14:paraId="001BE776" w14:textId="77777777" w:rsidR="00E34CF7" w:rsidRDefault="00E34CF7" w:rsidP="00022F37">
            <w:pPr>
              <w:spacing w:before="0" w:after="160" w:line="259" w:lineRule="auto"/>
              <w:rPr>
                <w:rFonts w:eastAsia="Yu Gothic Light"/>
                <w:iCs/>
                <w:color w:val="2F5496"/>
                <w:sz w:val="32"/>
                <w:szCs w:val="32"/>
                <w:lang w:eastAsia="en-US"/>
              </w:rPr>
            </w:pPr>
          </w:p>
        </w:tc>
        <w:tc>
          <w:tcPr>
            <w:tcW w:w="1120" w:type="dxa"/>
            <w:tcBorders>
              <w:top w:val="single" w:sz="4" w:space="0" w:color="000000" w:themeColor="text1"/>
            </w:tcBorders>
            <w:shd w:val="clear" w:color="auto" w:fill="auto"/>
            <w:vAlign w:val="center"/>
          </w:tcPr>
          <w:p w14:paraId="498B4447" w14:textId="15031211" w:rsidR="00E34CF7" w:rsidRDefault="0098599E" w:rsidP="00022F37">
            <w:pPr>
              <w:spacing w:before="0" w:after="160" w:line="259" w:lineRule="auto"/>
              <w:rPr>
                <w:rFonts w:eastAsia="Yu Gothic Light"/>
                <w:iCs/>
                <w:color w:val="2F5496"/>
                <w:sz w:val="32"/>
                <w:szCs w:val="32"/>
                <w:lang w:eastAsia="en-US"/>
              </w:rPr>
            </w:pPr>
            <w:r>
              <w:rPr>
                <w:b/>
                <w:bCs/>
                <w:color w:val="2C476E" w:themeColor="accent1"/>
                <w:sz w:val="14"/>
                <w:szCs w:val="18"/>
                <w:lang w:eastAsia="en-US"/>
              </w:rPr>
              <w:t>Likely</w:t>
            </w:r>
          </w:p>
        </w:tc>
        <w:tc>
          <w:tcPr>
            <w:tcW w:w="1418" w:type="dxa"/>
            <w:tcBorders>
              <w:top w:val="single" w:sz="4" w:space="0" w:color="000000" w:themeColor="text1"/>
            </w:tcBorders>
            <w:shd w:val="clear" w:color="auto" w:fill="auto"/>
          </w:tcPr>
          <w:p w14:paraId="7EC72A49" w14:textId="28E60358" w:rsidR="00E34CF7" w:rsidRDefault="0098599E" w:rsidP="0098599E">
            <w:pPr>
              <w:pStyle w:val="TableTextLeft"/>
              <w:rPr>
                <w:rFonts w:eastAsia="Yu Gothic Light"/>
                <w:iCs/>
                <w:color w:val="2F5496"/>
                <w:sz w:val="32"/>
                <w:szCs w:val="32"/>
                <w:lang w:eastAsia="en-US"/>
              </w:rPr>
            </w:pPr>
            <w:r>
              <w:rPr>
                <w:rFonts w:eastAsia="Yu Gothic Light"/>
                <w:color w:val="000000" w:themeColor="text1"/>
                <w:sz w:val="12"/>
                <w:szCs w:val="16"/>
                <w:lang w:eastAsia="en-US"/>
              </w:rPr>
              <w:t xml:space="preserve">Will probably occur in most circumstances – 50% </w:t>
            </w:r>
            <w:r w:rsidR="00571C8B">
              <w:rPr>
                <w:rFonts w:eastAsia="Yu Gothic Light"/>
                <w:color w:val="000000" w:themeColor="text1"/>
                <w:sz w:val="12"/>
                <w:szCs w:val="16"/>
                <w:lang w:eastAsia="en-US"/>
              </w:rPr>
              <w:t>to</w:t>
            </w:r>
            <w:r>
              <w:rPr>
                <w:rFonts w:eastAsia="Yu Gothic Light"/>
                <w:color w:val="000000" w:themeColor="text1"/>
                <w:sz w:val="12"/>
                <w:szCs w:val="16"/>
                <w:lang w:eastAsia="en-US"/>
              </w:rPr>
              <w:t xml:space="preserve"> 80% probability</w:t>
            </w:r>
          </w:p>
        </w:tc>
        <w:tc>
          <w:tcPr>
            <w:tcW w:w="1276" w:type="dxa"/>
            <w:shd w:val="clear" w:color="auto" w:fill="C5EBFB" w:themeFill="accent3" w:themeFillTint="66"/>
          </w:tcPr>
          <w:p w14:paraId="39AE4096" w14:textId="114A0963"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Low</w:t>
            </w:r>
          </w:p>
        </w:tc>
        <w:tc>
          <w:tcPr>
            <w:tcW w:w="1364" w:type="dxa"/>
            <w:shd w:val="clear" w:color="auto" w:fill="D8EEC0"/>
          </w:tcPr>
          <w:p w14:paraId="6CF07CF3" w14:textId="268BAE5F" w:rsidR="00E34CF7" w:rsidRPr="006F461D" w:rsidRDefault="00E61E14"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Minor</w:t>
            </w:r>
          </w:p>
        </w:tc>
        <w:tc>
          <w:tcPr>
            <w:tcW w:w="1227" w:type="dxa"/>
            <w:shd w:val="clear" w:color="auto" w:fill="FFFF9B"/>
          </w:tcPr>
          <w:p w14:paraId="60F67AE6" w14:textId="76AB297B"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Moderate</w:t>
            </w:r>
          </w:p>
        </w:tc>
        <w:tc>
          <w:tcPr>
            <w:tcW w:w="1185" w:type="dxa"/>
            <w:shd w:val="clear" w:color="auto" w:fill="FFE48F"/>
          </w:tcPr>
          <w:p w14:paraId="6AD5B6DF" w14:textId="2D287C90"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High</w:t>
            </w:r>
          </w:p>
        </w:tc>
        <w:tc>
          <w:tcPr>
            <w:tcW w:w="1185" w:type="dxa"/>
            <w:tcBorders>
              <w:right w:val="single" w:sz="4" w:space="0" w:color="auto"/>
            </w:tcBorders>
            <w:shd w:val="clear" w:color="auto" w:fill="FF8B8B"/>
          </w:tcPr>
          <w:p w14:paraId="23D589BE" w14:textId="3277925A"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Very High</w:t>
            </w:r>
          </w:p>
        </w:tc>
      </w:tr>
      <w:tr w:rsidR="00BF04A9" w14:paraId="6ADFA6C1" w14:textId="77777777" w:rsidTr="00CC6A2D">
        <w:tc>
          <w:tcPr>
            <w:tcW w:w="581" w:type="dxa"/>
            <w:vMerge/>
            <w:tcBorders>
              <w:left w:val="single" w:sz="4" w:space="0" w:color="auto"/>
            </w:tcBorders>
            <w:shd w:val="clear" w:color="auto" w:fill="auto"/>
          </w:tcPr>
          <w:p w14:paraId="15C68909" w14:textId="77777777" w:rsidR="00E34CF7" w:rsidRDefault="00E34CF7" w:rsidP="00022F37">
            <w:pPr>
              <w:spacing w:before="0" w:after="160" w:line="259" w:lineRule="auto"/>
              <w:rPr>
                <w:rFonts w:eastAsia="Yu Gothic Light"/>
                <w:iCs/>
                <w:color w:val="2F5496"/>
                <w:sz w:val="32"/>
                <w:szCs w:val="32"/>
                <w:lang w:eastAsia="en-US"/>
              </w:rPr>
            </w:pPr>
          </w:p>
        </w:tc>
        <w:tc>
          <w:tcPr>
            <w:tcW w:w="1120" w:type="dxa"/>
            <w:shd w:val="clear" w:color="auto" w:fill="auto"/>
            <w:vAlign w:val="center"/>
          </w:tcPr>
          <w:p w14:paraId="7C83E6DF" w14:textId="62030CF1" w:rsidR="00E34CF7" w:rsidRDefault="0098599E" w:rsidP="00022F37">
            <w:pPr>
              <w:spacing w:before="0" w:after="160" w:line="259" w:lineRule="auto"/>
              <w:rPr>
                <w:rFonts w:eastAsia="Yu Gothic Light"/>
                <w:iCs/>
                <w:color w:val="2F5496"/>
                <w:sz w:val="32"/>
                <w:szCs w:val="32"/>
                <w:lang w:eastAsia="en-US"/>
              </w:rPr>
            </w:pPr>
            <w:r>
              <w:rPr>
                <w:b/>
                <w:bCs/>
                <w:color w:val="2C476E" w:themeColor="accent1"/>
                <w:sz w:val="14"/>
                <w:szCs w:val="18"/>
                <w:lang w:eastAsia="en-US"/>
              </w:rPr>
              <w:t>Possible</w:t>
            </w:r>
          </w:p>
        </w:tc>
        <w:tc>
          <w:tcPr>
            <w:tcW w:w="1418" w:type="dxa"/>
            <w:shd w:val="clear" w:color="auto" w:fill="auto"/>
          </w:tcPr>
          <w:p w14:paraId="6B3CF996" w14:textId="18B3AEEE" w:rsidR="00E34CF7" w:rsidRDefault="004A0590" w:rsidP="004A0590">
            <w:pPr>
              <w:pStyle w:val="TableTextLeft"/>
              <w:rPr>
                <w:rFonts w:eastAsia="Yu Gothic Light"/>
                <w:iCs/>
                <w:color w:val="2F5496"/>
                <w:sz w:val="32"/>
                <w:szCs w:val="32"/>
                <w:lang w:eastAsia="en-US"/>
              </w:rPr>
            </w:pPr>
            <w:r>
              <w:rPr>
                <w:rFonts w:eastAsia="Yu Gothic Light"/>
                <w:sz w:val="12"/>
                <w:szCs w:val="16"/>
                <w:lang w:eastAsia="en-US"/>
              </w:rPr>
              <w:t>Might occur</w:t>
            </w:r>
            <w:r w:rsidR="009649B1">
              <w:rPr>
                <w:rFonts w:eastAsia="Yu Gothic Light"/>
                <w:sz w:val="12"/>
                <w:szCs w:val="16"/>
                <w:lang w:eastAsia="en-US"/>
              </w:rPr>
              <w:t xml:space="preserve"> at some time </w:t>
            </w:r>
            <w:r w:rsidR="00F7478E">
              <w:rPr>
                <w:rFonts w:eastAsia="Yu Gothic Light"/>
                <w:sz w:val="12"/>
                <w:szCs w:val="16"/>
                <w:lang w:eastAsia="en-US"/>
              </w:rPr>
              <w:t>–</w:t>
            </w:r>
            <w:r w:rsidR="009649B1">
              <w:rPr>
                <w:rFonts w:eastAsia="Yu Gothic Light"/>
                <w:sz w:val="12"/>
                <w:szCs w:val="16"/>
                <w:lang w:eastAsia="en-US"/>
              </w:rPr>
              <w:t xml:space="preserve"> </w:t>
            </w:r>
            <w:r w:rsidR="00F7478E">
              <w:rPr>
                <w:rFonts w:eastAsia="Yu Gothic Light"/>
                <w:sz w:val="12"/>
                <w:szCs w:val="16"/>
                <w:lang w:eastAsia="en-US"/>
              </w:rPr>
              <w:t>20% - 50% probability</w:t>
            </w:r>
          </w:p>
        </w:tc>
        <w:tc>
          <w:tcPr>
            <w:tcW w:w="1276" w:type="dxa"/>
            <w:shd w:val="clear" w:color="auto" w:fill="C5EBFB" w:themeFill="accent3" w:themeFillTint="66"/>
          </w:tcPr>
          <w:p w14:paraId="1D3FE402" w14:textId="6056D75B"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Low</w:t>
            </w:r>
          </w:p>
        </w:tc>
        <w:tc>
          <w:tcPr>
            <w:tcW w:w="1364" w:type="dxa"/>
            <w:shd w:val="clear" w:color="auto" w:fill="D8EEC0"/>
          </w:tcPr>
          <w:p w14:paraId="371AE596" w14:textId="57AD2ED4" w:rsidR="00E34CF7" w:rsidRPr="006F461D" w:rsidRDefault="00E61E14"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Minor</w:t>
            </w:r>
          </w:p>
        </w:tc>
        <w:tc>
          <w:tcPr>
            <w:tcW w:w="1227" w:type="dxa"/>
            <w:shd w:val="clear" w:color="auto" w:fill="FFFF9B"/>
          </w:tcPr>
          <w:p w14:paraId="1DE68290" w14:textId="592999EA"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Moderate</w:t>
            </w:r>
          </w:p>
        </w:tc>
        <w:tc>
          <w:tcPr>
            <w:tcW w:w="1185" w:type="dxa"/>
            <w:shd w:val="clear" w:color="auto" w:fill="FFE48F"/>
          </w:tcPr>
          <w:p w14:paraId="2F2B8456" w14:textId="0762C6C1"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High</w:t>
            </w:r>
          </w:p>
        </w:tc>
        <w:tc>
          <w:tcPr>
            <w:tcW w:w="1185" w:type="dxa"/>
            <w:tcBorders>
              <w:right w:val="single" w:sz="4" w:space="0" w:color="auto"/>
            </w:tcBorders>
            <w:shd w:val="clear" w:color="auto" w:fill="FFE48F"/>
          </w:tcPr>
          <w:p w14:paraId="3380AFA9" w14:textId="5129A150"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High</w:t>
            </w:r>
          </w:p>
        </w:tc>
      </w:tr>
      <w:tr w:rsidR="00BF04A9" w14:paraId="794A9A2D" w14:textId="77777777" w:rsidTr="00CC6A2D">
        <w:tc>
          <w:tcPr>
            <w:tcW w:w="581" w:type="dxa"/>
            <w:vMerge/>
            <w:tcBorders>
              <w:left w:val="single" w:sz="4" w:space="0" w:color="auto"/>
            </w:tcBorders>
            <w:shd w:val="clear" w:color="auto" w:fill="auto"/>
          </w:tcPr>
          <w:p w14:paraId="210D3B71" w14:textId="77777777" w:rsidR="00E34CF7" w:rsidRDefault="00E34CF7" w:rsidP="00022F37">
            <w:pPr>
              <w:spacing w:before="0" w:after="160" w:line="259" w:lineRule="auto"/>
              <w:rPr>
                <w:rFonts w:eastAsia="Yu Gothic Light"/>
                <w:iCs/>
                <w:color w:val="2F5496"/>
                <w:sz w:val="32"/>
                <w:szCs w:val="32"/>
                <w:lang w:eastAsia="en-US"/>
              </w:rPr>
            </w:pPr>
          </w:p>
        </w:tc>
        <w:tc>
          <w:tcPr>
            <w:tcW w:w="1120" w:type="dxa"/>
            <w:shd w:val="clear" w:color="auto" w:fill="auto"/>
            <w:vAlign w:val="center"/>
          </w:tcPr>
          <w:p w14:paraId="13AE2550" w14:textId="5E5852DF" w:rsidR="00E34CF7" w:rsidRDefault="0098599E" w:rsidP="00022F37">
            <w:pPr>
              <w:spacing w:before="0" w:after="160" w:line="259" w:lineRule="auto"/>
              <w:rPr>
                <w:rFonts w:eastAsia="Yu Gothic Light"/>
                <w:iCs/>
                <w:color w:val="2F5496"/>
                <w:sz w:val="32"/>
                <w:szCs w:val="32"/>
                <w:lang w:eastAsia="en-US"/>
              </w:rPr>
            </w:pPr>
            <w:r>
              <w:rPr>
                <w:b/>
                <w:bCs/>
                <w:color w:val="2C476E" w:themeColor="accent1"/>
                <w:sz w:val="14"/>
                <w:szCs w:val="18"/>
                <w:lang w:eastAsia="en-US"/>
              </w:rPr>
              <w:t>Unlikely</w:t>
            </w:r>
          </w:p>
        </w:tc>
        <w:tc>
          <w:tcPr>
            <w:tcW w:w="1418" w:type="dxa"/>
            <w:shd w:val="clear" w:color="auto" w:fill="auto"/>
          </w:tcPr>
          <w:p w14:paraId="1ADA1793" w14:textId="651241D2" w:rsidR="00E34CF7" w:rsidRPr="00944090" w:rsidRDefault="00944090" w:rsidP="00944090">
            <w:pPr>
              <w:pStyle w:val="TableTextLeft"/>
              <w:rPr>
                <w:rFonts w:eastAsia="Yu Gothic Light"/>
                <w:color w:val="000000" w:themeColor="text1"/>
                <w:sz w:val="12"/>
                <w:szCs w:val="16"/>
                <w:lang w:eastAsia="en-US"/>
              </w:rPr>
            </w:pPr>
            <w:r>
              <w:rPr>
                <w:rFonts w:eastAsia="Yu Gothic Light"/>
                <w:color w:val="000000" w:themeColor="text1"/>
                <w:sz w:val="12"/>
                <w:szCs w:val="16"/>
                <w:lang w:eastAsia="en-US"/>
              </w:rPr>
              <w:t>Could</w:t>
            </w:r>
            <w:r w:rsidR="003378ED">
              <w:rPr>
                <w:rFonts w:eastAsia="Yu Gothic Light"/>
                <w:color w:val="000000" w:themeColor="text1"/>
                <w:sz w:val="12"/>
                <w:szCs w:val="16"/>
                <w:lang w:eastAsia="en-US"/>
              </w:rPr>
              <w:t xml:space="preserve"> </w:t>
            </w:r>
            <w:r w:rsidR="003378ED" w:rsidRPr="00944090">
              <w:rPr>
                <w:rFonts w:eastAsia="Yu Gothic Light"/>
                <w:color w:val="000000" w:themeColor="text1"/>
                <w:sz w:val="12"/>
                <w:szCs w:val="16"/>
                <w:lang w:eastAsia="en-US"/>
              </w:rPr>
              <w:t xml:space="preserve">occur at some time – </w:t>
            </w:r>
            <w:r>
              <w:rPr>
                <w:rFonts w:eastAsia="Yu Gothic Light"/>
                <w:color w:val="000000" w:themeColor="text1"/>
                <w:sz w:val="12"/>
                <w:szCs w:val="16"/>
                <w:lang w:eastAsia="en-US"/>
              </w:rPr>
              <w:t>5</w:t>
            </w:r>
            <w:r w:rsidR="003378ED" w:rsidRPr="00944090">
              <w:rPr>
                <w:rFonts w:eastAsia="Yu Gothic Light"/>
                <w:color w:val="000000" w:themeColor="text1"/>
                <w:sz w:val="12"/>
                <w:szCs w:val="16"/>
                <w:lang w:eastAsia="en-US"/>
              </w:rPr>
              <w:t xml:space="preserve">% </w:t>
            </w:r>
            <w:r w:rsidR="00CB3F89">
              <w:rPr>
                <w:rFonts w:eastAsia="Yu Gothic Light"/>
                <w:color w:val="000000" w:themeColor="text1"/>
                <w:sz w:val="12"/>
                <w:szCs w:val="16"/>
                <w:lang w:eastAsia="en-US"/>
              </w:rPr>
              <w:t>to</w:t>
            </w:r>
            <w:r w:rsidR="003378ED" w:rsidRPr="00944090">
              <w:rPr>
                <w:rFonts w:eastAsia="Yu Gothic Light"/>
                <w:color w:val="000000" w:themeColor="text1"/>
                <w:sz w:val="12"/>
                <w:szCs w:val="16"/>
                <w:lang w:eastAsia="en-US"/>
              </w:rPr>
              <w:t xml:space="preserve"> </w:t>
            </w:r>
            <w:r w:rsidR="003378ED">
              <w:rPr>
                <w:rFonts w:eastAsia="Yu Gothic Light"/>
                <w:color w:val="000000" w:themeColor="text1"/>
                <w:sz w:val="12"/>
                <w:szCs w:val="16"/>
                <w:lang w:eastAsia="en-US"/>
              </w:rPr>
              <w:t>2</w:t>
            </w:r>
            <w:r w:rsidR="003378ED" w:rsidRPr="00944090">
              <w:rPr>
                <w:rFonts w:eastAsia="Yu Gothic Light"/>
                <w:color w:val="000000" w:themeColor="text1"/>
                <w:sz w:val="12"/>
                <w:szCs w:val="16"/>
                <w:lang w:eastAsia="en-US"/>
              </w:rPr>
              <w:t>0% probability</w:t>
            </w:r>
          </w:p>
        </w:tc>
        <w:tc>
          <w:tcPr>
            <w:tcW w:w="1276" w:type="dxa"/>
            <w:shd w:val="clear" w:color="auto" w:fill="C5EBFB" w:themeFill="accent3" w:themeFillTint="66"/>
          </w:tcPr>
          <w:p w14:paraId="3BC72E01" w14:textId="7E90A754"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Low</w:t>
            </w:r>
          </w:p>
        </w:tc>
        <w:tc>
          <w:tcPr>
            <w:tcW w:w="1364" w:type="dxa"/>
            <w:shd w:val="clear" w:color="auto" w:fill="D8EEC0"/>
          </w:tcPr>
          <w:p w14:paraId="633CC0C4" w14:textId="29EA5D53" w:rsidR="00E34CF7" w:rsidRPr="006F461D" w:rsidRDefault="00E61E14"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Minor</w:t>
            </w:r>
          </w:p>
        </w:tc>
        <w:tc>
          <w:tcPr>
            <w:tcW w:w="1227" w:type="dxa"/>
            <w:shd w:val="clear" w:color="auto" w:fill="D8EEC0"/>
          </w:tcPr>
          <w:p w14:paraId="2CBC0854" w14:textId="7F4A1541"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Minor</w:t>
            </w:r>
          </w:p>
        </w:tc>
        <w:tc>
          <w:tcPr>
            <w:tcW w:w="1185" w:type="dxa"/>
            <w:shd w:val="clear" w:color="auto" w:fill="FFFF9B"/>
          </w:tcPr>
          <w:p w14:paraId="44985249" w14:textId="01F24F41"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Moderate</w:t>
            </w:r>
          </w:p>
        </w:tc>
        <w:tc>
          <w:tcPr>
            <w:tcW w:w="1185" w:type="dxa"/>
            <w:tcBorders>
              <w:right w:val="single" w:sz="4" w:space="0" w:color="auto"/>
            </w:tcBorders>
            <w:shd w:val="clear" w:color="auto" w:fill="FFE48F"/>
          </w:tcPr>
          <w:p w14:paraId="22999735" w14:textId="451E674F"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High</w:t>
            </w:r>
          </w:p>
        </w:tc>
      </w:tr>
      <w:tr w:rsidR="00BF04A9" w14:paraId="551D6F35" w14:textId="77777777" w:rsidTr="00CC6A2D">
        <w:tc>
          <w:tcPr>
            <w:tcW w:w="581" w:type="dxa"/>
            <w:vMerge/>
            <w:tcBorders>
              <w:left w:val="single" w:sz="4" w:space="0" w:color="auto"/>
              <w:bottom w:val="single" w:sz="4" w:space="0" w:color="000000"/>
            </w:tcBorders>
            <w:shd w:val="clear" w:color="auto" w:fill="auto"/>
          </w:tcPr>
          <w:p w14:paraId="3E09ACF4" w14:textId="77777777" w:rsidR="00E34CF7" w:rsidRDefault="00E34CF7" w:rsidP="00022F37">
            <w:pPr>
              <w:spacing w:before="0" w:after="160" w:line="259" w:lineRule="auto"/>
              <w:rPr>
                <w:rFonts w:eastAsia="Yu Gothic Light"/>
                <w:iCs/>
                <w:color w:val="2F5496"/>
                <w:sz w:val="32"/>
                <w:szCs w:val="32"/>
                <w:lang w:eastAsia="en-US"/>
              </w:rPr>
            </w:pPr>
          </w:p>
        </w:tc>
        <w:tc>
          <w:tcPr>
            <w:tcW w:w="1120" w:type="dxa"/>
            <w:tcBorders>
              <w:bottom w:val="single" w:sz="4" w:space="0" w:color="000000"/>
            </w:tcBorders>
            <w:shd w:val="clear" w:color="auto" w:fill="auto"/>
            <w:vAlign w:val="center"/>
          </w:tcPr>
          <w:p w14:paraId="143CE92E" w14:textId="2C2C7804" w:rsidR="00E34CF7" w:rsidRDefault="0098599E" w:rsidP="00022F37">
            <w:pPr>
              <w:spacing w:before="0" w:after="160" w:line="259" w:lineRule="auto"/>
              <w:rPr>
                <w:rFonts w:eastAsia="Yu Gothic Light"/>
                <w:iCs/>
                <w:color w:val="2F5496"/>
                <w:sz w:val="32"/>
                <w:szCs w:val="32"/>
                <w:lang w:eastAsia="en-US"/>
              </w:rPr>
            </w:pPr>
            <w:r>
              <w:rPr>
                <w:b/>
                <w:bCs/>
                <w:color w:val="2C476E" w:themeColor="accent1"/>
                <w:sz w:val="14"/>
                <w:szCs w:val="18"/>
                <w:lang w:eastAsia="en-US"/>
              </w:rPr>
              <w:t>Rare</w:t>
            </w:r>
          </w:p>
        </w:tc>
        <w:tc>
          <w:tcPr>
            <w:tcW w:w="1418" w:type="dxa"/>
            <w:tcBorders>
              <w:bottom w:val="single" w:sz="4" w:space="0" w:color="000000"/>
            </w:tcBorders>
            <w:shd w:val="clear" w:color="auto" w:fill="auto"/>
          </w:tcPr>
          <w:p w14:paraId="7FCA49B2" w14:textId="09B16C2B" w:rsidR="00E34CF7" w:rsidRDefault="003E2C51" w:rsidP="003E2C51">
            <w:pPr>
              <w:pStyle w:val="TableTextLeft"/>
              <w:rPr>
                <w:rFonts w:eastAsia="Yu Gothic Light"/>
                <w:iCs/>
                <w:color w:val="2F5496"/>
                <w:sz w:val="32"/>
                <w:szCs w:val="32"/>
                <w:lang w:eastAsia="en-US"/>
              </w:rPr>
            </w:pPr>
            <w:r>
              <w:rPr>
                <w:rFonts w:eastAsia="Yu Gothic Light"/>
                <w:color w:val="000000" w:themeColor="text1"/>
                <w:sz w:val="12"/>
                <w:szCs w:val="16"/>
                <w:lang w:eastAsia="en-US"/>
              </w:rPr>
              <w:t xml:space="preserve">May only occur in exceptional circumstances – less than 5% </w:t>
            </w:r>
            <w:r w:rsidR="00E61E14">
              <w:rPr>
                <w:rFonts w:eastAsia="Yu Gothic Light"/>
                <w:color w:val="000000" w:themeColor="text1"/>
                <w:sz w:val="12"/>
                <w:szCs w:val="16"/>
                <w:lang w:eastAsia="en-US"/>
              </w:rPr>
              <w:t>probability</w:t>
            </w:r>
          </w:p>
        </w:tc>
        <w:tc>
          <w:tcPr>
            <w:tcW w:w="1276" w:type="dxa"/>
            <w:tcBorders>
              <w:bottom w:val="single" w:sz="4" w:space="0" w:color="000000"/>
            </w:tcBorders>
            <w:shd w:val="clear" w:color="auto" w:fill="C5EBFB" w:themeFill="accent3" w:themeFillTint="66"/>
          </w:tcPr>
          <w:p w14:paraId="0E7A3684" w14:textId="0E704997"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Low</w:t>
            </w:r>
          </w:p>
        </w:tc>
        <w:tc>
          <w:tcPr>
            <w:tcW w:w="1364" w:type="dxa"/>
            <w:tcBorders>
              <w:bottom w:val="single" w:sz="4" w:space="0" w:color="000000"/>
            </w:tcBorders>
            <w:shd w:val="clear" w:color="auto" w:fill="C5EBFB" w:themeFill="accent3" w:themeFillTint="66"/>
          </w:tcPr>
          <w:p w14:paraId="018A1B62" w14:textId="633C62CA" w:rsidR="00E34CF7" w:rsidRPr="006F461D" w:rsidRDefault="00E61E14"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Low</w:t>
            </w:r>
          </w:p>
        </w:tc>
        <w:tc>
          <w:tcPr>
            <w:tcW w:w="1227" w:type="dxa"/>
            <w:tcBorders>
              <w:bottom w:val="single" w:sz="4" w:space="0" w:color="000000"/>
            </w:tcBorders>
            <w:shd w:val="clear" w:color="auto" w:fill="D8EEC0"/>
          </w:tcPr>
          <w:p w14:paraId="2A491F46" w14:textId="581E5CDE" w:rsidR="00E34CF7" w:rsidRPr="006F461D" w:rsidRDefault="00437D41"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Minor</w:t>
            </w:r>
          </w:p>
        </w:tc>
        <w:tc>
          <w:tcPr>
            <w:tcW w:w="1185" w:type="dxa"/>
            <w:tcBorders>
              <w:bottom w:val="single" w:sz="4" w:space="0" w:color="000000"/>
            </w:tcBorders>
            <w:shd w:val="clear" w:color="auto" w:fill="FFFF9B"/>
          </w:tcPr>
          <w:p w14:paraId="52417B66" w14:textId="48187988"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Moderate</w:t>
            </w:r>
          </w:p>
        </w:tc>
        <w:tc>
          <w:tcPr>
            <w:tcW w:w="1185" w:type="dxa"/>
            <w:tcBorders>
              <w:bottom w:val="single" w:sz="4" w:space="0" w:color="000000"/>
              <w:right w:val="single" w:sz="4" w:space="0" w:color="auto"/>
            </w:tcBorders>
            <w:shd w:val="clear" w:color="auto" w:fill="FFFF9B"/>
          </w:tcPr>
          <w:p w14:paraId="3527DB86" w14:textId="32EB7BA1" w:rsidR="00E34CF7" w:rsidRPr="006F461D" w:rsidRDefault="00E95F89" w:rsidP="006D5904">
            <w:pPr>
              <w:pStyle w:val="TableTextLeft"/>
              <w:rPr>
                <w:rFonts w:eastAsia="Yu Gothic Light"/>
                <w:color w:val="000000" w:themeColor="text1"/>
                <w:sz w:val="16"/>
                <w:szCs w:val="16"/>
                <w:lang w:eastAsia="en-US"/>
              </w:rPr>
            </w:pPr>
            <w:r w:rsidRPr="006F461D">
              <w:rPr>
                <w:rFonts w:eastAsia="Yu Gothic Light"/>
                <w:color w:val="000000" w:themeColor="text1"/>
                <w:sz w:val="16"/>
                <w:szCs w:val="16"/>
                <w:lang w:eastAsia="en-US"/>
              </w:rPr>
              <w:t>Moderate</w:t>
            </w:r>
          </w:p>
        </w:tc>
      </w:tr>
    </w:tbl>
    <w:p w14:paraId="25DC89FE" w14:textId="77777777" w:rsidR="00D00D65" w:rsidRPr="00A66FE9" w:rsidRDefault="00D00D65" w:rsidP="00A66FE9">
      <w:pPr>
        <w:pStyle w:val="BodyText"/>
        <w:rPr>
          <w:lang w:eastAsia="en-US"/>
        </w:rPr>
      </w:pPr>
    </w:p>
    <w:sectPr w:rsidR="00D00D65" w:rsidRPr="00A66FE9" w:rsidSect="007C23CA">
      <w:pgSz w:w="11907" w:h="16840" w:code="9"/>
      <w:pgMar w:top="1418" w:right="1418" w:bottom="1418" w:left="1418" w:header="567"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A7185" w14:textId="77777777" w:rsidR="006E3B9A" w:rsidRDefault="006E3B9A" w:rsidP="001010CC">
      <w:pPr>
        <w:spacing w:before="0" w:after="0" w:line="240" w:lineRule="auto"/>
      </w:pPr>
      <w:r>
        <w:separator/>
      </w:r>
    </w:p>
  </w:endnote>
  <w:endnote w:type="continuationSeparator" w:id="0">
    <w:p w14:paraId="7695670E" w14:textId="77777777" w:rsidR="006E3B9A" w:rsidRDefault="006E3B9A" w:rsidP="001010CC">
      <w:pPr>
        <w:spacing w:before="0" w:after="0" w:line="240" w:lineRule="auto"/>
      </w:pPr>
      <w:r>
        <w:continuationSeparator/>
      </w:r>
    </w:p>
  </w:endnote>
  <w:endnote w:type="continuationNotice" w:id="1">
    <w:p w14:paraId="6F74B31C" w14:textId="77777777" w:rsidR="006E3B9A" w:rsidRDefault="006E3B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Montserrat">
    <w:panose1 w:val="000005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B59B1" w14:textId="77777777" w:rsidR="00F57388" w:rsidRDefault="00F573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B018" w14:textId="70934E56" w:rsidR="002F22EA" w:rsidRPr="001730A3" w:rsidRDefault="0000725D" w:rsidP="00AE6338">
    <w:pPr>
      <w:pStyle w:val="documentclassificationwhite"/>
    </w:pPr>
    <w:r>
      <w:rPr>
        <w:noProof/>
      </w:rPr>
      <mc:AlternateContent>
        <mc:Choice Requires="wps">
          <w:drawing>
            <wp:anchor distT="0" distB="0" distL="114300" distR="114300" simplePos="0" relativeHeight="251662848" behindDoc="0" locked="0" layoutInCell="0" allowOverlap="1" wp14:anchorId="5E31254A" wp14:editId="0A6B527A">
              <wp:simplePos x="0" y="0"/>
              <wp:positionH relativeFrom="page">
                <wp:align>center</wp:align>
              </wp:positionH>
              <wp:positionV relativeFrom="page">
                <wp:align>bottom</wp:align>
              </wp:positionV>
              <wp:extent cx="7772400" cy="457200"/>
              <wp:effectExtent l="0" t="0" r="0" b="0"/>
              <wp:wrapNone/>
              <wp:docPr id="26" name="Text Box 26" descr="{&quot;HashCode&quot;:98033416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A4C89" w14:textId="398E4B4C"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31254A" id="_x0000_t202" coordsize="21600,21600" o:spt="202" path="m,l,21600r21600,l21600,xe">
              <v:stroke joinstyle="miter"/>
              <v:path gradientshapeok="t" o:connecttype="rect"/>
            </v:shapetype>
            <v:shape id="Text Box 26" o:spid="_x0000_s1028" type="#_x0000_t202" alt="{&quot;HashCode&quot;:980334167,&quot;Height&quot;:9999999.0,&quot;Width&quot;:9999999.0,&quot;Placement&quot;:&quot;Footer&quot;,&quot;Index&quot;:&quot;Primary&quot;,&quot;Section&quot;:1,&quot;Top&quot;:0.0,&quot;Left&quot;:0.0}" style="position:absolute;margin-left:0;margin-top:0;width:612pt;height:36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" o:allowincell="f" filled="f" stroked="f" strokeweight=".5pt">
              <v:textbox inset=",0,,0">
                <w:txbxContent>
                  <w:p w14:paraId="57FA4C89" w14:textId="398E4B4C"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r w:rsidR="002F22EA">
      <w:rPr>
        <w:noProof/>
        <w:lang w:val="en-US" w:eastAsia="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136E5" w14:textId="5F850F64" w:rsidR="002F22EA" w:rsidRDefault="002F22EA" w:rsidP="00075146">
    <w:pPr>
      <w:pStyle w:val="Footer"/>
      <w:pBdr>
        <w:top w:val="none" w:sz="0" w:space="0" w:color="auto"/>
      </w:pBdr>
    </w:pPr>
    <w:r>
      <w:rPr>
        <w:noProof/>
      </w:rPr>
      <mc:AlternateContent>
        <mc:Choice Requires="wps">
          <w:drawing>
            <wp:anchor distT="0" distB="0" distL="114300" distR="114300" simplePos="0" relativeHeight="251649536" behindDoc="0" locked="0" layoutInCell="1" allowOverlap="1" wp14:anchorId="5C9DEDFD" wp14:editId="72C67643">
              <wp:simplePos x="0" y="0"/>
              <wp:positionH relativeFrom="column">
                <wp:posOffset>0</wp:posOffset>
              </wp:positionH>
              <wp:positionV relativeFrom="paragraph">
                <wp:posOffset>0</wp:posOffset>
              </wp:positionV>
              <wp:extent cx="5819775" cy="0"/>
              <wp:effectExtent l="0" t="0" r="0" b="0"/>
              <wp:wrapNone/>
              <wp:docPr id="8" name="Straight Connector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E77929" id="Straight Connector 8"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0" to="45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" strokecolor="#2c476e" strokeweight="1.5pt">
              <v:stroke joinstyle="miter"/>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D203" w14:textId="3D774CAE" w:rsidR="002F22EA" w:rsidRPr="00CC5F49" w:rsidRDefault="0000725D" w:rsidP="00CE354C">
    <w:pPr>
      <w:pStyle w:val="Footer"/>
      <w:pBdr>
        <w:top w:val="none" w:sz="0" w:space="0" w:color="auto"/>
      </w:pBdr>
      <w:tabs>
        <w:tab w:val="right" w:pos="9071"/>
      </w:tabs>
      <w:rPr>
        <w:color w:val="008675"/>
      </w:rPr>
    </w:pPr>
    <w:r w:rsidRPr="00CC5F49">
      <w:rPr>
        <w:noProof/>
        <w:color w:val="008675"/>
      </w:rPr>
      <mc:AlternateContent>
        <mc:Choice Requires="wps">
          <w:drawing>
            <wp:anchor distT="0" distB="0" distL="114300" distR="114300" simplePos="0" relativeHeight="251657728" behindDoc="0" locked="0" layoutInCell="0" allowOverlap="1" wp14:anchorId="2BC8514F" wp14:editId="38E93A69">
              <wp:simplePos x="0" y="0"/>
              <wp:positionH relativeFrom="page">
                <wp:align>center</wp:align>
              </wp:positionH>
              <wp:positionV relativeFrom="page">
                <wp:align>bottom</wp:align>
              </wp:positionV>
              <wp:extent cx="7772400" cy="457200"/>
              <wp:effectExtent l="0" t="0" r="0" b="0"/>
              <wp:wrapNone/>
              <wp:docPr id="36" name="Text Box 36" descr="{&quot;HashCode&quot;:980334167,&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1DD2E" w14:textId="2FF7A42D"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C8514F" id="_x0000_t202" coordsize="21600,21600" o:spt="202" path="m,l,21600r21600,l21600,xe">
              <v:stroke joinstyle="miter"/>
              <v:path gradientshapeok="t" o:connecttype="rect"/>
            </v:shapetype>
            <v:shape id="Text Box 36" o:spid="_x0000_s1030" type="#_x0000_t202" alt="{&quot;HashCode&quot;:980334167,&quot;Height&quot;:9999999.0,&quot;Width&quot;:9999999.0,&quot;Placement&quot;:&quot;Footer&quot;,&quot;Index&quot;:&quot;Primary&quot;,&quot;Section&quot;:2,&quot;Top&quot;:0.0,&quot;Left&quot;:0.0}" style="position:absolute;margin-left:0;margin-top:0;width:612pt;height:36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aMQTBRgCAAAtBAAADgAAAAAAAAAAAAAAAAAuAgAAZHJzL2Uyb0RvYy54bWxQSwECLQAUAAYACAAA&#10;ACEA+CRt0toAAAAFAQAADwAAAAAAAAAAAAAAAAByBAAAZHJzL2Rvd25yZXYueG1sUEsFBgAAAAAE&#10;AAQA8wAAAHkFAAAAAA==&#10;" o:allowincell="f" filled="f" stroked="f" strokeweight=".5pt">
              <v:textbox inset=",0,,0">
                <w:txbxContent>
                  <w:p w14:paraId="4BC1DD2E" w14:textId="2FF7A42D"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r w:rsidR="002F22EA" w:rsidRPr="00CC5F49">
      <w:rPr>
        <w:noProof/>
        <w:color w:val="008675"/>
      </w:rPr>
      <mc:AlternateContent>
        <mc:Choice Requires="wps">
          <w:drawing>
            <wp:anchor distT="0" distB="0" distL="114300" distR="114300" simplePos="0" relativeHeight="251652608" behindDoc="0" locked="0" layoutInCell="1" allowOverlap="1" wp14:anchorId="0B022AA5" wp14:editId="3612B911">
              <wp:simplePos x="0" y="0"/>
              <wp:positionH relativeFrom="column">
                <wp:posOffset>0</wp:posOffset>
              </wp:positionH>
              <wp:positionV relativeFrom="paragraph">
                <wp:posOffset>1802</wp:posOffset>
              </wp:positionV>
              <wp:extent cx="5741581" cy="0"/>
              <wp:effectExtent l="0" t="0" r="25400" b="25400"/>
              <wp:wrapNone/>
              <wp:docPr id="32" name="Straight Connector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741581"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BCD4FA" id="Straight Connector 32"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5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" strokecolor="#2c476e" strokeweight="1.5pt">
              <v:stroke joinstyle="miter"/>
            </v:line>
          </w:pict>
        </mc:Fallback>
      </mc:AlternateContent>
    </w:r>
    <w:r w:rsidR="00CE354C" w:rsidRPr="00CC5F49">
      <w:rPr>
        <w:b w:val="0"/>
        <w:noProof/>
        <w:color w:val="008675"/>
      </w:rPr>
      <mc:AlternateContent>
        <mc:Choice Requires="wps">
          <w:drawing>
            <wp:anchor distT="0" distB="0" distL="114300" distR="114300" simplePos="0" relativeHeight="251653632" behindDoc="0" locked="0" layoutInCell="1" allowOverlap="1" wp14:anchorId="1634DB0A" wp14:editId="7E95AAD2">
              <wp:simplePos x="0" y="0"/>
              <wp:positionH relativeFrom="column">
                <wp:posOffset>0</wp:posOffset>
              </wp:positionH>
              <wp:positionV relativeFrom="paragraph">
                <wp:posOffset>0</wp:posOffset>
              </wp:positionV>
              <wp:extent cx="5819775" cy="0"/>
              <wp:effectExtent l="0" t="0" r="0" b="0"/>
              <wp:wrapNone/>
              <wp:docPr id="29" name="Straight Connector 2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459DF1" id="Straight Connector 29"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0" to="45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" strokecolor="#008675" strokeweight="1.5pt">
              <v:stroke joinstyle="miter"/>
            </v:line>
          </w:pict>
        </mc:Fallback>
      </mc:AlternateContent>
    </w:r>
    <w:r w:rsidR="002F22EA" w:rsidRPr="00CC5F49">
      <w:rPr>
        <w:color w:val="008675"/>
      </w:rPr>
      <w:t>Digital I</w:t>
    </w:r>
    <w:r w:rsidR="00CC55D4" w:rsidRPr="00CC5F49">
      <w:rPr>
        <w:color w:val="008675"/>
      </w:rPr>
      <w:t>D</w:t>
    </w:r>
    <w:r w:rsidR="002F22EA" w:rsidRPr="00CC5F49">
      <w:rPr>
        <w:color w:val="008675"/>
      </w:rPr>
      <w:t xml:space="preserve"> | </w:t>
    </w:r>
    <w:r w:rsidR="00D30F4B" w:rsidRPr="00CC5F49">
      <w:rPr>
        <w:b w:val="0"/>
        <w:color w:val="008675"/>
      </w:rPr>
      <w:t xml:space="preserve">Impact </w:t>
    </w:r>
    <w:r w:rsidR="00CC55D4" w:rsidRPr="00CC5F49">
      <w:rPr>
        <w:b w:val="0"/>
        <w:color w:val="008675"/>
      </w:rPr>
      <w:t>Analysis</w:t>
    </w:r>
    <w:r w:rsidR="00C56973" w:rsidRPr="00CC5F49">
      <w:rPr>
        <w:rStyle w:val="PageNumber"/>
        <w:color w:val="008675"/>
      </w:rPr>
      <w:tab/>
    </w:r>
    <w:r w:rsidR="002F22EA" w:rsidRPr="00CC5F49">
      <w:rPr>
        <w:rStyle w:val="PageNumber"/>
        <w:b w:val="0"/>
        <w:color w:val="008675"/>
      </w:rPr>
      <w:fldChar w:fldCharType="begin"/>
    </w:r>
    <w:r w:rsidR="002F22EA" w:rsidRPr="00CC5F49">
      <w:rPr>
        <w:rStyle w:val="PageNumber"/>
        <w:color w:val="008675"/>
      </w:rPr>
      <w:instrText xml:space="preserve"> PAGE   \* MERGEFORMAT </w:instrText>
    </w:r>
    <w:r w:rsidR="002F22EA" w:rsidRPr="00CC5F49">
      <w:rPr>
        <w:rStyle w:val="PageNumber"/>
        <w:b w:val="0"/>
        <w:color w:val="008675"/>
      </w:rPr>
      <w:fldChar w:fldCharType="separate"/>
    </w:r>
    <w:r w:rsidR="00F57388">
      <w:rPr>
        <w:rStyle w:val="PageNumber"/>
        <w:noProof/>
        <w:color w:val="008675"/>
      </w:rPr>
      <w:t>15</w:t>
    </w:r>
    <w:r w:rsidR="002F22EA" w:rsidRPr="00CC5F49">
      <w:rPr>
        <w:rStyle w:val="PageNumber"/>
        <w:b w:val="0"/>
        <w:color w:val="00867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8FA8C" w14:textId="47D178C9" w:rsidR="008212BC" w:rsidRDefault="0000725D" w:rsidP="008212BC">
    <w:pPr>
      <w:pStyle w:val="Footer"/>
      <w:pBdr>
        <w:top w:val="none" w:sz="0" w:space="0" w:color="auto"/>
      </w:pBdr>
      <w:tabs>
        <w:tab w:val="right" w:pos="9071"/>
      </w:tabs>
    </w:pPr>
    <w:r>
      <w:rPr>
        <w:noProof/>
      </w:rPr>
      <mc:AlternateContent>
        <mc:Choice Requires="wps">
          <w:drawing>
            <wp:anchor distT="0" distB="0" distL="114300" distR="114300" simplePos="0" relativeHeight="251658752" behindDoc="0" locked="0" layoutInCell="0" allowOverlap="1" wp14:anchorId="18A9BF84" wp14:editId="66729D44">
              <wp:simplePos x="0" y="0"/>
              <wp:positionH relativeFrom="page">
                <wp:align>center</wp:align>
              </wp:positionH>
              <wp:positionV relativeFrom="page">
                <wp:align>bottom</wp:align>
              </wp:positionV>
              <wp:extent cx="7772400" cy="457200"/>
              <wp:effectExtent l="0" t="0" r="0" b="0"/>
              <wp:wrapNone/>
              <wp:docPr id="39" name="Text Box 39" descr="{&quot;HashCode&quot;:98033416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925B51" w14:textId="5EFADD04"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A9BF84" id="_x0000_t202" coordsize="21600,21600" o:spt="202" path="m,l,21600r21600,l21600,xe">
              <v:stroke joinstyle="miter"/>
              <v:path gradientshapeok="t" o:connecttype="rect"/>
            </v:shapetype>
            <v:shape id="Text Box 39" o:spid="_x0000_s1031" type="#_x0000_t202" alt="{&quot;HashCode&quot;:980334167,&quot;Height&quot;:9999999.0,&quot;Width&quot;:9999999.0,&quot;Placement&quot;:&quot;Footer&quot;,&quot;Index&quot;:&quot;Primary&quot;,&quot;Section&quot;:3,&quot;Top&quot;:0.0,&quot;Left&quot;:0.0}" style="position:absolute;margin-left:0;margin-top:0;width:612pt;height:36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CFw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" o:allowincell="f" filled="f" stroked="f" strokeweight=".5pt">
              <v:textbox inset=",0,,0">
                <w:txbxContent>
                  <w:p w14:paraId="7A925B51" w14:textId="5EFADD04"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r w:rsidR="00FD1139">
      <w:rPr>
        <w:noProof/>
      </w:rPr>
      <mc:AlternateContent>
        <mc:Choice Requires="wps">
          <w:drawing>
            <wp:anchor distT="0" distB="0" distL="114300" distR="114300" simplePos="0" relativeHeight="251650560" behindDoc="0" locked="0" layoutInCell="1" allowOverlap="1" wp14:anchorId="4B708FA9" wp14:editId="04C474A4">
              <wp:simplePos x="0" y="0"/>
              <wp:positionH relativeFrom="column">
                <wp:posOffset>0</wp:posOffset>
              </wp:positionH>
              <wp:positionV relativeFrom="paragraph">
                <wp:posOffset>-2351</wp:posOffset>
              </wp:positionV>
              <wp:extent cx="8854289" cy="0"/>
              <wp:effectExtent l="0" t="0" r="0" b="0"/>
              <wp:wrapNone/>
              <wp:docPr id="14" name="Straight Connector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8854289"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ACE0D5" id="Straight Connector 1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9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" strokecolor="#2c476e" strokeweight="1.5pt">
              <v:stroke joinstyle="miter"/>
            </v:line>
          </w:pict>
        </mc:Fallback>
      </mc:AlternateContent>
    </w:r>
    <w:r w:rsidR="00FD1139">
      <w:rPr>
        <w:color w:val="2C476E"/>
      </w:rPr>
      <w:t xml:space="preserve">Digital Identity | </w:t>
    </w:r>
    <w:r w:rsidR="004B7F1E">
      <w:rPr>
        <w:b w:val="0"/>
        <w:color w:val="2C476E"/>
      </w:rPr>
      <w:t>Decision Regulation Impact Statement</w:t>
    </w:r>
    <w:r w:rsidR="00FD1139">
      <w:rPr>
        <w:b w:val="0"/>
        <w:color w:val="2C476E"/>
      </w:rPr>
      <w:tab/>
    </w:r>
    <w:r w:rsidR="00FD1139">
      <w:rPr>
        <w:b w:val="0"/>
        <w:color w:val="2C476E"/>
      </w:rPr>
      <w:tab/>
    </w:r>
    <w:r w:rsidR="00FD1139">
      <w:rPr>
        <w:b w:val="0"/>
        <w:color w:val="2C476E"/>
      </w:rPr>
      <w:tab/>
    </w:r>
    <w:r w:rsidR="002C56E5">
      <w:rPr>
        <w:b w:val="0"/>
        <w:bCs/>
        <w:color w:val="2C476E"/>
      </w:rPr>
      <w:tab/>
    </w:r>
    <w:r w:rsidR="002C56E5">
      <w:rPr>
        <w:b w:val="0"/>
        <w:bCs/>
        <w:color w:val="2C476E"/>
      </w:rPr>
      <w:tab/>
    </w:r>
    <w:r w:rsidR="002C56E5">
      <w:rPr>
        <w:b w:val="0"/>
        <w:bCs/>
        <w:color w:val="2C476E"/>
      </w:rPr>
      <w:tab/>
    </w:r>
    <w:r w:rsidR="002C56E5">
      <w:rPr>
        <w:b w:val="0"/>
        <w:bCs/>
        <w:color w:val="2C476E"/>
      </w:rPr>
      <w:tab/>
    </w:r>
    <w:r w:rsidR="008212BC" w:rsidRPr="008E7CDC">
      <w:rPr>
        <w:rStyle w:val="PageNumber"/>
      </w:rPr>
      <w:tab/>
    </w:r>
    <w:r w:rsidR="00FD1139" w:rsidRPr="000D3186">
      <w:rPr>
        <w:rStyle w:val="PageNumber"/>
        <w:b w:val="0"/>
        <w:color w:val="2C476E" w:themeColor="accent1"/>
      </w:rPr>
      <w:fldChar w:fldCharType="begin"/>
    </w:r>
    <w:r w:rsidR="00FD1139" w:rsidRPr="000D3186">
      <w:rPr>
        <w:rStyle w:val="PageNumber"/>
        <w:color w:val="2C476E" w:themeColor="accent1"/>
      </w:rPr>
      <w:instrText xml:space="preserve"> PAGE   \* MERGEFORMAT </w:instrText>
    </w:r>
    <w:r w:rsidR="00FD1139" w:rsidRPr="000D3186">
      <w:rPr>
        <w:rStyle w:val="PageNumber"/>
        <w:b w:val="0"/>
        <w:color w:val="2C476E" w:themeColor="accent1"/>
      </w:rPr>
      <w:fldChar w:fldCharType="separate"/>
    </w:r>
    <w:r w:rsidR="00F57388">
      <w:rPr>
        <w:rStyle w:val="PageNumber"/>
        <w:noProof/>
        <w:color w:val="2C476E" w:themeColor="accent1"/>
      </w:rPr>
      <w:t>16</w:t>
    </w:r>
    <w:r w:rsidR="00FD1139" w:rsidRPr="000D3186">
      <w:rPr>
        <w:rStyle w:val="PageNumber"/>
        <w:b w:val="0"/>
        <w:color w:val="2C476E" w:themeColor="accent1"/>
      </w:rPr>
      <w:fldChar w:fldCharType="end"/>
    </w:r>
  </w:p>
  <w:p w14:paraId="7D79DA8D" w14:textId="0F909ADD" w:rsidR="00616A6E" w:rsidRDefault="00616A6E" w:rsidP="00AC3380">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707E1" w14:textId="6A58C8B9" w:rsidR="00616A6E" w:rsidRDefault="0000725D" w:rsidP="00D37CA3">
    <w:pPr>
      <w:pStyle w:val="Footer"/>
      <w:pBdr>
        <w:top w:val="none" w:sz="0" w:space="0" w:color="auto"/>
      </w:pBdr>
      <w:tabs>
        <w:tab w:val="right" w:pos="9071"/>
      </w:tabs>
    </w:pPr>
    <w:r>
      <w:rPr>
        <w:noProof/>
      </w:rPr>
      <mc:AlternateContent>
        <mc:Choice Requires="wps">
          <w:drawing>
            <wp:anchor distT="0" distB="0" distL="114300" distR="114300" simplePos="0" relativeHeight="251659776" behindDoc="0" locked="0" layoutInCell="0" allowOverlap="1" wp14:anchorId="1D83ADC7" wp14:editId="07454BC8">
              <wp:simplePos x="0" y="0"/>
              <wp:positionH relativeFrom="page">
                <wp:align>center</wp:align>
              </wp:positionH>
              <wp:positionV relativeFrom="page">
                <wp:align>bottom</wp:align>
              </wp:positionV>
              <wp:extent cx="7772400" cy="457200"/>
              <wp:effectExtent l="0" t="0" r="0" b="0"/>
              <wp:wrapNone/>
              <wp:docPr id="51" name="Text Box 51" descr="{&quot;HashCode&quot;:980334167,&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F781F" w14:textId="10E4C2BE"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83ADC7" id="_x0000_t202" coordsize="21600,21600" o:spt="202" path="m,l,21600r21600,l21600,xe">
              <v:stroke joinstyle="miter"/>
              <v:path gradientshapeok="t" o:connecttype="rect"/>
            </v:shapetype>
            <v:shape id="Text Box 51" o:spid="_x0000_s1032" type="#_x0000_t202" alt="{&quot;HashCode&quot;:980334167,&quot;Height&quot;:9999999.0,&quot;Width&quot;:9999999.0,&quot;Placement&quot;:&quot;Footer&quot;,&quot;Index&quot;:&quot;Primary&quot;,&quot;Section&quot;:4,&quot;Top&quot;:0.0,&quot;Left&quot;:0.0}" style="position:absolute;margin-left:0;margin-top:0;width:612pt;height:36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rGAIAAC0EAAAOAAAAZHJzL2Uyb0RvYy54bWysU99v2jAQfp+0/8Hy+0hgULqIULFWTJNQ&#10;W4lOfTaOTSw5Ps82JOyv39khUHV7mvbinO8u9+P7Pi/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DqbIy+xTHb92zofvgloSDRK6pCWhBY7&#10;bnzoU4eU2MzAWmmdqNGGtCW9+TzL0w+XCBbXBntcZ41W6HYdUVVJZ8MeO6hOuJ6Dnnlv+VrhDBvm&#10;wzNzSDWOjfINT3hIDdgLzhYlNbhff/PHfGQAo5S0KJ2S+p8H5gQl+rtBbr6Mp9OotXRBw7317gav&#10;OTT3gKoc4wOxPJkxN+jBlA6aV1T3KnbDEDMce5aUBzdc7kMvZXwfXKxWKQ11ZVnYmK3lsXjEM2L7&#10;0r0yZ88EBKTuEQZ5seIdD31uz8TqEECqRFJEuMfzDDxqMtF8fj9R9G/vKev6ype/AQ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B/P6qxgCAAAtBAAADgAAAAAAAAAAAAAAAAAuAgAAZHJzL2Uyb0RvYy54bWxQSwECLQAUAAYACAAA&#10;ACEA+CRt0toAAAAFAQAADwAAAAAAAAAAAAAAAAByBAAAZHJzL2Rvd25yZXYueG1sUEsFBgAAAAAE&#10;AAQA8wAAAHkFAAAAAA==&#10;" o:allowincell="f" filled="f" stroked="f" strokeweight=".5pt">
              <v:textbox inset=",0,,0">
                <w:txbxContent>
                  <w:p w14:paraId="42AF781F" w14:textId="10E4C2BE"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r w:rsidR="00CE7708">
      <w:rPr>
        <w:noProof/>
      </w:rPr>
      <mc:AlternateContent>
        <mc:Choice Requires="wps">
          <w:drawing>
            <wp:anchor distT="0" distB="0" distL="114300" distR="114300" simplePos="0" relativeHeight="251651584" behindDoc="0" locked="0" layoutInCell="1" allowOverlap="1" wp14:anchorId="2A740476" wp14:editId="5415291C">
              <wp:simplePos x="0" y="0"/>
              <wp:positionH relativeFrom="column">
                <wp:posOffset>0</wp:posOffset>
              </wp:positionH>
              <wp:positionV relativeFrom="paragraph">
                <wp:posOffset>1802</wp:posOffset>
              </wp:positionV>
              <wp:extent cx="5741581" cy="0"/>
              <wp:effectExtent l="0" t="0" r="25400" b="25400"/>
              <wp:wrapNone/>
              <wp:docPr id="21" name="Straight Connector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741581"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3623A9"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5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" strokecolor="#2c476e" strokeweight="1.5pt">
              <v:stroke joinstyle="miter"/>
            </v:line>
          </w:pict>
        </mc:Fallback>
      </mc:AlternateContent>
    </w:r>
    <w:r w:rsidR="00D37CA3">
      <w:rPr>
        <w:noProof/>
      </w:rPr>
      <mc:AlternateContent>
        <mc:Choice Requires="wps">
          <w:drawing>
            <wp:anchor distT="0" distB="0" distL="114300" distR="114300" simplePos="0" relativeHeight="251654656" behindDoc="0" locked="0" layoutInCell="1" allowOverlap="1" wp14:anchorId="7A0C9B7D" wp14:editId="50B60EBC">
              <wp:simplePos x="0" y="0"/>
              <wp:positionH relativeFrom="column">
                <wp:posOffset>0</wp:posOffset>
              </wp:positionH>
              <wp:positionV relativeFrom="paragraph">
                <wp:posOffset>1802</wp:posOffset>
              </wp:positionV>
              <wp:extent cx="5741581" cy="0"/>
              <wp:effectExtent l="0" t="0" r="25400" b="25400"/>
              <wp:wrapNone/>
              <wp:docPr id="45" name="Straight Connector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741581"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8C1CA3" id="Straight Connector 45"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5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" strokecolor="#2c476e" strokeweight="1.5pt">
              <v:stroke joinstyle="miter"/>
            </v:line>
          </w:pict>
        </mc:Fallback>
      </mc:AlternateContent>
    </w:r>
    <w:r w:rsidR="00D37CA3">
      <w:rPr>
        <w:b w:val="0"/>
        <w:noProof/>
      </w:rPr>
      <mc:AlternateContent>
        <mc:Choice Requires="wps">
          <w:drawing>
            <wp:anchor distT="0" distB="0" distL="114300" distR="114300" simplePos="0" relativeHeight="251655680" behindDoc="0" locked="0" layoutInCell="1" allowOverlap="1" wp14:anchorId="736013BE" wp14:editId="47E24ADF">
              <wp:simplePos x="0" y="0"/>
              <wp:positionH relativeFrom="column">
                <wp:posOffset>0</wp:posOffset>
              </wp:positionH>
              <wp:positionV relativeFrom="paragraph">
                <wp:posOffset>0</wp:posOffset>
              </wp:positionV>
              <wp:extent cx="5819775" cy="0"/>
              <wp:effectExtent l="0" t="0" r="0" b="0"/>
              <wp:wrapNone/>
              <wp:docPr id="46" name="Straight Connector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CE4E8A" id="Straight Connector 46" o:spid="_x0000_s1026" alt="&quot;&quot;"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0,0" to="45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" strokecolor="#2c476e" strokeweight="1.5pt">
              <v:stroke joinstyle="miter"/>
            </v:line>
          </w:pict>
        </mc:Fallback>
      </mc:AlternateContent>
    </w:r>
    <w:r w:rsidR="00CE7708">
      <w:rPr>
        <w:color w:val="2C476E"/>
      </w:rPr>
      <w:t xml:space="preserve">Digital Identity | </w:t>
    </w:r>
    <w:r w:rsidR="00F00212">
      <w:rPr>
        <w:b w:val="0"/>
        <w:color w:val="2C476E"/>
      </w:rPr>
      <w:t xml:space="preserve">Decision </w:t>
    </w:r>
    <w:r w:rsidR="004B7F1E">
      <w:rPr>
        <w:b w:val="0"/>
        <w:color w:val="2C476E"/>
      </w:rPr>
      <w:t>Regulation Impact Statement</w:t>
    </w:r>
    <w:r w:rsidR="00CE7708">
      <w:rPr>
        <w:rStyle w:val="PageNumber"/>
      </w:rPr>
      <w:tab/>
    </w:r>
    <w:r w:rsidR="00CE7708" w:rsidRPr="000D3186">
      <w:rPr>
        <w:rStyle w:val="PageNumber"/>
        <w:color w:val="2C476E" w:themeColor="accent1"/>
      </w:rPr>
      <w:fldChar w:fldCharType="begin"/>
    </w:r>
    <w:r w:rsidR="00CE7708" w:rsidRPr="000D3186">
      <w:rPr>
        <w:rStyle w:val="PageNumber"/>
        <w:color w:val="2C476E" w:themeColor="accent1"/>
      </w:rPr>
      <w:instrText xml:space="preserve"> PAGE   \* MERGEFORMAT </w:instrText>
    </w:r>
    <w:r w:rsidR="00CE7708" w:rsidRPr="000D3186">
      <w:rPr>
        <w:rStyle w:val="PageNumber"/>
        <w:color w:val="2C476E" w:themeColor="accent1"/>
      </w:rPr>
      <w:fldChar w:fldCharType="separate"/>
    </w:r>
    <w:r w:rsidR="00F57388">
      <w:rPr>
        <w:rStyle w:val="PageNumber"/>
        <w:noProof/>
        <w:color w:val="2C476E" w:themeColor="accent1"/>
      </w:rPr>
      <w:t>23</w:t>
    </w:r>
    <w:r w:rsidR="00CE7708" w:rsidRPr="000D3186">
      <w:rPr>
        <w:rStyle w:val="PageNumber"/>
        <w:color w:val="2C476E"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B18C1" w14:textId="452E482C" w:rsidR="00616A6E" w:rsidRDefault="0000725D" w:rsidP="00EE75EE">
    <w:pPr>
      <w:pStyle w:val="Footer"/>
      <w:pBdr>
        <w:top w:val="none" w:sz="0" w:space="0" w:color="auto"/>
      </w:pBdr>
      <w:tabs>
        <w:tab w:val="right" w:pos="9071"/>
      </w:tabs>
    </w:pPr>
    <w:r>
      <w:rPr>
        <w:noProof/>
      </w:rPr>
      <mc:AlternateContent>
        <mc:Choice Requires="wps">
          <w:drawing>
            <wp:anchor distT="0" distB="0" distL="114300" distR="114300" simplePos="0" relativeHeight="251665920" behindDoc="0" locked="0" layoutInCell="0" allowOverlap="1" wp14:anchorId="1121FF78" wp14:editId="2265AE1D">
              <wp:simplePos x="0" y="0"/>
              <wp:positionH relativeFrom="page">
                <wp:align>center</wp:align>
              </wp:positionH>
              <wp:positionV relativeFrom="page">
                <wp:align>bottom</wp:align>
              </wp:positionV>
              <wp:extent cx="7772400" cy="457200"/>
              <wp:effectExtent l="0" t="0" r="0" b="0"/>
              <wp:wrapNone/>
              <wp:docPr id="52" name="Text Box 52" descr="{&quot;HashCode&quot;:98033416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371649" w14:textId="39C19D12"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21FF78" id="_x0000_t202" coordsize="21600,21600" o:spt="202" path="m,l,21600r21600,l21600,xe">
              <v:stroke joinstyle="miter"/>
              <v:path gradientshapeok="t" o:connecttype="rect"/>
            </v:shapetype>
            <v:shape id="Text Box 52" o:spid="_x0000_s1033" type="#_x0000_t202" alt="{&quot;HashCode&quot;:980334167,&quot;Height&quot;:9999999.0,&quot;Width&quot;:9999999.0,&quot;Placement&quot;:&quot;Footer&quot;,&quot;Index&quot;:&quot;Primary&quot;,&quot;Section&quot;:5,&quot;Top&quot;:0.0,&quot;Left&quot;:0.0}" style="position:absolute;margin-left:0;margin-top:0;width:612pt;height:36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YRFw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" o:allowincell="f" filled="f" stroked="f" strokeweight=".5pt">
              <v:textbox inset=",0,,0">
                <w:txbxContent>
                  <w:p w14:paraId="53371649" w14:textId="39C19D12"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r w:rsidR="00A332B4">
      <w:rPr>
        <w:noProof/>
      </w:rPr>
      <mc:AlternateContent>
        <mc:Choice Requires="wps">
          <w:drawing>
            <wp:anchor distT="0" distB="0" distL="114300" distR="114300" simplePos="0" relativeHeight="251648512" behindDoc="0" locked="0" layoutInCell="1" allowOverlap="1" wp14:anchorId="4678B2AA" wp14:editId="3583B3C2">
              <wp:simplePos x="0" y="0"/>
              <wp:positionH relativeFrom="column">
                <wp:posOffset>0</wp:posOffset>
              </wp:positionH>
              <wp:positionV relativeFrom="paragraph">
                <wp:posOffset>-2351</wp:posOffset>
              </wp:positionV>
              <wp:extent cx="8854289" cy="0"/>
              <wp:effectExtent l="0" t="0" r="0" b="0"/>
              <wp:wrapNone/>
              <wp:docPr id="34" name="Straight Connector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8854289"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FEB043" id="Straight Connector 34" o:spid="_x0000_s1026" alt="&quot;&quot;"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9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" strokecolor="#2c476e" strokeweight="1.5pt">
              <v:stroke joinstyle="miter"/>
            </v:line>
          </w:pict>
        </mc:Fallback>
      </mc:AlternateContent>
    </w:r>
    <w:sdt>
      <w:sdtPr>
        <w:id w:val="463854816"/>
        <w:docPartObj>
          <w:docPartGallery w:val="Page Numbers (Bottom of Page)"/>
          <w:docPartUnique/>
        </w:docPartObj>
      </w:sdtPr>
      <w:sdtEndPr>
        <w:rPr>
          <w:noProof/>
        </w:rPr>
      </w:sdtEndPr>
      <w:sdtContent>
        <w:r w:rsidR="00EE75EE">
          <w:rPr>
            <w:noProof/>
          </w:rPr>
          <mc:AlternateContent>
            <mc:Choice Requires="wps">
              <w:drawing>
                <wp:anchor distT="0" distB="0" distL="114300" distR="114300" simplePos="0" relativeHeight="251663872" behindDoc="0" locked="0" layoutInCell="1" allowOverlap="1" wp14:anchorId="00793463" wp14:editId="44DB7BFA">
                  <wp:simplePos x="0" y="0"/>
                  <wp:positionH relativeFrom="column">
                    <wp:posOffset>0</wp:posOffset>
                  </wp:positionH>
                  <wp:positionV relativeFrom="paragraph">
                    <wp:posOffset>1802</wp:posOffset>
                  </wp:positionV>
                  <wp:extent cx="5741581" cy="0"/>
                  <wp:effectExtent l="0" t="0" r="25400" b="25400"/>
                  <wp:wrapNone/>
                  <wp:docPr id="48" name="Straight Connector 4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741581" cy="0"/>
                          </a:xfrm>
                          <a:prstGeom prst="line">
                            <a:avLst/>
                          </a:prstGeom>
                          <a:ln w="19050">
                            <a:solidFill>
                              <a:srgbClr val="2C47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D51693" id="Straight Connector 48"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5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" strokecolor="#2c476e" strokeweight="1.5pt">
                  <v:stroke joinstyle="miter"/>
                </v:line>
              </w:pict>
            </mc:Fallback>
          </mc:AlternateContent>
        </w:r>
        <w:r w:rsidR="00EE75EE">
          <w:rPr>
            <w:color w:val="2C476E"/>
          </w:rPr>
          <w:t xml:space="preserve">Digital Identity | </w:t>
        </w:r>
        <w:r w:rsidR="00EE75EE">
          <w:rPr>
            <w:b w:val="0"/>
            <w:bCs/>
            <w:color w:val="2C476E"/>
          </w:rPr>
          <w:t>Decision Regulation Impact Statement</w:t>
        </w:r>
        <w:r w:rsidR="00EE75EE">
          <w:rPr>
            <w:b w:val="0"/>
            <w:bCs/>
            <w:color w:val="2C476E"/>
          </w:rPr>
          <w:tab/>
        </w:r>
        <w:r w:rsidR="00EE75EE">
          <w:rPr>
            <w:b w:val="0"/>
            <w:bCs/>
            <w:color w:val="2C476E"/>
          </w:rPr>
          <w:tab/>
        </w:r>
        <w:r w:rsidR="00EE75EE">
          <w:rPr>
            <w:b w:val="0"/>
            <w:bCs/>
            <w:color w:val="2C476E"/>
          </w:rPr>
          <w:tab/>
        </w:r>
        <w:r w:rsidR="00EE75EE">
          <w:rPr>
            <w:b w:val="0"/>
            <w:bCs/>
            <w:color w:val="2C476E"/>
          </w:rPr>
          <w:tab/>
        </w:r>
        <w:r w:rsidR="00EE75EE">
          <w:rPr>
            <w:b w:val="0"/>
            <w:bCs/>
            <w:color w:val="2C476E"/>
          </w:rPr>
          <w:tab/>
        </w:r>
        <w:r w:rsidR="00EE75EE">
          <w:rPr>
            <w:b w:val="0"/>
            <w:bCs/>
            <w:color w:val="2C476E"/>
          </w:rPr>
          <w:tab/>
        </w:r>
        <w:r w:rsidR="00EE75EE">
          <w:rPr>
            <w:b w:val="0"/>
            <w:bCs/>
            <w:color w:val="2C476E"/>
          </w:rPr>
          <w:tab/>
        </w:r>
        <w:r w:rsidR="00EE75EE" w:rsidRPr="008E7CDC">
          <w:rPr>
            <w:rStyle w:val="PageNumber"/>
          </w:rPr>
          <w:tab/>
        </w:r>
        <w:r w:rsidR="00A332B4" w:rsidRPr="000D3186">
          <w:rPr>
            <w:rStyle w:val="PageNumber"/>
            <w:color w:val="2C476E" w:themeColor="accent1"/>
          </w:rPr>
          <w:fldChar w:fldCharType="begin"/>
        </w:r>
        <w:r w:rsidR="00A332B4" w:rsidRPr="000D3186">
          <w:rPr>
            <w:rStyle w:val="PageNumber"/>
            <w:color w:val="2C476E" w:themeColor="accent1"/>
          </w:rPr>
          <w:instrText xml:space="preserve"> PAGE   \* MERGEFORMAT </w:instrText>
        </w:r>
        <w:r w:rsidR="00A332B4" w:rsidRPr="000D3186">
          <w:rPr>
            <w:rStyle w:val="PageNumber"/>
            <w:color w:val="2C476E" w:themeColor="accent1"/>
          </w:rPr>
          <w:fldChar w:fldCharType="separate"/>
        </w:r>
        <w:r w:rsidR="00F57388">
          <w:rPr>
            <w:rStyle w:val="PageNumber"/>
            <w:noProof/>
            <w:color w:val="2C476E" w:themeColor="accent1"/>
          </w:rPr>
          <w:t>24</w:t>
        </w:r>
        <w:r w:rsidR="00A332B4" w:rsidRPr="000D3186">
          <w:rPr>
            <w:rStyle w:val="PageNumber"/>
            <w:color w:val="2C476E" w:themeColor="accent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CFF84" w14:textId="77777777" w:rsidR="002F22EA" w:rsidRPr="00E34239" w:rsidRDefault="002F22EA" w:rsidP="009C1EBF">
    <w:pPr>
      <w:pStyle w:val="documentclassification"/>
      <w:jc w:val="right"/>
    </w:pPr>
  </w:p>
  <w:p w14:paraId="22234B63" w14:textId="77777777" w:rsidR="002F22EA" w:rsidRPr="00B14112" w:rsidRDefault="002F22EA" w:rsidP="009C1EBF">
    <w:pPr>
      <w:pStyle w:val="Footer"/>
      <w:tabs>
        <w:tab w:val="right" w:pos="9129"/>
      </w:tabs>
      <w:rPr>
        <w:b w:val="0"/>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Pr>
        <w:rStyle w:val="PageNumber"/>
        <w:noProof/>
      </w:rPr>
      <w:t>12</w:t>
    </w:r>
    <w:r w:rsidRPr="000B1669">
      <w:rPr>
        <w:rStyle w:val="PageNumber"/>
      </w:rPr>
      <w:fldChar w:fldCharType="end"/>
    </w:r>
    <w:r w:rsidRPr="00B758FD">
      <w:tab/>
      <w:t xml:space="preserve"> </w:t>
    </w:r>
    <w:r w:rsidRPr="005D3491">
      <w:rPr>
        <w:b w:val="0"/>
      </w:rPr>
      <w:t>Digital Transformation Agency —</w:t>
    </w:r>
    <w:r>
      <w:t xml:space="preserve"> &lt;Report Title&gt;</w:t>
    </w:r>
  </w:p>
  <w:p w14:paraId="2BCC2F34" w14:textId="77777777" w:rsidR="000E684F" w:rsidRDefault="000E684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92" w:name="_Hlk72909497"/>
  <w:p w14:paraId="044E22EF" w14:textId="09085CD3" w:rsidR="000E684F" w:rsidRPr="00225CEF" w:rsidRDefault="0000725D" w:rsidP="0041544B">
    <w:pPr>
      <w:pStyle w:val="Footer"/>
      <w:pBdr>
        <w:top w:val="none" w:sz="0" w:space="0" w:color="auto"/>
      </w:pBdr>
      <w:tabs>
        <w:tab w:val="right" w:pos="9071"/>
      </w:tabs>
      <w:rPr>
        <w:color w:val="008675"/>
      </w:rPr>
    </w:pPr>
    <w:r w:rsidRPr="00225CEF">
      <w:rPr>
        <w:noProof/>
        <w:color w:val="008675"/>
      </w:rPr>
      <mc:AlternateContent>
        <mc:Choice Requires="wps">
          <w:drawing>
            <wp:anchor distT="0" distB="0" distL="114300" distR="114300" simplePos="0" relativeHeight="251660800" behindDoc="0" locked="0" layoutInCell="0" allowOverlap="1" wp14:anchorId="7856D50C" wp14:editId="6BFDF382">
              <wp:simplePos x="0" y="0"/>
              <wp:positionH relativeFrom="page">
                <wp:align>left</wp:align>
              </wp:positionH>
              <wp:positionV relativeFrom="page">
                <wp:posOffset>10251273</wp:posOffset>
              </wp:positionV>
              <wp:extent cx="7772400" cy="457200"/>
              <wp:effectExtent l="0" t="0" r="0" b="0"/>
              <wp:wrapNone/>
              <wp:docPr id="53" name="Text Box 53" descr="{&quot;HashCode&quot;:980334167,&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ECB58" w14:textId="1651E69C"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56D50C" id="_x0000_t202" coordsize="21600,21600" o:spt="202" path="m,l,21600r21600,l21600,xe">
              <v:stroke joinstyle="miter"/>
              <v:path gradientshapeok="t" o:connecttype="rect"/>
            </v:shapetype>
            <v:shape id="Text Box 53" o:spid="_x0000_s1034" type="#_x0000_t202" alt="{&quot;HashCode&quot;:980334167,&quot;Height&quot;:9999999.0,&quot;Width&quot;:9999999.0,&quot;Placement&quot;:&quot;Footer&quot;,&quot;Index&quot;:&quot;Primary&quot;,&quot;Section&quot;:6,&quot;Top&quot;:0.0,&quot;Left&quot;:0.0}" style="position:absolute;margin-left:0;margin-top:807.2pt;width:612pt;height:36pt;z-index:251658255;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14Fw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" o:allowincell="f" filled="f" stroked="f" strokeweight=".5pt">
              <v:textbox inset=",0,,0">
                <w:txbxContent>
                  <w:p w14:paraId="205ECB58" w14:textId="1651E69C"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r w:rsidR="00BE7594" w:rsidRPr="00225CEF">
      <w:rPr>
        <w:noProof/>
        <w:color w:val="008675"/>
      </w:rPr>
      <mc:AlternateContent>
        <mc:Choice Requires="wps">
          <w:drawing>
            <wp:anchor distT="0" distB="0" distL="114300" distR="114300" simplePos="0" relativeHeight="251656704" behindDoc="0" locked="0" layoutInCell="1" allowOverlap="1" wp14:anchorId="25FC28BD" wp14:editId="2BAD0331">
              <wp:simplePos x="0" y="0"/>
              <wp:positionH relativeFrom="margin">
                <wp:align>center</wp:align>
              </wp:positionH>
              <wp:positionV relativeFrom="paragraph">
                <wp:posOffset>0</wp:posOffset>
              </wp:positionV>
              <wp:extent cx="5819775" cy="0"/>
              <wp:effectExtent l="0" t="0" r="0" b="0"/>
              <wp:wrapNone/>
              <wp:docPr id="27" name="Straight Connector 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rgbClr val="00867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B01769" id="Straight Connector 27" o:spid="_x0000_s1026" alt="&quot;&quot;" style="position:absolute;z-index:251658249;visibility:visible;mso-wrap-style:square;mso-wrap-distance-left:9pt;mso-wrap-distance-top:0;mso-wrap-distance-right:9pt;mso-wrap-distance-bottom:0;mso-position-horizontal:center;mso-position-horizontal-relative:margin;mso-position-vertical:absolute;mso-position-vertical-relative:text" from="0,0" to="45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" strokecolor="#008675" strokeweight="1.5pt">
              <v:stroke joinstyle="miter"/>
              <w10:wrap anchorx="margin"/>
            </v:line>
          </w:pict>
        </mc:Fallback>
      </mc:AlternateContent>
    </w:r>
    <w:r w:rsidR="002F22EA" w:rsidRPr="00225CEF">
      <w:rPr>
        <w:color w:val="008675"/>
      </w:rPr>
      <w:t>Digital I</w:t>
    </w:r>
    <w:r w:rsidR="00E376C9" w:rsidRPr="00225CEF">
      <w:rPr>
        <w:color w:val="008675"/>
      </w:rPr>
      <w:t>D</w:t>
    </w:r>
    <w:r w:rsidR="002F22EA" w:rsidRPr="00225CEF">
      <w:rPr>
        <w:color w:val="008675"/>
      </w:rPr>
      <w:t xml:space="preserve"> | </w:t>
    </w:r>
    <w:bookmarkEnd w:id="592"/>
    <w:r w:rsidR="00522788" w:rsidRPr="00225CEF">
      <w:rPr>
        <w:b w:val="0"/>
        <w:color w:val="008675"/>
      </w:rPr>
      <w:t xml:space="preserve">Impact </w:t>
    </w:r>
    <w:r w:rsidR="00E376C9" w:rsidRPr="00225CEF">
      <w:rPr>
        <w:b w:val="0"/>
        <w:color w:val="008675"/>
      </w:rPr>
      <w:t>Analysis</w:t>
    </w:r>
    <w:r w:rsidR="002F22EA" w:rsidRPr="00225CEF">
      <w:rPr>
        <w:rStyle w:val="PageNumber"/>
        <w:color w:val="008675"/>
      </w:rPr>
      <w:tab/>
    </w:r>
    <w:r w:rsidR="002F22EA" w:rsidRPr="00225CEF">
      <w:rPr>
        <w:rStyle w:val="PageNumber"/>
        <w:color w:val="008675"/>
      </w:rPr>
      <w:fldChar w:fldCharType="begin"/>
    </w:r>
    <w:r w:rsidR="002F22EA" w:rsidRPr="00225CEF">
      <w:rPr>
        <w:rStyle w:val="PageNumber"/>
        <w:color w:val="008675"/>
      </w:rPr>
      <w:instrText xml:space="preserve"> PAGE   \* MERGEFORMAT </w:instrText>
    </w:r>
    <w:r w:rsidR="002F22EA" w:rsidRPr="00225CEF">
      <w:rPr>
        <w:rStyle w:val="PageNumber"/>
        <w:color w:val="008675"/>
      </w:rPr>
      <w:fldChar w:fldCharType="separate"/>
    </w:r>
    <w:r w:rsidR="00F57388">
      <w:rPr>
        <w:rStyle w:val="PageNumber"/>
        <w:noProof/>
        <w:color w:val="008675"/>
      </w:rPr>
      <w:t>161</w:t>
    </w:r>
    <w:r w:rsidR="002F22EA" w:rsidRPr="00225CEF">
      <w:rPr>
        <w:rStyle w:val="PageNumber"/>
        <w:color w:val="00867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9C480" w14:textId="77777777" w:rsidR="006E3B9A" w:rsidRPr="00DD5F65" w:rsidRDefault="006E3B9A" w:rsidP="001010CC">
      <w:pPr>
        <w:spacing w:before="0" w:after="0" w:line="240" w:lineRule="auto"/>
        <w:rPr>
          <w:color w:val="000000" w:themeColor="text1"/>
        </w:rPr>
      </w:pPr>
      <w:r w:rsidRPr="00DD5F65">
        <w:rPr>
          <w:color w:val="000000" w:themeColor="text1"/>
        </w:rPr>
        <w:separator/>
      </w:r>
    </w:p>
  </w:footnote>
  <w:footnote w:type="continuationSeparator" w:id="0">
    <w:p w14:paraId="71E545CC" w14:textId="77777777" w:rsidR="006E3B9A" w:rsidRDefault="006E3B9A" w:rsidP="001010CC">
      <w:pPr>
        <w:spacing w:before="0" w:after="0" w:line="240" w:lineRule="auto"/>
      </w:pPr>
      <w:r>
        <w:continuationSeparator/>
      </w:r>
    </w:p>
  </w:footnote>
  <w:footnote w:type="continuationNotice" w:id="1">
    <w:p w14:paraId="19C17186" w14:textId="77777777" w:rsidR="006E3B9A" w:rsidRDefault="006E3B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47F62" w14:textId="77777777" w:rsidR="00F57388" w:rsidRDefault="00F57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22B98" w14:textId="49FAA53F" w:rsidR="002F22EA" w:rsidRDefault="0000725D" w:rsidP="009C1EBF">
    <w:pPr>
      <w:pStyle w:val="documentclassification-spacebefore"/>
    </w:pPr>
    <w:r>
      <w:rPr>
        <w:noProof/>
      </w:rPr>
      <mc:AlternateContent>
        <mc:Choice Requires="wps">
          <w:drawing>
            <wp:anchor distT="0" distB="0" distL="114300" distR="114300" simplePos="0" relativeHeight="251661824" behindDoc="0" locked="0" layoutInCell="0" allowOverlap="1" wp14:anchorId="6F2ED4B7" wp14:editId="562B9BD7">
              <wp:simplePos x="0" y="0"/>
              <wp:positionH relativeFrom="page">
                <wp:align>center</wp:align>
              </wp:positionH>
              <wp:positionV relativeFrom="page">
                <wp:align>top</wp:align>
              </wp:positionV>
              <wp:extent cx="7772400" cy="457200"/>
              <wp:effectExtent l="0" t="0" r="0" b="0"/>
              <wp:wrapNone/>
              <wp:docPr id="5" name="Text Box 5" descr="{&quot;HashCode&quot;:956196598,&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80B1A" w14:textId="56311D9B"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2ED4B7" id="_x0000_t202" coordsize="21600,21600" o:spt="202" path="m,l,21600r21600,l21600,xe">
              <v:stroke joinstyle="miter"/>
              <v:path gradientshapeok="t" o:connecttype="rect"/>
            </v:shapetype>
            <v:shape id="Text Box 5" o:spid="_x0000_s1027" type="#_x0000_t202" alt="{&quot;HashCode&quot;:956196598,&quot;Height&quot;:9999999.0,&quot;Width&quot;:9999999.0,&quot;Placement&quot;:&quot;Header&quot;,&quot;Index&quot;:&quot;Primary&quot;,&quot;Section&quot;:1,&quot;Top&quot;:0.0,&quot;Left&quot;:0.0}" style="position:absolute;margin-left:0;margin-top:0;width:612pt;height:36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" o:allowincell="f" filled="f" stroked="f" strokeweight=".5pt">
              <v:textbox inset=",0,,0">
                <w:txbxContent>
                  <w:p w14:paraId="01C80B1A" w14:textId="56311D9B"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8B464" w14:textId="77777777" w:rsidR="00F57388" w:rsidRDefault="00F573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39010" w14:textId="60CABCA7" w:rsidR="002F22EA" w:rsidRDefault="0000725D">
    <w:pPr>
      <w:pStyle w:val="Header"/>
    </w:pPr>
    <w:r>
      <w:rPr>
        <w:noProof/>
      </w:rPr>
      <mc:AlternateContent>
        <mc:Choice Requires="wps">
          <w:drawing>
            <wp:anchor distT="0" distB="0" distL="114300" distR="114300" simplePos="0" relativeHeight="251664896" behindDoc="0" locked="0" layoutInCell="0" allowOverlap="1" wp14:anchorId="413938F3" wp14:editId="62067194">
              <wp:simplePos x="0" y="0"/>
              <wp:positionH relativeFrom="page">
                <wp:align>center</wp:align>
              </wp:positionH>
              <wp:positionV relativeFrom="page">
                <wp:align>top</wp:align>
              </wp:positionV>
              <wp:extent cx="7772400" cy="457200"/>
              <wp:effectExtent l="0" t="0" r="0" b="0"/>
              <wp:wrapNone/>
              <wp:docPr id="7" name="Text Box 7" descr="{&quot;HashCode&quot;:956196598,&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3ABB5" w14:textId="3DAE1B47"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3938F3" id="_x0000_t202" coordsize="21600,21600" o:spt="202" path="m,l,21600r21600,l21600,xe">
              <v:stroke joinstyle="miter"/>
              <v:path gradientshapeok="t" o:connecttype="rect"/>
            </v:shapetype>
            <v:shape id="Text Box 7" o:spid="_x0000_s1029" type="#_x0000_t202" alt="{&quot;HashCode&quot;:956196598,&quot;Height&quot;:9999999.0,&quot;Width&quot;:9999999.0,&quot;Placement&quot;:&quot;Header&quot;,&quot;Index&quot;:&quot;Primary&quot;,&quot;Section&quot;:2,&quot;Top&quot;:0.0,&quot;Left&quot;:0.0}" style="position:absolute;margin-left:0;margin-top:0;width:612pt;height:36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hsGA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qrkk9MeG6gOtB7CwLx3ctXQDA/C&#10;h2eBRDWNTfINT3RoA9QLjhZnNeCvv/ljPjFAUc46kk7J/c+dQMWZ+W6Jmy/j6TRqLV3IwLfezclr&#10;d+0dkCrH9ECcTGbMDeZkaoT2ldS9jN0oJKykniWXAU+XuzBImd6HVMtlSiNdOREe7NrJWDziGbF9&#10;6V8FuiMBgah7hJO8RPGOhyF3YGK5C6CbRFJEeMDzCDxpMtF8fD9R9G/vKevyyhe/AQ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5TOobBgCAAAtBAAADgAAAAAAAAAAAAAAAAAuAgAAZHJzL2Uyb0RvYy54bWxQSwECLQAUAAYACAAA&#10;ACEA+CRt0toAAAAFAQAADwAAAAAAAAAAAAAAAAByBAAAZHJzL2Rvd25yZXYueG1sUEsFBgAAAAAE&#10;AAQA8wAAAHkFAAAAAA==&#10;" o:allowincell="f" filled="f" stroked="f" strokeweight=".5pt">
              <v:textbox inset=",0,,0">
                <w:txbxContent>
                  <w:p w14:paraId="0703ABB5" w14:textId="3DAE1B47" w:rsidR="0000725D" w:rsidRPr="00257DF3" w:rsidRDefault="00257DF3" w:rsidP="00257DF3">
                    <w:pPr>
                      <w:spacing w:before="0" w:after="0"/>
                      <w:jc w:val="center"/>
                      <w:rPr>
                        <w:rFonts w:ascii="Calibri" w:hAnsi="Calibri" w:cs="Calibri"/>
                        <w:color w:val="A80000"/>
                        <w:sz w:val="28"/>
                      </w:rPr>
                    </w:pPr>
                    <w:r w:rsidRPr="00257DF3">
                      <w:rPr>
                        <w:rFonts w:ascii="Calibri" w:hAnsi="Calibri" w:cs="Calibri"/>
                        <w:color w:val="A80000"/>
                        <w:sz w:val="28"/>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5k3SIcfUZsfuT" int2:id="2xoeLiIN">
      <int2:state int2:value="Rejected" int2:type="AugLoop_Text_Critique"/>
    </int2:textHash>
    <int2:textHash int2:hashCode="rqKHrMRYPs0gyt" int2:id="3BvbpRPs">
      <int2:state int2:value="Rejected" int2:type="AugLoop_Text_Critique"/>
    </int2:textHash>
    <int2:textHash int2:hashCode="h+pd/IuOOE2EiX" int2:id="5FCnPZsp">
      <int2:state int2:value="Rejected" int2:type="AugLoop_Text_Critique"/>
    </int2:textHash>
    <int2:textHash int2:hashCode="mcUJiDrxNMWFgi" int2:id="HPmVtBi5">
      <int2:state int2:value="Rejected" int2:type="AugLoop_Text_Critique"/>
    </int2:textHash>
    <int2:textHash int2:hashCode="BvmKiqQgZI1T/s" int2:id="Hufy2PAT">
      <int2:state int2:value="Rejected" int2:type="AugLoop_Text_Critique"/>
    </int2:textHash>
    <int2:textHash int2:hashCode="guZgtgQUDKa579" int2:id="StGNEcki">
      <int2:state int2:value="Rejected" int2:type="AugLoop_Text_Critique"/>
    </int2:textHash>
    <int2:textHash int2:hashCode="apk7MuICkX6Zby" int2:id="WK1IJOxp">
      <int2:state int2:value="Rejected" int2:type="AugLoop_Text_Critique"/>
    </int2:textHash>
    <int2:textHash int2:hashCode="QRzTRe2PnPjF0T" int2:id="eaMWfHWc">
      <int2:state int2:value="Rejected" int2:type="AugLoop_Text_Critique"/>
    </int2:textHash>
    <int2:textHash int2:hashCode="4jcA/ICdRubsm3" int2:id="qggvXRlu">
      <int2:state int2:value="Rejected" int2:type="AugLoop_Text_Critique"/>
    </int2:textHash>
    <int2:textHash int2:hashCode="zSuTDQjak6b4G7" int2:id="yURjDwJe">
      <int2:state int2:value="Rejected" int2:type="AugLoop_Text_Critique"/>
    </int2:textHash>
    <int2:textHash int2:hashCode="i20AKScVzrE4zm" int2:id="zxY44nd2">
      <int2:state int2:value="Rejected" int2:type="AugLoop_Text_Critique"/>
    </int2:textHash>
    <int2:bookmark int2:bookmarkName="_Int_VbScoInk" int2:invalidationBookmarkName="" int2:hashCode="M80cAxGOI7+cRb" int2:id="6ZiWnwbb">
      <int2:state int2:value="Rejected" int2:type="AugLoop_Text_Critique"/>
    </int2:bookmark>
    <int2:bookmark int2:bookmarkName="_Int_A6U0BbVW" int2:invalidationBookmarkName="" int2:hashCode="/MNJRsR4Pom4ut" int2:id="6p4NVnPE">
      <int2:state int2:value="Rejected" int2:type="AugLoop_Text_Critique"/>
    </int2:bookmark>
    <int2:bookmark int2:bookmarkName="_Int_V78osbLD" int2:invalidationBookmarkName="" int2:hashCode="LQKr29AEsEsbbh" int2:id="jq1iSr3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2FE1"/>
    <w:multiLevelType w:val="multilevel"/>
    <w:tmpl w:val="29F85434"/>
    <w:styleLink w:val="GAAppendices"/>
    <w:lvl w:ilvl="0">
      <w:start w:val="1"/>
      <w:numFmt w:val="upperLetter"/>
      <w:suff w:val="space"/>
      <w:lvlText w:val="Appendix %1"/>
      <w:lvlJc w:val="left"/>
      <w:pPr>
        <w:ind w:left="-152" w:firstLine="0"/>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suff w:val="space"/>
      <w:lvlText w:val="%1.%2"/>
      <w:lvlJc w:val="left"/>
      <w:pPr>
        <w:ind w:left="-152" w:firstLine="0"/>
      </w:pPr>
      <w:rPr>
        <w:rFonts w:hint="default"/>
      </w:rPr>
    </w:lvl>
    <w:lvl w:ilvl="2">
      <w:start w:val="1"/>
      <w:numFmt w:val="decimal"/>
      <w:suff w:val="space"/>
      <w:lvlText w:val="%1.%2.%3"/>
      <w:lvlJc w:val="left"/>
      <w:pPr>
        <w:ind w:left="-152" w:firstLine="0"/>
      </w:pPr>
      <w:rPr>
        <w:rFonts w:hint="default"/>
      </w:rPr>
    </w:lvl>
    <w:lvl w:ilvl="3">
      <w:start w:val="1"/>
      <w:numFmt w:val="decimal"/>
      <w:suff w:val="space"/>
      <w:lvlText w:val="%1.%2.%3.%4"/>
      <w:lvlJc w:val="left"/>
      <w:pPr>
        <w:ind w:left="-152" w:firstLine="0"/>
      </w:pPr>
      <w:rPr>
        <w:rFonts w:hint="default"/>
      </w:rPr>
    </w:lvl>
    <w:lvl w:ilvl="4">
      <w:start w:val="1"/>
      <w:numFmt w:val="decimal"/>
      <w:suff w:val="space"/>
      <w:lvlText w:val="%1.%2.%3.%4.%5"/>
      <w:lvlJc w:val="left"/>
      <w:pPr>
        <w:ind w:left="-152" w:firstLine="0"/>
      </w:pPr>
      <w:rPr>
        <w:rFonts w:hint="default"/>
      </w:rPr>
    </w:lvl>
    <w:lvl w:ilvl="5">
      <w:start w:val="1"/>
      <w:numFmt w:val="decimal"/>
      <w:suff w:val="space"/>
      <w:lvlText w:val="%1.%2.%3.%4.%5.%6"/>
      <w:lvlJc w:val="left"/>
      <w:pPr>
        <w:ind w:left="-152" w:firstLine="0"/>
      </w:pPr>
      <w:rPr>
        <w:rFonts w:hint="default"/>
      </w:rPr>
    </w:lvl>
    <w:lvl w:ilvl="6">
      <w:start w:val="1"/>
      <w:numFmt w:val="decimal"/>
      <w:suff w:val="space"/>
      <w:lvlText w:val="%1.%2.%3.%4.%5.%6.%7"/>
      <w:lvlJc w:val="left"/>
      <w:pPr>
        <w:ind w:left="-152" w:firstLine="0"/>
      </w:pPr>
      <w:rPr>
        <w:rFonts w:hint="default"/>
      </w:rPr>
    </w:lvl>
    <w:lvl w:ilvl="7">
      <w:start w:val="1"/>
      <w:numFmt w:val="decimal"/>
      <w:suff w:val="space"/>
      <w:lvlText w:val="%1.%2.%3.%4.%5.%6.%7.%8"/>
      <w:lvlJc w:val="left"/>
      <w:pPr>
        <w:ind w:left="-152" w:firstLine="0"/>
      </w:pPr>
      <w:rPr>
        <w:rFonts w:hint="default"/>
      </w:rPr>
    </w:lvl>
    <w:lvl w:ilvl="8">
      <w:start w:val="1"/>
      <w:numFmt w:val="decimal"/>
      <w:suff w:val="space"/>
      <w:lvlText w:val="%1.%2.%3.%4.%5.%6.%7.%8.%9"/>
      <w:lvlJc w:val="left"/>
      <w:pPr>
        <w:ind w:left="-152" w:firstLine="0"/>
      </w:pPr>
      <w:rPr>
        <w:rFonts w:hint="default"/>
      </w:rPr>
    </w:lvl>
  </w:abstractNum>
  <w:abstractNum w:abstractNumId="1" w15:restartNumberingAfterBreak="0">
    <w:nsid w:val="011E0BAF"/>
    <w:multiLevelType w:val="hybridMultilevel"/>
    <w:tmpl w:val="E070C7BE"/>
    <w:lvl w:ilvl="0" w:tplc="8138D698">
      <w:start w:val="1"/>
      <w:numFmt w:val="decimal"/>
      <w:lvlText w:val="%1."/>
      <w:lvlJc w:val="left"/>
      <w:pPr>
        <w:tabs>
          <w:tab w:val="num" w:pos="720"/>
        </w:tabs>
        <w:ind w:left="720" w:hanging="360"/>
      </w:pPr>
    </w:lvl>
    <w:lvl w:ilvl="1" w:tplc="331AD420" w:tentative="1">
      <w:start w:val="1"/>
      <w:numFmt w:val="decimal"/>
      <w:lvlText w:val="%2."/>
      <w:lvlJc w:val="left"/>
      <w:pPr>
        <w:tabs>
          <w:tab w:val="num" w:pos="1440"/>
        </w:tabs>
        <w:ind w:left="1440" w:hanging="360"/>
      </w:pPr>
    </w:lvl>
    <w:lvl w:ilvl="2" w:tplc="68829DB8" w:tentative="1">
      <w:start w:val="1"/>
      <w:numFmt w:val="decimal"/>
      <w:lvlText w:val="%3."/>
      <w:lvlJc w:val="left"/>
      <w:pPr>
        <w:tabs>
          <w:tab w:val="num" w:pos="2160"/>
        </w:tabs>
        <w:ind w:left="2160" w:hanging="360"/>
      </w:pPr>
    </w:lvl>
    <w:lvl w:ilvl="3" w:tplc="2CCE54A8" w:tentative="1">
      <w:start w:val="1"/>
      <w:numFmt w:val="decimal"/>
      <w:lvlText w:val="%4."/>
      <w:lvlJc w:val="left"/>
      <w:pPr>
        <w:tabs>
          <w:tab w:val="num" w:pos="2880"/>
        </w:tabs>
        <w:ind w:left="2880" w:hanging="360"/>
      </w:pPr>
    </w:lvl>
    <w:lvl w:ilvl="4" w:tplc="04F80ED4" w:tentative="1">
      <w:start w:val="1"/>
      <w:numFmt w:val="decimal"/>
      <w:lvlText w:val="%5."/>
      <w:lvlJc w:val="left"/>
      <w:pPr>
        <w:tabs>
          <w:tab w:val="num" w:pos="3600"/>
        </w:tabs>
        <w:ind w:left="3600" w:hanging="360"/>
      </w:pPr>
    </w:lvl>
    <w:lvl w:ilvl="5" w:tplc="183C075A" w:tentative="1">
      <w:start w:val="1"/>
      <w:numFmt w:val="decimal"/>
      <w:lvlText w:val="%6."/>
      <w:lvlJc w:val="left"/>
      <w:pPr>
        <w:tabs>
          <w:tab w:val="num" w:pos="4320"/>
        </w:tabs>
        <w:ind w:left="4320" w:hanging="360"/>
      </w:pPr>
    </w:lvl>
    <w:lvl w:ilvl="6" w:tplc="7D58F95E" w:tentative="1">
      <w:start w:val="1"/>
      <w:numFmt w:val="decimal"/>
      <w:lvlText w:val="%7."/>
      <w:lvlJc w:val="left"/>
      <w:pPr>
        <w:tabs>
          <w:tab w:val="num" w:pos="5040"/>
        </w:tabs>
        <w:ind w:left="5040" w:hanging="360"/>
      </w:pPr>
    </w:lvl>
    <w:lvl w:ilvl="7" w:tplc="0D78243E" w:tentative="1">
      <w:start w:val="1"/>
      <w:numFmt w:val="decimal"/>
      <w:lvlText w:val="%8."/>
      <w:lvlJc w:val="left"/>
      <w:pPr>
        <w:tabs>
          <w:tab w:val="num" w:pos="5760"/>
        </w:tabs>
        <w:ind w:left="5760" w:hanging="360"/>
      </w:pPr>
    </w:lvl>
    <w:lvl w:ilvl="8" w:tplc="B2004192" w:tentative="1">
      <w:start w:val="1"/>
      <w:numFmt w:val="decimal"/>
      <w:lvlText w:val="%9."/>
      <w:lvlJc w:val="left"/>
      <w:pPr>
        <w:tabs>
          <w:tab w:val="num" w:pos="6480"/>
        </w:tabs>
        <w:ind w:left="6480" w:hanging="360"/>
      </w:pPr>
    </w:lvl>
  </w:abstractNum>
  <w:abstractNum w:abstractNumId="2" w15:restartNumberingAfterBreak="0">
    <w:nsid w:val="01C80A0C"/>
    <w:multiLevelType w:val="multilevel"/>
    <w:tmpl w:val="B3626C4E"/>
    <w:lvl w:ilvl="0">
      <w:start w:val="1"/>
      <w:numFmt w:val="bullet"/>
      <w:pStyle w:val="ListBulletLevel1"/>
      <w:lvlText w:val=""/>
      <w:lvlJc w:val="left"/>
      <w:pPr>
        <w:tabs>
          <w:tab w:val="num" w:pos="596"/>
        </w:tabs>
        <w:ind w:left="596" w:hanging="454"/>
      </w:pPr>
      <w:rPr>
        <w:rFonts w:ascii="Symbol" w:hAnsi="Symbol" w:hint="default"/>
        <w:color w:val="auto"/>
        <w:sz w:val="16"/>
        <w:szCs w:val="16"/>
      </w:rPr>
    </w:lvl>
    <w:lvl w:ilvl="1">
      <w:start w:val="1"/>
      <w:numFmt w:val="bullet"/>
      <w:pStyle w:val="ListBulletLevel2"/>
      <w:lvlText w:val=""/>
      <w:lvlJc w:val="left"/>
      <w:pPr>
        <w:tabs>
          <w:tab w:val="num" w:pos="1049"/>
        </w:tabs>
        <w:ind w:left="1049" w:hanging="453"/>
      </w:pPr>
      <w:rPr>
        <w:rFonts w:ascii="Symbol" w:hAnsi="Symbol" w:hint="default"/>
        <w:color w:val="auto"/>
        <w:sz w:val="16"/>
        <w:szCs w:val="16"/>
      </w:rPr>
    </w:lvl>
    <w:lvl w:ilvl="2">
      <w:start w:val="1"/>
      <w:numFmt w:val="none"/>
      <w:lvlText w:val=""/>
      <w:lvlJc w:val="left"/>
      <w:pPr>
        <w:tabs>
          <w:tab w:val="num" w:pos="1503"/>
        </w:tabs>
        <w:ind w:left="1503" w:hanging="454"/>
      </w:pPr>
      <w:rPr>
        <w:rFonts w:hint="default"/>
      </w:rPr>
    </w:lvl>
    <w:lvl w:ilvl="3">
      <w:start w:val="1"/>
      <w:numFmt w:val="none"/>
      <w:lvlText w:val=""/>
      <w:lvlJc w:val="left"/>
      <w:pPr>
        <w:ind w:left="1582" w:hanging="360"/>
      </w:pPr>
      <w:rPr>
        <w:rFonts w:hint="default"/>
      </w:rPr>
    </w:lvl>
    <w:lvl w:ilvl="4">
      <w:start w:val="1"/>
      <w:numFmt w:val="none"/>
      <w:lvlText w:val=""/>
      <w:lvlJc w:val="left"/>
      <w:pPr>
        <w:ind w:left="1942" w:hanging="360"/>
      </w:pPr>
      <w:rPr>
        <w:rFonts w:hint="default"/>
      </w:rPr>
    </w:lvl>
    <w:lvl w:ilvl="5">
      <w:start w:val="1"/>
      <w:numFmt w:val="none"/>
      <w:lvlText w:val=""/>
      <w:lvlJc w:val="left"/>
      <w:pPr>
        <w:ind w:left="2302" w:hanging="360"/>
      </w:pPr>
      <w:rPr>
        <w:rFonts w:hint="default"/>
      </w:rPr>
    </w:lvl>
    <w:lvl w:ilvl="6">
      <w:start w:val="1"/>
      <w:numFmt w:val="none"/>
      <w:lvlText w:val=""/>
      <w:lvlJc w:val="left"/>
      <w:pPr>
        <w:ind w:left="2662" w:hanging="360"/>
      </w:pPr>
      <w:rPr>
        <w:rFonts w:hint="default"/>
      </w:rPr>
    </w:lvl>
    <w:lvl w:ilvl="7">
      <w:start w:val="1"/>
      <w:numFmt w:val="none"/>
      <w:lvlText w:val=""/>
      <w:lvlJc w:val="left"/>
      <w:pPr>
        <w:ind w:left="3022" w:hanging="360"/>
      </w:pPr>
      <w:rPr>
        <w:rFonts w:hint="default"/>
      </w:rPr>
    </w:lvl>
    <w:lvl w:ilvl="8">
      <w:start w:val="1"/>
      <w:numFmt w:val="none"/>
      <w:lvlText w:val=""/>
      <w:lvlJc w:val="left"/>
      <w:pPr>
        <w:ind w:left="3382" w:hanging="360"/>
      </w:pPr>
      <w:rPr>
        <w:rFonts w:hint="default"/>
      </w:rPr>
    </w:lvl>
  </w:abstractNum>
  <w:abstractNum w:abstractNumId="3" w15:restartNumberingAfterBreak="0">
    <w:nsid w:val="05DD2861"/>
    <w:multiLevelType w:val="hybridMultilevel"/>
    <w:tmpl w:val="B0425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0D0F77"/>
    <w:multiLevelType w:val="multilevel"/>
    <w:tmpl w:val="FECC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821317"/>
    <w:multiLevelType w:val="hybridMultilevel"/>
    <w:tmpl w:val="AAC8633C"/>
    <w:lvl w:ilvl="0" w:tplc="0854BEF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B3174"/>
    <w:multiLevelType w:val="hybridMultilevel"/>
    <w:tmpl w:val="BF62A1F2"/>
    <w:lvl w:ilvl="0" w:tplc="5526F512">
      <w:start w:val="1"/>
      <w:numFmt w:val="decimal"/>
      <w:lvlText w:val="%1."/>
      <w:lvlJc w:val="left"/>
      <w:pPr>
        <w:tabs>
          <w:tab w:val="num" w:pos="720"/>
        </w:tabs>
        <w:ind w:left="720" w:hanging="360"/>
      </w:pPr>
    </w:lvl>
    <w:lvl w:ilvl="1" w:tplc="5156DB00" w:tentative="1">
      <w:start w:val="1"/>
      <w:numFmt w:val="decimal"/>
      <w:lvlText w:val="%2."/>
      <w:lvlJc w:val="left"/>
      <w:pPr>
        <w:tabs>
          <w:tab w:val="num" w:pos="1440"/>
        </w:tabs>
        <w:ind w:left="1440" w:hanging="360"/>
      </w:pPr>
    </w:lvl>
    <w:lvl w:ilvl="2" w:tplc="3DC4E5AA" w:tentative="1">
      <w:start w:val="1"/>
      <w:numFmt w:val="decimal"/>
      <w:lvlText w:val="%3."/>
      <w:lvlJc w:val="left"/>
      <w:pPr>
        <w:tabs>
          <w:tab w:val="num" w:pos="2160"/>
        </w:tabs>
        <w:ind w:left="2160" w:hanging="360"/>
      </w:pPr>
    </w:lvl>
    <w:lvl w:ilvl="3" w:tplc="6F30FB7C" w:tentative="1">
      <w:start w:val="1"/>
      <w:numFmt w:val="decimal"/>
      <w:lvlText w:val="%4."/>
      <w:lvlJc w:val="left"/>
      <w:pPr>
        <w:tabs>
          <w:tab w:val="num" w:pos="2880"/>
        </w:tabs>
        <w:ind w:left="2880" w:hanging="360"/>
      </w:pPr>
    </w:lvl>
    <w:lvl w:ilvl="4" w:tplc="747C4846" w:tentative="1">
      <w:start w:val="1"/>
      <w:numFmt w:val="decimal"/>
      <w:lvlText w:val="%5."/>
      <w:lvlJc w:val="left"/>
      <w:pPr>
        <w:tabs>
          <w:tab w:val="num" w:pos="3600"/>
        </w:tabs>
        <w:ind w:left="3600" w:hanging="360"/>
      </w:pPr>
    </w:lvl>
    <w:lvl w:ilvl="5" w:tplc="F820A4F6" w:tentative="1">
      <w:start w:val="1"/>
      <w:numFmt w:val="decimal"/>
      <w:lvlText w:val="%6."/>
      <w:lvlJc w:val="left"/>
      <w:pPr>
        <w:tabs>
          <w:tab w:val="num" w:pos="4320"/>
        </w:tabs>
        <w:ind w:left="4320" w:hanging="360"/>
      </w:pPr>
    </w:lvl>
    <w:lvl w:ilvl="6" w:tplc="F154A754" w:tentative="1">
      <w:start w:val="1"/>
      <w:numFmt w:val="decimal"/>
      <w:lvlText w:val="%7."/>
      <w:lvlJc w:val="left"/>
      <w:pPr>
        <w:tabs>
          <w:tab w:val="num" w:pos="5040"/>
        </w:tabs>
        <w:ind w:left="5040" w:hanging="360"/>
      </w:pPr>
    </w:lvl>
    <w:lvl w:ilvl="7" w:tplc="EEE6899E" w:tentative="1">
      <w:start w:val="1"/>
      <w:numFmt w:val="decimal"/>
      <w:lvlText w:val="%8."/>
      <w:lvlJc w:val="left"/>
      <w:pPr>
        <w:tabs>
          <w:tab w:val="num" w:pos="5760"/>
        </w:tabs>
        <w:ind w:left="5760" w:hanging="360"/>
      </w:pPr>
    </w:lvl>
    <w:lvl w:ilvl="8" w:tplc="E79AC346" w:tentative="1">
      <w:start w:val="1"/>
      <w:numFmt w:val="decimal"/>
      <w:lvlText w:val="%9."/>
      <w:lvlJc w:val="left"/>
      <w:pPr>
        <w:tabs>
          <w:tab w:val="num" w:pos="6480"/>
        </w:tabs>
        <w:ind w:left="6480" w:hanging="360"/>
      </w:pPr>
    </w:lvl>
  </w:abstractNum>
  <w:abstractNum w:abstractNumId="7" w15:restartNumberingAfterBreak="0">
    <w:nsid w:val="11342267"/>
    <w:multiLevelType w:val="singleLevel"/>
    <w:tmpl w:val="D3363442"/>
    <w:lvl w:ilvl="0">
      <w:start w:val="1"/>
      <w:numFmt w:val="bullet"/>
      <w:lvlText w:val="•"/>
      <w:lvlJc w:val="left"/>
      <w:pPr>
        <w:ind w:left="720" w:hanging="360"/>
      </w:pPr>
      <w:rPr>
        <w:rFonts w:ascii="Arial" w:hAnsi="Arial" w:hint="default"/>
        <w:color w:val="auto"/>
        <w:sz w:val="24"/>
      </w:rPr>
    </w:lvl>
  </w:abstractNum>
  <w:abstractNum w:abstractNumId="8" w15:restartNumberingAfterBreak="0">
    <w:nsid w:val="156334ED"/>
    <w:multiLevelType w:val="multilevel"/>
    <w:tmpl w:val="43FCB0EC"/>
    <w:lvl w:ilvl="0">
      <w:start w:val="1"/>
      <w:numFmt w:val="bullet"/>
      <w:lvlText w:val=""/>
      <w:lvlJc w:val="left"/>
      <w:pPr>
        <w:tabs>
          <w:tab w:val="num" w:pos="454"/>
        </w:tabs>
        <w:ind w:left="454" w:hanging="454"/>
      </w:pPr>
      <w:rPr>
        <w:rFonts w:ascii="Symbol" w:hAnsi="Symbol" w:hint="default"/>
        <w:color w:val="auto"/>
        <w:sz w:val="16"/>
        <w:szCs w:val="16"/>
      </w:rPr>
    </w:lvl>
    <w:lvl w:ilvl="1">
      <w:start w:val="1"/>
      <w:numFmt w:val="bullet"/>
      <w:lvlText w:val="o"/>
      <w:lvlJc w:val="left"/>
      <w:pPr>
        <w:tabs>
          <w:tab w:val="num" w:pos="907"/>
        </w:tabs>
        <w:ind w:left="907" w:hanging="453"/>
      </w:pPr>
      <w:rPr>
        <w:rFonts w:ascii="Courier New" w:hAnsi="Courier New" w:cs="Courier New" w:hint="default"/>
        <w:color w:val="auto"/>
        <w:sz w:val="16"/>
        <w:szCs w:val="16"/>
      </w:rPr>
    </w:lvl>
    <w:lvl w:ilvl="2">
      <w:start w:val="1"/>
      <w:numFmt w:val="none"/>
      <w:lvlText w:val=""/>
      <w:lvlJc w:val="left"/>
      <w:pPr>
        <w:tabs>
          <w:tab w:val="num" w:pos="1361"/>
        </w:tabs>
        <w:ind w:left="1361" w:hanging="45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7A42E13"/>
    <w:multiLevelType w:val="hybridMultilevel"/>
    <w:tmpl w:val="99304AA2"/>
    <w:lvl w:ilvl="0" w:tplc="A082380C">
      <w:start w:val="1"/>
      <w:numFmt w:val="decimal"/>
      <w:lvlText w:val="%1."/>
      <w:lvlJc w:val="left"/>
      <w:pPr>
        <w:tabs>
          <w:tab w:val="num" w:pos="720"/>
        </w:tabs>
        <w:ind w:left="720" w:hanging="360"/>
      </w:pPr>
    </w:lvl>
    <w:lvl w:ilvl="1" w:tplc="755816C2" w:tentative="1">
      <w:start w:val="1"/>
      <w:numFmt w:val="decimal"/>
      <w:lvlText w:val="%2."/>
      <w:lvlJc w:val="left"/>
      <w:pPr>
        <w:tabs>
          <w:tab w:val="num" w:pos="1440"/>
        </w:tabs>
        <w:ind w:left="1440" w:hanging="360"/>
      </w:pPr>
    </w:lvl>
    <w:lvl w:ilvl="2" w:tplc="9474B35A" w:tentative="1">
      <w:start w:val="1"/>
      <w:numFmt w:val="decimal"/>
      <w:lvlText w:val="%3."/>
      <w:lvlJc w:val="left"/>
      <w:pPr>
        <w:tabs>
          <w:tab w:val="num" w:pos="2160"/>
        </w:tabs>
        <w:ind w:left="2160" w:hanging="360"/>
      </w:pPr>
    </w:lvl>
    <w:lvl w:ilvl="3" w:tplc="1E0E82A4" w:tentative="1">
      <w:start w:val="1"/>
      <w:numFmt w:val="decimal"/>
      <w:lvlText w:val="%4."/>
      <w:lvlJc w:val="left"/>
      <w:pPr>
        <w:tabs>
          <w:tab w:val="num" w:pos="2880"/>
        </w:tabs>
        <w:ind w:left="2880" w:hanging="360"/>
      </w:pPr>
    </w:lvl>
    <w:lvl w:ilvl="4" w:tplc="67385A4C" w:tentative="1">
      <w:start w:val="1"/>
      <w:numFmt w:val="decimal"/>
      <w:lvlText w:val="%5."/>
      <w:lvlJc w:val="left"/>
      <w:pPr>
        <w:tabs>
          <w:tab w:val="num" w:pos="3600"/>
        </w:tabs>
        <w:ind w:left="3600" w:hanging="360"/>
      </w:pPr>
    </w:lvl>
    <w:lvl w:ilvl="5" w:tplc="7F50C2DA" w:tentative="1">
      <w:start w:val="1"/>
      <w:numFmt w:val="decimal"/>
      <w:lvlText w:val="%6."/>
      <w:lvlJc w:val="left"/>
      <w:pPr>
        <w:tabs>
          <w:tab w:val="num" w:pos="4320"/>
        </w:tabs>
        <w:ind w:left="4320" w:hanging="360"/>
      </w:pPr>
    </w:lvl>
    <w:lvl w:ilvl="6" w:tplc="D58E56CC" w:tentative="1">
      <w:start w:val="1"/>
      <w:numFmt w:val="decimal"/>
      <w:lvlText w:val="%7."/>
      <w:lvlJc w:val="left"/>
      <w:pPr>
        <w:tabs>
          <w:tab w:val="num" w:pos="5040"/>
        </w:tabs>
        <w:ind w:left="5040" w:hanging="360"/>
      </w:pPr>
    </w:lvl>
    <w:lvl w:ilvl="7" w:tplc="6122BAB0" w:tentative="1">
      <w:start w:val="1"/>
      <w:numFmt w:val="decimal"/>
      <w:lvlText w:val="%8."/>
      <w:lvlJc w:val="left"/>
      <w:pPr>
        <w:tabs>
          <w:tab w:val="num" w:pos="5760"/>
        </w:tabs>
        <w:ind w:left="5760" w:hanging="360"/>
      </w:pPr>
    </w:lvl>
    <w:lvl w:ilvl="8" w:tplc="94B8FA48" w:tentative="1">
      <w:start w:val="1"/>
      <w:numFmt w:val="decimal"/>
      <w:lvlText w:val="%9."/>
      <w:lvlJc w:val="left"/>
      <w:pPr>
        <w:tabs>
          <w:tab w:val="num" w:pos="6480"/>
        </w:tabs>
        <w:ind w:left="6480" w:hanging="360"/>
      </w:pPr>
    </w:lvl>
  </w:abstractNum>
  <w:abstractNum w:abstractNumId="10" w15:restartNumberingAfterBreak="0">
    <w:nsid w:val="1A2A7CA7"/>
    <w:multiLevelType w:val="hybridMultilevel"/>
    <w:tmpl w:val="C966F598"/>
    <w:lvl w:ilvl="0" w:tplc="623E3A50">
      <w:start w:val="1"/>
      <w:numFmt w:val="decimal"/>
      <w:lvlText w:val="%1."/>
      <w:lvlJc w:val="left"/>
      <w:pPr>
        <w:tabs>
          <w:tab w:val="num" w:pos="720"/>
        </w:tabs>
        <w:ind w:left="720" w:hanging="360"/>
      </w:pPr>
    </w:lvl>
    <w:lvl w:ilvl="1" w:tplc="6F022530" w:tentative="1">
      <w:start w:val="1"/>
      <w:numFmt w:val="decimal"/>
      <w:lvlText w:val="%2."/>
      <w:lvlJc w:val="left"/>
      <w:pPr>
        <w:tabs>
          <w:tab w:val="num" w:pos="1440"/>
        </w:tabs>
        <w:ind w:left="1440" w:hanging="360"/>
      </w:pPr>
    </w:lvl>
    <w:lvl w:ilvl="2" w:tplc="26EA5D2A" w:tentative="1">
      <w:start w:val="1"/>
      <w:numFmt w:val="decimal"/>
      <w:lvlText w:val="%3."/>
      <w:lvlJc w:val="left"/>
      <w:pPr>
        <w:tabs>
          <w:tab w:val="num" w:pos="2160"/>
        </w:tabs>
        <w:ind w:left="2160" w:hanging="360"/>
      </w:pPr>
    </w:lvl>
    <w:lvl w:ilvl="3" w:tplc="A5066AC2" w:tentative="1">
      <w:start w:val="1"/>
      <w:numFmt w:val="decimal"/>
      <w:lvlText w:val="%4."/>
      <w:lvlJc w:val="left"/>
      <w:pPr>
        <w:tabs>
          <w:tab w:val="num" w:pos="2880"/>
        </w:tabs>
        <w:ind w:left="2880" w:hanging="360"/>
      </w:pPr>
    </w:lvl>
    <w:lvl w:ilvl="4" w:tplc="EDD0F082" w:tentative="1">
      <w:start w:val="1"/>
      <w:numFmt w:val="decimal"/>
      <w:lvlText w:val="%5."/>
      <w:lvlJc w:val="left"/>
      <w:pPr>
        <w:tabs>
          <w:tab w:val="num" w:pos="3600"/>
        </w:tabs>
        <w:ind w:left="3600" w:hanging="360"/>
      </w:pPr>
    </w:lvl>
    <w:lvl w:ilvl="5" w:tplc="5BEA9E62" w:tentative="1">
      <w:start w:val="1"/>
      <w:numFmt w:val="decimal"/>
      <w:lvlText w:val="%6."/>
      <w:lvlJc w:val="left"/>
      <w:pPr>
        <w:tabs>
          <w:tab w:val="num" w:pos="4320"/>
        </w:tabs>
        <w:ind w:left="4320" w:hanging="360"/>
      </w:pPr>
    </w:lvl>
    <w:lvl w:ilvl="6" w:tplc="9058FA0A" w:tentative="1">
      <w:start w:val="1"/>
      <w:numFmt w:val="decimal"/>
      <w:lvlText w:val="%7."/>
      <w:lvlJc w:val="left"/>
      <w:pPr>
        <w:tabs>
          <w:tab w:val="num" w:pos="5040"/>
        </w:tabs>
        <w:ind w:left="5040" w:hanging="360"/>
      </w:pPr>
    </w:lvl>
    <w:lvl w:ilvl="7" w:tplc="DD3012D4" w:tentative="1">
      <w:start w:val="1"/>
      <w:numFmt w:val="decimal"/>
      <w:lvlText w:val="%8."/>
      <w:lvlJc w:val="left"/>
      <w:pPr>
        <w:tabs>
          <w:tab w:val="num" w:pos="5760"/>
        </w:tabs>
        <w:ind w:left="5760" w:hanging="360"/>
      </w:pPr>
    </w:lvl>
    <w:lvl w:ilvl="8" w:tplc="C58E54FE" w:tentative="1">
      <w:start w:val="1"/>
      <w:numFmt w:val="decimal"/>
      <w:lvlText w:val="%9."/>
      <w:lvlJc w:val="left"/>
      <w:pPr>
        <w:tabs>
          <w:tab w:val="num" w:pos="6480"/>
        </w:tabs>
        <w:ind w:left="6480" w:hanging="360"/>
      </w:pPr>
    </w:lvl>
  </w:abstractNum>
  <w:abstractNum w:abstractNumId="11" w15:restartNumberingAfterBreak="0">
    <w:nsid w:val="1EF01F61"/>
    <w:multiLevelType w:val="multilevel"/>
    <w:tmpl w:val="0344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71600B"/>
    <w:multiLevelType w:val="multilevel"/>
    <w:tmpl w:val="39828806"/>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46E3B02"/>
    <w:multiLevelType w:val="hybridMultilevel"/>
    <w:tmpl w:val="FC9819D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A34D30"/>
    <w:multiLevelType w:val="multilevel"/>
    <w:tmpl w:val="05BE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A72DA1"/>
    <w:multiLevelType w:val="hybridMultilevel"/>
    <w:tmpl w:val="519A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BF3A59"/>
    <w:multiLevelType w:val="multilevel"/>
    <w:tmpl w:val="69DC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8A1A28"/>
    <w:multiLevelType w:val="multilevel"/>
    <w:tmpl w:val="FE1615CA"/>
    <w:lvl w:ilvl="0">
      <w:start w:val="1"/>
      <w:numFmt w:val="lowerLetter"/>
      <w:pStyle w:val="ListAlphabetLevel1"/>
      <w:lvlText w:val="%1."/>
      <w:lvlJc w:val="left"/>
      <w:pPr>
        <w:tabs>
          <w:tab w:val="num" w:pos="454"/>
        </w:tabs>
        <w:ind w:left="454" w:hanging="454"/>
      </w:pPr>
      <w:rPr>
        <w:rFonts w:hint="default"/>
      </w:rPr>
    </w:lvl>
    <w:lvl w:ilvl="1">
      <w:start w:val="1"/>
      <w:numFmt w:val="lowerRoman"/>
      <w:pStyle w:val="ListAlphabetLevel2"/>
      <w:lvlText w:val="%2."/>
      <w:lvlJc w:val="left"/>
      <w:pPr>
        <w:tabs>
          <w:tab w:val="num" w:pos="907"/>
        </w:tabs>
        <w:ind w:left="907" w:hanging="453"/>
      </w:pPr>
      <w:rPr>
        <w:rFonts w:hint="default"/>
      </w:rPr>
    </w:lvl>
    <w:lvl w:ilvl="2">
      <w:start w:val="1"/>
      <w:numFmt w:val="upperLetter"/>
      <w:pStyle w:val="ListAlphabetLevel3"/>
      <w:lvlText w:val="%3."/>
      <w:lvlJc w:val="left"/>
      <w:pPr>
        <w:tabs>
          <w:tab w:val="num" w:pos="1361"/>
        </w:tabs>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DF95B24"/>
    <w:multiLevelType w:val="multilevel"/>
    <w:tmpl w:val="5ADE7634"/>
    <w:lvl w:ilvl="0">
      <w:start w:val="1"/>
      <w:numFmt w:val="bullet"/>
      <w:lvlText w:val=""/>
      <w:lvlJc w:val="left"/>
      <w:pPr>
        <w:tabs>
          <w:tab w:val="num" w:pos="454"/>
        </w:tabs>
        <w:ind w:left="454" w:hanging="454"/>
      </w:pPr>
      <w:rPr>
        <w:rFonts w:ascii="Symbol" w:hAnsi="Symbol" w:hint="default"/>
        <w:color w:val="auto"/>
        <w:sz w:val="16"/>
        <w:szCs w:val="16"/>
      </w:rPr>
    </w:lvl>
    <w:lvl w:ilvl="1">
      <w:start w:val="1"/>
      <w:numFmt w:val="bullet"/>
      <w:lvlText w:val="o"/>
      <w:lvlJc w:val="left"/>
      <w:pPr>
        <w:tabs>
          <w:tab w:val="num" w:pos="907"/>
        </w:tabs>
        <w:ind w:left="907" w:hanging="453"/>
      </w:pPr>
      <w:rPr>
        <w:rFonts w:ascii="Courier New" w:hAnsi="Courier New" w:cs="Courier New" w:hint="default"/>
        <w:color w:val="auto"/>
        <w:sz w:val="16"/>
        <w:szCs w:val="16"/>
      </w:rPr>
    </w:lvl>
    <w:lvl w:ilvl="2">
      <w:start w:val="1"/>
      <w:numFmt w:val="none"/>
      <w:lvlText w:val=""/>
      <w:lvlJc w:val="left"/>
      <w:pPr>
        <w:tabs>
          <w:tab w:val="num" w:pos="1361"/>
        </w:tabs>
        <w:ind w:left="1361" w:hanging="45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4683150"/>
    <w:multiLevelType w:val="hybridMultilevel"/>
    <w:tmpl w:val="177C6110"/>
    <w:lvl w:ilvl="0" w:tplc="32A8C5C6">
      <w:start w:val="1"/>
      <w:numFmt w:val="decimal"/>
      <w:lvlText w:val="%1."/>
      <w:lvlJc w:val="left"/>
      <w:pPr>
        <w:tabs>
          <w:tab w:val="num" w:pos="720"/>
        </w:tabs>
        <w:ind w:left="720" w:hanging="360"/>
      </w:pPr>
    </w:lvl>
    <w:lvl w:ilvl="1" w:tplc="B2BC7318" w:tentative="1">
      <w:start w:val="1"/>
      <w:numFmt w:val="decimal"/>
      <w:lvlText w:val="%2."/>
      <w:lvlJc w:val="left"/>
      <w:pPr>
        <w:tabs>
          <w:tab w:val="num" w:pos="1440"/>
        </w:tabs>
        <w:ind w:left="1440" w:hanging="360"/>
      </w:pPr>
    </w:lvl>
    <w:lvl w:ilvl="2" w:tplc="F8882718" w:tentative="1">
      <w:start w:val="1"/>
      <w:numFmt w:val="decimal"/>
      <w:lvlText w:val="%3."/>
      <w:lvlJc w:val="left"/>
      <w:pPr>
        <w:tabs>
          <w:tab w:val="num" w:pos="2160"/>
        </w:tabs>
        <w:ind w:left="2160" w:hanging="360"/>
      </w:pPr>
    </w:lvl>
    <w:lvl w:ilvl="3" w:tplc="1E040B02" w:tentative="1">
      <w:start w:val="1"/>
      <w:numFmt w:val="decimal"/>
      <w:lvlText w:val="%4."/>
      <w:lvlJc w:val="left"/>
      <w:pPr>
        <w:tabs>
          <w:tab w:val="num" w:pos="2880"/>
        </w:tabs>
        <w:ind w:left="2880" w:hanging="360"/>
      </w:pPr>
    </w:lvl>
    <w:lvl w:ilvl="4" w:tplc="8DA8EB86" w:tentative="1">
      <w:start w:val="1"/>
      <w:numFmt w:val="decimal"/>
      <w:lvlText w:val="%5."/>
      <w:lvlJc w:val="left"/>
      <w:pPr>
        <w:tabs>
          <w:tab w:val="num" w:pos="3600"/>
        </w:tabs>
        <w:ind w:left="3600" w:hanging="360"/>
      </w:pPr>
    </w:lvl>
    <w:lvl w:ilvl="5" w:tplc="16B6C4DC" w:tentative="1">
      <w:start w:val="1"/>
      <w:numFmt w:val="decimal"/>
      <w:lvlText w:val="%6."/>
      <w:lvlJc w:val="left"/>
      <w:pPr>
        <w:tabs>
          <w:tab w:val="num" w:pos="4320"/>
        </w:tabs>
        <w:ind w:left="4320" w:hanging="360"/>
      </w:pPr>
    </w:lvl>
    <w:lvl w:ilvl="6" w:tplc="A5A2B580" w:tentative="1">
      <w:start w:val="1"/>
      <w:numFmt w:val="decimal"/>
      <w:lvlText w:val="%7."/>
      <w:lvlJc w:val="left"/>
      <w:pPr>
        <w:tabs>
          <w:tab w:val="num" w:pos="5040"/>
        </w:tabs>
        <w:ind w:left="5040" w:hanging="360"/>
      </w:pPr>
    </w:lvl>
    <w:lvl w:ilvl="7" w:tplc="67F2417A" w:tentative="1">
      <w:start w:val="1"/>
      <w:numFmt w:val="decimal"/>
      <w:lvlText w:val="%8."/>
      <w:lvlJc w:val="left"/>
      <w:pPr>
        <w:tabs>
          <w:tab w:val="num" w:pos="5760"/>
        </w:tabs>
        <w:ind w:left="5760" w:hanging="360"/>
      </w:pPr>
    </w:lvl>
    <w:lvl w:ilvl="8" w:tplc="5564459E" w:tentative="1">
      <w:start w:val="1"/>
      <w:numFmt w:val="decimal"/>
      <w:lvlText w:val="%9."/>
      <w:lvlJc w:val="left"/>
      <w:pPr>
        <w:tabs>
          <w:tab w:val="num" w:pos="6480"/>
        </w:tabs>
        <w:ind w:left="6480" w:hanging="360"/>
      </w:pPr>
    </w:lvl>
  </w:abstractNum>
  <w:abstractNum w:abstractNumId="20" w15:restartNumberingAfterBreak="0">
    <w:nsid w:val="34BE1A23"/>
    <w:multiLevelType w:val="hybridMultilevel"/>
    <w:tmpl w:val="766218B2"/>
    <w:lvl w:ilvl="0" w:tplc="C9068DEE">
      <w:start w:val="1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BE2B40"/>
    <w:multiLevelType w:val="hybridMultilevel"/>
    <w:tmpl w:val="6D54B4F2"/>
    <w:lvl w:ilvl="0" w:tplc="C3425578">
      <w:start w:val="2"/>
      <w:numFmt w:val="low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E512CE"/>
    <w:multiLevelType w:val="hybridMultilevel"/>
    <w:tmpl w:val="529A4D5C"/>
    <w:lvl w:ilvl="0" w:tplc="96B081EE">
      <w:start w:val="3"/>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68277D"/>
    <w:multiLevelType w:val="multilevel"/>
    <w:tmpl w:val="25D6DC04"/>
    <w:lvl w:ilvl="0">
      <w:start w:val="1"/>
      <w:numFmt w:val="bullet"/>
      <w:lvlText w:val=""/>
      <w:lvlJc w:val="left"/>
      <w:pPr>
        <w:tabs>
          <w:tab w:val="num" w:pos="454"/>
        </w:tabs>
        <w:ind w:left="454" w:hanging="454"/>
      </w:pPr>
      <w:rPr>
        <w:rFonts w:ascii="Symbol" w:hAnsi="Symbol" w:hint="default"/>
        <w:color w:val="auto"/>
        <w:sz w:val="16"/>
        <w:szCs w:val="16"/>
      </w:rPr>
    </w:lvl>
    <w:lvl w:ilvl="1">
      <w:start w:val="1"/>
      <w:numFmt w:val="bullet"/>
      <w:lvlText w:val="o"/>
      <w:lvlJc w:val="left"/>
      <w:pPr>
        <w:tabs>
          <w:tab w:val="num" w:pos="907"/>
        </w:tabs>
        <w:ind w:left="907" w:hanging="453"/>
      </w:pPr>
      <w:rPr>
        <w:rFonts w:ascii="Courier New" w:hAnsi="Courier New" w:cs="Courier New" w:hint="default"/>
        <w:color w:val="auto"/>
        <w:sz w:val="16"/>
        <w:szCs w:val="16"/>
      </w:rPr>
    </w:lvl>
    <w:lvl w:ilvl="2">
      <w:start w:val="1"/>
      <w:numFmt w:val="none"/>
      <w:lvlText w:val=""/>
      <w:lvlJc w:val="left"/>
      <w:pPr>
        <w:tabs>
          <w:tab w:val="num" w:pos="1361"/>
        </w:tabs>
        <w:ind w:left="1361" w:hanging="45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45D715D8"/>
    <w:multiLevelType w:val="multilevel"/>
    <w:tmpl w:val="42B8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0C6F98"/>
    <w:multiLevelType w:val="singleLevel"/>
    <w:tmpl w:val="D3363442"/>
    <w:lvl w:ilvl="0">
      <w:start w:val="1"/>
      <w:numFmt w:val="bullet"/>
      <w:lvlText w:val="•"/>
      <w:lvlJc w:val="left"/>
      <w:pPr>
        <w:ind w:left="360" w:hanging="360"/>
      </w:pPr>
      <w:rPr>
        <w:rFonts w:ascii="Arial" w:hAnsi="Arial" w:hint="default"/>
        <w:color w:val="auto"/>
        <w:sz w:val="24"/>
      </w:rPr>
    </w:lvl>
  </w:abstractNum>
  <w:abstractNum w:abstractNumId="26" w15:restartNumberingAfterBreak="0">
    <w:nsid w:val="46C37D16"/>
    <w:multiLevelType w:val="multilevel"/>
    <w:tmpl w:val="0B56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FB0892"/>
    <w:multiLevelType w:val="hybridMultilevel"/>
    <w:tmpl w:val="A8A69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E970B9"/>
    <w:multiLevelType w:val="multilevel"/>
    <w:tmpl w:val="E72AC67E"/>
    <w:lvl w:ilvl="0">
      <w:start w:val="1"/>
      <w:numFmt w:val="upperLetter"/>
      <w:pStyle w:val="Heading9"/>
      <w:suff w:val="space"/>
      <w:lvlText w:val="Appendix %1"/>
      <w:lvlJc w:val="left"/>
      <w:pPr>
        <w:ind w:left="0" w:firstLine="0"/>
      </w:pPr>
      <w:rPr>
        <w:rFonts w:ascii="Arial Bold" w:hAnsi="Arial Bold" w:hint="default"/>
        <w:b/>
        <w:bCs w:val="0"/>
        <w:i w:val="0"/>
        <w:iCs w:val="0"/>
        <w:caps w:val="0"/>
        <w:strike w:val="0"/>
        <w:dstrike w:val="0"/>
        <w:vanish w:val="0"/>
        <w:color w:val="22A0CB"/>
        <w:spacing w:val="0"/>
        <w:position w:val="0"/>
        <w:sz w:val="40"/>
        <w:u w:val="none"/>
        <w:effect w:val="none"/>
        <w:vertAlign w:val="baseline"/>
        <w:em w:v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15:restartNumberingAfterBreak="0">
    <w:nsid w:val="5FB02417"/>
    <w:multiLevelType w:val="hybridMultilevel"/>
    <w:tmpl w:val="00123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B7691F"/>
    <w:multiLevelType w:val="multilevel"/>
    <w:tmpl w:val="21E4A12C"/>
    <w:lvl w:ilvl="0">
      <w:start w:val="1"/>
      <w:numFmt w:val="bullet"/>
      <w:lvlText w:val=""/>
      <w:lvlJc w:val="left"/>
      <w:pPr>
        <w:tabs>
          <w:tab w:val="num" w:pos="454"/>
        </w:tabs>
        <w:ind w:left="454" w:hanging="454"/>
      </w:pPr>
      <w:rPr>
        <w:rFonts w:ascii="Symbol" w:hAnsi="Symbol" w:hint="default"/>
        <w:color w:val="auto"/>
        <w:sz w:val="16"/>
        <w:szCs w:val="16"/>
      </w:rPr>
    </w:lvl>
    <w:lvl w:ilvl="1">
      <w:start w:val="1"/>
      <w:numFmt w:val="bullet"/>
      <w:lvlText w:val="o"/>
      <w:lvlJc w:val="left"/>
      <w:pPr>
        <w:tabs>
          <w:tab w:val="num" w:pos="907"/>
        </w:tabs>
        <w:ind w:left="907" w:hanging="453"/>
      </w:pPr>
      <w:rPr>
        <w:rFonts w:ascii="Courier New" w:hAnsi="Courier New" w:cs="Courier New" w:hint="default"/>
        <w:color w:val="auto"/>
        <w:sz w:val="16"/>
        <w:szCs w:val="16"/>
      </w:rPr>
    </w:lvl>
    <w:lvl w:ilvl="2">
      <w:start w:val="1"/>
      <w:numFmt w:val="none"/>
      <w:lvlText w:val=""/>
      <w:lvlJc w:val="left"/>
      <w:pPr>
        <w:tabs>
          <w:tab w:val="num" w:pos="1361"/>
        </w:tabs>
        <w:ind w:left="1361" w:hanging="45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6C02062"/>
    <w:multiLevelType w:val="multilevel"/>
    <w:tmpl w:val="34C02572"/>
    <w:lvl w:ilvl="0">
      <w:start w:val="1"/>
      <w:numFmt w:val="bullet"/>
      <w:lvlText w:val=""/>
      <w:lvlJc w:val="left"/>
      <w:pPr>
        <w:tabs>
          <w:tab w:val="num" w:pos="454"/>
        </w:tabs>
        <w:ind w:left="454" w:hanging="454"/>
      </w:pPr>
      <w:rPr>
        <w:rFonts w:ascii="Symbol" w:hAnsi="Symbol" w:hint="default"/>
        <w:color w:val="auto"/>
        <w:sz w:val="16"/>
        <w:szCs w:val="16"/>
      </w:rPr>
    </w:lvl>
    <w:lvl w:ilvl="1">
      <w:start w:val="1"/>
      <w:numFmt w:val="bullet"/>
      <w:lvlText w:val="o"/>
      <w:lvlJc w:val="left"/>
      <w:pPr>
        <w:tabs>
          <w:tab w:val="num" w:pos="907"/>
        </w:tabs>
        <w:ind w:left="907" w:hanging="453"/>
      </w:pPr>
      <w:rPr>
        <w:rFonts w:ascii="Courier New" w:hAnsi="Courier New" w:cs="Courier New" w:hint="default"/>
        <w:color w:val="auto"/>
        <w:sz w:val="16"/>
        <w:szCs w:val="16"/>
      </w:rPr>
    </w:lvl>
    <w:lvl w:ilvl="2">
      <w:start w:val="1"/>
      <w:numFmt w:val="none"/>
      <w:lvlText w:val=""/>
      <w:lvlJc w:val="left"/>
      <w:pPr>
        <w:tabs>
          <w:tab w:val="num" w:pos="1361"/>
        </w:tabs>
        <w:ind w:left="1361" w:hanging="45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606634"/>
    <w:multiLevelType w:val="multilevel"/>
    <w:tmpl w:val="2F8C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135F48"/>
    <w:multiLevelType w:val="multilevel"/>
    <w:tmpl w:val="1492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5F4959"/>
    <w:multiLevelType w:val="hybridMultilevel"/>
    <w:tmpl w:val="16BC70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8F9340F"/>
    <w:multiLevelType w:val="multilevel"/>
    <w:tmpl w:val="ABA8D21A"/>
    <w:lvl w:ilvl="0">
      <w:start w:val="1"/>
      <w:numFmt w:val="decimal"/>
      <w:lvlText w:val="%1."/>
      <w:lvlJc w:val="left"/>
      <w:pPr>
        <w:tabs>
          <w:tab w:val="num" w:pos="454"/>
        </w:tabs>
        <w:ind w:left="454" w:hanging="454"/>
      </w:pPr>
      <w:rPr>
        <w:rFonts w:hint="default"/>
      </w:rPr>
    </w:lvl>
    <w:lvl w:ilvl="1">
      <w:start w:val="1"/>
      <w:numFmt w:val="bullet"/>
      <w:lvlText w:val=""/>
      <w:lvlJc w:val="left"/>
      <w:pPr>
        <w:tabs>
          <w:tab w:val="num" w:pos="907"/>
        </w:tabs>
        <w:ind w:left="907" w:hanging="453"/>
      </w:pPr>
      <w:rPr>
        <w:rFonts w:ascii="Symbol" w:hAnsi="Symbol" w:hint="default"/>
      </w:rPr>
    </w:lvl>
    <w:lvl w:ilvl="2">
      <w:start w:val="1"/>
      <w:numFmt w:val="lowerRoman"/>
      <w:lvlText w:val="%3."/>
      <w:lvlJc w:val="left"/>
      <w:pPr>
        <w:tabs>
          <w:tab w:val="num" w:pos="1361"/>
        </w:tabs>
        <w:ind w:left="1361" w:hanging="454"/>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36" w15:restartNumberingAfterBreak="0">
    <w:nsid w:val="7B827A78"/>
    <w:multiLevelType w:val="hybridMultilevel"/>
    <w:tmpl w:val="35706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245248"/>
    <w:multiLevelType w:val="hybridMultilevel"/>
    <w:tmpl w:val="62583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7"/>
  </w:num>
  <w:num w:numId="4">
    <w:abstractNumId w:val="0"/>
  </w:num>
  <w:num w:numId="5">
    <w:abstractNumId w:val="28"/>
  </w:num>
  <w:num w:numId="6">
    <w:abstractNumId w:val="22"/>
  </w:num>
  <w:num w:numId="7">
    <w:abstractNumId w:val="18"/>
  </w:num>
  <w:num w:numId="8">
    <w:abstractNumId w:val="23"/>
  </w:num>
  <w:num w:numId="9">
    <w:abstractNumId w:val="30"/>
  </w:num>
  <w:num w:numId="10">
    <w:abstractNumId w:val="31"/>
  </w:num>
  <w:num w:numId="11">
    <w:abstractNumId w:val="8"/>
  </w:num>
  <w:num w:numId="12">
    <w:abstractNumId w:val="25"/>
  </w:num>
  <w:num w:numId="13">
    <w:abstractNumId w:val="7"/>
  </w:num>
  <w:num w:numId="14">
    <w:abstractNumId w:val="29"/>
  </w:num>
  <w:num w:numId="15">
    <w:abstractNumId w:val="27"/>
  </w:num>
  <w:num w:numId="16">
    <w:abstractNumId w:val="3"/>
  </w:num>
  <w:num w:numId="17">
    <w:abstractNumId w:val="37"/>
  </w:num>
  <w:num w:numId="18">
    <w:abstractNumId w:val="34"/>
  </w:num>
  <w:num w:numId="19">
    <w:abstractNumId w:val="13"/>
  </w:num>
  <w:num w:numId="20">
    <w:abstractNumId w:val="35"/>
  </w:num>
  <w:num w:numId="21">
    <w:abstractNumId w:val="36"/>
  </w:num>
  <w:num w:numId="22">
    <w:abstractNumId w:val="15"/>
  </w:num>
  <w:num w:numId="23">
    <w:abstractNumId w:val="10"/>
  </w:num>
  <w:num w:numId="24">
    <w:abstractNumId w:val="9"/>
  </w:num>
  <w:num w:numId="25">
    <w:abstractNumId w:val="20"/>
  </w:num>
  <w:num w:numId="26">
    <w:abstractNumId w:val="1"/>
  </w:num>
  <w:num w:numId="27">
    <w:abstractNumId w:val="19"/>
  </w:num>
  <w:num w:numId="28">
    <w:abstractNumId w:val="6"/>
  </w:num>
  <w:num w:numId="29">
    <w:abstractNumId w:val="16"/>
  </w:num>
  <w:num w:numId="30">
    <w:abstractNumId w:val="32"/>
  </w:num>
  <w:num w:numId="31">
    <w:abstractNumId w:val="14"/>
  </w:num>
  <w:num w:numId="32">
    <w:abstractNumId w:val="24"/>
  </w:num>
  <w:num w:numId="33">
    <w:abstractNumId w:val="33"/>
  </w:num>
  <w:num w:numId="34">
    <w:abstractNumId w:val="2"/>
  </w:num>
  <w:num w:numId="35">
    <w:abstractNumId w:val="2"/>
  </w:num>
  <w:num w:numId="36">
    <w:abstractNumId w:val="2"/>
  </w:num>
  <w:num w:numId="37">
    <w:abstractNumId w:val="2"/>
  </w:num>
  <w:num w:numId="38">
    <w:abstractNumId w:val="21"/>
  </w:num>
  <w:num w:numId="39">
    <w:abstractNumId w:val="5"/>
  </w:num>
  <w:num w:numId="40">
    <w:abstractNumId w:val="26"/>
  </w:num>
  <w:num w:numId="41">
    <w:abstractNumId w:val="4"/>
  </w:num>
  <w:num w:numId="42">
    <w:abstractNumId w:val="11"/>
  </w:num>
  <w:num w:numId="43">
    <w:abstractNumId w:val="2"/>
  </w:num>
  <w:num w:numId="4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08B"/>
    <w:rsid w:val="00000497"/>
    <w:rsid w:val="000005C6"/>
    <w:rsid w:val="00000AE2"/>
    <w:rsid w:val="00000C9E"/>
    <w:rsid w:val="00000D01"/>
    <w:rsid w:val="000013DB"/>
    <w:rsid w:val="00001BE6"/>
    <w:rsid w:val="00001D20"/>
    <w:rsid w:val="00001FE2"/>
    <w:rsid w:val="00002275"/>
    <w:rsid w:val="000024F6"/>
    <w:rsid w:val="00002801"/>
    <w:rsid w:val="00002A23"/>
    <w:rsid w:val="000032F0"/>
    <w:rsid w:val="000034B4"/>
    <w:rsid w:val="0000363A"/>
    <w:rsid w:val="000037F8"/>
    <w:rsid w:val="0000381A"/>
    <w:rsid w:val="00003894"/>
    <w:rsid w:val="00003AB8"/>
    <w:rsid w:val="00003EDD"/>
    <w:rsid w:val="000042EB"/>
    <w:rsid w:val="00004406"/>
    <w:rsid w:val="0000485C"/>
    <w:rsid w:val="00004A70"/>
    <w:rsid w:val="00004B81"/>
    <w:rsid w:val="00004BDB"/>
    <w:rsid w:val="0000502F"/>
    <w:rsid w:val="0000544E"/>
    <w:rsid w:val="00005452"/>
    <w:rsid w:val="00005992"/>
    <w:rsid w:val="00005B7B"/>
    <w:rsid w:val="00005C0D"/>
    <w:rsid w:val="00005DA3"/>
    <w:rsid w:val="00005E68"/>
    <w:rsid w:val="000066EC"/>
    <w:rsid w:val="0000695E"/>
    <w:rsid w:val="000069EB"/>
    <w:rsid w:val="00006ECE"/>
    <w:rsid w:val="0000725D"/>
    <w:rsid w:val="00007290"/>
    <w:rsid w:val="000072A4"/>
    <w:rsid w:val="00007311"/>
    <w:rsid w:val="00007F13"/>
    <w:rsid w:val="0001035F"/>
    <w:rsid w:val="00010625"/>
    <w:rsid w:val="00011036"/>
    <w:rsid w:val="00011435"/>
    <w:rsid w:val="000114FE"/>
    <w:rsid w:val="000115B1"/>
    <w:rsid w:val="00011990"/>
    <w:rsid w:val="000119A9"/>
    <w:rsid w:val="00011B93"/>
    <w:rsid w:val="00011BDE"/>
    <w:rsid w:val="00011CE4"/>
    <w:rsid w:val="0001203B"/>
    <w:rsid w:val="000121DB"/>
    <w:rsid w:val="0001221D"/>
    <w:rsid w:val="00012238"/>
    <w:rsid w:val="000127B3"/>
    <w:rsid w:val="00012DDE"/>
    <w:rsid w:val="00013681"/>
    <w:rsid w:val="00014566"/>
    <w:rsid w:val="00014853"/>
    <w:rsid w:val="00014993"/>
    <w:rsid w:val="00015433"/>
    <w:rsid w:val="00015777"/>
    <w:rsid w:val="00015AE4"/>
    <w:rsid w:val="00015B1B"/>
    <w:rsid w:val="00015B69"/>
    <w:rsid w:val="00015CF0"/>
    <w:rsid w:val="00015D5C"/>
    <w:rsid w:val="0001636B"/>
    <w:rsid w:val="000165BA"/>
    <w:rsid w:val="000166DE"/>
    <w:rsid w:val="00017313"/>
    <w:rsid w:val="00017471"/>
    <w:rsid w:val="000210BD"/>
    <w:rsid w:val="00021340"/>
    <w:rsid w:val="000213E8"/>
    <w:rsid w:val="000219F2"/>
    <w:rsid w:val="00021C1B"/>
    <w:rsid w:val="00021C80"/>
    <w:rsid w:val="00021CCF"/>
    <w:rsid w:val="0002256C"/>
    <w:rsid w:val="0002270C"/>
    <w:rsid w:val="00022DEF"/>
    <w:rsid w:val="00022F37"/>
    <w:rsid w:val="00023103"/>
    <w:rsid w:val="00023430"/>
    <w:rsid w:val="00023661"/>
    <w:rsid w:val="00023AFD"/>
    <w:rsid w:val="0002440F"/>
    <w:rsid w:val="00024ADB"/>
    <w:rsid w:val="00024BB3"/>
    <w:rsid w:val="00024C07"/>
    <w:rsid w:val="00024ED7"/>
    <w:rsid w:val="00024F90"/>
    <w:rsid w:val="00025505"/>
    <w:rsid w:val="00025715"/>
    <w:rsid w:val="000257E3"/>
    <w:rsid w:val="00025955"/>
    <w:rsid w:val="00025C74"/>
    <w:rsid w:val="00025E87"/>
    <w:rsid w:val="00026007"/>
    <w:rsid w:val="0002608E"/>
    <w:rsid w:val="000261C6"/>
    <w:rsid w:val="00026303"/>
    <w:rsid w:val="00026D19"/>
    <w:rsid w:val="0002788F"/>
    <w:rsid w:val="00027AD3"/>
    <w:rsid w:val="00027B92"/>
    <w:rsid w:val="00027C45"/>
    <w:rsid w:val="0003054D"/>
    <w:rsid w:val="0003093B"/>
    <w:rsid w:val="0003131A"/>
    <w:rsid w:val="0003151A"/>
    <w:rsid w:val="000317CE"/>
    <w:rsid w:val="00031996"/>
    <w:rsid w:val="00031B32"/>
    <w:rsid w:val="00031B5C"/>
    <w:rsid w:val="0003266F"/>
    <w:rsid w:val="000326C7"/>
    <w:rsid w:val="000328C3"/>
    <w:rsid w:val="00032F7B"/>
    <w:rsid w:val="00033078"/>
    <w:rsid w:val="000331C1"/>
    <w:rsid w:val="0003320D"/>
    <w:rsid w:val="00033312"/>
    <w:rsid w:val="00033385"/>
    <w:rsid w:val="00033A17"/>
    <w:rsid w:val="00033DBE"/>
    <w:rsid w:val="0003423E"/>
    <w:rsid w:val="000349EC"/>
    <w:rsid w:val="00034CD3"/>
    <w:rsid w:val="00035123"/>
    <w:rsid w:val="000352AB"/>
    <w:rsid w:val="0003576A"/>
    <w:rsid w:val="00035A08"/>
    <w:rsid w:val="00035A49"/>
    <w:rsid w:val="00035D53"/>
    <w:rsid w:val="00036247"/>
    <w:rsid w:val="000365F7"/>
    <w:rsid w:val="00036BF9"/>
    <w:rsid w:val="00036DA3"/>
    <w:rsid w:val="00036F7B"/>
    <w:rsid w:val="000374D0"/>
    <w:rsid w:val="000374EA"/>
    <w:rsid w:val="000376E3"/>
    <w:rsid w:val="000379B7"/>
    <w:rsid w:val="000402EB"/>
    <w:rsid w:val="00040842"/>
    <w:rsid w:val="00040AB1"/>
    <w:rsid w:val="000413F6"/>
    <w:rsid w:val="00041468"/>
    <w:rsid w:val="0004158F"/>
    <w:rsid w:val="0004161C"/>
    <w:rsid w:val="000424BB"/>
    <w:rsid w:val="00042542"/>
    <w:rsid w:val="00042699"/>
    <w:rsid w:val="000428CC"/>
    <w:rsid w:val="00042ED0"/>
    <w:rsid w:val="00043AE4"/>
    <w:rsid w:val="00043D07"/>
    <w:rsid w:val="00043D16"/>
    <w:rsid w:val="00044068"/>
    <w:rsid w:val="000441CC"/>
    <w:rsid w:val="00044347"/>
    <w:rsid w:val="00044394"/>
    <w:rsid w:val="00044564"/>
    <w:rsid w:val="0004460F"/>
    <w:rsid w:val="00044667"/>
    <w:rsid w:val="00044EBB"/>
    <w:rsid w:val="00045197"/>
    <w:rsid w:val="00045271"/>
    <w:rsid w:val="000453F3"/>
    <w:rsid w:val="0004571F"/>
    <w:rsid w:val="00045A1A"/>
    <w:rsid w:val="00045CC6"/>
    <w:rsid w:val="000466C0"/>
    <w:rsid w:val="00046AC0"/>
    <w:rsid w:val="00046BE5"/>
    <w:rsid w:val="00046D22"/>
    <w:rsid w:val="00046F53"/>
    <w:rsid w:val="00047015"/>
    <w:rsid w:val="00047393"/>
    <w:rsid w:val="00047C93"/>
    <w:rsid w:val="00050179"/>
    <w:rsid w:val="00050602"/>
    <w:rsid w:val="00050B10"/>
    <w:rsid w:val="00050DE2"/>
    <w:rsid w:val="0005127F"/>
    <w:rsid w:val="000513EA"/>
    <w:rsid w:val="00051621"/>
    <w:rsid w:val="00051734"/>
    <w:rsid w:val="00051A47"/>
    <w:rsid w:val="00051E46"/>
    <w:rsid w:val="00051E63"/>
    <w:rsid w:val="000525DF"/>
    <w:rsid w:val="000526A9"/>
    <w:rsid w:val="00052C39"/>
    <w:rsid w:val="00052C7B"/>
    <w:rsid w:val="00053066"/>
    <w:rsid w:val="000536E1"/>
    <w:rsid w:val="00053B1C"/>
    <w:rsid w:val="0005440F"/>
    <w:rsid w:val="000545B6"/>
    <w:rsid w:val="000547B8"/>
    <w:rsid w:val="00054EED"/>
    <w:rsid w:val="0005503B"/>
    <w:rsid w:val="000550EE"/>
    <w:rsid w:val="00055836"/>
    <w:rsid w:val="000559F1"/>
    <w:rsid w:val="00056571"/>
    <w:rsid w:val="00056676"/>
    <w:rsid w:val="00056785"/>
    <w:rsid w:val="000567F4"/>
    <w:rsid w:val="00056923"/>
    <w:rsid w:val="00056C01"/>
    <w:rsid w:val="00057150"/>
    <w:rsid w:val="0005737D"/>
    <w:rsid w:val="000578C9"/>
    <w:rsid w:val="00057B49"/>
    <w:rsid w:val="000607C4"/>
    <w:rsid w:val="00060853"/>
    <w:rsid w:val="0006085D"/>
    <w:rsid w:val="0006086E"/>
    <w:rsid w:val="00060A2A"/>
    <w:rsid w:val="00060E8D"/>
    <w:rsid w:val="00060F05"/>
    <w:rsid w:val="00061D53"/>
    <w:rsid w:val="00061E82"/>
    <w:rsid w:val="00062014"/>
    <w:rsid w:val="00062377"/>
    <w:rsid w:val="000624B1"/>
    <w:rsid w:val="00062959"/>
    <w:rsid w:val="00062A60"/>
    <w:rsid w:val="000631D6"/>
    <w:rsid w:val="00063315"/>
    <w:rsid w:val="000636CC"/>
    <w:rsid w:val="000639F6"/>
    <w:rsid w:val="00063C8C"/>
    <w:rsid w:val="00063D69"/>
    <w:rsid w:val="00064004"/>
    <w:rsid w:val="00064179"/>
    <w:rsid w:val="0006430C"/>
    <w:rsid w:val="0006499C"/>
    <w:rsid w:val="00064CD4"/>
    <w:rsid w:val="00064EB4"/>
    <w:rsid w:val="00064F6E"/>
    <w:rsid w:val="00064F79"/>
    <w:rsid w:val="00065250"/>
    <w:rsid w:val="00065488"/>
    <w:rsid w:val="00065A9A"/>
    <w:rsid w:val="00065EA0"/>
    <w:rsid w:val="0006625A"/>
    <w:rsid w:val="00066471"/>
    <w:rsid w:val="0006652C"/>
    <w:rsid w:val="000666BC"/>
    <w:rsid w:val="000669C0"/>
    <w:rsid w:val="00066DB8"/>
    <w:rsid w:val="00066F80"/>
    <w:rsid w:val="00067329"/>
    <w:rsid w:val="000676FF"/>
    <w:rsid w:val="0007060F"/>
    <w:rsid w:val="00070756"/>
    <w:rsid w:val="00070997"/>
    <w:rsid w:val="00070AD0"/>
    <w:rsid w:val="00070E8E"/>
    <w:rsid w:val="00070EB3"/>
    <w:rsid w:val="00071371"/>
    <w:rsid w:val="0007139B"/>
    <w:rsid w:val="00071621"/>
    <w:rsid w:val="00071DAB"/>
    <w:rsid w:val="00072934"/>
    <w:rsid w:val="00072A9A"/>
    <w:rsid w:val="00072AEB"/>
    <w:rsid w:val="00072C14"/>
    <w:rsid w:val="000730DC"/>
    <w:rsid w:val="00073104"/>
    <w:rsid w:val="000731D8"/>
    <w:rsid w:val="000735DE"/>
    <w:rsid w:val="00074337"/>
    <w:rsid w:val="000745A5"/>
    <w:rsid w:val="00074875"/>
    <w:rsid w:val="00074BAC"/>
    <w:rsid w:val="00074C6C"/>
    <w:rsid w:val="00074DC5"/>
    <w:rsid w:val="00075146"/>
    <w:rsid w:val="000751B4"/>
    <w:rsid w:val="000758FD"/>
    <w:rsid w:val="000759AA"/>
    <w:rsid w:val="00075ED5"/>
    <w:rsid w:val="00076050"/>
    <w:rsid w:val="000760C6"/>
    <w:rsid w:val="0007691D"/>
    <w:rsid w:val="00076A7C"/>
    <w:rsid w:val="00076E4C"/>
    <w:rsid w:val="00076E5C"/>
    <w:rsid w:val="000770ED"/>
    <w:rsid w:val="000771A1"/>
    <w:rsid w:val="000771A3"/>
    <w:rsid w:val="00077844"/>
    <w:rsid w:val="0007790A"/>
    <w:rsid w:val="00077ABF"/>
    <w:rsid w:val="00077CE0"/>
    <w:rsid w:val="00077D43"/>
    <w:rsid w:val="00077EF5"/>
    <w:rsid w:val="00080163"/>
    <w:rsid w:val="00080403"/>
    <w:rsid w:val="000808BB"/>
    <w:rsid w:val="000809A1"/>
    <w:rsid w:val="000809FC"/>
    <w:rsid w:val="00080CBC"/>
    <w:rsid w:val="00080E3F"/>
    <w:rsid w:val="0008114A"/>
    <w:rsid w:val="00081D7B"/>
    <w:rsid w:val="00081DBA"/>
    <w:rsid w:val="00081F49"/>
    <w:rsid w:val="000821AB"/>
    <w:rsid w:val="0008220D"/>
    <w:rsid w:val="00082748"/>
    <w:rsid w:val="00082A63"/>
    <w:rsid w:val="00082E69"/>
    <w:rsid w:val="00082FBC"/>
    <w:rsid w:val="0008302C"/>
    <w:rsid w:val="0008316F"/>
    <w:rsid w:val="00083575"/>
    <w:rsid w:val="00083A1B"/>
    <w:rsid w:val="00083AF0"/>
    <w:rsid w:val="0008434D"/>
    <w:rsid w:val="000845B3"/>
    <w:rsid w:val="00084828"/>
    <w:rsid w:val="00084883"/>
    <w:rsid w:val="00084A49"/>
    <w:rsid w:val="00085210"/>
    <w:rsid w:val="000854B8"/>
    <w:rsid w:val="00085642"/>
    <w:rsid w:val="00085B54"/>
    <w:rsid w:val="00086387"/>
    <w:rsid w:val="00086717"/>
    <w:rsid w:val="000869BC"/>
    <w:rsid w:val="000871D4"/>
    <w:rsid w:val="000873AD"/>
    <w:rsid w:val="000873C4"/>
    <w:rsid w:val="000878C3"/>
    <w:rsid w:val="00087FE8"/>
    <w:rsid w:val="000900E2"/>
    <w:rsid w:val="00090710"/>
    <w:rsid w:val="00090BFB"/>
    <w:rsid w:val="00090CD6"/>
    <w:rsid w:val="00090D6E"/>
    <w:rsid w:val="000912B3"/>
    <w:rsid w:val="0009150D"/>
    <w:rsid w:val="00091589"/>
    <w:rsid w:val="00091973"/>
    <w:rsid w:val="00091F0A"/>
    <w:rsid w:val="00091F57"/>
    <w:rsid w:val="00092119"/>
    <w:rsid w:val="000926CB"/>
    <w:rsid w:val="00092859"/>
    <w:rsid w:val="00092E9C"/>
    <w:rsid w:val="00093201"/>
    <w:rsid w:val="000935A7"/>
    <w:rsid w:val="000936B9"/>
    <w:rsid w:val="00093744"/>
    <w:rsid w:val="00093B04"/>
    <w:rsid w:val="00093B2D"/>
    <w:rsid w:val="00093BAB"/>
    <w:rsid w:val="00093C6F"/>
    <w:rsid w:val="00094042"/>
    <w:rsid w:val="00094518"/>
    <w:rsid w:val="000946FC"/>
    <w:rsid w:val="000950A1"/>
    <w:rsid w:val="00095D0E"/>
    <w:rsid w:val="00095F48"/>
    <w:rsid w:val="00095FA6"/>
    <w:rsid w:val="00096607"/>
    <w:rsid w:val="00096774"/>
    <w:rsid w:val="00096A40"/>
    <w:rsid w:val="00096D2E"/>
    <w:rsid w:val="000976C0"/>
    <w:rsid w:val="00097E92"/>
    <w:rsid w:val="00097EE4"/>
    <w:rsid w:val="000A04C3"/>
    <w:rsid w:val="000A0594"/>
    <w:rsid w:val="000A0790"/>
    <w:rsid w:val="000A0DBD"/>
    <w:rsid w:val="000A1216"/>
    <w:rsid w:val="000A1253"/>
    <w:rsid w:val="000A12B5"/>
    <w:rsid w:val="000A1370"/>
    <w:rsid w:val="000A15B4"/>
    <w:rsid w:val="000A16FF"/>
    <w:rsid w:val="000A1A09"/>
    <w:rsid w:val="000A1BBF"/>
    <w:rsid w:val="000A1D35"/>
    <w:rsid w:val="000A2872"/>
    <w:rsid w:val="000A2D29"/>
    <w:rsid w:val="000A2F3C"/>
    <w:rsid w:val="000A324A"/>
    <w:rsid w:val="000A35CF"/>
    <w:rsid w:val="000A4561"/>
    <w:rsid w:val="000A45AF"/>
    <w:rsid w:val="000A4713"/>
    <w:rsid w:val="000A495E"/>
    <w:rsid w:val="000A4A0F"/>
    <w:rsid w:val="000A4A9F"/>
    <w:rsid w:val="000A4DD3"/>
    <w:rsid w:val="000A5008"/>
    <w:rsid w:val="000A505D"/>
    <w:rsid w:val="000A6225"/>
    <w:rsid w:val="000A62E7"/>
    <w:rsid w:val="000A6D04"/>
    <w:rsid w:val="000A6F74"/>
    <w:rsid w:val="000A6F9D"/>
    <w:rsid w:val="000A71EE"/>
    <w:rsid w:val="000A7848"/>
    <w:rsid w:val="000A7E4B"/>
    <w:rsid w:val="000B0FC9"/>
    <w:rsid w:val="000B170E"/>
    <w:rsid w:val="000B1D93"/>
    <w:rsid w:val="000B2130"/>
    <w:rsid w:val="000B2389"/>
    <w:rsid w:val="000B2462"/>
    <w:rsid w:val="000B2521"/>
    <w:rsid w:val="000B254C"/>
    <w:rsid w:val="000B28C8"/>
    <w:rsid w:val="000B2982"/>
    <w:rsid w:val="000B2D6C"/>
    <w:rsid w:val="000B3041"/>
    <w:rsid w:val="000B341F"/>
    <w:rsid w:val="000B34B9"/>
    <w:rsid w:val="000B3523"/>
    <w:rsid w:val="000B3C09"/>
    <w:rsid w:val="000B3C54"/>
    <w:rsid w:val="000B3E38"/>
    <w:rsid w:val="000B4598"/>
    <w:rsid w:val="000B469D"/>
    <w:rsid w:val="000B4C24"/>
    <w:rsid w:val="000B4D04"/>
    <w:rsid w:val="000B5DBC"/>
    <w:rsid w:val="000B61BF"/>
    <w:rsid w:val="000B62DE"/>
    <w:rsid w:val="000B65C9"/>
    <w:rsid w:val="000B699D"/>
    <w:rsid w:val="000B72B1"/>
    <w:rsid w:val="000B7589"/>
    <w:rsid w:val="000B7596"/>
    <w:rsid w:val="000B77DD"/>
    <w:rsid w:val="000B7A7C"/>
    <w:rsid w:val="000B7B59"/>
    <w:rsid w:val="000B7D62"/>
    <w:rsid w:val="000C012B"/>
    <w:rsid w:val="000C026D"/>
    <w:rsid w:val="000C0455"/>
    <w:rsid w:val="000C0F30"/>
    <w:rsid w:val="000C109B"/>
    <w:rsid w:val="000C11D7"/>
    <w:rsid w:val="000C198E"/>
    <w:rsid w:val="000C1BCA"/>
    <w:rsid w:val="000C1E18"/>
    <w:rsid w:val="000C1EFA"/>
    <w:rsid w:val="000C2376"/>
    <w:rsid w:val="000C2766"/>
    <w:rsid w:val="000C282D"/>
    <w:rsid w:val="000C2B29"/>
    <w:rsid w:val="000C3380"/>
    <w:rsid w:val="000C428D"/>
    <w:rsid w:val="000C46D1"/>
    <w:rsid w:val="000C49F8"/>
    <w:rsid w:val="000C4A70"/>
    <w:rsid w:val="000C4EFE"/>
    <w:rsid w:val="000C5008"/>
    <w:rsid w:val="000C5553"/>
    <w:rsid w:val="000C56F9"/>
    <w:rsid w:val="000C577E"/>
    <w:rsid w:val="000C590B"/>
    <w:rsid w:val="000C5B7F"/>
    <w:rsid w:val="000C5B8F"/>
    <w:rsid w:val="000C66FE"/>
    <w:rsid w:val="000C698B"/>
    <w:rsid w:val="000C6A4A"/>
    <w:rsid w:val="000C6CAC"/>
    <w:rsid w:val="000C6E09"/>
    <w:rsid w:val="000C6E51"/>
    <w:rsid w:val="000C7165"/>
    <w:rsid w:val="000C7289"/>
    <w:rsid w:val="000C72C3"/>
    <w:rsid w:val="000C76C9"/>
    <w:rsid w:val="000C7A92"/>
    <w:rsid w:val="000C7ECF"/>
    <w:rsid w:val="000D02CF"/>
    <w:rsid w:val="000D0503"/>
    <w:rsid w:val="000D0B32"/>
    <w:rsid w:val="000D0BE3"/>
    <w:rsid w:val="000D0D05"/>
    <w:rsid w:val="000D0DDD"/>
    <w:rsid w:val="000D0E23"/>
    <w:rsid w:val="000D1176"/>
    <w:rsid w:val="000D1296"/>
    <w:rsid w:val="000D143E"/>
    <w:rsid w:val="000D1534"/>
    <w:rsid w:val="000D180F"/>
    <w:rsid w:val="000D1AC6"/>
    <w:rsid w:val="000D3186"/>
    <w:rsid w:val="000D345D"/>
    <w:rsid w:val="000D36F8"/>
    <w:rsid w:val="000D3DEF"/>
    <w:rsid w:val="000D3E0D"/>
    <w:rsid w:val="000D42E3"/>
    <w:rsid w:val="000D45C5"/>
    <w:rsid w:val="000D48C8"/>
    <w:rsid w:val="000D4AA2"/>
    <w:rsid w:val="000D4B72"/>
    <w:rsid w:val="000D5221"/>
    <w:rsid w:val="000D5E81"/>
    <w:rsid w:val="000D613A"/>
    <w:rsid w:val="000D6521"/>
    <w:rsid w:val="000D66D0"/>
    <w:rsid w:val="000D6794"/>
    <w:rsid w:val="000D69BB"/>
    <w:rsid w:val="000D6B74"/>
    <w:rsid w:val="000D6F6C"/>
    <w:rsid w:val="000D7313"/>
    <w:rsid w:val="000D7450"/>
    <w:rsid w:val="000D74E1"/>
    <w:rsid w:val="000D7557"/>
    <w:rsid w:val="000D7596"/>
    <w:rsid w:val="000D7913"/>
    <w:rsid w:val="000D7E39"/>
    <w:rsid w:val="000D7E3E"/>
    <w:rsid w:val="000D7FB1"/>
    <w:rsid w:val="000E025A"/>
    <w:rsid w:val="000E0527"/>
    <w:rsid w:val="000E0541"/>
    <w:rsid w:val="000E0759"/>
    <w:rsid w:val="000E16BC"/>
    <w:rsid w:val="000E174D"/>
    <w:rsid w:val="000E1A8D"/>
    <w:rsid w:val="000E1EFF"/>
    <w:rsid w:val="000E23A8"/>
    <w:rsid w:val="000E241A"/>
    <w:rsid w:val="000E2BBC"/>
    <w:rsid w:val="000E32A3"/>
    <w:rsid w:val="000E349D"/>
    <w:rsid w:val="000E386F"/>
    <w:rsid w:val="000E4038"/>
    <w:rsid w:val="000E41A6"/>
    <w:rsid w:val="000E45E1"/>
    <w:rsid w:val="000E4A90"/>
    <w:rsid w:val="000E4B71"/>
    <w:rsid w:val="000E5181"/>
    <w:rsid w:val="000E5493"/>
    <w:rsid w:val="000E5645"/>
    <w:rsid w:val="000E58E1"/>
    <w:rsid w:val="000E59BD"/>
    <w:rsid w:val="000E5BED"/>
    <w:rsid w:val="000E5C40"/>
    <w:rsid w:val="000E6200"/>
    <w:rsid w:val="000E635D"/>
    <w:rsid w:val="000E6401"/>
    <w:rsid w:val="000E684F"/>
    <w:rsid w:val="000E68B1"/>
    <w:rsid w:val="000E6911"/>
    <w:rsid w:val="000E75F6"/>
    <w:rsid w:val="000E76C9"/>
    <w:rsid w:val="000E7767"/>
    <w:rsid w:val="000E7DDF"/>
    <w:rsid w:val="000E7DF4"/>
    <w:rsid w:val="000F014C"/>
    <w:rsid w:val="000F01B9"/>
    <w:rsid w:val="000F06EB"/>
    <w:rsid w:val="000F1581"/>
    <w:rsid w:val="000F184F"/>
    <w:rsid w:val="000F1929"/>
    <w:rsid w:val="000F1FA5"/>
    <w:rsid w:val="000F238A"/>
    <w:rsid w:val="000F2624"/>
    <w:rsid w:val="000F2C2E"/>
    <w:rsid w:val="000F3708"/>
    <w:rsid w:val="000F4487"/>
    <w:rsid w:val="000F49BE"/>
    <w:rsid w:val="000F4CBB"/>
    <w:rsid w:val="000F4DD5"/>
    <w:rsid w:val="000F4E0E"/>
    <w:rsid w:val="000F5177"/>
    <w:rsid w:val="000F529E"/>
    <w:rsid w:val="000F55C7"/>
    <w:rsid w:val="000F5982"/>
    <w:rsid w:val="000F5A3B"/>
    <w:rsid w:val="000F5A63"/>
    <w:rsid w:val="000F5CEC"/>
    <w:rsid w:val="000F5DED"/>
    <w:rsid w:val="000F6301"/>
    <w:rsid w:val="000F6F4B"/>
    <w:rsid w:val="000F74CA"/>
    <w:rsid w:val="000F769E"/>
    <w:rsid w:val="000F779E"/>
    <w:rsid w:val="000F78DA"/>
    <w:rsid w:val="000F7956"/>
    <w:rsid w:val="000F7B4D"/>
    <w:rsid w:val="00100183"/>
    <w:rsid w:val="00100471"/>
    <w:rsid w:val="00100734"/>
    <w:rsid w:val="00100841"/>
    <w:rsid w:val="00100C25"/>
    <w:rsid w:val="00100EB5"/>
    <w:rsid w:val="00100EBF"/>
    <w:rsid w:val="00100F76"/>
    <w:rsid w:val="001010CC"/>
    <w:rsid w:val="00101E28"/>
    <w:rsid w:val="001021F6"/>
    <w:rsid w:val="0010248A"/>
    <w:rsid w:val="00102F04"/>
    <w:rsid w:val="00102F16"/>
    <w:rsid w:val="00102FCE"/>
    <w:rsid w:val="001035AC"/>
    <w:rsid w:val="00103B4F"/>
    <w:rsid w:val="00103EED"/>
    <w:rsid w:val="00103FF8"/>
    <w:rsid w:val="00104216"/>
    <w:rsid w:val="001042DE"/>
    <w:rsid w:val="00104336"/>
    <w:rsid w:val="001044DF"/>
    <w:rsid w:val="001044F4"/>
    <w:rsid w:val="00104C0C"/>
    <w:rsid w:val="00105E73"/>
    <w:rsid w:val="00106166"/>
    <w:rsid w:val="00106295"/>
    <w:rsid w:val="00106366"/>
    <w:rsid w:val="001065D4"/>
    <w:rsid w:val="00106C84"/>
    <w:rsid w:val="00106D9E"/>
    <w:rsid w:val="00106DA1"/>
    <w:rsid w:val="00106E0F"/>
    <w:rsid w:val="00106E19"/>
    <w:rsid w:val="00106EA1"/>
    <w:rsid w:val="00107149"/>
    <w:rsid w:val="001074DD"/>
    <w:rsid w:val="001077DF"/>
    <w:rsid w:val="00107A21"/>
    <w:rsid w:val="00107F88"/>
    <w:rsid w:val="00110149"/>
    <w:rsid w:val="001102B4"/>
    <w:rsid w:val="00110388"/>
    <w:rsid w:val="001103A7"/>
    <w:rsid w:val="001106AC"/>
    <w:rsid w:val="00110F52"/>
    <w:rsid w:val="00111035"/>
    <w:rsid w:val="0011123E"/>
    <w:rsid w:val="001115EB"/>
    <w:rsid w:val="00111BE4"/>
    <w:rsid w:val="00112189"/>
    <w:rsid w:val="00112249"/>
    <w:rsid w:val="001122BF"/>
    <w:rsid w:val="00112364"/>
    <w:rsid w:val="001128C2"/>
    <w:rsid w:val="00112A5A"/>
    <w:rsid w:val="00112AFA"/>
    <w:rsid w:val="00112D2B"/>
    <w:rsid w:val="00112DFE"/>
    <w:rsid w:val="00113084"/>
    <w:rsid w:val="001133E5"/>
    <w:rsid w:val="00113458"/>
    <w:rsid w:val="00113560"/>
    <w:rsid w:val="0011370C"/>
    <w:rsid w:val="00113752"/>
    <w:rsid w:val="00113CF2"/>
    <w:rsid w:val="0011436E"/>
    <w:rsid w:val="0011438B"/>
    <w:rsid w:val="001146FB"/>
    <w:rsid w:val="001147A8"/>
    <w:rsid w:val="00114E0B"/>
    <w:rsid w:val="0011514F"/>
    <w:rsid w:val="001153E6"/>
    <w:rsid w:val="001159BD"/>
    <w:rsid w:val="00115BB1"/>
    <w:rsid w:val="00115C03"/>
    <w:rsid w:val="00115D9C"/>
    <w:rsid w:val="0011604F"/>
    <w:rsid w:val="00116AF6"/>
    <w:rsid w:val="00116CD4"/>
    <w:rsid w:val="00117183"/>
    <w:rsid w:val="001177E0"/>
    <w:rsid w:val="00117825"/>
    <w:rsid w:val="00117A46"/>
    <w:rsid w:val="00117B3A"/>
    <w:rsid w:val="00117C37"/>
    <w:rsid w:val="00117E90"/>
    <w:rsid w:val="001202AB"/>
    <w:rsid w:val="00120612"/>
    <w:rsid w:val="001206F5"/>
    <w:rsid w:val="00120AC7"/>
    <w:rsid w:val="00120DD1"/>
    <w:rsid w:val="00121502"/>
    <w:rsid w:val="001218AC"/>
    <w:rsid w:val="00121C3E"/>
    <w:rsid w:val="001222B2"/>
    <w:rsid w:val="00122492"/>
    <w:rsid w:val="001224C6"/>
    <w:rsid w:val="001224F4"/>
    <w:rsid w:val="0012359F"/>
    <w:rsid w:val="00123C2B"/>
    <w:rsid w:val="00124006"/>
    <w:rsid w:val="001243EC"/>
    <w:rsid w:val="00124A83"/>
    <w:rsid w:val="00124B4D"/>
    <w:rsid w:val="00124DF1"/>
    <w:rsid w:val="001253A9"/>
    <w:rsid w:val="00125921"/>
    <w:rsid w:val="00125A20"/>
    <w:rsid w:val="00125B6A"/>
    <w:rsid w:val="00125CB2"/>
    <w:rsid w:val="00125FEE"/>
    <w:rsid w:val="001260BB"/>
    <w:rsid w:val="001263D1"/>
    <w:rsid w:val="0012696A"/>
    <w:rsid w:val="00126B84"/>
    <w:rsid w:val="00126F44"/>
    <w:rsid w:val="0012746B"/>
    <w:rsid w:val="00127501"/>
    <w:rsid w:val="00127581"/>
    <w:rsid w:val="001275FA"/>
    <w:rsid w:val="00127A0F"/>
    <w:rsid w:val="00127ED5"/>
    <w:rsid w:val="0013097F"/>
    <w:rsid w:val="00130E5E"/>
    <w:rsid w:val="00130EA4"/>
    <w:rsid w:val="00130EDA"/>
    <w:rsid w:val="00131002"/>
    <w:rsid w:val="00131258"/>
    <w:rsid w:val="00131377"/>
    <w:rsid w:val="00131A96"/>
    <w:rsid w:val="00131E05"/>
    <w:rsid w:val="00131F36"/>
    <w:rsid w:val="0013270C"/>
    <w:rsid w:val="001327A5"/>
    <w:rsid w:val="001327A7"/>
    <w:rsid w:val="001328DD"/>
    <w:rsid w:val="00132B62"/>
    <w:rsid w:val="00132E41"/>
    <w:rsid w:val="00132F86"/>
    <w:rsid w:val="001332BA"/>
    <w:rsid w:val="0013358B"/>
    <w:rsid w:val="001335B0"/>
    <w:rsid w:val="0013369F"/>
    <w:rsid w:val="00133DEE"/>
    <w:rsid w:val="00133FCA"/>
    <w:rsid w:val="00134DC6"/>
    <w:rsid w:val="00135059"/>
    <w:rsid w:val="00135065"/>
    <w:rsid w:val="0013523E"/>
    <w:rsid w:val="001353A6"/>
    <w:rsid w:val="0013595E"/>
    <w:rsid w:val="00135A34"/>
    <w:rsid w:val="00135C22"/>
    <w:rsid w:val="00135DFE"/>
    <w:rsid w:val="00135F7A"/>
    <w:rsid w:val="00136011"/>
    <w:rsid w:val="001360C8"/>
    <w:rsid w:val="00136B12"/>
    <w:rsid w:val="00136C3D"/>
    <w:rsid w:val="00137545"/>
    <w:rsid w:val="00137B8E"/>
    <w:rsid w:val="00137D47"/>
    <w:rsid w:val="00137F0B"/>
    <w:rsid w:val="001400FF"/>
    <w:rsid w:val="001404D8"/>
    <w:rsid w:val="001410BB"/>
    <w:rsid w:val="001413F6"/>
    <w:rsid w:val="0014151F"/>
    <w:rsid w:val="00141ABE"/>
    <w:rsid w:val="00141C84"/>
    <w:rsid w:val="00141CFE"/>
    <w:rsid w:val="0014227D"/>
    <w:rsid w:val="001428C8"/>
    <w:rsid w:val="00142C62"/>
    <w:rsid w:val="0014370C"/>
    <w:rsid w:val="00143931"/>
    <w:rsid w:val="00144400"/>
    <w:rsid w:val="00144815"/>
    <w:rsid w:val="0014493A"/>
    <w:rsid w:val="00144CD3"/>
    <w:rsid w:val="00144E66"/>
    <w:rsid w:val="00145184"/>
    <w:rsid w:val="001456ED"/>
    <w:rsid w:val="00145A87"/>
    <w:rsid w:val="00145A98"/>
    <w:rsid w:val="00146EED"/>
    <w:rsid w:val="0014730D"/>
    <w:rsid w:val="00147A7F"/>
    <w:rsid w:val="00147A89"/>
    <w:rsid w:val="001500C3"/>
    <w:rsid w:val="001505A5"/>
    <w:rsid w:val="001505F1"/>
    <w:rsid w:val="00150F4C"/>
    <w:rsid w:val="00150FCE"/>
    <w:rsid w:val="001513DD"/>
    <w:rsid w:val="00151843"/>
    <w:rsid w:val="00151B42"/>
    <w:rsid w:val="00151CBB"/>
    <w:rsid w:val="00151DC6"/>
    <w:rsid w:val="00151FC8"/>
    <w:rsid w:val="00152008"/>
    <w:rsid w:val="001521C6"/>
    <w:rsid w:val="00152723"/>
    <w:rsid w:val="00154280"/>
    <w:rsid w:val="00154634"/>
    <w:rsid w:val="00154831"/>
    <w:rsid w:val="00154949"/>
    <w:rsid w:val="00154B23"/>
    <w:rsid w:val="00154C5C"/>
    <w:rsid w:val="00154CF1"/>
    <w:rsid w:val="00155462"/>
    <w:rsid w:val="00155786"/>
    <w:rsid w:val="0015578E"/>
    <w:rsid w:val="001557FB"/>
    <w:rsid w:val="00155BDA"/>
    <w:rsid w:val="00156031"/>
    <w:rsid w:val="00156337"/>
    <w:rsid w:val="001565B0"/>
    <w:rsid w:val="00156798"/>
    <w:rsid w:val="001567EE"/>
    <w:rsid w:val="00156C47"/>
    <w:rsid w:val="00156DE6"/>
    <w:rsid w:val="00157520"/>
    <w:rsid w:val="00157678"/>
    <w:rsid w:val="00157B26"/>
    <w:rsid w:val="00157D13"/>
    <w:rsid w:val="00157F31"/>
    <w:rsid w:val="001601B8"/>
    <w:rsid w:val="0016033C"/>
    <w:rsid w:val="00160372"/>
    <w:rsid w:val="00160C07"/>
    <w:rsid w:val="00161585"/>
    <w:rsid w:val="00162024"/>
    <w:rsid w:val="00162A12"/>
    <w:rsid w:val="00162B14"/>
    <w:rsid w:val="00162B66"/>
    <w:rsid w:val="00162FCB"/>
    <w:rsid w:val="001630AE"/>
    <w:rsid w:val="001631A2"/>
    <w:rsid w:val="0016341B"/>
    <w:rsid w:val="0016342C"/>
    <w:rsid w:val="001638E1"/>
    <w:rsid w:val="00163ACC"/>
    <w:rsid w:val="00163F4C"/>
    <w:rsid w:val="001642CB"/>
    <w:rsid w:val="0016436B"/>
    <w:rsid w:val="001648E4"/>
    <w:rsid w:val="00164D46"/>
    <w:rsid w:val="00164EE9"/>
    <w:rsid w:val="00164F07"/>
    <w:rsid w:val="00164F3F"/>
    <w:rsid w:val="0016514E"/>
    <w:rsid w:val="00165348"/>
    <w:rsid w:val="0016579C"/>
    <w:rsid w:val="00165ADD"/>
    <w:rsid w:val="001665CB"/>
    <w:rsid w:val="00166BBA"/>
    <w:rsid w:val="00166C05"/>
    <w:rsid w:val="00167015"/>
    <w:rsid w:val="001670BB"/>
    <w:rsid w:val="00167236"/>
    <w:rsid w:val="00167425"/>
    <w:rsid w:val="00167974"/>
    <w:rsid w:val="00167E39"/>
    <w:rsid w:val="00167F37"/>
    <w:rsid w:val="00167FAC"/>
    <w:rsid w:val="00170059"/>
    <w:rsid w:val="001703EE"/>
    <w:rsid w:val="00170908"/>
    <w:rsid w:val="00170B3A"/>
    <w:rsid w:val="00170B7A"/>
    <w:rsid w:val="00170CEE"/>
    <w:rsid w:val="00171FBC"/>
    <w:rsid w:val="001723A1"/>
    <w:rsid w:val="001724D7"/>
    <w:rsid w:val="00172705"/>
    <w:rsid w:val="00172846"/>
    <w:rsid w:val="00172A0B"/>
    <w:rsid w:val="00172E18"/>
    <w:rsid w:val="00172F96"/>
    <w:rsid w:val="00173208"/>
    <w:rsid w:val="001735AD"/>
    <w:rsid w:val="001735C0"/>
    <w:rsid w:val="001739BD"/>
    <w:rsid w:val="001739D0"/>
    <w:rsid w:val="00173A23"/>
    <w:rsid w:val="00173AFE"/>
    <w:rsid w:val="00174465"/>
    <w:rsid w:val="00174BEC"/>
    <w:rsid w:val="00174D50"/>
    <w:rsid w:val="0017507F"/>
    <w:rsid w:val="001750B8"/>
    <w:rsid w:val="001752FA"/>
    <w:rsid w:val="001754A7"/>
    <w:rsid w:val="001754CD"/>
    <w:rsid w:val="001756E2"/>
    <w:rsid w:val="0017585B"/>
    <w:rsid w:val="00175875"/>
    <w:rsid w:val="00175912"/>
    <w:rsid w:val="00175B4D"/>
    <w:rsid w:val="00175DC8"/>
    <w:rsid w:val="0017646F"/>
    <w:rsid w:val="0017662C"/>
    <w:rsid w:val="001768EC"/>
    <w:rsid w:val="00176FB3"/>
    <w:rsid w:val="001771D6"/>
    <w:rsid w:val="001772E4"/>
    <w:rsid w:val="001774BD"/>
    <w:rsid w:val="0018042B"/>
    <w:rsid w:val="00180807"/>
    <w:rsid w:val="001808CC"/>
    <w:rsid w:val="00180C3E"/>
    <w:rsid w:val="00180CC2"/>
    <w:rsid w:val="00180CFA"/>
    <w:rsid w:val="00180EFB"/>
    <w:rsid w:val="00181084"/>
    <w:rsid w:val="0018142C"/>
    <w:rsid w:val="00181663"/>
    <w:rsid w:val="001816D0"/>
    <w:rsid w:val="001817FE"/>
    <w:rsid w:val="0018191D"/>
    <w:rsid w:val="00181FF1"/>
    <w:rsid w:val="0018230F"/>
    <w:rsid w:val="00182C5C"/>
    <w:rsid w:val="00183223"/>
    <w:rsid w:val="00183A5C"/>
    <w:rsid w:val="00183D8C"/>
    <w:rsid w:val="00184334"/>
    <w:rsid w:val="001843C9"/>
    <w:rsid w:val="001844E8"/>
    <w:rsid w:val="001846C6"/>
    <w:rsid w:val="00184701"/>
    <w:rsid w:val="001847B7"/>
    <w:rsid w:val="00185B81"/>
    <w:rsid w:val="001860C0"/>
    <w:rsid w:val="0018685A"/>
    <w:rsid w:val="001868B1"/>
    <w:rsid w:val="00186E0B"/>
    <w:rsid w:val="00187429"/>
    <w:rsid w:val="00187EFF"/>
    <w:rsid w:val="001901BB"/>
    <w:rsid w:val="001904A2"/>
    <w:rsid w:val="0019073B"/>
    <w:rsid w:val="00190C4A"/>
    <w:rsid w:val="00190DFA"/>
    <w:rsid w:val="001911A1"/>
    <w:rsid w:val="00191652"/>
    <w:rsid w:val="00191916"/>
    <w:rsid w:val="00191949"/>
    <w:rsid w:val="00191958"/>
    <w:rsid w:val="00192201"/>
    <w:rsid w:val="001926F0"/>
    <w:rsid w:val="00192D9D"/>
    <w:rsid w:val="00192EE6"/>
    <w:rsid w:val="0019334F"/>
    <w:rsid w:val="00193450"/>
    <w:rsid w:val="00193A7A"/>
    <w:rsid w:val="00193B75"/>
    <w:rsid w:val="00193DD4"/>
    <w:rsid w:val="00193F2D"/>
    <w:rsid w:val="001943FB"/>
    <w:rsid w:val="00194A11"/>
    <w:rsid w:val="00194B76"/>
    <w:rsid w:val="00195788"/>
    <w:rsid w:val="001959E8"/>
    <w:rsid w:val="00195CA8"/>
    <w:rsid w:val="00195D68"/>
    <w:rsid w:val="0019659E"/>
    <w:rsid w:val="00196B55"/>
    <w:rsid w:val="001971A4"/>
    <w:rsid w:val="001973F7"/>
    <w:rsid w:val="00197592"/>
    <w:rsid w:val="0019768C"/>
    <w:rsid w:val="00197B65"/>
    <w:rsid w:val="00197D4A"/>
    <w:rsid w:val="001A0346"/>
    <w:rsid w:val="001A0D13"/>
    <w:rsid w:val="001A114D"/>
    <w:rsid w:val="001A125F"/>
    <w:rsid w:val="001A17E3"/>
    <w:rsid w:val="001A1AC9"/>
    <w:rsid w:val="001A1DB6"/>
    <w:rsid w:val="001A2209"/>
    <w:rsid w:val="001A2274"/>
    <w:rsid w:val="001A2FD1"/>
    <w:rsid w:val="001A301E"/>
    <w:rsid w:val="001A32BA"/>
    <w:rsid w:val="001A3372"/>
    <w:rsid w:val="001A34B0"/>
    <w:rsid w:val="001A3781"/>
    <w:rsid w:val="001A3985"/>
    <w:rsid w:val="001A3C66"/>
    <w:rsid w:val="001A3D09"/>
    <w:rsid w:val="001A3FD2"/>
    <w:rsid w:val="001A41E1"/>
    <w:rsid w:val="001A4293"/>
    <w:rsid w:val="001A42AA"/>
    <w:rsid w:val="001A42F5"/>
    <w:rsid w:val="001A46FA"/>
    <w:rsid w:val="001A48B1"/>
    <w:rsid w:val="001A4A13"/>
    <w:rsid w:val="001A50EE"/>
    <w:rsid w:val="001A5486"/>
    <w:rsid w:val="001A54FB"/>
    <w:rsid w:val="001A585F"/>
    <w:rsid w:val="001A5896"/>
    <w:rsid w:val="001A5BDD"/>
    <w:rsid w:val="001A5DD8"/>
    <w:rsid w:val="001A6124"/>
    <w:rsid w:val="001A62D2"/>
    <w:rsid w:val="001A6309"/>
    <w:rsid w:val="001A6702"/>
    <w:rsid w:val="001A6833"/>
    <w:rsid w:val="001A6974"/>
    <w:rsid w:val="001A6C92"/>
    <w:rsid w:val="001A6D3C"/>
    <w:rsid w:val="001A709A"/>
    <w:rsid w:val="001A724A"/>
    <w:rsid w:val="001A7327"/>
    <w:rsid w:val="001A7540"/>
    <w:rsid w:val="001A7A7B"/>
    <w:rsid w:val="001A7DD4"/>
    <w:rsid w:val="001A7F2C"/>
    <w:rsid w:val="001B0156"/>
    <w:rsid w:val="001B03B9"/>
    <w:rsid w:val="001B04B5"/>
    <w:rsid w:val="001B0A08"/>
    <w:rsid w:val="001B0D7F"/>
    <w:rsid w:val="001B12AB"/>
    <w:rsid w:val="001B152F"/>
    <w:rsid w:val="001B1690"/>
    <w:rsid w:val="001B1C3D"/>
    <w:rsid w:val="001B1CF8"/>
    <w:rsid w:val="001B1E6C"/>
    <w:rsid w:val="001B20B0"/>
    <w:rsid w:val="001B2C2C"/>
    <w:rsid w:val="001B2C67"/>
    <w:rsid w:val="001B2E61"/>
    <w:rsid w:val="001B3038"/>
    <w:rsid w:val="001B3188"/>
    <w:rsid w:val="001B38EC"/>
    <w:rsid w:val="001B3A5C"/>
    <w:rsid w:val="001B3FD1"/>
    <w:rsid w:val="001B45C9"/>
    <w:rsid w:val="001B46F5"/>
    <w:rsid w:val="001B4C42"/>
    <w:rsid w:val="001B5105"/>
    <w:rsid w:val="001B5989"/>
    <w:rsid w:val="001B5FD0"/>
    <w:rsid w:val="001B61B3"/>
    <w:rsid w:val="001B6616"/>
    <w:rsid w:val="001B6AF2"/>
    <w:rsid w:val="001B6CAD"/>
    <w:rsid w:val="001B6E5F"/>
    <w:rsid w:val="001B6E9F"/>
    <w:rsid w:val="001B6EC0"/>
    <w:rsid w:val="001B6F93"/>
    <w:rsid w:val="001B7133"/>
    <w:rsid w:val="001B7186"/>
    <w:rsid w:val="001B729F"/>
    <w:rsid w:val="001B7949"/>
    <w:rsid w:val="001B7AE1"/>
    <w:rsid w:val="001B7B9C"/>
    <w:rsid w:val="001C02D9"/>
    <w:rsid w:val="001C07CE"/>
    <w:rsid w:val="001C09F6"/>
    <w:rsid w:val="001C0AC8"/>
    <w:rsid w:val="001C0E5D"/>
    <w:rsid w:val="001C266A"/>
    <w:rsid w:val="001C2D62"/>
    <w:rsid w:val="001C2E1F"/>
    <w:rsid w:val="001C3370"/>
    <w:rsid w:val="001C36A7"/>
    <w:rsid w:val="001C3A40"/>
    <w:rsid w:val="001C3A7C"/>
    <w:rsid w:val="001C3BAC"/>
    <w:rsid w:val="001C3BC1"/>
    <w:rsid w:val="001C49C2"/>
    <w:rsid w:val="001C4C94"/>
    <w:rsid w:val="001C4CB6"/>
    <w:rsid w:val="001C4E8E"/>
    <w:rsid w:val="001C51C5"/>
    <w:rsid w:val="001C53BF"/>
    <w:rsid w:val="001C540F"/>
    <w:rsid w:val="001C55CD"/>
    <w:rsid w:val="001C5C80"/>
    <w:rsid w:val="001C6039"/>
    <w:rsid w:val="001C60BC"/>
    <w:rsid w:val="001C64D7"/>
    <w:rsid w:val="001C651F"/>
    <w:rsid w:val="001C6A99"/>
    <w:rsid w:val="001C6AE5"/>
    <w:rsid w:val="001C6B3D"/>
    <w:rsid w:val="001C6DE3"/>
    <w:rsid w:val="001C6E98"/>
    <w:rsid w:val="001C7499"/>
    <w:rsid w:val="001C74B2"/>
    <w:rsid w:val="001D0440"/>
    <w:rsid w:val="001D0487"/>
    <w:rsid w:val="001D0812"/>
    <w:rsid w:val="001D0857"/>
    <w:rsid w:val="001D09E9"/>
    <w:rsid w:val="001D0ABE"/>
    <w:rsid w:val="001D0E0E"/>
    <w:rsid w:val="001D12B4"/>
    <w:rsid w:val="001D14B8"/>
    <w:rsid w:val="001D1549"/>
    <w:rsid w:val="001D159D"/>
    <w:rsid w:val="001D2793"/>
    <w:rsid w:val="001D30B9"/>
    <w:rsid w:val="001D334D"/>
    <w:rsid w:val="001D36D5"/>
    <w:rsid w:val="001D3B56"/>
    <w:rsid w:val="001D40BD"/>
    <w:rsid w:val="001D435C"/>
    <w:rsid w:val="001D4384"/>
    <w:rsid w:val="001D45DD"/>
    <w:rsid w:val="001D48B2"/>
    <w:rsid w:val="001D51DA"/>
    <w:rsid w:val="001D5671"/>
    <w:rsid w:val="001D57D1"/>
    <w:rsid w:val="001D5913"/>
    <w:rsid w:val="001D5985"/>
    <w:rsid w:val="001D5AFE"/>
    <w:rsid w:val="001D5DFE"/>
    <w:rsid w:val="001D60A2"/>
    <w:rsid w:val="001D69AF"/>
    <w:rsid w:val="001D6F2F"/>
    <w:rsid w:val="001D786A"/>
    <w:rsid w:val="001D7998"/>
    <w:rsid w:val="001D7CC3"/>
    <w:rsid w:val="001E0146"/>
    <w:rsid w:val="001E01BD"/>
    <w:rsid w:val="001E01BF"/>
    <w:rsid w:val="001E0248"/>
    <w:rsid w:val="001E04E7"/>
    <w:rsid w:val="001E05FA"/>
    <w:rsid w:val="001E0B4A"/>
    <w:rsid w:val="001E18BF"/>
    <w:rsid w:val="001E1A4A"/>
    <w:rsid w:val="001E1AB2"/>
    <w:rsid w:val="001E1EC0"/>
    <w:rsid w:val="001E23E1"/>
    <w:rsid w:val="001E248F"/>
    <w:rsid w:val="001E24BB"/>
    <w:rsid w:val="001E275A"/>
    <w:rsid w:val="001E2BB7"/>
    <w:rsid w:val="001E3345"/>
    <w:rsid w:val="001E35CD"/>
    <w:rsid w:val="001E3651"/>
    <w:rsid w:val="001E37FB"/>
    <w:rsid w:val="001E3B4E"/>
    <w:rsid w:val="001E430C"/>
    <w:rsid w:val="001E43AD"/>
    <w:rsid w:val="001E4867"/>
    <w:rsid w:val="001E49CF"/>
    <w:rsid w:val="001E51E6"/>
    <w:rsid w:val="001E5807"/>
    <w:rsid w:val="001E5845"/>
    <w:rsid w:val="001E5ADC"/>
    <w:rsid w:val="001E5B27"/>
    <w:rsid w:val="001E5C73"/>
    <w:rsid w:val="001E60E5"/>
    <w:rsid w:val="001E6409"/>
    <w:rsid w:val="001E66CC"/>
    <w:rsid w:val="001E675A"/>
    <w:rsid w:val="001E69BC"/>
    <w:rsid w:val="001E6A34"/>
    <w:rsid w:val="001E6A84"/>
    <w:rsid w:val="001E70C8"/>
    <w:rsid w:val="001E7795"/>
    <w:rsid w:val="001E7874"/>
    <w:rsid w:val="001E7B48"/>
    <w:rsid w:val="001E7B76"/>
    <w:rsid w:val="001E7BDF"/>
    <w:rsid w:val="001E7CC0"/>
    <w:rsid w:val="001E7F90"/>
    <w:rsid w:val="001E7FB4"/>
    <w:rsid w:val="001F0075"/>
    <w:rsid w:val="001F0427"/>
    <w:rsid w:val="001F0D22"/>
    <w:rsid w:val="001F0D77"/>
    <w:rsid w:val="001F10FB"/>
    <w:rsid w:val="001F17A3"/>
    <w:rsid w:val="001F1894"/>
    <w:rsid w:val="001F18B8"/>
    <w:rsid w:val="001F1E0E"/>
    <w:rsid w:val="001F2032"/>
    <w:rsid w:val="001F215B"/>
    <w:rsid w:val="001F24C5"/>
    <w:rsid w:val="001F267E"/>
    <w:rsid w:val="001F27B0"/>
    <w:rsid w:val="001F30A9"/>
    <w:rsid w:val="001F3200"/>
    <w:rsid w:val="001F338F"/>
    <w:rsid w:val="001F33AF"/>
    <w:rsid w:val="001F3674"/>
    <w:rsid w:val="001F3F15"/>
    <w:rsid w:val="001F4316"/>
    <w:rsid w:val="001F4A33"/>
    <w:rsid w:val="001F4A4A"/>
    <w:rsid w:val="001F4A83"/>
    <w:rsid w:val="001F4AA7"/>
    <w:rsid w:val="001F4B82"/>
    <w:rsid w:val="001F4EAE"/>
    <w:rsid w:val="001F541B"/>
    <w:rsid w:val="001F5B1E"/>
    <w:rsid w:val="001F628A"/>
    <w:rsid w:val="001F636B"/>
    <w:rsid w:val="001F6F42"/>
    <w:rsid w:val="001F71C8"/>
    <w:rsid w:val="001F7541"/>
    <w:rsid w:val="001F7573"/>
    <w:rsid w:val="001F78EC"/>
    <w:rsid w:val="001F797A"/>
    <w:rsid w:val="001F7BED"/>
    <w:rsid w:val="001F7ECC"/>
    <w:rsid w:val="001F7ED2"/>
    <w:rsid w:val="001F7FD7"/>
    <w:rsid w:val="00200295"/>
    <w:rsid w:val="0020052F"/>
    <w:rsid w:val="00200779"/>
    <w:rsid w:val="002008B7"/>
    <w:rsid w:val="0020095A"/>
    <w:rsid w:val="00201327"/>
    <w:rsid w:val="0020161C"/>
    <w:rsid w:val="00201685"/>
    <w:rsid w:val="00201C16"/>
    <w:rsid w:val="00201EBB"/>
    <w:rsid w:val="00202DE1"/>
    <w:rsid w:val="002032D3"/>
    <w:rsid w:val="00203346"/>
    <w:rsid w:val="002036FE"/>
    <w:rsid w:val="0020437A"/>
    <w:rsid w:val="002045FA"/>
    <w:rsid w:val="0020472B"/>
    <w:rsid w:val="002049CD"/>
    <w:rsid w:val="002054DB"/>
    <w:rsid w:val="0020575C"/>
    <w:rsid w:val="0020595E"/>
    <w:rsid w:val="00205E12"/>
    <w:rsid w:val="00205F12"/>
    <w:rsid w:val="00206442"/>
    <w:rsid w:val="00206863"/>
    <w:rsid w:val="00206DD3"/>
    <w:rsid w:val="00206E18"/>
    <w:rsid w:val="0020792C"/>
    <w:rsid w:val="00207DBB"/>
    <w:rsid w:val="00207DE6"/>
    <w:rsid w:val="00210571"/>
    <w:rsid w:val="00210822"/>
    <w:rsid w:val="00211196"/>
    <w:rsid w:val="002111D5"/>
    <w:rsid w:val="0021125B"/>
    <w:rsid w:val="002114EC"/>
    <w:rsid w:val="00211766"/>
    <w:rsid w:val="00211D6D"/>
    <w:rsid w:val="00211DD8"/>
    <w:rsid w:val="00211E73"/>
    <w:rsid w:val="00211F1C"/>
    <w:rsid w:val="0021215F"/>
    <w:rsid w:val="002125E1"/>
    <w:rsid w:val="002126D9"/>
    <w:rsid w:val="00212ACC"/>
    <w:rsid w:val="00212F2A"/>
    <w:rsid w:val="0021303A"/>
    <w:rsid w:val="002132F0"/>
    <w:rsid w:val="0021335D"/>
    <w:rsid w:val="00213494"/>
    <w:rsid w:val="0021353D"/>
    <w:rsid w:val="0021357E"/>
    <w:rsid w:val="00213AF4"/>
    <w:rsid w:val="00213FA2"/>
    <w:rsid w:val="00214333"/>
    <w:rsid w:val="002145AB"/>
    <w:rsid w:val="0021482C"/>
    <w:rsid w:val="00214876"/>
    <w:rsid w:val="00214C11"/>
    <w:rsid w:val="00215139"/>
    <w:rsid w:val="00215330"/>
    <w:rsid w:val="002154D2"/>
    <w:rsid w:val="00215858"/>
    <w:rsid w:val="00215E07"/>
    <w:rsid w:val="002161A4"/>
    <w:rsid w:val="0021655B"/>
    <w:rsid w:val="00216595"/>
    <w:rsid w:val="00216B2C"/>
    <w:rsid w:val="00216DC9"/>
    <w:rsid w:val="0021736E"/>
    <w:rsid w:val="00217F59"/>
    <w:rsid w:val="00217F8F"/>
    <w:rsid w:val="00220010"/>
    <w:rsid w:val="002200AC"/>
    <w:rsid w:val="002203E8"/>
    <w:rsid w:val="00220774"/>
    <w:rsid w:val="00220782"/>
    <w:rsid w:val="00220C7A"/>
    <w:rsid w:val="00220CB4"/>
    <w:rsid w:val="00220DC9"/>
    <w:rsid w:val="00221065"/>
    <w:rsid w:val="0022169D"/>
    <w:rsid w:val="002217CA"/>
    <w:rsid w:val="002218B4"/>
    <w:rsid w:val="00221AE5"/>
    <w:rsid w:val="00221D02"/>
    <w:rsid w:val="00223763"/>
    <w:rsid w:val="0022397E"/>
    <w:rsid w:val="00223A03"/>
    <w:rsid w:val="002243B7"/>
    <w:rsid w:val="002245AE"/>
    <w:rsid w:val="002247CA"/>
    <w:rsid w:val="00224B55"/>
    <w:rsid w:val="00224F52"/>
    <w:rsid w:val="0022524D"/>
    <w:rsid w:val="002252ED"/>
    <w:rsid w:val="00225543"/>
    <w:rsid w:val="00225CEF"/>
    <w:rsid w:val="00225D31"/>
    <w:rsid w:val="00225F72"/>
    <w:rsid w:val="00226279"/>
    <w:rsid w:val="00226729"/>
    <w:rsid w:val="00226C24"/>
    <w:rsid w:val="00226CF6"/>
    <w:rsid w:val="00227257"/>
    <w:rsid w:val="002273EE"/>
    <w:rsid w:val="00227B4A"/>
    <w:rsid w:val="00227DDB"/>
    <w:rsid w:val="00227EC3"/>
    <w:rsid w:val="002300C8"/>
    <w:rsid w:val="002301C7"/>
    <w:rsid w:val="002301FC"/>
    <w:rsid w:val="0023026E"/>
    <w:rsid w:val="002302A0"/>
    <w:rsid w:val="00230425"/>
    <w:rsid w:val="002305C9"/>
    <w:rsid w:val="002308CF"/>
    <w:rsid w:val="00230E07"/>
    <w:rsid w:val="002313F4"/>
    <w:rsid w:val="0023151A"/>
    <w:rsid w:val="00231574"/>
    <w:rsid w:val="00231CAD"/>
    <w:rsid w:val="00232423"/>
    <w:rsid w:val="002326D1"/>
    <w:rsid w:val="002327B0"/>
    <w:rsid w:val="00232908"/>
    <w:rsid w:val="00232A26"/>
    <w:rsid w:val="00232C67"/>
    <w:rsid w:val="00232E13"/>
    <w:rsid w:val="00232EB6"/>
    <w:rsid w:val="0023325F"/>
    <w:rsid w:val="002334F5"/>
    <w:rsid w:val="00233533"/>
    <w:rsid w:val="00233F5D"/>
    <w:rsid w:val="0023419B"/>
    <w:rsid w:val="00234365"/>
    <w:rsid w:val="00234594"/>
    <w:rsid w:val="00234860"/>
    <w:rsid w:val="002348E3"/>
    <w:rsid w:val="0023528C"/>
    <w:rsid w:val="00235455"/>
    <w:rsid w:val="00235556"/>
    <w:rsid w:val="00235875"/>
    <w:rsid w:val="00235D31"/>
    <w:rsid w:val="00235E31"/>
    <w:rsid w:val="0023668E"/>
    <w:rsid w:val="00236D5E"/>
    <w:rsid w:val="0023711F"/>
    <w:rsid w:val="00237227"/>
    <w:rsid w:val="0023751C"/>
    <w:rsid w:val="002378A2"/>
    <w:rsid w:val="00237A8A"/>
    <w:rsid w:val="00237BC0"/>
    <w:rsid w:val="0024012C"/>
    <w:rsid w:val="00240138"/>
    <w:rsid w:val="0024033E"/>
    <w:rsid w:val="0024091E"/>
    <w:rsid w:val="002412A6"/>
    <w:rsid w:val="0024156D"/>
    <w:rsid w:val="00241670"/>
    <w:rsid w:val="00241DB0"/>
    <w:rsid w:val="00241E29"/>
    <w:rsid w:val="00242A8B"/>
    <w:rsid w:val="00242AF9"/>
    <w:rsid w:val="00242CD0"/>
    <w:rsid w:val="00242D8A"/>
    <w:rsid w:val="002436FD"/>
    <w:rsid w:val="002438BE"/>
    <w:rsid w:val="002449DF"/>
    <w:rsid w:val="00244A16"/>
    <w:rsid w:val="00244CBF"/>
    <w:rsid w:val="002454CE"/>
    <w:rsid w:val="002454F7"/>
    <w:rsid w:val="00245B5F"/>
    <w:rsid w:val="00245F0C"/>
    <w:rsid w:val="00246041"/>
    <w:rsid w:val="00246112"/>
    <w:rsid w:val="00246CE1"/>
    <w:rsid w:val="00246DE7"/>
    <w:rsid w:val="002471BB"/>
    <w:rsid w:val="0024757A"/>
    <w:rsid w:val="00250310"/>
    <w:rsid w:val="00250BD2"/>
    <w:rsid w:val="00250CA6"/>
    <w:rsid w:val="00250F70"/>
    <w:rsid w:val="00251248"/>
    <w:rsid w:val="00251B02"/>
    <w:rsid w:val="00251DBF"/>
    <w:rsid w:val="0025249D"/>
    <w:rsid w:val="002528B9"/>
    <w:rsid w:val="00252AA3"/>
    <w:rsid w:val="00252C0F"/>
    <w:rsid w:val="00252C36"/>
    <w:rsid w:val="00252D59"/>
    <w:rsid w:val="00252EB3"/>
    <w:rsid w:val="002535F3"/>
    <w:rsid w:val="0025360D"/>
    <w:rsid w:val="00253672"/>
    <w:rsid w:val="00253676"/>
    <w:rsid w:val="002537C9"/>
    <w:rsid w:val="00253AB0"/>
    <w:rsid w:val="00254AB2"/>
    <w:rsid w:val="002556E0"/>
    <w:rsid w:val="002557CE"/>
    <w:rsid w:val="002558E6"/>
    <w:rsid w:val="00255E40"/>
    <w:rsid w:val="002563B2"/>
    <w:rsid w:val="00256628"/>
    <w:rsid w:val="002568EA"/>
    <w:rsid w:val="00256928"/>
    <w:rsid w:val="00256DD3"/>
    <w:rsid w:val="00256E3A"/>
    <w:rsid w:val="00257175"/>
    <w:rsid w:val="0025722C"/>
    <w:rsid w:val="00257690"/>
    <w:rsid w:val="00257DF3"/>
    <w:rsid w:val="00260468"/>
    <w:rsid w:val="0026072E"/>
    <w:rsid w:val="00260DB7"/>
    <w:rsid w:val="00261477"/>
    <w:rsid w:val="00261818"/>
    <w:rsid w:val="00261826"/>
    <w:rsid w:val="00261923"/>
    <w:rsid w:val="00261A41"/>
    <w:rsid w:val="00261B7B"/>
    <w:rsid w:val="00261BA8"/>
    <w:rsid w:val="00261D1A"/>
    <w:rsid w:val="00262360"/>
    <w:rsid w:val="00262371"/>
    <w:rsid w:val="00262667"/>
    <w:rsid w:val="0026268F"/>
    <w:rsid w:val="00262CC2"/>
    <w:rsid w:val="002631FF"/>
    <w:rsid w:val="0026338C"/>
    <w:rsid w:val="00263478"/>
    <w:rsid w:val="002638DE"/>
    <w:rsid w:val="002641BA"/>
    <w:rsid w:val="002641EA"/>
    <w:rsid w:val="00264704"/>
    <w:rsid w:val="00264805"/>
    <w:rsid w:val="00264A0B"/>
    <w:rsid w:val="00264A72"/>
    <w:rsid w:val="00264BE8"/>
    <w:rsid w:val="002651B1"/>
    <w:rsid w:val="002657DD"/>
    <w:rsid w:val="00265CED"/>
    <w:rsid w:val="00265D4B"/>
    <w:rsid w:val="0026606E"/>
    <w:rsid w:val="002661D3"/>
    <w:rsid w:val="002663EE"/>
    <w:rsid w:val="002674AD"/>
    <w:rsid w:val="002701DF"/>
    <w:rsid w:val="00270455"/>
    <w:rsid w:val="002704E2"/>
    <w:rsid w:val="00270AD4"/>
    <w:rsid w:val="00270BE7"/>
    <w:rsid w:val="00270D45"/>
    <w:rsid w:val="00270FD9"/>
    <w:rsid w:val="002712BF"/>
    <w:rsid w:val="00271385"/>
    <w:rsid w:val="0027144F"/>
    <w:rsid w:val="00271778"/>
    <w:rsid w:val="00271A53"/>
    <w:rsid w:val="00271C1D"/>
    <w:rsid w:val="0027237F"/>
    <w:rsid w:val="00272623"/>
    <w:rsid w:val="002727F0"/>
    <w:rsid w:val="002728FD"/>
    <w:rsid w:val="00272A3A"/>
    <w:rsid w:val="00272B9D"/>
    <w:rsid w:val="00273482"/>
    <w:rsid w:val="0027376D"/>
    <w:rsid w:val="00273781"/>
    <w:rsid w:val="00273842"/>
    <w:rsid w:val="002738D8"/>
    <w:rsid w:val="00273B70"/>
    <w:rsid w:val="0027401E"/>
    <w:rsid w:val="00274268"/>
    <w:rsid w:val="00274291"/>
    <w:rsid w:val="00274456"/>
    <w:rsid w:val="0027456B"/>
    <w:rsid w:val="00274641"/>
    <w:rsid w:val="0027472A"/>
    <w:rsid w:val="00274B83"/>
    <w:rsid w:val="00274BAD"/>
    <w:rsid w:val="00274C46"/>
    <w:rsid w:val="00275492"/>
    <w:rsid w:val="0027556E"/>
    <w:rsid w:val="002755C2"/>
    <w:rsid w:val="002756CB"/>
    <w:rsid w:val="0027591B"/>
    <w:rsid w:val="00275ED2"/>
    <w:rsid w:val="00276A08"/>
    <w:rsid w:val="00276ACA"/>
    <w:rsid w:val="00276D47"/>
    <w:rsid w:val="00276E0D"/>
    <w:rsid w:val="00277708"/>
    <w:rsid w:val="00277F70"/>
    <w:rsid w:val="0028006E"/>
    <w:rsid w:val="002801A6"/>
    <w:rsid w:val="0028020D"/>
    <w:rsid w:val="00280560"/>
    <w:rsid w:val="0028096F"/>
    <w:rsid w:val="00280DC7"/>
    <w:rsid w:val="00280EEC"/>
    <w:rsid w:val="00281196"/>
    <w:rsid w:val="00281503"/>
    <w:rsid w:val="002816E8"/>
    <w:rsid w:val="00281C14"/>
    <w:rsid w:val="00281DC6"/>
    <w:rsid w:val="00281F63"/>
    <w:rsid w:val="0028208F"/>
    <w:rsid w:val="00282B80"/>
    <w:rsid w:val="00282C50"/>
    <w:rsid w:val="00283018"/>
    <w:rsid w:val="00283080"/>
    <w:rsid w:val="00283241"/>
    <w:rsid w:val="002834AD"/>
    <w:rsid w:val="0028354A"/>
    <w:rsid w:val="00283D03"/>
    <w:rsid w:val="00283F0B"/>
    <w:rsid w:val="00283F99"/>
    <w:rsid w:val="00283FB0"/>
    <w:rsid w:val="00284226"/>
    <w:rsid w:val="00285550"/>
    <w:rsid w:val="00285602"/>
    <w:rsid w:val="00285996"/>
    <w:rsid w:val="00286CD2"/>
    <w:rsid w:val="00286CE9"/>
    <w:rsid w:val="00286D0E"/>
    <w:rsid w:val="00286D89"/>
    <w:rsid w:val="00286F0B"/>
    <w:rsid w:val="002870E4"/>
    <w:rsid w:val="0028711E"/>
    <w:rsid w:val="0028713C"/>
    <w:rsid w:val="0028732D"/>
    <w:rsid w:val="002874F5"/>
    <w:rsid w:val="00287550"/>
    <w:rsid w:val="002876DC"/>
    <w:rsid w:val="0028790B"/>
    <w:rsid w:val="00287990"/>
    <w:rsid w:val="00287B0C"/>
    <w:rsid w:val="00287B32"/>
    <w:rsid w:val="0029016E"/>
    <w:rsid w:val="00290893"/>
    <w:rsid w:val="00290E95"/>
    <w:rsid w:val="0029144B"/>
    <w:rsid w:val="0029146A"/>
    <w:rsid w:val="002916BA"/>
    <w:rsid w:val="00291883"/>
    <w:rsid w:val="002919E7"/>
    <w:rsid w:val="00291DAC"/>
    <w:rsid w:val="00292730"/>
    <w:rsid w:val="00292806"/>
    <w:rsid w:val="00292923"/>
    <w:rsid w:val="00292A96"/>
    <w:rsid w:val="00292C3A"/>
    <w:rsid w:val="002930B5"/>
    <w:rsid w:val="002931C1"/>
    <w:rsid w:val="002931D3"/>
    <w:rsid w:val="0029354D"/>
    <w:rsid w:val="0029357F"/>
    <w:rsid w:val="002939BB"/>
    <w:rsid w:val="00293ACF"/>
    <w:rsid w:val="0029428D"/>
    <w:rsid w:val="0029465C"/>
    <w:rsid w:val="002948E3"/>
    <w:rsid w:val="00294CAF"/>
    <w:rsid w:val="00294CB7"/>
    <w:rsid w:val="002955D5"/>
    <w:rsid w:val="00295AD4"/>
    <w:rsid w:val="00296440"/>
    <w:rsid w:val="00296447"/>
    <w:rsid w:val="00296BC8"/>
    <w:rsid w:val="0029737A"/>
    <w:rsid w:val="002973CA"/>
    <w:rsid w:val="00297577"/>
    <w:rsid w:val="0029769C"/>
    <w:rsid w:val="002976E3"/>
    <w:rsid w:val="002977DD"/>
    <w:rsid w:val="0029793B"/>
    <w:rsid w:val="00297A23"/>
    <w:rsid w:val="00297EDF"/>
    <w:rsid w:val="002A015E"/>
    <w:rsid w:val="002A0237"/>
    <w:rsid w:val="002A02B9"/>
    <w:rsid w:val="002A0522"/>
    <w:rsid w:val="002A0613"/>
    <w:rsid w:val="002A07F2"/>
    <w:rsid w:val="002A08CA"/>
    <w:rsid w:val="002A09DF"/>
    <w:rsid w:val="002A0B63"/>
    <w:rsid w:val="002A0CA8"/>
    <w:rsid w:val="002A0D97"/>
    <w:rsid w:val="002A0F54"/>
    <w:rsid w:val="002A1541"/>
    <w:rsid w:val="002A1948"/>
    <w:rsid w:val="002A2065"/>
    <w:rsid w:val="002A2342"/>
    <w:rsid w:val="002A24F5"/>
    <w:rsid w:val="002A2797"/>
    <w:rsid w:val="002A2AD5"/>
    <w:rsid w:val="002A2EC7"/>
    <w:rsid w:val="002A2FA4"/>
    <w:rsid w:val="002A31F6"/>
    <w:rsid w:val="002A3499"/>
    <w:rsid w:val="002A373D"/>
    <w:rsid w:val="002A39A5"/>
    <w:rsid w:val="002A4736"/>
    <w:rsid w:val="002A4A6A"/>
    <w:rsid w:val="002A4BCF"/>
    <w:rsid w:val="002A527A"/>
    <w:rsid w:val="002A5AA8"/>
    <w:rsid w:val="002A5B13"/>
    <w:rsid w:val="002A5C7E"/>
    <w:rsid w:val="002A68D1"/>
    <w:rsid w:val="002A74C5"/>
    <w:rsid w:val="002A74D6"/>
    <w:rsid w:val="002A7564"/>
    <w:rsid w:val="002A79D0"/>
    <w:rsid w:val="002A79D4"/>
    <w:rsid w:val="002A7A47"/>
    <w:rsid w:val="002A7C1B"/>
    <w:rsid w:val="002A7C9D"/>
    <w:rsid w:val="002B00C0"/>
    <w:rsid w:val="002B0269"/>
    <w:rsid w:val="002B0322"/>
    <w:rsid w:val="002B072C"/>
    <w:rsid w:val="002B0917"/>
    <w:rsid w:val="002B0A5E"/>
    <w:rsid w:val="002B0C0B"/>
    <w:rsid w:val="002B0CCD"/>
    <w:rsid w:val="002B0DF7"/>
    <w:rsid w:val="002B10E0"/>
    <w:rsid w:val="002B134C"/>
    <w:rsid w:val="002B13F1"/>
    <w:rsid w:val="002B15AA"/>
    <w:rsid w:val="002B16B7"/>
    <w:rsid w:val="002B1ADA"/>
    <w:rsid w:val="002B1BF9"/>
    <w:rsid w:val="002B1D2F"/>
    <w:rsid w:val="002B2913"/>
    <w:rsid w:val="002B2A9B"/>
    <w:rsid w:val="002B2BB0"/>
    <w:rsid w:val="002B2CC5"/>
    <w:rsid w:val="002B2F82"/>
    <w:rsid w:val="002B31A8"/>
    <w:rsid w:val="002B3310"/>
    <w:rsid w:val="002B35E6"/>
    <w:rsid w:val="002B3AFA"/>
    <w:rsid w:val="002B3E60"/>
    <w:rsid w:val="002B3F4C"/>
    <w:rsid w:val="002B41C0"/>
    <w:rsid w:val="002B4662"/>
    <w:rsid w:val="002B47BA"/>
    <w:rsid w:val="002B4AF5"/>
    <w:rsid w:val="002B4C70"/>
    <w:rsid w:val="002B4CAE"/>
    <w:rsid w:val="002B4EFB"/>
    <w:rsid w:val="002B53C9"/>
    <w:rsid w:val="002B53F2"/>
    <w:rsid w:val="002B546E"/>
    <w:rsid w:val="002B550A"/>
    <w:rsid w:val="002B5A9A"/>
    <w:rsid w:val="002B6094"/>
    <w:rsid w:val="002B62F9"/>
    <w:rsid w:val="002B66AB"/>
    <w:rsid w:val="002B69CE"/>
    <w:rsid w:val="002B6FFA"/>
    <w:rsid w:val="002B7496"/>
    <w:rsid w:val="002B74E2"/>
    <w:rsid w:val="002B74FC"/>
    <w:rsid w:val="002B7BA4"/>
    <w:rsid w:val="002C00DC"/>
    <w:rsid w:val="002C02FA"/>
    <w:rsid w:val="002C02FF"/>
    <w:rsid w:val="002C0620"/>
    <w:rsid w:val="002C094C"/>
    <w:rsid w:val="002C0A0E"/>
    <w:rsid w:val="002C0C87"/>
    <w:rsid w:val="002C0E7C"/>
    <w:rsid w:val="002C11E1"/>
    <w:rsid w:val="002C1264"/>
    <w:rsid w:val="002C137B"/>
    <w:rsid w:val="002C13D5"/>
    <w:rsid w:val="002C1AD4"/>
    <w:rsid w:val="002C1B26"/>
    <w:rsid w:val="002C1F3C"/>
    <w:rsid w:val="002C2004"/>
    <w:rsid w:val="002C2979"/>
    <w:rsid w:val="002C2B1E"/>
    <w:rsid w:val="002C2DE5"/>
    <w:rsid w:val="002C2DE9"/>
    <w:rsid w:val="002C3476"/>
    <w:rsid w:val="002C3E6C"/>
    <w:rsid w:val="002C3E92"/>
    <w:rsid w:val="002C406F"/>
    <w:rsid w:val="002C477F"/>
    <w:rsid w:val="002C47C0"/>
    <w:rsid w:val="002C480C"/>
    <w:rsid w:val="002C4AC4"/>
    <w:rsid w:val="002C4B89"/>
    <w:rsid w:val="002C4BF8"/>
    <w:rsid w:val="002C56E5"/>
    <w:rsid w:val="002C588A"/>
    <w:rsid w:val="002C5BB3"/>
    <w:rsid w:val="002C5E16"/>
    <w:rsid w:val="002C6075"/>
    <w:rsid w:val="002C635C"/>
    <w:rsid w:val="002C6FF6"/>
    <w:rsid w:val="002C726E"/>
    <w:rsid w:val="002C73CF"/>
    <w:rsid w:val="002C74CA"/>
    <w:rsid w:val="002C7661"/>
    <w:rsid w:val="002C7E43"/>
    <w:rsid w:val="002C7FD4"/>
    <w:rsid w:val="002D04F4"/>
    <w:rsid w:val="002D05D0"/>
    <w:rsid w:val="002D0BA8"/>
    <w:rsid w:val="002D0DE4"/>
    <w:rsid w:val="002D105E"/>
    <w:rsid w:val="002D10B3"/>
    <w:rsid w:val="002D1236"/>
    <w:rsid w:val="002D12EA"/>
    <w:rsid w:val="002D142B"/>
    <w:rsid w:val="002D1550"/>
    <w:rsid w:val="002D15CB"/>
    <w:rsid w:val="002D1AA9"/>
    <w:rsid w:val="002D1F14"/>
    <w:rsid w:val="002D2019"/>
    <w:rsid w:val="002D25D6"/>
    <w:rsid w:val="002D3231"/>
    <w:rsid w:val="002D3284"/>
    <w:rsid w:val="002D344D"/>
    <w:rsid w:val="002D3536"/>
    <w:rsid w:val="002D3BA1"/>
    <w:rsid w:val="002D3EB5"/>
    <w:rsid w:val="002D3FE7"/>
    <w:rsid w:val="002D4034"/>
    <w:rsid w:val="002D4625"/>
    <w:rsid w:val="002D4826"/>
    <w:rsid w:val="002D488D"/>
    <w:rsid w:val="002D51E2"/>
    <w:rsid w:val="002D5714"/>
    <w:rsid w:val="002D573F"/>
    <w:rsid w:val="002D5B45"/>
    <w:rsid w:val="002D5D6C"/>
    <w:rsid w:val="002D5E5A"/>
    <w:rsid w:val="002D62B0"/>
    <w:rsid w:val="002D6376"/>
    <w:rsid w:val="002D645E"/>
    <w:rsid w:val="002D66AC"/>
    <w:rsid w:val="002D6AFB"/>
    <w:rsid w:val="002D7147"/>
    <w:rsid w:val="002D7BEF"/>
    <w:rsid w:val="002D7FF7"/>
    <w:rsid w:val="002E01CC"/>
    <w:rsid w:val="002E01D0"/>
    <w:rsid w:val="002E0231"/>
    <w:rsid w:val="002E0319"/>
    <w:rsid w:val="002E09C5"/>
    <w:rsid w:val="002E0B62"/>
    <w:rsid w:val="002E1452"/>
    <w:rsid w:val="002E1631"/>
    <w:rsid w:val="002E1836"/>
    <w:rsid w:val="002E1E97"/>
    <w:rsid w:val="002E24C7"/>
    <w:rsid w:val="002E25F6"/>
    <w:rsid w:val="002E274D"/>
    <w:rsid w:val="002E2AB0"/>
    <w:rsid w:val="002E31C9"/>
    <w:rsid w:val="002E332C"/>
    <w:rsid w:val="002E3559"/>
    <w:rsid w:val="002E35B5"/>
    <w:rsid w:val="002E3BEC"/>
    <w:rsid w:val="002E40F5"/>
    <w:rsid w:val="002E42C9"/>
    <w:rsid w:val="002E4359"/>
    <w:rsid w:val="002E4894"/>
    <w:rsid w:val="002E4A09"/>
    <w:rsid w:val="002E4DA2"/>
    <w:rsid w:val="002E4F04"/>
    <w:rsid w:val="002E4F9C"/>
    <w:rsid w:val="002E51B2"/>
    <w:rsid w:val="002E5988"/>
    <w:rsid w:val="002E5B0C"/>
    <w:rsid w:val="002E5CAD"/>
    <w:rsid w:val="002E5FFB"/>
    <w:rsid w:val="002E606C"/>
    <w:rsid w:val="002E60A7"/>
    <w:rsid w:val="002E615E"/>
    <w:rsid w:val="002E622D"/>
    <w:rsid w:val="002E687C"/>
    <w:rsid w:val="002E6E1F"/>
    <w:rsid w:val="002E78D9"/>
    <w:rsid w:val="002E79DA"/>
    <w:rsid w:val="002E7A1B"/>
    <w:rsid w:val="002E7C21"/>
    <w:rsid w:val="002E7C3D"/>
    <w:rsid w:val="002E7EFE"/>
    <w:rsid w:val="002F08BE"/>
    <w:rsid w:val="002F0A91"/>
    <w:rsid w:val="002F0E59"/>
    <w:rsid w:val="002F11AC"/>
    <w:rsid w:val="002F127E"/>
    <w:rsid w:val="002F17C4"/>
    <w:rsid w:val="002F1FA0"/>
    <w:rsid w:val="002F22EA"/>
    <w:rsid w:val="002F23AE"/>
    <w:rsid w:val="002F2472"/>
    <w:rsid w:val="002F2859"/>
    <w:rsid w:val="002F2C2C"/>
    <w:rsid w:val="002F2CC8"/>
    <w:rsid w:val="002F2D18"/>
    <w:rsid w:val="002F2FA5"/>
    <w:rsid w:val="002F3111"/>
    <w:rsid w:val="002F3391"/>
    <w:rsid w:val="002F35A9"/>
    <w:rsid w:val="002F366A"/>
    <w:rsid w:val="002F3A1C"/>
    <w:rsid w:val="002F3B4A"/>
    <w:rsid w:val="002F3E65"/>
    <w:rsid w:val="002F40D2"/>
    <w:rsid w:val="002F47E0"/>
    <w:rsid w:val="002F50F6"/>
    <w:rsid w:val="002F53F9"/>
    <w:rsid w:val="002F5DA0"/>
    <w:rsid w:val="002F5E9A"/>
    <w:rsid w:val="002F63D6"/>
    <w:rsid w:val="002F6CEF"/>
    <w:rsid w:val="002F713B"/>
    <w:rsid w:val="002F7144"/>
    <w:rsid w:val="002F733D"/>
    <w:rsid w:val="002F756E"/>
    <w:rsid w:val="002F75BF"/>
    <w:rsid w:val="002F7927"/>
    <w:rsid w:val="002F7A0C"/>
    <w:rsid w:val="002F7A15"/>
    <w:rsid w:val="002F7ADF"/>
    <w:rsid w:val="00300098"/>
    <w:rsid w:val="003001CC"/>
    <w:rsid w:val="00300B9B"/>
    <w:rsid w:val="00300B9E"/>
    <w:rsid w:val="00300C51"/>
    <w:rsid w:val="003010B1"/>
    <w:rsid w:val="00301134"/>
    <w:rsid w:val="003011FB"/>
    <w:rsid w:val="003016B7"/>
    <w:rsid w:val="003017CD"/>
    <w:rsid w:val="003026AD"/>
    <w:rsid w:val="0030282A"/>
    <w:rsid w:val="003029A2"/>
    <w:rsid w:val="00302C1E"/>
    <w:rsid w:val="003030D9"/>
    <w:rsid w:val="00303797"/>
    <w:rsid w:val="00303AC8"/>
    <w:rsid w:val="00303F32"/>
    <w:rsid w:val="0030429D"/>
    <w:rsid w:val="0030465F"/>
    <w:rsid w:val="00304AF9"/>
    <w:rsid w:val="00304FFE"/>
    <w:rsid w:val="0030534A"/>
    <w:rsid w:val="003054AF"/>
    <w:rsid w:val="00305686"/>
    <w:rsid w:val="003058F7"/>
    <w:rsid w:val="00305C2C"/>
    <w:rsid w:val="00305E21"/>
    <w:rsid w:val="00306304"/>
    <w:rsid w:val="00306B06"/>
    <w:rsid w:val="00306BF1"/>
    <w:rsid w:val="00306D17"/>
    <w:rsid w:val="00306F99"/>
    <w:rsid w:val="00307246"/>
    <w:rsid w:val="003077DE"/>
    <w:rsid w:val="00307AFF"/>
    <w:rsid w:val="00307C5D"/>
    <w:rsid w:val="00310741"/>
    <w:rsid w:val="00310C94"/>
    <w:rsid w:val="0031107F"/>
    <w:rsid w:val="0031128C"/>
    <w:rsid w:val="003116D0"/>
    <w:rsid w:val="003118DA"/>
    <w:rsid w:val="0031193B"/>
    <w:rsid w:val="003119CB"/>
    <w:rsid w:val="00311E43"/>
    <w:rsid w:val="003121ED"/>
    <w:rsid w:val="00312282"/>
    <w:rsid w:val="00312840"/>
    <w:rsid w:val="00312904"/>
    <w:rsid w:val="00312ABF"/>
    <w:rsid w:val="00312C59"/>
    <w:rsid w:val="00313210"/>
    <w:rsid w:val="0031322C"/>
    <w:rsid w:val="00313331"/>
    <w:rsid w:val="00313343"/>
    <w:rsid w:val="003134F6"/>
    <w:rsid w:val="003135A3"/>
    <w:rsid w:val="003137E7"/>
    <w:rsid w:val="0031385D"/>
    <w:rsid w:val="0031394D"/>
    <w:rsid w:val="00313BFC"/>
    <w:rsid w:val="0031497D"/>
    <w:rsid w:val="00314CA0"/>
    <w:rsid w:val="00315836"/>
    <w:rsid w:val="00315943"/>
    <w:rsid w:val="00315A76"/>
    <w:rsid w:val="00315BF5"/>
    <w:rsid w:val="00316052"/>
    <w:rsid w:val="00316DDB"/>
    <w:rsid w:val="003175EC"/>
    <w:rsid w:val="00317A69"/>
    <w:rsid w:val="00317B64"/>
    <w:rsid w:val="00317BFF"/>
    <w:rsid w:val="00317DBF"/>
    <w:rsid w:val="00320817"/>
    <w:rsid w:val="00320AE9"/>
    <w:rsid w:val="00320C50"/>
    <w:rsid w:val="00320FC0"/>
    <w:rsid w:val="00321172"/>
    <w:rsid w:val="0032178D"/>
    <w:rsid w:val="00321AA1"/>
    <w:rsid w:val="00321DE2"/>
    <w:rsid w:val="00321F21"/>
    <w:rsid w:val="003221C7"/>
    <w:rsid w:val="003225E1"/>
    <w:rsid w:val="00322F57"/>
    <w:rsid w:val="0032345F"/>
    <w:rsid w:val="003235D9"/>
    <w:rsid w:val="00323756"/>
    <w:rsid w:val="00323F54"/>
    <w:rsid w:val="003243C0"/>
    <w:rsid w:val="003244B8"/>
    <w:rsid w:val="00324AD4"/>
    <w:rsid w:val="003250D2"/>
    <w:rsid w:val="00325773"/>
    <w:rsid w:val="00325948"/>
    <w:rsid w:val="00325E79"/>
    <w:rsid w:val="00325E7A"/>
    <w:rsid w:val="00326079"/>
    <w:rsid w:val="003269BB"/>
    <w:rsid w:val="00326D71"/>
    <w:rsid w:val="003270CE"/>
    <w:rsid w:val="00327A19"/>
    <w:rsid w:val="00327BBC"/>
    <w:rsid w:val="00330213"/>
    <w:rsid w:val="0033075A"/>
    <w:rsid w:val="00330963"/>
    <w:rsid w:val="00330B70"/>
    <w:rsid w:val="00330F17"/>
    <w:rsid w:val="00331174"/>
    <w:rsid w:val="003313B4"/>
    <w:rsid w:val="003314BC"/>
    <w:rsid w:val="00331604"/>
    <w:rsid w:val="003318B3"/>
    <w:rsid w:val="00331EA2"/>
    <w:rsid w:val="00332069"/>
    <w:rsid w:val="0033232E"/>
    <w:rsid w:val="00332643"/>
    <w:rsid w:val="0033288B"/>
    <w:rsid w:val="00332B8C"/>
    <w:rsid w:val="00332E49"/>
    <w:rsid w:val="00333274"/>
    <w:rsid w:val="003332E3"/>
    <w:rsid w:val="003333B7"/>
    <w:rsid w:val="00333400"/>
    <w:rsid w:val="00333458"/>
    <w:rsid w:val="00333852"/>
    <w:rsid w:val="00333858"/>
    <w:rsid w:val="003340A4"/>
    <w:rsid w:val="0033467B"/>
    <w:rsid w:val="00334700"/>
    <w:rsid w:val="00334744"/>
    <w:rsid w:val="003347E8"/>
    <w:rsid w:val="00334982"/>
    <w:rsid w:val="00334AC7"/>
    <w:rsid w:val="00334DDB"/>
    <w:rsid w:val="00335BF5"/>
    <w:rsid w:val="00335D49"/>
    <w:rsid w:val="00335F06"/>
    <w:rsid w:val="00336141"/>
    <w:rsid w:val="0033623C"/>
    <w:rsid w:val="00336697"/>
    <w:rsid w:val="00336C29"/>
    <w:rsid w:val="00336CDF"/>
    <w:rsid w:val="00336D26"/>
    <w:rsid w:val="0033703F"/>
    <w:rsid w:val="00337184"/>
    <w:rsid w:val="0033734E"/>
    <w:rsid w:val="00337582"/>
    <w:rsid w:val="003378ED"/>
    <w:rsid w:val="00337A72"/>
    <w:rsid w:val="00337D73"/>
    <w:rsid w:val="0034014E"/>
    <w:rsid w:val="003406A0"/>
    <w:rsid w:val="003407A4"/>
    <w:rsid w:val="00340863"/>
    <w:rsid w:val="00340AD4"/>
    <w:rsid w:val="00340CEF"/>
    <w:rsid w:val="003415F7"/>
    <w:rsid w:val="00341678"/>
    <w:rsid w:val="00341E24"/>
    <w:rsid w:val="00341E52"/>
    <w:rsid w:val="00342021"/>
    <w:rsid w:val="00342263"/>
    <w:rsid w:val="00342775"/>
    <w:rsid w:val="00343396"/>
    <w:rsid w:val="00343922"/>
    <w:rsid w:val="00344042"/>
    <w:rsid w:val="003440F1"/>
    <w:rsid w:val="00344633"/>
    <w:rsid w:val="0034470C"/>
    <w:rsid w:val="003448FB"/>
    <w:rsid w:val="00344957"/>
    <w:rsid w:val="00344E6A"/>
    <w:rsid w:val="00344EAB"/>
    <w:rsid w:val="0034524E"/>
    <w:rsid w:val="00345C47"/>
    <w:rsid w:val="00345CAD"/>
    <w:rsid w:val="00345D7C"/>
    <w:rsid w:val="00345E31"/>
    <w:rsid w:val="00346198"/>
    <w:rsid w:val="003461F3"/>
    <w:rsid w:val="0034670B"/>
    <w:rsid w:val="003467B6"/>
    <w:rsid w:val="00346811"/>
    <w:rsid w:val="00346CDA"/>
    <w:rsid w:val="00346F4E"/>
    <w:rsid w:val="003470E1"/>
    <w:rsid w:val="003474F8"/>
    <w:rsid w:val="0034768B"/>
    <w:rsid w:val="0034792A"/>
    <w:rsid w:val="00347934"/>
    <w:rsid w:val="0034796A"/>
    <w:rsid w:val="00347B27"/>
    <w:rsid w:val="00350BBD"/>
    <w:rsid w:val="00350C00"/>
    <w:rsid w:val="00350FAC"/>
    <w:rsid w:val="00351259"/>
    <w:rsid w:val="00351399"/>
    <w:rsid w:val="00351546"/>
    <w:rsid w:val="00351843"/>
    <w:rsid w:val="00351EC2"/>
    <w:rsid w:val="0035210D"/>
    <w:rsid w:val="00352C15"/>
    <w:rsid w:val="00352C29"/>
    <w:rsid w:val="00352C2C"/>
    <w:rsid w:val="00352F96"/>
    <w:rsid w:val="0035313F"/>
    <w:rsid w:val="00353A8A"/>
    <w:rsid w:val="00353C1C"/>
    <w:rsid w:val="003543DA"/>
    <w:rsid w:val="0035440E"/>
    <w:rsid w:val="003544A9"/>
    <w:rsid w:val="003545A9"/>
    <w:rsid w:val="00354D56"/>
    <w:rsid w:val="003553D2"/>
    <w:rsid w:val="003557D0"/>
    <w:rsid w:val="003558A2"/>
    <w:rsid w:val="0035609B"/>
    <w:rsid w:val="00356213"/>
    <w:rsid w:val="003562D0"/>
    <w:rsid w:val="00356B19"/>
    <w:rsid w:val="00356E99"/>
    <w:rsid w:val="00356EC0"/>
    <w:rsid w:val="00357567"/>
    <w:rsid w:val="003575F2"/>
    <w:rsid w:val="00357CCB"/>
    <w:rsid w:val="003605D1"/>
    <w:rsid w:val="0036064A"/>
    <w:rsid w:val="0036068F"/>
    <w:rsid w:val="00360E9E"/>
    <w:rsid w:val="003614AF"/>
    <w:rsid w:val="00362232"/>
    <w:rsid w:val="003626F2"/>
    <w:rsid w:val="00362B5C"/>
    <w:rsid w:val="00362E0D"/>
    <w:rsid w:val="00362E3E"/>
    <w:rsid w:val="00363305"/>
    <w:rsid w:val="0036380D"/>
    <w:rsid w:val="0036387D"/>
    <w:rsid w:val="0036415F"/>
    <w:rsid w:val="00364241"/>
    <w:rsid w:val="003645ED"/>
    <w:rsid w:val="00364C95"/>
    <w:rsid w:val="00364D91"/>
    <w:rsid w:val="00365036"/>
    <w:rsid w:val="003651A6"/>
    <w:rsid w:val="0036558D"/>
    <w:rsid w:val="0036587B"/>
    <w:rsid w:val="00365AA6"/>
    <w:rsid w:val="00366152"/>
    <w:rsid w:val="00366370"/>
    <w:rsid w:val="00366993"/>
    <w:rsid w:val="00366E6B"/>
    <w:rsid w:val="00366F84"/>
    <w:rsid w:val="00366F88"/>
    <w:rsid w:val="0036728A"/>
    <w:rsid w:val="003673B1"/>
    <w:rsid w:val="003678EE"/>
    <w:rsid w:val="003678F5"/>
    <w:rsid w:val="00370126"/>
    <w:rsid w:val="00370581"/>
    <w:rsid w:val="00370818"/>
    <w:rsid w:val="003711C6"/>
    <w:rsid w:val="00371556"/>
    <w:rsid w:val="00371AA9"/>
    <w:rsid w:val="00371C72"/>
    <w:rsid w:val="00371CB4"/>
    <w:rsid w:val="00371DFE"/>
    <w:rsid w:val="003720BE"/>
    <w:rsid w:val="00372783"/>
    <w:rsid w:val="003727E7"/>
    <w:rsid w:val="003728B7"/>
    <w:rsid w:val="00372933"/>
    <w:rsid w:val="00372A0A"/>
    <w:rsid w:val="00372C2D"/>
    <w:rsid w:val="00372D36"/>
    <w:rsid w:val="00372EE7"/>
    <w:rsid w:val="00372F1E"/>
    <w:rsid w:val="00373091"/>
    <w:rsid w:val="003732A5"/>
    <w:rsid w:val="003732C1"/>
    <w:rsid w:val="0037361B"/>
    <w:rsid w:val="00373C35"/>
    <w:rsid w:val="00373DCA"/>
    <w:rsid w:val="00374081"/>
    <w:rsid w:val="00374216"/>
    <w:rsid w:val="00374410"/>
    <w:rsid w:val="00374784"/>
    <w:rsid w:val="00374FED"/>
    <w:rsid w:val="00375129"/>
    <w:rsid w:val="0037529E"/>
    <w:rsid w:val="0037554F"/>
    <w:rsid w:val="00375552"/>
    <w:rsid w:val="003757ED"/>
    <w:rsid w:val="00375986"/>
    <w:rsid w:val="00375AB0"/>
    <w:rsid w:val="00375DD9"/>
    <w:rsid w:val="00376437"/>
    <w:rsid w:val="00376483"/>
    <w:rsid w:val="003764C8"/>
    <w:rsid w:val="003767EF"/>
    <w:rsid w:val="00376C87"/>
    <w:rsid w:val="00376EC0"/>
    <w:rsid w:val="00377100"/>
    <w:rsid w:val="0037730A"/>
    <w:rsid w:val="00377349"/>
    <w:rsid w:val="0037752F"/>
    <w:rsid w:val="00377565"/>
    <w:rsid w:val="00377AA3"/>
    <w:rsid w:val="00377B92"/>
    <w:rsid w:val="0038015E"/>
    <w:rsid w:val="00380490"/>
    <w:rsid w:val="00380589"/>
    <w:rsid w:val="00380818"/>
    <w:rsid w:val="00380BEC"/>
    <w:rsid w:val="00380CE8"/>
    <w:rsid w:val="00380EA0"/>
    <w:rsid w:val="003814DC"/>
    <w:rsid w:val="0038191A"/>
    <w:rsid w:val="0038229B"/>
    <w:rsid w:val="00382588"/>
    <w:rsid w:val="0038260C"/>
    <w:rsid w:val="00382D50"/>
    <w:rsid w:val="00382D74"/>
    <w:rsid w:val="00382F92"/>
    <w:rsid w:val="00382FFE"/>
    <w:rsid w:val="003834A4"/>
    <w:rsid w:val="003836CB"/>
    <w:rsid w:val="003836EB"/>
    <w:rsid w:val="00383945"/>
    <w:rsid w:val="00383D45"/>
    <w:rsid w:val="00383DFB"/>
    <w:rsid w:val="00383F50"/>
    <w:rsid w:val="00384018"/>
    <w:rsid w:val="0038462A"/>
    <w:rsid w:val="00384769"/>
    <w:rsid w:val="003849DD"/>
    <w:rsid w:val="00384AA6"/>
    <w:rsid w:val="00384AF8"/>
    <w:rsid w:val="00384F53"/>
    <w:rsid w:val="003853EB"/>
    <w:rsid w:val="00385859"/>
    <w:rsid w:val="00385D39"/>
    <w:rsid w:val="00385E50"/>
    <w:rsid w:val="00386340"/>
    <w:rsid w:val="0038658D"/>
    <w:rsid w:val="00386727"/>
    <w:rsid w:val="00386966"/>
    <w:rsid w:val="003869AF"/>
    <w:rsid w:val="00386AB9"/>
    <w:rsid w:val="00386DD1"/>
    <w:rsid w:val="00387638"/>
    <w:rsid w:val="003879B4"/>
    <w:rsid w:val="00387A15"/>
    <w:rsid w:val="00387A6D"/>
    <w:rsid w:val="003904FB"/>
    <w:rsid w:val="00390D02"/>
    <w:rsid w:val="00390ED4"/>
    <w:rsid w:val="00390EF7"/>
    <w:rsid w:val="00390FBF"/>
    <w:rsid w:val="00392699"/>
    <w:rsid w:val="0039296F"/>
    <w:rsid w:val="00392C9A"/>
    <w:rsid w:val="00392E92"/>
    <w:rsid w:val="00392ECD"/>
    <w:rsid w:val="003934F5"/>
    <w:rsid w:val="003936C1"/>
    <w:rsid w:val="00393960"/>
    <w:rsid w:val="00394274"/>
    <w:rsid w:val="00394600"/>
    <w:rsid w:val="0039496C"/>
    <w:rsid w:val="00394B19"/>
    <w:rsid w:val="00394BB8"/>
    <w:rsid w:val="00394CA6"/>
    <w:rsid w:val="00394F23"/>
    <w:rsid w:val="00394FB9"/>
    <w:rsid w:val="00394FD1"/>
    <w:rsid w:val="00395220"/>
    <w:rsid w:val="0039539C"/>
    <w:rsid w:val="0039568E"/>
    <w:rsid w:val="003957DE"/>
    <w:rsid w:val="00395B21"/>
    <w:rsid w:val="00395E31"/>
    <w:rsid w:val="00396063"/>
    <w:rsid w:val="0039606A"/>
    <w:rsid w:val="003964B0"/>
    <w:rsid w:val="00396609"/>
    <w:rsid w:val="00396E6F"/>
    <w:rsid w:val="00397180"/>
    <w:rsid w:val="00397266"/>
    <w:rsid w:val="00397416"/>
    <w:rsid w:val="00397857"/>
    <w:rsid w:val="003A03D4"/>
    <w:rsid w:val="003A0A29"/>
    <w:rsid w:val="003A11FE"/>
    <w:rsid w:val="003A1882"/>
    <w:rsid w:val="003A1EAF"/>
    <w:rsid w:val="003A2362"/>
    <w:rsid w:val="003A2387"/>
    <w:rsid w:val="003A316B"/>
    <w:rsid w:val="003A3978"/>
    <w:rsid w:val="003A3EDF"/>
    <w:rsid w:val="003A408A"/>
    <w:rsid w:val="003A4F06"/>
    <w:rsid w:val="003A4F93"/>
    <w:rsid w:val="003A5232"/>
    <w:rsid w:val="003A5937"/>
    <w:rsid w:val="003A593C"/>
    <w:rsid w:val="003A5EE8"/>
    <w:rsid w:val="003A63DC"/>
    <w:rsid w:val="003A68A3"/>
    <w:rsid w:val="003A69F5"/>
    <w:rsid w:val="003A6DEC"/>
    <w:rsid w:val="003A7453"/>
    <w:rsid w:val="003A759E"/>
    <w:rsid w:val="003A76E5"/>
    <w:rsid w:val="003A77E3"/>
    <w:rsid w:val="003A7880"/>
    <w:rsid w:val="003A7CA9"/>
    <w:rsid w:val="003A7EB5"/>
    <w:rsid w:val="003A7FDE"/>
    <w:rsid w:val="003B0704"/>
    <w:rsid w:val="003B0808"/>
    <w:rsid w:val="003B1406"/>
    <w:rsid w:val="003B1421"/>
    <w:rsid w:val="003B149C"/>
    <w:rsid w:val="003B1ABF"/>
    <w:rsid w:val="003B1CB6"/>
    <w:rsid w:val="003B1D17"/>
    <w:rsid w:val="003B1DE9"/>
    <w:rsid w:val="003B200E"/>
    <w:rsid w:val="003B20BE"/>
    <w:rsid w:val="003B21BE"/>
    <w:rsid w:val="003B22BA"/>
    <w:rsid w:val="003B257B"/>
    <w:rsid w:val="003B25CC"/>
    <w:rsid w:val="003B26CC"/>
    <w:rsid w:val="003B2B16"/>
    <w:rsid w:val="003B2ED2"/>
    <w:rsid w:val="003B314A"/>
    <w:rsid w:val="003B31F4"/>
    <w:rsid w:val="003B33C6"/>
    <w:rsid w:val="003B354C"/>
    <w:rsid w:val="003B38F8"/>
    <w:rsid w:val="003B4876"/>
    <w:rsid w:val="003B56BA"/>
    <w:rsid w:val="003B5CC9"/>
    <w:rsid w:val="003B5D1D"/>
    <w:rsid w:val="003B5DA5"/>
    <w:rsid w:val="003B6099"/>
    <w:rsid w:val="003B6289"/>
    <w:rsid w:val="003B662A"/>
    <w:rsid w:val="003B73C4"/>
    <w:rsid w:val="003B7BE0"/>
    <w:rsid w:val="003C0105"/>
    <w:rsid w:val="003C0627"/>
    <w:rsid w:val="003C0AE9"/>
    <w:rsid w:val="003C16BB"/>
    <w:rsid w:val="003C19E7"/>
    <w:rsid w:val="003C1A07"/>
    <w:rsid w:val="003C2375"/>
    <w:rsid w:val="003C2991"/>
    <w:rsid w:val="003C2D91"/>
    <w:rsid w:val="003C3086"/>
    <w:rsid w:val="003C3CEE"/>
    <w:rsid w:val="003C3D18"/>
    <w:rsid w:val="003C42C7"/>
    <w:rsid w:val="003C44EE"/>
    <w:rsid w:val="003C499C"/>
    <w:rsid w:val="003C4AA0"/>
    <w:rsid w:val="003C4F65"/>
    <w:rsid w:val="003C5930"/>
    <w:rsid w:val="003C5AAF"/>
    <w:rsid w:val="003C5C11"/>
    <w:rsid w:val="003C5CA3"/>
    <w:rsid w:val="003C5DC6"/>
    <w:rsid w:val="003C5E01"/>
    <w:rsid w:val="003C6084"/>
    <w:rsid w:val="003C60BF"/>
    <w:rsid w:val="003C6106"/>
    <w:rsid w:val="003C665E"/>
    <w:rsid w:val="003C67B6"/>
    <w:rsid w:val="003C69B0"/>
    <w:rsid w:val="003C6BF1"/>
    <w:rsid w:val="003C6E00"/>
    <w:rsid w:val="003C7196"/>
    <w:rsid w:val="003C7794"/>
    <w:rsid w:val="003C78BA"/>
    <w:rsid w:val="003C7925"/>
    <w:rsid w:val="003C7976"/>
    <w:rsid w:val="003C7E31"/>
    <w:rsid w:val="003C7E5C"/>
    <w:rsid w:val="003D0175"/>
    <w:rsid w:val="003D02E7"/>
    <w:rsid w:val="003D0669"/>
    <w:rsid w:val="003D0A47"/>
    <w:rsid w:val="003D0ABC"/>
    <w:rsid w:val="003D0D5E"/>
    <w:rsid w:val="003D1BDD"/>
    <w:rsid w:val="003D1D88"/>
    <w:rsid w:val="003D20BE"/>
    <w:rsid w:val="003D21E8"/>
    <w:rsid w:val="003D227D"/>
    <w:rsid w:val="003D2741"/>
    <w:rsid w:val="003D2930"/>
    <w:rsid w:val="003D2B51"/>
    <w:rsid w:val="003D2D69"/>
    <w:rsid w:val="003D30B7"/>
    <w:rsid w:val="003D3595"/>
    <w:rsid w:val="003D3641"/>
    <w:rsid w:val="003D3778"/>
    <w:rsid w:val="003D3987"/>
    <w:rsid w:val="003D3FDF"/>
    <w:rsid w:val="003D428C"/>
    <w:rsid w:val="003D49C1"/>
    <w:rsid w:val="003D4FAC"/>
    <w:rsid w:val="003D51FD"/>
    <w:rsid w:val="003D520D"/>
    <w:rsid w:val="003D58C8"/>
    <w:rsid w:val="003D5B3D"/>
    <w:rsid w:val="003D5FF4"/>
    <w:rsid w:val="003D6034"/>
    <w:rsid w:val="003D61B6"/>
    <w:rsid w:val="003D6432"/>
    <w:rsid w:val="003D6443"/>
    <w:rsid w:val="003D6641"/>
    <w:rsid w:val="003D6B02"/>
    <w:rsid w:val="003D6D9B"/>
    <w:rsid w:val="003D6E54"/>
    <w:rsid w:val="003D7043"/>
    <w:rsid w:val="003D708C"/>
    <w:rsid w:val="003D70A6"/>
    <w:rsid w:val="003E00A1"/>
    <w:rsid w:val="003E0156"/>
    <w:rsid w:val="003E07F9"/>
    <w:rsid w:val="003E0B34"/>
    <w:rsid w:val="003E0E2A"/>
    <w:rsid w:val="003E1612"/>
    <w:rsid w:val="003E17A7"/>
    <w:rsid w:val="003E1B39"/>
    <w:rsid w:val="003E1C88"/>
    <w:rsid w:val="003E1FF0"/>
    <w:rsid w:val="003E2078"/>
    <w:rsid w:val="003E2207"/>
    <w:rsid w:val="003E2248"/>
    <w:rsid w:val="003E2C51"/>
    <w:rsid w:val="003E2EA0"/>
    <w:rsid w:val="003E33FB"/>
    <w:rsid w:val="003E38D8"/>
    <w:rsid w:val="003E3A08"/>
    <w:rsid w:val="003E3CB0"/>
    <w:rsid w:val="003E41CD"/>
    <w:rsid w:val="003E4278"/>
    <w:rsid w:val="003E4759"/>
    <w:rsid w:val="003E4CAA"/>
    <w:rsid w:val="003E4EA1"/>
    <w:rsid w:val="003E4FB0"/>
    <w:rsid w:val="003E5062"/>
    <w:rsid w:val="003E5076"/>
    <w:rsid w:val="003E520A"/>
    <w:rsid w:val="003E5561"/>
    <w:rsid w:val="003E5749"/>
    <w:rsid w:val="003E5DD9"/>
    <w:rsid w:val="003E5EBC"/>
    <w:rsid w:val="003E5ECF"/>
    <w:rsid w:val="003E60F3"/>
    <w:rsid w:val="003E669C"/>
    <w:rsid w:val="003E686E"/>
    <w:rsid w:val="003E7254"/>
    <w:rsid w:val="003E7AA1"/>
    <w:rsid w:val="003E7D23"/>
    <w:rsid w:val="003E7DB4"/>
    <w:rsid w:val="003E7DCC"/>
    <w:rsid w:val="003F011E"/>
    <w:rsid w:val="003F12A4"/>
    <w:rsid w:val="003F12AA"/>
    <w:rsid w:val="003F190B"/>
    <w:rsid w:val="003F1A2F"/>
    <w:rsid w:val="003F1E0E"/>
    <w:rsid w:val="003F1F41"/>
    <w:rsid w:val="003F252C"/>
    <w:rsid w:val="003F25D9"/>
    <w:rsid w:val="003F25E8"/>
    <w:rsid w:val="003F2BAE"/>
    <w:rsid w:val="003F3000"/>
    <w:rsid w:val="003F31AC"/>
    <w:rsid w:val="003F33D0"/>
    <w:rsid w:val="003F369D"/>
    <w:rsid w:val="003F4367"/>
    <w:rsid w:val="003F44F1"/>
    <w:rsid w:val="003F4875"/>
    <w:rsid w:val="003F4879"/>
    <w:rsid w:val="003F49ED"/>
    <w:rsid w:val="003F4CE0"/>
    <w:rsid w:val="003F4E3E"/>
    <w:rsid w:val="003F4F08"/>
    <w:rsid w:val="003F5088"/>
    <w:rsid w:val="003F54B0"/>
    <w:rsid w:val="003F5EB9"/>
    <w:rsid w:val="003F6003"/>
    <w:rsid w:val="003F6307"/>
    <w:rsid w:val="003F691F"/>
    <w:rsid w:val="003F6963"/>
    <w:rsid w:val="003F7423"/>
    <w:rsid w:val="003F75C3"/>
    <w:rsid w:val="003F7788"/>
    <w:rsid w:val="003F7D5D"/>
    <w:rsid w:val="00400262"/>
    <w:rsid w:val="00400364"/>
    <w:rsid w:val="0040088D"/>
    <w:rsid w:val="00400952"/>
    <w:rsid w:val="004009E6"/>
    <w:rsid w:val="004012EA"/>
    <w:rsid w:val="004012ED"/>
    <w:rsid w:val="004013B2"/>
    <w:rsid w:val="0040160C"/>
    <w:rsid w:val="00401B7F"/>
    <w:rsid w:val="00401D25"/>
    <w:rsid w:val="00401FA7"/>
    <w:rsid w:val="0040216F"/>
    <w:rsid w:val="004023ED"/>
    <w:rsid w:val="0040286C"/>
    <w:rsid w:val="00402B15"/>
    <w:rsid w:val="00402E24"/>
    <w:rsid w:val="004030DA"/>
    <w:rsid w:val="004037D1"/>
    <w:rsid w:val="00403D36"/>
    <w:rsid w:val="00403D73"/>
    <w:rsid w:val="0040428D"/>
    <w:rsid w:val="00404827"/>
    <w:rsid w:val="00404D94"/>
    <w:rsid w:val="00404E6B"/>
    <w:rsid w:val="00404F61"/>
    <w:rsid w:val="0040561F"/>
    <w:rsid w:val="0040577E"/>
    <w:rsid w:val="004058C0"/>
    <w:rsid w:val="00405C8F"/>
    <w:rsid w:val="00406788"/>
    <w:rsid w:val="00406832"/>
    <w:rsid w:val="00406844"/>
    <w:rsid w:val="00406A1B"/>
    <w:rsid w:val="00406BF8"/>
    <w:rsid w:val="00406CDC"/>
    <w:rsid w:val="00406D1B"/>
    <w:rsid w:val="004070BB"/>
    <w:rsid w:val="00407251"/>
    <w:rsid w:val="0040786E"/>
    <w:rsid w:val="00407B4D"/>
    <w:rsid w:val="00407F33"/>
    <w:rsid w:val="00410538"/>
    <w:rsid w:val="0041069B"/>
    <w:rsid w:val="00411025"/>
    <w:rsid w:val="00411068"/>
    <w:rsid w:val="0041127C"/>
    <w:rsid w:val="004113A3"/>
    <w:rsid w:val="004115C5"/>
    <w:rsid w:val="00411F20"/>
    <w:rsid w:val="00411F22"/>
    <w:rsid w:val="004126F4"/>
    <w:rsid w:val="00412BC6"/>
    <w:rsid w:val="00412BCC"/>
    <w:rsid w:val="00412D57"/>
    <w:rsid w:val="004131D0"/>
    <w:rsid w:val="00413204"/>
    <w:rsid w:val="00413272"/>
    <w:rsid w:val="00413573"/>
    <w:rsid w:val="00413585"/>
    <w:rsid w:val="00413A0D"/>
    <w:rsid w:val="00413BE1"/>
    <w:rsid w:val="00413BEA"/>
    <w:rsid w:val="00413CB0"/>
    <w:rsid w:val="00414140"/>
    <w:rsid w:val="004143E5"/>
    <w:rsid w:val="004147B5"/>
    <w:rsid w:val="004148FE"/>
    <w:rsid w:val="00414D29"/>
    <w:rsid w:val="00414EC2"/>
    <w:rsid w:val="0041519B"/>
    <w:rsid w:val="00415283"/>
    <w:rsid w:val="0041532D"/>
    <w:rsid w:val="0041544B"/>
    <w:rsid w:val="0041570C"/>
    <w:rsid w:val="0041578C"/>
    <w:rsid w:val="00415791"/>
    <w:rsid w:val="00415B55"/>
    <w:rsid w:val="00415BFD"/>
    <w:rsid w:val="004160A6"/>
    <w:rsid w:val="00416149"/>
    <w:rsid w:val="00416498"/>
    <w:rsid w:val="004166E5"/>
    <w:rsid w:val="00416A94"/>
    <w:rsid w:val="00417655"/>
    <w:rsid w:val="00421106"/>
    <w:rsid w:val="0042165A"/>
    <w:rsid w:val="004216D5"/>
    <w:rsid w:val="00421E0A"/>
    <w:rsid w:val="00421FCC"/>
    <w:rsid w:val="004225BF"/>
    <w:rsid w:val="004227CD"/>
    <w:rsid w:val="004229CD"/>
    <w:rsid w:val="00422C14"/>
    <w:rsid w:val="004230E4"/>
    <w:rsid w:val="004234C6"/>
    <w:rsid w:val="00423C7B"/>
    <w:rsid w:val="004240D8"/>
    <w:rsid w:val="00424187"/>
    <w:rsid w:val="00424315"/>
    <w:rsid w:val="00424811"/>
    <w:rsid w:val="0042484B"/>
    <w:rsid w:val="004249A5"/>
    <w:rsid w:val="00424A2C"/>
    <w:rsid w:val="00424C1A"/>
    <w:rsid w:val="00425014"/>
    <w:rsid w:val="0042564F"/>
    <w:rsid w:val="00425C62"/>
    <w:rsid w:val="0042662F"/>
    <w:rsid w:val="00426CBC"/>
    <w:rsid w:val="004277A9"/>
    <w:rsid w:val="004300CC"/>
    <w:rsid w:val="0043014C"/>
    <w:rsid w:val="00430E58"/>
    <w:rsid w:val="00430EFA"/>
    <w:rsid w:val="00432084"/>
    <w:rsid w:val="004321A3"/>
    <w:rsid w:val="004326CF"/>
    <w:rsid w:val="00432816"/>
    <w:rsid w:val="00432C70"/>
    <w:rsid w:val="00432FEA"/>
    <w:rsid w:val="004333D3"/>
    <w:rsid w:val="004337DD"/>
    <w:rsid w:val="00433EB9"/>
    <w:rsid w:val="00434053"/>
    <w:rsid w:val="00434ABB"/>
    <w:rsid w:val="00434F49"/>
    <w:rsid w:val="0043529A"/>
    <w:rsid w:val="00435582"/>
    <w:rsid w:val="004355C9"/>
    <w:rsid w:val="004355E6"/>
    <w:rsid w:val="004356D0"/>
    <w:rsid w:val="00435B90"/>
    <w:rsid w:val="00435C8D"/>
    <w:rsid w:val="00436309"/>
    <w:rsid w:val="00436BF0"/>
    <w:rsid w:val="00436C21"/>
    <w:rsid w:val="00436FCE"/>
    <w:rsid w:val="0043717F"/>
    <w:rsid w:val="00437D41"/>
    <w:rsid w:val="00437F26"/>
    <w:rsid w:val="004403FC"/>
    <w:rsid w:val="00440463"/>
    <w:rsid w:val="004405EF"/>
    <w:rsid w:val="00440826"/>
    <w:rsid w:val="00440853"/>
    <w:rsid w:val="00440878"/>
    <w:rsid w:val="00440CCB"/>
    <w:rsid w:val="00440F83"/>
    <w:rsid w:val="0044115A"/>
    <w:rsid w:val="00441394"/>
    <w:rsid w:val="0044176B"/>
    <w:rsid w:val="00441A78"/>
    <w:rsid w:val="00441F9E"/>
    <w:rsid w:val="004422C1"/>
    <w:rsid w:val="00442762"/>
    <w:rsid w:val="00442803"/>
    <w:rsid w:val="0044296B"/>
    <w:rsid w:val="00442B0B"/>
    <w:rsid w:val="00442C09"/>
    <w:rsid w:val="00442D67"/>
    <w:rsid w:val="00442F82"/>
    <w:rsid w:val="00443DD2"/>
    <w:rsid w:val="00444B44"/>
    <w:rsid w:val="00445124"/>
    <w:rsid w:val="004456E8"/>
    <w:rsid w:val="00445879"/>
    <w:rsid w:val="00446405"/>
    <w:rsid w:val="00446870"/>
    <w:rsid w:val="0044713B"/>
    <w:rsid w:val="004472D7"/>
    <w:rsid w:val="00447453"/>
    <w:rsid w:val="00447705"/>
    <w:rsid w:val="00447FD5"/>
    <w:rsid w:val="00450076"/>
    <w:rsid w:val="00450670"/>
    <w:rsid w:val="00450981"/>
    <w:rsid w:val="00450A19"/>
    <w:rsid w:val="00450DF1"/>
    <w:rsid w:val="0045138B"/>
    <w:rsid w:val="00451675"/>
    <w:rsid w:val="0045196A"/>
    <w:rsid w:val="00451AC3"/>
    <w:rsid w:val="00452768"/>
    <w:rsid w:val="004529B5"/>
    <w:rsid w:val="00452BFA"/>
    <w:rsid w:val="0045315E"/>
    <w:rsid w:val="00453C0F"/>
    <w:rsid w:val="00453EB1"/>
    <w:rsid w:val="00454A5B"/>
    <w:rsid w:val="00454A6E"/>
    <w:rsid w:val="00454B9D"/>
    <w:rsid w:val="00454D8E"/>
    <w:rsid w:val="0045508D"/>
    <w:rsid w:val="004551C2"/>
    <w:rsid w:val="00455AB1"/>
    <w:rsid w:val="00455C11"/>
    <w:rsid w:val="00455F41"/>
    <w:rsid w:val="0045668E"/>
    <w:rsid w:val="00456B04"/>
    <w:rsid w:val="00456CDE"/>
    <w:rsid w:val="00456D64"/>
    <w:rsid w:val="004570F7"/>
    <w:rsid w:val="0045737D"/>
    <w:rsid w:val="0045787D"/>
    <w:rsid w:val="00457A24"/>
    <w:rsid w:val="00457CDD"/>
    <w:rsid w:val="004608C2"/>
    <w:rsid w:val="00460AFD"/>
    <w:rsid w:val="00460B67"/>
    <w:rsid w:val="004615B9"/>
    <w:rsid w:val="004617CC"/>
    <w:rsid w:val="00461B03"/>
    <w:rsid w:val="00461EF5"/>
    <w:rsid w:val="004621F6"/>
    <w:rsid w:val="00462294"/>
    <w:rsid w:val="00462772"/>
    <w:rsid w:val="00462A21"/>
    <w:rsid w:val="00462CA0"/>
    <w:rsid w:val="004633B4"/>
    <w:rsid w:val="004633B5"/>
    <w:rsid w:val="00463DB8"/>
    <w:rsid w:val="00463DE5"/>
    <w:rsid w:val="00463E92"/>
    <w:rsid w:val="004640EC"/>
    <w:rsid w:val="004640F9"/>
    <w:rsid w:val="00464253"/>
    <w:rsid w:val="00464DBA"/>
    <w:rsid w:val="0046515B"/>
    <w:rsid w:val="00465D5F"/>
    <w:rsid w:val="00465F3F"/>
    <w:rsid w:val="004662C0"/>
    <w:rsid w:val="00466380"/>
    <w:rsid w:val="00466780"/>
    <w:rsid w:val="00466F30"/>
    <w:rsid w:val="0046700A"/>
    <w:rsid w:val="0046703B"/>
    <w:rsid w:val="0046715F"/>
    <w:rsid w:val="00467383"/>
    <w:rsid w:val="00467867"/>
    <w:rsid w:val="00467CB3"/>
    <w:rsid w:val="00467D89"/>
    <w:rsid w:val="004706FE"/>
    <w:rsid w:val="00470810"/>
    <w:rsid w:val="00470B0D"/>
    <w:rsid w:val="00470DE3"/>
    <w:rsid w:val="00470EE8"/>
    <w:rsid w:val="004710AF"/>
    <w:rsid w:val="004712C4"/>
    <w:rsid w:val="004715BA"/>
    <w:rsid w:val="00471A6B"/>
    <w:rsid w:val="00471AEB"/>
    <w:rsid w:val="00471E31"/>
    <w:rsid w:val="0047207E"/>
    <w:rsid w:val="004724CE"/>
    <w:rsid w:val="004725D5"/>
    <w:rsid w:val="00472923"/>
    <w:rsid w:val="00472A2E"/>
    <w:rsid w:val="00472ECA"/>
    <w:rsid w:val="00472F3C"/>
    <w:rsid w:val="004730C6"/>
    <w:rsid w:val="00473171"/>
    <w:rsid w:val="00473210"/>
    <w:rsid w:val="00473559"/>
    <w:rsid w:val="004735FD"/>
    <w:rsid w:val="0047388F"/>
    <w:rsid w:val="0047394A"/>
    <w:rsid w:val="00473952"/>
    <w:rsid w:val="004739F2"/>
    <w:rsid w:val="004739F6"/>
    <w:rsid w:val="00474327"/>
    <w:rsid w:val="00474534"/>
    <w:rsid w:val="00475152"/>
    <w:rsid w:val="00475160"/>
    <w:rsid w:val="004756D3"/>
    <w:rsid w:val="00475732"/>
    <w:rsid w:val="004758CA"/>
    <w:rsid w:val="00475E9C"/>
    <w:rsid w:val="004760A6"/>
    <w:rsid w:val="00476151"/>
    <w:rsid w:val="00476350"/>
    <w:rsid w:val="004765DA"/>
    <w:rsid w:val="0047666D"/>
    <w:rsid w:val="0047670B"/>
    <w:rsid w:val="0047696B"/>
    <w:rsid w:val="00477182"/>
    <w:rsid w:val="004772E5"/>
    <w:rsid w:val="0047781D"/>
    <w:rsid w:val="004779DD"/>
    <w:rsid w:val="00477A50"/>
    <w:rsid w:val="00477A87"/>
    <w:rsid w:val="0048014D"/>
    <w:rsid w:val="00480664"/>
    <w:rsid w:val="00480786"/>
    <w:rsid w:val="004807A5"/>
    <w:rsid w:val="004813B0"/>
    <w:rsid w:val="0048188F"/>
    <w:rsid w:val="00481986"/>
    <w:rsid w:val="00481B03"/>
    <w:rsid w:val="00481CD3"/>
    <w:rsid w:val="00481D0F"/>
    <w:rsid w:val="00482132"/>
    <w:rsid w:val="00482987"/>
    <w:rsid w:val="00482B21"/>
    <w:rsid w:val="0048305F"/>
    <w:rsid w:val="004832CE"/>
    <w:rsid w:val="004836A9"/>
    <w:rsid w:val="004839EF"/>
    <w:rsid w:val="004840A6"/>
    <w:rsid w:val="0048444F"/>
    <w:rsid w:val="00484CE7"/>
    <w:rsid w:val="004851BC"/>
    <w:rsid w:val="00485305"/>
    <w:rsid w:val="0048541C"/>
    <w:rsid w:val="00485662"/>
    <w:rsid w:val="00485A0D"/>
    <w:rsid w:val="00485C07"/>
    <w:rsid w:val="00485E5A"/>
    <w:rsid w:val="00485F0E"/>
    <w:rsid w:val="004861D4"/>
    <w:rsid w:val="00486322"/>
    <w:rsid w:val="00486548"/>
    <w:rsid w:val="0048657D"/>
    <w:rsid w:val="0048659F"/>
    <w:rsid w:val="0048679F"/>
    <w:rsid w:val="00486A84"/>
    <w:rsid w:val="00486DCF"/>
    <w:rsid w:val="00487110"/>
    <w:rsid w:val="00487436"/>
    <w:rsid w:val="004875A8"/>
    <w:rsid w:val="004875F8"/>
    <w:rsid w:val="00487655"/>
    <w:rsid w:val="0048777B"/>
    <w:rsid w:val="00487781"/>
    <w:rsid w:val="00487795"/>
    <w:rsid w:val="004878BB"/>
    <w:rsid w:val="00487F2D"/>
    <w:rsid w:val="00490448"/>
    <w:rsid w:val="00490E14"/>
    <w:rsid w:val="004914BF"/>
    <w:rsid w:val="0049219C"/>
    <w:rsid w:val="0049248E"/>
    <w:rsid w:val="00492AF7"/>
    <w:rsid w:val="00492EB8"/>
    <w:rsid w:val="00493006"/>
    <w:rsid w:val="00493609"/>
    <w:rsid w:val="00493835"/>
    <w:rsid w:val="00493B48"/>
    <w:rsid w:val="00493D39"/>
    <w:rsid w:val="00493D41"/>
    <w:rsid w:val="00493F5C"/>
    <w:rsid w:val="00493FFE"/>
    <w:rsid w:val="00494652"/>
    <w:rsid w:val="004948DC"/>
    <w:rsid w:val="00494D02"/>
    <w:rsid w:val="004956EF"/>
    <w:rsid w:val="00495BA2"/>
    <w:rsid w:val="00495CCF"/>
    <w:rsid w:val="00495E99"/>
    <w:rsid w:val="004961DC"/>
    <w:rsid w:val="00496257"/>
    <w:rsid w:val="00496A43"/>
    <w:rsid w:val="00496B13"/>
    <w:rsid w:val="00496F4F"/>
    <w:rsid w:val="0049721A"/>
    <w:rsid w:val="00497314"/>
    <w:rsid w:val="0049740F"/>
    <w:rsid w:val="0049741B"/>
    <w:rsid w:val="004976E7"/>
    <w:rsid w:val="00497734"/>
    <w:rsid w:val="004979BE"/>
    <w:rsid w:val="00497B06"/>
    <w:rsid w:val="00497F71"/>
    <w:rsid w:val="004A0076"/>
    <w:rsid w:val="004A03A2"/>
    <w:rsid w:val="004A0590"/>
    <w:rsid w:val="004A06E7"/>
    <w:rsid w:val="004A0713"/>
    <w:rsid w:val="004A0D2E"/>
    <w:rsid w:val="004A0FC1"/>
    <w:rsid w:val="004A1125"/>
    <w:rsid w:val="004A1439"/>
    <w:rsid w:val="004A157B"/>
    <w:rsid w:val="004A166A"/>
    <w:rsid w:val="004A1C4D"/>
    <w:rsid w:val="004A1FA0"/>
    <w:rsid w:val="004A2BEF"/>
    <w:rsid w:val="004A2E35"/>
    <w:rsid w:val="004A3030"/>
    <w:rsid w:val="004A3107"/>
    <w:rsid w:val="004A325A"/>
    <w:rsid w:val="004A3313"/>
    <w:rsid w:val="004A3D05"/>
    <w:rsid w:val="004A45C8"/>
    <w:rsid w:val="004A487B"/>
    <w:rsid w:val="004A4937"/>
    <w:rsid w:val="004A4A7E"/>
    <w:rsid w:val="004A4F2A"/>
    <w:rsid w:val="004A5286"/>
    <w:rsid w:val="004A56F7"/>
    <w:rsid w:val="004A5AA9"/>
    <w:rsid w:val="004A5B3D"/>
    <w:rsid w:val="004A5D63"/>
    <w:rsid w:val="004A622F"/>
    <w:rsid w:val="004A623C"/>
    <w:rsid w:val="004A630F"/>
    <w:rsid w:val="004A6799"/>
    <w:rsid w:val="004A68EF"/>
    <w:rsid w:val="004A70A0"/>
    <w:rsid w:val="004A7432"/>
    <w:rsid w:val="004A7762"/>
    <w:rsid w:val="004A7892"/>
    <w:rsid w:val="004A7AE1"/>
    <w:rsid w:val="004A7B02"/>
    <w:rsid w:val="004A7B19"/>
    <w:rsid w:val="004A7FED"/>
    <w:rsid w:val="004B003C"/>
    <w:rsid w:val="004B0078"/>
    <w:rsid w:val="004B07E8"/>
    <w:rsid w:val="004B0885"/>
    <w:rsid w:val="004B0A04"/>
    <w:rsid w:val="004B0D5D"/>
    <w:rsid w:val="004B0FFB"/>
    <w:rsid w:val="004B1C2C"/>
    <w:rsid w:val="004B1F8B"/>
    <w:rsid w:val="004B23EF"/>
    <w:rsid w:val="004B253E"/>
    <w:rsid w:val="004B27BA"/>
    <w:rsid w:val="004B27E7"/>
    <w:rsid w:val="004B293B"/>
    <w:rsid w:val="004B34CF"/>
    <w:rsid w:val="004B3A10"/>
    <w:rsid w:val="004B4004"/>
    <w:rsid w:val="004B4310"/>
    <w:rsid w:val="004B4533"/>
    <w:rsid w:val="004B46FD"/>
    <w:rsid w:val="004B52F0"/>
    <w:rsid w:val="004B535C"/>
    <w:rsid w:val="004B555C"/>
    <w:rsid w:val="004B561D"/>
    <w:rsid w:val="004B5B87"/>
    <w:rsid w:val="004B5D2D"/>
    <w:rsid w:val="004B6507"/>
    <w:rsid w:val="004B6A10"/>
    <w:rsid w:val="004B6A87"/>
    <w:rsid w:val="004B6A90"/>
    <w:rsid w:val="004B6ADC"/>
    <w:rsid w:val="004B6EB4"/>
    <w:rsid w:val="004B73AB"/>
    <w:rsid w:val="004B784A"/>
    <w:rsid w:val="004B7B43"/>
    <w:rsid w:val="004B7CAA"/>
    <w:rsid w:val="004B7EE5"/>
    <w:rsid w:val="004B7F1E"/>
    <w:rsid w:val="004B7F9D"/>
    <w:rsid w:val="004B7FB7"/>
    <w:rsid w:val="004C01ED"/>
    <w:rsid w:val="004C046F"/>
    <w:rsid w:val="004C0534"/>
    <w:rsid w:val="004C0682"/>
    <w:rsid w:val="004C086C"/>
    <w:rsid w:val="004C09F5"/>
    <w:rsid w:val="004C0AE2"/>
    <w:rsid w:val="004C162B"/>
    <w:rsid w:val="004C1881"/>
    <w:rsid w:val="004C1AF0"/>
    <w:rsid w:val="004C1B86"/>
    <w:rsid w:val="004C2B7A"/>
    <w:rsid w:val="004C2E9C"/>
    <w:rsid w:val="004C2EDC"/>
    <w:rsid w:val="004C300D"/>
    <w:rsid w:val="004C344D"/>
    <w:rsid w:val="004C3CB2"/>
    <w:rsid w:val="004C3E10"/>
    <w:rsid w:val="004C429F"/>
    <w:rsid w:val="004C4875"/>
    <w:rsid w:val="004C4BAC"/>
    <w:rsid w:val="004C4C14"/>
    <w:rsid w:val="004C4C66"/>
    <w:rsid w:val="004C4CDC"/>
    <w:rsid w:val="004C505A"/>
    <w:rsid w:val="004C5714"/>
    <w:rsid w:val="004C5B59"/>
    <w:rsid w:val="004C63B5"/>
    <w:rsid w:val="004C6409"/>
    <w:rsid w:val="004C6997"/>
    <w:rsid w:val="004C6B54"/>
    <w:rsid w:val="004C6E58"/>
    <w:rsid w:val="004C6F60"/>
    <w:rsid w:val="004C709E"/>
    <w:rsid w:val="004C7385"/>
    <w:rsid w:val="004C77DE"/>
    <w:rsid w:val="004C7A57"/>
    <w:rsid w:val="004C7AEA"/>
    <w:rsid w:val="004C7CB0"/>
    <w:rsid w:val="004D027C"/>
    <w:rsid w:val="004D036E"/>
    <w:rsid w:val="004D0A6E"/>
    <w:rsid w:val="004D0A9B"/>
    <w:rsid w:val="004D0AD8"/>
    <w:rsid w:val="004D165E"/>
    <w:rsid w:val="004D19D3"/>
    <w:rsid w:val="004D1AAB"/>
    <w:rsid w:val="004D1C19"/>
    <w:rsid w:val="004D24E0"/>
    <w:rsid w:val="004D2511"/>
    <w:rsid w:val="004D262C"/>
    <w:rsid w:val="004D26B3"/>
    <w:rsid w:val="004D28B4"/>
    <w:rsid w:val="004D296C"/>
    <w:rsid w:val="004D2C86"/>
    <w:rsid w:val="004D2EF1"/>
    <w:rsid w:val="004D321D"/>
    <w:rsid w:val="004D35CA"/>
    <w:rsid w:val="004D3A17"/>
    <w:rsid w:val="004D3E46"/>
    <w:rsid w:val="004D4077"/>
    <w:rsid w:val="004D4407"/>
    <w:rsid w:val="004D4421"/>
    <w:rsid w:val="004D4B42"/>
    <w:rsid w:val="004D4B53"/>
    <w:rsid w:val="004D4E79"/>
    <w:rsid w:val="004D54E0"/>
    <w:rsid w:val="004D5579"/>
    <w:rsid w:val="004D5BAE"/>
    <w:rsid w:val="004D5E7E"/>
    <w:rsid w:val="004D60EB"/>
    <w:rsid w:val="004D61CE"/>
    <w:rsid w:val="004D645C"/>
    <w:rsid w:val="004D785E"/>
    <w:rsid w:val="004D7A9F"/>
    <w:rsid w:val="004D7ADB"/>
    <w:rsid w:val="004D7F42"/>
    <w:rsid w:val="004E012A"/>
    <w:rsid w:val="004E02C4"/>
    <w:rsid w:val="004E0A59"/>
    <w:rsid w:val="004E117D"/>
    <w:rsid w:val="004E12E5"/>
    <w:rsid w:val="004E13D4"/>
    <w:rsid w:val="004E13E2"/>
    <w:rsid w:val="004E1A39"/>
    <w:rsid w:val="004E1A4D"/>
    <w:rsid w:val="004E1B83"/>
    <w:rsid w:val="004E1CC7"/>
    <w:rsid w:val="004E20E4"/>
    <w:rsid w:val="004E21BD"/>
    <w:rsid w:val="004E21DC"/>
    <w:rsid w:val="004E235B"/>
    <w:rsid w:val="004E3240"/>
    <w:rsid w:val="004E38F4"/>
    <w:rsid w:val="004E3B90"/>
    <w:rsid w:val="004E4140"/>
    <w:rsid w:val="004E457A"/>
    <w:rsid w:val="004E46CF"/>
    <w:rsid w:val="004E46ED"/>
    <w:rsid w:val="004E51AC"/>
    <w:rsid w:val="004E5B5C"/>
    <w:rsid w:val="004E5EBB"/>
    <w:rsid w:val="004E61A8"/>
    <w:rsid w:val="004E64BB"/>
    <w:rsid w:val="004E6B17"/>
    <w:rsid w:val="004E6E78"/>
    <w:rsid w:val="004E723A"/>
    <w:rsid w:val="004E74EB"/>
    <w:rsid w:val="004E752B"/>
    <w:rsid w:val="004E7D94"/>
    <w:rsid w:val="004F0059"/>
    <w:rsid w:val="004F09C1"/>
    <w:rsid w:val="004F0A53"/>
    <w:rsid w:val="004F0C36"/>
    <w:rsid w:val="004F2795"/>
    <w:rsid w:val="004F28AA"/>
    <w:rsid w:val="004F2AC0"/>
    <w:rsid w:val="004F3094"/>
    <w:rsid w:val="004F32F9"/>
    <w:rsid w:val="004F33D2"/>
    <w:rsid w:val="004F39E1"/>
    <w:rsid w:val="004F3A8D"/>
    <w:rsid w:val="004F3C9D"/>
    <w:rsid w:val="004F3F93"/>
    <w:rsid w:val="004F4488"/>
    <w:rsid w:val="004F4C46"/>
    <w:rsid w:val="004F51AC"/>
    <w:rsid w:val="004F52EA"/>
    <w:rsid w:val="004F53D1"/>
    <w:rsid w:val="004F5C93"/>
    <w:rsid w:val="004F5CC1"/>
    <w:rsid w:val="004F5D0D"/>
    <w:rsid w:val="004F5E3E"/>
    <w:rsid w:val="004F60D5"/>
    <w:rsid w:val="004F6E1E"/>
    <w:rsid w:val="004F6FA7"/>
    <w:rsid w:val="004F7810"/>
    <w:rsid w:val="00500088"/>
    <w:rsid w:val="005006B1"/>
    <w:rsid w:val="005009E8"/>
    <w:rsid w:val="005009FD"/>
    <w:rsid w:val="00500BED"/>
    <w:rsid w:val="00500E47"/>
    <w:rsid w:val="0050104B"/>
    <w:rsid w:val="005010DF"/>
    <w:rsid w:val="00501356"/>
    <w:rsid w:val="005013FC"/>
    <w:rsid w:val="00501501"/>
    <w:rsid w:val="0050163E"/>
    <w:rsid w:val="00501710"/>
    <w:rsid w:val="0050173F"/>
    <w:rsid w:val="005019D2"/>
    <w:rsid w:val="00501A72"/>
    <w:rsid w:val="00502050"/>
    <w:rsid w:val="00502172"/>
    <w:rsid w:val="005025D3"/>
    <w:rsid w:val="005026DB"/>
    <w:rsid w:val="005027AC"/>
    <w:rsid w:val="0050292C"/>
    <w:rsid w:val="00502A3B"/>
    <w:rsid w:val="0050330A"/>
    <w:rsid w:val="005034D2"/>
    <w:rsid w:val="00503B0C"/>
    <w:rsid w:val="0050425B"/>
    <w:rsid w:val="0050425D"/>
    <w:rsid w:val="0050460F"/>
    <w:rsid w:val="00504682"/>
    <w:rsid w:val="00504804"/>
    <w:rsid w:val="005049AF"/>
    <w:rsid w:val="00504C78"/>
    <w:rsid w:val="00504D2A"/>
    <w:rsid w:val="005059A2"/>
    <w:rsid w:val="00505A40"/>
    <w:rsid w:val="00505A6D"/>
    <w:rsid w:val="00505ADC"/>
    <w:rsid w:val="00506352"/>
    <w:rsid w:val="005063BF"/>
    <w:rsid w:val="00506532"/>
    <w:rsid w:val="0050682C"/>
    <w:rsid w:val="00506AB8"/>
    <w:rsid w:val="00506F93"/>
    <w:rsid w:val="00506FB9"/>
    <w:rsid w:val="005070F3"/>
    <w:rsid w:val="005075E0"/>
    <w:rsid w:val="00510271"/>
    <w:rsid w:val="0051030E"/>
    <w:rsid w:val="005103DE"/>
    <w:rsid w:val="005108E3"/>
    <w:rsid w:val="00510D40"/>
    <w:rsid w:val="00510E1F"/>
    <w:rsid w:val="00510E5B"/>
    <w:rsid w:val="0051138F"/>
    <w:rsid w:val="005115CC"/>
    <w:rsid w:val="00511756"/>
    <w:rsid w:val="00511D4A"/>
    <w:rsid w:val="00511E5A"/>
    <w:rsid w:val="00511F1B"/>
    <w:rsid w:val="005121CB"/>
    <w:rsid w:val="00513086"/>
    <w:rsid w:val="00513094"/>
    <w:rsid w:val="005134EE"/>
    <w:rsid w:val="00513544"/>
    <w:rsid w:val="005139A7"/>
    <w:rsid w:val="00513C83"/>
    <w:rsid w:val="00513F73"/>
    <w:rsid w:val="0051409F"/>
    <w:rsid w:val="005145D9"/>
    <w:rsid w:val="00514829"/>
    <w:rsid w:val="005151D8"/>
    <w:rsid w:val="00515763"/>
    <w:rsid w:val="00515A0F"/>
    <w:rsid w:val="00515C37"/>
    <w:rsid w:val="00516072"/>
    <w:rsid w:val="005163FC"/>
    <w:rsid w:val="005166C5"/>
    <w:rsid w:val="00516B49"/>
    <w:rsid w:val="005170DF"/>
    <w:rsid w:val="00517AD2"/>
    <w:rsid w:val="00517B1D"/>
    <w:rsid w:val="00520318"/>
    <w:rsid w:val="00520482"/>
    <w:rsid w:val="005205CA"/>
    <w:rsid w:val="00520CCB"/>
    <w:rsid w:val="0052130B"/>
    <w:rsid w:val="00521421"/>
    <w:rsid w:val="0052151B"/>
    <w:rsid w:val="0052153D"/>
    <w:rsid w:val="0052183E"/>
    <w:rsid w:val="0052188A"/>
    <w:rsid w:val="00521E44"/>
    <w:rsid w:val="00521EDD"/>
    <w:rsid w:val="00521FA4"/>
    <w:rsid w:val="00522302"/>
    <w:rsid w:val="0052249F"/>
    <w:rsid w:val="00522788"/>
    <w:rsid w:val="0052285B"/>
    <w:rsid w:val="00522B29"/>
    <w:rsid w:val="00522FE4"/>
    <w:rsid w:val="0052315D"/>
    <w:rsid w:val="005232FD"/>
    <w:rsid w:val="005236F2"/>
    <w:rsid w:val="00523961"/>
    <w:rsid w:val="00523ADA"/>
    <w:rsid w:val="0052400F"/>
    <w:rsid w:val="00524352"/>
    <w:rsid w:val="0052435C"/>
    <w:rsid w:val="005243EF"/>
    <w:rsid w:val="00524722"/>
    <w:rsid w:val="0052498A"/>
    <w:rsid w:val="00524E0F"/>
    <w:rsid w:val="00525311"/>
    <w:rsid w:val="00525AEF"/>
    <w:rsid w:val="00525B9C"/>
    <w:rsid w:val="00525FA4"/>
    <w:rsid w:val="005260B4"/>
    <w:rsid w:val="0052627A"/>
    <w:rsid w:val="00526677"/>
    <w:rsid w:val="00526733"/>
    <w:rsid w:val="00526AF8"/>
    <w:rsid w:val="00526C86"/>
    <w:rsid w:val="00526E19"/>
    <w:rsid w:val="005271CB"/>
    <w:rsid w:val="005271EE"/>
    <w:rsid w:val="005272B3"/>
    <w:rsid w:val="005276AD"/>
    <w:rsid w:val="00530526"/>
    <w:rsid w:val="0053120C"/>
    <w:rsid w:val="005315FE"/>
    <w:rsid w:val="005319CC"/>
    <w:rsid w:val="00531B5D"/>
    <w:rsid w:val="00531BD1"/>
    <w:rsid w:val="00531D88"/>
    <w:rsid w:val="00531EFB"/>
    <w:rsid w:val="00532127"/>
    <w:rsid w:val="00532886"/>
    <w:rsid w:val="00532AE1"/>
    <w:rsid w:val="00533572"/>
    <w:rsid w:val="00533772"/>
    <w:rsid w:val="005337AC"/>
    <w:rsid w:val="0053427B"/>
    <w:rsid w:val="005346F9"/>
    <w:rsid w:val="00534CBA"/>
    <w:rsid w:val="005350F9"/>
    <w:rsid w:val="005351B7"/>
    <w:rsid w:val="00535258"/>
    <w:rsid w:val="0053552B"/>
    <w:rsid w:val="0053584D"/>
    <w:rsid w:val="00535A22"/>
    <w:rsid w:val="00536391"/>
    <w:rsid w:val="005364C9"/>
    <w:rsid w:val="00536B8F"/>
    <w:rsid w:val="00536D8D"/>
    <w:rsid w:val="00536E1C"/>
    <w:rsid w:val="0053741B"/>
    <w:rsid w:val="005374AD"/>
    <w:rsid w:val="005374D7"/>
    <w:rsid w:val="00537729"/>
    <w:rsid w:val="005378C1"/>
    <w:rsid w:val="00537BCF"/>
    <w:rsid w:val="00537C32"/>
    <w:rsid w:val="00537C50"/>
    <w:rsid w:val="0054003A"/>
    <w:rsid w:val="00540D58"/>
    <w:rsid w:val="00540E90"/>
    <w:rsid w:val="00540E96"/>
    <w:rsid w:val="00540EA6"/>
    <w:rsid w:val="00541280"/>
    <w:rsid w:val="00541A0C"/>
    <w:rsid w:val="005420E4"/>
    <w:rsid w:val="005422E8"/>
    <w:rsid w:val="00542355"/>
    <w:rsid w:val="00542379"/>
    <w:rsid w:val="00542393"/>
    <w:rsid w:val="00542860"/>
    <w:rsid w:val="005430BF"/>
    <w:rsid w:val="00543259"/>
    <w:rsid w:val="005435E2"/>
    <w:rsid w:val="0054390F"/>
    <w:rsid w:val="00544008"/>
    <w:rsid w:val="0054445A"/>
    <w:rsid w:val="00544BBE"/>
    <w:rsid w:val="0054532C"/>
    <w:rsid w:val="00545702"/>
    <w:rsid w:val="00545B0B"/>
    <w:rsid w:val="00545DB0"/>
    <w:rsid w:val="00545E37"/>
    <w:rsid w:val="00546140"/>
    <w:rsid w:val="0054624F"/>
    <w:rsid w:val="005462C3"/>
    <w:rsid w:val="005466F6"/>
    <w:rsid w:val="00546911"/>
    <w:rsid w:val="00546A41"/>
    <w:rsid w:val="00546BB1"/>
    <w:rsid w:val="00546CE6"/>
    <w:rsid w:val="00546D88"/>
    <w:rsid w:val="0054731D"/>
    <w:rsid w:val="005479D7"/>
    <w:rsid w:val="00547AB3"/>
    <w:rsid w:val="005500E1"/>
    <w:rsid w:val="005501B9"/>
    <w:rsid w:val="005507DB"/>
    <w:rsid w:val="00550997"/>
    <w:rsid w:val="00550F84"/>
    <w:rsid w:val="00551337"/>
    <w:rsid w:val="00551452"/>
    <w:rsid w:val="005515E4"/>
    <w:rsid w:val="005518CE"/>
    <w:rsid w:val="00551D78"/>
    <w:rsid w:val="0055272E"/>
    <w:rsid w:val="00552746"/>
    <w:rsid w:val="0055293C"/>
    <w:rsid w:val="00552A2D"/>
    <w:rsid w:val="00552C2C"/>
    <w:rsid w:val="00552CF4"/>
    <w:rsid w:val="00552D07"/>
    <w:rsid w:val="00552D72"/>
    <w:rsid w:val="005536D1"/>
    <w:rsid w:val="00553849"/>
    <w:rsid w:val="0055388E"/>
    <w:rsid w:val="00553B98"/>
    <w:rsid w:val="00553D06"/>
    <w:rsid w:val="00553D6F"/>
    <w:rsid w:val="00553D7F"/>
    <w:rsid w:val="00553E03"/>
    <w:rsid w:val="005542D6"/>
    <w:rsid w:val="00554462"/>
    <w:rsid w:val="00554B26"/>
    <w:rsid w:val="00554E5E"/>
    <w:rsid w:val="0055501A"/>
    <w:rsid w:val="005557E6"/>
    <w:rsid w:val="00555AC1"/>
    <w:rsid w:val="00555DDE"/>
    <w:rsid w:val="00555F03"/>
    <w:rsid w:val="005561FC"/>
    <w:rsid w:val="00556415"/>
    <w:rsid w:val="0055667B"/>
    <w:rsid w:val="00556765"/>
    <w:rsid w:val="00556935"/>
    <w:rsid w:val="005569A9"/>
    <w:rsid w:val="005569D9"/>
    <w:rsid w:val="00556A33"/>
    <w:rsid w:val="00556C19"/>
    <w:rsid w:val="00556CA7"/>
    <w:rsid w:val="005571DF"/>
    <w:rsid w:val="00557435"/>
    <w:rsid w:val="0055773F"/>
    <w:rsid w:val="0055799E"/>
    <w:rsid w:val="005579C9"/>
    <w:rsid w:val="00557F9A"/>
    <w:rsid w:val="005601AA"/>
    <w:rsid w:val="005602C5"/>
    <w:rsid w:val="005602C8"/>
    <w:rsid w:val="00560300"/>
    <w:rsid w:val="0056035E"/>
    <w:rsid w:val="00560466"/>
    <w:rsid w:val="00560803"/>
    <w:rsid w:val="00560A24"/>
    <w:rsid w:val="00560AFB"/>
    <w:rsid w:val="00560F5D"/>
    <w:rsid w:val="00561C5E"/>
    <w:rsid w:val="00562343"/>
    <w:rsid w:val="005624EF"/>
    <w:rsid w:val="00562616"/>
    <w:rsid w:val="00562637"/>
    <w:rsid w:val="0056286A"/>
    <w:rsid w:val="00562B08"/>
    <w:rsid w:val="00563A0C"/>
    <w:rsid w:val="00563AE1"/>
    <w:rsid w:val="00563CC8"/>
    <w:rsid w:val="00563FE6"/>
    <w:rsid w:val="0056401A"/>
    <w:rsid w:val="005644E6"/>
    <w:rsid w:val="00564680"/>
    <w:rsid w:val="00564880"/>
    <w:rsid w:val="005648F9"/>
    <w:rsid w:val="00564EAF"/>
    <w:rsid w:val="00564F77"/>
    <w:rsid w:val="005651AE"/>
    <w:rsid w:val="00565251"/>
    <w:rsid w:val="005655A1"/>
    <w:rsid w:val="0056564E"/>
    <w:rsid w:val="00565831"/>
    <w:rsid w:val="00565838"/>
    <w:rsid w:val="00565D07"/>
    <w:rsid w:val="00565DE5"/>
    <w:rsid w:val="00566108"/>
    <w:rsid w:val="005661E7"/>
    <w:rsid w:val="00566309"/>
    <w:rsid w:val="0056638E"/>
    <w:rsid w:val="00566587"/>
    <w:rsid w:val="005667E3"/>
    <w:rsid w:val="00567AEC"/>
    <w:rsid w:val="00567B2B"/>
    <w:rsid w:val="00567BC9"/>
    <w:rsid w:val="0057012F"/>
    <w:rsid w:val="00570B84"/>
    <w:rsid w:val="00570C1A"/>
    <w:rsid w:val="00570DA5"/>
    <w:rsid w:val="00570DF4"/>
    <w:rsid w:val="00570E19"/>
    <w:rsid w:val="00570F6D"/>
    <w:rsid w:val="0057101F"/>
    <w:rsid w:val="005712A3"/>
    <w:rsid w:val="00571444"/>
    <w:rsid w:val="005717BB"/>
    <w:rsid w:val="00571B3A"/>
    <w:rsid w:val="00571C8B"/>
    <w:rsid w:val="00571CAC"/>
    <w:rsid w:val="00571FCE"/>
    <w:rsid w:val="0057201C"/>
    <w:rsid w:val="005722FB"/>
    <w:rsid w:val="00572D72"/>
    <w:rsid w:val="0057317E"/>
    <w:rsid w:val="005735B8"/>
    <w:rsid w:val="0057385F"/>
    <w:rsid w:val="005738A3"/>
    <w:rsid w:val="005738FA"/>
    <w:rsid w:val="00573D03"/>
    <w:rsid w:val="00574237"/>
    <w:rsid w:val="00574C46"/>
    <w:rsid w:val="0057577C"/>
    <w:rsid w:val="005758B2"/>
    <w:rsid w:val="005758E6"/>
    <w:rsid w:val="00575D31"/>
    <w:rsid w:val="00575DA6"/>
    <w:rsid w:val="00575FCC"/>
    <w:rsid w:val="00576018"/>
    <w:rsid w:val="00576419"/>
    <w:rsid w:val="0057658C"/>
    <w:rsid w:val="00576600"/>
    <w:rsid w:val="00576645"/>
    <w:rsid w:val="00576838"/>
    <w:rsid w:val="00576913"/>
    <w:rsid w:val="00576F4C"/>
    <w:rsid w:val="00577291"/>
    <w:rsid w:val="0057733C"/>
    <w:rsid w:val="00577620"/>
    <w:rsid w:val="00577D96"/>
    <w:rsid w:val="00577F89"/>
    <w:rsid w:val="0058035B"/>
    <w:rsid w:val="00580449"/>
    <w:rsid w:val="0058045F"/>
    <w:rsid w:val="00580DAC"/>
    <w:rsid w:val="00581115"/>
    <w:rsid w:val="00581571"/>
    <w:rsid w:val="00581934"/>
    <w:rsid w:val="00581B3F"/>
    <w:rsid w:val="00581D62"/>
    <w:rsid w:val="00581F24"/>
    <w:rsid w:val="0058242B"/>
    <w:rsid w:val="005824CE"/>
    <w:rsid w:val="0058268F"/>
    <w:rsid w:val="00582A66"/>
    <w:rsid w:val="00582C88"/>
    <w:rsid w:val="00582D94"/>
    <w:rsid w:val="00582E2C"/>
    <w:rsid w:val="005836B7"/>
    <w:rsid w:val="00583A96"/>
    <w:rsid w:val="00584300"/>
    <w:rsid w:val="005845C3"/>
    <w:rsid w:val="00585483"/>
    <w:rsid w:val="0058562F"/>
    <w:rsid w:val="005856F2"/>
    <w:rsid w:val="00585753"/>
    <w:rsid w:val="005863F2"/>
    <w:rsid w:val="00586457"/>
    <w:rsid w:val="00586519"/>
    <w:rsid w:val="00586694"/>
    <w:rsid w:val="005867A4"/>
    <w:rsid w:val="00586913"/>
    <w:rsid w:val="00586FD4"/>
    <w:rsid w:val="005873D1"/>
    <w:rsid w:val="005875C5"/>
    <w:rsid w:val="0058765F"/>
    <w:rsid w:val="005876A0"/>
    <w:rsid w:val="005877D0"/>
    <w:rsid w:val="00587B12"/>
    <w:rsid w:val="00587C00"/>
    <w:rsid w:val="0059025D"/>
    <w:rsid w:val="005903C6"/>
    <w:rsid w:val="0059054F"/>
    <w:rsid w:val="00590E4F"/>
    <w:rsid w:val="005910B7"/>
    <w:rsid w:val="00591685"/>
    <w:rsid w:val="005918B1"/>
    <w:rsid w:val="00591CF7"/>
    <w:rsid w:val="00591D7E"/>
    <w:rsid w:val="00591E60"/>
    <w:rsid w:val="00591F83"/>
    <w:rsid w:val="00592005"/>
    <w:rsid w:val="00592074"/>
    <w:rsid w:val="0059224C"/>
    <w:rsid w:val="0059286C"/>
    <w:rsid w:val="00592899"/>
    <w:rsid w:val="005928F6"/>
    <w:rsid w:val="0059398E"/>
    <w:rsid w:val="00594A85"/>
    <w:rsid w:val="00595140"/>
    <w:rsid w:val="00595209"/>
    <w:rsid w:val="005957D4"/>
    <w:rsid w:val="00595861"/>
    <w:rsid w:val="00595E06"/>
    <w:rsid w:val="00595EE7"/>
    <w:rsid w:val="00596943"/>
    <w:rsid w:val="005969E6"/>
    <w:rsid w:val="00596F89"/>
    <w:rsid w:val="0059713B"/>
    <w:rsid w:val="00597D49"/>
    <w:rsid w:val="005A017A"/>
    <w:rsid w:val="005A07D9"/>
    <w:rsid w:val="005A0A53"/>
    <w:rsid w:val="005A0AAB"/>
    <w:rsid w:val="005A0BA7"/>
    <w:rsid w:val="005A1259"/>
    <w:rsid w:val="005A145E"/>
    <w:rsid w:val="005A158E"/>
    <w:rsid w:val="005A2069"/>
    <w:rsid w:val="005A2696"/>
    <w:rsid w:val="005A2AC8"/>
    <w:rsid w:val="005A3469"/>
    <w:rsid w:val="005A3521"/>
    <w:rsid w:val="005A3543"/>
    <w:rsid w:val="005A3AF5"/>
    <w:rsid w:val="005A4357"/>
    <w:rsid w:val="005A44F5"/>
    <w:rsid w:val="005A4ABD"/>
    <w:rsid w:val="005A4ADE"/>
    <w:rsid w:val="005A4C86"/>
    <w:rsid w:val="005A53F1"/>
    <w:rsid w:val="005A5498"/>
    <w:rsid w:val="005A58F3"/>
    <w:rsid w:val="005A5A82"/>
    <w:rsid w:val="005A5B71"/>
    <w:rsid w:val="005A5BF9"/>
    <w:rsid w:val="005A5DCD"/>
    <w:rsid w:val="005A605F"/>
    <w:rsid w:val="005A60EA"/>
    <w:rsid w:val="005A64A7"/>
    <w:rsid w:val="005A6559"/>
    <w:rsid w:val="005A65B1"/>
    <w:rsid w:val="005A67BC"/>
    <w:rsid w:val="005A68C7"/>
    <w:rsid w:val="005A6E12"/>
    <w:rsid w:val="005A6FA6"/>
    <w:rsid w:val="005A7078"/>
    <w:rsid w:val="005A70F4"/>
    <w:rsid w:val="005A786A"/>
    <w:rsid w:val="005B0186"/>
    <w:rsid w:val="005B01DC"/>
    <w:rsid w:val="005B06F7"/>
    <w:rsid w:val="005B09BF"/>
    <w:rsid w:val="005B0B0C"/>
    <w:rsid w:val="005B0B46"/>
    <w:rsid w:val="005B0E82"/>
    <w:rsid w:val="005B0E8B"/>
    <w:rsid w:val="005B19BA"/>
    <w:rsid w:val="005B1C75"/>
    <w:rsid w:val="005B1D4D"/>
    <w:rsid w:val="005B201E"/>
    <w:rsid w:val="005B20F1"/>
    <w:rsid w:val="005B23E0"/>
    <w:rsid w:val="005B2638"/>
    <w:rsid w:val="005B2AC9"/>
    <w:rsid w:val="005B2D1E"/>
    <w:rsid w:val="005B3070"/>
    <w:rsid w:val="005B31B1"/>
    <w:rsid w:val="005B34C0"/>
    <w:rsid w:val="005B34E7"/>
    <w:rsid w:val="005B3AA7"/>
    <w:rsid w:val="005B4143"/>
    <w:rsid w:val="005B4736"/>
    <w:rsid w:val="005B49AF"/>
    <w:rsid w:val="005B4E46"/>
    <w:rsid w:val="005B4E92"/>
    <w:rsid w:val="005B508C"/>
    <w:rsid w:val="005B57E7"/>
    <w:rsid w:val="005B63A6"/>
    <w:rsid w:val="005B63AD"/>
    <w:rsid w:val="005B68BA"/>
    <w:rsid w:val="005B6AE5"/>
    <w:rsid w:val="005B6CED"/>
    <w:rsid w:val="005B6D99"/>
    <w:rsid w:val="005B6E94"/>
    <w:rsid w:val="005B6FD2"/>
    <w:rsid w:val="005B725C"/>
    <w:rsid w:val="005B7384"/>
    <w:rsid w:val="005B7717"/>
    <w:rsid w:val="005B77FF"/>
    <w:rsid w:val="005B7ADD"/>
    <w:rsid w:val="005B7B29"/>
    <w:rsid w:val="005B7DA5"/>
    <w:rsid w:val="005C00B0"/>
    <w:rsid w:val="005C01F2"/>
    <w:rsid w:val="005C04D4"/>
    <w:rsid w:val="005C0D45"/>
    <w:rsid w:val="005C0E32"/>
    <w:rsid w:val="005C13C0"/>
    <w:rsid w:val="005C1898"/>
    <w:rsid w:val="005C20EC"/>
    <w:rsid w:val="005C21AB"/>
    <w:rsid w:val="005C278E"/>
    <w:rsid w:val="005C29D3"/>
    <w:rsid w:val="005C3142"/>
    <w:rsid w:val="005C3265"/>
    <w:rsid w:val="005C32CA"/>
    <w:rsid w:val="005C3369"/>
    <w:rsid w:val="005C35ED"/>
    <w:rsid w:val="005C3757"/>
    <w:rsid w:val="005C3868"/>
    <w:rsid w:val="005C3A85"/>
    <w:rsid w:val="005C3B1A"/>
    <w:rsid w:val="005C3DC3"/>
    <w:rsid w:val="005C44C8"/>
    <w:rsid w:val="005C4566"/>
    <w:rsid w:val="005C468D"/>
    <w:rsid w:val="005C473C"/>
    <w:rsid w:val="005C4870"/>
    <w:rsid w:val="005C53EA"/>
    <w:rsid w:val="005C5958"/>
    <w:rsid w:val="005C596A"/>
    <w:rsid w:val="005C5C13"/>
    <w:rsid w:val="005C5CC7"/>
    <w:rsid w:val="005C5DE6"/>
    <w:rsid w:val="005C5FDA"/>
    <w:rsid w:val="005C6335"/>
    <w:rsid w:val="005C6499"/>
    <w:rsid w:val="005C6922"/>
    <w:rsid w:val="005C6F86"/>
    <w:rsid w:val="005C7455"/>
    <w:rsid w:val="005C798D"/>
    <w:rsid w:val="005C7B18"/>
    <w:rsid w:val="005D0047"/>
    <w:rsid w:val="005D03C0"/>
    <w:rsid w:val="005D0542"/>
    <w:rsid w:val="005D0FA3"/>
    <w:rsid w:val="005D1591"/>
    <w:rsid w:val="005D1598"/>
    <w:rsid w:val="005D1784"/>
    <w:rsid w:val="005D1A61"/>
    <w:rsid w:val="005D1DCB"/>
    <w:rsid w:val="005D23D3"/>
    <w:rsid w:val="005D25CA"/>
    <w:rsid w:val="005D2A95"/>
    <w:rsid w:val="005D2C82"/>
    <w:rsid w:val="005D2DAF"/>
    <w:rsid w:val="005D3399"/>
    <w:rsid w:val="005D347E"/>
    <w:rsid w:val="005D34B5"/>
    <w:rsid w:val="005D361B"/>
    <w:rsid w:val="005D3B62"/>
    <w:rsid w:val="005D3C29"/>
    <w:rsid w:val="005D43ED"/>
    <w:rsid w:val="005D440D"/>
    <w:rsid w:val="005D47C1"/>
    <w:rsid w:val="005D4DA6"/>
    <w:rsid w:val="005D5701"/>
    <w:rsid w:val="005D5BDF"/>
    <w:rsid w:val="005D5D59"/>
    <w:rsid w:val="005D62DC"/>
    <w:rsid w:val="005D68B1"/>
    <w:rsid w:val="005D6A67"/>
    <w:rsid w:val="005D6BFB"/>
    <w:rsid w:val="005D70ED"/>
    <w:rsid w:val="005D71A7"/>
    <w:rsid w:val="005D71C4"/>
    <w:rsid w:val="005D752B"/>
    <w:rsid w:val="005D7552"/>
    <w:rsid w:val="005D788A"/>
    <w:rsid w:val="005D7962"/>
    <w:rsid w:val="005D7AD1"/>
    <w:rsid w:val="005D7B8C"/>
    <w:rsid w:val="005D7BB2"/>
    <w:rsid w:val="005E00EE"/>
    <w:rsid w:val="005E0719"/>
    <w:rsid w:val="005E0996"/>
    <w:rsid w:val="005E1219"/>
    <w:rsid w:val="005E1922"/>
    <w:rsid w:val="005E1BB8"/>
    <w:rsid w:val="005E20E1"/>
    <w:rsid w:val="005E2197"/>
    <w:rsid w:val="005E2532"/>
    <w:rsid w:val="005E2674"/>
    <w:rsid w:val="005E296C"/>
    <w:rsid w:val="005E29F4"/>
    <w:rsid w:val="005E2BB7"/>
    <w:rsid w:val="005E2F9B"/>
    <w:rsid w:val="005E3479"/>
    <w:rsid w:val="005E36E8"/>
    <w:rsid w:val="005E38FF"/>
    <w:rsid w:val="005E396F"/>
    <w:rsid w:val="005E3A22"/>
    <w:rsid w:val="005E3E7A"/>
    <w:rsid w:val="005E42ED"/>
    <w:rsid w:val="005E4629"/>
    <w:rsid w:val="005E46BE"/>
    <w:rsid w:val="005E4978"/>
    <w:rsid w:val="005E4980"/>
    <w:rsid w:val="005E4F03"/>
    <w:rsid w:val="005E5CBE"/>
    <w:rsid w:val="005E5F79"/>
    <w:rsid w:val="005E621B"/>
    <w:rsid w:val="005E672D"/>
    <w:rsid w:val="005E6889"/>
    <w:rsid w:val="005E72CA"/>
    <w:rsid w:val="005E7621"/>
    <w:rsid w:val="005E7703"/>
    <w:rsid w:val="005E7737"/>
    <w:rsid w:val="005E77BA"/>
    <w:rsid w:val="005F0141"/>
    <w:rsid w:val="005F0892"/>
    <w:rsid w:val="005F0BD1"/>
    <w:rsid w:val="005F0D91"/>
    <w:rsid w:val="005F1132"/>
    <w:rsid w:val="005F143A"/>
    <w:rsid w:val="005F14B5"/>
    <w:rsid w:val="005F17F0"/>
    <w:rsid w:val="005F1F49"/>
    <w:rsid w:val="005F20E9"/>
    <w:rsid w:val="005F2246"/>
    <w:rsid w:val="005F244A"/>
    <w:rsid w:val="005F26E3"/>
    <w:rsid w:val="005F282A"/>
    <w:rsid w:val="005F2A6E"/>
    <w:rsid w:val="005F3002"/>
    <w:rsid w:val="005F30B6"/>
    <w:rsid w:val="005F31ED"/>
    <w:rsid w:val="005F342B"/>
    <w:rsid w:val="005F35C1"/>
    <w:rsid w:val="005F360B"/>
    <w:rsid w:val="005F3BBC"/>
    <w:rsid w:val="005F3F90"/>
    <w:rsid w:val="005F4254"/>
    <w:rsid w:val="005F45E2"/>
    <w:rsid w:val="005F4623"/>
    <w:rsid w:val="005F4AD7"/>
    <w:rsid w:val="005F5FE3"/>
    <w:rsid w:val="005F6114"/>
    <w:rsid w:val="005F63BF"/>
    <w:rsid w:val="005F649B"/>
    <w:rsid w:val="005F6D44"/>
    <w:rsid w:val="005F6F59"/>
    <w:rsid w:val="005F6F8D"/>
    <w:rsid w:val="005F71E2"/>
    <w:rsid w:val="005F73CC"/>
    <w:rsid w:val="005F7686"/>
    <w:rsid w:val="005F7C4C"/>
    <w:rsid w:val="005F7F06"/>
    <w:rsid w:val="00600051"/>
    <w:rsid w:val="00600298"/>
    <w:rsid w:val="00600528"/>
    <w:rsid w:val="006008BA"/>
    <w:rsid w:val="00600A6E"/>
    <w:rsid w:val="00601013"/>
    <w:rsid w:val="006019B4"/>
    <w:rsid w:val="00601DC7"/>
    <w:rsid w:val="00601FFB"/>
    <w:rsid w:val="00602007"/>
    <w:rsid w:val="00602638"/>
    <w:rsid w:val="006027C5"/>
    <w:rsid w:val="00603254"/>
    <w:rsid w:val="006033FF"/>
    <w:rsid w:val="006035E0"/>
    <w:rsid w:val="00603A2A"/>
    <w:rsid w:val="00603AA6"/>
    <w:rsid w:val="00603BAE"/>
    <w:rsid w:val="00603CE7"/>
    <w:rsid w:val="006042C7"/>
    <w:rsid w:val="006042E5"/>
    <w:rsid w:val="00604962"/>
    <w:rsid w:val="00604BD8"/>
    <w:rsid w:val="00604D21"/>
    <w:rsid w:val="0060543E"/>
    <w:rsid w:val="00605FAC"/>
    <w:rsid w:val="006061DF"/>
    <w:rsid w:val="00606995"/>
    <w:rsid w:val="00606D8E"/>
    <w:rsid w:val="00606E2B"/>
    <w:rsid w:val="006071A8"/>
    <w:rsid w:val="006072AD"/>
    <w:rsid w:val="006073CB"/>
    <w:rsid w:val="00607438"/>
    <w:rsid w:val="00607772"/>
    <w:rsid w:val="00607A13"/>
    <w:rsid w:val="00607EB6"/>
    <w:rsid w:val="00607F05"/>
    <w:rsid w:val="00607F3D"/>
    <w:rsid w:val="0061002A"/>
    <w:rsid w:val="00610423"/>
    <w:rsid w:val="00610881"/>
    <w:rsid w:val="00610DB6"/>
    <w:rsid w:val="006110A9"/>
    <w:rsid w:val="00611113"/>
    <w:rsid w:val="00611139"/>
    <w:rsid w:val="00611676"/>
    <w:rsid w:val="00611D06"/>
    <w:rsid w:val="00612165"/>
    <w:rsid w:val="00612607"/>
    <w:rsid w:val="006127A3"/>
    <w:rsid w:val="006127C5"/>
    <w:rsid w:val="006129F7"/>
    <w:rsid w:val="0061312E"/>
    <w:rsid w:val="00613150"/>
    <w:rsid w:val="00613253"/>
    <w:rsid w:val="00613823"/>
    <w:rsid w:val="00613B01"/>
    <w:rsid w:val="00613B3A"/>
    <w:rsid w:val="00614635"/>
    <w:rsid w:val="006148EA"/>
    <w:rsid w:val="00614905"/>
    <w:rsid w:val="00614CC5"/>
    <w:rsid w:val="00614CDD"/>
    <w:rsid w:val="006150E6"/>
    <w:rsid w:val="00615684"/>
    <w:rsid w:val="006158FD"/>
    <w:rsid w:val="00615BBF"/>
    <w:rsid w:val="00615D69"/>
    <w:rsid w:val="00615F98"/>
    <w:rsid w:val="006165A2"/>
    <w:rsid w:val="006166F1"/>
    <w:rsid w:val="00616771"/>
    <w:rsid w:val="00616A6E"/>
    <w:rsid w:val="00616A7D"/>
    <w:rsid w:val="00616D8B"/>
    <w:rsid w:val="00617A05"/>
    <w:rsid w:val="00617B11"/>
    <w:rsid w:val="00620511"/>
    <w:rsid w:val="00620601"/>
    <w:rsid w:val="00620D66"/>
    <w:rsid w:val="006211C3"/>
    <w:rsid w:val="00621532"/>
    <w:rsid w:val="006219B8"/>
    <w:rsid w:val="00621DC5"/>
    <w:rsid w:val="00622038"/>
    <w:rsid w:val="006220C0"/>
    <w:rsid w:val="006221A0"/>
    <w:rsid w:val="006222C3"/>
    <w:rsid w:val="006225C0"/>
    <w:rsid w:val="00622A29"/>
    <w:rsid w:val="00622CA1"/>
    <w:rsid w:val="00623720"/>
    <w:rsid w:val="00623EC0"/>
    <w:rsid w:val="00623F83"/>
    <w:rsid w:val="0062407E"/>
    <w:rsid w:val="0062408D"/>
    <w:rsid w:val="00624305"/>
    <w:rsid w:val="00624562"/>
    <w:rsid w:val="006253B9"/>
    <w:rsid w:val="006256EB"/>
    <w:rsid w:val="00625832"/>
    <w:rsid w:val="00625BC0"/>
    <w:rsid w:val="00625E6A"/>
    <w:rsid w:val="00626477"/>
    <w:rsid w:val="00626534"/>
    <w:rsid w:val="00626750"/>
    <w:rsid w:val="00626E33"/>
    <w:rsid w:val="00627187"/>
    <w:rsid w:val="00627558"/>
    <w:rsid w:val="00627AA7"/>
    <w:rsid w:val="00627D5E"/>
    <w:rsid w:val="00630587"/>
    <w:rsid w:val="0063070F"/>
    <w:rsid w:val="0063087D"/>
    <w:rsid w:val="00630D02"/>
    <w:rsid w:val="006310AF"/>
    <w:rsid w:val="006314EF"/>
    <w:rsid w:val="006315CE"/>
    <w:rsid w:val="00631791"/>
    <w:rsid w:val="006318F1"/>
    <w:rsid w:val="00631969"/>
    <w:rsid w:val="00632A3A"/>
    <w:rsid w:val="00632BBD"/>
    <w:rsid w:val="00632C07"/>
    <w:rsid w:val="00633085"/>
    <w:rsid w:val="006331E2"/>
    <w:rsid w:val="00633203"/>
    <w:rsid w:val="00633456"/>
    <w:rsid w:val="00633489"/>
    <w:rsid w:val="0063350F"/>
    <w:rsid w:val="00633ED9"/>
    <w:rsid w:val="00633F61"/>
    <w:rsid w:val="00634668"/>
    <w:rsid w:val="006346EF"/>
    <w:rsid w:val="0063481A"/>
    <w:rsid w:val="0063481B"/>
    <w:rsid w:val="006348FB"/>
    <w:rsid w:val="00634AAA"/>
    <w:rsid w:val="006356B5"/>
    <w:rsid w:val="0063589E"/>
    <w:rsid w:val="00635942"/>
    <w:rsid w:val="00635C9C"/>
    <w:rsid w:val="006361CE"/>
    <w:rsid w:val="006362CA"/>
    <w:rsid w:val="006366FC"/>
    <w:rsid w:val="006367A5"/>
    <w:rsid w:val="006368CC"/>
    <w:rsid w:val="006369D4"/>
    <w:rsid w:val="00636A1B"/>
    <w:rsid w:val="00636C81"/>
    <w:rsid w:val="00636D29"/>
    <w:rsid w:val="00637330"/>
    <w:rsid w:val="00637A2D"/>
    <w:rsid w:val="0064035D"/>
    <w:rsid w:val="006405D0"/>
    <w:rsid w:val="00640834"/>
    <w:rsid w:val="006409E9"/>
    <w:rsid w:val="00640E2B"/>
    <w:rsid w:val="006412B9"/>
    <w:rsid w:val="0064158F"/>
    <w:rsid w:val="00641CD4"/>
    <w:rsid w:val="00641E3B"/>
    <w:rsid w:val="00641FDE"/>
    <w:rsid w:val="0064213C"/>
    <w:rsid w:val="0064218D"/>
    <w:rsid w:val="006423BC"/>
    <w:rsid w:val="00642C02"/>
    <w:rsid w:val="00642C87"/>
    <w:rsid w:val="006433BF"/>
    <w:rsid w:val="00643555"/>
    <w:rsid w:val="006438ED"/>
    <w:rsid w:val="00644087"/>
    <w:rsid w:val="00644406"/>
    <w:rsid w:val="00644810"/>
    <w:rsid w:val="00644CAB"/>
    <w:rsid w:val="00644ED0"/>
    <w:rsid w:val="00645125"/>
    <w:rsid w:val="00645783"/>
    <w:rsid w:val="006458E4"/>
    <w:rsid w:val="00645ED1"/>
    <w:rsid w:val="00646143"/>
    <w:rsid w:val="00646E63"/>
    <w:rsid w:val="0064713F"/>
    <w:rsid w:val="00647283"/>
    <w:rsid w:val="006473CF"/>
    <w:rsid w:val="00647857"/>
    <w:rsid w:val="006478FA"/>
    <w:rsid w:val="006479BB"/>
    <w:rsid w:val="0065008C"/>
    <w:rsid w:val="00650257"/>
    <w:rsid w:val="0065027C"/>
    <w:rsid w:val="00650496"/>
    <w:rsid w:val="00650A99"/>
    <w:rsid w:val="00650AE3"/>
    <w:rsid w:val="00650E62"/>
    <w:rsid w:val="00650FA1"/>
    <w:rsid w:val="0065140F"/>
    <w:rsid w:val="00651801"/>
    <w:rsid w:val="00651A48"/>
    <w:rsid w:val="00651A7D"/>
    <w:rsid w:val="00651CA6"/>
    <w:rsid w:val="00651D8A"/>
    <w:rsid w:val="00652980"/>
    <w:rsid w:val="00652E04"/>
    <w:rsid w:val="00653293"/>
    <w:rsid w:val="006532C3"/>
    <w:rsid w:val="00653352"/>
    <w:rsid w:val="0065343F"/>
    <w:rsid w:val="00653B09"/>
    <w:rsid w:val="00653CC9"/>
    <w:rsid w:val="00653D60"/>
    <w:rsid w:val="00653E85"/>
    <w:rsid w:val="00654106"/>
    <w:rsid w:val="006541CB"/>
    <w:rsid w:val="00654600"/>
    <w:rsid w:val="00654981"/>
    <w:rsid w:val="00654DD9"/>
    <w:rsid w:val="00654E15"/>
    <w:rsid w:val="00655070"/>
    <w:rsid w:val="006550A3"/>
    <w:rsid w:val="00655160"/>
    <w:rsid w:val="006552F0"/>
    <w:rsid w:val="006557B5"/>
    <w:rsid w:val="00655B17"/>
    <w:rsid w:val="00655CB9"/>
    <w:rsid w:val="00655E28"/>
    <w:rsid w:val="006560C1"/>
    <w:rsid w:val="00656186"/>
    <w:rsid w:val="006562B5"/>
    <w:rsid w:val="00656328"/>
    <w:rsid w:val="00656672"/>
    <w:rsid w:val="006570C4"/>
    <w:rsid w:val="00657813"/>
    <w:rsid w:val="006578AF"/>
    <w:rsid w:val="00657D7A"/>
    <w:rsid w:val="00657EE2"/>
    <w:rsid w:val="0066010E"/>
    <w:rsid w:val="00660139"/>
    <w:rsid w:val="00660535"/>
    <w:rsid w:val="00660A6D"/>
    <w:rsid w:val="00660D40"/>
    <w:rsid w:val="00660E5C"/>
    <w:rsid w:val="00661457"/>
    <w:rsid w:val="00661C30"/>
    <w:rsid w:val="00661EAC"/>
    <w:rsid w:val="00661F52"/>
    <w:rsid w:val="00661F7C"/>
    <w:rsid w:val="00662410"/>
    <w:rsid w:val="00662B99"/>
    <w:rsid w:val="00662DB2"/>
    <w:rsid w:val="00663484"/>
    <w:rsid w:val="006634E5"/>
    <w:rsid w:val="00663939"/>
    <w:rsid w:val="00663AFD"/>
    <w:rsid w:val="00663FC8"/>
    <w:rsid w:val="00664148"/>
    <w:rsid w:val="0066445D"/>
    <w:rsid w:val="00664725"/>
    <w:rsid w:val="00664753"/>
    <w:rsid w:val="006647FE"/>
    <w:rsid w:val="006649FE"/>
    <w:rsid w:val="00664AFA"/>
    <w:rsid w:val="00664DF9"/>
    <w:rsid w:val="00665191"/>
    <w:rsid w:val="006653C5"/>
    <w:rsid w:val="00665528"/>
    <w:rsid w:val="0066587B"/>
    <w:rsid w:val="006659BD"/>
    <w:rsid w:val="006662D0"/>
    <w:rsid w:val="00666334"/>
    <w:rsid w:val="0066648B"/>
    <w:rsid w:val="00666694"/>
    <w:rsid w:val="00666732"/>
    <w:rsid w:val="00666813"/>
    <w:rsid w:val="006669E9"/>
    <w:rsid w:val="00666C04"/>
    <w:rsid w:val="00666E49"/>
    <w:rsid w:val="006675C1"/>
    <w:rsid w:val="0066768A"/>
    <w:rsid w:val="006678BD"/>
    <w:rsid w:val="00667E1F"/>
    <w:rsid w:val="00667E8F"/>
    <w:rsid w:val="00667ED2"/>
    <w:rsid w:val="00667FC7"/>
    <w:rsid w:val="00670181"/>
    <w:rsid w:val="006703D3"/>
    <w:rsid w:val="00670432"/>
    <w:rsid w:val="0067045B"/>
    <w:rsid w:val="00670AF2"/>
    <w:rsid w:val="0067102E"/>
    <w:rsid w:val="0067131E"/>
    <w:rsid w:val="00671AAE"/>
    <w:rsid w:val="00671BC1"/>
    <w:rsid w:val="00671FD2"/>
    <w:rsid w:val="006720B0"/>
    <w:rsid w:val="00672431"/>
    <w:rsid w:val="006724A7"/>
    <w:rsid w:val="00672834"/>
    <w:rsid w:val="0067283B"/>
    <w:rsid w:val="006729ED"/>
    <w:rsid w:val="00672B3F"/>
    <w:rsid w:val="00672D1A"/>
    <w:rsid w:val="00672FC9"/>
    <w:rsid w:val="006730A6"/>
    <w:rsid w:val="0067331C"/>
    <w:rsid w:val="006737A9"/>
    <w:rsid w:val="00673A51"/>
    <w:rsid w:val="00674409"/>
    <w:rsid w:val="006745D6"/>
    <w:rsid w:val="0067462D"/>
    <w:rsid w:val="0067480D"/>
    <w:rsid w:val="00674BC0"/>
    <w:rsid w:val="00674D1D"/>
    <w:rsid w:val="006750F4"/>
    <w:rsid w:val="006770D1"/>
    <w:rsid w:val="006770FD"/>
    <w:rsid w:val="00677130"/>
    <w:rsid w:val="0067782D"/>
    <w:rsid w:val="00680137"/>
    <w:rsid w:val="00680721"/>
    <w:rsid w:val="00680810"/>
    <w:rsid w:val="00680B38"/>
    <w:rsid w:val="00680D29"/>
    <w:rsid w:val="00680E70"/>
    <w:rsid w:val="006817C2"/>
    <w:rsid w:val="00681D7A"/>
    <w:rsid w:val="00681F26"/>
    <w:rsid w:val="006822E1"/>
    <w:rsid w:val="00682384"/>
    <w:rsid w:val="00682C1C"/>
    <w:rsid w:val="00682F09"/>
    <w:rsid w:val="00683418"/>
    <w:rsid w:val="00683586"/>
    <w:rsid w:val="00683985"/>
    <w:rsid w:val="00683C1E"/>
    <w:rsid w:val="00683FAB"/>
    <w:rsid w:val="006840AD"/>
    <w:rsid w:val="0068420A"/>
    <w:rsid w:val="00684267"/>
    <w:rsid w:val="0068481F"/>
    <w:rsid w:val="006848E7"/>
    <w:rsid w:val="006849FB"/>
    <w:rsid w:val="00685111"/>
    <w:rsid w:val="0068518B"/>
    <w:rsid w:val="0068531E"/>
    <w:rsid w:val="0068550A"/>
    <w:rsid w:val="00685559"/>
    <w:rsid w:val="006859B5"/>
    <w:rsid w:val="00685AB3"/>
    <w:rsid w:val="00685EB0"/>
    <w:rsid w:val="006862D7"/>
    <w:rsid w:val="00686518"/>
    <w:rsid w:val="00686644"/>
    <w:rsid w:val="00686671"/>
    <w:rsid w:val="006866EA"/>
    <w:rsid w:val="00686DB1"/>
    <w:rsid w:val="0068779A"/>
    <w:rsid w:val="00687E49"/>
    <w:rsid w:val="0069002D"/>
    <w:rsid w:val="0069031B"/>
    <w:rsid w:val="0069095E"/>
    <w:rsid w:val="00691178"/>
    <w:rsid w:val="00692033"/>
    <w:rsid w:val="006921E9"/>
    <w:rsid w:val="00692766"/>
    <w:rsid w:val="0069298C"/>
    <w:rsid w:val="00692F9C"/>
    <w:rsid w:val="00693D35"/>
    <w:rsid w:val="006947C9"/>
    <w:rsid w:val="00695256"/>
    <w:rsid w:val="006952E1"/>
    <w:rsid w:val="006955EE"/>
    <w:rsid w:val="0069563C"/>
    <w:rsid w:val="00695A7E"/>
    <w:rsid w:val="00695EFB"/>
    <w:rsid w:val="006961DA"/>
    <w:rsid w:val="006965D1"/>
    <w:rsid w:val="00696B73"/>
    <w:rsid w:val="00696C01"/>
    <w:rsid w:val="00696DB4"/>
    <w:rsid w:val="00697160"/>
    <w:rsid w:val="0069751E"/>
    <w:rsid w:val="006A04A1"/>
    <w:rsid w:val="006A0712"/>
    <w:rsid w:val="006A0805"/>
    <w:rsid w:val="006A0871"/>
    <w:rsid w:val="006A0D50"/>
    <w:rsid w:val="006A1070"/>
    <w:rsid w:val="006A1546"/>
    <w:rsid w:val="006A1AE2"/>
    <w:rsid w:val="006A1E25"/>
    <w:rsid w:val="006A1FA2"/>
    <w:rsid w:val="006A203F"/>
    <w:rsid w:val="006A26B8"/>
    <w:rsid w:val="006A27F6"/>
    <w:rsid w:val="006A28D0"/>
    <w:rsid w:val="006A2927"/>
    <w:rsid w:val="006A2BE7"/>
    <w:rsid w:val="006A2C7F"/>
    <w:rsid w:val="006A2D6B"/>
    <w:rsid w:val="006A2E5B"/>
    <w:rsid w:val="006A2E89"/>
    <w:rsid w:val="006A379F"/>
    <w:rsid w:val="006A3DD8"/>
    <w:rsid w:val="006A3E8C"/>
    <w:rsid w:val="006A3F20"/>
    <w:rsid w:val="006A4534"/>
    <w:rsid w:val="006A492B"/>
    <w:rsid w:val="006A4CEB"/>
    <w:rsid w:val="006A4D8B"/>
    <w:rsid w:val="006A5216"/>
    <w:rsid w:val="006A53ED"/>
    <w:rsid w:val="006A5529"/>
    <w:rsid w:val="006A59A2"/>
    <w:rsid w:val="006A5C38"/>
    <w:rsid w:val="006A5D5D"/>
    <w:rsid w:val="006A62CC"/>
    <w:rsid w:val="006A659E"/>
    <w:rsid w:val="006A6770"/>
    <w:rsid w:val="006A7524"/>
    <w:rsid w:val="006B0150"/>
    <w:rsid w:val="006B0DDF"/>
    <w:rsid w:val="006B23C7"/>
    <w:rsid w:val="006B2861"/>
    <w:rsid w:val="006B2DE3"/>
    <w:rsid w:val="006B3153"/>
    <w:rsid w:val="006B353D"/>
    <w:rsid w:val="006B3619"/>
    <w:rsid w:val="006B3A52"/>
    <w:rsid w:val="006B3D4B"/>
    <w:rsid w:val="006B4333"/>
    <w:rsid w:val="006B4625"/>
    <w:rsid w:val="006B46F9"/>
    <w:rsid w:val="006B482F"/>
    <w:rsid w:val="006B48AB"/>
    <w:rsid w:val="006B4FB6"/>
    <w:rsid w:val="006B540C"/>
    <w:rsid w:val="006B569C"/>
    <w:rsid w:val="006B5AC4"/>
    <w:rsid w:val="006B5C81"/>
    <w:rsid w:val="006B5D3C"/>
    <w:rsid w:val="006B5ED1"/>
    <w:rsid w:val="006B6178"/>
    <w:rsid w:val="006B69A3"/>
    <w:rsid w:val="006B69EC"/>
    <w:rsid w:val="006B6CCE"/>
    <w:rsid w:val="006B70B9"/>
    <w:rsid w:val="006B7349"/>
    <w:rsid w:val="006B757B"/>
    <w:rsid w:val="006B7791"/>
    <w:rsid w:val="006B7D85"/>
    <w:rsid w:val="006B7E6D"/>
    <w:rsid w:val="006C04D5"/>
    <w:rsid w:val="006C0619"/>
    <w:rsid w:val="006C08B0"/>
    <w:rsid w:val="006C0A8C"/>
    <w:rsid w:val="006C0DAA"/>
    <w:rsid w:val="006C124F"/>
    <w:rsid w:val="006C131E"/>
    <w:rsid w:val="006C146E"/>
    <w:rsid w:val="006C14DA"/>
    <w:rsid w:val="006C1629"/>
    <w:rsid w:val="006C18F5"/>
    <w:rsid w:val="006C1C94"/>
    <w:rsid w:val="006C1FC1"/>
    <w:rsid w:val="006C2A0D"/>
    <w:rsid w:val="006C2E91"/>
    <w:rsid w:val="006C344F"/>
    <w:rsid w:val="006C3676"/>
    <w:rsid w:val="006C36F4"/>
    <w:rsid w:val="006C3B9D"/>
    <w:rsid w:val="006C4C5F"/>
    <w:rsid w:val="006C4CCC"/>
    <w:rsid w:val="006C52BD"/>
    <w:rsid w:val="006C55FC"/>
    <w:rsid w:val="006C5BD9"/>
    <w:rsid w:val="006C5CED"/>
    <w:rsid w:val="006C5E5F"/>
    <w:rsid w:val="006C5ECD"/>
    <w:rsid w:val="006C64C1"/>
    <w:rsid w:val="006C6532"/>
    <w:rsid w:val="006C67AE"/>
    <w:rsid w:val="006C6D33"/>
    <w:rsid w:val="006C6D7C"/>
    <w:rsid w:val="006C6EAE"/>
    <w:rsid w:val="006C76E8"/>
    <w:rsid w:val="006C7CCB"/>
    <w:rsid w:val="006C7FAA"/>
    <w:rsid w:val="006D011D"/>
    <w:rsid w:val="006D016A"/>
    <w:rsid w:val="006D01B0"/>
    <w:rsid w:val="006D04B2"/>
    <w:rsid w:val="006D04E5"/>
    <w:rsid w:val="006D0624"/>
    <w:rsid w:val="006D0717"/>
    <w:rsid w:val="006D0754"/>
    <w:rsid w:val="006D08F0"/>
    <w:rsid w:val="006D0B1E"/>
    <w:rsid w:val="006D106E"/>
    <w:rsid w:val="006D10A6"/>
    <w:rsid w:val="006D1166"/>
    <w:rsid w:val="006D11C2"/>
    <w:rsid w:val="006D126D"/>
    <w:rsid w:val="006D1275"/>
    <w:rsid w:val="006D1381"/>
    <w:rsid w:val="006D1C95"/>
    <w:rsid w:val="006D1CC3"/>
    <w:rsid w:val="006D1E82"/>
    <w:rsid w:val="006D1F20"/>
    <w:rsid w:val="006D2353"/>
    <w:rsid w:val="006D2813"/>
    <w:rsid w:val="006D2A23"/>
    <w:rsid w:val="006D2C7A"/>
    <w:rsid w:val="006D2D21"/>
    <w:rsid w:val="006D3514"/>
    <w:rsid w:val="006D3AB9"/>
    <w:rsid w:val="006D44F6"/>
    <w:rsid w:val="006D4784"/>
    <w:rsid w:val="006D5087"/>
    <w:rsid w:val="006D5324"/>
    <w:rsid w:val="006D5592"/>
    <w:rsid w:val="006D5613"/>
    <w:rsid w:val="006D5904"/>
    <w:rsid w:val="006D5E4B"/>
    <w:rsid w:val="006D6088"/>
    <w:rsid w:val="006D66DE"/>
    <w:rsid w:val="006D6A4C"/>
    <w:rsid w:val="006D7018"/>
    <w:rsid w:val="006D7151"/>
    <w:rsid w:val="006D734A"/>
    <w:rsid w:val="006D738A"/>
    <w:rsid w:val="006D73AA"/>
    <w:rsid w:val="006D79E8"/>
    <w:rsid w:val="006D7C50"/>
    <w:rsid w:val="006E023F"/>
    <w:rsid w:val="006E054D"/>
    <w:rsid w:val="006E06DA"/>
    <w:rsid w:val="006E081D"/>
    <w:rsid w:val="006E0999"/>
    <w:rsid w:val="006E09EB"/>
    <w:rsid w:val="006E0BF2"/>
    <w:rsid w:val="006E0E1F"/>
    <w:rsid w:val="006E1700"/>
    <w:rsid w:val="006E1A18"/>
    <w:rsid w:val="006E1D11"/>
    <w:rsid w:val="006E1D94"/>
    <w:rsid w:val="006E2033"/>
    <w:rsid w:val="006E223B"/>
    <w:rsid w:val="006E26A4"/>
    <w:rsid w:val="006E27D6"/>
    <w:rsid w:val="006E2C21"/>
    <w:rsid w:val="006E2D89"/>
    <w:rsid w:val="006E2E65"/>
    <w:rsid w:val="006E2F21"/>
    <w:rsid w:val="006E316B"/>
    <w:rsid w:val="006E32F5"/>
    <w:rsid w:val="006E354E"/>
    <w:rsid w:val="006E3654"/>
    <w:rsid w:val="006E3948"/>
    <w:rsid w:val="006E3B9A"/>
    <w:rsid w:val="006E3CD7"/>
    <w:rsid w:val="006E3E99"/>
    <w:rsid w:val="006E4396"/>
    <w:rsid w:val="006E43DC"/>
    <w:rsid w:val="006E44CE"/>
    <w:rsid w:val="006E4B86"/>
    <w:rsid w:val="006E4C21"/>
    <w:rsid w:val="006E4D10"/>
    <w:rsid w:val="006E52F3"/>
    <w:rsid w:val="006E550E"/>
    <w:rsid w:val="006E553C"/>
    <w:rsid w:val="006E56E9"/>
    <w:rsid w:val="006E579A"/>
    <w:rsid w:val="006E591D"/>
    <w:rsid w:val="006E59E0"/>
    <w:rsid w:val="006E5B89"/>
    <w:rsid w:val="006E5C20"/>
    <w:rsid w:val="006E5E76"/>
    <w:rsid w:val="006E61F5"/>
    <w:rsid w:val="006E630F"/>
    <w:rsid w:val="006E6396"/>
    <w:rsid w:val="006E660E"/>
    <w:rsid w:val="006E6AC1"/>
    <w:rsid w:val="006E7025"/>
    <w:rsid w:val="006E734F"/>
    <w:rsid w:val="006E797D"/>
    <w:rsid w:val="006E7EBC"/>
    <w:rsid w:val="006F02E4"/>
    <w:rsid w:val="006F0507"/>
    <w:rsid w:val="006F0AF3"/>
    <w:rsid w:val="006F10CD"/>
    <w:rsid w:val="006F14FA"/>
    <w:rsid w:val="006F197A"/>
    <w:rsid w:val="006F1EA5"/>
    <w:rsid w:val="006F1FBA"/>
    <w:rsid w:val="006F2436"/>
    <w:rsid w:val="006F2737"/>
    <w:rsid w:val="006F2A96"/>
    <w:rsid w:val="006F2C03"/>
    <w:rsid w:val="006F2D8B"/>
    <w:rsid w:val="006F32DB"/>
    <w:rsid w:val="006F3842"/>
    <w:rsid w:val="006F41A7"/>
    <w:rsid w:val="006F446F"/>
    <w:rsid w:val="006F461D"/>
    <w:rsid w:val="006F4700"/>
    <w:rsid w:val="006F481E"/>
    <w:rsid w:val="006F4CBF"/>
    <w:rsid w:val="006F527F"/>
    <w:rsid w:val="006F54B7"/>
    <w:rsid w:val="006F551D"/>
    <w:rsid w:val="006F553F"/>
    <w:rsid w:val="006F5C28"/>
    <w:rsid w:val="006F6136"/>
    <w:rsid w:val="006F61CC"/>
    <w:rsid w:val="006F65E5"/>
    <w:rsid w:val="006F665F"/>
    <w:rsid w:val="006F6A66"/>
    <w:rsid w:val="006F6DF3"/>
    <w:rsid w:val="006F6EA9"/>
    <w:rsid w:val="006F6FB8"/>
    <w:rsid w:val="006F702A"/>
    <w:rsid w:val="006F75D2"/>
    <w:rsid w:val="006F76B6"/>
    <w:rsid w:val="006F7D9D"/>
    <w:rsid w:val="00700218"/>
    <w:rsid w:val="007005A0"/>
    <w:rsid w:val="007005F7"/>
    <w:rsid w:val="007006B0"/>
    <w:rsid w:val="00700717"/>
    <w:rsid w:val="007008F0"/>
    <w:rsid w:val="00700909"/>
    <w:rsid w:val="00701310"/>
    <w:rsid w:val="007014E6"/>
    <w:rsid w:val="007015BD"/>
    <w:rsid w:val="007017C4"/>
    <w:rsid w:val="00701AE1"/>
    <w:rsid w:val="00701D38"/>
    <w:rsid w:val="00702094"/>
    <w:rsid w:val="007020E7"/>
    <w:rsid w:val="00702113"/>
    <w:rsid w:val="00702709"/>
    <w:rsid w:val="0070290E"/>
    <w:rsid w:val="007029AC"/>
    <w:rsid w:val="0070335D"/>
    <w:rsid w:val="00703D94"/>
    <w:rsid w:val="007040D7"/>
    <w:rsid w:val="00704311"/>
    <w:rsid w:val="007044CC"/>
    <w:rsid w:val="00704867"/>
    <w:rsid w:val="00704B89"/>
    <w:rsid w:val="00704D46"/>
    <w:rsid w:val="00704E6A"/>
    <w:rsid w:val="0070528A"/>
    <w:rsid w:val="007053FE"/>
    <w:rsid w:val="00705D8C"/>
    <w:rsid w:val="00705FC1"/>
    <w:rsid w:val="00705FC5"/>
    <w:rsid w:val="00706020"/>
    <w:rsid w:val="007061D5"/>
    <w:rsid w:val="00706A0B"/>
    <w:rsid w:val="00707861"/>
    <w:rsid w:val="0070798E"/>
    <w:rsid w:val="00707A53"/>
    <w:rsid w:val="00710758"/>
    <w:rsid w:val="00710A5B"/>
    <w:rsid w:val="00711179"/>
    <w:rsid w:val="0071139C"/>
    <w:rsid w:val="0071141B"/>
    <w:rsid w:val="00711A9E"/>
    <w:rsid w:val="00711AEF"/>
    <w:rsid w:val="00711F2A"/>
    <w:rsid w:val="00712015"/>
    <w:rsid w:val="00712115"/>
    <w:rsid w:val="00712242"/>
    <w:rsid w:val="00712369"/>
    <w:rsid w:val="00712A7B"/>
    <w:rsid w:val="00712DFA"/>
    <w:rsid w:val="00713166"/>
    <w:rsid w:val="007132FE"/>
    <w:rsid w:val="007139AB"/>
    <w:rsid w:val="00713E95"/>
    <w:rsid w:val="00714946"/>
    <w:rsid w:val="00714DD2"/>
    <w:rsid w:val="00714FE9"/>
    <w:rsid w:val="007150C2"/>
    <w:rsid w:val="0071537C"/>
    <w:rsid w:val="007153C6"/>
    <w:rsid w:val="007154E8"/>
    <w:rsid w:val="00715955"/>
    <w:rsid w:val="00715B4C"/>
    <w:rsid w:val="00715D36"/>
    <w:rsid w:val="00715E98"/>
    <w:rsid w:val="00715FD8"/>
    <w:rsid w:val="0071635C"/>
    <w:rsid w:val="007167EA"/>
    <w:rsid w:val="00716C1F"/>
    <w:rsid w:val="00717A49"/>
    <w:rsid w:val="00717F57"/>
    <w:rsid w:val="00720167"/>
    <w:rsid w:val="007201B5"/>
    <w:rsid w:val="0072037D"/>
    <w:rsid w:val="00720740"/>
    <w:rsid w:val="00721151"/>
    <w:rsid w:val="007212B3"/>
    <w:rsid w:val="00721627"/>
    <w:rsid w:val="0072166D"/>
    <w:rsid w:val="00722D9C"/>
    <w:rsid w:val="007230A1"/>
    <w:rsid w:val="00723267"/>
    <w:rsid w:val="00723C2C"/>
    <w:rsid w:val="00724203"/>
    <w:rsid w:val="0072431C"/>
    <w:rsid w:val="00724748"/>
    <w:rsid w:val="00724ABC"/>
    <w:rsid w:val="00725349"/>
    <w:rsid w:val="00725803"/>
    <w:rsid w:val="00725A25"/>
    <w:rsid w:val="00725A30"/>
    <w:rsid w:val="00725F20"/>
    <w:rsid w:val="00725F5D"/>
    <w:rsid w:val="0072619C"/>
    <w:rsid w:val="00726612"/>
    <w:rsid w:val="007268C7"/>
    <w:rsid w:val="007269F8"/>
    <w:rsid w:val="00726EBE"/>
    <w:rsid w:val="00727244"/>
    <w:rsid w:val="0072726B"/>
    <w:rsid w:val="00727513"/>
    <w:rsid w:val="007277B0"/>
    <w:rsid w:val="00727A95"/>
    <w:rsid w:val="00727D8D"/>
    <w:rsid w:val="00727DEC"/>
    <w:rsid w:val="00727E24"/>
    <w:rsid w:val="00727F79"/>
    <w:rsid w:val="0073013E"/>
    <w:rsid w:val="007306A9"/>
    <w:rsid w:val="00730895"/>
    <w:rsid w:val="00730896"/>
    <w:rsid w:val="00730BEC"/>
    <w:rsid w:val="00730E25"/>
    <w:rsid w:val="00731197"/>
    <w:rsid w:val="0073123F"/>
    <w:rsid w:val="0073174E"/>
    <w:rsid w:val="00731812"/>
    <w:rsid w:val="00731AE8"/>
    <w:rsid w:val="00731C6F"/>
    <w:rsid w:val="00731E44"/>
    <w:rsid w:val="00732451"/>
    <w:rsid w:val="00732554"/>
    <w:rsid w:val="00732913"/>
    <w:rsid w:val="007329FD"/>
    <w:rsid w:val="0073319C"/>
    <w:rsid w:val="0073328E"/>
    <w:rsid w:val="0073330C"/>
    <w:rsid w:val="007333E6"/>
    <w:rsid w:val="00733932"/>
    <w:rsid w:val="0073399F"/>
    <w:rsid w:val="00733A14"/>
    <w:rsid w:val="00733B8A"/>
    <w:rsid w:val="007343CC"/>
    <w:rsid w:val="0073447E"/>
    <w:rsid w:val="0073488B"/>
    <w:rsid w:val="007349F0"/>
    <w:rsid w:val="007350BA"/>
    <w:rsid w:val="00735199"/>
    <w:rsid w:val="0073633B"/>
    <w:rsid w:val="00736615"/>
    <w:rsid w:val="0073676C"/>
    <w:rsid w:val="007367F2"/>
    <w:rsid w:val="00737BA2"/>
    <w:rsid w:val="00737EA5"/>
    <w:rsid w:val="00740371"/>
    <w:rsid w:val="007407D1"/>
    <w:rsid w:val="00740BBE"/>
    <w:rsid w:val="00740C8D"/>
    <w:rsid w:val="0074110D"/>
    <w:rsid w:val="00741347"/>
    <w:rsid w:val="00741473"/>
    <w:rsid w:val="007417EF"/>
    <w:rsid w:val="00742578"/>
    <w:rsid w:val="00742983"/>
    <w:rsid w:val="00743C62"/>
    <w:rsid w:val="00744182"/>
    <w:rsid w:val="00744318"/>
    <w:rsid w:val="007443BE"/>
    <w:rsid w:val="0074474F"/>
    <w:rsid w:val="007451FD"/>
    <w:rsid w:val="00745811"/>
    <w:rsid w:val="00745CC4"/>
    <w:rsid w:val="00745E88"/>
    <w:rsid w:val="00745EFC"/>
    <w:rsid w:val="00745F7B"/>
    <w:rsid w:val="0074601B"/>
    <w:rsid w:val="00746262"/>
    <w:rsid w:val="00746311"/>
    <w:rsid w:val="00746387"/>
    <w:rsid w:val="00746431"/>
    <w:rsid w:val="007468CA"/>
    <w:rsid w:val="0074739D"/>
    <w:rsid w:val="007473E4"/>
    <w:rsid w:val="007475DB"/>
    <w:rsid w:val="0074781E"/>
    <w:rsid w:val="007479BF"/>
    <w:rsid w:val="007504DE"/>
    <w:rsid w:val="0075054F"/>
    <w:rsid w:val="007505A0"/>
    <w:rsid w:val="00750DED"/>
    <w:rsid w:val="00750EFF"/>
    <w:rsid w:val="007511B3"/>
    <w:rsid w:val="007512D2"/>
    <w:rsid w:val="007515B0"/>
    <w:rsid w:val="007525B9"/>
    <w:rsid w:val="007528F8"/>
    <w:rsid w:val="00752ABC"/>
    <w:rsid w:val="00752F54"/>
    <w:rsid w:val="00752FE5"/>
    <w:rsid w:val="007535F4"/>
    <w:rsid w:val="00753788"/>
    <w:rsid w:val="0075383D"/>
    <w:rsid w:val="00753940"/>
    <w:rsid w:val="0075398F"/>
    <w:rsid w:val="00753BF2"/>
    <w:rsid w:val="00754A31"/>
    <w:rsid w:val="00754B1D"/>
    <w:rsid w:val="00754E20"/>
    <w:rsid w:val="00755138"/>
    <w:rsid w:val="007551DC"/>
    <w:rsid w:val="007552D9"/>
    <w:rsid w:val="00755320"/>
    <w:rsid w:val="00755672"/>
    <w:rsid w:val="007558E8"/>
    <w:rsid w:val="00755B0F"/>
    <w:rsid w:val="0075601D"/>
    <w:rsid w:val="0075610D"/>
    <w:rsid w:val="00756901"/>
    <w:rsid w:val="00756963"/>
    <w:rsid w:val="00756CA8"/>
    <w:rsid w:val="00757025"/>
    <w:rsid w:val="007573B2"/>
    <w:rsid w:val="00757506"/>
    <w:rsid w:val="007578FB"/>
    <w:rsid w:val="00757F07"/>
    <w:rsid w:val="0076002F"/>
    <w:rsid w:val="0076065B"/>
    <w:rsid w:val="007606EF"/>
    <w:rsid w:val="00760D74"/>
    <w:rsid w:val="007610AD"/>
    <w:rsid w:val="0076119B"/>
    <w:rsid w:val="00761431"/>
    <w:rsid w:val="00761456"/>
    <w:rsid w:val="0076188D"/>
    <w:rsid w:val="00761A54"/>
    <w:rsid w:val="00761FF6"/>
    <w:rsid w:val="007621CC"/>
    <w:rsid w:val="007623B7"/>
    <w:rsid w:val="007623BC"/>
    <w:rsid w:val="00762B3B"/>
    <w:rsid w:val="00762B99"/>
    <w:rsid w:val="007638ED"/>
    <w:rsid w:val="007638F6"/>
    <w:rsid w:val="007639BF"/>
    <w:rsid w:val="00763A70"/>
    <w:rsid w:val="00763F24"/>
    <w:rsid w:val="00764A02"/>
    <w:rsid w:val="00764A13"/>
    <w:rsid w:val="00764A48"/>
    <w:rsid w:val="00764AB7"/>
    <w:rsid w:val="00764ACF"/>
    <w:rsid w:val="00764C5E"/>
    <w:rsid w:val="0076504A"/>
    <w:rsid w:val="00765106"/>
    <w:rsid w:val="00765267"/>
    <w:rsid w:val="00765380"/>
    <w:rsid w:val="00765434"/>
    <w:rsid w:val="00765459"/>
    <w:rsid w:val="0076553B"/>
    <w:rsid w:val="00765714"/>
    <w:rsid w:val="00765889"/>
    <w:rsid w:val="007659A7"/>
    <w:rsid w:val="00765AE4"/>
    <w:rsid w:val="00765DE2"/>
    <w:rsid w:val="00765FE8"/>
    <w:rsid w:val="007660EE"/>
    <w:rsid w:val="00766284"/>
    <w:rsid w:val="00766326"/>
    <w:rsid w:val="007673C8"/>
    <w:rsid w:val="007676DD"/>
    <w:rsid w:val="0076778B"/>
    <w:rsid w:val="0077026B"/>
    <w:rsid w:val="0077059B"/>
    <w:rsid w:val="0077063D"/>
    <w:rsid w:val="00770A9A"/>
    <w:rsid w:val="00771A79"/>
    <w:rsid w:val="00771D7A"/>
    <w:rsid w:val="00771E5C"/>
    <w:rsid w:val="007722A1"/>
    <w:rsid w:val="00772E2B"/>
    <w:rsid w:val="00772F91"/>
    <w:rsid w:val="00773605"/>
    <w:rsid w:val="007738A0"/>
    <w:rsid w:val="007739B2"/>
    <w:rsid w:val="00773B58"/>
    <w:rsid w:val="00773E01"/>
    <w:rsid w:val="007743C2"/>
    <w:rsid w:val="007744A5"/>
    <w:rsid w:val="00775A76"/>
    <w:rsid w:val="00775B67"/>
    <w:rsid w:val="00775C40"/>
    <w:rsid w:val="0077610C"/>
    <w:rsid w:val="00776113"/>
    <w:rsid w:val="00776174"/>
    <w:rsid w:val="00776582"/>
    <w:rsid w:val="00776803"/>
    <w:rsid w:val="00776880"/>
    <w:rsid w:val="00776B95"/>
    <w:rsid w:val="00776D45"/>
    <w:rsid w:val="00776EF6"/>
    <w:rsid w:val="00777C7B"/>
    <w:rsid w:val="00777D79"/>
    <w:rsid w:val="00777F40"/>
    <w:rsid w:val="0078007C"/>
    <w:rsid w:val="0078044B"/>
    <w:rsid w:val="00780A4F"/>
    <w:rsid w:val="00780A7B"/>
    <w:rsid w:val="00780B8D"/>
    <w:rsid w:val="00780C5B"/>
    <w:rsid w:val="00780F3B"/>
    <w:rsid w:val="00780FA6"/>
    <w:rsid w:val="00781343"/>
    <w:rsid w:val="00781B97"/>
    <w:rsid w:val="00782686"/>
    <w:rsid w:val="00782767"/>
    <w:rsid w:val="00782ACC"/>
    <w:rsid w:val="00782C0E"/>
    <w:rsid w:val="00782E46"/>
    <w:rsid w:val="00782F7A"/>
    <w:rsid w:val="0078310B"/>
    <w:rsid w:val="0078314A"/>
    <w:rsid w:val="0078356A"/>
    <w:rsid w:val="007839B7"/>
    <w:rsid w:val="00783E06"/>
    <w:rsid w:val="007840CB"/>
    <w:rsid w:val="007841D8"/>
    <w:rsid w:val="00784484"/>
    <w:rsid w:val="007844B8"/>
    <w:rsid w:val="0078499C"/>
    <w:rsid w:val="00784E2B"/>
    <w:rsid w:val="007856C9"/>
    <w:rsid w:val="007856DB"/>
    <w:rsid w:val="007859A9"/>
    <w:rsid w:val="00785BC4"/>
    <w:rsid w:val="00785C94"/>
    <w:rsid w:val="00786335"/>
    <w:rsid w:val="00786716"/>
    <w:rsid w:val="00786EE6"/>
    <w:rsid w:val="0078769C"/>
    <w:rsid w:val="00787875"/>
    <w:rsid w:val="007878EF"/>
    <w:rsid w:val="00787CF9"/>
    <w:rsid w:val="00787D3E"/>
    <w:rsid w:val="00790568"/>
    <w:rsid w:val="007908F1"/>
    <w:rsid w:val="00790935"/>
    <w:rsid w:val="00790975"/>
    <w:rsid w:val="00790DBD"/>
    <w:rsid w:val="00791657"/>
    <w:rsid w:val="00791CDD"/>
    <w:rsid w:val="00791D43"/>
    <w:rsid w:val="0079207A"/>
    <w:rsid w:val="007922C8"/>
    <w:rsid w:val="007928CF"/>
    <w:rsid w:val="00792AF2"/>
    <w:rsid w:val="00792D0C"/>
    <w:rsid w:val="00792E3A"/>
    <w:rsid w:val="0079381B"/>
    <w:rsid w:val="00793861"/>
    <w:rsid w:val="00793B20"/>
    <w:rsid w:val="007941BA"/>
    <w:rsid w:val="00794481"/>
    <w:rsid w:val="007946DA"/>
    <w:rsid w:val="007949A2"/>
    <w:rsid w:val="007949A8"/>
    <w:rsid w:val="00794BB0"/>
    <w:rsid w:val="00794E8D"/>
    <w:rsid w:val="00795060"/>
    <w:rsid w:val="007953BF"/>
    <w:rsid w:val="0079568A"/>
    <w:rsid w:val="007958FF"/>
    <w:rsid w:val="00795ED8"/>
    <w:rsid w:val="00796363"/>
    <w:rsid w:val="007963B5"/>
    <w:rsid w:val="00796738"/>
    <w:rsid w:val="00796B06"/>
    <w:rsid w:val="00796B9D"/>
    <w:rsid w:val="00796F49"/>
    <w:rsid w:val="00797483"/>
    <w:rsid w:val="00797A17"/>
    <w:rsid w:val="00797B75"/>
    <w:rsid w:val="00797EE4"/>
    <w:rsid w:val="007A035A"/>
    <w:rsid w:val="007A0497"/>
    <w:rsid w:val="007A0C34"/>
    <w:rsid w:val="007A1BA2"/>
    <w:rsid w:val="007A1E2F"/>
    <w:rsid w:val="007A2523"/>
    <w:rsid w:val="007A264E"/>
    <w:rsid w:val="007A2C6A"/>
    <w:rsid w:val="007A2C8E"/>
    <w:rsid w:val="007A2F3A"/>
    <w:rsid w:val="007A3586"/>
    <w:rsid w:val="007A3608"/>
    <w:rsid w:val="007A3D85"/>
    <w:rsid w:val="007A4172"/>
    <w:rsid w:val="007A43EC"/>
    <w:rsid w:val="007A45CA"/>
    <w:rsid w:val="007A4725"/>
    <w:rsid w:val="007A4774"/>
    <w:rsid w:val="007A480C"/>
    <w:rsid w:val="007A4BE1"/>
    <w:rsid w:val="007A4D66"/>
    <w:rsid w:val="007A4DB7"/>
    <w:rsid w:val="007A553E"/>
    <w:rsid w:val="007A573F"/>
    <w:rsid w:val="007A5AA1"/>
    <w:rsid w:val="007A6695"/>
    <w:rsid w:val="007A67B8"/>
    <w:rsid w:val="007A7109"/>
    <w:rsid w:val="007A71A4"/>
    <w:rsid w:val="007A723C"/>
    <w:rsid w:val="007A76EC"/>
    <w:rsid w:val="007A7C1F"/>
    <w:rsid w:val="007A7D1F"/>
    <w:rsid w:val="007A7F96"/>
    <w:rsid w:val="007B0233"/>
    <w:rsid w:val="007B0B34"/>
    <w:rsid w:val="007B0EFD"/>
    <w:rsid w:val="007B1187"/>
    <w:rsid w:val="007B13C2"/>
    <w:rsid w:val="007B1796"/>
    <w:rsid w:val="007B19B1"/>
    <w:rsid w:val="007B1B29"/>
    <w:rsid w:val="007B1D8F"/>
    <w:rsid w:val="007B2228"/>
    <w:rsid w:val="007B23AD"/>
    <w:rsid w:val="007B263F"/>
    <w:rsid w:val="007B2770"/>
    <w:rsid w:val="007B2793"/>
    <w:rsid w:val="007B27FE"/>
    <w:rsid w:val="007B36DF"/>
    <w:rsid w:val="007B3B13"/>
    <w:rsid w:val="007B4012"/>
    <w:rsid w:val="007B41EE"/>
    <w:rsid w:val="007B42E3"/>
    <w:rsid w:val="007B45A1"/>
    <w:rsid w:val="007B4641"/>
    <w:rsid w:val="007B4BB2"/>
    <w:rsid w:val="007B4E1B"/>
    <w:rsid w:val="007B4F84"/>
    <w:rsid w:val="007B5962"/>
    <w:rsid w:val="007B5FDC"/>
    <w:rsid w:val="007B6384"/>
    <w:rsid w:val="007B6486"/>
    <w:rsid w:val="007B678F"/>
    <w:rsid w:val="007B6D1D"/>
    <w:rsid w:val="007B6FE4"/>
    <w:rsid w:val="007B6FFF"/>
    <w:rsid w:val="007B75B4"/>
    <w:rsid w:val="007B782F"/>
    <w:rsid w:val="007B7F30"/>
    <w:rsid w:val="007C0547"/>
    <w:rsid w:val="007C0C9F"/>
    <w:rsid w:val="007C11A5"/>
    <w:rsid w:val="007C146D"/>
    <w:rsid w:val="007C1ADC"/>
    <w:rsid w:val="007C1C3B"/>
    <w:rsid w:val="007C1D43"/>
    <w:rsid w:val="007C23CA"/>
    <w:rsid w:val="007C2641"/>
    <w:rsid w:val="007C29B6"/>
    <w:rsid w:val="007C2AAB"/>
    <w:rsid w:val="007C2BDF"/>
    <w:rsid w:val="007C3E70"/>
    <w:rsid w:val="007C41E6"/>
    <w:rsid w:val="007C42DD"/>
    <w:rsid w:val="007C447C"/>
    <w:rsid w:val="007C4866"/>
    <w:rsid w:val="007C4EA8"/>
    <w:rsid w:val="007C4EAC"/>
    <w:rsid w:val="007C502B"/>
    <w:rsid w:val="007C5117"/>
    <w:rsid w:val="007C52AB"/>
    <w:rsid w:val="007C55D9"/>
    <w:rsid w:val="007C5980"/>
    <w:rsid w:val="007C63B5"/>
    <w:rsid w:val="007C64F0"/>
    <w:rsid w:val="007C653F"/>
    <w:rsid w:val="007C6718"/>
    <w:rsid w:val="007C6726"/>
    <w:rsid w:val="007C6790"/>
    <w:rsid w:val="007C6B25"/>
    <w:rsid w:val="007C6F08"/>
    <w:rsid w:val="007C70CF"/>
    <w:rsid w:val="007C764E"/>
    <w:rsid w:val="007C77E0"/>
    <w:rsid w:val="007C7C77"/>
    <w:rsid w:val="007D02B4"/>
    <w:rsid w:val="007D03AB"/>
    <w:rsid w:val="007D0552"/>
    <w:rsid w:val="007D05DB"/>
    <w:rsid w:val="007D07B5"/>
    <w:rsid w:val="007D0973"/>
    <w:rsid w:val="007D0D72"/>
    <w:rsid w:val="007D126F"/>
    <w:rsid w:val="007D1506"/>
    <w:rsid w:val="007D15CB"/>
    <w:rsid w:val="007D2093"/>
    <w:rsid w:val="007D2384"/>
    <w:rsid w:val="007D23B1"/>
    <w:rsid w:val="007D2480"/>
    <w:rsid w:val="007D2F93"/>
    <w:rsid w:val="007D331D"/>
    <w:rsid w:val="007D355D"/>
    <w:rsid w:val="007D389B"/>
    <w:rsid w:val="007D391E"/>
    <w:rsid w:val="007D3939"/>
    <w:rsid w:val="007D3A55"/>
    <w:rsid w:val="007D3B4E"/>
    <w:rsid w:val="007D3FE4"/>
    <w:rsid w:val="007D45B5"/>
    <w:rsid w:val="007D473A"/>
    <w:rsid w:val="007D49E1"/>
    <w:rsid w:val="007D4F98"/>
    <w:rsid w:val="007D54B7"/>
    <w:rsid w:val="007D555F"/>
    <w:rsid w:val="007D6608"/>
    <w:rsid w:val="007D6724"/>
    <w:rsid w:val="007D68B7"/>
    <w:rsid w:val="007D6C92"/>
    <w:rsid w:val="007D728F"/>
    <w:rsid w:val="007D76F0"/>
    <w:rsid w:val="007D7A90"/>
    <w:rsid w:val="007D7A9B"/>
    <w:rsid w:val="007D7EB8"/>
    <w:rsid w:val="007E02D0"/>
    <w:rsid w:val="007E040E"/>
    <w:rsid w:val="007E07AA"/>
    <w:rsid w:val="007E09DA"/>
    <w:rsid w:val="007E10CE"/>
    <w:rsid w:val="007E1638"/>
    <w:rsid w:val="007E17E5"/>
    <w:rsid w:val="007E19DF"/>
    <w:rsid w:val="007E1BC0"/>
    <w:rsid w:val="007E1D86"/>
    <w:rsid w:val="007E24B7"/>
    <w:rsid w:val="007E2923"/>
    <w:rsid w:val="007E2B5B"/>
    <w:rsid w:val="007E33E0"/>
    <w:rsid w:val="007E3CA3"/>
    <w:rsid w:val="007E437B"/>
    <w:rsid w:val="007E476C"/>
    <w:rsid w:val="007E4CCB"/>
    <w:rsid w:val="007E5044"/>
    <w:rsid w:val="007E5379"/>
    <w:rsid w:val="007E5D8A"/>
    <w:rsid w:val="007E61A2"/>
    <w:rsid w:val="007E61D5"/>
    <w:rsid w:val="007E61F2"/>
    <w:rsid w:val="007E6505"/>
    <w:rsid w:val="007E67F3"/>
    <w:rsid w:val="007E6936"/>
    <w:rsid w:val="007E6B30"/>
    <w:rsid w:val="007E7201"/>
    <w:rsid w:val="007E7701"/>
    <w:rsid w:val="007F007E"/>
    <w:rsid w:val="007F02ED"/>
    <w:rsid w:val="007F02FE"/>
    <w:rsid w:val="007F055F"/>
    <w:rsid w:val="007F08B6"/>
    <w:rsid w:val="007F095C"/>
    <w:rsid w:val="007F0BCB"/>
    <w:rsid w:val="007F0E75"/>
    <w:rsid w:val="007F1595"/>
    <w:rsid w:val="007F19A4"/>
    <w:rsid w:val="007F1F3C"/>
    <w:rsid w:val="007F2008"/>
    <w:rsid w:val="007F218F"/>
    <w:rsid w:val="007F2BCC"/>
    <w:rsid w:val="007F303D"/>
    <w:rsid w:val="007F31BD"/>
    <w:rsid w:val="007F33AD"/>
    <w:rsid w:val="007F3993"/>
    <w:rsid w:val="007F3AC7"/>
    <w:rsid w:val="007F3FE6"/>
    <w:rsid w:val="007F40AF"/>
    <w:rsid w:val="007F47DD"/>
    <w:rsid w:val="007F4DE1"/>
    <w:rsid w:val="007F4F0C"/>
    <w:rsid w:val="007F5005"/>
    <w:rsid w:val="007F518A"/>
    <w:rsid w:val="007F5948"/>
    <w:rsid w:val="007F5A5A"/>
    <w:rsid w:val="007F5D4D"/>
    <w:rsid w:val="007F5F0D"/>
    <w:rsid w:val="007F5F40"/>
    <w:rsid w:val="007F6302"/>
    <w:rsid w:val="007F6BD1"/>
    <w:rsid w:val="007F6DF1"/>
    <w:rsid w:val="007F6F5A"/>
    <w:rsid w:val="007F6FD6"/>
    <w:rsid w:val="007F7077"/>
    <w:rsid w:val="007F75A6"/>
    <w:rsid w:val="007F75DB"/>
    <w:rsid w:val="007F76B2"/>
    <w:rsid w:val="007F7732"/>
    <w:rsid w:val="007F78BD"/>
    <w:rsid w:val="007F79D8"/>
    <w:rsid w:val="007F7FF3"/>
    <w:rsid w:val="0080017B"/>
    <w:rsid w:val="00800533"/>
    <w:rsid w:val="00800609"/>
    <w:rsid w:val="00800B12"/>
    <w:rsid w:val="00800FD7"/>
    <w:rsid w:val="0080146D"/>
    <w:rsid w:val="008019C0"/>
    <w:rsid w:val="00801D33"/>
    <w:rsid w:val="008025A8"/>
    <w:rsid w:val="0080264F"/>
    <w:rsid w:val="0080298A"/>
    <w:rsid w:val="00802A48"/>
    <w:rsid w:val="00802C47"/>
    <w:rsid w:val="00802DCA"/>
    <w:rsid w:val="00803003"/>
    <w:rsid w:val="008036B7"/>
    <w:rsid w:val="00803AB3"/>
    <w:rsid w:val="00803AF6"/>
    <w:rsid w:val="00803B67"/>
    <w:rsid w:val="00803CF6"/>
    <w:rsid w:val="00803CF9"/>
    <w:rsid w:val="00804172"/>
    <w:rsid w:val="00804236"/>
    <w:rsid w:val="0080423D"/>
    <w:rsid w:val="0080447A"/>
    <w:rsid w:val="00804693"/>
    <w:rsid w:val="00804795"/>
    <w:rsid w:val="00806453"/>
    <w:rsid w:val="00806489"/>
    <w:rsid w:val="0080665A"/>
    <w:rsid w:val="00806873"/>
    <w:rsid w:val="00806884"/>
    <w:rsid w:val="00806A6E"/>
    <w:rsid w:val="00806CB7"/>
    <w:rsid w:val="00806F75"/>
    <w:rsid w:val="0080702D"/>
    <w:rsid w:val="00807038"/>
    <w:rsid w:val="0080756D"/>
    <w:rsid w:val="00807667"/>
    <w:rsid w:val="00807978"/>
    <w:rsid w:val="00807AF4"/>
    <w:rsid w:val="0081012C"/>
    <w:rsid w:val="00810147"/>
    <w:rsid w:val="00810503"/>
    <w:rsid w:val="00810676"/>
    <w:rsid w:val="00810B3A"/>
    <w:rsid w:val="00810F2E"/>
    <w:rsid w:val="00810FF4"/>
    <w:rsid w:val="008110B1"/>
    <w:rsid w:val="00811361"/>
    <w:rsid w:val="0081161F"/>
    <w:rsid w:val="00811B00"/>
    <w:rsid w:val="00811EBB"/>
    <w:rsid w:val="00812126"/>
    <w:rsid w:val="0081247A"/>
    <w:rsid w:val="00812835"/>
    <w:rsid w:val="00812E48"/>
    <w:rsid w:val="00812E9E"/>
    <w:rsid w:val="008137B6"/>
    <w:rsid w:val="00813927"/>
    <w:rsid w:val="00813A5F"/>
    <w:rsid w:val="00813CBB"/>
    <w:rsid w:val="008141D5"/>
    <w:rsid w:val="008142CD"/>
    <w:rsid w:val="008143ED"/>
    <w:rsid w:val="008146AE"/>
    <w:rsid w:val="00814967"/>
    <w:rsid w:val="00814C5E"/>
    <w:rsid w:val="00815337"/>
    <w:rsid w:val="008154BC"/>
    <w:rsid w:val="0081579A"/>
    <w:rsid w:val="0081625D"/>
    <w:rsid w:val="008163C2"/>
    <w:rsid w:val="0081662F"/>
    <w:rsid w:val="00816767"/>
    <w:rsid w:val="00816939"/>
    <w:rsid w:val="00816B38"/>
    <w:rsid w:val="00816C66"/>
    <w:rsid w:val="00816F74"/>
    <w:rsid w:val="00817082"/>
    <w:rsid w:val="008170B9"/>
    <w:rsid w:val="00817254"/>
    <w:rsid w:val="0081740F"/>
    <w:rsid w:val="0081763C"/>
    <w:rsid w:val="00817645"/>
    <w:rsid w:val="00817EBA"/>
    <w:rsid w:val="00820520"/>
    <w:rsid w:val="00820703"/>
    <w:rsid w:val="00820758"/>
    <w:rsid w:val="00820B4A"/>
    <w:rsid w:val="00820FB2"/>
    <w:rsid w:val="0082121A"/>
    <w:rsid w:val="008212BC"/>
    <w:rsid w:val="00821A09"/>
    <w:rsid w:val="00821EA4"/>
    <w:rsid w:val="00822136"/>
    <w:rsid w:val="00822B93"/>
    <w:rsid w:val="008231AF"/>
    <w:rsid w:val="008234DD"/>
    <w:rsid w:val="00823534"/>
    <w:rsid w:val="00823558"/>
    <w:rsid w:val="00823CAF"/>
    <w:rsid w:val="00823D08"/>
    <w:rsid w:val="00824067"/>
    <w:rsid w:val="0082411F"/>
    <w:rsid w:val="00824460"/>
    <w:rsid w:val="00824B5F"/>
    <w:rsid w:val="00824BF5"/>
    <w:rsid w:val="00824C5E"/>
    <w:rsid w:val="008251D7"/>
    <w:rsid w:val="00825459"/>
    <w:rsid w:val="0082560C"/>
    <w:rsid w:val="00825A0A"/>
    <w:rsid w:val="00825EFB"/>
    <w:rsid w:val="008264E9"/>
    <w:rsid w:val="00826947"/>
    <w:rsid w:val="00826AFE"/>
    <w:rsid w:val="00826F82"/>
    <w:rsid w:val="00827D32"/>
    <w:rsid w:val="0083033A"/>
    <w:rsid w:val="00830683"/>
    <w:rsid w:val="00830AEB"/>
    <w:rsid w:val="00831C93"/>
    <w:rsid w:val="00831CA5"/>
    <w:rsid w:val="008324AB"/>
    <w:rsid w:val="00832941"/>
    <w:rsid w:val="00832B87"/>
    <w:rsid w:val="00832EA2"/>
    <w:rsid w:val="00832EAF"/>
    <w:rsid w:val="0083318E"/>
    <w:rsid w:val="00833F73"/>
    <w:rsid w:val="00834250"/>
    <w:rsid w:val="00834253"/>
    <w:rsid w:val="008342DF"/>
    <w:rsid w:val="00834331"/>
    <w:rsid w:val="00834EA5"/>
    <w:rsid w:val="0083657C"/>
    <w:rsid w:val="00836757"/>
    <w:rsid w:val="008367CD"/>
    <w:rsid w:val="008368F1"/>
    <w:rsid w:val="00836C9A"/>
    <w:rsid w:val="00836DB3"/>
    <w:rsid w:val="008371AD"/>
    <w:rsid w:val="0083783B"/>
    <w:rsid w:val="00837871"/>
    <w:rsid w:val="008379F8"/>
    <w:rsid w:val="00840146"/>
    <w:rsid w:val="00840392"/>
    <w:rsid w:val="00840BD4"/>
    <w:rsid w:val="00840C40"/>
    <w:rsid w:val="00841076"/>
    <w:rsid w:val="008414A9"/>
    <w:rsid w:val="008417BE"/>
    <w:rsid w:val="00841890"/>
    <w:rsid w:val="0084198C"/>
    <w:rsid w:val="00841B03"/>
    <w:rsid w:val="00841E39"/>
    <w:rsid w:val="00842218"/>
    <w:rsid w:val="00842348"/>
    <w:rsid w:val="008423F5"/>
    <w:rsid w:val="0084247C"/>
    <w:rsid w:val="00842B41"/>
    <w:rsid w:val="00842C6C"/>
    <w:rsid w:val="00842E19"/>
    <w:rsid w:val="00843719"/>
    <w:rsid w:val="00843AA8"/>
    <w:rsid w:val="00843C61"/>
    <w:rsid w:val="00843D85"/>
    <w:rsid w:val="008440B3"/>
    <w:rsid w:val="00844C94"/>
    <w:rsid w:val="00845144"/>
    <w:rsid w:val="008454D7"/>
    <w:rsid w:val="0084555D"/>
    <w:rsid w:val="0084555E"/>
    <w:rsid w:val="008456C4"/>
    <w:rsid w:val="008459A8"/>
    <w:rsid w:val="00845F2B"/>
    <w:rsid w:val="00846025"/>
    <w:rsid w:val="00846171"/>
    <w:rsid w:val="008463ED"/>
    <w:rsid w:val="008466B2"/>
    <w:rsid w:val="00846E3F"/>
    <w:rsid w:val="00846FEA"/>
    <w:rsid w:val="00847345"/>
    <w:rsid w:val="00847465"/>
    <w:rsid w:val="0084767F"/>
    <w:rsid w:val="00847B15"/>
    <w:rsid w:val="008501D5"/>
    <w:rsid w:val="0085037D"/>
    <w:rsid w:val="0085044C"/>
    <w:rsid w:val="008505A8"/>
    <w:rsid w:val="00850A85"/>
    <w:rsid w:val="00850A96"/>
    <w:rsid w:val="00850DDE"/>
    <w:rsid w:val="00851227"/>
    <w:rsid w:val="008515C4"/>
    <w:rsid w:val="00851BB0"/>
    <w:rsid w:val="00852702"/>
    <w:rsid w:val="00852773"/>
    <w:rsid w:val="0085279E"/>
    <w:rsid w:val="0085291E"/>
    <w:rsid w:val="00852AEE"/>
    <w:rsid w:val="00852D5A"/>
    <w:rsid w:val="00852F47"/>
    <w:rsid w:val="00853140"/>
    <w:rsid w:val="00853300"/>
    <w:rsid w:val="00853FE8"/>
    <w:rsid w:val="0085415C"/>
    <w:rsid w:val="00854454"/>
    <w:rsid w:val="008547FD"/>
    <w:rsid w:val="00854924"/>
    <w:rsid w:val="0085498C"/>
    <w:rsid w:val="00854E43"/>
    <w:rsid w:val="00855778"/>
    <w:rsid w:val="00855C7C"/>
    <w:rsid w:val="0085661F"/>
    <w:rsid w:val="00856745"/>
    <w:rsid w:val="00856C46"/>
    <w:rsid w:val="008575DA"/>
    <w:rsid w:val="0085762E"/>
    <w:rsid w:val="00857656"/>
    <w:rsid w:val="00857791"/>
    <w:rsid w:val="00857C88"/>
    <w:rsid w:val="00860EDC"/>
    <w:rsid w:val="00860EDD"/>
    <w:rsid w:val="00861510"/>
    <w:rsid w:val="008617AD"/>
    <w:rsid w:val="00861A75"/>
    <w:rsid w:val="008621F6"/>
    <w:rsid w:val="00862546"/>
    <w:rsid w:val="008627B3"/>
    <w:rsid w:val="00863064"/>
    <w:rsid w:val="00863410"/>
    <w:rsid w:val="00863BF1"/>
    <w:rsid w:val="00863E90"/>
    <w:rsid w:val="008642DD"/>
    <w:rsid w:val="00864AD1"/>
    <w:rsid w:val="00864D43"/>
    <w:rsid w:val="00864EFE"/>
    <w:rsid w:val="008650AA"/>
    <w:rsid w:val="008656E6"/>
    <w:rsid w:val="00865A16"/>
    <w:rsid w:val="00865B35"/>
    <w:rsid w:val="00865CBB"/>
    <w:rsid w:val="00865D65"/>
    <w:rsid w:val="00866122"/>
    <w:rsid w:val="008662FC"/>
    <w:rsid w:val="00866366"/>
    <w:rsid w:val="0086651C"/>
    <w:rsid w:val="00866632"/>
    <w:rsid w:val="008667D4"/>
    <w:rsid w:val="00866825"/>
    <w:rsid w:val="00866CB8"/>
    <w:rsid w:val="00867450"/>
    <w:rsid w:val="00867AD7"/>
    <w:rsid w:val="00867CA5"/>
    <w:rsid w:val="008700E0"/>
    <w:rsid w:val="008705DA"/>
    <w:rsid w:val="00870684"/>
    <w:rsid w:val="00870941"/>
    <w:rsid w:val="00871948"/>
    <w:rsid w:val="00871BAE"/>
    <w:rsid w:val="0087209A"/>
    <w:rsid w:val="0087275E"/>
    <w:rsid w:val="00872FB4"/>
    <w:rsid w:val="00872FE5"/>
    <w:rsid w:val="008731E4"/>
    <w:rsid w:val="00873D07"/>
    <w:rsid w:val="00873FC6"/>
    <w:rsid w:val="008741BC"/>
    <w:rsid w:val="008745EE"/>
    <w:rsid w:val="00874C00"/>
    <w:rsid w:val="00874FA0"/>
    <w:rsid w:val="0087586E"/>
    <w:rsid w:val="00875A21"/>
    <w:rsid w:val="00875AB3"/>
    <w:rsid w:val="00875FDC"/>
    <w:rsid w:val="008761F5"/>
    <w:rsid w:val="008762E6"/>
    <w:rsid w:val="00876528"/>
    <w:rsid w:val="00876BBA"/>
    <w:rsid w:val="00876BFF"/>
    <w:rsid w:val="00877138"/>
    <w:rsid w:val="008774E5"/>
    <w:rsid w:val="00877599"/>
    <w:rsid w:val="0087760F"/>
    <w:rsid w:val="00877623"/>
    <w:rsid w:val="0087766A"/>
    <w:rsid w:val="00877A24"/>
    <w:rsid w:val="00877F23"/>
    <w:rsid w:val="0088005D"/>
    <w:rsid w:val="00880259"/>
    <w:rsid w:val="0088045C"/>
    <w:rsid w:val="008804DB"/>
    <w:rsid w:val="00880622"/>
    <w:rsid w:val="008808BD"/>
    <w:rsid w:val="00880A76"/>
    <w:rsid w:val="00880CBD"/>
    <w:rsid w:val="00881235"/>
    <w:rsid w:val="008812CC"/>
    <w:rsid w:val="00881682"/>
    <w:rsid w:val="008818D4"/>
    <w:rsid w:val="00881973"/>
    <w:rsid w:val="00881C10"/>
    <w:rsid w:val="00881F08"/>
    <w:rsid w:val="008822FC"/>
    <w:rsid w:val="008827A1"/>
    <w:rsid w:val="00882D89"/>
    <w:rsid w:val="00882E76"/>
    <w:rsid w:val="008834BC"/>
    <w:rsid w:val="0088367D"/>
    <w:rsid w:val="008837C1"/>
    <w:rsid w:val="00883A86"/>
    <w:rsid w:val="00883BB4"/>
    <w:rsid w:val="0088400B"/>
    <w:rsid w:val="008841F1"/>
    <w:rsid w:val="00884317"/>
    <w:rsid w:val="008843DD"/>
    <w:rsid w:val="00884889"/>
    <w:rsid w:val="00884C65"/>
    <w:rsid w:val="00884CFD"/>
    <w:rsid w:val="0088534A"/>
    <w:rsid w:val="008857BF"/>
    <w:rsid w:val="00886064"/>
    <w:rsid w:val="00886428"/>
    <w:rsid w:val="008864AF"/>
    <w:rsid w:val="00886508"/>
    <w:rsid w:val="0089032A"/>
    <w:rsid w:val="00890503"/>
    <w:rsid w:val="0089078C"/>
    <w:rsid w:val="0089098E"/>
    <w:rsid w:val="008910FF"/>
    <w:rsid w:val="0089126C"/>
    <w:rsid w:val="00891394"/>
    <w:rsid w:val="0089155F"/>
    <w:rsid w:val="00891732"/>
    <w:rsid w:val="0089176D"/>
    <w:rsid w:val="00891957"/>
    <w:rsid w:val="00891D05"/>
    <w:rsid w:val="00891E75"/>
    <w:rsid w:val="0089236A"/>
    <w:rsid w:val="008923A0"/>
    <w:rsid w:val="00892AE2"/>
    <w:rsid w:val="0089319D"/>
    <w:rsid w:val="008944A2"/>
    <w:rsid w:val="00894531"/>
    <w:rsid w:val="00894B2B"/>
    <w:rsid w:val="00894E57"/>
    <w:rsid w:val="00894E92"/>
    <w:rsid w:val="008950BF"/>
    <w:rsid w:val="008952E0"/>
    <w:rsid w:val="00895B29"/>
    <w:rsid w:val="00896921"/>
    <w:rsid w:val="00896F79"/>
    <w:rsid w:val="0089733A"/>
    <w:rsid w:val="008979B2"/>
    <w:rsid w:val="00897DE1"/>
    <w:rsid w:val="00897E2E"/>
    <w:rsid w:val="008A0452"/>
    <w:rsid w:val="008A092A"/>
    <w:rsid w:val="008A0A5E"/>
    <w:rsid w:val="008A0A7C"/>
    <w:rsid w:val="008A1960"/>
    <w:rsid w:val="008A1B59"/>
    <w:rsid w:val="008A2062"/>
    <w:rsid w:val="008A236B"/>
    <w:rsid w:val="008A241B"/>
    <w:rsid w:val="008A2464"/>
    <w:rsid w:val="008A2B1B"/>
    <w:rsid w:val="008A2C37"/>
    <w:rsid w:val="008A2CFD"/>
    <w:rsid w:val="008A302C"/>
    <w:rsid w:val="008A3337"/>
    <w:rsid w:val="008A3353"/>
    <w:rsid w:val="008A3429"/>
    <w:rsid w:val="008A3498"/>
    <w:rsid w:val="008A3661"/>
    <w:rsid w:val="008A38A2"/>
    <w:rsid w:val="008A46A6"/>
    <w:rsid w:val="008A4D52"/>
    <w:rsid w:val="008A4FA1"/>
    <w:rsid w:val="008A5401"/>
    <w:rsid w:val="008A54BE"/>
    <w:rsid w:val="008A5B2B"/>
    <w:rsid w:val="008A5D85"/>
    <w:rsid w:val="008A5DCA"/>
    <w:rsid w:val="008A5F77"/>
    <w:rsid w:val="008A6315"/>
    <w:rsid w:val="008A6777"/>
    <w:rsid w:val="008A694C"/>
    <w:rsid w:val="008A71EB"/>
    <w:rsid w:val="008A726B"/>
    <w:rsid w:val="008A7287"/>
    <w:rsid w:val="008A7639"/>
    <w:rsid w:val="008A78F8"/>
    <w:rsid w:val="008A7938"/>
    <w:rsid w:val="008A7A21"/>
    <w:rsid w:val="008A7FE6"/>
    <w:rsid w:val="008B00FB"/>
    <w:rsid w:val="008B010F"/>
    <w:rsid w:val="008B01A0"/>
    <w:rsid w:val="008B072E"/>
    <w:rsid w:val="008B0846"/>
    <w:rsid w:val="008B0B48"/>
    <w:rsid w:val="008B0C5B"/>
    <w:rsid w:val="008B1191"/>
    <w:rsid w:val="008B124E"/>
    <w:rsid w:val="008B13B9"/>
    <w:rsid w:val="008B18AB"/>
    <w:rsid w:val="008B1BDC"/>
    <w:rsid w:val="008B216E"/>
    <w:rsid w:val="008B2289"/>
    <w:rsid w:val="008B2326"/>
    <w:rsid w:val="008B26FC"/>
    <w:rsid w:val="008B2ABD"/>
    <w:rsid w:val="008B2B6A"/>
    <w:rsid w:val="008B35B5"/>
    <w:rsid w:val="008B3F18"/>
    <w:rsid w:val="008B3FBF"/>
    <w:rsid w:val="008B4563"/>
    <w:rsid w:val="008B4706"/>
    <w:rsid w:val="008B4A62"/>
    <w:rsid w:val="008B4B81"/>
    <w:rsid w:val="008B4C99"/>
    <w:rsid w:val="008B4F64"/>
    <w:rsid w:val="008B523F"/>
    <w:rsid w:val="008B5380"/>
    <w:rsid w:val="008B5952"/>
    <w:rsid w:val="008B5A8F"/>
    <w:rsid w:val="008B617C"/>
    <w:rsid w:val="008B68BF"/>
    <w:rsid w:val="008B6C0B"/>
    <w:rsid w:val="008B6C28"/>
    <w:rsid w:val="008B70FC"/>
    <w:rsid w:val="008B73B9"/>
    <w:rsid w:val="008B750F"/>
    <w:rsid w:val="008B751D"/>
    <w:rsid w:val="008B76C7"/>
    <w:rsid w:val="008B7CAB"/>
    <w:rsid w:val="008C073D"/>
    <w:rsid w:val="008C0877"/>
    <w:rsid w:val="008C0A1F"/>
    <w:rsid w:val="008C0C91"/>
    <w:rsid w:val="008C0ECF"/>
    <w:rsid w:val="008C0F94"/>
    <w:rsid w:val="008C1048"/>
    <w:rsid w:val="008C138E"/>
    <w:rsid w:val="008C17F4"/>
    <w:rsid w:val="008C1BCE"/>
    <w:rsid w:val="008C2055"/>
    <w:rsid w:val="008C283C"/>
    <w:rsid w:val="008C3363"/>
    <w:rsid w:val="008C37A3"/>
    <w:rsid w:val="008C3C8A"/>
    <w:rsid w:val="008C46C4"/>
    <w:rsid w:val="008C4BD8"/>
    <w:rsid w:val="008C4F9F"/>
    <w:rsid w:val="008C55E7"/>
    <w:rsid w:val="008C56D6"/>
    <w:rsid w:val="008C5DA1"/>
    <w:rsid w:val="008C5E2F"/>
    <w:rsid w:val="008C5E8A"/>
    <w:rsid w:val="008C5FD9"/>
    <w:rsid w:val="008C65E9"/>
    <w:rsid w:val="008C6A17"/>
    <w:rsid w:val="008C6ADD"/>
    <w:rsid w:val="008C6B44"/>
    <w:rsid w:val="008C70E7"/>
    <w:rsid w:val="008C710A"/>
    <w:rsid w:val="008C7294"/>
    <w:rsid w:val="008C732B"/>
    <w:rsid w:val="008C7738"/>
    <w:rsid w:val="008C7741"/>
    <w:rsid w:val="008C7ECA"/>
    <w:rsid w:val="008C7F49"/>
    <w:rsid w:val="008D0B5B"/>
    <w:rsid w:val="008D0F3F"/>
    <w:rsid w:val="008D0F87"/>
    <w:rsid w:val="008D0F89"/>
    <w:rsid w:val="008D11DF"/>
    <w:rsid w:val="008D134B"/>
    <w:rsid w:val="008D17C3"/>
    <w:rsid w:val="008D17E9"/>
    <w:rsid w:val="008D20F9"/>
    <w:rsid w:val="008D21CA"/>
    <w:rsid w:val="008D2243"/>
    <w:rsid w:val="008D246A"/>
    <w:rsid w:val="008D26C7"/>
    <w:rsid w:val="008D28BC"/>
    <w:rsid w:val="008D2EFE"/>
    <w:rsid w:val="008D307E"/>
    <w:rsid w:val="008D3EAB"/>
    <w:rsid w:val="008D441B"/>
    <w:rsid w:val="008D4623"/>
    <w:rsid w:val="008D4A18"/>
    <w:rsid w:val="008D4A7B"/>
    <w:rsid w:val="008D5189"/>
    <w:rsid w:val="008D5459"/>
    <w:rsid w:val="008D5573"/>
    <w:rsid w:val="008D568A"/>
    <w:rsid w:val="008D56CF"/>
    <w:rsid w:val="008D5884"/>
    <w:rsid w:val="008D5C20"/>
    <w:rsid w:val="008D5DBC"/>
    <w:rsid w:val="008D61A6"/>
    <w:rsid w:val="008D64D5"/>
    <w:rsid w:val="008D66D8"/>
    <w:rsid w:val="008D67F0"/>
    <w:rsid w:val="008D6EEA"/>
    <w:rsid w:val="008D71BE"/>
    <w:rsid w:val="008D74CF"/>
    <w:rsid w:val="008D7C5E"/>
    <w:rsid w:val="008D7D2C"/>
    <w:rsid w:val="008D7F13"/>
    <w:rsid w:val="008E064B"/>
    <w:rsid w:val="008E0A43"/>
    <w:rsid w:val="008E0E37"/>
    <w:rsid w:val="008E1025"/>
    <w:rsid w:val="008E1210"/>
    <w:rsid w:val="008E1DD4"/>
    <w:rsid w:val="008E24D0"/>
    <w:rsid w:val="008E2558"/>
    <w:rsid w:val="008E26B3"/>
    <w:rsid w:val="008E2719"/>
    <w:rsid w:val="008E2BEA"/>
    <w:rsid w:val="008E2E43"/>
    <w:rsid w:val="008E2EC5"/>
    <w:rsid w:val="008E3990"/>
    <w:rsid w:val="008E3B00"/>
    <w:rsid w:val="008E4414"/>
    <w:rsid w:val="008E4756"/>
    <w:rsid w:val="008E4E60"/>
    <w:rsid w:val="008E51BF"/>
    <w:rsid w:val="008E569C"/>
    <w:rsid w:val="008E5990"/>
    <w:rsid w:val="008E5A09"/>
    <w:rsid w:val="008E5D39"/>
    <w:rsid w:val="008E5D45"/>
    <w:rsid w:val="008E5F72"/>
    <w:rsid w:val="008E6A4F"/>
    <w:rsid w:val="008E6F58"/>
    <w:rsid w:val="008E7204"/>
    <w:rsid w:val="008E7365"/>
    <w:rsid w:val="008E7B2A"/>
    <w:rsid w:val="008E7C12"/>
    <w:rsid w:val="008E7C33"/>
    <w:rsid w:val="008F047C"/>
    <w:rsid w:val="008F0585"/>
    <w:rsid w:val="008F096F"/>
    <w:rsid w:val="008F0AF5"/>
    <w:rsid w:val="008F15E0"/>
    <w:rsid w:val="008F1624"/>
    <w:rsid w:val="008F1815"/>
    <w:rsid w:val="008F1A4A"/>
    <w:rsid w:val="008F2360"/>
    <w:rsid w:val="008F2505"/>
    <w:rsid w:val="008F26A2"/>
    <w:rsid w:val="008F26B5"/>
    <w:rsid w:val="008F29BA"/>
    <w:rsid w:val="008F2A30"/>
    <w:rsid w:val="008F2CE7"/>
    <w:rsid w:val="008F3CAD"/>
    <w:rsid w:val="008F41FD"/>
    <w:rsid w:val="008F42FA"/>
    <w:rsid w:val="008F443D"/>
    <w:rsid w:val="008F4717"/>
    <w:rsid w:val="008F4721"/>
    <w:rsid w:val="008F4D44"/>
    <w:rsid w:val="008F4ECF"/>
    <w:rsid w:val="008F513C"/>
    <w:rsid w:val="008F51DF"/>
    <w:rsid w:val="008F55AB"/>
    <w:rsid w:val="008F59A1"/>
    <w:rsid w:val="008F5DDC"/>
    <w:rsid w:val="008F604B"/>
    <w:rsid w:val="008F6050"/>
    <w:rsid w:val="008F6FE6"/>
    <w:rsid w:val="008F7130"/>
    <w:rsid w:val="008F718D"/>
    <w:rsid w:val="008F72F7"/>
    <w:rsid w:val="008F7353"/>
    <w:rsid w:val="008F75F3"/>
    <w:rsid w:val="008F7CB1"/>
    <w:rsid w:val="008F7F07"/>
    <w:rsid w:val="00900105"/>
    <w:rsid w:val="009003D4"/>
    <w:rsid w:val="009005A8"/>
    <w:rsid w:val="00901185"/>
    <w:rsid w:val="0090119B"/>
    <w:rsid w:val="009018E0"/>
    <w:rsid w:val="00901EEC"/>
    <w:rsid w:val="00901FA4"/>
    <w:rsid w:val="0090253F"/>
    <w:rsid w:val="0090263D"/>
    <w:rsid w:val="00902684"/>
    <w:rsid w:val="009026D1"/>
    <w:rsid w:val="0090271F"/>
    <w:rsid w:val="00903000"/>
    <w:rsid w:val="00903079"/>
    <w:rsid w:val="00903488"/>
    <w:rsid w:val="0090366A"/>
    <w:rsid w:val="009037FE"/>
    <w:rsid w:val="00903ADF"/>
    <w:rsid w:val="00903DDD"/>
    <w:rsid w:val="00903F1D"/>
    <w:rsid w:val="00904142"/>
    <w:rsid w:val="009041EA"/>
    <w:rsid w:val="00904683"/>
    <w:rsid w:val="00904692"/>
    <w:rsid w:val="00904855"/>
    <w:rsid w:val="009056F1"/>
    <w:rsid w:val="0090579A"/>
    <w:rsid w:val="00905C15"/>
    <w:rsid w:val="00906234"/>
    <w:rsid w:val="00906496"/>
    <w:rsid w:val="0090652D"/>
    <w:rsid w:val="00906830"/>
    <w:rsid w:val="0090783B"/>
    <w:rsid w:val="00907937"/>
    <w:rsid w:val="00907D57"/>
    <w:rsid w:val="00907EC9"/>
    <w:rsid w:val="00910732"/>
    <w:rsid w:val="009107A3"/>
    <w:rsid w:val="0091095D"/>
    <w:rsid w:val="00910B10"/>
    <w:rsid w:val="00910C25"/>
    <w:rsid w:val="00910D07"/>
    <w:rsid w:val="00910D9C"/>
    <w:rsid w:val="009110DE"/>
    <w:rsid w:val="009114FE"/>
    <w:rsid w:val="00911BE1"/>
    <w:rsid w:val="00911C39"/>
    <w:rsid w:val="00911CC9"/>
    <w:rsid w:val="00912A05"/>
    <w:rsid w:val="0091341F"/>
    <w:rsid w:val="00913652"/>
    <w:rsid w:val="00913668"/>
    <w:rsid w:val="009136C4"/>
    <w:rsid w:val="00913C9F"/>
    <w:rsid w:val="00913D9E"/>
    <w:rsid w:val="00913EE7"/>
    <w:rsid w:val="009140F4"/>
    <w:rsid w:val="009147C6"/>
    <w:rsid w:val="00914C4A"/>
    <w:rsid w:val="00914D81"/>
    <w:rsid w:val="00914F7D"/>
    <w:rsid w:val="00915084"/>
    <w:rsid w:val="0091554D"/>
    <w:rsid w:val="00915715"/>
    <w:rsid w:val="009157DB"/>
    <w:rsid w:val="009158AC"/>
    <w:rsid w:val="009158DC"/>
    <w:rsid w:val="00915DDE"/>
    <w:rsid w:val="00916466"/>
    <w:rsid w:val="00916536"/>
    <w:rsid w:val="0091659A"/>
    <w:rsid w:val="0091676F"/>
    <w:rsid w:val="00916CC7"/>
    <w:rsid w:val="009177E8"/>
    <w:rsid w:val="00917995"/>
    <w:rsid w:val="00920289"/>
    <w:rsid w:val="00920B26"/>
    <w:rsid w:val="00920CBD"/>
    <w:rsid w:val="00920CE9"/>
    <w:rsid w:val="00920E3B"/>
    <w:rsid w:val="009210BC"/>
    <w:rsid w:val="009210C4"/>
    <w:rsid w:val="009211A4"/>
    <w:rsid w:val="00921A3D"/>
    <w:rsid w:val="00921A60"/>
    <w:rsid w:val="00922057"/>
    <w:rsid w:val="009220C3"/>
    <w:rsid w:val="009221AF"/>
    <w:rsid w:val="00922427"/>
    <w:rsid w:val="00922670"/>
    <w:rsid w:val="0092294F"/>
    <w:rsid w:val="00922971"/>
    <w:rsid w:val="00922C81"/>
    <w:rsid w:val="009230DC"/>
    <w:rsid w:val="009231F9"/>
    <w:rsid w:val="009234E3"/>
    <w:rsid w:val="0092369B"/>
    <w:rsid w:val="00923AE0"/>
    <w:rsid w:val="00923C10"/>
    <w:rsid w:val="00923CA8"/>
    <w:rsid w:val="009242FE"/>
    <w:rsid w:val="00924879"/>
    <w:rsid w:val="009256B8"/>
    <w:rsid w:val="00925A1C"/>
    <w:rsid w:val="00925A67"/>
    <w:rsid w:val="00925A92"/>
    <w:rsid w:val="00925B54"/>
    <w:rsid w:val="00925F59"/>
    <w:rsid w:val="009260C3"/>
    <w:rsid w:val="0092642B"/>
    <w:rsid w:val="00926657"/>
    <w:rsid w:val="00926801"/>
    <w:rsid w:val="0092690D"/>
    <w:rsid w:val="009269FE"/>
    <w:rsid w:val="00926A74"/>
    <w:rsid w:val="00926E55"/>
    <w:rsid w:val="00927521"/>
    <w:rsid w:val="00927D5A"/>
    <w:rsid w:val="00927DB2"/>
    <w:rsid w:val="009304F2"/>
    <w:rsid w:val="009306E8"/>
    <w:rsid w:val="00930B59"/>
    <w:rsid w:val="009315A9"/>
    <w:rsid w:val="00931746"/>
    <w:rsid w:val="00931793"/>
    <w:rsid w:val="00931B3C"/>
    <w:rsid w:val="00931B8C"/>
    <w:rsid w:val="00931DC5"/>
    <w:rsid w:val="00932392"/>
    <w:rsid w:val="00932969"/>
    <w:rsid w:val="00932B30"/>
    <w:rsid w:val="00932E90"/>
    <w:rsid w:val="00932F63"/>
    <w:rsid w:val="009331E6"/>
    <w:rsid w:val="00933261"/>
    <w:rsid w:val="009338D5"/>
    <w:rsid w:val="00934762"/>
    <w:rsid w:val="00934950"/>
    <w:rsid w:val="0093572B"/>
    <w:rsid w:val="009360CF"/>
    <w:rsid w:val="009366B0"/>
    <w:rsid w:val="00936961"/>
    <w:rsid w:val="009369E9"/>
    <w:rsid w:val="00936D02"/>
    <w:rsid w:val="00936F29"/>
    <w:rsid w:val="00937135"/>
    <w:rsid w:val="0093720A"/>
    <w:rsid w:val="009378CD"/>
    <w:rsid w:val="009379F3"/>
    <w:rsid w:val="00937AFD"/>
    <w:rsid w:val="00937D23"/>
    <w:rsid w:val="00937D4F"/>
    <w:rsid w:val="00937E63"/>
    <w:rsid w:val="00937F5B"/>
    <w:rsid w:val="00940091"/>
    <w:rsid w:val="009406A0"/>
    <w:rsid w:val="009408F9"/>
    <w:rsid w:val="00940FFD"/>
    <w:rsid w:val="009411CB"/>
    <w:rsid w:val="009417C1"/>
    <w:rsid w:val="009422F3"/>
    <w:rsid w:val="00942C37"/>
    <w:rsid w:val="00942E6A"/>
    <w:rsid w:val="00942FCC"/>
    <w:rsid w:val="0094309A"/>
    <w:rsid w:val="009436D4"/>
    <w:rsid w:val="009439B6"/>
    <w:rsid w:val="00944035"/>
    <w:rsid w:val="00944090"/>
    <w:rsid w:val="009443E9"/>
    <w:rsid w:val="00944A35"/>
    <w:rsid w:val="00944B1B"/>
    <w:rsid w:val="00944EB9"/>
    <w:rsid w:val="00944EF4"/>
    <w:rsid w:val="00944F67"/>
    <w:rsid w:val="00944F6A"/>
    <w:rsid w:val="009452C6"/>
    <w:rsid w:val="00945368"/>
    <w:rsid w:val="009453A2"/>
    <w:rsid w:val="0094549A"/>
    <w:rsid w:val="00946814"/>
    <w:rsid w:val="0094745F"/>
    <w:rsid w:val="009475FB"/>
    <w:rsid w:val="00947E96"/>
    <w:rsid w:val="009503BE"/>
    <w:rsid w:val="00950E0E"/>
    <w:rsid w:val="00950E9C"/>
    <w:rsid w:val="0095114B"/>
    <w:rsid w:val="009511EE"/>
    <w:rsid w:val="0095124A"/>
    <w:rsid w:val="0095134D"/>
    <w:rsid w:val="0095192D"/>
    <w:rsid w:val="00951C2A"/>
    <w:rsid w:val="00951DBF"/>
    <w:rsid w:val="00951E85"/>
    <w:rsid w:val="00952955"/>
    <w:rsid w:val="00952E5C"/>
    <w:rsid w:val="0095339B"/>
    <w:rsid w:val="009535BE"/>
    <w:rsid w:val="00953815"/>
    <w:rsid w:val="009538DF"/>
    <w:rsid w:val="00953BC6"/>
    <w:rsid w:val="00953DF8"/>
    <w:rsid w:val="00953F48"/>
    <w:rsid w:val="00954512"/>
    <w:rsid w:val="009545C8"/>
    <w:rsid w:val="00954EBE"/>
    <w:rsid w:val="00955358"/>
    <w:rsid w:val="00955464"/>
    <w:rsid w:val="00955BD0"/>
    <w:rsid w:val="00955DD1"/>
    <w:rsid w:val="009564D4"/>
    <w:rsid w:val="0095660C"/>
    <w:rsid w:val="00957079"/>
    <w:rsid w:val="00957D1C"/>
    <w:rsid w:val="00957F51"/>
    <w:rsid w:val="00960950"/>
    <w:rsid w:val="00960CE9"/>
    <w:rsid w:val="00960E60"/>
    <w:rsid w:val="00960F18"/>
    <w:rsid w:val="00961387"/>
    <w:rsid w:val="00961662"/>
    <w:rsid w:val="009616D5"/>
    <w:rsid w:val="00961C4E"/>
    <w:rsid w:val="00961EA8"/>
    <w:rsid w:val="00962076"/>
    <w:rsid w:val="009623BC"/>
    <w:rsid w:val="009629B2"/>
    <w:rsid w:val="00962F30"/>
    <w:rsid w:val="00963420"/>
    <w:rsid w:val="0096373B"/>
    <w:rsid w:val="00963B27"/>
    <w:rsid w:val="00963BCC"/>
    <w:rsid w:val="00963D5F"/>
    <w:rsid w:val="00963E62"/>
    <w:rsid w:val="00964763"/>
    <w:rsid w:val="009649B1"/>
    <w:rsid w:val="00964B43"/>
    <w:rsid w:val="00964CA1"/>
    <w:rsid w:val="009651B7"/>
    <w:rsid w:val="00965540"/>
    <w:rsid w:val="009656DC"/>
    <w:rsid w:val="009657A4"/>
    <w:rsid w:val="00965A11"/>
    <w:rsid w:val="00965F6B"/>
    <w:rsid w:val="00965FE4"/>
    <w:rsid w:val="009661F7"/>
    <w:rsid w:val="00966669"/>
    <w:rsid w:val="00966699"/>
    <w:rsid w:val="009666A4"/>
    <w:rsid w:val="00966C83"/>
    <w:rsid w:val="00967074"/>
    <w:rsid w:val="0096738B"/>
    <w:rsid w:val="0096760C"/>
    <w:rsid w:val="00967A37"/>
    <w:rsid w:val="00967EA1"/>
    <w:rsid w:val="00970081"/>
    <w:rsid w:val="009700B2"/>
    <w:rsid w:val="009702E0"/>
    <w:rsid w:val="00970342"/>
    <w:rsid w:val="009704C9"/>
    <w:rsid w:val="009705B3"/>
    <w:rsid w:val="00970985"/>
    <w:rsid w:val="00970A16"/>
    <w:rsid w:val="00970E2E"/>
    <w:rsid w:val="00970E78"/>
    <w:rsid w:val="00971063"/>
    <w:rsid w:val="009715B1"/>
    <w:rsid w:val="00971C5A"/>
    <w:rsid w:val="00971E62"/>
    <w:rsid w:val="00971ED8"/>
    <w:rsid w:val="00972183"/>
    <w:rsid w:val="009727F5"/>
    <w:rsid w:val="009727FC"/>
    <w:rsid w:val="0097291B"/>
    <w:rsid w:val="00972A94"/>
    <w:rsid w:val="00972B07"/>
    <w:rsid w:val="00973425"/>
    <w:rsid w:val="00973BCA"/>
    <w:rsid w:val="00973C6C"/>
    <w:rsid w:val="00973E6D"/>
    <w:rsid w:val="00973F87"/>
    <w:rsid w:val="00974003"/>
    <w:rsid w:val="00974771"/>
    <w:rsid w:val="00974AB1"/>
    <w:rsid w:val="00974C93"/>
    <w:rsid w:val="00974CD2"/>
    <w:rsid w:val="00975229"/>
    <w:rsid w:val="009753A2"/>
    <w:rsid w:val="0097591D"/>
    <w:rsid w:val="0097594F"/>
    <w:rsid w:val="009759D1"/>
    <w:rsid w:val="00975C36"/>
    <w:rsid w:val="00976458"/>
    <w:rsid w:val="00976743"/>
    <w:rsid w:val="009769E2"/>
    <w:rsid w:val="00976BF4"/>
    <w:rsid w:val="00976F98"/>
    <w:rsid w:val="00977351"/>
    <w:rsid w:val="00977A83"/>
    <w:rsid w:val="009801AB"/>
    <w:rsid w:val="0098086E"/>
    <w:rsid w:val="00980E22"/>
    <w:rsid w:val="009812C6"/>
    <w:rsid w:val="009813D2"/>
    <w:rsid w:val="00981596"/>
    <w:rsid w:val="00981701"/>
    <w:rsid w:val="00981E17"/>
    <w:rsid w:val="0098214A"/>
    <w:rsid w:val="00982242"/>
    <w:rsid w:val="00982380"/>
    <w:rsid w:val="0098272D"/>
    <w:rsid w:val="009828F5"/>
    <w:rsid w:val="00982C94"/>
    <w:rsid w:val="009833B7"/>
    <w:rsid w:val="00983914"/>
    <w:rsid w:val="00983B0B"/>
    <w:rsid w:val="009840B6"/>
    <w:rsid w:val="009842B3"/>
    <w:rsid w:val="009843B7"/>
    <w:rsid w:val="00984613"/>
    <w:rsid w:val="00984A1F"/>
    <w:rsid w:val="00984AFB"/>
    <w:rsid w:val="00984DE6"/>
    <w:rsid w:val="00984F62"/>
    <w:rsid w:val="00984FB0"/>
    <w:rsid w:val="0098502F"/>
    <w:rsid w:val="00985230"/>
    <w:rsid w:val="00985325"/>
    <w:rsid w:val="009855A4"/>
    <w:rsid w:val="009856AB"/>
    <w:rsid w:val="0098585A"/>
    <w:rsid w:val="0098599E"/>
    <w:rsid w:val="00985A0A"/>
    <w:rsid w:val="00985A75"/>
    <w:rsid w:val="00985A7F"/>
    <w:rsid w:val="00985ACD"/>
    <w:rsid w:val="00985FC3"/>
    <w:rsid w:val="00986236"/>
    <w:rsid w:val="00986346"/>
    <w:rsid w:val="0098637C"/>
    <w:rsid w:val="00986586"/>
    <w:rsid w:val="00986728"/>
    <w:rsid w:val="009868B7"/>
    <w:rsid w:val="00986C0F"/>
    <w:rsid w:val="00986E62"/>
    <w:rsid w:val="009876D1"/>
    <w:rsid w:val="00987881"/>
    <w:rsid w:val="00987948"/>
    <w:rsid w:val="00987E57"/>
    <w:rsid w:val="009900A7"/>
    <w:rsid w:val="009904D2"/>
    <w:rsid w:val="009907F9"/>
    <w:rsid w:val="00990D32"/>
    <w:rsid w:val="009915C1"/>
    <w:rsid w:val="009915E5"/>
    <w:rsid w:val="009917C3"/>
    <w:rsid w:val="0099190A"/>
    <w:rsid w:val="0099193B"/>
    <w:rsid w:val="00991DDB"/>
    <w:rsid w:val="0099214F"/>
    <w:rsid w:val="009924B5"/>
    <w:rsid w:val="0099276D"/>
    <w:rsid w:val="0099287C"/>
    <w:rsid w:val="0099295B"/>
    <w:rsid w:val="00992BFE"/>
    <w:rsid w:val="00992D06"/>
    <w:rsid w:val="00993431"/>
    <w:rsid w:val="0099346F"/>
    <w:rsid w:val="00993AF8"/>
    <w:rsid w:val="00993D01"/>
    <w:rsid w:val="00993FB8"/>
    <w:rsid w:val="00993FE8"/>
    <w:rsid w:val="00994012"/>
    <w:rsid w:val="009942C4"/>
    <w:rsid w:val="00994357"/>
    <w:rsid w:val="009943C4"/>
    <w:rsid w:val="009947CA"/>
    <w:rsid w:val="00994DFA"/>
    <w:rsid w:val="00995020"/>
    <w:rsid w:val="009957D2"/>
    <w:rsid w:val="00995B9E"/>
    <w:rsid w:val="00995DAB"/>
    <w:rsid w:val="00995F1F"/>
    <w:rsid w:val="00996180"/>
    <w:rsid w:val="00996206"/>
    <w:rsid w:val="009962DC"/>
    <w:rsid w:val="00996AF4"/>
    <w:rsid w:val="0099702D"/>
    <w:rsid w:val="00997132"/>
    <w:rsid w:val="0099733F"/>
    <w:rsid w:val="009974AC"/>
    <w:rsid w:val="00997572"/>
    <w:rsid w:val="009A05AE"/>
    <w:rsid w:val="009A07DF"/>
    <w:rsid w:val="009A09B3"/>
    <w:rsid w:val="009A09B4"/>
    <w:rsid w:val="009A0B9E"/>
    <w:rsid w:val="009A14E0"/>
    <w:rsid w:val="009A187E"/>
    <w:rsid w:val="009A1AB0"/>
    <w:rsid w:val="009A1F6F"/>
    <w:rsid w:val="009A280C"/>
    <w:rsid w:val="009A2A29"/>
    <w:rsid w:val="009A303F"/>
    <w:rsid w:val="009A32A6"/>
    <w:rsid w:val="009A32EE"/>
    <w:rsid w:val="009A3402"/>
    <w:rsid w:val="009A37BF"/>
    <w:rsid w:val="009A3994"/>
    <w:rsid w:val="009A4532"/>
    <w:rsid w:val="009A45AB"/>
    <w:rsid w:val="009A4811"/>
    <w:rsid w:val="009A4941"/>
    <w:rsid w:val="009A56C3"/>
    <w:rsid w:val="009A5763"/>
    <w:rsid w:val="009A5A01"/>
    <w:rsid w:val="009A5BDB"/>
    <w:rsid w:val="009A5C01"/>
    <w:rsid w:val="009A5E4F"/>
    <w:rsid w:val="009A5FB7"/>
    <w:rsid w:val="009A620B"/>
    <w:rsid w:val="009A6346"/>
    <w:rsid w:val="009A63A9"/>
    <w:rsid w:val="009A696C"/>
    <w:rsid w:val="009A6B80"/>
    <w:rsid w:val="009A6C5D"/>
    <w:rsid w:val="009A6F48"/>
    <w:rsid w:val="009A70F1"/>
    <w:rsid w:val="009A75ED"/>
    <w:rsid w:val="009A7B34"/>
    <w:rsid w:val="009A7BF2"/>
    <w:rsid w:val="009B00F1"/>
    <w:rsid w:val="009B0693"/>
    <w:rsid w:val="009B077D"/>
    <w:rsid w:val="009B0788"/>
    <w:rsid w:val="009B0951"/>
    <w:rsid w:val="009B0A35"/>
    <w:rsid w:val="009B0E72"/>
    <w:rsid w:val="009B1123"/>
    <w:rsid w:val="009B12CD"/>
    <w:rsid w:val="009B13EB"/>
    <w:rsid w:val="009B1857"/>
    <w:rsid w:val="009B1A16"/>
    <w:rsid w:val="009B1BEB"/>
    <w:rsid w:val="009B1F08"/>
    <w:rsid w:val="009B2634"/>
    <w:rsid w:val="009B2AA0"/>
    <w:rsid w:val="009B2DC5"/>
    <w:rsid w:val="009B308B"/>
    <w:rsid w:val="009B34B0"/>
    <w:rsid w:val="009B35F7"/>
    <w:rsid w:val="009B4CA1"/>
    <w:rsid w:val="009B4CEC"/>
    <w:rsid w:val="009B67BF"/>
    <w:rsid w:val="009B6BA0"/>
    <w:rsid w:val="009B7693"/>
    <w:rsid w:val="009B7927"/>
    <w:rsid w:val="009B7C0C"/>
    <w:rsid w:val="009C0206"/>
    <w:rsid w:val="009C072C"/>
    <w:rsid w:val="009C0B1C"/>
    <w:rsid w:val="009C0D46"/>
    <w:rsid w:val="009C0E2A"/>
    <w:rsid w:val="009C1019"/>
    <w:rsid w:val="009C103A"/>
    <w:rsid w:val="009C13F1"/>
    <w:rsid w:val="009C14B0"/>
    <w:rsid w:val="009C1903"/>
    <w:rsid w:val="009C1B5B"/>
    <w:rsid w:val="009C1E11"/>
    <w:rsid w:val="009C1EBF"/>
    <w:rsid w:val="009C205B"/>
    <w:rsid w:val="009C2154"/>
    <w:rsid w:val="009C261C"/>
    <w:rsid w:val="009C2855"/>
    <w:rsid w:val="009C37BC"/>
    <w:rsid w:val="009C406A"/>
    <w:rsid w:val="009C42B9"/>
    <w:rsid w:val="009C4500"/>
    <w:rsid w:val="009C50DE"/>
    <w:rsid w:val="009C53B1"/>
    <w:rsid w:val="009C5A86"/>
    <w:rsid w:val="009C5ADC"/>
    <w:rsid w:val="009C6031"/>
    <w:rsid w:val="009C610B"/>
    <w:rsid w:val="009C6136"/>
    <w:rsid w:val="009C62E9"/>
    <w:rsid w:val="009C6DC3"/>
    <w:rsid w:val="009C6FFB"/>
    <w:rsid w:val="009C737C"/>
    <w:rsid w:val="009D0189"/>
    <w:rsid w:val="009D054C"/>
    <w:rsid w:val="009D05CC"/>
    <w:rsid w:val="009D05D7"/>
    <w:rsid w:val="009D089A"/>
    <w:rsid w:val="009D0AB4"/>
    <w:rsid w:val="009D0D37"/>
    <w:rsid w:val="009D112B"/>
    <w:rsid w:val="009D1253"/>
    <w:rsid w:val="009D129D"/>
    <w:rsid w:val="009D12D1"/>
    <w:rsid w:val="009D15E9"/>
    <w:rsid w:val="009D24DC"/>
    <w:rsid w:val="009D2726"/>
    <w:rsid w:val="009D2BA7"/>
    <w:rsid w:val="009D2F93"/>
    <w:rsid w:val="009D3347"/>
    <w:rsid w:val="009D3533"/>
    <w:rsid w:val="009D35C2"/>
    <w:rsid w:val="009D3664"/>
    <w:rsid w:val="009D37B9"/>
    <w:rsid w:val="009D37DB"/>
    <w:rsid w:val="009D3CAD"/>
    <w:rsid w:val="009D3F35"/>
    <w:rsid w:val="009D3FE8"/>
    <w:rsid w:val="009D404F"/>
    <w:rsid w:val="009D4254"/>
    <w:rsid w:val="009D42B8"/>
    <w:rsid w:val="009D42DE"/>
    <w:rsid w:val="009D4348"/>
    <w:rsid w:val="009D48BD"/>
    <w:rsid w:val="009D48D0"/>
    <w:rsid w:val="009D490F"/>
    <w:rsid w:val="009D4D44"/>
    <w:rsid w:val="009D4D65"/>
    <w:rsid w:val="009D4F18"/>
    <w:rsid w:val="009D540C"/>
    <w:rsid w:val="009D542B"/>
    <w:rsid w:val="009D5B97"/>
    <w:rsid w:val="009D675B"/>
    <w:rsid w:val="009D6A85"/>
    <w:rsid w:val="009D6D24"/>
    <w:rsid w:val="009D742D"/>
    <w:rsid w:val="009D796A"/>
    <w:rsid w:val="009D7E20"/>
    <w:rsid w:val="009E02EA"/>
    <w:rsid w:val="009E0DDD"/>
    <w:rsid w:val="009E0FC9"/>
    <w:rsid w:val="009E1078"/>
    <w:rsid w:val="009E14AC"/>
    <w:rsid w:val="009E1623"/>
    <w:rsid w:val="009E171D"/>
    <w:rsid w:val="009E21FC"/>
    <w:rsid w:val="009E24EC"/>
    <w:rsid w:val="009E2A88"/>
    <w:rsid w:val="009E2F4B"/>
    <w:rsid w:val="009E2F69"/>
    <w:rsid w:val="009E30E1"/>
    <w:rsid w:val="009E313A"/>
    <w:rsid w:val="009E31AD"/>
    <w:rsid w:val="009E3A08"/>
    <w:rsid w:val="009E3CB6"/>
    <w:rsid w:val="009E4657"/>
    <w:rsid w:val="009E4A81"/>
    <w:rsid w:val="009E4BFC"/>
    <w:rsid w:val="009E511E"/>
    <w:rsid w:val="009E562C"/>
    <w:rsid w:val="009E5A0F"/>
    <w:rsid w:val="009E5A72"/>
    <w:rsid w:val="009E5E11"/>
    <w:rsid w:val="009E62E4"/>
    <w:rsid w:val="009E63EC"/>
    <w:rsid w:val="009E680E"/>
    <w:rsid w:val="009E71DB"/>
    <w:rsid w:val="009E787E"/>
    <w:rsid w:val="009E7D37"/>
    <w:rsid w:val="009F109F"/>
    <w:rsid w:val="009F161A"/>
    <w:rsid w:val="009F17FF"/>
    <w:rsid w:val="009F215E"/>
    <w:rsid w:val="009F2701"/>
    <w:rsid w:val="009F2CC6"/>
    <w:rsid w:val="009F3042"/>
    <w:rsid w:val="009F36F5"/>
    <w:rsid w:val="009F3981"/>
    <w:rsid w:val="009F3A59"/>
    <w:rsid w:val="009F3A67"/>
    <w:rsid w:val="009F4154"/>
    <w:rsid w:val="009F4266"/>
    <w:rsid w:val="009F445A"/>
    <w:rsid w:val="009F4B2F"/>
    <w:rsid w:val="009F4DE8"/>
    <w:rsid w:val="009F52FC"/>
    <w:rsid w:val="009F5626"/>
    <w:rsid w:val="009F5CF5"/>
    <w:rsid w:val="009F655F"/>
    <w:rsid w:val="009F65F4"/>
    <w:rsid w:val="009F6659"/>
    <w:rsid w:val="009F6671"/>
    <w:rsid w:val="009F668A"/>
    <w:rsid w:val="009F6F7A"/>
    <w:rsid w:val="009F7228"/>
    <w:rsid w:val="009F737C"/>
    <w:rsid w:val="009F74DD"/>
    <w:rsid w:val="009F752D"/>
    <w:rsid w:val="009F754A"/>
    <w:rsid w:val="009F762B"/>
    <w:rsid w:val="009F767E"/>
    <w:rsid w:val="009F7720"/>
    <w:rsid w:val="009F7B0C"/>
    <w:rsid w:val="009F7D0C"/>
    <w:rsid w:val="009F7FDC"/>
    <w:rsid w:val="00A0070F"/>
    <w:rsid w:val="00A007F5"/>
    <w:rsid w:val="00A00971"/>
    <w:rsid w:val="00A0186F"/>
    <w:rsid w:val="00A019E9"/>
    <w:rsid w:val="00A01E11"/>
    <w:rsid w:val="00A029DE"/>
    <w:rsid w:val="00A02C1E"/>
    <w:rsid w:val="00A03166"/>
    <w:rsid w:val="00A0332C"/>
    <w:rsid w:val="00A03507"/>
    <w:rsid w:val="00A03CBA"/>
    <w:rsid w:val="00A03DD7"/>
    <w:rsid w:val="00A03E98"/>
    <w:rsid w:val="00A03F97"/>
    <w:rsid w:val="00A03FBE"/>
    <w:rsid w:val="00A04204"/>
    <w:rsid w:val="00A04D5B"/>
    <w:rsid w:val="00A0512F"/>
    <w:rsid w:val="00A05204"/>
    <w:rsid w:val="00A054EC"/>
    <w:rsid w:val="00A05610"/>
    <w:rsid w:val="00A05640"/>
    <w:rsid w:val="00A058A6"/>
    <w:rsid w:val="00A0591C"/>
    <w:rsid w:val="00A0595F"/>
    <w:rsid w:val="00A059ED"/>
    <w:rsid w:val="00A05C17"/>
    <w:rsid w:val="00A05E4F"/>
    <w:rsid w:val="00A05E52"/>
    <w:rsid w:val="00A06210"/>
    <w:rsid w:val="00A06219"/>
    <w:rsid w:val="00A062DC"/>
    <w:rsid w:val="00A06D39"/>
    <w:rsid w:val="00A06DA4"/>
    <w:rsid w:val="00A06DED"/>
    <w:rsid w:val="00A07372"/>
    <w:rsid w:val="00A078F6"/>
    <w:rsid w:val="00A07A73"/>
    <w:rsid w:val="00A07B46"/>
    <w:rsid w:val="00A07D88"/>
    <w:rsid w:val="00A1023E"/>
    <w:rsid w:val="00A106BB"/>
    <w:rsid w:val="00A10AFE"/>
    <w:rsid w:val="00A10DF5"/>
    <w:rsid w:val="00A10E88"/>
    <w:rsid w:val="00A11504"/>
    <w:rsid w:val="00A118C3"/>
    <w:rsid w:val="00A11910"/>
    <w:rsid w:val="00A11B0A"/>
    <w:rsid w:val="00A11DE4"/>
    <w:rsid w:val="00A12177"/>
    <w:rsid w:val="00A121BA"/>
    <w:rsid w:val="00A12FB1"/>
    <w:rsid w:val="00A1323D"/>
    <w:rsid w:val="00A13634"/>
    <w:rsid w:val="00A13CFD"/>
    <w:rsid w:val="00A14445"/>
    <w:rsid w:val="00A148B9"/>
    <w:rsid w:val="00A149DD"/>
    <w:rsid w:val="00A14A4D"/>
    <w:rsid w:val="00A14C46"/>
    <w:rsid w:val="00A14D92"/>
    <w:rsid w:val="00A15062"/>
    <w:rsid w:val="00A156A5"/>
    <w:rsid w:val="00A15F41"/>
    <w:rsid w:val="00A160E5"/>
    <w:rsid w:val="00A1654D"/>
    <w:rsid w:val="00A17010"/>
    <w:rsid w:val="00A17171"/>
    <w:rsid w:val="00A177B2"/>
    <w:rsid w:val="00A179C0"/>
    <w:rsid w:val="00A17A8B"/>
    <w:rsid w:val="00A17C04"/>
    <w:rsid w:val="00A17C1C"/>
    <w:rsid w:val="00A20274"/>
    <w:rsid w:val="00A20495"/>
    <w:rsid w:val="00A2083C"/>
    <w:rsid w:val="00A20FF3"/>
    <w:rsid w:val="00A213C0"/>
    <w:rsid w:val="00A2181B"/>
    <w:rsid w:val="00A2188E"/>
    <w:rsid w:val="00A21DC4"/>
    <w:rsid w:val="00A21F17"/>
    <w:rsid w:val="00A221C9"/>
    <w:rsid w:val="00A228AD"/>
    <w:rsid w:val="00A22A5A"/>
    <w:rsid w:val="00A22AB5"/>
    <w:rsid w:val="00A2336A"/>
    <w:rsid w:val="00A234E7"/>
    <w:rsid w:val="00A23624"/>
    <w:rsid w:val="00A239C8"/>
    <w:rsid w:val="00A24316"/>
    <w:rsid w:val="00A2433C"/>
    <w:rsid w:val="00A2435E"/>
    <w:rsid w:val="00A245C2"/>
    <w:rsid w:val="00A24A7B"/>
    <w:rsid w:val="00A24B11"/>
    <w:rsid w:val="00A24DA5"/>
    <w:rsid w:val="00A253B4"/>
    <w:rsid w:val="00A2580D"/>
    <w:rsid w:val="00A25CF8"/>
    <w:rsid w:val="00A25D5E"/>
    <w:rsid w:val="00A26732"/>
    <w:rsid w:val="00A26990"/>
    <w:rsid w:val="00A27625"/>
    <w:rsid w:val="00A27FE4"/>
    <w:rsid w:val="00A3023E"/>
    <w:rsid w:val="00A3038D"/>
    <w:rsid w:val="00A303A9"/>
    <w:rsid w:val="00A309C2"/>
    <w:rsid w:val="00A30B6C"/>
    <w:rsid w:val="00A30D78"/>
    <w:rsid w:val="00A315BB"/>
    <w:rsid w:val="00A31A88"/>
    <w:rsid w:val="00A322B0"/>
    <w:rsid w:val="00A32DCF"/>
    <w:rsid w:val="00A32F98"/>
    <w:rsid w:val="00A331DC"/>
    <w:rsid w:val="00A332B4"/>
    <w:rsid w:val="00A33E04"/>
    <w:rsid w:val="00A33F11"/>
    <w:rsid w:val="00A3425C"/>
    <w:rsid w:val="00A345F4"/>
    <w:rsid w:val="00A34605"/>
    <w:rsid w:val="00A348C9"/>
    <w:rsid w:val="00A34D48"/>
    <w:rsid w:val="00A35972"/>
    <w:rsid w:val="00A35CF9"/>
    <w:rsid w:val="00A36362"/>
    <w:rsid w:val="00A367C5"/>
    <w:rsid w:val="00A36893"/>
    <w:rsid w:val="00A36F7B"/>
    <w:rsid w:val="00A36F9D"/>
    <w:rsid w:val="00A37AF4"/>
    <w:rsid w:val="00A37DB9"/>
    <w:rsid w:val="00A37EA5"/>
    <w:rsid w:val="00A4064B"/>
    <w:rsid w:val="00A40A88"/>
    <w:rsid w:val="00A41209"/>
    <w:rsid w:val="00A41379"/>
    <w:rsid w:val="00A41643"/>
    <w:rsid w:val="00A41B96"/>
    <w:rsid w:val="00A41EA6"/>
    <w:rsid w:val="00A421CD"/>
    <w:rsid w:val="00A424A7"/>
    <w:rsid w:val="00A426ED"/>
    <w:rsid w:val="00A42A8C"/>
    <w:rsid w:val="00A42F5B"/>
    <w:rsid w:val="00A43420"/>
    <w:rsid w:val="00A4348A"/>
    <w:rsid w:val="00A434B9"/>
    <w:rsid w:val="00A4363A"/>
    <w:rsid w:val="00A43ECE"/>
    <w:rsid w:val="00A441D4"/>
    <w:rsid w:val="00A4426B"/>
    <w:rsid w:val="00A44366"/>
    <w:rsid w:val="00A44427"/>
    <w:rsid w:val="00A44520"/>
    <w:rsid w:val="00A4477F"/>
    <w:rsid w:val="00A44A0C"/>
    <w:rsid w:val="00A44CFD"/>
    <w:rsid w:val="00A4558C"/>
    <w:rsid w:val="00A4597F"/>
    <w:rsid w:val="00A45C2B"/>
    <w:rsid w:val="00A46187"/>
    <w:rsid w:val="00A4635D"/>
    <w:rsid w:val="00A4665E"/>
    <w:rsid w:val="00A46D03"/>
    <w:rsid w:val="00A47396"/>
    <w:rsid w:val="00A479C9"/>
    <w:rsid w:val="00A47A3E"/>
    <w:rsid w:val="00A47C48"/>
    <w:rsid w:val="00A47FC7"/>
    <w:rsid w:val="00A501FE"/>
    <w:rsid w:val="00A505C6"/>
    <w:rsid w:val="00A505CC"/>
    <w:rsid w:val="00A508CA"/>
    <w:rsid w:val="00A50AAD"/>
    <w:rsid w:val="00A50BAC"/>
    <w:rsid w:val="00A50CF3"/>
    <w:rsid w:val="00A5113F"/>
    <w:rsid w:val="00A518F6"/>
    <w:rsid w:val="00A519B3"/>
    <w:rsid w:val="00A51AEB"/>
    <w:rsid w:val="00A51F5C"/>
    <w:rsid w:val="00A52119"/>
    <w:rsid w:val="00A5237C"/>
    <w:rsid w:val="00A52689"/>
    <w:rsid w:val="00A526FE"/>
    <w:rsid w:val="00A529EA"/>
    <w:rsid w:val="00A52B4B"/>
    <w:rsid w:val="00A52C9A"/>
    <w:rsid w:val="00A52F54"/>
    <w:rsid w:val="00A53155"/>
    <w:rsid w:val="00A5326C"/>
    <w:rsid w:val="00A53694"/>
    <w:rsid w:val="00A53A7D"/>
    <w:rsid w:val="00A53B5E"/>
    <w:rsid w:val="00A53C74"/>
    <w:rsid w:val="00A53F0E"/>
    <w:rsid w:val="00A54147"/>
    <w:rsid w:val="00A54229"/>
    <w:rsid w:val="00A54286"/>
    <w:rsid w:val="00A543E9"/>
    <w:rsid w:val="00A549D5"/>
    <w:rsid w:val="00A54A52"/>
    <w:rsid w:val="00A553D7"/>
    <w:rsid w:val="00A559EA"/>
    <w:rsid w:val="00A55E6E"/>
    <w:rsid w:val="00A55E6F"/>
    <w:rsid w:val="00A55F23"/>
    <w:rsid w:val="00A563EC"/>
    <w:rsid w:val="00A572A3"/>
    <w:rsid w:val="00A578F4"/>
    <w:rsid w:val="00A57B35"/>
    <w:rsid w:val="00A605D2"/>
    <w:rsid w:val="00A60647"/>
    <w:rsid w:val="00A606A8"/>
    <w:rsid w:val="00A61185"/>
    <w:rsid w:val="00A612FB"/>
    <w:rsid w:val="00A615B8"/>
    <w:rsid w:val="00A61B87"/>
    <w:rsid w:val="00A61BFE"/>
    <w:rsid w:val="00A61D40"/>
    <w:rsid w:val="00A6203B"/>
    <w:rsid w:val="00A62346"/>
    <w:rsid w:val="00A62747"/>
    <w:rsid w:val="00A62D16"/>
    <w:rsid w:val="00A62FA0"/>
    <w:rsid w:val="00A63096"/>
    <w:rsid w:val="00A63137"/>
    <w:rsid w:val="00A63310"/>
    <w:rsid w:val="00A635B4"/>
    <w:rsid w:val="00A6369F"/>
    <w:rsid w:val="00A636B5"/>
    <w:rsid w:val="00A6373D"/>
    <w:rsid w:val="00A63754"/>
    <w:rsid w:val="00A638F8"/>
    <w:rsid w:val="00A63BA0"/>
    <w:rsid w:val="00A64313"/>
    <w:rsid w:val="00A645FD"/>
    <w:rsid w:val="00A647DA"/>
    <w:rsid w:val="00A64907"/>
    <w:rsid w:val="00A652DE"/>
    <w:rsid w:val="00A65E3B"/>
    <w:rsid w:val="00A65FAB"/>
    <w:rsid w:val="00A65FDB"/>
    <w:rsid w:val="00A6639E"/>
    <w:rsid w:val="00A6666F"/>
    <w:rsid w:val="00A667D7"/>
    <w:rsid w:val="00A6681C"/>
    <w:rsid w:val="00A66FE9"/>
    <w:rsid w:val="00A67096"/>
    <w:rsid w:val="00A671C7"/>
    <w:rsid w:val="00A67B5E"/>
    <w:rsid w:val="00A67C54"/>
    <w:rsid w:val="00A67C6E"/>
    <w:rsid w:val="00A67C8F"/>
    <w:rsid w:val="00A67FEE"/>
    <w:rsid w:val="00A70120"/>
    <w:rsid w:val="00A70620"/>
    <w:rsid w:val="00A7073F"/>
    <w:rsid w:val="00A70836"/>
    <w:rsid w:val="00A7098E"/>
    <w:rsid w:val="00A70B24"/>
    <w:rsid w:val="00A70C22"/>
    <w:rsid w:val="00A7102D"/>
    <w:rsid w:val="00A7158E"/>
    <w:rsid w:val="00A715AF"/>
    <w:rsid w:val="00A716CB"/>
    <w:rsid w:val="00A71955"/>
    <w:rsid w:val="00A719C9"/>
    <w:rsid w:val="00A719F5"/>
    <w:rsid w:val="00A72103"/>
    <w:rsid w:val="00A7229D"/>
    <w:rsid w:val="00A725E6"/>
    <w:rsid w:val="00A72C6B"/>
    <w:rsid w:val="00A72DAF"/>
    <w:rsid w:val="00A735F8"/>
    <w:rsid w:val="00A735FB"/>
    <w:rsid w:val="00A73A30"/>
    <w:rsid w:val="00A73F97"/>
    <w:rsid w:val="00A74347"/>
    <w:rsid w:val="00A74684"/>
    <w:rsid w:val="00A746F0"/>
    <w:rsid w:val="00A7479E"/>
    <w:rsid w:val="00A74C4C"/>
    <w:rsid w:val="00A74D53"/>
    <w:rsid w:val="00A750C9"/>
    <w:rsid w:val="00A751BE"/>
    <w:rsid w:val="00A758D3"/>
    <w:rsid w:val="00A75CC7"/>
    <w:rsid w:val="00A75DA8"/>
    <w:rsid w:val="00A75F7C"/>
    <w:rsid w:val="00A766D6"/>
    <w:rsid w:val="00A76CD9"/>
    <w:rsid w:val="00A772C6"/>
    <w:rsid w:val="00A7748E"/>
    <w:rsid w:val="00A77BE4"/>
    <w:rsid w:val="00A77DB4"/>
    <w:rsid w:val="00A801F8"/>
    <w:rsid w:val="00A807DC"/>
    <w:rsid w:val="00A8096F"/>
    <w:rsid w:val="00A80A35"/>
    <w:rsid w:val="00A80B2E"/>
    <w:rsid w:val="00A80E86"/>
    <w:rsid w:val="00A80EB4"/>
    <w:rsid w:val="00A81061"/>
    <w:rsid w:val="00A8148E"/>
    <w:rsid w:val="00A81C1E"/>
    <w:rsid w:val="00A81DBE"/>
    <w:rsid w:val="00A8229E"/>
    <w:rsid w:val="00A825C8"/>
    <w:rsid w:val="00A82720"/>
    <w:rsid w:val="00A82837"/>
    <w:rsid w:val="00A8289B"/>
    <w:rsid w:val="00A82903"/>
    <w:rsid w:val="00A82B37"/>
    <w:rsid w:val="00A82DAB"/>
    <w:rsid w:val="00A83087"/>
    <w:rsid w:val="00A83140"/>
    <w:rsid w:val="00A833B5"/>
    <w:rsid w:val="00A837E7"/>
    <w:rsid w:val="00A84274"/>
    <w:rsid w:val="00A84608"/>
    <w:rsid w:val="00A849C2"/>
    <w:rsid w:val="00A84A04"/>
    <w:rsid w:val="00A84EEF"/>
    <w:rsid w:val="00A84FF3"/>
    <w:rsid w:val="00A85398"/>
    <w:rsid w:val="00A853D3"/>
    <w:rsid w:val="00A85D8C"/>
    <w:rsid w:val="00A85FA8"/>
    <w:rsid w:val="00A85FE9"/>
    <w:rsid w:val="00A861D5"/>
    <w:rsid w:val="00A865A5"/>
    <w:rsid w:val="00A8668C"/>
    <w:rsid w:val="00A8699D"/>
    <w:rsid w:val="00A86CC4"/>
    <w:rsid w:val="00A86D96"/>
    <w:rsid w:val="00A86FAC"/>
    <w:rsid w:val="00A872E5"/>
    <w:rsid w:val="00A8754C"/>
    <w:rsid w:val="00A87668"/>
    <w:rsid w:val="00A87888"/>
    <w:rsid w:val="00A87FD4"/>
    <w:rsid w:val="00A90819"/>
    <w:rsid w:val="00A90D1A"/>
    <w:rsid w:val="00A90F16"/>
    <w:rsid w:val="00A90FA0"/>
    <w:rsid w:val="00A90FBD"/>
    <w:rsid w:val="00A9110A"/>
    <w:rsid w:val="00A913A2"/>
    <w:rsid w:val="00A9141C"/>
    <w:rsid w:val="00A91800"/>
    <w:rsid w:val="00A91B55"/>
    <w:rsid w:val="00A91E87"/>
    <w:rsid w:val="00A924EE"/>
    <w:rsid w:val="00A9290C"/>
    <w:rsid w:val="00A92E66"/>
    <w:rsid w:val="00A930D5"/>
    <w:rsid w:val="00A93107"/>
    <w:rsid w:val="00A93349"/>
    <w:rsid w:val="00A93450"/>
    <w:rsid w:val="00A93901"/>
    <w:rsid w:val="00A93A71"/>
    <w:rsid w:val="00A93E9A"/>
    <w:rsid w:val="00A943E4"/>
    <w:rsid w:val="00A94AC9"/>
    <w:rsid w:val="00A9524B"/>
    <w:rsid w:val="00A95A06"/>
    <w:rsid w:val="00A95CB1"/>
    <w:rsid w:val="00A96230"/>
    <w:rsid w:val="00A96622"/>
    <w:rsid w:val="00A9681F"/>
    <w:rsid w:val="00A968A9"/>
    <w:rsid w:val="00A9692F"/>
    <w:rsid w:val="00A96E70"/>
    <w:rsid w:val="00A9707F"/>
    <w:rsid w:val="00A97178"/>
    <w:rsid w:val="00A97467"/>
    <w:rsid w:val="00A9754A"/>
    <w:rsid w:val="00A976D3"/>
    <w:rsid w:val="00A9781B"/>
    <w:rsid w:val="00A97D1E"/>
    <w:rsid w:val="00AA0108"/>
    <w:rsid w:val="00AA03B9"/>
    <w:rsid w:val="00AA0445"/>
    <w:rsid w:val="00AA0BE3"/>
    <w:rsid w:val="00AA12C4"/>
    <w:rsid w:val="00AA1585"/>
    <w:rsid w:val="00AA1868"/>
    <w:rsid w:val="00AA1EEC"/>
    <w:rsid w:val="00AA1F76"/>
    <w:rsid w:val="00AA1FED"/>
    <w:rsid w:val="00AA23CD"/>
    <w:rsid w:val="00AA2738"/>
    <w:rsid w:val="00AA29A7"/>
    <w:rsid w:val="00AA2CF1"/>
    <w:rsid w:val="00AA30CA"/>
    <w:rsid w:val="00AA30CE"/>
    <w:rsid w:val="00AA3628"/>
    <w:rsid w:val="00AA3803"/>
    <w:rsid w:val="00AA39B5"/>
    <w:rsid w:val="00AA39BB"/>
    <w:rsid w:val="00AA3E9C"/>
    <w:rsid w:val="00AA3F52"/>
    <w:rsid w:val="00AA4263"/>
    <w:rsid w:val="00AA4294"/>
    <w:rsid w:val="00AA4933"/>
    <w:rsid w:val="00AA4B94"/>
    <w:rsid w:val="00AA4C28"/>
    <w:rsid w:val="00AA504D"/>
    <w:rsid w:val="00AA5655"/>
    <w:rsid w:val="00AA5695"/>
    <w:rsid w:val="00AA5B13"/>
    <w:rsid w:val="00AA636F"/>
    <w:rsid w:val="00AA6445"/>
    <w:rsid w:val="00AA66C4"/>
    <w:rsid w:val="00AA6761"/>
    <w:rsid w:val="00AA688F"/>
    <w:rsid w:val="00AA6CFC"/>
    <w:rsid w:val="00AA7867"/>
    <w:rsid w:val="00AA7F08"/>
    <w:rsid w:val="00AA7F2A"/>
    <w:rsid w:val="00AB0270"/>
    <w:rsid w:val="00AB0281"/>
    <w:rsid w:val="00AB065F"/>
    <w:rsid w:val="00AB0D3B"/>
    <w:rsid w:val="00AB106D"/>
    <w:rsid w:val="00AB156B"/>
    <w:rsid w:val="00AB1726"/>
    <w:rsid w:val="00AB19CE"/>
    <w:rsid w:val="00AB1B3B"/>
    <w:rsid w:val="00AB1BCE"/>
    <w:rsid w:val="00AB26CC"/>
    <w:rsid w:val="00AB29CD"/>
    <w:rsid w:val="00AB2A56"/>
    <w:rsid w:val="00AB2B3F"/>
    <w:rsid w:val="00AB2EEF"/>
    <w:rsid w:val="00AB3091"/>
    <w:rsid w:val="00AB3255"/>
    <w:rsid w:val="00AB32FA"/>
    <w:rsid w:val="00AB3399"/>
    <w:rsid w:val="00AB3444"/>
    <w:rsid w:val="00AB346C"/>
    <w:rsid w:val="00AB3578"/>
    <w:rsid w:val="00AB426B"/>
    <w:rsid w:val="00AB43F0"/>
    <w:rsid w:val="00AB44D9"/>
    <w:rsid w:val="00AB4567"/>
    <w:rsid w:val="00AB4749"/>
    <w:rsid w:val="00AB4BD8"/>
    <w:rsid w:val="00AB4C19"/>
    <w:rsid w:val="00AB5290"/>
    <w:rsid w:val="00AB55B3"/>
    <w:rsid w:val="00AB5895"/>
    <w:rsid w:val="00AB6245"/>
    <w:rsid w:val="00AB625F"/>
    <w:rsid w:val="00AB6B03"/>
    <w:rsid w:val="00AB6D4C"/>
    <w:rsid w:val="00AB6EFF"/>
    <w:rsid w:val="00AB764F"/>
    <w:rsid w:val="00AB7CD5"/>
    <w:rsid w:val="00AC00AD"/>
    <w:rsid w:val="00AC0451"/>
    <w:rsid w:val="00AC06C6"/>
    <w:rsid w:val="00AC0859"/>
    <w:rsid w:val="00AC0CF6"/>
    <w:rsid w:val="00AC136C"/>
    <w:rsid w:val="00AC145B"/>
    <w:rsid w:val="00AC1644"/>
    <w:rsid w:val="00AC189A"/>
    <w:rsid w:val="00AC1A2A"/>
    <w:rsid w:val="00AC1DDA"/>
    <w:rsid w:val="00AC21EF"/>
    <w:rsid w:val="00AC23C6"/>
    <w:rsid w:val="00AC2D1A"/>
    <w:rsid w:val="00AC2DB5"/>
    <w:rsid w:val="00AC2F28"/>
    <w:rsid w:val="00AC32D6"/>
    <w:rsid w:val="00AC3380"/>
    <w:rsid w:val="00AC3570"/>
    <w:rsid w:val="00AC3C1E"/>
    <w:rsid w:val="00AC3D7C"/>
    <w:rsid w:val="00AC3E8B"/>
    <w:rsid w:val="00AC497D"/>
    <w:rsid w:val="00AC4D47"/>
    <w:rsid w:val="00AC50B8"/>
    <w:rsid w:val="00AC5C01"/>
    <w:rsid w:val="00AC5C3C"/>
    <w:rsid w:val="00AC5E66"/>
    <w:rsid w:val="00AC6006"/>
    <w:rsid w:val="00AC6015"/>
    <w:rsid w:val="00AC64CB"/>
    <w:rsid w:val="00AC6B11"/>
    <w:rsid w:val="00AC6C7B"/>
    <w:rsid w:val="00AC6F47"/>
    <w:rsid w:val="00AC7195"/>
    <w:rsid w:val="00AC7289"/>
    <w:rsid w:val="00AC735A"/>
    <w:rsid w:val="00AD02AB"/>
    <w:rsid w:val="00AD075D"/>
    <w:rsid w:val="00AD0768"/>
    <w:rsid w:val="00AD0FB3"/>
    <w:rsid w:val="00AD1178"/>
    <w:rsid w:val="00AD14E5"/>
    <w:rsid w:val="00AD1C80"/>
    <w:rsid w:val="00AD1DC0"/>
    <w:rsid w:val="00AD1DF0"/>
    <w:rsid w:val="00AD2247"/>
    <w:rsid w:val="00AD23C4"/>
    <w:rsid w:val="00AD25A7"/>
    <w:rsid w:val="00AD2AA7"/>
    <w:rsid w:val="00AD2EC0"/>
    <w:rsid w:val="00AD35A5"/>
    <w:rsid w:val="00AD36CC"/>
    <w:rsid w:val="00AD3DCE"/>
    <w:rsid w:val="00AD42C8"/>
    <w:rsid w:val="00AD48E0"/>
    <w:rsid w:val="00AD4BB0"/>
    <w:rsid w:val="00AD4D2B"/>
    <w:rsid w:val="00AD4D37"/>
    <w:rsid w:val="00AD4F52"/>
    <w:rsid w:val="00AD5288"/>
    <w:rsid w:val="00AD55E2"/>
    <w:rsid w:val="00AD57F2"/>
    <w:rsid w:val="00AD5824"/>
    <w:rsid w:val="00AD5D45"/>
    <w:rsid w:val="00AD6266"/>
    <w:rsid w:val="00AD62BC"/>
    <w:rsid w:val="00AD6F97"/>
    <w:rsid w:val="00AD7402"/>
    <w:rsid w:val="00AD7580"/>
    <w:rsid w:val="00AD7884"/>
    <w:rsid w:val="00AD788D"/>
    <w:rsid w:val="00AE05B5"/>
    <w:rsid w:val="00AE05F0"/>
    <w:rsid w:val="00AE061B"/>
    <w:rsid w:val="00AE0BB8"/>
    <w:rsid w:val="00AE11F0"/>
    <w:rsid w:val="00AE17A9"/>
    <w:rsid w:val="00AE1804"/>
    <w:rsid w:val="00AE1AA7"/>
    <w:rsid w:val="00AE1B9A"/>
    <w:rsid w:val="00AE1D59"/>
    <w:rsid w:val="00AE2295"/>
    <w:rsid w:val="00AE230D"/>
    <w:rsid w:val="00AE2475"/>
    <w:rsid w:val="00AE2F8B"/>
    <w:rsid w:val="00AE344A"/>
    <w:rsid w:val="00AE3491"/>
    <w:rsid w:val="00AE3528"/>
    <w:rsid w:val="00AE37AA"/>
    <w:rsid w:val="00AE3FBF"/>
    <w:rsid w:val="00AE40B3"/>
    <w:rsid w:val="00AE4354"/>
    <w:rsid w:val="00AE444A"/>
    <w:rsid w:val="00AE4589"/>
    <w:rsid w:val="00AE4619"/>
    <w:rsid w:val="00AE46C5"/>
    <w:rsid w:val="00AE47C1"/>
    <w:rsid w:val="00AE4C49"/>
    <w:rsid w:val="00AE50B9"/>
    <w:rsid w:val="00AE5489"/>
    <w:rsid w:val="00AE5657"/>
    <w:rsid w:val="00AE56E8"/>
    <w:rsid w:val="00AE57C0"/>
    <w:rsid w:val="00AE5E27"/>
    <w:rsid w:val="00AE61DB"/>
    <w:rsid w:val="00AE6338"/>
    <w:rsid w:val="00AE63C9"/>
    <w:rsid w:val="00AE656F"/>
    <w:rsid w:val="00AE6646"/>
    <w:rsid w:val="00AE675A"/>
    <w:rsid w:val="00AE6DAF"/>
    <w:rsid w:val="00AE762E"/>
    <w:rsid w:val="00AE76F2"/>
    <w:rsid w:val="00AE7C10"/>
    <w:rsid w:val="00AF0363"/>
    <w:rsid w:val="00AF074E"/>
    <w:rsid w:val="00AF07D6"/>
    <w:rsid w:val="00AF086E"/>
    <w:rsid w:val="00AF088A"/>
    <w:rsid w:val="00AF08D5"/>
    <w:rsid w:val="00AF0BDC"/>
    <w:rsid w:val="00AF0ED6"/>
    <w:rsid w:val="00AF153C"/>
    <w:rsid w:val="00AF1E23"/>
    <w:rsid w:val="00AF1EEF"/>
    <w:rsid w:val="00AF20C8"/>
    <w:rsid w:val="00AF23F4"/>
    <w:rsid w:val="00AF2D83"/>
    <w:rsid w:val="00AF2E4A"/>
    <w:rsid w:val="00AF316E"/>
    <w:rsid w:val="00AF34B6"/>
    <w:rsid w:val="00AF34EE"/>
    <w:rsid w:val="00AF366D"/>
    <w:rsid w:val="00AF3C08"/>
    <w:rsid w:val="00AF40DB"/>
    <w:rsid w:val="00AF42D1"/>
    <w:rsid w:val="00AF484F"/>
    <w:rsid w:val="00AF5461"/>
    <w:rsid w:val="00AF5668"/>
    <w:rsid w:val="00AF58BD"/>
    <w:rsid w:val="00AF5A13"/>
    <w:rsid w:val="00AF611B"/>
    <w:rsid w:val="00AF64B5"/>
    <w:rsid w:val="00AF6559"/>
    <w:rsid w:val="00AF6854"/>
    <w:rsid w:val="00AF6E74"/>
    <w:rsid w:val="00AF6FB1"/>
    <w:rsid w:val="00AF73A2"/>
    <w:rsid w:val="00AF749C"/>
    <w:rsid w:val="00AF7511"/>
    <w:rsid w:val="00AF7579"/>
    <w:rsid w:val="00AF7C56"/>
    <w:rsid w:val="00B0013F"/>
    <w:rsid w:val="00B00327"/>
    <w:rsid w:val="00B006E8"/>
    <w:rsid w:val="00B0072B"/>
    <w:rsid w:val="00B0072C"/>
    <w:rsid w:val="00B00818"/>
    <w:rsid w:val="00B00B0D"/>
    <w:rsid w:val="00B00E62"/>
    <w:rsid w:val="00B00F97"/>
    <w:rsid w:val="00B00FE2"/>
    <w:rsid w:val="00B0130A"/>
    <w:rsid w:val="00B01841"/>
    <w:rsid w:val="00B01A47"/>
    <w:rsid w:val="00B01A70"/>
    <w:rsid w:val="00B027E2"/>
    <w:rsid w:val="00B02879"/>
    <w:rsid w:val="00B028A7"/>
    <w:rsid w:val="00B0314E"/>
    <w:rsid w:val="00B03B75"/>
    <w:rsid w:val="00B03C8B"/>
    <w:rsid w:val="00B04085"/>
    <w:rsid w:val="00B0421D"/>
    <w:rsid w:val="00B045DC"/>
    <w:rsid w:val="00B049DF"/>
    <w:rsid w:val="00B04C61"/>
    <w:rsid w:val="00B0526F"/>
    <w:rsid w:val="00B0559E"/>
    <w:rsid w:val="00B057A4"/>
    <w:rsid w:val="00B05A8F"/>
    <w:rsid w:val="00B05C87"/>
    <w:rsid w:val="00B0617C"/>
    <w:rsid w:val="00B06266"/>
    <w:rsid w:val="00B062C4"/>
    <w:rsid w:val="00B0746D"/>
    <w:rsid w:val="00B079BA"/>
    <w:rsid w:val="00B07BFF"/>
    <w:rsid w:val="00B10251"/>
    <w:rsid w:val="00B10A21"/>
    <w:rsid w:val="00B10C88"/>
    <w:rsid w:val="00B1170D"/>
    <w:rsid w:val="00B11C7E"/>
    <w:rsid w:val="00B11E29"/>
    <w:rsid w:val="00B121B4"/>
    <w:rsid w:val="00B1226C"/>
    <w:rsid w:val="00B12422"/>
    <w:rsid w:val="00B12B25"/>
    <w:rsid w:val="00B12F16"/>
    <w:rsid w:val="00B12FE3"/>
    <w:rsid w:val="00B131D9"/>
    <w:rsid w:val="00B13605"/>
    <w:rsid w:val="00B13823"/>
    <w:rsid w:val="00B13AC6"/>
    <w:rsid w:val="00B13F55"/>
    <w:rsid w:val="00B13F73"/>
    <w:rsid w:val="00B14164"/>
    <w:rsid w:val="00B14428"/>
    <w:rsid w:val="00B14700"/>
    <w:rsid w:val="00B14998"/>
    <w:rsid w:val="00B14C07"/>
    <w:rsid w:val="00B14C5A"/>
    <w:rsid w:val="00B14F29"/>
    <w:rsid w:val="00B14F99"/>
    <w:rsid w:val="00B1529C"/>
    <w:rsid w:val="00B162DB"/>
    <w:rsid w:val="00B164CC"/>
    <w:rsid w:val="00B1693E"/>
    <w:rsid w:val="00B16CBA"/>
    <w:rsid w:val="00B16E40"/>
    <w:rsid w:val="00B1747C"/>
    <w:rsid w:val="00B174DA"/>
    <w:rsid w:val="00B1782D"/>
    <w:rsid w:val="00B178CE"/>
    <w:rsid w:val="00B17A83"/>
    <w:rsid w:val="00B17A89"/>
    <w:rsid w:val="00B17BC2"/>
    <w:rsid w:val="00B17C82"/>
    <w:rsid w:val="00B201FE"/>
    <w:rsid w:val="00B20299"/>
    <w:rsid w:val="00B20591"/>
    <w:rsid w:val="00B2093F"/>
    <w:rsid w:val="00B20B83"/>
    <w:rsid w:val="00B217C9"/>
    <w:rsid w:val="00B218FF"/>
    <w:rsid w:val="00B223F7"/>
    <w:rsid w:val="00B2272E"/>
    <w:rsid w:val="00B23482"/>
    <w:rsid w:val="00B23568"/>
    <w:rsid w:val="00B2366C"/>
    <w:rsid w:val="00B239CB"/>
    <w:rsid w:val="00B247A6"/>
    <w:rsid w:val="00B24828"/>
    <w:rsid w:val="00B24E61"/>
    <w:rsid w:val="00B24E88"/>
    <w:rsid w:val="00B2504D"/>
    <w:rsid w:val="00B25244"/>
    <w:rsid w:val="00B256A5"/>
    <w:rsid w:val="00B256C6"/>
    <w:rsid w:val="00B25704"/>
    <w:rsid w:val="00B26097"/>
    <w:rsid w:val="00B2624B"/>
    <w:rsid w:val="00B262C0"/>
    <w:rsid w:val="00B26602"/>
    <w:rsid w:val="00B266F9"/>
    <w:rsid w:val="00B26890"/>
    <w:rsid w:val="00B268A5"/>
    <w:rsid w:val="00B26B5C"/>
    <w:rsid w:val="00B27280"/>
    <w:rsid w:val="00B272AF"/>
    <w:rsid w:val="00B27414"/>
    <w:rsid w:val="00B27490"/>
    <w:rsid w:val="00B2790F"/>
    <w:rsid w:val="00B27910"/>
    <w:rsid w:val="00B27CFD"/>
    <w:rsid w:val="00B30702"/>
    <w:rsid w:val="00B30ABB"/>
    <w:rsid w:val="00B30AC0"/>
    <w:rsid w:val="00B30B9D"/>
    <w:rsid w:val="00B30FCF"/>
    <w:rsid w:val="00B3120B"/>
    <w:rsid w:val="00B31713"/>
    <w:rsid w:val="00B31874"/>
    <w:rsid w:val="00B31BB4"/>
    <w:rsid w:val="00B31D26"/>
    <w:rsid w:val="00B31F95"/>
    <w:rsid w:val="00B32191"/>
    <w:rsid w:val="00B3250F"/>
    <w:rsid w:val="00B328AB"/>
    <w:rsid w:val="00B32C27"/>
    <w:rsid w:val="00B33849"/>
    <w:rsid w:val="00B33EB7"/>
    <w:rsid w:val="00B3450C"/>
    <w:rsid w:val="00B34586"/>
    <w:rsid w:val="00B345E0"/>
    <w:rsid w:val="00B34689"/>
    <w:rsid w:val="00B348C4"/>
    <w:rsid w:val="00B35645"/>
    <w:rsid w:val="00B35917"/>
    <w:rsid w:val="00B35D13"/>
    <w:rsid w:val="00B36002"/>
    <w:rsid w:val="00B36292"/>
    <w:rsid w:val="00B364A1"/>
    <w:rsid w:val="00B368C1"/>
    <w:rsid w:val="00B36A3B"/>
    <w:rsid w:val="00B36EE9"/>
    <w:rsid w:val="00B370F0"/>
    <w:rsid w:val="00B37352"/>
    <w:rsid w:val="00B374DE"/>
    <w:rsid w:val="00B37626"/>
    <w:rsid w:val="00B376B4"/>
    <w:rsid w:val="00B37A46"/>
    <w:rsid w:val="00B37D90"/>
    <w:rsid w:val="00B37DE5"/>
    <w:rsid w:val="00B37EF0"/>
    <w:rsid w:val="00B4048D"/>
    <w:rsid w:val="00B405E9"/>
    <w:rsid w:val="00B408AC"/>
    <w:rsid w:val="00B40E38"/>
    <w:rsid w:val="00B41000"/>
    <w:rsid w:val="00B413C6"/>
    <w:rsid w:val="00B4191A"/>
    <w:rsid w:val="00B419EB"/>
    <w:rsid w:val="00B419FD"/>
    <w:rsid w:val="00B41DEE"/>
    <w:rsid w:val="00B41F25"/>
    <w:rsid w:val="00B42104"/>
    <w:rsid w:val="00B422B6"/>
    <w:rsid w:val="00B42317"/>
    <w:rsid w:val="00B42466"/>
    <w:rsid w:val="00B42715"/>
    <w:rsid w:val="00B427AA"/>
    <w:rsid w:val="00B4284D"/>
    <w:rsid w:val="00B42C4A"/>
    <w:rsid w:val="00B42D00"/>
    <w:rsid w:val="00B42D05"/>
    <w:rsid w:val="00B430AD"/>
    <w:rsid w:val="00B43236"/>
    <w:rsid w:val="00B4334E"/>
    <w:rsid w:val="00B441B4"/>
    <w:rsid w:val="00B4426E"/>
    <w:rsid w:val="00B442FA"/>
    <w:rsid w:val="00B44360"/>
    <w:rsid w:val="00B443BB"/>
    <w:rsid w:val="00B44F3A"/>
    <w:rsid w:val="00B4503C"/>
    <w:rsid w:val="00B45228"/>
    <w:rsid w:val="00B4531D"/>
    <w:rsid w:val="00B4663F"/>
    <w:rsid w:val="00B46854"/>
    <w:rsid w:val="00B46D29"/>
    <w:rsid w:val="00B46E40"/>
    <w:rsid w:val="00B471F1"/>
    <w:rsid w:val="00B47226"/>
    <w:rsid w:val="00B47717"/>
    <w:rsid w:val="00B47BFE"/>
    <w:rsid w:val="00B47F47"/>
    <w:rsid w:val="00B50137"/>
    <w:rsid w:val="00B50160"/>
    <w:rsid w:val="00B5038C"/>
    <w:rsid w:val="00B50585"/>
    <w:rsid w:val="00B50811"/>
    <w:rsid w:val="00B508FD"/>
    <w:rsid w:val="00B50B4E"/>
    <w:rsid w:val="00B5111E"/>
    <w:rsid w:val="00B516E4"/>
    <w:rsid w:val="00B517CD"/>
    <w:rsid w:val="00B51A60"/>
    <w:rsid w:val="00B51E20"/>
    <w:rsid w:val="00B524C6"/>
    <w:rsid w:val="00B525F2"/>
    <w:rsid w:val="00B52708"/>
    <w:rsid w:val="00B52C34"/>
    <w:rsid w:val="00B52CBE"/>
    <w:rsid w:val="00B536B1"/>
    <w:rsid w:val="00B53824"/>
    <w:rsid w:val="00B53A71"/>
    <w:rsid w:val="00B53EBD"/>
    <w:rsid w:val="00B548BF"/>
    <w:rsid w:val="00B54BCC"/>
    <w:rsid w:val="00B54D72"/>
    <w:rsid w:val="00B54D96"/>
    <w:rsid w:val="00B55146"/>
    <w:rsid w:val="00B556C8"/>
    <w:rsid w:val="00B5575F"/>
    <w:rsid w:val="00B55C69"/>
    <w:rsid w:val="00B55CC4"/>
    <w:rsid w:val="00B56022"/>
    <w:rsid w:val="00B5642F"/>
    <w:rsid w:val="00B56A3B"/>
    <w:rsid w:val="00B56BDD"/>
    <w:rsid w:val="00B571BB"/>
    <w:rsid w:val="00B571DD"/>
    <w:rsid w:val="00B57308"/>
    <w:rsid w:val="00B5776B"/>
    <w:rsid w:val="00B577A2"/>
    <w:rsid w:val="00B577FC"/>
    <w:rsid w:val="00B57BE1"/>
    <w:rsid w:val="00B57CE4"/>
    <w:rsid w:val="00B57D75"/>
    <w:rsid w:val="00B603B9"/>
    <w:rsid w:val="00B603D6"/>
    <w:rsid w:val="00B609C1"/>
    <w:rsid w:val="00B60C41"/>
    <w:rsid w:val="00B60DD2"/>
    <w:rsid w:val="00B60E71"/>
    <w:rsid w:val="00B61098"/>
    <w:rsid w:val="00B613F0"/>
    <w:rsid w:val="00B61777"/>
    <w:rsid w:val="00B619B1"/>
    <w:rsid w:val="00B61D62"/>
    <w:rsid w:val="00B61E18"/>
    <w:rsid w:val="00B6232A"/>
    <w:rsid w:val="00B62488"/>
    <w:rsid w:val="00B62828"/>
    <w:rsid w:val="00B62B34"/>
    <w:rsid w:val="00B63DD7"/>
    <w:rsid w:val="00B64ADB"/>
    <w:rsid w:val="00B650AF"/>
    <w:rsid w:val="00B651F1"/>
    <w:rsid w:val="00B65282"/>
    <w:rsid w:val="00B6536D"/>
    <w:rsid w:val="00B6572A"/>
    <w:rsid w:val="00B65C40"/>
    <w:rsid w:val="00B6601C"/>
    <w:rsid w:val="00B66270"/>
    <w:rsid w:val="00B67145"/>
    <w:rsid w:val="00B67175"/>
    <w:rsid w:val="00B67407"/>
    <w:rsid w:val="00B67490"/>
    <w:rsid w:val="00B67B71"/>
    <w:rsid w:val="00B67DF5"/>
    <w:rsid w:val="00B67E29"/>
    <w:rsid w:val="00B67E4C"/>
    <w:rsid w:val="00B67FE9"/>
    <w:rsid w:val="00B701C8"/>
    <w:rsid w:val="00B70233"/>
    <w:rsid w:val="00B70287"/>
    <w:rsid w:val="00B70431"/>
    <w:rsid w:val="00B7045D"/>
    <w:rsid w:val="00B706ED"/>
    <w:rsid w:val="00B7110E"/>
    <w:rsid w:val="00B71260"/>
    <w:rsid w:val="00B7126D"/>
    <w:rsid w:val="00B71291"/>
    <w:rsid w:val="00B7196B"/>
    <w:rsid w:val="00B71F01"/>
    <w:rsid w:val="00B72133"/>
    <w:rsid w:val="00B7214A"/>
    <w:rsid w:val="00B7251F"/>
    <w:rsid w:val="00B72D02"/>
    <w:rsid w:val="00B72D45"/>
    <w:rsid w:val="00B72FAB"/>
    <w:rsid w:val="00B73334"/>
    <w:rsid w:val="00B73A6C"/>
    <w:rsid w:val="00B73C14"/>
    <w:rsid w:val="00B73C27"/>
    <w:rsid w:val="00B73FA4"/>
    <w:rsid w:val="00B740AC"/>
    <w:rsid w:val="00B743FC"/>
    <w:rsid w:val="00B74870"/>
    <w:rsid w:val="00B74A00"/>
    <w:rsid w:val="00B74C71"/>
    <w:rsid w:val="00B74C89"/>
    <w:rsid w:val="00B75527"/>
    <w:rsid w:val="00B75579"/>
    <w:rsid w:val="00B757CC"/>
    <w:rsid w:val="00B75BCB"/>
    <w:rsid w:val="00B75D7B"/>
    <w:rsid w:val="00B75E0B"/>
    <w:rsid w:val="00B763EB"/>
    <w:rsid w:val="00B773B9"/>
    <w:rsid w:val="00B7764E"/>
    <w:rsid w:val="00B77676"/>
    <w:rsid w:val="00B778D4"/>
    <w:rsid w:val="00B77955"/>
    <w:rsid w:val="00B77FCF"/>
    <w:rsid w:val="00B80051"/>
    <w:rsid w:val="00B80577"/>
    <w:rsid w:val="00B80778"/>
    <w:rsid w:val="00B80A4C"/>
    <w:rsid w:val="00B80ACC"/>
    <w:rsid w:val="00B80DEB"/>
    <w:rsid w:val="00B811E2"/>
    <w:rsid w:val="00B81259"/>
    <w:rsid w:val="00B81444"/>
    <w:rsid w:val="00B815A6"/>
    <w:rsid w:val="00B8196D"/>
    <w:rsid w:val="00B81B5A"/>
    <w:rsid w:val="00B81D9D"/>
    <w:rsid w:val="00B81F46"/>
    <w:rsid w:val="00B8216E"/>
    <w:rsid w:val="00B8262D"/>
    <w:rsid w:val="00B82636"/>
    <w:rsid w:val="00B82876"/>
    <w:rsid w:val="00B828A4"/>
    <w:rsid w:val="00B82999"/>
    <w:rsid w:val="00B82BD2"/>
    <w:rsid w:val="00B82CC2"/>
    <w:rsid w:val="00B82F01"/>
    <w:rsid w:val="00B8330E"/>
    <w:rsid w:val="00B833F5"/>
    <w:rsid w:val="00B83B60"/>
    <w:rsid w:val="00B83D2C"/>
    <w:rsid w:val="00B83FB9"/>
    <w:rsid w:val="00B84521"/>
    <w:rsid w:val="00B84A85"/>
    <w:rsid w:val="00B84E6B"/>
    <w:rsid w:val="00B84FBE"/>
    <w:rsid w:val="00B85329"/>
    <w:rsid w:val="00B856FD"/>
    <w:rsid w:val="00B85765"/>
    <w:rsid w:val="00B85825"/>
    <w:rsid w:val="00B85AA2"/>
    <w:rsid w:val="00B85B47"/>
    <w:rsid w:val="00B86156"/>
    <w:rsid w:val="00B86338"/>
    <w:rsid w:val="00B868C0"/>
    <w:rsid w:val="00B87018"/>
    <w:rsid w:val="00B87299"/>
    <w:rsid w:val="00B875B8"/>
    <w:rsid w:val="00B876ED"/>
    <w:rsid w:val="00B877AF"/>
    <w:rsid w:val="00B87CD3"/>
    <w:rsid w:val="00B87E89"/>
    <w:rsid w:val="00B902C6"/>
    <w:rsid w:val="00B906D7"/>
    <w:rsid w:val="00B9086C"/>
    <w:rsid w:val="00B91988"/>
    <w:rsid w:val="00B91B62"/>
    <w:rsid w:val="00B91DAD"/>
    <w:rsid w:val="00B91EE7"/>
    <w:rsid w:val="00B91FD1"/>
    <w:rsid w:val="00B92C73"/>
    <w:rsid w:val="00B9314E"/>
    <w:rsid w:val="00B936E5"/>
    <w:rsid w:val="00B93D71"/>
    <w:rsid w:val="00B94291"/>
    <w:rsid w:val="00B9498C"/>
    <w:rsid w:val="00B94B62"/>
    <w:rsid w:val="00B94D33"/>
    <w:rsid w:val="00B94D62"/>
    <w:rsid w:val="00B95574"/>
    <w:rsid w:val="00B95E19"/>
    <w:rsid w:val="00B96203"/>
    <w:rsid w:val="00B96990"/>
    <w:rsid w:val="00B96B79"/>
    <w:rsid w:val="00B9728C"/>
    <w:rsid w:val="00B97835"/>
    <w:rsid w:val="00B979A1"/>
    <w:rsid w:val="00B97A9E"/>
    <w:rsid w:val="00BA0678"/>
    <w:rsid w:val="00BA06AB"/>
    <w:rsid w:val="00BA0C97"/>
    <w:rsid w:val="00BA0EF6"/>
    <w:rsid w:val="00BA13E4"/>
    <w:rsid w:val="00BA18AA"/>
    <w:rsid w:val="00BA1903"/>
    <w:rsid w:val="00BA1B57"/>
    <w:rsid w:val="00BA1B8C"/>
    <w:rsid w:val="00BA1C8A"/>
    <w:rsid w:val="00BA1E32"/>
    <w:rsid w:val="00BA1E4E"/>
    <w:rsid w:val="00BA1E8E"/>
    <w:rsid w:val="00BA23C9"/>
    <w:rsid w:val="00BA29D8"/>
    <w:rsid w:val="00BA2C57"/>
    <w:rsid w:val="00BA3390"/>
    <w:rsid w:val="00BA35BA"/>
    <w:rsid w:val="00BA3B2A"/>
    <w:rsid w:val="00BA4403"/>
    <w:rsid w:val="00BA4533"/>
    <w:rsid w:val="00BA5221"/>
    <w:rsid w:val="00BA58E8"/>
    <w:rsid w:val="00BA5B01"/>
    <w:rsid w:val="00BA6562"/>
    <w:rsid w:val="00BA68DA"/>
    <w:rsid w:val="00BA6A25"/>
    <w:rsid w:val="00BA6C8A"/>
    <w:rsid w:val="00BA7160"/>
    <w:rsid w:val="00BA79CE"/>
    <w:rsid w:val="00BB009B"/>
    <w:rsid w:val="00BB0493"/>
    <w:rsid w:val="00BB0858"/>
    <w:rsid w:val="00BB0A34"/>
    <w:rsid w:val="00BB1516"/>
    <w:rsid w:val="00BB1567"/>
    <w:rsid w:val="00BB1744"/>
    <w:rsid w:val="00BB22F3"/>
    <w:rsid w:val="00BB28EB"/>
    <w:rsid w:val="00BB29E3"/>
    <w:rsid w:val="00BB2E30"/>
    <w:rsid w:val="00BB3207"/>
    <w:rsid w:val="00BB3331"/>
    <w:rsid w:val="00BB3369"/>
    <w:rsid w:val="00BB3A99"/>
    <w:rsid w:val="00BB4004"/>
    <w:rsid w:val="00BB4019"/>
    <w:rsid w:val="00BB4170"/>
    <w:rsid w:val="00BB4F59"/>
    <w:rsid w:val="00BB504F"/>
    <w:rsid w:val="00BB555C"/>
    <w:rsid w:val="00BB55A3"/>
    <w:rsid w:val="00BB5C70"/>
    <w:rsid w:val="00BB5C94"/>
    <w:rsid w:val="00BB5FD5"/>
    <w:rsid w:val="00BB62DC"/>
    <w:rsid w:val="00BB6324"/>
    <w:rsid w:val="00BB662F"/>
    <w:rsid w:val="00BB6695"/>
    <w:rsid w:val="00BB673B"/>
    <w:rsid w:val="00BB6A33"/>
    <w:rsid w:val="00BB6AA8"/>
    <w:rsid w:val="00BB7989"/>
    <w:rsid w:val="00BB7F10"/>
    <w:rsid w:val="00BC02DB"/>
    <w:rsid w:val="00BC03CD"/>
    <w:rsid w:val="00BC0807"/>
    <w:rsid w:val="00BC08A9"/>
    <w:rsid w:val="00BC0E20"/>
    <w:rsid w:val="00BC196A"/>
    <w:rsid w:val="00BC19FC"/>
    <w:rsid w:val="00BC1A4B"/>
    <w:rsid w:val="00BC203F"/>
    <w:rsid w:val="00BC235C"/>
    <w:rsid w:val="00BC2C9D"/>
    <w:rsid w:val="00BC2DFA"/>
    <w:rsid w:val="00BC33D7"/>
    <w:rsid w:val="00BC373D"/>
    <w:rsid w:val="00BC39CC"/>
    <w:rsid w:val="00BC3B2C"/>
    <w:rsid w:val="00BC3DF7"/>
    <w:rsid w:val="00BC4A28"/>
    <w:rsid w:val="00BC4E41"/>
    <w:rsid w:val="00BC4F14"/>
    <w:rsid w:val="00BC51DA"/>
    <w:rsid w:val="00BC51FC"/>
    <w:rsid w:val="00BC52C0"/>
    <w:rsid w:val="00BC56E5"/>
    <w:rsid w:val="00BC56F5"/>
    <w:rsid w:val="00BC5757"/>
    <w:rsid w:val="00BC594B"/>
    <w:rsid w:val="00BC6330"/>
    <w:rsid w:val="00BC6422"/>
    <w:rsid w:val="00BC656B"/>
    <w:rsid w:val="00BC65D8"/>
    <w:rsid w:val="00BC6A8D"/>
    <w:rsid w:val="00BC6B9A"/>
    <w:rsid w:val="00BC6F15"/>
    <w:rsid w:val="00BC727E"/>
    <w:rsid w:val="00BC732A"/>
    <w:rsid w:val="00BC7D6E"/>
    <w:rsid w:val="00BC7EFE"/>
    <w:rsid w:val="00BD07EB"/>
    <w:rsid w:val="00BD0E05"/>
    <w:rsid w:val="00BD0E2D"/>
    <w:rsid w:val="00BD1371"/>
    <w:rsid w:val="00BD22CF"/>
    <w:rsid w:val="00BD27B9"/>
    <w:rsid w:val="00BD2AA0"/>
    <w:rsid w:val="00BD2B07"/>
    <w:rsid w:val="00BD2C4C"/>
    <w:rsid w:val="00BD2CE5"/>
    <w:rsid w:val="00BD2E34"/>
    <w:rsid w:val="00BD2F77"/>
    <w:rsid w:val="00BD31EE"/>
    <w:rsid w:val="00BD3771"/>
    <w:rsid w:val="00BD3879"/>
    <w:rsid w:val="00BD3A13"/>
    <w:rsid w:val="00BD3A96"/>
    <w:rsid w:val="00BD3AAE"/>
    <w:rsid w:val="00BD3B8D"/>
    <w:rsid w:val="00BD3C8A"/>
    <w:rsid w:val="00BD3D3A"/>
    <w:rsid w:val="00BD4052"/>
    <w:rsid w:val="00BD40EA"/>
    <w:rsid w:val="00BD44DA"/>
    <w:rsid w:val="00BD458C"/>
    <w:rsid w:val="00BD4D87"/>
    <w:rsid w:val="00BD4F77"/>
    <w:rsid w:val="00BD5551"/>
    <w:rsid w:val="00BD566F"/>
    <w:rsid w:val="00BD58AB"/>
    <w:rsid w:val="00BD5F72"/>
    <w:rsid w:val="00BD6392"/>
    <w:rsid w:val="00BD6453"/>
    <w:rsid w:val="00BD6560"/>
    <w:rsid w:val="00BD68EE"/>
    <w:rsid w:val="00BD6A84"/>
    <w:rsid w:val="00BD71EF"/>
    <w:rsid w:val="00BD7ABD"/>
    <w:rsid w:val="00BD7D37"/>
    <w:rsid w:val="00BE03FC"/>
    <w:rsid w:val="00BE0594"/>
    <w:rsid w:val="00BE0980"/>
    <w:rsid w:val="00BE0C45"/>
    <w:rsid w:val="00BE106B"/>
    <w:rsid w:val="00BE188F"/>
    <w:rsid w:val="00BE1A67"/>
    <w:rsid w:val="00BE1B4B"/>
    <w:rsid w:val="00BE1C72"/>
    <w:rsid w:val="00BE1FA3"/>
    <w:rsid w:val="00BE2249"/>
    <w:rsid w:val="00BE226A"/>
    <w:rsid w:val="00BE26C8"/>
    <w:rsid w:val="00BE2944"/>
    <w:rsid w:val="00BE2E3D"/>
    <w:rsid w:val="00BE3158"/>
    <w:rsid w:val="00BE319F"/>
    <w:rsid w:val="00BE3348"/>
    <w:rsid w:val="00BE3E0A"/>
    <w:rsid w:val="00BE4625"/>
    <w:rsid w:val="00BE4973"/>
    <w:rsid w:val="00BE53A6"/>
    <w:rsid w:val="00BE555C"/>
    <w:rsid w:val="00BE5A5D"/>
    <w:rsid w:val="00BE5AAC"/>
    <w:rsid w:val="00BE5B06"/>
    <w:rsid w:val="00BE5BB5"/>
    <w:rsid w:val="00BE62F0"/>
    <w:rsid w:val="00BE65D9"/>
    <w:rsid w:val="00BE684D"/>
    <w:rsid w:val="00BE69A7"/>
    <w:rsid w:val="00BE6B46"/>
    <w:rsid w:val="00BE70B9"/>
    <w:rsid w:val="00BE70BC"/>
    <w:rsid w:val="00BE724E"/>
    <w:rsid w:val="00BE7594"/>
    <w:rsid w:val="00BE7E2B"/>
    <w:rsid w:val="00BE7F2C"/>
    <w:rsid w:val="00BF01F3"/>
    <w:rsid w:val="00BF04A9"/>
    <w:rsid w:val="00BF0547"/>
    <w:rsid w:val="00BF07EB"/>
    <w:rsid w:val="00BF08D4"/>
    <w:rsid w:val="00BF0998"/>
    <w:rsid w:val="00BF0A4D"/>
    <w:rsid w:val="00BF0E89"/>
    <w:rsid w:val="00BF11D1"/>
    <w:rsid w:val="00BF12D8"/>
    <w:rsid w:val="00BF1933"/>
    <w:rsid w:val="00BF193E"/>
    <w:rsid w:val="00BF199B"/>
    <w:rsid w:val="00BF1B1B"/>
    <w:rsid w:val="00BF1B60"/>
    <w:rsid w:val="00BF2786"/>
    <w:rsid w:val="00BF2975"/>
    <w:rsid w:val="00BF2DB7"/>
    <w:rsid w:val="00BF321F"/>
    <w:rsid w:val="00BF33E5"/>
    <w:rsid w:val="00BF358C"/>
    <w:rsid w:val="00BF3817"/>
    <w:rsid w:val="00BF43D0"/>
    <w:rsid w:val="00BF4449"/>
    <w:rsid w:val="00BF4A7E"/>
    <w:rsid w:val="00BF4D88"/>
    <w:rsid w:val="00BF4DBD"/>
    <w:rsid w:val="00BF4F2E"/>
    <w:rsid w:val="00BF55C1"/>
    <w:rsid w:val="00BF576F"/>
    <w:rsid w:val="00BF5AB0"/>
    <w:rsid w:val="00BF5AB8"/>
    <w:rsid w:val="00BF5F6F"/>
    <w:rsid w:val="00BF6027"/>
    <w:rsid w:val="00BF64EE"/>
    <w:rsid w:val="00BF6A71"/>
    <w:rsid w:val="00BF7433"/>
    <w:rsid w:val="00BF769E"/>
    <w:rsid w:val="00BF78D7"/>
    <w:rsid w:val="00BF7B04"/>
    <w:rsid w:val="00BF7BA9"/>
    <w:rsid w:val="00BF7EF5"/>
    <w:rsid w:val="00C00069"/>
    <w:rsid w:val="00C00189"/>
    <w:rsid w:val="00C002BF"/>
    <w:rsid w:val="00C0149B"/>
    <w:rsid w:val="00C0194C"/>
    <w:rsid w:val="00C01969"/>
    <w:rsid w:val="00C01C43"/>
    <w:rsid w:val="00C01DE4"/>
    <w:rsid w:val="00C020D3"/>
    <w:rsid w:val="00C026CE"/>
    <w:rsid w:val="00C02811"/>
    <w:rsid w:val="00C02952"/>
    <w:rsid w:val="00C02AC6"/>
    <w:rsid w:val="00C02BD8"/>
    <w:rsid w:val="00C02C24"/>
    <w:rsid w:val="00C02F73"/>
    <w:rsid w:val="00C032AB"/>
    <w:rsid w:val="00C03470"/>
    <w:rsid w:val="00C03F14"/>
    <w:rsid w:val="00C04655"/>
    <w:rsid w:val="00C046D4"/>
    <w:rsid w:val="00C04D27"/>
    <w:rsid w:val="00C050B5"/>
    <w:rsid w:val="00C05293"/>
    <w:rsid w:val="00C05AB8"/>
    <w:rsid w:val="00C05E1F"/>
    <w:rsid w:val="00C0617E"/>
    <w:rsid w:val="00C065F2"/>
    <w:rsid w:val="00C068E0"/>
    <w:rsid w:val="00C06B3F"/>
    <w:rsid w:val="00C06C10"/>
    <w:rsid w:val="00C06EA9"/>
    <w:rsid w:val="00C07BF7"/>
    <w:rsid w:val="00C07E1F"/>
    <w:rsid w:val="00C1031A"/>
    <w:rsid w:val="00C1034D"/>
    <w:rsid w:val="00C109F5"/>
    <w:rsid w:val="00C11076"/>
    <w:rsid w:val="00C11370"/>
    <w:rsid w:val="00C118C9"/>
    <w:rsid w:val="00C11DB9"/>
    <w:rsid w:val="00C12523"/>
    <w:rsid w:val="00C128E6"/>
    <w:rsid w:val="00C12C05"/>
    <w:rsid w:val="00C12D85"/>
    <w:rsid w:val="00C13AAA"/>
    <w:rsid w:val="00C13FF1"/>
    <w:rsid w:val="00C14884"/>
    <w:rsid w:val="00C14922"/>
    <w:rsid w:val="00C14BF9"/>
    <w:rsid w:val="00C15038"/>
    <w:rsid w:val="00C154F0"/>
    <w:rsid w:val="00C1569A"/>
    <w:rsid w:val="00C15AB3"/>
    <w:rsid w:val="00C15AC9"/>
    <w:rsid w:val="00C15C1B"/>
    <w:rsid w:val="00C16164"/>
    <w:rsid w:val="00C1617A"/>
    <w:rsid w:val="00C16213"/>
    <w:rsid w:val="00C16488"/>
    <w:rsid w:val="00C166FA"/>
    <w:rsid w:val="00C168AE"/>
    <w:rsid w:val="00C17282"/>
    <w:rsid w:val="00C17733"/>
    <w:rsid w:val="00C17ABE"/>
    <w:rsid w:val="00C17F51"/>
    <w:rsid w:val="00C20105"/>
    <w:rsid w:val="00C20113"/>
    <w:rsid w:val="00C20144"/>
    <w:rsid w:val="00C201A8"/>
    <w:rsid w:val="00C2077B"/>
    <w:rsid w:val="00C209FF"/>
    <w:rsid w:val="00C20F84"/>
    <w:rsid w:val="00C21232"/>
    <w:rsid w:val="00C2130D"/>
    <w:rsid w:val="00C21405"/>
    <w:rsid w:val="00C21458"/>
    <w:rsid w:val="00C214CB"/>
    <w:rsid w:val="00C2167D"/>
    <w:rsid w:val="00C21FA0"/>
    <w:rsid w:val="00C229F3"/>
    <w:rsid w:val="00C22C4A"/>
    <w:rsid w:val="00C22C73"/>
    <w:rsid w:val="00C23178"/>
    <w:rsid w:val="00C2327E"/>
    <w:rsid w:val="00C2363E"/>
    <w:rsid w:val="00C23B56"/>
    <w:rsid w:val="00C23FB6"/>
    <w:rsid w:val="00C24218"/>
    <w:rsid w:val="00C2457A"/>
    <w:rsid w:val="00C2461F"/>
    <w:rsid w:val="00C24CE5"/>
    <w:rsid w:val="00C24D4D"/>
    <w:rsid w:val="00C24E09"/>
    <w:rsid w:val="00C24E74"/>
    <w:rsid w:val="00C24ED7"/>
    <w:rsid w:val="00C256BF"/>
    <w:rsid w:val="00C25710"/>
    <w:rsid w:val="00C25CF0"/>
    <w:rsid w:val="00C25F55"/>
    <w:rsid w:val="00C25FC3"/>
    <w:rsid w:val="00C2611D"/>
    <w:rsid w:val="00C265F5"/>
    <w:rsid w:val="00C270B2"/>
    <w:rsid w:val="00C275A9"/>
    <w:rsid w:val="00C27E5E"/>
    <w:rsid w:val="00C27EAA"/>
    <w:rsid w:val="00C30116"/>
    <w:rsid w:val="00C30220"/>
    <w:rsid w:val="00C30339"/>
    <w:rsid w:val="00C30443"/>
    <w:rsid w:val="00C30916"/>
    <w:rsid w:val="00C31146"/>
    <w:rsid w:val="00C311D0"/>
    <w:rsid w:val="00C31299"/>
    <w:rsid w:val="00C313F0"/>
    <w:rsid w:val="00C31532"/>
    <w:rsid w:val="00C3254B"/>
    <w:rsid w:val="00C3261A"/>
    <w:rsid w:val="00C32BBB"/>
    <w:rsid w:val="00C32DFB"/>
    <w:rsid w:val="00C33002"/>
    <w:rsid w:val="00C3322D"/>
    <w:rsid w:val="00C33248"/>
    <w:rsid w:val="00C332E6"/>
    <w:rsid w:val="00C338D0"/>
    <w:rsid w:val="00C33AF8"/>
    <w:rsid w:val="00C33B13"/>
    <w:rsid w:val="00C33E3B"/>
    <w:rsid w:val="00C33EA4"/>
    <w:rsid w:val="00C341E9"/>
    <w:rsid w:val="00C34457"/>
    <w:rsid w:val="00C34610"/>
    <w:rsid w:val="00C3586C"/>
    <w:rsid w:val="00C35A38"/>
    <w:rsid w:val="00C35A51"/>
    <w:rsid w:val="00C35F19"/>
    <w:rsid w:val="00C36127"/>
    <w:rsid w:val="00C36334"/>
    <w:rsid w:val="00C363D2"/>
    <w:rsid w:val="00C36620"/>
    <w:rsid w:val="00C36827"/>
    <w:rsid w:val="00C36850"/>
    <w:rsid w:val="00C36B31"/>
    <w:rsid w:val="00C36CA6"/>
    <w:rsid w:val="00C370BC"/>
    <w:rsid w:val="00C3775B"/>
    <w:rsid w:val="00C37AA5"/>
    <w:rsid w:val="00C37AF7"/>
    <w:rsid w:val="00C37FF0"/>
    <w:rsid w:val="00C40154"/>
    <w:rsid w:val="00C4032E"/>
    <w:rsid w:val="00C403D7"/>
    <w:rsid w:val="00C40C2F"/>
    <w:rsid w:val="00C41514"/>
    <w:rsid w:val="00C415E3"/>
    <w:rsid w:val="00C418A4"/>
    <w:rsid w:val="00C41971"/>
    <w:rsid w:val="00C41B40"/>
    <w:rsid w:val="00C41FB5"/>
    <w:rsid w:val="00C42458"/>
    <w:rsid w:val="00C427BE"/>
    <w:rsid w:val="00C42ACF"/>
    <w:rsid w:val="00C42D85"/>
    <w:rsid w:val="00C42EB9"/>
    <w:rsid w:val="00C433A7"/>
    <w:rsid w:val="00C435A2"/>
    <w:rsid w:val="00C43804"/>
    <w:rsid w:val="00C43830"/>
    <w:rsid w:val="00C438ED"/>
    <w:rsid w:val="00C43D4C"/>
    <w:rsid w:val="00C43E6F"/>
    <w:rsid w:val="00C43F4B"/>
    <w:rsid w:val="00C4440F"/>
    <w:rsid w:val="00C444CA"/>
    <w:rsid w:val="00C44ADB"/>
    <w:rsid w:val="00C44B9E"/>
    <w:rsid w:val="00C44FD3"/>
    <w:rsid w:val="00C455A2"/>
    <w:rsid w:val="00C4587B"/>
    <w:rsid w:val="00C462CF"/>
    <w:rsid w:val="00C463C1"/>
    <w:rsid w:val="00C46579"/>
    <w:rsid w:val="00C466CF"/>
    <w:rsid w:val="00C46B3A"/>
    <w:rsid w:val="00C46C3A"/>
    <w:rsid w:val="00C46CF9"/>
    <w:rsid w:val="00C46D06"/>
    <w:rsid w:val="00C4701E"/>
    <w:rsid w:val="00C47A1F"/>
    <w:rsid w:val="00C50549"/>
    <w:rsid w:val="00C50772"/>
    <w:rsid w:val="00C50880"/>
    <w:rsid w:val="00C50951"/>
    <w:rsid w:val="00C50F73"/>
    <w:rsid w:val="00C51096"/>
    <w:rsid w:val="00C51573"/>
    <w:rsid w:val="00C518D3"/>
    <w:rsid w:val="00C518F5"/>
    <w:rsid w:val="00C51BB3"/>
    <w:rsid w:val="00C51BCD"/>
    <w:rsid w:val="00C51C31"/>
    <w:rsid w:val="00C51D60"/>
    <w:rsid w:val="00C520F5"/>
    <w:rsid w:val="00C524C6"/>
    <w:rsid w:val="00C52811"/>
    <w:rsid w:val="00C52A40"/>
    <w:rsid w:val="00C52B54"/>
    <w:rsid w:val="00C52CA9"/>
    <w:rsid w:val="00C52FFA"/>
    <w:rsid w:val="00C53380"/>
    <w:rsid w:val="00C5379E"/>
    <w:rsid w:val="00C538E0"/>
    <w:rsid w:val="00C53A4B"/>
    <w:rsid w:val="00C53AA6"/>
    <w:rsid w:val="00C54386"/>
    <w:rsid w:val="00C54BBE"/>
    <w:rsid w:val="00C54C61"/>
    <w:rsid w:val="00C555ED"/>
    <w:rsid w:val="00C563AA"/>
    <w:rsid w:val="00C568E1"/>
    <w:rsid w:val="00C56973"/>
    <w:rsid w:val="00C56AFF"/>
    <w:rsid w:val="00C571FB"/>
    <w:rsid w:val="00C5742F"/>
    <w:rsid w:val="00C5746B"/>
    <w:rsid w:val="00C5799D"/>
    <w:rsid w:val="00C579D4"/>
    <w:rsid w:val="00C605DA"/>
    <w:rsid w:val="00C6091B"/>
    <w:rsid w:val="00C60AFD"/>
    <w:rsid w:val="00C60EB8"/>
    <w:rsid w:val="00C61012"/>
    <w:rsid w:val="00C6156C"/>
    <w:rsid w:val="00C6163C"/>
    <w:rsid w:val="00C61892"/>
    <w:rsid w:val="00C61952"/>
    <w:rsid w:val="00C61B05"/>
    <w:rsid w:val="00C620DA"/>
    <w:rsid w:val="00C621F6"/>
    <w:rsid w:val="00C6233D"/>
    <w:rsid w:val="00C62C39"/>
    <w:rsid w:val="00C62CA5"/>
    <w:rsid w:val="00C62D6D"/>
    <w:rsid w:val="00C636B1"/>
    <w:rsid w:val="00C639B1"/>
    <w:rsid w:val="00C6403E"/>
    <w:rsid w:val="00C646B2"/>
    <w:rsid w:val="00C646CE"/>
    <w:rsid w:val="00C64723"/>
    <w:rsid w:val="00C64E33"/>
    <w:rsid w:val="00C64EB6"/>
    <w:rsid w:val="00C65CB1"/>
    <w:rsid w:val="00C65F06"/>
    <w:rsid w:val="00C667C1"/>
    <w:rsid w:val="00C66CE4"/>
    <w:rsid w:val="00C66D04"/>
    <w:rsid w:val="00C6711B"/>
    <w:rsid w:val="00C67305"/>
    <w:rsid w:val="00C6749E"/>
    <w:rsid w:val="00C67808"/>
    <w:rsid w:val="00C67941"/>
    <w:rsid w:val="00C679D4"/>
    <w:rsid w:val="00C67CC7"/>
    <w:rsid w:val="00C67DDA"/>
    <w:rsid w:val="00C700E6"/>
    <w:rsid w:val="00C70B23"/>
    <w:rsid w:val="00C70D70"/>
    <w:rsid w:val="00C70EC1"/>
    <w:rsid w:val="00C712B5"/>
    <w:rsid w:val="00C7131B"/>
    <w:rsid w:val="00C713BC"/>
    <w:rsid w:val="00C7169E"/>
    <w:rsid w:val="00C7194F"/>
    <w:rsid w:val="00C7198F"/>
    <w:rsid w:val="00C71A3B"/>
    <w:rsid w:val="00C71AB4"/>
    <w:rsid w:val="00C71E8D"/>
    <w:rsid w:val="00C71FB6"/>
    <w:rsid w:val="00C72660"/>
    <w:rsid w:val="00C728F6"/>
    <w:rsid w:val="00C72AE4"/>
    <w:rsid w:val="00C7329D"/>
    <w:rsid w:val="00C73539"/>
    <w:rsid w:val="00C743A7"/>
    <w:rsid w:val="00C7443F"/>
    <w:rsid w:val="00C74691"/>
    <w:rsid w:val="00C74E82"/>
    <w:rsid w:val="00C75568"/>
    <w:rsid w:val="00C757DF"/>
    <w:rsid w:val="00C75C9C"/>
    <w:rsid w:val="00C75F52"/>
    <w:rsid w:val="00C7610B"/>
    <w:rsid w:val="00C7612A"/>
    <w:rsid w:val="00C7625C"/>
    <w:rsid w:val="00C762EA"/>
    <w:rsid w:val="00C76479"/>
    <w:rsid w:val="00C76817"/>
    <w:rsid w:val="00C76DA7"/>
    <w:rsid w:val="00C7710D"/>
    <w:rsid w:val="00C774C3"/>
    <w:rsid w:val="00C77B36"/>
    <w:rsid w:val="00C77BBB"/>
    <w:rsid w:val="00C77D40"/>
    <w:rsid w:val="00C8004B"/>
    <w:rsid w:val="00C8091F"/>
    <w:rsid w:val="00C811E9"/>
    <w:rsid w:val="00C81243"/>
    <w:rsid w:val="00C818D5"/>
    <w:rsid w:val="00C81A54"/>
    <w:rsid w:val="00C81D82"/>
    <w:rsid w:val="00C82113"/>
    <w:rsid w:val="00C8215E"/>
    <w:rsid w:val="00C8258F"/>
    <w:rsid w:val="00C828B8"/>
    <w:rsid w:val="00C829E9"/>
    <w:rsid w:val="00C8324D"/>
    <w:rsid w:val="00C83310"/>
    <w:rsid w:val="00C8344B"/>
    <w:rsid w:val="00C8355E"/>
    <w:rsid w:val="00C83922"/>
    <w:rsid w:val="00C839FD"/>
    <w:rsid w:val="00C83E0E"/>
    <w:rsid w:val="00C84170"/>
    <w:rsid w:val="00C842CB"/>
    <w:rsid w:val="00C844EA"/>
    <w:rsid w:val="00C845EA"/>
    <w:rsid w:val="00C84649"/>
    <w:rsid w:val="00C84D47"/>
    <w:rsid w:val="00C84EA5"/>
    <w:rsid w:val="00C857AA"/>
    <w:rsid w:val="00C85991"/>
    <w:rsid w:val="00C859EC"/>
    <w:rsid w:val="00C85B80"/>
    <w:rsid w:val="00C85BFC"/>
    <w:rsid w:val="00C85D1B"/>
    <w:rsid w:val="00C860C2"/>
    <w:rsid w:val="00C863DA"/>
    <w:rsid w:val="00C86505"/>
    <w:rsid w:val="00C86689"/>
    <w:rsid w:val="00C869DA"/>
    <w:rsid w:val="00C86B5E"/>
    <w:rsid w:val="00C86C97"/>
    <w:rsid w:val="00C86CFB"/>
    <w:rsid w:val="00C87211"/>
    <w:rsid w:val="00C87316"/>
    <w:rsid w:val="00C87802"/>
    <w:rsid w:val="00C87ADF"/>
    <w:rsid w:val="00C87BDC"/>
    <w:rsid w:val="00C90270"/>
    <w:rsid w:val="00C90541"/>
    <w:rsid w:val="00C906AE"/>
    <w:rsid w:val="00C90AA2"/>
    <w:rsid w:val="00C90B6C"/>
    <w:rsid w:val="00C90F30"/>
    <w:rsid w:val="00C912B3"/>
    <w:rsid w:val="00C912E1"/>
    <w:rsid w:val="00C9140B"/>
    <w:rsid w:val="00C91414"/>
    <w:rsid w:val="00C91791"/>
    <w:rsid w:val="00C918F8"/>
    <w:rsid w:val="00C91D18"/>
    <w:rsid w:val="00C91FD3"/>
    <w:rsid w:val="00C92095"/>
    <w:rsid w:val="00C9234E"/>
    <w:rsid w:val="00C92508"/>
    <w:rsid w:val="00C92BB7"/>
    <w:rsid w:val="00C92D39"/>
    <w:rsid w:val="00C9300E"/>
    <w:rsid w:val="00C9333C"/>
    <w:rsid w:val="00C933B5"/>
    <w:rsid w:val="00C936EA"/>
    <w:rsid w:val="00C93AA9"/>
    <w:rsid w:val="00C93C3F"/>
    <w:rsid w:val="00C93F67"/>
    <w:rsid w:val="00C941E8"/>
    <w:rsid w:val="00C94535"/>
    <w:rsid w:val="00C94582"/>
    <w:rsid w:val="00C946CF"/>
    <w:rsid w:val="00C946F0"/>
    <w:rsid w:val="00C94ED0"/>
    <w:rsid w:val="00C94F01"/>
    <w:rsid w:val="00C95494"/>
    <w:rsid w:val="00C955F4"/>
    <w:rsid w:val="00C958AF"/>
    <w:rsid w:val="00C95CC3"/>
    <w:rsid w:val="00C95E68"/>
    <w:rsid w:val="00C96047"/>
    <w:rsid w:val="00C966A7"/>
    <w:rsid w:val="00C967A3"/>
    <w:rsid w:val="00C96DEB"/>
    <w:rsid w:val="00C971FA"/>
    <w:rsid w:val="00C977A5"/>
    <w:rsid w:val="00C977E3"/>
    <w:rsid w:val="00C97B62"/>
    <w:rsid w:val="00CA0193"/>
    <w:rsid w:val="00CA0519"/>
    <w:rsid w:val="00CA065F"/>
    <w:rsid w:val="00CA0B14"/>
    <w:rsid w:val="00CA0C69"/>
    <w:rsid w:val="00CA0F2B"/>
    <w:rsid w:val="00CA10F0"/>
    <w:rsid w:val="00CA29B3"/>
    <w:rsid w:val="00CA2B27"/>
    <w:rsid w:val="00CA300A"/>
    <w:rsid w:val="00CA3147"/>
    <w:rsid w:val="00CA38C2"/>
    <w:rsid w:val="00CA3E3B"/>
    <w:rsid w:val="00CA40B6"/>
    <w:rsid w:val="00CA42A4"/>
    <w:rsid w:val="00CA43EE"/>
    <w:rsid w:val="00CA4AE8"/>
    <w:rsid w:val="00CA51FF"/>
    <w:rsid w:val="00CA5435"/>
    <w:rsid w:val="00CA5F8E"/>
    <w:rsid w:val="00CA5FB8"/>
    <w:rsid w:val="00CA6208"/>
    <w:rsid w:val="00CA6269"/>
    <w:rsid w:val="00CA7875"/>
    <w:rsid w:val="00CA7CAF"/>
    <w:rsid w:val="00CB0281"/>
    <w:rsid w:val="00CB040A"/>
    <w:rsid w:val="00CB0AE8"/>
    <w:rsid w:val="00CB0E65"/>
    <w:rsid w:val="00CB0F11"/>
    <w:rsid w:val="00CB1616"/>
    <w:rsid w:val="00CB17AF"/>
    <w:rsid w:val="00CB22E0"/>
    <w:rsid w:val="00CB29B2"/>
    <w:rsid w:val="00CB2CD6"/>
    <w:rsid w:val="00CB2DB7"/>
    <w:rsid w:val="00CB31D6"/>
    <w:rsid w:val="00CB32AC"/>
    <w:rsid w:val="00CB3323"/>
    <w:rsid w:val="00CB376A"/>
    <w:rsid w:val="00CB3A3F"/>
    <w:rsid w:val="00CB3B21"/>
    <w:rsid w:val="00CB3C35"/>
    <w:rsid w:val="00CB3F89"/>
    <w:rsid w:val="00CB425C"/>
    <w:rsid w:val="00CB4393"/>
    <w:rsid w:val="00CB479A"/>
    <w:rsid w:val="00CB4BCB"/>
    <w:rsid w:val="00CB4CC8"/>
    <w:rsid w:val="00CB4E3F"/>
    <w:rsid w:val="00CB519F"/>
    <w:rsid w:val="00CB533B"/>
    <w:rsid w:val="00CB569E"/>
    <w:rsid w:val="00CB5752"/>
    <w:rsid w:val="00CB580C"/>
    <w:rsid w:val="00CB5F3E"/>
    <w:rsid w:val="00CB63F9"/>
    <w:rsid w:val="00CB65E2"/>
    <w:rsid w:val="00CB6679"/>
    <w:rsid w:val="00CB6B34"/>
    <w:rsid w:val="00CB6BF7"/>
    <w:rsid w:val="00CB6CB9"/>
    <w:rsid w:val="00CB6E1D"/>
    <w:rsid w:val="00CB6E2B"/>
    <w:rsid w:val="00CB7676"/>
    <w:rsid w:val="00CB777D"/>
    <w:rsid w:val="00CB77F4"/>
    <w:rsid w:val="00CB7A99"/>
    <w:rsid w:val="00CB7CA2"/>
    <w:rsid w:val="00CB7D42"/>
    <w:rsid w:val="00CB7FB3"/>
    <w:rsid w:val="00CC00DD"/>
    <w:rsid w:val="00CC0480"/>
    <w:rsid w:val="00CC0B4C"/>
    <w:rsid w:val="00CC0BA2"/>
    <w:rsid w:val="00CC0F76"/>
    <w:rsid w:val="00CC1620"/>
    <w:rsid w:val="00CC166F"/>
    <w:rsid w:val="00CC16D6"/>
    <w:rsid w:val="00CC175C"/>
    <w:rsid w:val="00CC1A64"/>
    <w:rsid w:val="00CC2039"/>
    <w:rsid w:val="00CC2488"/>
    <w:rsid w:val="00CC34D0"/>
    <w:rsid w:val="00CC3661"/>
    <w:rsid w:val="00CC3670"/>
    <w:rsid w:val="00CC37B4"/>
    <w:rsid w:val="00CC39BF"/>
    <w:rsid w:val="00CC39DB"/>
    <w:rsid w:val="00CC3A22"/>
    <w:rsid w:val="00CC3D75"/>
    <w:rsid w:val="00CC4280"/>
    <w:rsid w:val="00CC442B"/>
    <w:rsid w:val="00CC4A62"/>
    <w:rsid w:val="00CC4FDE"/>
    <w:rsid w:val="00CC4FF2"/>
    <w:rsid w:val="00CC547B"/>
    <w:rsid w:val="00CC559F"/>
    <w:rsid w:val="00CC55D4"/>
    <w:rsid w:val="00CC5BF5"/>
    <w:rsid w:val="00CC5C83"/>
    <w:rsid w:val="00CC5F49"/>
    <w:rsid w:val="00CC6360"/>
    <w:rsid w:val="00CC6A2D"/>
    <w:rsid w:val="00CC6C20"/>
    <w:rsid w:val="00CC7AD6"/>
    <w:rsid w:val="00CC7ADB"/>
    <w:rsid w:val="00CC7AFC"/>
    <w:rsid w:val="00CD014B"/>
    <w:rsid w:val="00CD0335"/>
    <w:rsid w:val="00CD0936"/>
    <w:rsid w:val="00CD0CED"/>
    <w:rsid w:val="00CD0CF6"/>
    <w:rsid w:val="00CD0FF0"/>
    <w:rsid w:val="00CD17C5"/>
    <w:rsid w:val="00CD21F0"/>
    <w:rsid w:val="00CD238A"/>
    <w:rsid w:val="00CD24F9"/>
    <w:rsid w:val="00CD2667"/>
    <w:rsid w:val="00CD2847"/>
    <w:rsid w:val="00CD2921"/>
    <w:rsid w:val="00CD2D29"/>
    <w:rsid w:val="00CD2D3F"/>
    <w:rsid w:val="00CD33A6"/>
    <w:rsid w:val="00CD35D0"/>
    <w:rsid w:val="00CD3720"/>
    <w:rsid w:val="00CD38FB"/>
    <w:rsid w:val="00CD3AD3"/>
    <w:rsid w:val="00CD4267"/>
    <w:rsid w:val="00CD42AD"/>
    <w:rsid w:val="00CD437D"/>
    <w:rsid w:val="00CD4690"/>
    <w:rsid w:val="00CD4A8E"/>
    <w:rsid w:val="00CD4AA6"/>
    <w:rsid w:val="00CD4EF1"/>
    <w:rsid w:val="00CD63C8"/>
    <w:rsid w:val="00CD68C1"/>
    <w:rsid w:val="00CD68D9"/>
    <w:rsid w:val="00CD69C5"/>
    <w:rsid w:val="00CD6DCD"/>
    <w:rsid w:val="00CD77F2"/>
    <w:rsid w:val="00CE0170"/>
    <w:rsid w:val="00CE040D"/>
    <w:rsid w:val="00CE0486"/>
    <w:rsid w:val="00CE05E4"/>
    <w:rsid w:val="00CE06FC"/>
    <w:rsid w:val="00CE07FF"/>
    <w:rsid w:val="00CE0E4B"/>
    <w:rsid w:val="00CE1083"/>
    <w:rsid w:val="00CE114C"/>
    <w:rsid w:val="00CE1177"/>
    <w:rsid w:val="00CE13EA"/>
    <w:rsid w:val="00CE1BE0"/>
    <w:rsid w:val="00CE22B4"/>
    <w:rsid w:val="00CE2336"/>
    <w:rsid w:val="00CE23E6"/>
    <w:rsid w:val="00CE270A"/>
    <w:rsid w:val="00CE2D87"/>
    <w:rsid w:val="00CE31A6"/>
    <w:rsid w:val="00CE353C"/>
    <w:rsid w:val="00CE354C"/>
    <w:rsid w:val="00CE36DE"/>
    <w:rsid w:val="00CE3F8E"/>
    <w:rsid w:val="00CE4093"/>
    <w:rsid w:val="00CE4274"/>
    <w:rsid w:val="00CE4741"/>
    <w:rsid w:val="00CE4FBB"/>
    <w:rsid w:val="00CE5351"/>
    <w:rsid w:val="00CE55D8"/>
    <w:rsid w:val="00CE57BF"/>
    <w:rsid w:val="00CE5858"/>
    <w:rsid w:val="00CE5953"/>
    <w:rsid w:val="00CE5C7C"/>
    <w:rsid w:val="00CE5EA1"/>
    <w:rsid w:val="00CE5FFF"/>
    <w:rsid w:val="00CE6000"/>
    <w:rsid w:val="00CE600F"/>
    <w:rsid w:val="00CE6B57"/>
    <w:rsid w:val="00CE6E56"/>
    <w:rsid w:val="00CE75FD"/>
    <w:rsid w:val="00CE7708"/>
    <w:rsid w:val="00CE77F4"/>
    <w:rsid w:val="00CE783F"/>
    <w:rsid w:val="00CE79FB"/>
    <w:rsid w:val="00CE7B28"/>
    <w:rsid w:val="00CE7D1A"/>
    <w:rsid w:val="00CE7D69"/>
    <w:rsid w:val="00CE7E23"/>
    <w:rsid w:val="00CF00AF"/>
    <w:rsid w:val="00CF018E"/>
    <w:rsid w:val="00CF0C9E"/>
    <w:rsid w:val="00CF0E68"/>
    <w:rsid w:val="00CF105D"/>
    <w:rsid w:val="00CF1455"/>
    <w:rsid w:val="00CF15B2"/>
    <w:rsid w:val="00CF1E07"/>
    <w:rsid w:val="00CF1F19"/>
    <w:rsid w:val="00CF2280"/>
    <w:rsid w:val="00CF2581"/>
    <w:rsid w:val="00CF299D"/>
    <w:rsid w:val="00CF2AFF"/>
    <w:rsid w:val="00CF2BC4"/>
    <w:rsid w:val="00CF2E4F"/>
    <w:rsid w:val="00CF2EE4"/>
    <w:rsid w:val="00CF2F97"/>
    <w:rsid w:val="00CF2FD3"/>
    <w:rsid w:val="00CF314E"/>
    <w:rsid w:val="00CF32F3"/>
    <w:rsid w:val="00CF3394"/>
    <w:rsid w:val="00CF3506"/>
    <w:rsid w:val="00CF3631"/>
    <w:rsid w:val="00CF376F"/>
    <w:rsid w:val="00CF3F5E"/>
    <w:rsid w:val="00CF4004"/>
    <w:rsid w:val="00CF46F3"/>
    <w:rsid w:val="00CF48C1"/>
    <w:rsid w:val="00CF4923"/>
    <w:rsid w:val="00CF4EA7"/>
    <w:rsid w:val="00CF4EA9"/>
    <w:rsid w:val="00CF4F16"/>
    <w:rsid w:val="00CF5499"/>
    <w:rsid w:val="00CF5C22"/>
    <w:rsid w:val="00CF64BE"/>
    <w:rsid w:val="00CF68CA"/>
    <w:rsid w:val="00CF69FF"/>
    <w:rsid w:val="00CF709D"/>
    <w:rsid w:val="00CF7696"/>
    <w:rsid w:val="00CF777D"/>
    <w:rsid w:val="00D00924"/>
    <w:rsid w:val="00D00985"/>
    <w:rsid w:val="00D00B95"/>
    <w:rsid w:val="00D00C7F"/>
    <w:rsid w:val="00D00D65"/>
    <w:rsid w:val="00D00DBB"/>
    <w:rsid w:val="00D00F65"/>
    <w:rsid w:val="00D01203"/>
    <w:rsid w:val="00D01396"/>
    <w:rsid w:val="00D01660"/>
    <w:rsid w:val="00D017C8"/>
    <w:rsid w:val="00D019B1"/>
    <w:rsid w:val="00D01CAC"/>
    <w:rsid w:val="00D0268D"/>
    <w:rsid w:val="00D02A17"/>
    <w:rsid w:val="00D03851"/>
    <w:rsid w:val="00D038A1"/>
    <w:rsid w:val="00D03DB5"/>
    <w:rsid w:val="00D03F62"/>
    <w:rsid w:val="00D03FAE"/>
    <w:rsid w:val="00D042CD"/>
    <w:rsid w:val="00D045A0"/>
    <w:rsid w:val="00D047A0"/>
    <w:rsid w:val="00D04B6E"/>
    <w:rsid w:val="00D04EA3"/>
    <w:rsid w:val="00D04EA8"/>
    <w:rsid w:val="00D05919"/>
    <w:rsid w:val="00D05F6D"/>
    <w:rsid w:val="00D06476"/>
    <w:rsid w:val="00D067ED"/>
    <w:rsid w:val="00D06B0C"/>
    <w:rsid w:val="00D06C04"/>
    <w:rsid w:val="00D06D3E"/>
    <w:rsid w:val="00D06E25"/>
    <w:rsid w:val="00D0752E"/>
    <w:rsid w:val="00D07600"/>
    <w:rsid w:val="00D07603"/>
    <w:rsid w:val="00D07F55"/>
    <w:rsid w:val="00D10140"/>
    <w:rsid w:val="00D10A99"/>
    <w:rsid w:val="00D10B6E"/>
    <w:rsid w:val="00D1186A"/>
    <w:rsid w:val="00D119C3"/>
    <w:rsid w:val="00D11A1E"/>
    <w:rsid w:val="00D11EBA"/>
    <w:rsid w:val="00D12586"/>
    <w:rsid w:val="00D12859"/>
    <w:rsid w:val="00D12A2C"/>
    <w:rsid w:val="00D12AA8"/>
    <w:rsid w:val="00D12FE0"/>
    <w:rsid w:val="00D131FF"/>
    <w:rsid w:val="00D1378B"/>
    <w:rsid w:val="00D13971"/>
    <w:rsid w:val="00D13A97"/>
    <w:rsid w:val="00D13F21"/>
    <w:rsid w:val="00D14176"/>
    <w:rsid w:val="00D14199"/>
    <w:rsid w:val="00D14558"/>
    <w:rsid w:val="00D1464C"/>
    <w:rsid w:val="00D14B0E"/>
    <w:rsid w:val="00D15A29"/>
    <w:rsid w:val="00D15F89"/>
    <w:rsid w:val="00D167C2"/>
    <w:rsid w:val="00D16BAF"/>
    <w:rsid w:val="00D172F5"/>
    <w:rsid w:val="00D17965"/>
    <w:rsid w:val="00D17A5E"/>
    <w:rsid w:val="00D17D23"/>
    <w:rsid w:val="00D17F45"/>
    <w:rsid w:val="00D2027C"/>
    <w:rsid w:val="00D202AE"/>
    <w:rsid w:val="00D208B4"/>
    <w:rsid w:val="00D209CF"/>
    <w:rsid w:val="00D21330"/>
    <w:rsid w:val="00D21F3A"/>
    <w:rsid w:val="00D22076"/>
    <w:rsid w:val="00D2210D"/>
    <w:rsid w:val="00D22708"/>
    <w:rsid w:val="00D227C8"/>
    <w:rsid w:val="00D22D2C"/>
    <w:rsid w:val="00D23A2D"/>
    <w:rsid w:val="00D23AD6"/>
    <w:rsid w:val="00D24004"/>
    <w:rsid w:val="00D24173"/>
    <w:rsid w:val="00D24269"/>
    <w:rsid w:val="00D242AC"/>
    <w:rsid w:val="00D242CA"/>
    <w:rsid w:val="00D24390"/>
    <w:rsid w:val="00D2469B"/>
    <w:rsid w:val="00D24741"/>
    <w:rsid w:val="00D24CD3"/>
    <w:rsid w:val="00D24E0A"/>
    <w:rsid w:val="00D25081"/>
    <w:rsid w:val="00D25358"/>
    <w:rsid w:val="00D253BF"/>
    <w:rsid w:val="00D254B7"/>
    <w:rsid w:val="00D25834"/>
    <w:rsid w:val="00D2599C"/>
    <w:rsid w:val="00D25EFA"/>
    <w:rsid w:val="00D26256"/>
    <w:rsid w:val="00D265F6"/>
    <w:rsid w:val="00D266BF"/>
    <w:rsid w:val="00D26A4C"/>
    <w:rsid w:val="00D26B37"/>
    <w:rsid w:val="00D26FFC"/>
    <w:rsid w:val="00D27DD8"/>
    <w:rsid w:val="00D300D8"/>
    <w:rsid w:val="00D3012A"/>
    <w:rsid w:val="00D307ED"/>
    <w:rsid w:val="00D30F4B"/>
    <w:rsid w:val="00D3107B"/>
    <w:rsid w:val="00D31930"/>
    <w:rsid w:val="00D32A97"/>
    <w:rsid w:val="00D32D03"/>
    <w:rsid w:val="00D33B33"/>
    <w:rsid w:val="00D34718"/>
    <w:rsid w:val="00D34869"/>
    <w:rsid w:val="00D35141"/>
    <w:rsid w:val="00D359FF"/>
    <w:rsid w:val="00D35D5B"/>
    <w:rsid w:val="00D36562"/>
    <w:rsid w:val="00D36751"/>
    <w:rsid w:val="00D36918"/>
    <w:rsid w:val="00D36AF7"/>
    <w:rsid w:val="00D36BA3"/>
    <w:rsid w:val="00D36CD9"/>
    <w:rsid w:val="00D37089"/>
    <w:rsid w:val="00D37091"/>
    <w:rsid w:val="00D3773E"/>
    <w:rsid w:val="00D37A9B"/>
    <w:rsid w:val="00D37A9E"/>
    <w:rsid w:val="00D37CA3"/>
    <w:rsid w:val="00D4072B"/>
    <w:rsid w:val="00D40DA8"/>
    <w:rsid w:val="00D416D7"/>
    <w:rsid w:val="00D42419"/>
    <w:rsid w:val="00D426BA"/>
    <w:rsid w:val="00D429A9"/>
    <w:rsid w:val="00D42C53"/>
    <w:rsid w:val="00D42F8F"/>
    <w:rsid w:val="00D4302B"/>
    <w:rsid w:val="00D43087"/>
    <w:rsid w:val="00D43725"/>
    <w:rsid w:val="00D43E93"/>
    <w:rsid w:val="00D440AF"/>
    <w:rsid w:val="00D44645"/>
    <w:rsid w:val="00D446B5"/>
    <w:rsid w:val="00D44912"/>
    <w:rsid w:val="00D44B45"/>
    <w:rsid w:val="00D44C8F"/>
    <w:rsid w:val="00D44E7E"/>
    <w:rsid w:val="00D44FE0"/>
    <w:rsid w:val="00D454AD"/>
    <w:rsid w:val="00D458F1"/>
    <w:rsid w:val="00D45A97"/>
    <w:rsid w:val="00D45DCC"/>
    <w:rsid w:val="00D45F74"/>
    <w:rsid w:val="00D462BE"/>
    <w:rsid w:val="00D4678C"/>
    <w:rsid w:val="00D467E1"/>
    <w:rsid w:val="00D4692E"/>
    <w:rsid w:val="00D46A18"/>
    <w:rsid w:val="00D46A85"/>
    <w:rsid w:val="00D46D65"/>
    <w:rsid w:val="00D46D94"/>
    <w:rsid w:val="00D46DA6"/>
    <w:rsid w:val="00D46FE3"/>
    <w:rsid w:val="00D470BC"/>
    <w:rsid w:val="00D47149"/>
    <w:rsid w:val="00D4755C"/>
    <w:rsid w:val="00D47A6E"/>
    <w:rsid w:val="00D47FFB"/>
    <w:rsid w:val="00D50C6A"/>
    <w:rsid w:val="00D50C9B"/>
    <w:rsid w:val="00D51401"/>
    <w:rsid w:val="00D516BA"/>
    <w:rsid w:val="00D52117"/>
    <w:rsid w:val="00D522D9"/>
    <w:rsid w:val="00D528C5"/>
    <w:rsid w:val="00D529AA"/>
    <w:rsid w:val="00D52CBB"/>
    <w:rsid w:val="00D530BD"/>
    <w:rsid w:val="00D530F9"/>
    <w:rsid w:val="00D53191"/>
    <w:rsid w:val="00D5338B"/>
    <w:rsid w:val="00D53548"/>
    <w:rsid w:val="00D535C9"/>
    <w:rsid w:val="00D536AE"/>
    <w:rsid w:val="00D53ACD"/>
    <w:rsid w:val="00D53B48"/>
    <w:rsid w:val="00D5413A"/>
    <w:rsid w:val="00D5416B"/>
    <w:rsid w:val="00D5432F"/>
    <w:rsid w:val="00D54453"/>
    <w:rsid w:val="00D546BB"/>
    <w:rsid w:val="00D546F1"/>
    <w:rsid w:val="00D54928"/>
    <w:rsid w:val="00D54B9E"/>
    <w:rsid w:val="00D54FDA"/>
    <w:rsid w:val="00D55359"/>
    <w:rsid w:val="00D55610"/>
    <w:rsid w:val="00D5597C"/>
    <w:rsid w:val="00D55A4D"/>
    <w:rsid w:val="00D55B85"/>
    <w:rsid w:val="00D55D67"/>
    <w:rsid w:val="00D564D4"/>
    <w:rsid w:val="00D567B3"/>
    <w:rsid w:val="00D56806"/>
    <w:rsid w:val="00D56B6D"/>
    <w:rsid w:val="00D56B9A"/>
    <w:rsid w:val="00D56C0B"/>
    <w:rsid w:val="00D56CED"/>
    <w:rsid w:val="00D5794C"/>
    <w:rsid w:val="00D609D8"/>
    <w:rsid w:val="00D60B7F"/>
    <w:rsid w:val="00D60BE8"/>
    <w:rsid w:val="00D60D1D"/>
    <w:rsid w:val="00D614C8"/>
    <w:rsid w:val="00D6158D"/>
    <w:rsid w:val="00D61AC8"/>
    <w:rsid w:val="00D621A6"/>
    <w:rsid w:val="00D6225C"/>
    <w:rsid w:val="00D6259C"/>
    <w:rsid w:val="00D62723"/>
    <w:rsid w:val="00D62762"/>
    <w:rsid w:val="00D62AA0"/>
    <w:rsid w:val="00D62B9B"/>
    <w:rsid w:val="00D62CBE"/>
    <w:rsid w:val="00D62FCB"/>
    <w:rsid w:val="00D630E3"/>
    <w:rsid w:val="00D632C9"/>
    <w:rsid w:val="00D637E4"/>
    <w:rsid w:val="00D6396A"/>
    <w:rsid w:val="00D639B1"/>
    <w:rsid w:val="00D63AE1"/>
    <w:rsid w:val="00D63CA5"/>
    <w:rsid w:val="00D63FE8"/>
    <w:rsid w:val="00D6446B"/>
    <w:rsid w:val="00D64487"/>
    <w:rsid w:val="00D645B0"/>
    <w:rsid w:val="00D648BD"/>
    <w:rsid w:val="00D6545D"/>
    <w:rsid w:val="00D65E33"/>
    <w:rsid w:val="00D65FA0"/>
    <w:rsid w:val="00D66181"/>
    <w:rsid w:val="00D666BA"/>
    <w:rsid w:val="00D66963"/>
    <w:rsid w:val="00D66A60"/>
    <w:rsid w:val="00D66D58"/>
    <w:rsid w:val="00D66F6D"/>
    <w:rsid w:val="00D66F99"/>
    <w:rsid w:val="00D6700E"/>
    <w:rsid w:val="00D67025"/>
    <w:rsid w:val="00D6785A"/>
    <w:rsid w:val="00D67C0F"/>
    <w:rsid w:val="00D7031F"/>
    <w:rsid w:val="00D70582"/>
    <w:rsid w:val="00D70BA6"/>
    <w:rsid w:val="00D70C62"/>
    <w:rsid w:val="00D70E02"/>
    <w:rsid w:val="00D70EF3"/>
    <w:rsid w:val="00D71154"/>
    <w:rsid w:val="00D714B4"/>
    <w:rsid w:val="00D71936"/>
    <w:rsid w:val="00D71A13"/>
    <w:rsid w:val="00D71C99"/>
    <w:rsid w:val="00D7204A"/>
    <w:rsid w:val="00D72468"/>
    <w:rsid w:val="00D72D1D"/>
    <w:rsid w:val="00D72EC9"/>
    <w:rsid w:val="00D73225"/>
    <w:rsid w:val="00D7348F"/>
    <w:rsid w:val="00D7367E"/>
    <w:rsid w:val="00D73F58"/>
    <w:rsid w:val="00D742A7"/>
    <w:rsid w:val="00D74758"/>
    <w:rsid w:val="00D7488E"/>
    <w:rsid w:val="00D75548"/>
    <w:rsid w:val="00D75925"/>
    <w:rsid w:val="00D75A45"/>
    <w:rsid w:val="00D75AF9"/>
    <w:rsid w:val="00D75B02"/>
    <w:rsid w:val="00D75E43"/>
    <w:rsid w:val="00D761BA"/>
    <w:rsid w:val="00D761CF"/>
    <w:rsid w:val="00D76477"/>
    <w:rsid w:val="00D76513"/>
    <w:rsid w:val="00D765EC"/>
    <w:rsid w:val="00D76B1A"/>
    <w:rsid w:val="00D77986"/>
    <w:rsid w:val="00D77B21"/>
    <w:rsid w:val="00D77B8D"/>
    <w:rsid w:val="00D80473"/>
    <w:rsid w:val="00D8068A"/>
    <w:rsid w:val="00D80855"/>
    <w:rsid w:val="00D80AEB"/>
    <w:rsid w:val="00D80B42"/>
    <w:rsid w:val="00D80BC7"/>
    <w:rsid w:val="00D80CD8"/>
    <w:rsid w:val="00D81108"/>
    <w:rsid w:val="00D81205"/>
    <w:rsid w:val="00D8129F"/>
    <w:rsid w:val="00D814AB"/>
    <w:rsid w:val="00D8160D"/>
    <w:rsid w:val="00D824A7"/>
    <w:rsid w:val="00D82D78"/>
    <w:rsid w:val="00D830D9"/>
    <w:rsid w:val="00D83301"/>
    <w:rsid w:val="00D8334F"/>
    <w:rsid w:val="00D83404"/>
    <w:rsid w:val="00D8355C"/>
    <w:rsid w:val="00D83603"/>
    <w:rsid w:val="00D83AB0"/>
    <w:rsid w:val="00D83AFC"/>
    <w:rsid w:val="00D83ED3"/>
    <w:rsid w:val="00D842F8"/>
    <w:rsid w:val="00D84A3E"/>
    <w:rsid w:val="00D850BA"/>
    <w:rsid w:val="00D8532F"/>
    <w:rsid w:val="00D854EA"/>
    <w:rsid w:val="00D85500"/>
    <w:rsid w:val="00D856F6"/>
    <w:rsid w:val="00D8574B"/>
    <w:rsid w:val="00D85780"/>
    <w:rsid w:val="00D85B8D"/>
    <w:rsid w:val="00D85EC1"/>
    <w:rsid w:val="00D8636A"/>
    <w:rsid w:val="00D86507"/>
    <w:rsid w:val="00D86963"/>
    <w:rsid w:val="00D875F2"/>
    <w:rsid w:val="00D877EE"/>
    <w:rsid w:val="00D87A62"/>
    <w:rsid w:val="00D87A90"/>
    <w:rsid w:val="00D87C0B"/>
    <w:rsid w:val="00D87DCE"/>
    <w:rsid w:val="00D906B7"/>
    <w:rsid w:val="00D90957"/>
    <w:rsid w:val="00D90AD8"/>
    <w:rsid w:val="00D90F68"/>
    <w:rsid w:val="00D9119C"/>
    <w:rsid w:val="00D91459"/>
    <w:rsid w:val="00D91491"/>
    <w:rsid w:val="00D915C0"/>
    <w:rsid w:val="00D920AD"/>
    <w:rsid w:val="00D921E5"/>
    <w:rsid w:val="00D92318"/>
    <w:rsid w:val="00D92474"/>
    <w:rsid w:val="00D926A2"/>
    <w:rsid w:val="00D927F4"/>
    <w:rsid w:val="00D929FB"/>
    <w:rsid w:val="00D92BF5"/>
    <w:rsid w:val="00D92CCA"/>
    <w:rsid w:val="00D92DAE"/>
    <w:rsid w:val="00D92F62"/>
    <w:rsid w:val="00D9350B"/>
    <w:rsid w:val="00D93603"/>
    <w:rsid w:val="00D936EA"/>
    <w:rsid w:val="00D9389F"/>
    <w:rsid w:val="00D93C21"/>
    <w:rsid w:val="00D93DF9"/>
    <w:rsid w:val="00D93EC7"/>
    <w:rsid w:val="00D94206"/>
    <w:rsid w:val="00D943C4"/>
    <w:rsid w:val="00D94470"/>
    <w:rsid w:val="00D950F0"/>
    <w:rsid w:val="00D95430"/>
    <w:rsid w:val="00D95464"/>
    <w:rsid w:val="00D957F7"/>
    <w:rsid w:val="00D95820"/>
    <w:rsid w:val="00D95AF8"/>
    <w:rsid w:val="00D95EE8"/>
    <w:rsid w:val="00D95FB1"/>
    <w:rsid w:val="00D96153"/>
    <w:rsid w:val="00D961AA"/>
    <w:rsid w:val="00D9623D"/>
    <w:rsid w:val="00D96A4F"/>
    <w:rsid w:val="00D96B17"/>
    <w:rsid w:val="00D9751D"/>
    <w:rsid w:val="00D97C06"/>
    <w:rsid w:val="00D97C84"/>
    <w:rsid w:val="00D97E11"/>
    <w:rsid w:val="00DA006F"/>
    <w:rsid w:val="00DA0275"/>
    <w:rsid w:val="00DA07EA"/>
    <w:rsid w:val="00DA09C0"/>
    <w:rsid w:val="00DA0B6B"/>
    <w:rsid w:val="00DA0C4F"/>
    <w:rsid w:val="00DA0E40"/>
    <w:rsid w:val="00DA0E91"/>
    <w:rsid w:val="00DA146C"/>
    <w:rsid w:val="00DA157A"/>
    <w:rsid w:val="00DA1838"/>
    <w:rsid w:val="00DA1BED"/>
    <w:rsid w:val="00DA1C2B"/>
    <w:rsid w:val="00DA2B28"/>
    <w:rsid w:val="00DA2F88"/>
    <w:rsid w:val="00DA2FD7"/>
    <w:rsid w:val="00DA3367"/>
    <w:rsid w:val="00DA3C49"/>
    <w:rsid w:val="00DA3C99"/>
    <w:rsid w:val="00DA3D20"/>
    <w:rsid w:val="00DA3FB1"/>
    <w:rsid w:val="00DA42E9"/>
    <w:rsid w:val="00DA467F"/>
    <w:rsid w:val="00DA47F3"/>
    <w:rsid w:val="00DA4AFF"/>
    <w:rsid w:val="00DA5241"/>
    <w:rsid w:val="00DA558B"/>
    <w:rsid w:val="00DA57CC"/>
    <w:rsid w:val="00DA58A5"/>
    <w:rsid w:val="00DA59DD"/>
    <w:rsid w:val="00DA5CB4"/>
    <w:rsid w:val="00DA6278"/>
    <w:rsid w:val="00DA629E"/>
    <w:rsid w:val="00DA6862"/>
    <w:rsid w:val="00DA68ED"/>
    <w:rsid w:val="00DA6EFA"/>
    <w:rsid w:val="00DA7586"/>
    <w:rsid w:val="00DA7894"/>
    <w:rsid w:val="00DA7915"/>
    <w:rsid w:val="00DA79BA"/>
    <w:rsid w:val="00DB0364"/>
    <w:rsid w:val="00DB0FD4"/>
    <w:rsid w:val="00DB1021"/>
    <w:rsid w:val="00DB1309"/>
    <w:rsid w:val="00DB1420"/>
    <w:rsid w:val="00DB173D"/>
    <w:rsid w:val="00DB1ABC"/>
    <w:rsid w:val="00DB1C8B"/>
    <w:rsid w:val="00DB2009"/>
    <w:rsid w:val="00DB20F6"/>
    <w:rsid w:val="00DB21BF"/>
    <w:rsid w:val="00DB25D5"/>
    <w:rsid w:val="00DB260F"/>
    <w:rsid w:val="00DB267B"/>
    <w:rsid w:val="00DB3161"/>
    <w:rsid w:val="00DB3619"/>
    <w:rsid w:val="00DB3854"/>
    <w:rsid w:val="00DB3A99"/>
    <w:rsid w:val="00DB3AC3"/>
    <w:rsid w:val="00DB3B55"/>
    <w:rsid w:val="00DB3F70"/>
    <w:rsid w:val="00DB4687"/>
    <w:rsid w:val="00DB46DC"/>
    <w:rsid w:val="00DB4B73"/>
    <w:rsid w:val="00DB51EB"/>
    <w:rsid w:val="00DB553A"/>
    <w:rsid w:val="00DB5B0A"/>
    <w:rsid w:val="00DB5C41"/>
    <w:rsid w:val="00DB5CEF"/>
    <w:rsid w:val="00DB6490"/>
    <w:rsid w:val="00DB64FB"/>
    <w:rsid w:val="00DB6680"/>
    <w:rsid w:val="00DB6C47"/>
    <w:rsid w:val="00DB6DF6"/>
    <w:rsid w:val="00DB6E96"/>
    <w:rsid w:val="00DB6ECB"/>
    <w:rsid w:val="00DB7012"/>
    <w:rsid w:val="00DB72B8"/>
    <w:rsid w:val="00DB790B"/>
    <w:rsid w:val="00DB7A59"/>
    <w:rsid w:val="00DB7AA5"/>
    <w:rsid w:val="00DB7D64"/>
    <w:rsid w:val="00DC00FC"/>
    <w:rsid w:val="00DC0AFF"/>
    <w:rsid w:val="00DC0FFC"/>
    <w:rsid w:val="00DC12A7"/>
    <w:rsid w:val="00DC13BA"/>
    <w:rsid w:val="00DC147B"/>
    <w:rsid w:val="00DC190D"/>
    <w:rsid w:val="00DC1CCF"/>
    <w:rsid w:val="00DC1D0C"/>
    <w:rsid w:val="00DC1D79"/>
    <w:rsid w:val="00DC1F36"/>
    <w:rsid w:val="00DC205B"/>
    <w:rsid w:val="00DC2204"/>
    <w:rsid w:val="00DC251C"/>
    <w:rsid w:val="00DC2629"/>
    <w:rsid w:val="00DC292A"/>
    <w:rsid w:val="00DC2E9C"/>
    <w:rsid w:val="00DC2FE7"/>
    <w:rsid w:val="00DC320B"/>
    <w:rsid w:val="00DC3323"/>
    <w:rsid w:val="00DC3488"/>
    <w:rsid w:val="00DC39A6"/>
    <w:rsid w:val="00DC3C5A"/>
    <w:rsid w:val="00DC4406"/>
    <w:rsid w:val="00DC47EB"/>
    <w:rsid w:val="00DC4C73"/>
    <w:rsid w:val="00DC4DFF"/>
    <w:rsid w:val="00DC586B"/>
    <w:rsid w:val="00DC5954"/>
    <w:rsid w:val="00DC59A8"/>
    <w:rsid w:val="00DC5E1F"/>
    <w:rsid w:val="00DC5ECA"/>
    <w:rsid w:val="00DC5EDB"/>
    <w:rsid w:val="00DC6133"/>
    <w:rsid w:val="00DC63AA"/>
    <w:rsid w:val="00DC6FD2"/>
    <w:rsid w:val="00DC7153"/>
    <w:rsid w:val="00DC723E"/>
    <w:rsid w:val="00DC7D31"/>
    <w:rsid w:val="00DC7F92"/>
    <w:rsid w:val="00DD01EF"/>
    <w:rsid w:val="00DD0530"/>
    <w:rsid w:val="00DD058B"/>
    <w:rsid w:val="00DD0A60"/>
    <w:rsid w:val="00DD0AF2"/>
    <w:rsid w:val="00DD0F91"/>
    <w:rsid w:val="00DD11C3"/>
    <w:rsid w:val="00DD1B3C"/>
    <w:rsid w:val="00DD1E31"/>
    <w:rsid w:val="00DD259C"/>
    <w:rsid w:val="00DD2B04"/>
    <w:rsid w:val="00DD2C42"/>
    <w:rsid w:val="00DD2EB2"/>
    <w:rsid w:val="00DD35A4"/>
    <w:rsid w:val="00DD375F"/>
    <w:rsid w:val="00DD47AB"/>
    <w:rsid w:val="00DD5337"/>
    <w:rsid w:val="00DD57A0"/>
    <w:rsid w:val="00DD5E19"/>
    <w:rsid w:val="00DD5E22"/>
    <w:rsid w:val="00DD5E4C"/>
    <w:rsid w:val="00DD5EA6"/>
    <w:rsid w:val="00DD5F65"/>
    <w:rsid w:val="00DD5FC8"/>
    <w:rsid w:val="00DD611D"/>
    <w:rsid w:val="00DD61E2"/>
    <w:rsid w:val="00DD633A"/>
    <w:rsid w:val="00DD6D7D"/>
    <w:rsid w:val="00DD7402"/>
    <w:rsid w:val="00DD7787"/>
    <w:rsid w:val="00DE0398"/>
    <w:rsid w:val="00DE07D3"/>
    <w:rsid w:val="00DE07F3"/>
    <w:rsid w:val="00DE0A05"/>
    <w:rsid w:val="00DE0D71"/>
    <w:rsid w:val="00DE0D98"/>
    <w:rsid w:val="00DE0EBA"/>
    <w:rsid w:val="00DE0ECD"/>
    <w:rsid w:val="00DE1950"/>
    <w:rsid w:val="00DE1BD7"/>
    <w:rsid w:val="00DE1C95"/>
    <w:rsid w:val="00DE1E52"/>
    <w:rsid w:val="00DE224F"/>
    <w:rsid w:val="00DE27FA"/>
    <w:rsid w:val="00DE297B"/>
    <w:rsid w:val="00DE2A2C"/>
    <w:rsid w:val="00DE2FC7"/>
    <w:rsid w:val="00DE2FEF"/>
    <w:rsid w:val="00DE3013"/>
    <w:rsid w:val="00DE3156"/>
    <w:rsid w:val="00DE359B"/>
    <w:rsid w:val="00DE3B67"/>
    <w:rsid w:val="00DE3EE9"/>
    <w:rsid w:val="00DE403F"/>
    <w:rsid w:val="00DE40A8"/>
    <w:rsid w:val="00DE40C9"/>
    <w:rsid w:val="00DE41BF"/>
    <w:rsid w:val="00DE427E"/>
    <w:rsid w:val="00DE4644"/>
    <w:rsid w:val="00DE4A78"/>
    <w:rsid w:val="00DE4B4B"/>
    <w:rsid w:val="00DE4E08"/>
    <w:rsid w:val="00DE5217"/>
    <w:rsid w:val="00DE59B3"/>
    <w:rsid w:val="00DE5E04"/>
    <w:rsid w:val="00DE5FBA"/>
    <w:rsid w:val="00DE5FC4"/>
    <w:rsid w:val="00DE73B7"/>
    <w:rsid w:val="00DE7DE0"/>
    <w:rsid w:val="00DF01CC"/>
    <w:rsid w:val="00DF0372"/>
    <w:rsid w:val="00DF0763"/>
    <w:rsid w:val="00DF099F"/>
    <w:rsid w:val="00DF0DD1"/>
    <w:rsid w:val="00DF1143"/>
    <w:rsid w:val="00DF1F98"/>
    <w:rsid w:val="00DF25D2"/>
    <w:rsid w:val="00DF260D"/>
    <w:rsid w:val="00DF2A86"/>
    <w:rsid w:val="00DF2DE4"/>
    <w:rsid w:val="00DF2E69"/>
    <w:rsid w:val="00DF2FED"/>
    <w:rsid w:val="00DF305A"/>
    <w:rsid w:val="00DF3441"/>
    <w:rsid w:val="00DF3AEB"/>
    <w:rsid w:val="00DF3DD0"/>
    <w:rsid w:val="00DF4143"/>
    <w:rsid w:val="00DF4329"/>
    <w:rsid w:val="00DF4541"/>
    <w:rsid w:val="00DF50AB"/>
    <w:rsid w:val="00DF5244"/>
    <w:rsid w:val="00DF5494"/>
    <w:rsid w:val="00DF5D93"/>
    <w:rsid w:val="00DF5F53"/>
    <w:rsid w:val="00DF676C"/>
    <w:rsid w:val="00DF690C"/>
    <w:rsid w:val="00DF6DEA"/>
    <w:rsid w:val="00DF6FDB"/>
    <w:rsid w:val="00DF744C"/>
    <w:rsid w:val="00DF75A6"/>
    <w:rsid w:val="00DF7A39"/>
    <w:rsid w:val="00DF7F19"/>
    <w:rsid w:val="00E002C7"/>
    <w:rsid w:val="00E007CC"/>
    <w:rsid w:val="00E00864"/>
    <w:rsid w:val="00E00B43"/>
    <w:rsid w:val="00E00B95"/>
    <w:rsid w:val="00E00C6C"/>
    <w:rsid w:val="00E00CF8"/>
    <w:rsid w:val="00E00F83"/>
    <w:rsid w:val="00E01017"/>
    <w:rsid w:val="00E0145F"/>
    <w:rsid w:val="00E015BB"/>
    <w:rsid w:val="00E0199A"/>
    <w:rsid w:val="00E01F87"/>
    <w:rsid w:val="00E022D1"/>
    <w:rsid w:val="00E02599"/>
    <w:rsid w:val="00E02EFB"/>
    <w:rsid w:val="00E02F85"/>
    <w:rsid w:val="00E03154"/>
    <w:rsid w:val="00E034FA"/>
    <w:rsid w:val="00E03593"/>
    <w:rsid w:val="00E03F73"/>
    <w:rsid w:val="00E040FF"/>
    <w:rsid w:val="00E041E1"/>
    <w:rsid w:val="00E043C3"/>
    <w:rsid w:val="00E0455C"/>
    <w:rsid w:val="00E04B0B"/>
    <w:rsid w:val="00E050EE"/>
    <w:rsid w:val="00E052A8"/>
    <w:rsid w:val="00E05369"/>
    <w:rsid w:val="00E05AFD"/>
    <w:rsid w:val="00E05E9C"/>
    <w:rsid w:val="00E05F14"/>
    <w:rsid w:val="00E062C7"/>
    <w:rsid w:val="00E066D4"/>
    <w:rsid w:val="00E06AA4"/>
    <w:rsid w:val="00E07419"/>
    <w:rsid w:val="00E0784F"/>
    <w:rsid w:val="00E07925"/>
    <w:rsid w:val="00E07A6E"/>
    <w:rsid w:val="00E07CA7"/>
    <w:rsid w:val="00E10028"/>
    <w:rsid w:val="00E1016D"/>
    <w:rsid w:val="00E108EE"/>
    <w:rsid w:val="00E10981"/>
    <w:rsid w:val="00E11115"/>
    <w:rsid w:val="00E11BB6"/>
    <w:rsid w:val="00E11E7D"/>
    <w:rsid w:val="00E120A7"/>
    <w:rsid w:val="00E12545"/>
    <w:rsid w:val="00E125B6"/>
    <w:rsid w:val="00E12668"/>
    <w:rsid w:val="00E1269C"/>
    <w:rsid w:val="00E12818"/>
    <w:rsid w:val="00E1338D"/>
    <w:rsid w:val="00E140DF"/>
    <w:rsid w:val="00E14360"/>
    <w:rsid w:val="00E14602"/>
    <w:rsid w:val="00E1480F"/>
    <w:rsid w:val="00E14FEB"/>
    <w:rsid w:val="00E154BE"/>
    <w:rsid w:val="00E16123"/>
    <w:rsid w:val="00E1666A"/>
    <w:rsid w:val="00E16925"/>
    <w:rsid w:val="00E169E0"/>
    <w:rsid w:val="00E16A39"/>
    <w:rsid w:val="00E16D34"/>
    <w:rsid w:val="00E16DA4"/>
    <w:rsid w:val="00E17120"/>
    <w:rsid w:val="00E1737D"/>
    <w:rsid w:val="00E177D7"/>
    <w:rsid w:val="00E179E5"/>
    <w:rsid w:val="00E17B11"/>
    <w:rsid w:val="00E17D7B"/>
    <w:rsid w:val="00E17F04"/>
    <w:rsid w:val="00E20334"/>
    <w:rsid w:val="00E20751"/>
    <w:rsid w:val="00E21379"/>
    <w:rsid w:val="00E21F71"/>
    <w:rsid w:val="00E2252E"/>
    <w:rsid w:val="00E22738"/>
    <w:rsid w:val="00E22BAB"/>
    <w:rsid w:val="00E232AD"/>
    <w:rsid w:val="00E23935"/>
    <w:rsid w:val="00E23B84"/>
    <w:rsid w:val="00E25055"/>
    <w:rsid w:val="00E25345"/>
    <w:rsid w:val="00E257F0"/>
    <w:rsid w:val="00E26040"/>
    <w:rsid w:val="00E2634B"/>
    <w:rsid w:val="00E265C9"/>
    <w:rsid w:val="00E2693F"/>
    <w:rsid w:val="00E269DB"/>
    <w:rsid w:val="00E271DF"/>
    <w:rsid w:val="00E27511"/>
    <w:rsid w:val="00E2771B"/>
    <w:rsid w:val="00E27905"/>
    <w:rsid w:val="00E27CF0"/>
    <w:rsid w:val="00E27FE4"/>
    <w:rsid w:val="00E3016F"/>
    <w:rsid w:val="00E307D9"/>
    <w:rsid w:val="00E309F9"/>
    <w:rsid w:val="00E30C97"/>
    <w:rsid w:val="00E31269"/>
    <w:rsid w:val="00E313C6"/>
    <w:rsid w:val="00E3143A"/>
    <w:rsid w:val="00E31D44"/>
    <w:rsid w:val="00E31E76"/>
    <w:rsid w:val="00E3201D"/>
    <w:rsid w:val="00E322EC"/>
    <w:rsid w:val="00E32330"/>
    <w:rsid w:val="00E3289C"/>
    <w:rsid w:val="00E3301E"/>
    <w:rsid w:val="00E336D4"/>
    <w:rsid w:val="00E33835"/>
    <w:rsid w:val="00E33C65"/>
    <w:rsid w:val="00E33EB9"/>
    <w:rsid w:val="00E34378"/>
    <w:rsid w:val="00E346B0"/>
    <w:rsid w:val="00E34717"/>
    <w:rsid w:val="00E348EC"/>
    <w:rsid w:val="00E34A57"/>
    <w:rsid w:val="00E34B0F"/>
    <w:rsid w:val="00E34CF7"/>
    <w:rsid w:val="00E34DC6"/>
    <w:rsid w:val="00E35427"/>
    <w:rsid w:val="00E35474"/>
    <w:rsid w:val="00E356D4"/>
    <w:rsid w:val="00E358E2"/>
    <w:rsid w:val="00E35B3D"/>
    <w:rsid w:val="00E35BF9"/>
    <w:rsid w:val="00E36AD3"/>
    <w:rsid w:val="00E3704B"/>
    <w:rsid w:val="00E3751C"/>
    <w:rsid w:val="00E375A8"/>
    <w:rsid w:val="00E376C9"/>
    <w:rsid w:val="00E37967"/>
    <w:rsid w:val="00E37D87"/>
    <w:rsid w:val="00E37DB6"/>
    <w:rsid w:val="00E4086D"/>
    <w:rsid w:val="00E40A4A"/>
    <w:rsid w:val="00E40D94"/>
    <w:rsid w:val="00E40F9A"/>
    <w:rsid w:val="00E4106D"/>
    <w:rsid w:val="00E415AD"/>
    <w:rsid w:val="00E41DD5"/>
    <w:rsid w:val="00E42003"/>
    <w:rsid w:val="00E42233"/>
    <w:rsid w:val="00E42284"/>
    <w:rsid w:val="00E42662"/>
    <w:rsid w:val="00E42683"/>
    <w:rsid w:val="00E426EB"/>
    <w:rsid w:val="00E428A0"/>
    <w:rsid w:val="00E42AD7"/>
    <w:rsid w:val="00E42AF9"/>
    <w:rsid w:val="00E42C62"/>
    <w:rsid w:val="00E430CD"/>
    <w:rsid w:val="00E4348D"/>
    <w:rsid w:val="00E4355E"/>
    <w:rsid w:val="00E43612"/>
    <w:rsid w:val="00E43DAB"/>
    <w:rsid w:val="00E44060"/>
    <w:rsid w:val="00E44704"/>
    <w:rsid w:val="00E452A6"/>
    <w:rsid w:val="00E452C2"/>
    <w:rsid w:val="00E4548F"/>
    <w:rsid w:val="00E455E7"/>
    <w:rsid w:val="00E457AD"/>
    <w:rsid w:val="00E45974"/>
    <w:rsid w:val="00E45AEB"/>
    <w:rsid w:val="00E45C3A"/>
    <w:rsid w:val="00E45D47"/>
    <w:rsid w:val="00E45FDF"/>
    <w:rsid w:val="00E46190"/>
    <w:rsid w:val="00E46246"/>
    <w:rsid w:val="00E463E2"/>
    <w:rsid w:val="00E464E3"/>
    <w:rsid w:val="00E46693"/>
    <w:rsid w:val="00E466D2"/>
    <w:rsid w:val="00E46769"/>
    <w:rsid w:val="00E468F3"/>
    <w:rsid w:val="00E46DA7"/>
    <w:rsid w:val="00E46F59"/>
    <w:rsid w:val="00E46FB0"/>
    <w:rsid w:val="00E476C9"/>
    <w:rsid w:val="00E47807"/>
    <w:rsid w:val="00E47840"/>
    <w:rsid w:val="00E47B23"/>
    <w:rsid w:val="00E47CFE"/>
    <w:rsid w:val="00E50023"/>
    <w:rsid w:val="00E5037E"/>
    <w:rsid w:val="00E503F4"/>
    <w:rsid w:val="00E5070A"/>
    <w:rsid w:val="00E5074B"/>
    <w:rsid w:val="00E5093D"/>
    <w:rsid w:val="00E5094A"/>
    <w:rsid w:val="00E50AFA"/>
    <w:rsid w:val="00E50B4A"/>
    <w:rsid w:val="00E50DAC"/>
    <w:rsid w:val="00E5102E"/>
    <w:rsid w:val="00E51110"/>
    <w:rsid w:val="00E51833"/>
    <w:rsid w:val="00E51862"/>
    <w:rsid w:val="00E51D07"/>
    <w:rsid w:val="00E520B7"/>
    <w:rsid w:val="00E522A6"/>
    <w:rsid w:val="00E527D0"/>
    <w:rsid w:val="00E5293A"/>
    <w:rsid w:val="00E52973"/>
    <w:rsid w:val="00E52A1C"/>
    <w:rsid w:val="00E531F0"/>
    <w:rsid w:val="00E532A4"/>
    <w:rsid w:val="00E534CC"/>
    <w:rsid w:val="00E53655"/>
    <w:rsid w:val="00E5365A"/>
    <w:rsid w:val="00E53A7C"/>
    <w:rsid w:val="00E53ACC"/>
    <w:rsid w:val="00E53D22"/>
    <w:rsid w:val="00E53D6B"/>
    <w:rsid w:val="00E5429B"/>
    <w:rsid w:val="00E54918"/>
    <w:rsid w:val="00E54C9F"/>
    <w:rsid w:val="00E54F8F"/>
    <w:rsid w:val="00E54F9F"/>
    <w:rsid w:val="00E55049"/>
    <w:rsid w:val="00E55754"/>
    <w:rsid w:val="00E55AB7"/>
    <w:rsid w:val="00E55ACA"/>
    <w:rsid w:val="00E55B92"/>
    <w:rsid w:val="00E55C0B"/>
    <w:rsid w:val="00E55F87"/>
    <w:rsid w:val="00E561D2"/>
    <w:rsid w:val="00E56FC4"/>
    <w:rsid w:val="00E572E1"/>
    <w:rsid w:val="00E574BE"/>
    <w:rsid w:val="00E57E1D"/>
    <w:rsid w:val="00E57E33"/>
    <w:rsid w:val="00E60052"/>
    <w:rsid w:val="00E6066B"/>
    <w:rsid w:val="00E606CF"/>
    <w:rsid w:val="00E610FE"/>
    <w:rsid w:val="00E61378"/>
    <w:rsid w:val="00E61E14"/>
    <w:rsid w:val="00E6232E"/>
    <w:rsid w:val="00E6246E"/>
    <w:rsid w:val="00E62516"/>
    <w:rsid w:val="00E6262C"/>
    <w:rsid w:val="00E626DE"/>
    <w:rsid w:val="00E62B55"/>
    <w:rsid w:val="00E62BE9"/>
    <w:rsid w:val="00E62DE9"/>
    <w:rsid w:val="00E62ED2"/>
    <w:rsid w:val="00E63253"/>
    <w:rsid w:val="00E63262"/>
    <w:rsid w:val="00E63B49"/>
    <w:rsid w:val="00E63B4D"/>
    <w:rsid w:val="00E63C56"/>
    <w:rsid w:val="00E64134"/>
    <w:rsid w:val="00E646A1"/>
    <w:rsid w:val="00E6486B"/>
    <w:rsid w:val="00E64ABB"/>
    <w:rsid w:val="00E64F26"/>
    <w:rsid w:val="00E64F8D"/>
    <w:rsid w:val="00E6521F"/>
    <w:rsid w:val="00E65B30"/>
    <w:rsid w:val="00E65C50"/>
    <w:rsid w:val="00E65E0D"/>
    <w:rsid w:val="00E65F75"/>
    <w:rsid w:val="00E66099"/>
    <w:rsid w:val="00E66539"/>
    <w:rsid w:val="00E67004"/>
    <w:rsid w:val="00E67680"/>
    <w:rsid w:val="00E678D1"/>
    <w:rsid w:val="00E679AE"/>
    <w:rsid w:val="00E67CBC"/>
    <w:rsid w:val="00E67DBB"/>
    <w:rsid w:val="00E67F8C"/>
    <w:rsid w:val="00E70012"/>
    <w:rsid w:val="00E700FA"/>
    <w:rsid w:val="00E70234"/>
    <w:rsid w:val="00E7028E"/>
    <w:rsid w:val="00E704BC"/>
    <w:rsid w:val="00E7078F"/>
    <w:rsid w:val="00E7096D"/>
    <w:rsid w:val="00E70B10"/>
    <w:rsid w:val="00E70D97"/>
    <w:rsid w:val="00E7128C"/>
    <w:rsid w:val="00E7158F"/>
    <w:rsid w:val="00E717C1"/>
    <w:rsid w:val="00E71955"/>
    <w:rsid w:val="00E71A7B"/>
    <w:rsid w:val="00E720F3"/>
    <w:rsid w:val="00E722DC"/>
    <w:rsid w:val="00E72356"/>
    <w:rsid w:val="00E72662"/>
    <w:rsid w:val="00E72883"/>
    <w:rsid w:val="00E72FCB"/>
    <w:rsid w:val="00E7314B"/>
    <w:rsid w:val="00E73392"/>
    <w:rsid w:val="00E73697"/>
    <w:rsid w:val="00E73724"/>
    <w:rsid w:val="00E738E8"/>
    <w:rsid w:val="00E74C05"/>
    <w:rsid w:val="00E74F55"/>
    <w:rsid w:val="00E74FBF"/>
    <w:rsid w:val="00E7590F"/>
    <w:rsid w:val="00E75A83"/>
    <w:rsid w:val="00E764C4"/>
    <w:rsid w:val="00E764D5"/>
    <w:rsid w:val="00E7703D"/>
    <w:rsid w:val="00E775E4"/>
    <w:rsid w:val="00E779C8"/>
    <w:rsid w:val="00E779D5"/>
    <w:rsid w:val="00E77BFE"/>
    <w:rsid w:val="00E77C5E"/>
    <w:rsid w:val="00E814E2"/>
    <w:rsid w:val="00E818A5"/>
    <w:rsid w:val="00E818BC"/>
    <w:rsid w:val="00E81CDF"/>
    <w:rsid w:val="00E825FD"/>
    <w:rsid w:val="00E82845"/>
    <w:rsid w:val="00E82A6D"/>
    <w:rsid w:val="00E82D0E"/>
    <w:rsid w:val="00E83366"/>
    <w:rsid w:val="00E839B7"/>
    <w:rsid w:val="00E83BE9"/>
    <w:rsid w:val="00E83DA6"/>
    <w:rsid w:val="00E840C0"/>
    <w:rsid w:val="00E84759"/>
    <w:rsid w:val="00E84793"/>
    <w:rsid w:val="00E847F0"/>
    <w:rsid w:val="00E84972"/>
    <w:rsid w:val="00E84A91"/>
    <w:rsid w:val="00E84B5B"/>
    <w:rsid w:val="00E84CC2"/>
    <w:rsid w:val="00E84D8F"/>
    <w:rsid w:val="00E85186"/>
    <w:rsid w:val="00E85437"/>
    <w:rsid w:val="00E85448"/>
    <w:rsid w:val="00E857B6"/>
    <w:rsid w:val="00E861BE"/>
    <w:rsid w:val="00E866AA"/>
    <w:rsid w:val="00E866FD"/>
    <w:rsid w:val="00E869E7"/>
    <w:rsid w:val="00E86D81"/>
    <w:rsid w:val="00E86F0D"/>
    <w:rsid w:val="00E86F7D"/>
    <w:rsid w:val="00E86FCB"/>
    <w:rsid w:val="00E87562"/>
    <w:rsid w:val="00E877BB"/>
    <w:rsid w:val="00E87FE7"/>
    <w:rsid w:val="00E90D43"/>
    <w:rsid w:val="00E90E5B"/>
    <w:rsid w:val="00E90FF8"/>
    <w:rsid w:val="00E91877"/>
    <w:rsid w:val="00E91A0C"/>
    <w:rsid w:val="00E92540"/>
    <w:rsid w:val="00E92FD6"/>
    <w:rsid w:val="00E9309A"/>
    <w:rsid w:val="00E93224"/>
    <w:rsid w:val="00E9339B"/>
    <w:rsid w:val="00E93762"/>
    <w:rsid w:val="00E93830"/>
    <w:rsid w:val="00E93A98"/>
    <w:rsid w:val="00E9409F"/>
    <w:rsid w:val="00E9418F"/>
    <w:rsid w:val="00E944D7"/>
    <w:rsid w:val="00E94B59"/>
    <w:rsid w:val="00E94C19"/>
    <w:rsid w:val="00E94E59"/>
    <w:rsid w:val="00E951EE"/>
    <w:rsid w:val="00E9543B"/>
    <w:rsid w:val="00E9557E"/>
    <w:rsid w:val="00E95968"/>
    <w:rsid w:val="00E959B3"/>
    <w:rsid w:val="00E95F60"/>
    <w:rsid w:val="00E95F89"/>
    <w:rsid w:val="00E95F95"/>
    <w:rsid w:val="00E96764"/>
    <w:rsid w:val="00E969B6"/>
    <w:rsid w:val="00E969CE"/>
    <w:rsid w:val="00E96D84"/>
    <w:rsid w:val="00E96EC0"/>
    <w:rsid w:val="00E96F05"/>
    <w:rsid w:val="00E96F5A"/>
    <w:rsid w:val="00E97210"/>
    <w:rsid w:val="00E97523"/>
    <w:rsid w:val="00E9764C"/>
    <w:rsid w:val="00E978B8"/>
    <w:rsid w:val="00E97942"/>
    <w:rsid w:val="00EA009B"/>
    <w:rsid w:val="00EA016B"/>
    <w:rsid w:val="00EA0271"/>
    <w:rsid w:val="00EA0299"/>
    <w:rsid w:val="00EA0F02"/>
    <w:rsid w:val="00EA1382"/>
    <w:rsid w:val="00EA14C0"/>
    <w:rsid w:val="00EA162E"/>
    <w:rsid w:val="00EA19E9"/>
    <w:rsid w:val="00EA1BB3"/>
    <w:rsid w:val="00EA1C03"/>
    <w:rsid w:val="00EA1D92"/>
    <w:rsid w:val="00EA1DFC"/>
    <w:rsid w:val="00EA2328"/>
    <w:rsid w:val="00EA266D"/>
    <w:rsid w:val="00EA27C1"/>
    <w:rsid w:val="00EA2B4E"/>
    <w:rsid w:val="00EA3242"/>
    <w:rsid w:val="00EA32BE"/>
    <w:rsid w:val="00EA354C"/>
    <w:rsid w:val="00EA3703"/>
    <w:rsid w:val="00EA376C"/>
    <w:rsid w:val="00EA39B5"/>
    <w:rsid w:val="00EA3B38"/>
    <w:rsid w:val="00EA3CC3"/>
    <w:rsid w:val="00EA476C"/>
    <w:rsid w:val="00EA4897"/>
    <w:rsid w:val="00EA489E"/>
    <w:rsid w:val="00EA48FE"/>
    <w:rsid w:val="00EA4A7B"/>
    <w:rsid w:val="00EA4C05"/>
    <w:rsid w:val="00EA4E66"/>
    <w:rsid w:val="00EA50F4"/>
    <w:rsid w:val="00EA5DE8"/>
    <w:rsid w:val="00EA5F76"/>
    <w:rsid w:val="00EA6BD8"/>
    <w:rsid w:val="00EA6DDE"/>
    <w:rsid w:val="00EA6F67"/>
    <w:rsid w:val="00EA7348"/>
    <w:rsid w:val="00EA79AF"/>
    <w:rsid w:val="00EA7AFF"/>
    <w:rsid w:val="00EB0207"/>
    <w:rsid w:val="00EB02BE"/>
    <w:rsid w:val="00EB091D"/>
    <w:rsid w:val="00EB0FD3"/>
    <w:rsid w:val="00EB10D1"/>
    <w:rsid w:val="00EB1802"/>
    <w:rsid w:val="00EB1F18"/>
    <w:rsid w:val="00EB2443"/>
    <w:rsid w:val="00EB2525"/>
    <w:rsid w:val="00EB2A25"/>
    <w:rsid w:val="00EB2EB9"/>
    <w:rsid w:val="00EB2F26"/>
    <w:rsid w:val="00EB305F"/>
    <w:rsid w:val="00EB3ADD"/>
    <w:rsid w:val="00EB3C47"/>
    <w:rsid w:val="00EB46F9"/>
    <w:rsid w:val="00EB4C00"/>
    <w:rsid w:val="00EB4E2C"/>
    <w:rsid w:val="00EB4EF2"/>
    <w:rsid w:val="00EB52AE"/>
    <w:rsid w:val="00EB5710"/>
    <w:rsid w:val="00EB58F6"/>
    <w:rsid w:val="00EB5CC7"/>
    <w:rsid w:val="00EB5CE2"/>
    <w:rsid w:val="00EB5E34"/>
    <w:rsid w:val="00EB5EE3"/>
    <w:rsid w:val="00EB6145"/>
    <w:rsid w:val="00EB61CA"/>
    <w:rsid w:val="00EB67E7"/>
    <w:rsid w:val="00EB683B"/>
    <w:rsid w:val="00EB6951"/>
    <w:rsid w:val="00EB6A95"/>
    <w:rsid w:val="00EB6FB8"/>
    <w:rsid w:val="00EB720A"/>
    <w:rsid w:val="00EB7628"/>
    <w:rsid w:val="00EC05F0"/>
    <w:rsid w:val="00EC068A"/>
    <w:rsid w:val="00EC0DDF"/>
    <w:rsid w:val="00EC0FD3"/>
    <w:rsid w:val="00EC1186"/>
    <w:rsid w:val="00EC11E1"/>
    <w:rsid w:val="00EC137D"/>
    <w:rsid w:val="00EC1389"/>
    <w:rsid w:val="00EC18E7"/>
    <w:rsid w:val="00EC2027"/>
    <w:rsid w:val="00EC23CA"/>
    <w:rsid w:val="00EC2819"/>
    <w:rsid w:val="00EC2A53"/>
    <w:rsid w:val="00EC2A93"/>
    <w:rsid w:val="00EC31EF"/>
    <w:rsid w:val="00EC41B7"/>
    <w:rsid w:val="00EC4266"/>
    <w:rsid w:val="00EC4768"/>
    <w:rsid w:val="00EC4DBA"/>
    <w:rsid w:val="00EC5A05"/>
    <w:rsid w:val="00EC6477"/>
    <w:rsid w:val="00EC6493"/>
    <w:rsid w:val="00EC656C"/>
    <w:rsid w:val="00EC6A91"/>
    <w:rsid w:val="00EC7129"/>
    <w:rsid w:val="00EC72D5"/>
    <w:rsid w:val="00EC7424"/>
    <w:rsid w:val="00EC781F"/>
    <w:rsid w:val="00EC7B1D"/>
    <w:rsid w:val="00EC7DAF"/>
    <w:rsid w:val="00EC7ED4"/>
    <w:rsid w:val="00ED0144"/>
    <w:rsid w:val="00ED042E"/>
    <w:rsid w:val="00ED05C9"/>
    <w:rsid w:val="00ED062F"/>
    <w:rsid w:val="00ED0859"/>
    <w:rsid w:val="00ED1316"/>
    <w:rsid w:val="00ED1476"/>
    <w:rsid w:val="00ED193A"/>
    <w:rsid w:val="00ED1BFE"/>
    <w:rsid w:val="00ED1E43"/>
    <w:rsid w:val="00ED1F17"/>
    <w:rsid w:val="00ED1F9F"/>
    <w:rsid w:val="00ED2142"/>
    <w:rsid w:val="00ED223F"/>
    <w:rsid w:val="00ED278A"/>
    <w:rsid w:val="00ED28DF"/>
    <w:rsid w:val="00ED2CE7"/>
    <w:rsid w:val="00ED3033"/>
    <w:rsid w:val="00ED3180"/>
    <w:rsid w:val="00ED3259"/>
    <w:rsid w:val="00ED33EC"/>
    <w:rsid w:val="00ED4299"/>
    <w:rsid w:val="00ED433E"/>
    <w:rsid w:val="00ED447F"/>
    <w:rsid w:val="00ED4601"/>
    <w:rsid w:val="00ED463B"/>
    <w:rsid w:val="00ED4651"/>
    <w:rsid w:val="00ED46C0"/>
    <w:rsid w:val="00ED470A"/>
    <w:rsid w:val="00ED4918"/>
    <w:rsid w:val="00ED49B8"/>
    <w:rsid w:val="00ED4AF1"/>
    <w:rsid w:val="00ED4FA6"/>
    <w:rsid w:val="00ED5786"/>
    <w:rsid w:val="00ED5A51"/>
    <w:rsid w:val="00ED5ADA"/>
    <w:rsid w:val="00ED5DA1"/>
    <w:rsid w:val="00ED6106"/>
    <w:rsid w:val="00ED6E65"/>
    <w:rsid w:val="00ED6E70"/>
    <w:rsid w:val="00ED7250"/>
    <w:rsid w:val="00ED76CC"/>
    <w:rsid w:val="00ED7790"/>
    <w:rsid w:val="00ED7A63"/>
    <w:rsid w:val="00ED7E40"/>
    <w:rsid w:val="00ED7F15"/>
    <w:rsid w:val="00EE03B3"/>
    <w:rsid w:val="00EE0BF8"/>
    <w:rsid w:val="00EE11F7"/>
    <w:rsid w:val="00EE126F"/>
    <w:rsid w:val="00EE1ABE"/>
    <w:rsid w:val="00EE1E79"/>
    <w:rsid w:val="00EE1F6E"/>
    <w:rsid w:val="00EE2073"/>
    <w:rsid w:val="00EE251A"/>
    <w:rsid w:val="00EE27A6"/>
    <w:rsid w:val="00EE2CB0"/>
    <w:rsid w:val="00EE2E85"/>
    <w:rsid w:val="00EE314F"/>
    <w:rsid w:val="00EE33E2"/>
    <w:rsid w:val="00EE34DE"/>
    <w:rsid w:val="00EE481F"/>
    <w:rsid w:val="00EE489F"/>
    <w:rsid w:val="00EE52AE"/>
    <w:rsid w:val="00EE52DD"/>
    <w:rsid w:val="00EE52FD"/>
    <w:rsid w:val="00EE58B3"/>
    <w:rsid w:val="00EE5F2C"/>
    <w:rsid w:val="00EE5F8E"/>
    <w:rsid w:val="00EE61FD"/>
    <w:rsid w:val="00EE6B46"/>
    <w:rsid w:val="00EE7086"/>
    <w:rsid w:val="00EE719A"/>
    <w:rsid w:val="00EE75EE"/>
    <w:rsid w:val="00EE7DF1"/>
    <w:rsid w:val="00EF017D"/>
    <w:rsid w:val="00EF02E7"/>
    <w:rsid w:val="00EF030E"/>
    <w:rsid w:val="00EF04AC"/>
    <w:rsid w:val="00EF05DC"/>
    <w:rsid w:val="00EF0B85"/>
    <w:rsid w:val="00EF0CAC"/>
    <w:rsid w:val="00EF0FDF"/>
    <w:rsid w:val="00EF10BB"/>
    <w:rsid w:val="00EF154B"/>
    <w:rsid w:val="00EF1684"/>
    <w:rsid w:val="00EF1EA8"/>
    <w:rsid w:val="00EF20D0"/>
    <w:rsid w:val="00EF2A9B"/>
    <w:rsid w:val="00EF2DEC"/>
    <w:rsid w:val="00EF3145"/>
    <w:rsid w:val="00EF34AA"/>
    <w:rsid w:val="00EF389D"/>
    <w:rsid w:val="00EF3AEF"/>
    <w:rsid w:val="00EF3BD4"/>
    <w:rsid w:val="00EF42C9"/>
    <w:rsid w:val="00EF4327"/>
    <w:rsid w:val="00EF4960"/>
    <w:rsid w:val="00EF4BCC"/>
    <w:rsid w:val="00EF50AB"/>
    <w:rsid w:val="00EF517B"/>
    <w:rsid w:val="00EF526E"/>
    <w:rsid w:val="00EF59D6"/>
    <w:rsid w:val="00EF62D4"/>
    <w:rsid w:val="00EF6524"/>
    <w:rsid w:val="00EF659E"/>
    <w:rsid w:val="00EF66FD"/>
    <w:rsid w:val="00EF6904"/>
    <w:rsid w:val="00EF6D40"/>
    <w:rsid w:val="00EF6D70"/>
    <w:rsid w:val="00EF6DBA"/>
    <w:rsid w:val="00EF716D"/>
    <w:rsid w:val="00EF71A6"/>
    <w:rsid w:val="00EF764C"/>
    <w:rsid w:val="00EF77D6"/>
    <w:rsid w:val="00EF7AAA"/>
    <w:rsid w:val="00EF7BB7"/>
    <w:rsid w:val="00EF7CD2"/>
    <w:rsid w:val="00F00044"/>
    <w:rsid w:val="00F00212"/>
    <w:rsid w:val="00F00A6E"/>
    <w:rsid w:val="00F015E8"/>
    <w:rsid w:val="00F018D9"/>
    <w:rsid w:val="00F01A31"/>
    <w:rsid w:val="00F024FA"/>
    <w:rsid w:val="00F02AE9"/>
    <w:rsid w:val="00F02BB5"/>
    <w:rsid w:val="00F02CE6"/>
    <w:rsid w:val="00F031B3"/>
    <w:rsid w:val="00F032E5"/>
    <w:rsid w:val="00F03C3A"/>
    <w:rsid w:val="00F03E0F"/>
    <w:rsid w:val="00F04281"/>
    <w:rsid w:val="00F046DC"/>
    <w:rsid w:val="00F04D4F"/>
    <w:rsid w:val="00F0563C"/>
    <w:rsid w:val="00F05A5B"/>
    <w:rsid w:val="00F0601E"/>
    <w:rsid w:val="00F0602A"/>
    <w:rsid w:val="00F06179"/>
    <w:rsid w:val="00F06679"/>
    <w:rsid w:val="00F066C8"/>
    <w:rsid w:val="00F069E9"/>
    <w:rsid w:val="00F07399"/>
    <w:rsid w:val="00F10692"/>
    <w:rsid w:val="00F11E1D"/>
    <w:rsid w:val="00F12064"/>
    <w:rsid w:val="00F125C8"/>
    <w:rsid w:val="00F1275E"/>
    <w:rsid w:val="00F12A59"/>
    <w:rsid w:val="00F12C7B"/>
    <w:rsid w:val="00F13360"/>
    <w:rsid w:val="00F13FE3"/>
    <w:rsid w:val="00F15037"/>
    <w:rsid w:val="00F15158"/>
    <w:rsid w:val="00F156F3"/>
    <w:rsid w:val="00F15A59"/>
    <w:rsid w:val="00F15A5B"/>
    <w:rsid w:val="00F15DCA"/>
    <w:rsid w:val="00F16011"/>
    <w:rsid w:val="00F1619B"/>
    <w:rsid w:val="00F16293"/>
    <w:rsid w:val="00F16600"/>
    <w:rsid w:val="00F16B55"/>
    <w:rsid w:val="00F16DAB"/>
    <w:rsid w:val="00F16FCD"/>
    <w:rsid w:val="00F17F92"/>
    <w:rsid w:val="00F202BF"/>
    <w:rsid w:val="00F20479"/>
    <w:rsid w:val="00F206A0"/>
    <w:rsid w:val="00F20A26"/>
    <w:rsid w:val="00F21051"/>
    <w:rsid w:val="00F21575"/>
    <w:rsid w:val="00F218BB"/>
    <w:rsid w:val="00F21C9F"/>
    <w:rsid w:val="00F21DD4"/>
    <w:rsid w:val="00F21E16"/>
    <w:rsid w:val="00F220BB"/>
    <w:rsid w:val="00F22EBE"/>
    <w:rsid w:val="00F23718"/>
    <w:rsid w:val="00F23CB9"/>
    <w:rsid w:val="00F23ED7"/>
    <w:rsid w:val="00F24084"/>
    <w:rsid w:val="00F24A2B"/>
    <w:rsid w:val="00F24AE0"/>
    <w:rsid w:val="00F25B00"/>
    <w:rsid w:val="00F25C0B"/>
    <w:rsid w:val="00F25F6D"/>
    <w:rsid w:val="00F26493"/>
    <w:rsid w:val="00F26B59"/>
    <w:rsid w:val="00F271E8"/>
    <w:rsid w:val="00F276F4"/>
    <w:rsid w:val="00F278BD"/>
    <w:rsid w:val="00F27C93"/>
    <w:rsid w:val="00F3035F"/>
    <w:rsid w:val="00F303AD"/>
    <w:rsid w:val="00F304EA"/>
    <w:rsid w:val="00F30855"/>
    <w:rsid w:val="00F30873"/>
    <w:rsid w:val="00F30954"/>
    <w:rsid w:val="00F30B7B"/>
    <w:rsid w:val="00F30CCC"/>
    <w:rsid w:val="00F31125"/>
    <w:rsid w:val="00F311C4"/>
    <w:rsid w:val="00F31478"/>
    <w:rsid w:val="00F3150C"/>
    <w:rsid w:val="00F315B0"/>
    <w:rsid w:val="00F31632"/>
    <w:rsid w:val="00F31849"/>
    <w:rsid w:val="00F319E5"/>
    <w:rsid w:val="00F31D0D"/>
    <w:rsid w:val="00F31FD8"/>
    <w:rsid w:val="00F323A6"/>
    <w:rsid w:val="00F32509"/>
    <w:rsid w:val="00F32BA1"/>
    <w:rsid w:val="00F32DB6"/>
    <w:rsid w:val="00F32F65"/>
    <w:rsid w:val="00F33717"/>
    <w:rsid w:val="00F33A0D"/>
    <w:rsid w:val="00F33A5C"/>
    <w:rsid w:val="00F34203"/>
    <w:rsid w:val="00F34339"/>
    <w:rsid w:val="00F34C23"/>
    <w:rsid w:val="00F35356"/>
    <w:rsid w:val="00F3616B"/>
    <w:rsid w:val="00F3669F"/>
    <w:rsid w:val="00F36954"/>
    <w:rsid w:val="00F36996"/>
    <w:rsid w:val="00F36DFB"/>
    <w:rsid w:val="00F36EBB"/>
    <w:rsid w:val="00F370B7"/>
    <w:rsid w:val="00F376B1"/>
    <w:rsid w:val="00F37D3D"/>
    <w:rsid w:val="00F37E8D"/>
    <w:rsid w:val="00F37FBC"/>
    <w:rsid w:val="00F40322"/>
    <w:rsid w:val="00F40363"/>
    <w:rsid w:val="00F409BB"/>
    <w:rsid w:val="00F40A64"/>
    <w:rsid w:val="00F40D3C"/>
    <w:rsid w:val="00F411BE"/>
    <w:rsid w:val="00F412EE"/>
    <w:rsid w:val="00F412F9"/>
    <w:rsid w:val="00F413A2"/>
    <w:rsid w:val="00F41915"/>
    <w:rsid w:val="00F4195D"/>
    <w:rsid w:val="00F4220E"/>
    <w:rsid w:val="00F42291"/>
    <w:rsid w:val="00F423B6"/>
    <w:rsid w:val="00F42910"/>
    <w:rsid w:val="00F42AD8"/>
    <w:rsid w:val="00F42C4D"/>
    <w:rsid w:val="00F430C3"/>
    <w:rsid w:val="00F430FD"/>
    <w:rsid w:val="00F43315"/>
    <w:rsid w:val="00F433A3"/>
    <w:rsid w:val="00F434A0"/>
    <w:rsid w:val="00F43732"/>
    <w:rsid w:val="00F437D1"/>
    <w:rsid w:val="00F43F02"/>
    <w:rsid w:val="00F43FFE"/>
    <w:rsid w:val="00F44182"/>
    <w:rsid w:val="00F44260"/>
    <w:rsid w:val="00F4458C"/>
    <w:rsid w:val="00F44CF9"/>
    <w:rsid w:val="00F45329"/>
    <w:rsid w:val="00F45502"/>
    <w:rsid w:val="00F45985"/>
    <w:rsid w:val="00F460A0"/>
    <w:rsid w:val="00F461F1"/>
    <w:rsid w:val="00F4637B"/>
    <w:rsid w:val="00F4640E"/>
    <w:rsid w:val="00F4682D"/>
    <w:rsid w:val="00F46F10"/>
    <w:rsid w:val="00F47206"/>
    <w:rsid w:val="00F472AD"/>
    <w:rsid w:val="00F4742E"/>
    <w:rsid w:val="00F4746A"/>
    <w:rsid w:val="00F47605"/>
    <w:rsid w:val="00F47856"/>
    <w:rsid w:val="00F5006F"/>
    <w:rsid w:val="00F507D7"/>
    <w:rsid w:val="00F51370"/>
    <w:rsid w:val="00F517B0"/>
    <w:rsid w:val="00F51C46"/>
    <w:rsid w:val="00F51D86"/>
    <w:rsid w:val="00F51FDE"/>
    <w:rsid w:val="00F52181"/>
    <w:rsid w:val="00F522F0"/>
    <w:rsid w:val="00F528E3"/>
    <w:rsid w:val="00F529F8"/>
    <w:rsid w:val="00F52EB9"/>
    <w:rsid w:val="00F52ED1"/>
    <w:rsid w:val="00F53470"/>
    <w:rsid w:val="00F53AE8"/>
    <w:rsid w:val="00F53F51"/>
    <w:rsid w:val="00F54154"/>
    <w:rsid w:val="00F54A0B"/>
    <w:rsid w:val="00F54EEB"/>
    <w:rsid w:val="00F553C5"/>
    <w:rsid w:val="00F55718"/>
    <w:rsid w:val="00F55873"/>
    <w:rsid w:val="00F564C0"/>
    <w:rsid w:val="00F5663C"/>
    <w:rsid w:val="00F56726"/>
    <w:rsid w:val="00F56ADB"/>
    <w:rsid w:val="00F56EC2"/>
    <w:rsid w:val="00F57353"/>
    <w:rsid w:val="00F5736C"/>
    <w:rsid w:val="00F57388"/>
    <w:rsid w:val="00F601F4"/>
    <w:rsid w:val="00F61D97"/>
    <w:rsid w:val="00F61F63"/>
    <w:rsid w:val="00F624C6"/>
    <w:rsid w:val="00F62997"/>
    <w:rsid w:val="00F62BD4"/>
    <w:rsid w:val="00F62DF1"/>
    <w:rsid w:val="00F62E10"/>
    <w:rsid w:val="00F630ED"/>
    <w:rsid w:val="00F634DE"/>
    <w:rsid w:val="00F635DD"/>
    <w:rsid w:val="00F63F19"/>
    <w:rsid w:val="00F63F57"/>
    <w:rsid w:val="00F64317"/>
    <w:rsid w:val="00F64549"/>
    <w:rsid w:val="00F64753"/>
    <w:rsid w:val="00F64A8A"/>
    <w:rsid w:val="00F65C0E"/>
    <w:rsid w:val="00F65C75"/>
    <w:rsid w:val="00F65D4E"/>
    <w:rsid w:val="00F65D96"/>
    <w:rsid w:val="00F65FC9"/>
    <w:rsid w:val="00F66C35"/>
    <w:rsid w:val="00F66DDA"/>
    <w:rsid w:val="00F66F91"/>
    <w:rsid w:val="00F671D6"/>
    <w:rsid w:val="00F67404"/>
    <w:rsid w:val="00F67449"/>
    <w:rsid w:val="00F676BE"/>
    <w:rsid w:val="00F7033F"/>
    <w:rsid w:val="00F70627"/>
    <w:rsid w:val="00F70837"/>
    <w:rsid w:val="00F7089D"/>
    <w:rsid w:val="00F70BB2"/>
    <w:rsid w:val="00F70CA6"/>
    <w:rsid w:val="00F70E43"/>
    <w:rsid w:val="00F710AD"/>
    <w:rsid w:val="00F7184D"/>
    <w:rsid w:val="00F71B5F"/>
    <w:rsid w:val="00F71BF4"/>
    <w:rsid w:val="00F71C75"/>
    <w:rsid w:val="00F71FE9"/>
    <w:rsid w:val="00F72743"/>
    <w:rsid w:val="00F72969"/>
    <w:rsid w:val="00F72CE7"/>
    <w:rsid w:val="00F72DDB"/>
    <w:rsid w:val="00F72FBB"/>
    <w:rsid w:val="00F731E5"/>
    <w:rsid w:val="00F735DB"/>
    <w:rsid w:val="00F7376F"/>
    <w:rsid w:val="00F73EA6"/>
    <w:rsid w:val="00F73ECF"/>
    <w:rsid w:val="00F743F5"/>
    <w:rsid w:val="00F746F1"/>
    <w:rsid w:val="00F7478E"/>
    <w:rsid w:val="00F74839"/>
    <w:rsid w:val="00F74B88"/>
    <w:rsid w:val="00F74CEF"/>
    <w:rsid w:val="00F74FA1"/>
    <w:rsid w:val="00F750DC"/>
    <w:rsid w:val="00F75136"/>
    <w:rsid w:val="00F75498"/>
    <w:rsid w:val="00F757FD"/>
    <w:rsid w:val="00F75D3A"/>
    <w:rsid w:val="00F75DC6"/>
    <w:rsid w:val="00F75E6B"/>
    <w:rsid w:val="00F76124"/>
    <w:rsid w:val="00F76201"/>
    <w:rsid w:val="00F7659C"/>
    <w:rsid w:val="00F76938"/>
    <w:rsid w:val="00F769D1"/>
    <w:rsid w:val="00F76BDB"/>
    <w:rsid w:val="00F76D34"/>
    <w:rsid w:val="00F76D86"/>
    <w:rsid w:val="00F77044"/>
    <w:rsid w:val="00F773C9"/>
    <w:rsid w:val="00F7751A"/>
    <w:rsid w:val="00F777CD"/>
    <w:rsid w:val="00F779D7"/>
    <w:rsid w:val="00F77A46"/>
    <w:rsid w:val="00F77DE0"/>
    <w:rsid w:val="00F77F56"/>
    <w:rsid w:val="00F80008"/>
    <w:rsid w:val="00F8009D"/>
    <w:rsid w:val="00F809AD"/>
    <w:rsid w:val="00F80BE7"/>
    <w:rsid w:val="00F80F61"/>
    <w:rsid w:val="00F815F6"/>
    <w:rsid w:val="00F8254F"/>
    <w:rsid w:val="00F8256F"/>
    <w:rsid w:val="00F825FD"/>
    <w:rsid w:val="00F82B41"/>
    <w:rsid w:val="00F82F6E"/>
    <w:rsid w:val="00F831DD"/>
    <w:rsid w:val="00F83442"/>
    <w:rsid w:val="00F83718"/>
    <w:rsid w:val="00F8381C"/>
    <w:rsid w:val="00F83A33"/>
    <w:rsid w:val="00F83BB8"/>
    <w:rsid w:val="00F83BF0"/>
    <w:rsid w:val="00F8403F"/>
    <w:rsid w:val="00F84289"/>
    <w:rsid w:val="00F84353"/>
    <w:rsid w:val="00F844E4"/>
    <w:rsid w:val="00F849AF"/>
    <w:rsid w:val="00F84CF6"/>
    <w:rsid w:val="00F84FD0"/>
    <w:rsid w:val="00F853C1"/>
    <w:rsid w:val="00F85E54"/>
    <w:rsid w:val="00F860CA"/>
    <w:rsid w:val="00F86353"/>
    <w:rsid w:val="00F868C2"/>
    <w:rsid w:val="00F86E28"/>
    <w:rsid w:val="00F8718B"/>
    <w:rsid w:val="00F873BD"/>
    <w:rsid w:val="00F87750"/>
    <w:rsid w:val="00F87981"/>
    <w:rsid w:val="00F87A7E"/>
    <w:rsid w:val="00F87E01"/>
    <w:rsid w:val="00F9017A"/>
    <w:rsid w:val="00F902E1"/>
    <w:rsid w:val="00F90307"/>
    <w:rsid w:val="00F9048A"/>
    <w:rsid w:val="00F9095C"/>
    <w:rsid w:val="00F91164"/>
    <w:rsid w:val="00F91827"/>
    <w:rsid w:val="00F919F5"/>
    <w:rsid w:val="00F91D8F"/>
    <w:rsid w:val="00F91DE2"/>
    <w:rsid w:val="00F91E16"/>
    <w:rsid w:val="00F91EB7"/>
    <w:rsid w:val="00F91F42"/>
    <w:rsid w:val="00F921E2"/>
    <w:rsid w:val="00F9247A"/>
    <w:rsid w:val="00F92A15"/>
    <w:rsid w:val="00F92ABE"/>
    <w:rsid w:val="00F92B70"/>
    <w:rsid w:val="00F92B9D"/>
    <w:rsid w:val="00F930BB"/>
    <w:rsid w:val="00F9350C"/>
    <w:rsid w:val="00F93D92"/>
    <w:rsid w:val="00F94020"/>
    <w:rsid w:val="00F94301"/>
    <w:rsid w:val="00F946F5"/>
    <w:rsid w:val="00F947F7"/>
    <w:rsid w:val="00F94BBD"/>
    <w:rsid w:val="00F955D1"/>
    <w:rsid w:val="00F957AC"/>
    <w:rsid w:val="00F95962"/>
    <w:rsid w:val="00F95B3E"/>
    <w:rsid w:val="00F95ECC"/>
    <w:rsid w:val="00F96042"/>
    <w:rsid w:val="00F96148"/>
    <w:rsid w:val="00F9627E"/>
    <w:rsid w:val="00F96478"/>
    <w:rsid w:val="00F96860"/>
    <w:rsid w:val="00F96B95"/>
    <w:rsid w:val="00F96BE5"/>
    <w:rsid w:val="00F96FD0"/>
    <w:rsid w:val="00F97313"/>
    <w:rsid w:val="00F97A34"/>
    <w:rsid w:val="00F97E2C"/>
    <w:rsid w:val="00FA00C1"/>
    <w:rsid w:val="00FA0394"/>
    <w:rsid w:val="00FA03C2"/>
    <w:rsid w:val="00FA040E"/>
    <w:rsid w:val="00FA052B"/>
    <w:rsid w:val="00FA0857"/>
    <w:rsid w:val="00FA089F"/>
    <w:rsid w:val="00FA0B19"/>
    <w:rsid w:val="00FA0C40"/>
    <w:rsid w:val="00FA0CDE"/>
    <w:rsid w:val="00FA0DD8"/>
    <w:rsid w:val="00FA14E2"/>
    <w:rsid w:val="00FA158C"/>
    <w:rsid w:val="00FA1CCF"/>
    <w:rsid w:val="00FA1E15"/>
    <w:rsid w:val="00FA1E49"/>
    <w:rsid w:val="00FA1FB6"/>
    <w:rsid w:val="00FA21E6"/>
    <w:rsid w:val="00FA2802"/>
    <w:rsid w:val="00FA28F7"/>
    <w:rsid w:val="00FA2B33"/>
    <w:rsid w:val="00FA2CF7"/>
    <w:rsid w:val="00FA2EF2"/>
    <w:rsid w:val="00FA2FD6"/>
    <w:rsid w:val="00FA42E4"/>
    <w:rsid w:val="00FA4853"/>
    <w:rsid w:val="00FA4AAD"/>
    <w:rsid w:val="00FA4CCB"/>
    <w:rsid w:val="00FA5015"/>
    <w:rsid w:val="00FA5675"/>
    <w:rsid w:val="00FA5BB4"/>
    <w:rsid w:val="00FA5C25"/>
    <w:rsid w:val="00FA5CE8"/>
    <w:rsid w:val="00FA5D7B"/>
    <w:rsid w:val="00FA5F29"/>
    <w:rsid w:val="00FA5F7E"/>
    <w:rsid w:val="00FA663E"/>
    <w:rsid w:val="00FA6699"/>
    <w:rsid w:val="00FA66C9"/>
    <w:rsid w:val="00FA6705"/>
    <w:rsid w:val="00FA6E05"/>
    <w:rsid w:val="00FA739B"/>
    <w:rsid w:val="00FA7821"/>
    <w:rsid w:val="00FA7DFC"/>
    <w:rsid w:val="00FB02F2"/>
    <w:rsid w:val="00FB0547"/>
    <w:rsid w:val="00FB06E1"/>
    <w:rsid w:val="00FB0C40"/>
    <w:rsid w:val="00FB0EEF"/>
    <w:rsid w:val="00FB130A"/>
    <w:rsid w:val="00FB140F"/>
    <w:rsid w:val="00FB1661"/>
    <w:rsid w:val="00FB1E89"/>
    <w:rsid w:val="00FB266E"/>
    <w:rsid w:val="00FB2AF3"/>
    <w:rsid w:val="00FB2C6E"/>
    <w:rsid w:val="00FB2E2A"/>
    <w:rsid w:val="00FB2EA5"/>
    <w:rsid w:val="00FB3346"/>
    <w:rsid w:val="00FB35A2"/>
    <w:rsid w:val="00FB3A86"/>
    <w:rsid w:val="00FB3F8F"/>
    <w:rsid w:val="00FB4414"/>
    <w:rsid w:val="00FB442B"/>
    <w:rsid w:val="00FB4571"/>
    <w:rsid w:val="00FB48D4"/>
    <w:rsid w:val="00FB4E3A"/>
    <w:rsid w:val="00FB5432"/>
    <w:rsid w:val="00FB5951"/>
    <w:rsid w:val="00FB6010"/>
    <w:rsid w:val="00FB6154"/>
    <w:rsid w:val="00FB6276"/>
    <w:rsid w:val="00FB62CC"/>
    <w:rsid w:val="00FB648E"/>
    <w:rsid w:val="00FB733F"/>
    <w:rsid w:val="00FB7508"/>
    <w:rsid w:val="00FB7869"/>
    <w:rsid w:val="00FB7B6C"/>
    <w:rsid w:val="00FB7D09"/>
    <w:rsid w:val="00FB7DEC"/>
    <w:rsid w:val="00FB7FDD"/>
    <w:rsid w:val="00FC0324"/>
    <w:rsid w:val="00FC043F"/>
    <w:rsid w:val="00FC0AA0"/>
    <w:rsid w:val="00FC0BD2"/>
    <w:rsid w:val="00FC1A65"/>
    <w:rsid w:val="00FC1B88"/>
    <w:rsid w:val="00FC1D99"/>
    <w:rsid w:val="00FC1FA3"/>
    <w:rsid w:val="00FC2182"/>
    <w:rsid w:val="00FC2FA1"/>
    <w:rsid w:val="00FC3433"/>
    <w:rsid w:val="00FC3492"/>
    <w:rsid w:val="00FC4655"/>
    <w:rsid w:val="00FC47F9"/>
    <w:rsid w:val="00FC508E"/>
    <w:rsid w:val="00FC52BF"/>
    <w:rsid w:val="00FC55EA"/>
    <w:rsid w:val="00FC57E5"/>
    <w:rsid w:val="00FC5909"/>
    <w:rsid w:val="00FC591D"/>
    <w:rsid w:val="00FC5A75"/>
    <w:rsid w:val="00FC68C1"/>
    <w:rsid w:val="00FC6991"/>
    <w:rsid w:val="00FC7561"/>
    <w:rsid w:val="00FC78BF"/>
    <w:rsid w:val="00FC7910"/>
    <w:rsid w:val="00FC7B2A"/>
    <w:rsid w:val="00FC7D62"/>
    <w:rsid w:val="00FD021E"/>
    <w:rsid w:val="00FD0659"/>
    <w:rsid w:val="00FD07C9"/>
    <w:rsid w:val="00FD0FF9"/>
    <w:rsid w:val="00FD1139"/>
    <w:rsid w:val="00FD14B8"/>
    <w:rsid w:val="00FD1622"/>
    <w:rsid w:val="00FD163C"/>
    <w:rsid w:val="00FD1939"/>
    <w:rsid w:val="00FD1F63"/>
    <w:rsid w:val="00FD222B"/>
    <w:rsid w:val="00FD24A9"/>
    <w:rsid w:val="00FD2625"/>
    <w:rsid w:val="00FD276A"/>
    <w:rsid w:val="00FD3190"/>
    <w:rsid w:val="00FD3491"/>
    <w:rsid w:val="00FD39B8"/>
    <w:rsid w:val="00FD3D21"/>
    <w:rsid w:val="00FD3DE2"/>
    <w:rsid w:val="00FD45FE"/>
    <w:rsid w:val="00FD48A9"/>
    <w:rsid w:val="00FD48BF"/>
    <w:rsid w:val="00FD4DD1"/>
    <w:rsid w:val="00FD553A"/>
    <w:rsid w:val="00FD5D86"/>
    <w:rsid w:val="00FD6316"/>
    <w:rsid w:val="00FD6440"/>
    <w:rsid w:val="00FD6634"/>
    <w:rsid w:val="00FD6679"/>
    <w:rsid w:val="00FD68A4"/>
    <w:rsid w:val="00FD70BE"/>
    <w:rsid w:val="00FD769C"/>
    <w:rsid w:val="00FD7B32"/>
    <w:rsid w:val="00FD7C94"/>
    <w:rsid w:val="00FD7CB3"/>
    <w:rsid w:val="00FD7CDA"/>
    <w:rsid w:val="00FD7F37"/>
    <w:rsid w:val="00FE00D5"/>
    <w:rsid w:val="00FE0812"/>
    <w:rsid w:val="00FE0C6B"/>
    <w:rsid w:val="00FE0CD1"/>
    <w:rsid w:val="00FE0F9B"/>
    <w:rsid w:val="00FE1337"/>
    <w:rsid w:val="00FE162D"/>
    <w:rsid w:val="00FE1A4F"/>
    <w:rsid w:val="00FE1AEE"/>
    <w:rsid w:val="00FE2945"/>
    <w:rsid w:val="00FE2AC0"/>
    <w:rsid w:val="00FE2F2E"/>
    <w:rsid w:val="00FE309B"/>
    <w:rsid w:val="00FE3158"/>
    <w:rsid w:val="00FE36A4"/>
    <w:rsid w:val="00FE38F2"/>
    <w:rsid w:val="00FE3C97"/>
    <w:rsid w:val="00FE45C6"/>
    <w:rsid w:val="00FE4BAA"/>
    <w:rsid w:val="00FE4D93"/>
    <w:rsid w:val="00FE502D"/>
    <w:rsid w:val="00FE521B"/>
    <w:rsid w:val="00FE5954"/>
    <w:rsid w:val="00FE5AEE"/>
    <w:rsid w:val="00FE640B"/>
    <w:rsid w:val="00FE648C"/>
    <w:rsid w:val="00FE64F3"/>
    <w:rsid w:val="00FE6FF2"/>
    <w:rsid w:val="00FE7065"/>
    <w:rsid w:val="00FE72E3"/>
    <w:rsid w:val="00FE7315"/>
    <w:rsid w:val="00FE7BA5"/>
    <w:rsid w:val="00FE7E6A"/>
    <w:rsid w:val="00FF004C"/>
    <w:rsid w:val="00FF0814"/>
    <w:rsid w:val="00FF0B07"/>
    <w:rsid w:val="00FF0BAA"/>
    <w:rsid w:val="00FF0D4F"/>
    <w:rsid w:val="00FF1007"/>
    <w:rsid w:val="00FF12DD"/>
    <w:rsid w:val="00FF1A57"/>
    <w:rsid w:val="00FF241C"/>
    <w:rsid w:val="00FF24BB"/>
    <w:rsid w:val="00FF280C"/>
    <w:rsid w:val="00FF318A"/>
    <w:rsid w:val="00FF31EB"/>
    <w:rsid w:val="00FF3821"/>
    <w:rsid w:val="00FF38D5"/>
    <w:rsid w:val="00FF39A4"/>
    <w:rsid w:val="00FF429A"/>
    <w:rsid w:val="00FF4686"/>
    <w:rsid w:val="00FF4D91"/>
    <w:rsid w:val="00FF5048"/>
    <w:rsid w:val="00FF52CF"/>
    <w:rsid w:val="00FF56FC"/>
    <w:rsid w:val="00FF5946"/>
    <w:rsid w:val="00FF59B9"/>
    <w:rsid w:val="00FF5CE7"/>
    <w:rsid w:val="00FF5E15"/>
    <w:rsid w:val="00FF5EF1"/>
    <w:rsid w:val="00FF618C"/>
    <w:rsid w:val="00FF65AF"/>
    <w:rsid w:val="00FF6663"/>
    <w:rsid w:val="00FF6876"/>
    <w:rsid w:val="00FF68A3"/>
    <w:rsid w:val="00FF6A8B"/>
    <w:rsid w:val="00FF6D90"/>
    <w:rsid w:val="00FF710A"/>
    <w:rsid w:val="00FF7718"/>
    <w:rsid w:val="00FF7732"/>
    <w:rsid w:val="00FF7CD0"/>
    <w:rsid w:val="00FF7D84"/>
    <w:rsid w:val="00FF7E48"/>
    <w:rsid w:val="0108A203"/>
    <w:rsid w:val="01ADB1C5"/>
    <w:rsid w:val="023D6020"/>
    <w:rsid w:val="02411264"/>
    <w:rsid w:val="030F2CEE"/>
    <w:rsid w:val="0388217E"/>
    <w:rsid w:val="03EEF6A3"/>
    <w:rsid w:val="052AA18B"/>
    <w:rsid w:val="054746C6"/>
    <w:rsid w:val="05CF2F43"/>
    <w:rsid w:val="05E4CD9B"/>
    <w:rsid w:val="0636731B"/>
    <w:rsid w:val="078BB9F1"/>
    <w:rsid w:val="07A305BB"/>
    <w:rsid w:val="084FB3B2"/>
    <w:rsid w:val="08A8B384"/>
    <w:rsid w:val="0907F62D"/>
    <w:rsid w:val="091D0D16"/>
    <w:rsid w:val="097FD033"/>
    <w:rsid w:val="0980EDDE"/>
    <w:rsid w:val="0A401540"/>
    <w:rsid w:val="0AC647CF"/>
    <w:rsid w:val="0B783910"/>
    <w:rsid w:val="0B9CA75D"/>
    <w:rsid w:val="0D4E3247"/>
    <w:rsid w:val="0DFA586A"/>
    <w:rsid w:val="0E0704C8"/>
    <w:rsid w:val="0E2E521E"/>
    <w:rsid w:val="0EA467B5"/>
    <w:rsid w:val="0EB11C8C"/>
    <w:rsid w:val="0F0E3F2C"/>
    <w:rsid w:val="0F3F4994"/>
    <w:rsid w:val="0F498508"/>
    <w:rsid w:val="0F4F2A69"/>
    <w:rsid w:val="0FFDBCD8"/>
    <w:rsid w:val="1047FC0A"/>
    <w:rsid w:val="105A6459"/>
    <w:rsid w:val="11A7065F"/>
    <w:rsid w:val="11B6496D"/>
    <w:rsid w:val="12020121"/>
    <w:rsid w:val="12186BAF"/>
    <w:rsid w:val="121DC338"/>
    <w:rsid w:val="124B3B7A"/>
    <w:rsid w:val="12D66F4E"/>
    <w:rsid w:val="13051EE5"/>
    <w:rsid w:val="13C3DE04"/>
    <w:rsid w:val="143488A3"/>
    <w:rsid w:val="14C0D76F"/>
    <w:rsid w:val="1548B2DB"/>
    <w:rsid w:val="15524C7F"/>
    <w:rsid w:val="15A8AB03"/>
    <w:rsid w:val="15E56FDF"/>
    <w:rsid w:val="1630ACFC"/>
    <w:rsid w:val="16815853"/>
    <w:rsid w:val="16E38559"/>
    <w:rsid w:val="16EF2BD3"/>
    <w:rsid w:val="17254543"/>
    <w:rsid w:val="1788D55B"/>
    <w:rsid w:val="17A12F4F"/>
    <w:rsid w:val="1856130A"/>
    <w:rsid w:val="185AE1FC"/>
    <w:rsid w:val="19D9D647"/>
    <w:rsid w:val="1A072A81"/>
    <w:rsid w:val="1A36C251"/>
    <w:rsid w:val="1A3E3ABA"/>
    <w:rsid w:val="1A9C13A6"/>
    <w:rsid w:val="1ACD7EEF"/>
    <w:rsid w:val="1AFC5257"/>
    <w:rsid w:val="1B13CF1C"/>
    <w:rsid w:val="1BA2FAE2"/>
    <w:rsid w:val="1BBFE021"/>
    <w:rsid w:val="1C27B165"/>
    <w:rsid w:val="1C538FAA"/>
    <w:rsid w:val="1C60BACE"/>
    <w:rsid w:val="1C872132"/>
    <w:rsid w:val="1CBF77BE"/>
    <w:rsid w:val="1CFD4912"/>
    <w:rsid w:val="1D124798"/>
    <w:rsid w:val="1D53054E"/>
    <w:rsid w:val="1DA8AA2A"/>
    <w:rsid w:val="1E49FE1A"/>
    <w:rsid w:val="1EE14DDE"/>
    <w:rsid w:val="1EFAB9D4"/>
    <w:rsid w:val="1F102146"/>
    <w:rsid w:val="1F67DC0B"/>
    <w:rsid w:val="1F8D00B4"/>
    <w:rsid w:val="1FEA9081"/>
    <w:rsid w:val="203139D0"/>
    <w:rsid w:val="20A9CE48"/>
    <w:rsid w:val="20AD5D3A"/>
    <w:rsid w:val="20B56BF2"/>
    <w:rsid w:val="2105F3A4"/>
    <w:rsid w:val="21154DA2"/>
    <w:rsid w:val="2157C436"/>
    <w:rsid w:val="21E70451"/>
    <w:rsid w:val="225F3DDB"/>
    <w:rsid w:val="231CA4F4"/>
    <w:rsid w:val="246A5B4A"/>
    <w:rsid w:val="246BAA61"/>
    <w:rsid w:val="24A42043"/>
    <w:rsid w:val="25669D60"/>
    <w:rsid w:val="256DD485"/>
    <w:rsid w:val="26547FC8"/>
    <w:rsid w:val="26583E6E"/>
    <w:rsid w:val="267AB41C"/>
    <w:rsid w:val="2700F499"/>
    <w:rsid w:val="273C6A6B"/>
    <w:rsid w:val="28067896"/>
    <w:rsid w:val="28A95F57"/>
    <w:rsid w:val="28D1040D"/>
    <w:rsid w:val="292B71D5"/>
    <w:rsid w:val="294B5964"/>
    <w:rsid w:val="296E859E"/>
    <w:rsid w:val="297EB0E6"/>
    <w:rsid w:val="29984951"/>
    <w:rsid w:val="2A0191EC"/>
    <w:rsid w:val="2A84EBF5"/>
    <w:rsid w:val="2B7B58E9"/>
    <w:rsid w:val="2B948887"/>
    <w:rsid w:val="2BA3E720"/>
    <w:rsid w:val="2C105A80"/>
    <w:rsid w:val="2CA60264"/>
    <w:rsid w:val="2D8BAA1A"/>
    <w:rsid w:val="2E1178C8"/>
    <w:rsid w:val="2E3EF2B1"/>
    <w:rsid w:val="2E558A5D"/>
    <w:rsid w:val="2E56FF29"/>
    <w:rsid w:val="2EBA356E"/>
    <w:rsid w:val="2ECB7C00"/>
    <w:rsid w:val="2ED992A6"/>
    <w:rsid w:val="30964AEC"/>
    <w:rsid w:val="31672A65"/>
    <w:rsid w:val="31D9454B"/>
    <w:rsid w:val="321D71F1"/>
    <w:rsid w:val="32669BE0"/>
    <w:rsid w:val="3290AB80"/>
    <w:rsid w:val="32D91816"/>
    <w:rsid w:val="332189CA"/>
    <w:rsid w:val="33690522"/>
    <w:rsid w:val="33A17C22"/>
    <w:rsid w:val="33F41BF5"/>
    <w:rsid w:val="33FB44E4"/>
    <w:rsid w:val="343D198B"/>
    <w:rsid w:val="3646008D"/>
    <w:rsid w:val="36CA0CB0"/>
    <w:rsid w:val="37F8076E"/>
    <w:rsid w:val="38AC3CEB"/>
    <w:rsid w:val="3997285F"/>
    <w:rsid w:val="3A78A419"/>
    <w:rsid w:val="3A7AF8BA"/>
    <w:rsid w:val="3A7C1E7F"/>
    <w:rsid w:val="3A9B9690"/>
    <w:rsid w:val="3AE7DFD2"/>
    <w:rsid w:val="3B9AEFC2"/>
    <w:rsid w:val="3BD1E75C"/>
    <w:rsid w:val="3BDE11AC"/>
    <w:rsid w:val="3C1F21E4"/>
    <w:rsid w:val="3C538187"/>
    <w:rsid w:val="3C6BAD02"/>
    <w:rsid w:val="3CFD0E19"/>
    <w:rsid w:val="3D4E0E3C"/>
    <w:rsid w:val="3EF8FA24"/>
    <w:rsid w:val="3F602A1E"/>
    <w:rsid w:val="3F95ABA3"/>
    <w:rsid w:val="4024B74B"/>
    <w:rsid w:val="40CFC64B"/>
    <w:rsid w:val="40D46B17"/>
    <w:rsid w:val="4200C578"/>
    <w:rsid w:val="42548E3D"/>
    <w:rsid w:val="42A85DD2"/>
    <w:rsid w:val="43B3B324"/>
    <w:rsid w:val="448D8F04"/>
    <w:rsid w:val="44D7D830"/>
    <w:rsid w:val="44E07F51"/>
    <w:rsid w:val="44E77F70"/>
    <w:rsid w:val="454E9FFC"/>
    <w:rsid w:val="461497D3"/>
    <w:rsid w:val="4629E7F3"/>
    <w:rsid w:val="462DE759"/>
    <w:rsid w:val="4651BEC8"/>
    <w:rsid w:val="468844A8"/>
    <w:rsid w:val="46F8B01A"/>
    <w:rsid w:val="47335C9E"/>
    <w:rsid w:val="4738A551"/>
    <w:rsid w:val="4771B4F4"/>
    <w:rsid w:val="47792A27"/>
    <w:rsid w:val="478E53B1"/>
    <w:rsid w:val="481F699E"/>
    <w:rsid w:val="4827B1F1"/>
    <w:rsid w:val="48DC23C6"/>
    <w:rsid w:val="49096208"/>
    <w:rsid w:val="4B98EAC4"/>
    <w:rsid w:val="4BE43BA8"/>
    <w:rsid w:val="4C48756C"/>
    <w:rsid w:val="4C9B6AB1"/>
    <w:rsid w:val="4CCE226E"/>
    <w:rsid w:val="4D3F54D2"/>
    <w:rsid w:val="4E232770"/>
    <w:rsid w:val="4F5BA339"/>
    <w:rsid w:val="4F82DD2B"/>
    <w:rsid w:val="4F978D65"/>
    <w:rsid w:val="4F987034"/>
    <w:rsid w:val="50624BD9"/>
    <w:rsid w:val="5088F906"/>
    <w:rsid w:val="5197309F"/>
    <w:rsid w:val="51DD0B24"/>
    <w:rsid w:val="52342EE7"/>
    <w:rsid w:val="523ACB49"/>
    <w:rsid w:val="531587A7"/>
    <w:rsid w:val="53CA31C3"/>
    <w:rsid w:val="548049AF"/>
    <w:rsid w:val="54E59B01"/>
    <w:rsid w:val="54F4E63B"/>
    <w:rsid w:val="55402105"/>
    <w:rsid w:val="5603D735"/>
    <w:rsid w:val="56A44FAD"/>
    <w:rsid w:val="56BD45EF"/>
    <w:rsid w:val="56C80C3C"/>
    <w:rsid w:val="5713AA86"/>
    <w:rsid w:val="57A0CDCF"/>
    <w:rsid w:val="57F69749"/>
    <w:rsid w:val="58D27040"/>
    <w:rsid w:val="59D3797E"/>
    <w:rsid w:val="5AA529A9"/>
    <w:rsid w:val="5AB9E008"/>
    <w:rsid w:val="5C09810D"/>
    <w:rsid w:val="5C3EE5EC"/>
    <w:rsid w:val="5CC13A44"/>
    <w:rsid w:val="5D8A4218"/>
    <w:rsid w:val="5DBC14AA"/>
    <w:rsid w:val="5DF5C0BD"/>
    <w:rsid w:val="5EE11B8A"/>
    <w:rsid w:val="5F21D34F"/>
    <w:rsid w:val="5FF362B4"/>
    <w:rsid w:val="600E1EED"/>
    <w:rsid w:val="60375D84"/>
    <w:rsid w:val="612CB42A"/>
    <w:rsid w:val="6136C5F6"/>
    <w:rsid w:val="61747C3C"/>
    <w:rsid w:val="61B67DD3"/>
    <w:rsid w:val="61D4F44D"/>
    <w:rsid w:val="6254367D"/>
    <w:rsid w:val="626DABFC"/>
    <w:rsid w:val="62D4171A"/>
    <w:rsid w:val="62DD55B3"/>
    <w:rsid w:val="63766799"/>
    <w:rsid w:val="64CDDE8E"/>
    <w:rsid w:val="64E161E0"/>
    <w:rsid w:val="65C1DFD2"/>
    <w:rsid w:val="66214DDA"/>
    <w:rsid w:val="6711703C"/>
    <w:rsid w:val="67353464"/>
    <w:rsid w:val="6756A8B4"/>
    <w:rsid w:val="679A6D46"/>
    <w:rsid w:val="683C69F8"/>
    <w:rsid w:val="6860D17D"/>
    <w:rsid w:val="6898A82D"/>
    <w:rsid w:val="6AC65BAC"/>
    <w:rsid w:val="6ADAF7C3"/>
    <w:rsid w:val="6B12615D"/>
    <w:rsid w:val="6B16AA38"/>
    <w:rsid w:val="6B19D7C3"/>
    <w:rsid w:val="6B72CEC7"/>
    <w:rsid w:val="6BB7FA0B"/>
    <w:rsid w:val="6C64C379"/>
    <w:rsid w:val="6C6502B8"/>
    <w:rsid w:val="6C6DD31E"/>
    <w:rsid w:val="6CE0B350"/>
    <w:rsid w:val="6DE6D7E2"/>
    <w:rsid w:val="6E260C5A"/>
    <w:rsid w:val="6E3ACEE6"/>
    <w:rsid w:val="6E5A277D"/>
    <w:rsid w:val="6F742460"/>
    <w:rsid w:val="71337962"/>
    <w:rsid w:val="71811068"/>
    <w:rsid w:val="736CC3FC"/>
    <w:rsid w:val="740642BE"/>
    <w:rsid w:val="7465EE27"/>
    <w:rsid w:val="74BA01ED"/>
    <w:rsid w:val="76B61E87"/>
    <w:rsid w:val="76E414D1"/>
    <w:rsid w:val="77190D6B"/>
    <w:rsid w:val="77351037"/>
    <w:rsid w:val="77511CA7"/>
    <w:rsid w:val="77A4146B"/>
    <w:rsid w:val="77EE194C"/>
    <w:rsid w:val="78F42BF0"/>
    <w:rsid w:val="79103056"/>
    <w:rsid w:val="7A257A48"/>
    <w:rsid w:val="7AC6D436"/>
    <w:rsid w:val="7BFAF4DF"/>
    <w:rsid w:val="7D4A7843"/>
    <w:rsid w:val="7DA1849C"/>
    <w:rsid w:val="7DCF2445"/>
    <w:rsid w:val="7E7D014D"/>
    <w:rsid w:val="7F3B9E48"/>
    <w:rsid w:val="7F653313"/>
    <w:rsid w:val="7F8690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E94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DO NOT USE"/>
    <w:next w:val="BodyText"/>
    <w:rsid w:val="001010CC"/>
    <w:pPr>
      <w:spacing w:before="180" w:after="180" w:line="280" w:lineRule="atLeast"/>
    </w:pPr>
    <w:rPr>
      <w:rFonts w:ascii="Arial" w:eastAsia="Times" w:hAnsi="Arial" w:cs="Arial"/>
      <w:color w:val="FF0000"/>
      <w:sz w:val="24"/>
      <w:szCs w:val="24"/>
      <w:lang w:eastAsia="en-AU"/>
    </w:rPr>
  </w:style>
  <w:style w:type="paragraph" w:styleId="Heading1">
    <w:name w:val="heading 1"/>
    <w:next w:val="BodyText"/>
    <w:link w:val="Heading1Char"/>
    <w:uiPriority w:val="9"/>
    <w:qFormat/>
    <w:rsid w:val="007F218F"/>
    <w:pPr>
      <w:keepNext/>
      <w:keepLines/>
      <w:pageBreakBefore/>
      <w:numPr>
        <w:numId w:val="1"/>
      </w:numPr>
      <w:spacing w:after="280" w:line="240" w:lineRule="auto"/>
      <w:outlineLvl w:val="0"/>
    </w:pPr>
    <w:rPr>
      <w:rFonts w:ascii="Arial" w:eastAsia="Times" w:hAnsi="Arial" w:cs="Arial"/>
      <w:b/>
      <w:color w:val="2C476E"/>
      <w:kern w:val="28"/>
      <w:sz w:val="40"/>
      <w:szCs w:val="24"/>
      <w:lang w:eastAsia="en-AU"/>
    </w:rPr>
  </w:style>
  <w:style w:type="paragraph" w:styleId="Heading2">
    <w:name w:val="heading 2"/>
    <w:basedOn w:val="Heading1"/>
    <w:next w:val="BodyText"/>
    <w:link w:val="Heading2Char"/>
    <w:uiPriority w:val="9"/>
    <w:qFormat/>
    <w:rsid w:val="001010CC"/>
    <w:pPr>
      <w:pageBreakBefore w:val="0"/>
      <w:numPr>
        <w:ilvl w:val="1"/>
      </w:numPr>
      <w:spacing w:before="560" w:line="288" w:lineRule="auto"/>
      <w:outlineLvl w:val="1"/>
    </w:pPr>
    <w:rPr>
      <w:sz w:val="32"/>
      <w:szCs w:val="30"/>
    </w:rPr>
  </w:style>
  <w:style w:type="paragraph" w:styleId="Heading3">
    <w:name w:val="heading 3"/>
    <w:basedOn w:val="Heading2"/>
    <w:next w:val="BodyText"/>
    <w:link w:val="Heading3Char"/>
    <w:uiPriority w:val="9"/>
    <w:qFormat/>
    <w:rsid w:val="001010CC"/>
    <w:pPr>
      <w:numPr>
        <w:ilvl w:val="2"/>
      </w:numPr>
      <w:outlineLvl w:val="2"/>
    </w:pPr>
    <w:rPr>
      <w:sz w:val="28"/>
    </w:rPr>
  </w:style>
  <w:style w:type="paragraph" w:styleId="Heading4">
    <w:name w:val="heading 4"/>
    <w:basedOn w:val="Heading3"/>
    <w:next w:val="BodyText"/>
    <w:link w:val="Heading4Char"/>
    <w:uiPriority w:val="9"/>
    <w:qFormat/>
    <w:rsid w:val="00F437D1"/>
    <w:pPr>
      <w:numPr>
        <w:ilvl w:val="3"/>
      </w:numPr>
      <w:spacing w:before="280" w:after="0"/>
      <w:outlineLvl w:val="3"/>
    </w:pPr>
    <w:rPr>
      <w:i/>
      <w:color w:val="auto"/>
      <w:sz w:val="24"/>
    </w:rPr>
  </w:style>
  <w:style w:type="paragraph" w:styleId="Heading5">
    <w:name w:val="heading 5"/>
    <w:basedOn w:val="Heading4"/>
    <w:next w:val="BodyText"/>
    <w:link w:val="Heading5Char"/>
    <w:qFormat/>
    <w:rsid w:val="00F437D1"/>
    <w:pPr>
      <w:numPr>
        <w:ilvl w:val="4"/>
      </w:numPr>
      <w:outlineLvl w:val="4"/>
    </w:pPr>
    <w:rPr>
      <w:sz w:val="22"/>
    </w:rPr>
  </w:style>
  <w:style w:type="paragraph" w:styleId="Heading6">
    <w:name w:val="heading 6"/>
    <w:basedOn w:val="Heading5"/>
    <w:next w:val="BodyText"/>
    <w:link w:val="Heading6Char"/>
    <w:rsid w:val="001010CC"/>
    <w:pPr>
      <w:numPr>
        <w:ilvl w:val="5"/>
      </w:numPr>
      <w:spacing w:before="240"/>
      <w:outlineLvl w:val="5"/>
    </w:pPr>
    <w:rPr>
      <w:b w:val="0"/>
      <w:i w:val="0"/>
      <w:color w:val="FF0000"/>
      <w:sz w:val="20"/>
    </w:rPr>
  </w:style>
  <w:style w:type="paragraph" w:styleId="Heading7">
    <w:name w:val="heading 7"/>
    <w:basedOn w:val="Heading6"/>
    <w:next w:val="BodyText"/>
    <w:link w:val="Heading7Char"/>
    <w:semiHidden/>
    <w:qFormat/>
    <w:rsid w:val="001010CC"/>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rsid w:val="001010CC"/>
    <w:pPr>
      <w:numPr>
        <w:ilvl w:val="7"/>
      </w:numPr>
      <w:outlineLvl w:val="7"/>
    </w:pPr>
    <w:rPr>
      <w:i w:val="0"/>
    </w:rPr>
  </w:style>
  <w:style w:type="paragraph" w:styleId="Heading9">
    <w:name w:val="heading 9"/>
    <w:aliases w:val="Heading Appendix 1"/>
    <w:basedOn w:val="Normal"/>
    <w:next w:val="BodyText"/>
    <w:link w:val="Heading9Char"/>
    <w:qFormat/>
    <w:rsid w:val="00A35972"/>
    <w:pPr>
      <w:keepNext/>
      <w:keepLines/>
      <w:pageBreakBefore/>
      <w:numPr>
        <w:numId w:val="5"/>
      </w:numPr>
      <w:spacing w:before="0" w:after="280" w:line="240" w:lineRule="auto"/>
      <w:outlineLvl w:val="8"/>
    </w:pPr>
    <w:rPr>
      <w:rFonts w:cs="Times New Roman"/>
      <w:b/>
      <w:color w:val="2C476E"/>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18F"/>
    <w:rPr>
      <w:rFonts w:ascii="Arial" w:eastAsia="Times" w:hAnsi="Arial" w:cs="Arial"/>
      <w:b/>
      <w:color w:val="2C476E"/>
      <w:kern w:val="28"/>
      <w:sz w:val="40"/>
      <w:szCs w:val="24"/>
      <w:lang w:eastAsia="en-AU"/>
    </w:rPr>
  </w:style>
  <w:style w:type="character" w:customStyle="1" w:styleId="Heading2Char">
    <w:name w:val="Heading 2 Char"/>
    <w:basedOn w:val="DefaultParagraphFont"/>
    <w:link w:val="Heading2"/>
    <w:uiPriority w:val="9"/>
    <w:rsid w:val="001010CC"/>
    <w:rPr>
      <w:rFonts w:ascii="Arial" w:eastAsia="Times" w:hAnsi="Arial" w:cs="Arial"/>
      <w:b/>
      <w:color w:val="2C476E"/>
      <w:kern w:val="28"/>
      <w:sz w:val="32"/>
      <w:szCs w:val="30"/>
      <w:lang w:eastAsia="en-AU"/>
    </w:rPr>
  </w:style>
  <w:style w:type="character" w:customStyle="1" w:styleId="Heading3Char">
    <w:name w:val="Heading 3 Char"/>
    <w:basedOn w:val="DefaultParagraphFont"/>
    <w:link w:val="Heading3"/>
    <w:uiPriority w:val="9"/>
    <w:rsid w:val="001010CC"/>
    <w:rPr>
      <w:rFonts w:ascii="Arial" w:eastAsia="Times" w:hAnsi="Arial" w:cs="Arial"/>
      <w:b/>
      <w:color w:val="2C476E"/>
      <w:kern w:val="28"/>
      <w:sz w:val="28"/>
      <w:szCs w:val="30"/>
      <w:lang w:eastAsia="en-AU"/>
    </w:rPr>
  </w:style>
  <w:style w:type="character" w:customStyle="1" w:styleId="Heading4Char">
    <w:name w:val="Heading 4 Char"/>
    <w:basedOn w:val="DefaultParagraphFont"/>
    <w:link w:val="Heading4"/>
    <w:uiPriority w:val="9"/>
    <w:rsid w:val="00F437D1"/>
    <w:rPr>
      <w:rFonts w:ascii="Arial" w:eastAsia="Times" w:hAnsi="Arial" w:cs="Arial"/>
      <w:b/>
      <w:i/>
      <w:kern w:val="28"/>
      <w:sz w:val="24"/>
      <w:szCs w:val="30"/>
      <w:lang w:eastAsia="en-AU"/>
    </w:rPr>
  </w:style>
  <w:style w:type="character" w:customStyle="1" w:styleId="Heading5Char">
    <w:name w:val="Heading 5 Char"/>
    <w:basedOn w:val="DefaultParagraphFont"/>
    <w:link w:val="Heading5"/>
    <w:rsid w:val="00F437D1"/>
    <w:rPr>
      <w:rFonts w:ascii="Arial" w:eastAsia="Times" w:hAnsi="Arial" w:cs="Arial"/>
      <w:b/>
      <w:i/>
      <w:kern w:val="28"/>
      <w:szCs w:val="30"/>
      <w:lang w:eastAsia="en-AU"/>
    </w:rPr>
  </w:style>
  <w:style w:type="character" w:customStyle="1" w:styleId="Heading6Char">
    <w:name w:val="Heading 6 Char"/>
    <w:basedOn w:val="DefaultParagraphFont"/>
    <w:link w:val="Heading6"/>
    <w:rsid w:val="001010CC"/>
    <w:rPr>
      <w:rFonts w:ascii="Arial" w:eastAsia="Times" w:hAnsi="Arial" w:cs="Arial"/>
      <w:color w:val="FF0000"/>
      <w:kern w:val="28"/>
      <w:sz w:val="20"/>
      <w:szCs w:val="30"/>
      <w:lang w:eastAsia="en-AU"/>
    </w:rPr>
  </w:style>
  <w:style w:type="character" w:customStyle="1" w:styleId="Heading7Char">
    <w:name w:val="Heading 7 Char"/>
    <w:basedOn w:val="DefaultParagraphFont"/>
    <w:link w:val="Heading7"/>
    <w:semiHidden/>
    <w:rsid w:val="001010CC"/>
    <w:rPr>
      <w:rFonts w:ascii="Arial Bold" w:eastAsia="Times" w:hAnsi="Arial Bold" w:cs="Arial"/>
      <w:i/>
      <w:color w:val="FF0000"/>
      <w:spacing w:val="10"/>
      <w:kern w:val="28"/>
      <w:sz w:val="16"/>
      <w:szCs w:val="30"/>
      <w:lang w:eastAsia="en-AU"/>
    </w:rPr>
  </w:style>
  <w:style w:type="character" w:customStyle="1" w:styleId="Heading8Char">
    <w:name w:val="Heading 8 Char"/>
    <w:basedOn w:val="DefaultParagraphFont"/>
    <w:link w:val="Heading8"/>
    <w:semiHidden/>
    <w:rsid w:val="001010CC"/>
    <w:rPr>
      <w:rFonts w:ascii="Arial Bold" w:eastAsia="Times" w:hAnsi="Arial Bold" w:cs="Arial"/>
      <w:color w:val="FF0000"/>
      <w:spacing w:val="10"/>
      <w:kern w:val="28"/>
      <w:sz w:val="16"/>
      <w:szCs w:val="30"/>
      <w:lang w:eastAsia="en-AU"/>
    </w:rPr>
  </w:style>
  <w:style w:type="character" w:customStyle="1" w:styleId="Heading9Char">
    <w:name w:val="Heading 9 Char"/>
    <w:aliases w:val="Heading Appendix 1 Char"/>
    <w:basedOn w:val="DefaultParagraphFont"/>
    <w:link w:val="Heading9"/>
    <w:rsid w:val="00A35972"/>
    <w:rPr>
      <w:rFonts w:ascii="Arial" w:eastAsia="Times" w:hAnsi="Arial" w:cs="Times New Roman"/>
      <w:b/>
      <w:color w:val="2C476E"/>
      <w:sz w:val="40"/>
      <w:szCs w:val="40"/>
      <w:lang w:eastAsia="en-AU"/>
    </w:rPr>
  </w:style>
  <w:style w:type="paragraph" w:styleId="BodyText">
    <w:name w:val="Body Text"/>
    <w:link w:val="BodyTextChar"/>
    <w:qFormat/>
    <w:rsid w:val="001010CC"/>
    <w:pPr>
      <w:suppressAutoHyphens/>
      <w:spacing w:before="280" w:after="140" w:line="336" w:lineRule="auto"/>
    </w:pPr>
    <w:rPr>
      <w:rFonts w:ascii="Arial" w:eastAsia="Times" w:hAnsi="Arial" w:cs="Arial"/>
      <w:sz w:val="24"/>
      <w:szCs w:val="24"/>
      <w:lang w:eastAsia="en-AU"/>
    </w:rPr>
  </w:style>
  <w:style w:type="character" w:customStyle="1" w:styleId="BodyTextChar">
    <w:name w:val="Body Text Char"/>
    <w:basedOn w:val="DefaultParagraphFont"/>
    <w:link w:val="BodyText"/>
    <w:rsid w:val="001010CC"/>
    <w:rPr>
      <w:rFonts w:ascii="Arial" w:eastAsia="Times" w:hAnsi="Arial" w:cs="Arial"/>
      <w:sz w:val="24"/>
      <w:szCs w:val="24"/>
      <w:lang w:eastAsia="en-AU"/>
    </w:rPr>
  </w:style>
  <w:style w:type="paragraph" w:styleId="Footer">
    <w:name w:val="footer"/>
    <w:next w:val="BodyText"/>
    <w:link w:val="FooterChar"/>
    <w:uiPriority w:val="99"/>
    <w:qFormat/>
    <w:rsid w:val="001010CC"/>
    <w:pPr>
      <w:pBdr>
        <w:top w:val="single" w:sz="2" w:space="4" w:color="auto"/>
      </w:pBdr>
      <w:spacing w:before="180" w:after="180" w:line="160" w:lineRule="atLeast"/>
    </w:pPr>
    <w:rPr>
      <w:rFonts w:ascii="Arial" w:eastAsia="Times" w:hAnsi="Arial" w:cs="Arial"/>
      <w:b/>
      <w:sz w:val="16"/>
      <w:szCs w:val="16"/>
      <w:lang w:eastAsia="en-AU"/>
    </w:rPr>
  </w:style>
  <w:style w:type="character" w:customStyle="1" w:styleId="FooterChar">
    <w:name w:val="Footer Char"/>
    <w:basedOn w:val="DefaultParagraphFont"/>
    <w:link w:val="Footer"/>
    <w:uiPriority w:val="99"/>
    <w:rsid w:val="001010CC"/>
    <w:rPr>
      <w:rFonts w:ascii="Arial" w:eastAsia="Times" w:hAnsi="Arial" w:cs="Arial"/>
      <w:b/>
      <w:sz w:val="16"/>
      <w:szCs w:val="16"/>
      <w:lang w:eastAsia="en-AU"/>
    </w:rPr>
  </w:style>
  <w:style w:type="paragraph" w:styleId="Header">
    <w:name w:val="header"/>
    <w:basedOn w:val="BodyText"/>
    <w:link w:val="HeaderChar"/>
    <w:uiPriority w:val="99"/>
    <w:rsid w:val="001010CC"/>
    <w:pPr>
      <w:spacing w:before="0" w:after="0"/>
    </w:pPr>
    <w:rPr>
      <w:rFonts w:ascii="Arial Bold" w:hAnsi="Arial Bold"/>
      <w:b/>
      <w:sz w:val="16"/>
      <w:szCs w:val="16"/>
    </w:rPr>
  </w:style>
  <w:style w:type="character" w:customStyle="1" w:styleId="HeaderChar">
    <w:name w:val="Header Char"/>
    <w:basedOn w:val="DefaultParagraphFont"/>
    <w:link w:val="Header"/>
    <w:uiPriority w:val="99"/>
    <w:rsid w:val="001010CC"/>
    <w:rPr>
      <w:rFonts w:ascii="Arial Bold" w:eastAsia="Times" w:hAnsi="Arial Bold" w:cs="Arial"/>
      <w:b/>
      <w:sz w:val="16"/>
      <w:szCs w:val="16"/>
      <w:lang w:eastAsia="en-AU"/>
    </w:rPr>
  </w:style>
  <w:style w:type="paragraph" w:customStyle="1" w:styleId="DocumentTitle">
    <w:name w:val="Document Title"/>
    <w:next w:val="DocumentSubtitle"/>
    <w:qFormat/>
    <w:rsid w:val="00F11E1D"/>
    <w:pPr>
      <w:keepNext/>
      <w:spacing w:before="1060" w:after="420" w:line="240" w:lineRule="auto"/>
      <w:outlineLvl w:val="0"/>
    </w:pPr>
    <w:rPr>
      <w:rFonts w:ascii="Arial" w:eastAsia="Times New Roman" w:hAnsi="Arial" w:cs="Times New Roman"/>
      <w:b/>
      <w:color w:val="2C476E"/>
      <w:sz w:val="56"/>
      <w:szCs w:val="24"/>
      <w:lang w:eastAsia="en-AU"/>
    </w:rPr>
  </w:style>
  <w:style w:type="paragraph" w:customStyle="1" w:styleId="ListBulletLevel1">
    <w:name w:val="List Bullet Level 1"/>
    <w:basedOn w:val="BodyText"/>
    <w:link w:val="ListBulletLevel1Char"/>
    <w:qFormat/>
    <w:rsid w:val="001010CC"/>
    <w:pPr>
      <w:numPr>
        <w:numId w:val="2"/>
      </w:numPr>
      <w:spacing w:before="140"/>
    </w:pPr>
    <w:rPr>
      <w:rFonts w:eastAsia="Times New Roman"/>
    </w:rPr>
  </w:style>
  <w:style w:type="paragraph" w:customStyle="1" w:styleId="ListBulletLevel2">
    <w:name w:val="List Bullet Level 2"/>
    <w:basedOn w:val="ListBulletLevel1"/>
    <w:qFormat/>
    <w:rsid w:val="001010CC"/>
    <w:pPr>
      <w:numPr>
        <w:ilvl w:val="1"/>
      </w:numPr>
      <w:tabs>
        <w:tab w:val="left" w:pos="454"/>
      </w:tabs>
      <w:spacing w:before="0"/>
    </w:pPr>
  </w:style>
  <w:style w:type="paragraph" w:customStyle="1" w:styleId="TableTitle">
    <w:name w:val="Table Title"/>
    <w:basedOn w:val="BodyText"/>
    <w:next w:val="BodyText"/>
    <w:qFormat/>
    <w:rsid w:val="001010CC"/>
    <w:pPr>
      <w:keepNext/>
    </w:pPr>
    <w:rPr>
      <w:rFonts w:eastAsia="Times New Roman"/>
      <w:i/>
      <w:sz w:val="18"/>
      <w:szCs w:val="18"/>
    </w:rPr>
  </w:style>
  <w:style w:type="paragraph" w:customStyle="1" w:styleId="TableTextLeft">
    <w:name w:val="Table Text Left"/>
    <w:qFormat/>
    <w:rsid w:val="00C85D1B"/>
    <w:pPr>
      <w:spacing w:before="60" w:after="60" w:line="288" w:lineRule="auto"/>
    </w:pPr>
    <w:rPr>
      <w:rFonts w:ascii="Arial" w:eastAsia="Times New Roman" w:hAnsi="Arial" w:cs="Arial"/>
      <w:sz w:val="20"/>
      <w:szCs w:val="24"/>
      <w:lang w:eastAsia="en-AU"/>
    </w:rPr>
  </w:style>
  <w:style w:type="paragraph" w:customStyle="1" w:styleId="References">
    <w:name w:val="References"/>
    <w:basedOn w:val="BodyText"/>
    <w:qFormat/>
    <w:rsid w:val="001010CC"/>
    <w:pPr>
      <w:keepLines/>
      <w:spacing w:before="60" w:after="60" w:line="240" w:lineRule="atLeast"/>
      <w:ind w:left="284" w:hanging="284"/>
    </w:pPr>
    <w:rPr>
      <w:rFonts w:eastAsia="Times New Roman"/>
    </w:rPr>
  </w:style>
  <w:style w:type="paragraph" w:styleId="TOC1">
    <w:name w:val="toc 1"/>
    <w:basedOn w:val="BodyText"/>
    <w:next w:val="BodyText"/>
    <w:autoRedefine/>
    <w:uiPriority w:val="39"/>
    <w:qFormat/>
    <w:rsid w:val="00154831"/>
    <w:pPr>
      <w:tabs>
        <w:tab w:val="right" w:leader="dot" w:pos="9016"/>
      </w:tabs>
      <w:suppressAutoHyphens w:val="0"/>
      <w:spacing w:before="120" w:after="120" w:line="276" w:lineRule="auto"/>
    </w:pPr>
    <w:rPr>
      <w:b/>
      <w:bCs/>
      <w:color w:val="303030"/>
      <w:sz w:val="22"/>
      <w:szCs w:val="22"/>
    </w:rPr>
  </w:style>
  <w:style w:type="paragraph" w:styleId="TOC2">
    <w:name w:val="toc 2"/>
    <w:basedOn w:val="TOC1"/>
    <w:next w:val="BodyText"/>
    <w:autoRedefine/>
    <w:uiPriority w:val="39"/>
    <w:qFormat/>
    <w:rsid w:val="00170B3A"/>
    <w:pPr>
      <w:spacing w:before="140" w:line="300" w:lineRule="atLeast"/>
      <w:ind w:left="198"/>
    </w:pPr>
    <w:rPr>
      <w:b w:val="0"/>
      <w:bCs w:val="0"/>
      <w:iCs/>
      <w:sz w:val="20"/>
    </w:rPr>
  </w:style>
  <w:style w:type="paragraph" w:styleId="TOC3">
    <w:name w:val="toc 3"/>
    <w:basedOn w:val="TOC2"/>
    <w:next w:val="BodyText"/>
    <w:autoRedefine/>
    <w:uiPriority w:val="39"/>
    <w:qFormat/>
    <w:rsid w:val="00141ABE"/>
    <w:pPr>
      <w:ind w:left="400"/>
    </w:pPr>
    <w:rPr>
      <w:iCs w:val="0"/>
    </w:rPr>
  </w:style>
  <w:style w:type="paragraph" w:customStyle="1" w:styleId="Heading1NoNumbers">
    <w:name w:val="Heading1 No Numbers"/>
    <w:next w:val="BodyText"/>
    <w:link w:val="Heading1NoNumbersChar"/>
    <w:qFormat/>
    <w:rsid w:val="00A35972"/>
    <w:pPr>
      <w:keepNext/>
      <w:keepLines/>
      <w:pageBreakBefore/>
      <w:spacing w:after="280" w:line="240" w:lineRule="auto"/>
      <w:outlineLvl w:val="0"/>
    </w:pPr>
    <w:rPr>
      <w:rFonts w:ascii="Arial" w:eastAsia="Times" w:hAnsi="Arial" w:cs="Arial"/>
      <w:b/>
      <w:color w:val="2C476E"/>
      <w:kern w:val="28"/>
      <w:sz w:val="40"/>
      <w:szCs w:val="24"/>
      <w:lang w:eastAsia="en-AU"/>
    </w:rPr>
  </w:style>
  <w:style w:type="paragraph" w:customStyle="1" w:styleId="FiguresImagesLeft">
    <w:name w:val="Figures &amp; Images Left"/>
    <w:basedOn w:val="BodyText"/>
    <w:next w:val="Caption"/>
    <w:link w:val="FiguresImagesLeftChar"/>
    <w:qFormat/>
    <w:rsid w:val="001010CC"/>
    <w:pPr>
      <w:keepNext/>
      <w:spacing w:before="480" w:after="80" w:line="160" w:lineRule="atLeast"/>
    </w:pPr>
  </w:style>
  <w:style w:type="character" w:customStyle="1" w:styleId="FiguresImagesLeftChar">
    <w:name w:val="Figures &amp; Images Left Char"/>
    <w:link w:val="FiguresImagesLeft"/>
    <w:rsid w:val="001010CC"/>
    <w:rPr>
      <w:rFonts w:ascii="Arial" w:eastAsia="Times" w:hAnsi="Arial" w:cs="Arial"/>
      <w:sz w:val="24"/>
      <w:szCs w:val="24"/>
      <w:lang w:eastAsia="en-AU"/>
    </w:rPr>
  </w:style>
  <w:style w:type="character" w:styleId="Hyperlink">
    <w:name w:val="Hyperlink"/>
    <w:uiPriority w:val="99"/>
    <w:qFormat/>
    <w:rsid w:val="001010CC"/>
    <w:rPr>
      <w:rFonts w:ascii="Arial" w:hAnsi="Arial"/>
      <w:b w:val="0"/>
      <w:i w:val="0"/>
      <w:color w:val="0000FF"/>
    </w:rPr>
  </w:style>
  <w:style w:type="paragraph" w:customStyle="1" w:styleId="VersoPageInfo">
    <w:name w:val="Verso Page Info"/>
    <w:basedOn w:val="BodyText"/>
    <w:link w:val="VersoPageInfoChar"/>
    <w:qFormat/>
    <w:rsid w:val="001010CC"/>
    <w:pPr>
      <w:spacing w:line="288" w:lineRule="auto"/>
    </w:pPr>
  </w:style>
  <w:style w:type="character" w:customStyle="1" w:styleId="VersoPageInfoChar">
    <w:name w:val="Verso Page Info Char"/>
    <w:link w:val="VersoPageInfo"/>
    <w:rsid w:val="001010CC"/>
    <w:rPr>
      <w:rFonts w:ascii="Arial" w:eastAsia="Times" w:hAnsi="Arial" w:cs="Arial"/>
      <w:sz w:val="24"/>
      <w:szCs w:val="24"/>
      <w:lang w:eastAsia="en-AU"/>
    </w:rPr>
  </w:style>
  <w:style w:type="character" w:customStyle="1" w:styleId="ListBulletLevel1Char">
    <w:name w:val="List Bullet Level 1 Char"/>
    <w:link w:val="ListBulletLevel1"/>
    <w:rsid w:val="001010CC"/>
    <w:rPr>
      <w:rFonts w:ascii="Arial" w:eastAsia="Times New Roman" w:hAnsi="Arial" w:cs="Arial"/>
      <w:sz w:val="24"/>
      <w:szCs w:val="24"/>
      <w:lang w:eastAsia="en-AU"/>
    </w:rPr>
  </w:style>
  <w:style w:type="paragraph" w:styleId="TOCHeading">
    <w:name w:val="TOC Heading"/>
    <w:next w:val="BodyText"/>
    <w:uiPriority w:val="39"/>
    <w:qFormat/>
    <w:rsid w:val="00167FAC"/>
    <w:pPr>
      <w:pageBreakBefore/>
      <w:spacing w:after="240" w:line="240" w:lineRule="auto"/>
    </w:pPr>
    <w:rPr>
      <w:rFonts w:ascii="Arial" w:eastAsia="Times New Roman" w:hAnsi="Arial" w:cs="Times New Roman"/>
      <w:b/>
      <w:color w:val="2C476E"/>
      <w:sz w:val="40"/>
      <w:szCs w:val="24"/>
      <w:lang w:eastAsia="en-AU"/>
    </w:rPr>
  </w:style>
  <w:style w:type="character" w:styleId="PageNumber">
    <w:name w:val="page number"/>
    <w:aliases w:val="P-DO NOT USE"/>
    <w:semiHidden/>
    <w:rsid w:val="001010CC"/>
  </w:style>
  <w:style w:type="character" w:customStyle="1" w:styleId="Heading1NoNumbersChar">
    <w:name w:val="Heading1 No Numbers Char"/>
    <w:link w:val="Heading1NoNumbers"/>
    <w:rsid w:val="00A35972"/>
    <w:rPr>
      <w:rFonts w:ascii="Arial" w:eastAsia="Times" w:hAnsi="Arial" w:cs="Arial"/>
      <w:b/>
      <w:color w:val="2C476E"/>
      <w:kern w:val="28"/>
      <w:sz w:val="40"/>
      <w:szCs w:val="24"/>
      <w:lang w:eastAsia="en-AU"/>
    </w:rPr>
  </w:style>
  <w:style w:type="paragraph" w:customStyle="1" w:styleId="Heading2NoNumbers">
    <w:name w:val="Heading2 No Numbers"/>
    <w:basedOn w:val="Heading1NoNumbers"/>
    <w:next w:val="BodyText"/>
    <w:link w:val="Heading2NoNumbersChar"/>
    <w:qFormat/>
    <w:rsid w:val="001010CC"/>
    <w:pPr>
      <w:pageBreakBefore w:val="0"/>
      <w:numPr>
        <w:ilvl w:val="1"/>
      </w:numPr>
      <w:spacing w:before="560"/>
      <w:outlineLvl w:val="1"/>
    </w:pPr>
    <w:rPr>
      <w:sz w:val="32"/>
      <w:szCs w:val="28"/>
    </w:rPr>
  </w:style>
  <w:style w:type="paragraph" w:customStyle="1" w:styleId="Heading3NoNumbers">
    <w:name w:val="Heading3 No Numbers"/>
    <w:basedOn w:val="Heading2NoNumbers"/>
    <w:next w:val="BodyText"/>
    <w:link w:val="Heading3NoNumbersChar"/>
    <w:qFormat/>
    <w:rsid w:val="001010CC"/>
    <w:pPr>
      <w:numPr>
        <w:ilvl w:val="2"/>
      </w:numPr>
      <w:outlineLvl w:val="2"/>
    </w:pPr>
    <w:rPr>
      <w:rFonts w:cs="Lucida Sans Unicode"/>
      <w:sz w:val="28"/>
      <w:szCs w:val="24"/>
    </w:rPr>
  </w:style>
  <w:style w:type="paragraph" w:customStyle="1" w:styleId="Heading4NoNumbers">
    <w:name w:val="Heading4 No Numbers"/>
    <w:basedOn w:val="Heading3NoNumbers"/>
    <w:next w:val="BodyText"/>
    <w:link w:val="Heading4NoNumbersChar"/>
    <w:qFormat/>
    <w:rsid w:val="00FF618C"/>
    <w:pPr>
      <w:numPr>
        <w:ilvl w:val="3"/>
      </w:numPr>
      <w:spacing w:before="280" w:after="0"/>
      <w:outlineLvl w:val="3"/>
    </w:pPr>
    <w:rPr>
      <w:sz w:val="24"/>
      <w:szCs w:val="22"/>
    </w:rPr>
  </w:style>
  <w:style w:type="paragraph" w:customStyle="1" w:styleId="Heading5NoNumbers">
    <w:name w:val="Heading5 No Numbers"/>
    <w:basedOn w:val="Heading4NoNumbers"/>
    <w:next w:val="BodyText"/>
    <w:qFormat/>
    <w:rsid w:val="00FF618C"/>
    <w:pPr>
      <w:numPr>
        <w:ilvl w:val="4"/>
      </w:numPr>
      <w:outlineLvl w:val="4"/>
    </w:pPr>
    <w:rPr>
      <w:sz w:val="22"/>
    </w:rPr>
  </w:style>
  <w:style w:type="character" w:customStyle="1" w:styleId="Heading2NoNumbersChar">
    <w:name w:val="Heading2 No Numbers Char"/>
    <w:link w:val="Heading2NoNumbers"/>
    <w:rsid w:val="001010CC"/>
    <w:rPr>
      <w:rFonts w:ascii="Arial" w:eastAsia="Times" w:hAnsi="Arial" w:cs="Arial"/>
      <w:b/>
      <w:color w:val="22A0CB"/>
      <w:kern w:val="28"/>
      <w:sz w:val="32"/>
      <w:szCs w:val="28"/>
      <w:lang w:eastAsia="en-AU"/>
    </w:rPr>
  </w:style>
  <w:style w:type="character" w:customStyle="1" w:styleId="Heading3NoNumbersChar">
    <w:name w:val="Heading3 No Numbers Char"/>
    <w:link w:val="Heading3NoNumbers"/>
    <w:rsid w:val="001010CC"/>
    <w:rPr>
      <w:rFonts w:ascii="Arial" w:eastAsia="Times" w:hAnsi="Arial" w:cs="Lucida Sans Unicode"/>
      <w:b/>
      <w:color w:val="22A0CB"/>
      <w:kern w:val="28"/>
      <w:sz w:val="28"/>
      <w:szCs w:val="24"/>
      <w:lang w:eastAsia="en-AU"/>
    </w:rPr>
  </w:style>
  <w:style w:type="character" w:customStyle="1" w:styleId="Heading4NoNumbersChar">
    <w:name w:val="Heading4 No Numbers Char"/>
    <w:link w:val="Heading4NoNumbers"/>
    <w:rsid w:val="00FF618C"/>
    <w:rPr>
      <w:rFonts w:ascii="Arial" w:eastAsia="Times" w:hAnsi="Arial" w:cs="Lucida Sans Unicode"/>
      <w:b/>
      <w:color w:val="2C476E"/>
      <w:kern w:val="28"/>
      <w:sz w:val="24"/>
      <w:lang w:eastAsia="en-AU"/>
    </w:rPr>
  </w:style>
  <w:style w:type="paragraph" w:customStyle="1" w:styleId="ListNumberedLevel1">
    <w:name w:val="List Numbered Level 1"/>
    <w:basedOn w:val="BodyText"/>
    <w:link w:val="ListNumberedLevel1Char"/>
    <w:qFormat/>
    <w:rsid w:val="001010CC"/>
    <w:pPr>
      <w:tabs>
        <w:tab w:val="num" w:pos="454"/>
      </w:tabs>
      <w:spacing w:before="140"/>
      <w:ind w:left="454" w:hanging="454"/>
    </w:pPr>
  </w:style>
  <w:style w:type="character" w:customStyle="1" w:styleId="ListNumberedLevel1Char">
    <w:name w:val="List Numbered Level 1 Char"/>
    <w:link w:val="ListNumberedLevel1"/>
    <w:rsid w:val="001010CC"/>
    <w:rPr>
      <w:rFonts w:ascii="Arial" w:eastAsia="Times" w:hAnsi="Arial" w:cs="Arial"/>
      <w:sz w:val="24"/>
      <w:szCs w:val="24"/>
      <w:lang w:eastAsia="en-AU"/>
    </w:rPr>
  </w:style>
  <w:style w:type="paragraph" w:customStyle="1" w:styleId="ListNumberedLevel2">
    <w:name w:val="List Numbered Level 2"/>
    <w:basedOn w:val="ListNumberedLevel1"/>
    <w:qFormat/>
    <w:rsid w:val="001010CC"/>
    <w:pPr>
      <w:tabs>
        <w:tab w:val="clear" w:pos="454"/>
        <w:tab w:val="num" w:pos="360"/>
      </w:tabs>
      <w:spacing w:before="0"/>
      <w:ind w:left="907" w:hanging="453"/>
    </w:pPr>
  </w:style>
  <w:style w:type="character" w:customStyle="1" w:styleId="Superscript">
    <w:name w:val="Superscript"/>
    <w:qFormat/>
    <w:rsid w:val="001010CC"/>
    <w:rPr>
      <w:position w:val="0"/>
      <w:vertAlign w:val="superscript"/>
    </w:rPr>
  </w:style>
  <w:style w:type="paragraph" w:customStyle="1" w:styleId="DocumentSubtitle">
    <w:name w:val="Document Subtitle"/>
    <w:basedOn w:val="DocumentTitle"/>
    <w:next w:val="Normal"/>
    <w:link w:val="DocumentSubtitleChar"/>
    <w:qFormat/>
    <w:rsid w:val="00117825"/>
    <w:pPr>
      <w:spacing w:before="280" w:line="360" w:lineRule="auto"/>
      <w:contextualSpacing/>
      <w:outlineLvl w:val="1"/>
    </w:pPr>
    <w:rPr>
      <w:b w:val="0"/>
      <w:color w:val="767676"/>
      <w:sz w:val="28"/>
      <w:szCs w:val="36"/>
    </w:rPr>
  </w:style>
  <w:style w:type="character" w:customStyle="1" w:styleId="DocumentSubtitleChar">
    <w:name w:val="Document Subtitle Char"/>
    <w:link w:val="DocumentSubtitle"/>
    <w:rsid w:val="00117825"/>
    <w:rPr>
      <w:rFonts w:ascii="Arial" w:eastAsia="Times New Roman" w:hAnsi="Arial" w:cs="Times New Roman"/>
      <w:color w:val="767676"/>
      <w:sz w:val="28"/>
      <w:szCs w:val="36"/>
      <w:lang w:eastAsia="en-AU"/>
    </w:rPr>
  </w:style>
  <w:style w:type="paragraph" w:styleId="Caption">
    <w:name w:val="caption"/>
    <w:next w:val="BodyText"/>
    <w:uiPriority w:val="35"/>
    <w:qFormat/>
    <w:rsid w:val="001010CC"/>
    <w:pPr>
      <w:keepNext/>
      <w:spacing w:before="120" w:after="480" w:line="288" w:lineRule="auto"/>
    </w:pPr>
    <w:rPr>
      <w:rFonts w:ascii="Arial" w:eastAsia="Times New Roman" w:hAnsi="Arial" w:cs="Arial"/>
      <w:sz w:val="18"/>
      <w:szCs w:val="18"/>
      <w:lang w:eastAsia="en-AU"/>
    </w:rPr>
  </w:style>
  <w:style w:type="paragraph" w:styleId="FootnoteText">
    <w:name w:val="footnote text"/>
    <w:link w:val="FootnoteTextChar"/>
    <w:uiPriority w:val="99"/>
    <w:rsid w:val="001010CC"/>
    <w:pPr>
      <w:tabs>
        <w:tab w:val="left" w:pos="284"/>
      </w:tabs>
      <w:spacing w:before="30" w:after="0" w:line="240" w:lineRule="auto"/>
      <w:ind w:left="113" w:hanging="113"/>
    </w:pPr>
    <w:rPr>
      <w:rFonts w:ascii="Arial" w:eastAsia="Times" w:hAnsi="Arial" w:cs="Arial"/>
      <w:position w:val="4"/>
      <w:sz w:val="16"/>
      <w:szCs w:val="24"/>
      <w:lang w:eastAsia="en-AU"/>
    </w:rPr>
  </w:style>
  <w:style w:type="character" w:customStyle="1" w:styleId="FootnoteTextChar">
    <w:name w:val="Footnote Text Char"/>
    <w:basedOn w:val="DefaultParagraphFont"/>
    <w:link w:val="FootnoteText"/>
    <w:uiPriority w:val="99"/>
    <w:rsid w:val="001010CC"/>
    <w:rPr>
      <w:rFonts w:ascii="Arial" w:eastAsia="Times" w:hAnsi="Arial" w:cs="Arial"/>
      <w:position w:val="4"/>
      <w:sz w:val="16"/>
      <w:szCs w:val="24"/>
      <w:lang w:eastAsia="en-AU"/>
    </w:rPr>
  </w:style>
  <w:style w:type="numbering" w:customStyle="1" w:styleId="GAMultilevelList">
    <w:name w:val="GA Multilevel List"/>
    <w:uiPriority w:val="99"/>
    <w:rsid w:val="001010CC"/>
    <w:pPr>
      <w:numPr>
        <w:numId w:val="1"/>
      </w:numPr>
    </w:pPr>
  </w:style>
  <w:style w:type="paragraph" w:customStyle="1" w:styleId="TableTextCentred">
    <w:name w:val="Table Text Centred"/>
    <w:basedOn w:val="TableTextLeft"/>
    <w:qFormat/>
    <w:rsid w:val="001010CC"/>
    <w:pPr>
      <w:jc w:val="center"/>
    </w:pPr>
  </w:style>
  <w:style w:type="paragraph" w:customStyle="1" w:styleId="TableTextRight">
    <w:name w:val="Table Text Right"/>
    <w:basedOn w:val="TableTextCentred"/>
    <w:qFormat/>
    <w:rsid w:val="001010CC"/>
    <w:pPr>
      <w:jc w:val="right"/>
    </w:pPr>
  </w:style>
  <w:style w:type="paragraph" w:customStyle="1" w:styleId="FiguresImagesCentred">
    <w:name w:val="Figures &amp; Images Centred"/>
    <w:basedOn w:val="FiguresImagesLeft"/>
    <w:next w:val="Caption"/>
    <w:qFormat/>
    <w:rsid w:val="001010CC"/>
    <w:pPr>
      <w:jc w:val="center"/>
    </w:pPr>
  </w:style>
  <w:style w:type="paragraph" w:customStyle="1" w:styleId="VersoBoldPgB4">
    <w:name w:val="Verso Bold Pg B4"/>
    <w:basedOn w:val="BodyText"/>
    <w:next w:val="VersoPageInfo"/>
    <w:qFormat/>
    <w:rsid w:val="001010CC"/>
    <w:pPr>
      <w:pageBreakBefore/>
      <w:spacing w:before="0" w:after="0" w:line="288" w:lineRule="auto"/>
    </w:pPr>
    <w:rPr>
      <w:b/>
      <w:kern w:val="28"/>
    </w:rPr>
  </w:style>
  <w:style w:type="character" w:customStyle="1" w:styleId="Bold">
    <w:name w:val="Bold"/>
    <w:qFormat/>
    <w:rsid w:val="001010CC"/>
    <w:rPr>
      <w:b/>
    </w:rPr>
  </w:style>
  <w:style w:type="character" w:customStyle="1" w:styleId="Italic">
    <w:name w:val="Italic"/>
    <w:qFormat/>
    <w:rsid w:val="001010CC"/>
    <w:rPr>
      <w:i/>
    </w:rPr>
  </w:style>
  <w:style w:type="paragraph" w:customStyle="1" w:styleId="HeadingAppendix2">
    <w:name w:val="Heading Appendix 2"/>
    <w:basedOn w:val="Normal"/>
    <w:next w:val="BodyText"/>
    <w:qFormat/>
    <w:rsid w:val="00A35972"/>
    <w:pPr>
      <w:keepNext/>
      <w:keepLines/>
      <w:numPr>
        <w:ilvl w:val="1"/>
        <w:numId w:val="5"/>
      </w:numPr>
      <w:spacing w:before="560" w:after="280" w:line="288" w:lineRule="auto"/>
      <w:outlineLvl w:val="1"/>
    </w:pPr>
    <w:rPr>
      <w:rFonts w:cs="Times New Roman"/>
      <w:b/>
      <w:color w:val="2C476E"/>
      <w:sz w:val="32"/>
      <w:szCs w:val="30"/>
    </w:rPr>
  </w:style>
  <w:style w:type="paragraph" w:customStyle="1" w:styleId="HeadingAppendix3">
    <w:name w:val="Heading Appendix 3"/>
    <w:basedOn w:val="HeadingAppendix2"/>
    <w:next w:val="BodyText"/>
    <w:qFormat/>
    <w:rsid w:val="001010CC"/>
    <w:pPr>
      <w:numPr>
        <w:ilvl w:val="2"/>
      </w:numPr>
      <w:outlineLvl w:val="2"/>
    </w:pPr>
    <w:rPr>
      <w:bCs/>
      <w:sz w:val="28"/>
    </w:rPr>
  </w:style>
  <w:style w:type="paragraph" w:customStyle="1" w:styleId="HeadingAppendix4">
    <w:name w:val="Heading Appendix 4"/>
    <w:basedOn w:val="HeadingAppendix3"/>
    <w:next w:val="BodyText"/>
    <w:qFormat/>
    <w:rsid w:val="00F437D1"/>
    <w:pPr>
      <w:numPr>
        <w:ilvl w:val="3"/>
      </w:numPr>
      <w:outlineLvl w:val="3"/>
    </w:pPr>
    <w:rPr>
      <w:rFonts w:eastAsia="Times New Roman"/>
      <w:i/>
      <w:iCs/>
      <w:color w:val="auto"/>
      <w:sz w:val="24"/>
      <w:szCs w:val="20"/>
    </w:rPr>
  </w:style>
  <w:style w:type="paragraph" w:customStyle="1" w:styleId="HeadingAppendix5">
    <w:name w:val="Heading Appendix 5"/>
    <w:basedOn w:val="HeadingAppendix4"/>
    <w:next w:val="BodyText"/>
    <w:qFormat/>
    <w:rsid w:val="001010CC"/>
    <w:pPr>
      <w:numPr>
        <w:ilvl w:val="4"/>
      </w:numPr>
      <w:outlineLvl w:val="4"/>
    </w:pPr>
    <w:rPr>
      <w:bCs w:val="0"/>
      <w:iCs w:val="0"/>
      <w:sz w:val="22"/>
    </w:rPr>
  </w:style>
  <w:style w:type="character" w:styleId="FootnoteReference">
    <w:name w:val="footnote reference"/>
    <w:uiPriority w:val="99"/>
    <w:rsid w:val="001010CC"/>
    <w:rPr>
      <w:rFonts w:ascii="Arial" w:hAnsi="Arial" w:cs="Arial"/>
      <w:color w:val="auto"/>
      <w:position w:val="6"/>
      <w:sz w:val="16"/>
      <w:vertAlign w:val="superscript"/>
    </w:rPr>
  </w:style>
  <w:style w:type="numbering" w:customStyle="1" w:styleId="GAAppendices">
    <w:name w:val="GA Appendices"/>
    <w:uiPriority w:val="99"/>
    <w:rsid w:val="001010CC"/>
    <w:pPr>
      <w:numPr>
        <w:numId w:val="4"/>
      </w:numPr>
    </w:pPr>
  </w:style>
  <w:style w:type="paragraph" w:customStyle="1" w:styleId="TableSource">
    <w:name w:val="Table Source"/>
    <w:basedOn w:val="BodyText"/>
    <w:next w:val="BodyText"/>
    <w:qFormat/>
    <w:rsid w:val="001010CC"/>
    <w:pPr>
      <w:spacing w:before="140" w:after="420"/>
    </w:pPr>
    <w:rPr>
      <w:rFonts w:eastAsia="Times New Roman"/>
      <w:i/>
      <w:iCs/>
      <w:sz w:val="16"/>
      <w:szCs w:val="18"/>
    </w:rPr>
  </w:style>
  <w:style w:type="paragraph" w:customStyle="1" w:styleId="BodyTextemphasised">
    <w:name w:val="Body Text emphasised"/>
    <w:basedOn w:val="BodyText"/>
    <w:qFormat/>
    <w:rsid w:val="001010CC"/>
    <w:pPr>
      <w:spacing w:before="0" w:after="0"/>
    </w:pPr>
    <w:rPr>
      <w:b/>
      <w:color w:val="303030"/>
    </w:rPr>
  </w:style>
  <w:style w:type="paragraph" w:customStyle="1" w:styleId="documentclassification-spacebefore">
    <w:name w:val="document classification - space before"/>
    <w:basedOn w:val="BodyTextemphasised"/>
    <w:qFormat/>
    <w:rsid w:val="001010CC"/>
    <w:pPr>
      <w:spacing w:before="1280" w:line="240" w:lineRule="exact"/>
    </w:pPr>
    <w:rPr>
      <w:sz w:val="20"/>
    </w:rPr>
  </w:style>
  <w:style w:type="paragraph" w:customStyle="1" w:styleId="documentclassificationwhite">
    <w:name w:val="document classification white"/>
    <w:basedOn w:val="BodyTextemphasised"/>
    <w:qFormat/>
    <w:rsid w:val="001010CC"/>
    <w:pPr>
      <w:spacing w:after="240" w:line="480" w:lineRule="auto"/>
    </w:pPr>
    <w:rPr>
      <w:color w:val="FFFFFF"/>
      <w:sz w:val="20"/>
    </w:rPr>
  </w:style>
  <w:style w:type="paragraph" w:customStyle="1" w:styleId="documentclassification">
    <w:name w:val="document classification"/>
    <w:basedOn w:val="documentclassification-spacebefore"/>
    <w:qFormat/>
    <w:rsid w:val="001010CC"/>
    <w:pPr>
      <w:spacing w:before="0" w:line="200" w:lineRule="exact"/>
    </w:pPr>
  </w:style>
  <w:style w:type="paragraph" w:customStyle="1" w:styleId="RecNoSpacing">
    <w:name w:val="RecNo Spacing"/>
    <w:basedOn w:val="NoSpacing"/>
    <w:link w:val="RecNoSpacingChar"/>
    <w:qFormat/>
    <w:rsid w:val="001010CC"/>
    <w:pPr>
      <w:keepNext/>
      <w:keepLines/>
      <w:shd w:val="clear" w:color="auto" w:fill="F7C1A6"/>
      <w:spacing w:after="120"/>
    </w:pPr>
    <w:rPr>
      <w:rFonts w:eastAsia="Arial"/>
      <w:color w:val="000000"/>
    </w:rPr>
  </w:style>
  <w:style w:type="character" w:customStyle="1" w:styleId="RecNoSpacingChar">
    <w:name w:val="RecNo Spacing Char"/>
    <w:link w:val="RecNoSpacing"/>
    <w:rsid w:val="001010CC"/>
    <w:rPr>
      <w:rFonts w:ascii="Arial" w:eastAsia="Arial" w:hAnsi="Arial" w:cs="Arial"/>
      <w:color w:val="000000"/>
      <w:sz w:val="24"/>
      <w:szCs w:val="24"/>
      <w:shd w:val="clear" w:color="auto" w:fill="F7C1A6"/>
      <w:lang w:eastAsia="en-AU"/>
    </w:rPr>
  </w:style>
  <w:style w:type="paragraph" w:customStyle="1" w:styleId="ListAlphabetLevel1">
    <w:name w:val="List Alphabet Level 1"/>
    <w:basedOn w:val="ListNumberedLevel1"/>
    <w:qFormat/>
    <w:rsid w:val="001010CC"/>
    <w:pPr>
      <w:numPr>
        <w:numId w:val="3"/>
      </w:numPr>
      <w:tabs>
        <w:tab w:val="clear" w:pos="454"/>
        <w:tab w:val="num" w:pos="360"/>
      </w:tabs>
    </w:pPr>
  </w:style>
  <w:style w:type="paragraph" w:customStyle="1" w:styleId="ListAlphabetLevel2">
    <w:name w:val="List Alphabet Level 2"/>
    <w:basedOn w:val="ListAlphabetLevel1"/>
    <w:qFormat/>
    <w:rsid w:val="001010CC"/>
    <w:pPr>
      <w:numPr>
        <w:ilvl w:val="1"/>
      </w:numPr>
      <w:tabs>
        <w:tab w:val="clear" w:pos="907"/>
        <w:tab w:val="num" w:pos="360"/>
      </w:tabs>
    </w:pPr>
  </w:style>
  <w:style w:type="paragraph" w:customStyle="1" w:styleId="ListAlphabetLevel3">
    <w:name w:val="List Alphabet Level 3"/>
    <w:basedOn w:val="ListAlphabetLevel1"/>
    <w:qFormat/>
    <w:rsid w:val="001010CC"/>
    <w:pPr>
      <w:numPr>
        <w:ilvl w:val="2"/>
      </w:numPr>
      <w:tabs>
        <w:tab w:val="clear" w:pos="1361"/>
        <w:tab w:val="num" w:pos="360"/>
      </w:tabs>
    </w:pPr>
  </w:style>
  <w:style w:type="paragraph" w:customStyle="1" w:styleId="ListNumberedLevel3">
    <w:name w:val="List Numbered Level 3"/>
    <w:basedOn w:val="ListNumberedLevel2"/>
    <w:qFormat/>
    <w:rsid w:val="001010CC"/>
    <w:pPr>
      <w:ind w:left="1361" w:hanging="454"/>
    </w:pPr>
  </w:style>
  <w:style w:type="paragraph" w:styleId="NoSpacing">
    <w:name w:val="No Spacing"/>
    <w:uiPriority w:val="1"/>
    <w:qFormat/>
    <w:rsid w:val="001010CC"/>
    <w:pPr>
      <w:spacing w:after="0" w:line="240" w:lineRule="auto"/>
    </w:pPr>
    <w:rPr>
      <w:rFonts w:ascii="Arial" w:eastAsia="Times" w:hAnsi="Arial" w:cs="Arial"/>
      <w:color w:val="FF0000"/>
      <w:sz w:val="24"/>
      <w:szCs w:val="24"/>
      <w:lang w:eastAsia="en-AU"/>
    </w:rPr>
  </w:style>
  <w:style w:type="character" w:customStyle="1" w:styleId="UnresolvedMention">
    <w:name w:val="Unresolved Mention"/>
    <w:basedOn w:val="DefaultParagraphFont"/>
    <w:uiPriority w:val="99"/>
    <w:unhideWhenUsed/>
    <w:rsid w:val="00DD5F65"/>
    <w:rPr>
      <w:color w:val="605E5C"/>
      <w:shd w:val="clear" w:color="auto" w:fill="E1DFDD"/>
    </w:rPr>
  </w:style>
  <w:style w:type="character" w:styleId="CommentReference">
    <w:name w:val="annotation reference"/>
    <w:basedOn w:val="DefaultParagraphFont"/>
    <w:uiPriority w:val="99"/>
    <w:semiHidden/>
    <w:unhideWhenUsed/>
    <w:rsid w:val="002A2AD5"/>
    <w:rPr>
      <w:sz w:val="16"/>
      <w:szCs w:val="16"/>
    </w:rPr>
  </w:style>
  <w:style w:type="paragraph" w:styleId="CommentText">
    <w:name w:val="annotation text"/>
    <w:basedOn w:val="Normal"/>
    <w:link w:val="CommentTextChar"/>
    <w:uiPriority w:val="99"/>
    <w:unhideWhenUsed/>
    <w:rsid w:val="002A2AD5"/>
    <w:pPr>
      <w:spacing w:line="240" w:lineRule="auto"/>
    </w:pPr>
    <w:rPr>
      <w:sz w:val="20"/>
      <w:szCs w:val="20"/>
    </w:rPr>
  </w:style>
  <w:style w:type="character" w:customStyle="1" w:styleId="CommentTextChar">
    <w:name w:val="Comment Text Char"/>
    <w:basedOn w:val="DefaultParagraphFont"/>
    <w:link w:val="CommentText"/>
    <w:uiPriority w:val="99"/>
    <w:rsid w:val="002A2AD5"/>
    <w:rPr>
      <w:rFonts w:ascii="Arial" w:eastAsia="Times" w:hAnsi="Arial" w:cs="Arial"/>
      <w:color w:val="FF0000"/>
      <w:sz w:val="20"/>
      <w:szCs w:val="20"/>
      <w:lang w:eastAsia="en-AU"/>
    </w:rPr>
  </w:style>
  <w:style w:type="paragraph" w:styleId="CommentSubject">
    <w:name w:val="annotation subject"/>
    <w:basedOn w:val="CommentText"/>
    <w:next w:val="CommentText"/>
    <w:link w:val="CommentSubjectChar"/>
    <w:uiPriority w:val="99"/>
    <w:semiHidden/>
    <w:unhideWhenUsed/>
    <w:rsid w:val="002A2AD5"/>
    <w:rPr>
      <w:b/>
      <w:bCs/>
    </w:rPr>
  </w:style>
  <w:style w:type="character" w:customStyle="1" w:styleId="CommentSubjectChar">
    <w:name w:val="Comment Subject Char"/>
    <w:basedOn w:val="CommentTextChar"/>
    <w:link w:val="CommentSubject"/>
    <w:uiPriority w:val="99"/>
    <w:semiHidden/>
    <w:rsid w:val="002A2AD5"/>
    <w:rPr>
      <w:rFonts w:ascii="Arial" w:eastAsia="Times" w:hAnsi="Arial" w:cs="Arial"/>
      <w:b/>
      <w:bCs/>
      <w:color w:val="FF0000"/>
      <w:sz w:val="20"/>
      <w:szCs w:val="20"/>
      <w:lang w:eastAsia="en-AU"/>
    </w:rPr>
  </w:style>
  <w:style w:type="character" w:customStyle="1" w:styleId="Mention">
    <w:name w:val="Mention"/>
    <w:basedOn w:val="DefaultParagraphFont"/>
    <w:uiPriority w:val="99"/>
    <w:unhideWhenUsed/>
    <w:rsid w:val="002A2AD5"/>
    <w:rPr>
      <w:color w:val="2B579A"/>
      <w:shd w:val="clear" w:color="auto" w:fill="E1DFDD"/>
    </w:rPr>
  </w:style>
  <w:style w:type="paragraph" w:styleId="Revision">
    <w:name w:val="Revision"/>
    <w:hidden/>
    <w:uiPriority w:val="99"/>
    <w:semiHidden/>
    <w:rsid w:val="002A2AD5"/>
    <w:pPr>
      <w:spacing w:after="0" w:line="240" w:lineRule="auto"/>
    </w:pPr>
    <w:rPr>
      <w:rFonts w:ascii="Arial" w:eastAsia="Times" w:hAnsi="Arial" w:cs="Arial"/>
      <w:color w:val="FF0000"/>
      <w:sz w:val="24"/>
      <w:szCs w:val="24"/>
      <w:lang w:eastAsia="en-AU"/>
    </w:rPr>
  </w:style>
  <w:style w:type="character" w:styleId="FollowedHyperlink">
    <w:name w:val="FollowedHyperlink"/>
    <w:basedOn w:val="DefaultParagraphFont"/>
    <w:uiPriority w:val="99"/>
    <w:semiHidden/>
    <w:unhideWhenUsed/>
    <w:rsid w:val="000F5A3B"/>
    <w:rPr>
      <w:color w:val="6ECFF5" w:themeColor="followedHyperlink"/>
      <w:u w:val="single"/>
    </w:rPr>
  </w:style>
  <w:style w:type="paragraph" w:styleId="BalloonText">
    <w:name w:val="Balloon Text"/>
    <w:basedOn w:val="Normal"/>
    <w:link w:val="BalloonTextChar"/>
    <w:uiPriority w:val="99"/>
    <w:semiHidden/>
    <w:unhideWhenUsed/>
    <w:rsid w:val="004337D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7DD"/>
    <w:rPr>
      <w:rFonts w:ascii="Segoe UI" w:eastAsia="Times" w:hAnsi="Segoe UI" w:cs="Segoe UI"/>
      <w:color w:val="FF0000"/>
      <w:sz w:val="18"/>
      <w:szCs w:val="18"/>
      <w:lang w:eastAsia="en-AU"/>
    </w:rPr>
  </w:style>
  <w:style w:type="numbering" w:customStyle="1" w:styleId="NoList1">
    <w:name w:val="No List1"/>
    <w:next w:val="NoList"/>
    <w:uiPriority w:val="99"/>
    <w:semiHidden/>
    <w:unhideWhenUsed/>
    <w:rsid w:val="00E6232E"/>
  </w:style>
  <w:style w:type="paragraph" w:customStyle="1" w:styleId="Dotpt1">
    <w:name w:val="Dot pt1"/>
    <w:basedOn w:val="Normal"/>
    <w:next w:val="ListParagraph"/>
    <w:link w:val="ListParagraphChar"/>
    <w:uiPriority w:val="34"/>
    <w:qFormat/>
    <w:rsid w:val="00E6232E"/>
    <w:pPr>
      <w:spacing w:before="0" w:after="120" w:line="276" w:lineRule="auto"/>
      <w:ind w:left="720"/>
      <w:contextualSpacing/>
    </w:pPr>
    <w:rPr>
      <w:rFonts w:ascii="Calibri" w:eastAsia="Calibri" w:hAnsi="Calibri"/>
      <w:color w:val="auto"/>
      <w:sz w:val="22"/>
      <w:szCs w:val="22"/>
      <w:lang w:eastAsia="en-US"/>
    </w:rPr>
  </w:style>
  <w:style w:type="paragraph" w:styleId="NormalWeb">
    <w:name w:val="Normal (Web)"/>
    <w:basedOn w:val="Normal"/>
    <w:uiPriority w:val="99"/>
    <w:unhideWhenUsed/>
    <w:rsid w:val="00E6232E"/>
    <w:pPr>
      <w:spacing w:before="100" w:beforeAutospacing="1" w:after="100" w:afterAutospacing="1" w:line="240" w:lineRule="auto"/>
    </w:pPr>
    <w:rPr>
      <w:rFonts w:ascii="Times New Roman" w:eastAsia="Times New Roman" w:hAnsi="Times New Roman" w:cs="Times New Roman"/>
      <w:color w:val="auto"/>
    </w:rPr>
  </w:style>
  <w:style w:type="paragraph" w:customStyle="1" w:styleId="Pa8">
    <w:name w:val="Pa8"/>
    <w:basedOn w:val="Normal"/>
    <w:next w:val="Normal"/>
    <w:uiPriority w:val="99"/>
    <w:rsid w:val="00E6232E"/>
    <w:pPr>
      <w:autoSpaceDE w:val="0"/>
      <w:autoSpaceDN w:val="0"/>
      <w:adjustRightInd w:val="0"/>
      <w:spacing w:before="0" w:after="0" w:line="221" w:lineRule="atLeast"/>
    </w:pPr>
    <w:rPr>
      <w:rFonts w:ascii="Calibri" w:eastAsia="Calibri" w:hAnsi="Calibri"/>
      <w:color w:val="auto"/>
      <w:lang w:eastAsia="en-US"/>
    </w:rPr>
  </w:style>
  <w:style w:type="paragraph" w:customStyle="1" w:styleId="Default">
    <w:name w:val="Default"/>
    <w:rsid w:val="00E6232E"/>
    <w:pPr>
      <w:autoSpaceDE w:val="0"/>
      <w:autoSpaceDN w:val="0"/>
      <w:adjustRightInd w:val="0"/>
      <w:spacing w:after="0" w:line="240" w:lineRule="auto"/>
    </w:pPr>
    <w:rPr>
      <w:rFonts w:ascii="Helvetica Neue" w:hAnsi="Helvetica Neue" w:cs="Helvetica Neue"/>
      <w:color w:val="000000"/>
      <w:sz w:val="24"/>
      <w:szCs w:val="24"/>
    </w:rPr>
  </w:style>
  <w:style w:type="character" w:customStyle="1" w:styleId="A8">
    <w:name w:val="A8"/>
    <w:uiPriority w:val="99"/>
    <w:rsid w:val="00E6232E"/>
    <w:rPr>
      <w:rFonts w:ascii="Montserrat" w:hAnsi="Montserrat" w:cs="Montserrat"/>
      <w:color w:val="008ABD"/>
      <w:sz w:val="52"/>
      <w:szCs w:val="52"/>
    </w:rPr>
  </w:style>
  <w:style w:type="table" w:customStyle="1" w:styleId="TableGrid1">
    <w:name w:val="Table Grid1"/>
    <w:basedOn w:val="TableNormal"/>
    <w:next w:val="TableGrid"/>
    <w:uiPriority w:val="39"/>
    <w:rsid w:val="00E62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E6232E"/>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1">
    <w:name w:val="Grid Table 6 Colorful - Accent 11"/>
    <w:basedOn w:val="TableNormal"/>
    <w:next w:val="GridTable6Colorful-Accent1"/>
    <w:uiPriority w:val="51"/>
    <w:rsid w:val="00E6232E"/>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ofFigures1">
    <w:name w:val="Table of Figures1"/>
    <w:basedOn w:val="Normal"/>
    <w:next w:val="Normal"/>
    <w:uiPriority w:val="99"/>
    <w:unhideWhenUsed/>
    <w:rsid w:val="00E6232E"/>
    <w:pPr>
      <w:spacing w:before="0" w:after="0" w:line="276" w:lineRule="auto"/>
      <w:ind w:left="440" w:hanging="440"/>
    </w:pPr>
    <w:rPr>
      <w:rFonts w:ascii="Calibri" w:eastAsia="Calibri" w:hAnsi="Calibri" w:cs="Calibri"/>
      <w:smallCaps/>
      <w:color w:val="auto"/>
      <w:sz w:val="20"/>
      <w:szCs w:val="20"/>
      <w:lang w:eastAsia="en-US"/>
    </w:rPr>
  </w:style>
  <w:style w:type="character" w:customStyle="1" w:styleId="SubtleEmphasis1">
    <w:name w:val="Subtle Emphasis1"/>
    <w:basedOn w:val="DefaultParagraphFont"/>
    <w:uiPriority w:val="19"/>
    <w:qFormat/>
    <w:rsid w:val="00E6232E"/>
    <w:rPr>
      <w:i/>
      <w:iCs/>
      <w:color w:val="404040"/>
    </w:rPr>
  </w:style>
  <w:style w:type="table" w:customStyle="1" w:styleId="PlainTable31">
    <w:name w:val="Plain Table 31"/>
    <w:basedOn w:val="TableNormal"/>
    <w:next w:val="PlainTable3"/>
    <w:uiPriority w:val="43"/>
    <w:rsid w:val="00E6232E"/>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2-Accent11">
    <w:name w:val="List Table 2 - Accent 11"/>
    <w:basedOn w:val="TableNormal"/>
    <w:next w:val="ListTable2-Accent1"/>
    <w:uiPriority w:val="47"/>
    <w:rsid w:val="00E6232E"/>
    <w:pPr>
      <w:spacing w:after="0" w:line="240" w:lineRule="auto"/>
    </w:p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E6232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aliases w:val="Recommendation Char,L Char,Bullet Point Char,Bullet point Char,Bullet points Char,Content descriptions Char,List Paragraph1 Char,List Paragraph11 Char,NFP GP Bulleted List Char,FooterText Char,numbered Char,Paragraphe de liste1 Char"/>
    <w:link w:val="Dotpt1"/>
    <w:uiPriority w:val="34"/>
    <w:qFormat/>
    <w:locked/>
    <w:rsid w:val="00E6232E"/>
  </w:style>
  <w:style w:type="character" w:styleId="Strong">
    <w:name w:val="Strong"/>
    <w:basedOn w:val="DefaultParagraphFont"/>
    <w:uiPriority w:val="22"/>
    <w:qFormat/>
    <w:rsid w:val="00E6232E"/>
    <w:rPr>
      <w:b/>
      <w:bCs/>
    </w:rPr>
  </w:style>
  <w:style w:type="character" w:styleId="Emphasis">
    <w:name w:val="Emphasis"/>
    <w:basedOn w:val="DefaultParagraphFont"/>
    <w:uiPriority w:val="20"/>
    <w:qFormat/>
    <w:rsid w:val="00E6232E"/>
    <w:rPr>
      <w:i/>
      <w:iCs/>
    </w:rPr>
  </w:style>
  <w:style w:type="table" w:customStyle="1" w:styleId="GridTable3-Accent11">
    <w:name w:val="Grid Table 3 - Accent 11"/>
    <w:basedOn w:val="TableNormal"/>
    <w:next w:val="GridTable3-Accent1"/>
    <w:uiPriority w:val="48"/>
    <w:rsid w:val="00E6232E"/>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customStyle="1" w:styleId="TOC41">
    <w:name w:val="TOC 41"/>
    <w:basedOn w:val="Normal"/>
    <w:next w:val="Normal"/>
    <w:autoRedefine/>
    <w:uiPriority w:val="39"/>
    <w:unhideWhenUsed/>
    <w:rsid w:val="00E6232E"/>
    <w:pPr>
      <w:spacing w:before="0" w:after="100" w:line="259" w:lineRule="auto"/>
      <w:ind w:left="660"/>
    </w:pPr>
    <w:rPr>
      <w:rFonts w:ascii="Calibri" w:eastAsia="Yu Mincho" w:hAnsi="Calibri"/>
      <w:color w:val="auto"/>
      <w:sz w:val="22"/>
      <w:szCs w:val="22"/>
    </w:rPr>
  </w:style>
  <w:style w:type="paragraph" w:customStyle="1" w:styleId="TOC51">
    <w:name w:val="TOC 51"/>
    <w:basedOn w:val="Normal"/>
    <w:next w:val="Normal"/>
    <w:autoRedefine/>
    <w:uiPriority w:val="39"/>
    <w:unhideWhenUsed/>
    <w:rsid w:val="00E6232E"/>
    <w:pPr>
      <w:spacing w:before="0" w:after="100" w:line="259" w:lineRule="auto"/>
      <w:ind w:left="880"/>
    </w:pPr>
    <w:rPr>
      <w:rFonts w:ascii="Calibri" w:eastAsia="Yu Mincho" w:hAnsi="Calibri"/>
      <w:color w:val="auto"/>
      <w:sz w:val="22"/>
      <w:szCs w:val="22"/>
    </w:rPr>
  </w:style>
  <w:style w:type="paragraph" w:customStyle="1" w:styleId="TOC61">
    <w:name w:val="TOC 61"/>
    <w:basedOn w:val="Normal"/>
    <w:next w:val="Normal"/>
    <w:autoRedefine/>
    <w:uiPriority w:val="39"/>
    <w:unhideWhenUsed/>
    <w:rsid w:val="00E6232E"/>
    <w:pPr>
      <w:spacing w:before="0" w:after="100" w:line="259" w:lineRule="auto"/>
      <w:ind w:left="1100"/>
    </w:pPr>
    <w:rPr>
      <w:rFonts w:ascii="Calibri" w:eastAsia="Yu Mincho" w:hAnsi="Calibri"/>
      <w:color w:val="auto"/>
      <w:sz w:val="22"/>
      <w:szCs w:val="22"/>
    </w:rPr>
  </w:style>
  <w:style w:type="paragraph" w:customStyle="1" w:styleId="TOC71">
    <w:name w:val="TOC 71"/>
    <w:basedOn w:val="Normal"/>
    <w:next w:val="Normal"/>
    <w:autoRedefine/>
    <w:uiPriority w:val="39"/>
    <w:unhideWhenUsed/>
    <w:rsid w:val="00E6232E"/>
    <w:pPr>
      <w:spacing w:before="0" w:after="100" w:line="259" w:lineRule="auto"/>
      <w:ind w:left="1320"/>
    </w:pPr>
    <w:rPr>
      <w:rFonts w:ascii="Calibri" w:eastAsia="Yu Mincho" w:hAnsi="Calibri"/>
      <w:color w:val="auto"/>
      <w:sz w:val="22"/>
      <w:szCs w:val="22"/>
    </w:rPr>
  </w:style>
  <w:style w:type="paragraph" w:customStyle="1" w:styleId="TOC81">
    <w:name w:val="TOC 81"/>
    <w:basedOn w:val="Normal"/>
    <w:next w:val="Normal"/>
    <w:autoRedefine/>
    <w:uiPriority w:val="39"/>
    <w:unhideWhenUsed/>
    <w:rsid w:val="00E6232E"/>
    <w:pPr>
      <w:spacing w:before="0" w:after="100" w:line="259" w:lineRule="auto"/>
      <w:ind w:left="1540"/>
    </w:pPr>
    <w:rPr>
      <w:rFonts w:ascii="Calibri" w:eastAsia="Yu Mincho" w:hAnsi="Calibri"/>
      <w:color w:val="auto"/>
      <w:sz w:val="22"/>
      <w:szCs w:val="22"/>
    </w:rPr>
  </w:style>
  <w:style w:type="paragraph" w:customStyle="1" w:styleId="TOC91">
    <w:name w:val="TOC 91"/>
    <w:basedOn w:val="Normal"/>
    <w:next w:val="Normal"/>
    <w:autoRedefine/>
    <w:uiPriority w:val="39"/>
    <w:unhideWhenUsed/>
    <w:rsid w:val="00E6232E"/>
    <w:pPr>
      <w:spacing w:before="0" w:after="100" w:line="259" w:lineRule="auto"/>
      <w:ind w:left="1760"/>
    </w:pPr>
    <w:rPr>
      <w:rFonts w:ascii="Calibri" w:eastAsia="Yu Mincho" w:hAnsi="Calibri"/>
      <w:color w:val="auto"/>
      <w:sz w:val="22"/>
      <w:szCs w:val="22"/>
    </w:rPr>
  </w:style>
  <w:style w:type="table" w:customStyle="1" w:styleId="GridTable2-Accent11">
    <w:name w:val="Grid Table 2 - Accent 11"/>
    <w:basedOn w:val="TableNormal"/>
    <w:next w:val="GridTable2-Accent1"/>
    <w:uiPriority w:val="47"/>
    <w:rsid w:val="00E6232E"/>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ListParagraph">
    <w:name w:val="List Paragraph"/>
    <w:aliases w:val="Recommendation,L,Bullet Point,Bullet point,Bullet points,Content descriptions,List Paragraph1,List Paragraph11,NFP GP Bulleted List,FooterText,numbered,Paragraphe de liste1,Bulletr List Paragraph,列出段落,列出段落1,List Paragraph2,CV text,Dot pt"/>
    <w:basedOn w:val="Normal"/>
    <w:uiPriority w:val="34"/>
    <w:qFormat/>
    <w:rsid w:val="00E6232E"/>
    <w:pPr>
      <w:ind w:left="720"/>
      <w:contextualSpacing/>
    </w:pPr>
  </w:style>
  <w:style w:type="table" w:styleId="TableGrid">
    <w:name w:val="Table Grid"/>
    <w:basedOn w:val="TableNormal"/>
    <w:uiPriority w:val="39"/>
    <w:rsid w:val="00E62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6232E"/>
    <w:pPr>
      <w:spacing w:after="0" w:line="240" w:lineRule="auto"/>
    </w:pPr>
    <w:tblPr>
      <w:tblStyleRowBandSize w:val="1"/>
      <w:tblStyleColBandSize w:val="1"/>
      <w:tblBorders>
        <w:top w:val="single" w:sz="4" w:space="0" w:color="668BC2" w:themeColor="accent1" w:themeTint="99"/>
        <w:left w:val="single" w:sz="4" w:space="0" w:color="668BC2" w:themeColor="accent1" w:themeTint="99"/>
        <w:bottom w:val="single" w:sz="4" w:space="0" w:color="668BC2" w:themeColor="accent1" w:themeTint="99"/>
        <w:right w:val="single" w:sz="4" w:space="0" w:color="668BC2" w:themeColor="accent1" w:themeTint="99"/>
        <w:insideH w:val="single" w:sz="4" w:space="0" w:color="668BC2" w:themeColor="accent1" w:themeTint="99"/>
        <w:insideV w:val="single" w:sz="4" w:space="0" w:color="668BC2" w:themeColor="accent1" w:themeTint="99"/>
      </w:tblBorders>
    </w:tblPr>
    <w:tblStylePr w:type="firstRow">
      <w:rPr>
        <w:b/>
        <w:bCs/>
        <w:color w:val="FFFFFF" w:themeColor="background1"/>
      </w:rPr>
      <w:tblPr/>
      <w:tcPr>
        <w:tcBorders>
          <w:top w:val="single" w:sz="4" w:space="0" w:color="2C476E" w:themeColor="accent1"/>
          <w:left w:val="single" w:sz="4" w:space="0" w:color="2C476E" w:themeColor="accent1"/>
          <w:bottom w:val="single" w:sz="4" w:space="0" w:color="2C476E" w:themeColor="accent1"/>
          <w:right w:val="single" w:sz="4" w:space="0" w:color="2C476E" w:themeColor="accent1"/>
          <w:insideH w:val="nil"/>
          <w:insideV w:val="nil"/>
        </w:tcBorders>
        <w:shd w:val="clear" w:color="auto" w:fill="2C476E" w:themeFill="accent1"/>
      </w:tcPr>
    </w:tblStylePr>
    <w:tblStylePr w:type="lastRow">
      <w:rPr>
        <w:b/>
        <w:bCs/>
      </w:rPr>
      <w:tblPr/>
      <w:tcPr>
        <w:tcBorders>
          <w:top w:val="double" w:sz="4" w:space="0" w:color="2C476E" w:themeColor="accent1"/>
        </w:tcBorders>
      </w:tcPr>
    </w:tblStylePr>
    <w:tblStylePr w:type="firstCol">
      <w:rPr>
        <w:b/>
        <w:bCs/>
      </w:rPr>
    </w:tblStylePr>
    <w:tblStylePr w:type="lastCol">
      <w:rPr>
        <w:b/>
        <w:bCs/>
      </w:rPr>
    </w:tblStylePr>
    <w:tblStylePr w:type="band1Vert">
      <w:tblPr/>
      <w:tcPr>
        <w:shd w:val="clear" w:color="auto" w:fill="CCD8EA" w:themeFill="accent1" w:themeFillTint="33"/>
      </w:tcPr>
    </w:tblStylePr>
    <w:tblStylePr w:type="band1Horz">
      <w:tblPr/>
      <w:tcPr>
        <w:shd w:val="clear" w:color="auto" w:fill="CCD8EA" w:themeFill="accent1" w:themeFillTint="33"/>
      </w:tcPr>
    </w:tblStylePr>
  </w:style>
  <w:style w:type="table" w:styleId="GridTable6Colorful-Accent1">
    <w:name w:val="Grid Table 6 Colorful Accent 1"/>
    <w:basedOn w:val="TableNormal"/>
    <w:uiPriority w:val="51"/>
    <w:rsid w:val="00E6232E"/>
    <w:pPr>
      <w:spacing w:after="0" w:line="240" w:lineRule="auto"/>
    </w:pPr>
    <w:rPr>
      <w:color w:val="213552" w:themeColor="accent1" w:themeShade="BF"/>
    </w:rPr>
    <w:tblPr>
      <w:tblStyleRowBandSize w:val="1"/>
      <w:tblStyleColBandSize w:val="1"/>
      <w:tblBorders>
        <w:top w:val="single" w:sz="4" w:space="0" w:color="668BC2" w:themeColor="accent1" w:themeTint="99"/>
        <w:left w:val="single" w:sz="4" w:space="0" w:color="668BC2" w:themeColor="accent1" w:themeTint="99"/>
        <w:bottom w:val="single" w:sz="4" w:space="0" w:color="668BC2" w:themeColor="accent1" w:themeTint="99"/>
        <w:right w:val="single" w:sz="4" w:space="0" w:color="668BC2" w:themeColor="accent1" w:themeTint="99"/>
        <w:insideH w:val="single" w:sz="4" w:space="0" w:color="668BC2" w:themeColor="accent1" w:themeTint="99"/>
        <w:insideV w:val="single" w:sz="4" w:space="0" w:color="668BC2" w:themeColor="accent1" w:themeTint="99"/>
      </w:tblBorders>
    </w:tblPr>
    <w:tblStylePr w:type="firstRow">
      <w:rPr>
        <w:b/>
        <w:bCs/>
      </w:rPr>
      <w:tblPr/>
      <w:tcPr>
        <w:tcBorders>
          <w:bottom w:val="single" w:sz="12" w:space="0" w:color="668BC2" w:themeColor="accent1" w:themeTint="99"/>
        </w:tcBorders>
      </w:tcPr>
    </w:tblStylePr>
    <w:tblStylePr w:type="lastRow">
      <w:rPr>
        <w:b/>
        <w:bCs/>
      </w:rPr>
      <w:tblPr/>
      <w:tcPr>
        <w:tcBorders>
          <w:top w:val="double" w:sz="4" w:space="0" w:color="668BC2" w:themeColor="accent1" w:themeTint="99"/>
        </w:tcBorders>
      </w:tcPr>
    </w:tblStylePr>
    <w:tblStylePr w:type="firstCol">
      <w:rPr>
        <w:b/>
        <w:bCs/>
      </w:rPr>
    </w:tblStylePr>
    <w:tblStylePr w:type="lastCol">
      <w:rPr>
        <w:b/>
        <w:bCs/>
      </w:rPr>
    </w:tblStylePr>
    <w:tblStylePr w:type="band1Vert">
      <w:tblPr/>
      <w:tcPr>
        <w:shd w:val="clear" w:color="auto" w:fill="CCD8EA" w:themeFill="accent1" w:themeFillTint="33"/>
      </w:tcPr>
    </w:tblStylePr>
    <w:tblStylePr w:type="band1Horz">
      <w:tblPr/>
      <w:tcPr>
        <w:shd w:val="clear" w:color="auto" w:fill="CCD8EA" w:themeFill="accent1" w:themeFillTint="33"/>
      </w:tcPr>
    </w:tblStylePr>
  </w:style>
  <w:style w:type="character" w:styleId="SubtleEmphasis">
    <w:name w:val="Subtle Emphasis"/>
    <w:basedOn w:val="DefaultParagraphFont"/>
    <w:uiPriority w:val="19"/>
    <w:qFormat/>
    <w:rsid w:val="00E6232E"/>
    <w:rPr>
      <w:i/>
      <w:iCs/>
      <w:color w:val="404040" w:themeColor="text1" w:themeTint="BF"/>
    </w:rPr>
  </w:style>
  <w:style w:type="table" w:styleId="PlainTable3">
    <w:name w:val="Plain Table 3"/>
    <w:basedOn w:val="TableNormal"/>
    <w:uiPriority w:val="43"/>
    <w:rsid w:val="00E6232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Accent1">
    <w:name w:val="List Table 2 Accent 1"/>
    <w:basedOn w:val="TableNormal"/>
    <w:uiPriority w:val="47"/>
    <w:rsid w:val="00E6232E"/>
    <w:pPr>
      <w:spacing w:after="0" w:line="240" w:lineRule="auto"/>
    </w:pPr>
    <w:tblPr>
      <w:tblStyleRowBandSize w:val="1"/>
      <w:tblStyleColBandSize w:val="1"/>
      <w:tblBorders>
        <w:top w:val="single" w:sz="4" w:space="0" w:color="668BC2" w:themeColor="accent1" w:themeTint="99"/>
        <w:bottom w:val="single" w:sz="4" w:space="0" w:color="668BC2" w:themeColor="accent1" w:themeTint="99"/>
        <w:insideH w:val="single" w:sz="4" w:space="0" w:color="668BC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8EA" w:themeFill="accent1" w:themeFillTint="33"/>
      </w:tcPr>
    </w:tblStylePr>
    <w:tblStylePr w:type="band1Horz">
      <w:tblPr/>
      <w:tcPr>
        <w:shd w:val="clear" w:color="auto" w:fill="CCD8EA" w:themeFill="accent1" w:themeFillTint="33"/>
      </w:tcPr>
    </w:tblStylePr>
  </w:style>
  <w:style w:type="table" w:styleId="GridTable4-Accent5">
    <w:name w:val="Grid Table 4 Accent 5"/>
    <w:basedOn w:val="TableNormal"/>
    <w:uiPriority w:val="49"/>
    <w:rsid w:val="00E6232E"/>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3-Accent1">
    <w:name w:val="Grid Table 3 Accent 1"/>
    <w:basedOn w:val="TableNormal"/>
    <w:uiPriority w:val="48"/>
    <w:rsid w:val="00E6232E"/>
    <w:pPr>
      <w:spacing w:after="0" w:line="240" w:lineRule="auto"/>
    </w:pPr>
    <w:tblPr>
      <w:tblStyleRowBandSize w:val="1"/>
      <w:tblStyleColBandSize w:val="1"/>
      <w:tblBorders>
        <w:top w:val="single" w:sz="4" w:space="0" w:color="668BC2" w:themeColor="accent1" w:themeTint="99"/>
        <w:left w:val="single" w:sz="4" w:space="0" w:color="668BC2" w:themeColor="accent1" w:themeTint="99"/>
        <w:bottom w:val="single" w:sz="4" w:space="0" w:color="668BC2" w:themeColor="accent1" w:themeTint="99"/>
        <w:right w:val="single" w:sz="4" w:space="0" w:color="668BC2" w:themeColor="accent1" w:themeTint="99"/>
        <w:insideH w:val="single" w:sz="4" w:space="0" w:color="668BC2" w:themeColor="accent1" w:themeTint="99"/>
        <w:insideV w:val="single" w:sz="4" w:space="0" w:color="668BC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8EA" w:themeFill="accent1" w:themeFillTint="33"/>
      </w:tcPr>
    </w:tblStylePr>
    <w:tblStylePr w:type="band1Horz">
      <w:tblPr/>
      <w:tcPr>
        <w:shd w:val="clear" w:color="auto" w:fill="CCD8EA" w:themeFill="accent1" w:themeFillTint="33"/>
      </w:tcPr>
    </w:tblStylePr>
    <w:tblStylePr w:type="neCell">
      <w:tblPr/>
      <w:tcPr>
        <w:tcBorders>
          <w:bottom w:val="single" w:sz="4" w:space="0" w:color="668BC2" w:themeColor="accent1" w:themeTint="99"/>
        </w:tcBorders>
      </w:tcPr>
    </w:tblStylePr>
    <w:tblStylePr w:type="nwCell">
      <w:tblPr/>
      <w:tcPr>
        <w:tcBorders>
          <w:bottom w:val="single" w:sz="4" w:space="0" w:color="668BC2" w:themeColor="accent1" w:themeTint="99"/>
        </w:tcBorders>
      </w:tcPr>
    </w:tblStylePr>
    <w:tblStylePr w:type="seCell">
      <w:tblPr/>
      <w:tcPr>
        <w:tcBorders>
          <w:top w:val="single" w:sz="4" w:space="0" w:color="668BC2" w:themeColor="accent1" w:themeTint="99"/>
        </w:tcBorders>
      </w:tcPr>
    </w:tblStylePr>
    <w:tblStylePr w:type="swCell">
      <w:tblPr/>
      <w:tcPr>
        <w:tcBorders>
          <w:top w:val="single" w:sz="4" w:space="0" w:color="668BC2" w:themeColor="accent1" w:themeTint="99"/>
        </w:tcBorders>
      </w:tcPr>
    </w:tblStylePr>
  </w:style>
  <w:style w:type="table" w:styleId="GridTable2-Accent1">
    <w:name w:val="Grid Table 2 Accent 1"/>
    <w:basedOn w:val="TableNormal"/>
    <w:uiPriority w:val="47"/>
    <w:rsid w:val="00E6232E"/>
    <w:pPr>
      <w:spacing w:after="0" w:line="240" w:lineRule="auto"/>
    </w:pPr>
    <w:tblPr>
      <w:tblStyleRowBandSize w:val="1"/>
      <w:tblStyleColBandSize w:val="1"/>
      <w:tblBorders>
        <w:top w:val="single" w:sz="2" w:space="0" w:color="668BC2" w:themeColor="accent1" w:themeTint="99"/>
        <w:bottom w:val="single" w:sz="2" w:space="0" w:color="668BC2" w:themeColor="accent1" w:themeTint="99"/>
        <w:insideH w:val="single" w:sz="2" w:space="0" w:color="668BC2" w:themeColor="accent1" w:themeTint="99"/>
        <w:insideV w:val="single" w:sz="2" w:space="0" w:color="668BC2" w:themeColor="accent1" w:themeTint="99"/>
      </w:tblBorders>
    </w:tblPr>
    <w:tblStylePr w:type="firstRow">
      <w:rPr>
        <w:b/>
        <w:bCs/>
      </w:rPr>
      <w:tblPr/>
      <w:tcPr>
        <w:tcBorders>
          <w:top w:val="nil"/>
          <w:bottom w:val="single" w:sz="12" w:space="0" w:color="668BC2" w:themeColor="accent1" w:themeTint="99"/>
          <w:insideH w:val="nil"/>
          <w:insideV w:val="nil"/>
        </w:tcBorders>
        <w:shd w:val="clear" w:color="auto" w:fill="FFFFFF" w:themeFill="background1"/>
      </w:tcPr>
    </w:tblStylePr>
    <w:tblStylePr w:type="lastRow">
      <w:rPr>
        <w:b/>
        <w:bCs/>
      </w:rPr>
      <w:tblPr/>
      <w:tcPr>
        <w:tcBorders>
          <w:top w:val="double" w:sz="2" w:space="0" w:color="668BC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8EA" w:themeFill="accent1" w:themeFillTint="33"/>
      </w:tcPr>
    </w:tblStylePr>
    <w:tblStylePr w:type="band1Horz">
      <w:tblPr/>
      <w:tcPr>
        <w:shd w:val="clear" w:color="auto" w:fill="CCD8EA" w:themeFill="accent1" w:themeFillTint="33"/>
      </w:tcPr>
    </w:tblStylePr>
  </w:style>
  <w:style w:type="table" w:styleId="GridTable1Light-Accent3">
    <w:name w:val="Grid Table 1 Light Accent 3"/>
    <w:basedOn w:val="TableNormal"/>
    <w:uiPriority w:val="46"/>
    <w:rsid w:val="004A7B19"/>
    <w:pPr>
      <w:spacing w:after="0" w:line="240" w:lineRule="auto"/>
    </w:pPr>
    <w:tblPr>
      <w:tblStyleRowBandSize w:val="1"/>
      <w:tblStyleColBandSize w:val="1"/>
      <w:tblBorders>
        <w:top w:val="single" w:sz="4" w:space="0" w:color="C5EBFB" w:themeColor="accent3" w:themeTint="66"/>
        <w:left w:val="single" w:sz="4" w:space="0" w:color="C5EBFB" w:themeColor="accent3" w:themeTint="66"/>
        <w:bottom w:val="single" w:sz="4" w:space="0" w:color="C5EBFB" w:themeColor="accent3" w:themeTint="66"/>
        <w:right w:val="single" w:sz="4" w:space="0" w:color="C5EBFB" w:themeColor="accent3" w:themeTint="66"/>
        <w:insideH w:val="single" w:sz="4" w:space="0" w:color="C5EBFB" w:themeColor="accent3" w:themeTint="66"/>
        <w:insideV w:val="single" w:sz="4" w:space="0" w:color="C5EBFB" w:themeColor="accent3" w:themeTint="66"/>
      </w:tblBorders>
    </w:tblPr>
    <w:tblStylePr w:type="firstRow">
      <w:rPr>
        <w:b/>
        <w:bCs/>
      </w:rPr>
      <w:tblPr/>
      <w:tcPr>
        <w:tcBorders>
          <w:bottom w:val="single" w:sz="12" w:space="0" w:color="A8E2F9" w:themeColor="accent3" w:themeTint="99"/>
        </w:tcBorders>
      </w:tcPr>
    </w:tblStylePr>
    <w:tblStylePr w:type="lastRow">
      <w:rPr>
        <w:b/>
        <w:bCs/>
      </w:rPr>
      <w:tblPr/>
      <w:tcPr>
        <w:tcBorders>
          <w:top w:val="double" w:sz="2" w:space="0" w:color="A8E2F9"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372F1E"/>
    <w:pPr>
      <w:spacing w:after="0" w:line="240" w:lineRule="auto"/>
    </w:pPr>
    <w:tblPr>
      <w:tblStyleRowBandSize w:val="1"/>
      <w:tblStyleColBandSize w:val="1"/>
      <w:tblBorders>
        <w:top w:val="single" w:sz="2" w:space="0" w:color="A8E2F9" w:themeColor="accent3" w:themeTint="99"/>
        <w:bottom w:val="single" w:sz="2" w:space="0" w:color="A8E2F9" w:themeColor="accent3" w:themeTint="99"/>
        <w:insideH w:val="single" w:sz="2" w:space="0" w:color="A8E2F9" w:themeColor="accent3" w:themeTint="99"/>
        <w:insideV w:val="single" w:sz="2" w:space="0" w:color="A8E2F9" w:themeColor="accent3" w:themeTint="99"/>
      </w:tblBorders>
    </w:tblPr>
    <w:tblStylePr w:type="firstRow">
      <w:rPr>
        <w:b/>
        <w:bCs/>
      </w:rPr>
      <w:tblPr/>
      <w:tcPr>
        <w:tcBorders>
          <w:top w:val="nil"/>
          <w:bottom w:val="single" w:sz="12" w:space="0" w:color="A8E2F9" w:themeColor="accent3" w:themeTint="99"/>
          <w:insideH w:val="nil"/>
          <w:insideV w:val="nil"/>
        </w:tcBorders>
        <w:shd w:val="clear" w:color="auto" w:fill="FFFFFF" w:themeFill="background1"/>
      </w:tcPr>
    </w:tblStylePr>
    <w:tblStylePr w:type="lastRow">
      <w:rPr>
        <w:b/>
        <w:bCs/>
      </w:rPr>
      <w:tblPr/>
      <w:tcPr>
        <w:tcBorders>
          <w:top w:val="double" w:sz="2" w:space="0" w:color="A8E2F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5FD" w:themeFill="accent3" w:themeFillTint="33"/>
      </w:tcPr>
    </w:tblStylePr>
    <w:tblStylePr w:type="band1Horz">
      <w:tblPr/>
      <w:tcPr>
        <w:shd w:val="clear" w:color="auto" w:fill="E2F5FD" w:themeFill="accent3" w:themeFillTint="33"/>
      </w:tcPr>
    </w:tblStylePr>
  </w:style>
  <w:style w:type="paragraph" w:styleId="Title">
    <w:name w:val="Title"/>
    <w:basedOn w:val="Normal"/>
    <w:next w:val="Normal"/>
    <w:link w:val="TitleChar"/>
    <w:uiPriority w:val="10"/>
    <w:qFormat/>
    <w:rsid w:val="005E4978"/>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E4978"/>
    <w:rPr>
      <w:rFonts w:asciiTheme="majorHAnsi" w:eastAsiaTheme="majorEastAsia" w:hAnsiTheme="majorHAnsi" w:cstheme="majorBidi"/>
      <w:spacing w:val="-10"/>
      <w:kern w:val="28"/>
      <w:sz w:val="56"/>
      <w:szCs w:val="56"/>
      <w:lang w:eastAsia="en-AU"/>
    </w:rPr>
  </w:style>
  <w:style w:type="paragraph" w:styleId="Quote">
    <w:name w:val="Quote"/>
    <w:basedOn w:val="Normal"/>
    <w:next w:val="Normal"/>
    <w:link w:val="QuoteChar"/>
    <w:uiPriority w:val="29"/>
    <w:qFormat/>
    <w:rsid w:val="00051734"/>
    <w:pPr>
      <w:spacing w:before="200" w:after="160"/>
      <w:ind w:left="720"/>
    </w:pPr>
    <w:rPr>
      <w:color w:val="008BBE" w:themeColor="accent2"/>
      <w:lang w:eastAsia="en-US"/>
    </w:rPr>
  </w:style>
  <w:style w:type="character" w:customStyle="1" w:styleId="QuoteChar">
    <w:name w:val="Quote Char"/>
    <w:basedOn w:val="DefaultParagraphFont"/>
    <w:link w:val="Quote"/>
    <w:uiPriority w:val="29"/>
    <w:rsid w:val="00051734"/>
    <w:rPr>
      <w:rFonts w:ascii="Arial" w:eastAsia="Times" w:hAnsi="Arial" w:cs="Arial"/>
      <w:color w:val="008BBE" w:themeColor="accent2"/>
      <w:sz w:val="24"/>
      <w:szCs w:val="24"/>
    </w:rPr>
  </w:style>
  <w:style w:type="table" w:styleId="GridTable1Light-Accent2">
    <w:name w:val="Grid Table 1 Light Accent 2"/>
    <w:basedOn w:val="TableNormal"/>
    <w:uiPriority w:val="46"/>
    <w:rsid w:val="0047670B"/>
    <w:pPr>
      <w:spacing w:after="0" w:line="240" w:lineRule="auto"/>
    </w:pPr>
    <w:tblPr>
      <w:tblStyleRowBandSize w:val="1"/>
      <w:tblStyleColBandSize w:val="1"/>
      <w:tblBorders>
        <w:top w:val="single" w:sz="4" w:space="0" w:color="7FDCFF" w:themeColor="accent2" w:themeTint="66"/>
        <w:left w:val="single" w:sz="4" w:space="0" w:color="7FDCFF" w:themeColor="accent2" w:themeTint="66"/>
        <w:bottom w:val="single" w:sz="4" w:space="0" w:color="7FDCFF" w:themeColor="accent2" w:themeTint="66"/>
        <w:right w:val="single" w:sz="4" w:space="0" w:color="7FDCFF" w:themeColor="accent2" w:themeTint="66"/>
        <w:insideH w:val="single" w:sz="4" w:space="0" w:color="7FDCFF" w:themeColor="accent2" w:themeTint="66"/>
        <w:insideV w:val="single" w:sz="4" w:space="0" w:color="7FDCFF" w:themeColor="accent2" w:themeTint="66"/>
      </w:tblBorders>
    </w:tblPr>
    <w:tblStylePr w:type="firstRow">
      <w:rPr>
        <w:b/>
        <w:bCs/>
      </w:rPr>
      <w:tblPr/>
      <w:tcPr>
        <w:tcBorders>
          <w:bottom w:val="single" w:sz="12" w:space="0" w:color="3FCBFF" w:themeColor="accent2" w:themeTint="99"/>
        </w:tcBorders>
      </w:tcPr>
    </w:tblStylePr>
    <w:tblStylePr w:type="lastRow">
      <w:rPr>
        <w:b/>
        <w:bCs/>
      </w:rPr>
      <w:tblPr/>
      <w:tcPr>
        <w:tcBorders>
          <w:top w:val="double" w:sz="2" w:space="0" w:color="3FCBFF" w:themeColor="accent2"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6412B9"/>
    <w:pPr>
      <w:spacing w:after="0"/>
    </w:pPr>
    <w:rPr>
      <w:i/>
      <w:color w:val="auto"/>
      <w:sz w:val="20"/>
    </w:rPr>
  </w:style>
  <w:style w:type="table" w:customStyle="1" w:styleId="TableGrid2">
    <w:name w:val="Table Grid2"/>
    <w:basedOn w:val="TableNormal"/>
    <w:next w:val="TableGrid"/>
    <w:uiPriority w:val="39"/>
    <w:rsid w:val="007F7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4F52EA"/>
    <w:pPr>
      <w:spacing w:after="0" w:line="240" w:lineRule="auto"/>
    </w:pPr>
    <w:tblPr>
      <w:tblStyleRowBandSize w:val="1"/>
      <w:tblStyleColBandSize w:val="1"/>
      <w:tblBorders>
        <w:top w:val="single" w:sz="2" w:space="0" w:color="3FCBFF" w:themeColor="accent2" w:themeTint="99"/>
        <w:bottom w:val="single" w:sz="2" w:space="0" w:color="3FCBFF" w:themeColor="accent2" w:themeTint="99"/>
        <w:insideH w:val="single" w:sz="2" w:space="0" w:color="3FCBFF" w:themeColor="accent2" w:themeTint="99"/>
        <w:insideV w:val="single" w:sz="2" w:space="0" w:color="3FCBFF" w:themeColor="accent2" w:themeTint="99"/>
      </w:tblBorders>
    </w:tblPr>
    <w:tblStylePr w:type="firstRow">
      <w:rPr>
        <w:b/>
        <w:bCs/>
      </w:rPr>
      <w:tblPr/>
      <w:tcPr>
        <w:tcBorders>
          <w:top w:val="nil"/>
          <w:bottom w:val="single" w:sz="12" w:space="0" w:color="3FCBFF" w:themeColor="accent2" w:themeTint="99"/>
          <w:insideH w:val="nil"/>
          <w:insideV w:val="nil"/>
        </w:tcBorders>
        <w:shd w:val="clear" w:color="auto" w:fill="FFFFFF" w:themeFill="background1"/>
      </w:tcPr>
    </w:tblStylePr>
    <w:tblStylePr w:type="lastRow">
      <w:rPr>
        <w:b/>
        <w:bCs/>
      </w:rPr>
      <w:tblPr/>
      <w:tcPr>
        <w:tcBorders>
          <w:top w:val="double" w:sz="2" w:space="0" w:color="3FCB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DFF" w:themeFill="accent2" w:themeFillTint="33"/>
      </w:tcPr>
    </w:tblStylePr>
    <w:tblStylePr w:type="band1Horz">
      <w:tblPr/>
      <w:tcPr>
        <w:shd w:val="clear" w:color="auto" w:fill="BFEDFF" w:themeFill="accent2" w:themeFillTint="33"/>
      </w:tcPr>
    </w:tblStylePr>
  </w:style>
  <w:style w:type="table" w:customStyle="1" w:styleId="TableGrid3">
    <w:name w:val="Table Grid3"/>
    <w:basedOn w:val="TableNormal"/>
    <w:next w:val="TableGrid"/>
    <w:uiPriority w:val="39"/>
    <w:rsid w:val="00241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02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45E31"/>
    <w:pPr>
      <w:spacing w:after="100"/>
      <w:ind w:left="720"/>
    </w:pPr>
    <w:rPr>
      <w:color w:val="auto"/>
      <w:sz w:val="20"/>
    </w:rPr>
  </w:style>
  <w:style w:type="paragraph" w:customStyle="1" w:styleId="lead">
    <w:name w:val="lead"/>
    <w:basedOn w:val="Normal"/>
    <w:rsid w:val="00D24E0A"/>
    <w:pPr>
      <w:spacing w:before="100" w:beforeAutospacing="1" w:after="100" w:afterAutospacing="1" w:line="240" w:lineRule="auto"/>
    </w:pPr>
    <w:rPr>
      <w:rFonts w:ascii="Times New Roman" w:eastAsia="Times New Roman" w:hAnsi="Times New Roman" w:cs="Times New Roman"/>
      <w:color w:val="auto"/>
    </w:rPr>
  </w:style>
  <w:style w:type="paragraph" w:styleId="TOC5">
    <w:name w:val="toc 5"/>
    <w:basedOn w:val="Normal"/>
    <w:next w:val="Normal"/>
    <w:autoRedefine/>
    <w:uiPriority w:val="39"/>
    <w:unhideWhenUsed/>
    <w:rsid w:val="00A41EA6"/>
    <w:pPr>
      <w:spacing w:after="100"/>
      <w:ind w:left="960"/>
    </w:pPr>
  </w:style>
  <w:style w:type="paragraph" w:styleId="TOC9">
    <w:name w:val="toc 9"/>
    <w:basedOn w:val="Normal"/>
    <w:next w:val="Normal"/>
    <w:autoRedefine/>
    <w:uiPriority w:val="39"/>
    <w:unhideWhenUsed/>
    <w:rsid w:val="00A41EA6"/>
    <w:pPr>
      <w:spacing w:after="100"/>
      <w:ind w:left="1920"/>
    </w:pPr>
  </w:style>
  <w:style w:type="paragraph" w:customStyle="1" w:styleId="xxxmsonormal">
    <w:name w:val="x_x_xmsonormal"/>
    <w:basedOn w:val="Normal"/>
    <w:rsid w:val="00515C37"/>
    <w:pPr>
      <w:spacing w:before="0" w:after="0" w:line="240" w:lineRule="auto"/>
    </w:pPr>
    <w:rPr>
      <w:rFonts w:ascii="Calibri" w:eastAsiaTheme="minorHAnsi" w:hAnsi="Calibri" w:cs="Calibri"/>
      <w:color w:val="auto"/>
      <w:sz w:val="22"/>
      <w:szCs w:val="22"/>
    </w:rPr>
  </w:style>
  <w:style w:type="table" w:customStyle="1" w:styleId="GridTable2-Accent31">
    <w:name w:val="Grid Table 2 - Accent 31"/>
    <w:basedOn w:val="TableNormal"/>
    <w:next w:val="GridTable2-Accent3"/>
    <w:uiPriority w:val="47"/>
    <w:rsid w:val="00F9247A"/>
    <w:pPr>
      <w:spacing w:after="0" w:line="240" w:lineRule="auto"/>
    </w:pPr>
    <w:tblPr>
      <w:tblStyleRowBandSize w:val="1"/>
      <w:tblStyleColBandSize w:val="1"/>
      <w:tblBorders>
        <w:top w:val="single" w:sz="2" w:space="0" w:color="A8E2F9" w:themeColor="accent3" w:themeTint="99"/>
        <w:bottom w:val="single" w:sz="2" w:space="0" w:color="A8E2F9" w:themeColor="accent3" w:themeTint="99"/>
        <w:insideH w:val="single" w:sz="2" w:space="0" w:color="A8E2F9" w:themeColor="accent3" w:themeTint="99"/>
        <w:insideV w:val="single" w:sz="2" w:space="0" w:color="A8E2F9" w:themeColor="accent3" w:themeTint="99"/>
      </w:tblBorders>
    </w:tblPr>
    <w:tblStylePr w:type="firstRow">
      <w:rPr>
        <w:b/>
        <w:bCs/>
      </w:rPr>
      <w:tblPr/>
      <w:tcPr>
        <w:tcBorders>
          <w:top w:val="nil"/>
          <w:bottom w:val="single" w:sz="12" w:space="0" w:color="A8E2F9" w:themeColor="accent3" w:themeTint="99"/>
          <w:insideH w:val="nil"/>
          <w:insideV w:val="nil"/>
        </w:tcBorders>
        <w:shd w:val="clear" w:color="auto" w:fill="FFFFFF" w:themeFill="background1"/>
      </w:tcPr>
    </w:tblStylePr>
    <w:tblStylePr w:type="lastRow">
      <w:rPr>
        <w:b/>
        <w:bCs/>
      </w:rPr>
      <w:tblPr/>
      <w:tcPr>
        <w:tcBorders>
          <w:top w:val="double" w:sz="2" w:space="0" w:color="A8E2F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5FD" w:themeFill="accent3" w:themeFillTint="33"/>
      </w:tcPr>
    </w:tblStylePr>
    <w:tblStylePr w:type="band1Horz">
      <w:tblPr/>
      <w:tcPr>
        <w:shd w:val="clear" w:color="auto" w:fill="E2F5FD" w:themeFill="accent3" w:themeFillTint="33"/>
      </w:tcPr>
    </w:tblStylePr>
  </w:style>
  <w:style w:type="table" w:customStyle="1" w:styleId="GridTable2-Accent311">
    <w:name w:val="Grid Table 2 - Accent 311"/>
    <w:basedOn w:val="TableNormal"/>
    <w:next w:val="GridTable2-Accent3"/>
    <w:uiPriority w:val="47"/>
    <w:rsid w:val="00657EE2"/>
    <w:pPr>
      <w:spacing w:after="0" w:line="240" w:lineRule="auto"/>
    </w:pPr>
    <w:tblPr>
      <w:tblStyleRowBandSize w:val="1"/>
      <w:tblStyleColBandSize w:val="1"/>
      <w:tblBorders>
        <w:top w:val="single" w:sz="2" w:space="0" w:color="A8E2F9"/>
        <w:bottom w:val="single" w:sz="2" w:space="0" w:color="A8E2F9"/>
        <w:insideH w:val="single" w:sz="2" w:space="0" w:color="A8E2F9"/>
        <w:insideV w:val="single" w:sz="2" w:space="0" w:color="A8E2F9"/>
      </w:tblBorders>
    </w:tblPr>
    <w:tblStylePr w:type="firstRow">
      <w:rPr>
        <w:b/>
        <w:bCs/>
      </w:rPr>
      <w:tblPr/>
      <w:tcPr>
        <w:tcBorders>
          <w:top w:val="nil"/>
          <w:bottom w:val="single" w:sz="12" w:space="0" w:color="A8E2F9"/>
          <w:insideH w:val="nil"/>
          <w:insideV w:val="nil"/>
        </w:tcBorders>
        <w:shd w:val="clear" w:color="auto" w:fill="FFFFFF"/>
      </w:tcPr>
    </w:tblStylePr>
    <w:tblStylePr w:type="lastRow">
      <w:rPr>
        <w:b/>
        <w:bCs/>
      </w:rPr>
      <w:tblPr/>
      <w:tcPr>
        <w:tcBorders>
          <w:top w:val="double" w:sz="2" w:space="0" w:color="A8E2F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F5FD"/>
      </w:tcPr>
    </w:tblStylePr>
    <w:tblStylePr w:type="band1Horz">
      <w:tblPr/>
      <w:tcPr>
        <w:shd w:val="clear" w:color="auto" w:fill="E2F5FD"/>
      </w:tcPr>
    </w:tblStylePr>
  </w:style>
  <w:style w:type="table" w:customStyle="1" w:styleId="GridTable2-Accent312">
    <w:name w:val="Grid Table 2 - Accent 312"/>
    <w:basedOn w:val="TableNormal"/>
    <w:next w:val="GridTable2-Accent3"/>
    <w:uiPriority w:val="47"/>
    <w:rsid w:val="00477A50"/>
    <w:pPr>
      <w:spacing w:after="0" w:line="240" w:lineRule="auto"/>
    </w:pPr>
    <w:tblPr>
      <w:tblStyleRowBandSize w:val="1"/>
      <w:tblStyleColBandSize w:val="1"/>
      <w:tblBorders>
        <w:top w:val="single" w:sz="2" w:space="0" w:color="A8E2F9"/>
        <w:bottom w:val="single" w:sz="2" w:space="0" w:color="A8E2F9"/>
        <w:insideH w:val="single" w:sz="2" w:space="0" w:color="A8E2F9"/>
        <w:insideV w:val="single" w:sz="2" w:space="0" w:color="A8E2F9"/>
      </w:tblBorders>
    </w:tblPr>
    <w:tblStylePr w:type="firstRow">
      <w:rPr>
        <w:b/>
        <w:bCs/>
      </w:rPr>
      <w:tblPr/>
      <w:tcPr>
        <w:tcBorders>
          <w:top w:val="nil"/>
          <w:bottom w:val="single" w:sz="12" w:space="0" w:color="A8E2F9"/>
          <w:insideH w:val="nil"/>
          <w:insideV w:val="nil"/>
        </w:tcBorders>
        <w:shd w:val="clear" w:color="auto" w:fill="FFFFFF"/>
      </w:tcPr>
    </w:tblStylePr>
    <w:tblStylePr w:type="lastRow">
      <w:rPr>
        <w:b/>
        <w:bCs/>
      </w:rPr>
      <w:tblPr/>
      <w:tcPr>
        <w:tcBorders>
          <w:top w:val="double" w:sz="2" w:space="0" w:color="A8E2F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F5FD"/>
      </w:tcPr>
    </w:tblStylePr>
    <w:tblStylePr w:type="band1Horz">
      <w:tblPr/>
      <w:tcPr>
        <w:shd w:val="clear" w:color="auto" w:fill="E2F5FD"/>
      </w:tcPr>
    </w:tblStylePr>
  </w:style>
  <w:style w:type="table" w:customStyle="1" w:styleId="GridTable2-Accent111">
    <w:name w:val="Grid Table 2 - Accent 111"/>
    <w:basedOn w:val="TableNormal"/>
    <w:next w:val="GridTable2-Accent1"/>
    <w:uiPriority w:val="47"/>
    <w:rsid w:val="0052188A"/>
    <w:pPr>
      <w:spacing w:after="0" w:line="240" w:lineRule="auto"/>
    </w:pPr>
    <w:tblPr>
      <w:tblStyleRowBandSize w:val="1"/>
      <w:tblStyleColBandSize w:val="1"/>
      <w:tblBorders>
        <w:top w:val="single" w:sz="2" w:space="0" w:color="668BC2"/>
        <w:bottom w:val="single" w:sz="2" w:space="0" w:color="668BC2"/>
        <w:insideH w:val="single" w:sz="2" w:space="0" w:color="668BC2"/>
        <w:insideV w:val="single" w:sz="2" w:space="0" w:color="668BC2"/>
      </w:tblBorders>
    </w:tblPr>
    <w:tblStylePr w:type="firstRow">
      <w:rPr>
        <w:b/>
        <w:bCs/>
      </w:rPr>
      <w:tblPr/>
      <w:tcPr>
        <w:tcBorders>
          <w:top w:val="nil"/>
          <w:bottom w:val="single" w:sz="12" w:space="0" w:color="668BC2"/>
          <w:insideH w:val="nil"/>
          <w:insideV w:val="nil"/>
        </w:tcBorders>
        <w:shd w:val="clear" w:color="auto" w:fill="FFFFFF"/>
      </w:tcPr>
    </w:tblStylePr>
    <w:tblStylePr w:type="lastRow">
      <w:rPr>
        <w:b/>
        <w:bCs/>
      </w:rPr>
      <w:tblPr/>
      <w:tcPr>
        <w:tcBorders>
          <w:top w:val="double" w:sz="2" w:space="0" w:color="668BC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D8EA"/>
      </w:tcPr>
    </w:tblStylePr>
    <w:tblStylePr w:type="band1Horz">
      <w:tblPr/>
      <w:tcPr>
        <w:shd w:val="clear" w:color="auto" w:fill="CCD8EA"/>
      </w:tcPr>
    </w:tblStylePr>
  </w:style>
  <w:style w:type="table" w:customStyle="1" w:styleId="GridTable2-Accent112">
    <w:name w:val="Grid Table 2 - Accent 112"/>
    <w:basedOn w:val="TableNormal"/>
    <w:next w:val="GridTable2-Accent1"/>
    <w:uiPriority w:val="47"/>
    <w:rsid w:val="00430EFA"/>
    <w:pPr>
      <w:spacing w:after="0" w:line="240" w:lineRule="auto"/>
    </w:pPr>
    <w:tblPr>
      <w:tblStyleRowBandSize w:val="1"/>
      <w:tblStyleColBandSize w:val="1"/>
      <w:tblBorders>
        <w:top w:val="single" w:sz="2" w:space="0" w:color="668BC2"/>
        <w:bottom w:val="single" w:sz="2" w:space="0" w:color="668BC2"/>
        <w:insideH w:val="single" w:sz="2" w:space="0" w:color="668BC2"/>
        <w:insideV w:val="single" w:sz="2" w:space="0" w:color="668BC2"/>
      </w:tblBorders>
    </w:tblPr>
    <w:tblStylePr w:type="firstRow">
      <w:rPr>
        <w:b/>
        <w:bCs/>
      </w:rPr>
      <w:tblPr/>
      <w:tcPr>
        <w:tcBorders>
          <w:top w:val="nil"/>
          <w:bottom w:val="single" w:sz="12" w:space="0" w:color="668BC2"/>
          <w:insideH w:val="nil"/>
          <w:insideV w:val="nil"/>
        </w:tcBorders>
        <w:shd w:val="clear" w:color="auto" w:fill="FFFFFF"/>
      </w:tcPr>
    </w:tblStylePr>
    <w:tblStylePr w:type="lastRow">
      <w:rPr>
        <w:b/>
        <w:bCs/>
      </w:rPr>
      <w:tblPr/>
      <w:tcPr>
        <w:tcBorders>
          <w:top w:val="double" w:sz="2" w:space="0" w:color="668BC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D8EA"/>
      </w:tcPr>
    </w:tblStylePr>
    <w:tblStylePr w:type="band1Horz">
      <w:tblPr/>
      <w:tcPr>
        <w:shd w:val="clear" w:color="auto" w:fill="CCD8EA"/>
      </w:tcPr>
    </w:tblStylePr>
  </w:style>
  <w:style w:type="character" w:customStyle="1" w:styleId="ui-provider">
    <w:name w:val="ui-provider"/>
    <w:basedOn w:val="DefaultParagraphFont"/>
    <w:rsid w:val="005A6E12"/>
  </w:style>
  <w:style w:type="paragraph" w:customStyle="1" w:styleId="paragraph">
    <w:name w:val="paragraph"/>
    <w:basedOn w:val="Normal"/>
    <w:rsid w:val="00CC3670"/>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CC3670"/>
  </w:style>
  <w:style w:type="character" w:customStyle="1" w:styleId="eop">
    <w:name w:val="eop"/>
    <w:basedOn w:val="DefaultParagraphFont"/>
    <w:rsid w:val="00CC3670"/>
  </w:style>
  <w:style w:type="character" w:customStyle="1" w:styleId="scxw89986840">
    <w:name w:val="scxw89986840"/>
    <w:basedOn w:val="DefaultParagraphFont"/>
    <w:rsid w:val="00CC3670"/>
  </w:style>
  <w:style w:type="paragraph" w:customStyle="1" w:styleId="pf0">
    <w:name w:val="pf0"/>
    <w:basedOn w:val="Normal"/>
    <w:rsid w:val="006478FA"/>
    <w:pPr>
      <w:spacing w:before="100" w:beforeAutospacing="1" w:after="100" w:afterAutospacing="1" w:line="240" w:lineRule="auto"/>
    </w:pPr>
    <w:rPr>
      <w:rFonts w:ascii="Times New Roman" w:eastAsia="Times New Roman" w:hAnsi="Times New Roman" w:cs="Times New Roman"/>
      <w:color w:val="auto"/>
    </w:rPr>
  </w:style>
  <w:style w:type="character" w:customStyle="1" w:styleId="cf01">
    <w:name w:val="cf01"/>
    <w:basedOn w:val="DefaultParagraphFont"/>
    <w:rsid w:val="006478FA"/>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3940">
      <w:bodyDiv w:val="1"/>
      <w:marLeft w:val="0"/>
      <w:marRight w:val="0"/>
      <w:marTop w:val="0"/>
      <w:marBottom w:val="0"/>
      <w:divBdr>
        <w:top w:val="none" w:sz="0" w:space="0" w:color="auto"/>
        <w:left w:val="none" w:sz="0" w:space="0" w:color="auto"/>
        <w:bottom w:val="none" w:sz="0" w:space="0" w:color="auto"/>
        <w:right w:val="none" w:sz="0" w:space="0" w:color="auto"/>
      </w:divBdr>
      <w:divsChild>
        <w:div w:id="231157398">
          <w:marLeft w:val="-180"/>
          <w:marRight w:val="-180"/>
          <w:marTop w:val="0"/>
          <w:marBottom w:val="0"/>
          <w:divBdr>
            <w:top w:val="none" w:sz="0" w:space="0" w:color="auto"/>
            <w:left w:val="none" w:sz="0" w:space="0" w:color="auto"/>
            <w:bottom w:val="none" w:sz="0" w:space="0" w:color="auto"/>
            <w:right w:val="none" w:sz="0" w:space="0" w:color="auto"/>
          </w:divBdr>
          <w:divsChild>
            <w:div w:id="1395933566">
              <w:marLeft w:val="0"/>
              <w:marRight w:val="0"/>
              <w:marTop w:val="0"/>
              <w:marBottom w:val="0"/>
              <w:divBdr>
                <w:top w:val="none" w:sz="0" w:space="0" w:color="auto"/>
                <w:left w:val="none" w:sz="0" w:space="0" w:color="auto"/>
                <w:bottom w:val="none" w:sz="0" w:space="0" w:color="auto"/>
                <w:right w:val="none" w:sz="0" w:space="0" w:color="auto"/>
              </w:divBdr>
              <w:divsChild>
                <w:div w:id="1297375711">
                  <w:marLeft w:val="0"/>
                  <w:marRight w:val="0"/>
                  <w:marTop w:val="0"/>
                  <w:marBottom w:val="0"/>
                  <w:divBdr>
                    <w:top w:val="none" w:sz="0" w:space="0" w:color="auto"/>
                    <w:left w:val="none" w:sz="0" w:space="0" w:color="auto"/>
                    <w:bottom w:val="none" w:sz="0" w:space="0" w:color="auto"/>
                    <w:right w:val="none" w:sz="0" w:space="0" w:color="auto"/>
                  </w:divBdr>
                  <w:divsChild>
                    <w:div w:id="4162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90806">
          <w:marLeft w:val="-180"/>
          <w:marRight w:val="-180"/>
          <w:marTop w:val="0"/>
          <w:marBottom w:val="0"/>
          <w:divBdr>
            <w:top w:val="none" w:sz="0" w:space="0" w:color="auto"/>
            <w:left w:val="none" w:sz="0" w:space="0" w:color="auto"/>
            <w:bottom w:val="none" w:sz="0" w:space="0" w:color="auto"/>
            <w:right w:val="none" w:sz="0" w:space="0" w:color="auto"/>
          </w:divBdr>
          <w:divsChild>
            <w:div w:id="2104568660">
              <w:marLeft w:val="0"/>
              <w:marRight w:val="0"/>
              <w:marTop w:val="0"/>
              <w:marBottom w:val="0"/>
              <w:divBdr>
                <w:top w:val="none" w:sz="0" w:space="0" w:color="auto"/>
                <w:left w:val="none" w:sz="0" w:space="0" w:color="auto"/>
                <w:bottom w:val="none" w:sz="0" w:space="0" w:color="auto"/>
                <w:right w:val="none" w:sz="0" w:space="0" w:color="auto"/>
              </w:divBdr>
              <w:divsChild>
                <w:div w:id="603147516">
                  <w:marLeft w:val="0"/>
                  <w:marRight w:val="0"/>
                  <w:marTop w:val="0"/>
                  <w:marBottom w:val="0"/>
                  <w:divBdr>
                    <w:top w:val="none" w:sz="0" w:space="0" w:color="auto"/>
                    <w:left w:val="none" w:sz="0" w:space="0" w:color="auto"/>
                    <w:bottom w:val="none" w:sz="0" w:space="0" w:color="auto"/>
                    <w:right w:val="none" w:sz="0" w:space="0" w:color="auto"/>
                  </w:divBdr>
                  <w:divsChild>
                    <w:div w:id="644310881">
                      <w:marLeft w:val="0"/>
                      <w:marRight w:val="0"/>
                      <w:marTop w:val="0"/>
                      <w:marBottom w:val="0"/>
                      <w:divBdr>
                        <w:top w:val="none" w:sz="0" w:space="0" w:color="auto"/>
                        <w:left w:val="none" w:sz="0" w:space="0" w:color="auto"/>
                        <w:bottom w:val="none" w:sz="0" w:space="0" w:color="auto"/>
                        <w:right w:val="none" w:sz="0" w:space="0" w:color="auto"/>
                      </w:divBdr>
                      <w:divsChild>
                        <w:div w:id="181551566">
                          <w:marLeft w:val="0"/>
                          <w:marRight w:val="0"/>
                          <w:marTop w:val="0"/>
                          <w:marBottom w:val="0"/>
                          <w:divBdr>
                            <w:top w:val="none" w:sz="0" w:space="0" w:color="auto"/>
                            <w:left w:val="none" w:sz="0" w:space="0" w:color="auto"/>
                            <w:bottom w:val="none" w:sz="0" w:space="0" w:color="auto"/>
                            <w:right w:val="none" w:sz="0" w:space="0" w:color="auto"/>
                          </w:divBdr>
                        </w:div>
                      </w:divsChild>
                    </w:div>
                    <w:div w:id="14035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0380">
      <w:bodyDiv w:val="1"/>
      <w:marLeft w:val="0"/>
      <w:marRight w:val="0"/>
      <w:marTop w:val="0"/>
      <w:marBottom w:val="0"/>
      <w:divBdr>
        <w:top w:val="none" w:sz="0" w:space="0" w:color="auto"/>
        <w:left w:val="none" w:sz="0" w:space="0" w:color="auto"/>
        <w:bottom w:val="none" w:sz="0" w:space="0" w:color="auto"/>
        <w:right w:val="none" w:sz="0" w:space="0" w:color="auto"/>
      </w:divBdr>
      <w:divsChild>
        <w:div w:id="19552786">
          <w:marLeft w:val="0"/>
          <w:marRight w:val="0"/>
          <w:marTop w:val="0"/>
          <w:marBottom w:val="0"/>
          <w:divBdr>
            <w:top w:val="none" w:sz="0" w:space="0" w:color="auto"/>
            <w:left w:val="none" w:sz="0" w:space="0" w:color="auto"/>
            <w:bottom w:val="none" w:sz="0" w:space="0" w:color="auto"/>
            <w:right w:val="none" w:sz="0" w:space="0" w:color="auto"/>
          </w:divBdr>
          <w:divsChild>
            <w:div w:id="216210113">
              <w:marLeft w:val="0"/>
              <w:marRight w:val="0"/>
              <w:marTop w:val="0"/>
              <w:marBottom w:val="0"/>
              <w:divBdr>
                <w:top w:val="none" w:sz="0" w:space="0" w:color="auto"/>
                <w:left w:val="none" w:sz="0" w:space="0" w:color="auto"/>
                <w:bottom w:val="none" w:sz="0" w:space="0" w:color="auto"/>
                <w:right w:val="none" w:sz="0" w:space="0" w:color="auto"/>
              </w:divBdr>
            </w:div>
          </w:divsChild>
        </w:div>
        <w:div w:id="50350830">
          <w:marLeft w:val="0"/>
          <w:marRight w:val="0"/>
          <w:marTop w:val="0"/>
          <w:marBottom w:val="0"/>
          <w:divBdr>
            <w:top w:val="none" w:sz="0" w:space="0" w:color="auto"/>
            <w:left w:val="none" w:sz="0" w:space="0" w:color="auto"/>
            <w:bottom w:val="none" w:sz="0" w:space="0" w:color="auto"/>
            <w:right w:val="none" w:sz="0" w:space="0" w:color="auto"/>
          </w:divBdr>
          <w:divsChild>
            <w:div w:id="2140830892">
              <w:marLeft w:val="0"/>
              <w:marRight w:val="0"/>
              <w:marTop w:val="0"/>
              <w:marBottom w:val="0"/>
              <w:divBdr>
                <w:top w:val="none" w:sz="0" w:space="0" w:color="auto"/>
                <w:left w:val="none" w:sz="0" w:space="0" w:color="auto"/>
                <w:bottom w:val="none" w:sz="0" w:space="0" w:color="auto"/>
                <w:right w:val="none" w:sz="0" w:space="0" w:color="auto"/>
              </w:divBdr>
            </w:div>
          </w:divsChild>
        </w:div>
        <w:div w:id="198974360">
          <w:marLeft w:val="0"/>
          <w:marRight w:val="0"/>
          <w:marTop w:val="0"/>
          <w:marBottom w:val="0"/>
          <w:divBdr>
            <w:top w:val="none" w:sz="0" w:space="0" w:color="auto"/>
            <w:left w:val="none" w:sz="0" w:space="0" w:color="auto"/>
            <w:bottom w:val="none" w:sz="0" w:space="0" w:color="auto"/>
            <w:right w:val="none" w:sz="0" w:space="0" w:color="auto"/>
          </w:divBdr>
          <w:divsChild>
            <w:div w:id="154150022">
              <w:marLeft w:val="0"/>
              <w:marRight w:val="0"/>
              <w:marTop w:val="0"/>
              <w:marBottom w:val="0"/>
              <w:divBdr>
                <w:top w:val="none" w:sz="0" w:space="0" w:color="auto"/>
                <w:left w:val="none" w:sz="0" w:space="0" w:color="auto"/>
                <w:bottom w:val="none" w:sz="0" w:space="0" w:color="auto"/>
                <w:right w:val="none" w:sz="0" w:space="0" w:color="auto"/>
              </w:divBdr>
            </w:div>
            <w:div w:id="1120684263">
              <w:marLeft w:val="0"/>
              <w:marRight w:val="0"/>
              <w:marTop w:val="0"/>
              <w:marBottom w:val="0"/>
              <w:divBdr>
                <w:top w:val="none" w:sz="0" w:space="0" w:color="auto"/>
                <w:left w:val="none" w:sz="0" w:space="0" w:color="auto"/>
                <w:bottom w:val="none" w:sz="0" w:space="0" w:color="auto"/>
                <w:right w:val="none" w:sz="0" w:space="0" w:color="auto"/>
              </w:divBdr>
            </w:div>
            <w:div w:id="1711952815">
              <w:marLeft w:val="0"/>
              <w:marRight w:val="0"/>
              <w:marTop w:val="0"/>
              <w:marBottom w:val="0"/>
              <w:divBdr>
                <w:top w:val="none" w:sz="0" w:space="0" w:color="auto"/>
                <w:left w:val="none" w:sz="0" w:space="0" w:color="auto"/>
                <w:bottom w:val="none" w:sz="0" w:space="0" w:color="auto"/>
                <w:right w:val="none" w:sz="0" w:space="0" w:color="auto"/>
              </w:divBdr>
            </w:div>
            <w:div w:id="1776486938">
              <w:marLeft w:val="0"/>
              <w:marRight w:val="0"/>
              <w:marTop w:val="0"/>
              <w:marBottom w:val="0"/>
              <w:divBdr>
                <w:top w:val="none" w:sz="0" w:space="0" w:color="auto"/>
                <w:left w:val="none" w:sz="0" w:space="0" w:color="auto"/>
                <w:bottom w:val="none" w:sz="0" w:space="0" w:color="auto"/>
                <w:right w:val="none" w:sz="0" w:space="0" w:color="auto"/>
              </w:divBdr>
            </w:div>
          </w:divsChild>
        </w:div>
        <w:div w:id="333457485">
          <w:marLeft w:val="0"/>
          <w:marRight w:val="0"/>
          <w:marTop w:val="0"/>
          <w:marBottom w:val="0"/>
          <w:divBdr>
            <w:top w:val="none" w:sz="0" w:space="0" w:color="auto"/>
            <w:left w:val="none" w:sz="0" w:space="0" w:color="auto"/>
            <w:bottom w:val="none" w:sz="0" w:space="0" w:color="auto"/>
            <w:right w:val="none" w:sz="0" w:space="0" w:color="auto"/>
          </w:divBdr>
          <w:divsChild>
            <w:div w:id="517431213">
              <w:marLeft w:val="0"/>
              <w:marRight w:val="0"/>
              <w:marTop w:val="0"/>
              <w:marBottom w:val="0"/>
              <w:divBdr>
                <w:top w:val="none" w:sz="0" w:space="0" w:color="auto"/>
                <w:left w:val="none" w:sz="0" w:space="0" w:color="auto"/>
                <w:bottom w:val="none" w:sz="0" w:space="0" w:color="auto"/>
                <w:right w:val="none" w:sz="0" w:space="0" w:color="auto"/>
              </w:divBdr>
            </w:div>
          </w:divsChild>
        </w:div>
        <w:div w:id="393821735">
          <w:marLeft w:val="0"/>
          <w:marRight w:val="0"/>
          <w:marTop w:val="0"/>
          <w:marBottom w:val="0"/>
          <w:divBdr>
            <w:top w:val="none" w:sz="0" w:space="0" w:color="auto"/>
            <w:left w:val="none" w:sz="0" w:space="0" w:color="auto"/>
            <w:bottom w:val="none" w:sz="0" w:space="0" w:color="auto"/>
            <w:right w:val="none" w:sz="0" w:space="0" w:color="auto"/>
          </w:divBdr>
          <w:divsChild>
            <w:div w:id="624580975">
              <w:marLeft w:val="0"/>
              <w:marRight w:val="0"/>
              <w:marTop w:val="0"/>
              <w:marBottom w:val="0"/>
              <w:divBdr>
                <w:top w:val="none" w:sz="0" w:space="0" w:color="auto"/>
                <w:left w:val="none" w:sz="0" w:space="0" w:color="auto"/>
                <w:bottom w:val="none" w:sz="0" w:space="0" w:color="auto"/>
                <w:right w:val="none" w:sz="0" w:space="0" w:color="auto"/>
              </w:divBdr>
            </w:div>
            <w:div w:id="865024966">
              <w:marLeft w:val="0"/>
              <w:marRight w:val="0"/>
              <w:marTop w:val="0"/>
              <w:marBottom w:val="0"/>
              <w:divBdr>
                <w:top w:val="none" w:sz="0" w:space="0" w:color="auto"/>
                <w:left w:val="none" w:sz="0" w:space="0" w:color="auto"/>
                <w:bottom w:val="none" w:sz="0" w:space="0" w:color="auto"/>
                <w:right w:val="none" w:sz="0" w:space="0" w:color="auto"/>
              </w:divBdr>
            </w:div>
          </w:divsChild>
        </w:div>
        <w:div w:id="459155724">
          <w:marLeft w:val="0"/>
          <w:marRight w:val="0"/>
          <w:marTop w:val="0"/>
          <w:marBottom w:val="0"/>
          <w:divBdr>
            <w:top w:val="none" w:sz="0" w:space="0" w:color="auto"/>
            <w:left w:val="none" w:sz="0" w:space="0" w:color="auto"/>
            <w:bottom w:val="none" w:sz="0" w:space="0" w:color="auto"/>
            <w:right w:val="none" w:sz="0" w:space="0" w:color="auto"/>
          </w:divBdr>
          <w:divsChild>
            <w:div w:id="1690789535">
              <w:marLeft w:val="0"/>
              <w:marRight w:val="0"/>
              <w:marTop w:val="0"/>
              <w:marBottom w:val="0"/>
              <w:divBdr>
                <w:top w:val="none" w:sz="0" w:space="0" w:color="auto"/>
                <w:left w:val="none" w:sz="0" w:space="0" w:color="auto"/>
                <w:bottom w:val="none" w:sz="0" w:space="0" w:color="auto"/>
                <w:right w:val="none" w:sz="0" w:space="0" w:color="auto"/>
              </w:divBdr>
            </w:div>
          </w:divsChild>
        </w:div>
        <w:div w:id="486366536">
          <w:marLeft w:val="0"/>
          <w:marRight w:val="0"/>
          <w:marTop w:val="0"/>
          <w:marBottom w:val="0"/>
          <w:divBdr>
            <w:top w:val="none" w:sz="0" w:space="0" w:color="auto"/>
            <w:left w:val="none" w:sz="0" w:space="0" w:color="auto"/>
            <w:bottom w:val="none" w:sz="0" w:space="0" w:color="auto"/>
            <w:right w:val="none" w:sz="0" w:space="0" w:color="auto"/>
          </w:divBdr>
          <w:divsChild>
            <w:div w:id="1583878673">
              <w:marLeft w:val="0"/>
              <w:marRight w:val="0"/>
              <w:marTop w:val="0"/>
              <w:marBottom w:val="0"/>
              <w:divBdr>
                <w:top w:val="none" w:sz="0" w:space="0" w:color="auto"/>
                <w:left w:val="none" w:sz="0" w:space="0" w:color="auto"/>
                <w:bottom w:val="none" w:sz="0" w:space="0" w:color="auto"/>
                <w:right w:val="none" w:sz="0" w:space="0" w:color="auto"/>
              </w:divBdr>
            </w:div>
          </w:divsChild>
        </w:div>
        <w:div w:id="960649469">
          <w:marLeft w:val="0"/>
          <w:marRight w:val="0"/>
          <w:marTop w:val="0"/>
          <w:marBottom w:val="0"/>
          <w:divBdr>
            <w:top w:val="none" w:sz="0" w:space="0" w:color="auto"/>
            <w:left w:val="none" w:sz="0" w:space="0" w:color="auto"/>
            <w:bottom w:val="none" w:sz="0" w:space="0" w:color="auto"/>
            <w:right w:val="none" w:sz="0" w:space="0" w:color="auto"/>
          </w:divBdr>
          <w:divsChild>
            <w:div w:id="471290840">
              <w:marLeft w:val="0"/>
              <w:marRight w:val="0"/>
              <w:marTop w:val="0"/>
              <w:marBottom w:val="0"/>
              <w:divBdr>
                <w:top w:val="none" w:sz="0" w:space="0" w:color="auto"/>
                <w:left w:val="none" w:sz="0" w:space="0" w:color="auto"/>
                <w:bottom w:val="none" w:sz="0" w:space="0" w:color="auto"/>
                <w:right w:val="none" w:sz="0" w:space="0" w:color="auto"/>
              </w:divBdr>
            </w:div>
          </w:divsChild>
        </w:div>
        <w:div w:id="1106080115">
          <w:marLeft w:val="0"/>
          <w:marRight w:val="0"/>
          <w:marTop w:val="0"/>
          <w:marBottom w:val="0"/>
          <w:divBdr>
            <w:top w:val="none" w:sz="0" w:space="0" w:color="auto"/>
            <w:left w:val="none" w:sz="0" w:space="0" w:color="auto"/>
            <w:bottom w:val="none" w:sz="0" w:space="0" w:color="auto"/>
            <w:right w:val="none" w:sz="0" w:space="0" w:color="auto"/>
          </w:divBdr>
          <w:divsChild>
            <w:div w:id="759106289">
              <w:marLeft w:val="0"/>
              <w:marRight w:val="0"/>
              <w:marTop w:val="0"/>
              <w:marBottom w:val="0"/>
              <w:divBdr>
                <w:top w:val="none" w:sz="0" w:space="0" w:color="auto"/>
                <w:left w:val="none" w:sz="0" w:space="0" w:color="auto"/>
                <w:bottom w:val="none" w:sz="0" w:space="0" w:color="auto"/>
                <w:right w:val="none" w:sz="0" w:space="0" w:color="auto"/>
              </w:divBdr>
            </w:div>
          </w:divsChild>
        </w:div>
        <w:div w:id="1159078581">
          <w:marLeft w:val="0"/>
          <w:marRight w:val="0"/>
          <w:marTop w:val="0"/>
          <w:marBottom w:val="0"/>
          <w:divBdr>
            <w:top w:val="none" w:sz="0" w:space="0" w:color="auto"/>
            <w:left w:val="none" w:sz="0" w:space="0" w:color="auto"/>
            <w:bottom w:val="none" w:sz="0" w:space="0" w:color="auto"/>
            <w:right w:val="none" w:sz="0" w:space="0" w:color="auto"/>
          </w:divBdr>
          <w:divsChild>
            <w:div w:id="964237018">
              <w:marLeft w:val="0"/>
              <w:marRight w:val="0"/>
              <w:marTop w:val="0"/>
              <w:marBottom w:val="0"/>
              <w:divBdr>
                <w:top w:val="none" w:sz="0" w:space="0" w:color="auto"/>
                <w:left w:val="none" w:sz="0" w:space="0" w:color="auto"/>
                <w:bottom w:val="none" w:sz="0" w:space="0" w:color="auto"/>
                <w:right w:val="none" w:sz="0" w:space="0" w:color="auto"/>
              </w:divBdr>
            </w:div>
          </w:divsChild>
        </w:div>
        <w:div w:id="1183857072">
          <w:marLeft w:val="0"/>
          <w:marRight w:val="0"/>
          <w:marTop w:val="0"/>
          <w:marBottom w:val="0"/>
          <w:divBdr>
            <w:top w:val="none" w:sz="0" w:space="0" w:color="auto"/>
            <w:left w:val="none" w:sz="0" w:space="0" w:color="auto"/>
            <w:bottom w:val="none" w:sz="0" w:space="0" w:color="auto"/>
            <w:right w:val="none" w:sz="0" w:space="0" w:color="auto"/>
          </w:divBdr>
          <w:divsChild>
            <w:div w:id="255328882">
              <w:marLeft w:val="0"/>
              <w:marRight w:val="0"/>
              <w:marTop w:val="0"/>
              <w:marBottom w:val="0"/>
              <w:divBdr>
                <w:top w:val="none" w:sz="0" w:space="0" w:color="auto"/>
                <w:left w:val="none" w:sz="0" w:space="0" w:color="auto"/>
                <w:bottom w:val="none" w:sz="0" w:space="0" w:color="auto"/>
                <w:right w:val="none" w:sz="0" w:space="0" w:color="auto"/>
              </w:divBdr>
            </w:div>
          </w:divsChild>
        </w:div>
        <w:div w:id="1502237231">
          <w:marLeft w:val="0"/>
          <w:marRight w:val="0"/>
          <w:marTop w:val="0"/>
          <w:marBottom w:val="0"/>
          <w:divBdr>
            <w:top w:val="none" w:sz="0" w:space="0" w:color="auto"/>
            <w:left w:val="none" w:sz="0" w:space="0" w:color="auto"/>
            <w:bottom w:val="none" w:sz="0" w:space="0" w:color="auto"/>
            <w:right w:val="none" w:sz="0" w:space="0" w:color="auto"/>
          </w:divBdr>
          <w:divsChild>
            <w:div w:id="234127072">
              <w:marLeft w:val="0"/>
              <w:marRight w:val="0"/>
              <w:marTop w:val="0"/>
              <w:marBottom w:val="0"/>
              <w:divBdr>
                <w:top w:val="none" w:sz="0" w:space="0" w:color="auto"/>
                <w:left w:val="none" w:sz="0" w:space="0" w:color="auto"/>
                <w:bottom w:val="none" w:sz="0" w:space="0" w:color="auto"/>
                <w:right w:val="none" w:sz="0" w:space="0" w:color="auto"/>
              </w:divBdr>
            </w:div>
            <w:div w:id="334461329">
              <w:marLeft w:val="0"/>
              <w:marRight w:val="0"/>
              <w:marTop w:val="0"/>
              <w:marBottom w:val="0"/>
              <w:divBdr>
                <w:top w:val="none" w:sz="0" w:space="0" w:color="auto"/>
                <w:left w:val="none" w:sz="0" w:space="0" w:color="auto"/>
                <w:bottom w:val="none" w:sz="0" w:space="0" w:color="auto"/>
                <w:right w:val="none" w:sz="0" w:space="0" w:color="auto"/>
              </w:divBdr>
            </w:div>
            <w:div w:id="1066149701">
              <w:marLeft w:val="0"/>
              <w:marRight w:val="0"/>
              <w:marTop w:val="0"/>
              <w:marBottom w:val="0"/>
              <w:divBdr>
                <w:top w:val="none" w:sz="0" w:space="0" w:color="auto"/>
                <w:left w:val="none" w:sz="0" w:space="0" w:color="auto"/>
                <w:bottom w:val="none" w:sz="0" w:space="0" w:color="auto"/>
                <w:right w:val="none" w:sz="0" w:space="0" w:color="auto"/>
              </w:divBdr>
            </w:div>
            <w:div w:id="1356155491">
              <w:marLeft w:val="0"/>
              <w:marRight w:val="0"/>
              <w:marTop w:val="0"/>
              <w:marBottom w:val="0"/>
              <w:divBdr>
                <w:top w:val="none" w:sz="0" w:space="0" w:color="auto"/>
                <w:left w:val="none" w:sz="0" w:space="0" w:color="auto"/>
                <w:bottom w:val="none" w:sz="0" w:space="0" w:color="auto"/>
                <w:right w:val="none" w:sz="0" w:space="0" w:color="auto"/>
              </w:divBdr>
            </w:div>
          </w:divsChild>
        </w:div>
        <w:div w:id="1658801487">
          <w:marLeft w:val="0"/>
          <w:marRight w:val="0"/>
          <w:marTop w:val="0"/>
          <w:marBottom w:val="0"/>
          <w:divBdr>
            <w:top w:val="none" w:sz="0" w:space="0" w:color="auto"/>
            <w:left w:val="none" w:sz="0" w:space="0" w:color="auto"/>
            <w:bottom w:val="none" w:sz="0" w:space="0" w:color="auto"/>
            <w:right w:val="none" w:sz="0" w:space="0" w:color="auto"/>
          </w:divBdr>
          <w:divsChild>
            <w:div w:id="365301280">
              <w:marLeft w:val="0"/>
              <w:marRight w:val="0"/>
              <w:marTop w:val="0"/>
              <w:marBottom w:val="0"/>
              <w:divBdr>
                <w:top w:val="none" w:sz="0" w:space="0" w:color="auto"/>
                <w:left w:val="none" w:sz="0" w:space="0" w:color="auto"/>
                <w:bottom w:val="none" w:sz="0" w:space="0" w:color="auto"/>
                <w:right w:val="none" w:sz="0" w:space="0" w:color="auto"/>
              </w:divBdr>
            </w:div>
          </w:divsChild>
        </w:div>
        <w:div w:id="1796825684">
          <w:marLeft w:val="0"/>
          <w:marRight w:val="0"/>
          <w:marTop w:val="0"/>
          <w:marBottom w:val="0"/>
          <w:divBdr>
            <w:top w:val="none" w:sz="0" w:space="0" w:color="auto"/>
            <w:left w:val="none" w:sz="0" w:space="0" w:color="auto"/>
            <w:bottom w:val="none" w:sz="0" w:space="0" w:color="auto"/>
            <w:right w:val="none" w:sz="0" w:space="0" w:color="auto"/>
          </w:divBdr>
          <w:divsChild>
            <w:div w:id="29647153">
              <w:marLeft w:val="0"/>
              <w:marRight w:val="0"/>
              <w:marTop w:val="0"/>
              <w:marBottom w:val="0"/>
              <w:divBdr>
                <w:top w:val="none" w:sz="0" w:space="0" w:color="auto"/>
                <w:left w:val="none" w:sz="0" w:space="0" w:color="auto"/>
                <w:bottom w:val="none" w:sz="0" w:space="0" w:color="auto"/>
                <w:right w:val="none" w:sz="0" w:space="0" w:color="auto"/>
              </w:divBdr>
            </w:div>
            <w:div w:id="923799124">
              <w:marLeft w:val="0"/>
              <w:marRight w:val="0"/>
              <w:marTop w:val="0"/>
              <w:marBottom w:val="0"/>
              <w:divBdr>
                <w:top w:val="none" w:sz="0" w:space="0" w:color="auto"/>
                <w:left w:val="none" w:sz="0" w:space="0" w:color="auto"/>
                <w:bottom w:val="none" w:sz="0" w:space="0" w:color="auto"/>
                <w:right w:val="none" w:sz="0" w:space="0" w:color="auto"/>
              </w:divBdr>
            </w:div>
            <w:div w:id="1026717246">
              <w:marLeft w:val="0"/>
              <w:marRight w:val="0"/>
              <w:marTop w:val="0"/>
              <w:marBottom w:val="0"/>
              <w:divBdr>
                <w:top w:val="none" w:sz="0" w:space="0" w:color="auto"/>
                <w:left w:val="none" w:sz="0" w:space="0" w:color="auto"/>
                <w:bottom w:val="none" w:sz="0" w:space="0" w:color="auto"/>
                <w:right w:val="none" w:sz="0" w:space="0" w:color="auto"/>
              </w:divBdr>
            </w:div>
            <w:div w:id="1094741503">
              <w:marLeft w:val="0"/>
              <w:marRight w:val="0"/>
              <w:marTop w:val="0"/>
              <w:marBottom w:val="0"/>
              <w:divBdr>
                <w:top w:val="none" w:sz="0" w:space="0" w:color="auto"/>
                <w:left w:val="none" w:sz="0" w:space="0" w:color="auto"/>
                <w:bottom w:val="none" w:sz="0" w:space="0" w:color="auto"/>
                <w:right w:val="none" w:sz="0" w:space="0" w:color="auto"/>
              </w:divBdr>
            </w:div>
            <w:div w:id="1158577306">
              <w:marLeft w:val="0"/>
              <w:marRight w:val="0"/>
              <w:marTop w:val="0"/>
              <w:marBottom w:val="0"/>
              <w:divBdr>
                <w:top w:val="none" w:sz="0" w:space="0" w:color="auto"/>
                <w:left w:val="none" w:sz="0" w:space="0" w:color="auto"/>
                <w:bottom w:val="none" w:sz="0" w:space="0" w:color="auto"/>
                <w:right w:val="none" w:sz="0" w:space="0" w:color="auto"/>
              </w:divBdr>
            </w:div>
            <w:div w:id="1398629995">
              <w:marLeft w:val="0"/>
              <w:marRight w:val="0"/>
              <w:marTop w:val="0"/>
              <w:marBottom w:val="0"/>
              <w:divBdr>
                <w:top w:val="none" w:sz="0" w:space="0" w:color="auto"/>
                <w:left w:val="none" w:sz="0" w:space="0" w:color="auto"/>
                <w:bottom w:val="none" w:sz="0" w:space="0" w:color="auto"/>
                <w:right w:val="none" w:sz="0" w:space="0" w:color="auto"/>
              </w:divBdr>
            </w:div>
            <w:div w:id="2144611067">
              <w:marLeft w:val="0"/>
              <w:marRight w:val="0"/>
              <w:marTop w:val="0"/>
              <w:marBottom w:val="0"/>
              <w:divBdr>
                <w:top w:val="none" w:sz="0" w:space="0" w:color="auto"/>
                <w:left w:val="none" w:sz="0" w:space="0" w:color="auto"/>
                <w:bottom w:val="none" w:sz="0" w:space="0" w:color="auto"/>
                <w:right w:val="none" w:sz="0" w:space="0" w:color="auto"/>
              </w:divBdr>
            </w:div>
          </w:divsChild>
        </w:div>
        <w:div w:id="1907301052">
          <w:marLeft w:val="0"/>
          <w:marRight w:val="0"/>
          <w:marTop w:val="0"/>
          <w:marBottom w:val="0"/>
          <w:divBdr>
            <w:top w:val="none" w:sz="0" w:space="0" w:color="auto"/>
            <w:left w:val="none" w:sz="0" w:space="0" w:color="auto"/>
            <w:bottom w:val="none" w:sz="0" w:space="0" w:color="auto"/>
            <w:right w:val="none" w:sz="0" w:space="0" w:color="auto"/>
          </w:divBdr>
          <w:divsChild>
            <w:div w:id="362630529">
              <w:marLeft w:val="0"/>
              <w:marRight w:val="0"/>
              <w:marTop w:val="0"/>
              <w:marBottom w:val="0"/>
              <w:divBdr>
                <w:top w:val="none" w:sz="0" w:space="0" w:color="auto"/>
                <w:left w:val="none" w:sz="0" w:space="0" w:color="auto"/>
                <w:bottom w:val="none" w:sz="0" w:space="0" w:color="auto"/>
                <w:right w:val="none" w:sz="0" w:space="0" w:color="auto"/>
              </w:divBdr>
            </w:div>
          </w:divsChild>
        </w:div>
        <w:div w:id="1928490439">
          <w:marLeft w:val="0"/>
          <w:marRight w:val="0"/>
          <w:marTop w:val="0"/>
          <w:marBottom w:val="0"/>
          <w:divBdr>
            <w:top w:val="none" w:sz="0" w:space="0" w:color="auto"/>
            <w:left w:val="none" w:sz="0" w:space="0" w:color="auto"/>
            <w:bottom w:val="none" w:sz="0" w:space="0" w:color="auto"/>
            <w:right w:val="none" w:sz="0" w:space="0" w:color="auto"/>
          </w:divBdr>
          <w:divsChild>
            <w:div w:id="1984190053">
              <w:marLeft w:val="0"/>
              <w:marRight w:val="0"/>
              <w:marTop w:val="0"/>
              <w:marBottom w:val="0"/>
              <w:divBdr>
                <w:top w:val="none" w:sz="0" w:space="0" w:color="auto"/>
                <w:left w:val="none" w:sz="0" w:space="0" w:color="auto"/>
                <w:bottom w:val="none" w:sz="0" w:space="0" w:color="auto"/>
                <w:right w:val="none" w:sz="0" w:space="0" w:color="auto"/>
              </w:divBdr>
            </w:div>
          </w:divsChild>
        </w:div>
        <w:div w:id="1951207247">
          <w:marLeft w:val="0"/>
          <w:marRight w:val="0"/>
          <w:marTop w:val="0"/>
          <w:marBottom w:val="0"/>
          <w:divBdr>
            <w:top w:val="none" w:sz="0" w:space="0" w:color="auto"/>
            <w:left w:val="none" w:sz="0" w:space="0" w:color="auto"/>
            <w:bottom w:val="none" w:sz="0" w:space="0" w:color="auto"/>
            <w:right w:val="none" w:sz="0" w:space="0" w:color="auto"/>
          </w:divBdr>
          <w:divsChild>
            <w:div w:id="1872184841">
              <w:marLeft w:val="0"/>
              <w:marRight w:val="0"/>
              <w:marTop w:val="0"/>
              <w:marBottom w:val="0"/>
              <w:divBdr>
                <w:top w:val="none" w:sz="0" w:space="0" w:color="auto"/>
                <w:left w:val="none" w:sz="0" w:space="0" w:color="auto"/>
                <w:bottom w:val="none" w:sz="0" w:space="0" w:color="auto"/>
                <w:right w:val="none" w:sz="0" w:space="0" w:color="auto"/>
              </w:divBdr>
            </w:div>
          </w:divsChild>
        </w:div>
        <w:div w:id="2109232851">
          <w:marLeft w:val="0"/>
          <w:marRight w:val="0"/>
          <w:marTop w:val="0"/>
          <w:marBottom w:val="0"/>
          <w:divBdr>
            <w:top w:val="none" w:sz="0" w:space="0" w:color="auto"/>
            <w:left w:val="none" w:sz="0" w:space="0" w:color="auto"/>
            <w:bottom w:val="none" w:sz="0" w:space="0" w:color="auto"/>
            <w:right w:val="none" w:sz="0" w:space="0" w:color="auto"/>
          </w:divBdr>
          <w:divsChild>
            <w:div w:id="12175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2170">
      <w:bodyDiv w:val="1"/>
      <w:marLeft w:val="0"/>
      <w:marRight w:val="0"/>
      <w:marTop w:val="0"/>
      <w:marBottom w:val="0"/>
      <w:divBdr>
        <w:top w:val="none" w:sz="0" w:space="0" w:color="auto"/>
        <w:left w:val="none" w:sz="0" w:space="0" w:color="auto"/>
        <w:bottom w:val="none" w:sz="0" w:space="0" w:color="auto"/>
        <w:right w:val="none" w:sz="0" w:space="0" w:color="auto"/>
      </w:divBdr>
      <w:divsChild>
        <w:div w:id="311834275">
          <w:marLeft w:val="850"/>
          <w:marRight w:val="0"/>
          <w:marTop w:val="0"/>
          <w:marBottom w:val="0"/>
          <w:divBdr>
            <w:top w:val="none" w:sz="0" w:space="0" w:color="auto"/>
            <w:left w:val="none" w:sz="0" w:space="0" w:color="auto"/>
            <w:bottom w:val="none" w:sz="0" w:space="0" w:color="auto"/>
            <w:right w:val="none" w:sz="0" w:space="0" w:color="auto"/>
          </w:divBdr>
        </w:div>
        <w:div w:id="400252289">
          <w:marLeft w:val="850"/>
          <w:marRight w:val="0"/>
          <w:marTop w:val="0"/>
          <w:marBottom w:val="0"/>
          <w:divBdr>
            <w:top w:val="none" w:sz="0" w:space="0" w:color="auto"/>
            <w:left w:val="none" w:sz="0" w:space="0" w:color="auto"/>
            <w:bottom w:val="none" w:sz="0" w:space="0" w:color="auto"/>
            <w:right w:val="none" w:sz="0" w:space="0" w:color="auto"/>
          </w:divBdr>
        </w:div>
        <w:div w:id="578559174">
          <w:marLeft w:val="850"/>
          <w:marRight w:val="0"/>
          <w:marTop w:val="0"/>
          <w:marBottom w:val="0"/>
          <w:divBdr>
            <w:top w:val="none" w:sz="0" w:space="0" w:color="auto"/>
            <w:left w:val="none" w:sz="0" w:space="0" w:color="auto"/>
            <w:bottom w:val="none" w:sz="0" w:space="0" w:color="auto"/>
            <w:right w:val="none" w:sz="0" w:space="0" w:color="auto"/>
          </w:divBdr>
        </w:div>
        <w:div w:id="591790144">
          <w:marLeft w:val="850"/>
          <w:marRight w:val="0"/>
          <w:marTop w:val="0"/>
          <w:marBottom w:val="0"/>
          <w:divBdr>
            <w:top w:val="none" w:sz="0" w:space="0" w:color="auto"/>
            <w:left w:val="none" w:sz="0" w:space="0" w:color="auto"/>
            <w:bottom w:val="none" w:sz="0" w:space="0" w:color="auto"/>
            <w:right w:val="none" w:sz="0" w:space="0" w:color="auto"/>
          </w:divBdr>
        </w:div>
        <w:div w:id="645276867">
          <w:marLeft w:val="446"/>
          <w:marRight w:val="0"/>
          <w:marTop w:val="0"/>
          <w:marBottom w:val="0"/>
          <w:divBdr>
            <w:top w:val="none" w:sz="0" w:space="0" w:color="auto"/>
            <w:left w:val="none" w:sz="0" w:space="0" w:color="auto"/>
            <w:bottom w:val="none" w:sz="0" w:space="0" w:color="auto"/>
            <w:right w:val="none" w:sz="0" w:space="0" w:color="auto"/>
          </w:divBdr>
        </w:div>
        <w:div w:id="704015738">
          <w:marLeft w:val="850"/>
          <w:marRight w:val="0"/>
          <w:marTop w:val="0"/>
          <w:marBottom w:val="0"/>
          <w:divBdr>
            <w:top w:val="none" w:sz="0" w:space="0" w:color="auto"/>
            <w:left w:val="none" w:sz="0" w:space="0" w:color="auto"/>
            <w:bottom w:val="none" w:sz="0" w:space="0" w:color="auto"/>
            <w:right w:val="none" w:sz="0" w:space="0" w:color="auto"/>
          </w:divBdr>
        </w:div>
        <w:div w:id="772477000">
          <w:marLeft w:val="274"/>
          <w:marRight w:val="0"/>
          <w:marTop w:val="0"/>
          <w:marBottom w:val="0"/>
          <w:divBdr>
            <w:top w:val="none" w:sz="0" w:space="0" w:color="auto"/>
            <w:left w:val="none" w:sz="0" w:space="0" w:color="auto"/>
            <w:bottom w:val="none" w:sz="0" w:space="0" w:color="auto"/>
            <w:right w:val="none" w:sz="0" w:space="0" w:color="auto"/>
          </w:divBdr>
        </w:div>
        <w:div w:id="802767533">
          <w:marLeft w:val="850"/>
          <w:marRight w:val="0"/>
          <w:marTop w:val="0"/>
          <w:marBottom w:val="0"/>
          <w:divBdr>
            <w:top w:val="none" w:sz="0" w:space="0" w:color="auto"/>
            <w:left w:val="none" w:sz="0" w:space="0" w:color="auto"/>
            <w:bottom w:val="none" w:sz="0" w:space="0" w:color="auto"/>
            <w:right w:val="none" w:sz="0" w:space="0" w:color="auto"/>
          </w:divBdr>
        </w:div>
        <w:div w:id="851912759">
          <w:marLeft w:val="850"/>
          <w:marRight w:val="0"/>
          <w:marTop w:val="0"/>
          <w:marBottom w:val="0"/>
          <w:divBdr>
            <w:top w:val="none" w:sz="0" w:space="0" w:color="auto"/>
            <w:left w:val="none" w:sz="0" w:space="0" w:color="auto"/>
            <w:bottom w:val="none" w:sz="0" w:space="0" w:color="auto"/>
            <w:right w:val="none" w:sz="0" w:space="0" w:color="auto"/>
          </w:divBdr>
        </w:div>
        <w:div w:id="903565634">
          <w:marLeft w:val="850"/>
          <w:marRight w:val="0"/>
          <w:marTop w:val="0"/>
          <w:marBottom w:val="0"/>
          <w:divBdr>
            <w:top w:val="none" w:sz="0" w:space="0" w:color="auto"/>
            <w:left w:val="none" w:sz="0" w:space="0" w:color="auto"/>
            <w:bottom w:val="none" w:sz="0" w:space="0" w:color="auto"/>
            <w:right w:val="none" w:sz="0" w:space="0" w:color="auto"/>
          </w:divBdr>
        </w:div>
        <w:div w:id="903875837">
          <w:marLeft w:val="850"/>
          <w:marRight w:val="0"/>
          <w:marTop w:val="0"/>
          <w:marBottom w:val="0"/>
          <w:divBdr>
            <w:top w:val="none" w:sz="0" w:space="0" w:color="auto"/>
            <w:left w:val="none" w:sz="0" w:space="0" w:color="auto"/>
            <w:bottom w:val="none" w:sz="0" w:space="0" w:color="auto"/>
            <w:right w:val="none" w:sz="0" w:space="0" w:color="auto"/>
          </w:divBdr>
        </w:div>
        <w:div w:id="909539610">
          <w:marLeft w:val="850"/>
          <w:marRight w:val="0"/>
          <w:marTop w:val="0"/>
          <w:marBottom w:val="0"/>
          <w:divBdr>
            <w:top w:val="none" w:sz="0" w:space="0" w:color="auto"/>
            <w:left w:val="none" w:sz="0" w:space="0" w:color="auto"/>
            <w:bottom w:val="none" w:sz="0" w:space="0" w:color="auto"/>
            <w:right w:val="none" w:sz="0" w:space="0" w:color="auto"/>
          </w:divBdr>
        </w:div>
        <w:div w:id="923029434">
          <w:marLeft w:val="850"/>
          <w:marRight w:val="0"/>
          <w:marTop w:val="0"/>
          <w:marBottom w:val="0"/>
          <w:divBdr>
            <w:top w:val="none" w:sz="0" w:space="0" w:color="auto"/>
            <w:left w:val="none" w:sz="0" w:space="0" w:color="auto"/>
            <w:bottom w:val="none" w:sz="0" w:space="0" w:color="auto"/>
            <w:right w:val="none" w:sz="0" w:space="0" w:color="auto"/>
          </w:divBdr>
        </w:div>
        <w:div w:id="956104929">
          <w:marLeft w:val="274"/>
          <w:marRight w:val="0"/>
          <w:marTop w:val="0"/>
          <w:marBottom w:val="0"/>
          <w:divBdr>
            <w:top w:val="none" w:sz="0" w:space="0" w:color="auto"/>
            <w:left w:val="none" w:sz="0" w:space="0" w:color="auto"/>
            <w:bottom w:val="none" w:sz="0" w:space="0" w:color="auto"/>
            <w:right w:val="none" w:sz="0" w:space="0" w:color="auto"/>
          </w:divBdr>
        </w:div>
        <w:div w:id="1036079615">
          <w:marLeft w:val="274"/>
          <w:marRight w:val="0"/>
          <w:marTop w:val="0"/>
          <w:marBottom w:val="0"/>
          <w:divBdr>
            <w:top w:val="none" w:sz="0" w:space="0" w:color="auto"/>
            <w:left w:val="none" w:sz="0" w:space="0" w:color="auto"/>
            <w:bottom w:val="none" w:sz="0" w:space="0" w:color="auto"/>
            <w:right w:val="none" w:sz="0" w:space="0" w:color="auto"/>
          </w:divBdr>
        </w:div>
        <w:div w:id="1036664222">
          <w:marLeft w:val="850"/>
          <w:marRight w:val="0"/>
          <w:marTop w:val="0"/>
          <w:marBottom w:val="0"/>
          <w:divBdr>
            <w:top w:val="none" w:sz="0" w:space="0" w:color="auto"/>
            <w:left w:val="none" w:sz="0" w:space="0" w:color="auto"/>
            <w:bottom w:val="none" w:sz="0" w:space="0" w:color="auto"/>
            <w:right w:val="none" w:sz="0" w:space="0" w:color="auto"/>
          </w:divBdr>
        </w:div>
        <w:div w:id="1053427830">
          <w:marLeft w:val="850"/>
          <w:marRight w:val="0"/>
          <w:marTop w:val="0"/>
          <w:marBottom w:val="0"/>
          <w:divBdr>
            <w:top w:val="none" w:sz="0" w:space="0" w:color="auto"/>
            <w:left w:val="none" w:sz="0" w:space="0" w:color="auto"/>
            <w:bottom w:val="none" w:sz="0" w:space="0" w:color="auto"/>
            <w:right w:val="none" w:sz="0" w:space="0" w:color="auto"/>
          </w:divBdr>
        </w:div>
        <w:div w:id="1159805453">
          <w:marLeft w:val="850"/>
          <w:marRight w:val="0"/>
          <w:marTop w:val="0"/>
          <w:marBottom w:val="0"/>
          <w:divBdr>
            <w:top w:val="none" w:sz="0" w:space="0" w:color="auto"/>
            <w:left w:val="none" w:sz="0" w:space="0" w:color="auto"/>
            <w:bottom w:val="none" w:sz="0" w:space="0" w:color="auto"/>
            <w:right w:val="none" w:sz="0" w:space="0" w:color="auto"/>
          </w:divBdr>
        </w:div>
        <w:div w:id="1413889577">
          <w:marLeft w:val="274"/>
          <w:marRight w:val="0"/>
          <w:marTop w:val="0"/>
          <w:marBottom w:val="0"/>
          <w:divBdr>
            <w:top w:val="none" w:sz="0" w:space="0" w:color="auto"/>
            <w:left w:val="none" w:sz="0" w:space="0" w:color="auto"/>
            <w:bottom w:val="none" w:sz="0" w:space="0" w:color="auto"/>
            <w:right w:val="none" w:sz="0" w:space="0" w:color="auto"/>
          </w:divBdr>
        </w:div>
        <w:div w:id="1456175280">
          <w:marLeft w:val="850"/>
          <w:marRight w:val="0"/>
          <w:marTop w:val="0"/>
          <w:marBottom w:val="0"/>
          <w:divBdr>
            <w:top w:val="none" w:sz="0" w:space="0" w:color="auto"/>
            <w:left w:val="none" w:sz="0" w:space="0" w:color="auto"/>
            <w:bottom w:val="none" w:sz="0" w:space="0" w:color="auto"/>
            <w:right w:val="none" w:sz="0" w:space="0" w:color="auto"/>
          </w:divBdr>
        </w:div>
        <w:div w:id="1571232535">
          <w:marLeft w:val="274"/>
          <w:marRight w:val="0"/>
          <w:marTop w:val="0"/>
          <w:marBottom w:val="0"/>
          <w:divBdr>
            <w:top w:val="none" w:sz="0" w:space="0" w:color="auto"/>
            <w:left w:val="none" w:sz="0" w:space="0" w:color="auto"/>
            <w:bottom w:val="none" w:sz="0" w:space="0" w:color="auto"/>
            <w:right w:val="none" w:sz="0" w:space="0" w:color="auto"/>
          </w:divBdr>
        </w:div>
        <w:div w:id="1573347476">
          <w:marLeft w:val="850"/>
          <w:marRight w:val="0"/>
          <w:marTop w:val="0"/>
          <w:marBottom w:val="0"/>
          <w:divBdr>
            <w:top w:val="none" w:sz="0" w:space="0" w:color="auto"/>
            <w:left w:val="none" w:sz="0" w:space="0" w:color="auto"/>
            <w:bottom w:val="none" w:sz="0" w:space="0" w:color="auto"/>
            <w:right w:val="none" w:sz="0" w:space="0" w:color="auto"/>
          </w:divBdr>
        </w:div>
        <w:div w:id="1604452973">
          <w:marLeft w:val="850"/>
          <w:marRight w:val="0"/>
          <w:marTop w:val="0"/>
          <w:marBottom w:val="0"/>
          <w:divBdr>
            <w:top w:val="none" w:sz="0" w:space="0" w:color="auto"/>
            <w:left w:val="none" w:sz="0" w:space="0" w:color="auto"/>
            <w:bottom w:val="none" w:sz="0" w:space="0" w:color="auto"/>
            <w:right w:val="none" w:sz="0" w:space="0" w:color="auto"/>
          </w:divBdr>
        </w:div>
        <w:div w:id="1606111730">
          <w:marLeft w:val="274"/>
          <w:marRight w:val="0"/>
          <w:marTop w:val="0"/>
          <w:marBottom w:val="0"/>
          <w:divBdr>
            <w:top w:val="none" w:sz="0" w:space="0" w:color="auto"/>
            <w:left w:val="none" w:sz="0" w:space="0" w:color="auto"/>
            <w:bottom w:val="none" w:sz="0" w:space="0" w:color="auto"/>
            <w:right w:val="none" w:sz="0" w:space="0" w:color="auto"/>
          </w:divBdr>
        </w:div>
        <w:div w:id="1673675556">
          <w:marLeft w:val="850"/>
          <w:marRight w:val="0"/>
          <w:marTop w:val="0"/>
          <w:marBottom w:val="0"/>
          <w:divBdr>
            <w:top w:val="none" w:sz="0" w:space="0" w:color="auto"/>
            <w:left w:val="none" w:sz="0" w:space="0" w:color="auto"/>
            <w:bottom w:val="none" w:sz="0" w:space="0" w:color="auto"/>
            <w:right w:val="none" w:sz="0" w:space="0" w:color="auto"/>
          </w:divBdr>
        </w:div>
        <w:div w:id="1748726040">
          <w:marLeft w:val="274"/>
          <w:marRight w:val="0"/>
          <w:marTop w:val="0"/>
          <w:marBottom w:val="0"/>
          <w:divBdr>
            <w:top w:val="none" w:sz="0" w:space="0" w:color="auto"/>
            <w:left w:val="none" w:sz="0" w:space="0" w:color="auto"/>
            <w:bottom w:val="none" w:sz="0" w:space="0" w:color="auto"/>
            <w:right w:val="none" w:sz="0" w:space="0" w:color="auto"/>
          </w:divBdr>
        </w:div>
        <w:div w:id="1800490499">
          <w:marLeft w:val="850"/>
          <w:marRight w:val="0"/>
          <w:marTop w:val="0"/>
          <w:marBottom w:val="0"/>
          <w:divBdr>
            <w:top w:val="none" w:sz="0" w:space="0" w:color="auto"/>
            <w:left w:val="none" w:sz="0" w:space="0" w:color="auto"/>
            <w:bottom w:val="none" w:sz="0" w:space="0" w:color="auto"/>
            <w:right w:val="none" w:sz="0" w:space="0" w:color="auto"/>
          </w:divBdr>
        </w:div>
        <w:div w:id="2041779201">
          <w:marLeft w:val="274"/>
          <w:marRight w:val="0"/>
          <w:marTop w:val="0"/>
          <w:marBottom w:val="0"/>
          <w:divBdr>
            <w:top w:val="none" w:sz="0" w:space="0" w:color="auto"/>
            <w:left w:val="none" w:sz="0" w:space="0" w:color="auto"/>
            <w:bottom w:val="none" w:sz="0" w:space="0" w:color="auto"/>
            <w:right w:val="none" w:sz="0" w:space="0" w:color="auto"/>
          </w:divBdr>
        </w:div>
        <w:div w:id="2044089754">
          <w:marLeft w:val="850"/>
          <w:marRight w:val="0"/>
          <w:marTop w:val="0"/>
          <w:marBottom w:val="0"/>
          <w:divBdr>
            <w:top w:val="none" w:sz="0" w:space="0" w:color="auto"/>
            <w:left w:val="none" w:sz="0" w:space="0" w:color="auto"/>
            <w:bottom w:val="none" w:sz="0" w:space="0" w:color="auto"/>
            <w:right w:val="none" w:sz="0" w:space="0" w:color="auto"/>
          </w:divBdr>
        </w:div>
        <w:div w:id="2068913028">
          <w:marLeft w:val="850"/>
          <w:marRight w:val="0"/>
          <w:marTop w:val="0"/>
          <w:marBottom w:val="0"/>
          <w:divBdr>
            <w:top w:val="none" w:sz="0" w:space="0" w:color="auto"/>
            <w:left w:val="none" w:sz="0" w:space="0" w:color="auto"/>
            <w:bottom w:val="none" w:sz="0" w:space="0" w:color="auto"/>
            <w:right w:val="none" w:sz="0" w:space="0" w:color="auto"/>
          </w:divBdr>
        </w:div>
      </w:divsChild>
    </w:div>
    <w:div w:id="248806921">
      <w:bodyDiv w:val="1"/>
      <w:marLeft w:val="0"/>
      <w:marRight w:val="0"/>
      <w:marTop w:val="0"/>
      <w:marBottom w:val="0"/>
      <w:divBdr>
        <w:top w:val="none" w:sz="0" w:space="0" w:color="auto"/>
        <w:left w:val="none" w:sz="0" w:space="0" w:color="auto"/>
        <w:bottom w:val="none" w:sz="0" w:space="0" w:color="auto"/>
        <w:right w:val="none" w:sz="0" w:space="0" w:color="auto"/>
      </w:divBdr>
    </w:div>
    <w:div w:id="254899792">
      <w:bodyDiv w:val="1"/>
      <w:marLeft w:val="0"/>
      <w:marRight w:val="0"/>
      <w:marTop w:val="0"/>
      <w:marBottom w:val="0"/>
      <w:divBdr>
        <w:top w:val="none" w:sz="0" w:space="0" w:color="auto"/>
        <w:left w:val="none" w:sz="0" w:space="0" w:color="auto"/>
        <w:bottom w:val="none" w:sz="0" w:space="0" w:color="auto"/>
        <w:right w:val="none" w:sz="0" w:space="0" w:color="auto"/>
      </w:divBdr>
      <w:divsChild>
        <w:div w:id="266692946">
          <w:marLeft w:val="850"/>
          <w:marRight w:val="0"/>
          <w:marTop w:val="0"/>
          <w:marBottom w:val="0"/>
          <w:divBdr>
            <w:top w:val="none" w:sz="0" w:space="0" w:color="auto"/>
            <w:left w:val="none" w:sz="0" w:space="0" w:color="auto"/>
            <w:bottom w:val="none" w:sz="0" w:space="0" w:color="auto"/>
            <w:right w:val="none" w:sz="0" w:space="0" w:color="auto"/>
          </w:divBdr>
        </w:div>
        <w:div w:id="1427269007">
          <w:marLeft w:val="850"/>
          <w:marRight w:val="0"/>
          <w:marTop w:val="0"/>
          <w:marBottom w:val="0"/>
          <w:divBdr>
            <w:top w:val="none" w:sz="0" w:space="0" w:color="auto"/>
            <w:left w:val="none" w:sz="0" w:space="0" w:color="auto"/>
            <w:bottom w:val="none" w:sz="0" w:space="0" w:color="auto"/>
            <w:right w:val="none" w:sz="0" w:space="0" w:color="auto"/>
          </w:divBdr>
        </w:div>
      </w:divsChild>
    </w:div>
    <w:div w:id="347758563">
      <w:bodyDiv w:val="1"/>
      <w:marLeft w:val="0"/>
      <w:marRight w:val="0"/>
      <w:marTop w:val="0"/>
      <w:marBottom w:val="0"/>
      <w:divBdr>
        <w:top w:val="none" w:sz="0" w:space="0" w:color="auto"/>
        <w:left w:val="none" w:sz="0" w:space="0" w:color="auto"/>
        <w:bottom w:val="none" w:sz="0" w:space="0" w:color="auto"/>
        <w:right w:val="none" w:sz="0" w:space="0" w:color="auto"/>
      </w:divBdr>
    </w:div>
    <w:div w:id="431320543">
      <w:bodyDiv w:val="1"/>
      <w:marLeft w:val="0"/>
      <w:marRight w:val="0"/>
      <w:marTop w:val="0"/>
      <w:marBottom w:val="0"/>
      <w:divBdr>
        <w:top w:val="none" w:sz="0" w:space="0" w:color="auto"/>
        <w:left w:val="none" w:sz="0" w:space="0" w:color="auto"/>
        <w:bottom w:val="none" w:sz="0" w:space="0" w:color="auto"/>
        <w:right w:val="none" w:sz="0" w:space="0" w:color="auto"/>
      </w:divBdr>
      <w:divsChild>
        <w:div w:id="169683334">
          <w:marLeft w:val="850"/>
          <w:marRight w:val="0"/>
          <w:marTop w:val="0"/>
          <w:marBottom w:val="0"/>
          <w:divBdr>
            <w:top w:val="none" w:sz="0" w:space="0" w:color="auto"/>
            <w:left w:val="none" w:sz="0" w:space="0" w:color="auto"/>
            <w:bottom w:val="none" w:sz="0" w:space="0" w:color="auto"/>
            <w:right w:val="none" w:sz="0" w:space="0" w:color="auto"/>
          </w:divBdr>
        </w:div>
        <w:div w:id="1831671373">
          <w:marLeft w:val="850"/>
          <w:marRight w:val="0"/>
          <w:marTop w:val="0"/>
          <w:marBottom w:val="0"/>
          <w:divBdr>
            <w:top w:val="none" w:sz="0" w:space="0" w:color="auto"/>
            <w:left w:val="none" w:sz="0" w:space="0" w:color="auto"/>
            <w:bottom w:val="none" w:sz="0" w:space="0" w:color="auto"/>
            <w:right w:val="none" w:sz="0" w:space="0" w:color="auto"/>
          </w:divBdr>
        </w:div>
      </w:divsChild>
    </w:div>
    <w:div w:id="474877135">
      <w:bodyDiv w:val="1"/>
      <w:marLeft w:val="0"/>
      <w:marRight w:val="0"/>
      <w:marTop w:val="0"/>
      <w:marBottom w:val="0"/>
      <w:divBdr>
        <w:top w:val="none" w:sz="0" w:space="0" w:color="auto"/>
        <w:left w:val="none" w:sz="0" w:space="0" w:color="auto"/>
        <w:bottom w:val="none" w:sz="0" w:space="0" w:color="auto"/>
        <w:right w:val="none" w:sz="0" w:space="0" w:color="auto"/>
      </w:divBdr>
    </w:div>
    <w:div w:id="506870552">
      <w:bodyDiv w:val="1"/>
      <w:marLeft w:val="0"/>
      <w:marRight w:val="0"/>
      <w:marTop w:val="0"/>
      <w:marBottom w:val="0"/>
      <w:divBdr>
        <w:top w:val="none" w:sz="0" w:space="0" w:color="auto"/>
        <w:left w:val="none" w:sz="0" w:space="0" w:color="auto"/>
        <w:bottom w:val="none" w:sz="0" w:space="0" w:color="auto"/>
        <w:right w:val="none" w:sz="0" w:space="0" w:color="auto"/>
      </w:divBdr>
      <w:divsChild>
        <w:div w:id="72823155">
          <w:marLeft w:val="850"/>
          <w:marRight w:val="0"/>
          <w:marTop w:val="0"/>
          <w:marBottom w:val="0"/>
          <w:divBdr>
            <w:top w:val="none" w:sz="0" w:space="0" w:color="auto"/>
            <w:left w:val="none" w:sz="0" w:space="0" w:color="auto"/>
            <w:bottom w:val="none" w:sz="0" w:space="0" w:color="auto"/>
            <w:right w:val="none" w:sz="0" w:space="0" w:color="auto"/>
          </w:divBdr>
        </w:div>
        <w:div w:id="500850108">
          <w:marLeft w:val="850"/>
          <w:marRight w:val="0"/>
          <w:marTop w:val="0"/>
          <w:marBottom w:val="0"/>
          <w:divBdr>
            <w:top w:val="none" w:sz="0" w:space="0" w:color="auto"/>
            <w:left w:val="none" w:sz="0" w:space="0" w:color="auto"/>
            <w:bottom w:val="none" w:sz="0" w:space="0" w:color="auto"/>
            <w:right w:val="none" w:sz="0" w:space="0" w:color="auto"/>
          </w:divBdr>
        </w:div>
        <w:div w:id="808210026">
          <w:marLeft w:val="850"/>
          <w:marRight w:val="0"/>
          <w:marTop w:val="0"/>
          <w:marBottom w:val="0"/>
          <w:divBdr>
            <w:top w:val="none" w:sz="0" w:space="0" w:color="auto"/>
            <w:left w:val="none" w:sz="0" w:space="0" w:color="auto"/>
            <w:bottom w:val="none" w:sz="0" w:space="0" w:color="auto"/>
            <w:right w:val="none" w:sz="0" w:space="0" w:color="auto"/>
          </w:divBdr>
        </w:div>
        <w:div w:id="954168910">
          <w:marLeft w:val="850"/>
          <w:marRight w:val="0"/>
          <w:marTop w:val="0"/>
          <w:marBottom w:val="0"/>
          <w:divBdr>
            <w:top w:val="none" w:sz="0" w:space="0" w:color="auto"/>
            <w:left w:val="none" w:sz="0" w:space="0" w:color="auto"/>
            <w:bottom w:val="none" w:sz="0" w:space="0" w:color="auto"/>
            <w:right w:val="none" w:sz="0" w:space="0" w:color="auto"/>
          </w:divBdr>
        </w:div>
      </w:divsChild>
    </w:div>
    <w:div w:id="510687227">
      <w:bodyDiv w:val="1"/>
      <w:marLeft w:val="0"/>
      <w:marRight w:val="0"/>
      <w:marTop w:val="0"/>
      <w:marBottom w:val="0"/>
      <w:divBdr>
        <w:top w:val="none" w:sz="0" w:space="0" w:color="auto"/>
        <w:left w:val="none" w:sz="0" w:space="0" w:color="auto"/>
        <w:bottom w:val="none" w:sz="0" w:space="0" w:color="auto"/>
        <w:right w:val="none" w:sz="0" w:space="0" w:color="auto"/>
      </w:divBdr>
    </w:div>
    <w:div w:id="531654672">
      <w:bodyDiv w:val="1"/>
      <w:marLeft w:val="0"/>
      <w:marRight w:val="0"/>
      <w:marTop w:val="0"/>
      <w:marBottom w:val="0"/>
      <w:divBdr>
        <w:top w:val="none" w:sz="0" w:space="0" w:color="auto"/>
        <w:left w:val="none" w:sz="0" w:space="0" w:color="auto"/>
        <w:bottom w:val="none" w:sz="0" w:space="0" w:color="auto"/>
        <w:right w:val="none" w:sz="0" w:space="0" w:color="auto"/>
      </w:divBdr>
      <w:divsChild>
        <w:div w:id="97726475">
          <w:marLeft w:val="0"/>
          <w:marRight w:val="0"/>
          <w:marTop w:val="0"/>
          <w:marBottom w:val="0"/>
          <w:divBdr>
            <w:top w:val="none" w:sz="0" w:space="0" w:color="auto"/>
            <w:left w:val="none" w:sz="0" w:space="0" w:color="auto"/>
            <w:bottom w:val="none" w:sz="0" w:space="0" w:color="auto"/>
            <w:right w:val="none" w:sz="0" w:space="0" w:color="auto"/>
          </w:divBdr>
          <w:divsChild>
            <w:div w:id="745610766">
              <w:marLeft w:val="0"/>
              <w:marRight w:val="0"/>
              <w:marTop w:val="0"/>
              <w:marBottom w:val="0"/>
              <w:divBdr>
                <w:top w:val="none" w:sz="0" w:space="0" w:color="auto"/>
                <w:left w:val="none" w:sz="0" w:space="0" w:color="auto"/>
                <w:bottom w:val="none" w:sz="0" w:space="0" w:color="auto"/>
                <w:right w:val="none" w:sz="0" w:space="0" w:color="auto"/>
              </w:divBdr>
            </w:div>
          </w:divsChild>
        </w:div>
        <w:div w:id="538401947">
          <w:marLeft w:val="0"/>
          <w:marRight w:val="0"/>
          <w:marTop w:val="0"/>
          <w:marBottom w:val="0"/>
          <w:divBdr>
            <w:top w:val="none" w:sz="0" w:space="0" w:color="auto"/>
            <w:left w:val="none" w:sz="0" w:space="0" w:color="auto"/>
            <w:bottom w:val="none" w:sz="0" w:space="0" w:color="auto"/>
            <w:right w:val="none" w:sz="0" w:space="0" w:color="auto"/>
          </w:divBdr>
          <w:divsChild>
            <w:div w:id="447817361">
              <w:marLeft w:val="0"/>
              <w:marRight w:val="0"/>
              <w:marTop w:val="0"/>
              <w:marBottom w:val="0"/>
              <w:divBdr>
                <w:top w:val="none" w:sz="0" w:space="0" w:color="auto"/>
                <w:left w:val="none" w:sz="0" w:space="0" w:color="auto"/>
                <w:bottom w:val="none" w:sz="0" w:space="0" w:color="auto"/>
                <w:right w:val="none" w:sz="0" w:space="0" w:color="auto"/>
              </w:divBdr>
            </w:div>
          </w:divsChild>
        </w:div>
        <w:div w:id="1199321076">
          <w:marLeft w:val="0"/>
          <w:marRight w:val="0"/>
          <w:marTop w:val="0"/>
          <w:marBottom w:val="0"/>
          <w:divBdr>
            <w:top w:val="none" w:sz="0" w:space="0" w:color="auto"/>
            <w:left w:val="none" w:sz="0" w:space="0" w:color="auto"/>
            <w:bottom w:val="none" w:sz="0" w:space="0" w:color="auto"/>
            <w:right w:val="none" w:sz="0" w:space="0" w:color="auto"/>
          </w:divBdr>
          <w:divsChild>
            <w:div w:id="169412582">
              <w:marLeft w:val="0"/>
              <w:marRight w:val="0"/>
              <w:marTop w:val="0"/>
              <w:marBottom w:val="0"/>
              <w:divBdr>
                <w:top w:val="none" w:sz="0" w:space="0" w:color="auto"/>
                <w:left w:val="none" w:sz="0" w:space="0" w:color="auto"/>
                <w:bottom w:val="none" w:sz="0" w:space="0" w:color="auto"/>
                <w:right w:val="none" w:sz="0" w:space="0" w:color="auto"/>
              </w:divBdr>
            </w:div>
            <w:div w:id="812256831">
              <w:marLeft w:val="0"/>
              <w:marRight w:val="0"/>
              <w:marTop w:val="0"/>
              <w:marBottom w:val="0"/>
              <w:divBdr>
                <w:top w:val="none" w:sz="0" w:space="0" w:color="auto"/>
                <w:left w:val="none" w:sz="0" w:space="0" w:color="auto"/>
                <w:bottom w:val="none" w:sz="0" w:space="0" w:color="auto"/>
                <w:right w:val="none" w:sz="0" w:space="0" w:color="auto"/>
              </w:divBdr>
            </w:div>
            <w:div w:id="1974749601">
              <w:marLeft w:val="0"/>
              <w:marRight w:val="0"/>
              <w:marTop w:val="0"/>
              <w:marBottom w:val="0"/>
              <w:divBdr>
                <w:top w:val="none" w:sz="0" w:space="0" w:color="auto"/>
                <w:left w:val="none" w:sz="0" w:space="0" w:color="auto"/>
                <w:bottom w:val="none" w:sz="0" w:space="0" w:color="auto"/>
                <w:right w:val="none" w:sz="0" w:space="0" w:color="auto"/>
              </w:divBdr>
            </w:div>
            <w:div w:id="2134402752">
              <w:marLeft w:val="0"/>
              <w:marRight w:val="0"/>
              <w:marTop w:val="0"/>
              <w:marBottom w:val="0"/>
              <w:divBdr>
                <w:top w:val="none" w:sz="0" w:space="0" w:color="auto"/>
                <w:left w:val="none" w:sz="0" w:space="0" w:color="auto"/>
                <w:bottom w:val="none" w:sz="0" w:space="0" w:color="auto"/>
                <w:right w:val="none" w:sz="0" w:space="0" w:color="auto"/>
              </w:divBdr>
            </w:div>
          </w:divsChild>
        </w:div>
        <w:div w:id="1588924376">
          <w:marLeft w:val="0"/>
          <w:marRight w:val="0"/>
          <w:marTop w:val="0"/>
          <w:marBottom w:val="0"/>
          <w:divBdr>
            <w:top w:val="none" w:sz="0" w:space="0" w:color="auto"/>
            <w:left w:val="none" w:sz="0" w:space="0" w:color="auto"/>
            <w:bottom w:val="none" w:sz="0" w:space="0" w:color="auto"/>
            <w:right w:val="none" w:sz="0" w:space="0" w:color="auto"/>
          </w:divBdr>
          <w:divsChild>
            <w:div w:id="68966715">
              <w:marLeft w:val="0"/>
              <w:marRight w:val="0"/>
              <w:marTop w:val="0"/>
              <w:marBottom w:val="0"/>
              <w:divBdr>
                <w:top w:val="none" w:sz="0" w:space="0" w:color="auto"/>
                <w:left w:val="none" w:sz="0" w:space="0" w:color="auto"/>
                <w:bottom w:val="none" w:sz="0" w:space="0" w:color="auto"/>
                <w:right w:val="none" w:sz="0" w:space="0" w:color="auto"/>
              </w:divBdr>
            </w:div>
            <w:div w:id="1093552639">
              <w:marLeft w:val="0"/>
              <w:marRight w:val="0"/>
              <w:marTop w:val="0"/>
              <w:marBottom w:val="0"/>
              <w:divBdr>
                <w:top w:val="none" w:sz="0" w:space="0" w:color="auto"/>
                <w:left w:val="none" w:sz="0" w:space="0" w:color="auto"/>
                <w:bottom w:val="none" w:sz="0" w:space="0" w:color="auto"/>
                <w:right w:val="none" w:sz="0" w:space="0" w:color="auto"/>
              </w:divBdr>
            </w:div>
            <w:div w:id="1109473694">
              <w:marLeft w:val="0"/>
              <w:marRight w:val="0"/>
              <w:marTop w:val="0"/>
              <w:marBottom w:val="0"/>
              <w:divBdr>
                <w:top w:val="none" w:sz="0" w:space="0" w:color="auto"/>
                <w:left w:val="none" w:sz="0" w:space="0" w:color="auto"/>
                <w:bottom w:val="none" w:sz="0" w:space="0" w:color="auto"/>
                <w:right w:val="none" w:sz="0" w:space="0" w:color="auto"/>
              </w:divBdr>
            </w:div>
          </w:divsChild>
        </w:div>
        <w:div w:id="1804690269">
          <w:marLeft w:val="0"/>
          <w:marRight w:val="0"/>
          <w:marTop w:val="0"/>
          <w:marBottom w:val="0"/>
          <w:divBdr>
            <w:top w:val="none" w:sz="0" w:space="0" w:color="auto"/>
            <w:left w:val="none" w:sz="0" w:space="0" w:color="auto"/>
            <w:bottom w:val="none" w:sz="0" w:space="0" w:color="auto"/>
            <w:right w:val="none" w:sz="0" w:space="0" w:color="auto"/>
          </w:divBdr>
          <w:divsChild>
            <w:div w:id="1478912514">
              <w:marLeft w:val="0"/>
              <w:marRight w:val="0"/>
              <w:marTop w:val="0"/>
              <w:marBottom w:val="0"/>
              <w:divBdr>
                <w:top w:val="none" w:sz="0" w:space="0" w:color="auto"/>
                <w:left w:val="none" w:sz="0" w:space="0" w:color="auto"/>
                <w:bottom w:val="none" w:sz="0" w:space="0" w:color="auto"/>
                <w:right w:val="none" w:sz="0" w:space="0" w:color="auto"/>
              </w:divBdr>
            </w:div>
            <w:div w:id="1597403187">
              <w:marLeft w:val="0"/>
              <w:marRight w:val="0"/>
              <w:marTop w:val="0"/>
              <w:marBottom w:val="0"/>
              <w:divBdr>
                <w:top w:val="none" w:sz="0" w:space="0" w:color="auto"/>
                <w:left w:val="none" w:sz="0" w:space="0" w:color="auto"/>
                <w:bottom w:val="none" w:sz="0" w:space="0" w:color="auto"/>
                <w:right w:val="none" w:sz="0" w:space="0" w:color="auto"/>
              </w:divBdr>
            </w:div>
          </w:divsChild>
        </w:div>
        <w:div w:id="1983803515">
          <w:marLeft w:val="0"/>
          <w:marRight w:val="0"/>
          <w:marTop w:val="0"/>
          <w:marBottom w:val="0"/>
          <w:divBdr>
            <w:top w:val="none" w:sz="0" w:space="0" w:color="auto"/>
            <w:left w:val="none" w:sz="0" w:space="0" w:color="auto"/>
            <w:bottom w:val="none" w:sz="0" w:space="0" w:color="auto"/>
            <w:right w:val="none" w:sz="0" w:space="0" w:color="auto"/>
          </w:divBdr>
          <w:divsChild>
            <w:div w:id="1477335289">
              <w:marLeft w:val="0"/>
              <w:marRight w:val="0"/>
              <w:marTop w:val="0"/>
              <w:marBottom w:val="0"/>
              <w:divBdr>
                <w:top w:val="none" w:sz="0" w:space="0" w:color="auto"/>
                <w:left w:val="none" w:sz="0" w:space="0" w:color="auto"/>
                <w:bottom w:val="none" w:sz="0" w:space="0" w:color="auto"/>
                <w:right w:val="none" w:sz="0" w:space="0" w:color="auto"/>
              </w:divBdr>
            </w:div>
            <w:div w:id="20601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5008">
      <w:bodyDiv w:val="1"/>
      <w:marLeft w:val="0"/>
      <w:marRight w:val="0"/>
      <w:marTop w:val="0"/>
      <w:marBottom w:val="0"/>
      <w:divBdr>
        <w:top w:val="none" w:sz="0" w:space="0" w:color="auto"/>
        <w:left w:val="none" w:sz="0" w:space="0" w:color="auto"/>
        <w:bottom w:val="none" w:sz="0" w:space="0" w:color="auto"/>
        <w:right w:val="none" w:sz="0" w:space="0" w:color="auto"/>
      </w:divBdr>
    </w:div>
    <w:div w:id="713582894">
      <w:bodyDiv w:val="1"/>
      <w:marLeft w:val="0"/>
      <w:marRight w:val="0"/>
      <w:marTop w:val="0"/>
      <w:marBottom w:val="0"/>
      <w:divBdr>
        <w:top w:val="none" w:sz="0" w:space="0" w:color="auto"/>
        <w:left w:val="none" w:sz="0" w:space="0" w:color="auto"/>
        <w:bottom w:val="none" w:sz="0" w:space="0" w:color="auto"/>
        <w:right w:val="none" w:sz="0" w:space="0" w:color="auto"/>
      </w:divBdr>
      <w:divsChild>
        <w:div w:id="1125269243">
          <w:marLeft w:val="-180"/>
          <w:marRight w:val="-180"/>
          <w:marTop w:val="0"/>
          <w:marBottom w:val="0"/>
          <w:divBdr>
            <w:top w:val="none" w:sz="0" w:space="0" w:color="auto"/>
            <w:left w:val="none" w:sz="0" w:space="0" w:color="auto"/>
            <w:bottom w:val="none" w:sz="0" w:space="0" w:color="auto"/>
            <w:right w:val="none" w:sz="0" w:space="0" w:color="auto"/>
          </w:divBdr>
          <w:divsChild>
            <w:div w:id="537671132">
              <w:marLeft w:val="0"/>
              <w:marRight w:val="0"/>
              <w:marTop w:val="0"/>
              <w:marBottom w:val="0"/>
              <w:divBdr>
                <w:top w:val="none" w:sz="0" w:space="0" w:color="auto"/>
                <w:left w:val="none" w:sz="0" w:space="0" w:color="auto"/>
                <w:bottom w:val="none" w:sz="0" w:space="0" w:color="auto"/>
                <w:right w:val="none" w:sz="0" w:space="0" w:color="auto"/>
              </w:divBdr>
              <w:divsChild>
                <w:div w:id="1581720946">
                  <w:marLeft w:val="0"/>
                  <w:marRight w:val="0"/>
                  <w:marTop w:val="0"/>
                  <w:marBottom w:val="0"/>
                  <w:divBdr>
                    <w:top w:val="none" w:sz="0" w:space="0" w:color="auto"/>
                    <w:left w:val="none" w:sz="0" w:space="0" w:color="auto"/>
                    <w:bottom w:val="none" w:sz="0" w:space="0" w:color="auto"/>
                    <w:right w:val="none" w:sz="0" w:space="0" w:color="auto"/>
                  </w:divBdr>
                  <w:divsChild>
                    <w:div w:id="11848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11988">
          <w:marLeft w:val="-180"/>
          <w:marRight w:val="-180"/>
          <w:marTop w:val="0"/>
          <w:marBottom w:val="0"/>
          <w:divBdr>
            <w:top w:val="none" w:sz="0" w:space="0" w:color="auto"/>
            <w:left w:val="none" w:sz="0" w:space="0" w:color="auto"/>
            <w:bottom w:val="none" w:sz="0" w:space="0" w:color="auto"/>
            <w:right w:val="none" w:sz="0" w:space="0" w:color="auto"/>
          </w:divBdr>
          <w:divsChild>
            <w:div w:id="220484844">
              <w:marLeft w:val="0"/>
              <w:marRight w:val="0"/>
              <w:marTop w:val="0"/>
              <w:marBottom w:val="0"/>
              <w:divBdr>
                <w:top w:val="none" w:sz="0" w:space="0" w:color="auto"/>
                <w:left w:val="none" w:sz="0" w:space="0" w:color="auto"/>
                <w:bottom w:val="none" w:sz="0" w:space="0" w:color="auto"/>
                <w:right w:val="none" w:sz="0" w:space="0" w:color="auto"/>
              </w:divBdr>
              <w:divsChild>
                <w:div w:id="2052456849">
                  <w:marLeft w:val="0"/>
                  <w:marRight w:val="0"/>
                  <w:marTop w:val="0"/>
                  <w:marBottom w:val="0"/>
                  <w:divBdr>
                    <w:top w:val="none" w:sz="0" w:space="0" w:color="auto"/>
                    <w:left w:val="none" w:sz="0" w:space="0" w:color="auto"/>
                    <w:bottom w:val="none" w:sz="0" w:space="0" w:color="auto"/>
                    <w:right w:val="none" w:sz="0" w:space="0" w:color="auto"/>
                  </w:divBdr>
                  <w:divsChild>
                    <w:div w:id="1080978604">
                      <w:marLeft w:val="0"/>
                      <w:marRight w:val="0"/>
                      <w:marTop w:val="0"/>
                      <w:marBottom w:val="0"/>
                      <w:divBdr>
                        <w:top w:val="none" w:sz="0" w:space="0" w:color="auto"/>
                        <w:left w:val="none" w:sz="0" w:space="0" w:color="auto"/>
                        <w:bottom w:val="none" w:sz="0" w:space="0" w:color="auto"/>
                        <w:right w:val="none" w:sz="0" w:space="0" w:color="auto"/>
                      </w:divBdr>
                    </w:div>
                    <w:div w:id="1967928860">
                      <w:marLeft w:val="0"/>
                      <w:marRight w:val="0"/>
                      <w:marTop w:val="0"/>
                      <w:marBottom w:val="0"/>
                      <w:divBdr>
                        <w:top w:val="none" w:sz="0" w:space="0" w:color="auto"/>
                        <w:left w:val="none" w:sz="0" w:space="0" w:color="auto"/>
                        <w:bottom w:val="none" w:sz="0" w:space="0" w:color="auto"/>
                        <w:right w:val="none" w:sz="0" w:space="0" w:color="auto"/>
                      </w:divBdr>
                      <w:divsChild>
                        <w:div w:id="9002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026449">
      <w:bodyDiv w:val="1"/>
      <w:marLeft w:val="0"/>
      <w:marRight w:val="0"/>
      <w:marTop w:val="0"/>
      <w:marBottom w:val="0"/>
      <w:divBdr>
        <w:top w:val="none" w:sz="0" w:space="0" w:color="auto"/>
        <w:left w:val="none" w:sz="0" w:space="0" w:color="auto"/>
        <w:bottom w:val="none" w:sz="0" w:space="0" w:color="auto"/>
        <w:right w:val="none" w:sz="0" w:space="0" w:color="auto"/>
      </w:divBdr>
      <w:divsChild>
        <w:div w:id="905191084">
          <w:marLeft w:val="850"/>
          <w:marRight w:val="0"/>
          <w:marTop w:val="0"/>
          <w:marBottom w:val="0"/>
          <w:divBdr>
            <w:top w:val="none" w:sz="0" w:space="0" w:color="auto"/>
            <w:left w:val="none" w:sz="0" w:space="0" w:color="auto"/>
            <w:bottom w:val="none" w:sz="0" w:space="0" w:color="auto"/>
            <w:right w:val="none" w:sz="0" w:space="0" w:color="auto"/>
          </w:divBdr>
        </w:div>
        <w:div w:id="1686400148">
          <w:marLeft w:val="850"/>
          <w:marRight w:val="0"/>
          <w:marTop w:val="0"/>
          <w:marBottom w:val="0"/>
          <w:divBdr>
            <w:top w:val="none" w:sz="0" w:space="0" w:color="auto"/>
            <w:left w:val="none" w:sz="0" w:space="0" w:color="auto"/>
            <w:bottom w:val="none" w:sz="0" w:space="0" w:color="auto"/>
            <w:right w:val="none" w:sz="0" w:space="0" w:color="auto"/>
          </w:divBdr>
        </w:div>
        <w:div w:id="1937130321">
          <w:marLeft w:val="850"/>
          <w:marRight w:val="0"/>
          <w:marTop w:val="0"/>
          <w:marBottom w:val="0"/>
          <w:divBdr>
            <w:top w:val="none" w:sz="0" w:space="0" w:color="auto"/>
            <w:left w:val="none" w:sz="0" w:space="0" w:color="auto"/>
            <w:bottom w:val="none" w:sz="0" w:space="0" w:color="auto"/>
            <w:right w:val="none" w:sz="0" w:space="0" w:color="auto"/>
          </w:divBdr>
        </w:div>
      </w:divsChild>
    </w:div>
    <w:div w:id="736198476">
      <w:bodyDiv w:val="1"/>
      <w:marLeft w:val="0"/>
      <w:marRight w:val="0"/>
      <w:marTop w:val="0"/>
      <w:marBottom w:val="0"/>
      <w:divBdr>
        <w:top w:val="none" w:sz="0" w:space="0" w:color="auto"/>
        <w:left w:val="none" w:sz="0" w:space="0" w:color="auto"/>
        <w:bottom w:val="none" w:sz="0" w:space="0" w:color="auto"/>
        <w:right w:val="none" w:sz="0" w:space="0" w:color="auto"/>
      </w:divBdr>
    </w:div>
    <w:div w:id="915283417">
      <w:bodyDiv w:val="1"/>
      <w:marLeft w:val="0"/>
      <w:marRight w:val="0"/>
      <w:marTop w:val="0"/>
      <w:marBottom w:val="0"/>
      <w:divBdr>
        <w:top w:val="none" w:sz="0" w:space="0" w:color="auto"/>
        <w:left w:val="none" w:sz="0" w:space="0" w:color="auto"/>
        <w:bottom w:val="none" w:sz="0" w:space="0" w:color="auto"/>
        <w:right w:val="none" w:sz="0" w:space="0" w:color="auto"/>
      </w:divBdr>
    </w:div>
    <w:div w:id="1006857572">
      <w:bodyDiv w:val="1"/>
      <w:marLeft w:val="0"/>
      <w:marRight w:val="0"/>
      <w:marTop w:val="0"/>
      <w:marBottom w:val="0"/>
      <w:divBdr>
        <w:top w:val="none" w:sz="0" w:space="0" w:color="auto"/>
        <w:left w:val="none" w:sz="0" w:space="0" w:color="auto"/>
        <w:bottom w:val="none" w:sz="0" w:space="0" w:color="auto"/>
        <w:right w:val="none" w:sz="0" w:space="0" w:color="auto"/>
      </w:divBdr>
    </w:div>
    <w:div w:id="1143111044">
      <w:bodyDiv w:val="1"/>
      <w:marLeft w:val="0"/>
      <w:marRight w:val="0"/>
      <w:marTop w:val="0"/>
      <w:marBottom w:val="0"/>
      <w:divBdr>
        <w:top w:val="none" w:sz="0" w:space="0" w:color="auto"/>
        <w:left w:val="none" w:sz="0" w:space="0" w:color="auto"/>
        <w:bottom w:val="none" w:sz="0" w:space="0" w:color="auto"/>
        <w:right w:val="none" w:sz="0" w:space="0" w:color="auto"/>
      </w:divBdr>
      <w:divsChild>
        <w:div w:id="240482369">
          <w:marLeft w:val="0"/>
          <w:marRight w:val="0"/>
          <w:marTop w:val="0"/>
          <w:marBottom w:val="0"/>
          <w:divBdr>
            <w:top w:val="none" w:sz="0" w:space="0" w:color="auto"/>
            <w:left w:val="none" w:sz="0" w:space="0" w:color="auto"/>
            <w:bottom w:val="none" w:sz="0" w:space="0" w:color="auto"/>
            <w:right w:val="none" w:sz="0" w:space="0" w:color="auto"/>
          </w:divBdr>
          <w:divsChild>
            <w:div w:id="919407617">
              <w:marLeft w:val="0"/>
              <w:marRight w:val="0"/>
              <w:marTop w:val="0"/>
              <w:marBottom w:val="0"/>
              <w:divBdr>
                <w:top w:val="none" w:sz="0" w:space="0" w:color="auto"/>
                <w:left w:val="none" w:sz="0" w:space="0" w:color="auto"/>
                <w:bottom w:val="none" w:sz="0" w:space="0" w:color="auto"/>
                <w:right w:val="none" w:sz="0" w:space="0" w:color="auto"/>
              </w:divBdr>
            </w:div>
          </w:divsChild>
        </w:div>
        <w:div w:id="480730030">
          <w:marLeft w:val="0"/>
          <w:marRight w:val="0"/>
          <w:marTop w:val="0"/>
          <w:marBottom w:val="0"/>
          <w:divBdr>
            <w:top w:val="none" w:sz="0" w:space="0" w:color="auto"/>
            <w:left w:val="none" w:sz="0" w:space="0" w:color="auto"/>
            <w:bottom w:val="none" w:sz="0" w:space="0" w:color="auto"/>
            <w:right w:val="none" w:sz="0" w:space="0" w:color="auto"/>
          </w:divBdr>
          <w:divsChild>
            <w:div w:id="469597067">
              <w:marLeft w:val="0"/>
              <w:marRight w:val="0"/>
              <w:marTop w:val="0"/>
              <w:marBottom w:val="0"/>
              <w:divBdr>
                <w:top w:val="none" w:sz="0" w:space="0" w:color="auto"/>
                <w:left w:val="none" w:sz="0" w:space="0" w:color="auto"/>
                <w:bottom w:val="none" w:sz="0" w:space="0" w:color="auto"/>
                <w:right w:val="none" w:sz="0" w:space="0" w:color="auto"/>
              </w:divBdr>
            </w:div>
            <w:div w:id="2067798188">
              <w:marLeft w:val="0"/>
              <w:marRight w:val="0"/>
              <w:marTop w:val="0"/>
              <w:marBottom w:val="0"/>
              <w:divBdr>
                <w:top w:val="none" w:sz="0" w:space="0" w:color="auto"/>
                <w:left w:val="none" w:sz="0" w:space="0" w:color="auto"/>
                <w:bottom w:val="none" w:sz="0" w:space="0" w:color="auto"/>
                <w:right w:val="none" w:sz="0" w:space="0" w:color="auto"/>
              </w:divBdr>
            </w:div>
          </w:divsChild>
        </w:div>
        <w:div w:id="799304016">
          <w:marLeft w:val="0"/>
          <w:marRight w:val="0"/>
          <w:marTop w:val="0"/>
          <w:marBottom w:val="0"/>
          <w:divBdr>
            <w:top w:val="none" w:sz="0" w:space="0" w:color="auto"/>
            <w:left w:val="none" w:sz="0" w:space="0" w:color="auto"/>
            <w:bottom w:val="none" w:sz="0" w:space="0" w:color="auto"/>
            <w:right w:val="none" w:sz="0" w:space="0" w:color="auto"/>
          </w:divBdr>
          <w:divsChild>
            <w:div w:id="2013144938">
              <w:marLeft w:val="0"/>
              <w:marRight w:val="0"/>
              <w:marTop w:val="0"/>
              <w:marBottom w:val="0"/>
              <w:divBdr>
                <w:top w:val="none" w:sz="0" w:space="0" w:color="auto"/>
                <w:left w:val="none" w:sz="0" w:space="0" w:color="auto"/>
                <w:bottom w:val="none" w:sz="0" w:space="0" w:color="auto"/>
                <w:right w:val="none" w:sz="0" w:space="0" w:color="auto"/>
              </w:divBdr>
            </w:div>
          </w:divsChild>
        </w:div>
        <w:div w:id="1073971026">
          <w:marLeft w:val="0"/>
          <w:marRight w:val="0"/>
          <w:marTop w:val="0"/>
          <w:marBottom w:val="0"/>
          <w:divBdr>
            <w:top w:val="none" w:sz="0" w:space="0" w:color="auto"/>
            <w:left w:val="none" w:sz="0" w:space="0" w:color="auto"/>
            <w:bottom w:val="none" w:sz="0" w:space="0" w:color="auto"/>
            <w:right w:val="none" w:sz="0" w:space="0" w:color="auto"/>
          </w:divBdr>
          <w:divsChild>
            <w:div w:id="1257445117">
              <w:marLeft w:val="0"/>
              <w:marRight w:val="0"/>
              <w:marTop w:val="0"/>
              <w:marBottom w:val="0"/>
              <w:divBdr>
                <w:top w:val="none" w:sz="0" w:space="0" w:color="auto"/>
                <w:left w:val="none" w:sz="0" w:space="0" w:color="auto"/>
                <w:bottom w:val="none" w:sz="0" w:space="0" w:color="auto"/>
                <w:right w:val="none" w:sz="0" w:space="0" w:color="auto"/>
              </w:divBdr>
            </w:div>
            <w:div w:id="1750419676">
              <w:marLeft w:val="0"/>
              <w:marRight w:val="0"/>
              <w:marTop w:val="0"/>
              <w:marBottom w:val="0"/>
              <w:divBdr>
                <w:top w:val="none" w:sz="0" w:space="0" w:color="auto"/>
                <w:left w:val="none" w:sz="0" w:space="0" w:color="auto"/>
                <w:bottom w:val="none" w:sz="0" w:space="0" w:color="auto"/>
                <w:right w:val="none" w:sz="0" w:space="0" w:color="auto"/>
              </w:divBdr>
            </w:div>
          </w:divsChild>
        </w:div>
        <w:div w:id="1861896351">
          <w:marLeft w:val="0"/>
          <w:marRight w:val="0"/>
          <w:marTop w:val="0"/>
          <w:marBottom w:val="0"/>
          <w:divBdr>
            <w:top w:val="none" w:sz="0" w:space="0" w:color="auto"/>
            <w:left w:val="none" w:sz="0" w:space="0" w:color="auto"/>
            <w:bottom w:val="none" w:sz="0" w:space="0" w:color="auto"/>
            <w:right w:val="none" w:sz="0" w:space="0" w:color="auto"/>
          </w:divBdr>
          <w:divsChild>
            <w:div w:id="688987635">
              <w:marLeft w:val="0"/>
              <w:marRight w:val="0"/>
              <w:marTop w:val="0"/>
              <w:marBottom w:val="0"/>
              <w:divBdr>
                <w:top w:val="none" w:sz="0" w:space="0" w:color="auto"/>
                <w:left w:val="none" w:sz="0" w:space="0" w:color="auto"/>
                <w:bottom w:val="none" w:sz="0" w:space="0" w:color="auto"/>
                <w:right w:val="none" w:sz="0" w:space="0" w:color="auto"/>
              </w:divBdr>
            </w:div>
            <w:div w:id="1668246642">
              <w:marLeft w:val="0"/>
              <w:marRight w:val="0"/>
              <w:marTop w:val="0"/>
              <w:marBottom w:val="0"/>
              <w:divBdr>
                <w:top w:val="none" w:sz="0" w:space="0" w:color="auto"/>
                <w:left w:val="none" w:sz="0" w:space="0" w:color="auto"/>
                <w:bottom w:val="none" w:sz="0" w:space="0" w:color="auto"/>
                <w:right w:val="none" w:sz="0" w:space="0" w:color="auto"/>
              </w:divBdr>
            </w:div>
            <w:div w:id="1904946962">
              <w:marLeft w:val="0"/>
              <w:marRight w:val="0"/>
              <w:marTop w:val="0"/>
              <w:marBottom w:val="0"/>
              <w:divBdr>
                <w:top w:val="none" w:sz="0" w:space="0" w:color="auto"/>
                <w:left w:val="none" w:sz="0" w:space="0" w:color="auto"/>
                <w:bottom w:val="none" w:sz="0" w:space="0" w:color="auto"/>
                <w:right w:val="none" w:sz="0" w:space="0" w:color="auto"/>
              </w:divBdr>
            </w:div>
          </w:divsChild>
        </w:div>
        <w:div w:id="1886024069">
          <w:marLeft w:val="0"/>
          <w:marRight w:val="0"/>
          <w:marTop w:val="0"/>
          <w:marBottom w:val="0"/>
          <w:divBdr>
            <w:top w:val="none" w:sz="0" w:space="0" w:color="auto"/>
            <w:left w:val="none" w:sz="0" w:space="0" w:color="auto"/>
            <w:bottom w:val="none" w:sz="0" w:space="0" w:color="auto"/>
            <w:right w:val="none" w:sz="0" w:space="0" w:color="auto"/>
          </w:divBdr>
          <w:divsChild>
            <w:div w:id="343017844">
              <w:marLeft w:val="0"/>
              <w:marRight w:val="0"/>
              <w:marTop w:val="0"/>
              <w:marBottom w:val="0"/>
              <w:divBdr>
                <w:top w:val="none" w:sz="0" w:space="0" w:color="auto"/>
                <w:left w:val="none" w:sz="0" w:space="0" w:color="auto"/>
                <w:bottom w:val="none" w:sz="0" w:space="0" w:color="auto"/>
                <w:right w:val="none" w:sz="0" w:space="0" w:color="auto"/>
              </w:divBdr>
            </w:div>
            <w:div w:id="830365826">
              <w:marLeft w:val="0"/>
              <w:marRight w:val="0"/>
              <w:marTop w:val="0"/>
              <w:marBottom w:val="0"/>
              <w:divBdr>
                <w:top w:val="none" w:sz="0" w:space="0" w:color="auto"/>
                <w:left w:val="none" w:sz="0" w:space="0" w:color="auto"/>
                <w:bottom w:val="none" w:sz="0" w:space="0" w:color="auto"/>
                <w:right w:val="none" w:sz="0" w:space="0" w:color="auto"/>
              </w:divBdr>
            </w:div>
            <w:div w:id="1107697937">
              <w:marLeft w:val="0"/>
              <w:marRight w:val="0"/>
              <w:marTop w:val="0"/>
              <w:marBottom w:val="0"/>
              <w:divBdr>
                <w:top w:val="none" w:sz="0" w:space="0" w:color="auto"/>
                <w:left w:val="none" w:sz="0" w:space="0" w:color="auto"/>
                <w:bottom w:val="none" w:sz="0" w:space="0" w:color="auto"/>
                <w:right w:val="none" w:sz="0" w:space="0" w:color="auto"/>
              </w:divBdr>
            </w:div>
            <w:div w:id="21097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0340">
      <w:bodyDiv w:val="1"/>
      <w:marLeft w:val="0"/>
      <w:marRight w:val="0"/>
      <w:marTop w:val="0"/>
      <w:marBottom w:val="0"/>
      <w:divBdr>
        <w:top w:val="none" w:sz="0" w:space="0" w:color="auto"/>
        <w:left w:val="none" w:sz="0" w:space="0" w:color="auto"/>
        <w:bottom w:val="none" w:sz="0" w:space="0" w:color="auto"/>
        <w:right w:val="none" w:sz="0" w:space="0" w:color="auto"/>
      </w:divBdr>
    </w:div>
    <w:div w:id="1385565370">
      <w:bodyDiv w:val="1"/>
      <w:marLeft w:val="0"/>
      <w:marRight w:val="0"/>
      <w:marTop w:val="0"/>
      <w:marBottom w:val="0"/>
      <w:divBdr>
        <w:top w:val="none" w:sz="0" w:space="0" w:color="auto"/>
        <w:left w:val="none" w:sz="0" w:space="0" w:color="auto"/>
        <w:bottom w:val="none" w:sz="0" w:space="0" w:color="auto"/>
        <w:right w:val="none" w:sz="0" w:space="0" w:color="auto"/>
      </w:divBdr>
    </w:div>
    <w:div w:id="1396126524">
      <w:bodyDiv w:val="1"/>
      <w:marLeft w:val="0"/>
      <w:marRight w:val="0"/>
      <w:marTop w:val="0"/>
      <w:marBottom w:val="0"/>
      <w:divBdr>
        <w:top w:val="none" w:sz="0" w:space="0" w:color="auto"/>
        <w:left w:val="none" w:sz="0" w:space="0" w:color="auto"/>
        <w:bottom w:val="none" w:sz="0" w:space="0" w:color="auto"/>
        <w:right w:val="none" w:sz="0" w:space="0" w:color="auto"/>
      </w:divBdr>
    </w:div>
    <w:div w:id="1522009646">
      <w:bodyDiv w:val="1"/>
      <w:marLeft w:val="0"/>
      <w:marRight w:val="0"/>
      <w:marTop w:val="0"/>
      <w:marBottom w:val="0"/>
      <w:divBdr>
        <w:top w:val="none" w:sz="0" w:space="0" w:color="auto"/>
        <w:left w:val="none" w:sz="0" w:space="0" w:color="auto"/>
        <w:bottom w:val="none" w:sz="0" w:space="0" w:color="auto"/>
        <w:right w:val="none" w:sz="0" w:space="0" w:color="auto"/>
      </w:divBdr>
    </w:div>
    <w:div w:id="1552427163">
      <w:bodyDiv w:val="1"/>
      <w:marLeft w:val="0"/>
      <w:marRight w:val="0"/>
      <w:marTop w:val="0"/>
      <w:marBottom w:val="0"/>
      <w:divBdr>
        <w:top w:val="none" w:sz="0" w:space="0" w:color="auto"/>
        <w:left w:val="none" w:sz="0" w:space="0" w:color="auto"/>
        <w:bottom w:val="none" w:sz="0" w:space="0" w:color="auto"/>
        <w:right w:val="none" w:sz="0" w:space="0" w:color="auto"/>
      </w:divBdr>
    </w:div>
    <w:div w:id="1724480994">
      <w:bodyDiv w:val="1"/>
      <w:marLeft w:val="0"/>
      <w:marRight w:val="0"/>
      <w:marTop w:val="0"/>
      <w:marBottom w:val="0"/>
      <w:divBdr>
        <w:top w:val="none" w:sz="0" w:space="0" w:color="auto"/>
        <w:left w:val="none" w:sz="0" w:space="0" w:color="auto"/>
        <w:bottom w:val="none" w:sz="0" w:space="0" w:color="auto"/>
        <w:right w:val="none" w:sz="0" w:space="0" w:color="auto"/>
      </w:divBdr>
    </w:div>
    <w:div w:id="1736463967">
      <w:bodyDiv w:val="1"/>
      <w:marLeft w:val="0"/>
      <w:marRight w:val="0"/>
      <w:marTop w:val="0"/>
      <w:marBottom w:val="0"/>
      <w:divBdr>
        <w:top w:val="none" w:sz="0" w:space="0" w:color="auto"/>
        <w:left w:val="none" w:sz="0" w:space="0" w:color="auto"/>
        <w:bottom w:val="none" w:sz="0" w:space="0" w:color="auto"/>
        <w:right w:val="none" w:sz="0" w:space="0" w:color="auto"/>
      </w:divBdr>
    </w:div>
    <w:div w:id="1804735135">
      <w:bodyDiv w:val="1"/>
      <w:marLeft w:val="0"/>
      <w:marRight w:val="0"/>
      <w:marTop w:val="0"/>
      <w:marBottom w:val="0"/>
      <w:divBdr>
        <w:top w:val="none" w:sz="0" w:space="0" w:color="auto"/>
        <w:left w:val="none" w:sz="0" w:space="0" w:color="auto"/>
        <w:bottom w:val="none" w:sz="0" w:space="0" w:color="auto"/>
        <w:right w:val="none" w:sz="0" w:space="0" w:color="auto"/>
      </w:divBdr>
      <w:divsChild>
        <w:div w:id="10571750">
          <w:marLeft w:val="850"/>
          <w:marRight w:val="0"/>
          <w:marTop w:val="0"/>
          <w:marBottom w:val="0"/>
          <w:divBdr>
            <w:top w:val="none" w:sz="0" w:space="0" w:color="auto"/>
            <w:left w:val="none" w:sz="0" w:space="0" w:color="auto"/>
            <w:bottom w:val="none" w:sz="0" w:space="0" w:color="auto"/>
            <w:right w:val="none" w:sz="0" w:space="0" w:color="auto"/>
          </w:divBdr>
        </w:div>
        <w:div w:id="32924715">
          <w:marLeft w:val="850"/>
          <w:marRight w:val="0"/>
          <w:marTop w:val="0"/>
          <w:marBottom w:val="0"/>
          <w:divBdr>
            <w:top w:val="none" w:sz="0" w:space="0" w:color="auto"/>
            <w:left w:val="none" w:sz="0" w:space="0" w:color="auto"/>
            <w:bottom w:val="none" w:sz="0" w:space="0" w:color="auto"/>
            <w:right w:val="none" w:sz="0" w:space="0" w:color="auto"/>
          </w:divBdr>
        </w:div>
        <w:div w:id="64643205">
          <w:marLeft w:val="274"/>
          <w:marRight w:val="0"/>
          <w:marTop w:val="0"/>
          <w:marBottom w:val="0"/>
          <w:divBdr>
            <w:top w:val="none" w:sz="0" w:space="0" w:color="auto"/>
            <w:left w:val="none" w:sz="0" w:space="0" w:color="auto"/>
            <w:bottom w:val="none" w:sz="0" w:space="0" w:color="auto"/>
            <w:right w:val="none" w:sz="0" w:space="0" w:color="auto"/>
          </w:divBdr>
        </w:div>
        <w:div w:id="286857562">
          <w:marLeft w:val="850"/>
          <w:marRight w:val="0"/>
          <w:marTop w:val="0"/>
          <w:marBottom w:val="0"/>
          <w:divBdr>
            <w:top w:val="none" w:sz="0" w:space="0" w:color="auto"/>
            <w:left w:val="none" w:sz="0" w:space="0" w:color="auto"/>
            <w:bottom w:val="none" w:sz="0" w:space="0" w:color="auto"/>
            <w:right w:val="none" w:sz="0" w:space="0" w:color="auto"/>
          </w:divBdr>
        </w:div>
        <w:div w:id="293298403">
          <w:marLeft w:val="274"/>
          <w:marRight w:val="0"/>
          <w:marTop w:val="0"/>
          <w:marBottom w:val="0"/>
          <w:divBdr>
            <w:top w:val="none" w:sz="0" w:space="0" w:color="auto"/>
            <w:left w:val="none" w:sz="0" w:space="0" w:color="auto"/>
            <w:bottom w:val="none" w:sz="0" w:space="0" w:color="auto"/>
            <w:right w:val="none" w:sz="0" w:space="0" w:color="auto"/>
          </w:divBdr>
        </w:div>
        <w:div w:id="331759938">
          <w:marLeft w:val="850"/>
          <w:marRight w:val="0"/>
          <w:marTop w:val="0"/>
          <w:marBottom w:val="0"/>
          <w:divBdr>
            <w:top w:val="none" w:sz="0" w:space="0" w:color="auto"/>
            <w:left w:val="none" w:sz="0" w:space="0" w:color="auto"/>
            <w:bottom w:val="none" w:sz="0" w:space="0" w:color="auto"/>
            <w:right w:val="none" w:sz="0" w:space="0" w:color="auto"/>
          </w:divBdr>
        </w:div>
        <w:div w:id="437482057">
          <w:marLeft w:val="274"/>
          <w:marRight w:val="0"/>
          <w:marTop w:val="0"/>
          <w:marBottom w:val="0"/>
          <w:divBdr>
            <w:top w:val="none" w:sz="0" w:space="0" w:color="auto"/>
            <w:left w:val="none" w:sz="0" w:space="0" w:color="auto"/>
            <w:bottom w:val="none" w:sz="0" w:space="0" w:color="auto"/>
            <w:right w:val="none" w:sz="0" w:space="0" w:color="auto"/>
          </w:divBdr>
        </w:div>
        <w:div w:id="439179350">
          <w:marLeft w:val="446"/>
          <w:marRight w:val="0"/>
          <w:marTop w:val="0"/>
          <w:marBottom w:val="0"/>
          <w:divBdr>
            <w:top w:val="none" w:sz="0" w:space="0" w:color="auto"/>
            <w:left w:val="none" w:sz="0" w:space="0" w:color="auto"/>
            <w:bottom w:val="none" w:sz="0" w:space="0" w:color="auto"/>
            <w:right w:val="none" w:sz="0" w:space="0" w:color="auto"/>
          </w:divBdr>
        </w:div>
        <w:div w:id="481626824">
          <w:marLeft w:val="850"/>
          <w:marRight w:val="0"/>
          <w:marTop w:val="0"/>
          <w:marBottom w:val="0"/>
          <w:divBdr>
            <w:top w:val="none" w:sz="0" w:space="0" w:color="auto"/>
            <w:left w:val="none" w:sz="0" w:space="0" w:color="auto"/>
            <w:bottom w:val="none" w:sz="0" w:space="0" w:color="auto"/>
            <w:right w:val="none" w:sz="0" w:space="0" w:color="auto"/>
          </w:divBdr>
        </w:div>
        <w:div w:id="842938868">
          <w:marLeft w:val="850"/>
          <w:marRight w:val="0"/>
          <w:marTop w:val="0"/>
          <w:marBottom w:val="0"/>
          <w:divBdr>
            <w:top w:val="none" w:sz="0" w:space="0" w:color="auto"/>
            <w:left w:val="none" w:sz="0" w:space="0" w:color="auto"/>
            <w:bottom w:val="none" w:sz="0" w:space="0" w:color="auto"/>
            <w:right w:val="none" w:sz="0" w:space="0" w:color="auto"/>
          </w:divBdr>
        </w:div>
        <w:div w:id="1004162358">
          <w:marLeft w:val="274"/>
          <w:marRight w:val="0"/>
          <w:marTop w:val="0"/>
          <w:marBottom w:val="0"/>
          <w:divBdr>
            <w:top w:val="none" w:sz="0" w:space="0" w:color="auto"/>
            <w:left w:val="none" w:sz="0" w:space="0" w:color="auto"/>
            <w:bottom w:val="none" w:sz="0" w:space="0" w:color="auto"/>
            <w:right w:val="none" w:sz="0" w:space="0" w:color="auto"/>
          </w:divBdr>
        </w:div>
        <w:div w:id="1124151115">
          <w:marLeft w:val="850"/>
          <w:marRight w:val="0"/>
          <w:marTop w:val="0"/>
          <w:marBottom w:val="0"/>
          <w:divBdr>
            <w:top w:val="none" w:sz="0" w:space="0" w:color="auto"/>
            <w:left w:val="none" w:sz="0" w:space="0" w:color="auto"/>
            <w:bottom w:val="none" w:sz="0" w:space="0" w:color="auto"/>
            <w:right w:val="none" w:sz="0" w:space="0" w:color="auto"/>
          </w:divBdr>
        </w:div>
        <w:div w:id="1167332077">
          <w:marLeft w:val="274"/>
          <w:marRight w:val="0"/>
          <w:marTop w:val="0"/>
          <w:marBottom w:val="0"/>
          <w:divBdr>
            <w:top w:val="none" w:sz="0" w:space="0" w:color="auto"/>
            <w:left w:val="none" w:sz="0" w:space="0" w:color="auto"/>
            <w:bottom w:val="none" w:sz="0" w:space="0" w:color="auto"/>
            <w:right w:val="none" w:sz="0" w:space="0" w:color="auto"/>
          </w:divBdr>
        </w:div>
        <w:div w:id="1187716431">
          <w:marLeft w:val="850"/>
          <w:marRight w:val="0"/>
          <w:marTop w:val="0"/>
          <w:marBottom w:val="0"/>
          <w:divBdr>
            <w:top w:val="none" w:sz="0" w:space="0" w:color="auto"/>
            <w:left w:val="none" w:sz="0" w:space="0" w:color="auto"/>
            <w:bottom w:val="none" w:sz="0" w:space="0" w:color="auto"/>
            <w:right w:val="none" w:sz="0" w:space="0" w:color="auto"/>
          </w:divBdr>
        </w:div>
        <w:div w:id="1237210069">
          <w:marLeft w:val="850"/>
          <w:marRight w:val="0"/>
          <w:marTop w:val="0"/>
          <w:marBottom w:val="0"/>
          <w:divBdr>
            <w:top w:val="none" w:sz="0" w:space="0" w:color="auto"/>
            <w:left w:val="none" w:sz="0" w:space="0" w:color="auto"/>
            <w:bottom w:val="none" w:sz="0" w:space="0" w:color="auto"/>
            <w:right w:val="none" w:sz="0" w:space="0" w:color="auto"/>
          </w:divBdr>
        </w:div>
        <w:div w:id="1362898271">
          <w:marLeft w:val="274"/>
          <w:marRight w:val="0"/>
          <w:marTop w:val="0"/>
          <w:marBottom w:val="0"/>
          <w:divBdr>
            <w:top w:val="none" w:sz="0" w:space="0" w:color="auto"/>
            <w:left w:val="none" w:sz="0" w:space="0" w:color="auto"/>
            <w:bottom w:val="none" w:sz="0" w:space="0" w:color="auto"/>
            <w:right w:val="none" w:sz="0" w:space="0" w:color="auto"/>
          </w:divBdr>
        </w:div>
        <w:div w:id="1370301793">
          <w:marLeft w:val="274"/>
          <w:marRight w:val="0"/>
          <w:marTop w:val="0"/>
          <w:marBottom w:val="0"/>
          <w:divBdr>
            <w:top w:val="none" w:sz="0" w:space="0" w:color="auto"/>
            <w:left w:val="none" w:sz="0" w:space="0" w:color="auto"/>
            <w:bottom w:val="none" w:sz="0" w:space="0" w:color="auto"/>
            <w:right w:val="none" w:sz="0" w:space="0" w:color="auto"/>
          </w:divBdr>
        </w:div>
        <w:div w:id="1612976568">
          <w:marLeft w:val="274"/>
          <w:marRight w:val="0"/>
          <w:marTop w:val="0"/>
          <w:marBottom w:val="0"/>
          <w:divBdr>
            <w:top w:val="none" w:sz="0" w:space="0" w:color="auto"/>
            <w:left w:val="none" w:sz="0" w:space="0" w:color="auto"/>
            <w:bottom w:val="none" w:sz="0" w:space="0" w:color="auto"/>
            <w:right w:val="none" w:sz="0" w:space="0" w:color="auto"/>
          </w:divBdr>
        </w:div>
        <w:div w:id="1769886515">
          <w:marLeft w:val="850"/>
          <w:marRight w:val="0"/>
          <w:marTop w:val="0"/>
          <w:marBottom w:val="0"/>
          <w:divBdr>
            <w:top w:val="none" w:sz="0" w:space="0" w:color="auto"/>
            <w:left w:val="none" w:sz="0" w:space="0" w:color="auto"/>
            <w:bottom w:val="none" w:sz="0" w:space="0" w:color="auto"/>
            <w:right w:val="none" w:sz="0" w:space="0" w:color="auto"/>
          </w:divBdr>
        </w:div>
        <w:div w:id="1790079484">
          <w:marLeft w:val="850"/>
          <w:marRight w:val="0"/>
          <w:marTop w:val="0"/>
          <w:marBottom w:val="0"/>
          <w:divBdr>
            <w:top w:val="none" w:sz="0" w:space="0" w:color="auto"/>
            <w:left w:val="none" w:sz="0" w:space="0" w:color="auto"/>
            <w:bottom w:val="none" w:sz="0" w:space="0" w:color="auto"/>
            <w:right w:val="none" w:sz="0" w:space="0" w:color="auto"/>
          </w:divBdr>
        </w:div>
        <w:div w:id="1836874615">
          <w:marLeft w:val="850"/>
          <w:marRight w:val="0"/>
          <w:marTop w:val="0"/>
          <w:marBottom w:val="0"/>
          <w:divBdr>
            <w:top w:val="none" w:sz="0" w:space="0" w:color="auto"/>
            <w:left w:val="none" w:sz="0" w:space="0" w:color="auto"/>
            <w:bottom w:val="none" w:sz="0" w:space="0" w:color="auto"/>
            <w:right w:val="none" w:sz="0" w:space="0" w:color="auto"/>
          </w:divBdr>
        </w:div>
        <w:div w:id="1867450735">
          <w:marLeft w:val="850"/>
          <w:marRight w:val="0"/>
          <w:marTop w:val="0"/>
          <w:marBottom w:val="0"/>
          <w:divBdr>
            <w:top w:val="none" w:sz="0" w:space="0" w:color="auto"/>
            <w:left w:val="none" w:sz="0" w:space="0" w:color="auto"/>
            <w:bottom w:val="none" w:sz="0" w:space="0" w:color="auto"/>
            <w:right w:val="none" w:sz="0" w:space="0" w:color="auto"/>
          </w:divBdr>
        </w:div>
        <w:div w:id="1894459669">
          <w:marLeft w:val="850"/>
          <w:marRight w:val="0"/>
          <w:marTop w:val="0"/>
          <w:marBottom w:val="0"/>
          <w:divBdr>
            <w:top w:val="none" w:sz="0" w:space="0" w:color="auto"/>
            <w:left w:val="none" w:sz="0" w:space="0" w:color="auto"/>
            <w:bottom w:val="none" w:sz="0" w:space="0" w:color="auto"/>
            <w:right w:val="none" w:sz="0" w:space="0" w:color="auto"/>
          </w:divBdr>
        </w:div>
        <w:div w:id="1909416408">
          <w:marLeft w:val="850"/>
          <w:marRight w:val="0"/>
          <w:marTop w:val="0"/>
          <w:marBottom w:val="0"/>
          <w:divBdr>
            <w:top w:val="none" w:sz="0" w:space="0" w:color="auto"/>
            <w:left w:val="none" w:sz="0" w:space="0" w:color="auto"/>
            <w:bottom w:val="none" w:sz="0" w:space="0" w:color="auto"/>
            <w:right w:val="none" w:sz="0" w:space="0" w:color="auto"/>
          </w:divBdr>
        </w:div>
        <w:div w:id="1949699948">
          <w:marLeft w:val="850"/>
          <w:marRight w:val="0"/>
          <w:marTop w:val="0"/>
          <w:marBottom w:val="0"/>
          <w:divBdr>
            <w:top w:val="none" w:sz="0" w:space="0" w:color="auto"/>
            <w:left w:val="none" w:sz="0" w:space="0" w:color="auto"/>
            <w:bottom w:val="none" w:sz="0" w:space="0" w:color="auto"/>
            <w:right w:val="none" w:sz="0" w:space="0" w:color="auto"/>
          </w:divBdr>
        </w:div>
        <w:div w:id="1953975215">
          <w:marLeft w:val="850"/>
          <w:marRight w:val="0"/>
          <w:marTop w:val="0"/>
          <w:marBottom w:val="0"/>
          <w:divBdr>
            <w:top w:val="none" w:sz="0" w:space="0" w:color="auto"/>
            <w:left w:val="none" w:sz="0" w:space="0" w:color="auto"/>
            <w:bottom w:val="none" w:sz="0" w:space="0" w:color="auto"/>
            <w:right w:val="none" w:sz="0" w:space="0" w:color="auto"/>
          </w:divBdr>
        </w:div>
        <w:div w:id="1967075937">
          <w:marLeft w:val="850"/>
          <w:marRight w:val="0"/>
          <w:marTop w:val="0"/>
          <w:marBottom w:val="0"/>
          <w:divBdr>
            <w:top w:val="none" w:sz="0" w:space="0" w:color="auto"/>
            <w:left w:val="none" w:sz="0" w:space="0" w:color="auto"/>
            <w:bottom w:val="none" w:sz="0" w:space="0" w:color="auto"/>
            <w:right w:val="none" w:sz="0" w:space="0" w:color="auto"/>
          </w:divBdr>
        </w:div>
        <w:div w:id="1978144896">
          <w:marLeft w:val="850"/>
          <w:marRight w:val="0"/>
          <w:marTop w:val="0"/>
          <w:marBottom w:val="0"/>
          <w:divBdr>
            <w:top w:val="none" w:sz="0" w:space="0" w:color="auto"/>
            <w:left w:val="none" w:sz="0" w:space="0" w:color="auto"/>
            <w:bottom w:val="none" w:sz="0" w:space="0" w:color="auto"/>
            <w:right w:val="none" w:sz="0" w:space="0" w:color="auto"/>
          </w:divBdr>
        </w:div>
        <w:div w:id="1995641659">
          <w:marLeft w:val="850"/>
          <w:marRight w:val="0"/>
          <w:marTop w:val="0"/>
          <w:marBottom w:val="0"/>
          <w:divBdr>
            <w:top w:val="none" w:sz="0" w:space="0" w:color="auto"/>
            <w:left w:val="none" w:sz="0" w:space="0" w:color="auto"/>
            <w:bottom w:val="none" w:sz="0" w:space="0" w:color="auto"/>
            <w:right w:val="none" w:sz="0" w:space="0" w:color="auto"/>
          </w:divBdr>
        </w:div>
        <w:div w:id="2141799664">
          <w:marLeft w:val="850"/>
          <w:marRight w:val="0"/>
          <w:marTop w:val="0"/>
          <w:marBottom w:val="0"/>
          <w:divBdr>
            <w:top w:val="none" w:sz="0" w:space="0" w:color="auto"/>
            <w:left w:val="none" w:sz="0" w:space="0" w:color="auto"/>
            <w:bottom w:val="none" w:sz="0" w:space="0" w:color="auto"/>
            <w:right w:val="none" w:sz="0" w:space="0" w:color="auto"/>
          </w:divBdr>
        </w:div>
      </w:divsChild>
    </w:div>
    <w:div w:id="1814173648">
      <w:bodyDiv w:val="1"/>
      <w:marLeft w:val="0"/>
      <w:marRight w:val="0"/>
      <w:marTop w:val="0"/>
      <w:marBottom w:val="0"/>
      <w:divBdr>
        <w:top w:val="none" w:sz="0" w:space="0" w:color="auto"/>
        <w:left w:val="none" w:sz="0" w:space="0" w:color="auto"/>
        <w:bottom w:val="none" w:sz="0" w:space="0" w:color="auto"/>
        <w:right w:val="none" w:sz="0" w:space="0" w:color="auto"/>
      </w:divBdr>
    </w:div>
    <w:div w:id="1821311202">
      <w:bodyDiv w:val="1"/>
      <w:marLeft w:val="0"/>
      <w:marRight w:val="0"/>
      <w:marTop w:val="0"/>
      <w:marBottom w:val="0"/>
      <w:divBdr>
        <w:top w:val="none" w:sz="0" w:space="0" w:color="auto"/>
        <w:left w:val="none" w:sz="0" w:space="0" w:color="auto"/>
        <w:bottom w:val="none" w:sz="0" w:space="0" w:color="auto"/>
        <w:right w:val="none" w:sz="0" w:space="0" w:color="auto"/>
      </w:divBdr>
    </w:div>
    <w:div w:id="1838576701">
      <w:bodyDiv w:val="1"/>
      <w:marLeft w:val="0"/>
      <w:marRight w:val="0"/>
      <w:marTop w:val="0"/>
      <w:marBottom w:val="0"/>
      <w:divBdr>
        <w:top w:val="none" w:sz="0" w:space="0" w:color="auto"/>
        <w:left w:val="none" w:sz="0" w:space="0" w:color="auto"/>
        <w:bottom w:val="none" w:sz="0" w:space="0" w:color="auto"/>
        <w:right w:val="none" w:sz="0" w:space="0" w:color="auto"/>
      </w:divBdr>
    </w:div>
    <w:div w:id="1867404721">
      <w:bodyDiv w:val="1"/>
      <w:marLeft w:val="0"/>
      <w:marRight w:val="0"/>
      <w:marTop w:val="0"/>
      <w:marBottom w:val="0"/>
      <w:divBdr>
        <w:top w:val="none" w:sz="0" w:space="0" w:color="auto"/>
        <w:left w:val="none" w:sz="0" w:space="0" w:color="auto"/>
        <w:bottom w:val="none" w:sz="0" w:space="0" w:color="auto"/>
        <w:right w:val="none" w:sz="0" w:space="0" w:color="auto"/>
      </w:divBdr>
    </w:div>
    <w:div w:id="1878351206">
      <w:bodyDiv w:val="1"/>
      <w:marLeft w:val="0"/>
      <w:marRight w:val="0"/>
      <w:marTop w:val="0"/>
      <w:marBottom w:val="0"/>
      <w:divBdr>
        <w:top w:val="none" w:sz="0" w:space="0" w:color="auto"/>
        <w:left w:val="none" w:sz="0" w:space="0" w:color="auto"/>
        <w:bottom w:val="none" w:sz="0" w:space="0" w:color="auto"/>
        <w:right w:val="none" w:sz="0" w:space="0" w:color="auto"/>
      </w:divBdr>
    </w:div>
    <w:div w:id="1888686852">
      <w:bodyDiv w:val="1"/>
      <w:marLeft w:val="0"/>
      <w:marRight w:val="0"/>
      <w:marTop w:val="0"/>
      <w:marBottom w:val="0"/>
      <w:divBdr>
        <w:top w:val="none" w:sz="0" w:space="0" w:color="auto"/>
        <w:left w:val="none" w:sz="0" w:space="0" w:color="auto"/>
        <w:bottom w:val="none" w:sz="0" w:space="0" w:color="auto"/>
        <w:right w:val="none" w:sz="0" w:space="0" w:color="auto"/>
      </w:divBdr>
      <w:divsChild>
        <w:div w:id="5444296">
          <w:marLeft w:val="0"/>
          <w:marRight w:val="0"/>
          <w:marTop w:val="0"/>
          <w:marBottom w:val="0"/>
          <w:divBdr>
            <w:top w:val="none" w:sz="0" w:space="0" w:color="auto"/>
            <w:left w:val="none" w:sz="0" w:space="0" w:color="auto"/>
            <w:bottom w:val="none" w:sz="0" w:space="0" w:color="auto"/>
            <w:right w:val="none" w:sz="0" w:space="0" w:color="auto"/>
          </w:divBdr>
          <w:divsChild>
            <w:div w:id="1190097788">
              <w:marLeft w:val="0"/>
              <w:marRight w:val="0"/>
              <w:marTop w:val="0"/>
              <w:marBottom w:val="0"/>
              <w:divBdr>
                <w:top w:val="none" w:sz="0" w:space="0" w:color="auto"/>
                <w:left w:val="none" w:sz="0" w:space="0" w:color="auto"/>
                <w:bottom w:val="none" w:sz="0" w:space="0" w:color="auto"/>
                <w:right w:val="none" w:sz="0" w:space="0" w:color="auto"/>
              </w:divBdr>
            </w:div>
          </w:divsChild>
        </w:div>
        <w:div w:id="66193147">
          <w:marLeft w:val="0"/>
          <w:marRight w:val="0"/>
          <w:marTop w:val="0"/>
          <w:marBottom w:val="0"/>
          <w:divBdr>
            <w:top w:val="none" w:sz="0" w:space="0" w:color="auto"/>
            <w:left w:val="none" w:sz="0" w:space="0" w:color="auto"/>
            <w:bottom w:val="none" w:sz="0" w:space="0" w:color="auto"/>
            <w:right w:val="none" w:sz="0" w:space="0" w:color="auto"/>
          </w:divBdr>
          <w:divsChild>
            <w:div w:id="596136202">
              <w:marLeft w:val="0"/>
              <w:marRight w:val="0"/>
              <w:marTop w:val="0"/>
              <w:marBottom w:val="0"/>
              <w:divBdr>
                <w:top w:val="none" w:sz="0" w:space="0" w:color="auto"/>
                <w:left w:val="none" w:sz="0" w:space="0" w:color="auto"/>
                <w:bottom w:val="none" w:sz="0" w:space="0" w:color="auto"/>
                <w:right w:val="none" w:sz="0" w:space="0" w:color="auto"/>
              </w:divBdr>
            </w:div>
            <w:div w:id="658072834">
              <w:marLeft w:val="0"/>
              <w:marRight w:val="0"/>
              <w:marTop w:val="0"/>
              <w:marBottom w:val="0"/>
              <w:divBdr>
                <w:top w:val="none" w:sz="0" w:space="0" w:color="auto"/>
                <w:left w:val="none" w:sz="0" w:space="0" w:color="auto"/>
                <w:bottom w:val="none" w:sz="0" w:space="0" w:color="auto"/>
                <w:right w:val="none" w:sz="0" w:space="0" w:color="auto"/>
              </w:divBdr>
            </w:div>
            <w:div w:id="863711592">
              <w:marLeft w:val="0"/>
              <w:marRight w:val="0"/>
              <w:marTop w:val="0"/>
              <w:marBottom w:val="0"/>
              <w:divBdr>
                <w:top w:val="none" w:sz="0" w:space="0" w:color="auto"/>
                <w:left w:val="none" w:sz="0" w:space="0" w:color="auto"/>
                <w:bottom w:val="none" w:sz="0" w:space="0" w:color="auto"/>
                <w:right w:val="none" w:sz="0" w:space="0" w:color="auto"/>
              </w:divBdr>
            </w:div>
            <w:div w:id="2023508067">
              <w:marLeft w:val="0"/>
              <w:marRight w:val="0"/>
              <w:marTop w:val="0"/>
              <w:marBottom w:val="0"/>
              <w:divBdr>
                <w:top w:val="none" w:sz="0" w:space="0" w:color="auto"/>
                <w:left w:val="none" w:sz="0" w:space="0" w:color="auto"/>
                <w:bottom w:val="none" w:sz="0" w:space="0" w:color="auto"/>
                <w:right w:val="none" w:sz="0" w:space="0" w:color="auto"/>
              </w:divBdr>
            </w:div>
          </w:divsChild>
        </w:div>
        <w:div w:id="384649797">
          <w:marLeft w:val="0"/>
          <w:marRight w:val="0"/>
          <w:marTop w:val="0"/>
          <w:marBottom w:val="0"/>
          <w:divBdr>
            <w:top w:val="none" w:sz="0" w:space="0" w:color="auto"/>
            <w:left w:val="none" w:sz="0" w:space="0" w:color="auto"/>
            <w:bottom w:val="none" w:sz="0" w:space="0" w:color="auto"/>
            <w:right w:val="none" w:sz="0" w:space="0" w:color="auto"/>
          </w:divBdr>
          <w:divsChild>
            <w:div w:id="1312900832">
              <w:marLeft w:val="0"/>
              <w:marRight w:val="0"/>
              <w:marTop w:val="0"/>
              <w:marBottom w:val="0"/>
              <w:divBdr>
                <w:top w:val="none" w:sz="0" w:space="0" w:color="auto"/>
                <w:left w:val="none" w:sz="0" w:space="0" w:color="auto"/>
                <w:bottom w:val="none" w:sz="0" w:space="0" w:color="auto"/>
                <w:right w:val="none" w:sz="0" w:space="0" w:color="auto"/>
              </w:divBdr>
            </w:div>
          </w:divsChild>
        </w:div>
        <w:div w:id="756948597">
          <w:marLeft w:val="0"/>
          <w:marRight w:val="0"/>
          <w:marTop w:val="0"/>
          <w:marBottom w:val="0"/>
          <w:divBdr>
            <w:top w:val="none" w:sz="0" w:space="0" w:color="auto"/>
            <w:left w:val="none" w:sz="0" w:space="0" w:color="auto"/>
            <w:bottom w:val="none" w:sz="0" w:space="0" w:color="auto"/>
            <w:right w:val="none" w:sz="0" w:space="0" w:color="auto"/>
          </w:divBdr>
          <w:divsChild>
            <w:div w:id="1634599757">
              <w:marLeft w:val="0"/>
              <w:marRight w:val="0"/>
              <w:marTop w:val="0"/>
              <w:marBottom w:val="0"/>
              <w:divBdr>
                <w:top w:val="none" w:sz="0" w:space="0" w:color="auto"/>
                <w:left w:val="none" w:sz="0" w:space="0" w:color="auto"/>
                <w:bottom w:val="none" w:sz="0" w:space="0" w:color="auto"/>
                <w:right w:val="none" w:sz="0" w:space="0" w:color="auto"/>
              </w:divBdr>
            </w:div>
          </w:divsChild>
        </w:div>
        <w:div w:id="938487028">
          <w:marLeft w:val="0"/>
          <w:marRight w:val="0"/>
          <w:marTop w:val="0"/>
          <w:marBottom w:val="0"/>
          <w:divBdr>
            <w:top w:val="none" w:sz="0" w:space="0" w:color="auto"/>
            <w:left w:val="none" w:sz="0" w:space="0" w:color="auto"/>
            <w:bottom w:val="none" w:sz="0" w:space="0" w:color="auto"/>
            <w:right w:val="none" w:sz="0" w:space="0" w:color="auto"/>
          </w:divBdr>
          <w:divsChild>
            <w:div w:id="1454133355">
              <w:marLeft w:val="0"/>
              <w:marRight w:val="0"/>
              <w:marTop w:val="0"/>
              <w:marBottom w:val="0"/>
              <w:divBdr>
                <w:top w:val="none" w:sz="0" w:space="0" w:color="auto"/>
                <w:left w:val="none" w:sz="0" w:space="0" w:color="auto"/>
                <w:bottom w:val="none" w:sz="0" w:space="0" w:color="auto"/>
                <w:right w:val="none" w:sz="0" w:space="0" w:color="auto"/>
              </w:divBdr>
            </w:div>
          </w:divsChild>
        </w:div>
        <w:div w:id="990334426">
          <w:marLeft w:val="0"/>
          <w:marRight w:val="0"/>
          <w:marTop w:val="0"/>
          <w:marBottom w:val="0"/>
          <w:divBdr>
            <w:top w:val="none" w:sz="0" w:space="0" w:color="auto"/>
            <w:left w:val="none" w:sz="0" w:space="0" w:color="auto"/>
            <w:bottom w:val="none" w:sz="0" w:space="0" w:color="auto"/>
            <w:right w:val="none" w:sz="0" w:space="0" w:color="auto"/>
          </w:divBdr>
          <w:divsChild>
            <w:div w:id="660087361">
              <w:marLeft w:val="0"/>
              <w:marRight w:val="0"/>
              <w:marTop w:val="0"/>
              <w:marBottom w:val="0"/>
              <w:divBdr>
                <w:top w:val="none" w:sz="0" w:space="0" w:color="auto"/>
                <w:left w:val="none" w:sz="0" w:space="0" w:color="auto"/>
                <w:bottom w:val="none" w:sz="0" w:space="0" w:color="auto"/>
                <w:right w:val="none" w:sz="0" w:space="0" w:color="auto"/>
              </w:divBdr>
            </w:div>
          </w:divsChild>
        </w:div>
        <w:div w:id="1028947159">
          <w:marLeft w:val="0"/>
          <w:marRight w:val="0"/>
          <w:marTop w:val="0"/>
          <w:marBottom w:val="0"/>
          <w:divBdr>
            <w:top w:val="none" w:sz="0" w:space="0" w:color="auto"/>
            <w:left w:val="none" w:sz="0" w:space="0" w:color="auto"/>
            <w:bottom w:val="none" w:sz="0" w:space="0" w:color="auto"/>
            <w:right w:val="none" w:sz="0" w:space="0" w:color="auto"/>
          </w:divBdr>
          <w:divsChild>
            <w:div w:id="758864857">
              <w:marLeft w:val="0"/>
              <w:marRight w:val="0"/>
              <w:marTop w:val="0"/>
              <w:marBottom w:val="0"/>
              <w:divBdr>
                <w:top w:val="none" w:sz="0" w:space="0" w:color="auto"/>
                <w:left w:val="none" w:sz="0" w:space="0" w:color="auto"/>
                <w:bottom w:val="none" w:sz="0" w:space="0" w:color="auto"/>
                <w:right w:val="none" w:sz="0" w:space="0" w:color="auto"/>
              </w:divBdr>
            </w:div>
          </w:divsChild>
        </w:div>
        <w:div w:id="1110054571">
          <w:marLeft w:val="0"/>
          <w:marRight w:val="0"/>
          <w:marTop w:val="0"/>
          <w:marBottom w:val="0"/>
          <w:divBdr>
            <w:top w:val="none" w:sz="0" w:space="0" w:color="auto"/>
            <w:left w:val="none" w:sz="0" w:space="0" w:color="auto"/>
            <w:bottom w:val="none" w:sz="0" w:space="0" w:color="auto"/>
            <w:right w:val="none" w:sz="0" w:space="0" w:color="auto"/>
          </w:divBdr>
          <w:divsChild>
            <w:div w:id="2055034347">
              <w:marLeft w:val="0"/>
              <w:marRight w:val="0"/>
              <w:marTop w:val="0"/>
              <w:marBottom w:val="0"/>
              <w:divBdr>
                <w:top w:val="none" w:sz="0" w:space="0" w:color="auto"/>
                <w:left w:val="none" w:sz="0" w:space="0" w:color="auto"/>
                <w:bottom w:val="none" w:sz="0" w:space="0" w:color="auto"/>
                <w:right w:val="none" w:sz="0" w:space="0" w:color="auto"/>
              </w:divBdr>
            </w:div>
          </w:divsChild>
        </w:div>
        <w:div w:id="1135492023">
          <w:marLeft w:val="0"/>
          <w:marRight w:val="0"/>
          <w:marTop w:val="0"/>
          <w:marBottom w:val="0"/>
          <w:divBdr>
            <w:top w:val="none" w:sz="0" w:space="0" w:color="auto"/>
            <w:left w:val="none" w:sz="0" w:space="0" w:color="auto"/>
            <w:bottom w:val="none" w:sz="0" w:space="0" w:color="auto"/>
            <w:right w:val="none" w:sz="0" w:space="0" w:color="auto"/>
          </w:divBdr>
          <w:divsChild>
            <w:div w:id="1882862260">
              <w:marLeft w:val="0"/>
              <w:marRight w:val="0"/>
              <w:marTop w:val="0"/>
              <w:marBottom w:val="0"/>
              <w:divBdr>
                <w:top w:val="none" w:sz="0" w:space="0" w:color="auto"/>
                <w:left w:val="none" w:sz="0" w:space="0" w:color="auto"/>
                <w:bottom w:val="none" w:sz="0" w:space="0" w:color="auto"/>
                <w:right w:val="none" w:sz="0" w:space="0" w:color="auto"/>
              </w:divBdr>
            </w:div>
          </w:divsChild>
        </w:div>
        <w:div w:id="1209416384">
          <w:marLeft w:val="0"/>
          <w:marRight w:val="0"/>
          <w:marTop w:val="0"/>
          <w:marBottom w:val="0"/>
          <w:divBdr>
            <w:top w:val="none" w:sz="0" w:space="0" w:color="auto"/>
            <w:left w:val="none" w:sz="0" w:space="0" w:color="auto"/>
            <w:bottom w:val="none" w:sz="0" w:space="0" w:color="auto"/>
            <w:right w:val="none" w:sz="0" w:space="0" w:color="auto"/>
          </w:divBdr>
          <w:divsChild>
            <w:div w:id="785998933">
              <w:marLeft w:val="0"/>
              <w:marRight w:val="0"/>
              <w:marTop w:val="0"/>
              <w:marBottom w:val="0"/>
              <w:divBdr>
                <w:top w:val="none" w:sz="0" w:space="0" w:color="auto"/>
                <w:left w:val="none" w:sz="0" w:space="0" w:color="auto"/>
                <w:bottom w:val="none" w:sz="0" w:space="0" w:color="auto"/>
                <w:right w:val="none" w:sz="0" w:space="0" w:color="auto"/>
              </w:divBdr>
            </w:div>
            <w:div w:id="823663299">
              <w:marLeft w:val="0"/>
              <w:marRight w:val="0"/>
              <w:marTop w:val="0"/>
              <w:marBottom w:val="0"/>
              <w:divBdr>
                <w:top w:val="none" w:sz="0" w:space="0" w:color="auto"/>
                <w:left w:val="none" w:sz="0" w:space="0" w:color="auto"/>
                <w:bottom w:val="none" w:sz="0" w:space="0" w:color="auto"/>
                <w:right w:val="none" w:sz="0" w:space="0" w:color="auto"/>
              </w:divBdr>
            </w:div>
            <w:div w:id="922953660">
              <w:marLeft w:val="0"/>
              <w:marRight w:val="0"/>
              <w:marTop w:val="0"/>
              <w:marBottom w:val="0"/>
              <w:divBdr>
                <w:top w:val="none" w:sz="0" w:space="0" w:color="auto"/>
                <w:left w:val="none" w:sz="0" w:space="0" w:color="auto"/>
                <w:bottom w:val="none" w:sz="0" w:space="0" w:color="auto"/>
                <w:right w:val="none" w:sz="0" w:space="0" w:color="auto"/>
              </w:divBdr>
            </w:div>
            <w:div w:id="1705859530">
              <w:marLeft w:val="0"/>
              <w:marRight w:val="0"/>
              <w:marTop w:val="0"/>
              <w:marBottom w:val="0"/>
              <w:divBdr>
                <w:top w:val="none" w:sz="0" w:space="0" w:color="auto"/>
                <w:left w:val="none" w:sz="0" w:space="0" w:color="auto"/>
                <w:bottom w:val="none" w:sz="0" w:space="0" w:color="auto"/>
                <w:right w:val="none" w:sz="0" w:space="0" w:color="auto"/>
              </w:divBdr>
            </w:div>
          </w:divsChild>
        </w:div>
        <w:div w:id="1267032106">
          <w:marLeft w:val="0"/>
          <w:marRight w:val="0"/>
          <w:marTop w:val="0"/>
          <w:marBottom w:val="0"/>
          <w:divBdr>
            <w:top w:val="none" w:sz="0" w:space="0" w:color="auto"/>
            <w:left w:val="none" w:sz="0" w:space="0" w:color="auto"/>
            <w:bottom w:val="none" w:sz="0" w:space="0" w:color="auto"/>
            <w:right w:val="none" w:sz="0" w:space="0" w:color="auto"/>
          </w:divBdr>
          <w:divsChild>
            <w:div w:id="1842550614">
              <w:marLeft w:val="0"/>
              <w:marRight w:val="0"/>
              <w:marTop w:val="0"/>
              <w:marBottom w:val="0"/>
              <w:divBdr>
                <w:top w:val="none" w:sz="0" w:space="0" w:color="auto"/>
                <w:left w:val="none" w:sz="0" w:space="0" w:color="auto"/>
                <w:bottom w:val="none" w:sz="0" w:space="0" w:color="auto"/>
                <w:right w:val="none" w:sz="0" w:space="0" w:color="auto"/>
              </w:divBdr>
            </w:div>
            <w:div w:id="2122450126">
              <w:marLeft w:val="0"/>
              <w:marRight w:val="0"/>
              <w:marTop w:val="0"/>
              <w:marBottom w:val="0"/>
              <w:divBdr>
                <w:top w:val="none" w:sz="0" w:space="0" w:color="auto"/>
                <w:left w:val="none" w:sz="0" w:space="0" w:color="auto"/>
                <w:bottom w:val="none" w:sz="0" w:space="0" w:color="auto"/>
                <w:right w:val="none" w:sz="0" w:space="0" w:color="auto"/>
              </w:divBdr>
            </w:div>
          </w:divsChild>
        </w:div>
        <w:div w:id="1339966762">
          <w:marLeft w:val="0"/>
          <w:marRight w:val="0"/>
          <w:marTop w:val="0"/>
          <w:marBottom w:val="0"/>
          <w:divBdr>
            <w:top w:val="none" w:sz="0" w:space="0" w:color="auto"/>
            <w:left w:val="none" w:sz="0" w:space="0" w:color="auto"/>
            <w:bottom w:val="none" w:sz="0" w:space="0" w:color="auto"/>
            <w:right w:val="none" w:sz="0" w:space="0" w:color="auto"/>
          </w:divBdr>
          <w:divsChild>
            <w:div w:id="1976180300">
              <w:marLeft w:val="0"/>
              <w:marRight w:val="0"/>
              <w:marTop w:val="0"/>
              <w:marBottom w:val="0"/>
              <w:divBdr>
                <w:top w:val="none" w:sz="0" w:space="0" w:color="auto"/>
                <w:left w:val="none" w:sz="0" w:space="0" w:color="auto"/>
                <w:bottom w:val="none" w:sz="0" w:space="0" w:color="auto"/>
                <w:right w:val="none" w:sz="0" w:space="0" w:color="auto"/>
              </w:divBdr>
            </w:div>
          </w:divsChild>
        </w:div>
        <w:div w:id="1396465634">
          <w:marLeft w:val="0"/>
          <w:marRight w:val="0"/>
          <w:marTop w:val="0"/>
          <w:marBottom w:val="0"/>
          <w:divBdr>
            <w:top w:val="none" w:sz="0" w:space="0" w:color="auto"/>
            <w:left w:val="none" w:sz="0" w:space="0" w:color="auto"/>
            <w:bottom w:val="none" w:sz="0" w:space="0" w:color="auto"/>
            <w:right w:val="none" w:sz="0" w:space="0" w:color="auto"/>
          </w:divBdr>
          <w:divsChild>
            <w:div w:id="1235317753">
              <w:marLeft w:val="0"/>
              <w:marRight w:val="0"/>
              <w:marTop w:val="0"/>
              <w:marBottom w:val="0"/>
              <w:divBdr>
                <w:top w:val="none" w:sz="0" w:space="0" w:color="auto"/>
                <w:left w:val="none" w:sz="0" w:space="0" w:color="auto"/>
                <w:bottom w:val="none" w:sz="0" w:space="0" w:color="auto"/>
                <w:right w:val="none" w:sz="0" w:space="0" w:color="auto"/>
              </w:divBdr>
            </w:div>
          </w:divsChild>
        </w:div>
        <w:div w:id="1653950918">
          <w:marLeft w:val="0"/>
          <w:marRight w:val="0"/>
          <w:marTop w:val="0"/>
          <w:marBottom w:val="0"/>
          <w:divBdr>
            <w:top w:val="none" w:sz="0" w:space="0" w:color="auto"/>
            <w:left w:val="none" w:sz="0" w:space="0" w:color="auto"/>
            <w:bottom w:val="none" w:sz="0" w:space="0" w:color="auto"/>
            <w:right w:val="none" w:sz="0" w:space="0" w:color="auto"/>
          </w:divBdr>
          <w:divsChild>
            <w:div w:id="13851812">
              <w:marLeft w:val="0"/>
              <w:marRight w:val="0"/>
              <w:marTop w:val="0"/>
              <w:marBottom w:val="0"/>
              <w:divBdr>
                <w:top w:val="none" w:sz="0" w:space="0" w:color="auto"/>
                <w:left w:val="none" w:sz="0" w:space="0" w:color="auto"/>
                <w:bottom w:val="none" w:sz="0" w:space="0" w:color="auto"/>
                <w:right w:val="none" w:sz="0" w:space="0" w:color="auto"/>
              </w:divBdr>
            </w:div>
            <w:div w:id="14695330">
              <w:marLeft w:val="0"/>
              <w:marRight w:val="0"/>
              <w:marTop w:val="0"/>
              <w:marBottom w:val="0"/>
              <w:divBdr>
                <w:top w:val="none" w:sz="0" w:space="0" w:color="auto"/>
                <w:left w:val="none" w:sz="0" w:space="0" w:color="auto"/>
                <w:bottom w:val="none" w:sz="0" w:space="0" w:color="auto"/>
                <w:right w:val="none" w:sz="0" w:space="0" w:color="auto"/>
              </w:divBdr>
            </w:div>
            <w:div w:id="461269359">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438058112">
              <w:marLeft w:val="0"/>
              <w:marRight w:val="0"/>
              <w:marTop w:val="0"/>
              <w:marBottom w:val="0"/>
              <w:divBdr>
                <w:top w:val="none" w:sz="0" w:space="0" w:color="auto"/>
                <w:left w:val="none" w:sz="0" w:space="0" w:color="auto"/>
                <w:bottom w:val="none" w:sz="0" w:space="0" w:color="auto"/>
                <w:right w:val="none" w:sz="0" w:space="0" w:color="auto"/>
              </w:divBdr>
            </w:div>
            <w:div w:id="1805543481">
              <w:marLeft w:val="0"/>
              <w:marRight w:val="0"/>
              <w:marTop w:val="0"/>
              <w:marBottom w:val="0"/>
              <w:divBdr>
                <w:top w:val="none" w:sz="0" w:space="0" w:color="auto"/>
                <w:left w:val="none" w:sz="0" w:space="0" w:color="auto"/>
                <w:bottom w:val="none" w:sz="0" w:space="0" w:color="auto"/>
                <w:right w:val="none" w:sz="0" w:space="0" w:color="auto"/>
              </w:divBdr>
            </w:div>
            <w:div w:id="1914966995">
              <w:marLeft w:val="0"/>
              <w:marRight w:val="0"/>
              <w:marTop w:val="0"/>
              <w:marBottom w:val="0"/>
              <w:divBdr>
                <w:top w:val="none" w:sz="0" w:space="0" w:color="auto"/>
                <w:left w:val="none" w:sz="0" w:space="0" w:color="auto"/>
                <w:bottom w:val="none" w:sz="0" w:space="0" w:color="auto"/>
                <w:right w:val="none" w:sz="0" w:space="0" w:color="auto"/>
              </w:divBdr>
            </w:div>
          </w:divsChild>
        </w:div>
        <w:div w:id="1812020875">
          <w:marLeft w:val="0"/>
          <w:marRight w:val="0"/>
          <w:marTop w:val="0"/>
          <w:marBottom w:val="0"/>
          <w:divBdr>
            <w:top w:val="none" w:sz="0" w:space="0" w:color="auto"/>
            <w:left w:val="none" w:sz="0" w:space="0" w:color="auto"/>
            <w:bottom w:val="none" w:sz="0" w:space="0" w:color="auto"/>
            <w:right w:val="none" w:sz="0" w:space="0" w:color="auto"/>
          </w:divBdr>
          <w:divsChild>
            <w:div w:id="1582912734">
              <w:marLeft w:val="0"/>
              <w:marRight w:val="0"/>
              <w:marTop w:val="0"/>
              <w:marBottom w:val="0"/>
              <w:divBdr>
                <w:top w:val="none" w:sz="0" w:space="0" w:color="auto"/>
                <w:left w:val="none" w:sz="0" w:space="0" w:color="auto"/>
                <w:bottom w:val="none" w:sz="0" w:space="0" w:color="auto"/>
                <w:right w:val="none" w:sz="0" w:space="0" w:color="auto"/>
              </w:divBdr>
            </w:div>
          </w:divsChild>
        </w:div>
        <w:div w:id="1842350314">
          <w:marLeft w:val="0"/>
          <w:marRight w:val="0"/>
          <w:marTop w:val="0"/>
          <w:marBottom w:val="0"/>
          <w:divBdr>
            <w:top w:val="none" w:sz="0" w:space="0" w:color="auto"/>
            <w:left w:val="none" w:sz="0" w:space="0" w:color="auto"/>
            <w:bottom w:val="none" w:sz="0" w:space="0" w:color="auto"/>
            <w:right w:val="none" w:sz="0" w:space="0" w:color="auto"/>
          </w:divBdr>
          <w:divsChild>
            <w:div w:id="1943299182">
              <w:marLeft w:val="0"/>
              <w:marRight w:val="0"/>
              <w:marTop w:val="0"/>
              <w:marBottom w:val="0"/>
              <w:divBdr>
                <w:top w:val="none" w:sz="0" w:space="0" w:color="auto"/>
                <w:left w:val="none" w:sz="0" w:space="0" w:color="auto"/>
                <w:bottom w:val="none" w:sz="0" w:space="0" w:color="auto"/>
                <w:right w:val="none" w:sz="0" w:space="0" w:color="auto"/>
              </w:divBdr>
            </w:div>
          </w:divsChild>
        </w:div>
        <w:div w:id="1881552852">
          <w:marLeft w:val="0"/>
          <w:marRight w:val="0"/>
          <w:marTop w:val="0"/>
          <w:marBottom w:val="0"/>
          <w:divBdr>
            <w:top w:val="none" w:sz="0" w:space="0" w:color="auto"/>
            <w:left w:val="none" w:sz="0" w:space="0" w:color="auto"/>
            <w:bottom w:val="none" w:sz="0" w:space="0" w:color="auto"/>
            <w:right w:val="none" w:sz="0" w:space="0" w:color="auto"/>
          </w:divBdr>
          <w:divsChild>
            <w:div w:id="1152019770">
              <w:marLeft w:val="0"/>
              <w:marRight w:val="0"/>
              <w:marTop w:val="0"/>
              <w:marBottom w:val="0"/>
              <w:divBdr>
                <w:top w:val="none" w:sz="0" w:space="0" w:color="auto"/>
                <w:left w:val="none" w:sz="0" w:space="0" w:color="auto"/>
                <w:bottom w:val="none" w:sz="0" w:space="0" w:color="auto"/>
                <w:right w:val="none" w:sz="0" w:space="0" w:color="auto"/>
              </w:divBdr>
            </w:div>
          </w:divsChild>
        </w:div>
        <w:div w:id="1960837418">
          <w:marLeft w:val="0"/>
          <w:marRight w:val="0"/>
          <w:marTop w:val="0"/>
          <w:marBottom w:val="0"/>
          <w:divBdr>
            <w:top w:val="none" w:sz="0" w:space="0" w:color="auto"/>
            <w:left w:val="none" w:sz="0" w:space="0" w:color="auto"/>
            <w:bottom w:val="none" w:sz="0" w:space="0" w:color="auto"/>
            <w:right w:val="none" w:sz="0" w:space="0" w:color="auto"/>
          </w:divBdr>
          <w:divsChild>
            <w:div w:id="13437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2549">
      <w:bodyDiv w:val="1"/>
      <w:marLeft w:val="0"/>
      <w:marRight w:val="0"/>
      <w:marTop w:val="0"/>
      <w:marBottom w:val="0"/>
      <w:divBdr>
        <w:top w:val="none" w:sz="0" w:space="0" w:color="auto"/>
        <w:left w:val="none" w:sz="0" w:space="0" w:color="auto"/>
        <w:bottom w:val="none" w:sz="0" w:space="0" w:color="auto"/>
        <w:right w:val="none" w:sz="0" w:space="0" w:color="auto"/>
      </w:divBdr>
      <w:divsChild>
        <w:div w:id="1200581320">
          <w:marLeft w:val="850"/>
          <w:marRight w:val="0"/>
          <w:marTop w:val="0"/>
          <w:marBottom w:val="0"/>
          <w:divBdr>
            <w:top w:val="none" w:sz="0" w:space="0" w:color="auto"/>
            <w:left w:val="none" w:sz="0" w:space="0" w:color="auto"/>
            <w:bottom w:val="none" w:sz="0" w:space="0" w:color="auto"/>
            <w:right w:val="none" w:sz="0" w:space="0" w:color="auto"/>
          </w:divBdr>
        </w:div>
        <w:div w:id="1288976187">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easury.gov.au/publication/c2014-fsi-final-report" TargetMode="External"/><Relationship Id="rId21" Type="http://schemas.openxmlformats.org/officeDocument/2006/relationships/footer" Target="footer3.xml"/><Relationship Id="rId42" Type="http://schemas.openxmlformats.org/officeDocument/2006/relationships/hyperlink" Target="https://assets.ey.com/content/dam/ey-sites/ey-com/en_au/pdfs/ey-fintech-census-report2020.pdf" TargetMode="External"/><Relationship Id="rId47" Type="http://schemas.openxmlformats.org/officeDocument/2006/relationships/hyperlink" Target="https://www.oaic.gov.au/privacy/the-privacy-act/rights-and-responsibilities/" TargetMode="External"/><Relationship Id="rId63" Type="http://schemas.openxmlformats.org/officeDocument/2006/relationships/hyperlink" Target="https://www.computerweekly.com/blog/Computer-Weekly-Editors-Blog/What-next-for-digital-identity-in-the-UK-Industry-welcomes-latest-DCMS-plan" TargetMode="External"/><Relationship Id="rId68" Type="http://schemas.openxmlformats.org/officeDocument/2006/relationships/hyperlink" Target="https://www.aph.gov.au/About_Parliament/Parliamentary_Departments/Parliamentary_Library/Publications_Archive/archive/identitycards" TargetMode="External"/><Relationship Id="rId84" Type="http://schemas.openxmlformats.org/officeDocument/2006/relationships/hyperlink" Target="https://pmc.gov.au/resource-centre/regulation/regulatory-burden-measurement-framework-guidance-note" TargetMode="External"/><Relationship Id="rId89" Type="http://schemas.openxmlformats.org/officeDocument/2006/relationships/hyperlink" Target="https://www.digitalidentity.gov.au/previousconsultations" TargetMode="External"/><Relationship Id="rId7" Type="http://schemas.openxmlformats.org/officeDocument/2006/relationships/endnotes" Target="endnotes.xml"/><Relationship Id="rId71" Type="http://schemas.openxmlformats.org/officeDocument/2006/relationships/hyperlink" Target="https://www.finance.gov.au/government/managing-commonwealth-resources/managing-money-property/managing-money/australian-government-charging-framework" TargetMode="External"/><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3.png"/><Relationship Id="rId107" Type="http://schemas.openxmlformats.org/officeDocument/2006/relationships/hyperlink" Target="https://obpr.pmc.gov.au/resources/guidance-assessing-impacts/regulatory-burden-measurement-framework" TargetMode="External"/><Relationship Id="rId24" Type="http://schemas.openxmlformats.org/officeDocument/2006/relationships/hyperlink" Target="mailto:digitalid.communications@finance.gov.au"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yperlink" Target="https://www.bcg.com/en-au/publications/2020/australia-global-regtech-hub-poised-for-growth" TargetMode="External"/><Relationship Id="rId45" Type="http://schemas.openxmlformats.org/officeDocument/2006/relationships/hyperlink" Target="https://treasury.gov.au/publication/c2014-fsi-final-report" TargetMode="External"/><Relationship Id="rId53" Type="http://schemas.openxmlformats.org/officeDocument/2006/relationships/hyperlink" Target="https://www.aic.gov.au/publications/sr/sr27" TargetMode="External"/><Relationship Id="rId58" Type="http://schemas.openxmlformats.org/officeDocument/2006/relationships/hyperlink" Target="https://treasury.gov.au/publication/c2014-fsi-final-report" TargetMode="External"/><Relationship Id="rId66" Type="http://schemas.openxmlformats.org/officeDocument/2006/relationships/hyperlink" Target="https://www.aspi.org.au/report/preventing-another-australia-card-fail" TargetMode="External"/><Relationship Id="rId74" Type="http://schemas.openxmlformats.org/officeDocument/2006/relationships/hyperlink" Target="https://obpr.pmc.gov.au/resources/guidance-assessing-impacts/regulatory-burden-measurement-framework" TargetMode="External"/><Relationship Id="rId79" Type="http://schemas.openxmlformats.org/officeDocument/2006/relationships/hyperlink" Target="https://obpr.pmc.gov.au/resources/guidance-assessing-impacts/regulatory-burden-measurement-framework" TargetMode="External"/><Relationship Id="rId87" Type="http://schemas.openxmlformats.org/officeDocument/2006/relationships/hyperlink" Target="https://www.digitalidentity.gov.au/news/watch-our-webinar-about-the-proposed-digital-identity-legislation-consultation" TargetMode="External"/><Relationship Id="rId102" Type="http://schemas.openxmlformats.org/officeDocument/2006/relationships/hyperlink" Target="https://obpr.pmc.gov.au/resources/guidance-assessing-impacts/regulatory-burden-measurement-framework" TargetMode="External"/><Relationship Id="rId110"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hyperlink" Target="https://joinup.ec.europa.eu/sites/default/files/inline-files/Digital_Government_Factsheets_Denmark_2019.pdf" TargetMode="External"/><Relationship Id="rId82" Type="http://schemas.openxmlformats.org/officeDocument/2006/relationships/hyperlink" Target="https://www.dss.gov.au/sites/default/files/documents/10_2019/d19-1139120-dss-annual-report-2018-19.pdf" TargetMode="External"/><Relationship Id="rId90" Type="http://schemas.openxmlformats.org/officeDocument/2006/relationships/hyperlink" Target="https://www.digitalidentity.gov.au/previousconsultations" TargetMode="External"/><Relationship Id="rId95" Type="http://schemas.openxmlformats.org/officeDocument/2006/relationships/hyperlink" Target="https://www.digitalidentity.gov.au/" TargetMode="External"/><Relationship Id="rId19"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yperlink" Target="https://www.digitalidentity.gov.au/news/another-first-for-digital-identity-with-eftpos-tdif-accreditation" TargetMode="External"/><Relationship Id="rId43" Type="http://schemas.openxmlformats.org/officeDocument/2006/relationships/hyperlink" Target="https://home.kpmg/au/en/home/media/press-releases/2020/12/more-than-100-australian-fintechs-added-to-the-fintech-landscape-21-december-2020.html" TargetMode="External"/><Relationship Id="rId48" Type="http://schemas.openxmlformats.org/officeDocument/2006/relationships/hyperlink" Target="https://www.oaic.gov.au/privacy/guidance-and-advice/data-breach-preparation-and-response/part-4-notifiable-data-breach-ndb-scheme" TargetMode="External"/><Relationship Id="rId56" Type="http://schemas.openxmlformats.org/officeDocument/2006/relationships/hyperlink" Target="https://dta-www-drupal-20180130215411153400000001.s3.ap-southeast-2.amazonaws.com/s3fs-public/files/digital-identity/PIAs/DTA_TDIF_Alpha_Initial_PIA.pdf" TargetMode="External"/><Relationship Id="rId64" Type="http://schemas.openxmlformats.org/officeDocument/2006/relationships/hyperlink" Target="https://www.digitalidentity.gov.au/sites/default/files/2021-01/consultation01-northern-territory-government.pdf" TargetMode="External"/><Relationship Id="rId69" Type="http://schemas.openxmlformats.org/officeDocument/2006/relationships/hyperlink" Target="https://www.digitalidentity.gov.au/sites/default/files/2023-09/Exposure%20draft%20of%20the%20Digital%20ID%20Bill%202023_0.pdf" TargetMode="External"/><Relationship Id="rId77" Type="http://schemas.openxmlformats.org/officeDocument/2006/relationships/hyperlink" Target="https://pmc.gov.au/resource-centre/regulation/regulatory-burden-measurement-framework-guidance-note" TargetMode="External"/><Relationship Id="rId100" Type="http://schemas.openxmlformats.org/officeDocument/2006/relationships/hyperlink" Target="https://pmc.gov.au/resource-centre/regulation/regulatory-burden-measurement-framework-guidance-note" TargetMode="External"/><Relationship Id="rId105" Type="http://schemas.openxmlformats.org/officeDocument/2006/relationships/hyperlink" Target="https://www.abs.gov.au/statistics/economy/price-indexes-and-inflation/wage-price-index-australia/latest-release" TargetMode="External"/><Relationship Id="rId8" Type="http://schemas.openxmlformats.org/officeDocument/2006/relationships/image" Target="media/image1.jpeg"/><Relationship Id="rId51" Type="http://schemas.openxmlformats.org/officeDocument/2006/relationships/hyperlink" Target="https://www.mckinsey.com/~/media/McKinsey/Business%20Functions/McKinsey%20Digital/Our%20Insights/Digital%20identification%20A%20key%20to%20inclusive%20growth/MGI-Digital-identification-Report.ashx" TargetMode="External"/><Relationship Id="rId72" Type="http://schemas.openxmlformats.org/officeDocument/2006/relationships/hyperlink" Target="https://obpr.pmc.gov.au/resources/guidance-assessing-impacts/regulatory-burden-measurement-framework" TargetMode="External"/><Relationship Id="rId80" Type="http://schemas.openxmlformats.org/officeDocument/2006/relationships/hyperlink" Target="https://www.biometricupdate.com/202111/government-digital-identity-plans-advance-amid-scepticism-lack-of-awareness" TargetMode="External"/><Relationship Id="rId85" Type="http://schemas.openxmlformats.org/officeDocument/2006/relationships/hyperlink" Target="https://obpr.pmc.gov.au/resources/guidance-assessing-impacts/regulatory-burden-measurement-framework" TargetMode="External"/><Relationship Id="rId93" Type="http://schemas.openxmlformats.org/officeDocument/2006/relationships/footer" Target="footer9.xml"/><Relationship Id="rId98" Type="http://schemas.openxmlformats.org/officeDocument/2006/relationships/hyperlink" Target="https://www.digitalidentity.gov.au/sites/default/files/2021-08/34_accessnow.pdf" TargetMode="External"/><Relationship Id="rId3" Type="http://schemas.openxmlformats.org/officeDocument/2006/relationships/styles" Target="styles.xml"/><Relationship Id="rId17" Type="http://schemas.openxmlformats.org/officeDocument/2006/relationships/header" Target="header2.xml"/><Relationship Id="rId25" Type="http://schemas.openxmlformats.org/officeDocument/2006/relationships/hyperlink" Target="https://obpr.pmc.gov.au/resources/guidance-impact-analysis/australian-government-guide-regulatory-impact-analysis" TargetMode="External"/><Relationship Id="rId33" Type="http://schemas.openxmlformats.org/officeDocument/2006/relationships/image" Target="media/image6.png"/><Relationship Id="rId38" Type="http://schemas.openxmlformats.org/officeDocument/2006/relationships/footer" Target="footer7.xml"/><Relationship Id="rId46" Type="http://schemas.openxmlformats.org/officeDocument/2006/relationships/hyperlink" Target="https://www.ag.gov.au/rights-and-protections/privacy" TargetMode="External"/><Relationship Id="rId59" Type="http://schemas.openxmlformats.org/officeDocument/2006/relationships/hyperlink" Target="https://www.mckinsey.com/~/media/McKinsey/Business%20Functions/McKinsey%20Digital/Our%20Insights/Digital%20identification%20A%20key%20to%20inclusive%20growth/MGI-Digital-identification-Report.ashx" TargetMode="External"/><Relationship Id="rId67" Type="http://schemas.openxmlformats.org/officeDocument/2006/relationships/hyperlink" Target="https://www.itnews.com.au/news/how-npp-chairman-bob-mckinnon-beats-banktech-delaying-tactics-523225" TargetMode="External"/><Relationship Id="rId103" Type="http://schemas.openxmlformats.org/officeDocument/2006/relationships/hyperlink" Target="https://obpr.pmc.gov.au/resources/guidance-assessing-impacts/regulatory-burden-measurement-framework" TargetMode="External"/><Relationship Id="rId108"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business.hooyu.com/sharing-economy-report" TargetMode="External"/><Relationship Id="rId54" Type="http://schemas.openxmlformats.org/officeDocument/2006/relationships/hyperlink" Target="https://www.abc.net.au/news/2020-08-17/identity-theft-soars-with-coronavirus-scams-accc-reports/12558622" TargetMode="External"/><Relationship Id="rId62" Type="http://schemas.openxmlformats.org/officeDocument/2006/relationships/hyperlink" Target="https://link.springer.com/content/pdf/10.1007/s12394-010-0049-8.pdf" TargetMode="External"/><Relationship Id="rId70" Type="http://schemas.openxmlformats.org/officeDocument/2006/relationships/hyperlink" Target="https://www.digitalidentity.gov.au/sites/default/files/2023-09/draft%20Digital%20ID%20Rules%20September%202023_0.pdf" TargetMode="External"/><Relationship Id="rId75" Type="http://schemas.openxmlformats.org/officeDocument/2006/relationships/hyperlink" Target="https://obpr.pmc.gov.au/resources/guidance-assessing-impacts/regulatory-burden-measurement-framework" TargetMode="External"/><Relationship Id="rId83" Type="http://schemas.openxmlformats.org/officeDocument/2006/relationships/hyperlink" Target="https://www.digitalidentity.gov.au/sites/default/files/2021-09/Regulation%20Impact%20Statement%20%28RIS%29.pdf" TargetMode="External"/><Relationship Id="rId88" Type="http://schemas.openxmlformats.org/officeDocument/2006/relationships/hyperlink" Target="https://www.digitalidentity.gov.au/previousconsultations" TargetMode="External"/><Relationship Id="rId91" Type="http://schemas.openxmlformats.org/officeDocument/2006/relationships/hyperlink" Target="https://www.digitalidentity.gov.au/sites/default/files/2023-09/Your%20guide%20to%20the%20Digital%20ID%20legislation%20and%20Digital%20ID%20Rules_2.pdf" TargetMode="External"/><Relationship Id="rId96" Type="http://schemas.openxmlformats.org/officeDocument/2006/relationships/hyperlink" Target="https://www.digitalidentity.gov.au/privacy-and-secur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gitalidentity.gov.au/" TargetMode="External"/><Relationship Id="rId23" Type="http://schemas.openxmlformats.org/officeDocument/2006/relationships/hyperlink" Target="http://creativecommons.org/licenses/by/4.0/legalcode" TargetMode="Externa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yperlink" Target="https://www.oaic.gov.au/about-us/what-we-do" TargetMode="External"/><Relationship Id="rId57" Type="http://schemas.openxmlformats.org/officeDocument/2006/relationships/hyperlink" Target="https://www.govtechreview.com.au/content/gov-digital/article/ministers-agree-to-national-digital-identity-roadmap-1164211173" TargetMode="External"/><Relationship Id="rId106" Type="http://schemas.openxmlformats.org/officeDocument/2006/relationships/hyperlink" Target="https://www.digitalidentity.gov.au/sites/default/files/2021-09/Regulation%20Impact%20Statement%20%28RIS%29.pdf" TargetMode="External"/><Relationship Id="rId31" Type="http://schemas.openxmlformats.org/officeDocument/2006/relationships/image" Target="media/image4.png"/><Relationship Id="rId44" Type="http://schemas.openxmlformats.org/officeDocument/2006/relationships/hyperlink" Target="https://stockhead.com.au/private-i/digital-identity-the-next-frontier-for-fintech-innovation/" TargetMode="External"/><Relationship Id="rId52" Type="http://schemas.openxmlformats.org/officeDocument/2006/relationships/hyperlink" Target="https://www.oaic.gov.au/engage-with-us/research/australian-community-attitudes-to-privacy-survey-2020-landing-page/2020-australian-community-attitudes-to-privacy-survey" TargetMode="External"/><Relationship Id="rId60" Type="http://schemas.openxmlformats.org/officeDocument/2006/relationships/hyperlink" Target="https://www.mckinsey.com/industries/public-and-social-sector/our-insights/how-governments-can-deliver-on-the-promise-of-digital-id" TargetMode="External"/><Relationship Id="rId65" Type="http://schemas.openxmlformats.org/officeDocument/2006/relationships/hyperlink" Target="https://www.digitalidentity.gov.au/sites/default/files/2021-01/consultation01-access-now.pdf" TargetMode="External"/><Relationship Id="rId73" Type="http://schemas.openxmlformats.org/officeDocument/2006/relationships/hyperlink" Target="https://www.oaic.gov.au/privacy/guidance-and-advice/guidelines-for-developing-codes/" TargetMode="External"/><Relationship Id="rId78" Type="http://schemas.openxmlformats.org/officeDocument/2006/relationships/image" Target="media/image9.png"/><Relationship Id="rId81" Type="http://schemas.openxmlformats.org/officeDocument/2006/relationships/hyperlink" Target="https://documents1.worldbank.org/curated/en/219201522848336907/pdf/Private-Sector-Economic-Impacts-from-Identification-Systems.pdf" TargetMode="External"/><Relationship Id="rId86" Type="http://schemas.openxmlformats.org/officeDocument/2006/relationships/hyperlink" Target="https://pmc.gov.au/resource-centre/regulation/regulatory-burden-measurement-framework-guidance-note" TargetMode="External"/><Relationship Id="rId94" Type="http://schemas.openxmlformats.org/officeDocument/2006/relationships/hyperlink" Target="https://www.digitalidentity.gov.au/" TargetMode="External"/><Relationship Id="rId99" Type="http://schemas.openxmlformats.org/officeDocument/2006/relationships/hyperlink" Target="https://www.digitalidentity.gov.au/sites/default/files/2021-08/34_accessnow.pdf" TargetMode="External"/><Relationship Id="rId101" Type="http://schemas.openxmlformats.org/officeDocument/2006/relationships/hyperlink" Target="https://www.digitalidentity.gov.au/sites/default/files/2021-09/Regulation%20Impact%20Statement%20%28RIS%29.pdf" TargetMode="External"/><Relationship Id="rId4" Type="http://schemas.openxmlformats.org/officeDocument/2006/relationships/settings" Target="settings.xml"/><Relationship Id="rId9" Type="http://schemas.openxmlformats.org/officeDocument/2006/relationships/hyperlink" Target="http://www.digitalidentity.gov.au/" TargetMode="External"/><Relationship Id="rId18" Type="http://schemas.openxmlformats.org/officeDocument/2006/relationships/footer" Target="footer1.xml"/><Relationship Id="rId39" Type="http://schemas.openxmlformats.org/officeDocument/2006/relationships/hyperlink" Target="https://www.mckinsey.com/business-functions/mckinsey-digital/our-insights/digital-identification-a-key-to-inclusive-growth" TargetMode="External"/><Relationship Id="rId109" Type="http://schemas.openxmlformats.org/officeDocument/2006/relationships/theme" Target="theme/theme1.xml"/><Relationship Id="rId34" Type="http://schemas.openxmlformats.org/officeDocument/2006/relationships/image" Target="media/image7.png"/><Relationship Id="rId50" Type="http://schemas.openxmlformats.org/officeDocument/2006/relationships/hyperlink" Target="https://dta-www-drupal-20180130215411153400000001.s3.ap-southeast-2.amazonaws.com/s3fs-public/files/digital-identity/PIAs/gc527_dta_tdif_mid_2018_pia_v6_201809_final_Acc.pdf" TargetMode="External"/><Relationship Id="rId55" Type="http://schemas.openxmlformats.org/officeDocument/2006/relationships/hyperlink" Target="https://treasury.gov.au/publication/c2014-fsi-final-report" TargetMode="External"/><Relationship Id="rId76" Type="http://schemas.openxmlformats.org/officeDocument/2006/relationships/hyperlink" Target="https://pmc.gov.au/resource-centre/regulation/regulatory-burden-measurement-framework-guidance-note" TargetMode="External"/><Relationship Id="rId97" Type="http://schemas.openxmlformats.org/officeDocument/2006/relationships/hyperlink" Target="https://www.digitalidentity.gov.au/have-your-say/phase-3" TargetMode="External"/><Relationship Id="rId104" Type="http://schemas.openxmlformats.org/officeDocument/2006/relationships/hyperlink" Target="https://obpr.pmc.gov.au/resources/guidance-assessing-impacts/regulatory-burden-measurement-framework" TargetMode="External"/></Relationships>
</file>

<file path=word/theme/theme1.xml><?xml version="1.0" encoding="utf-8"?>
<a:theme xmlns:a="http://schemas.openxmlformats.org/drawingml/2006/main" name="Office Theme">
  <a:themeElements>
    <a:clrScheme name="Digital Identity colour palette">
      <a:dk1>
        <a:srgbClr val="000000"/>
      </a:dk1>
      <a:lt1>
        <a:srgbClr val="FFFFFF"/>
      </a:lt1>
      <a:dk2>
        <a:srgbClr val="494949"/>
      </a:dk2>
      <a:lt2>
        <a:srgbClr val="656565"/>
      </a:lt2>
      <a:accent1>
        <a:srgbClr val="2C476E"/>
      </a:accent1>
      <a:accent2>
        <a:srgbClr val="008BBE"/>
      </a:accent2>
      <a:accent3>
        <a:srgbClr val="6ECFF5"/>
      </a:accent3>
      <a:accent4>
        <a:srgbClr val="E5F5FB"/>
      </a:accent4>
      <a:accent5>
        <a:srgbClr val="FFFFFF"/>
      </a:accent5>
      <a:accent6>
        <a:srgbClr val="C5C5C5"/>
      </a:accent6>
      <a:hlink>
        <a:srgbClr val="0563C1"/>
      </a:hlink>
      <a:folHlink>
        <a:srgbClr val="6ECFF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28E50-06EC-4AC0-B9D4-8DBE0173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48314</Words>
  <Characters>275392</Characters>
  <Application>Microsoft Office Word</Application>
  <DocSecurity>0</DocSecurity>
  <Lines>2294</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323060</CharactersWithSpaces>
  <SharedDoc>false</SharedDoc>
  <HLinks>
    <vt:vector size="1128" baseType="variant">
      <vt:variant>
        <vt:i4>5177367</vt:i4>
      </vt:variant>
      <vt:variant>
        <vt:i4>994</vt:i4>
      </vt:variant>
      <vt:variant>
        <vt:i4>0</vt:i4>
      </vt:variant>
      <vt:variant>
        <vt:i4>5</vt:i4>
      </vt:variant>
      <vt:variant>
        <vt:lpwstr/>
      </vt:variant>
      <vt:variant>
        <vt:lpwstr>Section12</vt:lpwstr>
      </vt:variant>
      <vt:variant>
        <vt:i4>1376318</vt:i4>
      </vt:variant>
      <vt:variant>
        <vt:i4>987</vt:i4>
      </vt:variant>
      <vt:variant>
        <vt:i4>0</vt:i4>
      </vt:variant>
      <vt:variant>
        <vt:i4>5</vt:i4>
      </vt:variant>
      <vt:variant>
        <vt:lpwstr/>
      </vt:variant>
      <vt:variant>
        <vt:lpwstr>_Toc130390627</vt:lpwstr>
      </vt:variant>
      <vt:variant>
        <vt:i4>1376318</vt:i4>
      </vt:variant>
      <vt:variant>
        <vt:i4>981</vt:i4>
      </vt:variant>
      <vt:variant>
        <vt:i4>0</vt:i4>
      </vt:variant>
      <vt:variant>
        <vt:i4>5</vt:i4>
      </vt:variant>
      <vt:variant>
        <vt:lpwstr/>
      </vt:variant>
      <vt:variant>
        <vt:lpwstr>_Toc130390626</vt:lpwstr>
      </vt:variant>
      <vt:variant>
        <vt:i4>1376318</vt:i4>
      </vt:variant>
      <vt:variant>
        <vt:i4>975</vt:i4>
      </vt:variant>
      <vt:variant>
        <vt:i4>0</vt:i4>
      </vt:variant>
      <vt:variant>
        <vt:i4>5</vt:i4>
      </vt:variant>
      <vt:variant>
        <vt:lpwstr/>
      </vt:variant>
      <vt:variant>
        <vt:lpwstr>_Toc130390625</vt:lpwstr>
      </vt:variant>
      <vt:variant>
        <vt:i4>1376318</vt:i4>
      </vt:variant>
      <vt:variant>
        <vt:i4>969</vt:i4>
      </vt:variant>
      <vt:variant>
        <vt:i4>0</vt:i4>
      </vt:variant>
      <vt:variant>
        <vt:i4>5</vt:i4>
      </vt:variant>
      <vt:variant>
        <vt:lpwstr/>
      </vt:variant>
      <vt:variant>
        <vt:lpwstr>_Toc130390624</vt:lpwstr>
      </vt:variant>
      <vt:variant>
        <vt:i4>1376318</vt:i4>
      </vt:variant>
      <vt:variant>
        <vt:i4>963</vt:i4>
      </vt:variant>
      <vt:variant>
        <vt:i4>0</vt:i4>
      </vt:variant>
      <vt:variant>
        <vt:i4>5</vt:i4>
      </vt:variant>
      <vt:variant>
        <vt:lpwstr/>
      </vt:variant>
      <vt:variant>
        <vt:lpwstr>_Toc130390623</vt:lpwstr>
      </vt:variant>
      <vt:variant>
        <vt:i4>1376318</vt:i4>
      </vt:variant>
      <vt:variant>
        <vt:i4>957</vt:i4>
      </vt:variant>
      <vt:variant>
        <vt:i4>0</vt:i4>
      </vt:variant>
      <vt:variant>
        <vt:i4>5</vt:i4>
      </vt:variant>
      <vt:variant>
        <vt:lpwstr/>
      </vt:variant>
      <vt:variant>
        <vt:lpwstr>_Toc130390622</vt:lpwstr>
      </vt:variant>
      <vt:variant>
        <vt:i4>1376318</vt:i4>
      </vt:variant>
      <vt:variant>
        <vt:i4>951</vt:i4>
      </vt:variant>
      <vt:variant>
        <vt:i4>0</vt:i4>
      </vt:variant>
      <vt:variant>
        <vt:i4>5</vt:i4>
      </vt:variant>
      <vt:variant>
        <vt:lpwstr/>
      </vt:variant>
      <vt:variant>
        <vt:lpwstr>_Toc130390621</vt:lpwstr>
      </vt:variant>
      <vt:variant>
        <vt:i4>1376318</vt:i4>
      </vt:variant>
      <vt:variant>
        <vt:i4>945</vt:i4>
      </vt:variant>
      <vt:variant>
        <vt:i4>0</vt:i4>
      </vt:variant>
      <vt:variant>
        <vt:i4>5</vt:i4>
      </vt:variant>
      <vt:variant>
        <vt:lpwstr/>
      </vt:variant>
      <vt:variant>
        <vt:lpwstr>_Toc130390620</vt:lpwstr>
      </vt:variant>
      <vt:variant>
        <vt:i4>1441854</vt:i4>
      </vt:variant>
      <vt:variant>
        <vt:i4>939</vt:i4>
      </vt:variant>
      <vt:variant>
        <vt:i4>0</vt:i4>
      </vt:variant>
      <vt:variant>
        <vt:i4>5</vt:i4>
      </vt:variant>
      <vt:variant>
        <vt:lpwstr/>
      </vt:variant>
      <vt:variant>
        <vt:lpwstr>_Toc130390619</vt:lpwstr>
      </vt:variant>
      <vt:variant>
        <vt:i4>1441854</vt:i4>
      </vt:variant>
      <vt:variant>
        <vt:i4>933</vt:i4>
      </vt:variant>
      <vt:variant>
        <vt:i4>0</vt:i4>
      </vt:variant>
      <vt:variant>
        <vt:i4>5</vt:i4>
      </vt:variant>
      <vt:variant>
        <vt:lpwstr/>
      </vt:variant>
      <vt:variant>
        <vt:lpwstr>_Toc130390618</vt:lpwstr>
      </vt:variant>
      <vt:variant>
        <vt:i4>1441854</vt:i4>
      </vt:variant>
      <vt:variant>
        <vt:i4>927</vt:i4>
      </vt:variant>
      <vt:variant>
        <vt:i4>0</vt:i4>
      </vt:variant>
      <vt:variant>
        <vt:i4>5</vt:i4>
      </vt:variant>
      <vt:variant>
        <vt:lpwstr/>
      </vt:variant>
      <vt:variant>
        <vt:lpwstr>_Toc130390617</vt:lpwstr>
      </vt:variant>
      <vt:variant>
        <vt:i4>1441854</vt:i4>
      </vt:variant>
      <vt:variant>
        <vt:i4>921</vt:i4>
      </vt:variant>
      <vt:variant>
        <vt:i4>0</vt:i4>
      </vt:variant>
      <vt:variant>
        <vt:i4>5</vt:i4>
      </vt:variant>
      <vt:variant>
        <vt:lpwstr/>
      </vt:variant>
      <vt:variant>
        <vt:lpwstr>_Toc130390616</vt:lpwstr>
      </vt:variant>
      <vt:variant>
        <vt:i4>1441854</vt:i4>
      </vt:variant>
      <vt:variant>
        <vt:i4>915</vt:i4>
      </vt:variant>
      <vt:variant>
        <vt:i4>0</vt:i4>
      </vt:variant>
      <vt:variant>
        <vt:i4>5</vt:i4>
      </vt:variant>
      <vt:variant>
        <vt:lpwstr/>
      </vt:variant>
      <vt:variant>
        <vt:lpwstr>_Toc130390615</vt:lpwstr>
      </vt:variant>
      <vt:variant>
        <vt:i4>1441854</vt:i4>
      </vt:variant>
      <vt:variant>
        <vt:i4>909</vt:i4>
      </vt:variant>
      <vt:variant>
        <vt:i4>0</vt:i4>
      </vt:variant>
      <vt:variant>
        <vt:i4>5</vt:i4>
      </vt:variant>
      <vt:variant>
        <vt:lpwstr/>
      </vt:variant>
      <vt:variant>
        <vt:lpwstr>_Toc130390614</vt:lpwstr>
      </vt:variant>
      <vt:variant>
        <vt:i4>1441854</vt:i4>
      </vt:variant>
      <vt:variant>
        <vt:i4>903</vt:i4>
      </vt:variant>
      <vt:variant>
        <vt:i4>0</vt:i4>
      </vt:variant>
      <vt:variant>
        <vt:i4>5</vt:i4>
      </vt:variant>
      <vt:variant>
        <vt:lpwstr/>
      </vt:variant>
      <vt:variant>
        <vt:lpwstr>_Toc130390613</vt:lpwstr>
      </vt:variant>
      <vt:variant>
        <vt:i4>1441854</vt:i4>
      </vt:variant>
      <vt:variant>
        <vt:i4>897</vt:i4>
      </vt:variant>
      <vt:variant>
        <vt:i4>0</vt:i4>
      </vt:variant>
      <vt:variant>
        <vt:i4>5</vt:i4>
      </vt:variant>
      <vt:variant>
        <vt:lpwstr/>
      </vt:variant>
      <vt:variant>
        <vt:lpwstr>_Toc130390612</vt:lpwstr>
      </vt:variant>
      <vt:variant>
        <vt:i4>1441854</vt:i4>
      </vt:variant>
      <vt:variant>
        <vt:i4>891</vt:i4>
      </vt:variant>
      <vt:variant>
        <vt:i4>0</vt:i4>
      </vt:variant>
      <vt:variant>
        <vt:i4>5</vt:i4>
      </vt:variant>
      <vt:variant>
        <vt:lpwstr/>
      </vt:variant>
      <vt:variant>
        <vt:lpwstr>_Toc130390611</vt:lpwstr>
      </vt:variant>
      <vt:variant>
        <vt:i4>1441854</vt:i4>
      </vt:variant>
      <vt:variant>
        <vt:i4>885</vt:i4>
      </vt:variant>
      <vt:variant>
        <vt:i4>0</vt:i4>
      </vt:variant>
      <vt:variant>
        <vt:i4>5</vt:i4>
      </vt:variant>
      <vt:variant>
        <vt:lpwstr/>
      </vt:variant>
      <vt:variant>
        <vt:lpwstr>_Toc130390610</vt:lpwstr>
      </vt:variant>
      <vt:variant>
        <vt:i4>1507390</vt:i4>
      </vt:variant>
      <vt:variant>
        <vt:i4>879</vt:i4>
      </vt:variant>
      <vt:variant>
        <vt:i4>0</vt:i4>
      </vt:variant>
      <vt:variant>
        <vt:i4>5</vt:i4>
      </vt:variant>
      <vt:variant>
        <vt:lpwstr/>
      </vt:variant>
      <vt:variant>
        <vt:lpwstr>_Toc130390609</vt:lpwstr>
      </vt:variant>
      <vt:variant>
        <vt:i4>1507390</vt:i4>
      </vt:variant>
      <vt:variant>
        <vt:i4>873</vt:i4>
      </vt:variant>
      <vt:variant>
        <vt:i4>0</vt:i4>
      </vt:variant>
      <vt:variant>
        <vt:i4>5</vt:i4>
      </vt:variant>
      <vt:variant>
        <vt:lpwstr/>
      </vt:variant>
      <vt:variant>
        <vt:lpwstr>_Toc130390608</vt:lpwstr>
      </vt:variant>
      <vt:variant>
        <vt:i4>1966141</vt:i4>
      </vt:variant>
      <vt:variant>
        <vt:i4>864</vt:i4>
      </vt:variant>
      <vt:variant>
        <vt:i4>0</vt:i4>
      </vt:variant>
      <vt:variant>
        <vt:i4>5</vt:i4>
      </vt:variant>
      <vt:variant>
        <vt:lpwstr/>
      </vt:variant>
      <vt:variant>
        <vt:lpwstr>_Toc130390595</vt:lpwstr>
      </vt:variant>
      <vt:variant>
        <vt:i4>1966141</vt:i4>
      </vt:variant>
      <vt:variant>
        <vt:i4>858</vt:i4>
      </vt:variant>
      <vt:variant>
        <vt:i4>0</vt:i4>
      </vt:variant>
      <vt:variant>
        <vt:i4>5</vt:i4>
      </vt:variant>
      <vt:variant>
        <vt:lpwstr/>
      </vt:variant>
      <vt:variant>
        <vt:lpwstr>_Toc130390594</vt:lpwstr>
      </vt:variant>
      <vt:variant>
        <vt:i4>4522077</vt:i4>
      </vt:variant>
      <vt:variant>
        <vt:i4>841</vt:i4>
      </vt:variant>
      <vt:variant>
        <vt:i4>0</vt:i4>
      </vt:variant>
      <vt:variant>
        <vt:i4>5</vt:i4>
      </vt:variant>
      <vt:variant>
        <vt:lpwstr>https://obpr.pmc.gov.au/resources/guidance-assessing-impacts/regulatory-burden-measurement-framework</vt:lpwstr>
      </vt:variant>
      <vt:variant>
        <vt:lpwstr/>
      </vt:variant>
      <vt:variant>
        <vt:i4>458755</vt:i4>
      </vt:variant>
      <vt:variant>
        <vt:i4>838</vt:i4>
      </vt:variant>
      <vt:variant>
        <vt:i4>0</vt:i4>
      </vt:variant>
      <vt:variant>
        <vt:i4>5</vt:i4>
      </vt:variant>
      <vt:variant>
        <vt:lpwstr>https://www.digitalidentity.gov.au/sites/default/files/2021-09/Regulation Impact Statement %28RIS%29.pdf</vt:lpwstr>
      </vt:variant>
      <vt:variant>
        <vt:lpwstr/>
      </vt:variant>
      <vt:variant>
        <vt:i4>262159</vt:i4>
      </vt:variant>
      <vt:variant>
        <vt:i4>829</vt:i4>
      </vt:variant>
      <vt:variant>
        <vt:i4>0</vt:i4>
      </vt:variant>
      <vt:variant>
        <vt:i4>5</vt:i4>
      </vt:variant>
      <vt:variant>
        <vt:lpwstr/>
      </vt:variant>
      <vt:variant>
        <vt:lpwstr>Leverage</vt:lpwstr>
      </vt:variant>
      <vt:variant>
        <vt:i4>6488160</vt:i4>
      </vt:variant>
      <vt:variant>
        <vt:i4>826</vt:i4>
      </vt:variant>
      <vt:variant>
        <vt:i4>0</vt:i4>
      </vt:variant>
      <vt:variant>
        <vt:i4>5</vt:i4>
      </vt:variant>
      <vt:variant>
        <vt:lpwstr>https://www.abs.gov.au/statistics/economy/price-indexes-and-inflation/wage-price-index-australia/latest-release</vt:lpwstr>
      </vt:variant>
      <vt:variant>
        <vt:lpwstr/>
      </vt:variant>
      <vt:variant>
        <vt:i4>4522077</vt:i4>
      </vt:variant>
      <vt:variant>
        <vt:i4>823</vt:i4>
      </vt:variant>
      <vt:variant>
        <vt:i4>0</vt:i4>
      </vt:variant>
      <vt:variant>
        <vt:i4>5</vt:i4>
      </vt:variant>
      <vt:variant>
        <vt:lpwstr>https://obpr.pmc.gov.au/resources/guidance-assessing-impacts/regulatory-burden-measurement-framework</vt:lpwstr>
      </vt:variant>
      <vt:variant>
        <vt:lpwstr/>
      </vt:variant>
      <vt:variant>
        <vt:i4>4522077</vt:i4>
      </vt:variant>
      <vt:variant>
        <vt:i4>820</vt:i4>
      </vt:variant>
      <vt:variant>
        <vt:i4>0</vt:i4>
      </vt:variant>
      <vt:variant>
        <vt:i4>5</vt:i4>
      </vt:variant>
      <vt:variant>
        <vt:lpwstr>https://obpr.pmc.gov.au/resources/guidance-assessing-impacts/regulatory-burden-measurement-framework</vt:lpwstr>
      </vt:variant>
      <vt:variant>
        <vt:lpwstr/>
      </vt:variant>
      <vt:variant>
        <vt:i4>4522077</vt:i4>
      </vt:variant>
      <vt:variant>
        <vt:i4>817</vt:i4>
      </vt:variant>
      <vt:variant>
        <vt:i4>0</vt:i4>
      </vt:variant>
      <vt:variant>
        <vt:i4>5</vt:i4>
      </vt:variant>
      <vt:variant>
        <vt:lpwstr>https://obpr.pmc.gov.au/resources/guidance-assessing-impacts/regulatory-burden-measurement-framework</vt:lpwstr>
      </vt:variant>
      <vt:variant>
        <vt:lpwstr/>
      </vt:variant>
      <vt:variant>
        <vt:i4>262159</vt:i4>
      </vt:variant>
      <vt:variant>
        <vt:i4>814</vt:i4>
      </vt:variant>
      <vt:variant>
        <vt:i4>0</vt:i4>
      </vt:variant>
      <vt:variant>
        <vt:i4>5</vt:i4>
      </vt:variant>
      <vt:variant>
        <vt:lpwstr/>
      </vt:variant>
      <vt:variant>
        <vt:lpwstr>Leverage</vt:lpwstr>
      </vt:variant>
      <vt:variant>
        <vt:i4>524311</vt:i4>
      </vt:variant>
      <vt:variant>
        <vt:i4>811</vt:i4>
      </vt:variant>
      <vt:variant>
        <vt:i4>0</vt:i4>
      </vt:variant>
      <vt:variant>
        <vt:i4>5</vt:i4>
      </vt:variant>
      <vt:variant>
        <vt:lpwstr/>
      </vt:variant>
      <vt:variant>
        <vt:lpwstr>Dedicated</vt:lpwstr>
      </vt:variant>
      <vt:variant>
        <vt:i4>458755</vt:i4>
      </vt:variant>
      <vt:variant>
        <vt:i4>808</vt:i4>
      </vt:variant>
      <vt:variant>
        <vt:i4>0</vt:i4>
      </vt:variant>
      <vt:variant>
        <vt:i4>5</vt:i4>
      </vt:variant>
      <vt:variant>
        <vt:lpwstr>https://www.digitalidentity.gov.au/sites/default/files/2021-09/Regulation Impact Statement %28RIS%29.pdf</vt:lpwstr>
      </vt:variant>
      <vt:variant>
        <vt:lpwstr/>
      </vt:variant>
      <vt:variant>
        <vt:i4>2555967</vt:i4>
      </vt:variant>
      <vt:variant>
        <vt:i4>805</vt:i4>
      </vt:variant>
      <vt:variant>
        <vt:i4>0</vt:i4>
      </vt:variant>
      <vt:variant>
        <vt:i4>5</vt:i4>
      </vt:variant>
      <vt:variant>
        <vt:lpwstr>https://pmc.gov.au/resource-centre/regulation/regulatory-burden-measurement-framework-guidance-note</vt:lpwstr>
      </vt:variant>
      <vt:variant>
        <vt:lpwstr/>
      </vt:variant>
      <vt:variant>
        <vt:i4>1572971</vt:i4>
      </vt:variant>
      <vt:variant>
        <vt:i4>798</vt:i4>
      </vt:variant>
      <vt:variant>
        <vt:i4>0</vt:i4>
      </vt:variant>
      <vt:variant>
        <vt:i4>5</vt:i4>
      </vt:variant>
      <vt:variant>
        <vt:lpwstr>https://www.digitalidentity.gov.au/sites/default/files/2021-08/34_accessnow.pdf</vt:lpwstr>
      </vt:variant>
      <vt:variant>
        <vt:lpwstr/>
      </vt:variant>
      <vt:variant>
        <vt:i4>1572971</vt:i4>
      </vt:variant>
      <vt:variant>
        <vt:i4>796</vt:i4>
      </vt:variant>
      <vt:variant>
        <vt:i4>0</vt:i4>
      </vt:variant>
      <vt:variant>
        <vt:i4>5</vt:i4>
      </vt:variant>
      <vt:variant>
        <vt:lpwstr>https://www.digitalidentity.gov.au/sites/default/files/2021-08/34_accessnow.pdf</vt:lpwstr>
      </vt:variant>
      <vt:variant>
        <vt:lpwstr/>
      </vt:variant>
      <vt:variant>
        <vt:i4>6029379</vt:i4>
      </vt:variant>
      <vt:variant>
        <vt:i4>793</vt:i4>
      </vt:variant>
      <vt:variant>
        <vt:i4>0</vt:i4>
      </vt:variant>
      <vt:variant>
        <vt:i4>5</vt:i4>
      </vt:variant>
      <vt:variant>
        <vt:lpwstr>https://www.digitalidentity.gov.au/have-your-say/phase-3</vt:lpwstr>
      </vt:variant>
      <vt:variant>
        <vt:lpwstr/>
      </vt:variant>
      <vt:variant>
        <vt:i4>2949230</vt:i4>
      </vt:variant>
      <vt:variant>
        <vt:i4>787</vt:i4>
      </vt:variant>
      <vt:variant>
        <vt:i4>0</vt:i4>
      </vt:variant>
      <vt:variant>
        <vt:i4>5</vt:i4>
      </vt:variant>
      <vt:variant>
        <vt:lpwstr>https://www.digitalidentity.gov.au/privacy-and-security</vt:lpwstr>
      </vt:variant>
      <vt:variant>
        <vt:lpwstr/>
      </vt:variant>
      <vt:variant>
        <vt:i4>4128817</vt:i4>
      </vt:variant>
      <vt:variant>
        <vt:i4>769</vt:i4>
      </vt:variant>
      <vt:variant>
        <vt:i4>0</vt:i4>
      </vt:variant>
      <vt:variant>
        <vt:i4>5</vt:i4>
      </vt:variant>
      <vt:variant>
        <vt:lpwstr>https://www.digitalidentity.gov.au/</vt:lpwstr>
      </vt:variant>
      <vt:variant>
        <vt:lpwstr/>
      </vt:variant>
      <vt:variant>
        <vt:i4>5177367</vt:i4>
      </vt:variant>
      <vt:variant>
        <vt:i4>766</vt:i4>
      </vt:variant>
      <vt:variant>
        <vt:i4>0</vt:i4>
      </vt:variant>
      <vt:variant>
        <vt:i4>5</vt:i4>
      </vt:variant>
      <vt:variant>
        <vt:lpwstr/>
      </vt:variant>
      <vt:variant>
        <vt:lpwstr>section10</vt:lpwstr>
      </vt:variant>
      <vt:variant>
        <vt:i4>4128817</vt:i4>
      </vt:variant>
      <vt:variant>
        <vt:i4>763</vt:i4>
      </vt:variant>
      <vt:variant>
        <vt:i4>0</vt:i4>
      </vt:variant>
      <vt:variant>
        <vt:i4>5</vt:i4>
      </vt:variant>
      <vt:variant>
        <vt:lpwstr>https://www.digitalidentity.gov.au/</vt:lpwstr>
      </vt:variant>
      <vt:variant>
        <vt:lpwstr/>
      </vt:variant>
      <vt:variant>
        <vt:i4>589846</vt:i4>
      </vt:variant>
      <vt:variant>
        <vt:i4>760</vt:i4>
      </vt:variant>
      <vt:variant>
        <vt:i4>0</vt:i4>
      </vt:variant>
      <vt:variant>
        <vt:i4>5</vt:i4>
      </vt:variant>
      <vt:variant>
        <vt:lpwstr/>
      </vt:variant>
      <vt:variant>
        <vt:lpwstr>AppendixG</vt:lpwstr>
      </vt:variant>
      <vt:variant>
        <vt:i4>4653079</vt:i4>
      </vt:variant>
      <vt:variant>
        <vt:i4>751</vt:i4>
      </vt:variant>
      <vt:variant>
        <vt:i4>0</vt:i4>
      </vt:variant>
      <vt:variant>
        <vt:i4>5</vt:i4>
      </vt:variant>
      <vt:variant>
        <vt:lpwstr/>
      </vt:variant>
      <vt:variant>
        <vt:lpwstr>section92</vt:lpwstr>
      </vt:variant>
      <vt:variant>
        <vt:i4>8257573</vt:i4>
      </vt:variant>
      <vt:variant>
        <vt:i4>748</vt:i4>
      </vt:variant>
      <vt:variant>
        <vt:i4>0</vt:i4>
      </vt:variant>
      <vt:variant>
        <vt:i4>5</vt:i4>
      </vt:variant>
      <vt:variant>
        <vt:lpwstr/>
      </vt:variant>
      <vt:variant>
        <vt:lpwstr>section323</vt:lpwstr>
      </vt:variant>
      <vt:variant>
        <vt:i4>1835030</vt:i4>
      </vt:variant>
      <vt:variant>
        <vt:i4>742</vt:i4>
      </vt:variant>
      <vt:variant>
        <vt:i4>0</vt:i4>
      </vt:variant>
      <vt:variant>
        <vt:i4>5</vt:i4>
      </vt:variant>
      <vt:variant>
        <vt:lpwstr/>
      </vt:variant>
      <vt:variant>
        <vt:lpwstr>What</vt:lpwstr>
      </vt:variant>
      <vt:variant>
        <vt:i4>6357098</vt:i4>
      </vt:variant>
      <vt:variant>
        <vt:i4>731</vt:i4>
      </vt:variant>
      <vt:variant>
        <vt:i4>0</vt:i4>
      </vt:variant>
      <vt:variant>
        <vt:i4>5</vt:i4>
      </vt:variant>
      <vt:variant>
        <vt:lpwstr/>
      </vt:variant>
      <vt:variant>
        <vt:lpwstr>Requirement</vt:lpwstr>
      </vt:variant>
      <vt:variant>
        <vt:i4>7143494</vt:i4>
      </vt:variant>
      <vt:variant>
        <vt:i4>725</vt:i4>
      </vt:variant>
      <vt:variant>
        <vt:i4>0</vt:i4>
      </vt:variant>
      <vt:variant>
        <vt:i4>5</vt:i4>
      </vt:variant>
      <vt:variant>
        <vt:lpwstr>https://www.digitalidentity.gov.au/sites/default/files/2023-09/Your guide to the Digital ID legislation and Digital ID Rules_2.pdf</vt:lpwstr>
      </vt:variant>
      <vt:variant>
        <vt:lpwstr/>
      </vt:variant>
      <vt:variant>
        <vt:i4>5373968</vt:i4>
      </vt:variant>
      <vt:variant>
        <vt:i4>722</vt:i4>
      </vt:variant>
      <vt:variant>
        <vt:i4>0</vt:i4>
      </vt:variant>
      <vt:variant>
        <vt:i4>5</vt:i4>
      </vt:variant>
      <vt:variant>
        <vt:lpwstr>https://www.digitalidentity.gov.au/previousconsultations</vt:lpwstr>
      </vt:variant>
      <vt:variant>
        <vt:lpwstr/>
      </vt:variant>
      <vt:variant>
        <vt:i4>5373968</vt:i4>
      </vt:variant>
      <vt:variant>
        <vt:i4>719</vt:i4>
      </vt:variant>
      <vt:variant>
        <vt:i4>0</vt:i4>
      </vt:variant>
      <vt:variant>
        <vt:i4>5</vt:i4>
      </vt:variant>
      <vt:variant>
        <vt:lpwstr>https://www.digitalidentity.gov.au/previousconsultations</vt:lpwstr>
      </vt:variant>
      <vt:variant>
        <vt:lpwstr/>
      </vt:variant>
      <vt:variant>
        <vt:i4>5373968</vt:i4>
      </vt:variant>
      <vt:variant>
        <vt:i4>716</vt:i4>
      </vt:variant>
      <vt:variant>
        <vt:i4>0</vt:i4>
      </vt:variant>
      <vt:variant>
        <vt:i4>5</vt:i4>
      </vt:variant>
      <vt:variant>
        <vt:lpwstr>https://www.digitalidentity.gov.au/previousconsultations</vt:lpwstr>
      </vt:variant>
      <vt:variant>
        <vt:lpwstr/>
      </vt:variant>
      <vt:variant>
        <vt:i4>3014779</vt:i4>
      </vt:variant>
      <vt:variant>
        <vt:i4>713</vt:i4>
      </vt:variant>
      <vt:variant>
        <vt:i4>0</vt:i4>
      </vt:variant>
      <vt:variant>
        <vt:i4>5</vt:i4>
      </vt:variant>
      <vt:variant>
        <vt:lpwstr>https://www.digitalidentity.gov.au/news/watch-our-webinar-about-the-proposed-digital-identity-legislation-consultation</vt:lpwstr>
      </vt:variant>
      <vt:variant>
        <vt:lpwstr/>
      </vt:variant>
      <vt:variant>
        <vt:i4>589846</vt:i4>
      </vt:variant>
      <vt:variant>
        <vt:i4>710</vt:i4>
      </vt:variant>
      <vt:variant>
        <vt:i4>0</vt:i4>
      </vt:variant>
      <vt:variant>
        <vt:i4>5</vt:i4>
      </vt:variant>
      <vt:variant>
        <vt:lpwstr/>
      </vt:variant>
      <vt:variant>
        <vt:lpwstr>AppendixD</vt:lpwstr>
      </vt:variant>
      <vt:variant>
        <vt:i4>2555967</vt:i4>
      </vt:variant>
      <vt:variant>
        <vt:i4>707</vt:i4>
      </vt:variant>
      <vt:variant>
        <vt:i4>0</vt:i4>
      </vt:variant>
      <vt:variant>
        <vt:i4>5</vt:i4>
      </vt:variant>
      <vt:variant>
        <vt:lpwstr>https://pmc.gov.au/resource-centre/regulation/regulatory-burden-measurement-framework-guidance-note</vt:lpwstr>
      </vt:variant>
      <vt:variant>
        <vt:lpwstr/>
      </vt:variant>
      <vt:variant>
        <vt:i4>589846</vt:i4>
      </vt:variant>
      <vt:variant>
        <vt:i4>701</vt:i4>
      </vt:variant>
      <vt:variant>
        <vt:i4>0</vt:i4>
      </vt:variant>
      <vt:variant>
        <vt:i4>5</vt:i4>
      </vt:variant>
      <vt:variant>
        <vt:lpwstr/>
      </vt:variant>
      <vt:variant>
        <vt:lpwstr>appendixe</vt:lpwstr>
      </vt:variant>
      <vt:variant>
        <vt:i4>4522077</vt:i4>
      </vt:variant>
      <vt:variant>
        <vt:i4>698</vt:i4>
      </vt:variant>
      <vt:variant>
        <vt:i4>0</vt:i4>
      </vt:variant>
      <vt:variant>
        <vt:i4>5</vt:i4>
      </vt:variant>
      <vt:variant>
        <vt:lpwstr>https://obpr.pmc.gov.au/resources/guidance-assessing-impacts/regulatory-burden-measurement-framework</vt:lpwstr>
      </vt:variant>
      <vt:variant>
        <vt:lpwstr/>
      </vt:variant>
      <vt:variant>
        <vt:i4>2555967</vt:i4>
      </vt:variant>
      <vt:variant>
        <vt:i4>689</vt:i4>
      </vt:variant>
      <vt:variant>
        <vt:i4>0</vt:i4>
      </vt:variant>
      <vt:variant>
        <vt:i4>5</vt:i4>
      </vt:variant>
      <vt:variant>
        <vt:lpwstr>https://pmc.gov.au/resource-centre/regulation/regulatory-burden-measurement-framework-guidance-note</vt:lpwstr>
      </vt:variant>
      <vt:variant>
        <vt:lpwstr/>
      </vt:variant>
      <vt:variant>
        <vt:i4>458755</vt:i4>
      </vt:variant>
      <vt:variant>
        <vt:i4>686</vt:i4>
      </vt:variant>
      <vt:variant>
        <vt:i4>0</vt:i4>
      </vt:variant>
      <vt:variant>
        <vt:i4>5</vt:i4>
      </vt:variant>
      <vt:variant>
        <vt:lpwstr>https://www.digitalidentity.gov.au/sites/default/files/2021-09/Regulation Impact Statement %28RIS%29.pdf</vt:lpwstr>
      </vt:variant>
      <vt:variant>
        <vt:lpwstr/>
      </vt:variant>
      <vt:variant>
        <vt:i4>4849787</vt:i4>
      </vt:variant>
      <vt:variant>
        <vt:i4>683</vt:i4>
      </vt:variant>
      <vt:variant>
        <vt:i4>0</vt:i4>
      </vt:variant>
      <vt:variant>
        <vt:i4>5</vt:i4>
      </vt:variant>
      <vt:variant>
        <vt:lpwstr>https://www.dss.gov.au/sites/default/files/documents/10_2019/d19-1139120-dss-annual-report-2018-19.pdf</vt:lpwstr>
      </vt:variant>
      <vt:variant>
        <vt:lpwstr/>
      </vt:variant>
      <vt:variant>
        <vt:i4>2424888</vt:i4>
      </vt:variant>
      <vt:variant>
        <vt:i4>680</vt:i4>
      </vt:variant>
      <vt:variant>
        <vt:i4>0</vt:i4>
      </vt:variant>
      <vt:variant>
        <vt:i4>5</vt:i4>
      </vt:variant>
      <vt:variant>
        <vt:lpwstr>https://documents1.worldbank.org/curated/en/219201522848336907/pdf/Private-Sector-Economic-Impacts-from-Identification-Systems.pdf</vt:lpwstr>
      </vt:variant>
      <vt:variant>
        <vt:lpwstr/>
      </vt:variant>
      <vt:variant>
        <vt:i4>6488176</vt:i4>
      </vt:variant>
      <vt:variant>
        <vt:i4>677</vt:i4>
      </vt:variant>
      <vt:variant>
        <vt:i4>0</vt:i4>
      </vt:variant>
      <vt:variant>
        <vt:i4>5</vt:i4>
      </vt:variant>
      <vt:variant>
        <vt:lpwstr>https://www.biometricupdate.com/202111/government-digital-identity-plans-advance-amid-scepticism-lack-of-awareness</vt:lpwstr>
      </vt:variant>
      <vt:variant>
        <vt:lpwstr/>
      </vt:variant>
      <vt:variant>
        <vt:i4>4522077</vt:i4>
      </vt:variant>
      <vt:variant>
        <vt:i4>674</vt:i4>
      </vt:variant>
      <vt:variant>
        <vt:i4>0</vt:i4>
      </vt:variant>
      <vt:variant>
        <vt:i4>5</vt:i4>
      </vt:variant>
      <vt:variant>
        <vt:lpwstr>https://obpr.pmc.gov.au/resources/guidance-assessing-impacts/regulatory-burden-measurement-framework</vt:lpwstr>
      </vt:variant>
      <vt:variant>
        <vt:lpwstr/>
      </vt:variant>
      <vt:variant>
        <vt:i4>2555967</vt:i4>
      </vt:variant>
      <vt:variant>
        <vt:i4>665</vt:i4>
      </vt:variant>
      <vt:variant>
        <vt:i4>0</vt:i4>
      </vt:variant>
      <vt:variant>
        <vt:i4>5</vt:i4>
      </vt:variant>
      <vt:variant>
        <vt:lpwstr>https://pmc.gov.au/resource-centre/regulation/regulatory-burden-measurement-framework-guidance-note</vt:lpwstr>
      </vt:variant>
      <vt:variant>
        <vt:lpwstr/>
      </vt:variant>
      <vt:variant>
        <vt:i4>2555967</vt:i4>
      </vt:variant>
      <vt:variant>
        <vt:i4>659</vt:i4>
      </vt:variant>
      <vt:variant>
        <vt:i4>0</vt:i4>
      </vt:variant>
      <vt:variant>
        <vt:i4>5</vt:i4>
      </vt:variant>
      <vt:variant>
        <vt:lpwstr>https://pmc.gov.au/resource-centre/regulation/regulatory-burden-measurement-framework-guidance-note</vt:lpwstr>
      </vt:variant>
      <vt:variant>
        <vt:lpwstr/>
      </vt:variant>
      <vt:variant>
        <vt:i4>4522077</vt:i4>
      </vt:variant>
      <vt:variant>
        <vt:i4>650</vt:i4>
      </vt:variant>
      <vt:variant>
        <vt:i4>0</vt:i4>
      </vt:variant>
      <vt:variant>
        <vt:i4>5</vt:i4>
      </vt:variant>
      <vt:variant>
        <vt:lpwstr>https://obpr.pmc.gov.au/resources/guidance-assessing-impacts/regulatory-burden-measurement-framework</vt:lpwstr>
      </vt:variant>
      <vt:variant>
        <vt:lpwstr/>
      </vt:variant>
      <vt:variant>
        <vt:i4>4522077</vt:i4>
      </vt:variant>
      <vt:variant>
        <vt:i4>644</vt:i4>
      </vt:variant>
      <vt:variant>
        <vt:i4>0</vt:i4>
      </vt:variant>
      <vt:variant>
        <vt:i4>5</vt:i4>
      </vt:variant>
      <vt:variant>
        <vt:lpwstr>https://obpr.pmc.gov.au/resources/guidance-assessing-impacts/regulatory-burden-measurement-framework</vt:lpwstr>
      </vt:variant>
      <vt:variant>
        <vt:lpwstr/>
      </vt:variant>
      <vt:variant>
        <vt:i4>327754</vt:i4>
      </vt:variant>
      <vt:variant>
        <vt:i4>641</vt:i4>
      </vt:variant>
      <vt:variant>
        <vt:i4>0</vt:i4>
      </vt:variant>
      <vt:variant>
        <vt:i4>5</vt:i4>
      </vt:variant>
      <vt:variant>
        <vt:lpwstr>https://www.oaic.gov.au/privacy/guidance-and-advice/guidelines-for-developing-codes/</vt:lpwstr>
      </vt:variant>
      <vt:variant>
        <vt:lpwstr/>
      </vt:variant>
      <vt:variant>
        <vt:i4>8126501</vt:i4>
      </vt:variant>
      <vt:variant>
        <vt:i4>635</vt:i4>
      </vt:variant>
      <vt:variant>
        <vt:i4>0</vt:i4>
      </vt:variant>
      <vt:variant>
        <vt:i4>5</vt:i4>
      </vt:variant>
      <vt:variant>
        <vt:lpwstr/>
      </vt:variant>
      <vt:variant>
        <vt:lpwstr>section321</vt:lpwstr>
      </vt:variant>
      <vt:variant>
        <vt:i4>5177367</vt:i4>
      </vt:variant>
      <vt:variant>
        <vt:i4>632</vt:i4>
      </vt:variant>
      <vt:variant>
        <vt:i4>0</vt:i4>
      </vt:variant>
      <vt:variant>
        <vt:i4>5</vt:i4>
      </vt:variant>
      <vt:variant>
        <vt:lpwstr/>
      </vt:variant>
      <vt:variant>
        <vt:lpwstr>section10</vt:lpwstr>
      </vt:variant>
      <vt:variant>
        <vt:i4>589846</vt:i4>
      </vt:variant>
      <vt:variant>
        <vt:i4>626</vt:i4>
      </vt:variant>
      <vt:variant>
        <vt:i4>0</vt:i4>
      </vt:variant>
      <vt:variant>
        <vt:i4>5</vt:i4>
      </vt:variant>
      <vt:variant>
        <vt:lpwstr/>
      </vt:variant>
      <vt:variant>
        <vt:lpwstr>appendixe</vt:lpwstr>
      </vt:variant>
      <vt:variant>
        <vt:i4>4522077</vt:i4>
      </vt:variant>
      <vt:variant>
        <vt:i4>623</vt:i4>
      </vt:variant>
      <vt:variant>
        <vt:i4>0</vt:i4>
      </vt:variant>
      <vt:variant>
        <vt:i4>5</vt:i4>
      </vt:variant>
      <vt:variant>
        <vt:lpwstr>https://obpr.pmc.gov.au/resources/guidance-assessing-impacts/regulatory-burden-measurement-framework</vt:lpwstr>
      </vt:variant>
      <vt:variant>
        <vt:lpwstr/>
      </vt:variant>
      <vt:variant>
        <vt:i4>5177367</vt:i4>
      </vt:variant>
      <vt:variant>
        <vt:i4>620</vt:i4>
      </vt:variant>
      <vt:variant>
        <vt:i4>0</vt:i4>
      </vt:variant>
      <vt:variant>
        <vt:i4>5</vt:i4>
      </vt:variant>
      <vt:variant>
        <vt:lpwstr/>
      </vt:variant>
      <vt:variant>
        <vt:lpwstr>section10</vt:lpwstr>
      </vt:variant>
      <vt:variant>
        <vt:i4>4980767</vt:i4>
      </vt:variant>
      <vt:variant>
        <vt:i4>617</vt:i4>
      </vt:variant>
      <vt:variant>
        <vt:i4>0</vt:i4>
      </vt:variant>
      <vt:variant>
        <vt:i4>5</vt:i4>
      </vt:variant>
      <vt:variant>
        <vt:lpwstr>https://www.finance.gov.au/government/managing-commonwealth-resources/managing-money-property/managing-money/australian-government-charging-framework</vt:lpwstr>
      </vt:variant>
      <vt:variant>
        <vt:lpwstr/>
      </vt:variant>
      <vt:variant>
        <vt:i4>2752602</vt:i4>
      </vt:variant>
      <vt:variant>
        <vt:i4>611</vt:i4>
      </vt:variant>
      <vt:variant>
        <vt:i4>0</vt:i4>
      </vt:variant>
      <vt:variant>
        <vt:i4>5</vt:i4>
      </vt:variant>
      <vt:variant>
        <vt:lpwstr>https://www.digitalidentity.gov.au/sites/default/files/2023-09/draft Digital ID Rules September 2023_0.pdf</vt:lpwstr>
      </vt:variant>
      <vt:variant>
        <vt:lpwstr/>
      </vt:variant>
      <vt:variant>
        <vt:i4>1048700</vt:i4>
      </vt:variant>
      <vt:variant>
        <vt:i4>608</vt:i4>
      </vt:variant>
      <vt:variant>
        <vt:i4>0</vt:i4>
      </vt:variant>
      <vt:variant>
        <vt:i4>5</vt:i4>
      </vt:variant>
      <vt:variant>
        <vt:lpwstr>https://www.digitalidentity.gov.au/sites/default/files/2023-09/Exposure draft of the Digital ID Bill 2023_0.pdf</vt:lpwstr>
      </vt:variant>
      <vt:variant>
        <vt:lpwstr/>
      </vt:variant>
      <vt:variant>
        <vt:i4>5177367</vt:i4>
      </vt:variant>
      <vt:variant>
        <vt:i4>597</vt:i4>
      </vt:variant>
      <vt:variant>
        <vt:i4>0</vt:i4>
      </vt:variant>
      <vt:variant>
        <vt:i4>5</vt:i4>
      </vt:variant>
      <vt:variant>
        <vt:lpwstr/>
      </vt:variant>
      <vt:variant>
        <vt:lpwstr>section10</vt:lpwstr>
      </vt:variant>
      <vt:variant>
        <vt:i4>4915223</vt:i4>
      </vt:variant>
      <vt:variant>
        <vt:i4>588</vt:i4>
      </vt:variant>
      <vt:variant>
        <vt:i4>0</vt:i4>
      </vt:variant>
      <vt:variant>
        <vt:i4>5</vt:i4>
      </vt:variant>
      <vt:variant>
        <vt:lpwstr/>
      </vt:variant>
      <vt:variant>
        <vt:lpwstr>section5</vt:lpwstr>
      </vt:variant>
      <vt:variant>
        <vt:i4>5177367</vt:i4>
      </vt:variant>
      <vt:variant>
        <vt:i4>585</vt:i4>
      </vt:variant>
      <vt:variant>
        <vt:i4>0</vt:i4>
      </vt:variant>
      <vt:variant>
        <vt:i4>5</vt:i4>
      </vt:variant>
      <vt:variant>
        <vt:lpwstr/>
      </vt:variant>
      <vt:variant>
        <vt:lpwstr>section10</vt:lpwstr>
      </vt:variant>
      <vt:variant>
        <vt:i4>7012478</vt:i4>
      </vt:variant>
      <vt:variant>
        <vt:i4>582</vt:i4>
      </vt:variant>
      <vt:variant>
        <vt:i4>0</vt:i4>
      </vt:variant>
      <vt:variant>
        <vt:i4>5</vt:i4>
      </vt:variant>
      <vt:variant>
        <vt:lpwstr>https://www.aph.gov.au/About_Parliament/Parliamentary_Departments/Parliamentary_Library/Publications_Archive/archive/identitycards</vt:lpwstr>
      </vt:variant>
      <vt:variant>
        <vt:lpwstr/>
      </vt:variant>
      <vt:variant>
        <vt:i4>8126585</vt:i4>
      </vt:variant>
      <vt:variant>
        <vt:i4>579</vt:i4>
      </vt:variant>
      <vt:variant>
        <vt:i4>0</vt:i4>
      </vt:variant>
      <vt:variant>
        <vt:i4>5</vt:i4>
      </vt:variant>
      <vt:variant>
        <vt:lpwstr>https://www.itnews.com.au/news/how-npp-chairman-bob-mckinnon-beats-banktech-delaying-tactics-523225</vt:lpwstr>
      </vt:variant>
      <vt:variant>
        <vt:lpwstr/>
      </vt:variant>
      <vt:variant>
        <vt:i4>5308489</vt:i4>
      </vt:variant>
      <vt:variant>
        <vt:i4>576</vt:i4>
      </vt:variant>
      <vt:variant>
        <vt:i4>0</vt:i4>
      </vt:variant>
      <vt:variant>
        <vt:i4>5</vt:i4>
      </vt:variant>
      <vt:variant>
        <vt:lpwstr>https://www.aspi.org.au/report/preventing-another-australia-card-fail</vt:lpwstr>
      </vt:variant>
      <vt:variant>
        <vt:lpwstr/>
      </vt:variant>
      <vt:variant>
        <vt:i4>6094873</vt:i4>
      </vt:variant>
      <vt:variant>
        <vt:i4>573</vt:i4>
      </vt:variant>
      <vt:variant>
        <vt:i4>0</vt:i4>
      </vt:variant>
      <vt:variant>
        <vt:i4>5</vt:i4>
      </vt:variant>
      <vt:variant>
        <vt:lpwstr>https://www.digitalidentity.gov.au/sites/default/files/2021-01/consultation01-access-now.pdf</vt:lpwstr>
      </vt:variant>
      <vt:variant>
        <vt:lpwstr/>
      </vt:variant>
      <vt:variant>
        <vt:i4>6553714</vt:i4>
      </vt:variant>
      <vt:variant>
        <vt:i4>570</vt:i4>
      </vt:variant>
      <vt:variant>
        <vt:i4>0</vt:i4>
      </vt:variant>
      <vt:variant>
        <vt:i4>5</vt:i4>
      </vt:variant>
      <vt:variant>
        <vt:lpwstr>https://www.digitalidentity.gov.au/sites/default/files/2021-01/consultation01-northern-territory-government.pdf</vt:lpwstr>
      </vt:variant>
      <vt:variant>
        <vt:lpwstr/>
      </vt:variant>
      <vt:variant>
        <vt:i4>4915223</vt:i4>
      </vt:variant>
      <vt:variant>
        <vt:i4>567</vt:i4>
      </vt:variant>
      <vt:variant>
        <vt:i4>0</vt:i4>
      </vt:variant>
      <vt:variant>
        <vt:i4>5</vt:i4>
      </vt:variant>
      <vt:variant>
        <vt:lpwstr/>
      </vt:variant>
      <vt:variant>
        <vt:lpwstr>section5</vt:lpwstr>
      </vt:variant>
      <vt:variant>
        <vt:i4>5963796</vt:i4>
      </vt:variant>
      <vt:variant>
        <vt:i4>561</vt:i4>
      </vt:variant>
      <vt:variant>
        <vt:i4>0</vt:i4>
      </vt:variant>
      <vt:variant>
        <vt:i4>5</vt:i4>
      </vt:variant>
      <vt:variant>
        <vt:lpwstr>https://www.computerweekly.com/blog/Computer-Weekly-Editors-Blog/What-next-for-digital-identity-in-the-UK-Industry-welcomes-latest-DCMS-plan</vt:lpwstr>
      </vt:variant>
      <vt:variant>
        <vt:lpwstr/>
      </vt:variant>
      <vt:variant>
        <vt:i4>2949236</vt:i4>
      </vt:variant>
      <vt:variant>
        <vt:i4>558</vt:i4>
      </vt:variant>
      <vt:variant>
        <vt:i4>0</vt:i4>
      </vt:variant>
      <vt:variant>
        <vt:i4>5</vt:i4>
      </vt:variant>
      <vt:variant>
        <vt:lpwstr>https://link.springer.com/content/pdf/10.1007/s12394-010-0049-8.pdf</vt:lpwstr>
      </vt:variant>
      <vt:variant>
        <vt:lpwstr/>
      </vt:variant>
      <vt:variant>
        <vt:i4>4194307</vt:i4>
      </vt:variant>
      <vt:variant>
        <vt:i4>555</vt:i4>
      </vt:variant>
      <vt:variant>
        <vt:i4>0</vt:i4>
      </vt:variant>
      <vt:variant>
        <vt:i4>5</vt:i4>
      </vt:variant>
      <vt:variant>
        <vt:lpwstr>https://joinup.ec.europa.eu/sites/default/files/inline-files/Digital_Government_Factsheets_Denmark_2019.pdf</vt:lpwstr>
      </vt:variant>
      <vt:variant>
        <vt:lpwstr/>
      </vt:variant>
      <vt:variant>
        <vt:i4>7274594</vt:i4>
      </vt:variant>
      <vt:variant>
        <vt:i4>552</vt:i4>
      </vt:variant>
      <vt:variant>
        <vt:i4>0</vt:i4>
      </vt:variant>
      <vt:variant>
        <vt:i4>5</vt:i4>
      </vt:variant>
      <vt:variant>
        <vt:lpwstr>https://www.mckinsey.com/industries/public-and-social-sector/our-insights/how-governments-can-deliver-on-the-promise-of-digital-id</vt:lpwstr>
      </vt:variant>
      <vt:variant>
        <vt:lpwstr/>
      </vt:variant>
      <vt:variant>
        <vt:i4>7995518</vt:i4>
      </vt:variant>
      <vt:variant>
        <vt:i4>549</vt:i4>
      </vt:variant>
      <vt:variant>
        <vt:i4>0</vt:i4>
      </vt:variant>
      <vt:variant>
        <vt:i4>5</vt:i4>
      </vt:variant>
      <vt:variant>
        <vt:lpwstr>https://www.mckinsey.com/~/media/McKinsey/Business Functions/McKinsey Digital/Our Insights/Digital identification A key to inclusive growth/MGI-Digital-identification-Report.ashx</vt:lpwstr>
      </vt:variant>
      <vt:variant>
        <vt:lpwstr/>
      </vt:variant>
      <vt:variant>
        <vt:i4>3407915</vt:i4>
      </vt:variant>
      <vt:variant>
        <vt:i4>546</vt:i4>
      </vt:variant>
      <vt:variant>
        <vt:i4>0</vt:i4>
      </vt:variant>
      <vt:variant>
        <vt:i4>5</vt:i4>
      </vt:variant>
      <vt:variant>
        <vt:lpwstr>https://treasury.gov.au/publication/c2014-fsi-final-report</vt:lpwstr>
      </vt:variant>
      <vt:variant>
        <vt:lpwstr/>
      </vt:variant>
      <vt:variant>
        <vt:i4>4587600</vt:i4>
      </vt:variant>
      <vt:variant>
        <vt:i4>543</vt:i4>
      </vt:variant>
      <vt:variant>
        <vt:i4>0</vt:i4>
      </vt:variant>
      <vt:variant>
        <vt:i4>5</vt:i4>
      </vt:variant>
      <vt:variant>
        <vt:lpwstr>https://www.govtechreview.com.au/content/gov-digital/article/ministers-agree-to-national-digital-identity-roadmap-1164211173</vt:lpwstr>
      </vt:variant>
      <vt:variant>
        <vt:lpwstr/>
      </vt:variant>
      <vt:variant>
        <vt:i4>7536688</vt:i4>
      </vt:variant>
      <vt:variant>
        <vt:i4>540</vt:i4>
      </vt:variant>
      <vt:variant>
        <vt:i4>0</vt:i4>
      </vt:variant>
      <vt:variant>
        <vt:i4>5</vt:i4>
      </vt:variant>
      <vt:variant>
        <vt:lpwstr>https://dta-www-drupal-20180130215411153400000001.s3.ap-southeast-2.amazonaws.com/s3fs-public/files/digital-identity/PIAs/DTA_TDIF_Alpha_Initial_PIA.pdf</vt:lpwstr>
      </vt:variant>
      <vt:variant>
        <vt:lpwstr/>
      </vt:variant>
      <vt:variant>
        <vt:i4>3407915</vt:i4>
      </vt:variant>
      <vt:variant>
        <vt:i4>537</vt:i4>
      </vt:variant>
      <vt:variant>
        <vt:i4>0</vt:i4>
      </vt:variant>
      <vt:variant>
        <vt:i4>5</vt:i4>
      </vt:variant>
      <vt:variant>
        <vt:lpwstr>https://treasury.gov.au/publication/c2014-fsi-final-report</vt:lpwstr>
      </vt:variant>
      <vt:variant>
        <vt:lpwstr/>
      </vt:variant>
      <vt:variant>
        <vt:i4>65605</vt:i4>
      </vt:variant>
      <vt:variant>
        <vt:i4>534</vt:i4>
      </vt:variant>
      <vt:variant>
        <vt:i4>0</vt:i4>
      </vt:variant>
      <vt:variant>
        <vt:i4>5</vt:i4>
      </vt:variant>
      <vt:variant>
        <vt:lpwstr>https://www.abc.net.au/news/2020-08-17/identity-theft-soars-with-coronavirus-scams-accc-reports/12558622</vt:lpwstr>
      </vt:variant>
      <vt:variant>
        <vt:lpwstr/>
      </vt:variant>
      <vt:variant>
        <vt:i4>3801121</vt:i4>
      </vt:variant>
      <vt:variant>
        <vt:i4>531</vt:i4>
      </vt:variant>
      <vt:variant>
        <vt:i4>0</vt:i4>
      </vt:variant>
      <vt:variant>
        <vt:i4>5</vt:i4>
      </vt:variant>
      <vt:variant>
        <vt:lpwstr>https://www.aic.gov.au/publications/sr/sr27</vt:lpwstr>
      </vt:variant>
      <vt:variant>
        <vt:lpwstr/>
      </vt:variant>
      <vt:variant>
        <vt:i4>4980812</vt:i4>
      </vt:variant>
      <vt:variant>
        <vt:i4>528</vt:i4>
      </vt:variant>
      <vt:variant>
        <vt:i4>0</vt:i4>
      </vt:variant>
      <vt:variant>
        <vt:i4>5</vt:i4>
      </vt:variant>
      <vt:variant>
        <vt:lpwstr>https://www.oaic.gov.au/engage-with-us/research/australian-community-attitudes-to-privacy-survey-2020-landing-page/2020-australian-community-attitudes-to-privacy-survey</vt:lpwstr>
      </vt:variant>
      <vt:variant>
        <vt:lpwstr/>
      </vt:variant>
      <vt:variant>
        <vt:i4>7995518</vt:i4>
      </vt:variant>
      <vt:variant>
        <vt:i4>525</vt:i4>
      </vt:variant>
      <vt:variant>
        <vt:i4>0</vt:i4>
      </vt:variant>
      <vt:variant>
        <vt:i4>5</vt:i4>
      </vt:variant>
      <vt:variant>
        <vt:lpwstr>https://www.mckinsey.com/~/media/McKinsey/Business Functions/McKinsey Digital/Our Insights/Digital identification A key to inclusive growth/MGI-Digital-identification-Report.ashx</vt:lpwstr>
      </vt:variant>
      <vt:variant>
        <vt:lpwstr/>
      </vt:variant>
      <vt:variant>
        <vt:i4>4718632</vt:i4>
      </vt:variant>
      <vt:variant>
        <vt:i4>522</vt:i4>
      </vt:variant>
      <vt:variant>
        <vt:i4>0</vt:i4>
      </vt:variant>
      <vt:variant>
        <vt:i4>5</vt:i4>
      </vt:variant>
      <vt:variant>
        <vt:lpwstr>https://dta-www-drupal-20180130215411153400000001.s3.ap-southeast-2.amazonaws.com/s3fs-public/files/digital-identity/PIAs/gc527_dta_tdif_mid_2018_pia_v6_201809_final_Acc.pdf</vt:lpwstr>
      </vt:variant>
      <vt:variant>
        <vt:lpwstr/>
      </vt:variant>
      <vt:variant>
        <vt:i4>6684730</vt:i4>
      </vt:variant>
      <vt:variant>
        <vt:i4>519</vt:i4>
      </vt:variant>
      <vt:variant>
        <vt:i4>0</vt:i4>
      </vt:variant>
      <vt:variant>
        <vt:i4>5</vt:i4>
      </vt:variant>
      <vt:variant>
        <vt:lpwstr>https://www.oaic.gov.au/about-us/what-we-do</vt:lpwstr>
      </vt:variant>
      <vt:variant>
        <vt:lpwstr/>
      </vt:variant>
      <vt:variant>
        <vt:i4>1900623</vt:i4>
      </vt:variant>
      <vt:variant>
        <vt:i4>516</vt:i4>
      </vt:variant>
      <vt:variant>
        <vt:i4>0</vt:i4>
      </vt:variant>
      <vt:variant>
        <vt:i4>5</vt:i4>
      </vt:variant>
      <vt:variant>
        <vt:lpwstr>https://www.oaic.gov.au/privacy/guidance-and-advice/data-breach-preparation-and-response/part-4-notifiable-data-breach-ndb-scheme</vt:lpwstr>
      </vt:variant>
      <vt:variant>
        <vt:lpwstr/>
      </vt:variant>
      <vt:variant>
        <vt:i4>4456543</vt:i4>
      </vt:variant>
      <vt:variant>
        <vt:i4>513</vt:i4>
      </vt:variant>
      <vt:variant>
        <vt:i4>0</vt:i4>
      </vt:variant>
      <vt:variant>
        <vt:i4>5</vt:i4>
      </vt:variant>
      <vt:variant>
        <vt:lpwstr>https://www.oaic.gov.au/privacy/the-privacy-act/rights-and-responsibilities/</vt:lpwstr>
      </vt:variant>
      <vt:variant>
        <vt:lpwstr/>
      </vt:variant>
      <vt:variant>
        <vt:i4>1310750</vt:i4>
      </vt:variant>
      <vt:variant>
        <vt:i4>510</vt:i4>
      </vt:variant>
      <vt:variant>
        <vt:i4>0</vt:i4>
      </vt:variant>
      <vt:variant>
        <vt:i4>5</vt:i4>
      </vt:variant>
      <vt:variant>
        <vt:lpwstr>https://www.ag.gov.au/rights-and-protections/privacy</vt:lpwstr>
      </vt:variant>
      <vt:variant>
        <vt:lpwstr/>
      </vt:variant>
      <vt:variant>
        <vt:i4>3407915</vt:i4>
      </vt:variant>
      <vt:variant>
        <vt:i4>507</vt:i4>
      </vt:variant>
      <vt:variant>
        <vt:i4>0</vt:i4>
      </vt:variant>
      <vt:variant>
        <vt:i4>5</vt:i4>
      </vt:variant>
      <vt:variant>
        <vt:lpwstr>https://treasury.gov.au/publication/c2014-fsi-final-report</vt:lpwstr>
      </vt:variant>
      <vt:variant>
        <vt:lpwstr/>
      </vt:variant>
      <vt:variant>
        <vt:i4>4980740</vt:i4>
      </vt:variant>
      <vt:variant>
        <vt:i4>504</vt:i4>
      </vt:variant>
      <vt:variant>
        <vt:i4>0</vt:i4>
      </vt:variant>
      <vt:variant>
        <vt:i4>5</vt:i4>
      </vt:variant>
      <vt:variant>
        <vt:lpwstr>https://stockhead.com.au/private-i/digital-identity-the-next-frontier-for-fintech-innovation/</vt:lpwstr>
      </vt:variant>
      <vt:variant>
        <vt:lpwstr/>
      </vt:variant>
      <vt:variant>
        <vt:i4>5832735</vt:i4>
      </vt:variant>
      <vt:variant>
        <vt:i4>501</vt:i4>
      </vt:variant>
      <vt:variant>
        <vt:i4>0</vt:i4>
      </vt:variant>
      <vt:variant>
        <vt:i4>5</vt:i4>
      </vt:variant>
      <vt:variant>
        <vt:lpwstr>https://home.kpmg/au/en/home/media/press-releases/2020/12/more-than-100-australian-fintechs-added-to-the-fintech-landscape-21-december-2020.html</vt:lpwstr>
      </vt:variant>
      <vt:variant>
        <vt:lpwstr/>
      </vt:variant>
      <vt:variant>
        <vt:i4>1900583</vt:i4>
      </vt:variant>
      <vt:variant>
        <vt:i4>498</vt:i4>
      </vt:variant>
      <vt:variant>
        <vt:i4>0</vt:i4>
      </vt:variant>
      <vt:variant>
        <vt:i4>5</vt:i4>
      </vt:variant>
      <vt:variant>
        <vt:lpwstr>https://assets.ey.com/content/dam/ey-sites/ey-com/en_au/pdfs/ey-fintech-census-report2020.pdf</vt:lpwstr>
      </vt:variant>
      <vt:variant>
        <vt:lpwstr/>
      </vt:variant>
      <vt:variant>
        <vt:i4>1507332</vt:i4>
      </vt:variant>
      <vt:variant>
        <vt:i4>495</vt:i4>
      </vt:variant>
      <vt:variant>
        <vt:i4>0</vt:i4>
      </vt:variant>
      <vt:variant>
        <vt:i4>5</vt:i4>
      </vt:variant>
      <vt:variant>
        <vt:lpwstr>https://business.hooyu.com/sharing-economy-report</vt:lpwstr>
      </vt:variant>
      <vt:variant>
        <vt:lpwstr/>
      </vt:variant>
      <vt:variant>
        <vt:i4>7471226</vt:i4>
      </vt:variant>
      <vt:variant>
        <vt:i4>492</vt:i4>
      </vt:variant>
      <vt:variant>
        <vt:i4>0</vt:i4>
      </vt:variant>
      <vt:variant>
        <vt:i4>5</vt:i4>
      </vt:variant>
      <vt:variant>
        <vt:lpwstr>https://www.bcg.com/en-au/publications/2020/australia-global-regtech-hub-poised-for-growth</vt:lpwstr>
      </vt:variant>
      <vt:variant>
        <vt:lpwstr/>
      </vt:variant>
      <vt:variant>
        <vt:i4>3407926</vt:i4>
      </vt:variant>
      <vt:variant>
        <vt:i4>489</vt:i4>
      </vt:variant>
      <vt:variant>
        <vt:i4>0</vt:i4>
      </vt:variant>
      <vt:variant>
        <vt:i4>5</vt:i4>
      </vt:variant>
      <vt:variant>
        <vt:lpwstr>https://www.mckinsey.com/business-functions/mckinsey-digital/our-insights/digital-identification-a-key-to-inclusive-growth</vt:lpwstr>
      </vt:variant>
      <vt:variant>
        <vt:lpwstr/>
      </vt:variant>
      <vt:variant>
        <vt:i4>1638404</vt:i4>
      </vt:variant>
      <vt:variant>
        <vt:i4>480</vt:i4>
      </vt:variant>
      <vt:variant>
        <vt:i4>0</vt:i4>
      </vt:variant>
      <vt:variant>
        <vt:i4>5</vt:i4>
      </vt:variant>
      <vt:variant>
        <vt:lpwstr>https://www.digitalidentity.gov.au/news/another-first-for-digital-identity-with-eftpos-tdif-accreditation</vt:lpwstr>
      </vt:variant>
      <vt:variant>
        <vt:lpwstr/>
      </vt:variant>
      <vt:variant>
        <vt:i4>3407915</vt:i4>
      </vt:variant>
      <vt:variant>
        <vt:i4>471</vt:i4>
      </vt:variant>
      <vt:variant>
        <vt:i4>0</vt:i4>
      </vt:variant>
      <vt:variant>
        <vt:i4>5</vt:i4>
      </vt:variant>
      <vt:variant>
        <vt:lpwstr>https://treasury.gov.au/publication/c2014-fsi-final-report</vt:lpwstr>
      </vt:variant>
      <vt:variant>
        <vt:lpwstr/>
      </vt:variant>
      <vt:variant>
        <vt:i4>7798900</vt:i4>
      </vt:variant>
      <vt:variant>
        <vt:i4>468</vt:i4>
      </vt:variant>
      <vt:variant>
        <vt:i4>0</vt:i4>
      </vt:variant>
      <vt:variant>
        <vt:i4>5</vt:i4>
      </vt:variant>
      <vt:variant>
        <vt:lpwstr/>
      </vt:variant>
      <vt:variant>
        <vt:lpwstr>Option</vt:lpwstr>
      </vt:variant>
      <vt:variant>
        <vt:i4>393336</vt:i4>
      </vt:variant>
      <vt:variant>
        <vt:i4>465</vt:i4>
      </vt:variant>
      <vt:variant>
        <vt:i4>0</vt:i4>
      </vt:variant>
      <vt:variant>
        <vt:i4>5</vt:i4>
      </vt:variant>
      <vt:variant>
        <vt:lpwstr/>
      </vt:variant>
      <vt:variant>
        <vt:lpwstr>_2.5_The_case</vt:lpwstr>
      </vt:variant>
      <vt:variant>
        <vt:i4>720953</vt:i4>
      </vt:variant>
      <vt:variant>
        <vt:i4>453</vt:i4>
      </vt:variant>
      <vt:variant>
        <vt:i4>0</vt:i4>
      </vt:variant>
      <vt:variant>
        <vt:i4>5</vt:i4>
      </vt:variant>
      <vt:variant>
        <vt:lpwstr/>
      </vt:variant>
      <vt:variant>
        <vt:lpwstr>_11_Best_Option</vt:lpwstr>
      </vt:variant>
      <vt:variant>
        <vt:i4>6815771</vt:i4>
      </vt:variant>
      <vt:variant>
        <vt:i4>444</vt:i4>
      </vt:variant>
      <vt:variant>
        <vt:i4>0</vt:i4>
      </vt:variant>
      <vt:variant>
        <vt:i4>5</vt:i4>
      </vt:variant>
      <vt:variant>
        <vt:lpwstr/>
      </vt:variant>
      <vt:variant>
        <vt:lpwstr>_9_Likely_Net</vt:lpwstr>
      </vt:variant>
      <vt:variant>
        <vt:i4>4063313</vt:i4>
      </vt:variant>
      <vt:variant>
        <vt:i4>426</vt:i4>
      </vt:variant>
      <vt:variant>
        <vt:i4>0</vt:i4>
      </vt:variant>
      <vt:variant>
        <vt:i4>5</vt:i4>
      </vt:variant>
      <vt:variant>
        <vt:lpwstr/>
      </vt:variant>
      <vt:variant>
        <vt:lpwstr>_4_Requirement_for</vt:lpwstr>
      </vt:variant>
      <vt:variant>
        <vt:i4>589941</vt:i4>
      </vt:variant>
      <vt:variant>
        <vt:i4>420</vt:i4>
      </vt:variant>
      <vt:variant>
        <vt:i4>0</vt:i4>
      </vt:variant>
      <vt:variant>
        <vt:i4>5</vt:i4>
      </vt:variant>
      <vt:variant>
        <vt:lpwstr/>
      </vt:variant>
      <vt:variant>
        <vt:lpwstr>_3_What_is</vt:lpwstr>
      </vt:variant>
      <vt:variant>
        <vt:i4>5505107</vt:i4>
      </vt:variant>
      <vt:variant>
        <vt:i4>417</vt:i4>
      </vt:variant>
      <vt:variant>
        <vt:i4>0</vt:i4>
      </vt:variant>
      <vt:variant>
        <vt:i4>5</vt:i4>
      </vt:variant>
      <vt:variant>
        <vt:lpwstr>https://obpr.pmc.gov.au/resources/guidance-impact-analysis/australian-government-guide-regulatory-impact-analysis</vt:lpwstr>
      </vt:variant>
      <vt:variant>
        <vt:lpwstr/>
      </vt:variant>
      <vt:variant>
        <vt:i4>1835071</vt:i4>
      </vt:variant>
      <vt:variant>
        <vt:i4>410</vt:i4>
      </vt:variant>
      <vt:variant>
        <vt:i4>0</vt:i4>
      </vt:variant>
      <vt:variant>
        <vt:i4>5</vt:i4>
      </vt:variant>
      <vt:variant>
        <vt:lpwstr/>
      </vt:variant>
      <vt:variant>
        <vt:lpwstr>_Toc149740384</vt:lpwstr>
      </vt:variant>
      <vt:variant>
        <vt:i4>1835071</vt:i4>
      </vt:variant>
      <vt:variant>
        <vt:i4>404</vt:i4>
      </vt:variant>
      <vt:variant>
        <vt:i4>0</vt:i4>
      </vt:variant>
      <vt:variant>
        <vt:i4>5</vt:i4>
      </vt:variant>
      <vt:variant>
        <vt:lpwstr/>
      </vt:variant>
      <vt:variant>
        <vt:lpwstr>_Toc149740383</vt:lpwstr>
      </vt:variant>
      <vt:variant>
        <vt:i4>1835071</vt:i4>
      </vt:variant>
      <vt:variant>
        <vt:i4>398</vt:i4>
      </vt:variant>
      <vt:variant>
        <vt:i4>0</vt:i4>
      </vt:variant>
      <vt:variant>
        <vt:i4>5</vt:i4>
      </vt:variant>
      <vt:variant>
        <vt:lpwstr/>
      </vt:variant>
      <vt:variant>
        <vt:lpwstr>_Toc149740382</vt:lpwstr>
      </vt:variant>
      <vt:variant>
        <vt:i4>1835071</vt:i4>
      </vt:variant>
      <vt:variant>
        <vt:i4>392</vt:i4>
      </vt:variant>
      <vt:variant>
        <vt:i4>0</vt:i4>
      </vt:variant>
      <vt:variant>
        <vt:i4>5</vt:i4>
      </vt:variant>
      <vt:variant>
        <vt:lpwstr/>
      </vt:variant>
      <vt:variant>
        <vt:lpwstr>_Toc149740381</vt:lpwstr>
      </vt:variant>
      <vt:variant>
        <vt:i4>1835071</vt:i4>
      </vt:variant>
      <vt:variant>
        <vt:i4>386</vt:i4>
      </vt:variant>
      <vt:variant>
        <vt:i4>0</vt:i4>
      </vt:variant>
      <vt:variant>
        <vt:i4>5</vt:i4>
      </vt:variant>
      <vt:variant>
        <vt:lpwstr/>
      </vt:variant>
      <vt:variant>
        <vt:lpwstr>_Toc149740380</vt:lpwstr>
      </vt:variant>
      <vt:variant>
        <vt:i4>1245247</vt:i4>
      </vt:variant>
      <vt:variant>
        <vt:i4>380</vt:i4>
      </vt:variant>
      <vt:variant>
        <vt:i4>0</vt:i4>
      </vt:variant>
      <vt:variant>
        <vt:i4>5</vt:i4>
      </vt:variant>
      <vt:variant>
        <vt:lpwstr/>
      </vt:variant>
      <vt:variant>
        <vt:lpwstr>_Toc149740379</vt:lpwstr>
      </vt:variant>
      <vt:variant>
        <vt:i4>1245247</vt:i4>
      </vt:variant>
      <vt:variant>
        <vt:i4>374</vt:i4>
      </vt:variant>
      <vt:variant>
        <vt:i4>0</vt:i4>
      </vt:variant>
      <vt:variant>
        <vt:i4>5</vt:i4>
      </vt:variant>
      <vt:variant>
        <vt:lpwstr/>
      </vt:variant>
      <vt:variant>
        <vt:lpwstr>_Toc149740378</vt:lpwstr>
      </vt:variant>
      <vt:variant>
        <vt:i4>1245247</vt:i4>
      </vt:variant>
      <vt:variant>
        <vt:i4>368</vt:i4>
      </vt:variant>
      <vt:variant>
        <vt:i4>0</vt:i4>
      </vt:variant>
      <vt:variant>
        <vt:i4>5</vt:i4>
      </vt:variant>
      <vt:variant>
        <vt:lpwstr/>
      </vt:variant>
      <vt:variant>
        <vt:lpwstr>_Toc149740377</vt:lpwstr>
      </vt:variant>
      <vt:variant>
        <vt:i4>1245247</vt:i4>
      </vt:variant>
      <vt:variant>
        <vt:i4>362</vt:i4>
      </vt:variant>
      <vt:variant>
        <vt:i4>0</vt:i4>
      </vt:variant>
      <vt:variant>
        <vt:i4>5</vt:i4>
      </vt:variant>
      <vt:variant>
        <vt:lpwstr/>
      </vt:variant>
      <vt:variant>
        <vt:lpwstr>_Toc149740376</vt:lpwstr>
      </vt:variant>
      <vt:variant>
        <vt:i4>1245247</vt:i4>
      </vt:variant>
      <vt:variant>
        <vt:i4>356</vt:i4>
      </vt:variant>
      <vt:variant>
        <vt:i4>0</vt:i4>
      </vt:variant>
      <vt:variant>
        <vt:i4>5</vt:i4>
      </vt:variant>
      <vt:variant>
        <vt:lpwstr/>
      </vt:variant>
      <vt:variant>
        <vt:lpwstr>_Toc149740375</vt:lpwstr>
      </vt:variant>
      <vt:variant>
        <vt:i4>1245247</vt:i4>
      </vt:variant>
      <vt:variant>
        <vt:i4>350</vt:i4>
      </vt:variant>
      <vt:variant>
        <vt:i4>0</vt:i4>
      </vt:variant>
      <vt:variant>
        <vt:i4>5</vt:i4>
      </vt:variant>
      <vt:variant>
        <vt:lpwstr/>
      </vt:variant>
      <vt:variant>
        <vt:lpwstr>_Toc149740374</vt:lpwstr>
      </vt:variant>
      <vt:variant>
        <vt:i4>1245247</vt:i4>
      </vt:variant>
      <vt:variant>
        <vt:i4>344</vt:i4>
      </vt:variant>
      <vt:variant>
        <vt:i4>0</vt:i4>
      </vt:variant>
      <vt:variant>
        <vt:i4>5</vt:i4>
      </vt:variant>
      <vt:variant>
        <vt:lpwstr/>
      </vt:variant>
      <vt:variant>
        <vt:lpwstr>_Toc149740373</vt:lpwstr>
      </vt:variant>
      <vt:variant>
        <vt:i4>1245247</vt:i4>
      </vt:variant>
      <vt:variant>
        <vt:i4>338</vt:i4>
      </vt:variant>
      <vt:variant>
        <vt:i4>0</vt:i4>
      </vt:variant>
      <vt:variant>
        <vt:i4>5</vt:i4>
      </vt:variant>
      <vt:variant>
        <vt:lpwstr/>
      </vt:variant>
      <vt:variant>
        <vt:lpwstr>_Toc149740372</vt:lpwstr>
      </vt:variant>
      <vt:variant>
        <vt:i4>1245247</vt:i4>
      </vt:variant>
      <vt:variant>
        <vt:i4>332</vt:i4>
      </vt:variant>
      <vt:variant>
        <vt:i4>0</vt:i4>
      </vt:variant>
      <vt:variant>
        <vt:i4>5</vt:i4>
      </vt:variant>
      <vt:variant>
        <vt:lpwstr/>
      </vt:variant>
      <vt:variant>
        <vt:lpwstr>_Toc149740371</vt:lpwstr>
      </vt:variant>
      <vt:variant>
        <vt:i4>1245247</vt:i4>
      </vt:variant>
      <vt:variant>
        <vt:i4>326</vt:i4>
      </vt:variant>
      <vt:variant>
        <vt:i4>0</vt:i4>
      </vt:variant>
      <vt:variant>
        <vt:i4>5</vt:i4>
      </vt:variant>
      <vt:variant>
        <vt:lpwstr/>
      </vt:variant>
      <vt:variant>
        <vt:lpwstr>_Toc149740370</vt:lpwstr>
      </vt:variant>
      <vt:variant>
        <vt:i4>1179711</vt:i4>
      </vt:variant>
      <vt:variant>
        <vt:i4>320</vt:i4>
      </vt:variant>
      <vt:variant>
        <vt:i4>0</vt:i4>
      </vt:variant>
      <vt:variant>
        <vt:i4>5</vt:i4>
      </vt:variant>
      <vt:variant>
        <vt:lpwstr/>
      </vt:variant>
      <vt:variant>
        <vt:lpwstr>_Toc149740369</vt:lpwstr>
      </vt:variant>
      <vt:variant>
        <vt:i4>1179711</vt:i4>
      </vt:variant>
      <vt:variant>
        <vt:i4>314</vt:i4>
      </vt:variant>
      <vt:variant>
        <vt:i4>0</vt:i4>
      </vt:variant>
      <vt:variant>
        <vt:i4>5</vt:i4>
      </vt:variant>
      <vt:variant>
        <vt:lpwstr/>
      </vt:variant>
      <vt:variant>
        <vt:lpwstr>_Toc149740368</vt:lpwstr>
      </vt:variant>
      <vt:variant>
        <vt:i4>1179711</vt:i4>
      </vt:variant>
      <vt:variant>
        <vt:i4>308</vt:i4>
      </vt:variant>
      <vt:variant>
        <vt:i4>0</vt:i4>
      </vt:variant>
      <vt:variant>
        <vt:i4>5</vt:i4>
      </vt:variant>
      <vt:variant>
        <vt:lpwstr/>
      </vt:variant>
      <vt:variant>
        <vt:lpwstr>_Toc149740367</vt:lpwstr>
      </vt:variant>
      <vt:variant>
        <vt:i4>1179711</vt:i4>
      </vt:variant>
      <vt:variant>
        <vt:i4>302</vt:i4>
      </vt:variant>
      <vt:variant>
        <vt:i4>0</vt:i4>
      </vt:variant>
      <vt:variant>
        <vt:i4>5</vt:i4>
      </vt:variant>
      <vt:variant>
        <vt:lpwstr/>
      </vt:variant>
      <vt:variant>
        <vt:lpwstr>_Toc149740366</vt:lpwstr>
      </vt:variant>
      <vt:variant>
        <vt:i4>1179711</vt:i4>
      </vt:variant>
      <vt:variant>
        <vt:i4>296</vt:i4>
      </vt:variant>
      <vt:variant>
        <vt:i4>0</vt:i4>
      </vt:variant>
      <vt:variant>
        <vt:i4>5</vt:i4>
      </vt:variant>
      <vt:variant>
        <vt:lpwstr/>
      </vt:variant>
      <vt:variant>
        <vt:lpwstr>_Toc149740365</vt:lpwstr>
      </vt:variant>
      <vt:variant>
        <vt:i4>1179711</vt:i4>
      </vt:variant>
      <vt:variant>
        <vt:i4>290</vt:i4>
      </vt:variant>
      <vt:variant>
        <vt:i4>0</vt:i4>
      </vt:variant>
      <vt:variant>
        <vt:i4>5</vt:i4>
      </vt:variant>
      <vt:variant>
        <vt:lpwstr/>
      </vt:variant>
      <vt:variant>
        <vt:lpwstr>_Toc149740364</vt:lpwstr>
      </vt:variant>
      <vt:variant>
        <vt:i4>1179711</vt:i4>
      </vt:variant>
      <vt:variant>
        <vt:i4>284</vt:i4>
      </vt:variant>
      <vt:variant>
        <vt:i4>0</vt:i4>
      </vt:variant>
      <vt:variant>
        <vt:i4>5</vt:i4>
      </vt:variant>
      <vt:variant>
        <vt:lpwstr/>
      </vt:variant>
      <vt:variant>
        <vt:lpwstr>_Toc149740363</vt:lpwstr>
      </vt:variant>
      <vt:variant>
        <vt:i4>1179711</vt:i4>
      </vt:variant>
      <vt:variant>
        <vt:i4>278</vt:i4>
      </vt:variant>
      <vt:variant>
        <vt:i4>0</vt:i4>
      </vt:variant>
      <vt:variant>
        <vt:i4>5</vt:i4>
      </vt:variant>
      <vt:variant>
        <vt:lpwstr/>
      </vt:variant>
      <vt:variant>
        <vt:lpwstr>_Toc149740362</vt:lpwstr>
      </vt:variant>
      <vt:variant>
        <vt:i4>1179711</vt:i4>
      </vt:variant>
      <vt:variant>
        <vt:i4>272</vt:i4>
      </vt:variant>
      <vt:variant>
        <vt:i4>0</vt:i4>
      </vt:variant>
      <vt:variant>
        <vt:i4>5</vt:i4>
      </vt:variant>
      <vt:variant>
        <vt:lpwstr/>
      </vt:variant>
      <vt:variant>
        <vt:lpwstr>_Toc149740361</vt:lpwstr>
      </vt:variant>
      <vt:variant>
        <vt:i4>1179711</vt:i4>
      </vt:variant>
      <vt:variant>
        <vt:i4>266</vt:i4>
      </vt:variant>
      <vt:variant>
        <vt:i4>0</vt:i4>
      </vt:variant>
      <vt:variant>
        <vt:i4>5</vt:i4>
      </vt:variant>
      <vt:variant>
        <vt:lpwstr/>
      </vt:variant>
      <vt:variant>
        <vt:lpwstr>_Toc149740360</vt:lpwstr>
      </vt:variant>
      <vt:variant>
        <vt:i4>1114175</vt:i4>
      </vt:variant>
      <vt:variant>
        <vt:i4>260</vt:i4>
      </vt:variant>
      <vt:variant>
        <vt:i4>0</vt:i4>
      </vt:variant>
      <vt:variant>
        <vt:i4>5</vt:i4>
      </vt:variant>
      <vt:variant>
        <vt:lpwstr/>
      </vt:variant>
      <vt:variant>
        <vt:lpwstr>_Toc149740359</vt:lpwstr>
      </vt:variant>
      <vt:variant>
        <vt:i4>1114175</vt:i4>
      </vt:variant>
      <vt:variant>
        <vt:i4>254</vt:i4>
      </vt:variant>
      <vt:variant>
        <vt:i4>0</vt:i4>
      </vt:variant>
      <vt:variant>
        <vt:i4>5</vt:i4>
      </vt:variant>
      <vt:variant>
        <vt:lpwstr/>
      </vt:variant>
      <vt:variant>
        <vt:lpwstr>_Toc149740358</vt:lpwstr>
      </vt:variant>
      <vt:variant>
        <vt:i4>1114175</vt:i4>
      </vt:variant>
      <vt:variant>
        <vt:i4>248</vt:i4>
      </vt:variant>
      <vt:variant>
        <vt:i4>0</vt:i4>
      </vt:variant>
      <vt:variant>
        <vt:i4>5</vt:i4>
      </vt:variant>
      <vt:variant>
        <vt:lpwstr/>
      </vt:variant>
      <vt:variant>
        <vt:lpwstr>_Toc149740357</vt:lpwstr>
      </vt:variant>
      <vt:variant>
        <vt:i4>1114175</vt:i4>
      </vt:variant>
      <vt:variant>
        <vt:i4>242</vt:i4>
      </vt:variant>
      <vt:variant>
        <vt:i4>0</vt:i4>
      </vt:variant>
      <vt:variant>
        <vt:i4>5</vt:i4>
      </vt:variant>
      <vt:variant>
        <vt:lpwstr/>
      </vt:variant>
      <vt:variant>
        <vt:lpwstr>_Toc149740356</vt:lpwstr>
      </vt:variant>
      <vt:variant>
        <vt:i4>1114175</vt:i4>
      </vt:variant>
      <vt:variant>
        <vt:i4>236</vt:i4>
      </vt:variant>
      <vt:variant>
        <vt:i4>0</vt:i4>
      </vt:variant>
      <vt:variant>
        <vt:i4>5</vt:i4>
      </vt:variant>
      <vt:variant>
        <vt:lpwstr/>
      </vt:variant>
      <vt:variant>
        <vt:lpwstr>_Toc149740355</vt:lpwstr>
      </vt:variant>
      <vt:variant>
        <vt:i4>1114175</vt:i4>
      </vt:variant>
      <vt:variant>
        <vt:i4>230</vt:i4>
      </vt:variant>
      <vt:variant>
        <vt:i4>0</vt:i4>
      </vt:variant>
      <vt:variant>
        <vt:i4>5</vt:i4>
      </vt:variant>
      <vt:variant>
        <vt:lpwstr/>
      </vt:variant>
      <vt:variant>
        <vt:lpwstr>_Toc149740354</vt:lpwstr>
      </vt:variant>
      <vt:variant>
        <vt:i4>1114175</vt:i4>
      </vt:variant>
      <vt:variant>
        <vt:i4>224</vt:i4>
      </vt:variant>
      <vt:variant>
        <vt:i4>0</vt:i4>
      </vt:variant>
      <vt:variant>
        <vt:i4>5</vt:i4>
      </vt:variant>
      <vt:variant>
        <vt:lpwstr/>
      </vt:variant>
      <vt:variant>
        <vt:lpwstr>_Toc149740353</vt:lpwstr>
      </vt:variant>
      <vt:variant>
        <vt:i4>1114175</vt:i4>
      </vt:variant>
      <vt:variant>
        <vt:i4>218</vt:i4>
      </vt:variant>
      <vt:variant>
        <vt:i4>0</vt:i4>
      </vt:variant>
      <vt:variant>
        <vt:i4>5</vt:i4>
      </vt:variant>
      <vt:variant>
        <vt:lpwstr/>
      </vt:variant>
      <vt:variant>
        <vt:lpwstr>_Toc149740352</vt:lpwstr>
      </vt:variant>
      <vt:variant>
        <vt:i4>1114175</vt:i4>
      </vt:variant>
      <vt:variant>
        <vt:i4>212</vt:i4>
      </vt:variant>
      <vt:variant>
        <vt:i4>0</vt:i4>
      </vt:variant>
      <vt:variant>
        <vt:i4>5</vt:i4>
      </vt:variant>
      <vt:variant>
        <vt:lpwstr/>
      </vt:variant>
      <vt:variant>
        <vt:lpwstr>_Toc149740351</vt:lpwstr>
      </vt:variant>
      <vt:variant>
        <vt:i4>1114175</vt:i4>
      </vt:variant>
      <vt:variant>
        <vt:i4>206</vt:i4>
      </vt:variant>
      <vt:variant>
        <vt:i4>0</vt:i4>
      </vt:variant>
      <vt:variant>
        <vt:i4>5</vt:i4>
      </vt:variant>
      <vt:variant>
        <vt:lpwstr/>
      </vt:variant>
      <vt:variant>
        <vt:lpwstr>_Toc149740350</vt:lpwstr>
      </vt:variant>
      <vt:variant>
        <vt:i4>1048639</vt:i4>
      </vt:variant>
      <vt:variant>
        <vt:i4>200</vt:i4>
      </vt:variant>
      <vt:variant>
        <vt:i4>0</vt:i4>
      </vt:variant>
      <vt:variant>
        <vt:i4>5</vt:i4>
      </vt:variant>
      <vt:variant>
        <vt:lpwstr/>
      </vt:variant>
      <vt:variant>
        <vt:lpwstr>_Toc149740349</vt:lpwstr>
      </vt:variant>
      <vt:variant>
        <vt:i4>1048639</vt:i4>
      </vt:variant>
      <vt:variant>
        <vt:i4>194</vt:i4>
      </vt:variant>
      <vt:variant>
        <vt:i4>0</vt:i4>
      </vt:variant>
      <vt:variant>
        <vt:i4>5</vt:i4>
      </vt:variant>
      <vt:variant>
        <vt:lpwstr/>
      </vt:variant>
      <vt:variant>
        <vt:lpwstr>_Toc149740348</vt:lpwstr>
      </vt:variant>
      <vt:variant>
        <vt:i4>1048639</vt:i4>
      </vt:variant>
      <vt:variant>
        <vt:i4>188</vt:i4>
      </vt:variant>
      <vt:variant>
        <vt:i4>0</vt:i4>
      </vt:variant>
      <vt:variant>
        <vt:i4>5</vt:i4>
      </vt:variant>
      <vt:variant>
        <vt:lpwstr/>
      </vt:variant>
      <vt:variant>
        <vt:lpwstr>_Toc149740347</vt:lpwstr>
      </vt:variant>
      <vt:variant>
        <vt:i4>1048639</vt:i4>
      </vt:variant>
      <vt:variant>
        <vt:i4>182</vt:i4>
      </vt:variant>
      <vt:variant>
        <vt:i4>0</vt:i4>
      </vt:variant>
      <vt:variant>
        <vt:i4>5</vt:i4>
      </vt:variant>
      <vt:variant>
        <vt:lpwstr/>
      </vt:variant>
      <vt:variant>
        <vt:lpwstr>_Toc149740346</vt:lpwstr>
      </vt:variant>
      <vt:variant>
        <vt:i4>1048639</vt:i4>
      </vt:variant>
      <vt:variant>
        <vt:i4>176</vt:i4>
      </vt:variant>
      <vt:variant>
        <vt:i4>0</vt:i4>
      </vt:variant>
      <vt:variant>
        <vt:i4>5</vt:i4>
      </vt:variant>
      <vt:variant>
        <vt:lpwstr/>
      </vt:variant>
      <vt:variant>
        <vt:lpwstr>_Toc149740345</vt:lpwstr>
      </vt:variant>
      <vt:variant>
        <vt:i4>1048639</vt:i4>
      </vt:variant>
      <vt:variant>
        <vt:i4>170</vt:i4>
      </vt:variant>
      <vt:variant>
        <vt:i4>0</vt:i4>
      </vt:variant>
      <vt:variant>
        <vt:i4>5</vt:i4>
      </vt:variant>
      <vt:variant>
        <vt:lpwstr/>
      </vt:variant>
      <vt:variant>
        <vt:lpwstr>_Toc149740344</vt:lpwstr>
      </vt:variant>
      <vt:variant>
        <vt:i4>1048639</vt:i4>
      </vt:variant>
      <vt:variant>
        <vt:i4>164</vt:i4>
      </vt:variant>
      <vt:variant>
        <vt:i4>0</vt:i4>
      </vt:variant>
      <vt:variant>
        <vt:i4>5</vt:i4>
      </vt:variant>
      <vt:variant>
        <vt:lpwstr/>
      </vt:variant>
      <vt:variant>
        <vt:lpwstr>_Toc149740343</vt:lpwstr>
      </vt:variant>
      <vt:variant>
        <vt:i4>1048639</vt:i4>
      </vt:variant>
      <vt:variant>
        <vt:i4>158</vt:i4>
      </vt:variant>
      <vt:variant>
        <vt:i4>0</vt:i4>
      </vt:variant>
      <vt:variant>
        <vt:i4>5</vt:i4>
      </vt:variant>
      <vt:variant>
        <vt:lpwstr/>
      </vt:variant>
      <vt:variant>
        <vt:lpwstr>_Toc149740342</vt:lpwstr>
      </vt:variant>
      <vt:variant>
        <vt:i4>1048639</vt:i4>
      </vt:variant>
      <vt:variant>
        <vt:i4>152</vt:i4>
      </vt:variant>
      <vt:variant>
        <vt:i4>0</vt:i4>
      </vt:variant>
      <vt:variant>
        <vt:i4>5</vt:i4>
      </vt:variant>
      <vt:variant>
        <vt:lpwstr/>
      </vt:variant>
      <vt:variant>
        <vt:lpwstr>_Toc149740341</vt:lpwstr>
      </vt:variant>
      <vt:variant>
        <vt:i4>1048639</vt:i4>
      </vt:variant>
      <vt:variant>
        <vt:i4>146</vt:i4>
      </vt:variant>
      <vt:variant>
        <vt:i4>0</vt:i4>
      </vt:variant>
      <vt:variant>
        <vt:i4>5</vt:i4>
      </vt:variant>
      <vt:variant>
        <vt:lpwstr/>
      </vt:variant>
      <vt:variant>
        <vt:lpwstr>_Toc149740340</vt:lpwstr>
      </vt:variant>
      <vt:variant>
        <vt:i4>1507391</vt:i4>
      </vt:variant>
      <vt:variant>
        <vt:i4>140</vt:i4>
      </vt:variant>
      <vt:variant>
        <vt:i4>0</vt:i4>
      </vt:variant>
      <vt:variant>
        <vt:i4>5</vt:i4>
      </vt:variant>
      <vt:variant>
        <vt:lpwstr/>
      </vt:variant>
      <vt:variant>
        <vt:lpwstr>_Toc149740339</vt:lpwstr>
      </vt:variant>
      <vt:variant>
        <vt:i4>1507391</vt:i4>
      </vt:variant>
      <vt:variant>
        <vt:i4>134</vt:i4>
      </vt:variant>
      <vt:variant>
        <vt:i4>0</vt:i4>
      </vt:variant>
      <vt:variant>
        <vt:i4>5</vt:i4>
      </vt:variant>
      <vt:variant>
        <vt:lpwstr/>
      </vt:variant>
      <vt:variant>
        <vt:lpwstr>_Toc149740338</vt:lpwstr>
      </vt:variant>
      <vt:variant>
        <vt:i4>1507391</vt:i4>
      </vt:variant>
      <vt:variant>
        <vt:i4>128</vt:i4>
      </vt:variant>
      <vt:variant>
        <vt:i4>0</vt:i4>
      </vt:variant>
      <vt:variant>
        <vt:i4>5</vt:i4>
      </vt:variant>
      <vt:variant>
        <vt:lpwstr/>
      </vt:variant>
      <vt:variant>
        <vt:lpwstr>_Toc149740337</vt:lpwstr>
      </vt:variant>
      <vt:variant>
        <vt:i4>1507391</vt:i4>
      </vt:variant>
      <vt:variant>
        <vt:i4>122</vt:i4>
      </vt:variant>
      <vt:variant>
        <vt:i4>0</vt:i4>
      </vt:variant>
      <vt:variant>
        <vt:i4>5</vt:i4>
      </vt:variant>
      <vt:variant>
        <vt:lpwstr/>
      </vt:variant>
      <vt:variant>
        <vt:lpwstr>_Toc149740336</vt:lpwstr>
      </vt:variant>
      <vt:variant>
        <vt:i4>1507391</vt:i4>
      </vt:variant>
      <vt:variant>
        <vt:i4>116</vt:i4>
      </vt:variant>
      <vt:variant>
        <vt:i4>0</vt:i4>
      </vt:variant>
      <vt:variant>
        <vt:i4>5</vt:i4>
      </vt:variant>
      <vt:variant>
        <vt:lpwstr/>
      </vt:variant>
      <vt:variant>
        <vt:lpwstr>_Toc149740335</vt:lpwstr>
      </vt:variant>
      <vt:variant>
        <vt:i4>1507391</vt:i4>
      </vt:variant>
      <vt:variant>
        <vt:i4>110</vt:i4>
      </vt:variant>
      <vt:variant>
        <vt:i4>0</vt:i4>
      </vt:variant>
      <vt:variant>
        <vt:i4>5</vt:i4>
      </vt:variant>
      <vt:variant>
        <vt:lpwstr/>
      </vt:variant>
      <vt:variant>
        <vt:lpwstr>_Toc149740334</vt:lpwstr>
      </vt:variant>
      <vt:variant>
        <vt:i4>1507391</vt:i4>
      </vt:variant>
      <vt:variant>
        <vt:i4>104</vt:i4>
      </vt:variant>
      <vt:variant>
        <vt:i4>0</vt:i4>
      </vt:variant>
      <vt:variant>
        <vt:i4>5</vt:i4>
      </vt:variant>
      <vt:variant>
        <vt:lpwstr/>
      </vt:variant>
      <vt:variant>
        <vt:lpwstr>_Toc149740333</vt:lpwstr>
      </vt:variant>
      <vt:variant>
        <vt:i4>1507391</vt:i4>
      </vt:variant>
      <vt:variant>
        <vt:i4>98</vt:i4>
      </vt:variant>
      <vt:variant>
        <vt:i4>0</vt:i4>
      </vt:variant>
      <vt:variant>
        <vt:i4>5</vt:i4>
      </vt:variant>
      <vt:variant>
        <vt:lpwstr/>
      </vt:variant>
      <vt:variant>
        <vt:lpwstr>_Toc149740332</vt:lpwstr>
      </vt:variant>
      <vt:variant>
        <vt:i4>1507391</vt:i4>
      </vt:variant>
      <vt:variant>
        <vt:i4>92</vt:i4>
      </vt:variant>
      <vt:variant>
        <vt:i4>0</vt:i4>
      </vt:variant>
      <vt:variant>
        <vt:i4>5</vt:i4>
      </vt:variant>
      <vt:variant>
        <vt:lpwstr/>
      </vt:variant>
      <vt:variant>
        <vt:lpwstr>_Toc149740331</vt:lpwstr>
      </vt:variant>
      <vt:variant>
        <vt:i4>1507391</vt:i4>
      </vt:variant>
      <vt:variant>
        <vt:i4>86</vt:i4>
      </vt:variant>
      <vt:variant>
        <vt:i4>0</vt:i4>
      </vt:variant>
      <vt:variant>
        <vt:i4>5</vt:i4>
      </vt:variant>
      <vt:variant>
        <vt:lpwstr/>
      </vt:variant>
      <vt:variant>
        <vt:lpwstr>_Toc149740330</vt:lpwstr>
      </vt:variant>
      <vt:variant>
        <vt:i4>1441855</vt:i4>
      </vt:variant>
      <vt:variant>
        <vt:i4>80</vt:i4>
      </vt:variant>
      <vt:variant>
        <vt:i4>0</vt:i4>
      </vt:variant>
      <vt:variant>
        <vt:i4>5</vt:i4>
      </vt:variant>
      <vt:variant>
        <vt:lpwstr/>
      </vt:variant>
      <vt:variant>
        <vt:lpwstr>_Toc149740329</vt:lpwstr>
      </vt:variant>
      <vt:variant>
        <vt:i4>1441855</vt:i4>
      </vt:variant>
      <vt:variant>
        <vt:i4>74</vt:i4>
      </vt:variant>
      <vt:variant>
        <vt:i4>0</vt:i4>
      </vt:variant>
      <vt:variant>
        <vt:i4>5</vt:i4>
      </vt:variant>
      <vt:variant>
        <vt:lpwstr/>
      </vt:variant>
      <vt:variant>
        <vt:lpwstr>_Toc149740328</vt:lpwstr>
      </vt:variant>
      <vt:variant>
        <vt:i4>1441855</vt:i4>
      </vt:variant>
      <vt:variant>
        <vt:i4>68</vt:i4>
      </vt:variant>
      <vt:variant>
        <vt:i4>0</vt:i4>
      </vt:variant>
      <vt:variant>
        <vt:i4>5</vt:i4>
      </vt:variant>
      <vt:variant>
        <vt:lpwstr/>
      </vt:variant>
      <vt:variant>
        <vt:lpwstr>_Toc149740327</vt:lpwstr>
      </vt:variant>
      <vt:variant>
        <vt:i4>1441855</vt:i4>
      </vt:variant>
      <vt:variant>
        <vt:i4>62</vt:i4>
      </vt:variant>
      <vt:variant>
        <vt:i4>0</vt:i4>
      </vt:variant>
      <vt:variant>
        <vt:i4>5</vt:i4>
      </vt:variant>
      <vt:variant>
        <vt:lpwstr/>
      </vt:variant>
      <vt:variant>
        <vt:lpwstr>_Toc149740326</vt:lpwstr>
      </vt:variant>
      <vt:variant>
        <vt:i4>1441855</vt:i4>
      </vt:variant>
      <vt:variant>
        <vt:i4>56</vt:i4>
      </vt:variant>
      <vt:variant>
        <vt:i4>0</vt:i4>
      </vt:variant>
      <vt:variant>
        <vt:i4>5</vt:i4>
      </vt:variant>
      <vt:variant>
        <vt:lpwstr/>
      </vt:variant>
      <vt:variant>
        <vt:lpwstr>_Toc149740325</vt:lpwstr>
      </vt:variant>
      <vt:variant>
        <vt:i4>1441855</vt:i4>
      </vt:variant>
      <vt:variant>
        <vt:i4>50</vt:i4>
      </vt:variant>
      <vt:variant>
        <vt:i4>0</vt:i4>
      </vt:variant>
      <vt:variant>
        <vt:i4>5</vt:i4>
      </vt:variant>
      <vt:variant>
        <vt:lpwstr/>
      </vt:variant>
      <vt:variant>
        <vt:lpwstr>_Toc149740324</vt:lpwstr>
      </vt:variant>
      <vt:variant>
        <vt:i4>1441855</vt:i4>
      </vt:variant>
      <vt:variant>
        <vt:i4>44</vt:i4>
      </vt:variant>
      <vt:variant>
        <vt:i4>0</vt:i4>
      </vt:variant>
      <vt:variant>
        <vt:i4>5</vt:i4>
      </vt:variant>
      <vt:variant>
        <vt:lpwstr/>
      </vt:variant>
      <vt:variant>
        <vt:lpwstr>_Toc149740323</vt:lpwstr>
      </vt:variant>
      <vt:variant>
        <vt:i4>1441855</vt:i4>
      </vt:variant>
      <vt:variant>
        <vt:i4>38</vt:i4>
      </vt:variant>
      <vt:variant>
        <vt:i4>0</vt:i4>
      </vt:variant>
      <vt:variant>
        <vt:i4>5</vt:i4>
      </vt:variant>
      <vt:variant>
        <vt:lpwstr/>
      </vt:variant>
      <vt:variant>
        <vt:lpwstr>_Toc149740322</vt:lpwstr>
      </vt:variant>
      <vt:variant>
        <vt:i4>1441855</vt:i4>
      </vt:variant>
      <vt:variant>
        <vt:i4>32</vt:i4>
      </vt:variant>
      <vt:variant>
        <vt:i4>0</vt:i4>
      </vt:variant>
      <vt:variant>
        <vt:i4>5</vt:i4>
      </vt:variant>
      <vt:variant>
        <vt:lpwstr/>
      </vt:variant>
      <vt:variant>
        <vt:lpwstr>_Toc149740321</vt:lpwstr>
      </vt:variant>
      <vt:variant>
        <vt:i4>1441855</vt:i4>
      </vt:variant>
      <vt:variant>
        <vt:i4>26</vt:i4>
      </vt:variant>
      <vt:variant>
        <vt:i4>0</vt:i4>
      </vt:variant>
      <vt:variant>
        <vt:i4>5</vt:i4>
      </vt:variant>
      <vt:variant>
        <vt:lpwstr/>
      </vt:variant>
      <vt:variant>
        <vt:lpwstr>_Toc149740320</vt:lpwstr>
      </vt:variant>
      <vt:variant>
        <vt:i4>1376319</vt:i4>
      </vt:variant>
      <vt:variant>
        <vt:i4>20</vt:i4>
      </vt:variant>
      <vt:variant>
        <vt:i4>0</vt:i4>
      </vt:variant>
      <vt:variant>
        <vt:i4>5</vt:i4>
      </vt:variant>
      <vt:variant>
        <vt:lpwstr/>
      </vt:variant>
      <vt:variant>
        <vt:lpwstr>_Toc149740319</vt:lpwstr>
      </vt:variant>
      <vt:variant>
        <vt:i4>1376319</vt:i4>
      </vt:variant>
      <vt:variant>
        <vt:i4>14</vt:i4>
      </vt:variant>
      <vt:variant>
        <vt:i4>0</vt:i4>
      </vt:variant>
      <vt:variant>
        <vt:i4>5</vt:i4>
      </vt:variant>
      <vt:variant>
        <vt:lpwstr/>
      </vt:variant>
      <vt:variant>
        <vt:lpwstr>_Toc149740318</vt:lpwstr>
      </vt:variant>
      <vt:variant>
        <vt:i4>1376319</vt:i4>
      </vt:variant>
      <vt:variant>
        <vt:i4>8</vt:i4>
      </vt:variant>
      <vt:variant>
        <vt:i4>0</vt:i4>
      </vt:variant>
      <vt:variant>
        <vt:i4>5</vt:i4>
      </vt:variant>
      <vt:variant>
        <vt:lpwstr/>
      </vt:variant>
      <vt:variant>
        <vt:lpwstr>_Toc149740317</vt:lpwstr>
      </vt:variant>
      <vt:variant>
        <vt:i4>5767288</vt:i4>
      </vt:variant>
      <vt:variant>
        <vt:i4>3</vt:i4>
      </vt:variant>
      <vt:variant>
        <vt:i4>0</vt:i4>
      </vt:variant>
      <vt:variant>
        <vt:i4>5</vt:i4>
      </vt:variant>
      <vt:variant>
        <vt:lpwstr>mailto:digitalid.communications@finance.gov.au</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7667751</vt:i4>
      </vt:variant>
      <vt:variant>
        <vt:i4>0</vt:i4>
      </vt:variant>
      <vt:variant>
        <vt:i4>0</vt:i4>
      </vt:variant>
      <vt:variant>
        <vt:i4>5</vt:i4>
      </vt:variant>
      <vt:variant>
        <vt:lpwstr>http://www.digitalidentity.gov.au/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2024-01-04T02:25:00Z</dcterms:created>
  <dcterms:modified xsi:type="dcterms:W3CDTF">2024-01-04T02:27:00Z</dcterms:modified>
  <cp:category/>
  <cp:contentStatus/>
</cp:coreProperties>
</file>