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6AFEB" w14:textId="77777777" w:rsidR="009A18F3" w:rsidRDefault="009A18F3">
      <w:bookmarkStart w:id="0" w:name="_GoBack"/>
      <w:bookmarkEnd w:id="0"/>
    </w:p>
    <w:p w14:paraId="5EB7B1D8" w14:textId="77777777" w:rsidR="00EC4331" w:rsidRDefault="00DE2AB1" w:rsidP="00EC4331">
      <w:r>
        <w:t>Mr Jason</w:t>
      </w:r>
      <w:r w:rsidR="00EC4331">
        <w:t xml:space="preserve"> </w:t>
      </w:r>
      <w:r w:rsidRPr="00DE2AB1">
        <w:t>Lange</w:t>
      </w:r>
    </w:p>
    <w:p w14:paraId="482EA5C0" w14:textId="77777777" w:rsidR="00EC4331" w:rsidRDefault="00EC4331" w:rsidP="00EC4331">
      <w:r>
        <w:t>Executive Director</w:t>
      </w:r>
    </w:p>
    <w:p w14:paraId="4099A160" w14:textId="77777777" w:rsidR="00EC4331" w:rsidRDefault="00EC4331" w:rsidP="00EC4331">
      <w:r>
        <w:t xml:space="preserve">Office of </w:t>
      </w:r>
      <w:r w:rsidR="00267C0F">
        <w:t>Impact Analysis</w:t>
      </w:r>
    </w:p>
    <w:p w14:paraId="60D0A58E" w14:textId="77777777" w:rsidR="00EC4331" w:rsidRDefault="00EC4331" w:rsidP="00EC4331">
      <w:r>
        <w:t>Department of the Prime Minister and Cabinet</w:t>
      </w:r>
    </w:p>
    <w:p w14:paraId="3F6C35F1" w14:textId="77777777" w:rsidR="00EC4331" w:rsidRDefault="00EC4331" w:rsidP="00EC4331">
      <w:r>
        <w:t>1 National Circuit</w:t>
      </w:r>
    </w:p>
    <w:p w14:paraId="355E33F8" w14:textId="77777777" w:rsidR="00EC4331" w:rsidRDefault="00EC4331" w:rsidP="00EC4331">
      <w:r>
        <w:t>BARTON   ACT   2600</w:t>
      </w:r>
      <w:r>
        <w:br/>
      </w:r>
    </w:p>
    <w:p w14:paraId="79FC8DA1" w14:textId="77777777" w:rsidR="00EC4331" w:rsidRDefault="00EC4331" w:rsidP="00EC4331">
      <w:r>
        <w:t xml:space="preserve">Email: </w:t>
      </w:r>
      <w:r w:rsidR="00267C0F">
        <w:t>H</w:t>
      </w:r>
      <w:r>
        <w:t>elpdesk-</w:t>
      </w:r>
      <w:r w:rsidR="00267C0F">
        <w:t>OIA</w:t>
      </w:r>
      <w:r>
        <w:t>@pmc.gov.au</w:t>
      </w:r>
    </w:p>
    <w:p w14:paraId="68D23FD7" w14:textId="77777777" w:rsidR="00EC4331" w:rsidRDefault="00EC4331" w:rsidP="00EC4331"/>
    <w:p w14:paraId="64E7F9BD" w14:textId="77777777" w:rsidR="00EC4331" w:rsidRDefault="00EC4331" w:rsidP="00EC4331"/>
    <w:p w14:paraId="3264B14F" w14:textId="77777777" w:rsidR="00EC4331" w:rsidRDefault="00EC4331" w:rsidP="00EC4331">
      <w:r>
        <w:t xml:space="preserve">Dear Mr </w:t>
      </w:r>
      <w:r w:rsidR="00DE2AB1" w:rsidRPr="00DE2AB1">
        <w:t>Lange</w:t>
      </w:r>
    </w:p>
    <w:p w14:paraId="5BF301E2" w14:textId="17CA66F4" w:rsidR="008C4768" w:rsidRPr="004D6A26" w:rsidRDefault="00267C0F" w:rsidP="008C4768">
      <w:pPr>
        <w:pStyle w:val="Heading1"/>
        <w:spacing w:before="240" w:after="0" w:line="300" w:lineRule="exact"/>
        <w:rPr>
          <w:sz w:val="24"/>
          <w:szCs w:val="24"/>
        </w:rPr>
      </w:pPr>
      <w:r>
        <w:rPr>
          <w:sz w:val="24"/>
          <w:szCs w:val="24"/>
        </w:rPr>
        <w:t>Impact Analysis</w:t>
      </w:r>
      <w:r w:rsidR="008C4768">
        <w:rPr>
          <w:sz w:val="24"/>
          <w:szCs w:val="24"/>
        </w:rPr>
        <w:t xml:space="preserve"> –</w:t>
      </w:r>
      <w:r w:rsidR="00212DB4">
        <w:rPr>
          <w:sz w:val="24"/>
          <w:szCs w:val="24"/>
        </w:rPr>
        <w:t xml:space="preserve"> </w:t>
      </w:r>
      <w:r w:rsidR="00AF1448">
        <w:rPr>
          <w:sz w:val="24"/>
          <w:szCs w:val="24"/>
        </w:rPr>
        <w:t>Climate-related financial disclosures</w:t>
      </w:r>
      <w:r w:rsidR="00212DB4">
        <w:rPr>
          <w:sz w:val="24"/>
          <w:szCs w:val="24"/>
        </w:rPr>
        <w:t xml:space="preserve"> – S</w:t>
      </w:r>
      <w:r w:rsidR="00E2259E">
        <w:rPr>
          <w:sz w:val="24"/>
          <w:szCs w:val="24"/>
        </w:rPr>
        <w:t xml:space="preserve">econd </w:t>
      </w:r>
      <w:r w:rsidR="00212DB4">
        <w:rPr>
          <w:sz w:val="24"/>
          <w:szCs w:val="24"/>
        </w:rPr>
        <w:t>P</w:t>
      </w:r>
      <w:r w:rsidR="00E2259E">
        <w:rPr>
          <w:sz w:val="24"/>
          <w:szCs w:val="24"/>
        </w:rPr>
        <w:t>ass</w:t>
      </w:r>
      <w:r w:rsidR="00212DB4">
        <w:rPr>
          <w:sz w:val="24"/>
          <w:szCs w:val="24"/>
        </w:rPr>
        <w:t xml:space="preserve"> Final Assessment</w:t>
      </w:r>
    </w:p>
    <w:p w14:paraId="149C214F" w14:textId="5F55D509" w:rsidR="000A7ABA" w:rsidRDefault="00284E41" w:rsidP="000A7ABA">
      <w:pPr>
        <w:pStyle w:val="BodyText"/>
        <w:jc w:val="left"/>
        <w:rPr>
          <w:szCs w:val="24"/>
        </w:rPr>
      </w:pPr>
      <w:r>
        <w:t xml:space="preserve">I am </w:t>
      </w:r>
      <w:r w:rsidRPr="0014141C">
        <w:t xml:space="preserve">writing in relation to the attached </w:t>
      </w:r>
      <w:r w:rsidR="00267C0F" w:rsidRPr="0014141C">
        <w:t>Impact Analysis</w:t>
      </w:r>
      <w:r w:rsidR="005B6B55" w:rsidRPr="0014141C">
        <w:t xml:space="preserve"> (</w:t>
      </w:r>
      <w:r w:rsidR="00267C0F" w:rsidRPr="0014141C">
        <w:t>IA</w:t>
      </w:r>
      <w:r w:rsidR="005B6B55" w:rsidRPr="0014141C">
        <w:t xml:space="preserve">) prepared </w:t>
      </w:r>
      <w:r w:rsidRPr="0014141C">
        <w:t xml:space="preserve">for </w:t>
      </w:r>
      <w:r w:rsidR="0014141C" w:rsidRPr="0014141C">
        <w:t>the proposal to mandate climate-related financial disclosures.</w:t>
      </w:r>
      <w:r w:rsidR="000A7ABA" w:rsidRPr="0014141C">
        <w:t xml:space="preserve"> </w:t>
      </w:r>
    </w:p>
    <w:p w14:paraId="44B67DE2" w14:textId="026C25A0" w:rsidR="00B5658B" w:rsidRPr="00C143D9" w:rsidRDefault="00284E41" w:rsidP="008C4768">
      <w:pPr>
        <w:pStyle w:val="BodyText"/>
        <w:jc w:val="left"/>
        <w:rPr>
          <w:szCs w:val="24"/>
        </w:rPr>
      </w:pPr>
      <w:r>
        <w:rPr>
          <w:szCs w:val="24"/>
        </w:rPr>
        <w:t xml:space="preserve">I am satisfied that the </w:t>
      </w:r>
      <w:r w:rsidR="00267C0F">
        <w:rPr>
          <w:szCs w:val="24"/>
        </w:rPr>
        <w:t xml:space="preserve">IA </w:t>
      </w:r>
      <w:r w:rsidR="00B5658B">
        <w:rPr>
          <w:szCs w:val="24"/>
        </w:rPr>
        <w:t xml:space="preserve">addresses the concerns raised in your letter of </w:t>
      </w:r>
      <w:r w:rsidR="0014141C" w:rsidRPr="0014141C">
        <w:rPr>
          <w:szCs w:val="24"/>
        </w:rPr>
        <w:t>28 August 2023.</w:t>
      </w:r>
      <w:r w:rsidR="00B5658B">
        <w:rPr>
          <w:szCs w:val="24"/>
        </w:rPr>
        <w:t xml:space="preserve"> </w:t>
      </w:r>
      <w:r w:rsidR="00B5658B" w:rsidRPr="00C143D9">
        <w:rPr>
          <w:szCs w:val="24"/>
        </w:rPr>
        <w:t xml:space="preserve">Specifically, </w:t>
      </w:r>
      <w:r w:rsidR="00433C83" w:rsidRPr="00C143D9">
        <w:rPr>
          <w:szCs w:val="24"/>
        </w:rPr>
        <w:t>it:</w:t>
      </w:r>
    </w:p>
    <w:p w14:paraId="79CDB76D" w14:textId="1EC3530B" w:rsidR="00064C29" w:rsidRPr="00C143D9" w:rsidRDefault="004231D2" w:rsidP="00064C29">
      <w:pPr>
        <w:pStyle w:val="Bullet"/>
        <w:rPr>
          <w:color w:val="auto"/>
        </w:rPr>
      </w:pPr>
      <w:r w:rsidRPr="00C143D9">
        <w:rPr>
          <w:color w:val="auto"/>
        </w:rPr>
        <w:t>Clarifies the reasoning behind the need for Government intervention</w:t>
      </w:r>
      <w:r w:rsidR="003A0D5E">
        <w:rPr>
          <w:color w:val="auto"/>
        </w:rPr>
        <w:t>,</w:t>
      </w:r>
      <w:r w:rsidR="00B56C87" w:rsidRPr="00C143D9">
        <w:rPr>
          <w:color w:val="auto"/>
        </w:rPr>
        <w:t xml:space="preserve"> </w:t>
      </w:r>
      <w:r w:rsidR="002640E3" w:rsidRPr="00C143D9">
        <w:rPr>
          <w:color w:val="auto"/>
        </w:rPr>
        <w:t xml:space="preserve">highlighting the </w:t>
      </w:r>
      <w:r w:rsidR="00923408" w:rsidRPr="00C143D9">
        <w:rPr>
          <w:color w:val="auto"/>
        </w:rPr>
        <w:t>tools</w:t>
      </w:r>
      <w:r w:rsidR="008846DB" w:rsidRPr="00C143D9">
        <w:rPr>
          <w:color w:val="auto"/>
        </w:rPr>
        <w:t xml:space="preserve"> and </w:t>
      </w:r>
      <w:r w:rsidR="003A0D5E">
        <w:rPr>
          <w:color w:val="auto"/>
        </w:rPr>
        <w:t xml:space="preserve">stakeholder </w:t>
      </w:r>
      <w:r w:rsidR="008846DB" w:rsidRPr="00C143D9">
        <w:rPr>
          <w:color w:val="auto"/>
        </w:rPr>
        <w:t>support that would allow for successful intervention with this reform.</w:t>
      </w:r>
    </w:p>
    <w:p w14:paraId="1E66139C" w14:textId="662AB930" w:rsidR="002255EC" w:rsidRPr="00C143D9" w:rsidRDefault="002255EC" w:rsidP="002255EC">
      <w:pPr>
        <w:pStyle w:val="Bullet"/>
        <w:rPr>
          <w:color w:val="auto"/>
        </w:rPr>
      </w:pPr>
      <w:r w:rsidRPr="00C143D9">
        <w:rPr>
          <w:color w:val="auto"/>
        </w:rPr>
        <w:t xml:space="preserve">Provides reasoning as to why Treasury is </w:t>
      </w:r>
      <w:r w:rsidR="00973103">
        <w:rPr>
          <w:color w:val="auto"/>
        </w:rPr>
        <w:t xml:space="preserve">currently </w:t>
      </w:r>
      <w:r w:rsidRPr="00C143D9">
        <w:rPr>
          <w:color w:val="auto"/>
        </w:rPr>
        <w:t xml:space="preserve">unable to </w:t>
      </w:r>
      <w:r w:rsidR="008B6F0B">
        <w:rPr>
          <w:color w:val="auto"/>
        </w:rPr>
        <w:t>quantify</w:t>
      </w:r>
      <w:r w:rsidR="00802BDE" w:rsidRPr="00C143D9">
        <w:rPr>
          <w:color w:val="auto"/>
        </w:rPr>
        <w:t xml:space="preserve"> the benefits of t</w:t>
      </w:r>
      <w:r w:rsidR="007D084D" w:rsidRPr="00C143D9">
        <w:rPr>
          <w:color w:val="auto"/>
        </w:rPr>
        <w:t>he refor</w:t>
      </w:r>
      <w:r w:rsidR="00973103">
        <w:rPr>
          <w:color w:val="auto"/>
        </w:rPr>
        <w:t>m</w:t>
      </w:r>
      <w:r w:rsidR="007D084D" w:rsidRPr="00C143D9">
        <w:rPr>
          <w:color w:val="auto"/>
        </w:rPr>
        <w:t xml:space="preserve">. </w:t>
      </w:r>
    </w:p>
    <w:p w14:paraId="1B92F0C1" w14:textId="100F40E1" w:rsidR="00532361" w:rsidRPr="00C143D9" w:rsidRDefault="00681E5F" w:rsidP="00433C83">
      <w:pPr>
        <w:pStyle w:val="Bullet"/>
        <w:rPr>
          <w:color w:val="auto"/>
        </w:rPr>
      </w:pPr>
      <w:r w:rsidRPr="00C143D9">
        <w:rPr>
          <w:color w:val="auto"/>
        </w:rPr>
        <w:t xml:space="preserve">Provides </w:t>
      </w:r>
      <w:r w:rsidR="00064C29" w:rsidRPr="00C143D9">
        <w:rPr>
          <w:color w:val="auto"/>
        </w:rPr>
        <w:t xml:space="preserve">a status tracker of the </w:t>
      </w:r>
      <w:r w:rsidR="00FC2D31">
        <w:rPr>
          <w:color w:val="auto"/>
        </w:rPr>
        <w:t>IA</w:t>
      </w:r>
      <w:r w:rsidR="00064C29" w:rsidRPr="00C143D9">
        <w:rPr>
          <w:color w:val="auto"/>
        </w:rPr>
        <w:t xml:space="preserve"> at each major decision point.</w:t>
      </w:r>
    </w:p>
    <w:p w14:paraId="375D1A40" w14:textId="690B149D" w:rsidR="00E37060" w:rsidRDefault="003303FF" w:rsidP="00692B2A">
      <w:pPr>
        <w:pStyle w:val="BodyText"/>
        <w:jc w:val="left"/>
        <w:rPr>
          <w:szCs w:val="24"/>
        </w:rPr>
      </w:pPr>
      <w:r>
        <w:rPr>
          <w:szCs w:val="24"/>
        </w:rPr>
        <w:t>Compared with the baseline of continuing under the status quo, t</w:t>
      </w:r>
      <w:r w:rsidR="006369A1" w:rsidRPr="00C143D9">
        <w:rPr>
          <w:szCs w:val="24"/>
        </w:rPr>
        <w:t xml:space="preserve">he </w:t>
      </w:r>
      <w:r w:rsidR="00256829">
        <w:rPr>
          <w:szCs w:val="24"/>
        </w:rPr>
        <w:t>recommended option</w:t>
      </w:r>
      <w:r w:rsidR="006B6C31">
        <w:rPr>
          <w:szCs w:val="24"/>
        </w:rPr>
        <w:t xml:space="preserve"> </w:t>
      </w:r>
      <w:r w:rsidR="007314EF">
        <w:rPr>
          <w:szCs w:val="24"/>
        </w:rPr>
        <w:t>is</w:t>
      </w:r>
      <w:r w:rsidR="006369A1" w:rsidRPr="00C143D9">
        <w:rPr>
          <w:szCs w:val="24"/>
        </w:rPr>
        <w:t xml:space="preserve"> </w:t>
      </w:r>
      <w:proofErr w:type="gramStart"/>
      <w:r w:rsidR="00547C3B">
        <w:rPr>
          <w:szCs w:val="24"/>
        </w:rPr>
        <w:t>initially</w:t>
      </w:r>
      <w:proofErr w:type="gramEnd"/>
      <w:r w:rsidR="00547C3B">
        <w:rPr>
          <w:szCs w:val="24"/>
        </w:rPr>
        <w:t xml:space="preserve"> expected to add</w:t>
      </w:r>
      <w:r w:rsidR="007314EF">
        <w:rPr>
          <w:szCs w:val="24"/>
        </w:rPr>
        <w:t xml:space="preserve"> regulatory burden of</w:t>
      </w:r>
      <w:r w:rsidR="006369A1" w:rsidRPr="00C143D9">
        <w:rPr>
          <w:szCs w:val="24"/>
        </w:rPr>
        <w:t xml:space="preserve"> </w:t>
      </w:r>
      <w:r w:rsidR="00E01817" w:rsidRPr="00C143D9">
        <w:rPr>
          <w:szCs w:val="24"/>
        </w:rPr>
        <w:t>$1</w:t>
      </w:r>
      <w:r w:rsidR="00BD0E5C">
        <w:rPr>
          <w:szCs w:val="24"/>
        </w:rPr>
        <w:t xml:space="preserve"> million</w:t>
      </w:r>
      <w:r w:rsidR="0098521F">
        <w:rPr>
          <w:szCs w:val="24"/>
        </w:rPr>
        <w:t xml:space="preserve"> - $1.3</w:t>
      </w:r>
      <w:r w:rsidR="006369A1" w:rsidRPr="00C143D9">
        <w:rPr>
          <w:szCs w:val="24"/>
        </w:rPr>
        <w:t xml:space="preserve"> million per year</w:t>
      </w:r>
      <w:r w:rsidR="00452C44">
        <w:rPr>
          <w:szCs w:val="24"/>
        </w:rPr>
        <w:t xml:space="preserve"> </w:t>
      </w:r>
      <w:r w:rsidR="00DC154F">
        <w:rPr>
          <w:szCs w:val="24"/>
        </w:rPr>
        <w:t>per</w:t>
      </w:r>
      <w:r w:rsidR="00452C44">
        <w:rPr>
          <w:szCs w:val="24"/>
        </w:rPr>
        <w:t xml:space="preserve"> reporting entit</w:t>
      </w:r>
      <w:r w:rsidR="00DC154F">
        <w:rPr>
          <w:szCs w:val="24"/>
        </w:rPr>
        <w:t>y</w:t>
      </w:r>
      <w:r w:rsidR="00452C44">
        <w:rPr>
          <w:szCs w:val="24"/>
        </w:rPr>
        <w:t xml:space="preserve">, stabilising </w:t>
      </w:r>
      <w:r w:rsidR="00EA751A">
        <w:rPr>
          <w:szCs w:val="24"/>
        </w:rPr>
        <w:t>a</w:t>
      </w:r>
      <w:r w:rsidR="00FC2D31">
        <w:rPr>
          <w:szCs w:val="24"/>
        </w:rPr>
        <w:t>round</w:t>
      </w:r>
      <w:r w:rsidR="00EA751A">
        <w:rPr>
          <w:szCs w:val="24"/>
        </w:rPr>
        <w:t xml:space="preserve"> </w:t>
      </w:r>
      <w:r w:rsidR="00996159">
        <w:rPr>
          <w:szCs w:val="24"/>
        </w:rPr>
        <w:t>$5</w:t>
      </w:r>
      <w:r w:rsidR="00167FFC">
        <w:rPr>
          <w:szCs w:val="24"/>
        </w:rPr>
        <w:t>00,000</w:t>
      </w:r>
      <w:r w:rsidR="000E05F4">
        <w:rPr>
          <w:szCs w:val="24"/>
        </w:rPr>
        <w:t xml:space="preserve"> - $</w:t>
      </w:r>
      <w:r w:rsidR="00167FFC">
        <w:rPr>
          <w:szCs w:val="24"/>
        </w:rPr>
        <w:t>700,000</w:t>
      </w:r>
      <w:r w:rsidR="001D0420">
        <w:rPr>
          <w:szCs w:val="24"/>
        </w:rPr>
        <w:t xml:space="preserve"> per year</w:t>
      </w:r>
      <w:r w:rsidR="00026759">
        <w:rPr>
          <w:szCs w:val="24"/>
        </w:rPr>
        <w:t xml:space="preserve"> </w:t>
      </w:r>
      <w:r w:rsidR="00DC154F">
        <w:rPr>
          <w:szCs w:val="24"/>
        </w:rPr>
        <w:t xml:space="preserve">per </w:t>
      </w:r>
      <w:r w:rsidR="008B245D">
        <w:rPr>
          <w:szCs w:val="24"/>
        </w:rPr>
        <w:t xml:space="preserve">reporting </w:t>
      </w:r>
      <w:r w:rsidR="00DC154F">
        <w:rPr>
          <w:szCs w:val="24"/>
        </w:rPr>
        <w:t>entity as entities</w:t>
      </w:r>
      <w:r w:rsidR="00967171">
        <w:rPr>
          <w:szCs w:val="24"/>
        </w:rPr>
        <w:t xml:space="preserve"> </w:t>
      </w:r>
      <w:r w:rsidR="00DD6125">
        <w:rPr>
          <w:szCs w:val="24"/>
        </w:rPr>
        <w:t>develop their capabilities</w:t>
      </w:r>
      <w:r w:rsidR="006369A1" w:rsidRPr="00C143D9">
        <w:rPr>
          <w:szCs w:val="24"/>
        </w:rPr>
        <w:t xml:space="preserve">. </w:t>
      </w:r>
      <w:r w:rsidR="00A3627C">
        <w:rPr>
          <w:szCs w:val="24"/>
        </w:rPr>
        <w:t>The</w:t>
      </w:r>
      <w:r w:rsidR="008B245D">
        <w:rPr>
          <w:szCs w:val="24"/>
        </w:rPr>
        <w:t xml:space="preserve"> cost range </w:t>
      </w:r>
      <w:r w:rsidR="00A3627C">
        <w:rPr>
          <w:szCs w:val="24"/>
        </w:rPr>
        <w:t>is</w:t>
      </w:r>
      <w:r w:rsidR="008B245D">
        <w:rPr>
          <w:szCs w:val="24"/>
        </w:rPr>
        <w:t xml:space="preserve"> likely </w:t>
      </w:r>
      <w:r w:rsidR="00A3627C">
        <w:rPr>
          <w:szCs w:val="24"/>
        </w:rPr>
        <w:t xml:space="preserve">to </w:t>
      </w:r>
      <w:r w:rsidR="008B245D">
        <w:rPr>
          <w:szCs w:val="24"/>
        </w:rPr>
        <w:t xml:space="preserve">vary </w:t>
      </w:r>
      <w:r w:rsidR="005F2D38">
        <w:rPr>
          <w:szCs w:val="24"/>
        </w:rPr>
        <w:t xml:space="preserve">based on the size and </w:t>
      </w:r>
      <w:r w:rsidR="00B0228E">
        <w:rPr>
          <w:szCs w:val="24"/>
        </w:rPr>
        <w:t>activity</w:t>
      </w:r>
      <w:r w:rsidR="005F2D38">
        <w:rPr>
          <w:szCs w:val="24"/>
        </w:rPr>
        <w:t xml:space="preserve"> of the entity.</w:t>
      </w:r>
    </w:p>
    <w:p w14:paraId="469DC831" w14:textId="7315E048" w:rsidR="00414A76" w:rsidRDefault="000915CC" w:rsidP="00692B2A">
      <w:pPr>
        <w:pStyle w:val="BodyText"/>
        <w:jc w:val="left"/>
        <w:rPr>
          <w:szCs w:val="24"/>
        </w:rPr>
      </w:pPr>
      <w:r>
        <w:rPr>
          <w:szCs w:val="24"/>
        </w:rPr>
        <w:t xml:space="preserve">As stated in the IA, </w:t>
      </w:r>
      <w:r w:rsidR="00951E0B">
        <w:rPr>
          <w:szCs w:val="24"/>
        </w:rPr>
        <w:t>the analysis of</w:t>
      </w:r>
      <w:r w:rsidR="00C730D1">
        <w:rPr>
          <w:szCs w:val="24"/>
        </w:rPr>
        <w:t xml:space="preserve"> compliance costs and associated benefits is </w:t>
      </w:r>
      <w:r w:rsidR="00DE5FCE">
        <w:rPr>
          <w:szCs w:val="24"/>
        </w:rPr>
        <w:t>constrained</w:t>
      </w:r>
      <w:r w:rsidR="00C730D1">
        <w:rPr>
          <w:szCs w:val="24"/>
        </w:rPr>
        <w:t xml:space="preserve"> by a lack of quantitative evidence</w:t>
      </w:r>
      <w:r w:rsidR="00DE5FCE">
        <w:rPr>
          <w:szCs w:val="24"/>
        </w:rPr>
        <w:t>, particularly with regards to the benefits of these reforms</w:t>
      </w:r>
      <w:r w:rsidR="00831F82">
        <w:rPr>
          <w:szCs w:val="24"/>
        </w:rPr>
        <w:t xml:space="preserve">. </w:t>
      </w:r>
      <w:r w:rsidR="00DE5FCE">
        <w:rPr>
          <w:szCs w:val="24"/>
        </w:rPr>
        <w:t xml:space="preserve">Consultation with a broad range of stakeholders (both through written submissions and bilateral meetings) revealed </w:t>
      </w:r>
      <w:r w:rsidR="00C73963">
        <w:rPr>
          <w:szCs w:val="24"/>
        </w:rPr>
        <w:t xml:space="preserve">strong support for </w:t>
      </w:r>
      <w:r w:rsidR="00ED7140">
        <w:rPr>
          <w:szCs w:val="24"/>
        </w:rPr>
        <w:t xml:space="preserve">the reforms </w:t>
      </w:r>
      <w:r w:rsidR="00125669">
        <w:rPr>
          <w:szCs w:val="24"/>
        </w:rPr>
        <w:t>based on</w:t>
      </w:r>
      <w:r w:rsidR="00337D26">
        <w:rPr>
          <w:szCs w:val="24"/>
        </w:rPr>
        <w:t xml:space="preserve"> widespread economic benefits, but </w:t>
      </w:r>
      <w:r w:rsidR="00DE5FCE">
        <w:rPr>
          <w:szCs w:val="24"/>
        </w:rPr>
        <w:t>very little information on</w:t>
      </w:r>
      <w:r w:rsidR="00125669">
        <w:rPr>
          <w:szCs w:val="24"/>
        </w:rPr>
        <w:t xml:space="preserve"> the</w:t>
      </w:r>
      <w:r w:rsidR="00DE5FCE">
        <w:rPr>
          <w:szCs w:val="24"/>
        </w:rPr>
        <w:t xml:space="preserve"> likely </w:t>
      </w:r>
      <w:r w:rsidR="00125669">
        <w:rPr>
          <w:szCs w:val="24"/>
        </w:rPr>
        <w:t xml:space="preserve">size of those </w:t>
      </w:r>
      <w:r w:rsidR="00DE5FCE">
        <w:rPr>
          <w:szCs w:val="24"/>
        </w:rPr>
        <w:t xml:space="preserve">benefits. </w:t>
      </w:r>
      <w:r w:rsidR="002F4E4A">
        <w:rPr>
          <w:szCs w:val="24"/>
        </w:rPr>
        <w:t xml:space="preserve">The IA </w:t>
      </w:r>
      <w:r w:rsidR="00DE5FCE">
        <w:rPr>
          <w:szCs w:val="24"/>
        </w:rPr>
        <w:t xml:space="preserve">therefore </w:t>
      </w:r>
      <w:r w:rsidR="002F4E4A">
        <w:rPr>
          <w:szCs w:val="24"/>
        </w:rPr>
        <w:t xml:space="preserve">identifies general and intangible benefits of improved sustainability disclosures, including </w:t>
      </w:r>
      <w:r w:rsidR="00615C42">
        <w:rPr>
          <w:szCs w:val="24"/>
        </w:rPr>
        <w:t xml:space="preserve">likely </w:t>
      </w:r>
      <w:r w:rsidR="00DE66B0">
        <w:rPr>
          <w:szCs w:val="24"/>
        </w:rPr>
        <w:t>lower cost of capital</w:t>
      </w:r>
      <w:r w:rsidR="00615C42">
        <w:rPr>
          <w:szCs w:val="24"/>
        </w:rPr>
        <w:t xml:space="preserve"> faced by firms </w:t>
      </w:r>
      <w:r w:rsidR="00AF72E1">
        <w:rPr>
          <w:szCs w:val="24"/>
        </w:rPr>
        <w:t>and a more efficient allocation of resources, aligned with the transition to net zero</w:t>
      </w:r>
      <w:r w:rsidR="00DE66B0">
        <w:rPr>
          <w:szCs w:val="24"/>
        </w:rPr>
        <w:t xml:space="preserve">. </w:t>
      </w:r>
    </w:p>
    <w:p w14:paraId="21AD9880" w14:textId="21C4BB65" w:rsidR="009B469B" w:rsidRPr="00C143D9" w:rsidRDefault="00AD1B62" w:rsidP="006E7A4D">
      <w:pPr>
        <w:pStyle w:val="BodyText"/>
        <w:spacing w:after="240"/>
        <w:jc w:val="left"/>
        <w:rPr>
          <w:szCs w:val="24"/>
        </w:rPr>
      </w:pPr>
      <w:r>
        <w:rPr>
          <w:szCs w:val="24"/>
        </w:rPr>
        <w:t xml:space="preserve">Costs are expected to decline over the longer term as analysis of this nature matures, driven by widespread uptake. </w:t>
      </w:r>
      <w:r w:rsidR="00A126B7">
        <w:rPr>
          <w:szCs w:val="24"/>
        </w:rPr>
        <w:t xml:space="preserve">Although </w:t>
      </w:r>
      <w:r w:rsidR="007E18F4" w:rsidRPr="00C143D9">
        <w:rPr>
          <w:szCs w:val="24"/>
        </w:rPr>
        <w:t xml:space="preserve">the </w:t>
      </w:r>
      <w:r w:rsidR="0018059C" w:rsidRPr="00C143D9">
        <w:rPr>
          <w:szCs w:val="24"/>
        </w:rPr>
        <w:t xml:space="preserve">regulatory burden </w:t>
      </w:r>
      <w:r w:rsidR="00A126B7">
        <w:rPr>
          <w:szCs w:val="24"/>
        </w:rPr>
        <w:t xml:space="preserve">imposed </w:t>
      </w:r>
      <w:r w:rsidR="0018059C" w:rsidRPr="00C143D9">
        <w:rPr>
          <w:szCs w:val="24"/>
        </w:rPr>
        <w:t>is significant, Treasury has made efforts, where possible</w:t>
      </w:r>
      <w:r w:rsidR="003610F7" w:rsidRPr="00C143D9">
        <w:rPr>
          <w:szCs w:val="24"/>
        </w:rPr>
        <w:t>,</w:t>
      </w:r>
      <w:r w:rsidR="0018059C" w:rsidRPr="00C143D9">
        <w:rPr>
          <w:szCs w:val="24"/>
        </w:rPr>
        <w:t xml:space="preserve"> to mitigate</w:t>
      </w:r>
      <w:r w:rsidR="003610F7" w:rsidRPr="00C143D9">
        <w:rPr>
          <w:szCs w:val="24"/>
        </w:rPr>
        <w:t xml:space="preserve"> regulatory costs. </w:t>
      </w:r>
      <w:r w:rsidR="009B469B" w:rsidRPr="00C143D9">
        <w:rPr>
          <w:szCs w:val="24"/>
        </w:rPr>
        <w:t>These include:</w:t>
      </w:r>
    </w:p>
    <w:p w14:paraId="52702DB9" w14:textId="1DC097BD" w:rsidR="009B469B" w:rsidRPr="00C143D9" w:rsidRDefault="009B469B" w:rsidP="006A691A">
      <w:pPr>
        <w:pStyle w:val="Bullet"/>
        <w:spacing w:after="240"/>
        <w:rPr>
          <w:color w:val="auto"/>
        </w:rPr>
      </w:pPr>
      <w:r w:rsidRPr="00C143D9">
        <w:rPr>
          <w:color w:val="auto"/>
        </w:rPr>
        <w:t>Leveraging existing frameworks</w:t>
      </w:r>
      <w:r w:rsidR="00986F74" w:rsidRPr="00C143D9">
        <w:rPr>
          <w:color w:val="auto"/>
        </w:rPr>
        <w:t xml:space="preserve"> </w:t>
      </w:r>
      <w:r w:rsidRPr="00C143D9">
        <w:rPr>
          <w:color w:val="auto"/>
        </w:rPr>
        <w:t>and legislative structures</w:t>
      </w:r>
      <w:r w:rsidR="009B08A4" w:rsidRPr="00C143D9">
        <w:rPr>
          <w:color w:val="auto"/>
        </w:rPr>
        <w:t xml:space="preserve"> such as the </w:t>
      </w:r>
      <w:r w:rsidR="009B08A4" w:rsidRPr="00C143D9">
        <w:rPr>
          <w:i/>
          <w:iCs/>
          <w:color w:val="auto"/>
        </w:rPr>
        <w:t>Corporations Act 2001 (</w:t>
      </w:r>
      <w:proofErr w:type="spellStart"/>
      <w:r w:rsidR="009B08A4" w:rsidRPr="00C143D9">
        <w:rPr>
          <w:i/>
          <w:iCs/>
          <w:color w:val="auto"/>
        </w:rPr>
        <w:t>Cth</w:t>
      </w:r>
      <w:proofErr w:type="spellEnd"/>
      <w:r w:rsidR="009B08A4" w:rsidRPr="00C143D9">
        <w:rPr>
          <w:i/>
          <w:iCs/>
          <w:color w:val="auto"/>
        </w:rPr>
        <w:t>)</w:t>
      </w:r>
      <w:r w:rsidR="007E0A97" w:rsidRPr="00C143D9">
        <w:rPr>
          <w:color w:val="auto"/>
        </w:rPr>
        <w:t xml:space="preserve"> and the </w:t>
      </w:r>
      <w:r w:rsidR="007E0A97" w:rsidRPr="00C143D9">
        <w:rPr>
          <w:i/>
          <w:iCs/>
          <w:color w:val="auto"/>
        </w:rPr>
        <w:t>National Greenhouse and Energy Reporting Act 2007</w:t>
      </w:r>
      <w:r w:rsidR="007E0A97" w:rsidRPr="00C143D9">
        <w:rPr>
          <w:color w:val="auto"/>
        </w:rPr>
        <w:t>.</w:t>
      </w:r>
    </w:p>
    <w:p w14:paraId="1F3AE639" w14:textId="601B8D82" w:rsidR="006E7A4D" w:rsidRPr="006A691A" w:rsidRDefault="00C4708B" w:rsidP="006A691A">
      <w:pPr>
        <w:pStyle w:val="Bullet"/>
        <w:spacing w:after="240"/>
        <w:rPr>
          <w:color w:val="auto"/>
        </w:rPr>
      </w:pPr>
      <w:r w:rsidRPr="087C2A16">
        <w:rPr>
          <w:color w:val="auto"/>
        </w:rPr>
        <w:lastRenderedPageBreak/>
        <w:t xml:space="preserve">Mandating </w:t>
      </w:r>
      <w:r w:rsidR="00D839A0">
        <w:rPr>
          <w:color w:val="auto"/>
        </w:rPr>
        <w:t xml:space="preserve">requirements based on </w:t>
      </w:r>
      <w:r w:rsidR="00C11ADF">
        <w:rPr>
          <w:color w:val="auto"/>
        </w:rPr>
        <w:t>the proposed international baseline standard</w:t>
      </w:r>
      <w:r w:rsidR="00471748" w:rsidRPr="087C2A16">
        <w:rPr>
          <w:color w:val="auto"/>
        </w:rPr>
        <w:t>. This</w:t>
      </w:r>
      <w:r w:rsidR="000756B7" w:rsidRPr="087C2A16">
        <w:rPr>
          <w:color w:val="auto"/>
        </w:rPr>
        <w:t xml:space="preserve"> </w:t>
      </w:r>
      <w:r w:rsidR="00471748" w:rsidRPr="087C2A16">
        <w:rPr>
          <w:color w:val="auto"/>
        </w:rPr>
        <w:t xml:space="preserve">will </w:t>
      </w:r>
      <w:r w:rsidR="006B5381">
        <w:rPr>
          <w:color w:val="auto"/>
        </w:rPr>
        <w:t xml:space="preserve">likely </w:t>
      </w:r>
      <w:r w:rsidR="000756B7" w:rsidRPr="087C2A16">
        <w:rPr>
          <w:color w:val="auto"/>
        </w:rPr>
        <w:t>improv</w:t>
      </w:r>
      <w:r w:rsidR="00471748" w:rsidRPr="087C2A16">
        <w:rPr>
          <w:color w:val="auto"/>
        </w:rPr>
        <w:t>e</w:t>
      </w:r>
      <w:r w:rsidR="000756B7" w:rsidRPr="087C2A16">
        <w:rPr>
          <w:color w:val="auto"/>
        </w:rPr>
        <w:t xml:space="preserve"> interoperability across jurisdictions</w:t>
      </w:r>
      <w:r w:rsidR="00E84ED1" w:rsidRPr="087C2A16">
        <w:rPr>
          <w:color w:val="auto"/>
        </w:rPr>
        <w:t xml:space="preserve"> and </w:t>
      </w:r>
      <w:r w:rsidR="00471748" w:rsidRPr="087C2A16">
        <w:rPr>
          <w:color w:val="auto"/>
        </w:rPr>
        <w:t xml:space="preserve">reduce </w:t>
      </w:r>
      <w:r w:rsidR="002D0CBE" w:rsidRPr="087C2A16">
        <w:rPr>
          <w:color w:val="auto"/>
        </w:rPr>
        <w:t>compliance costs for businesses operating across multiple jurisdictions.</w:t>
      </w:r>
    </w:p>
    <w:p w14:paraId="382DC928" w14:textId="1A5257BE" w:rsidR="006E7A4D" w:rsidRPr="006A691A" w:rsidRDefault="002D0CBE" w:rsidP="006A691A">
      <w:pPr>
        <w:pStyle w:val="Bullet"/>
        <w:spacing w:after="240"/>
        <w:rPr>
          <w:color w:val="auto"/>
        </w:rPr>
      </w:pPr>
      <w:r w:rsidRPr="00C143D9">
        <w:rPr>
          <w:color w:val="auto"/>
        </w:rPr>
        <w:t xml:space="preserve">Modifying </w:t>
      </w:r>
      <w:r w:rsidR="001127E5">
        <w:rPr>
          <w:color w:val="auto"/>
        </w:rPr>
        <w:t>the</w:t>
      </w:r>
      <w:r w:rsidRPr="00C143D9">
        <w:rPr>
          <w:color w:val="auto"/>
        </w:rPr>
        <w:t xml:space="preserve"> liability framework to </w:t>
      </w:r>
      <w:r w:rsidR="00C11ADF">
        <w:rPr>
          <w:color w:val="auto"/>
        </w:rPr>
        <w:t>help</w:t>
      </w:r>
      <w:r w:rsidR="00C11ADF" w:rsidRPr="00C143D9">
        <w:rPr>
          <w:color w:val="auto"/>
        </w:rPr>
        <w:t xml:space="preserve"> </w:t>
      </w:r>
      <w:r w:rsidR="00C62D01" w:rsidRPr="00C143D9">
        <w:rPr>
          <w:color w:val="auto"/>
        </w:rPr>
        <w:t xml:space="preserve">stakeholders </w:t>
      </w:r>
      <w:r w:rsidR="00C11ADF">
        <w:rPr>
          <w:color w:val="auto"/>
        </w:rPr>
        <w:t>manage short-term</w:t>
      </w:r>
      <w:r w:rsidR="001E4BA7" w:rsidRPr="00C143D9">
        <w:rPr>
          <w:color w:val="auto"/>
        </w:rPr>
        <w:t xml:space="preserve"> uncertainty </w:t>
      </w:r>
      <w:r w:rsidR="00C11ADF">
        <w:rPr>
          <w:color w:val="auto"/>
        </w:rPr>
        <w:t>associated with</w:t>
      </w:r>
      <w:r w:rsidR="00C11ADF" w:rsidRPr="00C143D9">
        <w:rPr>
          <w:color w:val="auto"/>
        </w:rPr>
        <w:t xml:space="preserve"> </w:t>
      </w:r>
      <w:r w:rsidR="00F40930" w:rsidRPr="00C143D9">
        <w:rPr>
          <w:color w:val="auto"/>
        </w:rPr>
        <w:t>parts of the reform.</w:t>
      </w:r>
    </w:p>
    <w:p w14:paraId="007A61AE" w14:textId="63FCCCD1" w:rsidR="006E7A4D" w:rsidRPr="006A691A" w:rsidRDefault="00C11ADF" w:rsidP="006A691A">
      <w:pPr>
        <w:pStyle w:val="Bullet"/>
        <w:spacing w:after="240"/>
        <w:rPr>
          <w:color w:val="auto"/>
        </w:rPr>
      </w:pPr>
      <w:r>
        <w:rPr>
          <w:color w:val="auto"/>
        </w:rPr>
        <w:t xml:space="preserve">Making </w:t>
      </w:r>
      <w:r w:rsidR="00973089">
        <w:rPr>
          <w:color w:val="auto"/>
        </w:rPr>
        <w:t>a</w:t>
      </w:r>
      <w:r w:rsidR="00982C65">
        <w:rPr>
          <w:color w:val="auto"/>
        </w:rPr>
        <w:t xml:space="preserve">llowances </w:t>
      </w:r>
      <w:r w:rsidR="00FF4DEF" w:rsidRPr="00C143D9">
        <w:rPr>
          <w:color w:val="auto"/>
        </w:rPr>
        <w:t xml:space="preserve">for circumstances of smaller </w:t>
      </w:r>
      <w:r w:rsidR="00333B38" w:rsidRPr="00C143D9">
        <w:rPr>
          <w:color w:val="auto"/>
        </w:rPr>
        <w:t>businesses</w:t>
      </w:r>
      <w:r w:rsidR="00FF4DEF" w:rsidRPr="00C143D9">
        <w:rPr>
          <w:color w:val="auto"/>
        </w:rPr>
        <w:t xml:space="preserve"> that may not necessarily have the resources or </w:t>
      </w:r>
      <w:r w:rsidR="0013138E">
        <w:rPr>
          <w:color w:val="auto"/>
        </w:rPr>
        <w:t xml:space="preserve">internal </w:t>
      </w:r>
      <w:r w:rsidR="00FF4DEF" w:rsidRPr="00C143D9">
        <w:rPr>
          <w:color w:val="auto"/>
        </w:rPr>
        <w:t>capability to confidently disclose climate risk. The recommended option will only require these smaller entities to disclose if they have material climate risk.</w:t>
      </w:r>
    </w:p>
    <w:p w14:paraId="7DA3E4F3" w14:textId="29530DEE" w:rsidR="006E7A4D" w:rsidRPr="006A691A" w:rsidRDefault="00FF4DEF" w:rsidP="006A691A">
      <w:pPr>
        <w:pStyle w:val="Bullet"/>
        <w:spacing w:after="240"/>
        <w:rPr>
          <w:color w:val="auto"/>
        </w:rPr>
      </w:pPr>
      <w:r w:rsidRPr="00C143D9">
        <w:rPr>
          <w:color w:val="auto"/>
        </w:rPr>
        <w:t xml:space="preserve">Phasing in companies from the largest </w:t>
      </w:r>
      <w:r w:rsidR="00333B38" w:rsidRPr="00C143D9">
        <w:rPr>
          <w:color w:val="auto"/>
        </w:rPr>
        <w:t>businesses</w:t>
      </w:r>
      <w:r w:rsidR="00B341D2" w:rsidRPr="00C143D9">
        <w:rPr>
          <w:color w:val="auto"/>
        </w:rPr>
        <w:t xml:space="preserve"> to </w:t>
      </w:r>
      <w:r w:rsidR="00A72E00" w:rsidRPr="00C143D9">
        <w:rPr>
          <w:color w:val="auto"/>
        </w:rPr>
        <w:t xml:space="preserve">‘smaller’ businesses </w:t>
      </w:r>
      <w:r w:rsidR="006802FF" w:rsidRPr="00C143D9">
        <w:rPr>
          <w:color w:val="auto"/>
        </w:rPr>
        <w:t>will</w:t>
      </w:r>
      <w:r w:rsidR="00A72E00" w:rsidRPr="00C143D9">
        <w:rPr>
          <w:color w:val="auto"/>
        </w:rPr>
        <w:t xml:space="preserve"> allow more lead time </w:t>
      </w:r>
      <w:r w:rsidR="006266D6" w:rsidRPr="00C143D9">
        <w:rPr>
          <w:color w:val="auto"/>
        </w:rPr>
        <w:t>to improve capability and</w:t>
      </w:r>
      <w:r w:rsidR="006802FF" w:rsidRPr="00C143D9">
        <w:rPr>
          <w:color w:val="auto"/>
        </w:rPr>
        <w:t xml:space="preserve"> </w:t>
      </w:r>
      <w:r w:rsidR="00D228AE" w:rsidRPr="00C143D9">
        <w:rPr>
          <w:color w:val="auto"/>
        </w:rPr>
        <w:t xml:space="preserve">for the </w:t>
      </w:r>
      <w:r w:rsidR="00192C12" w:rsidRPr="00C143D9">
        <w:rPr>
          <w:color w:val="auto"/>
        </w:rPr>
        <w:t>assurance market to develop. This in turn will reduce</w:t>
      </w:r>
      <w:r w:rsidR="0035076F" w:rsidRPr="00C143D9">
        <w:rPr>
          <w:color w:val="auto"/>
        </w:rPr>
        <w:t xml:space="preserve"> short and long-run assurance costs.</w:t>
      </w:r>
    </w:p>
    <w:p w14:paraId="0F11A9EA" w14:textId="277E921D" w:rsidR="00966E20" w:rsidRPr="00C143D9" w:rsidRDefault="00966E20" w:rsidP="006A691A">
      <w:pPr>
        <w:pStyle w:val="Bullet"/>
        <w:spacing w:after="240"/>
        <w:rPr>
          <w:color w:val="auto"/>
        </w:rPr>
      </w:pPr>
      <w:r>
        <w:rPr>
          <w:color w:val="auto"/>
        </w:rPr>
        <w:t xml:space="preserve">Treasury </w:t>
      </w:r>
      <w:r w:rsidR="00AD1B62">
        <w:rPr>
          <w:color w:val="auto"/>
        </w:rPr>
        <w:t xml:space="preserve">is also working with regulators to develop clear guidance and resources to assist in implementation, reducing some short-term costs. </w:t>
      </w:r>
    </w:p>
    <w:p w14:paraId="5C689DC3" w14:textId="77777777" w:rsidR="00535899" w:rsidRDefault="00B5658B" w:rsidP="006A691A">
      <w:pPr>
        <w:pStyle w:val="BodyText"/>
        <w:spacing w:after="240"/>
        <w:jc w:val="left"/>
        <w:rPr>
          <w:szCs w:val="24"/>
        </w:rPr>
      </w:pPr>
      <w:r>
        <w:rPr>
          <w:szCs w:val="24"/>
        </w:rPr>
        <w:t xml:space="preserve">Accordingly, I am satisfied that the </w:t>
      </w:r>
      <w:r w:rsidR="00267C0F">
        <w:rPr>
          <w:szCs w:val="24"/>
        </w:rPr>
        <w:t xml:space="preserve">IA </w:t>
      </w:r>
      <w:r w:rsidR="00212DB4">
        <w:rPr>
          <w:szCs w:val="24"/>
        </w:rPr>
        <w:t xml:space="preserve">is now </w:t>
      </w:r>
      <w:r w:rsidR="00E2259E">
        <w:rPr>
          <w:szCs w:val="24"/>
        </w:rPr>
        <w:t>consistent with</w:t>
      </w:r>
      <w:r w:rsidR="006C1716">
        <w:rPr>
          <w:szCs w:val="24"/>
        </w:rPr>
        <w:t xml:space="preserve"> the </w:t>
      </w:r>
      <w:r w:rsidR="00212DB4">
        <w:rPr>
          <w:szCs w:val="24"/>
        </w:rPr>
        <w:t xml:space="preserve">six principles for Australian Government policy makers as specified in the </w:t>
      </w:r>
      <w:r w:rsidR="006C1716">
        <w:rPr>
          <w:i/>
          <w:szCs w:val="24"/>
        </w:rPr>
        <w:t xml:space="preserve">Australian Government Guide to </w:t>
      </w:r>
      <w:r w:rsidR="00267C0F">
        <w:rPr>
          <w:i/>
          <w:szCs w:val="24"/>
        </w:rPr>
        <w:t xml:space="preserve">Policy </w:t>
      </w:r>
      <w:r w:rsidR="00212DB4">
        <w:rPr>
          <w:i/>
          <w:szCs w:val="24"/>
        </w:rPr>
        <w:t>Impact Analysis</w:t>
      </w:r>
      <w:r w:rsidR="00692B2A">
        <w:rPr>
          <w:szCs w:val="24"/>
        </w:rPr>
        <w:t>.</w:t>
      </w:r>
    </w:p>
    <w:p w14:paraId="34792E56" w14:textId="77777777" w:rsidR="008C4768" w:rsidRPr="006E1B31" w:rsidRDefault="00535899" w:rsidP="008C4768">
      <w:pPr>
        <w:pStyle w:val="BodyText"/>
        <w:jc w:val="left"/>
        <w:rPr>
          <w:szCs w:val="24"/>
        </w:rPr>
      </w:pPr>
      <w:r>
        <w:rPr>
          <w:szCs w:val="24"/>
        </w:rPr>
        <w:t>I</w:t>
      </w:r>
      <w:r w:rsidR="00284E41">
        <w:rPr>
          <w:szCs w:val="24"/>
        </w:rPr>
        <w:t xml:space="preserve"> submit </w:t>
      </w:r>
      <w:r>
        <w:rPr>
          <w:szCs w:val="24"/>
        </w:rPr>
        <w:t xml:space="preserve">the </w:t>
      </w:r>
      <w:r w:rsidR="00267C0F">
        <w:rPr>
          <w:szCs w:val="24"/>
        </w:rPr>
        <w:t xml:space="preserve">IA </w:t>
      </w:r>
      <w:r w:rsidR="00284E41">
        <w:rPr>
          <w:szCs w:val="24"/>
        </w:rPr>
        <w:t xml:space="preserve">to the Office of </w:t>
      </w:r>
      <w:r w:rsidR="00267C0F">
        <w:rPr>
          <w:szCs w:val="24"/>
        </w:rPr>
        <w:t>Impact Analysis</w:t>
      </w:r>
      <w:r w:rsidR="00284E41">
        <w:rPr>
          <w:szCs w:val="24"/>
        </w:rPr>
        <w:t xml:space="preserve"> for formal </w:t>
      </w:r>
      <w:r w:rsidR="006C1716">
        <w:rPr>
          <w:szCs w:val="24"/>
        </w:rPr>
        <w:t xml:space="preserve">final </w:t>
      </w:r>
      <w:r w:rsidR="00B5658B">
        <w:rPr>
          <w:szCs w:val="24"/>
        </w:rPr>
        <w:t>assessment</w:t>
      </w:r>
      <w:r w:rsidR="00284E41">
        <w:rPr>
          <w:szCs w:val="24"/>
        </w:rPr>
        <w:t>.</w:t>
      </w:r>
    </w:p>
    <w:p w14:paraId="27F373AF" w14:textId="77777777" w:rsidR="008C4768" w:rsidRPr="006E1B31" w:rsidRDefault="008C4768" w:rsidP="008C4768">
      <w:pPr>
        <w:spacing w:before="240" w:line="300" w:lineRule="exact"/>
      </w:pPr>
    </w:p>
    <w:p w14:paraId="41A9BD44" w14:textId="77777777" w:rsidR="008C4768" w:rsidRDefault="008C4768" w:rsidP="008C4768">
      <w:pPr>
        <w:pStyle w:val="Header"/>
      </w:pPr>
      <w:r>
        <w:t>Yours sincerely</w:t>
      </w:r>
    </w:p>
    <w:p w14:paraId="27CEB87D" w14:textId="428D5DA8" w:rsidR="008C4768" w:rsidRDefault="008C4768" w:rsidP="008C4768">
      <w:pPr>
        <w:pStyle w:val="Header"/>
      </w:pPr>
    </w:p>
    <w:p w14:paraId="408864A2" w14:textId="1C26D636" w:rsidR="008C4768" w:rsidRPr="00106540" w:rsidRDefault="00245FC3" w:rsidP="008C4768">
      <w:r w:rsidRPr="00106540">
        <w:t>Brenton Philp</w:t>
      </w:r>
    </w:p>
    <w:p w14:paraId="4B8970CB" w14:textId="3819F41C" w:rsidR="008C4768" w:rsidRDefault="00D854A9" w:rsidP="008C4768">
      <w:r>
        <w:t>Deputy Secretary</w:t>
      </w:r>
      <w:r w:rsidR="008C4768">
        <w:br/>
      </w:r>
      <w:proofErr w:type="gramStart"/>
      <w:r>
        <w:t>The</w:t>
      </w:r>
      <w:proofErr w:type="gramEnd"/>
      <w:r>
        <w:t xml:space="preserve"> Department of the Treasury</w:t>
      </w:r>
      <w:r w:rsidR="008C4768">
        <w:br/>
      </w:r>
      <w:r w:rsidR="00A378DC" w:rsidRPr="003800CC">
        <w:t>5</w:t>
      </w:r>
      <w:r w:rsidRPr="003800CC">
        <w:t xml:space="preserve"> </w:t>
      </w:r>
      <w:r w:rsidR="00A378DC" w:rsidRPr="003800CC">
        <w:t xml:space="preserve">September </w:t>
      </w:r>
      <w:r w:rsidRPr="003800CC">
        <w:t>2023</w:t>
      </w:r>
    </w:p>
    <w:sectPr w:rsidR="008C4768" w:rsidSect="009A1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541B2" w14:textId="77777777" w:rsidR="007E124B" w:rsidRDefault="007E124B" w:rsidP="00597E7E">
      <w:pPr>
        <w:spacing w:line="240" w:lineRule="auto"/>
      </w:pPr>
      <w:r>
        <w:separator/>
      </w:r>
    </w:p>
  </w:endnote>
  <w:endnote w:type="continuationSeparator" w:id="0">
    <w:p w14:paraId="05ECD94A" w14:textId="77777777" w:rsidR="007E124B" w:rsidRDefault="007E124B" w:rsidP="00597E7E">
      <w:pPr>
        <w:spacing w:line="240" w:lineRule="auto"/>
      </w:pPr>
      <w:r>
        <w:continuationSeparator/>
      </w:r>
    </w:p>
  </w:endnote>
  <w:endnote w:type="continuationNotice" w:id="1">
    <w:p w14:paraId="62B2F771" w14:textId="77777777" w:rsidR="007E124B" w:rsidRDefault="007E12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EF5C0" w14:textId="77777777" w:rsidR="00597E7E" w:rsidRDefault="00597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6640B" w14:textId="77777777" w:rsidR="00597E7E" w:rsidRDefault="00597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525C" w14:textId="77777777" w:rsidR="00597E7E" w:rsidRDefault="00597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1367" w14:textId="77777777" w:rsidR="007E124B" w:rsidRDefault="007E124B" w:rsidP="00597E7E">
      <w:pPr>
        <w:spacing w:line="240" w:lineRule="auto"/>
      </w:pPr>
      <w:r>
        <w:separator/>
      </w:r>
    </w:p>
  </w:footnote>
  <w:footnote w:type="continuationSeparator" w:id="0">
    <w:p w14:paraId="0A366934" w14:textId="77777777" w:rsidR="007E124B" w:rsidRDefault="007E124B" w:rsidP="00597E7E">
      <w:pPr>
        <w:spacing w:line="240" w:lineRule="auto"/>
      </w:pPr>
      <w:r>
        <w:continuationSeparator/>
      </w:r>
    </w:p>
  </w:footnote>
  <w:footnote w:type="continuationNotice" w:id="1">
    <w:p w14:paraId="02E5C5AE" w14:textId="77777777" w:rsidR="007E124B" w:rsidRDefault="007E12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B8DA2" w14:textId="77777777" w:rsidR="00597E7E" w:rsidRDefault="00597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8BD0" w14:textId="77777777" w:rsidR="00597E7E" w:rsidRDefault="00597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0896F" w14:textId="77777777" w:rsidR="00597E7E" w:rsidRDefault="00597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E25"/>
    <w:multiLevelType w:val="hybridMultilevel"/>
    <w:tmpl w:val="29C4B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2A00"/>
    <w:multiLevelType w:val="multilevel"/>
    <w:tmpl w:val="EF0ADD4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48"/>
    <w:rsid w:val="00026759"/>
    <w:rsid w:val="00064C29"/>
    <w:rsid w:val="000756B7"/>
    <w:rsid w:val="000915CC"/>
    <w:rsid w:val="000924CD"/>
    <w:rsid w:val="000954BF"/>
    <w:rsid w:val="000A7ABA"/>
    <w:rsid w:val="000B5184"/>
    <w:rsid w:val="000C2A68"/>
    <w:rsid w:val="000E05F4"/>
    <w:rsid w:val="000E63AC"/>
    <w:rsid w:val="000E798C"/>
    <w:rsid w:val="00106540"/>
    <w:rsid w:val="001125F3"/>
    <w:rsid w:val="001127E5"/>
    <w:rsid w:val="00124998"/>
    <w:rsid w:val="00125669"/>
    <w:rsid w:val="0013138E"/>
    <w:rsid w:val="0014141C"/>
    <w:rsid w:val="001457A6"/>
    <w:rsid w:val="0014724B"/>
    <w:rsid w:val="0015323A"/>
    <w:rsid w:val="00156DC5"/>
    <w:rsid w:val="00167FFC"/>
    <w:rsid w:val="0018059C"/>
    <w:rsid w:val="00184DBC"/>
    <w:rsid w:val="00192C12"/>
    <w:rsid w:val="001C2E28"/>
    <w:rsid w:val="001D0420"/>
    <w:rsid w:val="001D0547"/>
    <w:rsid w:val="001E4BA7"/>
    <w:rsid w:val="00212DB4"/>
    <w:rsid w:val="002255EC"/>
    <w:rsid w:val="002319EC"/>
    <w:rsid w:val="00243D5F"/>
    <w:rsid w:val="00245FC3"/>
    <w:rsid w:val="00256829"/>
    <w:rsid w:val="002640E3"/>
    <w:rsid w:val="00267C0F"/>
    <w:rsid w:val="00267E33"/>
    <w:rsid w:val="00284E41"/>
    <w:rsid w:val="002B0329"/>
    <w:rsid w:val="002B1A2E"/>
    <w:rsid w:val="002D0CBE"/>
    <w:rsid w:val="002D4EC6"/>
    <w:rsid w:val="002F4E4A"/>
    <w:rsid w:val="003066CA"/>
    <w:rsid w:val="00307EE5"/>
    <w:rsid w:val="00310981"/>
    <w:rsid w:val="00322887"/>
    <w:rsid w:val="003303FF"/>
    <w:rsid w:val="00333B38"/>
    <w:rsid w:val="00337D26"/>
    <w:rsid w:val="0035076F"/>
    <w:rsid w:val="00360041"/>
    <w:rsid w:val="003610F7"/>
    <w:rsid w:val="003800CC"/>
    <w:rsid w:val="003A0D5E"/>
    <w:rsid w:val="003A33E3"/>
    <w:rsid w:val="003B2E1B"/>
    <w:rsid w:val="003D0D31"/>
    <w:rsid w:val="003D19D2"/>
    <w:rsid w:val="003D47B7"/>
    <w:rsid w:val="003D511E"/>
    <w:rsid w:val="003D5500"/>
    <w:rsid w:val="003E1C8C"/>
    <w:rsid w:val="00403A8A"/>
    <w:rsid w:val="00405F87"/>
    <w:rsid w:val="00412778"/>
    <w:rsid w:val="00414A76"/>
    <w:rsid w:val="004231D2"/>
    <w:rsid w:val="00425D98"/>
    <w:rsid w:val="00433C83"/>
    <w:rsid w:val="00450624"/>
    <w:rsid w:val="00451796"/>
    <w:rsid w:val="00452C44"/>
    <w:rsid w:val="00456F12"/>
    <w:rsid w:val="00471748"/>
    <w:rsid w:val="0047563D"/>
    <w:rsid w:val="004B1A7A"/>
    <w:rsid w:val="004B463B"/>
    <w:rsid w:val="004D17E0"/>
    <w:rsid w:val="004D6A26"/>
    <w:rsid w:val="0050338C"/>
    <w:rsid w:val="005139E0"/>
    <w:rsid w:val="0052085B"/>
    <w:rsid w:val="00521A95"/>
    <w:rsid w:val="00532361"/>
    <w:rsid w:val="00535899"/>
    <w:rsid w:val="0054240C"/>
    <w:rsid w:val="005442F9"/>
    <w:rsid w:val="00547AE9"/>
    <w:rsid w:val="00547C3B"/>
    <w:rsid w:val="00547F2C"/>
    <w:rsid w:val="00560247"/>
    <w:rsid w:val="00562278"/>
    <w:rsid w:val="00576A9B"/>
    <w:rsid w:val="005921A1"/>
    <w:rsid w:val="00597E7E"/>
    <w:rsid w:val="005A309D"/>
    <w:rsid w:val="005B6B55"/>
    <w:rsid w:val="005C0B84"/>
    <w:rsid w:val="005E35BC"/>
    <w:rsid w:val="005E621B"/>
    <w:rsid w:val="005F2D38"/>
    <w:rsid w:val="00615C42"/>
    <w:rsid w:val="006221CF"/>
    <w:rsid w:val="006266D6"/>
    <w:rsid w:val="006369A1"/>
    <w:rsid w:val="006405D6"/>
    <w:rsid w:val="00671DCB"/>
    <w:rsid w:val="006759B6"/>
    <w:rsid w:val="006802FF"/>
    <w:rsid w:val="00681E5F"/>
    <w:rsid w:val="00692B2A"/>
    <w:rsid w:val="006A691A"/>
    <w:rsid w:val="006B3A39"/>
    <w:rsid w:val="006B5381"/>
    <w:rsid w:val="006B6C31"/>
    <w:rsid w:val="006C1716"/>
    <w:rsid w:val="006E1B31"/>
    <w:rsid w:val="006E362C"/>
    <w:rsid w:val="006E7A4D"/>
    <w:rsid w:val="006F731B"/>
    <w:rsid w:val="00707DD8"/>
    <w:rsid w:val="007314EF"/>
    <w:rsid w:val="0076750A"/>
    <w:rsid w:val="00770E95"/>
    <w:rsid w:val="00780CE0"/>
    <w:rsid w:val="007D084D"/>
    <w:rsid w:val="007D7E07"/>
    <w:rsid w:val="007E0A97"/>
    <w:rsid w:val="007E124B"/>
    <w:rsid w:val="007E18F4"/>
    <w:rsid w:val="007F7884"/>
    <w:rsid w:val="00802BDE"/>
    <w:rsid w:val="00830E27"/>
    <w:rsid w:val="00831F82"/>
    <w:rsid w:val="00836343"/>
    <w:rsid w:val="0084719A"/>
    <w:rsid w:val="00873BFD"/>
    <w:rsid w:val="008846DB"/>
    <w:rsid w:val="008B0BF0"/>
    <w:rsid w:val="008B245D"/>
    <w:rsid w:val="008B6117"/>
    <w:rsid w:val="008B6F0B"/>
    <w:rsid w:val="008C4768"/>
    <w:rsid w:val="008D3751"/>
    <w:rsid w:val="008D4630"/>
    <w:rsid w:val="008E6A0C"/>
    <w:rsid w:val="008F1BC6"/>
    <w:rsid w:val="00906F85"/>
    <w:rsid w:val="00923408"/>
    <w:rsid w:val="009331B8"/>
    <w:rsid w:val="00951E0B"/>
    <w:rsid w:val="00966E20"/>
    <w:rsid w:val="00967171"/>
    <w:rsid w:val="00973089"/>
    <w:rsid w:val="00973103"/>
    <w:rsid w:val="00982C65"/>
    <w:rsid w:val="00983412"/>
    <w:rsid w:val="0098521F"/>
    <w:rsid w:val="00986F74"/>
    <w:rsid w:val="00996159"/>
    <w:rsid w:val="009A18F3"/>
    <w:rsid w:val="009B08A4"/>
    <w:rsid w:val="009B469B"/>
    <w:rsid w:val="009D0CF5"/>
    <w:rsid w:val="009D46AA"/>
    <w:rsid w:val="009E180F"/>
    <w:rsid w:val="009F2734"/>
    <w:rsid w:val="00A12682"/>
    <w:rsid w:val="00A126B7"/>
    <w:rsid w:val="00A32F9F"/>
    <w:rsid w:val="00A3627C"/>
    <w:rsid w:val="00A378DC"/>
    <w:rsid w:val="00A56819"/>
    <w:rsid w:val="00A662FC"/>
    <w:rsid w:val="00A72E00"/>
    <w:rsid w:val="00A8121F"/>
    <w:rsid w:val="00A83B91"/>
    <w:rsid w:val="00A93AF0"/>
    <w:rsid w:val="00A95BA7"/>
    <w:rsid w:val="00AA2F0C"/>
    <w:rsid w:val="00AD1B62"/>
    <w:rsid w:val="00AD4E60"/>
    <w:rsid w:val="00AD5F15"/>
    <w:rsid w:val="00AF1448"/>
    <w:rsid w:val="00AF72E1"/>
    <w:rsid w:val="00B00B03"/>
    <w:rsid w:val="00B0228E"/>
    <w:rsid w:val="00B030EC"/>
    <w:rsid w:val="00B077B8"/>
    <w:rsid w:val="00B15172"/>
    <w:rsid w:val="00B22692"/>
    <w:rsid w:val="00B244B5"/>
    <w:rsid w:val="00B30088"/>
    <w:rsid w:val="00B30D8D"/>
    <w:rsid w:val="00B32E2E"/>
    <w:rsid w:val="00B341D2"/>
    <w:rsid w:val="00B36194"/>
    <w:rsid w:val="00B47552"/>
    <w:rsid w:val="00B51C4A"/>
    <w:rsid w:val="00B5658B"/>
    <w:rsid w:val="00B56C87"/>
    <w:rsid w:val="00B73C72"/>
    <w:rsid w:val="00B810A0"/>
    <w:rsid w:val="00B858F9"/>
    <w:rsid w:val="00B90051"/>
    <w:rsid w:val="00BA5B45"/>
    <w:rsid w:val="00BB1649"/>
    <w:rsid w:val="00BB3C6B"/>
    <w:rsid w:val="00BD0E5C"/>
    <w:rsid w:val="00BE08F8"/>
    <w:rsid w:val="00BE0BF9"/>
    <w:rsid w:val="00BF2265"/>
    <w:rsid w:val="00C11ADF"/>
    <w:rsid w:val="00C143D9"/>
    <w:rsid w:val="00C4708B"/>
    <w:rsid w:val="00C62D01"/>
    <w:rsid w:val="00C64E4B"/>
    <w:rsid w:val="00C730D1"/>
    <w:rsid w:val="00C73963"/>
    <w:rsid w:val="00C931CD"/>
    <w:rsid w:val="00C962BA"/>
    <w:rsid w:val="00CA73D2"/>
    <w:rsid w:val="00CC1E38"/>
    <w:rsid w:val="00CE6827"/>
    <w:rsid w:val="00CF2052"/>
    <w:rsid w:val="00D228AE"/>
    <w:rsid w:val="00D22A45"/>
    <w:rsid w:val="00D33CA0"/>
    <w:rsid w:val="00D47CD1"/>
    <w:rsid w:val="00D5530C"/>
    <w:rsid w:val="00D825A5"/>
    <w:rsid w:val="00D839A0"/>
    <w:rsid w:val="00D854A9"/>
    <w:rsid w:val="00D8756C"/>
    <w:rsid w:val="00DA1DD3"/>
    <w:rsid w:val="00DC0A25"/>
    <w:rsid w:val="00DC154F"/>
    <w:rsid w:val="00DC17CB"/>
    <w:rsid w:val="00DC64C7"/>
    <w:rsid w:val="00DC6BD3"/>
    <w:rsid w:val="00DD6125"/>
    <w:rsid w:val="00DE2AB1"/>
    <w:rsid w:val="00DE5FCE"/>
    <w:rsid w:val="00DE66B0"/>
    <w:rsid w:val="00E01817"/>
    <w:rsid w:val="00E02264"/>
    <w:rsid w:val="00E06174"/>
    <w:rsid w:val="00E2259E"/>
    <w:rsid w:val="00E2609A"/>
    <w:rsid w:val="00E314AF"/>
    <w:rsid w:val="00E37060"/>
    <w:rsid w:val="00E40BEA"/>
    <w:rsid w:val="00E40C56"/>
    <w:rsid w:val="00E5554F"/>
    <w:rsid w:val="00E61600"/>
    <w:rsid w:val="00E72C6B"/>
    <w:rsid w:val="00E7458F"/>
    <w:rsid w:val="00E84ED1"/>
    <w:rsid w:val="00EA4572"/>
    <w:rsid w:val="00EA751A"/>
    <w:rsid w:val="00EC4331"/>
    <w:rsid w:val="00ED7140"/>
    <w:rsid w:val="00ED7854"/>
    <w:rsid w:val="00EF377D"/>
    <w:rsid w:val="00F01098"/>
    <w:rsid w:val="00F01A5F"/>
    <w:rsid w:val="00F04442"/>
    <w:rsid w:val="00F07BFE"/>
    <w:rsid w:val="00F21256"/>
    <w:rsid w:val="00F243B5"/>
    <w:rsid w:val="00F372D5"/>
    <w:rsid w:val="00F40930"/>
    <w:rsid w:val="00F5052C"/>
    <w:rsid w:val="00F57BF3"/>
    <w:rsid w:val="00F65A9C"/>
    <w:rsid w:val="00F67352"/>
    <w:rsid w:val="00F80033"/>
    <w:rsid w:val="00F828C7"/>
    <w:rsid w:val="00F934F7"/>
    <w:rsid w:val="00F964A1"/>
    <w:rsid w:val="00FA08A5"/>
    <w:rsid w:val="00FB7531"/>
    <w:rsid w:val="00FC0F81"/>
    <w:rsid w:val="00FC2D31"/>
    <w:rsid w:val="00FC6F28"/>
    <w:rsid w:val="00FE21A1"/>
    <w:rsid w:val="00FE76BC"/>
    <w:rsid w:val="00FF4DEF"/>
    <w:rsid w:val="087C2A16"/>
    <w:rsid w:val="5C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C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68"/>
    <w:pPr>
      <w:spacing w:after="0" w:line="240" w:lineRule="atLeast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68"/>
    <w:pPr>
      <w:keepNext/>
      <w:spacing w:before="60" w:after="3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4768"/>
    <w:rPr>
      <w:rFonts w:ascii="Arial" w:hAnsi="Arial" w:cs="Times New Roman"/>
      <w:b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4768"/>
    <w:pPr>
      <w:tabs>
        <w:tab w:val="center" w:pos="4153"/>
        <w:tab w:val="right" w:pos="8306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476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C4768"/>
    <w:pPr>
      <w:spacing w:before="240" w:line="300" w:lineRule="exact"/>
      <w:jc w:val="both"/>
    </w:pPr>
    <w:rPr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4768"/>
    <w:rPr>
      <w:rFonts w:ascii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B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7E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7E"/>
    <w:rPr>
      <w:rFonts w:ascii="Times New Roman" w:hAnsi="Times New Roman" w:cs="Times New Roman"/>
      <w:sz w:val="24"/>
      <w:szCs w:val="20"/>
    </w:rPr>
  </w:style>
  <w:style w:type="paragraph" w:customStyle="1" w:styleId="Bullet">
    <w:name w:val="Bullet"/>
    <w:basedOn w:val="Normal"/>
    <w:link w:val="BulletChar"/>
    <w:rsid w:val="00433C83"/>
    <w:pPr>
      <w:numPr>
        <w:numId w:val="2"/>
      </w:numPr>
    </w:pPr>
    <w:rPr>
      <w:color w:val="FF0000"/>
      <w:szCs w:val="24"/>
      <w:lang w:eastAsia="en-AU"/>
    </w:rPr>
  </w:style>
  <w:style w:type="character" w:customStyle="1" w:styleId="BulletChar">
    <w:name w:val="Bullet Char"/>
    <w:basedOn w:val="BodyTextChar"/>
    <w:link w:val="Bullet"/>
    <w:rsid w:val="00433C83"/>
    <w:rPr>
      <w:rFonts w:ascii="Times New Roman" w:hAnsi="Times New Roman" w:cs="Times New Roman"/>
      <w:color w:val="FF0000"/>
      <w:sz w:val="24"/>
      <w:szCs w:val="24"/>
      <w:lang w:eastAsia="en-AU"/>
    </w:rPr>
  </w:style>
  <w:style w:type="paragraph" w:customStyle="1" w:styleId="Dash">
    <w:name w:val="Dash"/>
    <w:basedOn w:val="Normal"/>
    <w:link w:val="DashChar"/>
    <w:rsid w:val="00433C83"/>
    <w:pPr>
      <w:numPr>
        <w:ilvl w:val="1"/>
        <w:numId w:val="2"/>
      </w:numPr>
    </w:pPr>
    <w:rPr>
      <w:szCs w:val="24"/>
      <w:lang w:eastAsia="en-AU"/>
    </w:rPr>
  </w:style>
  <w:style w:type="character" w:customStyle="1" w:styleId="DashChar">
    <w:name w:val="Dash Char"/>
    <w:basedOn w:val="BodyTextChar"/>
    <w:link w:val="Dash"/>
    <w:rsid w:val="00433C83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DoubleDot">
    <w:name w:val="Double Dot"/>
    <w:basedOn w:val="Normal"/>
    <w:link w:val="DoubleDotChar"/>
    <w:rsid w:val="00433C83"/>
    <w:pPr>
      <w:numPr>
        <w:ilvl w:val="2"/>
        <w:numId w:val="2"/>
      </w:numPr>
    </w:pPr>
    <w:rPr>
      <w:szCs w:val="24"/>
      <w:lang w:eastAsia="en-AU"/>
    </w:rPr>
  </w:style>
  <w:style w:type="character" w:customStyle="1" w:styleId="DoubleDotChar">
    <w:name w:val="Double Dot Char"/>
    <w:basedOn w:val="BodyTextChar"/>
    <w:link w:val="DoubleDot"/>
    <w:rsid w:val="00433C83"/>
    <w:rPr>
      <w:rFonts w:ascii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B4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63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63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63B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7A4D"/>
    <w:pPr>
      <w:ind w:left="720"/>
      <w:contextualSpacing/>
    </w:pPr>
  </w:style>
  <w:style w:type="paragraph" w:styleId="Revision">
    <w:name w:val="Revision"/>
    <w:hidden/>
    <w:uiPriority w:val="99"/>
    <w:semiHidden/>
    <w:rsid w:val="008B6F0B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2024-01-16T22:17:00Z</dcterms:created>
  <dcterms:modified xsi:type="dcterms:W3CDTF">2024-01-16T22:17:00Z</dcterms:modified>
</cp:coreProperties>
</file>