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B118" w14:textId="77777777" w:rsidR="0023618A" w:rsidRPr="006F2B31" w:rsidRDefault="00EA7CB3" w:rsidP="00500085">
      <w:pPr>
        <w:pStyle w:val="Heading1"/>
        <w:numPr>
          <w:ilvl w:val="0"/>
          <w:numId w:val="0"/>
        </w:numPr>
        <w:shd w:val="clear" w:color="auto" w:fill="FFFFFF"/>
        <w:spacing w:before="0" w:after="120"/>
        <w:rPr>
          <w:rFonts w:ascii="Open Sans" w:hAnsi="Open Sans" w:cs="Open Sans"/>
          <w:color w:val="00153E"/>
          <w:sz w:val="54"/>
          <w:szCs w:val="54"/>
        </w:rPr>
      </w:pPr>
      <w:bookmarkStart w:id="0" w:name="_GoBack"/>
      <w:bookmarkEnd w:id="0"/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 xml:space="preserve">Better 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f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 xml:space="preserve">uel for 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c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 xml:space="preserve">leaner 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a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ir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: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 xml:space="preserve"> Regulation 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i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 xml:space="preserve">mpact </w:t>
      </w:r>
      <w:r w:rsidR="00607A36"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s</w:t>
      </w:r>
      <w:r w:rsidRPr="006F2B31">
        <w:rPr>
          <w:rStyle w:val="field"/>
          <w:rFonts w:ascii="Open Sans" w:hAnsi="Open Sans" w:cs="Open Sans"/>
          <w:b/>
          <w:color w:val="00153E"/>
          <w:sz w:val="54"/>
          <w:szCs w:val="54"/>
        </w:rPr>
        <w:t>tatement</w:t>
      </w:r>
    </w:p>
    <w:p w14:paraId="5B25770C" w14:textId="194C95CF" w:rsidR="00F60840" w:rsidRPr="001C6EE4" w:rsidRDefault="00570F55" w:rsidP="00253E85">
      <w:pPr>
        <w:pStyle w:val="Subtitle"/>
        <w:numPr>
          <w:ilvl w:val="0"/>
          <w:numId w:val="0"/>
        </w:numPr>
        <w:rPr>
          <w:rFonts w:asciiTheme="minorHAnsi" w:hAnsiTheme="minorHAnsi" w:cstheme="minorHAnsi"/>
          <w:color w:val="2E6570"/>
        </w:rPr>
      </w:pPr>
      <w:r w:rsidRPr="001C6EE4">
        <w:rPr>
          <w:rFonts w:asciiTheme="minorHAnsi" w:hAnsiTheme="minorHAnsi" w:cstheme="minorHAnsi"/>
          <w:color w:val="2E6570"/>
        </w:rPr>
        <w:t>Addendum</w:t>
      </w:r>
      <w:r w:rsidR="00EA7CB3" w:rsidRPr="001C6EE4">
        <w:rPr>
          <w:rFonts w:asciiTheme="minorHAnsi" w:hAnsiTheme="minorHAnsi" w:cstheme="minorHAnsi"/>
          <w:color w:val="2E6570"/>
        </w:rPr>
        <w:t xml:space="preserve"> </w:t>
      </w:r>
      <w:r w:rsidR="00500085" w:rsidRPr="001C6EE4">
        <w:rPr>
          <w:rFonts w:asciiTheme="minorHAnsi" w:hAnsiTheme="minorHAnsi" w:cstheme="minorHAnsi"/>
          <w:color w:val="2E6570"/>
        </w:rPr>
        <w:t>on</w:t>
      </w:r>
      <w:r w:rsidR="0023618A" w:rsidRPr="001C6EE4">
        <w:rPr>
          <w:rFonts w:asciiTheme="minorHAnsi" w:hAnsiTheme="minorHAnsi" w:cstheme="minorHAnsi"/>
          <w:color w:val="2E6570"/>
        </w:rPr>
        <w:t xml:space="preserve"> implementation</w:t>
      </w:r>
      <w:r w:rsidR="00500085" w:rsidRPr="001C6EE4">
        <w:rPr>
          <w:rFonts w:asciiTheme="minorHAnsi" w:hAnsiTheme="minorHAnsi" w:cstheme="minorHAnsi"/>
          <w:color w:val="2E6570"/>
        </w:rPr>
        <w:t xml:space="preserve"> of ultra-low sulfur petrol</w:t>
      </w:r>
    </w:p>
    <w:p w14:paraId="40495B37" w14:textId="24FB1108" w:rsidR="00B808FC" w:rsidRPr="001C6EE4" w:rsidRDefault="1A9A971E" w:rsidP="64754A27">
      <w:pPr>
        <w:pBdr>
          <w:bottom w:val="single" w:sz="4" w:space="1" w:color="auto"/>
        </w:pBdr>
        <w:rPr>
          <w:b/>
          <w:bCs/>
        </w:rPr>
      </w:pPr>
      <w:r w:rsidRPr="00993F89">
        <w:rPr>
          <w:b/>
          <w:bCs/>
        </w:rPr>
        <w:t>21 Decembe</w:t>
      </w:r>
      <w:r w:rsidR="007E30B5">
        <w:rPr>
          <w:b/>
          <w:bCs/>
        </w:rPr>
        <w:t>r</w:t>
      </w:r>
      <w:r w:rsidR="00B808FC" w:rsidRPr="00993F89">
        <w:rPr>
          <w:b/>
          <w:bCs/>
        </w:rPr>
        <w:t xml:space="preserve"> 202</w:t>
      </w:r>
      <w:r w:rsidR="00636F8B" w:rsidRPr="00993F89">
        <w:rPr>
          <w:b/>
          <w:bCs/>
        </w:rPr>
        <w:t>3</w:t>
      </w:r>
    </w:p>
    <w:p w14:paraId="69AA8F94" w14:textId="5A9F3FDB" w:rsidR="000570B3" w:rsidRDefault="000570B3" w:rsidP="00024BFF">
      <w:pPr>
        <w:pStyle w:val="Heading1"/>
      </w:pPr>
      <w:r>
        <w:t>Purpose</w:t>
      </w:r>
    </w:p>
    <w:p w14:paraId="10E6AD22" w14:textId="7E67294B" w:rsidR="000570B3" w:rsidRPr="000570B3" w:rsidRDefault="000570B3" w:rsidP="006A2FBB">
      <w:r>
        <w:t>This addendum</w:t>
      </w:r>
      <w:r w:rsidR="008000FC">
        <w:t xml:space="preserve"> to the 2018 </w:t>
      </w:r>
      <w:r w:rsidR="008000FC">
        <w:rPr>
          <w:i/>
          <w:iCs/>
        </w:rPr>
        <w:t xml:space="preserve">Better </w:t>
      </w:r>
      <w:r w:rsidR="00607A36">
        <w:rPr>
          <w:i/>
          <w:iCs/>
        </w:rPr>
        <w:t>f</w:t>
      </w:r>
      <w:r w:rsidR="008000FC">
        <w:rPr>
          <w:i/>
          <w:iCs/>
        </w:rPr>
        <w:t xml:space="preserve">uel for </w:t>
      </w:r>
      <w:r w:rsidR="00607A36">
        <w:rPr>
          <w:i/>
          <w:iCs/>
        </w:rPr>
        <w:t>c</w:t>
      </w:r>
      <w:r w:rsidR="008000FC">
        <w:rPr>
          <w:i/>
          <w:iCs/>
        </w:rPr>
        <w:t xml:space="preserve">leaner </w:t>
      </w:r>
      <w:r w:rsidR="00607A36">
        <w:rPr>
          <w:i/>
          <w:iCs/>
        </w:rPr>
        <w:t>a</w:t>
      </w:r>
      <w:r w:rsidR="008000FC">
        <w:rPr>
          <w:i/>
          <w:iCs/>
        </w:rPr>
        <w:t>ir</w:t>
      </w:r>
      <w:r w:rsidR="00607A36">
        <w:rPr>
          <w:i/>
          <w:iCs/>
        </w:rPr>
        <w:t>:</w:t>
      </w:r>
      <w:r w:rsidR="008000FC">
        <w:rPr>
          <w:i/>
          <w:iCs/>
        </w:rPr>
        <w:t xml:space="preserve"> Regulation </w:t>
      </w:r>
      <w:r w:rsidR="00607A36">
        <w:rPr>
          <w:i/>
          <w:iCs/>
        </w:rPr>
        <w:t>i</w:t>
      </w:r>
      <w:r w:rsidR="008000FC">
        <w:rPr>
          <w:i/>
          <w:iCs/>
        </w:rPr>
        <w:t xml:space="preserve">mpact </w:t>
      </w:r>
      <w:r w:rsidR="00607A36">
        <w:rPr>
          <w:i/>
          <w:iCs/>
        </w:rPr>
        <w:t>s</w:t>
      </w:r>
      <w:r w:rsidR="008000FC">
        <w:rPr>
          <w:i/>
          <w:iCs/>
        </w:rPr>
        <w:t>tatement</w:t>
      </w:r>
      <w:r w:rsidR="0033238E">
        <w:rPr>
          <w:i/>
          <w:iCs/>
        </w:rPr>
        <w:t xml:space="preserve"> </w:t>
      </w:r>
      <w:r>
        <w:t xml:space="preserve">provides information on the Government’s </w:t>
      </w:r>
      <w:r w:rsidR="00A750C4">
        <w:t xml:space="preserve">adjusted </w:t>
      </w:r>
      <w:r w:rsidR="00C55A5A">
        <w:t xml:space="preserve">implementation strategy </w:t>
      </w:r>
      <w:r w:rsidR="00E45A98">
        <w:t xml:space="preserve">of reducing the sulfur limit in </w:t>
      </w:r>
      <w:r w:rsidR="00943D36">
        <w:t>Australian</w:t>
      </w:r>
      <w:r w:rsidR="00E45A98">
        <w:t xml:space="preserve"> petrol to 10 parts</w:t>
      </w:r>
      <w:r w:rsidR="00A750C4">
        <w:t xml:space="preserve"> per </w:t>
      </w:r>
      <w:r w:rsidR="00E45A98">
        <w:t>million</w:t>
      </w:r>
      <w:r w:rsidR="00E461FB">
        <w:t xml:space="preserve"> (ppm)</w:t>
      </w:r>
      <w:r w:rsidR="00A750C4">
        <w:t xml:space="preserve"> (ultra-low sulfur petrol)</w:t>
      </w:r>
      <w:r w:rsidR="00D7008C">
        <w:t>.</w:t>
      </w:r>
      <w:r w:rsidR="00D7008C">
        <w:rPr>
          <w:rStyle w:val="FootnoteReference"/>
        </w:rPr>
        <w:footnoteReference w:id="2"/>
      </w:r>
    </w:p>
    <w:p w14:paraId="50E59D14" w14:textId="4341B35A" w:rsidR="00C466DC" w:rsidRDefault="006E7E03" w:rsidP="00024BFF">
      <w:pPr>
        <w:pStyle w:val="Heading1"/>
      </w:pPr>
      <w:r>
        <w:t>Background</w:t>
      </w:r>
    </w:p>
    <w:p w14:paraId="51CDBE50" w14:textId="0E8126ED" w:rsidR="00125610" w:rsidRPr="00125610" w:rsidRDefault="00D201E4" w:rsidP="006A2FBB">
      <w:pPr>
        <w:pStyle w:val="Heading2"/>
        <w:spacing w:line="276" w:lineRule="auto"/>
      </w:pPr>
      <w:r>
        <w:t>Why we regulate fuel quality</w:t>
      </w:r>
    </w:p>
    <w:p w14:paraId="1C9F5605" w14:textId="77777777" w:rsidR="00802E26" w:rsidRDefault="00802E26" w:rsidP="006A2FBB">
      <w:pPr>
        <w:spacing w:line="276" w:lineRule="auto"/>
      </w:pPr>
      <w:r>
        <w:t xml:space="preserve">The Australian Government regulates the quality of petrol and diesel sold in Australia. Australian </w:t>
      </w:r>
      <w:r w:rsidDel="001F77CB">
        <w:t xml:space="preserve">fuel </w:t>
      </w:r>
      <w:r>
        <w:t xml:space="preserve">suppliers must meet legislative requirements contained in standards made under the </w:t>
      </w:r>
      <w:r w:rsidRPr="006A2FBB">
        <w:rPr>
          <w:i/>
          <w:iCs/>
        </w:rPr>
        <w:t xml:space="preserve">Fuel Quality Standards Act 2000 </w:t>
      </w:r>
      <w:r>
        <w:t>(FQS Act). The FQS Act seeks to:</w:t>
      </w:r>
    </w:p>
    <w:p w14:paraId="27B3D017" w14:textId="77777777" w:rsidR="00802E26" w:rsidRDefault="00802E26" w:rsidP="008A3EFB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</w:pPr>
      <w:r>
        <w:t>reduce fuel pollutants and emissions</w:t>
      </w:r>
    </w:p>
    <w:p w14:paraId="3842C6C4" w14:textId="77777777" w:rsidR="00802E26" w:rsidRDefault="00802E26" w:rsidP="008A3EFB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</w:pPr>
      <w:r>
        <w:t>facilitate the adoption of better engine and emission control technologies</w:t>
      </w:r>
    </w:p>
    <w:p w14:paraId="74D020D2" w14:textId="77777777" w:rsidR="00802E26" w:rsidRPr="00652A64" w:rsidRDefault="00802E26" w:rsidP="008A3EFB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</w:pPr>
      <w:r>
        <w:t>improve engine operation.</w:t>
      </w:r>
    </w:p>
    <w:p w14:paraId="4A9398FE" w14:textId="4563A83A" w:rsidR="002B39FB" w:rsidRDefault="002B39FB" w:rsidP="006A2FBB">
      <w:pPr>
        <w:spacing w:line="276" w:lineRule="auto"/>
      </w:pPr>
      <w:r w:rsidRPr="002B39FB">
        <w:t xml:space="preserve">The quality of petrol </w:t>
      </w:r>
      <w:r>
        <w:t>supplied</w:t>
      </w:r>
      <w:r w:rsidRPr="002B39FB">
        <w:t xml:space="preserve"> in Australia</w:t>
      </w:r>
      <w:r w:rsidR="00A36B7C">
        <w:t xml:space="preserve"> is regulated</w:t>
      </w:r>
      <w:r>
        <w:t xml:space="preserve"> through the </w:t>
      </w:r>
      <w:r w:rsidR="000C000D" w:rsidRPr="000C000D">
        <w:t>Fuel Quality Standards (Petrol) Determination 2019</w:t>
      </w:r>
      <w:r w:rsidR="000C000D">
        <w:t xml:space="preserve"> (petrol standard). The petrol standard</w:t>
      </w:r>
      <w:r w:rsidR="00950B29">
        <w:t xml:space="preserve"> </w:t>
      </w:r>
      <w:r w:rsidR="005E2D3C" w:rsidRPr="005E2D3C">
        <w:t xml:space="preserve">describes the </w:t>
      </w:r>
      <w:r w:rsidR="00AA4CC5">
        <w:t xml:space="preserve">technical </w:t>
      </w:r>
      <w:r w:rsidR="005E2D3C" w:rsidRPr="005E2D3C">
        <w:t>parameters of 91</w:t>
      </w:r>
      <w:r w:rsidR="004B7D8A">
        <w:t> </w:t>
      </w:r>
      <w:r w:rsidR="005E2D3C" w:rsidRPr="005E2D3C">
        <w:t>Research Octane Number (RON) and 95 RON petrol</w:t>
      </w:r>
      <w:r w:rsidR="00AA4CC5">
        <w:t>, which includes limits on sulfur and aromatics levels</w:t>
      </w:r>
      <w:r w:rsidR="005E2D3C" w:rsidRPr="005E2D3C">
        <w:t>. 98 RON petrol must meet the 95 RON standard.</w:t>
      </w:r>
    </w:p>
    <w:p w14:paraId="6F880D66" w14:textId="0BF99F09" w:rsidR="00802E26" w:rsidRDefault="00802E26" w:rsidP="006A2FBB">
      <w:pPr>
        <w:spacing w:line="276" w:lineRule="auto"/>
      </w:pPr>
      <w:r w:rsidRPr="003C6AD1">
        <w:t>In regulating fuel quality,</w:t>
      </w:r>
      <w:r w:rsidR="003465C5">
        <w:t xml:space="preserve"> the</w:t>
      </w:r>
      <w:r w:rsidRPr="003C6AD1">
        <w:t xml:space="preserve"> Government also considers Australia’s fuel security and the ability for domestic refineries to supply Australia’s fuel needs in the event of a disruption to global fuel supply chains.  </w:t>
      </w:r>
    </w:p>
    <w:p w14:paraId="592893AB" w14:textId="7EE3C75A" w:rsidR="00125610" w:rsidRDefault="00125610" w:rsidP="006A2FBB">
      <w:pPr>
        <w:pStyle w:val="Heading2"/>
        <w:spacing w:line="276" w:lineRule="auto"/>
      </w:pPr>
      <w:r>
        <w:t>The 2018 RIS</w:t>
      </w:r>
    </w:p>
    <w:p w14:paraId="29E0282E" w14:textId="0092E02B" w:rsidR="005D22BD" w:rsidRDefault="005D22BD" w:rsidP="008430F7">
      <w:pPr>
        <w:spacing w:line="276" w:lineRule="auto"/>
      </w:pPr>
      <w:r>
        <w:t>In August 2018</w:t>
      </w:r>
      <w:r w:rsidR="00BE5E96">
        <w:t>,</w:t>
      </w:r>
      <w:r>
        <w:t xml:space="preserve"> the then Department of the Environment and Energy published the </w:t>
      </w:r>
      <w:hyperlink r:id="rId8" w:anchor=":~:text=The%20quality%20of%20our%20fuel,vehicles%20to%20operate%20more%20effectively" w:history="1">
        <w:r w:rsidR="00096487" w:rsidRPr="00E77B44">
          <w:rPr>
            <w:rStyle w:val="Hyperlink"/>
            <w:i/>
            <w:iCs/>
          </w:rPr>
          <w:t>Better fuel for cleaner air: Regulation impact statement</w:t>
        </w:r>
      </w:hyperlink>
      <w:r w:rsidR="002F2207">
        <w:t xml:space="preserve"> </w:t>
      </w:r>
      <w:r>
        <w:t>(</w:t>
      </w:r>
      <w:r w:rsidR="00537ABC">
        <w:t xml:space="preserve">2018 </w:t>
      </w:r>
      <w:r>
        <w:t>RIS).</w:t>
      </w:r>
      <w:r w:rsidR="00D6515C">
        <w:t xml:space="preserve"> Th</w:t>
      </w:r>
      <w:r w:rsidR="00537ABC">
        <w:t xml:space="preserve">e 2018 </w:t>
      </w:r>
      <w:r w:rsidR="00D6515C">
        <w:t xml:space="preserve">RIS </w:t>
      </w:r>
      <w:r w:rsidR="007C3898">
        <w:t xml:space="preserve">examined the costs and benefits of </w:t>
      </w:r>
      <w:r w:rsidR="007C3898">
        <w:lastRenderedPageBreak/>
        <w:t>chang</w:t>
      </w:r>
      <w:r w:rsidR="000F23D6">
        <w:t>ing</w:t>
      </w:r>
      <w:r w:rsidR="007C3898">
        <w:t xml:space="preserve"> fuel quality</w:t>
      </w:r>
      <w:r w:rsidR="005C1AF7">
        <w:t>,</w:t>
      </w:r>
      <w:r w:rsidR="00A6388B">
        <w:t xml:space="preserve"> including</w:t>
      </w:r>
      <w:r w:rsidR="005C1AF7">
        <w:t xml:space="preserve"> </w:t>
      </w:r>
      <w:r w:rsidR="00CB29D3">
        <w:t xml:space="preserve">the option of </w:t>
      </w:r>
      <w:r w:rsidR="00B679B5">
        <w:t xml:space="preserve">reducing </w:t>
      </w:r>
      <w:r w:rsidR="009C7B20">
        <w:t>Australia’s sulfu</w:t>
      </w:r>
      <w:r w:rsidR="00C55A5A">
        <w:t>r limit</w:t>
      </w:r>
      <w:r w:rsidR="00D76244">
        <w:t xml:space="preserve"> in petrol</w:t>
      </w:r>
      <w:r w:rsidR="009C7B20">
        <w:t xml:space="preserve"> </w:t>
      </w:r>
      <w:r w:rsidR="00B679B5">
        <w:t xml:space="preserve">to 10 ppm, </w:t>
      </w:r>
      <w:r w:rsidR="00180215">
        <w:t xml:space="preserve">to </w:t>
      </w:r>
      <w:r w:rsidR="00B679B5">
        <w:t>align with international best practice.</w:t>
      </w:r>
      <w:r w:rsidR="00C55A5A">
        <w:t xml:space="preserve"> </w:t>
      </w:r>
    </w:p>
    <w:p w14:paraId="7AD9006F" w14:textId="4FCA4D09" w:rsidR="000263D8" w:rsidRDefault="000263D8" w:rsidP="006A2FBB">
      <w:pPr>
        <w:spacing w:line="276" w:lineRule="auto"/>
      </w:pPr>
      <w:r>
        <w:t xml:space="preserve">Sulfur content in petrol leads to </w:t>
      </w:r>
      <w:proofErr w:type="spellStart"/>
      <w:r>
        <w:t>sulfur</w:t>
      </w:r>
      <w:proofErr w:type="spellEnd"/>
      <w:r>
        <w:t xml:space="preserve"> oxide (</w:t>
      </w:r>
      <w:proofErr w:type="spellStart"/>
      <w:r>
        <w:t>SO</w:t>
      </w:r>
      <w:r w:rsidRPr="00BA5B3D">
        <w:rPr>
          <w:vertAlign w:val="subscript"/>
        </w:rPr>
        <w:t>x</w:t>
      </w:r>
      <w:proofErr w:type="spellEnd"/>
      <w:r>
        <w:t xml:space="preserve">) </w:t>
      </w:r>
      <w:r w:rsidR="003C5A26">
        <w:t>nitrogen oxides (</w:t>
      </w:r>
      <w:r w:rsidR="0038202A">
        <w:t>NO</w:t>
      </w:r>
      <w:r w:rsidR="0038202A" w:rsidRPr="00BA5B3D">
        <w:rPr>
          <w:vertAlign w:val="subscript"/>
        </w:rPr>
        <w:t>x</w:t>
      </w:r>
      <w:r w:rsidR="003C5A26" w:rsidRPr="009E3CE2">
        <w:t>)</w:t>
      </w:r>
      <w:r w:rsidR="0038202A">
        <w:t xml:space="preserve">, </w:t>
      </w:r>
      <w:r w:rsidR="003C5A26">
        <w:t>volatile organic compounds (</w:t>
      </w:r>
      <w:r w:rsidR="0038202A">
        <w:t>VOC</w:t>
      </w:r>
      <w:r w:rsidR="003C5A26">
        <w:t>)</w:t>
      </w:r>
      <w:r w:rsidR="0038202A">
        <w:t xml:space="preserve"> and </w:t>
      </w:r>
      <w:r w:rsidR="003C5A26">
        <w:t>carbon monoxide (</w:t>
      </w:r>
      <w:r w:rsidR="0038202A">
        <w:t>CO</w:t>
      </w:r>
      <w:r w:rsidR="003C5A26">
        <w:t>)</w:t>
      </w:r>
      <w:r w:rsidR="0038202A">
        <w:t xml:space="preserve"> emissions from motor vehicles</w:t>
      </w:r>
      <w:r w:rsidR="005A561F">
        <w:t>. These</w:t>
      </w:r>
      <w:r w:rsidR="009E52BE">
        <w:t xml:space="preserve"> </w:t>
      </w:r>
      <w:r w:rsidR="00D76244">
        <w:t xml:space="preserve">noxious </w:t>
      </w:r>
      <w:r w:rsidR="009E52BE">
        <w:t>emissions</w:t>
      </w:r>
      <w:r w:rsidR="0038202A">
        <w:t xml:space="preserve"> </w:t>
      </w:r>
      <w:r w:rsidR="00D76244">
        <w:t>have</w:t>
      </w:r>
      <w:r w:rsidR="009E52BE">
        <w:t xml:space="preserve"> significant health impacts, including causing cancer,</w:t>
      </w:r>
      <w:r>
        <w:t xml:space="preserve"> eye and throat irritation</w:t>
      </w:r>
      <w:r w:rsidR="00537ABC">
        <w:t xml:space="preserve">; and </w:t>
      </w:r>
      <w:r>
        <w:t>exacerbat</w:t>
      </w:r>
      <w:r w:rsidR="00D76244">
        <w:t>ing</w:t>
      </w:r>
      <w:r>
        <w:t xml:space="preserve"> cardiovascular diseases and asthma symptoms</w:t>
      </w:r>
      <w:r w:rsidR="009E52BE">
        <w:t>.</w:t>
      </w:r>
    </w:p>
    <w:p w14:paraId="5F21F172" w14:textId="34AEA093" w:rsidR="00F54AEE" w:rsidRDefault="00F54AEE" w:rsidP="006A2FBB">
      <w:pPr>
        <w:spacing w:line="276" w:lineRule="auto"/>
      </w:pPr>
      <w:r>
        <w:t>Sulfur is currently permitted t</w:t>
      </w:r>
      <w:r w:rsidR="00D31C85">
        <w:t>o</w:t>
      </w:r>
      <w:r>
        <w:t xml:space="preserve"> the level of 150 ppm in regular unleaded petrol </w:t>
      </w:r>
      <w:r w:rsidR="00180215">
        <w:t xml:space="preserve">(91 RON) </w:t>
      </w:r>
      <w:r>
        <w:t>and 50 ppm in premium unleaded petrol</w:t>
      </w:r>
      <w:r w:rsidR="00180215">
        <w:t xml:space="preserve"> (9</w:t>
      </w:r>
      <w:r w:rsidR="00FC5606">
        <w:t>5</w:t>
      </w:r>
      <w:r w:rsidR="00180215">
        <w:t xml:space="preserve"> and 98 RON)</w:t>
      </w:r>
      <w:r>
        <w:t xml:space="preserve">. At </w:t>
      </w:r>
      <w:r w:rsidR="00912C35">
        <w:t xml:space="preserve">high </w:t>
      </w:r>
      <w:r>
        <w:t xml:space="preserve">levels, there is a risk of sulfur contaminating vehicles’ catalytic converters (catalysts), limiting their ability to convert noxious emissions into less harmful substances. </w:t>
      </w:r>
    </w:p>
    <w:p w14:paraId="354B5883" w14:textId="562C2C14" w:rsidR="005C1AF7" w:rsidRDefault="007E21B3" w:rsidP="006A2FBB">
      <w:pPr>
        <w:spacing w:line="276" w:lineRule="auto"/>
      </w:pPr>
      <w:r>
        <w:t>International</w:t>
      </w:r>
      <w:r w:rsidR="00F54AEE">
        <w:t xml:space="preserve"> vehicle manufacturers </w:t>
      </w:r>
      <w:r w:rsidR="006B19D7">
        <w:t>design</w:t>
      </w:r>
      <w:r>
        <w:t xml:space="preserve"> their modern</w:t>
      </w:r>
      <w:r w:rsidR="00F54AEE">
        <w:t xml:space="preserve"> vehicles to meet the more stringent fuel efficiency and emission standards adopted by our trading partners. These vehicles are designed to perform optimally on</w:t>
      </w:r>
      <w:r w:rsidR="006B19D7">
        <w:t xml:space="preserve"> </w:t>
      </w:r>
      <w:r w:rsidR="00B872FA">
        <w:t xml:space="preserve">ultra-low </w:t>
      </w:r>
      <w:r w:rsidR="006B19D7">
        <w:t>sulfur</w:t>
      </w:r>
      <w:r w:rsidR="00B872FA">
        <w:t xml:space="preserve"> petrol</w:t>
      </w:r>
      <w:r w:rsidR="00F54AEE">
        <w:t>. Vehicle manufacturers have advised the Department of Climate Change, Energy, the Environment and Water (the department) that Australia’s fuel quality must be harmonised with best practice international</w:t>
      </w:r>
      <w:r w:rsidR="00AB1CC2">
        <w:t xml:space="preserve"> </w:t>
      </w:r>
      <w:r w:rsidR="00F54AEE">
        <w:t>fuel standards to optimise emission control system effectiveness.</w:t>
      </w:r>
      <w:r w:rsidR="00F54AEE" w:rsidRPr="001E6510">
        <w:t xml:space="preserve"> </w:t>
      </w:r>
    </w:p>
    <w:p w14:paraId="760B4FD5" w14:textId="68F01DC4" w:rsidR="00173730" w:rsidRDefault="00012296" w:rsidP="006A2FBB">
      <w:pPr>
        <w:spacing w:line="276" w:lineRule="auto"/>
      </w:pPr>
      <w:r>
        <w:t xml:space="preserve">Options B, C and F </w:t>
      </w:r>
      <w:r w:rsidR="00A435E9">
        <w:t>of the</w:t>
      </w:r>
      <w:r w:rsidR="003F14C2">
        <w:t xml:space="preserve"> 2018</w:t>
      </w:r>
      <w:r w:rsidR="00A435E9">
        <w:t xml:space="preserve"> RIS considered</w:t>
      </w:r>
      <w:r w:rsidR="005D22BD">
        <w:t xml:space="preserve"> </w:t>
      </w:r>
      <w:r w:rsidR="003F14C2">
        <w:t xml:space="preserve">introducing an ultra-low sulfur limit in petrol </w:t>
      </w:r>
      <w:r w:rsidR="005D22BD">
        <w:t>from</w:t>
      </w:r>
      <w:r>
        <w:t xml:space="preserve"> either </w:t>
      </w:r>
      <w:r w:rsidR="00A435E9">
        <w:t xml:space="preserve">2022 </w:t>
      </w:r>
      <w:r>
        <w:t>or 2027</w:t>
      </w:r>
      <w:r w:rsidR="005D22BD">
        <w:t xml:space="preserve">. </w:t>
      </w:r>
      <w:r w:rsidR="00173730">
        <w:t xml:space="preserve">Option F was </w:t>
      </w:r>
      <w:r w:rsidR="005845B6">
        <w:t>preferred</w:t>
      </w:r>
      <w:r w:rsidR="00DF3421">
        <w:t xml:space="preserve">, with the reduction of sulfur </w:t>
      </w:r>
      <w:r w:rsidR="00173730">
        <w:t xml:space="preserve">scheduled to be </w:t>
      </w:r>
      <w:r w:rsidR="00B91224">
        <w:t>implemented in 2027</w:t>
      </w:r>
      <w:r w:rsidR="00F91B5A">
        <w:t>.</w:t>
      </w:r>
      <w:r w:rsidR="000F6A47">
        <w:t xml:space="preserve"> </w:t>
      </w:r>
      <w:r w:rsidR="00757F71">
        <w:t xml:space="preserve">The </w:t>
      </w:r>
      <w:r w:rsidR="000F6A47">
        <w:t xml:space="preserve">Government </w:t>
      </w:r>
      <w:r w:rsidR="00CA1C6C">
        <w:t>concluded Option F provided</w:t>
      </w:r>
      <w:r w:rsidR="000F6A47" w:rsidRPr="000F6A47">
        <w:t xml:space="preserve"> a balanced path for improving Australia’s petrol and </w:t>
      </w:r>
      <w:r w:rsidR="00CA1C6C" w:rsidRPr="000F6A47">
        <w:t>commit</w:t>
      </w:r>
      <w:r w:rsidR="00CA1C6C">
        <w:t>ted</w:t>
      </w:r>
      <w:r w:rsidR="000F6A47" w:rsidRPr="000F6A47">
        <w:t xml:space="preserve"> to ongoing consultation with industry </w:t>
      </w:r>
      <w:r w:rsidR="00CA1C6C">
        <w:t xml:space="preserve">on possible further fuel quality improvements. </w:t>
      </w:r>
    </w:p>
    <w:p w14:paraId="44B4C30B" w14:textId="3E0EDAAF" w:rsidR="00791F55" w:rsidRDefault="00173730" w:rsidP="006A2FBB">
      <w:pPr>
        <w:spacing w:line="276" w:lineRule="auto"/>
      </w:pPr>
      <w:r>
        <w:t>After the publication of the RIS,</w:t>
      </w:r>
      <w:r w:rsidR="00DF3421">
        <w:t xml:space="preserve"> </w:t>
      </w:r>
      <w:r>
        <w:t>t</w:t>
      </w:r>
      <w:r w:rsidR="005D22BD">
        <w:t>h</w:t>
      </w:r>
      <w:r w:rsidR="00CA1C6C">
        <w:t>e ultra-low sulfur petrol limit</w:t>
      </w:r>
      <w:r w:rsidR="005D22BD">
        <w:t xml:space="preserve"> was </w:t>
      </w:r>
      <w:r w:rsidR="00B91224">
        <w:t>legislated</w:t>
      </w:r>
      <w:r w:rsidR="00CA1C6C">
        <w:t xml:space="preserve"> for 2027</w:t>
      </w:r>
      <w:r w:rsidR="00B91224">
        <w:t xml:space="preserve"> </w:t>
      </w:r>
      <w:r w:rsidR="00706773">
        <w:t>through th</w:t>
      </w:r>
      <w:r w:rsidR="006C5712">
        <w:t xml:space="preserve">e </w:t>
      </w:r>
      <w:r w:rsidR="006E2A89">
        <w:t>petrol standard</w:t>
      </w:r>
      <w:r w:rsidR="00CA1C6C">
        <w:t>.</w:t>
      </w:r>
    </w:p>
    <w:p w14:paraId="19C2EB5E" w14:textId="228AD6ED" w:rsidR="00125610" w:rsidRDefault="00B07B0F" w:rsidP="006A2FBB">
      <w:pPr>
        <w:pStyle w:val="Heading2"/>
        <w:spacing w:line="276" w:lineRule="auto"/>
      </w:pPr>
      <w:r>
        <w:t>U</w:t>
      </w:r>
      <w:r w:rsidR="00D91909">
        <w:t xml:space="preserve">ltra-low sulfur </w:t>
      </w:r>
      <w:r w:rsidR="00855770">
        <w:t>implementation</w:t>
      </w:r>
    </w:p>
    <w:p w14:paraId="6291EF7A" w14:textId="0ABF3353" w:rsidR="009D0F37" w:rsidRPr="006E2A89" w:rsidRDefault="0071645F" w:rsidP="006A2FBB">
      <w:pPr>
        <w:spacing w:line="276" w:lineRule="auto"/>
      </w:pPr>
      <w:r w:rsidRPr="2882F7C8">
        <w:rPr>
          <w:rFonts w:cstheme="majorBidi"/>
        </w:rPr>
        <w:t>In July 2022, the</w:t>
      </w:r>
      <w:r w:rsidR="006E2A89" w:rsidRPr="2882F7C8">
        <w:rPr>
          <w:rFonts w:cstheme="majorBidi"/>
        </w:rPr>
        <w:t xml:space="preserve"> Minister for Climate </w:t>
      </w:r>
      <w:r w:rsidR="00842048" w:rsidRPr="2882F7C8">
        <w:rPr>
          <w:rFonts w:cstheme="majorBidi"/>
        </w:rPr>
        <w:t xml:space="preserve">Change </w:t>
      </w:r>
      <w:r w:rsidR="006E2A89" w:rsidRPr="2882F7C8">
        <w:rPr>
          <w:rFonts w:cstheme="majorBidi"/>
        </w:rPr>
        <w:t>and Energy</w:t>
      </w:r>
      <w:r w:rsidR="006E7759" w:rsidRPr="2882F7C8">
        <w:rPr>
          <w:rFonts w:cstheme="majorBidi"/>
        </w:rPr>
        <w:t xml:space="preserve">, the Hon Chris Bowen MP, </w:t>
      </w:r>
      <w:r w:rsidR="006E2A89" w:rsidRPr="2882F7C8">
        <w:rPr>
          <w:rFonts w:cstheme="majorBidi"/>
        </w:rPr>
        <w:t xml:space="preserve">amended the petrol standard to </w:t>
      </w:r>
      <w:r w:rsidRPr="2882F7C8">
        <w:rPr>
          <w:rFonts w:cstheme="majorBidi"/>
        </w:rPr>
        <w:t>br</w:t>
      </w:r>
      <w:r w:rsidR="006E2A89" w:rsidRPr="2882F7C8">
        <w:rPr>
          <w:rFonts w:cstheme="majorBidi"/>
        </w:rPr>
        <w:t>ing</w:t>
      </w:r>
      <w:r w:rsidRPr="2882F7C8">
        <w:rPr>
          <w:rFonts w:cstheme="majorBidi"/>
        </w:rPr>
        <w:t xml:space="preserve"> forward </w:t>
      </w:r>
      <w:r w:rsidR="00855770" w:rsidRPr="2882F7C8">
        <w:rPr>
          <w:rFonts w:cstheme="majorBidi"/>
        </w:rPr>
        <w:t>the ultra-low sulfur petrol limit</w:t>
      </w:r>
      <w:r w:rsidRPr="2882F7C8">
        <w:rPr>
          <w:rFonts w:cstheme="majorBidi"/>
        </w:rPr>
        <w:t xml:space="preserve"> from 2027 to </w:t>
      </w:r>
      <w:r w:rsidR="000C3CA9" w:rsidRPr="2882F7C8">
        <w:rPr>
          <w:rFonts w:cstheme="majorBidi"/>
        </w:rPr>
        <w:t xml:space="preserve">15 December </w:t>
      </w:r>
      <w:r w:rsidRPr="2882F7C8">
        <w:rPr>
          <w:rFonts w:cstheme="majorBidi"/>
        </w:rPr>
        <w:t>2024</w:t>
      </w:r>
      <w:r w:rsidR="00EE2575" w:rsidRPr="2882F7C8">
        <w:rPr>
          <w:rFonts w:cstheme="majorBidi"/>
        </w:rPr>
        <w:t>,</w:t>
      </w:r>
      <w:r w:rsidR="00F9142F">
        <w:t xml:space="preserve"> reduc</w:t>
      </w:r>
      <w:r w:rsidR="00EE2575">
        <w:t>ing</w:t>
      </w:r>
      <w:r w:rsidR="00F9142F">
        <w:t xml:space="preserve"> health costs for the Australian community and align</w:t>
      </w:r>
      <w:r w:rsidR="00EE2575">
        <w:t>ing</w:t>
      </w:r>
      <w:r w:rsidR="00F9142F">
        <w:t xml:space="preserve"> Australia’s petrol standard with international best practice earlier. </w:t>
      </w:r>
      <w:r w:rsidR="00B53EB1">
        <w:t>I</w:t>
      </w:r>
      <w:r w:rsidR="116E91CC">
        <w:t xml:space="preserve">ndustry supported the change, </w:t>
      </w:r>
      <w:r w:rsidR="00921C19">
        <w:t>but</w:t>
      </w:r>
      <w:r w:rsidR="116E91CC">
        <w:t xml:space="preserve"> both </w:t>
      </w:r>
      <w:r w:rsidR="00F9142F">
        <w:t>industry and Government acknowle</w:t>
      </w:r>
      <w:r w:rsidR="00921C19">
        <w:t>dged</w:t>
      </w:r>
      <w:r w:rsidR="00F9142F">
        <w:t xml:space="preserve"> the timeline to complete the upgrades was ambitious</w:t>
      </w:r>
      <w:r w:rsidR="00DD2E64">
        <w:t>.</w:t>
      </w:r>
    </w:p>
    <w:p w14:paraId="34004CFB" w14:textId="7FE597BC" w:rsidR="00387142" w:rsidRDefault="00387142">
      <w:pPr>
        <w:pStyle w:val="Heading1"/>
        <w:spacing w:line="276" w:lineRule="auto"/>
      </w:pPr>
      <w:r>
        <w:t>What is changing</w:t>
      </w:r>
      <w:r w:rsidR="00020E17">
        <w:t>?</w:t>
      </w:r>
    </w:p>
    <w:p w14:paraId="709E67A5" w14:textId="69AE0621" w:rsidR="009D0F37" w:rsidRDefault="0065786B" w:rsidP="006A2FBB">
      <w:pPr>
        <w:spacing w:line="276" w:lineRule="auto"/>
        <w:rPr>
          <w:rFonts w:cstheme="majorBidi"/>
        </w:rPr>
      </w:pPr>
      <w:r>
        <w:rPr>
          <w:rFonts w:cstheme="majorBidi"/>
        </w:rPr>
        <w:t xml:space="preserve">The </w:t>
      </w:r>
      <w:r w:rsidR="00FC42DC" w:rsidRPr="5A07E6B7">
        <w:rPr>
          <w:rFonts w:cstheme="majorBidi"/>
        </w:rPr>
        <w:t>Government is adjusting the implementation date for ultra-low sulfur petrol by</w:t>
      </w:r>
      <w:r w:rsidR="009D0F37" w:rsidRPr="5A07E6B7">
        <w:rPr>
          <w:rFonts w:cstheme="majorBidi"/>
        </w:rPr>
        <w:t xml:space="preserve"> 12 months from December 2024 to December 2025. This</w:t>
      </w:r>
      <w:r w:rsidR="00A60C87" w:rsidRPr="5A07E6B7">
        <w:rPr>
          <w:rFonts w:cstheme="majorBidi"/>
        </w:rPr>
        <w:t xml:space="preserve"> maintains </w:t>
      </w:r>
      <w:r w:rsidR="00A60C87" w:rsidRPr="00347E46">
        <w:rPr>
          <w:rFonts w:cstheme="majorBidi"/>
        </w:rPr>
        <w:t>the G</w:t>
      </w:r>
      <w:r w:rsidR="00A60C87" w:rsidRPr="5A07E6B7">
        <w:rPr>
          <w:rFonts w:cstheme="majorBidi"/>
        </w:rPr>
        <w:t xml:space="preserve">overnment’s </w:t>
      </w:r>
      <w:r w:rsidR="00073E81" w:rsidRPr="5A07E6B7">
        <w:rPr>
          <w:rFonts w:cstheme="majorBidi"/>
        </w:rPr>
        <w:t>policy of</w:t>
      </w:r>
      <w:r w:rsidR="00A60C87" w:rsidRPr="5A07E6B7">
        <w:rPr>
          <w:rFonts w:cstheme="majorBidi"/>
        </w:rPr>
        <w:t xml:space="preserve"> introduc</w:t>
      </w:r>
      <w:r w:rsidR="00073E81" w:rsidRPr="5A07E6B7">
        <w:rPr>
          <w:rFonts w:cstheme="majorBidi"/>
        </w:rPr>
        <w:t xml:space="preserve">ing </w:t>
      </w:r>
      <w:r w:rsidR="00A60C87" w:rsidRPr="5A07E6B7">
        <w:rPr>
          <w:rFonts w:cstheme="majorBidi"/>
        </w:rPr>
        <w:t xml:space="preserve">ultra-low sulfur petrol </w:t>
      </w:r>
      <w:r w:rsidR="006460C1" w:rsidRPr="5A07E6B7">
        <w:rPr>
          <w:rFonts w:cstheme="majorBidi"/>
        </w:rPr>
        <w:t>as soon as possible</w:t>
      </w:r>
      <w:r w:rsidR="00921C19">
        <w:rPr>
          <w:rFonts w:cstheme="majorBidi"/>
        </w:rPr>
        <w:t>,</w:t>
      </w:r>
      <w:r w:rsidR="00A60C87" w:rsidRPr="5A07E6B7">
        <w:rPr>
          <w:rFonts w:cstheme="majorBidi"/>
        </w:rPr>
        <w:t xml:space="preserve"> while </w:t>
      </w:r>
      <w:r w:rsidR="0041599A">
        <w:rPr>
          <w:rFonts w:cstheme="majorBidi"/>
        </w:rPr>
        <w:t>ensuring</w:t>
      </w:r>
      <w:r w:rsidR="0094384C" w:rsidRPr="5A07E6B7">
        <w:rPr>
          <w:rFonts w:cstheme="majorBidi"/>
        </w:rPr>
        <w:t xml:space="preserve"> Australia’s fuel security</w:t>
      </w:r>
      <w:r w:rsidR="00921C19">
        <w:rPr>
          <w:rFonts w:cstheme="majorBidi"/>
        </w:rPr>
        <w:t>,</w:t>
      </w:r>
      <w:r w:rsidR="0094384C" w:rsidRPr="5A07E6B7">
        <w:rPr>
          <w:rFonts w:cstheme="majorBidi"/>
        </w:rPr>
        <w:t xml:space="preserve"> and </w:t>
      </w:r>
      <w:r w:rsidR="00A60C87" w:rsidRPr="5A07E6B7">
        <w:rPr>
          <w:rFonts w:cstheme="majorBidi"/>
        </w:rPr>
        <w:t>responding</w:t>
      </w:r>
      <w:r w:rsidR="009D0F37" w:rsidRPr="5A07E6B7">
        <w:rPr>
          <w:rFonts w:cstheme="majorBidi"/>
        </w:rPr>
        <w:t xml:space="preserve"> flexibly to the obstacles the </w:t>
      </w:r>
      <w:r w:rsidR="006460C1" w:rsidRPr="5A07E6B7">
        <w:rPr>
          <w:rFonts w:cstheme="majorBidi"/>
        </w:rPr>
        <w:t>fuel</w:t>
      </w:r>
      <w:r w:rsidR="008F5159" w:rsidRPr="5A07E6B7">
        <w:rPr>
          <w:rFonts w:cstheme="majorBidi"/>
        </w:rPr>
        <w:t xml:space="preserve"> industry</w:t>
      </w:r>
      <w:r w:rsidR="009D0F37" w:rsidRPr="5A07E6B7">
        <w:rPr>
          <w:rFonts w:cstheme="majorBidi"/>
        </w:rPr>
        <w:t xml:space="preserve"> is facing in completing their infrastructure upgrades.</w:t>
      </w:r>
    </w:p>
    <w:p w14:paraId="07FB14AA" w14:textId="37C5C92E" w:rsidR="009D0F37" w:rsidRPr="00F756A8" w:rsidRDefault="009D0F37" w:rsidP="006A2FBB">
      <w:pPr>
        <w:pStyle w:val="Heading2"/>
      </w:pPr>
      <w:r>
        <w:t xml:space="preserve">Rationale </w:t>
      </w:r>
    </w:p>
    <w:p w14:paraId="19D5E3AF" w14:textId="55D4D03F" w:rsidR="006F2809" w:rsidRPr="00A411A7" w:rsidRDefault="00F02C93" w:rsidP="00FA6545">
      <w:pPr>
        <w:spacing w:line="276" w:lineRule="auto"/>
      </w:pPr>
      <w:r w:rsidRPr="232BE6E1">
        <w:rPr>
          <w:rFonts w:cstheme="majorBidi"/>
        </w:rPr>
        <w:t>Unavoidable</w:t>
      </w:r>
      <w:r w:rsidR="009D0F37" w:rsidRPr="232BE6E1">
        <w:rPr>
          <w:rFonts w:cstheme="majorBidi"/>
        </w:rPr>
        <w:t xml:space="preserve"> disruptions in global supply chains</w:t>
      </w:r>
      <w:r w:rsidR="00042421" w:rsidRPr="232BE6E1">
        <w:rPr>
          <w:rFonts w:cstheme="majorBidi"/>
        </w:rPr>
        <w:t xml:space="preserve"> are impacting completion timeframes </w:t>
      </w:r>
      <w:r w:rsidR="007A4054" w:rsidRPr="232BE6E1">
        <w:rPr>
          <w:rFonts w:cstheme="majorBidi"/>
        </w:rPr>
        <w:t>f</w:t>
      </w:r>
      <w:r w:rsidR="00F53AD2" w:rsidRPr="232BE6E1">
        <w:rPr>
          <w:rFonts w:cstheme="majorBidi"/>
        </w:rPr>
        <w:t>or</w:t>
      </w:r>
      <w:r w:rsidR="007A4054" w:rsidRPr="232BE6E1">
        <w:rPr>
          <w:rFonts w:cstheme="majorBidi"/>
        </w:rPr>
        <w:t xml:space="preserve"> the Australian </w:t>
      </w:r>
      <w:r w:rsidR="007A4054" w:rsidRPr="4BBCF54C">
        <w:rPr>
          <w:rFonts w:cstheme="majorBidi"/>
        </w:rPr>
        <w:t>refineries</w:t>
      </w:r>
      <w:r w:rsidR="78F84D3B" w:rsidRPr="4BBCF54C">
        <w:rPr>
          <w:rFonts w:cstheme="majorBidi"/>
        </w:rPr>
        <w:t>’</w:t>
      </w:r>
      <w:r w:rsidR="00042421" w:rsidRPr="232BE6E1">
        <w:rPr>
          <w:rFonts w:cstheme="majorBidi"/>
        </w:rPr>
        <w:t xml:space="preserve"> infrastructure upgrades works to produce ultra</w:t>
      </w:r>
      <w:r w:rsidR="00EC1FA1">
        <w:rPr>
          <w:rFonts w:cstheme="majorHAnsi"/>
        </w:rPr>
        <w:noBreakHyphen/>
      </w:r>
      <w:r w:rsidR="00042421" w:rsidRPr="232BE6E1">
        <w:rPr>
          <w:rFonts w:cstheme="majorBidi"/>
        </w:rPr>
        <w:t>low sulfur petrol.</w:t>
      </w:r>
      <w:r w:rsidR="00EC1FA1" w:rsidRPr="232BE6E1">
        <w:rPr>
          <w:rStyle w:val="FootnoteReference"/>
          <w:rFonts w:cstheme="majorBidi"/>
        </w:rPr>
        <w:footnoteReference w:id="3"/>
      </w:r>
      <w:r w:rsidR="00EC1FA1" w:rsidRPr="232BE6E1">
        <w:rPr>
          <w:rFonts w:cstheme="majorBidi"/>
        </w:rPr>
        <w:t xml:space="preserve"> </w:t>
      </w:r>
      <w:r w:rsidR="00CB09B6" w:rsidRPr="232BE6E1">
        <w:rPr>
          <w:rFonts w:cstheme="majorBidi"/>
        </w:rPr>
        <w:t>The refineries</w:t>
      </w:r>
      <w:r w:rsidR="0099507B" w:rsidRPr="232BE6E1">
        <w:rPr>
          <w:rFonts w:cstheme="majorBidi"/>
        </w:rPr>
        <w:t xml:space="preserve"> </w:t>
      </w:r>
      <w:r w:rsidR="0099507B" w:rsidRPr="232BE6E1">
        <w:rPr>
          <w:rFonts w:cstheme="majorBidi"/>
        </w:rPr>
        <w:lastRenderedPageBreak/>
        <w:t>will be</w:t>
      </w:r>
      <w:r w:rsidR="007C5427" w:rsidRPr="232BE6E1">
        <w:rPr>
          <w:rFonts w:cstheme="majorBidi"/>
        </w:rPr>
        <w:t xml:space="preserve"> unable to supply ultra-low sulfur petrol on</w:t>
      </w:r>
      <w:r w:rsidR="002A32B1">
        <w:rPr>
          <w:rFonts w:cstheme="majorBidi"/>
        </w:rPr>
        <w:t xml:space="preserve"> </w:t>
      </w:r>
      <w:r w:rsidR="007C5427" w:rsidRPr="232BE6E1">
        <w:rPr>
          <w:rFonts w:cstheme="majorBidi"/>
        </w:rPr>
        <w:t>to the Australian market until these upgrades are complete.</w:t>
      </w:r>
      <w:r w:rsidR="00973C8C" w:rsidRPr="232BE6E1">
        <w:rPr>
          <w:rStyle w:val="FootnoteReference"/>
          <w:rFonts w:cstheme="majorBidi"/>
        </w:rPr>
        <w:footnoteReference w:id="4"/>
      </w:r>
      <w:r w:rsidR="00834B54" w:rsidRPr="232BE6E1">
        <w:rPr>
          <w:rFonts w:cstheme="majorBidi"/>
        </w:rPr>
        <w:t xml:space="preserve"> </w:t>
      </w:r>
      <w:r w:rsidR="00944832" w:rsidRPr="232BE6E1">
        <w:rPr>
          <w:rFonts w:cstheme="majorBidi"/>
        </w:rPr>
        <w:t xml:space="preserve"> </w:t>
      </w:r>
      <w:r w:rsidR="00774C01" w:rsidRPr="232BE6E1">
        <w:rPr>
          <w:rFonts w:cstheme="majorBidi"/>
        </w:rPr>
        <w:t xml:space="preserve">The planned upgrades are </w:t>
      </w:r>
      <w:r w:rsidR="00931EC0">
        <w:rPr>
          <w:rFonts w:cstheme="majorBidi"/>
        </w:rPr>
        <w:t xml:space="preserve">large and </w:t>
      </w:r>
      <w:r w:rsidR="00774C01" w:rsidRPr="232BE6E1">
        <w:rPr>
          <w:rFonts w:cstheme="majorBidi"/>
        </w:rPr>
        <w:t>complex</w:t>
      </w:r>
      <w:r w:rsidR="00931EC0">
        <w:rPr>
          <w:rFonts w:cstheme="majorBidi"/>
        </w:rPr>
        <w:t>,</w:t>
      </w:r>
      <w:r w:rsidR="00BD7881" w:rsidRPr="232BE6E1">
        <w:rPr>
          <w:rFonts w:cstheme="majorBidi"/>
        </w:rPr>
        <w:t xml:space="preserve"> and </w:t>
      </w:r>
      <w:r w:rsidR="00551D3E">
        <w:t xml:space="preserve">projects </w:t>
      </w:r>
      <w:r w:rsidR="006F2809">
        <w:t xml:space="preserve">are </w:t>
      </w:r>
      <w:r w:rsidR="005D7922">
        <w:t>subject to</w:t>
      </w:r>
      <w:r w:rsidR="00E60CDD">
        <w:t xml:space="preserve"> planning </w:t>
      </w:r>
      <w:r w:rsidR="00CB4B8B">
        <w:t xml:space="preserve">and environmental </w:t>
      </w:r>
      <w:r w:rsidR="00E60CDD">
        <w:t>approval</w:t>
      </w:r>
      <w:r w:rsidR="007A1718">
        <w:t xml:space="preserve"> processes</w:t>
      </w:r>
      <w:r w:rsidR="00E60CDD">
        <w:t xml:space="preserve"> under</w:t>
      </w:r>
      <w:r w:rsidR="00570C18">
        <w:t xml:space="preserve"> </w:t>
      </w:r>
      <w:r w:rsidR="00E60CDD">
        <w:t>state legislation</w:t>
      </w:r>
      <w:r w:rsidR="006C2C2E">
        <w:t>.</w:t>
      </w:r>
    </w:p>
    <w:p w14:paraId="48AB4349" w14:textId="714C5E98" w:rsidR="0001241E" w:rsidRPr="00E77B44" w:rsidRDefault="3907E0BF" w:rsidP="00120401">
      <w:pPr>
        <w:spacing w:line="276" w:lineRule="auto"/>
        <w:rPr>
          <w:rFonts w:ascii="Arial" w:hAnsi="Arial" w:cs="Arial"/>
        </w:rPr>
      </w:pPr>
      <w:r w:rsidRPr="57220CC1">
        <w:rPr>
          <w:rFonts w:cstheme="majorBidi"/>
        </w:rPr>
        <w:t>To account for the changed circumstances, t</w:t>
      </w:r>
      <w:r w:rsidR="18331799" w:rsidRPr="57220CC1">
        <w:rPr>
          <w:rFonts w:cstheme="majorBidi"/>
        </w:rPr>
        <w:t>he</w:t>
      </w:r>
      <w:r w:rsidRPr="57220CC1">
        <w:rPr>
          <w:rFonts w:cstheme="majorBidi"/>
        </w:rPr>
        <w:t xml:space="preserve"> </w:t>
      </w:r>
      <w:r w:rsidR="10BAAB1A" w:rsidRPr="57220CC1">
        <w:rPr>
          <w:rFonts w:cstheme="majorBidi"/>
        </w:rPr>
        <w:t xml:space="preserve">Government is adjusting </w:t>
      </w:r>
      <w:r w:rsidRPr="57220CC1">
        <w:rPr>
          <w:rFonts w:cstheme="majorBidi"/>
        </w:rPr>
        <w:t xml:space="preserve">the start date by </w:t>
      </w:r>
      <w:r w:rsidR="288A9071" w:rsidRPr="57220CC1">
        <w:rPr>
          <w:rFonts w:cstheme="majorBidi"/>
        </w:rPr>
        <w:t>12 </w:t>
      </w:r>
      <w:r w:rsidRPr="57220CC1">
        <w:rPr>
          <w:rFonts w:cstheme="majorBidi"/>
        </w:rPr>
        <w:t xml:space="preserve">months to December 2025. </w:t>
      </w:r>
      <w:r w:rsidR="5BE08D40">
        <w:t xml:space="preserve">For capital and cost efficiencies, terminal </w:t>
      </w:r>
      <w:r w:rsidR="5BE08D40" w:rsidRPr="57220CC1">
        <w:rPr>
          <w:rFonts w:cstheme="majorBidi"/>
        </w:rPr>
        <w:t xml:space="preserve">infrastructure is often shared </w:t>
      </w:r>
      <w:r w:rsidR="54A62C2B" w:rsidRPr="57220CC1">
        <w:rPr>
          <w:rFonts w:cstheme="majorBidi"/>
        </w:rPr>
        <w:t>between fuel suppliers</w:t>
      </w:r>
      <w:r w:rsidR="5BE08D40" w:rsidRPr="57220CC1">
        <w:rPr>
          <w:rFonts w:cstheme="majorBidi"/>
        </w:rPr>
        <w:t>. Major petrol</w:t>
      </w:r>
      <w:r w:rsidR="351FF956" w:rsidRPr="57220CC1">
        <w:rPr>
          <w:rFonts w:cstheme="majorBidi"/>
        </w:rPr>
        <w:t>eum</w:t>
      </w:r>
      <w:r w:rsidR="5BE08D40" w:rsidRPr="57220CC1">
        <w:rPr>
          <w:rFonts w:cstheme="majorBidi"/>
        </w:rPr>
        <w:t xml:space="preserve"> marketers typically source some of their product from other oil companies and competitors seek out efficiencies through co-freighting imported product.</w:t>
      </w:r>
      <w:r w:rsidR="5BE08D40" w:rsidRPr="57220CC1">
        <w:rPr>
          <w:rFonts w:ascii="Arial" w:hAnsi="Arial" w:cs="Arial"/>
        </w:rPr>
        <w:t xml:space="preserve"> </w:t>
      </w:r>
      <w:r w:rsidR="5BE08D40">
        <w:t>Therefore, a</w:t>
      </w:r>
      <w:r>
        <w:t xml:space="preserve">n industry-wide </w:t>
      </w:r>
      <w:r w:rsidR="6A082D41">
        <w:t>adjustment</w:t>
      </w:r>
      <w:r>
        <w:t xml:space="preserve"> (for refiner</w:t>
      </w:r>
      <w:r w:rsidR="18331799">
        <w:t>ie</w:t>
      </w:r>
      <w:r>
        <w:t>s and importers) is needed to avoid market distortion and impacts to supply and fuel quality compliance.</w:t>
      </w:r>
      <w:r w:rsidR="4A0C92E4">
        <w:t xml:space="preserve"> </w:t>
      </w:r>
      <w:r w:rsidR="1FDF015A">
        <w:t xml:space="preserve">This will ensure that consumers are assured of the quality of petrol they are purchasing no matter where they choose to refuel. </w:t>
      </w:r>
    </w:p>
    <w:p w14:paraId="6EE1F7F8" w14:textId="49DC0F82" w:rsidR="00977C06" w:rsidRDefault="00570843" w:rsidP="006A2FBB">
      <w:pPr>
        <w:spacing w:line="276" w:lineRule="auto"/>
        <w:rPr>
          <w:rFonts w:cstheme="majorBidi"/>
        </w:rPr>
      </w:pPr>
      <w:r w:rsidRPr="01C29CAE">
        <w:rPr>
          <w:rFonts w:cstheme="majorBidi"/>
        </w:rPr>
        <w:t xml:space="preserve">This adjustment will align </w:t>
      </w:r>
      <w:r w:rsidRPr="00B96F9E">
        <w:rPr>
          <w:rFonts w:cstheme="majorBidi"/>
        </w:rPr>
        <w:t>with the</w:t>
      </w:r>
      <w:r w:rsidRPr="01C29CAE">
        <w:rPr>
          <w:rFonts w:cstheme="majorBidi"/>
        </w:rPr>
        <w:t xml:space="preserve"> Government’s </w:t>
      </w:r>
      <w:r w:rsidR="00C7444A" w:rsidRPr="01C29CAE">
        <w:rPr>
          <w:rFonts w:cstheme="majorBidi"/>
        </w:rPr>
        <w:t xml:space="preserve">proposed </w:t>
      </w:r>
      <w:r w:rsidRPr="01C29CAE">
        <w:rPr>
          <w:rFonts w:cstheme="majorBidi"/>
        </w:rPr>
        <w:t>reduction of the aromatics limit in 95 RON petrol and introduction of Euro 6d noxious emissions standard</w:t>
      </w:r>
      <w:r w:rsidR="00534517" w:rsidRPr="01C29CAE">
        <w:rPr>
          <w:rFonts w:cstheme="majorBidi"/>
        </w:rPr>
        <w:t>s</w:t>
      </w:r>
      <w:r w:rsidRPr="01C29CAE">
        <w:rPr>
          <w:rFonts w:cstheme="majorBidi"/>
        </w:rPr>
        <w:t xml:space="preserve"> for light vehicles </w:t>
      </w:r>
      <w:r w:rsidR="000A7B93" w:rsidRPr="01C29CAE">
        <w:rPr>
          <w:rFonts w:cstheme="majorBidi"/>
        </w:rPr>
        <w:t xml:space="preserve">on </w:t>
      </w:r>
      <w:r w:rsidRPr="01C29CAE">
        <w:rPr>
          <w:rFonts w:cstheme="majorBidi"/>
        </w:rPr>
        <w:t>15</w:t>
      </w:r>
      <w:r w:rsidR="008814B2">
        <w:t> </w:t>
      </w:r>
      <w:r w:rsidRPr="01C29CAE">
        <w:rPr>
          <w:rFonts w:cstheme="majorBidi"/>
        </w:rPr>
        <w:t>December</w:t>
      </w:r>
      <w:r w:rsidR="008814B2" w:rsidRPr="01C29CAE">
        <w:rPr>
          <w:rFonts w:cstheme="majorBidi"/>
        </w:rPr>
        <w:t> </w:t>
      </w:r>
      <w:r w:rsidRPr="01C29CAE">
        <w:rPr>
          <w:rFonts w:cstheme="majorBidi"/>
        </w:rPr>
        <w:t>2025.</w:t>
      </w:r>
      <w:r w:rsidR="002024CB" w:rsidRPr="01C29CAE">
        <w:rPr>
          <w:rStyle w:val="FootnoteReference"/>
          <w:rFonts w:cstheme="majorBidi"/>
        </w:rPr>
        <w:footnoteReference w:id="5"/>
      </w:r>
      <w:r w:rsidRPr="01C29CAE">
        <w:rPr>
          <w:rFonts w:cstheme="majorBidi"/>
        </w:rPr>
        <w:t xml:space="preserve">  </w:t>
      </w:r>
      <w:r w:rsidR="00F341DB" w:rsidRPr="01C29CAE">
        <w:rPr>
          <w:rFonts w:cstheme="majorBidi"/>
        </w:rPr>
        <w:t>Introducing</w:t>
      </w:r>
      <w:r w:rsidRPr="01C29CAE">
        <w:rPr>
          <w:rFonts w:cstheme="majorBidi"/>
        </w:rPr>
        <w:t xml:space="preserve"> all changes </w:t>
      </w:r>
      <w:r w:rsidR="00F341DB" w:rsidRPr="01C29CAE">
        <w:rPr>
          <w:rFonts w:cstheme="majorBidi"/>
        </w:rPr>
        <w:t>at the same time</w:t>
      </w:r>
      <w:r w:rsidRPr="01C29CAE">
        <w:rPr>
          <w:rFonts w:cstheme="majorBidi"/>
        </w:rPr>
        <w:t xml:space="preserve"> </w:t>
      </w:r>
      <w:r w:rsidR="00525379">
        <w:rPr>
          <w:rFonts w:cstheme="majorBidi"/>
        </w:rPr>
        <w:t>will be</w:t>
      </w:r>
      <w:r w:rsidR="00AD3304">
        <w:rPr>
          <w:rFonts w:cstheme="majorBidi"/>
        </w:rPr>
        <w:t xml:space="preserve"> </w:t>
      </w:r>
      <w:r w:rsidR="000A7B93" w:rsidRPr="01C29CAE">
        <w:rPr>
          <w:rFonts w:cstheme="majorBidi"/>
        </w:rPr>
        <w:t>simple for motorists to understand</w:t>
      </w:r>
      <w:r w:rsidRPr="01C29CAE">
        <w:rPr>
          <w:rFonts w:cstheme="majorBidi"/>
        </w:rPr>
        <w:t xml:space="preserve"> </w:t>
      </w:r>
      <w:r w:rsidR="005919B2" w:rsidRPr="01C29CAE">
        <w:rPr>
          <w:rFonts w:cstheme="majorBidi"/>
        </w:rPr>
        <w:t xml:space="preserve">and </w:t>
      </w:r>
      <w:r w:rsidR="00F341DB" w:rsidRPr="01C29CAE">
        <w:rPr>
          <w:rFonts w:cstheme="majorBidi"/>
        </w:rPr>
        <w:t>ensure</w:t>
      </w:r>
      <w:r w:rsidR="005919B2" w:rsidRPr="01C29CAE">
        <w:rPr>
          <w:rFonts w:cstheme="majorBidi"/>
        </w:rPr>
        <w:t xml:space="preserve"> a seamless transition to improved fuel quality and noxious emissions standards. </w:t>
      </w:r>
      <w:r w:rsidR="00F341DB" w:rsidRPr="01C29CAE">
        <w:rPr>
          <w:rFonts w:cstheme="majorBidi"/>
        </w:rPr>
        <w:t xml:space="preserve">It will reduce </w:t>
      </w:r>
      <w:r w:rsidR="000A7B93" w:rsidRPr="01C29CAE">
        <w:rPr>
          <w:rFonts w:cstheme="majorBidi"/>
        </w:rPr>
        <w:t xml:space="preserve">costs and </w:t>
      </w:r>
      <w:r w:rsidR="00F341DB" w:rsidRPr="01C29CAE">
        <w:rPr>
          <w:rFonts w:cstheme="majorBidi"/>
        </w:rPr>
        <w:t>regu</w:t>
      </w:r>
      <w:r w:rsidR="00DA2190" w:rsidRPr="01C29CAE">
        <w:rPr>
          <w:rFonts w:cstheme="majorBidi"/>
        </w:rPr>
        <w:t>latory burden</w:t>
      </w:r>
      <w:r w:rsidR="000A7B93" w:rsidRPr="01C29CAE">
        <w:rPr>
          <w:rFonts w:cstheme="majorBidi"/>
        </w:rPr>
        <w:t>,</w:t>
      </w:r>
      <w:r w:rsidR="008F7CB4" w:rsidRPr="01C29CAE">
        <w:rPr>
          <w:rFonts w:cstheme="majorBidi"/>
        </w:rPr>
        <w:t xml:space="preserve"> as fuel suppliers will only need </w:t>
      </w:r>
      <w:r w:rsidR="000A7B93" w:rsidRPr="01C29CAE">
        <w:rPr>
          <w:rFonts w:cstheme="majorBidi"/>
        </w:rPr>
        <w:t>one</w:t>
      </w:r>
      <w:r w:rsidR="008F7CB4" w:rsidRPr="01C29CAE">
        <w:rPr>
          <w:rFonts w:cstheme="majorBidi"/>
        </w:rPr>
        <w:t xml:space="preserve"> flush out</w:t>
      </w:r>
      <w:r w:rsidR="000A7B93" w:rsidRPr="01C29CAE">
        <w:rPr>
          <w:rFonts w:cstheme="majorBidi"/>
        </w:rPr>
        <w:t xml:space="preserve"> of</w:t>
      </w:r>
      <w:r w:rsidR="008F7CB4" w:rsidRPr="01C29CAE">
        <w:rPr>
          <w:rFonts w:cstheme="majorBidi"/>
        </w:rPr>
        <w:t xml:space="preserve"> their petrol supply chain. </w:t>
      </w:r>
    </w:p>
    <w:p w14:paraId="6B1E7D2C" w14:textId="0C6D0DA1" w:rsidR="00CF790F" w:rsidRDefault="00CF790F" w:rsidP="006A2FBB">
      <w:pPr>
        <w:pStyle w:val="Heading1"/>
      </w:pPr>
      <w:r>
        <w:t>Consultation</w:t>
      </w:r>
    </w:p>
    <w:p w14:paraId="713F2FF6" w14:textId="7E197609" w:rsidR="004F6CB0" w:rsidRDefault="00CF790F" w:rsidP="001C1117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>There has been longstanding and continu</w:t>
      </w:r>
      <w:r w:rsidR="003609AD">
        <w:rPr>
          <w:rStyle w:val="normaltextrun"/>
          <w:rFonts w:asciiTheme="minorHAnsi" w:hAnsiTheme="minorHAnsi" w:cstheme="minorHAnsi"/>
          <w:sz w:val="22"/>
          <w:szCs w:val="22"/>
        </w:rPr>
        <w:t>al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consultation with stakeholders regarding the sulfur level in Australian petrol. </w:t>
      </w:r>
      <w:r w:rsidRPr="006A2F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17C236" w14:textId="31D234C7" w:rsidR="004F6CB0" w:rsidRDefault="00CF790F" w:rsidP="001C111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ind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In 2023, the refineries </w:t>
      </w:r>
      <w:r w:rsidR="00D91007">
        <w:rPr>
          <w:rStyle w:val="normaltextrun"/>
          <w:rFonts w:asciiTheme="minorHAnsi" w:hAnsiTheme="minorHAnsi" w:cstheme="minorHAnsi"/>
          <w:sz w:val="22"/>
          <w:szCs w:val="22"/>
        </w:rPr>
        <w:t>have stated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they are facing </w:t>
      </w:r>
      <w:r w:rsidR="001553F6">
        <w:rPr>
          <w:rStyle w:val="normaltextrun"/>
          <w:rFonts w:asciiTheme="minorHAnsi" w:hAnsiTheme="minorHAnsi" w:cstheme="minorHAnsi"/>
          <w:sz w:val="22"/>
          <w:szCs w:val="22"/>
        </w:rPr>
        <w:t xml:space="preserve">potential 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>unforeseen delays to capital works projects ne</w:t>
      </w:r>
      <w:r w:rsidR="00F274AF">
        <w:rPr>
          <w:rStyle w:val="normaltextrun"/>
          <w:rFonts w:asciiTheme="minorHAnsi" w:hAnsiTheme="minorHAnsi" w:cstheme="minorHAnsi"/>
          <w:sz w:val="22"/>
          <w:szCs w:val="22"/>
        </w:rPr>
        <w:t>eded to produce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ultra</w:t>
      </w:r>
      <w:r w:rsidR="00F274AF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>low sulfur petrol</w:t>
      </w:r>
      <w:r w:rsidR="00991914">
        <w:rPr>
          <w:rStyle w:val="normaltextrun"/>
          <w:rFonts w:asciiTheme="minorHAnsi" w:hAnsiTheme="minorHAnsi" w:cstheme="minorHAnsi"/>
          <w:sz w:val="22"/>
          <w:szCs w:val="22"/>
        </w:rPr>
        <w:t xml:space="preserve"> with one refinery confirming delays into 2025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>. The department has engaged extensively with the fuel industry (refineries and importers) to understand the impact of this problem on fuel security and the fuel supply chain. </w:t>
      </w:r>
      <w:r w:rsidRPr="006A2F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FDC7EA" w14:textId="59B06020" w:rsidR="00DA2971" w:rsidRPr="00DA2971" w:rsidRDefault="00DA2971" w:rsidP="001C1117">
      <w:pPr>
        <w:pStyle w:val="paragraph"/>
        <w:numPr>
          <w:ilvl w:val="1"/>
          <w:numId w:val="11"/>
        </w:numPr>
        <w:spacing w:before="0" w:beforeAutospacing="0" w:after="120" w:afterAutospacing="0" w:line="276" w:lineRule="auto"/>
        <w:ind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The broader fuel industry </w:t>
      </w:r>
      <w:r w:rsidR="005D699C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supportive of the </w:t>
      </w:r>
      <w:r w:rsidR="00E3030D">
        <w:rPr>
          <w:rStyle w:val="normaltextrun"/>
          <w:rFonts w:asciiTheme="minorHAnsi" w:hAnsiTheme="minorHAnsi" w:cstheme="minorHAnsi"/>
          <w:sz w:val="22"/>
          <w:szCs w:val="22"/>
        </w:rPr>
        <w:t>adjustment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to commencement noting that no real alternative options exist and the change would not adversely affect them.  </w:t>
      </w:r>
      <w:r w:rsidRPr="006A2FB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87497F" w14:textId="5E64859D" w:rsidR="001049EC" w:rsidRPr="006A2FBB" w:rsidRDefault="00CF790F" w:rsidP="001C111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ind w:hanging="357"/>
        <w:textAlignment w:val="baseline"/>
        <w:rPr>
          <w:rStyle w:val="normaltextrun"/>
          <w:rFonts w:cstheme="minorHAnsi"/>
        </w:rPr>
      </w:pP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At the time the decision was made to bring the implementation date forward to 2024, there was unanimous support from industry (both the </w:t>
      </w:r>
      <w:r w:rsidR="00CB6F48">
        <w:rPr>
          <w:rStyle w:val="normaltextrun"/>
          <w:rFonts w:asciiTheme="minorHAnsi" w:hAnsiTheme="minorHAnsi" w:cstheme="minorHAnsi"/>
          <w:sz w:val="22"/>
          <w:szCs w:val="22"/>
        </w:rPr>
        <w:t>fuel</w:t>
      </w:r>
      <w:r w:rsidR="00CB6F48"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r w:rsidR="00CB6F48">
        <w:rPr>
          <w:rStyle w:val="normaltextrun"/>
          <w:rFonts w:asciiTheme="minorHAnsi" w:hAnsiTheme="minorHAnsi" w:cstheme="minorHAnsi"/>
          <w:sz w:val="22"/>
          <w:szCs w:val="22"/>
        </w:rPr>
        <w:t xml:space="preserve">vehicle </w:t>
      </w:r>
      <w:r w:rsidR="000473E8">
        <w:rPr>
          <w:rStyle w:val="normaltextrun"/>
          <w:rFonts w:asciiTheme="minorHAnsi" w:hAnsiTheme="minorHAnsi" w:cstheme="minorHAnsi"/>
          <w:sz w:val="22"/>
          <w:szCs w:val="22"/>
        </w:rPr>
        <w:t>industries</w:t>
      </w:r>
      <w:r w:rsidRPr="006A2FBB">
        <w:rPr>
          <w:rStyle w:val="normaltextrun"/>
          <w:rFonts w:asciiTheme="minorHAnsi" w:hAnsiTheme="minorHAnsi" w:cstheme="minorHAnsi"/>
          <w:sz w:val="22"/>
          <w:szCs w:val="22"/>
        </w:rPr>
        <w:t>). The Federal Chamber of Automotive Industries endorsed the changes, stating that the sulfur reduction was a ‘very important step’ towards the regulation of Australian fuels in line with advanced global automotive markets. </w:t>
      </w:r>
    </w:p>
    <w:p w14:paraId="5B934B51" w14:textId="50F9D6ED" w:rsidR="00CF790F" w:rsidRPr="006A2FBB" w:rsidRDefault="001049EC" w:rsidP="001C111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ind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40356F">
        <w:rPr>
          <w:rStyle w:val="normaltextrun"/>
          <w:rFonts w:asciiTheme="minorHAnsi" w:hAnsiTheme="minorHAnsi" w:cstheme="minorHAnsi"/>
          <w:sz w:val="22"/>
          <w:szCs w:val="22"/>
        </w:rPr>
        <w:t>Extensive consultation in 2016</w:t>
      </w:r>
      <w:r w:rsidR="00B835F8">
        <w:rPr>
          <w:rStyle w:val="normaltextrun"/>
          <w:rFonts w:asciiTheme="minorHAnsi" w:hAnsiTheme="minorHAnsi" w:cstheme="minorHAnsi"/>
          <w:sz w:val="22"/>
          <w:szCs w:val="22"/>
        </w:rPr>
        <w:t>–</w:t>
      </w:r>
      <w:r w:rsidRPr="0040356F">
        <w:rPr>
          <w:rStyle w:val="normaltextrun"/>
          <w:rFonts w:asciiTheme="minorHAnsi" w:hAnsiTheme="minorHAnsi" w:cstheme="minorHAnsi"/>
          <w:sz w:val="22"/>
          <w:szCs w:val="22"/>
        </w:rPr>
        <w:t>2018 with the fuel, vehicle, and community health sectors</w:t>
      </w:r>
      <w:r w:rsidR="00F774CC">
        <w:rPr>
          <w:rStyle w:val="normaltextrun"/>
          <w:rFonts w:asciiTheme="minorHAnsi" w:hAnsiTheme="minorHAnsi" w:cstheme="minorHAnsi"/>
          <w:sz w:val="22"/>
          <w:szCs w:val="22"/>
        </w:rPr>
        <w:t xml:space="preserve"> informed the development of the 2018 RIS.</w:t>
      </w:r>
    </w:p>
    <w:p w14:paraId="49EAED2F" w14:textId="6135D047" w:rsidR="00D36D7A" w:rsidRDefault="009D0F37" w:rsidP="00D36D7A">
      <w:pPr>
        <w:pStyle w:val="Heading1"/>
      </w:pPr>
      <w:r w:rsidRPr="00AE4AB6">
        <w:t>Regulatory impac</w:t>
      </w:r>
      <w:r w:rsidR="00D36D7A">
        <w:t>t</w:t>
      </w:r>
    </w:p>
    <w:p w14:paraId="7FD12A65" w14:textId="27A2AF25" w:rsidR="00D36D7A" w:rsidRDefault="00BA397C" w:rsidP="00D36D7A">
      <w:pPr>
        <w:spacing w:line="276" w:lineRule="auto"/>
        <w:rPr>
          <w:rFonts w:cstheme="majorHAnsi"/>
        </w:rPr>
      </w:pPr>
      <w:r w:rsidRPr="00BA397C">
        <w:rPr>
          <w:rFonts w:cstheme="majorHAnsi"/>
        </w:rPr>
        <w:t xml:space="preserve">The </w:t>
      </w:r>
      <w:r>
        <w:rPr>
          <w:rFonts w:cstheme="majorHAnsi"/>
        </w:rPr>
        <w:t xml:space="preserve">2018 </w:t>
      </w:r>
      <w:r w:rsidRPr="00BA397C">
        <w:rPr>
          <w:rFonts w:cstheme="majorHAnsi"/>
        </w:rPr>
        <w:t>RIS quantified the net benefit and regulatory burden for a range of implementation dates between 2022 and 2027, and all dates tested within this range in the cost-benefit analysis</w:t>
      </w:r>
      <w:r w:rsidR="007168B0">
        <w:rPr>
          <w:rFonts w:cstheme="majorHAnsi"/>
        </w:rPr>
        <w:t xml:space="preserve"> </w:t>
      </w:r>
      <w:r w:rsidRPr="00BA397C">
        <w:rPr>
          <w:rFonts w:cstheme="majorHAnsi"/>
        </w:rPr>
        <w:t xml:space="preserve">(CBA) </w:t>
      </w:r>
      <w:r w:rsidRPr="00BA397C">
        <w:rPr>
          <w:rFonts w:cstheme="majorHAnsi"/>
        </w:rPr>
        <w:lastRenderedPageBreak/>
        <w:t>yielded a positive net present value</w:t>
      </w:r>
      <w:r w:rsidR="000240B3">
        <w:rPr>
          <w:rFonts w:cstheme="majorHAnsi"/>
        </w:rPr>
        <w:t xml:space="preserve"> (NPV). A 2025 implementation provided a NPV of $428.7 million</w:t>
      </w:r>
      <w:r w:rsidR="003C2216">
        <w:rPr>
          <w:rStyle w:val="FootnoteReference"/>
          <w:rFonts w:cstheme="majorHAnsi"/>
        </w:rPr>
        <w:footnoteReference w:id="6"/>
      </w:r>
      <w:r w:rsidR="003C2216" w:rsidRPr="00BA397C">
        <w:rPr>
          <w:rFonts w:cstheme="majorHAnsi"/>
        </w:rPr>
        <w:t xml:space="preserve"> </w:t>
      </w:r>
      <w:r w:rsidR="000240B3">
        <w:rPr>
          <w:rFonts w:cstheme="majorHAnsi"/>
        </w:rPr>
        <w:t xml:space="preserve"> to 2040</w:t>
      </w:r>
      <w:r w:rsidRPr="00BA397C">
        <w:rPr>
          <w:rFonts w:cstheme="majorHAnsi"/>
        </w:rPr>
        <w:t>.</w:t>
      </w:r>
      <w:r w:rsidR="003D50FF">
        <w:rPr>
          <w:rStyle w:val="FootnoteReference"/>
          <w:rFonts w:cstheme="majorHAnsi"/>
        </w:rPr>
        <w:footnoteReference w:id="7"/>
      </w:r>
      <w:r w:rsidRPr="00BA397C">
        <w:rPr>
          <w:rFonts w:cstheme="majorHAnsi"/>
        </w:rPr>
        <w:t xml:space="preserve"> As such, no additional quantitative analysis was prepared as part of this addendum. </w:t>
      </w:r>
      <w:r w:rsidR="00D36D7A" w:rsidRPr="00F45C49">
        <w:rPr>
          <w:rFonts w:cstheme="majorHAnsi"/>
        </w:rPr>
        <w:t>Th</w:t>
      </w:r>
      <w:r w:rsidR="007168B0">
        <w:rPr>
          <w:rFonts w:cstheme="majorHAnsi"/>
        </w:rPr>
        <w:t>e</w:t>
      </w:r>
      <w:r w:rsidR="00F71878">
        <w:rPr>
          <w:rFonts w:cstheme="majorHAnsi"/>
        </w:rPr>
        <w:t xml:space="preserve"> </w:t>
      </w:r>
      <w:r w:rsidR="007168B0">
        <w:rPr>
          <w:rFonts w:cstheme="majorHAnsi"/>
        </w:rPr>
        <w:t>CBA</w:t>
      </w:r>
      <w:r w:rsidR="00F71878">
        <w:rPr>
          <w:rFonts w:cstheme="majorHAnsi"/>
        </w:rPr>
        <w:t xml:space="preserve"> </w:t>
      </w:r>
      <w:r w:rsidR="00F53D9D">
        <w:rPr>
          <w:rFonts w:cstheme="majorHAnsi"/>
        </w:rPr>
        <w:t xml:space="preserve">in the 2018 RIS </w:t>
      </w:r>
      <w:r w:rsidR="00D36D7A" w:rsidRPr="00F45C49">
        <w:rPr>
          <w:rFonts w:cstheme="majorHAnsi"/>
        </w:rPr>
        <w:t>remains accurate</w:t>
      </w:r>
      <w:r w:rsidR="00F71878">
        <w:rPr>
          <w:rFonts w:cstheme="majorHAnsi"/>
        </w:rPr>
        <w:t>.</w:t>
      </w:r>
    </w:p>
    <w:p w14:paraId="16546CEA" w14:textId="77777777" w:rsidR="00D36D7A" w:rsidRDefault="00D36D7A" w:rsidP="00D36D7A">
      <w:pPr>
        <w:pStyle w:val="Heading2"/>
        <w:spacing w:line="276" w:lineRule="auto"/>
      </w:pPr>
      <w:r>
        <w:t>Other impacts</w:t>
      </w:r>
    </w:p>
    <w:p w14:paraId="3FE3092D" w14:textId="56F5E12B" w:rsidR="00D36D7A" w:rsidRPr="008D2DDC" w:rsidRDefault="00D36D7A" w:rsidP="00D36D7A">
      <w:pPr>
        <w:pStyle w:val="TBLText"/>
        <w:spacing w:line="276" w:lineRule="auto"/>
        <w:rPr>
          <w:sz w:val="22"/>
          <w:szCs w:val="22"/>
        </w:rPr>
      </w:pPr>
      <w:r w:rsidRPr="008D2DDC">
        <w:rPr>
          <w:sz w:val="22"/>
          <w:szCs w:val="22"/>
        </w:rPr>
        <w:t>The adjustment to implementation will have minor impacts</w:t>
      </w:r>
      <w:r w:rsidR="0043267E">
        <w:rPr>
          <w:sz w:val="22"/>
          <w:szCs w:val="22"/>
        </w:rPr>
        <w:t xml:space="preserve"> on the Australian community by:</w:t>
      </w:r>
    </w:p>
    <w:p w14:paraId="03E3D7B9" w14:textId="5C31DE8C" w:rsidR="00D36D7A" w:rsidRPr="008D2DDC" w:rsidRDefault="00F53D9D" w:rsidP="008A3EFB">
      <w:pPr>
        <w:pStyle w:val="TBLText"/>
        <w:numPr>
          <w:ilvl w:val="0"/>
          <w:numId w:val="13"/>
        </w:numPr>
        <w:spacing w:after="120" w:line="276" w:lineRule="auto"/>
        <w:ind w:left="782" w:hanging="357"/>
        <w:rPr>
          <w:sz w:val="22"/>
          <w:szCs w:val="22"/>
        </w:rPr>
      </w:pPr>
      <w:r>
        <w:rPr>
          <w:sz w:val="22"/>
          <w:szCs w:val="22"/>
        </w:rPr>
        <w:t>delaying</w:t>
      </w:r>
      <w:r w:rsidR="00D36D7A" w:rsidRPr="008D2DDC">
        <w:rPr>
          <w:sz w:val="22"/>
          <w:szCs w:val="22"/>
        </w:rPr>
        <w:t xml:space="preserve"> costs borne by motorists due to the price increase associated with</w:t>
      </w:r>
      <w:r w:rsidR="002C1370">
        <w:rPr>
          <w:sz w:val="22"/>
          <w:szCs w:val="22"/>
        </w:rPr>
        <w:t xml:space="preserve"> ultra-low sulfur </w:t>
      </w:r>
      <w:r w:rsidR="00D36D7A" w:rsidRPr="008D2DDC">
        <w:rPr>
          <w:sz w:val="22"/>
          <w:szCs w:val="22"/>
        </w:rPr>
        <w:t>petrol (0.6</w:t>
      </w:r>
      <w:r w:rsidR="0052221D">
        <w:rPr>
          <w:rFonts w:cstheme="minorHAnsi"/>
          <w:sz w:val="22"/>
          <w:szCs w:val="22"/>
        </w:rPr>
        <w:t>–</w:t>
      </w:r>
      <w:r w:rsidR="00D36D7A" w:rsidRPr="008D2DDC">
        <w:rPr>
          <w:sz w:val="22"/>
          <w:szCs w:val="22"/>
        </w:rPr>
        <w:t>1</w:t>
      </w:r>
      <w:r w:rsidR="008631BE">
        <w:rPr>
          <w:sz w:val="22"/>
          <w:szCs w:val="22"/>
        </w:rPr>
        <w:t xml:space="preserve"> </w:t>
      </w:r>
      <w:r w:rsidR="00D36D7A" w:rsidRPr="008D2DDC">
        <w:rPr>
          <w:sz w:val="22"/>
          <w:szCs w:val="22"/>
        </w:rPr>
        <w:t>cpl price increase</w:t>
      </w:r>
      <w:r w:rsidR="008631BE">
        <w:rPr>
          <w:rStyle w:val="FootnoteReference"/>
          <w:sz w:val="22"/>
          <w:szCs w:val="22"/>
        </w:rPr>
        <w:footnoteReference w:id="8"/>
      </w:r>
      <w:r w:rsidR="00D36D7A" w:rsidRPr="008D2DDC">
        <w:rPr>
          <w:sz w:val="22"/>
          <w:szCs w:val="22"/>
        </w:rPr>
        <w:t>)</w:t>
      </w:r>
    </w:p>
    <w:p w14:paraId="4377F692" w14:textId="0496D36C" w:rsidR="005E01E9" w:rsidRDefault="009E7B81" w:rsidP="008A3EFB">
      <w:pPr>
        <w:pStyle w:val="TBLText"/>
        <w:numPr>
          <w:ilvl w:val="0"/>
          <w:numId w:val="13"/>
        </w:numPr>
        <w:spacing w:after="120" w:line="276" w:lineRule="auto"/>
        <w:ind w:left="782" w:hanging="357"/>
        <w:rPr>
          <w:sz w:val="22"/>
          <w:szCs w:val="22"/>
        </w:rPr>
      </w:pPr>
      <w:r>
        <w:rPr>
          <w:sz w:val="22"/>
          <w:szCs w:val="22"/>
        </w:rPr>
        <w:t>foregoing a small portion of the</w:t>
      </w:r>
      <w:r w:rsidR="007504F3">
        <w:rPr>
          <w:sz w:val="22"/>
          <w:szCs w:val="22"/>
        </w:rPr>
        <w:t xml:space="preserve"> </w:t>
      </w:r>
      <w:r w:rsidR="00D36D7A" w:rsidRPr="008D2DDC">
        <w:rPr>
          <w:sz w:val="22"/>
          <w:szCs w:val="22"/>
        </w:rPr>
        <w:t xml:space="preserve">health </w:t>
      </w:r>
      <w:r w:rsidR="00717407">
        <w:rPr>
          <w:sz w:val="22"/>
          <w:szCs w:val="22"/>
        </w:rPr>
        <w:t xml:space="preserve">savings </w:t>
      </w:r>
      <w:r w:rsidR="00D36D7A" w:rsidRPr="008D2DDC">
        <w:rPr>
          <w:sz w:val="22"/>
          <w:szCs w:val="22"/>
        </w:rPr>
        <w:t>associated with</w:t>
      </w:r>
      <w:r w:rsidR="0043267E">
        <w:rPr>
          <w:sz w:val="22"/>
          <w:szCs w:val="22"/>
        </w:rPr>
        <w:t xml:space="preserve"> ultra-low sulfur petrol implementation.</w:t>
      </w:r>
      <w:r w:rsidR="008635DC">
        <w:rPr>
          <w:rStyle w:val="FootnoteReference"/>
          <w:sz w:val="22"/>
          <w:szCs w:val="22"/>
        </w:rPr>
        <w:footnoteReference w:id="9"/>
      </w:r>
    </w:p>
    <w:p w14:paraId="653EEFFE" w14:textId="7F004AC8" w:rsidR="005E01E9" w:rsidRPr="006A2FBB" w:rsidRDefault="005E01E9" w:rsidP="006A2FBB">
      <w:pPr>
        <w:pStyle w:val="Heading1"/>
      </w:pPr>
      <w:r w:rsidRPr="006A2FBB">
        <w:t>Next steps</w:t>
      </w:r>
    </w:p>
    <w:p w14:paraId="3EDE4106" w14:textId="3D981D3A" w:rsidR="00AE4AB6" w:rsidRPr="006B5037" w:rsidRDefault="005E01E9" w:rsidP="006B5037">
      <w:pPr>
        <w:pStyle w:val="TBL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11180">
        <w:rPr>
          <w:sz w:val="22"/>
          <w:szCs w:val="22"/>
        </w:rPr>
        <w:t xml:space="preserve">Minister for Climate </w:t>
      </w:r>
      <w:r w:rsidR="003A0A0E">
        <w:rPr>
          <w:sz w:val="22"/>
          <w:szCs w:val="22"/>
        </w:rPr>
        <w:t xml:space="preserve">Change </w:t>
      </w:r>
      <w:r w:rsidR="00411180">
        <w:rPr>
          <w:sz w:val="22"/>
          <w:szCs w:val="22"/>
        </w:rPr>
        <w:t xml:space="preserve">and Energy </w:t>
      </w:r>
      <w:r>
        <w:rPr>
          <w:sz w:val="22"/>
          <w:szCs w:val="22"/>
        </w:rPr>
        <w:t xml:space="preserve">will </w:t>
      </w:r>
      <w:r w:rsidR="002547EA">
        <w:rPr>
          <w:sz w:val="22"/>
          <w:szCs w:val="22"/>
        </w:rPr>
        <w:t>seek to</w:t>
      </w:r>
      <w:r>
        <w:rPr>
          <w:sz w:val="22"/>
          <w:szCs w:val="22"/>
        </w:rPr>
        <w:t xml:space="preserve"> </w:t>
      </w:r>
      <w:r w:rsidR="00411180">
        <w:rPr>
          <w:sz w:val="22"/>
          <w:szCs w:val="22"/>
        </w:rPr>
        <w:t>legislate</w:t>
      </w:r>
      <w:r>
        <w:rPr>
          <w:sz w:val="22"/>
          <w:szCs w:val="22"/>
        </w:rPr>
        <w:t xml:space="preserve"> this change</w:t>
      </w:r>
      <w:r w:rsidR="009B7662">
        <w:rPr>
          <w:sz w:val="22"/>
          <w:szCs w:val="22"/>
        </w:rPr>
        <w:t xml:space="preserve"> at the same time as legislating a reduced aromatics limit in the 95 RON grade of petrol,</w:t>
      </w:r>
      <w:r>
        <w:rPr>
          <w:sz w:val="22"/>
          <w:szCs w:val="22"/>
        </w:rPr>
        <w:t xml:space="preserve"> </w:t>
      </w:r>
      <w:r w:rsidR="009B7662">
        <w:rPr>
          <w:sz w:val="22"/>
          <w:szCs w:val="22"/>
        </w:rPr>
        <w:t>by</w:t>
      </w:r>
      <w:r>
        <w:rPr>
          <w:sz w:val="22"/>
          <w:szCs w:val="22"/>
        </w:rPr>
        <w:t xml:space="preserve"> remaking the</w:t>
      </w:r>
      <w:r w:rsidR="00285C99" w:rsidRPr="00285C99">
        <w:t xml:space="preserve"> </w:t>
      </w:r>
      <w:r w:rsidR="006C5712">
        <w:rPr>
          <w:sz w:val="22"/>
          <w:szCs w:val="22"/>
        </w:rPr>
        <w:t xml:space="preserve">petrol standard </w:t>
      </w:r>
      <w:r w:rsidR="00411180">
        <w:rPr>
          <w:sz w:val="22"/>
          <w:szCs w:val="22"/>
        </w:rPr>
        <w:t xml:space="preserve">in 2024. </w:t>
      </w:r>
      <w:r w:rsidR="003C1FE3">
        <w:rPr>
          <w:sz w:val="22"/>
          <w:szCs w:val="22"/>
        </w:rPr>
        <w:t xml:space="preserve">As is required under the FQS Act, the Minister will consider the recommendations of the Fuel Standards Consultative Committee before </w:t>
      </w:r>
      <w:r w:rsidR="00FC2D15">
        <w:rPr>
          <w:sz w:val="22"/>
          <w:szCs w:val="22"/>
        </w:rPr>
        <w:t xml:space="preserve">a </w:t>
      </w:r>
      <w:r w:rsidR="003C1FE3">
        <w:rPr>
          <w:sz w:val="22"/>
          <w:szCs w:val="22"/>
        </w:rPr>
        <w:t>final decision on</w:t>
      </w:r>
      <w:r w:rsidR="00FC2D15">
        <w:rPr>
          <w:sz w:val="22"/>
          <w:szCs w:val="22"/>
        </w:rPr>
        <w:t xml:space="preserve"> making</w:t>
      </w:r>
      <w:r w:rsidR="003C1FE3">
        <w:rPr>
          <w:sz w:val="22"/>
          <w:szCs w:val="22"/>
        </w:rPr>
        <w:t xml:space="preserve"> </w:t>
      </w:r>
      <w:r w:rsidR="00FC2D15">
        <w:rPr>
          <w:sz w:val="22"/>
          <w:szCs w:val="22"/>
        </w:rPr>
        <w:t>the petrol standard.</w:t>
      </w:r>
    </w:p>
    <w:sectPr w:rsidR="00AE4AB6" w:rsidRPr="006B5037" w:rsidSect="009B3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0E74" w14:textId="77777777" w:rsidR="0017514C" w:rsidRDefault="0017514C" w:rsidP="002E6BAF">
      <w:pPr>
        <w:spacing w:after="0" w:line="240" w:lineRule="auto"/>
      </w:pPr>
      <w:r>
        <w:separator/>
      </w:r>
    </w:p>
  </w:endnote>
  <w:endnote w:type="continuationSeparator" w:id="0">
    <w:p w14:paraId="5F51032B" w14:textId="77777777" w:rsidR="0017514C" w:rsidRDefault="0017514C" w:rsidP="002E6BAF">
      <w:pPr>
        <w:spacing w:after="0" w:line="240" w:lineRule="auto"/>
      </w:pPr>
      <w:r>
        <w:continuationSeparator/>
      </w:r>
    </w:p>
  </w:endnote>
  <w:endnote w:type="continuationNotice" w:id="1">
    <w:p w14:paraId="34C9AFDD" w14:textId="77777777" w:rsidR="0017514C" w:rsidRDefault="00175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2021" w14:textId="77777777" w:rsidR="00EA46DD" w:rsidRDefault="00EA4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972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F4591" w14:textId="789F89B4" w:rsidR="00B831FE" w:rsidRDefault="00B831FE" w:rsidP="007E4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77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1C2F" w14:textId="218BEC29" w:rsidR="00047759" w:rsidRDefault="00047759" w:rsidP="007E433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4D5D8" w14:textId="77777777" w:rsidR="00C558B9" w:rsidRDefault="00C5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B8B5" w14:textId="77777777" w:rsidR="0017514C" w:rsidRDefault="0017514C" w:rsidP="002E6BAF">
      <w:pPr>
        <w:spacing w:after="0" w:line="240" w:lineRule="auto"/>
      </w:pPr>
      <w:r>
        <w:separator/>
      </w:r>
    </w:p>
  </w:footnote>
  <w:footnote w:type="continuationSeparator" w:id="0">
    <w:p w14:paraId="550C7F92" w14:textId="77777777" w:rsidR="0017514C" w:rsidRDefault="0017514C" w:rsidP="002E6BAF">
      <w:pPr>
        <w:spacing w:after="0" w:line="240" w:lineRule="auto"/>
      </w:pPr>
      <w:r>
        <w:continuationSeparator/>
      </w:r>
    </w:p>
  </w:footnote>
  <w:footnote w:type="continuationNotice" w:id="1">
    <w:p w14:paraId="5F655922" w14:textId="77777777" w:rsidR="0017514C" w:rsidRDefault="0017514C">
      <w:pPr>
        <w:spacing w:after="0" w:line="240" w:lineRule="auto"/>
      </w:pPr>
    </w:p>
  </w:footnote>
  <w:footnote w:id="2">
    <w:p w14:paraId="2C9A79EC" w14:textId="53B4D7D1" w:rsidR="00D7008C" w:rsidRDefault="00D70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2FBB">
        <w:rPr>
          <w:sz w:val="18"/>
          <w:szCs w:val="18"/>
        </w:rPr>
        <w:t xml:space="preserve">A separate impact analysis, </w:t>
      </w:r>
      <w:r w:rsidRPr="006A2FBB">
        <w:rPr>
          <w:i/>
          <w:iCs/>
          <w:sz w:val="18"/>
          <w:szCs w:val="18"/>
        </w:rPr>
        <w:t xml:space="preserve">Improving Australia’s Fuel and Vehicle Emissions </w:t>
      </w:r>
      <w:r w:rsidR="002024CB">
        <w:rPr>
          <w:i/>
          <w:iCs/>
          <w:sz w:val="18"/>
          <w:szCs w:val="18"/>
        </w:rPr>
        <w:t>S</w:t>
      </w:r>
      <w:r w:rsidRPr="006A2FBB">
        <w:rPr>
          <w:i/>
          <w:iCs/>
          <w:sz w:val="18"/>
          <w:szCs w:val="18"/>
        </w:rPr>
        <w:t xml:space="preserve">tandards, </w:t>
      </w:r>
      <w:r w:rsidRPr="006A2FBB">
        <w:rPr>
          <w:sz w:val="18"/>
          <w:szCs w:val="18"/>
        </w:rPr>
        <w:t>analyses the regulatory impact of reducing the aromatics limit in 95 RON petro</w:t>
      </w:r>
      <w:r w:rsidR="000C3CA9">
        <w:rPr>
          <w:sz w:val="18"/>
          <w:szCs w:val="18"/>
        </w:rPr>
        <w:t>l</w:t>
      </w:r>
      <w:r>
        <w:rPr>
          <w:sz w:val="18"/>
          <w:szCs w:val="18"/>
        </w:rPr>
        <w:t>.</w:t>
      </w:r>
    </w:p>
  </w:footnote>
  <w:footnote w:id="3">
    <w:p w14:paraId="7183C750" w14:textId="20F6DB95" w:rsidR="00EC1FA1" w:rsidRDefault="00EC1FA1" w:rsidP="00EC1FA1">
      <w:pPr>
        <w:pStyle w:val="FootnoteText"/>
      </w:pPr>
      <w:r>
        <w:rPr>
          <w:rStyle w:val="FootnoteReference"/>
        </w:rPr>
        <w:footnoteRef/>
      </w:r>
      <w:r w:rsidR="007D6537">
        <w:t xml:space="preserve"> </w:t>
      </w:r>
      <w:r w:rsidR="007D6537" w:rsidRPr="00105740">
        <w:rPr>
          <w:sz w:val="18"/>
          <w:szCs w:val="18"/>
        </w:rPr>
        <w:t>Ampol</w:t>
      </w:r>
      <w:r w:rsidR="002E71F3" w:rsidRPr="00105740">
        <w:rPr>
          <w:sz w:val="18"/>
          <w:szCs w:val="18"/>
        </w:rPr>
        <w:t xml:space="preserve"> Limited</w:t>
      </w:r>
      <w:r w:rsidR="007D6537" w:rsidRPr="00105740">
        <w:rPr>
          <w:sz w:val="18"/>
          <w:szCs w:val="18"/>
        </w:rPr>
        <w:t xml:space="preserve">, </w:t>
      </w:r>
      <w:hyperlink r:id="rId1" w:history="1">
        <w:r w:rsidR="00B72CDE" w:rsidRPr="00105740">
          <w:rPr>
            <w:rStyle w:val="Hyperlink"/>
            <w:sz w:val="18"/>
            <w:szCs w:val="18"/>
          </w:rPr>
          <w:t>2023 Half Year Results Presentation</w:t>
        </w:r>
      </w:hyperlink>
      <w:r w:rsidR="00B72CDE" w:rsidRPr="00105740">
        <w:rPr>
          <w:sz w:val="18"/>
          <w:szCs w:val="18"/>
        </w:rPr>
        <w:t>,</w:t>
      </w:r>
      <w:r w:rsidR="007D6537" w:rsidRPr="00105740">
        <w:rPr>
          <w:sz w:val="18"/>
          <w:szCs w:val="18"/>
        </w:rPr>
        <w:t xml:space="preserve"> </w:t>
      </w:r>
      <w:r w:rsidR="00414477" w:rsidRPr="00105740">
        <w:rPr>
          <w:sz w:val="18"/>
          <w:szCs w:val="18"/>
        </w:rPr>
        <w:t xml:space="preserve">Ampol </w:t>
      </w:r>
      <w:r w:rsidR="002E71F3" w:rsidRPr="00105740">
        <w:rPr>
          <w:sz w:val="18"/>
          <w:szCs w:val="18"/>
        </w:rPr>
        <w:t>Limited</w:t>
      </w:r>
      <w:r w:rsidR="00414477" w:rsidRPr="00105740">
        <w:rPr>
          <w:sz w:val="18"/>
          <w:szCs w:val="18"/>
        </w:rPr>
        <w:t xml:space="preserve">, </w:t>
      </w:r>
      <w:r w:rsidR="008655FC" w:rsidRPr="00105740">
        <w:rPr>
          <w:sz w:val="18"/>
          <w:szCs w:val="18"/>
        </w:rPr>
        <w:t>2023, accessed 8 December 2023,</w:t>
      </w:r>
      <w:r w:rsidR="00B72CDE" w:rsidRPr="00105740">
        <w:rPr>
          <w:sz w:val="18"/>
          <w:szCs w:val="18"/>
        </w:rPr>
        <w:t xml:space="preserve"> </w:t>
      </w:r>
      <w:r w:rsidR="007440BA" w:rsidRPr="00105740">
        <w:rPr>
          <w:sz w:val="18"/>
          <w:szCs w:val="18"/>
        </w:rPr>
        <w:t>p 25.</w:t>
      </w:r>
    </w:p>
  </w:footnote>
  <w:footnote w:id="4">
    <w:p w14:paraId="775B3C8C" w14:textId="40BF7D16" w:rsidR="00973C8C" w:rsidRPr="00105740" w:rsidRDefault="00973C8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9639FE" w:rsidRPr="00105740">
        <w:rPr>
          <w:sz w:val="18"/>
          <w:szCs w:val="18"/>
        </w:rPr>
        <w:t>Viva Energy</w:t>
      </w:r>
      <w:r w:rsidR="006310F2" w:rsidRPr="00105740">
        <w:rPr>
          <w:sz w:val="18"/>
          <w:szCs w:val="18"/>
        </w:rPr>
        <w:t xml:space="preserve"> Australia</w:t>
      </w:r>
      <w:r w:rsidR="009639FE" w:rsidRPr="00105740">
        <w:rPr>
          <w:sz w:val="18"/>
          <w:szCs w:val="18"/>
        </w:rPr>
        <w:t xml:space="preserve">, </w:t>
      </w:r>
      <w:hyperlink r:id="rId2" w:history="1">
        <w:r w:rsidR="007C370B" w:rsidRPr="00105740">
          <w:rPr>
            <w:rStyle w:val="Hyperlink"/>
            <w:sz w:val="18"/>
            <w:szCs w:val="18"/>
          </w:rPr>
          <w:t>2023 Half Year Results Presentation</w:t>
        </w:r>
      </w:hyperlink>
      <w:r w:rsidR="007C370B" w:rsidRPr="00105740">
        <w:rPr>
          <w:sz w:val="18"/>
          <w:szCs w:val="18"/>
        </w:rPr>
        <w:t>, Viva</w:t>
      </w:r>
      <w:r w:rsidR="00216340" w:rsidRPr="00105740">
        <w:rPr>
          <w:sz w:val="18"/>
          <w:szCs w:val="18"/>
        </w:rPr>
        <w:t xml:space="preserve"> Energy</w:t>
      </w:r>
      <w:r w:rsidR="006310F2" w:rsidRPr="00105740">
        <w:rPr>
          <w:sz w:val="18"/>
          <w:szCs w:val="18"/>
        </w:rPr>
        <w:t xml:space="preserve"> Australia</w:t>
      </w:r>
      <w:r w:rsidR="007C370B" w:rsidRPr="00105740">
        <w:rPr>
          <w:sz w:val="18"/>
          <w:szCs w:val="18"/>
        </w:rPr>
        <w:t>,</w:t>
      </w:r>
      <w:r w:rsidR="00E358D4" w:rsidRPr="00105740">
        <w:rPr>
          <w:sz w:val="18"/>
          <w:szCs w:val="18"/>
        </w:rPr>
        <w:t xml:space="preserve"> 2023, accessed 8 December.</w:t>
      </w:r>
    </w:p>
  </w:footnote>
  <w:footnote w:id="5">
    <w:p w14:paraId="3C9CA960" w14:textId="3AD2C6D9" w:rsidR="002024CB" w:rsidRPr="002024CB" w:rsidRDefault="002024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740">
        <w:rPr>
          <w:sz w:val="18"/>
          <w:szCs w:val="18"/>
        </w:rPr>
        <w:t xml:space="preserve">For more information on these changes, see the </w:t>
      </w:r>
      <w:r w:rsidRPr="00105740">
        <w:rPr>
          <w:i/>
          <w:sz w:val="18"/>
          <w:szCs w:val="18"/>
        </w:rPr>
        <w:t xml:space="preserve">Improving Australia’s Fuel and Vehicle Emissions Standards </w:t>
      </w:r>
      <w:r w:rsidRPr="00105740">
        <w:rPr>
          <w:sz w:val="18"/>
          <w:szCs w:val="18"/>
        </w:rPr>
        <w:t>Impact Analysis</w:t>
      </w:r>
      <w:r w:rsidR="0076033C">
        <w:rPr>
          <w:sz w:val="18"/>
          <w:szCs w:val="18"/>
        </w:rPr>
        <w:t>.</w:t>
      </w:r>
    </w:p>
  </w:footnote>
  <w:footnote w:id="6">
    <w:p w14:paraId="2725E926" w14:textId="77777777" w:rsidR="003C2216" w:rsidRDefault="003C2216" w:rsidP="003C22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024A3">
        <w:rPr>
          <w:sz w:val="18"/>
          <w:szCs w:val="18"/>
        </w:rPr>
        <w:t xml:space="preserve">In 2017 dollars. </w:t>
      </w:r>
    </w:p>
  </w:footnote>
  <w:footnote w:id="7">
    <w:p w14:paraId="76D283C6" w14:textId="4EFA25D6" w:rsidR="003D50FF" w:rsidRDefault="003D50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740">
        <w:rPr>
          <w:sz w:val="18"/>
          <w:szCs w:val="18"/>
        </w:rPr>
        <w:t xml:space="preserve">Department of the Environment and Energy (DOEE), </w:t>
      </w:r>
      <w:r w:rsidRPr="0076033C">
        <w:rPr>
          <w:i/>
          <w:sz w:val="18"/>
          <w:szCs w:val="18"/>
        </w:rPr>
        <w:t>Better fuel for cleaner air: Regulation impact statement</w:t>
      </w:r>
      <w:r w:rsidRPr="0076033C">
        <w:rPr>
          <w:sz w:val="18"/>
          <w:szCs w:val="18"/>
        </w:rPr>
        <w:t>, DOEE, Australian Government, 2018,</w:t>
      </w:r>
      <w:r>
        <w:rPr>
          <w:sz w:val="18"/>
          <w:szCs w:val="18"/>
        </w:rPr>
        <w:t xml:space="preserve"> p</w:t>
      </w:r>
      <w:r w:rsidR="008F6079">
        <w:rPr>
          <w:sz w:val="18"/>
          <w:szCs w:val="18"/>
        </w:rPr>
        <w:t xml:space="preserve"> 34.</w:t>
      </w:r>
    </w:p>
  </w:footnote>
  <w:footnote w:id="8">
    <w:p w14:paraId="18AC8789" w14:textId="63ECDB14" w:rsidR="008631BE" w:rsidRPr="0033238E" w:rsidRDefault="008631BE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 w:rsidR="00016D86">
        <w:t xml:space="preserve"> </w:t>
      </w:r>
      <w:r w:rsidR="003D50FF" w:rsidRPr="00105740">
        <w:rPr>
          <w:sz w:val="18"/>
          <w:szCs w:val="18"/>
        </w:rPr>
        <w:t xml:space="preserve">DOEE, </w:t>
      </w:r>
      <w:r w:rsidR="003D50FF" w:rsidRPr="0076033C">
        <w:rPr>
          <w:i/>
          <w:sz w:val="18"/>
          <w:szCs w:val="18"/>
        </w:rPr>
        <w:t>Better fuel for cleaner air</w:t>
      </w:r>
      <w:r w:rsidR="00534517" w:rsidRPr="0076033C">
        <w:rPr>
          <w:sz w:val="18"/>
          <w:szCs w:val="18"/>
        </w:rPr>
        <w:t>, p</w:t>
      </w:r>
      <w:r w:rsidR="00A551DA" w:rsidRPr="0076033C">
        <w:rPr>
          <w:sz w:val="18"/>
          <w:szCs w:val="18"/>
        </w:rPr>
        <w:t xml:space="preserve"> </w:t>
      </w:r>
      <w:r w:rsidR="00534517" w:rsidRPr="0076033C">
        <w:rPr>
          <w:sz w:val="18"/>
          <w:szCs w:val="18"/>
        </w:rPr>
        <w:t>37</w:t>
      </w:r>
      <w:r w:rsidR="008635DC" w:rsidRPr="0076033C">
        <w:rPr>
          <w:sz w:val="18"/>
          <w:szCs w:val="18"/>
        </w:rPr>
        <w:t>.</w:t>
      </w:r>
    </w:p>
  </w:footnote>
  <w:footnote w:id="9">
    <w:p w14:paraId="2FD990C9" w14:textId="17A56E68" w:rsidR="008635DC" w:rsidRDefault="008635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51DA" w:rsidRPr="00105740">
        <w:rPr>
          <w:sz w:val="18"/>
          <w:szCs w:val="18"/>
        </w:rPr>
        <w:t>DOEE,</w:t>
      </w:r>
      <w:r w:rsidRPr="00105740">
        <w:rPr>
          <w:sz w:val="18"/>
          <w:szCs w:val="18"/>
        </w:rPr>
        <w:t xml:space="preserve"> </w:t>
      </w:r>
      <w:r w:rsidRPr="0076033C">
        <w:rPr>
          <w:i/>
          <w:sz w:val="18"/>
          <w:szCs w:val="18"/>
        </w:rPr>
        <w:t>Better</w:t>
      </w:r>
      <w:r w:rsidR="00CB6F48" w:rsidRPr="0076033C">
        <w:rPr>
          <w:i/>
          <w:sz w:val="18"/>
          <w:szCs w:val="18"/>
        </w:rPr>
        <w:t xml:space="preserve"> f</w:t>
      </w:r>
      <w:r w:rsidRPr="0076033C">
        <w:rPr>
          <w:i/>
          <w:sz w:val="18"/>
          <w:szCs w:val="18"/>
        </w:rPr>
        <w:t xml:space="preserve">uel for </w:t>
      </w:r>
      <w:r w:rsidR="00CB6F48" w:rsidRPr="0076033C">
        <w:rPr>
          <w:i/>
          <w:sz w:val="18"/>
          <w:szCs w:val="18"/>
        </w:rPr>
        <w:t>c</w:t>
      </w:r>
      <w:r w:rsidRPr="0076033C">
        <w:rPr>
          <w:i/>
          <w:sz w:val="18"/>
          <w:szCs w:val="18"/>
        </w:rPr>
        <w:t xml:space="preserve">leaner </w:t>
      </w:r>
      <w:r w:rsidR="00CB6F48" w:rsidRPr="0076033C">
        <w:rPr>
          <w:i/>
          <w:sz w:val="18"/>
          <w:szCs w:val="18"/>
        </w:rPr>
        <w:t>a</w:t>
      </w:r>
      <w:r w:rsidRPr="0076033C">
        <w:rPr>
          <w:i/>
          <w:sz w:val="18"/>
          <w:szCs w:val="18"/>
        </w:rPr>
        <w:t>ir</w:t>
      </w:r>
      <w:r w:rsidRPr="0076033C">
        <w:rPr>
          <w:sz w:val="18"/>
          <w:szCs w:val="18"/>
        </w:rPr>
        <w:t>, p</w:t>
      </w:r>
      <w:r w:rsidR="00A551DA" w:rsidRPr="0076033C">
        <w:rPr>
          <w:sz w:val="18"/>
          <w:szCs w:val="18"/>
        </w:rPr>
        <w:t xml:space="preserve"> </w:t>
      </w:r>
      <w:r w:rsidR="009B7662" w:rsidRPr="0076033C">
        <w:rPr>
          <w:sz w:val="18"/>
          <w:szCs w:val="18"/>
        </w:rPr>
        <w:t>58</w:t>
      </w:r>
      <w:r w:rsidRPr="007603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D5F1" w14:textId="77777777" w:rsidR="00EA46DD" w:rsidRDefault="00EA4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29454" w14:textId="69E17416" w:rsidR="002E6BAF" w:rsidRDefault="002E6BAF" w:rsidP="002E6BAF">
    <w:pPr>
      <w:pStyle w:val="Header"/>
      <w:jc w:val="center"/>
      <w:rPr>
        <w:b/>
        <w:bCs/>
        <w:color w:val="FF0000"/>
        <w:sz w:val="28"/>
        <w:szCs w:val="28"/>
      </w:rPr>
    </w:pPr>
  </w:p>
  <w:p w14:paraId="59D8BD3E" w14:textId="4EE1E6E4" w:rsidR="007D2753" w:rsidRDefault="007D2753" w:rsidP="0066792E">
    <w:pPr>
      <w:pStyle w:val="Header"/>
      <w:rPr>
        <w:b/>
        <w:bCs/>
        <w:color w:val="FF0000"/>
        <w:sz w:val="28"/>
        <w:szCs w:val="28"/>
      </w:rPr>
    </w:pPr>
  </w:p>
  <w:p w14:paraId="01264FF1" w14:textId="77777777" w:rsidR="0066792E" w:rsidRPr="00F2665A" w:rsidRDefault="0066792E" w:rsidP="006A2FBB">
    <w:pPr>
      <w:pStyle w:val="Header"/>
      <w:rPr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EE4F5" w14:textId="0320FA90" w:rsidR="00C558B9" w:rsidRDefault="000477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C2A140E" wp14:editId="7ECE61DE">
          <wp:simplePos x="0" y="0"/>
          <wp:positionH relativeFrom="column">
            <wp:posOffset>-914400</wp:posOffset>
          </wp:positionH>
          <wp:positionV relativeFrom="paragraph">
            <wp:posOffset>59</wp:posOffset>
          </wp:positionV>
          <wp:extent cx="7614920" cy="1146175"/>
          <wp:effectExtent l="0" t="0" r="5080" b="0"/>
          <wp:wrapSquare wrapText="bothSides"/>
          <wp:docPr id="929725682" name="Picture 929725682" descr="A picture containing text, screenshot, invertebrate, ctenopho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invertebrate, ctenopho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802"/>
    <w:multiLevelType w:val="multilevel"/>
    <w:tmpl w:val="1AAA2F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1430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94744"/>
    <w:multiLevelType w:val="multilevel"/>
    <w:tmpl w:val="96E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E04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9073D"/>
    <w:multiLevelType w:val="hybridMultilevel"/>
    <w:tmpl w:val="CA86FF20"/>
    <w:lvl w:ilvl="0" w:tplc="5A46B5A0">
      <w:start w:val="3"/>
      <w:numFmt w:val="bullet"/>
      <w:lvlText w:val="-"/>
      <w:lvlJc w:val="left"/>
      <w:pPr>
        <w:ind w:left="720" w:hanging="360"/>
      </w:pPr>
      <w:rPr>
        <w:rFonts w:ascii="Segoe UI Symbol" w:eastAsiaTheme="minorEastAsia" w:hAnsi="Segoe UI 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1564"/>
    <w:multiLevelType w:val="hybridMultilevel"/>
    <w:tmpl w:val="9DC632EC"/>
    <w:lvl w:ilvl="0" w:tplc="5A46B5A0">
      <w:start w:val="3"/>
      <w:numFmt w:val="bullet"/>
      <w:lvlText w:val="-"/>
      <w:lvlJc w:val="left"/>
      <w:pPr>
        <w:ind w:left="720" w:hanging="360"/>
      </w:pPr>
      <w:rPr>
        <w:rFonts w:ascii="Segoe UI Symbol" w:eastAsiaTheme="minorEastAsia" w:hAnsi="Segoe UI 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218"/>
    <w:multiLevelType w:val="hybridMultilevel"/>
    <w:tmpl w:val="6DD0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054"/>
    <w:multiLevelType w:val="multilevel"/>
    <w:tmpl w:val="2F146B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D92BC4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7E6400"/>
    <w:multiLevelType w:val="hybridMultilevel"/>
    <w:tmpl w:val="4552EA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67451"/>
    <w:multiLevelType w:val="hybridMultilevel"/>
    <w:tmpl w:val="12E42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44A6"/>
    <w:multiLevelType w:val="hybridMultilevel"/>
    <w:tmpl w:val="9DCE86B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4A84A48"/>
    <w:multiLevelType w:val="hybridMultilevel"/>
    <w:tmpl w:val="DC845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2A63"/>
    <w:rsid w:val="00012296"/>
    <w:rsid w:val="0001241E"/>
    <w:rsid w:val="000134E3"/>
    <w:rsid w:val="00016263"/>
    <w:rsid w:val="00016D86"/>
    <w:rsid w:val="00020E17"/>
    <w:rsid w:val="0002137A"/>
    <w:rsid w:val="000240B3"/>
    <w:rsid w:val="000243C1"/>
    <w:rsid w:val="00024BFF"/>
    <w:rsid w:val="000254BF"/>
    <w:rsid w:val="000263D8"/>
    <w:rsid w:val="00027119"/>
    <w:rsid w:val="000313A5"/>
    <w:rsid w:val="00042421"/>
    <w:rsid w:val="0004359D"/>
    <w:rsid w:val="0004393E"/>
    <w:rsid w:val="000473E8"/>
    <w:rsid w:val="00047759"/>
    <w:rsid w:val="0004779E"/>
    <w:rsid w:val="000542B5"/>
    <w:rsid w:val="00056566"/>
    <w:rsid w:val="000570B3"/>
    <w:rsid w:val="0006170B"/>
    <w:rsid w:val="00061BFE"/>
    <w:rsid w:val="000654E3"/>
    <w:rsid w:val="00067DAC"/>
    <w:rsid w:val="00070CB0"/>
    <w:rsid w:val="00071519"/>
    <w:rsid w:val="00073E81"/>
    <w:rsid w:val="000747E7"/>
    <w:rsid w:val="000854A7"/>
    <w:rsid w:val="00096487"/>
    <w:rsid w:val="000A7117"/>
    <w:rsid w:val="000A7B93"/>
    <w:rsid w:val="000B4942"/>
    <w:rsid w:val="000B538C"/>
    <w:rsid w:val="000B5B2A"/>
    <w:rsid w:val="000B76BF"/>
    <w:rsid w:val="000B7E09"/>
    <w:rsid w:val="000C000D"/>
    <w:rsid w:val="000C1332"/>
    <w:rsid w:val="000C3CA9"/>
    <w:rsid w:val="000E1D06"/>
    <w:rsid w:val="000E1E2B"/>
    <w:rsid w:val="000E2C97"/>
    <w:rsid w:val="000E3A20"/>
    <w:rsid w:val="000E76A9"/>
    <w:rsid w:val="000F23D6"/>
    <w:rsid w:val="000F6A47"/>
    <w:rsid w:val="0010134F"/>
    <w:rsid w:val="001028F4"/>
    <w:rsid w:val="00102E7A"/>
    <w:rsid w:val="001049EC"/>
    <w:rsid w:val="00105301"/>
    <w:rsid w:val="00105740"/>
    <w:rsid w:val="00120401"/>
    <w:rsid w:val="00125610"/>
    <w:rsid w:val="00130B80"/>
    <w:rsid w:val="001313F4"/>
    <w:rsid w:val="001335F9"/>
    <w:rsid w:val="00133D9F"/>
    <w:rsid w:val="00137DBA"/>
    <w:rsid w:val="001442B8"/>
    <w:rsid w:val="001553F6"/>
    <w:rsid w:val="00156832"/>
    <w:rsid w:val="001572AA"/>
    <w:rsid w:val="00157902"/>
    <w:rsid w:val="001602E0"/>
    <w:rsid w:val="001655FF"/>
    <w:rsid w:val="0017088B"/>
    <w:rsid w:val="00173730"/>
    <w:rsid w:val="0017514C"/>
    <w:rsid w:val="00180215"/>
    <w:rsid w:val="00184B7D"/>
    <w:rsid w:val="001855B0"/>
    <w:rsid w:val="0018587B"/>
    <w:rsid w:val="001904F5"/>
    <w:rsid w:val="00192D68"/>
    <w:rsid w:val="00196684"/>
    <w:rsid w:val="001A088B"/>
    <w:rsid w:val="001A12BD"/>
    <w:rsid w:val="001B1885"/>
    <w:rsid w:val="001B1F0D"/>
    <w:rsid w:val="001B25A2"/>
    <w:rsid w:val="001C08D8"/>
    <w:rsid w:val="001C1117"/>
    <w:rsid w:val="001C1C57"/>
    <w:rsid w:val="001C43B9"/>
    <w:rsid w:val="001C5D41"/>
    <w:rsid w:val="001C6EE4"/>
    <w:rsid w:val="001D1E8E"/>
    <w:rsid w:val="001D2963"/>
    <w:rsid w:val="001D562A"/>
    <w:rsid w:val="001D73D6"/>
    <w:rsid w:val="001E2A03"/>
    <w:rsid w:val="001E4A04"/>
    <w:rsid w:val="001E6510"/>
    <w:rsid w:val="001F0221"/>
    <w:rsid w:val="001F1966"/>
    <w:rsid w:val="001F3F92"/>
    <w:rsid w:val="001F639C"/>
    <w:rsid w:val="002024CB"/>
    <w:rsid w:val="00207101"/>
    <w:rsid w:val="00216340"/>
    <w:rsid w:val="0021660B"/>
    <w:rsid w:val="0021707E"/>
    <w:rsid w:val="00221DEB"/>
    <w:rsid w:val="00226096"/>
    <w:rsid w:val="00227E10"/>
    <w:rsid w:val="00236118"/>
    <w:rsid w:val="0023618A"/>
    <w:rsid w:val="002516C5"/>
    <w:rsid w:val="00253886"/>
    <w:rsid w:val="00253DF1"/>
    <w:rsid w:val="00253E85"/>
    <w:rsid w:val="002547EA"/>
    <w:rsid w:val="00260D53"/>
    <w:rsid w:val="002702C3"/>
    <w:rsid w:val="0027795E"/>
    <w:rsid w:val="002855AB"/>
    <w:rsid w:val="00285C99"/>
    <w:rsid w:val="002A32B1"/>
    <w:rsid w:val="002A4EA3"/>
    <w:rsid w:val="002A7EEB"/>
    <w:rsid w:val="002B38AD"/>
    <w:rsid w:val="002B39FB"/>
    <w:rsid w:val="002C1370"/>
    <w:rsid w:val="002C184C"/>
    <w:rsid w:val="002C199A"/>
    <w:rsid w:val="002D286F"/>
    <w:rsid w:val="002E0C20"/>
    <w:rsid w:val="002E21B8"/>
    <w:rsid w:val="002E6BAF"/>
    <w:rsid w:val="002E71F3"/>
    <w:rsid w:val="002F14DE"/>
    <w:rsid w:val="002F2207"/>
    <w:rsid w:val="002F222E"/>
    <w:rsid w:val="002F2A8A"/>
    <w:rsid w:val="002F323A"/>
    <w:rsid w:val="00302D46"/>
    <w:rsid w:val="00303BFE"/>
    <w:rsid w:val="00307E46"/>
    <w:rsid w:val="003173C8"/>
    <w:rsid w:val="0032062D"/>
    <w:rsid w:val="003210A4"/>
    <w:rsid w:val="00321D8B"/>
    <w:rsid w:val="00324163"/>
    <w:rsid w:val="00330CA6"/>
    <w:rsid w:val="00331BFA"/>
    <w:rsid w:val="0033238E"/>
    <w:rsid w:val="00335F9C"/>
    <w:rsid w:val="003465C5"/>
    <w:rsid w:val="00347E46"/>
    <w:rsid w:val="003517BC"/>
    <w:rsid w:val="00356853"/>
    <w:rsid w:val="003609AD"/>
    <w:rsid w:val="0036390D"/>
    <w:rsid w:val="00364778"/>
    <w:rsid w:val="00370FEF"/>
    <w:rsid w:val="003760DB"/>
    <w:rsid w:val="003813A9"/>
    <w:rsid w:val="003814C5"/>
    <w:rsid w:val="0038202A"/>
    <w:rsid w:val="00387142"/>
    <w:rsid w:val="003A04A6"/>
    <w:rsid w:val="003A0A0E"/>
    <w:rsid w:val="003A11BF"/>
    <w:rsid w:val="003A1367"/>
    <w:rsid w:val="003A6839"/>
    <w:rsid w:val="003B0019"/>
    <w:rsid w:val="003B04D5"/>
    <w:rsid w:val="003B45CD"/>
    <w:rsid w:val="003B5FCE"/>
    <w:rsid w:val="003B7955"/>
    <w:rsid w:val="003C0AC3"/>
    <w:rsid w:val="003C1FE3"/>
    <w:rsid w:val="003C2216"/>
    <w:rsid w:val="003C34DC"/>
    <w:rsid w:val="003C524D"/>
    <w:rsid w:val="003C53DB"/>
    <w:rsid w:val="003C5A26"/>
    <w:rsid w:val="003C6AD1"/>
    <w:rsid w:val="003C6C72"/>
    <w:rsid w:val="003D06DC"/>
    <w:rsid w:val="003D50FF"/>
    <w:rsid w:val="003D5436"/>
    <w:rsid w:val="003E6748"/>
    <w:rsid w:val="003F01AE"/>
    <w:rsid w:val="003F09AC"/>
    <w:rsid w:val="003F14C2"/>
    <w:rsid w:val="003F2EE8"/>
    <w:rsid w:val="00403212"/>
    <w:rsid w:val="004071F4"/>
    <w:rsid w:val="00411180"/>
    <w:rsid w:val="00414477"/>
    <w:rsid w:val="0041599A"/>
    <w:rsid w:val="00421524"/>
    <w:rsid w:val="0042177D"/>
    <w:rsid w:val="00432352"/>
    <w:rsid w:val="0043267E"/>
    <w:rsid w:val="00433AB4"/>
    <w:rsid w:val="004350F5"/>
    <w:rsid w:val="0043580F"/>
    <w:rsid w:val="00440776"/>
    <w:rsid w:val="00441306"/>
    <w:rsid w:val="00443A21"/>
    <w:rsid w:val="00443FD1"/>
    <w:rsid w:val="00451789"/>
    <w:rsid w:val="00452B33"/>
    <w:rsid w:val="004547C0"/>
    <w:rsid w:val="004567C3"/>
    <w:rsid w:val="00457ED7"/>
    <w:rsid w:val="00467D43"/>
    <w:rsid w:val="0047427E"/>
    <w:rsid w:val="0047694A"/>
    <w:rsid w:val="00480C57"/>
    <w:rsid w:val="00486C0E"/>
    <w:rsid w:val="00490AE7"/>
    <w:rsid w:val="004911E1"/>
    <w:rsid w:val="00496478"/>
    <w:rsid w:val="004A4714"/>
    <w:rsid w:val="004A4CDA"/>
    <w:rsid w:val="004B423D"/>
    <w:rsid w:val="004B4749"/>
    <w:rsid w:val="004B7D8A"/>
    <w:rsid w:val="004C02AC"/>
    <w:rsid w:val="004C3139"/>
    <w:rsid w:val="004C339C"/>
    <w:rsid w:val="004D209C"/>
    <w:rsid w:val="004D49E0"/>
    <w:rsid w:val="004D5001"/>
    <w:rsid w:val="004D5A38"/>
    <w:rsid w:val="004D681C"/>
    <w:rsid w:val="004E2C4C"/>
    <w:rsid w:val="004E3DEC"/>
    <w:rsid w:val="004E5980"/>
    <w:rsid w:val="004E7062"/>
    <w:rsid w:val="004F1561"/>
    <w:rsid w:val="004F365B"/>
    <w:rsid w:val="004F3D4F"/>
    <w:rsid w:val="004F5B01"/>
    <w:rsid w:val="004F6CB0"/>
    <w:rsid w:val="00500085"/>
    <w:rsid w:val="0050197E"/>
    <w:rsid w:val="00511D99"/>
    <w:rsid w:val="00511F46"/>
    <w:rsid w:val="00513A1E"/>
    <w:rsid w:val="00513EED"/>
    <w:rsid w:val="00514F03"/>
    <w:rsid w:val="00515615"/>
    <w:rsid w:val="00515748"/>
    <w:rsid w:val="005164F4"/>
    <w:rsid w:val="0052221D"/>
    <w:rsid w:val="00522EBD"/>
    <w:rsid w:val="00525379"/>
    <w:rsid w:val="00525CBD"/>
    <w:rsid w:val="00526F1F"/>
    <w:rsid w:val="00534517"/>
    <w:rsid w:val="005347B8"/>
    <w:rsid w:val="00537ABC"/>
    <w:rsid w:val="00546B26"/>
    <w:rsid w:val="005511E2"/>
    <w:rsid w:val="00551D3E"/>
    <w:rsid w:val="00555825"/>
    <w:rsid w:val="00556190"/>
    <w:rsid w:val="00561BB1"/>
    <w:rsid w:val="005630D9"/>
    <w:rsid w:val="00570843"/>
    <w:rsid w:val="00570C18"/>
    <w:rsid w:val="00570F55"/>
    <w:rsid w:val="00571C18"/>
    <w:rsid w:val="0057287C"/>
    <w:rsid w:val="00575C02"/>
    <w:rsid w:val="005761C1"/>
    <w:rsid w:val="0057635D"/>
    <w:rsid w:val="00583C7E"/>
    <w:rsid w:val="005845B6"/>
    <w:rsid w:val="00585DE3"/>
    <w:rsid w:val="00586476"/>
    <w:rsid w:val="00590622"/>
    <w:rsid w:val="005919B2"/>
    <w:rsid w:val="005925A8"/>
    <w:rsid w:val="00594E96"/>
    <w:rsid w:val="00595C0D"/>
    <w:rsid w:val="005A0DA1"/>
    <w:rsid w:val="005A4221"/>
    <w:rsid w:val="005A561F"/>
    <w:rsid w:val="005B1B8D"/>
    <w:rsid w:val="005B7F91"/>
    <w:rsid w:val="005C1AF7"/>
    <w:rsid w:val="005C4F85"/>
    <w:rsid w:val="005D1E21"/>
    <w:rsid w:val="005D22BD"/>
    <w:rsid w:val="005D3F6E"/>
    <w:rsid w:val="005D478E"/>
    <w:rsid w:val="005D699C"/>
    <w:rsid w:val="005D7922"/>
    <w:rsid w:val="005E01E9"/>
    <w:rsid w:val="005E18CA"/>
    <w:rsid w:val="005E2D3C"/>
    <w:rsid w:val="005F0FBA"/>
    <w:rsid w:val="005F1AC3"/>
    <w:rsid w:val="005F3504"/>
    <w:rsid w:val="005F63B8"/>
    <w:rsid w:val="005F6932"/>
    <w:rsid w:val="005F7B12"/>
    <w:rsid w:val="00603240"/>
    <w:rsid w:val="00607A36"/>
    <w:rsid w:val="006207FE"/>
    <w:rsid w:val="006209AA"/>
    <w:rsid w:val="0062423B"/>
    <w:rsid w:val="00625BC7"/>
    <w:rsid w:val="006310F2"/>
    <w:rsid w:val="006337C1"/>
    <w:rsid w:val="00634CAD"/>
    <w:rsid w:val="00634E79"/>
    <w:rsid w:val="00636F8B"/>
    <w:rsid w:val="00645DFD"/>
    <w:rsid w:val="006460C1"/>
    <w:rsid w:val="00647315"/>
    <w:rsid w:val="0065209C"/>
    <w:rsid w:val="00652A64"/>
    <w:rsid w:val="00655504"/>
    <w:rsid w:val="00655D41"/>
    <w:rsid w:val="006561F2"/>
    <w:rsid w:val="0065786B"/>
    <w:rsid w:val="006641B1"/>
    <w:rsid w:val="006656E0"/>
    <w:rsid w:val="0066792E"/>
    <w:rsid w:val="00673D1A"/>
    <w:rsid w:val="006749E1"/>
    <w:rsid w:val="00674E4C"/>
    <w:rsid w:val="00676CC3"/>
    <w:rsid w:val="00677EA2"/>
    <w:rsid w:val="006800C6"/>
    <w:rsid w:val="006820C0"/>
    <w:rsid w:val="00683132"/>
    <w:rsid w:val="00683C5C"/>
    <w:rsid w:val="00684D2D"/>
    <w:rsid w:val="00697143"/>
    <w:rsid w:val="006A2FBB"/>
    <w:rsid w:val="006A6F71"/>
    <w:rsid w:val="006B19D7"/>
    <w:rsid w:val="006B5037"/>
    <w:rsid w:val="006C08CC"/>
    <w:rsid w:val="006C098C"/>
    <w:rsid w:val="006C2C2E"/>
    <w:rsid w:val="006C5712"/>
    <w:rsid w:val="006C6657"/>
    <w:rsid w:val="006D2792"/>
    <w:rsid w:val="006D43EB"/>
    <w:rsid w:val="006D463D"/>
    <w:rsid w:val="006E1542"/>
    <w:rsid w:val="006E2A89"/>
    <w:rsid w:val="006E5BD5"/>
    <w:rsid w:val="006E6B33"/>
    <w:rsid w:val="006E7759"/>
    <w:rsid w:val="006E7E03"/>
    <w:rsid w:val="006F2809"/>
    <w:rsid w:val="006F2B31"/>
    <w:rsid w:val="006F39AD"/>
    <w:rsid w:val="006F62EB"/>
    <w:rsid w:val="006F6C8C"/>
    <w:rsid w:val="00704F11"/>
    <w:rsid w:val="00706773"/>
    <w:rsid w:val="00706FB3"/>
    <w:rsid w:val="00712DE2"/>
    <w:rsid w:val="00715447"/>
    <w:rsid w:val="0071645F"/>
    <w:rsid w:val="007168B0"/>
    <w:rsid w:val="00717407"/>
    <w:rsid w:val="0071779E"/>
    <w:rsid w:val="00727CED"/>
    <w:rsid w:val="007304FB"/>
    <w:rsid w:val="007320D3"/>
    <w:rsid w:val="00742A80"/>
    <w:rsid w:val="007440BA"/>
    <w:rsid w:val="0074710A"/>
    <w:rsid w:val="007504F3"/>
    <w:rsid w:val="00752A34"/>
    <w:rsid w:val="00753C5D"/>
    <w:rsid w:val="00757C8D"/>
    <w:rsid w:val="00757F71"/>
    <w:rsid w:val="0076033C"/>
    <w:rsid w:val="00764DB6"/>
    <w:rsid w:val="00773911"/>
    <w:rsid w:val="00774C01"/>
    <w:rsid w:val="00791F55"/>
    <w:rsid w:val="0079372A"/>
    <w:rsid w:val="007972D6"/>
    <w:rsid w:val="007A11B2"/>
    <w:rsid w:val="007A1718"/>
    <w:rsid w:val="007A4054"/>
    <w:rsid w:val="007A7179"/>
    <w:rsid w:val="007C370B"/>
    <w:rsid w:val="007C3898"/>
    <w:rsid w:val="007C3A54"/>
    <w:rsid w:val="007C4C46"/>
    <w:rsid w:val="007C5427"/>
    <w:rsid w:val="007C62E9"/>
    <w:rsid w:val="007D039D"/>
    <w:rsid w:val="007D1715"/>
    <w:rsid w:val="007D2753"/>
    <w:rsid w:val="007D492C"/>
    <w:rsid w:val="007D6537"/>
    <w:rsid w:val="007D6B40"/>
    <w:rsid w:val="007E21B3"/>
    <w:rsid w:val="007E30B5"/>
    <w:rsid w:val="007E433D"/>
    <w:rsid w:val="007F5275"/>
    <w:rsid w:val="008000FC"/>
    <w:rsid w:val="00802E26"/>
    <w:rsid w:val="00803B0D"/>
    <w:rsid w:val="00805796"/>
    <w:rsid w:val="0081172F"/>
    <w:rsid w:val="00811A8B"/>
    <w:rsid w:val="00813C2F"/>
    <w:rsid w:val="00816D3E"/>
    <w:rsid w:val="008203B6"/>
    <w:rsid w:val="008204B1"/>
    <w:rsid w:val="00821524"/>
    <w:rsid w:val="008231CA"/>
    <w:rsid w:val="008304B6"/>
    <w:rsid w:val="00833206"/>
    <w:rsid w:val="00834B54"/>
    <w:rsid w:val="00835B47"/>
    <w:rsid w:val="00842048"/>
    <w:rsid w:val="008430F7"/>
    <w:rsid w:val="0084622A"/>
    <w:rsid w:val="00850C90"/>
    <w:rsid w:val="00853A11"/>
    <w:rsid w:val="00855770"/>
    <w:rsid w:val="00860391"/>
    <w:rsid w:val="0086181B"/>
    <w:rsid w:val="00862275"/>
    <w:rsid w:val="008631BE"/>
    <w:rsid w:val="008635DC"/>
    <w:rsid w:val="008655FC"/>
    <w:rsid w:val="00870738"/>
    <w:rsid w:val="0087149F"/>
    <w:rsid w:val="008717D4"/>
    <w:rsid w:val="00871A40"/>
    <w:rsid w:val="00874BF4"/>
    <w:rsid w:val="008814B2"/>
    <w:rsid w:val="00883E31"/>
    <w:rsid w:val="00883F27"/>
    <w:rsid w:val="008863B7"/>
    <w:rsid w:val="00894BDD"/>
    <w:rsid w:val="00897645"/>
    <w:rsid w:val="008A3EFB"/>
    <w:rsid w:val="008A4740"/>
    <w:rsid w:val="008A6F89"/>
    <w:rsid w:val="008B26BD"/>
    <w:rsid w:val="008B35E1"/>
    <w:rsid w:val="008C3DFD"/>
    <w:rsid w:val="008C5543"/>
    <w:rsid w:val="008E00A1"/>
    <w:rsid w:val="008E15BC"/>
    <w:rsid w:val="008E2DA3"/>
    <w:rsid w:val="008E454F"/>
    <w:rsid w:val="008F1A1F"/>
    <w:rsid w:val="008F29C8"/>
    <w:rsid w:val="008F43AF"/>
    <w:rsid w:val="008F4A0C"/>
    <w:rsid w:val="008F5159"/>
    <w:rsid w:val="008F51AD"/>
    <w:rsid w:val="008F6079"/>
    <w:rsid w:val="008F7197"/>
    <w:rsid w:val="008F7CB4"/>
    <w:rsid w:val="00902DBE"/>
    <w:rsid w:val="00912C35"/>
    <w:rsid w:val="009134E6"/>
    <w:rsid w:val="009142F2"/>
    <w:rsid w:val="00914F55"/>
    <w:rsid w:val="00915954"/>
    <w:rsid w:val="009209A9"/>
    <w:rsid w:val="009219D9"/>
    <w:rsid w:val="00921C19"/>
    <w:rsid w:val="00931EC0"/>
    <w:rsid w:val="00933379"/>
    <w:rsid w:val="00941F79"/>
    <w:rsid w:val="0094384C"/>
    <w:rsid w:val="00943D36"/>
    <w:rsid w:val="00944832"/>
    <w:rsid w:val="00946E85"/>
    <w:rsid w:val="00946FA2"/>
    <w:rsid w:val="00950B29"/>
    <w:rsid w:val="00953A3C"/>
    <w:rsid w:val="009550CE"/>
    <w:rsid w:val="00955357"/>
    <w:rsid w:val="009626FA"/>
    <w:rsid w:val="009639FE"/>
    <w:rsid w:val="00973C8C"/>
    <w:rsid w:val="009772B6"/>
    <w:rsid w:val="00977C06"/>
    <w:rsid w:val="00980BC3"/>
    <w:rsid w:val="00987953"/>
    <w:rsid w:val="00991914"/>
    <w:rsid w:val="00993F89"/>
    <w:rsid w:val="00994187"/>
    <w:rsid w:val="0099507B"/>
    <w:rsid w:val="00996093"/>
    <w:rsid w:val="00997909"/>
    <w:rsid w:val="009A5818"/>
    <w:rsid w:val="009B2A26"/>
    <w:rsid w:val="009B3060"/>
    <w:rsid w:val="009B3FA0"/>
    <w:rsid w:val="009B7662"/>
    <w:rsid w:val="009C5D75"/>
    <w:rsid w:val="009C6CD9"/>
    <w:rsid w:val="009C7B20"/>
    <w:rsid w:val="009D0F37"/>
    <w:rsid w:val="009D3ED8"/>
    <w:rsid w:val="009D7958"/>
    <w:rsid w:val="009E09A5"/>
    <w:rsid w:val="009E3CE2"/>
    <w:rsid w:val="009E4864"/>
    <w:rsid w:val="009E52BE"/>
    <w:rsid w:val="009E5B45"/>
    <w:rsid w:val="009E5C11"/>
    <w:rsid w:val="009E7B81"/>
    <w:rsid w:val="009F3755"/>
    <w:rsid w:val="009F679C"/>
    <w:rsid w:val="009F6E20"/>
    <w:rsid w:val="00A03AD9"/>
    <w:rsid w:val="00A040ED"/>
    <w:rsid w:val="00A178BA"/>
    <w:rsid w:val="00A2130B"/>
    <w:rsid w:val="00A21F3C"/>
    <w:rsid w:val="00A22C98"/>
    <w:rsid w:val="00A36B7C"/>
    <w:rsid w:val="00A37553"/>
    <w:rsid w:val="00A40240"/>
    <w:rsid w:val="00A411A7"/>
    <w:rsid w:val="00A41D63"/>
    <w:rsid w:val="00A435E9"/>
    <w:rsid w:val="00A46A98"/>
    <w:rsid w:val="00A51F54"/>
    <w:rsid w:val="00A535F1"/>
    <w:rsid w:val="00A5367B"/>
    <w:rsid w:val="00A551DA"/>
    <w:rsid w:val="00A60C87"/>
    <w:rsid w:val="00A6388B"/>
    <w:rsid w:val="00A65078"/>
    <w:rsid w:val="00A65794"/>
    <w:rsid w:val="00A65895"/>
    <w:rsid w:val="00A72395"/>
    <w:rsid w:val="00A7474C"/>
    <w:rsid w:val="00A750C4"/>
    <w:rsid w:val="00A752E1"/>
    <w:rsid w:val="00A75DCA"/>
    <w:rsid w:val="00A75FB2"/>
    <w:rsid w:val="00A829A1"/>
    <w:rsid w:val="00A83ED8"/>
    <w:rsid w:val="00A83EF4"/>
    <w:rsid w:val="00A90549"/>
    <w:rsid w:val="00A920A6"/>
    <w:rsid w:val="00A96B98"/>
    <w:rsid w:val="00AA05A2"/>
    <w:rsid w:val="00AA4B29"/>
    <w:rsid w:val="00AA4CC5"/>
    <w:rsid w:val="00AB1CC2"/>
    <w:rsid w:val="00AC04C4"/>
    <w:rsid w:val="00AC1964"/>
    <w:rsid w:val="00AC1B4F"/>
    <w:rsid w:val="00AD0B56"/>
    <w:rsid w:val="00AD3082"/>
    <w:rsid w:val="00AD3195"/>
    <w:rsid w:val="00AD3304"/>
    <w:rsid w:val="00AD77AD"/>
    <w:rsid w:val="00AE4AB6"/>
    <w:rsid w:val="00AE4D11"/>
    <w:rsid w:val="00AE4EDA"/>
    <w:rsid w:val="00AF3FD0"/>
    <w:rsid w:val="00AF5B1A"/>
    <w:rsid w:val="00AF64DE"/>
    <w:rsid w:val="00B00260"/>
    <w:rsid w:val="00B02F50"/>
    <w:rsid w:val="00B07B0F"/>
    <w:rsid w:val="00B129B4"/>
    <w:rsid w:val="00B142B9"/>
    <w:rsid w:val="00B453DF"/>
    <w:rsid w:val="00B52F40"/>
    <w:rsid w:val="00B53EB1"/>
    <w:rsid w:val="00B54088"/>
    <w:rsid w:val="00B679B5"/>
    <w:rsid w:val="00B7298E"/>
    <w:rsid w:val="00B72CDE"/>
    <w:rsid w:val="00B75B66"/>
    <w:rsid w:val="00B808FC"/>
    <w:rsid w:val="00B831FE"/>
    <w:rsid w:val="00B835F8"/>
    <w:rsid w:val="00B872FA"/>
    <w:rsid w:val="00B91224"/>
    <w:rsid w:val="00B91754"/>
    <w:rsid w:val="00B96F9E"/>
    <w:rsid w:val="00BA397C"/>
    <w:rsid w:val="00BA5B3D"/>
    <w:rsid w:val="00BA60AD"/>
    <w:rsid w:val="00BB0718"/>
    <w:rsid w:val="00BB25B5"/>
    <w:rsid w:val="00BB340A"/>
    <w:rsid w:val="00BB35E2"/>
    <w:rsid w:val="00BB78ED"/>
    <w:rsid w:val="00BC287B"/>
    <w:rsid w:val="00BC5A68"/>
    <w:rsid w:val="00BC6380"/>
    <w:rsid w:val="00BD4D7E"/>
    <w:rsid w:val="00BD4E5B"/>
    <w:rsid w:val="00BD7881"/>
    <w:rsid w:val="00BE0189"/>
    <w:rsid w:val="00BE5E96"/>
    <w:rsid w:val="00BF2279"/>
    <w:rsid w:val="00BF4940"/>
    <w:rsid w:val="00C029A2"/>
    <w:rsid w:val="00C059B4"/>
    <w:rsid w:val="00C10B8D"/>
    <w:rsid w:val="00C13AA4"/>
    <w:rsid w:val="00C17D68"/>
    <w:rsid w:val="00C2400F"/>
    <w:rsid w:val="00C246B0"/>
    <w:rsid w:val="00C27E37"/>
    <w:rsid w:val="00C37849"/>
    <w:rsid w:val="00C37C09"/>
    <w:rsid w:val="00C462E9"/>
    <w:rsid w:val="00C466DC"/>
    <w:rsid w:val="00C5117C"/>
    <w:rsid w:val="00C53659"/>
    <w:rsid w:val="00C558B9"/>
    <w:rsid w:val="00C55A5A"/>
    <w:rsid w:val="00C55ADB"/>
    <w:rsid w:val="00C66945"/>
    <w:rsid w:val="00C70AC7"/>
    <w:rsid w:val="00C72DDE"/>
    <w:rsid w:val="00C7444A"/>
    <w:rsid w:val="00C74983"/>
    <w:rsid w:val="00C7755A"/>
    <w:rsid w:val="00C817FB"/>
    <w:rsid w:val="00C83446"/>
    <w:rsid w:val="00C8599C"/>
    <w:rsid w:val="00C85CAD"/>
    <w:rsid w:val="00C8611A"/>
    <w:rsid w:val="00C96E5B"/>
    <w:rsid w:val="00C97EEE"/>
    <w:rsid w:val="00CA1C6C"/>
    <w:rsid w:val="00CB0866"/>
    <w:rsid w:val="00CB09B6"/>
    <w:rsid w:val="00CB29D3"/>
    <w:rsid w:val="00CB33C1"/>
    <w:rsid w:val="00CB4B8B"/>
    <w:rsid w:val="00CB4D2B"/>
    <w:rsid w:val="00CB6F48"/>
    <w:rsid w:val="00CC4AF1"/>
    <w:rsid w:val="00CC4EB8"/>
    <w:rsid w:val="00CC5EA9"/>
    <w:rsid w:val="00CD4FEE"/>
    <w:rsid w:val="00CE1DA4"/>
    <w:rsid w:val="00CE2726"/>
    <w:rsid w:val="00CE359B"/>
    <w:rsid w:val="00CF7122"/>
    <w:rsid w:val="00CF790F"/>
    <w:rsid w:val="00D00891"/>
    <w:rsid w:val="00D03B48"/>
    <w:rsid w:val="00D057FF"/>
    <w:rsid w:val="00D201E4"/>
    <w:rsid w:val="00D21C84"/>
    <w:rsid w:val="00D27965"/>
    <w:rsid w:val="00D31C85"/>
    <w:rsid w:val="00D339F1"/>
    <w:rsid w:val="00D36D7A"/>
    <w:rsid w:val="00D40CBB"/>
    <w:rsid w:val="00D42788"/>
    <w:rsid w:val="00D43FBF"/>
    <w:rsid w:val="00D45288"/>
    <w:rsid w:val="00D5015E"/>
    <w:rsid w:val="00D51527"/>
    <w:rsid w:val="00D6515C"/>
    <w:rsid w:val="00D67AB4"/>
    <w:rsid w:val="00D67DAF"/>
    <w:rsid w:val="00D7008C"/>
    <w:rsid w:val="00D76244"/>
    <w:rsid w:val="00D775C2"/>
    <w:rsid w:val="00D80DF7"/>
    <w:rsid w:val="00D840DC"/>
    <w:rsid w:val="00D879B7"/>
    <w:rsid w:val="00D91007"/>
    <w:rsid w:val="00D91909"/>
    <w:rsid w:val="00D94D47"/>
    <w:rsid w:val="00DA2190"/>
    <w:rsid w:val="00DA2971"/>
    <w:rsid w:val="00DA6032"/>
    <w:rsid w:val="00DB11A3"/>
    <w:rsid w:val="00DB1C2C"/>
    <w:rsid w:val="00DC1AFC"/>
    <w:rsid w:val="00DC2ED2"/>
    <w:rsid w:val="00DC575A"/>
    <w:rsid w:val="00DC6477"/>
    <w:rsid w:val="00DD2E64"/>
    <w:rsid w:val="00DE45C1"/>
    <w:rsid w:val="00DE6891"/>
    <w:rsid w:val="00DE6B52"/>
    <w:rsid w:val="00DF0366"/>
    <w:rsid w:val="00DF3421"/>
    <w:rsid w:val="00DF488E"/>
    <w:rsid w:val="00DF4B25"/>
    <w:rsid w:val="00DF4C99"/>
    <w:rsid w:val="00E0053A"/>
    <w:rsid w:val="00E024A3"/>
    <w:rsid w:val="00E04E44"/>
    <w:rsid w:val="00E11840"/>
    <w:rsid w:val="00E2218B"/>
    <w:rsid w:val="00E2350B"/>
    <w:rsid w:val="00E23F2E"/>
    <w:rsid w:val="00E3030D"/>
    <w:rsid w:val="00E31FA0"/>
    <w:rsid w:val="00E358D4"/>
    <w:rsid w:val="00E36E38"/>
    <w:rsid w:val="00E37984"/>
    <w:rsid w:val="00E42638"/>
    <w:rsid w:val="00E44300"/>
    <w:rsid w:val="00E44617"/>
    <w:rsid w:val="00E45A98"/>
    <w:rsid w:val="00E461FB"/>
    <w:rsid w:val="00E60CDD"/>
    <w:rsid w:val="00E72766"/>
    <w:rsid w:val="00E73C32"/>
    <w:rsid w:val="00E767F0"/>
    <w:rsid w:val="00E77B44"/>
    <w:rsid w:val="00E86C10"/>
    <w:rsid w:val="00E87C8D"/>
    <w:rsid w:val="00E900DC"/>
    <w:rsid w:val="00E92730"/>
    <w:rsid w:val="00E9327B"/>
    <w:rsid w:val="00E97719"/>
    <w:rsid w:val="00EA08C2"/>
    <w:rsid w:val="00EA46DD"/>
    <w:rsid w:val="00EA6D15"/>
    <w:rsid w:val="00EA7CB3"/>
    <w:rsid w:val="00EB218E"/>
    <w:rsid w:val="00EB2907"/>
    <w:rsid w:val="00EC168F"/>
    <w:rsid w:val="00EC1FA1"/>
    <w:rsid w:val="00EC4088"/>
    <w:rsid w:val="00EC6FCE"/>
    <w:rsid w:val="00ED6FE9"/>
    <w:rsid w:val="00ED7422"/>
    <w:rsid w:val="00ED75E5"/>
    <w:rsid w:val="00EE2575"/>
    <w:rsid w:val="00EE4BE3"/>
    <w:rsid w:val="00EE54FA"/>
    <w:rsid w:val="00EF25E2"/>
    <w:rsid w:val="00EF464F"/>
    <w:rsid w:val="00F003FD"/>
    <w:rsid w:val="00F00FCB"/>
    <w:rsid w:val="00F02C93"/>
    <w:rsid w:val="00F064E4"/>
    <w:rsid w:val="00F07B90"/>
    <w:rsid w:val="00F16EDA"/>
    <w:rsid w:val="00F25385"/>
    <w:rsid w:val="00F26134"/>
    <w:rsid w:val="00F2665A"/>
    <w:rsid w:val="00F274AF"/>
    <w:rsid w:val="00F341DB"/>
    <w:rsid w:val="00F34A2B"/>
    <w:rsid w:val="00F42FE5"/>
    <w:rsid w:val="00F445F4"/>
    <w:rsid w:val="00F455F0"/>
    <w:rsid w:val="00F45C49"/>
    <w:rsid w:val="00F47F2C"/>
    <w:rsid w:val="00F5077B"/>
    <w:rsid w:val="00F53AD2"/>
    <w:rsid w:val="00F53D9D"/>
    <w:rsid w:val="00F5491D"/>
    <w:rsid w:val="00F54AEE"/>
    <w:rsid w:val="00F60840"/>
    <w:rsid w:val="00F632EE"/>
    <w:rsid w:val="00F6332C"/>
    <w:rsid w:val="00F71878"/>
    <w:rsid w:val="00F73D83"/>
    <w:rsid w:val="00F74AA1"/>
    <w:rsid w:val="00F756A8"/>
    <w:rsid w:val="00F774CC"/>
    <w:rsid w:val="00F86269"/>
    <w:rsid w:val="00F9142F"/>
    <w:rsid w:val="00F91B5A"/>
    <w:rsid w:val="00F91BE7"/>
    <w:rsid w:val="00F92915"/>
    <w:rsid w:val="00F95DDE"/>
    <w:rsid w:val="00F96C3F"/>
    <w:rsid w:val="00FA0D86"/>
    <w:rsid w:val="00FA6545"/>
    <w:rsid w:val="00FA7E75"/>
    <w:rsid w:val="00FB3B55"/>
    <w:rsid w:val="00FB78FF"/>
    <w:rsid w:val="00FC2D15"/>
    <w:rsid w:val="00FC311C"/>
    <w:rsid w:val="00FC42DC"/>
    <w:rsid w:val="00FC5606"/>
    <w:rsid w:val="00FC669B"/>
    <w:rsid w:val="00FD3D49"/>
    <w:rsid w:val="01C29CAE"/>
    <w:rsid w:val="10BAAB1A"/>
    <w:rsid w:val="116E91CC"/>
    <w:rsid w:val="18331799"/>
    <w:rsid w:val="1A9A971E"/>
    <w:rsid w:val="1FDF015A"/>
    <w:rsid w:val="20AE7ABB"/>
    <w:rsid w:val="22F79511"/>
    <w:rsid w:val="232BE6E1"/>
    <w:rsid w:val="23761384"/>
    <w:rsid w:val="2882F7C8"/>
    <w:rsid w:val="288A9071"/>
    <w:rsid w:val="30E38C62"/>
    <w:rsid w:val="351FF956"/>
    <w:rsid w:val="3907E0BF"/>
    <w:rsid w:val="3B35D294"/>
    <w:rsid w:val="4A0C92E4"/>
    <w:rsid w:val="4BBCF54C"/>
    <w:rsid w:val="52F22B5C"/>
    <w:rsid w:val="54A62C2B"/>
    <w:rsid w:val="57220CC1"/>
    <w:rsid w:val="5A07E6B7"/>
    <w:rsid w:val="5BE08D40"/>
    <w:rsid w:val="64754A27"/>
    <w:rsid w:val="6A082D41"/>
    <w:rsid w:val="72969BA7"/>
    <w:rsid w:val="759A07EB"/>
    <w:rsid w:val="78F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3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6DC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8CC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BFF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BFF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BFF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BFF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BFF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BFF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BFF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Text">
    <w:name w:val="TBL Text"/>
    <w:basedOn w:val="Normal"/>
    <w:uiPriority w:val="9"/>
    <w:qFormat/>
    <w:rsid w:val="003B7955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652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C49"/>
    <w:rPr>
      <w:color w:val="385623" w:themeColor="accent6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AF"/>
  </w:style>
  <w:style w:type="paragraph" w:styleId="Footer">
    <w:name w:val="footer"/>
    <w:basedOn w:val="Normal"/>
    <w:link w:val="FooterChar"/>
    <w:uiPriority w:val="99"/>
    <w:unhideWhenUsed/>
    <w:rsid w:val="002E6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AF"/>
  </w:style>
  <w:style w:type="character" w:styleId="CommentReference">
    <w:name w:val="annotation reference"/>
    <w:basedOn w:val="DefaultParagraphFont"/>
    <w:uiPriority w:val="99"/>
    <w:semiHidden/>
    <w:unhideWhenUsed/>
    <w:rsid w:val="005D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8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F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CF790F"/>
  </w:style>
  <w:style w:type="character" w:customStyle="1" w:styleId="eop">
    <w:name w:val="eop"/>
    <w:basedOn w:val="DefaultParagraphFont"/>
    <w:rsid w:val="00CF790F"/>
  </w:style>
  <w:style w:type="character" w:customStyle="1" w:styleId="Heading3Char">
    <w:name w:val="Heading 3 Char"/>
    <w:basedOn w:val="DefaultParagraphFont"/>
    <w:link w:val="Heading3"/>
    <w:uiPriority w:val="9"/>
    <w:semiHidden/>
    <w:rsid w:val="00024B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B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BF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B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B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B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B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F47F2C"/>
    <w:pPr>
      <w:numPr>
        <w:numId w:val="0"/>
      </w:numPr>
      <w:pBdr>
        <w:bottom w:val="single" w:sz="12" w:space="1" w:color="1F3864" w:themeColor="accent1" w:themeShade="80"/>
      </w:pBdr>
      <w:spacing w:before="0"/>
      <w:ind w:left="432" w:hanging="432"/>
    </w:pPr>
    <w:rPr>
      <w:i/>
      <w:iCs/>
      <w:color w:val="1F3864" w:themeColor="accent1" w:themeShade="80"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47F2C"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32"/>
      <w:szCs w:val="3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08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8"/>
    <w:qFormat/>
    <w:rsid w:val="00C558B9"/>
    <w:pPr>
      <w:numPr>
        <w:ilvl w:val="1"/>
      </w:numPr>
      <w:suppressAutoHyphens/>
      <w:spacing w:before="240" w:line="240" w:lineRule="auto"/>
    </w:pPr>
    <w:rPr>
      <w:rFonts w:asciiTheme="majorHAnsi" w:eastAsiaTheme="minorEastAsia" w:hAnsiTheme="majorHAnsi"/>
      <w:color w:val="377B88"/>
      <w:kern w:val="12"/>
      <w:sz w:val="4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8"/>
    <w:rsid w:val="00C558B9"/>
    <w:rPr>
      <w:rFonts w:asciiTheme="majorHAnsi" w:eastAsiaTheme="minorEastAsia" w:hAnsiTheme="majorHAnsi"/>
      <w:color w:val="377B88"/>
      <w:kern w:val="12"/>
      <w:sz w:val="44"/>
      <w14:ligatures w14:val="none"/>
    </w:rPr>
  </w:style>
  <w:style w:type="character" w:customStyle="1" w:styleId="field">
    <w:name w:val="field"/>
    <w:basedOn w:val="DefaultParagraphFont"/>
    <w:rsid w:val="00C558B9"/>
  </w:style>
  <w:style w:type="character" w:styleId="FollowedHyperlink">
    <w:name w:val="FollowedHyperlink"/>
    <w:basedOn w:val="DefaultParagraphFont"/>
    <w:uiPriority w:val="99"/>
    <w:semiHidden/>
    <w:unhideWhenUsed/>
    <w:rsid w:val="00C558B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ceew.gov.au/climate-change/publications/better-fuel-for-cleaner-air-regulation-impact-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vaenergy.com.au/investor-centre/asx-announcements" TargetMode="External"/><Relationship Id="rId1" Type="http://schemas.openxmlformats.org/officeDocument/2006/relationships/hyperlink" Target="https://www.ampol.com.au/about-ampol/investor-centre/asx-announcement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3102-4BD1-4F4E-8EF7-098E0E6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Links>
    <vt:vector size="18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https://www.dcceew.gov.au/climate-change/publications/better-fuel-for-cleaner-air-regulation-impact-statement</vt:lpwstr>
      </vt:variant>
      <vt:variant>
        <vt:lpwstr>:~:text=The%20quality%20of%20our%20fuel,vehicles%20to%20operate%20more%20effectively</vt:lpwstr>
      </vt:variant>
      <vt:variant>
        <vt:i4>8192100</vt:i4>
      </vt:variant>
      <vt:variant>
        <vt:i4>3</vt:i4>
      </vt:variant>
      <vt:variant>
        <vt:i4>0</vt:i4>
      </vt:variant>
      <vt:variant>
        <vt:i4>5</vt:i4>
      </vt:variant>
      <vt:variant>
        <vt:lpwstr>https://www.vivaenergy.com.au/investor-centre/asx-announcements</vt:lpwstr>
      </vt:variant>
      <vt:variant>
        <vt:lpwstr/>
      </vt:variant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https://www.ampol.com.au/about-ampol/investor-centre/asx-announcements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2024-01-08T22:59:00Z</dcterms:created>
  <dcterms:modified xsi:type="dcterms:W3CDTF">2024-01-08T23:01:00Z</dcterms:modified>
</cp:coreProperties>
</file>