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C731F" w14:textId="77777777" w:rsidR="009F30A6" w:rsidRDefault="00455B80" w:rsidP="009F30A6">
      <w:pPr>
        <w:spacing w:before="0" w:after="4000"/>
      </w:pPr>
      <w:r>
        <w:rPr>
          <w:noProof/>
          <w:lang w:eastAsia="en-AU"/>
        </w:rPr>
        <w:drawing>
          <wp:anchor distT="0" distB="0" distL="114300" distR="114300" simplePos="0" relativeHeight="251658241" behindDoc="1" locked="0" layoutInCell="1" allowOverlap="1" wp14:anchorId="1B562D21" wp14:editId="540E1444">
            <wp:simplePos x="0" y="0"/>
            <wp:positionH relativeFrom="page">
              <wp:posOffset>5080</wp:posOffset>
            </wp:positionH>
            <wp:positionV relativeFrom="paragraph">
              <wp:posOffset>-508635</wp:posOffset>
            </wp:positionV>
            <wp:extent cx="7559797" cy="106980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cover .jpg"/>
                    <pic:cNvPicPr/>
                  </pic:nvPicPr>
                  <pic:blipFill>
                    <a:blip r:embed="rId8"/>
                    <a:stretch>
                      <a:fillRect/>
                    </a:stretch>
                  </pic:blipFill>
                  <pic:spPr>
                    <a:xfrm>
                      <a:off x="0" y="0"/>
                      <a:ext cx="7559797" cy="10698065"/>
                    </a:xfrm>
                    <a:prstGeom prst="rect">
                      <a:avLst/>
                    </a:prstGeom>
                  </pic:spPr>
                </pic:pic>
              </a:graphicData>
            </a:graphic>
            <wp14:sizeRelH relativeFrom="page">
              <wp14:pctWidth>0</wp14:pctWidth>
            </wp14:sizeRelH>
            <wp14:sizeRelV relativeFrom="page">
              <wp14:pctHeight>0</wp14:pctHeight>
            </wp14:sizeRelV>
          </wp:anchor>
        </w:drawing>
      </w:r>
    </w:p>
    <w:tbl>
      <w:tblPr>
        <w:tblStyle w:val="NTCcovertext"/>
        <w:tblW w:w="0" w:type="auto"/>
        <w:tblLook w:val="04A0" w:firstRow="1" w:lastRow="0" w:firstColumn="1" w:lastColumn="0" w:noHBand="0" w:noVBand="1"/>
      </w:tblPr>
      <w:tblGrid>
        <w:gridCol w:w="6521"/>
      </w:tblGrid>
      <w:tr w:rsidR="00631583" w14:paraId="168E4955" w14:textId="77777777" w:rsidTr="009F30A6">
        <w:tc>
          <w:tcPr>
            <w:tcW w:w="6521" w:type="dxa"/>
          </w:tcPr>
          <w:p w14:paraId="36EF7B05" w14:textId="5FE11BA2" w:rsidR="00631583" w:rsidRDefault="00816313" w:rsidP="00AC66B8">
            <w:pPr>
              <w:pStyle w:val="Reporttitle"/>
            </w:pPr>
            <w:bookmarkStart w:id="0" w:name="title"/>
            <w:r>
              <w:t>Setting heavy vehicle charges to apply from 2023-24 onwards</w:t>
            </w:r>
            <w:r w:rsidR="00826E6A">
              <w:t xml:space="preserve"> </w:t>
            </w:r>
            <w:bookmarkEnd w:id="0"/>
          </w:p>
          <w:p w14:paraId="18693120" w14:textId="76F30CD5" w:rsidR="00816313" w:rsidRPr="00816313" w:rsidRDefault="00816313" w:rsidP="00AC66B8">
            <w:pPr>
              <w:pStyle w:val="Reporttitle"/>
              <w:rPr>
                <w:sz w:val="28"/>
                <w:szCs w:val="28"/>
              </w:rPr>
            </w:pPr>
            <w:r>
              <w:rPr>
                <w:sz w:val="28"/>
                <w:szCs w:val="28"/>
              </w:rPr>
              <w:t xml:space="preserve">Supplementary paper to </w:t>
            </w:r>
            <w:r w:rsidR="00920006">
              <w:rPr>
                <w:sz w:val="28"/>
                <w:szCs w:val="28"/>
              </w:rPr>
              <w:t xml:space="preserve">the </w:t>
            </w:r>
            <w:r>
              <w:rPr>
                <w:sz w:val="28"/>
                <w:szCs w:val="28"/>
              </w:rPr>
              <w:t>2021 heavy vehicle charges determination – decision regulation impact statement – December 2021</w:t>
            </w:r>
          </w:p>
        </w:tc>
      </w:tr>
      <w:tr w:rsidR="00631583" w14:paraId="72F63155" w14:textId="77777777" w:rsidTr="009F30A6">
        <w:tc>
          <w:tcPr>
            <w:tcW w:w="6521" w:type="dxa"/>
          </w:tcPr>
          <w:p w14:paraId="6B9FF7E6" w14:textId="1255321C" w:rsidR="00631583" w:rsidRPr="00631583" w:rsidRDefault="00920006" w:rsidP="00AC66B8">
            <w:pPr>
              <w:pStyle w:val="Reportdate"/>
            </w:pPr>
            <w:r>
              <w:t>December</w:t>
            </w:r>
            <w:r w:rsidR="00816313">
              <w:t xml:space="preserve"> 2022</w:t>
            </w:r>
          </w:p>
        </w:tc>
      </w:tr>
    </w:tbl>
    <w:p w14:paraId="69CF709A" w14:textId="77777777" w:rsidR="006E6539" w:rsidRPr="00A84A9C" w:rsidRDefault="00341DA7" w:rsidP="009476C1">
      <w:pPr>
        <w:pStyle w:val="BodyCopy"/>
        <w:rPr>
          <w:noProof/>
          <w:sz w:val="2"/>
          <w:szCs w:val="2"/>
          <w:lang w:eastAsia="en-AU"/>
        </w:rPr>
      </w:pPr>
      <w:r>
        <w:rPr>
          <w:noProof/>
          <w:lang w:eastAsia="en-AU"/>
        </w:rPr>
        <mc:AlternateContent>
          <mc:Choice Requires="wps">
            <w:drawing>
              <wp:anchor distT="45720" distB="45720" distL="114300" distR="114300" simplePos="0" relativeHeight="251658244" behindDoc="1" locked="0" layoutInCell="1" allowOverlap="1" wp14:anchorId="3B2C6745" wp14:editId="3182917E">
                <wp:simplePos x="0" y="0"/>
                <wp:positionH relativeFrom="margin">
                  <wp:posOffset>-66675</wp:posOffset>
                </wp:positionH>
                <wp:positionV relativeFrom="paragraph">
                  <wp:posOffset>5371988</wp:posOffset>
                </wp:positionV>
                <wp:extent cx="3334870" cy="1010061"/>
                <wp:effectExtent l="0" t="0" r="5715"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870" cy="1010061"/>
                        </a:xfrm>
                        <a:prstGeom prst="rect">
                          <a:avLst/>
                        </a:prstGeom>
                        <a:solidFill>
                          <a:srgbClr val="FFFFFF"/>
                        </a:solidFill>
                        <a:ln w="9525">
                          <a:noFill/>
                          <a:miter lim="800000"/>
                          <a:headEnd/>
                          <a:tailEnd/>
                        </a:ln>
                      </wps:spPr>
                      <wps:txbx>
                        <w:txbxContent>
                          <w:p w14:paraId="3D590D92" w14:textId="77777777" w:rsidR="00855491" w:rsidRPr="00B23CE7" w:rsidRDefault="00855491" w:rsidP="00B82928">
                            <w:pPr>
                              <w:rPr>
                                <w:b/>
                                <w:sz w:val="44"/>
                                <w:szCs w:val="44"/>
                              </w:rPr>
                            </w:pPr>
                            <w:r w:rsidRPr="00B23CE7">
                              <w:rPr>
                                <w:b/>
                                <w:sz w:val="44"/>
                                <w:szCs w:val="44"/>
                              </w:rPr>
                              <w:t>Di</w:t>
                            </w:r>
                            <w:r>
                              <w:rPr>
                                <w:b/>
                                <w:sz w:val="44"/>
                                <w:szCs w:val="44"/>
                              </w:rPr>
                              <w:t>s</w:t>
                            </w:r>
                            <w:r w:rsidRPr="00B23CE7">
                              <w:rPr>
                                <w:b/>
                                <w:sz w:val="44"/>
                                <w:szCs w:val="44"/>
                              </w:rPr>
                              <w:t>cussion paper /</w:t>
                            </w:r>
                            <w:r>
                              <w:rPr>
                                <w:b/>
                                <w:sz w:val="44"/>
                                <w:szCs w:val="44"/>
                              </w:rPr>
                              <w:t xml:space="preserve"> Consultation regulation impact statement</w:t>
                            </w:r>
                          </w:p>
                          <w:p w14:paraId="1C6A6E30" w14:textId="77777777" w:rsidR="00855491" w:rsidRPr="00B23CE7" w:rsidRDefault="00855491" w:rsidP="00B82928">
                            <w:pPr>
                              <w:rPr>
                                <w:b/>
                                <w:sz w:val="44"/>
                                <w:szCs w:val="4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C6745" id="_x0000_t202" coordsize="21600,21600" o:spt="202" path="m,l,21600r21600,l21600,xe">
                <v:stroke joinstyle="miter"/>
                <v:path gradientshapeok="t" o:connecttype="rect"/>
              </v:shapetype>
              <v:shape id="Text Box 2" o:spid="_x0000_s1026" type="#_x0000_t202" style="position:absolute;margin-left:-5.25pt;margin-top:423pt;width:262.6pt;height:79.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" stroked="f">
                <v:textbox inset="0,0,0,0">
                  <w:txbxContent>
                    <w:p w14:paraId="3D590D92" w14:textId="77777777" w:rsidR="00855491" w:rsidRPr="00B23CE7" w:rsidRDefault="00855491" w:rsidP="00B82928">
                      <w:pPr>
                        <w:rPr>
                          <w:b/>
                          <w:sz w:val="44"/>
                          <w:szCs w:val="44"/>
                        </w:rPr>
                      </w:pPr>
                      <w:r w:rsidRPr="00B23CE7">
                        <w:rPr>
                          <w:b/>
                          <w:sz w:val="44"/>
                          <w:szCs w:val="44"/>
                        </w:rPr>
                        <w:t>Di</w:t>
                      </w:r>
                      <w:r>
                        <w:rPr>
                          <w:b/>
                          <w:sz w:val="44"/>
                          <w:szCs w:val="44"/>
                        </w:rPr>
                        <w:t>s</w:t>
                      </w:r>
                      <w:r w:rsidRPr="00B23CE7">
                        <w:rPr>
                          <w:b/>
                          <w:sz w:val="44"/>
                          <w:szCs w:val="44"/>
                        </w:rPr>
                        <w:t>cussion paper /</w:t>
                      </w:r>
                      <w:r>
                        <w:rPr>
                          <w:b/>
                          <w:sz w:val="44"/>
                          <w:szCs w:val="44"/>
                        </w:rPr>
                        <w:t xml:space="preserve"> Consultation regulation impact statement</w:t>
                      </w:r>
                    </w:p>
                    <w:p w14:paraId="1C6A6E30" w14:textId="77777777" w:rsidR="00855491" w:rsidRPr="00B23CE7" w:rsidRDefault="00855491" w:rsidP="00B82928">
                      <w:pPr>
                        <w:rPr>
                          <w:b/>
                          <w:sz w:val="44"/>
                          <w:szCs w:val="44"/>
                        </w:rPr>
                      </w:pPr>
                    </w:p>
                  </w:txbxContent>
                </v:textbox>
                <w10:wrap anchorx="margin"/>
              </v:shape>
            </w:pict>
          </mc:Fallback>
        </mc:AlternateContent>
      </w:r>
      <w:r w:rsidR="00396061">
        <w:rPr>
          <w:noProof/>
          <w:lang w:eastAsia="en-AU"/>
        </w:rPr>
        <mc:AlternateContent>
          <mc:Choice Requires="wps">
            <w:drawing>
              <wp:anchor distT="45720" distB="45720" distL="114300" distR="114300" simplePos="0" relativeHeight="251658242" behindDoc="0" locked="0" layoutInCell="1" allowOverlap="1" wp14:anchorId="791456ED" wp14:editId="1C57BF3B">
                <wp:simplePos x="0" y="0"/>
                <wp:positionH relativeFrom="margin">
                  <wp:align>left</wp:align>
                </wp:positionH>
                <wp:positionV relativeFrom="paragraph">
                  <wp:posOffset>236855</wp:posOffset>
                </wp:positionV>
                <wp:extent cx="4667250" cy="16344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34837"/>
                        </a:xfrm>
                        <a:prstGeom prst="rect">
                          <a:avLst/>
                        </a:prstGeom>
                        <a:solidFill>
                          <a:srgbClr val="FFFFFF"/>
                        </a:solidFill>
                        <a:ln w="9525">
                          <a:solidFill>
                            <a:srgbClr val="000000"/>
                          </a:solidFill>
                          <a:miter lim="800000"/>
                          <a:headEnd/>
                          <a:tailEnd/>
                        </a:ln>
                      </wps:spPr>
                      <wps:txbx>
                        <w:txbxContent>
                          <w:p w14:paraId="59EE35D8" w14:textId="286EFAC0" w:rsidR="00855491" w:rsidRPr="00F034D7" w:rsidRDefault="001E47EF" w:rsidP="003531E2">
                            <w:pPr>
                              <w:rPr>
                                <w:sz w:val="52"/>
                                <w:szCs w:val="52"/>
                              </w:rPr>
                            </w:pPr>
                            <w:bookmarkStart w:id="1" w:name="_Hlk534814080"/>
                            <w:r>
                              <w:rPr>
                                <w:sz w:val="52"/>
                                <w:szCs w:val="52"/>
                              </w:rPr>
                              <w:t>F</w:t>
                            </w:r>
                            <w:r w:rsidR="00206BA2">
                              <w:rPr>
                                <w:sz w:val="52"/>
                                <w:szCs w:val="52"/>
                              </w:rPr>
                              <w:t>or ITMM consideration</w:t>
                            </w:r>
                          </w:p>
                          <w:bookmarkEnd w:id="1"/>
                          <w:p w14:paraId="22947796" w14:textId="77777777" w:rsidR="00855491" w:rsidRDefault="00855491" w:rsidP="00353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56ED" id="_x0000_s1027" type="#_x0000_t202" style="position:absolute;margin-left:0;margin-top:18.65pt;width:367.5pt;height:128.7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syJwIAAE4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">
                <v:textbox>
                  <w:txbxContent>
                    <w:p w14:paraId="59EE35D8" w14:textId="286EFAC0" w:rsidR="00855491" w:rsidRPr="00F034D7" w:rsidRDefault="001E47EF" w:rsidP="003531E2">
                      <w:pPr>
                        <w:rPr>
                          <w:sz w:val="52"/>
                          <w:szCs w:val="52"/>
                        </w:rPr>
                      </w:pPr>
                      <w:bookmarkStart w:id="2" w:name="_Hlk534814080"/>
                      <w:r>
                        <w:rPr>
                          <w:sz w:val="52"/>
                          <w:szCs w:val="52"/>
                        </w:rPr>
                        <w:t>F</w:t>
                      </w:r>
                      <w:r w:rsidR="00206BA2">
                        <w:rPr>
                          <w:sz w:val="52"/>
                          <w:szCs w:val="52"/>
                        </w:rPr>
                        <w:t>or ITMM consideration</w:t>
                      </w:r>
                    </w:p>
                    <w:bookmarkEnd w:id="2"/>
                    <w:p w14:paraId="22947796" w14:textId="77777777" w:rsidR="00855491" w:rsidRDefault="00855491" w:rsidP="003531E2"/>
                  </w:txbxContent>
                </v:textbox>
                <w10:wrap type="square" anchorx="margin"/>
              </v:shape>
            </w:pict>
          </mc:Fallback>
        </mc:AlternateContent>
      </w:r>
      <w:r w:rsidR="00191E51" w:rsidRPr="00191E51">
        <w:rPr>
          <w:noProof/>
          <w:lang w:eastAsia="en-AU"/>
        </w:rPr>
        <w:br w:type="page"/>
      </w:r>
    </w:p>
    <w:p w14:paraId="561FC558" w14:textId="77777777" w:rsidR="00656C96" w:rsidRPr="0050190E" w:rsidRDefault="00656C96" w:rsidP="00FD5B74">
      <w:pPr>
        <w:pStyle w:val="Heading1"/>
        <w:numPr>
          <w:ilvl w:val="0"/>
          <w:numId w:val="0"/>
        </w:numPr>
        <w:ind w:left="432" w:hanging="432"/>
      </w:pPr>
      <w:bookmarkStart w:id="3" w:name="_Toc121234730"/>
      <w:r>
        <w:lastRenderedPageBreak/>
        <w:t xml:space="preserve">Report </w:t>
      </w:r>
      <w:r w:rsidRPr="00735BB8">
        <w:t>outline</w:t>
      </w:r>
      <w:bookmarkEnd w:id="3"/>
    </w:p>
    <w:tbl>
      <w:tblPr>
        <w:tblW w:w="0" w:type="auto"/>
        <w:tblLayout w:type="fixed"/>
        <w:tblCellMar>
          <w:left w:w="0" w:type="dxa"/>
          <w:bottom w:w="284" w:type="dxa"/>
          <w:right w:w="0" w:type="dxa"/>
        </w:tblCellMar>
        <w:tblLook w:val="0000" w:firstRow="0" w:lastRow="0" w:firstColumn="0" w:lastColumn="0" w:noHBand="0" w:noVBand="0"/>
      </w:tblPr>
      <w:tblGrid>
        <w:gridCol w:w="2093"/>
        <w:gridCol w:w="6911"/>
      </w:tblGrid>
      <w:tr w:rsidR="009476C1" w14:paraId="7E20C395" w14:textId="77777777" w:rsidTr="00FD5B74">
        <w:trPr>
          <w:trHeight w:val="454"/>
        </w:trPr>
        <w:tc>
          <w:tcPr>
            <w:tcW w:w="2093" w:type="dxa"/>
          </w:tcPr>
          <w:p w14:paraId="1BE2B569" w14:textId="77777777" w:rsidR="009476C1" w:rsidRPr="009476C1" w:rsidRDefault="009476C1" w:rsidP="00FD5B74">
            <w:pPr>
              <w:pStyle w:val="BodyCopy"/>
              <w:spacing w:before="0"/>
            </w:pPr>
            <w:r>
              <w:rPr>
                <w:b/>
              </w:rPr>
              <w:t>Title</w:t>
            </w:r>
          </w:p>
        </w:tc>
        <w:tc>
          <w:tcPr>
            <w:tcW w:w="6911" w:type="dxa"/>
          </w:tcPr>
          <w:p w14:paraId="63563AF5" w14:textId="13717AD6" w:rsidR="009476C1" w:rsidRPr="00816313" w:rsidRDefault="00816313" w:rsidP="00816313">
            <w:pPr>
              <w:pStyle w:val="BodyCopy"/>
              <w:spacing w:before="0"/>
            </w:pPr>
            <w:r>
              <w:t>Setting heavy vehicle charges to apply from 2023-24 onwards: S</w:t>
            </w:r>
            <w:r w:rsidRPr="00816313">
              <w:t>upplementary paper to 2021 heavy vehicle charges determination – decision regulation impact statement – December 2021</w:t>
            </w:r>
          </w:p>
        </w:tc>
      </w:tr>
      <w:tr w:rsidR="009476C1" w14:paraId="4558F24C" w14:textId="77777777" w:rsidTr="00FD5B74">
        <w:trPr>
          <w:trHeight w:val="454"/>
        </w:trPr>
        <w:tc>
          <w:tcPr>
            <w:tcW w:w="2093" w:type="dxa"/>
          </w:tcPr>
          <w:p w14:paraId="49FC31A0" w14:textId="77777777" w:rsidR="009476C1" w:rsidRDefault="009476C1" w:rsidP="00FD5B74">
            <w:pPr>
              <w:pStyle w:val="BodyCopy"/>
              <w:spacing w:before="0"/>
              <w:rPr>
                <w:b/>
              </w:rPr>
            </w:pPr>
            <w:r>
              <w:rPr>
                <w:b/>
              </w:rPr>
              <w:t>Type of report</w:t>
            </w:r>
          </w:p>
        </w:tc>
        <w:tc>
          <w:tcPr>
            <w:tcW w:w="6911" w:type="dxa"/>
          </w:tcPr>
          <w:p w14:paraId="6B08A2C3" w14:textId="7CEF66AF" w:rsidR="009476C1" w:rsidRPr="009476C1" w:rsidRDefault="00816313" w:rsidP="00FD5B74">
            <w:pPr>
              <w:pStyle w:val="BodyCopy"/>
              <w:spacing w:before="0"/>
            </w:pPr>
            <w:r>
              <w:t>Supplementary paper to decision regulation impact statement</w:t>
            </w:r>
          </w:p>
        </w:tc>
      </w:tr>
      <w:tr w:rsidR="009476C1" w14:paraId="39241DFD" w14:textId="77777777" w:rsidTr="00FD5B74">
        <w:trPr>
          <w:trHeight w:val="454"/>
        </w:trPr>
        <w:tc>
          <w:tcPr>
            <w:tcW w:w="2093" w:type="dxa"/>
          </w:tcPr>
          <w:p w14:paraId="00543756" w14:textId="77777777" w:rsidR="009476C1" w:rsidRDefault="009476C1" w:rsidP="00FD5B74">
            <w:pPr>
              <w:pStyle w:val="BodyCopy"/>
              <w:spacing w:before="0"/>
              <w:rPr>
                <w:b/>
              </w:rPr>
            </w:pPr>
            <w:r w:rsidRPr="006E6539">
              <w:rPr>
                <w:b/>
              </w:rPr>
              <w:t>Purpose</w:t>
            </w:r>
          </w:p>
        </w:tc>
        <w:tc>
          <w:tcPr>
            <w:tcW w:w="6911" w:type="dxa"/>
          </w:tcPr>
          <w:p w14:paraId="39DB9D08" w14:textId="4E43C808" w:rsidR="009476C1" w:rsidRDefault="00816313" w:rsidP="00FD5B74">
            <w:pPr>
              <w:pStyle w:val="BodyCopy"/>
              <w:spacing w:before="0"/>
              <w:rPr>
                <w:b/>
              </w:rPr>
            </w:pPr>
            <w:r w:rsidRPr="00B77A0C">
              <w:rPr>
                <w:color w:val="auto"/>
                <w:szCs w:val="22"/>
              </w:rPr>
              <w:t xml:space="preserve">For </w:t>
            </w:r>
            <w:r>
              <w:rPr>
                <w:color w:val="auto"/>
                <w:szCs w:val="22"/>
              </w:rPr>
              <w:t xml:space="preserve">consideration by infrastructure and transport ministers as part of making decisions on implementing the heavy vehicle charges determination from 2023–24 onwards. </w:t>
            </w:r>
          </w:p>
        </w:tc>
      </w:tr>
      <w:tr w:rsidR="009476C1" w14:paraId="24E5C1A5" w14:textId="77777777" w:rsidTr="00FD5B74">
        <w:trPr>
          <w:trHeight w:val="454"/>
        </w:trPr>
        <w:tc>
          <w:tcPr>
            <w:tcW w:w="2093" w:type="dxa"/>
          </w:tcPr>
          <w:p w14:paraId="399F5238" w14:textId="77777777" w:rsidR="009476C1" w:rsidRDefault="009476C1" w:rsidP="00FD5B74">
            <w:pPr>
              <w:pStyle w:val="BodyCopy"/>
              <w:spacing w:before="0"/>
              <w:rPr>
                <w:b/>
              </w:rPr>
            </w:pPr>
            <w:r w:rsidRPr="006E6539">
              <w:rPr>
                <w:b/>
              </w:rPr>
              <w:t>Abstract</w:t>
            </w:r>
          </w:p>
        </w:tc>
        <w:tc>
          <w:tcPr>
            <w:tcW w:w="6911" w:type="dxa"/>
          </w:tcPr>
          <w:p w14:paraId="302209FB" w14:textId="3F89D32C" w:rsidR="009476C1" w:rsidRPr="007A349D" w:rsidRDefault="007A349D" w:rsidP="00FD5B74">
            <w:pPr>
              <w:pStyle w:val="BodyCopy"/>
              <w:spacing w:before="0"/>
              <w:rPr>
                <w:bCs/>
              </w:rPr>
            </w:pPr>
            <w:r>
              <w:rPr>
                <w:bCs/>
              </w:rPr>
              <w:t xml:space="preserve">This paper outlines options for setting heavy vehicle charges from 2023-24 onwards. These options build on the recommendations contained in the 2021 Heavy Vehicle Charges determination. This paper shows the options considered, and provides a summary of stakeholder feedback received.  </w:t>
            </w:r>
          </w:p>
        </w:tc>
      </w:tr>
      <w:tr w:rsidR="003531E2" w14:paraId="0A187B23" w14:textId="77777777" w:rsidTr="00FD5B74">
        <w:trPr>
          <w:trHeight w:val="454"/>
        </w:trPr>
        <w:tc>
          <w:tcPr>
            <w:tcW w:w="2093" w:type="dxa"/>
          </w:tcPr>
          <w:p w14:paraId="7539906A" w14:textId="77777777" w:rsidR="003531E2" w:rsidRDefault="003531E2" w:rsidP="00FD5B74">
            <w:pPr>
              <w:pStyle w:val="BodyCopy"/>
              <w:spacing w:before="0"/>
              <w:rPr>
                <w:b/>
              </w:rPr>
            </w:pPr>
            <w:r>
              <w:rPr>
                <w:b/>
              </w:rPr>
              <w:t>Attribution</w:t>
            </w:r>
          </w:p>
        </w:tc>
        <w:tc>
          <w:tcPr>
            <w:tcW w:w="6911" w:type="dxa"/>
          </w:tcPr>
          <w:p w14:paraId="3C661D22" w14:textId="44EBC68A" w:rsidR="003531E2" w:rsidRPr="007A349D" w:rsidRDefault="003531E2" w:rsidP="00FD5B74">
            <w:pPr>
              <w:pStyle w:val="BodyCopy"/>
              <w:spacing w:before="0"/>
            </w:pPr>
            <w:r w:rsidRPr="007A349D">
              <w:t xml:space="preserve">This work should be attributed as follows, Source: </w:t>
            </w:r>
            <w:bookmarkStart w:id="4" w:name="_Hlk120277421"/>
            <w:r w:rsidRPr="007A349D">
              <w:t xml:space="preserve">National Transport Commission, </w:t>
            </w:r>
            <w:r w:rsidR="007A349D" w:rsidRPr="007A349D">
              <w:t>Setting heavy vehicle charges to apply from 2023-24 onwards, supplementary paper to 2021 Heavy Vehicle Charges Determination decision regulation impact statement.</w:t>
            </w:r>
            <w:bookmarkEnd w:id="4"/>
          </w:p>
          <w:p w14:paraId="3478671C" w14:textId="4106BAB3" w:rsidR="003531E2" w:rsidRPr="003531E2" w:rsidRDefault="003531E2" w:rsidP="00FD5B74">
            <w:pPr>
              <w:pStyle w:val="BodyCopy"/>
              <w:spacing w:before="0"/>
            </w:pPr>
            <w:r w:rsidRPr="007A349D">
              <w:t>If you have adapted, modified or transformed this work in anyway, please use the following, Source: based on</w:t>
            </w:r>
            <w:r w:rsidR="007A349D" w:rsidRPr="007A349D">
              <w:t xml:space="preserve"> National Transport Commission, Setting heavy vehicle charges to apply from 2023-24 onwards, supplementary paper to 2021 Heavy Vehicle Charges Determination decision regulation impact statement.</w:t>
            </w:r>
            <w:r w:rsidRPr="00816313">
              <w:rPr>
                <w:highlight w:val="yellow"/>
              </w:rPr>
              <w:t xml:space="preserve"> </w:t>
            </w:r>
          </w:p>
        </w:tc>
      </w:tr>
      <w:tr w:rsidR="00816313" w14:paraId="168021D0" w14:textId="77777777" w:rsidTr="00FD5B74">
        <w:trPr>
          <w:trHeight w:val="454"/>
        </w:trPr>
        <w:tc>
          <w:tcPr>
            <w:tcW w:w="2093" w:type="dxa"/>
          </w:tcPr>
          <w:p w14:paraId="683898A6" w14:textId="77777777" w:rsidR="00816313" w:rsidRDefault="00816313" w:rsidP="00816313">
            <w:pPr>
              <w:pStyle w:val="BodyCopy"/>
              <w:spacing w:before="0"/>
              <w:rPr>
                <w:b/>
              </w:rPr>
            </w:pPr>
            <w:r w:rsidRPr="006E6539">
              <w:rPr>
                <w:b/>
              </w:rPr>
              <w:t>Key words</w:t>
            </w:r>
          </w:p>
        </w:tc>
        <w:tc>
          <w:tcPr>
            <w:tcW w:w="6911" w:type="dxa"/>
          </w:tcPr>
          <w:p w14:paraId="5E44F537" w14:textId="5ECDC40C" w:rsidR="00816313" w:rsidRDefault="00816313" w:rsidP="00816313">
            <w:pPr>
              <w:pStyle w:val="BodyCopy"/>
              <w:spacing w:before="0"/>
              <w:rPr>
                <w:b/>
              </w:rPr>
            </w:pPr>
            <w:r>
              <w:rPr>
                <w:color w:val="auto"/>
                <w:szCs w:val="22"/>
              </w:rPr>
              <w:t>Heavy vehicle charges, PAYGO, RUC, registration charges</w:t>
            </w:r>
          </w:p>
        </w:tc>
      </w:tr>
      <w:tr w:rsidR="00816313" w14:paraId="32ED6009" w14:textId="77777777" w:rsidTr="00FD5B74">
        <w:trPr>
          <w:trHeight w:val="454"/>
        </w:trPr>
        <w:tc>
          <w:tcPr>
            <w:tcW w:w="2093" w:type="dxa"/>
          </w:tcPr>
          <w:p w14:paraId="4C9DF271" w14:textId="77777777" w:rsidR="00816313" w:rsidRDefault="00816313" w:rsidP="00816313">
            <w:pPr>
              <w:pStyle w:val="BodyCopy"/>
              <w:spacing w:before="0"/>
              <w:rPr>
                <w:b/>
              </w:rPr>
            </w:pPr>
            <w:r w:rsidRPr="006E6539">
              <w:rPr>
                <w:b/>
              </w:rPr>
              <w:t>Contact</w:t>
            </w:r>
          </w:p>
        </w:tc>
        <w:tc>
          <w:tcPr>
            <w:tcW w:w="6911" w:type="dxa"/>
          </w:tcPr>
          <w:p w14:paraId="6AE8378E" w14:textId="7D840BF6" w:rsidR="00816313" w:rsidRPr="00816313" w:rsidRDefault="00816313" w:rsidP="00816313">
            <w:pPr>
              <w:pStyle w:val="BodyCopy"/>
              <w:spacing w:before="0" w:after="0"/>
            </w:pPr>
            <w:r w:rsidRPr="00816313">
              <w:t>Ramon Staheli</w:t>
            </w:r>
          </w:p>
          <w:p w14:paraId="4DCBEA5B" w14:textId="72F7A888" w:rsidR="00816313" w:rsidRPr="00816313" w:rsidRDefault="00816313" w:rsidP="00816313">
            <w:pPr>
              <w:pStyle w:val="BodyCopy"/>
              <w:spacing w:before="0" w:after="0"/>
            </w:pPr>
            <w:r w:rsidRPr="00816313">
              <w:t>Head of Economics</w:t>
            </w:r>
          </w:p>
          <w:p w14:paraId="626AB6A2" w14:textId="311E4C52" w:rsidR="00816313" w:rsidRDefault="00816313" w:rsidP="00816313">
            <w:pPr>
              <w:pStyle w:val="BodyCopy"/>
              <w:spacing w:before="0"/>
              <w:rPr>
                <w:b/>
              </w:rPr>
            </w:pPr>
            <w:r w:rsidRPr="00D202A8">
              <w:t>National Transport Commis</w:t>
            </w:r>
            <w:r>
              <w:t>s</w:t>
            </w:r>
            <w:r w:rsidRPr="00D202A8">
              <w:t>ion</w:t>
            </w:r>
            <w:r>
              <w:br/>
              <w:t>Level 3/</w:t>
            </w:r>
            <w:r w:rsidRPr="00D202A8">
              <w:t>6</w:t>
            </w:r>
            <w:r>
              <w:t>00</w:t>
            </w:r>
            <w:r w:rsidRPr="00D202A8">
              <w:t xml:space="preserve"> Bourke Street</w:t>
            </w:r>
            <w:r>
              <w:br/>
            </w:r>
            <w:r w:rsidRPr="00D202A8">
              <w:t>Melbourne VIC 3000</w:t>
            </w:r>
            <w:r>
              <w:br/>
            </w:r>
            <w:r w:rsidRPr="00D202A8">
              <w:t>Ph:</w:t>
            </w:r>
            <w:r>
              <w:t xml:space="preserve"> (03) 9236 5028 </w:t>
            </w:r>
            <w:r>
              <w:br/>
            </w:r>
            <w:r w:rsidRPr="00A96960">
              <w:t xml:space="preserve">Email: </w:t>
            </w:r>
            <w:hyperlink r:id="rId9" w:history="1">
              <w:r w:rsidRPr="009C4D2E">
                <w:rPr>
                  <w:rStyle w:val="Hyperlink"/>
                </w:rPr>
                <w:t>rstaheli@ntc.gov.au</w:t>
              </w:r>
            </w:hyperlink>
            <w:r w:rsidRPr="00A96960">
              <w:t xml:space="preserve"> </w:t>
            </w:r>
            <w:r w:rsidRPr="00A96960">
              <w:br/>
            </w:r>
            <w:hyperlink r:id="rId10" w:history="1">
              <w:r w:rsidRPr="00A96960">
                <w:rPr>
                  <w:rStyle w:val="Hyperlink"/>
                  <w:color w:val="auto"/>
                </w:rPr>
                <w:t>www.ntc.gov.au</w:t>
              </w:r>
            </w:hyperlink>
          </w:p>
        </w:tc>
      </w:tr>
    </w:tbl>
    <w:p w14:paraId="578A046C" w14:textId="77777777" w:rsidR="009B2D41" w:rsidRDefault="009B2D41">
      <w:pPr>
        <w:spacing w:before="0" w:after="0"/>
        <w:rPr>
          <w:rFonts w:eastAsia="Cambria"/>
          <w:color w:val="000000"/>
          <w:sz w:val="22"/>
          <w:szCs w:val="24"/>
        </w:rPr>
      </w:pPr>
      <w:r>
        <w:br w:type="page"/>
      </w:r>
    </w:p>
    <w:p w14:paraId="5FFBDFC2" w14:textId="77777777" w:rsidR="00097BF7" w:rsidRPr="00FD5B74" w:rsidRDefault="00097BF7" w:rsidP="000C76B7">
      <w:pPr>
        <w:pStyle w:val="BodyCopy"/>
        <w:pBdr>
          <w:bottom w:val="single" w:sz="8" w:space="4" w:color="10CFC9" w:themeColor="accent1"/>
        </w:pBdr>
        <w:spacing w:before="0" w:after="360"/>
        <w:rPr>
          <w:sz w:val="44"/>
          <w:szCs w:val="44"/>
        </w:rPr>
      </w:pPr>
      <w:bookmarkStart w:id="5" w:name="_Toc535314523"/>
      <w:bookmarkStart w:id="6" w:name="_Toc535331952"/>
      <w:r>
        <w:rPr>
          <w:sz w:val="44"/>
          <w:szCs w:val="44"/>
        </w:rPr>
        <w:t>Contents</w:t>
      </w:r>
    </w:p>
    <w:p w14:paraId="3A25A24C" w14:textId="63CD0850" w:rsidR="00D65B8B" w:rsidRDefault="00000EB3">
      <w:pPr>
        <w:pStyle w:val="TOC1"/>
        <w:rPr>
          <w:rFonts w:asciiTheme="minorHAnsi" w:eastAsiaTheme="minorEastAsia" w:hAnsiTheme="minorHAnsi" w:cstheme="minorBidi"/>
          <w:b w:val="0"/>
          <w:szCs w:val="22"/>
          <w:lang w:eastAsia="en-AU"/>
        </w:rPr>
      </w:pPr>
      <w:r>
        <w:fldChar w:fldCharType="begin"/>
      </w:r>
      <w:r>
        <w:instrText xml:space="preserve"> TOC \o "1-3" \h \z \t "Heading 1,1,Heading 3,3" </w:instrText>
      </w:r>
      <w:r>
        <w:fldChar w:fldCharType="separate"/>
      </w:r>
      <w:hyperlink w:anchor="_Toc121234730" w:history="1">
        <w:r w:rsidR="00D65B8B" w:rsidRPr="008B5D59">
          <w:rPr>
            <w:rStyle w:val="Hyperlink"/>
          </w:rPr>
          <w:t>Report outline</w:t>
        </w:r>
        <w:r w:rsidR="00D65B8B">
          <w:rPr>
            <w:webHidden/>
          </w:rPr>
          <w:tab/>
        </w:r>
        <w:r w:rsidR="00D65B8B">
          <w:rPr>
            <w:webHidden/>
          </w:rPr>
          <w:fldChar w:fldCharType="begin"/>
        </w:r>
        <w:r w:rsidR="00D65B8B">
          <w:rPr>
            <w:webHidden/>
          </w:rPr>
          <w:instrText xml:space="preserve"> PAGEREF _Toc121234730 \h </w:instrText>
        </w:r>
        <w:r w:rsidR="00D65B8B">
          <w:rPr>
            <w:webHidden/>
          </w:rPr>
        </w:r>
        <w:r w:rsidR="00D65B8B">
          <w:rPr>
            <w:webHidden/>
          </w:rPr>
          <w:fldChar w:fldCharType="separate"/>
        </w:r>
        <w:r w:rsidR="0043504D">
          <w:rPr>
            <w:webHidden/>
          </w:rPr>
          <w:t>2</w:t>
        </w:r>
        <w:r w:rsidR="00D65B8B">
          <w:rPr>
            <w:webHidden/>
          </w:rPr>
          <w:fldChar w:fldCharType="end"/>
        </w:r>
      </w:hyperlink>
    </w:p>
    <w:p w14:paraId="50D00924" w14:textId="084D607D" w:rsidR="00D65B8B" w:rsidRDefault="00AB1B17">
      <w:pPr>
        <w:pStyle w:val="TOC1"/>
        <w:rPr>
          <w:rFonts w:asciiTheme="minorHAnsi" w:eastAsiaTheme="minorEastAsia" w:hAnsiTheme="minorHAnsi" w:cstheme="minorBidi"/>
          <w:b w:val="0"/>
          <w:szCs w:val="22"/>
          <w:lang w:eastAsia="en-AU"/>
        </w:rPr>
      </w:pPr>
      <w:hyperlink w:anchor="_Toc121234731" w:history="1">
        <w:r w:rsidR="00D65B8B" w:rsidRPr="008B5D59">
          <w:rPr>
            <w:rStyle w:val="Hyperlink"/>
          </w:rPr>
          <w:t>Executive summary</w:t>
        </w:r>
        <w:r w:rsidR="00D65B8B">
          <w:rPr>
            <w:webHidden/>
          </w:rPr>
          <w:tab/>
        </w:r>
        <w:r w:rsidR="00D65B8B">
          <w:rPr>
            <w:webHidden/>
          </w:rPr>
          <w:fldChar w:fldCharType="begin"/>
        </w:r>
        <w:r w:rsidR="00D65B8B">
          <w:rPr>
            <w:webHidden/>
          </w:rPr>
          <w:instrText xml:space="preserve"> PAGEREF _Toc121234731 \h </w:instrText>
        </w:r>
        <w:r w:rsidR="00D65B8B">
          <w:rPr>
            <w:webHidden/>
          </w:rPr>
        </w:r>
        <w:r w:rsidR="00D65B8B">
          <w:rPr>
            <w:webHidden/>
          </w:rPr>
          <w:fldChar w:fldCharType="separate"/>
        </w:r>
        <w:r w:rsidR="0043504D">
          <w:rPr>
            <w:webHidden/>
          </w:rPr>
          <w:t>5</w:t>
        </w:r>
        <w:r w:rsidR="00D65B8B">
          <w:rPr>
            <w:webHidden/>
          </w:rPr>
          <w:fldChar w:fldCharType="end"/>
        </w:r>
      </w:hyperlink>
    </w:p>
    <w:p w14:paraId="57FB7827" w14:textId="66BBD30C" w:rsidR="00D65B8B" w:rsidRDefault="00AB1B17">
      <w:pPr>
        <w:pStyle w:val="TOC1"/>
        <w:rPr>
          <w:rFonts w:asciiTheme="minorHAnsi" w:eastAsiaTheme="minorEastAsia" w:hAnsiTheme="minorHAnsi" w:cstheme="minorBidi"/>
          <w:b w:val="0"/>
          <w:szCs w:val="22"/>
          <w:lang w:eastAsia="en-AU"/>
        </w:rPr>
      </w:pPr>
      <w:hyperlink w:anchor="_Toc121234732" w:history="1">
        <w:r w:rsidR="00D65B8B" w:rsidRPr="008B5D59">
          <w:rPr>
            <w:rStyle w:val="Hyperlink"/>
          </w:rPr>
          <w:t>1</w:t>
        </w:r>
        <w:r w:rsidR="00D65B8B">
          <w:rPr>
            <w:rFonts w:asciiTheme="minorHAnsi" w:eastAsiaTheme="minorEastAsia" w:hAnsiTheme="minorHAnsi" w:cstheme="minorBidi"/>
            <w:b w:val="0"/>
            <w:szCs w:val="22"/>
            <w:lang w:eastAsia="en-AU"/>
          </w:rPr>
          <w:tab/>
        </w:r>
        <w:r w:rsidR="00D65B8B" w:rsidRPr="008B5D59">
          <w:rPr>
            <w:rStyle w:val="Hyperlink"/>
          </w:rPr>
          <w:t>Introduction</w:t>
        </w:r>
        <w:r w:rsidR="00D65B8B">
          <w:rPr>
            <w:webHidden/>
          </w:rPr>
          <w:tab/>
        </w:r>
        <w:r w:rsidR="00D65B8B">
          <w:rPr>
            <w:webHidden/>
          </w:rPr>
          <w:fldChar w:fldCharType="begin"/>
        </w:r>
        <w:r w:rsidR="00D65B8B">
          <w:rPr>
            <w:webHidden/>
          </w:rPr>
          <w:instrText xml:space="preserve"> PAGEREF _Toc121234732 \h </w:instrText>
        </w:r>
        <w:r w:rsidR="00D65B8B">
          <w:rPr>
            <w:webHidden/>
          </w:rPr>
        </w:r>
        <w:r w:rsidR="00D65B8B">
          <w:rPr>
            <w:webHidden/>
          </w:rPr>
          <w:fldChar w:fldCharType="separate"/>
        </w:r>
        <w:r w:rsidR="0043504D">
          <w:rPr>
            <w:webHidden/>
          </w:rPr>
          <w:t>10</w:t>
        </w:r>
        <w:r w:rsidR="00D65B8B">
          <w:rPr>
            <w:webHidden/>
          </w:rPr>
          <w:fldChar w:fldCharType="end"/>
        </w:r>
      </w:hyperlink>
    </w:p>
    <w:p w14:paraId="653D5458" w14:textId="5E24E55E" w:rsidR="00D65B8B" w:rsidRDefault="00AB1B17">
      <w:pPr>
        <w:pStyle w:val="TOC2"/>
        <w:rPr>
          <w:rFonts w:asciiTheme="minorHAnsi" w:eastAsiaTheme="minorEastAsia" w:hAnsiTheme="minorHAnsi" w:cstheme="minorBidi"/>
          <w:sz w:val="22"/>
          <w:szCs w:val="22"/>
          <w:lang w:eastAsia="en-AU"/>
        </w:rPr>
      </w:pPr>
      <w:hyperlink w:anchor="_Toc121234733" w:history="1">
        <w:r w:rsidR="00D65B8B" w:rsidRPr="008B5D59">
          <w:rPr>
            <w:rStyle w:val="Hyperlink"/>
          </w:rPr>
          <w:t>1.1</w:t>
        </w:r>
        <w:r w:rsidR="00D65B8B">
          <w:rPr>
            <w:rFonts w:asciiTheme="minorHAnsi" w:eastAsiaTheme="minorEastAsia" w:hAnsiTheme="minorHAnsi" w:cstheme="minorBidi"/>
            <w:sz w:val="22"/>
            <w:szCs w:val="22"/>
            <w:lang w:eastAsia="en-AU"/>
          </w:rPr>
          <w:tab/>
        </w:r>
        <w:r w:rsidR="00D65B8B" w:rsidRPr="008B5D59">
          <w:rPr>
            <w:rStyle w:val="Hyperlink"/>
          </w:rPr>
          <w:t>The NTC’s responsibilities</w:t>
        </w:r>
        <w:r w:rsidR="00D65B8B">
          <w:rPr>
            <w:webHidden/>
          </w:rPr>
          <w:tab/>
        </w:r>
        <w:r w:rsidR="00D65B8B">
          <w:rPr>
            <w:webHidden/>
          </w:rPr>
          <w:fldChar w:fldCharType="begin"/>
        </w:r>
        <w:r w:rsidR="00D65B8B">
          <w:rPr>
            <w:webHidden/>
          </w:rPr>
          <w:instrText xml:space="preserve"> PAGEREF _Toc121234733 \h </w:instrText>
        </w:r>
        <w:r w:rsidR="00D65B8B">
          <w:rPr>
            <w:webHidden/>
          </w:rPr>
        </w:r>
        <w:r w:rsidR="00D65B8B">
          <w:rPr>
            <w:webHidden/>
          </w:rPr>
          <w:fldChar w:fldCharType="separate"/>
        </w:r>
        <w:r w:rsidR="0043504D">
          <w:rPr>
            <w:webHidden/>
          </w:rPr>
          <w:t>10</w:t>
        </w:r>
        <w:r w:rsidR="00D65B8B">
          <w:rPr>
            <w:webHidden/>
          </w:rPr>
          <w:fldChar w:fldCharType="end"/>
        </w:r>
      </w:hyperlink>
    </w:p>
    <w:p w14:paraId="7CD9AE8C" w14:textId="7B3B6501" w:rsidR="00D65B8B" w:rsidRDefault="00AB1B17">
      <w:pPr>
        <w:pStyle w:val="TOC2"/>
        <w:rPr>
          <w:rFonts w:asciiTheme="minorHAnsi" w:eastAsiaTheme="minorEastAsia" w:hAnsiTheme="minorHAnsi" w:cstheme="minorBidi"/>
          <w:sz w:val="22"/>
          <w:szCs w:val="22"/>
          <w:lang w:eastAsia="en-AU"/>
        </w:rPr>
      </w:pPr>
      <w:hyperlink w:anchor="_Toc121234734" w:history="1">
        <w:r w:rsidR="00D65B8B" w:rsidRPr="008B5D59">
          <w:rPr>
            <w:rStyle w:val="Hyperlink"/>
          </w:rPr>
          <w:t>1.2</w:t>
        </w:r>
        <w:r w:rsidR="00D65B8B">
          <w:rPr>
            <w:rFonts w:asciiTheme="minorHAnsi" w:eastAsiaTheme="minorEastAsia" w:hAnsiTheme="minorHAnsi" w:cstheme="minorBidi"/>
            <w:sz w:val="22"/>
            <w:szCs w:val="22"/>
            <w:lang w:eastAsia="en-AU"/>
          </w:rPr>
          <w:tab/>
        </w:r>
        <w:r w:rsidR="00D65B8B" w:rsidRPr="008B5D59">
          <w:rPr>
            <w:rStyle w:val="Hyperlink"/>
          </w:rPr>
          <w:t>Background</w:t>
        </w:r>
        <w:r w:rsidR="00D65B8B">
          <w:rPr>
            <w:webHidden/>
          </w:rPr>
          <w:tab/>
        </w:r>
        <w:r w:rsidR="00D65B8B">
          <w:rPr>
            <w:webHidden/>
          </w:rPr>
          <w:fldChar w:fldCharType="begin"/>
        </w:r>
        <w:r w:rsidR="00D65B8B">
          <w:rPr>
            <w:webHidden/>
          </w:rPr>
          <w:instrText xml:space="preserve"> PAGEREF _Toc121234734 \h </w:instrText>
        </w:r>
        <w:r w:rsidR="00D65B8B">
          <w:rPr>
            <w:webHidden/>
          </w:rPr>
        </w:r>
        <w:r w:rsidR="00D65B8B">
          <w:rPr>
            <w:webHidden/>
          </w:rPr>
          <w:fldChar w:fldCharType="separate"/>
        </w:r>
        <w:r w:rsidR="0043504D">
          <w:rPr>
            <w:webHidden/>
          </w:rPr>
          <w:t>10</w:t>
        </w:r>
        <w:r w:rsidR="00D65B8B">
          <w:rPr>
            <w:webHidden/>
          </w:rPr>
          <w:fldChar w:fldCharType="end"/>
        </w:r>
      </w:hyperlink>
    </w:p>
    <w:p w14:paraId="460A375B" w14:textId="56C6BE2F" w:rsidR="00D65B8B" w:rsidRDefault="00AB1B17">
      <w:pPr>
        <w:pStyle w:val="TOC2"/>
        <w:rPr>
          <w:rFonts w:asciiTheme="minorHAnsi" w:eastAsiaTheme="minorEastAsia" w:hAnsiTheme="minorHAnsi" w:cstheme="minorBidi"/>
          <w:sz w:val="22"/>
          <w:szCs w:val="22"/>
          <w:lang w:eastAsia="en-AU"/>
        </w:rPr>
      </w:pPr>
      <w:hyperlink w:anchor="_Toc121234735" w:history="1">
        <w:r w:rsidR="00D65B8B" w:rsidRPr="008B5D59">
          <w:rPr>
            <w:rStyle w:val="Hyperlink"/>
          </w:rPr>
          <w:t>1.3</w:t>
        </w:r>
        <w:r w:rsidR="00D65B8B">
          <w:rPr>
            <w:rFonts w:asciiTheme="minorHAnsi" w:eastAsiaTheme="minorEastAsia" w:hAnsiTheme="minorHAnsi" w:cstheme="minorBidi"/>
            <w:sz w:val="22"/>
            <w:szCs w:val="22"/>
            <w:lang w:eastAsia="en-AU"/>
          </w:rPr>
          <w:tab/>
        </w:r>
        <w:r w:rsidR="00D65B8B" w:rsidRPr="008B5D59">
          <w:rPr>
            <w:rStyle w:val="Hyperlink"/>
          </w:rPr>
          <w:t>Consultation on the 2021 Determination</w:t>
        </w:r>
        <w:r w:rsidR="00D65B8B">
          <w:rPr>
            <w:webHidden/>
          </w:rPr>
          <w:tab/>
        </w:r>
        <w:r w:rsidR="00D65B8B">
          <w:rPr>
            <w:webHidden/>
          </w:rPr>
          <w:fldChar w:fldCharType="begin"/>
        </w:r>
        <w:r w:rsidR="00D65B8B">
          <w:rPr>
            <w:webHidden/>
          </w:rPr>
          <w:instrText xml:space="preserve"> PAGEREF _Toc121234735 \h </w:instrText>
        </w:r>
        <w:r w:rsidR="00D65B8B">
          <w:rPr>
            <w:webHidden/>
          </w:rPr>
        </w:r>
        <w:r w:rsidR="00D65B8B">
          <w:rPr>
            <w:webHidden/>
          </w:rPr>
          <w:fldChar w:fldCharType="separate"/>
        </w:r>
        <w:r w:rsidR="0043504D">
          <w:rPr>
            <w:webHidden/>
          </w:rPr>
          <w:t>10</w:t>
        </w:r>
        <w:r w:rsidR="00D65B8B">
          <w:rPr>
            <w:webHidden/>
          </w:rPr>
          <w:fldChar w:fldCharType="end"/>
        </w:r>
      </w:hyperlink>
    </w:p>
    <w:p w14:paraId="10FA79B3" w14:textId="0402FFA4" w:rsidR="00D65B8B" w:rsidRDefault="00AB1B17">
      <w:pPr>
        <w:pStyle w:val="TOC2"/>
        <w:rPr>
          <w:rFonts w:asciiTheme="minorHAnsi" w:eastAsiaTheme="minorEastAsia" w:hAnsiTheme="minorHAnsi" w:cstheme="minorBidi"/>
          <w:sz w:val="22"/>
          <w:szCs w:val="22"/>
          <w:lang w:eastAsia="en-AU"/>
        </w:rPr>
      </w:pPr>
      <w:hyperlink w:anchor="_Toc121234736" w:history="1">
        <w:r w:rsidR="00D65B8B" w:rsidRPr="008B5D59">
          <w:rPr>
            <w:rStyle w:val="Hyperlink"/>
          </w:rPr>
          <w:t>1.4</w:t>
        </w:r>
        <w:r w:rsidR="00D65B8B">
          <w:rPr>
            <w:rFonts w:asciiTheme="minorHAnsi" w:eastAsiaTheme="minorEastAsia" w:hAnsiTheme="minorHAnsi" w:cstheme="minorBidi"/>
            <w:sz w:val="22"/>
            <w:szCs w:val="22"/>
            <w:lang w:eastAsia="en-AU"/>
          </w:rPr>
          <w:tab/>
        </w:r>
        <w:r w:rsidR="00D65B8B" w:rsidRPr="008B5D59">
          <w:rPr>
            <w:rStyle w:val="Hyperlink"/>
          </w:rPr>
          <w:t>Decisions required for 2023-24 and beyond</w:t>
        </w:r>
        <w:r w:rsidR="00D65B8B">
          <w:rPr>
            <w:webHidden/>
          </w:rPr>
          <w:tab/>
        </w:r>
        <w:r w:rsidR="00D65B8B">
          <w:rPr>
            <w:webHidden/>
          </w:rPr>
          <w:fldChar w:fldCharType="begin"/>
        </w:r>
        <w:r w:rsidR="00D65B8B">
          <w:rPr>
            <w:webHidden/>
          </w:rPr>
          <w:instrText xml:space="preserve"> PAGEREF _Toc121234736 \h </w:instrText>
        </w:r>
        <w:r w:rsidR="00D65B8B">
          <w:rPr>
            <w:webHidden/>
          </w:rPr>
        </w:r>
        <w:r w:rsidR="00D65B8B">
          <w:rPr>
            <w:webHidden/>
          </w:rPr>
          <w:fldChar w:fldCharType="separate"/>
        </w:r>
        <w:r w:rsidR="0043504D">
          <w:rPr>
            <w:webHidden/>
          </w:rPr>
          <w:t>11</w:t>
        </w:r>
        <w:r w:rsidR="00D65B8B">
          <w:rPr>
            <w:webHidden/>
          </w:rPr>
          <w:fldChar w:fldCharType="end"/>
        </w:r>
      </w:hyperlink>
    </w:p>
    <w:p w14:paraId="741B811F" w14:textId="1C98DA15" w:rsidR="00D65B8B" w:rsidRDefault="00AB1B17">
      <w:pPr>
        <w:pStyle w:val="TOC2"/>
        <w:rPr>
          <w:rFonts w:asciiTheme="minorHAnsi" w:eastAsiaTheme="minorEastAsia" w:hAnsiTheme="minorHAnsi" w:cstheme="minorBidi"/>
          <w:sz w:val="22"/>
          <w:szCs w:val="22"/>
          <w:lang w:eastAsia="en-AU"/>
        </w:rPr>
      </w:pPr>
      <w:hyperlink w:anchor="_Toc121234737" w:history="1">
        <w:r w:rsidR="00D65B8B" w:rsidRPr="008B5D59">
          <w:rPr>
            <w:rStyle w:val="Hyperlink"/>
          </w:rPr>
          <w:t>1.5</w:t>
        </w:r>
        <w:r w:rsidR="00D65B8B">
          <w:rPr>
            <w:rFonts w:asciiTheme="minorHAnsi" w:eastAsiaTheme="minorEastAsia" w:hAnsiTheme="minorHAnsi" w:cstheme="minorBidi"/>
            <w:sz w:val="22"/>
            <w:szCs w:val="22"/>
            <w:lang w:eastAsia="en-AU"/>
          </w:rPr>
          <w:tab/>
        </w:r>
        <w:r w:rsidR="00D65B8B" w:rsidRPr="008B5D59">
          <w:rPr>
            <w:rStyle w:val="Hyperlink"/>
          </w:rPr>
          <w:t>Temporary Reduction in Fuel Excise</w:t>
        </w:r>
        <w:r w:rsidR="00D65B8B">
          <w:rPr>
            <w:webHidden/>
          </w:rPr>
          <w:tab/>
        </w:r>
        <w:r w:rsidR="00D65B8B">
          <w:rPr>
            <w:webHidden/>
          </w:rPr>
          <w:fldChar w:fldCharType="begin"/>
        </w:r>
        <w:r w:rsidR="00D65B8B">
          <w:rPr>
            <w:webHidden/>
          </w:rPr>
          <w:instrText xml:space="preserve"> PAGEREF _Toc121234737 \h </w:instrText>
        </w:r>
        <w:r w:rsidR="00D65B8B">
          <w:rPr>
            <w:webHidden/>
          </w:rPr>
        </w:r>
        <w:r w:rsidR="00D65B8B">
          <w:rPr>
            <w:webHidden/>
          </w:rPr>
          <w:fldChar w:fldCharType="separate"/>
        </w:r>
        <w:r w:rsidR="0043504D">
          <w:rPr>
            <w:webHidden/>
          </w:rPr>
          <w:t>11</w:t>
        </w:r>
        <w:r w:rsidR="00D65B8B">
          <w:rPr>
            <w:webHidden/>
          </w:rPr>
          <w:fldChar w:fldCharType="end"/>
        </w:r>
      </w:hyperlink>
    </w:p>
    <w:p w14:paraId="5E356BD6" w14:textId="3D4B8FFE" w:rsidR="00D65B8B" w:rsidRDefault="00AB1B17">
      <w:pPr>
        <w:pStyle w:val="TOC2"/>
        <w:rPr>
          <w:rFonts w:asciiTheme="minorHAnsi" w:eastAsiaTheme="minorEastAsia" w:hAnsiTheme="minorHAnsi" w:cstheme="minorBidi"/>
          <w:sz w:val="22"/>
          <w:szCs w:val="22"/>
          <w:lang w:eastAsia="en-AU"/>
        </w:rPr>
      </w:pPr>
      <w:hyperlink w:anchor="_Toc121234738" w:history="1">
        <w:r w:rsidR="00D65B8B" w:rsidRPr="008B5D59">
          <w:rPr>
            <w:rStyle w:val="Hyperlink"/>
          </w:rPr>
          <w:t>1.6</w:t>
        </w:r>
        <w:r w:rsidR="00D65B8B">
          <w:rPr>
            <w:rFonts w:asciiTheme="minorHAnsi" w:eastAsiaTheme="minorEastAsia" w:hAnsiTheme="minorHAnsi" w:cstheme="minorBidi"/>
            <w:sz w:val="22"/>
            <w:szCs w:val="22"/>
            <w:lang w:eastAsia="en-AU"/>
          </w:rPr>
          <w:tab/>
        </w:r>
        <w:r w:rsidR="00D65B8B" w:rsidRPr="008B5D59">
          <w:rPr>
            <w:rStyle w:val="Hyperlink"/>
          </w:rPr>
          <w:t>Objectives</w:t>
        </w:r>
        <w:r w:rsidR="00D65B8B">
          <w:rPr>
            <w:webHidden/>
          </w:rPr>
          <w:tab/>
        </w:r>
        <w:r w:rsidR="00D65B8B">
          <w:rPr>
            <w:webHidden/>
          </w:rPr>
          <w:fldChar w:fldCharType="begin"/>
        </w:r>
        <w:r w:rsidR="00D65B8B">
          <w:rPr>
            <w:webHidden/>
          </w:rPr>
          <w:instrText xml:space="preserve"> PAGEREF _Toc121234738 \h </w:instrText>
        </w:r>
        <w:r w:rsidR="00D65B8B">
          <w:rPr>
            <w:webHidden/>
          </w:rPr>
        </w:r>
        <w:r w:rsidR="00D65B8B">
          <w:rPr>
            <w:webHidden/>
          </w:rPr>
          <w:fldChar w:fldCharType="separate"/>
        </w:r>
        <w:r w:rsidR="0043504D">
          <w:rPr>
            <w:webHidden/>
          </w:rPr>
          <w:t>11</w:t>
        </w:r>
        <w:r w:rsidR="00D65B8B">
          <w:rPr>
            <w:webHidden/>
          </w:rPr>
          <w:fldChar w:fldCharType="end"/>
        </w:r>
      </w:hyperlink>
    </w:p>
    <w:p w14:paraId="4276C809" w14:textId="2457FD0A" w:rsidR="00D65B8B" w:rsidRDefault="00AB1B17">
      <w:pPr>
        <w:pStyle w:val="TOC2"/>
        <w:rPr>
          <w:rFonts w:asciiTheme="minorHAnsi" w:eastAsiaTheme="minorEastAsia" w:hAnsiTheme="minorHAnsi" w:cstheme="minorBidi"/>
          <w:sz w:val="22"/>
          <w:szCs w:val="22"/>
          <w:lang w:eastAsia="en-AU"/>
        </w:rPr>
      </w:pPr>
      <w:hyperlink w:anchor="_Toc121234739" w:history="1">
        <w:r w:rsidR="00D65B8B" w:rsidRPr="008B5D59">
          <w:rPr>
            <w:rStyle w:val="Hyperlink"/>
          </w:rPr>
          <w:t>1.7</w:t>
        </w:r>
        <w:r w:rsidR="00D65B8B">
          <w:rPr>
            <w:rFonts w:asciiTheme="minorHAnsi" w:eastAsiaTheme="minorEastAsia" w:hAnsiTheme="minorHAnsi" w:cstheme="minorBidi"/>
            <w:sz w:val="22"/>
            <w:szCs w:val="22"/>
            <w:lang w:eastAsia="en-AU"/>
          </w:rPr>
          <w:tab/>
        </w:r>
        <w:r w:rsidR="00D65B8B" w:rsidRPr="008B5D59">
          <w:rPr>
            <w:rStyle w:val="Hyperlink"/>
          </w:rPr>
          <w:t>Approach and timeline</w:t>
        </w:r>
        <w:r w:rsidR="00D65B8B">
          <w:rPr>
            <w:webHidden/>
          </w:rPr>
          <w:tab/>
        </w:r>
        <w:r w:rsidR="00D65B8B">
          <w:rPr>
            <w:webHidden/>
          </w:rPr>
          <w:fldChar w:fldCharType="begin"/>
        </w:r>
        <w:r w:rsidR="00D65B8B">
          <w:rPr>
            <w:webHidden/>
          </w:rPr>
          <w:instrText xml:space="preserve"> PAGEREF _Toc121234739 \h </w:instrText>
        </w:r>
        <w:r w:rsidR="00D65B8B">
          <w:rPr>
            <w:webHidden/>
          </w:rPr>
        </w:r>
        <w:r w:rsidR="00D65B8B">
          <w:rPr>
            <w:webHidden/>
          </w:rPr>
          <w:fldChar w:fldCharType="separate"/>
        </w:r>
        <w:r w:rsidR="0043504D">
          <w:rPr>
            <w:webHidden/>
          </w:rPr>
          <w:t>12</w:t>
        </w:r>
        <w:r w:rsidR="00D65B8B">
          <w:rPr>
            <w:webHidden/>
          </w:rPr>
          <w:fldChar w:fldCharType="end"/>
        </w:r>
      </w:hyperlink>
    </w:p>
    <w:p w14:paraId="61E4CC32" w14:textId="4D8A65C1" w:rsidR="00D65B8B" w:rsidRDefault="00AB1B17">
      <w:pPr>
        <w:pStyle w:val="TOC1"/>
        <w:rPr>
          <w:rFonts w:asciiTheme="minorHAnsi" w:eastAsiaTheme="minorEastAsia" w:hAnsiTheme="minorHAnsi" w:cstheme="minorBidi"/>
          <w:b w:val="0"/>
          <w:szCs w:val="22"/>
          <w:lang w:eastAsia="en-AU"/>
        </w:rPr>
      </w:pPr>
      <w:hyperlink w:anchor="_Toc121234740" w:history="1">
        <w:r w:rsidR="00D65B8B" w:rsidRPr="008B5D59">
          <w:rPr>
            <w:rStyle w:val="Hyperlink"/>
          </w:rPr>
          <w:t>2</w:t>
        </w:r>
        <w:r w:rsidR="00D65B8B">
          <w:rPr>
            <w:rFonts w:asciiTheme="minorHAnsi" w:eastAsiaTheme="minorEastAsia" w:hAnsiTheme="minorHAnsi" w:cstheme="minorBidi"/>
            <w:b w:val="0"/>
            <w:szCs w:val="22"/>
            <w:lang w:eastAsia="en-AU"/>
          </w:rPr>
          <w:tab/>
        </w:r>
        <w:r w:rsidR="00D65B8B" w:rsidRPr="008B5D59">
          <w:rPr>
            <w:rStyle w:val="Hyperlink"/>
          </w:rPr>
          <w:t>Background on heavy vehicle charges</w:t>
        </w:r>
        <w:r w:rsidR="00D65B8B">
          <w:rPr>
            <w:webHidden/>
          </w:rPr>
          <w:tab/>
        </w:r>
        <w:r w:rsidR="00D65B8B">
          <w:rPr>
            <w:webHidden/>
          </w:rPr>
          <w:fldChar w:fldCharType="begin"/>
        </w:r>
        <w:r w:rsidR="00D65B8B">
          <w:rPr>
            <w:webHidden/>
          </w:rPr>
          <w:instrText xml:space="preserve"> PAGEREF _Toc121234740 \h </w:instrText>
        </w:r>
        <w:r w:rsidR="00D65B8B">
          <w:rPr>
            <w:webHidden/>
          </w:rPr>
        </w:r>
        <w:r w:rsidR="00D65B8B">
          <w:rPr>
            <w:webHidden/>
          </w:rPr>
          <w:fldChar w:fldCharType="separate"/>
        </w:r>
        <w:r w:rsidR="0043504D">
          <w:rPr>
            <w:webHidden/>
          </w:rPr>
          <w:t>13</w:t>
        </w:r>
        <w:r w:rsidR="00D65B8B">
          <w:rPr>
            <w:webHidden/>
          </w:rPr>
          <w:fldChar w:fldCharType="end"/>
        </w:r>
      </w:hyperlink>
    </w:p>
    <w:p w14:paraId="217A8C95" w14:textId="195717F7" w:rsidR="00D65B8B" w:rsidRDefault="00AB1B17">
      <w:pPr>
        <w:pStyle w:val="TOC2"/>
        <w:rPr>
          <w:rFonts w:asciiTheme="minorHAnsi" w:eastAsiaTheme="minorEastAsia" w:hAnsiTheme="minorHAnsi" w:cstheme="minorBidi"/>
          <w:sz w:val="22"/>
          <w:szCs w:val="22"/>
          <w:lang w:eastAsia="en-AU"/>
        </w:rPr>
      </w:pPr>
      <w:hyperlink w:anchor="_Toc121234741" w:history="1">
        <w:r w:rsidR="00D65B8B" w:rsidRPr="008B5D59">
          <w:rPr>
            <w:rStyle w:val="Hyperlink"/>
          </w:rPr>
          <w:t>2.1</w:t>
        </w:r>
        <w:r w:rsidR="00D65B8B">
          <w:rPr>
            <w:rFonts w:asciiTheme="minorHAnsi" w:eastAsiaTheme="minorEastAsia" w:hAnsiTheme="minorHAnsi" w:cstheme="minorBidi"/>
            <w:sz w:val="22"/>
            <w:szCs w:val="22"/>
            <w:lang w:eastAsia="en-AU"/>
          </w:rPr>
          <w:tab/>
        </w:r>
        <w:r w:rsidR="00D65B8B" w:rsidRPr="008B5D59">
          <w:rPr>
            <w:rStyle w:val="Hyperlink"/>
          </w:rPr>
          <w:t>Heavy vehicle charges</w:t>
        </w:r>
        <w:r w:rsidR="00D65B8B">
          <w:rPr>
            <w:webHidden/>
          </w:rPr>
          <w:tab/>
        </w:r>
        <w:r w:rsidR="00D65B8B">
          <w:rPr>
            <w:webHidden/>
          </w:rPr>
          <w:fldChar w:fldCharType="begin"/>
        </w:r>
        <w:r w:rsidR="00D65B8B">
          <w:rPr>
            <w:webHidden/>
          </w:rPr>
          <w:instrText xml:space="preserve"> PAGEREF _Toc121234741 \h </w:instrText>
        </w:r>
        <w:r w:rsidR="00D65B8B">
          <w:rPr>
            <w:webHidden/>
          </w:rPr>
        </w:r>
        <w:r w:rsidR="00D65B8B">
          <w:rPr>
            <w:webHidden/>
          </w:rPr>
          <w:fldChar w:fldCharType="separate"/>
        </w:r>
        <w:r w:rsidR="0043504D">
          <w:rPr>
            <w:webHidden/>
          </w:rPr>
          <w:t>13</w:t>
        </w:r>
        <w:r w:rsidR="00D65B8B">
          <w:rPr>
            <w:webHidden/>
          </w:rPr>
          <w:fldChar w:fldCharType="end"/>
        </w:r>
      </w:hyperlink>
    </w:p>
    <w:p w14:paraId="756FF19D" w14:textId="3A61EDA1" w:rsidR="00D65B8B" w:rsidRDefault="00AB1B17">
      <w:pPr>
        <w:pStyle w:val="TOC1"/>
        <w:rPr>
          <w:rFonts w:asciiTheme="minorHAnsi" w:eastAsiaTheme="minorEastAsia" w:hAnsiTheme="minorHAnsi" w:cstheme="minorBidi"/>
          <w:b w:val="0"/>
          <w:szCs w:val="22"/>
          <w:lang w:eastAsia="en-AU"/>
        </w:rPr>
      </w:pPr>
      <w:hyperlink w:anchor="_Toc121234742" w:history="1">
        <w:r w:rsidR="00D65B8B" w:rsidRPr="008B5D59">
          <w:rPr>
            <w:rStyle w:val="Hyperlink"/>
          </w:rPr>
          <w:t>3</w:t>
        </w:r>
        <w:r w:rsidR="00D65B8B">
          <w:rPr>
            <w:rFonts w:asciiTheme="minorHAnsi" w:eastAsiaTheme="minorEastAsia" w:hAnsiTheme="minorHAnsi" w:cstheme="minorBidi"/>
            <w:b w:val="0"/>
            <w:szCs w:val="22"/>
            <w:lang w:eastAsia="en-AU"/>
          </w:rPr>
          <w:tab/>
        </w:r>
        <w:r w:rsidR="00D65B8B" w:rsidRPr="008B5D59">
          <w:rPr>
            <w:rStyle w:val="Hyperlink"/>
          </w:rPr>
          <w:t>The Heavy Vehicle Cost Base</w:t>
        </w:r>
        <w:r w:rsidR="00D65B8B">
          <w:rPr>
            <w:webHidden/>
          </w:rPr>
          <w:tab/>
        </w:r>
        <w:r w:rsidR="00D65B8B">
          <w:rPr>
            <w:webHidden/>
          </w:rPr>
          <w:fldChar w:fldCharType="begin"/>
        </w:r>
        <w:r w:rsidR="00D65B8B">
          <w:rPr>
            <w:webHidden/>
          </w:rPr>
          <w:instrText xml:space="preserve"> PAGEREF _Toc121234742 \h </w:instrText>
        </w:r>
        <w:r w:rsidR="00D65B8B">
          <w:rPr>
            <w:webHidden/>
          </w:rPr>
        </w:r>
        <w:r w:rsidR="00D65B8B">
          <w:rPr>
            <w:webHidden/>
          </w:rPr>
          <w:fldChar w:fldCharType="separate"/>
        </w:r>
        <w:r w:rsidR="0043504D">
          <w:rPr>
            <w:webHidden/>
          </w:rPr>
          <w:t>17</w:t>
        </w:r>
        <w:r w:rsidR="00D65B8B">
          <w:rPr>
            <w:webHidden/>
          </w:rPr>
          <w:fldChar w:fldCharType="end"/>
        </w:r>
      </w:hyperlink>
    </w:p>
    <w:p w14:paraId="62950ACB" w14:textId="6A74CFB4" w:rsidR="00D65B8B" w:rsidRDefault="00AB1B17">
      <w:pPr>
        <w:pStyle w:val="TOC2"/>
        <w:rPr>
          <w:rFonts w:asciiTheme="minorHAnsi" w:eastAsiaTheme="minorEastAsia" w:hAnsiTheme="minorHAnsi" w:cstheme="minorBidi"/>
          <w:sz w:val="22"/>
          <w:szCs w:val="22"/>
          <w:lang w:eastAsia="en-AU"/>
        </w:rPr>
      </w:pPr>
      <w:hyperlink w:anchor="_Toc121234743" w:history="1">
        <w:r w:rsidR="00D65B8B" w:rsidRPr="008B5D59">
          <w:rPr>
            <w:rStyle w:val="Hyperlink"/>
          </w:rPr>
          <w:t>3.1</w:t>
        </w:r>
        <w:r w:rsidR="00D65B8B">
          <w:rPr>
            <w:rFonts w:asciiTheme="minorHAnsi" w:eastAsiaTheme="minorEastAsia" w:hAnsiTheme="minorHAnsi" w:cstheme="minorBidi"/>
            <w:sz w:val="22"/>
            <w:szCs w:val="22"/>
            <w:lang w:eastAsia="en-AU"/>
          </w:rPr>
          <w:tab/>
        </w:r>
        <w:r w:rsidR="00D65B8B" w:rsidRPr="008B5D59">
          <w:rPr>
            <w:rStyle w:val="Hyperlink"/>
          </w:rPr>
          <w:t>Limits on available information</w:t>
        </w:r>
        <w:r w:rsidR="00D65B8B">
          <w:rPr>
            <w:webHidden/>
          </w:rPr>
          <w:tab/>
        </w:r>
        <w:r w:rsidR="00D65B8B">
          <w:rPr>
            <w:webHidden/>
          </w:rPr>
          <w:fldChar w:fldCharType="begin"/>
        </w:r>
        <w:r w:rsidR="00D65B8B">
          <w:rPr>
            <w:webHidden/>
          </w:rPr>
          <w:instrText xml:space="preserve"> PAGEREF _Toc121234743 \h </w:instrText>
        </w:r>
        <w:r w:rsidR="00D65B8B">
          <w:rPr>
            <w:webHidden/>
          </w:rPr>
        </w:r>
        <w:r w:rsidR="00D65B8B">
          <w:rPr>
            <w:webHidden/>
          </w:rPr>
          <w:fldChar w:fldCharType="separate"/>
        </w:r>
        <w:r w:rsidR="0043504D">
          <w:rPr>
            <w:webHidden/>
          </w:rPr>
          <w:t>17</w:t>
        </w:r>
        <w:r w:rsidR="00D65B8B">
          <w:rPr>
            <w:webHidden/>
          </w:rPr>
          <w:fldChar w:fldCharType="end"/>
        </w:r>
      </w:hyperlink>
    </w:p>
    <w:p w14:paraId="0ACC0A35" w14:textId="27CFFB6E" w:rsidR="00D65B8B" w:rsidRDefault="00AB1B17">
      <w:pPr>
        <w:pStyle w:val="TOC2"/>
        <w:rPr>
          <w:rFonts w:asciiTheme="minorHAnsi" w:eastAsiaTheme="minorEastAsia" w:hAnsiTheme="minorHAnsi" w:cstheme="minorBidi"/>
          <w:sz w:val="22"/>
          <w:szCs w:val="22"/>
          <w:lang w:eastAsia="en-AU"/>
        </w:rPr>
      </w:pPr>
      <w:hyperlink w:anchor="_Toc121234744" w:history="1">
        <w:r w:rsidR="00D65B8B" w:rsidRPr="008B5D59">
          <w:rPr>
            <w:rStyle w:val="Hyperlink"/>
          </w:rPr>
          <w:t>3.2</w:t>
        </w:r>
        <w:r w:rsidR="00D65B8B">
          <w:rPr>
            <w:rFonts w:asciiTheme="minorHAnsi" w:eastAsiaTheme="minorEastAsia" w:hAnsiTheme="minorHAnsi" w:cstheme="minorBidi"/>
            <w:sz w:val="22"/>
            <w:szCs w:val="22"/>
            <w:lang w:eastAsia="en-AU"/>
          </w:rPr>
          <w:tab/>
        </w:r>
        <w:r w:rsidR="00D65B8B" w:rsidRPr="008B5D59">
          <w:rPr>
            <w:rStyle w:val="Hyperlink"/>
          </w:rPr>
          <w:t>Road Expenditure Trends</w:t>
        </w:r>
        <w:r w:rsidR="00D65B8B">
          <w:rPr>
            <w:webHidden/>
          </w:rPr>
          <w:tab/>
        </w:r>
        <w:r w:rsidR="00D65B8B">
          <w:rPr>
            <w:webHidden/>
          </w:rPr>
          <w:fldChar w:fldCharType="begin"/>
        </w:r>
        <w:r w:rsidR="00D65B8B">
          <w:rPr>
            <w:webHidden/>
          </w:rPr>
          <w:instrText xml:space="preserve"> PAGEREF _Toc121234744 \h </w:instrText>
        </w:r>
        <w:r w:rsidR="00D65B8B">
          <w:rPr>
            <w:webHidden/>
          </w:rPr>
        </w:r>
        <w:r w:rsidR="00D65B8B">
          <w:rPr>
            <w:webHidden/>
          </w:rPr>
          <w:fldChar w:fldCharType="separate"/>
        </w:r>
        <w:r w:rsidR="0043504D">
          <w:rPr>
            <w:webHidden/>
          </w:rPr>
          <w:t>18</w:t>
        </w:r>
        <w:r w:rsidR="00D65B8B">
          <w:rPr>
            <w:webHidden/>
          </w:rPr>
          <w:fldChar w:fldCharType="end"/>
        </w:r>
      </w:hyperlink>
    </w:p>
    <w:p w14:paraId="50B03B6A" w14:textId="630C7E25" w:rsidR="00D65B8B" w:rsidRDefault="00AB1B17">
      <w:pPr>
        <w:pStyle w:val="TOC2"/>
        <w:rPr>
          <w:rFonts w:asciiTheme="minorHAnsi" w:eastAsiaTheme="minorEastAsia" w:hAnsiTheme="minorHAnsi" w:cstheme="minorBidi"/>
          <w:sz w:val="22"/>
          <w:szCs w:val="22"/>
          <w:lang w:eastAsia="en-AU"/>
        </w:rPr>
      </w:pPr>
      <w:hyperlink w:anchor="_Toc121234745" w:history="1">
        <w:r w:rsidR="00D65B8B" w:rsidRPr="008B5D59">
          <w:rPr>
            <w:rStyle w:val="Hyperlink"/>
          </w:rPr>
          <w:t>3.3</w:t>
        </w:r>
        <w:r w:rsidR="00D65B8B">
          <w:rPr>
            <w:rFonts w:asciiTheme="minorHAnsi" w:eastAsiaTheme="minorEastAsia" w:hAnsiTheme="minorHAnsi" w:cstheme="minorBidi"/>
            <w:sz w:val="22"/>
            <w:szCs w:val="22"/>
            <w:lang w:eastAsia="en-AU"/>
          </w:rPr>
          <w:tab/>
        </w:r>
        <w:r w:rsidR="00D65B8B" w:rsidRPr="008B5D59">
          <w:rPr>
            <w:rStyle w:val="Hyperlink"/>
          </w:rPr>
          <w:t>Expenditure and Revenue over Time</w:t>
        </w:r>
        <w:r w:rsidR="00D65B8B">
          <w:rPr>
            <w:webHidden/>
          </w:rPr>
          <w:tab/>
        </w:r>
        <w:r w:rsidR="00D65B8B">
          <w:rPr>
            <w:webHidden/>
          </w:rPr>
          <w:fldChar w:fldCharType="begin"/>
        </w:r>
        <w:r w:rsidR="00D65B8B">
          <w:rPr>
            <w:webHidden/>
          </w:rPr>
          <w:instrText xml:space="preserve"> PAGEREF _Toc121234745 \h </w:instrText>
        </w:r>
        <w:r w:rsidR="00D65B8B">
          <w:rPr>
            <w:webHidden/>
          </w:rPr>
        </w:r>
        <w:r w:rsidR="00D65B8B">
          <w:rPr>
            <w:webHidden/>
          </w:rPr>
          <w:fldChar w:fldCharType="separate"/>
        </w:r>
        <w:r w:rsidR="0043504D">
          <w:rPr>
            <w:webHidden/>
          </w:rPr>
          <w:t>19</w:t>
        </w:r>
        <w:r w:rsidR="00D65B8B">
          <w:rPr>
            <w:webHidden/>
          </w:rPr>
          <w:fldChar w:fldCharType="end"/>
        </w:r>
      </w:hyperlink>
    </w:p>
    <w:p w14:paraId="13E43923" w14:textId="2B8DBB59" w:rsidR="00D65B8B" w:rsidRDefault="00AB1B17">
      <w:pPr>
        <w:pStyle w:val="TOC2"/>
        <w:rPr>
          <w:rFonts w:asciiTheme="minorHAnsi" w:eastAsiaTheme="minorEastAsia" w:hAnsiTheme="minorHAnsi" w:cstheme="minorBidi"/>
          <w:sz w:val="22"/>
          <w:szCs w:val="22"/>
          <w:lang w:eastAsia="en-AU"/>
        </w:rPr>
      </w:pPr>
      <w:hyperlink w:anchor="_Toc121234746" w:history="1">
        <w:r w:rsidR="00D65B8B" w:rsidRPr="008B5D59">
          <w:rPr>
            <w:rStyle w:val="Hyperlink"/>
          </w:rPr>
          <w:t>3.4</w:t>
        </w:r>
        <w:r w:rsidR="00D65B8B">
          <w:rPr>
            <w:rFonts w:asciiTheme="minorHAnsi" w:eastAsiaTheme="minorEastAsia" w:hAnsiTheme="minorHAnsi" w:cstheme="minorBidi"/>
            <w:sz w:val="22"/>
            <w:szCs w:val="22"/>
            <w:lang w:eastAsia="en-AU"/>
          </w:rPr>
          <w:tab/>
        </w:r>
        <w:r w:rsidR="00D65B8B" w:rsidRPr="008B5D59">
          <w:rPr>
            <w:rStyle w:val="Hyperlink"/>
          </w:rPr>
          <w:t>Developing forecast expenditure, usage and vehicle fleet data forecast for 2021-22 onwards</w:t>
        </w:r>
        <w:r w:rsidR="00D65B8B">
          <w:rPr>
            <w:webHidden/>
          </w:rPr>
          <w:tab/>
        </w:r>
        <w:r w:rsidR="00D65B8B">
          <w:rPr>
            <w:webHidden/>
          </w:rPr>
          <w:fldChar w:fldCharType="begin"/>
        </w:r>
        <w:r w:rsidR="00D65B8B">
          <w:rPr>
            <w:webHidden/>
          </w:rPr>
          <w:instrText xml:space="preserve"> PAGEREF _Toc121234746 \h </w:instrText>
        </w:r>
        <w:r w:rsidR="00D65B8B">
          <w:rPr>
            <w:webHidden/>
          </w:rPr>
        </w:r>
        <w:r w:rsidR="00D65B8B">
          <w:rPr>
            <w:webHidden/>
          </w:rPr>
          <w:fldChar w:fldCharType="separate"/>
        </w:r>
        <w:r w:rsidR="0043504D">
          <w:rPr>
            <w:webHidden/>
          </w:rPr>
          <w:t>20</w:t>
        </w:r>
        <w:r w:rsidR="00D65B8B">
          <w:rPr>
            <w:webHidden/>
          </w:rPr>
          <w:fldChar w:fldCharType="end"/>
        </w:r>
      </w:hyperlink>
    </w:p>
    <w:p w14:paraId="3570AF35" w14:textId="2DBAD2F0" w:rsidR="00D65B8B" w:rsidRDefault="00AB1B17">
      <w:pPr>
        <w:pStyle w:val="TOC2"/>
        <w:rPr>
          <w:rFonts w:asciiTheme="minorHAnsi" w:eastAsiaTheme="minorEastAsia" w:hAnsiTheme="minorHAnsi" w:cstheme="minorBidi"/>
          <w:sz w:val="22"/>
          <w:szCs w:val="22"/>
          <w:lang w:eastAsia="en-AU"/>
        </w:rPr>
      </w:pPr>
      <w:hyperlink w:anchor="_Toc121234747" w:history="1">
        <w:r w:rsidR="00D65B8B" w:rsidRPr="008B5D59">
          <w:rPr>
            <w:rStyle w:val="Hyperlink"/>
          </w:rPr>
          <w:t>3.5</w:t>
        </w:r>
        <w:r w:rsidR="00D65B8B">
          <w:rPr>
            <w:rFonts w:asciiTheme="minorHAnsi" w:eastAsiaTheme="minorEastAsia" w:hAnsiTheme="minorHAnsi" w:cstheme="minorBidi"/>
            <w:sz w:val="22"/>
            <w:szCs w:val="22"/>
            <w:lang w:eastAsia="en-AU"/>
          </w:rPr>
          <w:tab/>
        </w:r>
        <w:r w:rsidR="00D65B8B" w:rsidRPr="008B5D59">
          <w:rPr>
            <w:rStyle w:val="Hyperlink"/>
          </w:rPr>
          <w:t>Forecast Heavy Vehicle Cost Base</w:t>
        </w:r>
        <w:r w:rsidR="00D65B8B">
          <w:rPr>
            <w:webHidden/>
          </w:rPr>
          <w:tab/>
        </w:r>
        <w:r w:rsidR="00D65B8B">
          <w:rPr>
            <w:webHidden/>
          </w:rPr>
          <w:fldChar w:fldCharType="begin"/>
        </w:r>
        <w:r w:rsidR="00D65B8B">
          <w:rPr>
            <w:webHidden/>
          </w:rPr>
          <w:instrText xml:space="preserve"> PAGEREF _Toc121234747 \h </w:instrText>
        </w:r>
        <w:r w:rsidR="00D65B8B">
          <w:rPr>
            <w:webHidden/>
          </w:rPr>
        </w:r>
        <w:r w:rsidR="00D65B8B">
          <w:rPr>
            <w:webHidden/>
          </w:rPr>
          <w:fldChar w:fldCharType="separate"/>
        </w:r>
        <w:r w:rsidR="0043504D">
          <w:rPr>
            <w:webHidden/>
          </w:rPr>
          <w:t>22</w:t>
        </w:r>
        <w:r w:rsidR="00D65B8B">
          <w:rPr>
            <w:webHidden/>
          </w:rPr>
          <w:fldChar w:fldCharType="end"/>
        </w:r>
      </w:hyperlink>
    </w:p>
    <w:p w14:paraId="3EFE66A3" w14:textId="3C523B2F" w:rsidR="00D65B8B" w:rsidRDefault="00AB1B17">
      <w:pPr>
        <w:pStyle w:val="TOC2"/>
        <w:rPr>
          <w:rFonts w:asciiTheme="minorHAnsi" w:eastAsiaTheme="minorEastAsia" w:hAnsiTheme="minorHAnsi" w:cstheme="minorBidi"/>
          <w:sz w:val="22"/>
          <w:szCs w:val="22"/>
          <w:lang w:eastAsia="en-AU"/>
        </w:rPr>
      </w:pPr>
      <w:hyperlink w:anchor="_Toc121234748" w:history="1">
        <w:r w:rsidR="00D65B8B" w:rsidRPr="008B5D59">
          <w:rPr>
            <w:rStyle w:val="Hyperlink"/>
          </w:rPr>
          <w:t>3.6</w:t>
        </w:r>
        <w:r w:rsidR="00D65B8B">
          <w:rPr>
            <w:rFonts w:asciiTheme="minorHAnsi" w:eastAsiaTheme="minorEastAsia" w:hAnsiTheme="minorHAnsi" w:cstheme="minorBidi"/>
            <w:sz w:val="22"/>
            <w:szCs w:val="22"/>
            <w:lang w:eastAsia="en-AU"/>
          </w:rPr>
          <w:tab/>
        </w:r>
        <w:r w:rsidR="00D65B8B" w:rsidRPr="008B5D59">
          <w:rPr>
            <w:rStyle w:val="Hyperlink"/>
          </w:rPr>
          <w:t>Stakeholder feedback and submissions</w:t>
        </w:r>
        <w:r w:rsidR="00D65B8B">
          <w:rPr>
            <w:webHidden/>
          </w:rPr>
          <w:tab/>
        </w:r>
        <w:r w:rsidR="00D65B8B">
          <w:rPr>
            <w:webHidden/>
          </w:rPr>
          <w:fldChar w:fldCharType="begin"/>
        </w:r>
        <w:r w:rsidR="00D65B8B">
          <w:rPr>
            <w:webHidden/>
          </w:rPr>
          <w:instrText xml:space="preserve"> PAGEREF _Toc121234748 \h </w:instrText>
        </w:r>
        <w:r w:rsidR="00D65B8B">
          <w:rPr>
            <w:webHidden/>
          </w:rPr>
        </w:r>
        <w:r w:rsidR="00D65B8B">
          <w:rPr>
            <w:webHidden/>
          </w:rPr>
          <w:fldChar w:fldCharType="separate"/>
        </w:r>
        <w:r w:rsidR="0043504D">
          <w:rPr>
            <w:webHidden/>
          </w:rPr>
          <w:t>23</w:t>
        </w:r>
        <w:r w:rsidR="00D65B8B">
          <w:rPr>
            <w:webHidden/>
          </w:rPr>
          <w:fldChar w:fldCharType="end"/>
        </w:r>
      </w:hyperlink>
    </w:p>
    <w:p w14:paraId="40B441A6" w14:textId="7A0B2494" w:rsidR="00D65B8B" w:rsidRDefault="00AB1B17">
      <w:pPr>
        <w:pStyle w:val="TOC2"/>
        <w:rPr>
          <w:rFonts w:asciiTheme="minorHAnsi" w:eastAsiaTheme="minorEastAsia" w:hAnsiTheme="minorHAnsi" w:cstheme="minorBidi"/>
          <w:sz w:val="22"/>
          <w:szCs w:val="22"/>
          <w:lang w:eastAsia="en-AU"/>
        </w:rPr>
      </w:pPr>
      <w:hyperlink w:anchor="_Toc121234749" w:history="1">
        <w:r w:rsidR="00D65B8B" w:rsidRPr="008B5D59">
          <w:rPr>
            <w:rStyle w:val="Hyperlink"/>
          </w:rPr>
          <w:t>3.7</w:t>
        </w:r>
        <w:r w:rsidR="00D65B8B">
          <w:rPr>
            <w:rFonts w:asciiTheme="minorHAnsi" w:eastAsiaTheme="minorEastAsia" w:hAnsiTheme="minorHAnsi" w:cstheme="minorBidi"/>
            <w:sz w:val="22"/>
            <w:szCs w:val="22"/>
            <w:lang w:eastAsia="en-AU"/>
          </w:rPr>
          <w:tab/>
        </w:r>
        <w:r w:rsidR="00D65B8B" w:rsidRPr="008B5D59">
          <w:rPr>
            <w:rStyle w:val="Hyperlink"/>
          </w:rPr>
          <w:t>Response to feedback and submissions</w:t>
        </w:r>
        <w:r w:rsidR="00D65B8B">
          <w:rPr>
            <w:webHidden/>
          </w:rPr>
          <w:tab/>
        </w:r>
        <w:r w:rsidR="00D65B8B">
          <w:rPr>
            <w:webHidden/>
          </w:rPr>
          <w:fldChar w:fldCharType="begin"/>
        </w:r>
        <w:r w:rsidR="00D65B8B">
          <w:rPr>
            <w:webHidden/>
          </w:rPr>
          <w:instrText xml:space="preserve"> PAGEREF _Toc121234749 \h </w:instrText>
        </w:r>
        <w:r w:rsidR="00D65B8B">
          <w:rPr>
            <w:webHidden/>
          </w:rPr>
        </w:r>
        <w:r w:rsidR="00D65B8B">
          <w:rPr>
            <w:webHidden/>
          </w:rPr>
          <w:fldChar w:fldCharType="separate"/>
        </w:r>
        <w:r w:rsidR="0043504D">
          <w:rPr>
            <w:webHidden/>
          </w:rPr>
          <w:t>23</w:t>
        </w:r>
        <w:r w:rsidR="00D65B8B">
          <w:rPr>
            <w:webHidden/>
          </w:rPr>
          <w:fldChar w:fldCharType="end"/>
        </w:r>
      </w:hyperlink>
    </w:p>
    <w:p w14:paraId="5E474D40" w14:textId="14238513" w:rsidR="00D65B8B" w:rsidRDefault="00AB1B17">
      <w:pPr>
        <w:pStyle w:val="TOC2"/>
        <w:rPr>
          <w:rFonts w:asciiTheme="minorHAnsi" w:eastAsiaTheme="minorEastAsia" w:hAnsiTheme="minorHAnsi" w:cstheme="minorBidi"/>
          <w:sz w:val="22"/>
          <w:szCs w:val="22"/>
          <w:lang w:eastAsia="en-AU"/>
        </w:rPr>
      </w:pPr>
      <w:hyperlink w:anchor="_Toc121234750" w:history="1">
        <w:r w:rsidR="00D65B8B" w:rsidRPr="008B5D59">
          <w:rPr>
            <w:rStyle w:val="Hyperlink"/>
          </w:rPr>
          <w:t>3.8</w:t>
        </w:r>
        <w:r w:rsidR="00D65B8B">
          <w:rPr>
            <w:rFonts w:asciiTheme="minorHAnsi" w:eastAsiaTheme="minorEastAsia" w:hAnsiTheme="minorHAnsi" w:cstheme="minorBidi"/>
            <w:sz w:val="22"/>
            <w:szCs w:val="22"/>
            <w:lang w:eastAsia="en-AU"/>
          </w:rPr>
          <w:tab/>
        </w:r>
        <w:r w:rsidR="00D65B8B" w:rsidRPr="008B5D59">
          <w:rPr>
            <w:rStyle w:val="Hyperlink"/>
          </w:rPr>
          <w:t>Recommended approach</w:t>
        </w:r>
        <w:r w:rsidR="00D65B8B">
          <w:rPr>
            <w:webHidden/>
          </w:rPr>
          <w:tab/>
        </w:r>
        <w:r w:rsidR="00D65B8B">
          <w:rPr>
            <w:webHidden/>
          </w:rPr>
          <w:fldChar w:fldCharType="begin"/>
        </w:r>
        <w:r w:rsidR="00D65B8B">
          <w:rPr>
            <w:webHidden/>
          </w:rPr>
          <w:instrText xml:space="preserve"> PAGEREF _Toc121234750 \h </w:instrText>
        </w:r>
        <w:r w:rsidR="00D65B8B">
          <w:rPr>
            <w:webHidden/>
          </w:rPr>
        </w:r>
        <w:r w:rsidR="00D65B8B">
          <w:rPr>
            <w:webHidden/>
          </w:rPr>
          <w:fldChar w:fldCharType="separate"/>
        </w:r>
        <w:r w:rsidR="0043504D">
          <w:rPr>
            <w:webHidden/>
          </w:rPr>
          <w:t>24</w:t>
        </w:r>
        <w:r w:rsidR="00D65B8B">
          <w:rPr>
            <w:webHidden/>
          </w:rPr>
          <w:fldChar w:fldCharType="end"/>
        </w:r>
      </w:hyperlink>
    </w:p>
    <w:p w14:paraId="706B892E" w14:textId="021689FE" w:rsidR="00D65B8B" w:rsidRDefault="00AB1B17">
      <w:pPr>
        <w:pStyle w:val="TOC1"/>
        <w:rPr>
          <w:rFonts w:asciiTheme="minorHAnsi" w:eastAsiaTheme="minorEastAsia" w:hAnsiTheme="minorHAnsi" w:cstheme="minorBidi"/>
          <w:b w:val="0"/>
          <w:szCs w:val="22"/>
          <w:lang w:eastAsia="en-AU"/>
        </w:rPr>
      </w:pPr>
      <w:hyperlink w:anchor="_Toc121234751" w:history="1">
        <w:r w:rsidR="00D65B8B" w:rsidRPr="008B5D59">
          <w:rPr>
            <w:rStyle w:val="Hyperlink"/>
          </w:rPr>
          <w:t>4</w:t>
        </w:r>
        <w:r w:rsidR="00D65B8B">
          <w:rPr>
            <w:rFonts w:asciiTheme="minorHAnsi" w:eastAsiaTheme="minorEastAsia" w:hAnsiTheme="minorHAnsi" w:cstheme="minorBidi"/>
            <w:b w:val="0"/>
            <w:szCs w:val="22"/>
            <w:lang w:eastAsia="en-AU"/>
          </w:rPr>
          <w:tab/>
        </w:r>
        <w:r w:rsidR="00D65B8B" w:rsidRPr="008B5D59">
          <w:rPr>
            <w:rStyle w:val="Hyperlink"/>
          </w:rPr>
          <w:t>Single-year or Multi-year Price Path</w:t>
        </w:r>
        <w:r w:rsidR="00D65B8B">
          <w:rPr>
            <w:webHidden/>
          </w:rPr>
          <w:tab/>
        </w:r>
        <w:r w:rsidR="00D65B8B">
          <w:rPr>
            <w:webHidden/>
          </w:rPr>
          <w:fldChar w:fldCharType="begin"/>
        </w:r>
        <w:r w:rsidR="00D65B8B">
          <w:rPr>
            <w:webHidden/>
          </w:rPr>
          <w:instrText xml:space="preserve"> PAGEREF _Toc121234751 \h </w:instrText>
        </w:r>
        <w:r w:rsidR="00D65B8B">
          <w:rPr>
            <w:webHidden/>
          </w:rPr>
        </w:r>
        <w:r w:rsidR="00D65B8B">
          <w:rPr>
            <w:webHidden/>
          </w:rPr>
          <w:fldChar w:fldCharType="separate"/>
        </w:r>
        <w:r w:rsidR="0043504D">
          <w:rPr>
            <w:webHidden/>
          </w:rPr>
          <w:t>25</w:t>
        </w:r>
        <w:r w:rsidR="00D65B8B">
          <w:rPr>
            <w:webHidden/>
          </w:rPr>
          <w:fldChar w:fldCharType="end"/>
        </w:r>
      </w:hyperlink>
    </w:p>
    <w:p w14:paraId="687AB05B" w14:textId="03999CF9" w:rsidR="00D65B8B" w:rsidRDefault="00AB1B17">
      <w:pPr>
        <w:pStyle w:val="TOC2"/>
        <w:rPr>
          <w:rFonts w:asciiTheme="minorHAnsi" w:eastAsiaTheme="minorEastAsia" w:hAnsiTheme="minorHAnsi" w:cstheme="minorBidi"/>
          <w:sz w:val="22"/>
          <w:szCs w:val="22"/>
          <w:lang w:eastAsia="en-AU"/>
        </w:rPr>
      </w:pPr>
      <w:hyperlink w:anchor="_Toc121234752" w:history="1">
        <w:r w:rsidR="00D65B8B" w:rsidRPr="008B5D59">
          <w:rPr>
            <w:rStyle w:val="Hyperlink"/>
          </w:rPr>
          <w:t>4.1</w:t>
        </w:r>
        <w:r w:rsidR="00D65B8B">
          <w:rPr>
            <w:rFonts w:asciiTheme="minorHAnsi" w:eastAsiaTheme="minorEastAsia" w:hAnsiTheme="minorHAnsi" w:cstheme="minorBidi"/>
            <w:sz w:val="22"/>
            <w:szCs w:val="22"/>
            <w:lang w:eastAsia="en-AU"/>
          </w:rPr>
          <w:tab/>
        </w:r>
        <w:r w:rsidR="00D65B8B" w:rsidRPr="008B5D59">
          <w:rPr>
            <w:rStyle w:val="Hyperlink"/>
          </w:rPr>
          <w:t>Historical approach to implementing determinations</w:t>
        </w:r>
        <w:r w:rsidR="00D65B8B">
          <w:rPr>
            <w:webHidden/>
          </w:rPr>
          <w:tab/>
        </w:r>
        <w:r w:rsidR="00D65B8B">
          <w:rPr>
            <w:webHidden/>
          </w:rPr>
          <w:fldChar w:fldCharType="begin"/>
        </w:r>
        <w:r w:rsidR="00D65B8B">
          <w:rPr>
            <w:webHidden/>
          </w:rPr>
          <w:instrText xml:space="preserve"> PAGEREF _Toc121234752 \h </w:instrText>
        </w:r>
        <w:r w:rsidR="00D65B8B">
          <w:rPr>
            <w:webHidden/>
          </w:rPr>
        </w:r>
        <w:r w:rsidR="00D65B8B">
          <w:rPr>
            <w:webHidden/>
          </w:rPr>
          <w:fldChar w:fldCharType="separate"/>
        </w:r>
        <w:r w:rsidR="0043504D">
          <w:rPr>
            <w:webHidden/>
          </w:rPr>
          <w:t>25</w:t>
        </w:r>
        <w:r w:rsidR="00D65B8B">
          <w:rPr>
            <w:webHidden/>
          </w:rPr>
          <w:fldChar w:fldCharType="end"/>
        </w:r>
      </w:hyperlink>
    </w:p>
    <w:p w14:paraId="45CC7CA2" w14:textId="05FA5381" w:rsidR="00D65B8B" w:rsidRDefault="00AB1B17">
      <w:pPr>
        <w:pStyle w:val="TOC2"/>
        <w:rPr>
          <w:rFonts w:asciiTheme="minorHAnsi" w:eastAsiaTheme="minorEastAsia" w:hAnsiTheme="minorHAnsi" w:cstheme="minorBidi"/>
          <w:sz w:val="22"/>
          <w:szCs w:val="22"/>
          <w:lang w:eastAsia="en-AU"/>
        </w:rPr>
      </w:pPr>
      <w:hyperlink w:anchor="_Toc121234753" w:history="1">
        <w:r w:rsidR="00D65B8B" w:rsidRPr="008B5D59">
          <w:rPr>
            <w:rStyle w:val="Hyperlink"/>
          </w:rPr>
          <w:t>4.2</w:t>
        </w:r>
        <w:r w:rsidR="00D65B8B">
          <w:rPr>
            <w:rFonts w:asciiTheme="minorHAnsi" w:eastAsiaTheme="minorEastAsia" w:hAnsiTheme="minorHAnsi" w:cstheme="minorBidi"/>
            <w:sz w:val="22"/>
            <w:szCs w:val="22"/>
            <w:lang w:eastAsia="en-AU"/>
          </w:rPr>
          <w:tab/>
        </w:r>
        <w:r w:rsidR="00D65B8B" w:rsidRPr="008B5D59">
          <w:rPr>
            <w:rStyle w:val="Hyperlink"/>
          </w:rPr>
          <w:t>Single and multi-year price path explored in the 2021 Determination</w:t>
        </w:r>
        <w:r w:rsidR="00D65B8B">
          <w:rPr>
            <w:webHidden/>
          </w:rPr>
          <w:tab/>
        </w:r>
        <w:r w:rsidR="00D65B8B">
          <w:rPr>
            <w:webHidden/>
          </w:rPr>
          <w:fldChar w:fldCharType="begin"/>
        </w:r>
        <w:r w:rsidR="00D65B8B">
          <w:rPr>
            <w:webHidden/>
          </w:rPr>
          <w:instrText xml:space="preserve"> PAGEREF _Toc121234753 \h </w:instrText>
        </w:r>
        <w:r w:rsidR="00D65B8B">
          <w:rPr>
            <w:webHidden/>
          </w:rPr>
        </w:r>
        <w:r w:rsidR="00D65B8B">
          <w:rPr>
            <w:webHidden/>
          </w:rPr>
          <w:fldChar w:fldCharType="separate"/>
        </w:r>
        <w:r w:rsidR="0043504D">
          <w:rPr>
            <w:webHidden/>
          </w:rPr>
          <w:t>26</w:t>
        </w:r>
        <w:r w:rsidR="00D65B8B">
          <w:rPr>
            <w:webHidden/>
          </w:rPr>
          <w:fldChar w:fldCharType="end"/>
        </w:r>
      </w:hyperlink>
    </w:p>
    <w:p w14:paraId="50D62A11" w14:textId="243AB43A" w:rsidR="00D65B8B" w:rsidRDefault="00AB1B17">
      <w:pPr>
        <w:pStyle w:val="TOC2"/>
        <w:rPr>
          <w:rFonts w:asciiTheme="minorHAnsi" w:eastAsiaTheme="minorEastAsia" w:hAnsiTheme="minorHAnsi" w:cstheme="minorBidi"/>
          <w:sz w:val="22"/>
          <w:szCs w:val="22"/>
          <w:lang w:eastAsia="en-AU"/>
        </w:rPr>
      </w:pPr>
      <w:hyperlink w:anchor="_Toc121234754" w:history="1">
        <w:r w:rsidR="00D65B8B" w:rsidRPr="008B5D59">
          <w:rPr>
            <w:rStyle w:val="Hyperlink"/>
          </w:rPr>
          <w:t>4.3</w:t>
        </w:r>
        <w:r w:rsidR="00D65B8B">
          <w:rPr>
            <w:rFonts w:asciiTheme="minorHAnsi" w:eastAsiaTheme="minorEastAsia" w:hAnsiTheme="minorHAnsi" w:cstheme="minorBidi"/>
            <w:sz w:val="22"/>
            <w:szCs w:val="22"/>
            <w:lang w:eastAsia="en-AU"/>
          </w:rPr>
          <w:tab/>
        </w:r>
        <w:r w:rsidR="00D65B8B" w:rsidRPr="008B5D59">
          <w:rPr>
            <w:rStyle w:val="Hyperlink"/>
          </w:rPr>
          <w:t>Single year price decisions</w:t>
        </w:r>
        <w:r w:rsidR="00D65B8B">
          <w:rPr>
            <w:webHidden/>
          </w:rPr>
          <w:tab/>
        </w:r>
        <w:r w:rsidR="00D65B8B">
          <w:rPr>
            <w:webHidden/>
          </w:rPr>
          <w:fldChar w:fldCharType="begin"/>
        </w:r>
        <w:r w:rsidR="00D65B8B">
          <w:rPr>
            <w:webHidden/>
          </w:rPr>
          <w:instrText xml:space="preserve"> PAGEREF _Toc121234754 \h </w:instrText>
        </w:r>
        <w:r w:rsidR="00D65B8B">
          <w:rPr>
            <w:webHidden/>
          </w:rPr>
        </w:r>
        <w:r w:rsidR="00D65B8B">
          <w:rPr>
            <w:webHidden/>
          </w:rPr>
          <w:fldChar w:fldCharType="separate"/>
        </w:r>
        <w:r w:rsidR="0043504D">
          <w:rPr>
            <w:webHidden/>
          </w:rPr>
          <w:t>26</w:t>
        </w:r>
        <w:r w:rsidR="00D65B8B">
          <w:rPr>
            <w:webHidden/>
          </w:rPr>
          <w:fldChar w:fldCharType="end"/>
        </w:r>
      </w:hyperlink>
    </w:p>
    <w:p w14:paraId="4318B880" w14:textId="3912B6F9" w:rsidR="00D65B8B" w:rsidRDefault="00AB1B17">
      <w:pPr>
        <w:pStyle w:val="TOC2"/>
        <w:rPr>
          <w:rFonts w:asciiTheme="minorHAnsi" w:eastAsiaTheme="minorEastAsia" w:hAnsiTheme="minorHAnsi" w:cstheme="minorBidi"/>
          <w:sz w:val="22"/>
          <w:szCs w:val="22"/>
          <w:lang w:eastAsia="en-AU"/>
        </w:rPr>
      </w:pPr>
      <w:hyperlink w:anchor="_Toc121234755" w:history="1">
        <w:r w:rsidR="00D65B8B" w:rsidRPr="008B5D59">
          <w:rPr>
            <w:rStyle w:val="Hyperlink"/>
          </w:rPr>
          <w:t>4.4</w:t>
        </w:r>
        <w:r w:rsidR="00D65B8B">
          <w:rPr>
            <w:rFonts w:asciiTheme="minorHAnsi" w:eastAsiaTheme="minorEastAsia" w:hAnsiTheme="minorHAnsi" w:cstheme="minorBidi"/>
            <w:sz w:val="22"/>
            <w:szCs w:val="22"/>
            <w:lang w:eastAsia="en-AU"/>
          </w:rPr>
          <w:tab/>
        </w:r>
        <w:r w:rsidR="00D65B8B" w:rsidRPr="008B5D59">
          <w:rPr>
            <w:rStyle w:val="Hyperlink"/>
          </w:rPr>
          <w:t>Three-year fixed price path decisions</w:t>
        </w:r>
        <w:r w:rsidR="00D65B8B">
          <w:rPr>
            <w:webHidden/>
          </w:rPr>
          <w:tab/>
        </w:r>
        <w:r w:rsidR="00D65B8B">
          <w:rPr>
            <w:webHidden/>
          </w:rPr>
          <w:fldChar w:fldCharType="begin"/>
        </w:r>
        <w:r w:rsidR="00D65B8B">
          <w:rPr>
            <w:webHidden/>
          </w:rPr>
          <w:instrText xml:space="preserve"> PAGEREF _Toc121234755 \h </w:instrText>
        </w:r>
        <w:r w:rsidR="00D65B8B">
          <w:rPr>
            <w:webHidden/>
          </w:rPr>
        </w:r>
        <w:r w:rsidR="00D65B8B">
          <w:rPr>
            <w:webHidden/>
          </w:rPr>
          <w:fldChar w:fldCharType="separate"/>
        </w:r>
        <w:r w:rsidR="0043504D">
          <w:rPr>
            <w:webHidden/>
          </w:rPr>
          <w:t>26</w:t>
        </w:r>
        <w:r w:rsidR="00D65B8B">
          <w:rPr>
            <w:webHidden/>
          </w:rPr>
          <w:fldChar w:fldCharType="end"/>
        </w:r>
      </w:hyperlink>
    </w:p>
    <w:p w14:paraId="266AD6AD" w14:textId="57CD6697" w:rsidR="00D65B8B" w:rsidRDefault="00AB1B17">
      <w:pPr>
        <w:pStyle w:val="TOC2"/>
        <w:rPr>
          <w:rFonts w:asciiTheme="minorHAnsi" w:eastAsiaTheme="minorEastAsia" w:hAnsiTheme="minorHAnsi" w:cstheme="minorBidi"/>
          <w:sz w:val="22"/>
          <w:szCs w:val="22"/>
          <w:lang w:eastAsia="en-AU"/>
        </w:rPr>
      </w:pPr>
      <w:hyperlink w:anchor="_Toc121234756" w:history="1">
        <w:r w:rsidR="00D65B8B" w:rsidRPr="008B5D59">
          <w:rPr>
            <w:rStyle w:val="Hyperlink"/>
          </w:rPr>
          <w:t>4.5</w:t>
        </w:r>
        <w:r w:rsidR="00D65B8B">
          <w:rPr>
            <w:rFonts w:asciiTheme="minorHAnsi" w:eastAsiaTheme="minorEastAsia" w:hAnsiTheme="minorHAnsi" w:cstheme="minorBidi"/>
            <w:sz w:val="22"/>
            <w:szCs w:val="22"/>
            <w:lang w:eastAsia="en-AU"/>
          </w:rPr>
          <w:tab/>
        </w:r>
        <w:r w:rsidR="00D65B8B" w:rsidRPr="008B5D59">
          <w:rPr>
            <w:rStyle w:val="Hyperlink"/>
          </w:rPr>
          <w:t>Stakeholder feedback and submissions</w:t>
        </w:r>
        <w:r w:rsidR="00D65B8B">
          <w:rPr>
            <w:webHidden/>
          </w:rPr>
          <w:tab/>
        </w:r>
        <w:r w:rsidR="00D65B8B">
          <w:rPr>
            <w:webHidden/>
          </w:rPr>
          <w:fldChar w:fldCharType="begin"/>
        </w:r>
        <w:r w:rsidR="00D65B8B">
          <w:rPr>
            <w:webHidden/>
          </w:rPr>
          <w:instrText xml:space="preserve"> PAGEREF _Toc121234756 \h </w:instrText>
        </w:r>
        <w:r w:rsidR="00D65B8B">
          <w:rPr>
            <w:webHidden/>
          </w:rPr>
        </w:r>
        <w:r w:rsidR="00D65B8B">
          <w:rPr>
            <w:webHidden/>
          </w:rPr>
          <w:fldChar w:fldCharType="separate"/>
        </w:r>
        <w:r w:rsidR="0043504D">
          <w:rPr>
            <w:webHidden/>
          </w:rPr>
          <w:t>27</w:t>
        </w:r>
        <w:r w:rsidR="00D65B8B">
          <w:rPr>
            <w:webHidden/>
          </w:rPr>
          <w:fldChar w:fldCharType="end"/>
        </w:r>
      </w:hyperlink>
    </w:p>
    <w:p w14:paraId="6BBA6BF5" w14:textId="6DE1767C" w:rsidR="00D65B8B" w:rsidRDefault="00AB1B17">
      <w:pPr>
        <w:pStyle w:val="TOC2"/>
        <w:rPr>
          <w:rFonts w:asciiTheme="minorHAnsi" w:eastAsiaTheme="minorEastAsia" w:hAnsiTheme="minorHAnsi" w:cstheme="minorBidi"/>
          <w:sz w:val="22"/>
          <w:szCs w:val="22"/>
          <w:lang w:eastAsia="en-AU"/>
        </w:rPr>
      </w:pPr>
      <w:hyperlink w:anchor="_Toc121234757" w:history="1">
        <w:r w:rsidR="00D65B8B" w:rsidRPr="008B5D59">
          <w:rPr>
            <w:rStyle w:val="Hyperlink"/>
          </w:rPr>
          <w:t>4.6</w:t>
        </w:r>
        <w:r w:rsidR="00D65B8B">
          <w:rPr>
            <w:rFonts w:asciiTheme="minorHAnsi" w:eastAsiaTheme="minorEastAsia" w:hAnsiTheme="minorHAnsi" w:cstheme="minorBidi"/>
            <w:sz w:val="22"/>
            <w:szCs w:val="22"/>
            <w:lang w:eastAsia="en-AU"/>
          </w:rPr>
          <w:tab/>
        </w:r>
        <w:r w:rsidR="00D65B8B" w:rsidRPr="008B5D59">
          <w:rPr>
            <w:rStyle w:val="Hyperlink"/>
          </w:rPr>
          <w:t>Conclusion and recommendations</w:t>
        </w:r>
        <w:r w:rsidR="00D65B8B">
          <w:rPr>
            <w:webHidden/>
          </w:rPr>
          <w:tab/>
        </w:r>
        <w:r w:rsidR="00D65B8B">
          <w:rPr>
            <w:webHidden/>
          </w:rPr>
          <w:fldChar w:fldCharType="begin"/>
        </w:r>
        <w:r w:rsidR="00D65B8B">
          <w:rPr>
            <w:webHidden/>
          </w:rPr>
          <w:instrText xml:space="preserve"> PAGEREF _Toc121234757 \h </w:instrText>
        </w:r>
        <w:r w:rsidR="00D65B8B">
          <w:rPr>
            <w:webHidden/>
          </w:rPr>
        </w:r>
        <w:r w:rsidR="00D65B8B">
          <w:rPr>
            <w:webHidden/>
          </w:rPr>
          <w:fldChar w:fldCharType="separate"/>
        </w:r>
        <w:r w:rsidR="0043504D">
          <w:rPr>
            <w:webHidden/>
          </w:rPr>
          <w:t>27</w:t>
        </w:r>
        <w:r w:rsidR="00D65B8B">
          <w:rPr>
            <w:webHidden/>
          </w:rPr>
          <w:fldChar w:fldCharType="end"/>
        </w:r>
      </w:hyperlink>
    </w:p>
    <w:p w14:paraId="69CC9049" w14:textId="6575E22C" w:rsidR="00D65B8B" w:rsidRDefault="00AB1B17">
      <w:pPr>
        <w:pStyle w:val="TOC1"/>
        <w:rPr>
          <w:rFonts w:asciiTheme="minorHAnsi" w:eastAsiaTheme="minorEastAsia" w:hAnsiTheme="minorHAnsi" w:cstheme="minorBidi"/>
          <w:b w:val="0"/>
          <w:szCs w:val="22"/>
          <w:lang w:eastAsia="en-AU"/>
        </w:rPr>
      </w:pPr>
      <w:hyperlink w:anchor="_Toc121234758" w:history="1">
        <w:r w:rsidR="00D65B8B" w:rsidRPr="008B5D59">
          <w:rPr>
            <w:rStyle w:val="Hyperlink"/>
          </w:rPr>
          <w:t>5</w:t>
        </w:r>
        <w:r w:rsidR="00D65B8B">
          <w:rPr>
            <w:rFonts w:asciiTheme="minorHAnsi" w:eastAsiaTheme="minorEastAsia" w:hAnsiTheme="minorHAnsi" w:cstheme="minorBidi"/>
            <w:b w:val="0"/>
            <w:szCs w:val="22"/>
            <w:lang w:eastAsia="en-AU"/>
          </w:rPr>
          <w:tab/>
        </w:r>
        <w:r w:rsidR="00D65B8B" w:rsidRPr="008B5D59">
          <w:rPr>
            <w:rStyle w:val="Hyperlink"/>
          </w:rPr>
          <w:t>Options for Setting Charges from 2023-24 Onwards</w:t>
        </w:r>
        <w:r w:rsidR="00D65B8B">
          <w:rPr>
            <w:webHidden/>
          </w:rPr>
          <w:tab/>
        </w:r>
        <w:r w:rsidR="00D65B8B">
          <w:rPr>
            <w:webHidden/>
          </w:rPr>
          <w:fldChar w:fldCharType="begin"/>
        </w:r>
        <w:r w:rsidR="00D65B8B">
          <w:rPr>
            <w:webHidden/>
          </w:rPr>
          <w:instrText xml:space="preserve"> PAGEREF _Toc121234758 \h </w:instrText>
        </w:r>
        <w:r w:rsidR="00D65B8B">
          <w:rPr>
            <w:webHidden/>
          </w:rPr>
        </w:r>
        <w:r w:rsidR="00D65B8B">
          <w:rPr>
            <w:webHidden/>
          </w:rPr>
          <w:fldChar w:fldCharType="separate"/>
        </w:r>
        <w:r w:rsidR="0043504D">
          <w:rPr>
            <w:webHidden/>
          </w:rPr>
          <w:t>28</w:t>
        </w:r>
        <w:r w:rsidR="00D65B8B">
          <w:rPr>
            <w:webHidden/>
          </w:rPr>
          <w:fldChar w:fldCharType="end"/>
        </w:r>
      </w:hyperlink>
    </w:p>
    <w:p w14:paraId="67C82B24" w14:textId="285036F1" w:rsidR="00D65B8B" w:rsidRDefault="00AB1B17">
      <w:pPr>
        <w:pStyle w:val="TOC2"/>
        <w:rPr>
          <w:rFonts w:asciiTheme="minorHAnsi" w:eastAsiaTheme="minorEastAsia" w:hAnsiTheme="minorHAnsi" w:cstheme="minorBidi"/>
          <w:sz w:val="22"/>
          <w:szCs w:val="22"/>
          <w:lang w:eastAsia="en-AU"/>
        </w:rPr>
      </w:pPr>
      <w:hyperlink w:anchor="_Toc121234759" w:history="1">
        <w:r w:rsidR="00D65B8B" w:rsidRPr="008B5D59">
          <w:rPr>
            <w:rStyle w:val="Hyperlink"/>
          </w:rPr>
          <w:t>5.1</w:t>
        </w:r>
        <w:r w:rsidR="00D65B8B">
          <w:rPr>
            <w:rFonts w:asciiTheme="minorHAnsi" w:eastAsiaTheme="minorEastAsia" w:hAnsiTheme="minorHAnsi" w:cstheme="minorBidi"/>
            <w:sz w:val="22"/>
            <w:szCs w:val="22"/>
            <w:lang w:eastAsia="en-AU"/>
          </w:rPr>
          <w:tab/>
        </w:r>
        <w:r w:rsidR="00D65B8B" w:rsidRPr="008B5D59">
          <w:rPr>
            <w:rStyle w:val="Hyperlink"/>
          </w:rPr>
          <w:t>Applying the pricing principles in practice</w:t>
        </w:r>
        <w:r w:rsidR="00D65B8B">
          <w:rPr>
            <w:webHidden/>
          </w:rPr>
          <w:tab/>
        </w:r>
        <w:r w:rsidR="00D65B8B">
          <w:rPr>
            <w:webHidden/>
          </w:rPr>
          <w:fldChar w:fldCharType="begin"/>
        </w:r>
        <w:r w:rsidR="00D65B8B">
          <w:rPr>
            <w:webHidden/>
          </w:rPr>
          <w:instrText xml:space="preserve"> PAGEREF _Toc121234759 \h </w:instrText>
        </w:r>
        <w:r w:rsidR="00D65B8B">
          <w:rPr>
            <w:webHidden/>
          </w:rPr>
        </w:r>
        <w:r w:rsidR="00D65B8B">
          <w:rPr>
            <w:webHidden/>
          </w:rPr>
          <w:fldChar w:fldCharType="separate"/>
        </w:r>
        <w:r w:rsidR="0043504D">
          <w:rPr>
            <w:webHidden/>
          </w:rPr>
          <w:t>28</w:t>
        </w:r>
        <w:r w:rsidR="00D65B8B">
          <w:rPr>
            <w:webHidden/>
          </w:rPr>
          <w:fldChar w:fldCharType="end"/>
        </w:r>
      </w:hyperlink>
    </w:p>
    <w:p w14:paraId="052BF021" w14:textId="648E26DE" w:rsidR="00D65B8B" w:rsidRDefault="00AB1B17">
      <w:pPr>
        <w:pStyle w:val="TOC2"/>
        <w:rPr>
          <w:rFonts w:asciiTheme="minorHAnsi" w:eastAsiaTheme="minorEastAsia" w:hAnsiTheme="minorHAnsi" w:cstheme="minorBidi"/>
          <w:sz w:val="22"/>
          <w:szCs w:val="22"/>
          <w:lang w:eastAsia="en-AU"/>
        </w:rPr>
      </w:pPr>
      <w:hyperlink w:anchor="_Toc121234760" w:history="1">
        <w:r w:rsidR="00D65B8B" w:rsidRPr="008B5D59">
          <w:rPr>
            <w:rStyle w:val="Hyperlink"/>
          </w:rPr>
          <w:t>5.2</w:t>
        </w:r>
        <w:r w:rsidR="00D65B8B">
          <w:rPr>
            <w:rFonts w:asciiTheme="minorHAnsi" w:eastAsiaTheme="minorEastAsia" w:hAnsiTheme="minorHAnsi" w:cstheme="minorBidi"/>
            <w:sz w:val="22"/>
            <w:szCs w:val="22"/>
            <w:lang w:eastAsia="en-AU"/>
          </w:rPr>
          <w:tab/>
        </w:r>
        <w:r w:rsidR="00D65B8B" w:rsidRPr="008B5D59">
          <w:rPr>
            <w:rStyle w:val="Hyperlink"/>
          </w:rPr>
          <w:t>Gap between heavy vehicle cost base and estimated heavy vehicle charges revenue</w:t>
        </w:r>
        <w:r w:rsidR="00D65B8B">
          <w:rPr>
            <w:webHidden/>
          </w:rPr>
          <w:tab/>
        </w:r>
        <w:r w:rsidR="00D65B8B">
          <w:rPr>
            <w:webHidden/>
          </w:rPr>
          <w:fldChar w:fldCharType="begin"/>
        </w:r>
        <w:r w:rsidR="00D65B8B">
          <w:rPr>
            <w:webHidden/>
          </w:rPr>
          <w:instrText xml:space="preserve"> PAGEREF _Toc121234760 \h </w:instrText>
        </w:r>
        <w:r w:rsidR="00D65B8B">
          <w:rPr>
            <w:webHidden/>
          </w:rPr>
        </w:r>
        <w:r w:rsidR="00D65B8B">
          <w:rPr>
            <w:webHidden/>
          </w:rPr>
          <w:fldChar w:fldCharType="separate"/>
        </w:r>
        <w:r w:rsidR="0043504D">
          <w:rPr>
            <w:webHidden/>
          </w:rPr>
          <w:t>29</w:t>
        </w:r>
        <w:r w:rsidR="00D65B8B">
          <w:rPr>
            <w:webHidden/>
          </w:rPr>
          <w:fldChar w:fldCharType="end"/>
        </w:r>
      </w:hyperlink>
    </w:p>
    <w:p w14:paraId="01A7D29F" w14:textId="1542EEF6" w:rsidR="00D65B8B" w:rsidRDefault="00AB1B17">
      <w:pPr>
        <w:pStyle w:val="TOC2"/>
        <w:rPr>
          <w:rFonts w:asciiTheme="minorHAnsi" w:eastAsiaTheme="minorEastAsia" w:hAnsiTheme="minorHAnsi" w:cstheme="minorBidi"/>
          <w:sz w:val="22"/>
          <w:szCs w:val="22"/>
          <w:lang w:eastAsia="en-AU"/>
        </w:rPr>
      </w:pPr>
      <w:hyperlink w:anchor="_Toc121234761" w:history="1">
        <w:r w:rsidR="00D65B8B" w:rsidRPr="008B5D59">
          <w:rPr>
            <w:rStyle w:val="Hyperlink"/>
          </w:rPr>
          <w:t>5.3</w:t>
        </w:r>
        <w:r w:rsidR="00D65B8B">
          <w:rPr>
            <w:rFonts w:asciiTheme="minorHAnsi" w:eastAsiaTheme="minorEastAsia" w:hAnsiTheme="minorHAnsi" w:cstheme="minorBidi"/>
            <w:sz w:val="22"/>
            <w:szCs w:val="22"/>
            <w:lang w:eastAsia="en-AU"/>
          </w:rPr>
          <w:tab/>
        </w:r>
        <w:r w:rsidR="00D65B8B" w:rsidRPr="008B5D59">
          <w:rPr>
            <w:rStyle w:val="Hyperlink"/>
          </w:rPr>
          <w:t>Three options consulted on</w:t>
        </w:r>
        <w:r w:rsidR="00D65B8B">
          <w:rPr>
            <w:webHidden/>
          </w:rPr>
          <w:tab/>
        </w:r>
        <w:r w:rsidR="00D65B8B">
          <w:rPr>
            <w:webHidden/>
          </w:rPr>
          <w:fldChar w:fldCharType="begin"/>
        </w:r>
        <w:r w:rsidR="00D65B8B">
          <w:rPr>
            <w:webHidden/>
          </w:rPr>
          <w:instrText xml:space="preserve"> PAGEREF _Toc121234761 \h </w:instrText>
        </w:r>
        <w:r w:rsidR="00D65B8B">
          <w:rPr>
            <w:webHidden/>
          </w:rPr>
        </w:r>
        <w:r w:rsidR="00D65B8B">
          <w:rPr>
            <w:webHidden/>
          </w:rPr>
          <w:fldChar w:fldCharType="separate"/>
        </w:r>
        <w:r w:rsidR="0043504D">
          <w:rPr>
            <w:webHidden/>
          </w:rPr>
          <w:t>29</w:t>
        </w:r>
        <w:r w:rsidR="00D65B8B">
          <w:rPr>
            <w:webHidden/>
          </w:rPr>
          <w:fldChar w:fldCharType="end"/>
        </w:r>
      </w:hyperlink>
    </w:p>
    <w:p w14:paraId="1E47CCD2" w14:textId="067ACB01" w:rsidR="00D65B8B" w:rsidRDefault="00AB1B17">
      <w:pPr>
        <w:pStyle w:val="TOC2"/>
        <w:rPr>
          <w:rFonts w:asciiTheme="minorHAnsi" w:eastAsiaTheme="minorEastAsia" w:hAnsiTheme="minorHAnsi" w:cstheme="minorBidi"/>
          <w:sz w:val="22"/>
          <w:szCs w:val="22"/>
          <w:lang w:eastAsia="en-AU"/>
        </w:rPr>
      </w:pPr>
      <w:hyperlink w:anchor="_Toc121234762" w:history="1">
        <w:r w:rsidR="00D65B8B" w:rsidRPr="008B5D59">
          <w:rPr>
            <w:rStyle w:val="Hyperlink"/>
          </w:rPr>
          <w:t>5.4</w:t>
        </w:r>
        <w:r w:rsidR="00D65B8B">
          <w:rPr>
            <w:rFonts w:asciiTheme="minorHAnsi" w:eastAsiaTheme="minorEastAsia" w:hAnsiTheme="minorHAnsi" w:cstheme="minorBidi"/>
            <w:sz w:val="22"/>
            <w:szCs w:val="22"/>
            <w:lang w:eastAsia="en-AU"/>
          </w:rPr>
          <w:tab/>
        </w:r>
        <w:r w:rsidR="00D65B8B" w:rsidRPr="008B5D59">
          <w:rPr>
            <w:rStyle w:val="Hyperlink"/>
          </w:rPr>
          <w:t>Financial and fiscal implications</w:t>
        </w:r>
        <w:r w:rsidR="00D65B8B">
          <w:rPr>
            <w:webHidden/>
          </w:rPr>
          <w:tab/>
        </w:r>
        <w:r w:rsidR="00D65B8B">
          <w:rPr>
            <w:webHidden/>
          </w:rPr>
          <w:fldChar w:fldCharType="begin"/>
        </w:r>
        <w:r w:rsidR="00D65B8B">
          <w:rPr>
            <w:webHidden/>
          </w:rPr>
          <w:instrText xml:space="preserve"> PAGEREF _Toc121234762 \h </w:instrText>
        </w:r>
        <w:r w:rsidR="00D65B8B">
          <w:rPr>
            <w:webHidden/>
          </w:rPr>
        </w:r>
        <w:r w:rsidR="00D65B8B">
          <w:rPr>
            <w:webHidden/>
          </w:rPr>
          <w:fldChar w:fldCharType="separate"/>
        </w:r>
        <w:r w:rsidR="0043504D">
          <w:rPr>
            <w:webHidden/>
          </w:rPr>
          <w:t>30</w:t>
        </w:r>
        <w:r w:rsidR="00D65B8B">
          <w:rPr>
            <w:webHidden/>
          </w:rPr>
          <w:fldChar w:fldCharType="end"/>
        </w:r>
      </w:hyperlink>
    </w:p>
    <w:p w14:paraId="43894A77" w14:textId="0ADA7BD5" w:rsidR="00D65B8B" w:rsidRDefault="00AB1B17">
      <w:pPr>
        <w:pStyle w:val="TOC2"/>
        <w:rPr>
          <w:rFonts w:asciiTheme="minorHAnsi" w:eastAsiaTheme="minorEastAsia" w:hAnsiTheme="minorHAnsi" w:cstheme="minorBidi"/>
          <w:sz w:val="22"/>
          <w:szCs w:val="22"/>
          <w:lang w:eastAsia="en-AU"/>
        </w:rPr>
      </w:pPr>
      <w:hyperlink w:anchor="_Toc121234763" w:history="1">
        <w:r w:rsidR="00D65B8B" w:rsidRPr="008B5D59">
          <w:rPr>
            <w:rStyle w:val="Hyperlink"/>
          </w:rPr>
          <w:t>5.5</w:t>
        </w:r>
        <w:r w:rsidR="00D65B8B">
          <w:rPr>
            <w:rFonts w:asciiTheme="minorHAnsi" w:eastAsiaTheme="minorEastAsia" w:hAnsiTheme="minorHAnsi" w:cstheme="minorBidi"/>
            <w:sz w:val="22"/>
            <w:szCs w:val="22"/>
            <w:lang w:eastAsia="en-AU"/>
          </w:rPr>
          <w:tab/>
        </w:r>
        <w:r w:rsidR="00D65B8B" w:rsidRPr="008B5D59">
          <w:rPr>
            <w:rStyle w:val="Hyperlink"/>
          </w:rPr>
          <w:t>Estimated RUC rates</w:t>
        </w:r>
        <w:r w:rsidR="00D65B8B">
          <w:rPr>
            <w:webHidden/>
          </w:rPr>
          <w:tab/>
        </w:r>
        <w:r w:rsidR="00D65B8B">
          <w:rPr>
            <w:webHidden/>
          </w:rPr>
          <w:fldChar w:fldCharType="begin"/>
        </w:r>
        <w:r w:rsidR="00D65B8B">
          <w:rPr>
            <w:webHidden/>
          </w:rPr>
          <w:instrText xml:space="preserve"> PAGEREF _Toc121234763 \h </w:instrText>
        </w:r>
        <w:r w:rsidR="00D65B8B">
          <w:rPr>
            <w:webHidden/>
          </w:rPr>
        </w:r>
        <w:r w:rsidR="00D65B8B">
          <w:rPr>
            <w:webHidden/>
          </w:rPr>
          <w:fldChar w:fldCharType="separate"/>
        </w:r>
        <w:r w:rsidR="0043504D">
          <w:rPr>
            <w:webHidden/>
          </w:rPr>
          <w:t>32</w:t>
        </w:r>
        <w:r w:rsidR="00D65B8B">
          <w:rPr>
            <w:webHidden/>
          </w:rPr>
          <w:fldChar w:fldCharType="end"/>
        </w:r>
      </w:hyperlink>
    </w:p>
    <w:p w14:paraId="04FA82BA" w14:textId="31759921" w:rsidR="00D65B8B" w:rsidRDefault="00AB1B17">
      <w:pPr>
        <w:pStyle w:val="TOC2"/>
        <w:rPr>
          <w:rFonts w:asciiTheme="minorHAnsi" w:eastAsiaTheme="minorEastAsia" w:hAnsiTheme="minorHAnsi" w:cstheme="minorBidi"/>
          <w:sz w:val="22"/>
          <w:szCs w:val="22"/>
          <w:lang w:eastAsia="en-AU"/>
        </w:rPr>
      </w:pPr>
      <w:hyperlink w:anchor="_Toc121234764" w:history="1">
        <w:r w:rsidR="00D65B8B" w:rsidRPr="008B5D59">
          <w:rPr>
            <w:rStyle w:val="Hyperlink"/>
          </w:rPr>
          <w:t>5.6</w:t>
        </w:r>
        <w:r w:rsidR="00D65B8B">
          <w:rPr>
            <w:rFonts w:asciiTheme="minorHAnsi" w:eastAsiaTheme="minorEastAsia" w:hAnsiTheme="minorHAnsi" w:cstheme="minorBidi"/>
            <w:sz w:val="22"/>
            <w:szCs w:val="22"/>
            <w:lang w:eastAsia="en-AU"/>
          </w:rPr>
          <w:tab/>
        </w:r>
        <w:r w:rsidR="00D65B8B" w:rsidRPr="008B5D59">
          <w:rPr>
            <w:rStyle w:val="Hyperlink"/>
          </w:rPr>
          <w:t>Estimated heavy vehicle registration charges</w:t>
        </w:r>
        <w:r w:rsidR="00D65B8B">
          <w:rPr>
            <w:webHidden/>
          </w:rPr>
          <w:tab/>
        </w:r>
        <w:r w:rsidR="00D65B8B">
          <w:rPr>
            <w:webHidden/>
          </w:rPr>
          <w:fldChar w:fldCharType="begin"/>
        </w:r>
        <w:r w:rsidR="00D65B8B">
          <w:rPr>
            <w:webHidden/>
          </w:rPr>
          <w:instrText xml:space="preserve"> PAGEREF _Toc121234764 \h </w:instrText>
        </w:r>
        <w:r w:rsidR="00D65B8B">
          <w:rPr>
            <w:webHidden/>
          </w:rPr>
        </w:r>
        <w:r w:rsidR="00D65B8B">
          <w:rPr>
            <w:webHidden/>
          </w:rPr>
          <w:fldChar w:fldCharType="separate"/>
        </w:r>
        <w:r w:rsidR="0043504D">
          <w:rPr>
            <w:webHidden/>
          </w:rPr>
          <w:t>33</w:t>
        </w:r>
        <w:r w:rsidR="00D65B8B">
          <w:rPr>
            <w:webHidden/>
          </w:rPr>
          <w:fldChar w:fldCharType="end"/>
        </w:r>
      </w:hyperlink>
    </w:p>
    <w:p w14:paraId="1975B9F1" w14:textId="5FB11D7C" w:rsidR="00D65B8B" w:rsidRDefault="00AB1B17">
      <w:pPr>
        <w:pStyle w:val="TOC2"/>
        <w:rPr>
          <w:rFonts w:asciiTheme="minorHAnsi" w:eastAsiaTheme="minorEastAsia" w:hAnsiTheme="minorHAnsi" w:cstheme="minorBidi"/>
          <w:sz w:val="22"/>
          <w:szCs w:val="22"/>
          <w:lang w:eastAsia="en-AU"/>
        </w:rPr>
      </w:pPr>
      <w:hyperlink w:anchor="_Toc121234765" w:history="1">
        <w:r w:rsidR="00D65B8B" w:rsidRPr="008B5D59">
          <w:rPr>
            <w:rStyle w:val="Hyperlink"/>
            <w:lang w:eastAsia="en-AU"/>
          </w:rPr>
          <w:t>5.7</w:t>
        </w:r>
        <w:r w:rsidR="00D65B8B">
          <w:rPr>
            <w:rFonts w:asciiTheme="minorHAnsi" w:eastAsiaTheme="minorEastAsia" w:hAnsiTheme="minorHAnsi" w:cstheme="minorBidi"/>
            <w:sz w:val="22"/>
            <w:szCs w:val="22"/>
            <w:lang w:eastAsia="en-AU"/>
          </w:rPr>
          <w:tab/>
        </w:r>
        <w:r w:rsidR="00D65B8B" w:rsidRPr="008B5D59">
          <w:rPr>
            <w:rStyle w:val="Hyperlink"/>
            <w:lang w:eastAsia="en-AU"/>
          </w:rPr>
          <w:t>Approach to setting registration charges under options explored in this paper</w:t>
        </w:r>
        <w:r w:rsidR="00D65B8B">
          <w:rPr>
            <w:webHidden/>
          </w:rPr>
          <w:tab/>
        </w:r>
        <w:r w:rsidR="00D65B8B">
          <w:rPr>
            <w:webHidden/>
          </w:rPr>
          <w:fldChar w:fldCharType="begin"/>
        </w:r>
        <w:r w:rsidR="00D65B8B">
          <w:rPr>
            <w:webHidden/>
          </w:rPr>
          <w:instrText xml:space="preserve"> PAGEREF _Toc121234765 \h </w:instrText>
        </w:r>
        <w:r w:rsidR="00D65B8B">
          <w:rPr>
            <w:webHidden/>
          </w:rPr>
        </w:r>
        <w:r w:rsidR="00D65B8B">
          <w:rPr>
            <w:webHidden/>
          </w:rPr>
          <w:fldChar w:fldCharType="separate"/>
        </w:r>
        <w:r w:rsidR="0043504D">
          <w:rPr>
            <w:webHidden/>
          </w:rPr>
          <w:t>35</w:t>
        </w:r>
        <w:r w:rsidR="00D65B8B">
          <w:rPr>
            <w:webHidden/>
          </w:rPr>
          <w:fldChar w:fldCharType="end"/>
        </w:r>
      </w:hyperlink>
    </w:p>
    <w:p w14:paraId="546B1802" w14:textId="28A2C2EA" w:rsidR="00D65B8B" w:rsidRDefault="00AB1B17">
      <w:pPr>
        <w:pStyle w:val="TOC2"/>
        <w:rPr>
          <w:rFonts w:asciiTheme="minorHAnsi" w:eastAsiaTheme="minorEastAsia" w:hAnsiTheme="minorHAnsi" w:cstheme="minorBidi"/>
          <w:sz w:val="22"/>
          <w:szCs w:val="22"/>
          <w:lang w:eastAsia="en-AU"/>
        </w:rPr>
      </w:pPr>
      <w:hyperlink w:anchor="_Toc121234766" w:history="1">
        <w:r w:rsidR="00D65B8B" w:rsidRPr="008B5D59">
          <w:rPr>
            <w:rStyle w:val="Hyperlink"/>
          </w:rPr>
          <w:t>5.8</w:t>
        </w:r>
        <w:r w:rsidR="00D65B8B">
          <w:rPr>
            <w:rFonts w:asciiTheme="minorHAnsi" w:eastAsiaTheme="minorEastAsia" w:hAnsiTheme="minorHAnsi" w:cstheme="minorBidi"/>
            <w:sz w:val="22"/>
            <w:szCs w:val="22"/>
            <w:lang w:eastAsia="en-AU"/>
          </w:rPr>
          <w:tab/>
        </w:r>
        <w:r w:rsidR="00D65B8B" w:rsidRPr="008B5D59">
          <w:rPr>
            <w:rStyle w:val="Hyperlink"/>
          </w:rPr>
          <w:t>Stakeholder feedback and submissions</w:t>
        </w:r>
        <w:r w:rsidR="00D65B8B">
          <w:rPr>
            <w:webHidden/>
          </w:rPr>
          <w:tab/>
        </w:r>
        <w:r w:rsidR="00D65B8B">
          <w:rPr>
            <w:webHidden/>
          </w:rPr>
          <w:fldChar w:fldCharType="begin"/>
        </w:r>
        <w:r w:rsidR="00D65B8B">
          <w:rPr>
            <w:webHidden/>
          </w:rPr>
          <w:instrText xml:space="preserve"> PAGEREF _Toc121234766 \h </w:instrText>
        </w:r>
        <w:r w:rsidR="00D65B8B">
          <w:rPr>
            <w:webHidden/>
          </w:rPr>
        </w:r>
        <w:r w:rsidR="00D65B8B">
          <w:rPr>
            <w:webHidden/>
          </w:rPr>
          <w:fldChar w:fldCharType="separate"/>
        </w:r>
        <w:r w:rsidR="0043504D">
          <w:rPr>
            <w:webHidden/>
          </w:rPr>
          <w:t>36</w:t>
        </w:r>
        <w:r w:rsidR="00D65B8B">
          <w:rPr>
            <w:webHidden/>
          </w:rPr>
          <w:fldChar w:fldCharType="end"/>
        </w:r>
      </w:hyperlink>
    </w:p>
    <w:p w14:paraId="2B84ED2E" w14:textId="6292E156" w:rsidR="00D65B8B" w:rsidRDefault="00AB1B17">
      <w:pPr>
        <w:pStyle w:val="TOC2"/>
        <w:rPr>
          <w:rFonts w:asciiTheme="minorHAnsi" w:eastAsiaTheme="minorEastAsia" w:hAnsiTheme="minorHAnsi" w:cstheme="minorBidi"/>
          <w:sz w:val="22"/>
          <w:szCs w:val="22"/>
          <w:lang w:eastAsia="en-AU"/>
        </w:rPr>
      </w:pPr>
      <w:hyperlink w:anchor="_Toc121234767" w:history="1">
        <w:r w:rsidR="00D65B8B" w:rsidRPr="008B5D59">
          <w:rPr>
            <w:rStyle w:val="Hyperlink"/>
          </w:rPr>
          <w:t>5.9</w:t>
        </w:r>
        <w:r w:rsidR="00D65B8B">
          <w:rPr>
            <w:rFonts w:asciiTheme="minorHAnsi" w:eastAsiaTheme="minorEastAsia" w:hAnsiTheme="minorHAnsi" w:cstheme="minorBidi"/>
            <w:sz w:val="22"/>
            <w:szCs w:val="22"/>
            <w:lang w:eastAsia="en-AU"/>
          </w:rPr>
          <w:tab/>
        </w:r>
        <w:r w:rsidR="00D65B8B" w:rsidRPr="008B5D59">
          <w:rPr>
            <w:rStyle w:val="Hyperlink"/>
          </w:rPr>
          <w:t>Response to feedback and submissions</w:t>
        </w:r>
        <w:r w:rsidR="00D65B8B">
          <w:rPr>
            <w:webHidden/>
          </w:rPr>
          <w:tab/>
        </w:r>
        <w:r w:rsidR="00D65B8B">
          <w:rPr>
            <w:webHidden/>
          </w:rPr>
          <w:fldChar w:fldCharType="begin"/>
        </w:r>
        <w:r w:rsidR="00D65B8B">
          <w:rPr>
            <w:webHidden/>
          </w:rPr>
          <w:instrText xml:space="preserve"> PAGEREF _Toc121234767 \h </w:instrText>
        </w:r>
        <w:r w:rsidR="00D65B8B">
          <w:rPr>
            <w:webHidden/>
          </w:rPr>
        </w:r>
        <w:r w:rsidR="00D65B8B">
          <w:rPr>
            <w:webHidden/>
          </w:rPr>
          <w:fldChar w:fldCharType="separate"/>
        </w:r>
        <w:r w:rsidR="0043504D">
          <w:rPr>
            <w:webHidden/>
          </w:rPr>
          <w:t>36</w:t>
        </w:r>
        <w:r w:rsidR="00D65B8B">
          <w:rPr>
            <w:webHidden/>
          </w:rPr>
          <w:fldChar w:fldCharType="end"/>
        </w:r>
      </w:hyperlink>
    </w:p>
    <w:p w14:paraId="258BB922" w14:textId="7CFAE5DD" w:rsidR="00D65B8B" w:rsidRDefault="00AB1B17">
      <w:pPr>
        <w:pStyle w:val="TOC1"/>
        <w:rPr>
          <w:rFonts w:asciiTheme="minorHAnsi" w:eastAsiaTheme="minorEastAsia" w:hAnsiTheme="minorHAnsi" w:cstheme="minorBidi"/>
          <w:b w:val="0"/>
          <w:szCs w:val="22"/>
          <w:lang w:eastAsia="en-AU"/>
        </w:rPr>
      </w:pPr>
      <w:hyperlink w:anchor="_Toc121234768" w:history="1">
        <w:r w:rsidR="00D65B8B" w:rsidRPr="008B5D59">
          <w:rPr>
            <w:rStyle w:val="Hyperlink"/>
            <w:rFonts w:eastAsia="Cambria"/>
          </w:rPr>
          <w:t>6</w:t>
        </w:r>
        <w:r w:rsidR="00D65B8B">
          <w:rPr>
            <w:rFonts w:asciiTheme="minorHAnsi" w:eastAsiaTheme="minorEastAsia" w:hAnsiTheme="minorHAnsi" w:cstheme="minorBidi"/>
            <w:b w:val="0"/>
            <w:szCs w:val="22"/>
            <w:lang w:eastAsia="en-AU"/>
          </w:rPr>
          <w:tab/>
        </w:r>
        <w:r w:rsidR="00D65B8B" w:rsidRPr="008B5D59">
          <w:rPr>
            <w:rStyle w:val="Hyperlink"/>
          </w:rPr>
          <w:t>Assessment and final recommendation</w:t>
        </w:r>
        <w:r w:rsidR="00D65B8B">
          <w:rPr>
            <w:webHidden/>
          </w:rPr>
          <w:tab/>
        </w:r>
        <w:r w:rsidR="00D65B8B">
          <w:rPr>
            <w:webHidden/>
          </w:rPr>
          <w:fldChar w:fldCharType="begin"/>
        </w:r>
        <w:r w:rsidR="00D65B8B">
          <w:rPr>
            <w:webHidden/>
          </w:rPr>
          <w:instrText xml:space="preserve"> PAGEREF _Toc121234768 \h </w:instrText>
        </w:r>
        <w:r w:rsidR="00D65B8B">
          <w:rPr>
            <w:webHidden/>
          </w:rPr>
        </w:r>
        <w:r w:rsidR="00D65B8B">
          <w:rPr>
            <w:webHidden/>
          </w:rPr>
          <w:fldChar w:fldCharType="separate"/>
        </w:r>
        <w:r w:rsidR="0043504D">
          <w:rPr>
            <w:webHidden/>
          </w:rPr>
          <w:t>38</w:t>
        </w:r>
        <w:r w:rsidR="00D65B8B">
          <w:rPr>
            <w:webHidden/>
          </w:rPr>
          <w:fldChar w:fldCharType="end"/>
        </w:r>
      </w:hyperlink>
    </w:p>
    <w:p w14:paraId="7C4A0266" w14:textId="07D3DDA6" w:rsidR="00D65B8B" w:rsidRDefault="00AB1B17">
      <w:pPr>
        <w:pStyle w:val="TOC2"/>
        <w:rPr>
          <w:rFonts w:asciiTheme="minorHAnsi" w:eastAsiaTheme="minorEastAsia" w:hAnsiTheme="minorHAnsi" w:cstheme="minorBidi"/>
          <w:sz w:val="22"/>
          <w:szCs w:val="22"/>
          <w:lang w:eastAsia="en-AU"/>
        </w:rPr>
      </w:pPr>
      <w:hyperlink w:anchor="_Toc121234769" w:history="1">
        <w:r w:rsidR="00D65B8B" w:rsidRPr="008B5D59">
          <w:rPr>
            <w:rStyle w:val="Hyperlink"/>
          </w:rPr>
          <w:t>6.1</w:t>
        </w:r>
        <w:r w:rsidR="00D65B8B">
          <w:rPr>
            <w:rFonts w:asciiTheme="minorHAnsi" w:eastAsiaTheme="minorEastAsia" w:hAnsiTheme="minorHAnsi" w:cstheme="minorBidi"/>
            <w:sz w:val="22"/>
            <w:szCs w:val="22"/>
            <w:lang w:eastAsia="en-AU"/>
          </w:rPr>
          <w:tab/>
        </w:r>
        <w:r w:rsidR="00D65B8B" w:rsidRPr="008B5D59">
          <w:rPr>
            <w:rStyle w:val="Hyperlink"/>
          </w:rPr>
          <w:t>Pricing Principles</w:t>
        </w:r>
        <w:r w:rsidR="00D65B8B">
          <w:rPr>
            <w:webHidden/>
          </w:rPr>
          <w:tab/>
        </w:r>
        <w:r w:rsidR="00D65B8B">
          <w:rPr>
            <w:webHidden/>
          </w:rPr>
          <w:fldChar w:fldCharType="begin"/>
        </w:r>
        <w:r w:rsidR="00D65B8B">
          <w:rPr>
            <w:webHidden/>
          </w:rPr>
          <w:instrText xml:space="preserve"> PAGEREF _Toc121234769 \h </w:instrText>
        </w:r>
        <w:r w:rsidR="00D65B8B">
          <w:rPr>
            <w:webHidden/>
          </w:rPr>
        </w:r>
        <w:r w:rsidR="00D65B8B">
          <w:rPr>
            <w:webHidden/>
          </w:rPr>
          <w:fldChar w:fldCharType="separate"/>
        </w:r>
        <w:r w:rsidR="0043504D">
          <w:rPr>
            <w:webHidden/>
          </w:rPr>
          <w:t>38</w:t>
        </w:r>
        <w:r w:rsidR="00D65B8B">
          <w:rPr>
            <w:webHidden/>
          </w:rPr>
          <w:fldChar w:fldCharType="end"/>
        </w:r>
      </w:hyperlink>
    </w:p>
    <w:p w14:paraId="3E4AF3F9" w14:textId="7C336CB3" w:rsidR="00D65B8B" w:rsidRDefault="00AB1B17">
      <w:pPr>
        <w:pStyle w:val="TOC2"/>
        <w:rPr>
          <w:rFonts w:asciiTheme="minorHAnsi" w:eastAsiaTheme="minorEastAsia" w:hAnsiTheme="minorHAnsi" w:cstheme="minorBidi"/>
          <w:sz w:val="22"/>
          <w:szCs w:val="22"/>
          <w:lang w:eastAsia="en-AU"/>
        </w:rPr>
      </w:pPr>
      <w:hyperlink w:anchor="_Toc121234770" w:history="1">
        <w:r w:rsidR="00D65B8B" w:rsidRPr="008B5D59">
          <w:rPr>
            <w:rStyle w:val="Hyperlink"/>
          </w:rPr>
          <w:t>6.1</w:t>
        </w:r>
        <w:r w:rsidR="00D65B8B">
          <w:rPr>
            <w:rFonts w:asciiTheme="minorHAnsi" w:eastAsiaTheme="minorEastAsia" w:hAnsiTheme="minorHAnsi" w:cstheme="minorBidi"/>
            <w:sz w:val="22"/>
            <w:szCs w:val="22"/>
            <w:lang w:eastAsia="en-AU"/>
          </w:rPr>
          <w:tab/>
        </w:r>
        <w:r w:rsidR="00D65B8B" w:rsidRPr="008B5D59">
          <w:rPr>
            <w:rStyle w:val="Hyperlink"/>
          </w:rPr>
          <w:t>Relevant considerations</w:t>
        </w:r>
        <w:r w:rsidR="00D65B8B">
          <w:rPr>
            <w:webHidden/>
          </w:rPr>
          <w:tab/>
        </w:r>
        <w:r w:rsidR="00D65B8B">
          <w:rPr>
            <w:webHidden/>
          </w:rPr>
          <w:fldChar w:fldCharType="begin"/>
        </w:r>
        <w:r w:rsidR="00D65B8B">
          <w:rPr>
            <w:webHidden/>
          </w:rPr>
          <w:instrText xml:space="preserve"> PAGEREF _Toc121234770 \h </w:instrText>
        </w:r>
        <w:r w:rsidR="00D65B8B">
          <w:rPr>
            <w:webHidden/>
          </w:rPr>
        </w:r>
        <w:r w:rsidR="00D65B8B">
          <w:rPr>
            <w:webHidden/>
          </w:rPr>
          <w:fldChar w:fldCharType="separate"/>
        </w:r>
        <w:r w:rsidR="0043504D">
          <w:rPr>
            <w:webHidden/>
          </w:rPr>
          <w:t>38</w:t>
        </w:r>
        <w:r w:rsidR="00D65B8B">
          <w:rPr>
            <w:webHidden/>
          </w:rPr>
          <w:fldChar w:fldCharType="end"/>
        </w:r>
      </w:hyperlink>
    </w:p>
    <w:p w14:paraId="5C7E671B" w14:textId="6E85986D" w:rsidR="00D65B8B" w:rsidRDefault="00AB1B17">
      <w:pPr>
        <w:pStyle w:val="TOC2"/>
        <w:rPr>
          <w:rFonts w:asciiTheme="minorHAnsi" w:eastAsiaTheme="minorEastAsia" w:hAnsiTheme="minorHAnsi" w:cstheme="minorBidi"/>
          <w:sz w:val="22"/>
          <w:szCs w:val="22"/>
          <w:lang w:eastAsia="en-AU"/>
        </w:rPr>
      </w:pPr>
      <w:hyperlink w:anchor="_Toc121234771" w:history="1">
        <w:r w:rsidR="00D65B8B" w:rsidRPr="008B5D59">
          <w:rPr>
            <w:rStyle w:val="Hyperlink"/>
          </w:rPr>
          <w:t>6.2</w:t>
        </w:r>
        <w:r w:rsidR="00D65B8B">
          <w:rPr>
            <w:rFonts w:asciiTheme="minorHAnsi" w:eastAsiaTheme="minorEastAsia" w:hAnsiTheme="minorHAnsi" w:cstheme="minorBidi"/>
            <w:sz w:val="22"/>
            <w:szCs w:val="22"/>
            <w:lang w:eastAsia="en-AU"/>
          </w:rPr>
          <w:tab/>
        </w:r>
        <w:r w:rsidR="00D65B8B" w:rsidRPr="008B5D59">
          <w:rPr>
            <w:rStyle w:val="Hyperlink"/>
          </w:rPr>
          <w:t>Conclusion and recommendations</w:t>
        </w:r>
        <w:r w:rsidR="00D65B8B">
          <w:rPr>
            <w:webHidden/>
          </w:rPr>
          <w:tab/>
        </w:r>
        <w:r w:rsidR="00D65B8B">
          <w:rPr>
            <w:webHidden/>
          </w:rPr>
          <w:fldChar w:fldCharType="begin"/>
        </w:r>
        <w:r w:rsidR="00D65B8B">
          <w:rPr>
            <w:webHidden/>
          </w:rPr>
          <w:instrText xml:space="preserve"> PAGEREF _Toc121234771 \h </w:instrText>
        </w:r>
        <w:r w:rsidR="00D65B8B">
          <w:rPr>
            <w:webHidden/>
          </w:rPr>
        </w:r>
        <w:r w:rsidR="00D65B8B">
          <w:rPr>
            <w:webHidden/>
          </w:rPr>
          <w:fldChar w:fldCharType="separate"/>
        </w:r>
        <w:r w:rsidR="0043504D">
          <w:rPr>
            <w:webHidden/>
          </w:rPr>
          <w:t>43</w:t>
        </w:r>
        <w:r w:rsidR="00D65B8B">
          <w:rPr>
            <w:webHidden/>
          </w:rPr>
          <w:fldChar w:fldCharType="end"/>
        </w:r>
      </w:hyperlink>
    </w:p>
    <w:p w14:paraId="784653DE" w14:textId="1CC20380" w:rsidR="00D65B8B" w:rsidRDefault="00AB1B17">
      <w:pPr>
        <w:pStyle w:val="TOC1"/>
        <w:rPr>
          <w:rFonts w:asciiTheme="minorHAnsi" w:eastAsiaTheme="minorEastAsia" w:hAnsiTheme="minorHAnsi" w:cstheme="minorBidi"/>
          <w:b w:val="0"/>
          <w:szCs w:val="22"/>
          <w:lang w:eastAsia="en-AU"/>
        </w:rPr>
      </w:pPr>
      <w:hyperlink w:anchor="_Toc121234772" w:history="1">
        <w:r w:rsidR="00D65B8B" w:rsidRPr="008B5D59">
          <w:rPr>
            <w:rStyle w:val="Hyperlink"/>
          </w:rPr>
          <w:t>7</w:t>
        </w:r>
        <w:r w:rsidR="00D65B8B">
          <w:rPr>
            <w:rFonts w:asciiTheme="minorHAnsi" w:eastAsiaTheme="minorEastAsia" w:hAnsiTheme="minorHAnsi" w:cstheme="minorBidi"/>
            <w:b w:val="0"/>
            <w:szCs w:val="22"/>
            <w:lang w:eastAsia="en-AU"/>
          </w:rPr>
          <w:tab/>
        </w:r>
        <w:r w:rsidR="00D65B8B" w:rsidRPr="008B5D59">
          <w:rPr>
            <w:rStyle w:val="Hyperlink"/>
          </w:rPr>
          <w:t>Alternative approaches to rounding heavy vehicle charges</w:t>
        </w:r>
        <w:r w:rsidR="00D65B8B">
          <w:rPr>
            <w:webHidden/>
          </w:rPr>
          <w:tab/>
        </w:r>
        <w:r w:rsidR="00D65B8B">
          <w:rPr>
            <w:webHidden/>
          </w:rPr>
          <w:fldChar w:fldCharType="begin"/>
        </w:r>
        <w:r w:rsidR="00D65B8B">
          <w:rPr>
            <w:webHidden/>
          </w:rPr>
          <w:instrText xml:space="preserve"> PAGEREF _Toc121234772 \h </w:instrText>
        </w:r>
        <w:r w:rsidR="00D65B8B">
          <w:rPr>
            <w:webHidden/>
          </w:rPr>
        </w:r>
        <w:r w:rsidR="00D65B8B">
          <w:rPr>
            <w:webHidden/>
          </w:rPr>
          <w:fldChar w:fldCharType="separate"/>
        </w:r>
        <w:r w:rsidR="0043504D">
          <w:rPr>
            <w:webHidden/>
          </w:rPr>
          <w:t>44</w:t>
        </w:r>
        <w:r w:rsidR="00D65B8B">
          <w:rPr>
            <w:webHidden/>
          </w:rPr>
          <w:fldChar w:fldCharType="end"/>
        </w:r>
      </w:hyperlink>
    </w:p>
    <w:p w14:paraId="3D0C5C6B" w14:textId="3F4AF9E6" w:rsidR="00D65B8B" w:rsidRDefault="00AB1B17">
      <w:pPr>
        <w:pStyle w:val="TOC2"/>
        <w:rPr>
          <w:rFonts w:asciiTheme="minorHAnsi" w:eastAsiaTheme="minorEastAsia" w:hAnsiTheme="minorHAnsi" w:cstheme="minorBidi"/>
          <w:sz w:val="22"/>
          <w:szCs w:val="22"/>
          <w:lang w:eastAsia="en-AU"/>
        </w:rPr>
      </w:pPr>
      <w:hyperlink w:anchor="_Toc121234773" w:history="1">
        <w:r w:rsidR="00D65B8B" w:rsidRPr="008B5D59">
          <w:rPr>
            <w:rStyle w:val="Hyperlink"/>
          </w:rPr>
          <w:t>7.1</w:t>
        </w:r>
        <w:r w:rsidR="00D65B8B">
          <w:rPr>
            <w:rFonts w:asciiTheme="minorHAnsi" w:eastAsiaTheme="minorEastAsia" w:hAnsiTheme="minorHAnsi" w:cstheme="minorBidi"/>
            <w:sz w:val="22"/>
            <w:szCs w:val="22"/>
            <w:lang w:eastAsia="en-AU"/>
          </w:rPr>
          <w:tab/>
        </w:r>
        <w:r w:rsidR="00D65B8B" w:rsidRPr="008B5D59">
          <w:rPr>
            <w:rStyle w:val="Hyperlink"/>
          </w:rPr>
          <w:t>Stakeholder feedback and submissions</w:t>
        </w:r>
        <w:r w:rsidR="00D65B8B">
          <w:rPr>
            <w:webHidden/>
          </w:rPr>
          <w:tab/>
        </w:r>
        <w:r w:rsidR="00D65B8B">
          <w:rPr>
            <w:webHidden/>
          </w:rPr>
          <w:fldChar w:fldCharType="begin"/>
        </w:r>
        <w:r w:rsidR="00D65B8B">
          <w:rPr>
            <w:webHidden/>
          </w:rPr>
          <w:instrText xml:space="preserve"> PAGEREF _Toc121234773 \h </w:instrText>
        </w:r>
        <w:r w:rsidR="00D65B8B">
          <w:rPr>
            <w:webHidden/>
          </w:rPr>
        </w:r>
        <w:r w:rsidR="00D65B8B">
          <w:rPr>
            <w:webHidden/>
          </w:rPr>
          <w:fldChar w:fldCharType="separate"/>
        </w:r>
        <w:r w:rsidR="0043504D">
          <w:rPr>
            <w:webHidden/>
          </w:rPr>
          <w:t>46</w:t>
        </w:r>
        <w:r w:rsidR="00D65B8B">
          <w:rPr>
            <w:webHidden/>
          </w:rPr>
          <w:fldChar w:fldCharType="end"/>
        </w:r>
      </w:hyperlink>
    </w:p>
    <w:p w14:paraId="1E423696" w14:textId="513362D3" w:rsidR="00D65B8B" w:rsidRDefault="00AB1B17">
      <w:pPr>
        <w:pStyle w:val="TOC2"/>
        <w:rPr>
          <w:rFonts w:asciiTheme="minorHAnsi" w:eastAsiaTheme="minorEastAsia" w:hAnsiTheme="minorHAnsi" w:cstheme="minorBidi"/>
          <w:sz w:val="22"/>
          <w:szCs w:val="22"/>
          <w:lang w:eastAsia="en-AU"/>
        </w:rPr>
      </w:pPr>
      <w:hyperlink w:anchor="_Toc121234774" w:history="1">
        <w:r w:rsidR="00D65B8B" w:rsidRPr="008B5D59">
          <w:rPr>
            <w:rStyle w:val="Hyperlink"/>
          </w:rPr>
          <w:t>7.2</w:t>
        </w:r>
        <w:r w:rsidR="00D65B8B">
          <w:rPr>
            <w:rFonts w:asciiTheme="minorHAnsi" w:eastAsiaTheme="minorEastAsia" w:hAnsiTheme="minorHAnsi" w:cstheme="minorBidi"/>
            <w:sz w:val="22"/>
            <w:szCs w:val="22"/>
            <w:lang w:eastAsia="en-AU"/>
          </w:rPr>
          <w:tab/>
        </w:r>
        <w:r w:rsidR="00D65B8B" w:rsidRPr="008B5D59">
          <w:rPr>
            <w:rStyle w:val="Hyperlink"/>
          </w:rPr>
          <w:t>Conclusion</w:t>
        </w:r>
        <w:r w:rsidR="00D65B8B">
          <w:rPr>
            <w:webHidden/>
          </w:rPr>
          <w:tab/>
        </w:r>
        <w:r w:rsidR="00D65B8B">
          <w:rPr>
            <w:webHidden/>
          </w:rPr>
          <w:fldChar w:fldCharType="begin"/>
        </w:r>
        <w:r w:rsidR="00D65B8B">
          <w:rPr>
            <w:webHidden/>
          </w:rPr>
          <w:instrText xml:space="preserve"> PAGEREF _Toc121234774 \h </w:instrText>
        </w:r>
        <w:r w:rsidR="00D65B8B">
          <w:rPr>
            <w:webHidden/>
          </w:rPr>
        </w:r>
        <w:r w:rsidR="00D65B8B">
          <w:rPr>
            <w:webHidden/>
          </w:rPr>
          <w:fldChar w:fldCharType="separate"/>
        </w:r>
        <w:r w:rsidR="0043504D">
          <w:rPr>
            <w:webHidden/>
          </w:rPr>
          <w:t>46</w:t>
        </w:r>
        <w:r w:rsidR="00D65B8B">
          <w:rPr>
            <w:webHidden/>
          </w:rPr>
          <w:fldChar w:fldCharType="end"/>
        </w:r>
      </w:hyperlink>
    </w:p>
    <w:p w14:paraId="6D34D76E" w14:textId="628160AD" w:rsidR="00D65B8B" w:rsidRDefault="00AB1B17">
      <w:pPr>
        <w:pStyle w:val="TOC1"/>
        <w:rPr>
          <w:rFonts w:asciiTheme="minorHAnsi" w:eastAsiaTheme="minorEastAsia" w:hAnsiTheme="minorHAnsi" w:cstheme="minorBidi"/>
          <w:b w:val="0"/>
          <w:szCs w:val="22"/>
          <w:lang w:eastAsia="en-AU"/>
        </w:rPr>
      </w:pPr>
      <w:hyperlink w:anchor="_Toc121234775" w:history="1">
        <w:r w:rsidR="00D65B8B" w:rsidRPr="008B5D59">
          <w:rPr>
            <w:rStyle w:val="Hyperlink"/>
          </w:rPr>
          <w:t>Glossary</w:t>
        </w:r>
        <w:r w:rsidR="00D65B8B">
          <w:rPr>
            <w:webHidden/>
          </w:rPr>
          <w:tab/>
        </w:r>
        <w:r w:rsidR="00D65B8B">
          <w:rPr>
            <w:webHidden/>
          </w:rPr>
          <w:fldChar w:fldCharType="begin"/>
        </w:r>
        <w:r w:rsidR="00D65B8B">
          <w:rPr>
            <w:webHidden/>
          </w:rPr>
          <w:instrText xml:space="preserve"> PAGEREF _Toc121234775 \h </w:instrText>
        </w:r>
        <w:r w:rsidR="00D65B8B">
          <w:rPr>
            <w:webHidden/>
          </w:rPr>
        </w:r>
        <w:r w:rsidR="00D65B8B">
          <w:rPr>
            <w:webHidden/>
          </w:rPr>
          <w:fldChar w:fldCharType="separate"/>
        </w:r>
        <w:r w:rsidR="0043504D">
          <w:rPr>
            <w:webHidden/>
          </w:rPr>
          <w:t>47</w:t>
        </w:r>
        <w:r w:rsidR="00D65B8B">
          <w:rPr>
            <w:webHidden/>
          </w:rPr>
          <w:fldChar w:fldCharType="end"/>
        </w:r>
      </w:hyperlink>
    </w:p>
    <w:p w14:paraId="1F3986FB" w14:textId="38F532FE" w:rsidR="00D65B8B" w:rsidRDefault="00AB1B17">
      <w:pPr>
        <w:pStyle w:val="TOC1"/>
        <w:rPr>
          <w:rFonts w:asciiTheme="minorHAnsi" w:eastAsiaTheme="minorEastAsia" w:hAnsiTheme="minorHAnsi" w:cstheme="minorBidi"/>
          <w:b w:val="0"/>
          <w:szCs w:val="22"/>
          <w:lang w:eastAsia="en-AU"/>
        </w:rPr>
      </w:pPr>
      <w:hyperlink w:anchor="_Toc121234776" w:history="1">
        <w:r w:rsidR="00D65B8B" w:rsidRPr="008B5D59">
          <w:rPr>
            <w:rStyle w:val="Hyperlink"/>
          </w:rPr>
          <w:t>References</w:t>
        </w:r>
        <w:r w:rsidR="00D65B8B">
          <w:rPr>
            <w:webHidden/>
          </w:rPr>
          <w:tab/>
        </w:r>
        <w:r w:rsidR="00D65B8B">
          <w:rPr>
            <w:webHidden/>
          </w:rPr>
          <w:fldChar w:fldCharType="begin"/>
        </w:r>
        <w:r w:rsidR="00D65B8B">
          <w:rPr>
            <w:webHidden/>
          </w:rPr>
          <w:instrText xml:space="preserve"> PAGEREF _Toc121234776 \h </w:instrText>
        </w:r>
        <w:r w:rsidR="00D65B8B">
          <w:rPr>
            <w:webHidden/>
          </w:rPr>
        </w:r>
        <w:r w:rsidR="00D65B8B">
          <w:rPr>
            <w:webHidden/>
          </w:rPr>
          <w:fldChar w:fldCharType="separate"/>
        </w:r>
        <w:r w:rsidR="0043504D">
          <w:rPr>
            <w:webHidden/>
          </w:rPr>
          <w:t>48</w:t>
        </w:r>
        <w:r w:rsidR="00D65B8B">
          <w:rPr>
            <w:webHidden/>
          </w:rPr>
          <w:fldChar w:fldCharType="end"/>
        </w:r>
      </w:hyperlink>
    </w:p>
    <w:p w14:paraId="7CFC13F0" w14:textId="175012FF" w:rsidR="00D65B8B" w:rsidRDefault="00AB1B17">
      <w:pPr>
        <w:pStyle w:val="TOC1"/>
        <w:tabs>
          <w:tab w:val="left" w:pos="1560"/>
        </w:tabs>
        <w:rPr>
          <w:rFonts w:asciiTheme="minorHAnsi" w:eastAsiaTheme="minorEastAsia" w:hAnsiTheme="minorHAnsi" w:cstheme="minorBidi"/>
          <w:b w:val="0"/>
          <w:szCs w:val="22"/>
          <w:lang w:eastAsia="en-AU"/>
        </w:rPr>
      </w:pPr>
      <w:hyperlink w:anchor="_Toc121234777" w:history="1">
        <w:r w:rsidR="00D65B8B" w:rsidRPr="008B5D59">
          <w:rPr>
            <w:rStyle w:val="Hyperlink"/>
            <w:b/>
          </w:rPr>
          <w:t>Appendix A</w:t>
        </w:r>
        <w:r w:rsidR="00D65B8B">
          <w:rPr>
            <w:rFonts w:asciiTheme="minorHAnsi" w:eastAsiaTheme="minorEastAsia" w:hAnsiTheme="minorHAnsi" w:cstheme="minorBidi"/>
            <w:b w:val="0"/>
            <w:szCs w:val="22"/>
            <w:lang w:eastAsia="en-AU"/>
          </w:rPr>
          <w:tab/>
        </w:r>
        <w:r w:rsidR="00D65B8B" w:rsidRPr="008B5D59">
          <w:rPr>
            <w:rStyle w:val="Hyperlink"/>
          </w:rPr>
          <w:t>Summary of submissions</w:t>
        </w:r>
        <w:r w:rsidR="00D65B8B">
          <w:rPr>
            <w:webHidden/>
          </w:rPr>
          <w:tab/>
        </w:r>
        <w:r w:rsidR="00D65B8B">
          <w:rPr>
            <w:webHidden/>
          </w:rPr>
          <w:fldChar w:fldCharType="begin"/>
        </w:r>
        <w:r w:rsidR="00D65B8B">
          <w:rPr>
            <w:webHidden/>
          </w:rPr>
          <w:instrText xml:space="preserve"> PAGEREF _Toc121234777 \h </w:instrText>
        </w:r>
        <w:r w:rsidR="00D65B8B">
          <w:rPr>
            <w:webHidden/>
          </w:rPr>
        </w:r>
        <w:r w:rsidR="00D65B8B">
          <w:rPr>
            <w:webHidden/>
          </w:rPr>
          <w:fldChar w:fldCharType="separate"/>
        </w:r>
        <w:r w:rsidR="0043504D">
          <w:rPr>
            <w:webHidden/>
          </w:rPr>
          <w:t>1</w:t>
        </w:r>
        <w:r w:rsidR="00D65B8B">
          <w:rPr>
            <w:webHidden/>
          </w:rPr>
          <w:fldChar w:fldCharType="end"/>
        </w:r>
      </w:hyperlink>
    </w:p>
    <w:p w14:paraId="59ADE979" w14:textId="6D95C656" w:rsidR="00FD5B74" w:rsidRDefault="00000EB3" w:rsidP="00FD5B74">
      <w:pPr>
        <w:rPr>
          <w:noProof/>
        </w:rPr>
      </w:pPr>
      <w:r>
        <w:rPr>
          <w:noProof/>
          <w:sz w:val="22"/>
        </w:rPr>
        <w:fldChar w:fldCharType="end"/>
      </w:r>
    </w:p>
    <w:p w14:paraId="7FE2A80F" w14:textId="77777777" w:rsidR="00FD5B74" w:rsidRDefault="00FD5B74">
      <w:pPr>
        <w:spacing w:before="0" w:after="0"/>
        <w:rPr>
          <w:noProof/>
        </w:rPr>
      </w:pPr>
      <w:r>
        <w:rPr>
          <w:noProof/>
        </w:rPr>
        <w:br w:type="page"/>
      </w:r>
    </w:p>
    <w:p w14:paraId="3D96B2A2" w14:textId="77777777" w:rsidR="00481273" w:rsidRPr="0050190E" w:rsidRDefault="00481273" w:rsidP="00481273">
      <w:pPr>
        <w:pStyle w:val="Heading1"/>
        <w:numPr>
          <w:ilvl w:val="0"/>
          <w:numId w:val="0"/>
        </w:numPr>
        <w:ind w:left="432" w:hanging="432"/>
      </w:pPr>
      <w:bookmarkStart w:id="7" w:name="_Toc114042852"/>
      <w:bookmarkStart w:id="8" w:name="_Toc121234731"/>
      <w:r w:rsidRPr="0050190E">
        <w:t xml:space="preserve">Executive </w:t>
      </w:r>
      <w:r w:rsidRPr="00533E42">
        <w:t>summary</w:t>
      </w:r>
      <w:bookmarkEnd w:id="7"/>
      <w:bookmarkEnd w:id="8"/>
    </w:p>
    <w:p w14:paraId="594FC046" w14:textId="77777777" w:rsidR="00481273" w:rsidRDefault="00481273" w:rsidP="00481273">
      <w:pPr>
        <w:pStyle w:val="BodyCopy"/>
      </w:pPr>
      <w:r>
        <w:t xml:space="preserve">At the December 2021 Infrastructure and Transport Ministers Meeting (ITMM), ministers identified a preference for increasing heavy vehicle charges by 2.75 per cent in 2022-23. At the same meeting, ministers also decided that they would again consider heavy vehicle charges in late 2022, including the possibility of a multi-year price path. </w:t>
      </w:r>
    </w:p>
    <w:p w14:paraId="63902BF2" w14:textId="7D4451D1" w:rsidR="00481273" w:rsidRDefault="00481273" w:rsidP="00481273">
      <w:pPr>
        <w:pStyle w:val="BodyCopy"/>
      </w:pPr>
      <w:r>
        <w:t xml:space="preserve">This </w:t>
      </w:r>
      <w:r w:rsidR="00C54D05">
        <w:t xml:space="preserve">supplementary </w:t>
      </w:r>
      <w:r>
        <w:t>paper outlines options for setting heavy vehicle charges from 2023-24 onwards</w:t>
      </w:r>
      <w:r w:rsidR="00C54D05">
        <w:t xml:space="preserve"> for consideration by ministers, and outlines the feedback received from stakeholders during the consultation process which ran from </w:t>
      </w:r>
      <w:r w:rsidR="000B42A6">
        <w:t xml:space="preserve">14 September 2022 </w:t>
      </w:r>
      <w:r w:rsidR="00C54D05">
        <w:t>to 12</w:t>
      </w:r>
      <w:r w:rsidR="000B42A6">
        <w:t> </w:t>
      </w:r>
      <w:r w:rsidR="00C54D05">
        <w:t xml:space="preserve">October 2022. </w:t>
      </w:r>
    </w:p>
    <w:p w14:paraId="2CF2E00C" w14:textId="77777777" w:rsidR="00481273" w:rsidRPr="004E31D1" w:rsidRDefault="00481273" w:rsidP="00481273">
      <w:pPr>
        <w:pStyle w:val="BodyCopy"/>
        <w:pBdr>
          <w:bottom w:val="single" w:sz="4" w:space="4" w:color="000000"/>
        </w:pBdr>
        <w:spacing w:before="360"/>
        <w:rPr>
          <w:b/>
          <w:sz w:val="28"/>
          <w:szCs w:val="28"/>
        </w:rPr>
      </w:pPr>
      <w:r>
        <w:rPr>
          <w:b/>
          <w:sz w:val="28"/>
          <w:szCs w:val="28"/>
        </w:rPr>
        <w:t>Context</w:t>
      </w:r>
    </w:p>
    <w:p w14:paraId="7C89ECDF" w14:textId="77777777" w:rsidR="00481273" w:rsidRDefault="00481273" w:rsidP="00481273">
      <w:pPr>
        <w:pStyle w:val="Head3-box"/>
      </w:pPr>
      <w:r>
        <w:t>2021 Heavy Vehicle Charges Determination</w:t>
      </w:r>
    </w:p>
    <w:p w14:paraId="52510FE9" w14:textId="77777777" w:rsidR="00481273" w:rsidRDefault="00481273" w:rsidP="00481273">
      <w:pPr>
        <w:pStyle w:val="Head3-box"/>
        <w:rPr>
          <w:b w:val="0"/>
          <w:bCs w:val="0"/>
        </w:rPr>
      </w:pPr>
      <w:r>
        <w:rPr>
          <w:b w:val="0"/>
          <w:bCs w:val="0"/>
        </w:rPr>
        <w:t>During 2020 and 2021, the NTC undertook a heavy vehicle charges determination (the 2021 Determination). This process involved the following key phases:</w:t>
      </w:r>
    </w:p>
    <w:p w14:paraId="0ADC42E0" w14:textId="77777777" w:rsidR="00481273" w:rsidRDefault="00481273" w:rsidP="00481273">
      <w:pPr>
        <w:pStyle w:val="List-bulletlvl1"/>
        <w:rPr>
          <w:b/>
          <w:bCs/>
        </w:rPr>
      </w:pPr>
      <w:r>
        <w:t>Research and information gathering</w:t>
      </w:r>
    </w:p>
    <w:p w14:paraId="3EFE4E10" w14:textId="77777777" w:rsidR="00481273" w:rsidRDefault="00481273" w:rsidP="00481273">
      <w:pPr>
        <w:pStyle w:val="List-bulletlvl1"/>
        <w:rPr>
          <w:b/>
          <w:bCs/>
        </w:rPr>
      </w:pPr>
      <w:r>
        <w:t>Publication of Consultation Regulation Impact Statement (C-RIS) for public consultation</w:t>
      </w:r>
    </w:p>
    <w:p w14:paraId="3D05889D" w14:textId="77777777" w:rsidR="00481273" w:rsidRDefault="00481273" w:rsidP="00481273">
      <w:pPr>
        <w:pStyle w:val="List-bulletlvl1"/>
        <w:rPr>
          <w:b/>
          <w:bCs/>
        </w:rPr>
      </w:pPr>
      <w:r>
        <w:t>Consultation period from 28 June 2021 to 24 August 2021 with several stakeholder workshops</w:t>
      </w:r>
    </w:p>
    <w:p w14:paraId="1856CFD8" w14:textId="77777777" w:rsidR="00481273" w:rsidRDefault="00481273" w:rsidP="00481273">
      <w:pPr>
        <w:pStyle w:val="List-bulletlvl1"/>
        <w:rPr>
          <w:b/>
          <w:bCs/>
        </w:rPr>
      </w:pPr>
      <w:r>
        <w:t>Summarising the feedback received from submitters and drafting the Decision Regulation Impact Statement (D-RIS) which included final recommendations</w:t>
      </w:r>
    </w:p>
    <w:p w14:paraId="55705F05" w14:textId="77777777" w:rsidR="00481273" w:rsidRDefault="00481273" w:rsidP="00481273">
      <w:pPr>
        <w:pStyle w:val="List-bulletlvl1"/>
        <w:rPr>
          <w:b/>
          <w:bCs/>
        </w:rPr>
      </w:pPr>
      <w:r>
        <w:t>Consideration of D-RIS and the NTC’s final recommendations by ministers</w:t>
      </w:r>
    </w:p>
    <w:p w14:paraId="52FA1C94" w14:textId="628915EE" w:rsidR="00481273" w:rsidRPr="006F4681" w:rsidRDefault="00481273" w:rsidP="00481273">
      <w:pPr>
        <w:pStyle w:val="Head3-box"/>
      </w:pPr>
      <w:r>
        <w:t xml:space="preserve">Purpose and </w:t>
      </w:r>
      <w:r w:rsidR="007A349D">
        <w:t>s</w:t>
      </w:r>
      <w:r>
        <w:t xml:space="preserve">cope of this </w:t>
      </w:r>
      <w:r w:rsidR="007A349D">
        <w:t>s</w:t>
      </w:r>
      <w:r>
        <w:t xml:space="preserve">upplementary </w:t>
      </w:r>
      <w:r w:rsidR="007A349D">
        <w:t>p</w:t>
      </w:r>
      <w:r>
        <w:t>aper</w:t>
      </w:r>
    </w:p>
    <w:p w14:paraId="60274AD5" w14:textId="77777777" w:rsidR="00481273" w:rsidRDefault="00481273" w:rsidP="00481273">
      <w:pPr>
        <w:pStyle w:val="BodyCopy"/>
      </w:pPr>
      <w:r>
        <w:t xml:space="preserve">At the December 2021 ITMM, ministers considered the D-RIS and the NTC’s final recommendations.  </w:t>
      </w:r>
    </w:p>
    <w:p w14:paraId="5E6EAAE3" w14:textId="77777777" w:rsidR="00481273" w:rsidRDefault="00481273" w:rsidP="00481273">
      <w:pPr>
        <w:pStyle w:val="BodyCopy"/>
      </w:pPr>
      <w:r>
        <w:t xml:space="preserve">Ministers identified a preference for increasing heavy vehicle charges by 2.75 per cent in 2022-23. At the same meeting, ministers also decided that it would again consider heavy vehicle charges in late 2022, including the technical recommendations for changes to the PAYGO methodology in the D-RIS and the possibility of a multi-year price path. </w:t>
      </w:r>
    </w:p>
    <w:p w14:paraId="569EBAAD" w14:textId="0B033D51" w:rsidR="00481273" w:rsidRDefault="00481273" w:rsidP="00481273">
      <w:pPr>
        <w:pStyle w:val="BodyCopy"/>
      </w:pPr>
      <w:r>
        <w:t xml:space="preserve">Effectively, this decision postponed </w:t>
      </w:r>
      <w:r w:rsidR="00C04BBA">
        <w:t xml:space="preserve">implementation </w:t>
      </w:r>
      <w:r>
        <w:t xml:space="preserve">of the 2021 Determination until </w:t>
      </w:r>
      <w:r w:rsidR="00C04BBA">
        <w:t>2023-24</w:t>
      </w:r>
      <w:r>
        <w:t xml:space="preserve">. </w:t>
      </w:r>
    </w:p>
    <w:p w14:paraId="226C747D" w14:textId="0755A484" w:rsidR="00481273" w:rsidRDefault="00481273" w:rsidP="00481273">
      <w:pPr>
        <w:pStyle w:val="Head3-box"/>
        <w:rPr>
          <w:b w:val="0"/>
          <w:bCs w:val="0"/>
        </w:rPr>
      </w:pPr>
      <w:r>
        <w:rPr>
          <w:b w:val="0"/>
          <w:bCs w:val="0"/>
        </w:rPr>
        <w:t>The NTC has re-visited and implementation options for the 2021 Determination</w:t>
      </w:r>
      <w:r w:rsidR="00C54D05">
        <w:rPr>
          <w:b w:val="0"/>
          <w:bCs w:val="0"/>
        </w:rPr>
        <w:t>, provided updated information on these options and</w:t>
      </w:r>
      <w:r>
        <w:rPr>
          <w:b w:val="0"/>
          <w:bCs w:val="0"/>
        </w:rPr>
        <w:t xml:space="preserve"> </w:t>
      </w:r>
      <w:r w:rsidR="00C54D05">
        <w:rPr>
          <w:b w:val="0"/>
          <w:bCs w:val="0"/>
        </w:rPr>
        <w:t xml:space="preserve">consulted with stakeholders. </w:t>
      </w:r>
      <w:r>
        <w:rPr>
          <w:b w:val="0"/>
          <w:bCs w:val="0"/>
        </w:rPr>
        <w:t>This</w:t>
      </w:r>
      <w:r w:rsidR="00C54D05">
        <w:rPr>
          <w:b w:val="0"/>
          <w:bCs w:val="0"/>
        </w:rPr>
        <w:t xml:space="preserve"> supplementary paper, and the recommendations contained in it,</w:t>
      </w:r>
      <w:r>
        <w:rPr>
          <w:b w:val="0"/>
          <w:bCs w:val="0"/>
        </w:rPr>
        <w:t xml:space="preserve"> should be considered in conjunction with the information contained in the 2021 Determination </w:t>
      </w:r>
      <w:r w:rsidR="00C54D05">
        <w:rPr>
          <w:b w:val="0"/>
          <w:bCs w:val="0"/>
        </w:rPr>
        <w:t>decision regulation impact statement</w:t>
      </w:r>
      <w:r>
        <w:rPr>
          <w:b w:val="0"/>
          <w:bCs w:val="0"/>
        </w:rPr>
        <w:t xml:space="preserve">. </w:t>
      </w:r>
    </w:p>
    <w:p w14:paraId="35BD99A1" w14:textId="77777777" w:rsidR="00481273" w:rsidRDefault="00481273" w:rsidP="00481273">
      <w:pPr>
        <w:pStyle w:val="Head3-box"/>
      </w:pPr>
      <w:r>
        <w:t xml:space="preserve">Current situation </w:t>
      </w:r>
    </w:p>
    <w:p w14:paraId="45BB947F" w14:textId="77777777" w:rsidR="00481273" w:rsidRDefault="00481273" w:rsidP="00481273">
      <w:pPr>
        <w:pStyle w:val="BodyCopy"/>
      </w:pPr>
      <w:r>
        <w:t>The heavy vehicle cost base for 2020-21 which underpins heavy vehicle charges for 2022</w:t>
      </w:r>
      <w:r>
        <w:noBreakHyphen/>
        <w:t xml:space="preserve">23 is $4,302.9 million. Estimated heavy vehicle charges revenue for 2022-23 is $3,727.1 million. This leaves a revenue gap of $575.8 million. </w:t>
      </w:r>
    </w:p>
    <w:p w14:paraId="483CB244" w14:textId="3E89BA40" w:rsidR="00481273" w:rsidRDefault="00481273" w:rsidP="00481273">
      <w:pPr>
        <w:pStyle w:val="BodyCopy"/>
      </w:pPr>
      <w:r>
        <w:t xml:space="preserve">The heavy vehicle cost base for 2021-22 has increased by approximately 20.7% to $5,193.4 million. This </w:t>
      </w:r>
      <w:r w:rsidRPr="005F3EC0">
        <w:t>is $1,448.1</w:t>
      </w:r>
      <w:r>
        <w:t xml:space="preserve"> million more than estimated heavy vehicle charges revenue in 2023</w:t>
      </w:r>
      <w:r>
        <w:noBreakHyphen/>
        <w:t>24 if heavy vehicle charges do not increase above current levels. Heavy vehicle charges revenue</w:t>
      </w:r>
      <w:r w:rsidR="003B37E4">
        <w:rPr>
          <w:rStyle w:val="FootnoteReference"/>
        </w:rPr>
        <w:footnoteReference w:id="2"/>
      </w:r>
      <w:r>
        <w:t xml:space="preserve"> would need to increase by approximately </w:t>
      </w:r>
      <w:r w:rsidR="00C04BBA" w:rsidRPr="005F3EC0">
        <w:t>39</w:t>
      </w:r>
      <w:r w:rsidRPr="005F3EC0">
        <w:t xml:space="preserve"> per cent to achieve full</w:t>
      </w:r>
      <w:r>
        <w:t xml:space="preserve"> cost recovery</w:t>
      </w:r>
      <w:r w:rsidR="00005866">
        <w:t xml:space="preserve"> in 2023-24</w:t>
      </w:r>
      <w:r>
        <w:t xml:space="preserve">.  </w:t>
      </w:r>
    </w:p>
    <w:p w14:paraId="6038C5A9" w14:textId="5DE9F666" w:rsidR="00E207E5" w:rsidRPr="00E207E5" w:rsidRDefault="00E207E5" w:rsidP="00481273">
      <w:pPr>
        <w:pStyle w:val="BodyCopy"/>
        <w:rPr>
          <w:b/>
          <w:bCs/>
        </w:rPr>
      </w:pPr>
      <w:r>
        <w:rPr>
          <w:b/>
          <w:bCs/>
        </w:rPr>
        <w:t>Further significant increases in the heavy vehicle cost base forecast for 2022-23 and 2023-24</w:t>
      </w:r>
    </w:p>
    <w:p w14:paraId="54F54F5B" w14:textId="77777777" w:rsidR="0013734D" w:rsidRDefault="0013734D" w:rsidP="0013734D">
      <w:pPr>
        <w:pStyle w:val="List-bulletlvl1"/>
        <w:numPr>
          <w:ilvl w:val="0"/>
          <w:numId w:val="0"/>
        </w:numPr>
        <w:jc w:val="both"/>
      </w:pPr>
      <w:r w:rsidRPr="00B018D3">
        <w:t>The</w:t>
      </w:r>
      <w:r>
        <w:t xml:space="preserve"> NTC has developed</w:t>
      </w:r>
      <w:r w:rsidRPr="00B018D3">
        <w:t xml:space="preserve"> forecast</w:t>
      </w:r>
      <w:r>
        <w:t>s</w:t>
      </w:r>
      <w:r w:rsidRPr="00B018D3">
        <w:t xml:space="preserve"> </w:t>
      </w:r>
      <w:r>
        <w:t>of future</w:t>
      </w:r>
      <w:r w:rsidRPr="00B018D3">
        <w:t xml:space="preserve"> increases in road expenditure</w:t>
      </w:r>
      <w:r>
        <w:t xml:space="preserve"> in 2022-23 and 2023-24 in. These forecasts see total road expenditure increase by 20.5 per cent in 2022-23 and reduce by 2.1 percent in 2023-24. </w:t>
      </w:r>
    </w:p>
    <w:p w14:paraId="4A2891E3" w14:textId="4DEBF327" w:rsidR="0013734D" w:rsidRDefault="0013734D" w:rsidP="0013734D">
      <w:pPr>
        <w:pStyle w:val="List-bulletlvl1"/>
        <w:numPr>
          <w:ilvl w:val="0"/>
          <w:numId w:val="0"/>
        </w:numPr>
        <w:jc w:val="both"/>
      </w:pPr>
      <w:r>
        <w:t xml:space="preserve">On this basis, the NTC expects the heavy vehicle cost base to increase by 13.0 per cent in 2022-23 and 4.9 per cent in 2023-24. </w:t>
      </w:r>
    </w:p>
    <w:p w14:paraId="6FDBF974" w14:textId="77777777" w:rsidR="00D828DF" w:rsidRDefault="00D828DF" w:rsidP="0013734D">
      <w:pPr>
        <w:pStyle w:val="List-bulletlvl1"/>
        <w:numPr>
          <w:ilvl w:val="0"/>
          <w:numId w:val="0"/>
        </w:numPr>
        <w:jc w:val="both"/>
      </w:pPr>
    </w:p>
    <w:p w14:paraId="0AE98A10" w14:textId="7E6CAF9E" w:rsidR="00D828DF" w:rsidRDefault="00D828DF" w:rsidP="0013734D">
      <w:pPr>
        <w:pStyle w:val="List-bulletlvl1"/>
        <w:numPr>
          <w:ilvl w:val="0"/>
          <w:numId w:val="0"/>
        </w:numPr>
        <w:jc w:val="both"/>
      </w:pPr>
      <w:r>
        <w:rPr>
          <w:noProof/>
          <w:lang w:eastAsia="en-AU"/>
        </w:rPr>
        <w:drawing>
          <wp:inline distT="0" distB="0" distL="0" distR="0" wp14:anchorId="2A9A34EA" wp14:editId="78ECB9DD">
            <wp:extent cx="5660073" cy="3699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001" cy="3705999"/>
                    </a:xfrm>
                    <a:prstGeom prst="rect">
                      <a:avLst/>
                    </a:prstGeom>
                    <a:noFill/>
                  </pic:spPr>
                </pic:pic>
              </a:graphicData>
            </a:graphic>
          </wp:inline>
        </w:drawing>
      </w:r>
    </w:p>
    <w:p w14:paraId="663C21DB" w14:textId="77777777" w:rsidR="00D828DF" w:rsidRDefault="00D828DF" w:rsidP="0013734D">
      <w:pPr>
        <w:pStyle w:val="List-bulletlvl1"/>
        <w:numPr>
          <w:ilvl w:val="0"/>
          <w:numId w:val="0"/>
        </w:numPr>
        <w:jc w:val="both"/>
      </w:pPr>
    </w:p>
    <w:p w14:paraId="57315469" w14:textId="02AB7CF7" w:rsidR="0013734D" w:rsidRDefault="0013734D" w:rsidP="0013734D">
      <w:pPr>
        <w:pStyle w:val="List-bulletlvl1"/>
        <w:numPr>
          <w:ilvl w:val="0"/>
          <w:numId w:val="0"/>
        </w:numPr>
        <w:jc w:val="both"/>
      </w:pPr>
      <w:r w:rsidRPr="00B018D3">
        <w:t>It is important to note that these forecasts are likely to be subject to significant error.</w:t>
      </w:r>
      <w:r>
        <w:t xml:space="preserve"> However, these forecasts indicate that government expenditure on roads is likely to increase for another year before slowing down in 2023-24. This expenditure pattern is likely to lead to further increases in the heavy vehicle cost base,</w:t>
      </w:r>
      <w:r w:rsidR="00C04BBA">
        <w:t xml:space="preserve"> which will</w:t>
      </w:r>
      <w:r>
        <w:t xml:space="preserve"> increas</w:t>
      </w:r>
      <w:r w:rsidR="00C04BBA">
        <w:t>e</w:t>
      </w:r>
      <w:r>
        <w:t xml:space="preserve"> the revenue gap above the current level.  </w:t>
      </w:r>
    </w:p>
    <w:p w14:paraId="07E5C1A3" w14:textId="0B84E190" w:rsidR="007A349D" w:rsidRDefault="007A349D" w:rsidP="0013734D">
      <w:pPr>
        <w:pStyle w:val="List-bulletlvl1"/>
        <w:numPr>
          <w:ilvl w:val="0"/>
          <w:numId w:val="0"/>
        </w:numPr>
        <w:jc w:val="both"/>
      </w:pPr>
    </w:p>
    <w:p w14:paraId="03CE1B1F" w14:textId="77777777" w:rsidR="00D65B8B" w:rsidRDefault="00D65B8B" w:rsidP="0013734D">
      <w:pPr>
        <w:pStyle w:val="List-bulletlvl1"/>
        <w:numPr>
          <w:ilvl w:val="0"/>
          <w:numId w:val="0"/>
        </w:numPr>
        <w:jc w:val="both"/>
      </w:pPr>
    </w:p>
    <w:p w14:paraId="48400C94" w14:textId="77777777" w:rsidR="007A349D" w:rsidRPr="00B018D3" w:rsidRDefault="007A349D" w:rsidP="0013734D">
      <w:pPr>
        <w:pStyle w:val="List-bulletlvl1"/>
        <w:numPr>
          <w:ilvl w:val="0"/>
          <w:numId w:val="0"/>
        </w:numPr>
        <w:jc w:val="both"/>
      </w:pPr>
    </w:p>
    <w:p w14:paraId="5B8FA448" w14:textId="12B40EFD" w:rsidR="00481273" w:rsidRPr="00D2306D" w:rsidRDefault="00481273" w:rsidP="00481273">
      <w:pPr>
        <w:pStyle w:val="BodyCopy"/>
        <w:rPr>
          <w:b/>
          <w:bCs/>
        </w:rPr>
      </w:pPr>
      <w:r w:rsidRPr="00D2306D">
        <w:rPr>
          <w:b/>
          <w:bCs/>
        </w:rPr>
        <w:t>Provisions for automatic adjustment in Heavy Vehicle Charges Model Law</w:t>
      </w:r>
    </w:p>
    <w:p w14:paraId="309E463C" w14:textId="771418F0" w:rsidR="00481273" w:rsidRDefault="00481273" w:rsidP="00481273">
      <w:pPr>
        <w:pStyle w:val="BodyCopy"/>
      </w:pPr>
      <w:r>
        <w:t>If no decision is made by ministers, heavy vehicle registration charges will automatically increase by</w:t>
      </w:r>
      <w:r w:rsidR="005F3EC0">
        <w:t xml:space="preserve"> 40.</w:t>
      </w:r>
      <w:r w:rsidR="005F3EC0" w:rsidRPr="005F3EC0">
        <w:t>4</w:t>
      </w:r>
      <w:r w:rsidR="005F3EC0">
        <w:t xml:space="preserve"> </w:t>
      </w:r>
      <w:r w:rsidRPr="005F3EC0">
        <w:t xml:space="preserve">per cent </w:t>
      </w:r>
      <w:r>
        <w:t xml:space="preserve">in 2023-24 under the annual adjustment formula contained in the Heavy Vehicle Charges Model Law (the Model Law).  </w:t>
      </w:r>
    </w:p>
    <w:p w14:paraId="42F92ABD" w14:textId="0C06CC3A" w:rsidR="00481273" w:rsidRPr="004E31D1" w:rsidRDefault="00481273" w:rsidP="00481273">
      <w:pPr>
        <w:pStyle w:val="BodyCopy"/>
        <w:pBdr>
          <w:bottom w:val="single" w:sz="4" w:space="4" w:color="000000"/>
        </w:pBdr>
        <w:spacing w:before="360"/>
        <w:rPr>
          <w:b/>
          <w:sz w:val="28"/>
          <w:szCs w:val="28"/>
        </w:rPr>
      </w:pPr>
      <w:r>
        <w:rPr>
          <w:b/>
          <w:sz w:val="28"/>
          <w:szCs w:val="28"/>
        </w:rPr>
        <w:t xml:space="preserve">Options </w:t>
      </w:r>
      <w:r w:rsidR="00EF28BD">
        <w:rPr>
          <w:b/>
          <w:sz w:val="28"/>
          <w:szCs w:val="28"/>
        </w:rPr>
        <w:t>consulted on</w:t>
      </w:r>
    </w:p>
    <w:p w14:paraId="6BE95E50" w14:textId="77777777" w:rsidR="00481273" w:rsidRDefault="00481273" w:rsidP="00481273">
      <w:pPr>
        <w:pStyle w:val="Head3-noTOC"/>
      </w:pPr>
      <w:r>
        <w:t>Single-year decision or multi-year price path</w:t>
      </w:r>
    </w:p>
    <w:p w14:paraId="72D4121A" w14:textId="77777777" w:rsidR="00481273" w:rsidRPr="00D2306D" w:rsidRDefault="00481273" w:rsidP="00481273">
      <w:pPr>
        <w:pStyle w:val="BodyCopy"/>
      </w:pPr>
      <w:r w:rsidRPr="00D2306D">
        <w:t xml:space="preserve">In the 2021 Determination, the NTC recommended that </w:t>
      </w:r>
      <w:r>
        <w:t>ministers</w:t>
      </w:r>
      <w:r w:rsidRPr="00D2306D">
        <w:t xml:space="preserve"> agree to set a fixed price path for three years. </w:t>
      </w:r>
      <w:r>
        <w:t>Ministers deferred consideration of this</w:t>
      </w:r>
      <w:r w:rsidRPr="00D2306D">
        <w:t xml:space="preserve"> recommendation when</w:t>
      </w:r>
      <w:r>
        <w:t xml:space="preserve"> they identified a preference</w:t>
      </w:r>
      <w:r w:rsidRPr="00D2306D">
        <w:t xml:space="preserve"> to increase heavy vehicle charges by 2.75 per cent for 2022-23.</w:t>
      </w:r>
      <w:r>
        <w:t xml:space="preserve"> This was confirmed by ministers in April 2022, after a public consultation process. However, the Commonwealth government was in caretaker mode at that time.  </w:t>
      </w:r>
      <w:r w:rsidRPr="00D2306D">
        <w:t xml:space="preserve">  </w:t>
      </w:r>
    </w:p>
    <w:p w14:paraId="4CC77724" w14:textId="77777777" w:rsidR="00481273" w:rsidRPr="00D2306D" w:rsidRDefault="00481273" w:rsidP="00481273">
      <w:pPr>
        <w:pStyle w:val="BodyCopy"/>
      </w:pPr>
      <w:r>
        <w:t>Whether to set charges on a yearly basis or whether to set charges for multiple years remains a key decision for ministers when setting heavy vehicle charges to apply for 2023</w:t>
      </w:r>
      <w:r>
        <w:noBreakHyphen/>
        <w:t xml:space="preserve">24 onwards.  </w:t>
      </w:r>
    </w:p>
    <w:p w14:paraId="1B32781F" w14:textId="77777777" w:rsidR="00481273" w:rsidRDefault="00481273" w:rsidP="00481273">
      <w:pPr>
        <w:pStyle w:val="BodyCopy"/>
      </w:pPr>
      <w:r>
        <w:t xml:space="preserve">Most submissions on the 2021 Determination C-RIS supported the introduction of a three-year fixed price path. However, informal discussions also indicate that this support is dependent on the specific increases incorporated in the price path. On balance, the NTC recommends that ministers set charges for three years, because this provides both industry and governments with greater certainty and is more administratively efficient.   </w:t>
      </w:r>
    </w:p>
    <w:p w14:paraId="7A370125" w14:textId="6B742844" w:rsidR="00481273" w:rsidRDefault="00F9022C" w:rsidP="00481273">
      <w:pPr>
        <w:pStyle w:val="Head3-noTOC"/>
      </w:pPr>
      <w:r>
        <w:t>Heavy vehicle charges o</w:t>
      </w:r>
      <w:r w:rsidR="00237E1B">
        <w:t>ptions consulted on</w:t>
      </w:r>
    </w:p>
    <w:p w14:paraId="2B33D803" w14:textId="087940CD" w:rsidR="00481273" w:rsidRDefault="00481273" w:rsidP="00481273">
      <w:pPr>
        <w:pStyle w:val="BodyCopy"/>
      </w:pPr>
      <w:r>
        <w:t xml:space="preserve">The NTC developed three options for setting heavy vehicle charges from 2023-24 onwards. These all apply a series of equal percentage changes to heavy vehicle charges. These options could be used to determine the percentage increases to be applied under both single year or multi-year price setting approaches: </w:t>
      </w:r>
    </w:p>
    <w:p w14:paraId="7EF2B065" w14:textId="77777777" w:rsidR="00481273" w:rsidRDefault="00481273" w:rsidP="00481273">
      <w:pPr>
        <w:pStyle w:val="BodyCopy"/>
      </w:pPr>
      <w:r>
        <w:rPr>
          <w:b/>
          <w:bCs/>
        </w:rPr>
        <w:t xml:space="preserve">Option 1: Increase heavy vehicle charges by 2.75 per cent per annum: </w:t>
      </w:r>
      <w:r>
        <w:t xml:space="preserve">This is the same percentage increase as agreed by ITMM for 2022-23 heavy vehicle charges. </w:t>
      </w:r>
    </w:p>
    <w:p w14:paraId="3F661392" w14:textId="77777777" w:rsidR="00481273" w:rsidRDefault="00481273" w:rsidP="00481273">
      <w:pPr>
        <w:pStyle w:val="BodyCopy"/>
      </w:pPr>
      <w:r>
        <w:rPr>
          <w:b/>
          <w:bCs/>
        </w:rPr>
        <w:t xml:space="preserve">Option 2: Increase heavy vehicle charges by 6 per cent per annum: </w:t>
      </w:r>
      <w:r>
        <w:t xml:space="preserve">This is close to the current rate of consumer price inflation. Consumer price inflation was 6.1 per cent in the year ending June 2022.  </w:t>
      </w:r>
    </w:p>
    <w:p w14:paraId="4A098BB3" w14:textId="3A2B2D4D" w:rsidR="00481273" w:rsidRPr="00B0099A" w:rsidRDefault="00481273" w:rsidP="00481273">
      <w:pPr>
        <w:pStyle w:val="BodyCopy"/>
        <w:rPr>
          <w:bCs/>
        </w:rPr>
      </w:pPr>
      <w:r w:rsidRPr="00B0099A">
        <w:rPr>
          <w:b/>
        </w:rPr>
        <w:t>Op</w:t>
      </w:r>
      <w:r w:rsidRPr="005549E3">
        <w:rPr>
          <w:b/>
        </w:rPr>
        <w:t xml:space="preserve">tion 3: </w:t>
      </w:r>
      <w:r>
        <w:rPr>
          <w:b/>
        </w:rPr>
        <w:t xml:space="preserve">Increase heavy vehicle charges by </w:t>
      </w:r>
      <w:r w:rsidRPr="00B0099A">
        <w:rPr>
          <w:b/>
        </w:rPr>
        <w:t>10</w:t>
      </w:r>
      <w:r w:rsidRPr="005549E3">
        <w:rPr>
          <w:b/>
        </w:rPr>
        <w:t xml:space="preserve"> per cent per annum:</w:t>
      </w:r>
      <w:r w:rsidRPr="00302891">
        <w:rPr>
          <w:b/>
        </w:rPr>
        <w:t xml:space="preserve"> </w:t>
      </w:r>
      <w:r w:rsidRPr="00EB26A7">
        <w:t>This is</w:t>
      </w:r>
      <w:r>
        <w:rPr>
          <w:bCs/>
        </w:rPr>
        <w:t xml:space="preserve"> higher than Option 2 but would still be insufficient to reduce the revenue gap below $1b by Year 3, as shown in </w:t>
      </w:r>
      <w:r>
        <w:rPr>
          <w:bCs/>
        </w:rPr>
        <w:fldChar w:fldCharType="begin"/>
      </w:r>
      <w:r>
        <w:rPr>
          <w:bCs/>
        </w:rPr>
        <w:instrText xml:space="preserve"> REF _Ref113628820 \r \h </w:instrText>
      </w:r>
      <w:r>
        <w:rPr>
          <w:bCs/>
        </w:rPr>
      </w:r>
      <w:r>
        <w:rPr>
          <w:bCs/>
        </w:rPr>
        <w:fldChar w:fldCharType="separate"/>
      </w:r>
      <w:r w:rsidR="0043504D">
        <w:rPr>
          <w:bCs/>
        </w:rPr>
        <w:t>Table 1</w:t>
      </w:r>
      <w:r>
        <w:rPr>
          <w:bCs/>
        </w:rPr>
        <w:fldChar w:fldCharType="end"/>
      </w:r>
      <w:r>
        <w:rPr>
          <w:bCs/>
        </w:rPr>
        <w:t xml:space="preserve"> below. </w:t>
      </w:r>
    </w:p>
    <w:p w14:paraId="5393A1E0" w14:textId="24D90E2D" w:rsidR="00D828DF" w:rsidRDefault="00D828DF" w:rsidP="00D828DF">
      <w:pPr>
        <w:pStyle w:val="BodyCopy"/>
        <w:rPr>
          <w:rFonts w:asciiTheme="minorHAnsi" w:hAnsiTheme="minorHAnsi"/>
          <w:szCs w:val="22"/>
        </w:rPr>
      </w:pPr>
      <w:r>
        <w:rPr>
          <w:rFonts w:asciiTheme="minorHAnsi" w:hAnsiTheme="minorHAnsi"/>
          <w:szCs w:val="22"/>
        </w:rPr>
        <w:t>The options consulted on are all below the level required to keep the revenue gap constant at the 2020-21 level, or eliminate it. The rationale for this is as follows:</w:t>
      </w:r>
    </w:p>
    <w:p w14:paraId="61B5DE79" w14:textId="77777777" w:rsidR="00D828DF" w:rsidRDefault="00D828DF" w:rsidP="00D828DF">
      <w:pPr>
        <w:pStyle w:val="BodyCopy"/>
        <w:numPr>
          <w:ilvl w:val="0"/>
          <w:numId w:val="34"/>
        </w:numPr>
        <w:rPr>
          <w:rFonts w:asciiTheme="minorHAnsi" w:hAnsiTheme="minorHAnsi"/>
          <w:szCs w:val="22"/>
        </w:rPr>
      </w:pPr>
      <w:r>
        <w:rPr>
          <w:rFonts w:asciiTheme="minorHAnsi" w:hAnsiTheme="minorHAnsi"/>
          <w:szCs w:val="22"/>
        </w:rPr>
        <w:t>The pricing principles require the principle of full cost recovery to be weighed against wider considerations such as equity and the impact on regional and remote communities.</w:t>
      </w:r>
    </w:p>
    <w:p w14:paraId="1924A878" w14:textId="77777777" w:rsidR="00D828DF" w:rsidRDefault="00D828DF" w:rsidP="00D828DF">
      <w:pPr>
        <w:pStyle w:val="BodyCopy"/>
        <w:numPr>
          <w:ilvl w:val="0"/>
          <w:numId w:val="34"/>
        </w:numPr>
        <w:rPr>
          <w:rFonts w:asciiTheme="minorHAnsi" w:hAnsiTheme="minorHAnsi"/>
          <w:szCs w:val="22"/>
        </w:rPr>
      </w:pPr>
      <w:r>
        <w:rPr>
          <w:rFonts w:asciiTheme="minorHAnsi" w:hAnsiTheme="minorHAnsi"/>
          <w:szCs w:val="22"/>
        </w:rPr>
        <w:t>In recent years, ITMM has consistently approved increases in heavy vehicle charges below the rate of increase in the heavy vehicle cost base.</w:t>
      </w:r>
    </w:p>
    <w:p w14:paraId="2E5FB546" w14:textId="77777777" w:rsidR="00D828DF" w:rsidRDefault="00D828DF" w:rsidP="00D828DF">
      <w:pPr>
        <w:pStyle w:val="BodyCopy"/>
        <w:numPr>
          <w:ilvl w:val="0"/>
          <w:numId w:val="34"/>
        </w:numPr>
        <w:rPr>
          <w:rFonts w:asciiTheme="minorHAnsi" w:hAnsiTheme="minorHAnsi"/>
          <w:szCs w:val="22"/>
        </w:rPr>
      </w:pPr>
      <w:r>
        <w:rPr>
          <w:rFonts w:asciiTheme="minorHAnsi" w:hAnsiTheme="minorHAnsi"/>
          <w:szCs w:val="22"/>
        </w:rPr>
        <w:t>There is some uncertainty surrounding the forecast heavy vehicle cost bases for 2022-23 and 2023-24.</w:t>
      </w:r>
    </w:p>
    <w:p w14:paraId="28BA0251" w14:textId="77777777" w:rsidR="00D828DF" w:rsidRDefault="00D828DF" w:rsidP="00D828DF">
      <w:pPr>
        <w:pStyle w:val="BodyCopy"/>
        <w:numPr>
          <w:ilvl w:val="0"/>
          <w:numId w:val="34"/>
        </w:numPr>
        <w:rPr>
          <w:rFonts w:asciiTheme="minorHAnsi" w:hAnsiTheme="minorHAnsi"/>
          <w:szCs w:val="22"/>
        </w:rPr>
      </w:pPr>
      <w:r>
        <w:rPr>
          <w:rFonts w:asciiTheme="minorHAnsi" w:hAnsiTheme="minorHAnsi"/>
          <w:szCs w:val="22"/>
        </w:rPr>
        <w:t xml:space="preserve">It is reasonable to assume that industry feedback on Option 3 would apply equally (or more strongly) to options involving higher percentage increases.  </w:t>
      </w:r>
    </w:p>
    <w:p w14:paraId="6B412CB0" w14:textId="1CA4AEE4" w:rsidR="00481273" w:rsidRDefault="00481273" w:rsidP="00481273">
      <w:pPr>
        <w:pStyle w:val="List-number"/>
        <w:numPr>
          <w:ilvl w:val="0"/>
          <w:numId w:val="0"/>
        </w:numPr>
      </w:pPr>
      <w:r>
        <w:t xml:space="preserve">Based on the assumptions outlined above, and the forecasts for the heavy vehicle cost base developed in Section </w:t>
      </w:r>
      <w:r>
        <w:fldChar w:fldCharType="begin"/>
      </w:r>
      <w:r>
        <w:instrText xml:space="preserve"> REF _Ref111537568 \r \h </w:instrText>
      </w:r>
      <w:r>
        <w:fldChar w:fldCharType="separate"/>
      </w:r>
      <w:r w:rsidR="0043504D">
        <w:t>3.5</w:t>
      </w:r>
      <w:r>
        <w:fldChar w:fldCharType="end"/>
      </w:r>
      <w:r>
        <w:t xml:space="preserve"> of this paper, these options would result in the gaps between the heavy vehicle cost base and heavy vehicle charges revenue shown in </w:t>
      </w:r>
      <w:r>
        <w:fldChar w:fldCharType="begin"/>
      </w:r>
      <w:r>
        <w:instrText xml:space="preserve"> REF _Ref111554418 \r \h </w:instrText>
      </w:r>
      <w:r>
        <w:fldChar w:fldCharType="separate"/>
      </w:r>
      <w:r w:rsidR="0043504D">
        <w:t>Table 1</w:t>
      </w:r>
      <w:r>
        <w:fldChar w:fldCharType="end"/>
      </w:r>
      <w:r>
        <w:t xml:space="preserve"> below:</w:t>
      </w:r>
    </w:p>
    <w:p w14:paraId="3E5C53E6" w14:textId="77777777" w:rsidR="00481273" w:rsidRPr="00417E6E" w:rsidRDefault="00481273" w:rsidP="00481273">
      <w:pPr>
        <w:pStyle w:val="Tabletitle"/>
      </w:pPr>
      <w:bookmarkStart w:id="9" w:name="_Ref111554418"/>
      <w:bookmarkStart w:id="10" w:name="_Ref113628820"/>
      <w:bookmarkStart w:id="11" w:name="_Toc114042936"/>
      <w:r w:rsidRPr="00417E6E">
        <w:t>Estimated</w:t>
      </w:r>
      <w:r>
        <w:t xml:space="preserve"> remaining</w:t>
      </w:r>
      <w:r w:rsidRPr="00302891">
        <w:t xml:space="preserve"> gap between</w:t>
      </w:r>
      <w:r>
        <w:t xml:space="preserve"> the</w:t>
      </w:r>
      <w:r w:rsidRPr="00302891">
        <w:t xml:space="preserve"> heavy vehicle cost base and heavy vehicle charges revenue</w:t>
      </w:r>
      <w:bookmarkEnd w:id="9"/>
      <w:bookmarkEnd w:id="10"/>
      <w:bookmarkEnd w:id="11"/>
    </w:p>
    <w:tbl>
      <w:tblPr>
        <w:tblStyle w:val="NTCtable"/>
        <w:tblW w:w="5000" w:type="pct"/>
        <w:tblLayout w:type="fixed"/>
        <w:tblLook w:val="04A0" w:firstRow="1" w:lastRow="0" w:firstColumn="1" w:lastColumn="0" w:noHBand="0" w:noVBand="1"/>
      </w:tblPr>
      <w:tblGrid>
        <w:gridCol w:w="1761"/>
        <w:gridCol w:w="1212"/>
        <w:gridCol w:w="1211"/>
        <w:gridCol w:w="1211"/>
        <w:gridCol w:w="1211"/>
        <w:gridCol w:w="1211"/>
        <w:gridCol w:w="1210"/>
      </w:tblGrid>
      <w:tr w:rsidR="00481273" w14:paraId="5B1F1BE3" w14:textId="77777777">
        <w:trPr>
          <w:cnfStyle w:val="100000000000" w:firstRow="1" w:lastRow="0" w:firstColumn="0" w:lastColumn="0" w:oddVBand="0" w:evenVBand="0" w:oddHBand="0" w:evenHBand="0" w:firstRowFirstColumn="0" w:firstRowLastColumn="0" w:lastRowFirstColumn="0" w:lastRowLastColumn="0"/>
          <w:tblHeader/>
        </w:trPr>
        <w:tc>
          <w:tcPr>
            <w:tcW w:w="975" w:type="pct"/>
            <w:vMerge w:val="restart"/>
          </w:tcPr>
          <w:p w14:paraId="770B710C" w14:textId="77777777" w:rsidR="00481273" w:rsidRPr="0047453F" w:rsidDel="00DD136C" w:rsidRDefault="00481273">
            <w:pPr>
              <w:pStyle w:val="BodyCopy"/>
              <w:spacing w:before="0" w:after="0"/>
              <w:rPr>
                <w:b/>
                <w:bCs/>
                <w:szCs w:val="22"/>
              </w:rPr>
            </w:pPr>
          </w:p>
        </w:tc>
        <w:tc>
          <w:tcPr>
            <w:tcW w:w="4025" w:type="pct"/>
            <w:gridSpan w:val="6"/>
            <w:vAlign w:val="center"/>
          </w:tcPr>
          <w:p w14:paraId="0CFCD90A" w14:textId="77777777" w:rsidR="00481273" w:rsidRPr="0047453F" w:rsidRDefault="00481273">
            <w:pPr>
              <w:pStyle w:val="BodyCopy"/>
              <w:spacing w:before="0" w:after="0"/>
              <w:jc w:val="center"/>
              <w:rPr>
                <w:b/>
                <w:bCs/>
                <w:szCs w:val="22"/>
              </w:rPr>
            </w:pPr>
            <w:r w:rsidRPr="0047453F">
              <w:rPr>
                <w:b/>
                <w:bCs/>
                <w:szCs w:val="22"/>
              </w:rPr>
              <w:t>Estimated remaining gap</w:t>
            </w:r>
            <w:r w:rsidRPr="0047453F">
              <w:rPr>
                <w:rStyle w:val="FootnoteReference"/>
                <w:b/>
                <w:bCs/>
                <w:sz w:val="22"/>
                <w:szCs w:val="22"/>
              </w:rPr>
              <w:footnoteReference w:id="3"/>
            </w:r>
            <w:r w:rsidRPr="0047453F">
              <w:rPr>
                <w:b/>
                <w:bCs/>
                <w:szCs w:val="22"/>
              </w:rPr>
              <w:t xml:space="preserve"> between the heavy vehicle cost base and heavy vehicle charges revenue</w:t>
            </w:r>
          </w:p>
        </w:tc>
      </w:tr>
      <w:tr w:rsidR="00481273" w14:paraId="2A91C347"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975" w:type="pct"/>
            <w:vMerge/>
          </w:tcPr>
          <w:p w14:paraId="537DC9B3" w14:textId="77777777" w:rsidR="00481273" w:rsidRPr="0047453F" w:rsidRDefault="00481273">
            <w:pPr>
              <w:pStyle w:val="BodyCopy"/>
              <w:spacing w:before="0" w:after="0"/>
              <w:rPr>
                <w:szCs w:val="22"/>
              </w:rPr>
            </w:pPr>
          </w:p>
        </w:tc>
        <w:tc>
          <w:tcPr>
            <w:tcW w:w="671" w:type="pct"/>
            <w:vAlign w:val="center"/>
          </w:tcPr>
          <w:p w14:paraId="1BAFC9FF" w14:textId="77777777" w:rsidR="00481273" w:rsidRPr="0047453F" w:rsidRDefault="00481273">
            <w:pPr>
              <w:pStyle w:val="BodyCopy"/>
              <w:spacing w:before="0" w:after="0"/>
              <w:jc w:val="center"/>
              <w:rPr>
                <w:b/>
                <w:bCs/>
                <w:szCs w:val="22"/>
              </w:rPr>
            </w:pPr>
            <w:r w:rsidRPr="0047453F">
              <w:rPr>
                <w:b/>
                <w:bCs/>
                <w:szCs w:val="22"/>
              </w:rPr>
              <w:t>Year 1</w:t>
            </w:r>
          </w:p>
          <w:p w14:paraId="41E4F9AD" w14:textId="77777777" w:rsidR="00481273" w:rsidRPr="0047453F" w:rsidRDefault="00481273">
            <w:pPr>
              <w:pStyle w:val="BodyCopy"/>
              <w:spacing w:before="0" w:after="0"/>
              <w:jc w:val="center"/>
              <w:rPr>
                <w:b/>
                <w:bCs/>
                <w:szCs w:val="22"/>
              </w:rPr>
            </w:pPr>
            <w:r w:rsidRPr="0047453F">
              <w:rPr>
                <w:b/>
                <w:bCs/>
                <w:szCs w:val="22"/>
              </w:rPr>
              <w:t>$m</w:t>
            </w:r>
          </w:p>
        </w:tc>
        <w:tc>
          <w:tcPr>
            <w:tcW w:w="671" w:type="pct"/>
            <w:vAlign w:val="center"/>
          </w:tcPr>
          <w:p w14:paraId="084B4AFA" w14:textId="77777777" w:rsidR="00481273" w:rsidRPr="0047453F" w:rsidRDefault="00481273">
            <w:pPr>
              <w:pStyle w:val="BodyCopy"/>
              <w:spacing w:before="0" w:after="0"/>
              <w:jc w:val="center"/>
              <w:rPr>
                <w:b/>
                <w:bCs/>
                <w:szCs w:val="22"/>
              </w:rPr>
            </w:pPr>
            <w:r w:rsidRPr="0047453F">
              <w:rPr>
                <w:b/>
                <w:bCs/>
                <w:szCs w:val="22"/>
              </w:rPr>
              <w:t>Year 1</w:t>
            </w:r>
          </w:p>
          <w:p w14:paraId="4B88063A" w14:textId="77777777" w:rsidR="00481273" w:rsidRPr="0047453F" w:rsidRDefault="00481273">
            <w:pPr>
              <w:pStyle w:val="BodyCopy"/>
              <w:spacing w:before="0" w:after="0"/>
              <w:jc w:val="center"/>
              <w:rPr>
                <w:b/>
                <w:bCs/>
                <w:szCs w:val="22"/>
              </w:rPr>
            </w:pPr>
            <w:r w:rsidRPr="0047453F">
              <w:rPr>
                <w:b/>
                <w:bCs/>
                <w:szCs w:val="22"/>
              </w:rPr>
              <w:t>%</w:t>
            </w:r>
          </w:p>
        </w:tc>
        <w:tc>
          <w:tcPr>
            <w:tcW w:w="671" w:type="pct"/>
            <w:vAlign w:val="center"/>
          </w:tcPr>
          <w:p w14:paraId="3C63BBC2" w14:textId="77777777" w:rsidR="00481273" w:rsidRPr="0047453F" w:rsidRDefault="00481273">
            <w:pPr>
              <w:pStyle w:val="BodyCopy"/>
              <w:spacing w:before="0" w:after="0"/>
              <w:jc w:val="center"/>
              <w:rPr>
                <w:b/>
                <w:bCs/>
                <w:szCs w:val="22"/>
              </w:rPr>
            </w:pPr>
            <w:r w:rsidRPr="0047453F">
              <w:rPr>
                <w:b/>
                <w:bCs/>
                <w:szCs w:val="22"/>
              </w:rPr>
              <w:t>Year 2</w:t>
            </w:r>
          </w:p>
          <w:p w14:paraId="5926CF67" w14:textId="77777777" w:rsidR="00481273" w:rsidRPr="0047453F" w:rsidRDefault="00481273">
            <w:pPr>
              <w:pStyle w:val="BodyCopy"/>
              <w:spacing w:before="0" w:after="0"/>
              <w:jc w:val="center"/>
              <w:rPr>
                <w:b/>
                <w:bCs/>
                <w:szCs w:val="22"/>
              </w:rPr>
            </w:pPr>
            <w:r w:rsidRPr="0047453F">
              <w:rPr>
                <w:b/>
                <w:bCs/>
                <w:szCs w:val="22"/>
              </w:rPr>
              <w:t>$m</w:t>
            </w:r>
          </w:p>
        </w:tc>
        <w:tc>
          <w:tcPr>
            <w:tcW w:w="671" w:type="pct"/>
            <w:vAlign w:val="center"/>
          </w:tcPr>
          <w:p w14:paraId="40EF78A9" w14:textId="77777777" w:rsidR="00481273" w:rsidRPr="0047453F" w:rsidRDefault="00481273">
            <w:pPr>
              <w:pStyle w:val="BodyCopy"/>
              <w:spacing w:before="0" w:after="0"/>
              <w:jc w:val="center"/>
              <w:rPr>
                <w:b/>
                <w:bCs/>
                <w:szCs w:val="22"/>
              </w:rPr>
            </w:pPr>
            <w:r w:rsidRPr="0047453F">
              <w:rPr>
                <w:b/>
                <w:bCs/>
                <w:szCs w:val="22"/>
              </w:rPr>
              <w:t>Year 2</w:t>
            </w:r>
          </w:p>
          <w:p w14:paraId="3DF4C7DB" w14:textId="77777777" w:rsidR="00481273" w:rsidRPr="0047453F" w:rsidRDefault="00481273">
            <w:pPr>
              <w:pStyle w:val="BodyCopy"/>
              <w:spacing w:before="0" w:after="0"/>
              <w:jc w:val="center"/>
              <w:rPr>
                <w:b/>
                <w:bCs/>
                <w:szCs w:val="22"/>
              </w:rPr>
            </w:pPr>
            <w:r w:rsidRPr="0047453F">
              <w:rPr>
                <w:b/>
                <w:bCs/>
                <w:szCs w:val="22"/>
              </w:rPr>
              <w:t>%</w:t>
            </w:r>
          </w:p>
        </w:tc>
        <w:tc>
          <w:tcPr>
            <w:tcW w:w="671" w:type="pct"/>
            <w:vAlign w:val="center"/>
          </w:tcPr>
          <w:p w14:paraId="72A3FBF1" w14:textId="77777777" w:rsidR="00481273" w:rsidRPr="0047453F" w:rsidRDefault="00481273">
            <w:pPr>
              <w:pStyle w:val="BodyCopy"/>
              <w:spacing w:before="0" w:after="0"/>
              <w:jc w:val="center"/>
              <w:rPr>
                <w:b/>
                <w:bCs/>
                <w:szCs w:val="22"/>
              </w:rPr>
            </w:pPr>
            <w:r w:rsidRPr="0047453F">
              <w:rPr>
                <w:b/>
                <w:bCs/>
                <w:szCs w:val="22"/>
              </w:rPr>
              <w:t>Year 3</w:t>
            </w:r>
          </w:p>
          <w:p w14:paraId="18052F29" w14:textId="77777777" w:rsidR="00481273" w:rsidRPr="0047453F" w:rsidRDefault="00481273">
            <w:pPr>
              <w:pStyle w:val="BodyCopy"/>
              <w:spacing w:before="0" w:after="0"/>
              <w:jc w:val="center"/>
              <w:rPr>
                <w:b/>
                <w:bCs/>
                <w:szCs w:val="22"/>
              </w:rPr>
            </w:pPr>
            <w:r w:rsidRPr="0047453F">
              <w:rPr>
                <w:b/>
                <w:bCs/>
                <w:szCs w:val="22"/>
              </w:rPr>
              <w:t>$m</w:t>
            </w:r>
          </w:p>
        </w:tc>
        <w:tc>
          <w:tcPr>
            <w:tcW w:w="670" w:type="pct"/>
            <w:vAlign w:val="center"/>
          </w:tcPr>
          <w:p w14:paraId="19EEECDF" w14:textId="77777777" w:rsidR="00481273" w:rsidRPr="0047453F" w:rsidRDefault="00481273">
            <w:pPr>
              <w:pStyle w:val="BodyCopy"/>
              <w:spacing w:before="0" w:after="0"/>
              <w:jc w:val="center"/>
              <w:rPr>
                <w:b/>
                <w:bCs/>
                <w:szCs w:val="22"/>
              </w:rPr>
            </w:pPr>
            <w:r w:rsidRPr="0047453F">
              <w:rPr>
                <w:b/>
                <w:bCs/>
                <w:szCs w:val="22"/>
              </w:rPr>
              <w:t>Year 3</w:t>
            </w:r>
          </w:p>
          <w:p w14:paraId="7E01EA98" w14:textId="77777777" w:rsidR="00481273" w:rsidRPr="0047453F" w:rsidRDefault="00481273">
            <w:pPr>
              <w:pStyle w:val="BodyCopy"/>
              <w:spacing w:before="0" w:after="0"/>
              <w:jc w:val="center"/>
              <w:rPr>
                <w:b/>
                <w:bCs/>
                <w:szCs w:val="22"/>
              </w:rPr>
            </w:pPr>
            <w:r w:rsidRPr="0047453F">
              <w:rPr>
                <w:b/>
                <w:bCs/>
                <w:szCs w:val="22"/>
              </w:rPr>
              <w:t>%</w:t>
            </w:r>
          </w:p>
        </w:tc>
      </w:tr>
      <w:tr w:rsidR="00481273" w14:paraId="30B82DDF" w14:textId="77777777">
        <w:tc>
          <w:tcPr>
            <w:tcW w:w="975" w:type="pct"/>
          </w:tcPr>
          <w:p w14:paraId="34FD5096" w14:textId="77777777" w:rsidR="00481273" w:rsidRPr="0047453F" w:rsidRDefault="00481273">
            <w:pPr>
              <w:pStyle w:val="BodyCopy"/>
              <w:spacing w:before="0" w:after="0"/>
              <w:rPr>
                <w:szCs w:val="22"/>
              </w:rPr>
            </w:pPr>
            <w:r w:rsidRPr="0047453F">
              <w:rPr>
                <w:szCs w:val="22"/>
              </w:rPr>
              <w:t>Option 1: Increase heavy vehicle charges by 2.75 per cent per annum</w:t>
            </w:r>
            <w:r w:rsidRPr="0047453F" w:rsidDel="00882E44">
              <w:rPr>
                <w:szCs w:val="22"/>
              </w:rPr>
              <w:t xml:space="preserve"> </w:t>
            </w:r>
          </w:p>
        </w:tc>
        <w:tc>
          <w:tcPr>
            <w:tcW w:w="671" w:type="pct"/>
            <w:vAlign w:val="center"/>
          </w:tcPr>
          <w:p w14:paraId="75096381" w14:textId="77777777" w:rsidR="00481273" w:rsidRPr="0047453F" w:rsidRDefault="00481273">
            <w:pPr>
              <w:pStyle w:val="BodyCopy"/>
              <w:spacing w:before="0" w:after="0"/>
              <w:jc w:val="center"/>
              <w:rPr>
                <w:szCs w:val="22"/>
              </w:rPr>
            </w:pPr>
            <w:r w:rsidRPr="0047453F">
              <w:rPr>
                <w:szCs w:val="22"/>
              </w:rPr>
              <w:t>1,337</w:t>
            </w:r>
          </w:p>
        </w:tc>
        <w:tc>
          <w:tcPr>
            <w:tcW w:w="671" w:type="pct"/>
            <w:vAlign w:val="center"/>
          </w:tcPr>
          <w:p w14:paraId="043B43FA" w14:textId="77777777" w:rsidR="00481273" w:rsidRPr="0047453F" w:rsidRDefault="00481273">
            <w:pPr>
              <w:pStyle w:val="BodyCopy"/>
              <w:spacing w:before="0" w:after="0"/>
              <w:jc w:val="center"/>
              <w:rPr>
                <w:szCs w:val="22"/>
              </w:rPr>
            </w:pPr>
            <w:r w:rsidRPr="0047453F">
              <w:rPr>
                <w:szCs w:val="22"/>
              </w:rPr>
              <w:t>25.7</w:t>
            </w:r>
          </w:p>
        </w:tc>
        <w:tc>
          <w:tcPr>
            <w:tcW w:w="671" w:type="pct"/>
            <w:vAlign w:val="center"/>
          </w:tcPr>
          <w:p w14:paraId="70AB87E3" w14:textId="77777777" w:rsidR="00481273" w:rsidRPr="0047453F" w:rsidRDefault="00481273">
            <w:pPr>
              <w:pStyle w:val="BodyCopy"/>
              <w:spacing w:before="0" w:after="0"/>
              <w:jc w:val="center"/>
              <w:rPr>
                <w:szCs w:val="22"/>
              </w:rPr>
            </w:pPr>
            <w:r w:rsidRPr="0047453F">
              <w:rPr>
                <w:szCs w:val="22"/>
              </w:rPr>
              <w:t>1,870</w:t>
            </w:r>
          </w:p>
        </w:tc>
        <w:tc>
          <w:tcPr>
            <w:tcW w:w="671" w:type="pct"/>
            <w:vAlign w:val="center"/>
          </w:tcPr>
          <w:p w14:paraId="7F8906E6" w14:textId="77777777" w:rsidR="00481273" w:rsidRPr="0047453F" w:rsidRDefault="00481273">
            <w:pPr>
              <w:pStyle w:val="BodyCopy"/>
              <w:spacing w:before="0" w:after="0"/>
              <w:jc w:val="center"/>
              <w:rPr>
                <w:szCs w:val="22"/>
              </w:rPr>
            </w:pPr>
            <w:r w:rsidRPr="0047453F">
              <w:rPr>
                <w:szCs w:val="22"/>
              </w:rPr>
              <w:t>31.9</w:t>
            </w:r>
          </w:p>
        </w:tc>
        <w:tc>
          <w:tcPr>
            <w:tcW w:w="671" w:type="pct"/>
            <w:vAlign w:val="center"/>
          </w:tcPr>
          <w:p w14:paraId="46DA9413" w14:textId="77777777" w:rsidR="00481273" w:rsidRPr="0047453F" w:rsidRDefault="00481273">
            <w:pPr>
              <w:pStyle w:val="BodyCopy"/>
              <w:spacing w:before="0" w:after="0"/>
              <w:jc w:val="center"/>
              <w:rPr>
                <w:szCs w:val="22"/>
              </w:rPr>
            </w:pPr>
            <w:r w:rsidRPr="0047453F">
              <w:rPr>
                <w:szCs w:val="22"/>
              </w:rPr>
              <w:t>2,013</w:t>
            </w:r>
          </w:p>
        </w:tc>
        <w:tc>
          <w:tcPr>
            <w:tcW w:w="670" w:type="pct"/>
            <w:vAlign w:val="center"/>
          </w:tcPr>
          <w:p w14:paraId="4A6F73BE" w14:textId="77777777" w:rsidR="00481273" w:rsidRPr="0047453F" w:rsidRDefault="00481273">
            <w:pPr>
              <w:pStyle w:val="BodyCopy"/>
              <w:spacing w:before="0" w:after="0"/>
              <w:jc w:val="center"/>
              <w:rPr>
                <w:szCs w:val="22"/>
              </w:rPr>
            </w:pPr>
            <w:r w:rsidRPr="0047453F">
              <w:rPr>
                <w:szCs w:val="22"/>
              </w:rPr>
              <w:t>32.7</w:t>
            </w:r>
          </w:p>
        </w:tc>
      </w:tr>
      <w:tr w:rsidR="00481273" w14:paraId="115E2C83" w14:textId="77777777">
        <w:tc>
          <w:tcPr>
            <w:tcW w:w="975" w:type="pct"/>
          </w:tcPr>
          <w:p w14:paraId="24C4826E" w14:textId="77777777" w:rsidR="00481273" w:rsidRPr="0047453F" w:rsidRDefault="00481273">
            <w:pPr>
              <w:pStyle w:val="BodyCopy"/>
              <w:spacing w:before="0" w:after="0"/>
              <w:rPr>
                <w:szCs w:val="22"/>
              </w:rPr>
            </w:pPr>
            <w:r w:rsidRPr="0047453F">
              <w:rPr>
                <w:szCs w:val="22"/>
              </w:rPr>
              <w:t>Option 2: Increase heavy vehicle charges by 6 per cent per annum</w:t>
            </w:r>
            <w:r w:rsidRPr="0047453F" w:rsidDel="00882E44">
              <w:rPr>
                <w:szCs w:val="22"/>
              </w:rPr>
              <w:t xml:space="preserve"> </w:t>
            </w:r>
          </w:p>
        </w:tc>
        <w:tc>
          <w:tcPr>
            <w:tcW w:w="671" w:type="pct"/>
            <w:vAlign w:val="center"/>
          </w:tcPr>
          <w:p w14:paraId="21CC7534" w14:textId="77777777" w:rsidR="00481273" w:rsidRPr="0047453F" w:rsidRDefault="00481273">
            <w:pPr>
              <w:pStyle w:val="BodyCopy"/>
              <w:spacing w:before="0" w:after="0"/>
              <w:jc w:val="center"/>
              <w:rPr>
                <w:szCs w:val="22"/>
              </w:rPr>
            </w:pPr>
            <w:r w:rsidRPr="0047453F">
              <w:rPr>
                <w:szCs w:val="22"/>
              </w:rPr>
              <w:t>1,213</w:t>
            </w:r>
          </w:p>
        </w:tc>
        <w:tc>
          <w:tcPr>
            <w:tcW w:w="671" w:type="pct"/>
            <w:vAlign w:val="center"/>
          </w:tcPr>
          <w:p w14:paraId="3BB90B0E" w14:textId="77777777" w:rsidR="00481273" w:rsidRPr="0047453F" w:rsidRDefault="00481273">
            <w:pPr>
              <w:pStyle w:val="BodyCopy"/>
              <w:spacing w:before="0" w:after="0"/>
              <w:jc w:val="center"/>
              <w:rPr>
                <w:szCs w:val="22"/>
              </w:rPr>
            </w:pPr>
            <w:r w:rsidRPr="0047453F">
              <w:rPr>
                <w:szCs w:val="22"/>
              </w:rPr>
              <w:t>23.4</w:t>
            </w:r>
          </w:p>
        </w:tc>
        <w:tc>
          <w:tcPr>
            <w:tcW w:w="671" w:type="pct"/>
            <w:vAlign w:val="center"/>
          </w:tcPr>
          <w:p w14:paraId="44E9F6A5" w14:textId="77777777" w:rsidR="00481273" w:rsidRPr="0047453F" w:rsidRDefault="00481273">
            <w:pPr>
              <w:pStyle w:val="BodyCopy"/>
              <w:spacing w:before="0" w:after="0"/>
              <w:jc w:val="center"/>
              <w:rPr>
                <w:szCs w:val="22"/>
              </w:rPr>
            </w:pPr>
            <w:r w:rsidRPr="0047453F">
              <w:rPr>
                <w:szCs w:val="22"/>
              </w:rPr>
              <w:t>1,617</w:t>
            </w:r>
          </w:p>
        </w:tc>
        <w:tc>
          <w:tcPr>
            <w:tcW w:w="671" w:type="pct"/>
            <w:vAlign w:val="center"/>
          </w:tcPr>
          <w:p w14:paraId="5EA7FA9F" w14:textId="77777777" w:rsidR="00481273" w:rsidRPr="0047453F" w:rsidRDefault="00481273">
            <w:pPr>
              <w:pStyle w:val="BodyCopy"/>
              <w:spacing w:before="0" w:after="0"/>
              <w:jc w:val="center"/>
              <w:rPr>
                <w:szCs w:val="22"/>
              </w:rPr>
            </w:pPr>
            <w:r w:rsidRPr="0047453F">
              <w:rPr>
                <w:szCs w:val="22"/>
              </w:rPr>
              <w:t>27.6</w:t>
            </w:r>
          </w:p>
        </w:tc>
        <w:tc>
          <w:tcPr>
            <w:tcW w:w="671" w:type="pct"/>
            <w:vAlign w:val="center"/>
          </w:tcPr>
          <w:p w14:paraId="6D468811" w14:textId="77777777" w:rsidR="00481273" w:rsidRPr="0047453F" w:rsidRDefault="00481273">
            <w:pPr>
              <w:pStyle w:val="BodyCopy"/>
              <w:spacing w:before="0" w:after="0"/>
              <w:jc w:val="center"/>
              <w:rPr>
                <w:szCs w:val="22"/>
              </w:rPr>
            </w:pPr>
            <w:r w:rsidRPr="0047453F">
              <w:rPr>
                <w:szCs w:val="22"/>
              </w:rPr>
              <w:t>1,614</w:t>
            </w:r>
          </w:p>
        </w:tc>
        <w:tc>
          <w:tcPr>
            <w:tcW w:w="670" w:type="pct"/>
            <w:vAlign w:val="center"/>
          </w:tcPr>
          <w:p w14:paraId="45DEDA01" w14:textId="77777777" w:rsidR="00481273" w:rsidRPr="0047453F" w:rsidRDefault="00481273">
            <w:pPr>
              <w:pStyle w:val="BodyCopy"/>
              <w:spacing w:before="0" w:after="0"/>
              <w:jc w:val="center"/>
              <w:rPr>
                <w:szCs w:val="22"/>
              </w:rPr>
            </w:pPr>
            <w:r w:rsidRPr="0047453F">
              <w:rPr>
                <w:szCs w:val="22"/>
              </w:rPr>
              <w:t>26.2</w:t>
            </w:r>
          </w:p>
        </w:tc>
      </w:tr>
      <w:tr w:rsidR="00481273" w14:paraId="35B3B225" w14:textId="77777777">
        <w:tc>
          <w:tcPr>
            <w:tcW w:w="975" w:type="pct"/>
          </w:tcPr>
          <w:p w14:paraId="64DE5064" w14:textId="77777777" w:rsidR="00481273" w:rsidRPr="0047453F" w:rsidRDefault="00481273">
            <w:pPr>
              <w:pStyle w:val="BodyCopy"/>
              <w:spacing w:before="0" w:after="0"/>
              <w:rPr>
                <w:szCs w:val="22"/>
              </w:rPr>
            </w:pPr>
            <w:r w:rsidRPr="0047453F">
              <w:rPr>
                <w:szCs w:val="22"/>
              </w:rPr>
              <w:t>Option 3: Increase heavy vehicle charges by 10 per cent per annum</w:t>
            </w:r>
            <w:r w:rsidRPr="0047453F" w:rsidDel="00882E44">
              <w:rPr>
                <w:szCs w:val="22"/>
              </w:rPr>
              <w:t xml:space="preserve"> </w:t>
            </w:r>
          </w:p>
        </w:tc>
        <w:tc>
          <w:tcPr>
            <w:tcW w:w="671" w:type="pct"/>
            <w:vAlign w:val="center"/>
          </w:tcPr>
          <w:p w14:paraId="3FBEEC03" w14:textId="77777777" w:rsidR="00481273" w:rsidRPr="0047453F" w:rsidRDefault="00481273">
            <w:pPr>
              <w:pStyle w:val="BodyCopy"/>
              <w:spacing w:before="0" w:after="0"/>
              <w:jc w:val="center"/>
              <w:rPr>
                <w:szCs w:val="22"/>
              </w:rPr>
            </w:pPr>
            <w:r w:rsidRPr="0047453F">
              <w:rPr>
                <w:szCs w:val="22"/>
              </w:rPr>
              <w:t>1,062</w:t>
            </w:r>
          </w:p>
        </w:tc>
        <w:tc>
          <w:tcPr>
            <w:tcW w:w="671" w:type="pct"/>
            <w:vAlign w:val="center"/>
          </w:tcPr>
          <w:p w14:paraId="1A710735" w14:textId="77777777" w:rsidR="00481273" w:rsidRPr="0047453F" w:rsidRDefault="00481273">
            <w:pPr>
              <w:pStyle w:val="BodyCopy"/>
              <w:spacing w:before="0" w:after="0"/>
              <w:jc w:val="center"/>
              <w:rPr>
                <w:szCs w:val="22"/>
              </w:rPr>
            </w:pPr>
            <w:r w:rsidRPr="0047453F">
              <w:rPr>
                <w:szCs w:val="22"/>
              </w:rPr>
              <w:t>20.5</w:t>
            </w:r>
          </w:p>
        </w:tc>
        <w:tc>
          <w:tcPr>
            <w:tcW w:w="671" w:type="pct"/>
            <w:vAlign w:val="center"/>
          </w:tcPr>
          <w:p w14:paraId="7D2E471B" w14:textId="77777777" w:rsidR="00481273" w:rsidRPr="0047453F" w:rsidRDefault="00481273">
            <w:pPr>
              <w:pStyle w:val="BodyCopy"/>
              <w:spacing w:before="0" w:after="0"/>
              <w:jc w:val="center"/>
              <w:rPr>
                <w:szCs w:val="22"/>
              </w:rPr>
            </w:pPr>
            <w:r w:rsidRPr="0047453F">
              <w:rPr>
                <w:szCs w:val="22"/>
              </w:rPr>
              <w:t>1,286</w:t>
            </w:r>
          </w:p>
        </w:tc>
        <w:tc>
          <w:tcPr>
            <w:tcW w:w="671" w:type="pct"/>
            <w:vAlign w:val="center"/>
          </w:tcPr>
          <w:p w14:paraId="736AC241" w14:textId="77777777" w:rsidR="00481273" w:rsidRPr="0047453F" w:rsidRDefault="00481273">
            <w:pPr>
              <w:pStyle w:val="BodyCopy"/>
              <w:spacing w:before="0" w:after="0"/>
              <w:jc w:val="center"/>
              <w:rPr>
                <w:szCs w:val="22"/>
              </w:rPr>
            </w:pPr>
            <w:r w:rsidRPr="0047453F">
              <w:rPr>
                <w:szCs w:val="22"/>
              </w:rPr>
              <w:t>21.9</w:t>
            </w:r>
          </w:p>
        </w:tc>
        <w:tc>
          <w:tcPr>
            <w:tcW w:w="671" w:type="pct"/>
            <w:vAlign w:val="center"/>
          </w:tcPr>
          <w:p w14:paraId="61AB23BC" w14:textId="77777777" w:rsidR="00481273" w:rsidRPr="0047453F" w:rsidRDefault="00481273">
            <w:pPr>
              <w:pStyle w:val="BodyCopy"/>
              <w:spacing w:before="0" w:after="0"/>
              <w:jc w:val="center"/>
              <w:rPr>
                <w:szCs w:val="22"/>
              </w:rPr>
            </w:pPr>
            <w:r w:rsidRPr="0047453F">
              <w:rPr>
                <w:szCs w:val="22"/>
              </w:rPr>
              <w:t>1,073</w:t>
            </w:r>
          </w:p>
        </w:tc>
        <w:tc>
          <w:tcPr>
            <w:tcW w:w="670" w:type="pct"/>
            <w:vAlign w:val="center"/>
          </w:tcPr>
          <w:p w14:paraId="7D86C154" w14:textId="77777777" w:rsidR="00481273" w:rsidRPr="0047453F" w:rsidRDefault="00481273">
            <w:pPr>
              <w:pStyle w:val="BodyCopy"/>
              <w:spacing w:before="0" w:after="0"/>
              <w:jc w:val="center"/>
              <w:rPr>
                <w:szCs w:val="22"/>
              </w:rPr>
            </w:pPr>
            <w:r w:rsidRPr="0047453F">
              <w:rPr>
                <w:szCs w:val="22"/>
              </w:rPr>
              <w:t>17.4</w:t>
            </w:r>
          </w:p>
        </w:tc>
      </w:tr>
    </w:tbl>
    <w:p w14:paraId="595029B8" w14:textId="5ACE8D43" w:rsidR="00F9022C" w:rsidRPr="004E31D1" w:rsidRDefault="00F9022C" w:rsidP="00F9022C">
      <w:pPr>
        <w:pStyle w:val="BodyCopy"/>
        <w:pBdr>
          <w:bottom w:val="single" w:sz="4" w:space="4" w:color="000000"/>
        </w:pBdr>
        <w:spacing w:before="360"/>
        <w:rPr>
          <w:b/>
          <w:sz w:val="28"/>
          <w:szCs w:val="28"/>
        </w:rPr>
      </w:pPr>
      <w:r>
        <w:rPr>
          <w:b/>
          <w:sz w:val="28"/>
          <w:szCs w:val="28"/>
        </w:rPr>
        <w:t>Stakeholder feedback</w:t>
      </w:r>
    </w:p>
    <w:p w14:paraId="4B6E17BE" w14:textId="62672E63" w:rsidR="00F9022C" w:rsidRDefault="00F9022C" w:rsidP="00F9022C">
      <w:pPr>
        <w:pStyle w:val="BodyCopy"/>
      </w:pPr>
      <w:r>
        <w:t xml:space="preserve">Most submission expressed serious concerns with the rapid increase in the cost base in recent years and that too much of the recent expenditure on roads is stimulus spending in response to challenging economic conditions rather than focused on enhancing productivity. There were also concerns that industry consultation is lacking.    </w:t>
      </w:r>
    </w:p>
    <w:p w14:paraId="5991BCC6" w14:textId="7A59F81D" w:rsidR="00F9022C" w:rsidRDefault="00F9022C" w:rsidP="00F9022C">
      <w:pPr>
        <w:pStyle w:val="BodyCopy"/>
      </w:pPr>
      <w:r>
        <w:t>The ATA argued that the existing heavy vehicle cost base should be scrapped and recalculated based on greater transparency, consultation with industry and productivity.</w:t>
      </w:r>
    </w:p>
    <w:p w14:paraId="4703CF39" w14:textId="514CCF48" w:rsidR="00F9022C" w:rsidRDefault="00F9022C" w:rsidP="00F9022C">
      <w:pPr>
        <w:pStyle w:val="BodyCopy"/>
      </w:pPr>
      <w:r>
        <w:t xml:space="preserve">NatRoad commented that government spending plans are often inconsistent with real world requirements (such as road maintenance or sealing) or industry’s ability to pay (which is diminishing for a broad range of economic reasons.)  </w:t>
      </w:r>
    </w:p>
    <w:p w14:paraId="6498E452" w14:textId="7BDDF3FB" w:rsidR="00F9022C" w:rsidRDefault="00F9022C" w:rsidP="00F9022C">
      <w:pPr>
        <w:pStyle w:val="BodyCopy"/>
      </w:pPr>
      <w:r w:rsidRPr="005211B9">
        <w:t xml:space="preserve">Most submitters supported the concept of a three-year fixed price implementation pathway </w:t>
      </w:r>
      <w:r w:rsidR="00906521">
        <w:t xml:space="preserve">including </w:t>
      </w:r>
      <w:r w:rsidRPr="005211B9">
        <w:t>ATA, ALRTA, CCAA and Natroad, due to the certainty it would provide, with support in some cases conditional on a low charge increase outcome. 'The ATA’s support was conditional on the basis that governments intend to move towards a forward-looking cost base or to reinstate the link between a new, more targeted cost base and heavy vehicle charges revenue</w:t>
      </w:r>
      <w:r>
        <w:t>.</w:t>
      </w:r>
    </w:p>
    <w:p w14:paraId="1D0F8DAE" w14:textId="77777777" w:rsidR="00F9022C" w:rsidRDefault="00F9022C" w:rsidP="00F9022C">
      <w:pPr>
        <w:pStyle w:val="BodyCopy"/>
      </w:pPr>
      <w:r>
        <w:t xml:space="preserve">Most submissions raised the issue of affordability in paying for charge increases other than the least amount possible due to high fuel costs, covid impacts, inflation and other cost pressures. </w:t>
      </w:r>
    </w:p>
    <w:p w14:paraId="78BAFB6A" w14:textId="77777777" w:rsidR="00F9022C" w:rsidRDefault="00F9022C" w:rsidP="00F9022C">
      <w:pPr>
        <w:pStyle w:val="BodyCopy"/>
      </w:pPr>
      <w:r>
        <w:t xml:space="preserve">For example, the ATA and Natroad support a zero increase in 2023-24 and 2.75% in the remainder of the three year period.  The ALRTA, BIC and MTA (NT/SA) all supported Option 1 at 2.75% per annum over three years. </w:t>
      </w:r>
    </w:p>
    <w:p w14:paraId="384BFBFB" w14:textId="5712EF49" w:rsidR="00F9022C" w:rsidRDefault="00F9022C" w:rsidP="00F9022C">
      <w:pPr>
        <w:pStyle w:val="BodyCopy"/>
      </w:pPr>
      <w:r>
        <w:t xml:space="preserve">The ATA submitted that it has previously shown that industry customers do not accept charge increases greater than CPI, if they accept them at all. Accordingly, the NTC should, before providing its final recommendations to ministers, </w:t>
      </w:r>
      <w:r w:rsidR="0043504D">
        <w:t>c</w:t>
      </w:r>
      <w:r>
        <w:t xml:space="preserve">onsider:                                                                                                                       </w:t>
      </w:r>
    </w:p>
    <w:p w14:paraId="560EAA5E" w14:textId="77777777" w:rsidR="00F9022C" w:rsidRDefault="00F9022C" w:rsidP="00F9022C">
      <w:pPr>
        <w:pStyle w:val="List-bulletlvl1"/>
      </w:pPr>
      <w:r>
        <w:t>the inflation forecasts in the RBA’s November 2022 Statement of Monetary Policy</w:t>
      </w:r>
    </w:p>
    <w:p w14:paraId="0BAABE5B" w14:textId="77777777" w:rsidR="00F9022C" w:rsidRDefault="00F9022C" w:rsidP="00F9022C">
      <w:pPr>
        <w:pStyle w:val="List-bulletlvl1"/>
      </w:pPr>
      <w:r>
        <w:t>the inflation forecasts in the 2022-23 October Budget, to be released on 25 October 2022.</w:t>
      </w:r>
    </w:p>
    <w:p w14:paraId="3055533F" w14:textId="77777777" w:rsidR="00F9022C" w:rsidRDefault="00F9022C" w:rsidP="00F9022C">
      <w:pPr>
        <w:pStyle w:val="BodyCopy"/>
      </w:pPr>
      <w:r>
        <w:t xml:space="preserve">The ATA stated that no charge increases above the consumer price inflation forecasts should be considered, even if ministers do not consider it appropriate to adopt the ATA recommendation. </w:t>
      </w:r>
    </w:p>
    <w:p w14:paraId="49C60E62" w14:textId="7C9A964E" w:rsidR="00481273" w:rsidRDefault="00B97F50" w:rsidP="00481273">
      <w:pPr>
        <w:pStyle w:val="BodyCopy"/>
        <w:pBdr>
          <w:bottom w:val="single" w:sz="4" w:space="1" w:color="auto"/>
        </w:pBdr>
        <w:spacing w:before="360"/>
        <w:rPr>
          <w:b/>
          <w:sz w:val="28"/>
          <w:szCs w:val="28"/>
        </w:rPr>
      </w:pPr>
      <w:r>
        <w:rPr>
          <w:b/>
          <w:sz w:val="28"/>
          <w:szCs w:val="28"/>
        </w:rPr>
        <w:t>Conclusion and recommendations</w:t>
      </w:r>
    </w:p>
    <w:p w14:paraId="4E229061" w14:textId="0D7B8338" w:rsidR="00481273" w:rsidRDefault="00481273" w:rsidP="00481273">
      <w:pPr>
        <w:pStyle w:val="BodyText1"/>
      </w:pPr>
      <w:r>
        <w:t xml:space="preserve">Our interpretation of the combined pricing principles in the current environment is that they would favour an implementation pathway that balances the agreed need for full cost recovery over time with keeping yearly increases to heavy vehicle charges within reasonable bounds. </w:t>
      </w:r>
      <w:r w:rsidR="007A349D">
        <w:t xml:space="preserve">The NTC recommends adopting Option 2: Increasing heavy vehicle charges by 6 per cent per annum for three years from 2023-24 to 2025-26.  </w:t>
      </w:r>
    </w:p>
    <w:p w14:paraId="4119D880" w14:textId="77777777" w:rsidR="003B37E4" w:rsidRPr="003B37E4" w:rsidRDefault="003B37E4" w:rsidP="003B37E4">
      <w:pPr>
        <w:pStyle w:val="BodyCopy"/>
      </w:pPr>
    </w:p>
    <w:p w14:paraId="2131F9AC" w14:textId="0D6EC2AC" w:rsidR="00481273" w:rsidRPr="00B0016F" w:rsidRDefault="00481273" w:rsidP="00481273">
      <w:pPr>
        <w:pStyle w:val="Heading1"/>
      </w:pPr>
      <w:bookmarkStart w:id="12" w:name="_Toc114042854"/>
      <w:bookmarkStart w:id="13" w:name="_Toc121234732"/>
      <w:bookmarkEnd w:id="5"/>
      <w:bookmarkEnd w:id="6"/>
      <w:r>
        <w:t>Introduction</w:t>
      </w:r>
      <w:bookmarkEnd w:id="12"/>
      <w:bookmarkEnd w:id="13"/>
    </w:p>
    <w:tbl>
      <w:tblPr>
        <w:tblStyle w:val="NTC-keypoints"/>
        <w:tblW w:w="9043" w:type="dxa"/>
        <w:tblLayout w:type="fixed"/>
        <w:tblLook w:val="04A0" w:firstRow="1" w:lastRow="0" w:firstColumn="1" w:lastColumn="0" w:noHBand="0" w:noVBand="1"/>
      </w:tblPr>
      <w:tblGrid>
        <w:gridCol w:w="9043"/>
      </w:tblGrid>
      <w:tr w:rsidR="00481273" w14:paraId="33183DA7" w14:textId="77777777">
        <w:tc>
          <w:tcPr>
            <w:tcW w:w="9043" w:type="dxa"/>
          </w:tcPr>
          <w:p w14:paraId="1543EEAA" w14:textId="77777777" w:rsidR="00481273" w:rsidRPr="009476C1" w:rsidRDefault="00481273">
            <w:pPr>
              <w:pStyle w:val="Head3-box"/>
            </w:pPr>
            <w:r w:rsidRPr="009476C1">
              <w:t>Key points</w:t>
            </w:r>
          </w:p>
          <w:p w14:paraId="6A27A58E" w14:textId="77777777" w:rsidR="00481273" w:rsidRDefault="00481273" w:rsidP="004F3C74">
            <w:pPr>
              <w:pStyle w:val="BodyCopy"/>
              <w:numPr>
                <w:ilvl w:val="0"/>
                <w:numId w:val="19"/>
              </w:numPr>
            </w:pPr>
            <w:r>
              <w:t xml:space="preserve">At the December 2021 ITMM meeting, ministers considered the D-RIS and final recommendations from the 2021 Determination. </w:t>
            </w:r>
          </w:p>
          <w:p w14:paraId="0E072277" w14:textId="77777777" w:rsidR="00481273" w:rsidRDefault="00481273" w:rsidP="004F3C74">
            <w:pPr>
              <w:pStyle w:val="BodyCopy"/>
              <w:numPr>
                <w:ilvl w:val="0"/>
                <w:numId w:val="19"/>
              </w:numPr>
            </w:pPr>
            <w:r>
              <w:t>Rather than make decisions on the full range of technical and implementation recommendations contained in the D-RIS, ITMM identified a preference to increase heavy vehicle charges by 2.75 per cent in 2022-23.</w:t>
            </w:r>
          </w:p>
          <w:p w14:paraId="42C1D598" w14:textId="77777777" w:rsidR="00481273" w:rsidRDefault="00481273" w:rsidP="004F3C74">
            <w:pPr>
              <w:pStyle w:val="BodyCopy"/>
              <w:numPr>
                <w:ilvl w:val="0"/>
                <w:numId w:val="19"/>
              </w:numPr>
            </w:pPr>
            <w:r>
              <w:t xml:space="preserve">ITMM agreed to re-consider the technical recommendations from the 2021 Determination and implementation options for heavy vehicle charges to apply from 2023-24 in late 2022, including the possibility of a multi-year price path.  </w:t>
            </w:r>
          </w:p>
          <w:p w14:paraId="3057CB1F" w14:textId="0A35B4F8" w:rsidR="00481273" w:rsidRPr="00455ECE" w:rsidRDefault="00481273" w:rsidP="004F3C74">
            <w:pPr>
              <w:pStyle w:val="BodyCopy"/>
              <w:numPr>
                <w:ilvl w:val="0"/>
                <w:numId w:val="19"/>
              </w:numPr>
            </w:pPr>
            <w:r>
              <w:t xml:space="preserve">This </w:t>
            </w:r>
            <w:r w:rsidR="007D4FFF">
              <w:t xml:space="preserve">supplementary paper outlines three options </w:t>
            </w:r>
            <w:r>
              <w:t>for setting heavy vehicle charges from 2023-24 onwards</w:t>
            </w:r>
            <w:r w:rsidR="007D4FFF">
              <w:t xml:space="preserve"> and summarises the feedback on these options received from stakeholders</w:t>
            </w:r>
            <w:r>
              <w:t xml:space="preserve">. </w:t>
            </w:r>
            <w:r w:rsidR="007D4FFF">
              <w:t>This paper</w:t>
            </w:r>
            <w:r>
              <w:t xml:space="preserve"> needs to be considered as a supplementary </w:t>
            </w:r>
            <w:r w:rsidR="007D4FFF">
              <w:t xml:space="preserve">paper </w:t>
            </w:r>
            <w:r>
              <w:t xml:space="preserve">to the 2021 Determination </w:t>
            </w:r>
            <w:r w:rsidR="007D4FFF">
              <w:t>D</w:t>
            </w:r>
            <w:r>
              <w:t xml:space="preserve">-RIS.   </w:t>
            </w:r>
          </w:p>
        </w:tc>
      </w:tr>
    </w:tbl>
    <w:p w14:paraId="4401FDE5" w14:textId="77777777" w:rsidR="00481273" w:rsidRPr="00E3305F" w:rsidRDefault="00481273" w:rsidP="00481273">
      <w:pPr>
        <w:pStyle w:val="Heading2"/>
      </w:pPr>
      <w:bookmarkStart w:id="14" w:name="_Toc60652284"/>
      <w:bookmarkStart w:id="15" w:name="_Toc114042855"/>
      <w:bookmarkStart w:id="16" w:name="_Toc121234733"/>
      <w:r>
        <w:t>The NTC’s responsibilities</w:t>
      </w:r>
      <w:bookmarkEnd w:id="14"/>
      <w:bookmarkEnd w:id="15"/>
      <w:bookmarkEnd w:id="16"/>
    </w:p>
    <w:p w14:paraId="1B7605F2" w14:textId="77777777" w:rsidR="00481273" w:rsidRDefault="00481273" w:rsidP="00481273">
      <w:pPr>
        <w:pStyle w:val="BodyCopy"/>
      </w:pPr>
      <w:r w:rsidRPr="0095317F">
        <w:t xml:space="preserve">The National Transport Commission (NTC) has ongoing responsibilities for recommending heavy vehicle charges to </w:t>
      </w:r>
      <w:r>
        <w:t>ministers</w:t>
      </w:r>
      <w:r w:rsidRPr="0095317F">
        <w:t xml:space="preserve">. These charges are intended to apply nationally and </w:t>
      </w:r>
      <w:r>
        <w:t>be</w:t>
      </w:r>
      <w:r w:rsidRPr="0095317F">
        <w:t xml:space="preserve"> set to fully recover the share of road construction and maintenance costs that can be allocated to heavy vehicles.</w:t>
      </w:r>
    </w:p>
    <w:p w14:paraId="19CEE0E5" w14:textId="77777777" w:rsidR="00481273" w:rsidRDefault="00481273" w:rsidP="00481273">
      <w:pPr>
        <w:pStyle w:val="Heading2"/>
      </w:pPr>
      <w:bookmarkStart w:id="17" w:name="_Toc114042856"/>
      <w:bookmarkStart w:id="18" w:name="_Toc121234734"/>
      <w:bookmarkStart w:id="19" w:name="_Toc60652285"/>
      <w:r>
        <w:t>Background</w:t>
      </w:r>
      <w:bookmarkEnd w:id="17"/>
      <w:bookmarkEnd w:id="18"/>
      <w:r>
        <w:t xml:space="preserve"> </w:t>
      </w:r>
      <w:bookmarkEnd w:id="19"/>
    </w:p>
    <w:p w14:paraId="30966BB6" w14:textId="7EB32BBB" w:rsidR="00481273" w:rsidRDefault="00481273" w:rsidP="00481273">
      <w:pPr>
        <w:pStyle w:val="BodyCopy"/>
      </w:pPr>
      <w:r>
        <w:t xml:space="preserve">On 22 December 2021 the NTC presented the outcome of the 2021 Determination to ministers. Recommendations included a range of technical changes to the PAYGO model, as well as recommendations for heavy vehicle charges to apply from 2022-23. </w:t>
      </w:r>
    </w:p>
    <w:p w14:paraId="7DB8B9A8" w14:textId="77777777" w:rsidR="00E73D5C" w:rsidRDefault="00E73D5C" w:rsidP="00E73D5C">
      <w:pPr>
        <w:pStyle w:val="Heading2"/>
      </w:pPr>
      <w:bookmarkStart w:id="20" w:name="_Toc121234735"/>
      <w:r>
        <w:t>Consultation on the 2021 Determination</w:t>
      </w:r>
      <w:bookmarkEnd w:id="20"/>
    </w:p>
    <w:p w14:paraId="32B75FB0" w14:textId="77777777" w:rsidR="00E73D5C" w:rsidRPr="00E91017" w:rsidRDefault="00E73D5C" w:rsidP="00E73D5C">
      <w:pPr>
        <w:pStyle w:val="BodyCopy"/>
      </w:pPr>
      <w:r>
        <w:t xml:space="preserve">Following the conclusion of research and investigation phases, the NTC published the 2021 Determination C-RIS on 28 June 2021. The public submission period closed on 24 August 2021. Thirteen submissions were received.   </w:t>
      </w:r>
    </w:p>
    <w:p w14:paraId="3FDEADF1" w14:textId="77777777" w:rsidR="00E73D5C" w:rsidRDefault="00E73D5C" w:rsidP="00E73D5C">
      <w:pPr>
        <w:pStyle w:val="BodyCopy"/>
      </w:pPr>
      <w:r w:rsidRPr="00B25549">
        <w:t xml:space="preserve">Details of the </w:t>
      </w:r>
      <w:r>
        <w:t>D</w:t>
      </w:r>
      <w:r w:rsidRPr="00B25549">
        <w:t xml:space="preserve">etermination, including the Determination C-RIS and submissions can be found on the NTC website under: </w:t>
      </w:r>
    </w:p>
    <w:p w14:paraId="5CC3C992" w14:textId="77777777" w:rsidR="00E73D5C" w:rsidRPr="00B25549" w:rsidRDefault="00AB1B17" w:rsidP="00E73D5C">
      <w:pPr>
        <w:pStyle w:val="BodyCopy"/>
      </w:pPr>
      <w:hyperlink r:id="rId12" w:history="1">
        <w:r w:rsidR="00E73D5C" w:rsidRPr="00E82324">
          <w:rPr>
            <w:rStyle w:val="Hyperlink"/>
          </w:rPr>
          <w:t>https://www.ntc.gov.au/transport-reform/ntc-projects/heavy-vehicle-charges-determination</w:t>
        </w:r>
      </w:hyperlink>
    </w:p>
    <w:p w14:paraId="5E18C9C4" w14:textId="424BFA59" w:rsidR="00E73D5C" w:rsidRPr="00E91017" w:rsidRDefault="00E73D5C" w:rsidP="00E73D5C">
      <w:pPr>
        <w:pStyle w:val="BodyCopy"/>
      </w:pPr>
      <w:r>
        <w:t xml:space="preserve">In December 2021, ITMM deferred consideration of the technical recommendations and the charges to apply from 2023-24 onwards to late 2022.  </w:t>
      </w:r>
    </w:p>
    <w:p w14:paraId="3AA196E6" w14:textId="77777777" w:rsidR="00E73D5C" w:rsidRDefault="00E73D5C" w:rsidP="00481273">
      <w:pPr>
        <w:pStyle w:val="BodyCopy"/>
      </w:pPr>
    </w:p>
    <w:p w14:paraId="15AEF9A4" w14:textId="77777777" w:rsidR="00481273" w:rsidRDefault="00481273" w:rsidP="00481273">
      <w:pPr>
        <w:pStyle w:val="BodyCopy"/>
      </w:pPr>
      <w:r>
        <w:t xml:space="preserve">Ministers identified a preferred option of increasing heavy vehicle charges by 2.75 per cent in 2022-23. Further consultation on ministers’ preferred option occurred subsequently. Heavy vehicle registration charges in the Model Law and the RUC rate have since increased by 2.75 per cent.  </w:t>
      </w:r>
    </w:p>
    <w:p w14:paraId="74ABB7DB" w14:textId="77777777" w:rsidR="00481273" w:rsidRPr="002C2989" w:rsidRDefault="00481273" w:rsidP="00481273">
      <w:pPr>
        <w:pStyle w:val="BodyCopy"/>
      </w:pPr>
      <w:r>
        <w:t xml:space="preserve">Ministers </w:t>
      </w:r>
      <w:r w:rsidRPr="002C2989">
        <w:t xml:space="preserve">noted that </w:t>
      </w:r>
      <w:r>
        <w:t>they</w:t>
      </w:r>
      <w:r w:rsidRPr="002C2989">
        <w:t xml:space="preserve"> would re-consider heavy vehicle charges, including the option </w:t>
      </w:r>
      <w:r w:rsidRPr="002C2989">
        <w:rPr>
          <w:rStyle w:val="markedcontent"/>
        </w:rPr>
        <w:t>of multi-year charge</w:t>
      </w:r>
      <w:r>
        <w:rPr>
          <w:rStyle w:val="markedcontent"/>
        </w:rPr>
        <w:t xml:space="preserve"> </w:t>
      </w:r>
      <w:r w:rsidRPr="002C2989">
        <w:rPr>
          <w:rStyle w:val="markedcontent"/>
        </w:rPr>
        <w:t>setting</w:t>
      </w:r>
      <w:r>
        <w:rPr>
          <w:rStyle w:val="markedcontent"/>
        </w:rPr>
        <w:t>,</w:t>
      </w:r>
      <w:r w:rsidRPr="002C2989">
        <w:rPr>
          <w:rStyle w:val="markedcontent"/>
        </w:rPr>
        <w:t xml:space="preserve"> to provide additional certainty to industry on heavy vehicle charges</w:t>
      </w:r>
      <w:r>
        <w:rPr>
          <w:rStyle w:val="markedcontent"/>
        </w:rPr>
        <w:t>.</w:t>
      </w:r>
    </w:p>
    <w:p w14:paraId="7AB93DFF" w14:textId="77777777" w:rsidR="00481273" w:rsidRDefault="00481273" w:rsidP="00481273">
      <w:pPr>
        <w:pStyle w:val="Heading2"/>
      </w:pPr>
      <w:bookmarkStart w:id="21" w:name="_Toc114042857"/>
      <w:bookmarkStart w:id="22" w:name="_Toc121234736"/>
      <w:r>
        <w:t>Decisions required for 2023-24 and beyond</w:t>
      </w:r>
      <w:bookmarkEnd w:id="21"/>
      <w:bookmarkEnd w:id="22"/>
    </w:p>
    <w:p w14:paraId="2F8C6024" w14:textId="77777777" w:rsidR="00481273" w:rsidRDefault="00481273" w:rsidP="00481273">
      <w:pPr>
        <w:pStyle w:val="BodyCopy"/>
        <w:rPr>
          <w:rStyle w:val="markedcontent"/>
        </w:rPr>
      </w:pPr>
      <w:r>
        <w:rPr>
          <w:rStyle w:val="markedcontent"/>
        </w:rPr>
        <w:t xml:space="preserve">The Model Law contains a provision that ensures registration charges are automatically adjusted to reflect the latest heavy vehicle cost base. Unless ministers make a different decision, the annual adjustment formula contained in the Model Law would automatically apply, and the registration charges specified in the Model Law would be increased to fully recover the heavy vehicle cost base.  </w:t>
      </w:r>
    </w:p>
    <w:p w14:paraId="37510C56" w14:textId="77777777" w:rsidR="00481273" w:rsidRDefault="00481273" w:rsidP="00481273">
      <w:pPr>
        <w:pStyle w:val="BodyCopy"/>
        <w:rPr>
          <w:rStyle w:val="markedcontent"/>
        </w:rPr>
      </w:pPr>
      <w:r>
        <w:rPr>
          <w:rStyle w:val="markedcontent"/>
        </w:rPr>
        <w:t xml:space="preserve">This formula does not apply to the </w:t>
      </w:r>
      <w:r>
        <w:t>Road User Charge (</w:t>
      </w:r>
      <w:r>
        <w:rPr>
          <w:rStyle w:val="markedcontent"/>
        </w:rPr>
        <w:t xml:space="preserve">RUC) which is set by the Federal Transport Minister by regulatory instrument under the </w:t>
      </w:r>
      <w:r w:rsidRPr="002B4CFC">
        <w:rPr>
          <w:rStyle w:val="markedcontent"/>
          <w:i/>
          <w:iCs/>
        </w:rPr>
        <w:t>Fuel Tax Act 2006</w:t>
      </w:r>
      <w:r>
        <w:rPr>
          <w:rStyle w:val="markedcontent"/>
        </w:rPr>
        <w:t xml:space="preserve"> (Cth). </w:t>
      </w:r>
    </w:p>
    <w:p w14:paraId="3B530F1E" w14:textId="55FDCBCB" w:rsidR="00481273" w:rsidRDefault="00481273" w:rsidP="00481273">
      <w:pPr>
        <w:pStyle w:val="BodyCopy"/>
        <w:rPr>
          <w:rStyle w:val="markedcontent"/>
        </w:rPr>
      </w:pPr>
      <w:r>
        <w:rPr>
          <w:rStyle w:val="markedcontent"/>
        </w:rPr>
        <w:t xml:space="preserve">Given this background, and the intention of ministers to re-consider heavy vehicle charges in late 2022, it </w:t>
      </w:r>
      <w:r w:rsidR="007D4FFF">
        <w:rPr>
          <w:rStyle w:val="markedcontent"/>
        </w:rPr>
        <w:t xml:space="preserve">is </w:t>
      </w:r>
      <w:r>
        <w:rPr>
          <w:rStyle w:val="markedcontent"/>
        </w:rPr>
        <w:t>necessary for ministers to make the following key decisions:</w:t>
      </w:r>
    </w:p>
    <w:p w14:paraId="7C77BD7F" w14:textId="77777777" w:rsidR="00481273" w:rsidRDefault="00481273" w:rsidP="00481273">
      <w:pPr>
        <w:pStyle w:val="List-bulletlvl1"/>
        <w:rPr>
          <w:rStyle w:val="markedcontent"/>
        </w:rPr>
      </w:pPr>
      <w:r>
        <w:rPr>
          <w:rStyle w:val="markedcontent"/>
        </w:rPr>
        <w:t>whether to adopt a multi-year price path; and</w:t>
      </w:r>
    </w:p>
    <w:p w14:paraId="18ADBBE8" w14:textId="77777777" w:rsidR="00481273" w:rsidRDefault="00481273" w:rsidP="00481273">
      <w:pPr>
        <w:pStyle w:val="List-bulletlvl1"/>
        <w:rPr>
          <w:rStyle w:val="markedcontent"/>
        </w:rPr>
      </w:pPr>
      <w:r>
        <w:rPr>
          <w:rStyle w:val="markedcontent"/>
        </w:rPr>
        <w:t xml:space="preserve">at what level to set heavy vehicle charges to apply from 2023-24 onwards.   </w:t>
      </w:r>
    </w:p>
    <w:p w14:paraId="5C0E760A" w14:textId="7ECE18EC" w:rsidR="00481273" w:rsidRDefault="00481273" w:rsidP="00481273">
      <w:pPr>
        <w:pStyle w:val="BodyCopy"/>
        <w:rPr>
          <w:rStyle w:val="markedcontent"/>
        </w:rPr>
      </w:pPr>
      <w:r>
        <w:rPr>
          <w:rStyle w:val="markedcontent"/>
        </w:rPr>
        <w:t xml:space="preserve">The NTC </w:t>
      </w:r>
      <w:r w:rsidR="007D4FFF">
        <w:rPr>
          <w:rStyle w:val="markedcontent"/>
        </w:rPr>
        <w:t>is also asking</w:t>
      </w:r>
      <w:r>
        <w:rPr>
          <w:rStyle w:val="markedcontent"/>
        </w:rPr>
        <w:t xml:space="preserve"> ministers to re-consider a range of recommendations for</w:t>
      </w:r>
      <w:r w:rsidR="00B77CFA">
        <w:rPr>
          <w:rStyle w:val="markedcontent"/>
        </w:rPr>
        <w:t xml:space="preserve"> technical</w:t>
      </w:r>
      <w:r>
        <w:rPr>
          <w:rStyle w:val="markedcontent"/>
        </w:rPr>
        <w:t xml:space="preserve"> changes to the PAYGO model contained in the 2021 Determination. </w:t>
      </w:r>
    </w:p>
    <w:p w14:paraId="31D357C4" w14:textId="77777777" w:rsidR="00481273" w:rsidRDefault="00481273" w:rsidP="00481273">
      <w:pPr>
        <w:pStyle w:val="Heading2"/>
        <w:rPr>
          <w:rStyle w:val="markedcontent"/>
        </w:rPr>
      </w:pPr>
      <w:bookmarkStart w:id="23" w:name="_Toc114042858"/>
      <w:bookmarkStart w:id="24" w:name="_Toc121234737"/>
      <w:r>
        <w:rPr>
          <w:rStyle w:val="markedcontent"/>
        </w:rPr>
        <w:t>Temporary Reduction in Fuel Excise</w:t>
      </w:r>
      <w:bookmarkEnd w:id="23"/>
      <w:bookmarkEnd w:id="24"/>
      <w:r>
        <w:rPr>
          <w:rStyle w:val="markedcontent"/>
        </w:rPr>
        <w:t xml:space="preserve"> </w:t>
      </w:r>
    </w:p>
    <w:p w14:paraId="13DAD6E4" w14:textId="72E87114" w:rsidR="00481273" w:rsidRDefault="00481273" w:rsidP="00481273">
      <w:pPr>
        <w:pStyle w:val="BodyCopy"/>
      </w:pPr>
      <w:r>
        <w:t>As part of the 2022-23 budget, the Commonwealth government implemented a temporary reduction in the fuel excise rate from 44.2 to 22.1 cents per litre of fuel.</w:t>
      </w:r>
      <w:r>
        <w:rPr>
          <w:rStyle w:val="FootnoteReference"/>
        </w:rPr>
        <w:footnoteReference w:id="4"/>
      </w:r>
      <w:r>
        <w:t xml:space="preserve"> This reduction commenced on 30 March 2022. This temporary reduction </w:t>
      </w:r>
      <w:r w:rsidR="007D4FFF">
        <w:t>ended</w:t>
      </w:r>
      <w:r>
        <w:t xml:space="preserve"> at 11.59pm on 28</w:t>
      </w:r>
      <w:r w:rsidR="007D4FFF">
        <w:t> </w:t>
      </w:r>
      <w:r>
        <w:t>September 2022.</w:t>
      </w:r>
    </w:p>
    <w:p w14:paraId="4D72B6C1" w14:textId="3AE61818" w:rsidR="00481273" w:rsidRDefault="00481273" w:rsidP="00481273">
      <w:pPr>
        <w:pStyle w:val="BodyCopy"/>
      </w:pPr>
      <w:r>
        <w:t>This temporary reduction is not considered in this paper as the temporary reduction in fuel excise end</w:t>
      </w:r>
      <w:r w:rsidR="007D4FFF">
        <w:t xml:space="preserve">ed </w:t>
      </w:r>
      <w:r>
        <w:t xml:space="preserve">well before 2023-24. None of the financial implications for governments or heavy vehicle operators have been considered in any of the forecasts and options presented in this paper.   </w:t>
      </w:r>
    </w:p>
    <w:p w14:paraId="44D9E05B" w14:textId="77777777" w:rsidR="00481273" w:rsidRPr="00912295" w:rsidRDefault="00481273" w:rsidP="00481273">
      <w:pPr>
        <w:pStyle w:val="Heading2"/>
      </w:pPr>
      <w:bookmarkStart w:id="25" w:name="_Toc114042859"/>
      <w:bookmarkStart w:id="26" w:name="_Toc121234738"/>
      <w:r>
        <w:t>O</w:t>
      </w:r>
      <w:r w:rsidRPr="00912295">
        <w:t>bjectives</w:t>
      </w:r>
      <w:bookmarkEnd w:id="25"/>
      <w:bookmarkEnd w:id="26"/>
    </w:p>
    <w:p w14:paraId="7580DF84" w14:textId="32737CE1" w:rsidR="00481273" w:rsidRDefault="00481273" w:rsidP="00481273">
      <w:pPr>
        <w:pStyle w:val="BodyCopy"/>
      </w:pPr>
      <w:r>
        <w:t xml:space="preserve">The objective of this </w:t>
      </w:r>
      <w:r w:rsidR="00B77CFA">
        <w:t>supplementary</w:t>
      </w:r>
      <w:r>
        <w:t xml:space="preserve"> paper is to </w:t>
      </w:r>
      <w:r w:rsidR="007D4FFF">
        <w:t xml:space="preserve">present stakeholder feedback on </w:t>
      </w:r>
      <w:r>
        <w:t>options for setting heavy vehicle charges from 2023-24 onwards</w:t>
      </w:r>
      <w:r w:rsidR="007D4FFF">
        <w:t xml:space="preserve"> to ministers for consideration, and to outline the NTC’s final recommendations</w:t>
      </w:r>
      <w:r>
        <w:t>. The options</w:t>
      </w:r>
      <w:r w:rsidR="007D4FFF">
        <w:t xml:space="preserve"> consulted on</w:t>
      </w:r>
      <w:r>
        <w:t xml:space="preserve"> build upon the 2021 Heavy Vehicle Charges Determination and follow an increase in heavy vehicle charges of 2.75 per cent for 2022-23.  </w:t>
      </w:r>
    </w:p>
    <w:p w14:paraId="6C0BD0B3" w14:textId="7A000A45" w:rsidR="00481273" w:rsidRPr="00E3305F" w:rsidRDefault="00481273" w:rsidP="00481273">
      <w:pPr>
        <w:pStyle w:val="Heading2"/>
      </w:pPr>
      <w:bookmarkStart w:id="27" w:name="_Toc114042860"/>
      <w:bookmarkStart w:id="28" w:name="_Toc121234739"/>
      <w:r w:rsidRPr="00E3305F">
        <w:t>Approach</w:t>
      </w:r>
      <w:bookmarkEnd w:id="27"/>
      <w:r w:rsidR="00044E07">
        <w:t xml:space="preserve"> and timeline</w:t>
      </w:r>
      <w:bookmarkEnd w:id="28"/>
    </w:p>
    <w:p w14:paraId="1C5245B6" w14:textId="33A9A4E8" w:rsidR="00481273" w:rsidRDefault="00481273" w:rsidP="00481273">
      <w:pPr>
        <w:pStyle w:val="List-bulletlvl1"/>
        <w:numPr>
          <w:ilvl w:val="0"/>
          <w:numId w:val="0"/>
        </w:numPr>
      </w:pPr>
      <w:r>
        <w:t xml:space="preserve">This </w:t>
      </w:r>
      <w:r w:rsidR="007D4FFF">
        <w:t>supplementary</w:t>
      </w:r>
      <w:r>
        <w:t xml:space="preserve"> paper builds on the work carried out as part of the 2021 Determination. </w:t>
      </w:r>
    </w:p>
    <w:p w14:paraId="1B491323" w14:textId="77777777" w:rsidR="00481273" w:rsidRDefault="00481273" w:rsidP="00481273">
      <w:pPr>
        <w:pStyle w:val="List-bulletlvl1"/>
        <w:numPr>
          <w:ilvl w:val="0"/>
          <w:numId w:val="0"/>
        </w:numPr>
      </w:pPr>
      <w:r>
        <w:t xml:space="preserve">The Determination was completed after thorough consultation with stakeholders, including a two-month public consultation process.  </w:t>
      </w:r>
    </w:p>
    <w:p w14:paraId="5D6FEC25" w14:textId="77777777" w:rsidR="00481273" w:rsidRDefault="00481273" w:rsidP="00481273">
      <w:pPr>
        <w:pStyle w:val="List-bulletlvl1"/>
        <w:numPr>
          <w:ilvl w:val="0"/>
          <w:numId w:val="0"/>
        </w:numPr>
      </w:pPr>
      <w:r>
        <w:t>The C-RIS and stakeholder responses to the C-RIS can be found on the NTC website under:</w:t>
      </w:r>
    </w:p>
    <w:p w14:paraId="29C33DC1" w14:textId="77777777" w:rsidR="00481273" w:rsidRPr="00155F18" w:rsidRDefault="00481273" w:rsidP="00481273">
      <w:pPr>
        <w:pStyle w:val="List-bulletlvl1"/>
        <w:numPr>
          <w:ilvl w:val="0"/>
          <w:numId w:val="0"/>
        </w:numPr>
        <w:rPr>
          <w:b/>
          <w:bCs/>
          <w:u w:val="single"/>
        </w:rPr>
      </w:pPr>
      <w:r w:rsidRPr="00155F18">
        <w:rPr>
          <w:b/>
          <w:bCs/>
          <w:u w:val="single"/>
        </w:rPr>
        <w:t xml:space="preserve">https://www.ntc.gov.au/transport-reform/ntc-projects/heavy-vehicle-charges-determination  </w:t>
      </w:r>
    </w:p>
    <w:p w14:paraId="1EC622B3" w14:textId="50FB198E" w:rsidR="00481273" w:rsidRDefault="00481273" w:rsidP="00481273">
      <w:pPr>
        <w:pStyle w:val="BodyCopy"/>
      </w:pPr>
      <w:r w:rsidRPr="006A56BF">
        <w:rPr>
          <w:noProof/>
          <w:color w:val="002F88"/>
          <w:lang w:eastAsia="en-AU"/>
        </w:rPr>
        <w:drawing>
          <wp:anchor distT="0" distB="0" distL="114300" distR="114300" simplePos="0" relativeHeight="251658240" behindDoc="1" locked="0" layoutInCell="1" allowOverlap="1" wp14:anchorId="29E89E6A" wp14:editId="403FAED9">
            <wp:simplePos x="0" y="0"/>
            <wp:positionH relativeFrom="column">
              <wp:posOffset>-142875</wp:posOffset>
            </wp:positionH>
            <wp:positionV relativeFrom="paragraph">
              <wp:posOffset>240665</wp:posOffset>
            </wp:positionV>
            <wp:extent cx="5600700" cy="3870960"/>
            <wp:effectExtent l="0" t="95250" r="0" b="9144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8" behindDoc="0" locked="0" layoutInCell="1" allowOverlap="1" wp14:anchorId="3A8F321D" wp14:editId="12272122">
                <wp:simplePos x="0" y="0"/>
                <wp:positionH relativeFrom="column">
                  <wp:posOffset>422910</wp:posOffset>
                </wp:positionH>
                <wp:positionV relativeFrom="paragraph">
                  <wp:posOffset>2572385</wp:posOffset>
                </wp:positionV>
                <wp:extent cx="971550" cy="1535430"/>
                <wp:effectExtent l="19050" t="19050" r="19050" b="26670"/>
                <wp:wrapNone/>
                <wp:docPr id="16" name="Rectangle 16"/>
                <wp:cNvGraphicFramePr/>
                <a:graphic xmlns:a="http://schemas.openxmlformats.org/drawingml/2006/main">
                  <a:graphicData uri="http://schemas.microsoft.com/office/word/2010/wordprocessingShape">
                    <wps:wsp>
                      <wps:cNvSpPr/>
                      <wps:spPr>
                        <a:xfrm>
                          <a:off x="0" y="0"/>
                          <a:ext cx="971550" cy="1535430"/>
                        </a:xfrm>
                        <a:prstGeom prst="rect">
                          <a:avLst/>
                        </a:prstGeom>
                        <a:noFill/>
                        <a:ln w="28575">
                          <a:solidFill>
                            <a:schemeClr val="bg1"/>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CE83" id="Rectangle 16" o:spid="_x0000_s1026" style="position:absolute;margin-left:33.3pt;margin-top:202.55pt;width:76.5pt;height:120.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" filled="f" strokecolor="white [3212]" strokeweight="2.25pt">
                <v:stroke dashstyle="3 1"/>
              </v:rect>
            </w:pict>
          </mc:Fallback>
        </mc:AlternateContent>
      </w:r>
    </w:p>
    <w:p w14:paraId="322DF51C" w14:textId="77777777" w:rsidR="00481273" w:rsidRDefault="00481273" w:rsidP="00481273">
      <w:pPr>
        <w:pStyle w:val="BodyCopy"/>
      </w:pPr>
    </w:p>
    <w:p w14:paraId="282102F9" w14:textId="77777777" w:rsidR="00481273" w:rsidRDefault="00481273" w:rsidP="00481273">
      <w:pPr>
        <w:pStyle w:val="BodyCopy"/>
      </w:pPr>
    </w:p>
    <w:p w14:paraId="157BCF18" w14:textId="77777777" w:rsidR="00481273" w:rsidRDefault="00481273" w:rsidP="00481273">
      <w:pPr>
        <w:pStyle w:val="BodyCopy"/>
      </w:pPr>
    </w:p>
    <w:p w14:paraId="49C48DE1" w14:textId="77777777" w:rsidR="00481273" w:rsidRDefault="00481273" w:rsidP="00481273">
      <w:pPr>
        <w:pStyle w:val="BodyCopy"/>
      </w:pPr>
    </w:p>
    <w:p w14:paraId="1483D97E" w14:textId="77777777" w:rsidR="00481273" w:rsidRDefault="00481273" w:rsidP="00481273">
      <w:pPr>
        <w:pStyle w:val="Heading1"/>
      </w:pPr>
      <w:bookmarkStart w:id="29" w:name="_Toc60652288"/>
      <w:bookmarkStart w:id="30" w:name="_Toc114042861"/>
      <w:bookmarkStart w:id="31" w:name="_Toc121234740"/>
      <w:r>
        <w:t>Background on heavy vehicle charges</w:t>
      </w:r>
      <w:bookmarkEnd w:id="29"/>
      <w:bookmarkEnd w:id="30"/>
      <w:bookmarkEnd w:id="31"/>
    </w:p>
    <w:tbl>
      <w:tblPr>
        <w:tblStyle w:val="NTC-keypoints"/>
        <w:tblW w:w="9043" w:type="dxa"/>
        <w:tblLayout w:type="fixed"/>
        <w:tblLook w:val="04A0" w:firstRow="1" w:lastRow="0" w:firstColumn="1" w:lastColumn="0" w:noHBand="0" w:noVBand="1"/>
      </w:tblPr>
      <w:tblGrid>
        <w:gridCol w:w="9043"/>
      </w:tblGrid>
      <w:tr w:rsidR="00481273" w14:paraId="325E5475" w14:textId="77777777">
        <w:tc>
          <w:tcPr>
            <w:tcW w:w="9043" w:type="dxa"/>
          </w:tcPr>
          <w:p w14:paraId="213B67B4" w14:textId="77777777" w:rsidR="00481273" w:rsidRPr="009476C1" w:rsidRDefault="00481273">
            <w:pPr>
              <w:pStyle w:val="Head3-box"/>
            </w:pPr>
            <w:r w:rsidRPr="009476C1">
              <w:t>Key points</w:t>
            </w:r>
          </w:p>
          <w:p w14:paraId="7F062F51" w14:textId="77777777" w:rsidR="00481273" w:rsidRDefault="00481273" w:rsidP="004F3C74">
            <w:pPr>
              <w:pStyle w:val="BodyCopy"/>
              <w:numPr>
                <w:ilvl w:val="0"/>
                <w:numId w:val="15"/>
              </w:numPr>
            </w:pPr>
            <w:r>
              <w:t>Heavy vehicle charges apply to all vehicles with a Gross Vehicle Mass (GVM) of above 4.5 tonnes.</w:t>
            </w:r>
          </w:p>
          <w:p w14:paraId="2B5228D8" w14:textId="77777777" w:rsidR="00481273" w:rsidRDefault="00481273" w:rsidP="004F3C74">
            <w:pPr>
              <w:pStyle w:val="BodyCopy"/>
              <w:numPr>
                <w:ilvl w:val="0"/>
                <w:numId w:val="15"/>
              </w:numPr>
            </w:pPr>
            <w:r>
              <w:t xml:space="preserve">The charges consist of a RUC on fuel and a yearly registration charge comprising roads and regulatory components.  </w:t>
            </w:r>
          </w:p>
          <w:p w14:paraId="09F5A809" w14:textId="77777777" w:rsidR="00481273" w:rsidRDefault="00481273" w:rsidP="004F3C74">
            <w:pPr>
              <w:pStyle w:val="BodyCopy"/>
              <w:numPr>
                <w:ilvl w:val="0"/>
                <w:numId w:val="15"/>
              </w:numPr>
            </w:pPr>
            <w:r>
              <w:t xml:space="preserve">Charges are set using the PAYGO model which calculates the heavy vehicle cost base based on historical government road expenditure and road usage data.  </w:t>
            </w:r>
          </w:p>
          <w:p w14:paraId="303C1246" w14:textId="77777777" w:rsidR="00481273" w:rsidRDefault="00481273" w:rsidP="004F3C74">
            <w:pPr>
              <w:pStyle w:val="BodyCopy"/>
              <w:numPr>
                <w:ilvl w:val="0"/>
                <w:numId w:val="15"/>
              </w:numPr>
            </w:pPr>
            <w:r>
              <w:t xml:space="preserve">Ministers make collective decisions on heavy vehicle charges. The NTC provides advice to ministers to support their decision-making.  </w:t>
            </w:r>
          </w:p>
          <w:p w14:paraId="0B95D954" w14:textId="77777777" w:rsidR="00481273" w:rsidRDefault="00481273" w:rsidP="004F3C74">
            <w:pPr>
              <w:pStyle w:val="BodyCopy"/>
              <w:numPr>
                <w:ilvl w:val="0"/>
                <w:numId w:val="15"/>
              </w:numPr>
            </w:pPr>
            <w:r>
              <w:t xml:space="preserve">The binding pricing principles governing the NTC’s advice have a strong focus on achieving full cost recovery of allocated costs over time.  </w:t>
            </w:r>
          </w:p>
          <w:p w14:paraId="0EBF3373" w14:textId="77777777" w:rsidR="00481273" w:rsidRDefault="00481273" w:rsidP="004F3C74">
            <w:pPr>
              <w:pStyle w:val="BodyCopy"/>
              <w:numPr>
                <w:ilvl w:val="0"/>
                <w:numId w:val="15"/>
              </w:numPr>
            </w:pPr>
            <w:r>
              <w:t xml:space="preserve">The RUC is implemented under the Commonwealth </w:t>
            </w:r>
            <w:r>
              <w:rPr>
                <w:i/>
              </w:rPr>
              <w:t>Fuel Tax Act 2006</w:t>
            </w:r>
            <w:r w:rsidRPr="00D92DE7">
              <w:rPr>
                <w:iCs/>
              </w:rPr>
              <w:t>. It is collected through excise</w:t>
            </w:r>
            <w:r>
              <w:rPr>
                <w:iCs/>
              </w:rPr>
              <w:t>,</w:t>
            </w:r>
            <w:r w:rsidRPr="00D92DE7">
              <w:rPr>
                <w:iCs/>
              </w:rPr>
              <w:t xml:space="preserve"> and </w:t>
            </w:r>
            <w:r>
              <w:t xml:space="preserve">a reduced fuel tax credit is then provided on fuel purchased for on road use by heavy vehicles.   </w:t>
            </w:r>
          </w:p>
          <w:p w14:paraId="582584A3" w14:textId="77777777" w:rsidR="00481273" w:rsidRPr="00455ECE" w:rsidRDefault="00481273" w:rsidP="004F3C74">
            <w:pPr>
              <w:pStyle w:val="BodyCopy"/>
              <w:numPr>
                <w:ilvl w:val="0"/>
                <w:numId w:val="15"/>
              </w:numPr>
            </w:pPr>
            <w:r>
              <w:t xml:space="preserve">Registration charges are implemented through the Model Law. The charges have legislative force once the Model Law is adopted by states and territories.  </w:t>
            </w:r>
          </w:p>
        </w:tc>
      </w:tr>
    </w:tbl>
    <w:p w14:paraId="67DACDEA" w14:textId="77777777" w:rsidR="00481273" w:rsidRDefault="00481273" w:rsidP="00481273">
      <w:pPr>
        <w:pStyle w:val="Heading2"/>
      </w:pPr>
      <w:bookmarkStart w:id="32" w:name="_Toc60652289"/>
      <w:bookmarkStart w:id="33" w:name="_Toc114042862"/>
      <w:bookmarkStart w:id="34" w:name="_Toc121234741"/>
      <w:r>
        <w:t>Heavy vehicle charges</w:t>
      </w:r>
      <w:bookmarkEnd w:id="32"/>
      <w:bookmarkEnd w:id="33"/>
      <w:bookmarkEnd w:id="34"/>
      <w:r>
        <w:t xml:space="preserve"> </w:t>
      </w:r>
    </w:p>
    <w:p w14:paraId="501A79CD" w14:textId="77777777" w:rsidR="00481273" w:rsidRPr="00D92DE7" w:rsidRDefault="00481273" w:rsidP="00481273">
      <w:pPr>
        <w:pStyle w:val="Head3-noTOC"/>
      </w:pPr>
      <w:bookmarkStart w:id="35" w:name="_Toc60652290"/>
      <w:r w:rsidRPr="00D92DE7">
        <w:t>What are heavy vehicle charges</w:t>
      </w:r>
      <w:bookmarkEnd w:id="35"/>
    </w:p>
    <w:p w14:paraId="22BF879D" w14:textId="77777777" w:rsidR="00481273" w:rsidRDefault="00481273" w:rsidP="00481273">
      <w:pPr>
        <w:pStyle w:val="BodyCopy"/>
      </w:pPr>
      <w:r>
        <w:t xml:space="preserve">Heavy vehicles include all vehicles with a Gross Vehicle Mass (GVM) of above 4.5 tonnes. </w:t>
      </w:r>
    </w:p>
    <w:p w14:paraId="28C25938" w14:textId="77777777" w:rsidR="00481273" w:rsidRDefault="00481273" w:rsidP="00481273">
      <w:pPr>
        <w:pStyle w:val="BodyCopy"/>
      </w:pPr>
      <w:r>
        <w:t>There are three components to the charges paid by heavy vehicles:</w:t>
      </w:r>
    </w:p>
    <w:p w14:paraId="42E58240" w14:textId="77777777" w:rsidR="00481273" w:rsidRDefault="00481273" w:rsidP="00481273">
      <w:pPr>
        <w:pStyle w:val="List-bulletlvl1"/>
      </w:pPr>
      <w:r>
        <w:t>the fuel-based RUC, administered by the Commonwealth Government.</w:t>
      </w:r>
    </w:p>
    <w:p w14:paraId="79C2A0F8" w14:textId="77777777" w:rsidR="00481273" w:rsidRDefault="00481273" w:rsidP="00481273">
      <w:pPr>
        <w:pStyle w:val="List-bulletlvl1"/>
      </w:pPr>
      <w:r>
        <w:t xml:space="preserve">the roads component of the registration charge, as applied by state and territory governments.  </w:t>
      </w:r>
    </w:p>
    <w:p w14:paraId="3AA6547D" w14:textId="77777777" w:rsidR="00481273" w:rsidRDefault="00481273" w:rsidP="00481273">
      <w:pPr>
        <w:pStyle w:val="List-bulletlvl1"/>
      </w:pPr>
      <w:r>
        <w:t>the regulatory component of the registration charge, which is applied to cover the operating cost of the National Heavy Vehicle Regulator (NHVR).</w:t>
      </w:r>
    </w:p>
    <w:p w14:paraId="1A0405C5" w14:textId="77777777" w:rsidR="00481273" w:rsidRDefault="00481273" w:rsidP="00481273">
      <w:pPr>
        <w:pStyle w:val="BodyCopy"/>
      </w:pPr>
      <w:r w:rsidRPr="000D2187">
        <w:t xml:space="preserve">The fuel charge and registration charge are linked to government expenditure on roads. The amount to cover the </w:t>
      </w:r>
      <w:r>
        <w:t xml:space="preserve">regulatory </w:t>
      </w:r>
      <w:r w:rsidRPr="000D2187">
        <w:t xml:space="preserve">cost of the NHVR is designed </w:t>
      </w:r>
      <w:r>
        <w:t xml:space="preserve">to reflect </w:t>
      </w:r>
      <w:r w:rsidRPr="000D2187">
        <w:t>the NHVR’s</w:t>
      </w:r>
      <w:r>
        <w:t xml:space="preserve"> </w:t>
      </w:r>
      <w:r w:rsidRPr="000D2187">
        <w:t>budget</w:t>
      </w:r>
      <w:r>
        <w:t>, which is approved by ITMM</w:t>
      </w:r>
      <w:r w:rsidRPr="000D2187">
        <w:t>.</w:t>
      </w:r>
    </w:p>
    <w:p w14:paraId="275E1F8C" w14:textId="77777777" w:rsidR="00481273" w:rsidRDefault="00481273" w:rsidP="00481273">
      <w:pPr>
        <w:pStyle w:val="BodyCopy"/>
      </w:pPr>
    </w:p>
    <w:p w14:paraId="60ED148D" w14:textId="77777777" w:rsidR="00481273" w:rsidRDefault="00481273" w:rsidP="00481273">
      <w:pPr>
        <w:pStyle w:val="BodyCopy"/>
      </w:pPr>
    </w:p>
    <w:p w14:paraId="023A4523" w14:textId="77777777" w:rsidR="00481273" w:rsidRDefault="00481273" w:rsidP="00481273">
      <w:pPr>
        <w:pStyle w:val="BodyCopy"/>
      </w:pPr>
    </w:p>
    <w:p w14:paraId="107AF003" w14:textId="77777777" w:rsidR="00481273" w:rsidRDefault="00481273" w:rsidP="00481273">
      <w:pPr>
        <w:pStyle w:val="Head3-noTOC"/>
      </w:pPr>
      <w:bookmarkStart w:id="36" w:name="_Toc60652291"/>
      <w:r>
        <w:t>NTC’s role</w:t>
      </w:r>
      <w:bookmarkEnd w:id="36"/>
    </w:p>
    <w:p w14:paraId="57566195" w14:textId="77777777" w:rsidR="00481273" w:rsidRDefault="00481273" w:rsidP="00481273">
      <w:pPr>
        <w:pStyle w:val="BodyCopy"/>
      </w:pPr>
      <w:r w:rsidRPr="003376A9">
        <w:t xml:space="preserve">The </w:t>
      </w:r>
      <w:r>
        <w:t>NTC</w:t>
      </w:r>
      <w:r w:rsidRPr="003376A9">
        <w:t xml:space="preserve"> has ongoing responsibilities for recommending heavy vehicle charges to </w:t>
      </w:r>
      <w:r>
        <w:t>ministers</w:t>
      </w:r>
      <w:r>
        <w:rPr>
          <w:rStyle w:val="FootnoteReference"/>
        </w:rPr>
        <w:footnoteReference w:id="5"/>
      </w:r>
      <w:r w:rsidRPr="003376A9">
        <w:t>. These charges are intended to apply nationally</w:t>
      </w:r>
      <w:r>
        <w:t xml:space="preserve"> </w:t>
      </w:r>
      <w:r w:rsidRPr="003376A9">
        <w:t>and are set to fully recover the share of road construction and maintenance costs that can be allocated to heavy vehicles.</w:t>
      </w:r>
    </w:p>
    <w:p w14:paraId="27EA6E57" w14:textId="77777777" w:rsidR="00481273" w:rsidRDefault="00481273" w:rsidP="00481273">
      <w:pPr>
        <w:pStyle w:val="Head3-noTOC"/>
      </w:pPr>
      <w:bookmarkStart w:id="37" w:name="_Toc60652292"/>
      <w:r>
        <w:t>Pricing principles and the importance of cost recovery</w:t>
      </w:r>
      <w:bookmarkEnd w:id="37"/>
    </w:p>
    <w:p w14:paraId="6797D7F2" w14:textId="77777777" w:rsidR="00481273" w:rsidRDefault="00481273" w:rsidP="00481273">
      <w:pPr>
        <w:pStyle w:val="BodyCopy"/>
      </w:pPr>
      <w:r>
        <w:t xml:space="preserve">A set of guiding principles govern the application of the cost recovery methodology. These pricing principles were agreed by the Australian Transport Council (a predecessor of ITMM) and the Council of Australian Governments (COAG) and are binding on the NTC.  </w:t>
      </w:r>
    </w:p>
    <w:p w14:paraId="47443EAC" w14:textId="77777777" w:rsidR="00481273" w:rsidRDefault="00481273" w:rsidP="00481273">
      <w:pPr>
        <w:pStyle w:val="BodyCopy"/>
      </w:pPr>
      <w:r>
        <w:t>The current pricing principles were designed to guide the NTC towards an outcome that efficiently recovers the cost of providing road infrastructure for heavy vehicles. In addition, the principles also consider issues of relevant public interest, such as fairness and equity.</w:t>
      </w:r>
    </w:p>
    <w:p w14:paraId="20252B92" w14:textId="77777777" w:rsidR="00481273" w:rsidRPr="00905131" w:rsidRDefault="00481273" w:rsidP="00481273">
      <w:pPr>
        <w:pStyle w:val="BodyCopy"/>
      </w:pPr>
      <w:r>
        <w:t xml:space="preserve">The </w:t>
      </w:r>
      <w:r w:rsidRPr="00905131">
        <w:t>COAG principles</w:t>
      </w:r>
      <w:r w:rsidRPr="00905131">
        <w:rPr>
          <w:rStyle w:val="FootnoteReference"/>
          <w:rFonts w:ascii="Times New Roman" w:hAnsi="Times New Roman"/>
          <w:b/>
          <w:color w:val="24272A" w:themeColor="text1"/>
          <w:sz w:val="20"/>
        </w:rPr>
        <w:footnoteReference w:id="6"/>
      </w:r>
      <w:r w:rsidRPr="00905131">
        <w:t xml:space="preserve"> are:</w:t>
      </w:r>
    </w:p>
    <w:p w14:paraId="4D0546C5" w14:textId="77777777" w:rsidR="00481273" w:rsidRPr="00262FD0" w:rsidRDefault="00481273" w:rsidP="00481273">
      <w:pPr>
        <w:pStyle w:val="BodyCopy"/>
        <w:rPr>
          <w:i/>
        </w:rPr>
      </w:pPr>
      <w:r w:rsidRPr="00262FD0">
        <w:rPr>
          <w:i/>
        </w:rPr>
        <w:t xml:space="preserve">“ATC direct the NTC, in developing its Determination, to apply principles and methods that </w:t>
      </w:r>
    </w:p>
    <w:p w14:paraId="5E78DF63" w14:textId="77777777" w:rsidR="00481273" w:rsidRPr="00262FD0" w:rsidRDefault="00481273" w:rsidP="004F3C74">
      <w:pPr>
        <w:pStyle w:val="List-bulletlvl1"/>
        <w:numPr>
          <w:ilvl w:val="0"/>
          <w:numId w:val="13"/>
        </w:numPr>
        <w:rPr>
          <w:i/>
        </w:rPr>
      </w:pPr>
      <w:r w:rsidRPr="00262FD0">
        <w:rPr>
          <w:i/>
        </w:rPr>
        <w:t xml:space="preserve">ensure the delivery of full cost recovery in aggregate, </w:t>
      </w:r>
    </w:p>
    <w:p w14:paraId="5E1EC16A" w14:textId="77777777" w:rsidR="00481273" w:rsidRPr="00262FD0" w:rsidRDefault="00481273" w:rsidP="004F3C74">
      <w:pPr>
        <w:pStyle w:val="List-bulletlvl1"/>
        <w:numPr>
          <w:ilvl w:val="0"/>
          <w:numId w:val="13"/>
        </w:numPr>
        <w:rPr>
          <w:i/>
        </w:rPr>
      </w:pPr>
      <w:r w:rsidRPr="00262FD0">
        <w:rPr>
          <w:i/>
        </w:rPr>
        <w:t xml:space="preserve">further develop indexation adjustment arrangements to ensure the ongoing delivery of full expenditure recovery in aggregate and </w:t>
      </w:r>
    </w:p>
    <w:p w14:paraId="5345AF4B" w14:textId="64F75072" w:rsidR="00481273" w:rsidRPr="00FF4155" w:rsidRDefault="00481273" w:rsidP="00324A0D">
      <w:pPr>
        <w:pStyle w:val="List-bulletlvl1"/>
        <w:numPr>
          <w:ilvl w:val="0"/>
          <w:numId w:val="13"/>
        </w:numPr>
        <w:rPr>
          <w:i/>
          <w:iCs/>
        </w:rPr>
      </w:pPr>
      <w:r w:rsidRPr="00FF4155">
        <w:rPr>
          <w:i/>
        </w:rPr>
        <w:t>remove cross-subsidisation across different heavy vehicle classes,</w:t>
      </w:r>
      <w:r w:rsidR="00FF4155" w:rsidRPr="00FF4155">
        <w:rPr>
          <w:i/>
        </w:rPr>
        <w:t xml:space="preserve"> </w:t>
      </w:r>
      <w:r w:rsidRPr="00FF4155">
        <w:rPr>
          <w:i/>
          <w:iCs/>
        </w:rPr>
        <w:t>recognising that transition to any new arrangement may require a phased approach”.</w:t>
      </w:r>
    </w:p>
    <w:p w14:paraId="3362C12A" w14:textId="77777777" w:rsidR="00481273" w:rsidRPr="00262FD0" w:rsidRDefault="00481273" w:rsidP="00481273">
      <w:pPr>
        <w:pStyle w:val="BodyCopy"/>
        <w:rPr>
          <w:u w:val="single"/>
        </w:rPr>
      </w:pPr>
      <w:r w:rsidRPr="00262FD0">
        <w:rPr>
          <w:u w:val="single"/>
        </w:rPr>
        <w:t>ATC/SCOTI guiding principles</w:t>
      </w:r>
      <w:r w:rsidRPr="00262FD0">
        <w:rPr>
          <w:rStyle w:val="FootnoteReference"/>
          <w:rFonts w:ascii="Times New Roman" w:hAnsi="Times New Roman"/>
          <w:color w:val="24272A" w:themeColor="text1"/>
          <w:sz w:val="20"/>
          <w:u w:val="single"/>
        </w:rPr>
        <w:footnoteReference w:id="7"/>
      </w:r>
    </w:p>
    <w:p w14:paraId="6E9937D4" w14:textId="77777777" w:rsidR="00481273" w:rsidRPr="00262FD0" w:rsidRDefault="00481273" w:rsidP="00481273">
      <w:pPr>
        <w:pStyle w:val="BodyCopy"/>
        <w:rPr>
          <w:i/>
        </w:rPr>
      </w:pPr>
      <w:r w:rsidRPr="00262FD0">
        <w:rPr>
          <w:i/>
        </w:rPr>
        <w:t>“National heavy vehicle road use prices should promote optimal use of infrastructure, vehicles and transport modes. This is subject to the following:</w:t>
      </w:r>
    </w:p>
    <w:p w14:paraId="06FFBC7A" w14:textId="77777777" w:rsidR="00481273" w:rsidRPr="00262FD0" w:rsidRDefault="00481273" w:rsidP="004F3C74">
      <w:pPr>
        <w:pStyle w:val="List-bulletlvl1"/>
        <w:numPr>
          <w:ilvl w:val="0"/>
          <w:numId w:val="14"/>
        </w:numPr>
        <w:rPr>
          <w:i/>
        </w:rPr>
      </w:pPr>
      <w:r w:rsidRPr="00262FD0">
        <w:rPr>
          <w:i/>
        </w:rPr>
        <w:t>full recovery of allocated infrastructure costs while minimising both the over and under recovery from any class of vehicle</w:t>
      </w:r>
    </w:p>
    <w:p w14:paraId="1BEE3C8F" w14:textId="77777777" w:rsidR="00481273" w:rsidRPr="00262FD0" w:rsidRDefault="00481273" w:rsidP="004F3C74">
      <w:pPr>
        <w:pStyle w:val="List-bulletlvl1"/>
        <w:numPr>
          <w:ilvl w:val="0"/>
          <w:numId w:val="14"/>
        </w:numPr>
        <w:rPr>
          <w:i/>
        </w:rPr>
      </w:pPr>
      <w:r w:rsidRPr="00262FD0">
        <w:rPr>
          <w:i/>
        </w:rPr>
        <w:t>cost effectiveness of pricing instruments</w:t>
      </w:r>
    </w:p>
    <w:p w14:paraId="1D96022F" w14:textId="77777777" w:rsidR="00481273" w:rsidRPr="00262FD0" w:rsidRDefault="00481273" w:rsidP="004F3C74">
      <w:pPr>
        <w:pStyle w:val="List-bulletlvl1"/>
        <w:numPr>
          <w:ilvl w:val="0"/>
          <w:numId w:val="14"/>
        </w:numPr>
        <w:rPr>
          <w:i/>
        </w:rPr>
      </w:pPr>
      <w:r w:rsidRPr="00262FD0">
        <w:rPr>
          <w:i/>
        </w:rPr>
        <w:t>transparency</w:t>
      </w:r>
    </w:p>
    <w:p w14:paraId="1EDE7C73" w14:textId="77777777" w:rsidR="00481273" w:rsidRPr="00262FD0" w:rsidRDefault="00481273" w:rsidP="004F3C74">
      <w:pPr>
        <w:pStyle w:val="List-bulletlvl1"/>
        <w:numPr>
          <w:ilvl w:val="0"/>
          <w:numId w:val="14"/>
        </w:numPr>
        <w:rPr>
          <w:i/>
        </w:rPr>
      </w:pPr>
      <w:r w:rsidRPr="00262FD0">
        <w:rPr>
          <w:i/>
        </w:rPr>
        <w:t>the need to balance administrative simplicity, efficiency and equity (e.g. impact on regional and remote communities/access)</w:t>
      </w:r>
    </w:p>
    <w:p w14:paraId="5859042B" w14:textId="77777777" w:rsidR="00481273" w:rsidRPr="00262FD0" w:rsidRDefault="00481273" w:rsidP="004F3C74">
      <w:pPr>
        <w:pStyle w:val="List-bulletlvl1"/>
        <w:numPr>
          <w:ilvl w:val="0"/>
          <w:numId w:val="14"/>
        </w:numPr>
        <w:rPr>
          <w:i/>
        </w:rPr>
      </w:pPr>
      <w:r w:rsidRPr="00262FD0">
        <w:rPr>
          <w:i/>
        </w:rPr>
        <w:t>the need to have regard to other pricing applications such as light vehicle charges, tolling and congestion.”</w:t>
      </w:r>
    </w:p>
    <w:p w14:paraId="6A01CEE5" w14:textId="77777777" w:rsidR="00481273" w:rsidRDefault="00481273" w:rsidP="00481273">
      <w:pPr>
        <w:pStyle w:val="BodyCopy"/>
      </w:pPr>
      <w:r w:rsidRPr="00BC2662">
        <w:t xml:space="preserve">Both the ATC and COAG principles are standing principles until the relevant </w:t>
      </w:r>
      <w:r>
        <w:t xml:space="preserve">authority changes them and are </w:t>
      </w:r>
      <w:r w:rsidRPr="00BC2662">
        <w:t xml:space="preserve">binding on </w:t>
      </w:r>
      <w:r>
        <w:t xml:space="preserve">the </w:t>
      </w:r>
      <w:r w:rsidRPr="00BC2662">
        <w:t>NTC.</w:t>
      </w:r>
    </w:p>
    <w:p w14:paraId="626B08E5" w14:textId="77777777" w:rsidR="00481273" w:rsidRPr="00BC2662" w:rsidRDefault="00481273" w:rsidP="00481273">
      <w:pPr>
        <w:pStyle w:val="BodyCopy"/>
      </w:pPr>
    </w:p>
    <w:p w14:paraId="3F413400" w14:textId="77777777" w:rsidR="00481273" w:rsidRDefault="00481273" w:rsidP="00481273">
      <w:pPr>
        <w:pStyle w:val="Head3-noTOC"/>
      </w:pPr>
      <w:bookmarkStart w:id="38" w:name="_Toc60652293"/>
      <w:r>
        <w:t>The PAYGO model</w:t>
      </w:r>
      <w:bookmarkEnd w:id="38"/>
    </w:p>
    <w:p w14:paraId="4374B2AD" w14:textId="77777777" w:rsidR="00481273" w:rsidRDefault="00481273" w:rsidP="00481273">
      <w:pPr>
        <w:pStyle w:val="BodyCopy"/>
      </w:pPr>
      <w:r>
        <w:t>Each year, jurisdictions provide the NTC with a completed road expenditure template which covers all road construction and maintenance costs (light and heavy vehicles). Data from the Australian Bureau of Statistics Government Financial Statistics Series is used to account for local government expenditure on roads. A cost base is then established with the heavy vehicle portion recovered via heavy vehicle charges. Figure 1 provides an overview of the existing PAYGO system.</w:t>
      </w:r>
    </w:p>
    <w:p w14:paraId="6EF7660B" w14:textId="77777777" w:rsidR="00481273" w:rsidRDefault="00481273" w:rsidP="00481273">
      <w:pPr>
        <w:pStyle w:val="Figuretitle"/>
      </w:pPr>
      <w:bookmarkStart w:id="39" w:name="_Toc94009776"/>
      <w:bookmarkStart w:id="40" w:name="_Toc94015174"/>
      <w:bookmarkStart w:id="41" w:name="_Toc114042952"/>
      <w:r>
        <w:t>Overview of the current PAYGO system</w:t>
      </w:r>
      <w:bookmarkEnd w:id="39"/>
      <w:bookmarkEnd w:id="40"/>
      <w:bookmarkEnd w:id="41"/>
    </w:p>
    <w:p w14:paraId="2412B3FA" w14:textId="77777777" w:rsidR="00481273" w:rsidRDefault="00481273" w:rsidP="00481273">
      <w:pPr>
        <w:pStyle w:val="BodyCopy"/>
      </w:pPr>
      <w:r>
        <w:rPr>
          <w:noProof/>
          <w:lang w:eastAsia="en-AU"/>
        </w:rPr>
        <w:drawing>
          <wp:inline distT="0" distB="0" distL="0" distR="0" wp14:anchorId="7DD3E3E8" wp14:editId="44DB3317">
            <wp:extent cx="5867400" cy="266204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638" cy="2693006"/>
                    </a:xfrm>
                    <a:prstGeom prst="rect">
                      <a:avLst/>
                    </a:prstGeom>
                    <a:noFill/>
                  </pic:spPr>
                </pic:pic>
              </a:graphicData>
            </a:graphic>
          </wp:inline>
        </w:drawing>
      </w:r>
    </w:p>
    <w:p w14:paraId="7C8F3A95" w14:textId="77777777" w:rsidR="00481273" w:rsidRDefault="00481273" w:rsidP="00481273">
      <w:pPr>
        <w:pStyle w:val="BodyCopy"/>
      </w:pPr>
      <w:r>
        <w:t>The cost base is calculated by taking a weighted 7-year average of the historic financial costs of providing roads. These costs, which are measured in a number of expenditure categories, are then allocated between vehicle classes on the basis of:</w:t>
      </w:r>
    </w:p>
    <w:p w14:paraId="1DC7723F" w14:textId="77777777" w:rsidR="00481273" w:rsidRDefault="00481273" w:rsidP="00481273">
      <w:pPr>
        <w:pStyle w:val="List-bulletlvl1"/>
      </w:pPr>
      <w:r>
        <w:t>a cost allocation matrix</w:t>
      </w:r>
      <w:r>
        <w:rPr>
          <w:rStyle w:val="FootnoteReference"/>
        </w:rPr>
        <w:footnoteReference w:id="8"/>
      </w:r>
    </w:p>
    <w:p w14:paraId="0776A824" w14:textId="77777777" w:rsidR="00481273" w:rsidRDefault="00481273" w:rsidP="00481273">
      <w:pPr>
        <w:pStyle w:val="List-bulletlvl1"/>
      </w:pPr>
      <w:r>
        <w:t>usage data including vehicle kilometres travelled, ESA-kilometres travelled, AGM-kilometres travelled, and PCU-kilometres travelled</w:t>
      </w:r>
      <w:r>
        <w:rPr>
          <w:rStyle w:val="FootnoteReference"/>
        </w:rPr>
        <w:footnoteReference w:id="9"/>
      </w:r>
      <w:r>
        <w:t>.</w:t>
      </w:r>
    </w:p>
    <w:p w14:paraId="6E1D2AF7" w14:textId="77777777" w:rsidR="00481273" w:rsidRDefault="00481273" w:rsidP="00481273">
      <w:pPr>
        <w:pStyle w:val="BodyCopy"/>
      </w:pPr>
      <w:r>
        <w:t xml:space="preserve">Based on the costs allocated to each vehicle class, the NTC then recommends a set of heavy vehicle charges that recovers the heavy vehicle cost base in total while ensuring each vehicle class, on average, pays at least the attributable costs allocated to the vehicle category.  </w:t>
      </w:r>
    </w:p>
    <w:p w14:paraId="70064747" w14:textId="77777777" w:rsidR="00481273" w:rsidRDefault="00481273" w:rsidP="00481273">
      <w:pPr>
        <w:pStyle w:val="BodyCopy"/>
      </w:pPr>
      <w:r>
        <w:t>Figure 2 illustrates how the NTC processes this information and makes recommendations to ITMM. The NTC’s advice on heavy vehicle charges is informative and decisions on setting heavy vehicle charges are made by ITMM.</w:t>
      </w:r>
    </w:p>
    <w:p w14:paraId="3BE9713E" w14:textId="77777777" w:rsidR="00481273" w:rsidRDefault="00481273" w:rsidP="00481273">
      <w:pPr>
        <w:pStyle w:val="Figuretitle"/>
      </w:pPr>
      <w:bookmarkStart w:id="42" w:name="_Toc94009777"/>
      <w:bookmarkStart w:id="43" w:name="_Toc94015175"/>
      <w:bookmarkStart w:id="44" w:name="_Toc114042953"/>
      <w:r>
        <w:t>Overview of existing PAYGO regulatory process</w:t>
      </w:r>
      <w:bookmarkEnd w:id="42"/>
      <w:bookmarkEnd w:id="43"/>
      <w:bookmarkEnd w:id="44"/>
    </w:p>
    <w:p w14:paraId="05AA3A82" w14:textId="77777777" w:rsidR="00481273" w:rsidRDefault="00481273" w:rsidP="00481273">
      <w:pPr>
        <w:pStyle w:val="BodyCopy"/>
      </w:pPr>
      <w:r>
        <w:rPr>
          <w:noProof/>
          <w:lang w:eastAsia="en-AU"/>
        </w:rPr>
        <w:drawing>
          <wp:inline distT="0" distB="0" distL="0" distR="0" wp14:anchorId="2843E448" wp14:editId="4F995959">
            <wp:extent cx="5561507" cy="2628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02" cy="2642606"/>
                    </a:xfrm>
                    <a:prstGeom prst="rect">
                      <a:avLst/>
                    </a:prstGeom>
                    <a:noFill/>
                  </pic:spPr>
                </pic:pic>
              </a:graphicData>
            </a:graphic>
          </wp:inline>
        </w:drawing>
      </w:r>
    </w:p>
    <w:p w14:paraId="6E933EAD" w14:textId="77777777" w:rsidR="00481273" w:rsidRDefault="00481273" w:rsidP="00481273">
      <w:pPr>
        <w:pStyle w:val="BodyCopy"/>
      </w:pPr>
      <w:r>
        <w:t xml:space="preserve">Determinations, where all aspects of the model and the resulting heavy vehicle charges are reviewed (considering the pricing principles and other directions from government), are carried out infrequently. In the years between determinations, an annual adjustment formula is used to ensure that heavy vehicle charges continue to recover the heavy vehicle cost base. This formula is included in the Model Law and is intended to automatically adjust heavy vehicle charges without the need for ITMM to approve the change.  </w:t>
      </w:r>
    </w:p>
    <w:p w14:paraId="21D86E8E" w14:textId="77777777" w:rsidR="00481273" w:rsidRDefault="00481273" w:rsidP="00481273">
      <w:pPr>
        <w:pStyle w:val="BodyCopy"/>
      </w:pPr>
      <w:r>
        <w:t xml:space="preserve">In simple terms, the annual adjustment formula works out a single percentage increase or decrease that is applied to all registration charges and to the RUC rate, which considers the gap between the most recent cost base and the previous year’s cost base, as well as growth in the vehicle fleet and fuel consumption by heavy vehicles. </w:t>
      </w:r>
    </w:p>
    <w:p w14:paraId="0716133C" w14:textId="77777777" w:rsidR="00481273" w:rsidRDefault="00481273" w:rsidP="00481273">
      <w:pPr>
        <w:pStyle w:val="Head3-noTOC"/>
      </w:pPr>
      <w:bookmarkStart w:id="45" w:name="_Toc60652294"/>
      <w:r w:rsidRPr="000C38D6">
        <w:t>Legislation</w:t>
      </w:r>
      <w:bookmarkEnd w:id="45"/>
    </w:p>
    <w:p w14:paraId="74EC8982" w14:textId="77777777" w:rsidR="00481273" w:rsidRDefault="00481273" w:rsidP="00481273">
      <w:pPr>
        <w:pStyle w:val="BodyCopy"/>
      </w:pPr>
      <w:r>
        <w:t xml:space="preserve">The RUC is implemented under the </w:t>
      </w:r>
      <w:r w:rsidRPr="003766BB">
        <w:rPr>
          <w:i/>
        </w:rPr>
        <w:t>Fuel Tax Act 2006</w:t>
      </w:r>
      <w:r>
        <w:rPr>
          <w:i/>
        </w:rPr>
        <w:t xml:space="preserve"> </w:t>
      </w:r>
      <w:r w:rsidRPr="002B4CFC">
        <w:rPr>
          <w:iCs/>
        </w:rPr>
        <w:t>(Cth)</w:t>
      </w:r>
      <w:r w:rsidRPr="009A3738">
        <w:rPr>
          <w:iCs/>
        </w:rPr>
        <w:t>.</w:t>
      </w:r>
      <w:r>
        <w:t xml:space="preserve"> An increase in RUC is implemented as a reduction to the fuel tax credit. </w:t>
      </w:r>
    </w:p>
    <w:p w14:paraId="31644094" w14:textId="77777777" w:rsidR="00481273" w:rsidRDefault="00481273" w:rsidP="00481273">
      <w:pPr>
        <w:pStyle w:val="BodyCopy"/>
      </w:pPr>
      <w:r>
        <w:t xml:space="preserve">The </w:t>
      </w:r>
      <w:r w:rsidRPr="003766BB">
        <w:rPr>
          <w:i/>
        </w:rPr>
        <w:t>Fuel Tax Act 2006</w:t>
      </w:r>
      <w:r>
        <w:t xml:space="preserve"> provides for the Transport Minister (the Minister) to determine the amount of RUC paid by heavy vehicle operators. The Act requires that the minister conducts a public consultation process before increasing the rate of the RUC. </w:t>
      </w:r>
    </w:p>
    <w:p w14:paraId="6E0E4D72" w14:textId="77777777" w:rsidR="00481273" w:rsidRDefault="00481273" w:rsidP="00481273">
      <w:pPr>
        <w:pStyle w:val="BodyCopy"/>
      </w:pPr>
      <w:r>
        <w:t xml:space="preserve">The consultation period must be at least 60 days and the minister must make available the proposed increased rate of RUC, and any information that was relied on in determining the proposed increased rate. </w:t>
      </w:r>
    </w:p>
    <w:p w14:paraId="35BE0CE5" w14:textId="77777777" w:rsidR="00481273" w:rsidRDefault="00481273" w:rsidP="00481273">
      <w:pPr>
        <w:pStyle w:val="BodyCopy"/>
      </w:pPr>
      <w:r>
        <w:t xml:space="preserve">The </w:t>
      </w:r>
      <w:r w:rsidRPr="003766BB">
        <w:rPr>
          <w:i/>
        </w:rPr>
        <w:t>Fuel Tax Act 2006</w:t>
      </w:r>
      <w:r>
        <w:t xml:space="preserve"> then requires the minister to consider any comments received, within the period specified by the minister, from the public in relation to the proposed increased rate.</w:t>
      </w:r>
    </w:p>
    <w:p w14:paraId="5701780B" w14:textId="77777777" w:rsidR="00481273" w:rsidRDefault="00481273" w:rsidP="00481273">
      <w:pPr>
        <w:pStyle w:val="BodyCopy"/>
      </w:pPr>
      <w:r>
        <w:t xml:space="preserve">Registration charges are implemented through the Model Law. This contains the schedules of heavy vehicle registration charges agreed by ITMM. The Model Law also provides a formula to calculate an annual adjustment for charges in the years between determinations, should ministers not make a decision on charges. </w:t>
      </w:r>
      <w:r w:rsidRPr="00997F4A">
        <w:t>The charges have legislative force once</w:t>
      </w:r>
      <w:r w:rsidRPr="005E3020">
        <w:t xml:space="preserve"> the Model Law is adopted by states and territories</w:t>
      </w:r>
      <w:r>
        <w:t xml:space="preserve">.  </w:t>
      </w:r>
    </w:p>
    <w:p w14:paraId="18A8BE6B" w14:textId="77777777" w:rsidR="00481273" w:rsidRPr="00BB1871" w:rsidRDefault="00481273" w:rsidP="00481273">
      <w:pPr>
        <w:pStyle w:val="Heading1"/>
      </w:pPr>
      <w:bookmarkStart w:id="46" w:name="_Toc114042867"/>
      <w:bookmarkStart w:id="47" w:name="_Toc121234742"/>
      <w:r>
        <w:t>The Heavy Vehicle Cost Base</w:t>
      </w:r>
      <w:bookmarkEnd w:id="46"/>
      <w:bookmarkEnd w:id="47"/>
    </w:p>
    <w:tbl>
      <w:tblPr>
        <w:tblStyle w:val="NTC-keypoints"/>
        <w:tblW w:w="0" w:type="auto"/>
        <w:tblLook w:val="04A0" w:firstRow="1" w:lastRow="0" w:firstColumn="1" w:lastColumn="0" w:noHBand="0" w:noVBand="1"/>
      </w:tblPr>
      <w:tblGrid>
        <w:gridCol w:w="9004"/>
      </w:tblGrid>
      <w:tr w:rsidR="00481273" w14:paraId="671BAF8C" w14:textId="77777777">
        <w:tc>
          <w:tcPr>
            <w:tcW w:w="9004" w:type="dxa"/>
          </w:tcPr>
          <w:p w14:paraId="1C9DBAB5" w14:textId="77777777" w:rsidR="00481273" w:rsidRPr="00BB1871" w:rsidRDefault="00481273">
            <w:pPr>
              <w:pStyle w:val="Boxheading"/>
            </w:pPr>
            <w:r w:rsidRPr="00BB1871">
              <w:t>Key points</w:t>
            </w:r>
          </w:p>
          <w:p w14:paraId="6A106F31" w14:textId="31DA17ED" w:rsidR="00481273" w:rsidRDefault="000E710B" w:rsidP="004F3C74">
            <w:pPr>
              <w:pStyle w:val="BodyCopy"/>
              <w:numPr>
                <w:ilvl w:val="0"/>
                <w:numId w:val="16"/>
              </w:numPr>
            </w:pPr>
            <w:r>
              <w:t>After</w:t>
            </w:r>
            <w:r w:rsidR="00481273">
              <w:t xml:space="preserve"> implement</w:t>
            </w:r>
            <w:r>
              <w:t>ing</w:t>
            </w:r>
            <w:r w:rsidR="00481273">
              <w:t xml:space="preserve"> a 2.75 per cent increase in heavy vehicle charges for 2022-23, there </w:t>
            </w:r>
            <w:r>
              <w:t xml:space="preserve">is an </w:t>
            </w:r>
            <w:r w:rsidR="00481273">
              <w:t xml:space="preserve">estimated </w:t>
            </w:r>
            <w:r w:rsidR="00481273" w:rsidRPr="00921EC4">
              <w:t>gap of $</w:t>
            </w:r>
            <w:r w:rsidRPr="00921EC4">
              <w:t>575.8</w:t>
            </w:r>
            <w:r w:rsidR="00481273" w:rsidRPr="00921EC4">
              <w:t>m</w:t>
            </w:r>
            <w:r w:rsidR="00481273">
              <w:t xml:space="preserve"> between the identified heavy vehicle cost base for 2020-21 and the estimated revenue in 2022-23.  </w:t>
            </w:r>
          </w:p>
          <w:p w14:paraId="1386A8E8" w14:textId="2302D481" w:rsidR="00481273" w:rsidRDefault="00481273" w:rsidP="004F3C74">
            <w:pPr>
              <w:pStyle w:val="BodyCopy"/>
              <w:numPr>
                <w:ilvl w:val="0"/>
                <w:numId w:val="16"/>
              </w:numPr>
            </w:pPr>
            <w:r>
              <w:t xml:space="preserve">This gap has increased significantly and now stands at </w:t>
            </w:r>
            <w:r w:rsidRPr="00921EC4">
              <w:t>$1,448.1m</w:t>
            </w:r>
            <w:r>
              <w:t xml:space="preserve"> or 27.7 per cent of the heavy vehicle cost base</w:t>
            </w:r>
            <w:r w:rsidR="000E710B">
              <w:t xml:space="preserve"> in 2023-24</w:t>
            </w:r>
            <w:r>
              <w:t>. This is because the heavy vehicle cost base for 2021-22 has increased by 20.7 per cent to $5,193.4m.</w:t>
            </w:r>
            <w:r w:rsidR="000E710B">
              <w:t xml:space="preserve"> W</w:t>
            </w:r>
            <w:r>
              <w:t>e expect further increases</w:t>
            </w:r>
            <w:r w:rsidR="000E710B">
              <w:t xml:space="preserve"> in the heavy vehicle cost base</w:t>
            </w:r>
            <w:r>
              <w:t xml:space="preserve"> </w:t>
            </w:r>
            <w:r w:rsidR="000E710B">
              <w:t xml:space="preserve">of 13 per cent </w:t>
            </w:r>
            <w:r>
              <w:t>for 2022-23 and</w:t>
            </w:r>
            <w:r w:rsidR="000E710B">
              <w:t xml:space="preserve"> 4.9 per cent</w:t>
            </w:r>
            <w:r>
              <w:t xml:space="preserve"> 2023-24.   </w:t>
            </w:r>
          </w:p>
          <w:p w14:paraId="300A9AA8" w14:textId="77777777" w:rsidR="00481273" w:rsidRDefault="00481273" w:rsidP="004F3C74">
            <w:pPr>
              <w:pStyle w:val="BodyCopy"/>
              <w:numPr>
                <w:ilvl w:val="0"/>
                <w:numId w:val="16"/>
              </w:numPr>
            </w:pPr>
            <w:r>
              <w:t>The gap between the heavy vehicle cost base and charges revenue needs to be covered by other government revenue sources. It is effectively funded by taxpayers and represents a subsidy to the heavy vehicle industry</w:t>
            </w:r>
            <w:r w:rsidRPr="00362A29">
              <w:t>.</w:t>
            </w:r>
            <w:r>
              <w:t xml:space="preserve"> </w:t>
            </w:r>
          </w:p>
          <w:p w14:paraId="21DBF8B9" w14:textId="77777777" w:rsidR="00481273" w:rsidRDefault="00481273" w:rsidP="004F3C74">
            <w:pPr>
              <w:pStyle w:val="BodyCopy"/>
              <w:numPr>
                <w:ilvl w:val="0"/>
                <w:numId w:val="16"/>
              </w:numPr>
            </w:pPr>
            <w:r>
              <w:t xml:space="preserve">Without substantial increases in heavy vehicle charges, this gap is likely to increase in the future.  </w:t>
            </w:r>
          </w:p>
          <w:p w14:paraId="0EE194F2" w14:textId="77777777" w:rsidR="00481273" w:rsidRDefault="00481273" w:rsidP="004F3C74">
            <w:pPr>
              <w:pStyle w:val="BodyCopy"/>
              <w:numPr>
                <w:ilvl w:val="0"/>
                <w:numId w:val="16"/>
              </w:numPr>
            </w:pPr>
            <w:r>
              <w:t xml:space="preserve">While it is possible that government road expenditure may stabilise at some time in the future, decisions on heavy vehicle charges for 2023-24 and beyond will need to be made against a significant and increasing revenue gap. </w:t>
            </w:r>
          </w:p>
          <w:p w14:paraId="7F1BC32E" w14:textId="77777777" w:rsidR="00481273" w:rsidRPr="00210749" w:rsidRDefault="00481273" w:rsidP="004F3C74">
            <w:pPr>
              <w:pStyle w:val="BodyCopy"/>
              <w:numPr>
                <w:ilvl w:val="0"/>
                <w:numId w:val="16"/>
              </w:numPr>
            </w:pPr>
            <w:r>
              <w:t xml:space="preserve">Given PAYGO’s role as a cost recovery mechanism, and the requirement to achieve cost recovery in the pricing principles, decisions arguably need to be consistent with a longer-term goal of eliminating, or at least reducing the current under-recovery of the heavy vehicle cost base.  </w:t>
            </w:r>
          </w:p>
        </w:tc>
      </w:tr>
    </w:tbl>
    <w:p w14:paraId="2C2A872B" w14:textId="77777777" w:rsidR="00481273" w:rsidRDefault="00481273" w:rsidP="00481273">
      <w:pPr>
        <w:pStyle w:val="Heading2"/>
      </w:pPr>
      <w:bookmarkStart w:id="48" w:name="_Toc114042868"/>
      <w:bookmarkStart w:id="49" w:name="_Toc121234743"/>
      <w:r>
        <w:t>Limits on available information</w:t>
      </w:r>
      <w:bookmarkEnd w:id="48"/>
      <w:bookmarkEnd w:id="49"/>
    </w:p>
    <w:p w14:paraId="76905961" w14:textId="77777777" w:rsidR="00481273" w:rsidRDefault="00481273" w:rsidP="00481273">
      <w:pPr>
        <w:pStyle w:val="BodyCopy"/>
      </w:pPr>
      <w:r>
        <w:t>The PAYGO system involves a two-year gap between the time when government road expenditure is measured and when the charges based on that expenditure are implemented.</w:t>
      </w:r>
    </w:p>
    <w:p w14:paraId="1AC1D97F" w14:textId="77777777" w:rsidR="00481273" w:rsidRDefault="00481273" w:rsidP="00481273">
      <w:pPr>
        <w:pStyle w:val="BodyCopy"/>
      </w:pPr>
      <w:r>
        <w:t xml:space="preserve">This is because expenditure is measured on a historic basis and some time is required to collect the data and prepare advice for ministers. Once ministers have decided, time is required to implement the decision. Therefore, in practice, decisions are made in the current year, based on the previous year’s data, to set heavy vehicle charges to apply in future years.  </w:t>
      </w:r>
    </w:p>
    <w:p w14:paraId="367033AF" w14:textId="2FD64A17" w:rsidR="00481273" w:rsidRDefault="00481273" w:rsidP="00481273">
      <w:pPr>
        <w:pStyle w:val="BodyCopy"/>
      </w:pPr>
      <w:r>
        <w:t xml:space="preserve">For example, the heavy vehicle charges that apply in 2022-23 were informed by a heavy vehicle cost base calculated based on road expenditure for the seven years ending in 2020-21. This is illustrated by </w:t>
      </w:r>
      <w:r>
        <w:fldChar w:fldCharType="begin"/>
      </w:r>
      <w:r>
        <w:instrText xml:space="preserve"> REF _Ref111555163 \r \h </w:instrText>
      </w:r>
      <w:r>
        <w:fldChar w:fldCharType="separate"/>
      </w:r>
      <w:r w:rsidR="0043504D">
        <w:t>Figure 3</w:t>
      </w:r>
      <w:r>
        <w:fldChar w:fldCharType="end"/>
      </w:r>
      <w:r>
        <w:t xml:space="preserve"> below.   </w:t>
      </w:r>
    </w:p>
    <w:p w14:paraId="658F29CC" w14:textId="77777777" w:rsidR="00481273" w:rsidRDefault="00481273" w:rsidP="00481273">
      <w:pPr>
        <w:pStyle w:val="Figuretitle"/>
      </w:pPr>
      <w:bookmarkStart w:id="50" w:name="_Ref111555163"/>
      <w:bookmarkStart w:id="51" w:name="_Toc114042954"/>
      <w:r>
        <w:t>Illustration of two-year lag</w:t>
      </w:r>
      <w:bookmarkEnd w:id="50"/>
      <w:bookmarkEnd w:id="51"/>
    </w:p>
    <w:p w14:paraId="4043772A" w14:textId="77777777" w:rsidR="00481273" w:rsidRDefault="00481273" w:rsidP="00481273">
      <w:pPr>
        <w:pStyle w:val="BodyCopy"/>
      </w:pPr>
      <w:r>
        <w:rPr>
          <w:noProof/>
          <w:lang w:eastAsia="en-AU"/>
        </w:rPr>
        <w:drawing>
          <wp:inline distT="0" distB="0" distL="0" distR="0" wp14:anchorId="49059834" wp14:editId="76ACD9CE">
            <wp:extent cx="5782323" cy="267462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691" cy="2676640"/>
                    </a:xfrm>
                    <a:prstGeom prst="rect">
                      <a:avLst/>
                    </a:prstGeom>
                    <a:noFill/>
                  </pic:spPr>
                </pic:pic>
              </a:graphicData>
            </a:graphic>
          </wp:inline>
        </w:drawing>
      </w:r>
    </w:p>
    <w:p w14:paraId="773F49FD" w14:textId="661B825B" w:rsidR="00481273" w:rsidRDefault="00481273" w:rsidP="00481273">
      <w:pPr>
        <w:pStyle w:val="BodyCopy"/>
      </w:pPr>
      <w:r>
        <w:t xml:space="preserve">Ministers will need to </w:t>
      </w:r>
      <w:r w:rsidR="00324A0D">
        <w:t>decide</w:t>
      </w:r>
      <w:r>
        <w:t xml:space="preserve"> on heavy vehicle charges for 2023-24 based on actual expenditure data for the financial years up to 2021-22. This information is usually provided to the NTC in early September. </w:t>
      </w:r>
    </w:p>
    <w:p w14:paraId="520676E7" w14:textId="77777777" w:rsidR="00481273" w:rsidRDefault="00481273" w:rsidP="00481273">
      <w:pPr>
        <w:pStyle w:val="BodyCopy"/>
      </w:pPr>
      <w:r>
        <w:t>To inform this consultation process, the NTC has prepared forecasts of road expenditure data for 2022-23 and 2023-24. Actual expenditure data for 2021-22 has recently become available and has been incorporated into modelling for this report.</w:t>
      </w:r>
    </w:p>
    <w:p w14:paraId="412B1825" w14:textId="77777777" w:rsidR="00481273" w:rsidRDefault="00481273" w:rsidP="00481273">
      <w:pPr>
        <w:pStyle w:val="Heading2"/>
      </w:pPr>
      <w:bookmarkStart w:id="52" w:name="_Toc114042869"/>
      <w:bookmarkStart w:id="53" w:name="_Toc121234744"/>
      <w:r>
        <w:t>Road Expenditure Trends</w:t>
      </w:r>
      <w:bookmarkEnd w:id="52"/>
      <w:bookmarkEnd w:id="53"/>
    </w:p>
    <w:p w14:paraId="2D4A0E25" w14:textId="61F975BA" w:rsidR="00481273" w:rsidRDefault="00481273" w:rsidP="00481273">
      <w:pPr>
        <w:pStyle w:val="BodyCopy"/>
      </w:pPr>
      <w:r>
        <w:fldChar w:fldCharType="begin"/>
      </w:r>
      <w:r>
        <w:instrText xml:space="preserve"> REF _Ref110346553 \r \h </w:instrText>
      </w:r>
      <w:r>
        <w:fldChar w:fldCharType="separate"/>
      </w:r>
      <w:r w:rsidR="0043504D">
        <w:t>Figure 4</w:t>
      </w:r>
      <w:r>
        <w:fldChar w:fldCharType="end"/>
      </w:r>
      <w:r>
        <w:t xml:space="preserve"> and </w:t>
      </w:r>
      <w:r>
        <w:fldChar w:fldCharType="begin"/>
      </w:r>
      <w:r>
        <w:instrText xml:space="preserve"> REF _Ref110346575 \r \h </w:instrText>
      </w:r>
      <w:r>
        <w:fldChar w:fldCharType="separate"/>
      </w:r>
      <w:r w:rsidR="0043504D">
        <w:t>Figure 5</w:t>
      </w:r>
      <w:r>
        <w:fldChar w:fldCharType="end"/>
      </w:r>
      <w:r>
        <w:t xml:space="preserve"> show recent road expenditure by state, territory, and local governments. </w:t>
      </w:r>
    </w:p>
    <w:p w14:paraId="0D0D7EF5" w14:textId="77777777" w:rsidR="00481273" w:rsidRDefault="00481273" w:rsidP="00481273">
      <w:pPr>
        <w:pStyle w:val="Figuretitle"/>
      </w:pPr>
      <w:bookmarkStart w:id="54" w:name="_Ref110346553"/>
      <w:bookmarkStart w:id="55" w:name="_Toc114042955"/>
      <w:r>
        <w:t>State and territory actual road expenditure</w:t>
      </w:r>
      <w:bookmarkEnd w:id="54"/>
      <w:bookmarkEnd w:id="55"/>
    </w:p>
    <w:p w14:paraId="59CC247D" w14:textId="7C6E76AB" w:rsidR="00481273" w:rsidRDefault="003925A3" w:rsidP="00481273">
      <w:pPr>
        <w:pStyle w:val="BodyCopy"/>
      </w:pPr>
      <w:r>
        <w:rPr>
          <w:noProof/>
          <w:lang w:eastAsia="en-AU"/>
        </w:rPr>
        <w:drawing>
          <wp:inline distT="0" distB="0" distL="0" distR="0" wp14:anchorId="6BC46E8C" wp14:editId="34CB8179">
            <wp:extent cx="5742940" cy="267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2670175"/>
                    </a:xfrm>
                    <a:prstGeom prst="rect">
                      <a:avLst/>
                    </a:prstGeom>
                    <a:noFill/>
                  </pic:spPr>
                </pic:pic>
              </a:graphicData>
            </a:graphic>
          </wp:inline>
        </w:drawing>
      </w:r>
    </w:p>
    <w:p w14:paraId="07A0C50D" w14:textId="77777777" w:rsidR="00481273" w:rsidRDefault="00481273" w:rsidP="00481273">
      <w:pPr>
        <w:pStyle w:val="BodyCopy"/>
      </w:pPr>
      <w:r>
        <w:t>State and territory road expenditure has increased by an average of 5.9</w:t>
      </w:r>
      <w:r w:rsidRPr="009744D4">
        <w:t xml:space="preserve"> per cent over the last 10 years whereas local government road expenditure has increased by an average of 3.9 per cent over the last 10 years.</w:t>
      </w:r>
      <w:r>
        <w:t xml:space="preserve"> </w:t>
      </w:r>
    </w:p>
    <w:p w14:paraId="3DB43DF1" w14:textId="77777777" w:rsidR="00481273" w:rsidRDefault="00481273" w:rsidP="00481273">
      <w:pPr>
        <w:pStyle w:val="Figuretitle"/>
      </w:pPr>
      <w:bookmarkStart w:id="56" w:name="_Ref110346575"/>
      <w:bookmarkStart w:id="57" w:name="_Toc114042956"/>
      <w:r>
        <w:t>Local government road expenditure</w:t>
      </w:r>
      <w:bookmarkEnd w:id="56"/>
      <w:bookmarkEnd w:id="57"/>
    </w:p>
    <w:p w14:paraId="46B9258F" w14:textId="018B03D4" w:rsidR="00481273" w:rsidRDefault="003925A3" w:rsidP="00481273">
      <w:pPr>
        <w:pStyle w:val="BodyCopy"/>
      </w:pPr>
      <w:r>
        <w:rPr>
          <w:noProof/>
          <w:lang w:eastAsia="en-AU"/>
        </w:rPr>
        <w:drawing>
          <wp:inline distT="0" distB="0" distL="0" distR="0" wp14:anchorId="136F0D60" wp14:editId="4D1E921D">
            <wp:extent cx="5627370" cy="2786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2786380"/>
                    </a:xfrm>
                    <a:prstGeom prst="rect">
                      <a:avLst/>
                    </a:prstGeom>
                    <a:noFill/>
                  </pic:spPr>
                </pic:pic>
              </a:graphicData>
            </a:graphic>
          </wp:inline>
        </w:drawing>
      </w:r>
    </w:p>
    <w:p w14:paraId="47E2C514" w14:textId="77777777" w:rsidR="00481273" w:rsidRDefault="00481273" w:rsidP="00481273">
      <w:pPr>
        <w:pStyle w:val="BodyCopy"/>
      </w:pPr>
      <w:r>
        <w:t xml:space="preserve">State and territory road expenditure has increased significantly in recent years, partially driven by a number of large projects and stimulus expenditure designed to support economic growth in the face of challenging conditions. </w:t>
      </w:r>
    </w:p>
    <w:p w14:paraId="61AF59D8" w14:textId="77777777" w:rsidR="00481273" w:rsidRDefault="00481273" w:rsidP="00481273">
      <w:pPr>
        <w:pStyle w:val="Heading2"/>
      </w:pPr>
      <w:bookmarkStart w:id="58" w:name="_Toc114042870"/>
      <w:bookmarkStart w:id="59" w:name="_Toc121234745"/>
      <w:r>
        <w:t>Expenditure and Revenue over Time</w:t>
      </w:r>
      <w:bookmarkEnd w:id="58"/>
      <w:bookmarkEnd w:id="59"/>
    </w:p>
    <w:p w14:paraId="1F169B8C" w14:textId="6A0B63C0" w:rsidR="00481273" w:rsidRDefault="00481273" w:rsidP="00481273">
      <w:pPr>
        <w:pStyle w:val="BodyCopy"/>
      </w:pPr>
      <w:r>
        <w:fldChar w:fldCharType="begin"/>
      </w:r>
      <w:r>
        <w:instrText xml:space="preserve"> REF _Ref110254180 \r \h </w:instrText>
      </w:r>
      <w:r>
        <w:fldChar w:fldCharType="separate"/>
      </w:r>
      <w:r w:rsidR="0043504D">
        <w:t>Figure 6</w:t>
      </w:r>
      <w:r>
        <w:fldChar w:fldCharType="end"/>
      </w:r>
      <w:r>
        <w:t xml:space="preserve"> shows the heavy vehicle cost base and heavy vehicle charges revenue from 2012</w:t>
      </w:r>
      <w:r>
        <w:noBreakHyphen/>
        <w:t xml:space="preserve">13 to 2022-23. In line with increasing government expenditure on roads, the heavy vehicle cost base has increased significantly from 2017-18 onwards. </w:t>
      </w:r>
    </w:p>
    <w:p w14:paraId="415A08CD" w14:textId="77777777" w:rsidR="00481273" w:rsidRDefault="00481273" w:rsidP="00481273">
      <w:pPr>
        <w:pStyle w:val="BodyCopy"/>
      </w:pPr>
      <w:r>
        <w:t xml:space="preserve">A contributing factor is that particularly large expenditure increases have occurred in expenditure categories where a higher percentage of costs is allocated to heavy vehicles.  </w:t>
      </w:r>
    </w:p>
    <w:p w14:paraId="36106A21" w14:textId="77777777" w:rsidR="00481273" w:rsidRDefault="00481273" w:rsidP="00481273">
      <w:pPr>
        <w:pStyle w:val="BodyCopy"/>
      </w:pPr>
      <w:r>
        <w:t>Heavy vehicle charges revenue has been more stable, reflecting ITMM’s decisions to:</w:t>
      </w:r>
    </w:p>
    <w:p w14:paraId="2EC43CAC" w14:textId="77777777" w:rsidR="00481273" w:rsidRDefault="00481273" w:rsidP="00481273">
      <w:pPr>
        <w:pStyle w:val="List-bulletlvl1"/>
      </w:pPr>
      <w:r>
        <w:t>freeze heavy vehicle charges revenue for two years in 2016-17 and 2017-18</w:t>
      </w:r>
    </w:p>
    <w:p w14:paraId="39584D4E" w14:textId="3B9F9D94" w:rsidR="00481273" w:rsidRDefault="00481273" w:rsidP="00481273">
      <w:pPr>
        <w:pStyle w:val="List-bulletlvl1"/>
      </w:pPr>
      <w:r>
        <w:t>freeze heavy vehicle charges for three years from 2018-19</w:t>
      </w:r>
      <w:r w:rsidR="000E710B">
        <w:t xml:space="preserve"> to</w:t>
      </w:r>
      <w:r>
        <w:t xml:space="preserve"> 2020-21, and</w:t>
      </w:r>
    </w:p>
    <w:p w14:paraId="0B9A735E" w14:textId="77777777" w:rsidR="00481273" w:rsidRDefault="00481273" w:rsidP="00481273">
      <w:pPr>
        <w:pStyle w:val="List-bulletlvl1"/>
      </w:pPr>
      <w:r>
        <w:t xml:space="preserve">increase heavy vehicle charges by 2.5 per cent in 2021-22 </w:t>
      </w:r>
    </w:p>
    <w:p w14:paraId="3F48A24F" w14:textId="77777777" w:rsidR="00481273" w:rsidRDefault="00481273" w:rsidP="00481273">
      <w:pPr>
        <w:pStyle w:val="List-bulletlvl1"/>
      </w:pPr>
      <w:r>
        <w:t>identify a preference</w:t>
      </w:r>
      <w:r w:rsidRPr="00D2306D">
        <w:t xml:space="preserve"> to increase heavy vehicle charges by 2.75 per cent for 2022-23</w:t>
      </w:r>
    </w:p>
    <w:p w14:paraId="60877D46" w14:textId="69E369B1" w:rsidR="00481273" w:rsidRDefault="00481273" w:rsidP="00481273">
      <w:pPr>
        <w:pStyle w:val="BodyText1"/>
      </w:pPr>
      <w:r>
        <w:t xml:space="preserve">The increase of 2.75 per cent for 2022-23 was confirmed by ITMM in April 2022, following a public consultation process. However, the Commonwealth government was in caretaker mode at that time. </w:t>
      </w:r>
      <w:r w:rsidRPr="00E323C9">
        <w:t>The RUC rate increased by 2.75 per cent to 27.2 cents/litre from 13</w:t>
      </w:r>
      <w:r w:rsidR="000E710B">
        <w:t> </w:t>
      </w:r>
      <w:r w:rsidRPr="00E323C9">
        <w:t>September 2022.</w:t>
      </w:r>
    </w:p>
    <w:p w14:paraId="48DDD8B2" w14:textId="77777777" w:rsidR="00481273" w:rsidRPr="00824561" w:rsidRDefault="00481273" w:rsidP="00481273">
      <w:pPr>
        <w:pStyle w:val="Figuretitle"/>
      </w:pPr>
      <w:bookmarkStart w:id="60" w:name="_Ref110254180"/>
      <w:bookmarkStart w:id="61" w:name="_Toc114042957"/>
      <w:r>
        <w:t>Heavy Vehicle Cost Base and Charges Revenue 2012-13 to 2022-23</w:t>
      </w:r>
      <w:bookmarkEnd w:id="60"/>
      <w:bookmarkEnd w:id="61"/>
    </w:p>
    <w:p w14:paraId="01CEFE95" w14:textId="77777777" w:rsidR="00481273" w:rsidRDefault="00481273" w:rsidP="00481273">
      <w:pPr>
        <w:pStyle w:val="BodyCopy"/>
      </w:pPr>
      <w:r>
        <w:rPr>
          <w:noProof/>
          <w:lang w:eastAsia="en-AU"/>
        </w:rPr>
        <w:drawing>
          <wp:inline distT="0" distB="0" distL="0" distR="0" wp14:anchorId="2B4FC0FB" wp14:editId="2DAB17DB">
            <wp:extent cx="5707380" cy="3730431"/>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562" cy="3753427"/>
                    </a:xfrm>
                    <a:prstGeom prst="rect">
                      <a:avLst/>
                    </a:prstGeom>
                    <a:noFill/>
                  </pic:spPr>
                </pic:pic>
              </a:graphicData>
            </a:graphic>
          </wp:inline>
        </w:drawing>
      </w:r>
    </w:p>
    <w:p w14:paraId="68C5070D" w14:textId="4C69551A" w:rsidR="00481273" w:rsidRDefault="00481273" w:rsidP="00324A0D">
      <w:pPr>
        <w:pStyle w:val="BodyCopy"/>
      </w:pPr>
      <w:bookmarkStart w:id="62" w:name="_Ref110255364"/>
      <w:r>
        <w:t xml:space="preserve">Heavy vehicle charges revenue was higher than the heavy vehicle cost base for several years. Recently, this has reversed and the heavy vehicle cost base for 2020-21 exceeds the estimated heavy vehicle charges revenue for 2022-23 (please note the two-year lag between measuring the heavy vehicle cost base and implementing charges intended to reflect the heavy vehicle cost base).  </w:t>
      </w:r>
    </w:p>
    <w:p w14:paraId="69AC6366" w14:textId="77777777" w:rsidR="00481273" w:rsidRPr="003814D2" w:rsidRDefault="00481273" w:rsidP="00481273">
      <w:pPr>
        <w:pStyle w:val="Heading2"/>
      </w:pPr>
      <w:bookmarkStart w:id="63" w:name="_Toc114042871"/>
      <w:bookmarkStart w:id="64" w:name="_Toc121234746"/>
      <w:r>
        <w:t>D</w:t>
      </w:r>
      <w:r w:rsidRPr="003814D2">
        <w:t xml:space="preserve">eveloping </w:t>
      </w:r>
      <w:r>
        <w:t>forecast e</w:t>
      </w:r>
      <w:r w:rsidRPr="003814D2">
        <w:t>xpenditure</w:t>
      </w:r>
      <w:r>
        <w:t>, usage and vehicle fleet data</w:t>
      </w:r>
      <w:r w:rsidRPr="003814D2">
        <w:t xml:space="preserve"> forecast for 2021-22 onwards</w:t>
      </w:r>
      <w:bookmarkEnd w:id="62"/>
      <w:bookmarkEnd w:id="63"/>
      <w:bookmarkEnd w:id="64"/>
    </w:p>
    <w:p w14:paraId="156E2C8E" w14:textId="77777777" w:rsidR="00481273" w:rsidRDefault="00481273" w:rsidP="00481273">
      <w:pPr>
        <w:pStyle w:val="Head3-noTOC"/>
        <w:rPr>
          <w:b w:val="0"/>
        </w:rPr>
      </w:pPr>
      <w:r>
        <w:t>Approach</w:t>
      </w:r>
    </w:p>
    <w:p w14:paraId="3EAFF7A9" w14:textId="77777777" w:rsidR="00481273" w:rsidRDefault="00481273" w:rsidP="00481273">
      <w:pPr>
        <w:pStyle w:val="BodyCopy"/>
      </w:pPr>
      <w:r>
        <w:t xml:space="preserve">Decisions on future heavy vehicle charges are usually based on a combination of known historic information and forecasts. Actual road expenditure data for 2021-22 is now available. However, it will be necessary to form a view of possible future expenditure levels, usage data and heavy vehicle fleets in 2022-23 and 2023-24, particularly if ministers are to consider the option of a multi-year fixed price path. </w:t>
      </w:r>
    </w:p>
    <w:p w14:paraId="7FBCF172" w14:textId="77777777" w:rsidR="00481273" w:rsidRDefault="00481273" w:rsidP="00481273">
      <w:pPr>
        <w:pStyle w:val="BodyCopy"/>
      </w:pPr>
      <w:r>
        <w:t xml:space="preserve">Similarly, stakeholders will need to form their views on the advantages and disadvantages of various charges options in the context of unknown future outcomes.  </w:t>
      </w:r>
    </w:p>
    <w:p w14:paraId="0E87A791" w14:textId="77777777" w:rsidR="00481273" w:rsidRPr="005064C1" w:rsidRDefault="00481273" w:rsidP="00481273">
      <w:pPr>
        <w:pStyle w:val="BodyCopy"/>
      </w:pPr>
      <w:r>
        <w:t xml:space="preserve">To aid stakeholders, the NTC has developed forecasts for the following:  </w:t>
      </w:r>
    </w:p>
    <w:p w14:paraId="0534109D" w14:textId="77777777" w:rsidR="00481273" w:rsidRDefault="00481273" w:rsidP="00481273">
      <w:pPr>
        <w:pStyle w:val="List-bulletlvl1"/>
      </w:pPr>
      <w:r>
        <w:t>road expenditure by states and territories for 2022-23 and 2023-24</w:t>
      </w:r>
    </w:p>
    <w:p w14:paraId="396E0D95" w14:textId="77777777" w:rsidR="00481273" w:rsidRDefault="00481273" w:rsidP="00481273">
      <w:pPr>
        <w:pStyle w:val="List-bulletlvl1"/>
      </w:pPr>
      <w:r>
        <w:t>local government road expenditure for 2021-22 and 2022-23</w:t>
      </w:r>
    </w:p>
    <w:p w14:paraId="4E0BEFF5" w14:textId="77777777" w:rsidR="00481273" w:rsidRDefault="00481273" w:rsidP="00481273">
      <w:pPr>
        <w:pStyle w:val="List-bulletlvl1"/>
      </w:pPr>
      <w:r>
        <w:t>fuel usage in 2022-23 and 2023-24</w:t>
      </w:r>
    </w:p>
    <w:p w14:paraId="3B017A3F" w14:textId="77777777" w:rsidR="00481273" w:rsidRPr="005064C1" w:rsidRDefault="00481273" w:rsidP="00481273">
      <w:pPr>
        <w:pStyle w:val="List-bulletlvl1"/>
      </w:pPr>
      <w:r>
        <w:t>heavy vehicle fleets in, 2022-23 and 2023-24</w:t>
      </w:r>
    </w:p>
    <w:p w14:paraId="42BBA079" w14:textId="77777777" w:rsidR="00481273" w:rsidRPr="00471BE8" w:rsidRDefault="00481273" w:rsidP="00481273">
      <w:pPr>
        <w:pStyle w:val="BodyCopy"/>
      </w:pPr>
      <w:r>
        <w:t xml:space="preserve">The following sections outline the assumptions and methodology underpinning these forecasts. </w:t>
      </w:r>
    </w:p>
    <w:p w14:paraId="330816C7" w14:textId="77777777" w:rsidR="00481273" w:rsidRPr="005F0D23" w:rsidRDefault="00481273" w:rsidP="00481273">
      <w:pPr>
        <w:pStyle w:val="Head3-noTOC"/>
      </w:pPr>
      <w:r w:rsidRPr="005F0D23">
        <w:t xml:space="preserve">Assumptions for </w:t>
      </w:r>
      <w:r>
        <w:t xml:space="preserve">road </w:t>
      </w:r>
      <w:r w:rsidRPr="005F0D23">
        <w:t>expenditure forecast</w:t>
      </w:r>
      <w:r>
        <w:t>s</w:t>
      </w:r>
    </w:p>
    <w:p w14:paraId="585E9B72" w14:textId="77777777" w:rsidR="00481273" w:rsidRDefault="00481273" w:rsidP="00481273">
      <w:pPr>
        <w:pStyle w:val="BodyCopy"/>
      </w:pPr>
      <w:r>
        <w:t>The road expenditure forecast for states, territories and local government is based on the following assumptions:</w:t>
      </w:r>
    </w:p>
    <w:p w14:paraId="407E455F" w14:textId="32C963A7" w:rsidR="00481273" w:rsidRPr="00B018D3" w:rsidRDefault="00481273" w:rsidP="00481273">
      <w:pPr>
        <w:pStyle w:val="List-bulletlvl1"/>
      </w:pPr>
      <w:r w:rsidRPr="00B018D3">
        <w:t xml:space="preserve">Assumed percentage increases in total road expenditure for 2022-23 and 2023-24 are shown in </w:t>
      </w:r>
      <w:r w:rsidRPr="00B018D3">
        <w:fldChar w:fldCharType="begin"/>
      </w:r>
      <w:r w:rsidRPr="00B018D3">
        <w:instrText xml:space="preserve"> REF _Ref110254884 \r \h  \* MERGEFORMAT </w:instrText>
      </w:r>
      <w:r w:rsidRPr="00B018D3">
        <w:fldChar w:fldCharType="separate"/>
      </w:r>
      <w:r w:rsidR="0043504D">
        <w:t>Table 2</w:t>
      </w:r>
      <w:r w:rsidRPr="00B018D3">
        <w:fldChar w:fldCharType="end"/>
      </w:r>
      <w:r w:rsidRPr="00B018D3">
        <w:t>.</w:t>
      </w:r>
    </w:p>
    <w:p w14:paraId="47382900" w14:textId="00B1DAEA" w:rsidR="00481273" w:rsidRPr="00B018D3" w:rsidRDefault="00481273" w:rsidP="00481273">
      <w:pPr>
        <w:pStyle w:val="List-bulletlvl1"/>
      </w:pPr>
      <w:r w:rsidRPr="00B018D3">
        <w:t xml:space="preserve">The forecast future increases in road expenditure shown in </w:t>
      </w:r>
      <w:r w:rsidRPr="00B018D3">
        <w:fldChar w:fldCharType="begin"/>
      </w:r>
      <w:r w:rsidRPr="00B018D3">
        <w:instrText xml:space="preserve"> REF _Ref110254884 \r \h  \* MERGEFORMAT </w:instrText>
      </w:r>
      <w:r w:rsidRPr="00B018D3">
        <w:fldChar w:fldCharType="separate"/>
      </w:r>
      <w:r w:rsidR="0043504D">
        <w:t>Table 2</w:t>
      </w:r>
      <w:r w:rsidRPr="00B018D3">
        <w:fldChar w:fldCharType="end"/>
      </w:r>
      <w:r w:rsidRPr="00B018D3">
        <w:t xml:space="preserve"> were developed in consultation with state and territory road agencies. It is important to note that these forecasts are likely to be subject to significant error.</w:t>
      </w:r>
    </w:p>
    <w:p w14:paraId="5089B685" w14:textId="77777777" w:rsidR="00481273" w:rsidRPr="00B018D3" w:rsidRDefault="00481273" w:rsidP="00481273">
      <w:pPr>
        <w:pStyle w:val="List-bulletlvl1"/>
      </w:pPr>
      <w:r w:rsidRPr="00B018D3">
        <w:t xml:space="preserve">The forecast future increases in road expenditure are nominal expenditure in the year it is incurred. These figures have not been adjusted for potential unexpected cost increases or delays.     </w:t>
      </w:r>
    </w:p>
    <w:p w14:paraId="4E2BFE22" w14:textId="77777777" w:rsidR="00481273" w:rsidRPr="00B018D3" w:rsidRDefault="00481273" w:rsidP="00481273">
      <w:pPr>
        <w:pStyle w:val="List-bulletlvl1"/>
      </w:pPr>
      <w:r w:rsidRPr="00B018D3">
        <w:t>The</w:t>
      </w:r>
      <w:r>
        <w:t xml:space="preserve"> forecast total expenditure for 2022-23 and 2023-24 is allocated to individual expenditure categories using the historical average percentage of total expenditure in each category over the five years from 2016-17 to 2021-22.  </w:t>
      </w:r>
    </w:p>
    <w:p w14:paraId="08C134D3" w14:textId="77777777" w:rsidR="00481273" w:rsidRPr="00B018D3" w:rsidRDefault="00481273" w:rsidP="00481273">
      <w:pPr>
        <w:pStyle w:val="List-bulletlvl1"/>
      </w:pPr>
      <w:r w:rsidRPr="00B018D3">
        <w:t>For local government expenditure, the long-term growth rate from 2010-11 to 2020-21 was 3.9 per cent per annum with growth of 4.4 per cent per annum in the rural sector and 3.6 per cent per annum in the urban sector. The long-term growth rate for all local road expenditure (rounded to 4 per cent per annum) is applied for 2021-22 and 2022</w:t>
      </w:r>
      <w:r>
        <w:noBreakHyphen/>
      </w:r>
      <w:r w:rsidRPr="00B018D3">
        <w:t xml:space="preserve">23. </w:t>
      </w:r>
    </w:p>
    <w:p w14:paraId="7714274A" w14:textId="77777777" w:rsidR="00481273" w:rsidRDefault="00481273" w:rsidP="00481273">
      <w:pPr>
        <w:pStyle w:val="List-bulletlvl1"/>
      </w:pPr>
      <w:r>
        <w:t xml:space="preserve">Forecast expenditure is allocated between vehicle classes using the cost allocation matrix and forecast usage data.   </w:t>
      </w:r>
    </w:p>
    <w:p w14:paraId="5B343B44" w14:textId="77777777" w:rsidR="00481273" w:rsidRDefault="00481273" w:rsidP="00481273">
      <w:pPr>
        <w:pStyle w:val="Tabletitle"/>
      </w:pPr>
      <w:bookmarkStart w:id="65" w:name="_Ref110254884"/>
      <w:bookmarkStart w:id="66" w:name="_Toc114042938"/>
      <w:r>
        <w:t>Assumed increases in total state and territory road expenditure</w:t>
      </w:r>
      <w:bookmarkEnd w:id="65"/>
      <w:bookmarkEnd w:id="66"/>
    </w:p>
    <w:tbl>
      <w:tblPr>
        <w:tblStyle w:val="NTCtable"/>
        <w:tblW w:w="4947" w:type="pct"/>
        <w:tblLook w:val="04A0" w:firstRow="1" w:lastRow="0" w:firstColumn="1" w:lastColumn="0" w:noHBand="0" w:noVBand="1"/>
      </w:tblPr>
      <w:tblGrid>
        <w:gridCol w:w="3623"/>
        <w:gridCol w:w="2654"/>
        <w:gridCol w:w="2654"/>
      </w:tblGrid>
      <w:tr w:rsidR="00481273" w14:paraId="1F2E4DD3" w14:textId="77777777">
        <w:trPr>
          <w:cnfStyle w:val="100000000000" w:firstRow="1" w:lastRow="0" w:firstColumn="0" w:lastColumn="0" w:oddVBand="0" w:evenVBand="0" w:oddHBand="0" w:evenHBand="0" w:firstRowFirstColumn="0" w:firstRowLastColumn="0" w:lastRowFirstColumn="0" w:lastRowLastColumn="0"/>
          <w:tblHeader/>
        </w:trPr>
        <w:tc>
          <w:tcPr>
            <w:tcW w:w="2028" w:type="pct"/>
          </w:tcPr>
          <w:p w14:paraId="7DD2836E" w14:textId="77777777" w:rsidR="00481273" w:rsidRPr="0047453F" w:rsidRDefault="00481273">
            <w:pPr>
              <w:pStyle w:val="BodyCopy"/>
              <w:rPr>
                <w:szCs w:val="22"/>
              </w:rPr>
            </w:pPr>
          </w:p>
        </w:tc>
        <w:tc>
          <w:tcPr>
            <w:tcW w:w="1486" w:type="pct"/>
            <w:vAlign w:val="center"/>
          </w:tcPr>
          <w:p w14:paraId="10090A1A" w14:textId="77777777" w:rsidR="00481273" w:rsidRPr="0047453F" w:rsidRDefault="00481273">
            <w:pPr>
              <w:pStyle w:val="BodyCopy"/>
              <w:jc w:val="center"/>
              <w:rPr>
                <w:b/>
                <w:bCs/>
                <w:szCs w:val="22"/>
              </w:rPr>
            </w:pPr>
            <w:r w:rsidRPr="0047453F">
              <w:rPr>
                <w:b/>
                <w:bCs/>
                <w:szCs w:val="22"/>
              </w:rPr>
              <w:t>2022-23</w:t>
            </w:r>
          </w:p>
        </w:tc>
        <w:tc>
          <w:tcPr>
            <w:tcW w:w="1486" w:type="pct"/>
            <w:vAlign w:val="center"/>
          </w:tcPr>
          <w:p w14:paraId="45D533BA" w14:textId="77777777" w:rsidR="00481273" w:rsidRPr="0047453F" w:rsidRDefault="00481273">
            <w:pPr>
              <w:pStyle w:val="BodyCopy"/>
              <w:jc w:val="center"/>
              <w:rPr>
                <w:b/>
                <w:bCs/>
                <w:szCs w:val="22"/>
              </w:rPr>
            </w:pPr>
            <w:r w:rsidRPr="0047453F">
              <w:rPr>
                <w:b/>
                <w:bCs/>
                <w:szCs w:val="22"/>
              </w:rPr>
              <w:t>2023-24</w:t>
            </w:r>
          </w:p>
        </w:tc>
      </w:tr>
      <w:tr w:rsidR="00481273" w:rsidRPr="00171739" w14:paraId="6D17BA78" w14:textId="77777777">
        <w:tc>
          <w:tcPr>
            <w:tcW w:w="2028" w:type="pct"/>
          </w:tcPr>
          <w:p w14:paraId="4E6C56AB" w14:textId="77777777" w:rsidR="00481273" w:rsidRPr="0047453F" w:rsidRDefault="00481273">
            <w:pPr>
              <w:pStyle w:val="BodyCopy"/>
              <w:rPr>
                <w:szCs w:val="22"/>
              </w:rPr>
            </w:pPr>
            <w:r w:rsidRPr="0047453F">
              <w:rPr>
                <w:szCs w:val="22"/>
              </w:rPr>
              <w:t>Assumed increases in total state and territory road expenditure</w:t>
            </w:r>
          </w:p>
        </w:tc>
        <w:tc>
          <w:tcPr>
            <w:tcW w:w="1486" w:type="pct"/>
            <w:vAlign w:val="center"/>
          </w:tcPr>
          <w:p w14:paraId="2D45AEBF" w14:textId="77777777" w:rsidR="00481273" w:rsidRPr="0047453F" w:rsidRDefault="00481273">
            <w:pPr>
              <w:pStyle w:val="BodyCopy"/>
              <w:jc w:val="center"/>
              <w:rPr>
                <w:szCs w:val="22"/>
              </w:rPr>
            </w:pPr>
            <w:r w:rsidRPr="0047453F">
              <w:rPr>
                <w:szCs w:val="22"/>
              </w:rPr>
              <w:t>20.5%</w:t>
            </w:r>
          </w:p>
        </w:tc>
        <w:tc>
          <w:tcPr>
            <w:tcW w:w="1486" w:type="pct"/>
            <w:vAlign w:val="center"/>
          </w:tcPr>
          <w:p w14:paraId="654D99F2" w14:textId="77777777" w:rsidR="00481273" w:rsidRPr="0047453F" w:rsidRDefault="00481273">
            <w:pPr>
              <w:pStyle w:val="BodyCopy"/>
              <w:jc w:val="center"/>
              <w:rPr>
                <w:szCs w:val="22"/>
              </w:rPr>
            </w:pPr>
            <w:r w:rsidRPr="0047453F">
              <w:rPr>
                <w:szCs w:val="22"/>
              </w:rPr>
              <w:t>-2.1%</w:t>
            </w:r>
          </w:p>
        </w:tc>
      </w:tr>
    </w:tbl>
    <w:p w14:paraId="42597A77" w14:textId="77777777" w:rsidR="00481273" w:rsidRDefault="00481273" w:rsidP="00481273">
      <w:pPr>
        <w:pStyle w:val="BodyCopy"/>
        <w:rPr>
          <w:b/>
          <w:bCs/>
        </w:rPr>
      </w:pPr>
      <w:r>
        <w:rPr>
          <w:b/>
          <w:bCs/>
        </w:rPr>
        <w:t>Assumptions for fuel usage data forecast</w:t>
      </w:r>
    </w:p>
    <w:p w14:paraId="7DBBFE38" w14:textId="77777777" w:rsidR="00481273" w:rsidRDefault="00481273" w:rsidP="00481273">
      <w:pPr>
        <w:pStyle w:val="BodyCopy"/>
      </w:pPr>
      <w:r w:rsidRPr="00B018D3">
        <w:t>Fuel consumption is assumed to be static at 2020-21 levels for 2021-22, 2022-23, 2023-24, 2024-25 and 2025-26. Total fuel consumption in these years is 7,435,912,622 litres per annum. This assumption reflects recent trends in Survey of Motor Vehicle Use data.</w:t>
      </w:r>
      <w:r>
        <w:t xml:space="preserve"> </w:t>
      </w:r>
    </w:p>
    <w:p w14:paraId="3014A620" w14:textId="77777777" w:rsidR="00481273" w:rsidRPr="003E0776" w:rsidRDefault="00481273" w:rsidP="00481273">
      <w:pPr>
        <w:pStyle w:val="BodyCopy"/>
        <w:rPr>
          <w:b/>
          <w:bCs/>
        </w:rPr>
      </w:pPr>
      <w:r>
        <w:rPr>
          <w:b/>
          <w:bCs/>
        </w:rPr>
        <w:t>Assumptions for vehicle fleet data and registration revenue forecasts</w:t>
      </w:r>
    </w:p>
    <w:p w14:paraId="2335F62A" w14:textId="77777777" w:rsidR="00481273" w:rsidRPr="00B018D3" w:rsidRDefault="00481273" w:rsidP="00481273">
      <w:pPr>
        <w:pStyle w:val="BodyCopy"/>
      </w:pPr>
      <w:r w:rsidRPr="00B018D3">
        <w:t>The latest actual vehicle fleet data is for the 202</w:t>
      </w:r>
      <w:r>
        <w:t>1</w:t>
      </w:r>
      <w:r w:rsidRPr="00B018D3">
        <w:t>-2</w:t>
      </w:r>
      <w:r>
        <w:t>2</w:t>
      </w:r>
      <w:r w:rsidRPr="00B018D3">
        <w:t xml:space="preserve"> </w:t>
      </w:r>
      <w:r>
        <w:t>financial</w:t>
      </w:r>
      <w:r w:rsidRPr="00B018D3">
        <w:t xml:space="preserve"> year. It is assumed that the registration charges revenue is calculated based on national registration charges and the forecast vehicle fleet. The forecast is based on vehicle registration data for 202</w:t>
      </w:r>
      <w:r>
        <w:t>1</w:t>
      </w:r>
      <w:r w:rsidRPr="00B018D3">
        <w:t>-2</w:t>
      </w:r>
      <w:r>
        <w:t>2</w:t>
      </w:r>
      <w:r w:rsidRPr="00B018D3">
        <w:t>, as provided by each state and territory of registration. Vehicle numbers for 202</w:t>
      </w:r>
      <w:r>
        <w:t>2-23 and 2023-24</w:t>
      </w:r>
      <w:r w:rsidRPr="00B018D3">
        <w:t xml:space="preserve"> onwards are assumed to increase each year by the average increase in total registered vehicles over the 10 years</w:t>
      </w:r>
      <w:r>
        <w:t xml:space="preserve"> to 2021-22</w:t>
      </w:r>
      <w:r w:rsidRPr="00B018D3">
        <w:t>. This is calculated separately for powered vehicles and trailers and then applied pro-rata to each vehicle class.</w:t>
      </w:r>
      <w:r w:rsidRPr="00B018D3">
        <w:rPr>
          <w:rStyle w:val="FootnoteReference"/>
        </w:rPr>
        <w:footnoteReference w:id="10"/>
      </w:r>
      <w:r w:rsidRPr="00B018D3">
        <w:t xml:space="preserve"> </w:t>
      </w:r>
    </w:p>
    <w:p w14:paraId="6831693F" w14:textId="77777777" w:rsidR="00481273" w:rsidRDefault="00481273" w:rsidP="00481273">
      <w:pPr>
        <w:pStyle w:val="BodyCopy"/>
      </w:pPr>
      <w:r w:rsidRPr="00B018D3">
        <w:t>The forecast registration revenue in each year is based on the forecast vehicle fleet for that year, multiplied by the charges that would be applicable in that same year for each option.</w:t>
      </w:r>
      <w:r>
        <w:t xml:space="preserve"> </w:t>
      </w:r>
    </w:p>
    <w:p w14:paraId="4A9F745F" w14:textId="77777777" w:rsidR="00481273" w:rsidRDefault="00481273" w:rsidP="00481273">
      <w:pPr>
        <w:pStyle w:val="BodyCopy"/>
      </w:pPr>
      <w:r w:rsidRPr="001A382F">
        <w:t xml:space="preserve">Departures from national registration charges in NT and WA are not reflected in </w:t>
      </w:r>
      <w:r>
        <w:t>registration revenue forecasts</w:t>
      </w:r>
      <w:r w:rsidRPr="001A382F">
        <w:t>. Registration charges revenue is stated before any concessions provided by state or territory of registration.</w:t>
      </w:r>
    </w:p>
    <w:p w14:paraId="62403C39" w14:textId="77777777" w:rsidR="00481273" w:rsidRDefault="00481273" w:rsidP="00481273">
      <w:pPr>
        <w:pStyle w:val="Head3-noTOC"/>
      </w:pPr>
      <w:r>
        <w:t>Assumptions for Regulatory Component of Registration Charges</w:t>
      </w:r>
    </w:p>
    <w:p w14:paraId="55533D22" w14:textId="10E5D335" w:rsidR="00481273" w:rsidRDefault="00481273" w:rsidP="00481273">
      <w:pPr>
        <w:pStyle w:val="BodyCopy"/>
      </w:pPr>
      <w:r>
        <w:t xml:space="preserve">Heavy vehicle registration charges consist of a roads component and a regulatory component. The regulatory component is set to recover the National Heavy Vehicle Regulator’s budget, as approved by ITMM. The regulatory component of registration charges does not vary significantly from year to year. Therefore, we have assumed that the regulatory component remains constant at the 2022-23 level. The estimated registration charges shown in Section </w:t>
      </w:r>
      <w:r>
        <w:fldChar w:fldCharType="begin"/>
      </w:r>
      <w:r>
        <w:instrText xml:space="preserve"> REF _Ref110331661 \r \h </w:instrText>
      </w:r>
      <w:r>
        <w:fldChar w:fldCharType="separate"/>
      </w:r>
      <w:r w:rsidR="0043504D">
        <w:t>5.6</w:t>
      </w:r>
      <w:r>
        <w:fldChar w:fldCharType="end"/>
      </w:r>
      <w:r>
        <w:t xml:space="preserve"> have been prepared on this basis.  </w:t>
      </w:r>
    </w:p>
    <w:p w14:paraId="755D26CD" w14:textId="6D1BE5E2" w:rsidR="00481273" w:rsidRDefault="00481273" w:rsidP="00481273">
      <w:pPr>
        <w:pStyle w:val="Heading2"/>
      </w:pPr>
      <w:bookmarkStart w:id="67" w:name="_Ref111537568"/>
      <w:bookmarkStart w:id="68" w:name="_Toc114042872"/>
      <w:bookmarkStart w:id="69" w:name="_Toc121234747"/>
      <w:r>
        <w:t>Forecast Heavy Vehicle Cost Base</w:t>
      </w:r>
      <w:bookmarkEnd w:id="67"/>
      <w:bookmarkEnd w:id="68"/>
      <w:bookmarkEnd w:id="69"/>
      <w:r>
        <w:t xml:space="preserve"> </w:t>
      </w:r>
    </w:p>
    <w:p w14:paraId="11A6846E" w14:textId="620EA186" w:rsidR="00481273" w:rsidRDefault="00481273" w:rsidP="00481273">
      <w:pPr>
        <w:pStyle w:val="BodyCopy"/>
      </w:pPr>
      <w:r>
        <w:t xml:space="preserve">On the basis of the assumptions outlined in Section 5.4, the forecast heavy vehicle cost base for 2021-22, 2022-23 and 2023-24 is as shown in </w:t>
      </w:r>
      <w:r>
        <w:fldChar w:fldCharType="begin"/>
      </w:r>
      <w:r>
        <w:instrText xml:space="preserve"> REF _Ref110255525 \r \h </w:instrText>
      </w:r>
      <w:r>
        <w:fldChar w:fldCharType="separate"/>
      </w:r>
      <w:r w:rsidR="0043504D">
        <w:t>Table 3</w:t>
      </w:r>
      <w:r>
        <w:fldChar w:fldCharType="end"/>
      </w:r>
      <w:r>
        <w:t xml:space="preserve"> below. </w:t>
      </w:r>
    </w:p>
    <w:p w14:paraId="3C33307A" w14:textId="77777777" w:rsidR="00481273" w:rsidRDefault="00481273" w:rsidP="00481273">
      <w:pPr>
        <w:pStyle w:val="Tabletitle"/>
      </w:pPr>
      <w:bookmarkStart w:id="70" w:name="_Ref110255525"/>
      <w:bookmarkStart w:id="71" w:name="_Toc114042939"/>
      <w:r>
        <w:t>Heavy Vehicle Cost base 2021-22 to 2023-24</w:t>
      </w:r>
      <w:bookmarkEnd w:id="70"/>
      <w:bookmarkEnd w:id="71"/>
    </w:p>
    <w:tbl>
      <w:tblPr>
        <w:tblStyle w:val="NTCtable"/>
        <w:tblW w:w="5000" w:type="pct"/>
        <w:tblLook w:val="04A0" w:firstRow="1" w:lastRow="0" w:firstColumn="1" w:lastColumn="0" w:noHBand="0" w:noVBand="1"/>
      </w:tblPr>
      <w:tblGrid>
        <w:gridCol w:w="3623"/>
        <w:gridCol w:w="1802"/>
        <w:gridCol w:w="1802"/>
        <w:gridCol w:w="1800"/>
      </w:tblGrid>
      <w:tr w:rsidR="00481273" w14:paraId="702839A2" w14:textId="77777777">
        <w:trPr>
          <w:cnfStyle w:val="100000000000" w:firstRow="1" w:lastRow="0" w:firstColumn="0" w:lastColumn="0" w:oddVBand="0" w:evenVBand="0" w:oddHBand="0" w:evenHBand="0" w:firstRowFirstColumn="0" w:firstRowLastColumn="0" w:lastRowFirstColumn="0" w:lastRowLastColumn="0"/>
          <w:tblHeader/>
        </w:trPr>
        <w:tc>
          <w:tcPr>
            <w:tcW w:w="2007" w:type="pct"/>
          </w:tcPr>
          <w:p w14:paraId="12D77ADC" w14:textId="77777777" w:rsidR="00481273" w:rsidRPr="0047453F" w:rsidRDefault="00481273">
            <w:pPr>
              <w:pStyle w:val="BodyCopy"/>
              <w:rPr>
                <w:szCs w:val="22"/>
              </w:rPr>
            </w:pPr>
          </w:p>
        </w:tc>
        <w:tc>
          <w:tcPr>
            <w:tcW w:w="998" w:type="pct"/>
            <w:vAlign w:val="center"/>
          </w:tcPr>
          <w:p w14:paraId="6F9108C9" w14:textId="77777777" w:rsidR="00481273" w:rsidRPr="0047453F" w:rsidRDefault="00481273">
            <w:pPr>
              <w:pStyle w:val="BodyCopy"/>
              <w:jc w:val="center"/>
              <w:rPr>
                <w:b/>
                <w:bCs/>
                <w:szCs w:val="22"/>
              </w:rPr>
            </w:pPr>
            <w:r w:rsidRPr="0047453F">
              <w:rPr>
                <w:b/>
                <w:bCs/>
                <w:szCs w:val="22"/>
              </w:rPr>
              <w:t>2021-22</w:t>
            </w:r>
          </w:p>
          <w:p w14:paraId="2A0AF012" w14:textId="77777777" w:rsidR="00481273" w:rsidRPr="0047453F" w:rsidRDefault="00481273">
            <w:pPr>
              <w:pStyle w:val="BodyCopy"/>
              <w:jc w:val="center"/>
              <w:rPr>
                <w:b/>
                <w:bCs/>
                <w:szCs w:val="22"/>
              </w:rPr>
            </w:pPr>
            <w:r w:rsidRPr="0047453F">
              <w:rPr>
                <w:b/>
                <w:bCs/>
                <w:szCs w:val="22"/>
              </w:rPr>
              <w:t>Actual</w:t>
            </w:r>
          </w:p>
        </w:tc>
        <w:tc>
          <w:tcPr>
            <w:tcW w:w="998" w:type="pct"/>
            <w:vAlign w:val="center"/>
          </w:tcPr>
          <w:p w14:paraId="00A8AF7F" w14:textId="77777777" w:rsidR="00481273" w:rsidRPr="0047453F" w:rsidRDefault="00481273">
            <w:pPr>
              <w:pStyle w:val="BodyCopy"/>
              <w:jc w:val="center"/>
              <w:rPr>
                <w:b/>
                <w:bCs/>
                <w:szCs w:val="22"/>
              </w:rPr>
            </w:pPr>
            <w:r w:rsidRPr="0047453F">
              <w:rPr>
                <w:b/>
                <w:bCs/>
                <w:szCs w:val="22"/>
              </w:rPr>
              <w:t>2022-23</w:t>
            </w:r>
          </w:p>
          <w:p w14:paraId="62613D27" w14:textId="77777777" w:rsidR="00481273" w:rsidRPr="0047453F" w:rsidRDefault="00481273">
            <w:pPr>
              <w:pStyle w:val="BodyCopy"/>
              <w:jc w:val="center"/>
              <w:rPr>
                <w:b/>
                <w:bCs/>
                <w:szCs w:val="22"/>
              </w:rPr>
            </w:pPr>
            <w:r w:rsidRPr="0047453F">
              <w:rPr>
                <w:b/>
                <w:bCs/>
                <w:szCs w:val="22"/>
              </w:rPr>
              <w:t>Forecast</w:t>
            </w:r>
          </w:p>
        </w:tc>
        <w:tc>
          <w:tcPr>
            <w:tcW w:w="997" w:type="pct"/>
            <w:vAlign w:val="center"/>
          </w:tcPr>
          <w:p w14:paraId="4773ECD7" w14:textId="77777777" w:rsidR="00481273" w:rsidRPr="0047453F" w:rsidRDefault="00481273">
            <w:pPr>
              <w:pStyle w:val="BodyCopy"/>
              <w:jc w:val="center"/>
              <w:rPr>
                <w:b/>
                <w:bCs/>
                <w:szCs w:val="22"/>
              </w:rPr>
            </w:pPr>
            <w:r w:rsidRPr="0047453F">
              <w:rPr>
                <w:b/>
                <w:bCs/>
                <w:szCs w:val="22"/>
              </w:rPr>
              <w:t>2023-24</w:t>
            </w:r>
          </w:p>
          <w:p w14:paraId="4551DA15" w14:textId="77777777" w:rsidR="00481273" w:rsidRPr="0047453F" w:rsidRDefault="00481273">
            <w:pPr>
              <w:pStyle w:val="BodyCopy"/>
              <w:jc w:val="center"/>
              <w:rPr>
                <w:b/>
                <w:bCs/>
                <w:szCs w:val="22"/>
              </w:rPr>
            </w:pPr>
            <w:r w:rsidRPr="0047453F">
              <w:rPr>
                <w:b/>
                <w:bCs/>
                <w:szCs w:val="22"/>
              </w:rPr>
              <w:t>Forecast</w:t>
            </w:r>
          </w:p>
        </w:tc>
      </w:tr>
      <w:tr w:rsidR="00481273" w14:paraId="254CAE1B" w14:textId="77777777">
        <w:tc>
          <w:tcPr>
            <w:tcW w:w="2007" w:type="pct"/>
          </w:tcPr>
          <w:p w14:paraId="5237EC2B" w14:textId="77777777" w:rsidR="00481273" w:rsidRPr="0047453F" w:rsidRDefault="00481273">
            <w:pPr>
              <w:pStyle w:val="BodyCopy"/>
              <w:rPr>
                <w:szCs w:val="22"/>
              </w:rPr>
            </w:pPr>
            <w:r w:rsidRPr="0047453F">
              <w:rPr>
                <w:szCs w:val="22"/>
              </w:rPr>
              <w:t>Heavy vehicle cost base ($m) (excluding technical changes explored in the 2021 Determination)</w:t>
            </w:r>
          </w:p>
        </w:tc>
        <w:tc>
          <w:tcPr>
            <w:tcW w:w="998" w:type="pct"/>
            <w:vAlign w:val="center"/>
          </w:tcPr>
          <w:p w14:paraId="466C1240" w14:textId="77777777" w:rsidR="00481273" w:rsidRPr="0047453F" w:rsidRDefault="00481273">
            <w:pPr>
              <w:pStyle w:val="BodyCopy"/>
              <w:jc w:val="center"/>
              <w:rPr>
                <w:szCs w:val="22"/>
              </w:rPr>
            </w:pPr>
            <w:r w:rsidRPr="0047453F">
              <w:rPr>
                <w:szCs w:val="22"/>
              </w:rPr>
              <w:t>5,193</w:t>
            </w:r>
          </w:p>
        </w:tc>
        <w:tc>
          <w:tcPr>
            <w:tcW w:w="998" w:type="pct"/>
            <w:vAlign w:val="center"/>
          </w:tcPr>
          <w:p w14:paraId="3B04F8EB" w14:textId="77777777" w:rsidR="00481273" w:rsidRPr="0047453F" w:rsidRDefault="00481273">
            <w:pPr>
              <w:pStyle w:val="BodyCopy"/>
              <w:jc w:val="center"/>
              <w:rPr>
                <w:szCs w:val="22"/>
              </w:rPr>
            </w:pPr>
            <w:r w:rsidRPr="0047453F">
              <w:rPr>
                <w:szCs w:val="22"/>
              </w:rPr>
              <w:t>5,867</w:t>
            </w:r>
          </w:p>
        </w:tc>
        <w:tc>
          <w:tcPr>
            <w:tcW w:w="997" w:type="pct"/>
            <w:vAlign w:val="center"/>
          </w:tcPr>
          <w:p w14:paraId="48CE16C7" w14:textId="77777777" w:rsidR="00481273" w:rsidRPr="0047453F" w:rsidRDefault="00481273">
            <w:pPr>
              <w:pStyle w:val="BodyCopy"/>
              <w:jc w:val="center"/>
              <w:rPr>
                <w:szCs w:val="22"/>
              </w:rPr>
            </w:pPr>
            <w:r w:rsidRPr="0047453F">
              <w:rPr>
                <w:szCs w:val="22"/>
              </w:rPr>
              <w:t>6,153</w:t>
            </w:r>
          </w:p>
        </w:tc>
      </w:tr>
      <w:tr w:rsidR="00481273" w14:paraId="748E4885" w14:textId="77777777">
        <w:tc>
          <w:tcPr>
            <w:tcW w:w="2007" w:type="pct"/>
          </w:tcPr>
          <w:p w14:paraId="09C0052C" w14:textId="77777777" w:rsidR="00481273" w:rsidRPr="0047453F" w:rsidRDefault="00481273">
            <w:pPr>
              <w:pStyle w:val="BodyCopy"/>
              <w:rPr>
                <w:szCs w:val="22"/>
              </w:rPr>
            </w:pPr>
            <w:r w:rsidRPr="0047453F">
              <w:rPr>
                <w:szCs w:val="22"/>
              </w:rPr>
              <w:t>Increase compared to previous year ($m)</w:t>
            </w:r>
          </w:p>
        </w:tc>
        <w:tc>
          <w:tcPr>
            <w:tcW w:w="998" w:type="pct"/>
            <w:vAlign w:val="center"/>
          </w:tcPr>
          <w:p w14:paraId="269327C7" w14:textId="77777777" w:rsidR="00481273" w:rsidRPr="0047453F" w:rsidRDefault="00481273">
            <w:pPr>
              <w:pStyle w:val="BodyCopy"/>
              <w:jc w:val="center"/>
              <w:rPr>
                <w:szCs w:val="22"/>
              </w:rPr>
            </w:pPr>
            <w:r w:rsidRPr="0047453F">
              <w:rPr>
                <w:szCs w:val="22"/>
              </w:rPr>
              <w:t>891</w:t>
            </w:r>
          </w:p>
        </w:tc>
        <w:tc>
          <w:tcPr>
            <w:tcW w:w="998" w:type="pct"/>
            <w:vAlign w:val="center"/>
          </w:tcPr>
          <w:p w14:paraId="7669B902" w14:textId="77777777" w:rsidR="00481273" w:rsidRPr="0047453F" w:rsidRDefault="00481273">
            <w:pPr>
              <w:pStyle w:val="BodyCopy"/>
              <w:jc w:val="center"/>
              <w:rPr>
                <w:szCs w:val="22"/>
              </w:rPr>
            </w:pPr>
            <w:r w:rsidRPr="0047453F">
              <w:rPr>
                <w:szCs w:val="22"/>
              </w:rPr>
              <w:t>674</w:t>
            </w:r>
          </w:p>
        </w:tc>
        <w:tc>
          <w:tcPr>
            <w:tcW w:w="997" w:type="pct"/>
            <w:vAlign w:val="center"/>
          </w:tcPr>
          <w:p w14:paraId="50EB7903" w14:textId="77777777" w:rsidR="00481273" w:rsidRPr="0047453F" w:rsidRDefault="00481273">
            <w:pPr>
              <w:pStyle w:val="BodyCopy"/>
              <w:jc w:val="center"/>
              <w:rPr>
                <w:szCs w:val="22"/>
              </w:rPr>
            </w:pPr>
            <w:r w:rsidRPr="0047453F">
              <w:rPr>
                <w:szCs w:val="22"/>
              </w:rPr>
              <w:t>286</w:t>
            </w:r>
          </w:p>
        </w:tc>
      </w:tr>
      <w:tr w:rsidR="00481273" w14:paraId="64FD6683" w14:textId="77777777">
        <w:tc>
          <w:tcPr>
            <w:tcW w:w="2007" w:type="pct"/>
          </w:tcPr>
          <w:p w14:paraId="11810DC1" w14:textId="77777777" w:rsidR="00481273" w:rsidRPr="0047453F" w:rsidRDefault="00481273">
            <w:pPr>
              <w:pStyle w:val="BodyCopy"/>
              <w:rPr>
                <w:szCs w:val="22"/>
              </w:rPr>
            </w:pPr>
            <w:r w:rsidRPr="0047453F">
              <w:rPr>
                <w:szCs w:val="22"/>
              </w:rPr>
              <w:t>Increase compared to previous year (per cent)</w:t>
            </w:r>
          </w:p>
        </w:tc>
        <w:tc>
          <w:tcPr>
            <w:tcW w:w="998" w:type="pct"/>
            <w:vAlign w:val="center"/>
          </w:tcPr>
          <w:p w14:paraId="1EF96D46" w14:textId="77777777" w:rsidR="00481273" w:rsidRPr="0047453F" w:rsidRDefault="00481273">
            <w:pPr>
              <w:pStyle w:val="BodyCopy"/>
              <w:jc w:val="center"/>
              <w:rPr>
                <w:szCs w:val="22"/>
              </w:rPr>
            </w:pPr>
            <w:r w:rsidRPr="0047453F">
              <w:rPr>
                <w:szCs w:val="22"/>
              </w:rPr>
              <w:t>20.7</w:t>
            </w:r>
          </w:p>
        </w:tc>
        <w:tc>
          <w:tcPr>
            <w:tcW w:w="998" w:type="pct"/>
            <w:vAlign w:val="center"/>
          </w:tcPr>
          <w:p w14:paraId="61E1C6D5" w14:textId="77777777" w:rsidR="00481273" w:rsidRPr="0047453F" w:rsidRDefault="00481273">
            <w:pPr>
              <w:pStyle w:val="BodyCopy"/>
              <w:jc w:val="center"/>
              <w:rPr>
                <w:szCs w:val="22"/>
              </w:rPr>
            </w:pPr>
            <w:r w:rsidRPr="0047453F">
              <w:rPr>
                <w:szCs w:val="22"/>
              </w:rPr>
              <w:t>13.0</w:t>
            </w:r>
          </w:p>
        </w:tc>
        <w:tc>
          <w:tcPr>
            <w:tcW w:w="997" w:type="pct"/>
            <w:vAlign w:val="center"/>
          </w:tcPr>
          <w:p w14:paraId="2D95C042" w14:textId="77777777" w:rsidR="00481273" w:rsidRPr="0047453F" w:rsidRDefault="00481273">
            <w:pPr>
              <w:pStyle w:val="BodyCopy"/>
              <w:jc w:val="center"/>
              <w:rPr>
                <w:szCs w:val="22"/>
              </w:rPr>
            </w:pPr>
            <w:r w:rsidRPr="0047453F">
              <w:rPr>
                <w:szCs w:val="22"/>
              </w:rPr>
              <w:t>4.9</w:t>
            </w:r>
          </w:p>
        </w:tc>
      </w:tr>
    </w:tbl>
    <w:p w14:paraId="685294D1" w14:textId="77777777" w:rsidR="00481273" w:rsidRDefault="00481273" w:rsidP="00481273">
      <w:pPr>
        <w:pStyle w:val="BodyCopy"/>
      </w:pPr>
      <w:r>
        <w:t xml:space="preserve">These forecast heavy vehicle cost bases represent a further rapid increase in the heavy vehicle cost base for 2021-22 and 2022-23 followed by slower growth for 2023-24. It is important to note that </w:t>
      </w:r>
      <w:r w:rsidRPr="00EE3F35">
        <w:t>the figures</w:t>
      </w:r>
      <w:r>
        <w:t xml:space="preserve"> for 2022-23 and 2023-24</w:t>
      </w:r>
      <w:r w:rsidRPr="00EE3F35">
        <w:t xml:space="preserve"> are forecasts only, and that the actual heavy vehicle cost bases will be re-calculated once actual expenditure data for the year is submitted to the NTC.</w:t>
      </w:r>
      <w:r>
        <w:t xml:space="preserve">  </w:t>
      </w:r>
    </w:p>
    <w:p w14:paraId="4323FEFA" w14:textId="4584DF4E" w:rsidR="00481273" w:rsidRDefault="00481273" w:rsidP="00481273">
      <w:pPr>
        <w:pStyle w:val="BodyCopy"/>
      </w:pPr>
      <w:r>
        <w:fldChar w:fldCharType="begin"/>
      </w:r>
      <w:r>
        <w:instrText xml:space="preserve"> REF _Ref111535580 \r \h </w:instrText>
      </w:r>
      <w:r>
        <w:fldChar w:fldCharType="separate"/>
      </w:r>
      <w:r w:rsidR="0043504D">
        <w:t>Figure 7</w:t>
      </w:r>
      <w:r>
        <w:fldChar w:fldCharType="end"/>
      </w:r>
      <w:r>
        <w:t xml:space="preserve"> s</w:t>
      </w:r>
      <w:r w:rsidRPr="00C05510">
        <w:t>hows these forecast heavy vehicle cost bases against historical, actual heavy vehicle cost bases.</w:t>
      </w:r>
      <w:r>
        <w:t xml:space="preserve">  </w:t>
      </w:r>
    </w:p>
    <w:p w14:paraId="56F9899F" w14:textId="77777777" w:rsidR="00481273" w:rsidRDefault="00481273" w:rsidP="00481273">
      <w:pPr>
        <w:pStyle w:val="Figuretitle"/>
      </w:pPr>
      <w:bookmarkStart w:id="72" w:name="_Ref110257698"/>
      <w:bookmarkStart w:id="73" w:name="_Ref111535580"/>
      <w:bookmarkStart w:id="74" w:name="_Toc114042958"/>
      <w:r>
        <w:t>Actual and Forecast Heavy Vehicle Cost Base</w:t>
      </w:r>
      <w:bookmarkEnd w:id="72"/>
      <w:r>
        <w:t xml:space="preserve"> 2011-12 to 2023-24</w:t>
      </w:r>
      <w:bookmarkEnd w:id="73"/>
      <w:bookmarkEnd w:id="74"/>
    </w:p>
    <w:p w14:paraId="3E217992" w14:textId="77777777" w:rsidR="00481273" w:rsidRDefault="00481273" w:rsidP="00481273">
      <w:pPr>
        <w:pStyle w:val="BodyCopy"/>
      </w:pPr>
      <w:r>
        <w:rPr>
          <w:noProof/>
          <w:lang w:eastAsia="en-AU"/>
        </w:rPr>
        <w:drawing>
          <wp:inline distT="0" distB="0" distL="0" distR="0" wp14:anchorId="17BEE8A7" wp14:editId="11F01C12">
            <wp:extent cx="5660073" cy="3699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001" cy="3705999"/>
                    </a:xfrm>
                    <a:prstGeom prst="rect">
                      <a:avLst/>
                    </a:prstGeom>
                    <a:noFill/>
                  </pic:spPr>
                </pic:pic>
              </a:graphicData>
            </a:graphic>
          </wp:inline>
        </w:drawing>
      </w:r>
    </w:p>
    <w:p w14:paraId="2B461BB8" w14:textId="636DBB34" w:rsidR="009707AC" w:rsidRDefault="009707AC" w:rsidP="009707AC">
      <w:pPr>
        <w:pStyle w:val="Heading2"/>
      </w:pPr>
      <w:bookmarkStart w:id="75" w:name="_Toc121234748"/>
      <w:r>
        <w:t>Stakeholder feedback and submissions</w:t>
      </w:r>
      <w:bookmarkEnd w:id="75"/>
    </w:p>
    <w:p w14:paraId="5243C2AB" w14:textId="7C0483D6" w:rsidR="00D665F6" w:rsidRDefault="00F91DC6" w:rsidP="001D43A9">
      <w:pPr>
        <w:pStyle w:val="BodyCopy"/>
      </w:pPr>
      <w:r>
        <w:t xml:space="preserve">Most submission expressed serious concerns with the rapid increase in the cost base in recent years. </w:t>
      </w:r>
      <w:r w:rsidR="00F95F95">
        <w:t>Stakeholders expressed their concern that</w:t>
      </w:r>
      <w:r>
        <w:t xml:space="preserve"> too much of th</w:t>
      </w:r>
      <w:r w:rsidR="00E51ACF">
        <w:t>e recent expenditure on roads</w:t>
      </w:r>
      <w:r w:rsidR="00EC2ACA">
        <w:t xml:space="preserve"> is</w:t>
      </w:r>
      <w:r>
        <w:t xml:space="preserve"> stimulus spending in response to environmental disasters and Covid</w:t>
      </w:r>
      <w:r w:rsidR="00EC2ACA">
        <w:t>-19</w:t>
      </w:r>
      <w:r>
        <w:t xml:space="preserve"> impacts on the economy</w:t>
      </w:r>
      <w:r w:rsidR="00D665F6">
        <w:t>. These were</w:t>
      </w:r>
      <w:r w:rsidR="00EC2ACA">
        <w:t xml:space="preserve"> </w:t>
      </w:r>
      <w:r w:rsidR="00D665F6">
        <w:t>not</w:t>
      </w:r>
      <w:r>
        <w:t xml:space="preserve"> related to industry productivity and were undertaken without industry consultation.  </w:t>
      </w:r>
    </w:p>
    <w:p w14:paraId="41BC18E7" w14:textId="31C0F355" w:rsidR="001D43A9" w:rsidRDefault="00F91DC6" w:rsidP="001D43A9">
      <w:pPr>
        <w:pStyle w:val="BodyCopy"/>
      </w:pPr>
      <w:r>
        <w:t>The ATA state</w:t>
      </w:r>
      <w:r w:rsidR="00D665F6">
        <w:t>s</w:t>
      </w:r>
      <w:r>
        <w:t xml:space="preserve"> that the existing heavy vehicle cost base should be scrapped and recalculated based on greater transparency, consultation with industry and productivity.</w:t>
      </w:r>
    </w:p>
    <w:p w14:paraId="682873DA" w14:textId="4669DA97" w:rsidR="001723FD" w:rsidRDefault="001D43A9" w:rsidP="001723FD">
      <w:pPr>
        <w:pStyle w:val="BodyCopy"/>
      </w:pPr>
      <w:r>
        <w:t>NatRoad commented that government spending plans are often inconsistent with real world requirements (such as road maintenance or sealing) or industry’s ability to pay (which is diminishing for a broad range of economic reasons</w:t>
      </w:r>
      <w:r w:rsidR="000E710B">
        <w:t>).</w:t>
      </w:r>
      <w:r>
        <w:t xml:space="preserve"> There is no qualitative check on that expenditure undertaken by the NTC. </w:t>
      </w:r>
      <w:r w:rsidR="000E710B">
        <w:t>Therefore, the i</w:t>
      </w:r>
      <w:r>
        <w:t>ndustry pays for State and Territory inefficiencies in road construction.</w:t>
      </w:r>
    </w:p>
    <w:p w14:paraId="618A590F" w14:textId="5FAF1D7E" w:rsidR="001723FD" w:rsidRDefault="001723FD" w:rsidP="001723FD">
      <w:pPr>
        <w:pStyle w:val="Heading2"/>
      </w:pPr>
      <w:bookmarkStart w:id="76" w:name="_Toc121234749"/>
      <w:r>
        <w:t>Re</w:t>
      </w:r>
      <w:r w:rsidR="00DB001A">
        <w:t>sponse to feedback and submissions</w:t>
      </w:r>
      <w:bookmarkEnd w:id="76"/>
    </w:p>
    <w:p w14:paraId="1911C81C" w14:textId="5FE807B9" w:rsidR="00DB001A" w:rsidRDefault="001D284D" w:rsidP="00DB001A">
      <w:pPr>
        <w:pStyle w:val="BodyCopy"/>
      </w:pPr>
      <w:r w:rsidRPr="001D284D">
        <w:t xml:space="preserve">The NTC notes </w:t>
      </w:r>
      <w:r w:rsidR="00167B05">
        <w:t>industry</w:t>
      </w:r>
      <w:r w:rsidRPr="001D284D">
        <w:t xml:space="preserve"> concerns about possible issues with</w:t>
      </w:r>
      <w:r w:rsidR="00EC2ACA">
        <w:t xml:space="preserve"> the quality and quantity of</w:t>
      </w:r>
      <w:r w:rsidRPr="001D284D">
        <w:t xml:space="preserve"> road expenditure used in the PAYGO cost base. The existing heavy vehicle cost base uses comprehensive arterial and local road expenditure data. The expenditure reporting guidelines are quite specific on the type of expenditure to be included or excluded. In addition, all state and territory road expenditure</w:t>
      </w:r>
      <w:r w:rsidR="004D5BD9">
        <w:t xml:space="preserve"> data</w:t>
      </w:r>
      <w:r w:rsidRPr="001D284D">
        <w:t xml:space="preserve"> is signed off as being compliant with the expenditure reporting guidelines by</w:t>
      </w:r>
      <w:r w:rsidR="00277F1D">
        <w:t xml:space="preserve"> the CEO</w:t>
      </w:r>
      <w:r w:rsidR="00473990">
        <w:t xml:space="preserve"> (or another authorised senior executive)</w:t>
      </w:r>
      <w:r w:rsidR="00277F1D">
        <w:t xml:space="preserve"> o</w:t>
      </w:r>
      <w:r w:rsidR="00473990">
        <w:t>f the relevant government</w:t>
      </w:r>
      <w:r w:rsidRPr="001D284D">
        <w:t xml:space="preserve"> agency</w:t>
      </w:r>
      <w:r w:rsidR="00AE1A37">
        <w:t>.</w:t>
      </w:r>
    </w:p>
    <w:p w14:paraId="1D1F13B1" w14:textId="7F84C4DB" w:rsidR="005211B9" w:rsidRDefault="00AE1A37" w:rsidP="00DB001A">
      <w:pPr>
        <w:pStyle w:val="BodyCopy"/>
      </w:pPr>
      <w:r>
        <w:t>A further mitigating factor is that the PAYGO model uses a conservative approach to allocate different types of road expenditure to heavy vehicles.</w:t>
      </w:r>
    </w:p>
    <w:p w14:paraId="783BA7E8" w14:textId="52DA921F" w:rsidR="00DB001A" w:rsidRDefault="003750FB" w:rsidP="00DB001A">
      <w:pPr>
        <w:pStyle w:val="BodyCopy"/>
      </w:pPr>
      <w:r w:rsidRPr="003750FB">
        <w:t>Unless ministers decide to implement an alternative model, the PAYGO model will remain in use. An alternate model is being investigated as part of the Heavy Vehicle Road Reform project, led by the Commonwealth Department of Infrastructure, Transport, Regional Development</w:t>
      </w:r>
      <w:r w:rsidR="003A3F8F">
        <w:t>,</w:t>
      </w:r>
      <w:r w:rsidRPr="003750FB">
        <w:t xml:space="preserve"> Communications</w:t>
      </w:r>
      <w:r w:rsidR="003A3F8F">
        <w:t xml:space="preserve"> and the Arts</w:t>
      </w:r>
      <w:r w:rsidRPr="003750FB">
        <w:t xml:space="preserve">. However, this may not become operational during the period covered by </w:t>
      </w:r>
      <w:r w:rsidR="003A3F8F">
        <w:t>this</w:t>
      </w:r>
      <w:r w:rsidRPr="003750FB">
        <w:t xml:space="preserve"> report.</w:t>
      </w:r>
    </w:p>
    <w:p w14:paraId="1FE20A7E" w14:textId="1A112953" w:rsidR="00DB001A" w:rsidRPr="00DB001A" w:rsidRDefault="00DB001A" w:rsidP="00DB001A">
      <w:pPr>
        <w:pStyle w:val="Heading2"/>
      </w:pPr>
      <w:bookmarkStart w:id="77" w:name="_Toc121234750"/>
      <w:r>
        <w:t>Recommended approach</w:t>
      </w:r>
      <w:bookmarkEnd w:id="77"/>
    </w:p>
    <w:p w14:paraId="476D11BE" w14:textId="5502D3D5" w:rsidR="00481273" w:rsidRDefault="00A75F7B" w:rsidP="00481273">
      <w:pPr>
        <w:pStyle w:val="BodyCopy"/>
      </w:pPr>
      <w:r>
        <w:t>While acknowledging stakeholder feedback, the</w:t>
      </w:r>
      <w:r w:rsidR="00646CCB">
        <w:t xml:space="preserve"> PAYGO model remains the current basis for estimating the heavy vehicle cost base</w:t>
      </w:r>
      <w:r w:rsidR="00DA4209">
        <w:t xml:space="preserve">.  </w:t>
      </w:r>
    </w:p>
    <w:p w14:paraId="3E4E73E0" w14:textId="77777777" w:rsidR="00481273" w:rsidRDefault="00481273" w:rsidP="00481273">
      <w:pPr>
        <w:pStyle w:val="Heading1"/>
      </w:pPr>
      <w:bookmarkStart w:id="78" w:name="_Toc114042873"/>
      <w:bookmarkStart w:id="79" w:name="_Toc121234751"/>
      <w:r>
        <w:t>Single-year or Multi-year Price Path</w:t>
      </w:r>
      <w:bookmarkEnd w:id="78"/>
      <w:bookmarkEnd w:id="79"/>
    </w:p>
    <w:tbl>
      <w:tblPr>
        <w:tblStyle w:val="NTC-keypoints"/>
        <w:tblW w:w="9043" w:type="dxa"/>
        <w:tblLayout w:type="fixed"/>
        <w:tblLook w:val="04A0" w:firstRow="1" w:lastRow="0" w:firstColumn="1" w:lastColumn="0" w:noHBand="0" w:noVBand="1"/>
      </w:tblPr>
      <w:tblGrid>
        <w:gridCol w:w="9043"/>
      </w:tblGrid>
      <w:tr w:rsidR="00481273" w14:paraId="27F33844" w14:textId="77777777">
        <w:tc>
          <w:tcPr>
            <w:tcW w:w="9043" w:type="dxa"/>
          </w:tcPr>
          <w:p w14:paraId="62C027A6" w14:textId="77777777" w:rsidR="00481273" w:rsidRPr="009476C1" w:rsidRDefault="00481273">
            <w:pPr>
              <w:pStyle w:val="Head3-box"/>
            </w:pPr>
            <w:bookmarkStart w:id="80" w:name="_Hlk120183957"/>
            <w:r w:rsidRPr="009476C1">
              <w:t>Key points</w:t>
            </w:r>
          </w:p>
          <w:p w14:paraId="00BDEBE4" w14:textId="77777777" w:rsidR="00481273" w:rsidRDefault="00481273" w:rsidP="004F3C74">
            <w:pPr>
              <w:pStyle w:val="BodyCopy"/>
              <w:numPr>
                <w:ilvl w:val="0"/>
                <w:numId w:val="17"/>
              </w:numPr>
            </w:pPr>
            <w:r>
              <w:t xml:space="preserve">The 2021 Determination C-RIS explored the option of setting heavy vehicle charges for multiple years. </w:t>
            </w:r>
          </w:p>
          <w:p w14:paraId="110F427A" w14:textId="77777777" w:rsidR="00481273" w:rsidRPr="00302891" w:rsidRDefault="00481273" w:rsidP="004F3C74">
            <w:pPr>
              <w:pStyle w:val="BodyCopy"/>
              <w:numPr>
                <w:ilvl w:val="0"/>
                <w:numId w:val="17"/>
              </w:numPr>
            </w:pPr>
            <w:r w:rsidRPr="007B6E1D">
              <w:t>Setting charges on a yearly basis has the advantage of decisions being based on actual data and not requiring decision-makers to take a view of likely future outcomes.  However, this approach does not provide industry with sufficient certainty to be able to plan for the medium term. Industry submissions have argued that a lack of advance knowledge of changes</w:t>
            </w:r>
            <w:r w:rsidRPr="00302891">
              <w:t xml:space="preserve"> makes it difficult to reflect changes in heavy vehicle charges in prices and/or contractual arrangements in a timely manner.  </w:t>
            </w:r>
          </w:p>
          <w:p w14:paraId="11760217" w14:textId="77777777" w:rsidR="00481273" w:rsidRDefault="00481273" w:rsidP="004F3C74">
            <w:pPr>
              <w:pStyle w:val="BodyCopy"/>
              <w:numPr>
                <w:ilvl w:val="0"/>
                <w:numId w:val="17"/>
              </w:numPr>
            </w:pPr>
            <w:r>
              <w:t>The 2021 Determination C-RIS identified a three-year price path as being the best trade-off between providing certainty to industry and governments, and the risk that prices set under a fixed price path would get out of line with expenditure trends over time.</w:t>
            </w:r>
          </w:p>
          <w:p w14:paraId="773ADB12" w14:textId="58B1C3D7" w:rsidR="00481273" w:rsidRPr="00210749" w:rsidRDefault="000E710B" w:rsidP="004F3C74">
            <w:pPr>
              <w:pStyle w:val="BodyCopy"/>
              <w:numPr>
                <w:ilvl w:val="0"/>
                <w:numId w:val="17"/>
              </w:numPr>
            </w:pPr>
            <w:r>
              <w:t>T</w:t>
            </w:r>
            <w:r w:rsidR="00481273">
              <w:t xml:space="preserve">he NTC recommends that ministers adopt a three-year fixed price pathway.  </w:t>
            </w:r>
          </w:p>
        </w:tc>
      </w:tr>
    </w:tbl>
    <w:p w14:paraId="38C2482B" w14:textId="77777777" w:rsidR="00481273" w:rsidRDefault="00481273" w:rsidP="00481273">
      <w:pPr>
        <w:pStyle w:val="Heading2"/>
      </w:pPr>
      <w:bookmarkStart w:id="81" w:name="_Toc86158493"/>
      <w:bookmarkStart w:id="82" w:name="_Toc114042874"/>
      <w:bookmarkStart w:id="83" w:name="_Toc121234752"/>
      <w:bookmarkEnd w:id="80"/>
      <w:r>
        <w:t>Historical approach to implementing determinations</w:t>
      </w:r>
      <w:bookmarkEnd w:id="81"/>
      <w:bookmarkEnd w:id="82"/>
      <w:bookmarkEnd w:id="83"/>
    </w:p>
    <w:p w14:paraId="10576DB2" w14:textId="77777777" w:rsidR="00481273" w:rsidRDefault="00481273" w:rsidP="00481273">
      <w:pPr>
        <w:pStyle w:val="BodyCopy"/>
      </w:pPr>
      <w:r>
        <w:t xml:space="preserve">Historically, a specific set of heavy vehicle charges would be implemented in the financial year following ministers’ approval of the determination. An annual adjustment process then applied between determinations to ensure heavy vehicle charges revenue kept up with changes in government expenditure. </w:t>
      </w:r>
    </w:p>
    <w:p w14:paraId="0517F180" w14:textId="77777777" w:rsidR="00481273" w:rsidRDefault="00481273" w:rsidP="00481273">
      <w:pPr>
        <w:pStyle w:val="BodyCopy"/>
      </w:pPr>
      <w:r>
        <w:t xml:space="preserve">The annual adjustment initially applied only to registration charges. Over time, this led to an increasing proportion of heavy vehicle charges revenue being recovered through registration charges, whereas the proportion recovered through RUC reduced over time. To avoid this occurring, ministers agreed as part of the 2007 Determination that annual adjustments would apply to registration charges and to RUC. </w:t>
      </w:r>
    </w:p>
    <w:p w14:paraId="029878F2" w14:textId="77777777" w:rsidR="00481273" w:rsidRDefault="00481273" w:rsidP="00481273">
      <w:pPr>
        <w:pStyle w:val="BodyCopy"/>
      </w:pPr>
      <w:r>
        <w:t xml:space="preserve">The annual adjustment was calculated and applied automatically, based on a formula outlined in the Model Law. </w:t>
      </w:r>
    </w:p>
    <w:p w14:paraId="2E648D4B" w14:textId="77777777" w:rsidR="00481273" w:rsidRDefault="00481273" w:rsidP="00481273">
      <w:pPr>
        <w:pStyle w:val="BodyCopy"/>
      </w:pPr>
      <w:r>
        <w:t>Under normal circumstances, this would be the most obvious approach to implementing the heavy vehicle charges approved by ministers as part of this determination. However, this approach is not feasible as it would automatically increase heavy vehicle charges to fully recover the identified heavy vehicle cost base, leading to an increase in heavy vehicle charges of 40.4</w:t>
      </w:r>
      <w:r w:rsidRPr="005A6C7C">
        <w:t xml:space="preserve"> per cent.</w:t>
      </w:r>
      <w:r>
        <w:t xml:space="preserve"> Such a significant increase would arguably impose an unreasonable burden on heavy vehicle operators.     </w:t>
      </w:r>
    </w:p>
    <w:p w14:paraId="628D449F" w14:textId="77777777" w:rsidR="00481273" w:rsidRPr="00812326" w:rsidRDefault="00481273" w:rsidP="00481273">
      <w:pPr>
        <w:pStyle w:val="Heading2"/>
      </w:pPr>
      <w:bookmarkStart w:id="84" w:name="_Toc114042875"/>
      <w:bookmarkStart w:id="85" w:name="_Toc121234753"/>
      <w:r>
        <w:t>Single and multi-year price path explored in the 2021 Determination</w:t>
      </w:r>
      <w:bookmarkEnd w:id="84"/>
      <w:bookmarkEnd w:id="85"/>
    </w:p>
    <w:p w14:paraId="608E7874" w14:textId="77777777" w:rsidR="00481273" w:rsidRDefault="00481273" w:rsidP="00481273">
      <w:pPr>
        <w:pStyle w:val="BodyCopy"/>
      </w:pPr>
      <w:r>
        <w:t xml:space="preserve">The 2021 Determination C-RIS explored the option of single or multi-year price paths. Section 6.4 outlined the considerations involved in choosing the length of a multi-year price path. The 2021 Determination C-RIS recommended </w:t>
      </w:r>
      <w:r w:rsidRPr="00802FFB">
        <w:t>exploring options for a three-year price path as the best compromise between providing</w:t>
      </w:r>
      <w:r>
        <w:t xml:space="preserve"> </w:t>
      </w:r>
      <w:r w:rsidRPr="00802FFB">
        <w:t>certainty and reducing the risk of the gap between the heavy vehicle cost base and heavy</w:t>
      </w:r>
      <w:r>
        <w:t xml:space="preserve"> </w:t>
      </w:r>
      <w:r w:rsidRPr="00802FFB">
        <w:t>vehicle charges revenue widening significantly during the price period</w:t>
      </w:r>
      <w:r>
        <w:t xml:space="preserve">. The following sections briefly summarise the advantages and disadvantages of these alternative approaches.  </w:t>
      </w:r>
    </w:p>
    <w:p w14:paraId="54AFDB2C" w14:textId="77777777" w:rsidR="00481273" w:rsidRDefault="00481273" w:rsidP="00481273">
      <w:pPr>
        <w:pStyle w:val="Heading2"/>
      </w:pPr>
      <w:bookmarkStart w:id="86" w:name="_Toc114042876"/>
      <w:bookmarkStart w:id="87" w:name="_Toc121234754"/>
      <w:bookmarkStart w:id="88" w:name="_Toc86158495"/>
      <w:r>
        <w:t>Single year price decisions</w:t>
      </w:r>
      <w:bookmarkEnd w:id="86"/>
      <w:bookmarkEnd w:id="87"/>
    </w:p>
    <w:p w14:paraId="79780970" w14:textId="77777777" w:rsidR="00481273" w:rsidRDefault="00481273" w:rsidP="00481273">
      <w:pPr>
        <w:pStyle w:val="BodyCopy"/>
      </w:pPr>
      <w:r>
        <w:t xml:space="preserve">In recent years, ministers have made decisions on heavy vehicle charges on a yearly basis.  </w:t>
      </w:r>
    </w:p>
    <w:p w14:paraId="0D0F0175" w14:textId="77777777" w:rsidR="00481273" w:rsidRPr="007612C0" w:rsidRDefault="00481273" w:rsidP="00481273">
      <w:pPr>
        <w:pStyle w:val="BodyCopy"/>
      </w:pPr>
      <w:r w:rsidRPr="007612C0">
        <w:t xml:space="preserve">Single year decisions give </w:t>
      </w:r>
      <w:r>
        <w:t>m</w:t>
      </w:r>
      <w:r w:rsidRPr="007612C0">
        <w:t xml:space="preserve">inisters the ability to tailor </w:t>
      </w:r>
      <w:r>
        <w:t>heavy vehicle</w:t>
      </w:r>
      <w:r w:rsidRPr="007612C0">
        <w:t xml:space="preserve"> charges decisions to the economic environment existing at the time</w:t>
      </w:r>
      <w:r>
        <w:t>, including:</w:t>
      </w:r>
    </w:p>
    <w:p w14:paraId="13B78B0C" w14:textId="77777777" w:rsidR="00481273" w:rsidRPr="007612C0" w:rsidRDefault="00481273" w:rsidP="00481273">
      <w:pPr>
        <w:pStyle w:val="List-bulletlvl1"/>
      </w:pPr>
      <w:r w:rsidRPr="007612C0">
        <w:t>Full knowledge of</w:t>
      </w:r>
      <w:r>
        <w:t xml:space="preserve"> heavy vehicle</w:t>
      </w:r>
      <w:r w:rsidRPr="007612C0">
        <w:t xml:space="preserve"> cost base and reliable forecast of revenue</w:t>
      </w:r>
    </w:p>
    <w:p w14:paraId="035DFEEA" w14:textId="77777777" w:rsidR="00481273" w:rsidRPr="007612C0" w:rsidRDefault="00481273" w:rsidP="00481273">
      <w:pPr>
        <w:pStyle w:val="List-bulletlvl1"/>
      </w:pPr>
      <w:r>
        <w:t xml:space="preserve">The effect on industry of current and recent events such as </w:t>
      </w:r>
      <w:r w:rsidRPr="007612C0">
        <w:t xml:space="preserve">bushfires, floods, COVID-19, </w:t>
      </w:r>
      <w:r>
        <w:t xml:space="preserve">high fuel prices, inflation, </w:t>
      </w:r>
      <w:r w:rsidRPr="007612C0">
        <w:t>etc.</w:t>
      </w:r>
    </w:p>
    <w:p w14:paraId="48090949" w14:textId="77777777" w:rsidR="00481273" w:rsidRDefault="00481273" w:rsidP="00481273">
      <w:pPr>
        <w:pStyle w:val="List-bulletlvl1"/>
        <w:numPr>
          <w:ilvl w:val="0"/>
          <w:numId w:val="0"/>
        </w:numPr>
      </w:pPr>
      <w:r>
        <w:t>However, there is a r</w:t>
      </w:r>
      <w:r w:rsidRPr="007612C0">
        <w:t>isk of short-term considerations crowding out long-term cost recovery goals</w:t>
      </w:r>
      <w:r>
        <w:t xml:space="preserve">.  </w:t>
      </w:r>
    </w:p>
    <w:p w14:paraId="1DB60ACA" w14:textId="77777777" w:rsidR="00481273" w:rsidRPr="007612C0" w:rsidRDefault="00481273" w:rsidP="00481273">
      <w:pPr>
        <w:pStyle w:val="BodyCopy"/>
      </w:pPr>
      <w:r>
        <w:t>In addition, yearly decisions on heavy vehicle charges give industry limited certainty,</w:t>
      </w:r>
      <w:r w:rsidRPr="007612C0">
        <w:t xml:space="preserve"> and short notice of price changes are difficult for industry</w:t>
      </w:r>
      <w:r>
        <w:t xml:space="preserve"> to manage. Difficulties from an industry perspective include:</w:t>
      </w:r>
    </w:p>
    <w:p w14:paraId="6BC8B5FB" w14:textId="77777777" w:rsidR="00481273" w:rsidRPr="007612C0" w:rsidRDefault="00481273" w:rsidP="00481273">
      <w:pPr>
        <w:pStyle w:val="List-bulletlvl1"/>
      </w:pPr>
      <w:r>
        <w:t>Freight r</w:t>
      </w:r>
      <w:r w:rsidRPr="007612C0">
        <w:t>ates and contracts</w:t>
      </w:r>
      <w:r>
        <w:t xml:space="preserve"> with customers</w:t>
      </w:r>
      <w:r w:rsidRPr="007612C0">
        <w:t xml:space="preserve"> </w:t>
      </w:r>
      <w:r>
        <w:t xml:space="preserve">usually cannot </w:t>
      </w:r>
      <w:r w:rsidRPr="007612C0">
        <w:t xml:space="preserve">be adjusted </w:t>
      </w:r>
      <w:r>
        <w:t>rapidly.</w:t>
      </w:r>
    </w:p>
    <w:p w14:paraId="0DFA4CC8" w14:textId="77777777" w:rsidR="00481273" w:rsidRPr="007612C0" w:rsidRDefault="00481273" w:rsidP="00481273">
      <w:pPr>
        <w:pStyle w:val="List-bulletlvl1"/>
      </w:pPr>
      <w:r>
        <w:t>The lack of certainty around the level of heavy vehicle charges can make m</w:t>
      </w:r>
      <w:r w:rsidRPr="007612C0">
        <w:t>edium to long-term business planning difficult</w:t>
      </w:r>
      <w:r>
        <w:t xml:space="preserve">.  </w:t>
      </w:r>
    </w:p>
    <w:p w14:paraId="56604C07" w14:textId="77777777" w:rsidR="00481273" w:rsidRDefault="00481273" w:rsidP="00481273">
      <w:pPr>
        <w:pStyle w:val="BodyCopy"/>
      </w:pPr>
      <w:r>
        <w:t>For both industry and governments, setting heavy vehicle charges on a yearly basis involves r</w:t>
      </w:r>
      <w:r w:rsidRPr="007612C0">
        <w:t>elatively high administrative effort</w:t>
      </w:r>
      <w:r>
        <w:t xml:space="preserve">.  </w:t>
      </w:r>
    </w:p>
    <w:p w14:paraId="47518B4C" w14:textId="77777777" w:rsidR="00481273" w:rsidRDefault="00481273" w:rsidP="00481273">
      <w:pPr>
        <w:pStyle w:val="Heading2"/>
      </w:pPr>
      <w:bookmarkStart w:id="89" w:name="_Toc114042877"/>
      <w:bookmarkStart w:id="90" w:name="_Toc121234755"/>
      <w:r>
        <w:t xml:space="preserve">Three-year fixed price </w:t>
      </w:r>
      <w:bookmarkEnd w:id="88"/>
      <w:r>
        <w:t>path decisions</w:t>
      </w:r>
      <w:bookmarkEnd w:id="89"/>
      <w:bookmarkEnd w:id="90"/>
    </w:p>
    <w:p w14:paraId="1E59CBE3" w14:textId="77777777" w:rsidR="00481273" w:rsidRDefault="00481273" w:rsidP="00481273">
      <w:pPr>
        <w:pStyle w:val="BodyCopy"/>
      </w:pPr>
      <w:r>
        <w:t>Setting prices to cover three-year periods was r</w:t>
      </w:r>
      <w:r w:rsidRPr="00671088">
        <w:t>ecommended</w:t>
      </w:r>
      <w:r>
        <w:t xml:space="preserve"> by the NTC</w:t>
      </w:r>
      <w:r w:rsidRPr="00671088">
        <w:t xml:space="preserve"> as part of</w:t>
      </w:r>
      <w:r>
        <w:t xml:space="preserve"> the 2021 Determination C-RIS.  </w:t>
      </w:r>
    </w:p>
    <w:p w14:paraId="75EF7ECE" w14:textId="77777777" w:rsidR="00481273" w:rsidRDefault="00481273" w:rsidP="00481273">
      <w:pPr>
        <w:pStyle w:val="BodyCopy"/>
      </w:pPr>
      <w:r>
        <w:t>Setting fixed charges in advance for a three-year period would require ministers to make decisions with limited information for the second and third years of the pricing period. Issues include:</w:t>
      </w:r>
    </w:p>
    <w:p w14:paraId="7FE09FA4" w14:textId="77777777" w:rsidR="00481273" w:rsidRDefault="00481273" w:rsidP="00481273">
      <w:pPr>
        <w:pStyle w:val="List-bulletlvl1"/>
      </w:pPr>
      <w:r>
        <w:t xml:space="preserve">The heavy vehicle cost base for the second and third year is unknown, and ministers would be deciding on the second and third years without full knowledge of the heavy vehicle cost base if they agree to implement a three-year fixed price path. Given the volatility of road expenditure and therefore the heavy vehicle cost base, forecasts will be prone to error. </w:t>
      </w:r>
    </w:p>
    <w:p w14:paraId="67594BB0" w14:textId="77777777" w:rsidR="00481273" w:rsidRDefault="00481273" w:rsidP="00481273">
      <w:pPr>
        <w:pStyle w:val="List-bulletlvl1"/>
      </w:pPr>
      <w:r>
        <w:t xml:space="preserve">Given the current gap between the heavy vehicle cost base and heavy vehicle charges revenue, there is little risk of setting charges at a level that would see the gap completely eliminated over three years. In addition, the NTC would monitor outcomes and provide a report to ministers each year. If these reports highlighted a risk of over-recovery, ministers could always take action to avoid this situation should they wish to do so.  </w:t>
      </w:r>
    </w:p>
    <w:p w14:paraId="67B99B8B" w14:textId="77777777" w:rsidR="00481273" w:rsidRDefault="00481273" w:rsidP="00481273">
      <w:pPr>
        <w:pStyle w:val="BodyText1"/>
      </w:pPr>
      <w:r>
        <w:t>Setting charges for three years in advance would r</w:t>
      </w:r>
      <w:r w:rsidRPr="00671088">
        <w:t>equire</w:t>
      </w:r>
      <w:r>
        <w:t xml:space="preserve"> ministers</w:t>
      </w:r>
      <w:r w:rsidRPr="00671088">
        <w:t xml:space="preserve"> to take a medium-term view</w:t>
      </w:r>
      <w:r>
        <w:t xml:space="preserve"> on the likely environment in which the heavy vehicle industry operates. This would be likely to reduce the</w:t>
      </w:r>
      <w:r w:rsidRPr="00671088">
        <w:t xml:space="preserve"> risk of short-term considerations crowding out long-term cost recovery goals</w:t>
      </w:r>
      <w:r>
        <w:t xml:space="preserve"> compared to the alternative of single year decision-making.  </w:t>
      </w:r>
    </w:p>
    <w:p w14:paraId="5690FFF5" w14:textId="77777777" w:rsidR="00481273" w:rsidRPr="00671088" w:rsidRDefault="00481273" w:rsidP="00481273">
      <w:pPr>
        <w:pStyle w:val="BodyText1"/>
      </w:pPr>
      <w:r>
        <w:t>Setting charges for three-year periods would also have some significant advantages, including:</w:t>
      </w:r>
    </w:p>
    <w:p w14:paraId="13B83964" w14:textId="77777777" w:rsidR="00481273" w:rsidRDefault="00481273" w:rsidP="00481273">
      <w:pPr>
        <w:pStyle w:val="List-bulletlvl1"/>
      </w:pPr>
      <w:r>
        <w:t>Industry and government would both have greater certainty about likely future costs and revenues.</w:t>
      </w:r>
    </w:p>
    <w:p w14:paraId="1D7E6D93" w14:textId="77777777" w:rsidR="00481273" w:rsidRDefault="00481273" w:rsidP="00481273">
      <w:pPr>
        <w:pStyle w:val="List-bulletlvl1"/>
      </w:pPr>
      <w:r>
        <w:t>Industry would be in a better position to implement prices reflecting applicable heavy vehicle charges.</w:t>
      </w:r>
    </w:p>
    <w:p w14:paraId="163E5561" w14:textId="77777777" w:rsidR="00481273" w:rsidRDefault="00481273" w:rsidP="00481273">
      <w:pPr>
        <w:pStyle w:val="BodyText1"/>
      </w:pPr>
      <w:r>
        <w:t>This approach would be expected to be a</w:t>
      </w:r>
      <w:r w:rsidRPr="00671088">
        <w:t>dministratively more efficient</w:t>
      </w:r>
      <w:r>
        <w:t xml:space="preserve"> for both governments and industry. </w:t>
      </w:r>
    </w:p>
    <w:p w14:paraId="705E2DD2" w14:textId="36A2A025" w:rsidR="00481273" w:rsidRDefault="00481273" w:rsidP="00481273">
      <w:pPr>
        <w:pStyle w:val="BodyCopy"/>
      </w:pPr>
      <w:r>
        <w:t xml:space="preserve">Most submitters to the 2021 Determination C-RIS supported the concept of a three-year fixed price implementation pathway. However, this support was in many cases conditional on the percentage increases adopted, and the amount of certainty that would be provided to industry. </w:t>
      </w:r>
    </w:p>
    <w:p w14:paraId="1E4256C3" w14:textId="6C5C11C1" w:rsidR="001723FD" w:rsidRDefault="001723FD" w:rsidP="001723FD">
      <w:pPr>
        <w:pStyle w:val="Heading2"/>
      </w:pPr>
      <w:bookmarkStart w:id="91" w:name="_Toc121234756"/>
      <w:bookmarkStart w:id="92" w:name="_Toc114042878"/>
      <w:r>
        <w:t>Stakeholder feedback and submissions</w:t>
      </w:r>
      <w:bookmarkEnd w:id="91"/>
    </w:p>
    <w:p w14:paraId="7CCCC1E1" w14:textId="4F592C13" w:rsidR="001723FD" w:rsidRDefault="005211B9" w:rsidP="001723FD">
      <w:pPr>
        <w:pStyle w:val="BodyCopy"/>
      </w:pPr>
      <w:r w:rsidRPr="005211B9">
        <w:t xml:space="preserve">Most submitters supported the concept of a three-year fixed price implementation pathway due to the certainty it would provide, with support in some cases </w:t>
      </w:r>
      <w:r w:rsidR="000E710B">
        <w:t xml:space="preserve">being </w:t>
      </w:r>
      <w:r w:rsidRPr="005211B9">
        <w:t>conditional on a low charge increase outcome. The ATA’s support was conditional on the basis that governments intend to move towards a forward-looking cost base or to reinstate the link between a new, more targeted cost base and heavy vehicle charges revenue</w:t>
      </w:r>
      <w:r w:rsidR="00DA4209">
        <w:t>.</w:t>
      </w:r>
    </w:p>
    <w:p w14:paraId="6810CB58" w14:textId="03853FA9" w:rsidR="00481273" w:rsidRDefault="00367648" w:rsidP="00481273">
      <w:pPr>
        <w:pStyle w:val="Heading2"/>
      </w:pPr>
      <w:bookmarkStart w:id="93" w:name="_Toc121234757"/>
      <w:r>
        <w:t xml:space="preserve">Conclusion and </w:t>
      </w:r>
      <w:bookmarkEnd w:id="92"/>
      <w:r>
        <w:t>recommendations</w:t>
      </w:r>
      <w:bookmarkEnd w:id="93"/>
    </w:p>
    <w:p w14:paraId="6755EB1F" w14:textId="77777777" w:rsidR="00481273" w:rsidRDefault="00481273" w:rsidP="00481273">
      <w:pPr>
        <w:pStyle w:val="BodyText1"/>
      </w:pPr>
      <w:r>
        <w:t xml:space="preserve">Based on the considerations outlined above, the NTC recommends that ministers set heavy vehicle charges for a three-year period beginning in 2023-24. </w:t>
      </w:r>
    </w:p>
    <w:p w14:paraId="662A03A3" w14:textId="77777777" w:rsidR="00481273" w:rsidRDefault="00481273" w:rsidP="00481273">
      <w:pPr>
        <w:pStyle w:val="BodyText1"/>
      </w:pPr>
      <w:r>
        <w:t xml:space="preserve">Setting charges for multiple years could allow prices to be set to commence a longer-term transition to full cost recovery at a measured pace. This needs to recognise both the cost recovery principle underpinning PAYGO and the recognition that moving to full cost recovery immediately would impose an unreasonable burden on heavy vehicle operators. </w:t>
      </w:r>
    </w:p>
    <w:p w14:paraId="74DA7C52" w14:textId="77777777" w:rsidR="00481273" w:rsidRDefault="00481273" w:rsidP="00481273">
      <w:pPr>
        <w:pStyle w:val="BodyText1"/>
      </w:pPr>
      <w:r>
        <w:t xml:space="preserve">Agreeing a multi-year price path would also have the potential to reduce administrative and compliance costs for governments and industry. </w:t>
      </w:r>
    </w:p>
    <w:p w14:paraId="7CE05C82" w14:textId="77777777" w:rsidR="00481273" w:rsidRDefault="00481273" w:rsidP="00481273">
      <w:pPr>
        <w:pStyle w:val="BodyText1"/>
      </w:pPr>
      <w:r>
        <w:t xml:space="preserve">Recent experience with the need to revisit heavy vehicle charges each year shows this is distracting to both governments and industry and consumes significant administrative resources. These costs could be avoided, at least in part, with a defined multi-year price path. </w:t>
      </w:r>
    </w:p>
    <w:p w14:paraId="4649D7D8" w14:textId="77777777" w:rsidR="00481273" w:rsidRDefault="00481273" w:rsidP="00481273">
      <w:pPr>
        <w:pStyle w:val="BodyText1"/>
      </w:pPr>
      <w:r>
        <w:t xml:space="preserve">A three-year price path which is set in advance may offer additional advantages in that it would provide industry with certainty about the heavy vehicle charges that would apply in the medium term, allowing vehicle operators to make better pricing decisions and reflect them in contracts. </w:t>
      </w:r>
    </w:p>
    <w:p w14:paraId="3FC35B94" w14:textId="77777777" w:rsidR="00481273" w:rsidRDefault="00481273" w:rsidP="00481273">
      <w:pPr>
        <w:pStyle w:val="Heading1"/>
      </w:pPr>
      <w:bookmarkStart w:id="94" w:name="_Ref110408348"/>
      <w:bookmarkStart w:id="95" w:name="_Toc114042880"/>
      <w:bookmarkStart w:id="96" w:name="_Toc121234758"/>
      <w:r>
        <w:t>Options for Setting Charges from 2023-24 Onwards</w:t>
      </w:r>
      <w:bookmarkEnd w:id="94"/>
      <w:bookmarkEnd w:id="95"/>
      <w:bookmarkEnd w:id="96"/>
    </w:p>
    <w:tbl>
      <w:tblPr>
        <w:tblStyle w:val="NTC-keypoints"/>
        <w:tblW w:w="9043" w:type="dxa"/>
        <w:tblLayout w:type="fixed"/>
        <w:tblLook w:val="04A0" w:firstRow="1" w:lastRow="0" w:firstColumn="1" w:lastColumn="0" w:noHBand="0" w:noVBand="1"/>
      </w:tblPr>
      <w:tblGrid>
        <w:gridCol w:w="9043"/>
      </w:tblGrid>
      <w:tr w:rsidR="000E10AB" w14:paraId="0912F64D" w14:textId="77777777" w:rsidTr="004C5F2A">
        <w:tc>
          <w:tcPr>
            <w:tcW w:w="9043" w:type="dxa"/>
          </w:tcPr>
          <w:p w14:paraId="5A70A7A4" w14:textId="77777777" w:rsidR="000E10AB" w:rsidRPr="009476C1" w:rsidRDefault="000E10AB" w:rsidP="004C5F2A">
            <w:pPr>
              <w:pStyle w:val="Head3-box"/>
            </w:pPr>
            <w:bookmarkStart w:id="97" w:name="_Toc114042881"/>
            <w:r w:rsidRPr="009476C1">
              <w:t>Key points</w:t>
            </w:r>
          </w:p>
          <w:p w14:paraId="424DA427" w14:textId="4611E996" w:rsidR="000E10AB" w:rsidRDefault="000E10AB" w:rsidP="000E10AB">
            <w:pPr>
              <w:pStyle w:val="BodyCopy"/>
              <w:numPr>
                <w:ilvl w:val="0"/>
                <w:numId w:val="37"/>
              </w:numPr>
            </w:pPr>
            <w:r>
              <w:t>The gap between the heavy vehicle cost base and estimated heavy vehicle charges for 2022-23 is $</w:t>
            </w:r>
            <w:r w:rsidR="000E710B">
              <w:t>575.8m</w:t>
            </w:r>
            <w:r>
              <w:t xml:space="preserve">, after implementing ITMM’s decision to increase heavy vehicle charges by 2.75 per cent for that year.  </w:t>
            </w:r>
          </w:p>
          <w:p w14:paraId="379F5166" w14:textId="4EE586B7" w:rsidR="000E10AB" w:rsidRDefault="009415CD" w:rsidP="000E10AB">
            <w:pPr>
              <w:pStyle w:val="BodyCopy"/>
              <w:numPr>
                <w:ilvl w:val="0"/>
                <w:numId w:val="37"/>
              </w:numPr>
            </w:pPr>
            <w:r>
              <w:t>H</w:t>
            </w:r>
            <w:r w:rsidR="000E10AB">
              <w:t>eavy vehicle charges would need to be increased by 17.3 per cent for three consecutive years to eliminate the revenue gap by 2025-26. Increases of 13.5 per cent per annum for three consecutive years would be needed to ensure the remaining gap in 2025-26 was at the current level of $</w:t>
            </w:r>
            <w:r w:rsidR="000E710B">
              <w:t>575.8</w:t>
            </w:r>
            <w:r w:rsidR="000E10AB">
              <w:t xml:space="preserve">m. </w:t>
            </w:r>
          </w:p>
          <w:p w14:paraId="695A5780" w14:textId="07278E36" w:rsidR="000E10AB" w:rsidRDefault="000E10AB" w:rsidP="000E10AB">
            <w:pPr>
              <w:pStyle w:val="BodyCopy"/>
              <w:numPr>
                <w:ilvl w:val="0"/>
                <w:numId w:val="37"/>
              </w:numPr>
            </w:pPr>
            <w:r>
              <w:t>The three options</w:t>
            </w:r>
            <w:r w:rsidR="009415CD">
              <w:t xml:space="preserve"> consulted on</w:t>
            </w:r>
            <w:r>
              <w:t xml:space="preserve"> are:</w:t>
            </w:r>
          </w:p>
          <w:p w14:paraId="49DBB4F2" w14:textId="67C41136" w:rsidR="000E10AB" w:rsidRPr="009415CD" w:rsidRDefault="000E10AB" w:rsidP="000E10AB">
            <w:pPr>
              <w:pStyle w:val="BodyCopy"/>
              <w:numPr>
                <w:ilvl w:val="1"/>
                <w:numId w:val="37"/>
              </w:numPr>
            </w:pPr>
            <w:r w:rsidRPr="009415CD">
              <w:t xml:space="preserve">Option 1: Increase heavy vehicle charges by </w:t>
            </w:r>
            <w:r w:rsidRPr="009415CD">
              <w:rPr>
                <w:u w:val="single"/>
              </w:rPr>
              <w:t>2.75 per cent</w:t>
            </w:r>
            <w:r w:rsidRPr="009415CD">
              <w:t xml:space="preserve"> per annum</w:t>
            </w:r>
          </w:p>
          <w:p w14:paraId="0CB993E4" w14:textId="33C7258F" w:rsidR="000E10AB" w:rsidRPr="009415CD" w:rsidRDefault="000E10AB" w:rsidP="000E10AB">
            <w:pPr>
              <w:pStyle w:val="BodyCopy"/>
              <w:numPr>
                <w:ilvl w:val="1"/>
                <w:numId w:val="37"/>
              </w:numPr>
            </w:pPr>
            <w:r w:rsidRPr="009415CD">
              <w:t xml:space="preserve">Option 2: Increase heavy vehicle charges by </w:t>
            </w:r>
            <w:r w:rsidRPr="009415CD">
              <w:rPr>
                <w:u w:val="single"/>
              </w:rPr>
              <w:t xml:space="preserve">6 per cent </w:t>
            </w:r>
            <w:r w:rsidRPr="009415CD">
              <w:t xml:space="preserve">per annum </w:t>
            </w:r>
          </w:p>
          <w:p w14:paraId="466B3B7D" w14:textId="7D94CEC3" w:rsidR="000E10AB" w:rsidRPr="009415CD" w:rsidRDefault="000E10AB" w:rsidP="000E10AB">
            <w:pPr>
              <w:pStyle w:val="BodyCopy"/>
              <w:numPr>
                <w:ilvl w:val="1"/>
                <w:numId w:val="37"/>
              </w:numPr>
            </w:pPr>
            <w:r w:rsidRPr="009415CD">
              <w:t xml:space="preserve">Option 3: Increase heavy vehicle charges by </w:t>
            </w:r>
            <w:r w:rsidRPr="009415CD">
              <w:rPr>
                <w:u w:val="single"/>
              </w:rPr>
              <w:t>10 per cent</w:t>
            </w:r>
            <w:r w:rsidRPr="009415CD">
              <w:t xml:space="preserve"> per annum  </w:t>
            </w:r>
          </w:p>
          <w:p w14:paraId="023A78C1" w14:textId="79101DBD" w:rsidR="000E710B" w:rsidRDefault="000E710B" w:rsidP="004C5F2A">
            <w:pPr>
              <w:pStyle w:val="BodyCopy"/>
              <w:numPr>
                <w:ilvl w:val="0"/>
                <w:numId w:val="17"/>
              </w:numPr>
            </w:pPr>
            <w:r>
              <w:t>A</w:t>
            </w:r>
            <w:r w:rsidR="000E10AB">
              <w:t xml:space="preserve"> substantial gap between the heavy vehicle cost base and estimated revenue would remain under all three options. </w:t>
            </w:r>
          </w:p>
          <w:p w14:paraId="3C905B7F" w14:textId="6FB1499A" w:rsidR="000E10AB" w:rsidRPr="00210749" w:rsidRDefault="000E710B" w:rsidP="009415CD">
            <w:pPr>
              <w:pStyle w:val="BodyCopy"/>
              <w:numPr>
                <w:ilvl w:val="0"/>
                <w:numId w:val="17"/>
              </w:numPr>
            </w:pPr>
            <w:r>
              <w:t xml:space="preserve">Most submissions raised the issue of affordability in paying for charge increases The ATA and Natroad support a zero increase in 2023-24 and 2.75% in the remainder of the three year period.  The ALRTA, BIC and MTA (NT/SA) all supported Option 1 at 2.75% per annum over three years. </w:t>
            </w:r>
          </w:p>
        </w:tc>
      </w:tr>
    </w:tbl>
    <w:p w14:paraId="449D1794" w14:textId="7ED0FCCA" w:rsidR="00481273" w:rsidRDefault="00481273" w:rsidP="00481273">
      <w:pPr>
        <w:pStyle w:val="Heading2"/>
      </w:pPr>
      <w:bookmarkStart w:id="98" w:name="_Toc121234759"/>
      <w:r>
        <w:t xml:space="preserve">Applying </w:t>
      </w:r>
      <w:r w:rsidR="009415CD">
        <w:t xml:space="preserve">the </w:t>
      </w:r>
      <w:r>
        <w:t>pricing principles in practice</w:t>
      </w:r>
      <w:bookmarkEnd w:id="97"/>
      <w:bookmarkEnd w:id="98"/>
    </w:p>
    <w:p w14:paraId="599E684C" w14:textId="77777777" w:rsidR="00481273" w:rsidRDefault="00481273" w:rsidP="00481273">
      <w:pPr>
        <w:pStyle w:val="BodyText1"/>
      </w:pPr>
      <w:r w:rsidRPr="00031DC5">
        <w:t>The pricing principles include the principle of fully recovering infrastructure costs while minimising both the over</w:t>
      </w:r>
      <w:r>
        <w:t>-</w:t>
      </w:r>
      <w:r w:rsidRPr="00031DC5">
        <w:t xml:space="preserve"> and under</w:t>
      </w:r>
      <w:r>
        <w:t>-</w:t>
      </w:r>
      <w:r w:rsidRPr="00031DC5">
        <w:t>recovery from any class of vehicle.</w:t>
      </w:r>
      <w:r>
        <w:t xml:space="preserve"> </w:t>
      </w:r>
      <w:r w:rsidRPr="00031DC5">
        <w:t>They also require us to consider administrative simplicity, efficiency and equity (e.g. impact on regional and remote communities/access).</w:t>
      </w:r>
      <w:r>
        <w:t xml:space="preserve"> </w:t>
      </w:r>
    </w:p>
    <w:p w14:paraId="2D141C27" w14:textId="77777777" w:rsidR="00481273" w:rsidRDefault="00481273" w:rsidP="00481273">
      <w:pPr>
        <w:pStyle w:val="BodyText1"/>
      </w:pPr>
      <w:r>
        <w:t xml:space="preserve">Currently, heavy vehicle charges revenue is below the identified heavy vehicle cost base. It is unlikely that this gap can be closed immediately or over the three-year period from 2023-24 onwards. On the other hand, it is unlikely that any option that would permanently recover less than the identified cost base would comply with the principle of full cost recovery. </w:t>
      </w:r>
    </w:p>
    <w:p w14:paraId="7788D743" w14:textId="77777777" w:rsidR="00481273" w:rsidRDefault="00481273" w:rsidP="00481273">
      <w:pPr>
        <w:pStyle w:val="BodyText1"/>
      </w:pPr>
      <w:r>
        <w:t>The need to consider efficiency and equity means that options that impose an undue burden on vehicle operators, such as large year-on-year changes, are likely to fail to comply with the efficiency and equity principles. Industry submissions on the 2021 Determination C-RIS highlighted that heavy vehicle operators are constrained in their ability to reflect increases in heavy vehicle charges in the rates they charge their customers.</w:t>
      </w:r>
    </w:p>
    <w:p w14:paraId="57B71009" w14:textId="77777777" w:rsidR="00481273" w:rsidRDefault="00481273" w:rsidP="00481273">
      <w:pPr>
        <w:pStyle w:val="BodyText1"/>
      </w:pPr>
      <w:r>
        <w:t xml:space="preserve">Our interpretation of the combined pricing principles in the current environment is that they would favour an implementation pathway that pays some regard to the calculated heavy vehicle cost base while, at the same time, keeping yearly increases to heavy vehicle charges within reasonable bounds.  </w:t>
      </w:r>
    </w:p>
    <w:p w14:paraId="1E23C37A" w14:textId="2CFE0E3D" w:rsidR="00F9022C" w:rsidRDefault="00F9022C" w:rsidP="00481273">
      <w:pPr>
        <w:pStyle w:val="Heading2"/>
      </w:pPr>
      <w:bookmarkStart w:id="99" w:name="_Toc121234760"/>
      <w:bookmarkStart w:id="100" w:name="_Ref111542150"/>
      <w:bookmarkStart w:id="101" w:name="_Ref109826789"/>
      <w:bookmarkStart w:id="102" w:name="_Toc114042882"/>
      <w:r>
        <w:t>Gap between heavy vehicle cost base and estimated heavy vehicle charges revenue</w:t>
      </w:r>
      <w:bookmarkEnd w:id="99"/>
    </w:p>
    <w:p w14:paraId="2974FBA6" w14:textId="07D46305" w:rsidR="00F9022C" w:rsidRDefault="00F9022C" w:rsidP="00F9022C">
      <w:pPr>
        <w:pStyle w:val="BodyCopy"/>
      </w:pPr>
      <w:r>
        <w:t>The gap between the heavy vehicle cost base and estimated heavy vehicle charges for 2022-23 is $</w:t>
      </w:r>
      <w:r w:rsidR="009415CD">
        <w:t>575.8</w:t>
      </w:r>
      <w:r>
        <w:t xml:space="preserve">m, after implementing ITMM’s decision to increase heavy vehicle charges by 2.75 per cent for that year.  </w:t>
      </w:r>
    </w:p>
    <w:p w14:paraId="7C6BB91E" w14:textId="2489FEE1" w:rsidR="00F9022C" w:rsidRDefault="00F9022C" w:rsidP="00F9022C">
      <w:pPr>
        <w:pStyle w:val="BodyCopy"/>
      </w:pPr>
      <w:r>
        <w:t xml:space="preserve">Given the forecast increases in the heavy vehicle cost base presented in Section </w:t>
      </w:r>
      <w:r>
        <w:fldChar w:fldCharType="begin"/>
      </w:r>
      <w:r>
        <w:instrText xml:space="preserve"> REF _Ref111537568 \r \h </w:instrText>
      </w:r>
      <w:r>
        <w:fldChar w:fldCharType="separate"/>
      </w:r>
      <w:r w:rsidR="0043504D">
        <w:t>3.5</w:t>
      </w:r>
      <w:r>
        <w:fldChar w:fldCharType="end"/>
      </w:r>
      <w:r>
        <w:t>, heavy vehicle charges would need to be increased by 17.3 per cent for three consecutive years to eliminate the revenue gap by 2025-26. Increases of 13.5 per cent per annum for three consecutive years would be needed to ensure the remaining gap in 2025-26 was at the current level of $</w:t>
      </w:r>
      <w:r w:rsidR="009415CD">
        <w:t>575.8</w:t>
      </w:r>
      <w:r>
        <w:t xml:space="preserve">m. </w:t>
      </w:r>
    </w:p>
    <w:p w14:paraId="5FBFEE63" w14:textId="6595CF0F" w:rsidR="00F9022C" w:rsidRDefault="00F9022C" w:rsidP="00F9022C">
      <w:pPr>
        <w:pStyle w:val="BodyCopy"/>
      </w:pPr>
      <w:r>
        <w:t xml:space="preserve">The NTC developed three options for consultation. The reasons these options do not include options for yearly increases of 17.3 per cent or 13.5 per cent include: </w:t>
      </w:r>
    </w:p>
    <w:p w14:paraId="24EF1C49" w14:textId="04647D33" w:rsidR="00481273" w:rsidRDefault="00481273" w:rsidP="00481273">
      <w:pPr>
        <w:pStyle w:val="Heading2"/>
      </w:pPr>
      <w:bookmarkStart w:id="103" w:name="_Toc121234761"/>
      <w:r>
        <w:t xml:space="preserve">Three options </w:t>
      </w:r>
      <w:bookmarkEnd w:id="100"/>
      <w:bookmarkEnd w:id="101"/>
      <w:bookmarkEnd w:id="102"/>
      <w:r w:rsidR="001723FD">
        <w:t>consulted on</w:t>
      </w:r>
      <w:bookmarkEnd w:id="103"/>
    </w:p>
    <w:p w14:paraId="041CEF65" w14:textId="3367BB58" w:rsidR="00481273" w:rsidRDefault="00481273" w:rsidP="00481273">
      <w:pPr>
        <w:pStyle w:val="BodyCopy"/>
      </w:pPr>
      <w:r>
        <w:t xml:space="preserve">As any discussion of heavy vehicle charges needs to be based on uncertain forecasts, as developed in Section 4 of this paper, we have </w:t>
      </w:r>
      <w:r w:rsidR="00B27C07">
        <w:t xml:space="preserve">consulted </w:t>
      </w:r>
      <w:r>
        <w:t xml:space="preserve">on three options for setting heavy vehicle charges. </w:t>
      </w:r>
    </w:p>
    <w:p w14:paraId="6518A51E" w14:textId="6E5A883A" w:rsidR="00481273" w:rsidRDefault="00481273" w:rsidP="00481273">
      <w:pPr>
        <w:pStyle w:val="BodyCopy"/>
      </w:pPr>
      <w:r>
        <w:t xml:space="preserve">For illustration, we have developed these options assuming a three-year fixed price approach. However, should ministers decide to set charges for a single year only, these approaches can easily be used to inform successive single-year price setting decisions.  </w:t>
      </w:r>
    </w:p>
    <w:p w14:paraId="7D836F46" w14:textId="77777777" w:rsidR="00481273" w:rsidRDefault="00481273" w:rsidP="00481273">
      <w:pPr>
        <w:pStyle w:val="BodyCopy"/>
      </w:pPr>
      <w:r>
        <w:t>The three options for setting heavy vehicle charges explored in this paper are:</w:t>
      </w:r>
    </w:p>
    <w:p w14:paraId="3650C88A" w14:textId="77777777" w:rsidR="00481273" w:rsidRDefault="00481273" w:rsidP="00481273">
      <w:pPr>
        <w:pStyle w:val="BodyCopy"/>
      </w:pPr>
      <w:r>
        <w:rPr>
          <w:b/>
          <w:bCs/>
        </w:rPr>
        <w:t xml:space="preserve">Option 1: Increase heavy vehicle charges by 2.75 per cent per annum: </w:t>
      </w:r>
      <w:r>
        <w:t xml:space="preserve">This is the same percentage increase as agreed by ITMM for 2022-23 heavy vehicle charges. </w:t>
      </w:r>
    </w:p>
    <w:p w14:paraId="542A3691" w14:textId="77777777" w:rsidR="00481273" w:rsidRDefault="00481273" w:rsidP="00481273">
      <w:pPr>
        <w:pStyle w:val="BodyCopy"/>
      </w:pPr>
      <w:r>
        <w:rPr>
          <w:b/>
          <w:bCs/>
        </w:rPr>
        <w:t xml:space="preserve">Option 2: Increase heavy vehicle charges by 6 per cent per annum: </w:t>
      </w:r>
      <w:r>
        <w:t xml:space="preserve">This is close to the current rate of consumer price inflation. Consumer price inflation was 6.1 per cent in the year ending June 2022.  </w:t>
      </w:r>
    </w:p>
    <w:p w14:paraId="727C29BF" w14:textId="77777777" w:rsidR="00481273" w:rsidRDefault="00481273" w:rsidP="00481273">
      <w:pPr>
        <w:pStyle w:val="BodyCopy"/>
      </w:pPr>
      <w:r w:rsidRPr="00B0099A">
        <w:rPr>
          <w:b/>
        </w:rPr>
        <w:t>Op</w:t>
      </w:r>
      <w:r w:rsidRPr="005003D3">
        <w:rPr>
          <w:b/>
        </w:rPr>
        <w:t xml:space="preserve">tion 3: </w:t>
      </w:r>
      <w:r>
        <w:rPr>
          <w:b/>
        </w:rPr>
        <w:t xml:space="preserve">Increase heavy vehicle charges by </w:t>
      </w:r>
      <w:r w:rsidRPr="00B0099A">
        <w:rPr>
          <w:b/>
        </w:rPr>
        <w:t>10</w:t>
      </w:r>
      <w:r w:rsidRPr="005003D3">
        <w:rPr>
          <w:b/>
        </w:rPr>
        <w:t xml:space="preserve"> per cent per annum: </w:t>
      </w:r>
      <w:r w:rsidRPr="00EB26A7">
        <w:t>This is</w:t>
      </w:r>
      <w:r>
        <w:rPr>
          <w:bCs/>
        </w:rPr>
        <w:t xml:space="preserve"> higher than Option 2 but would still be insufficient to reduce the revenue gap below $1b by Year 3.  </w:t>
      </w:r>
    </w:p>
    <w:p w14:paraId="059EF1A8" w14:textId="77777777" w:rsidR="00391FCC" w:rsidRDefault="00391FCC" w:rsidP="00391FCC">
      <w:pPr>
        <w:pStyle w:val="BodyCopy"/>
        <w:rPr>
          <w:rFonts w:asciiTheme="minorHAnsi" w:hAnsiTheme="minorHAnsi"/>
          <w:szCs w:val="22"/>
        </w:rPr>
      </w:pPr>
      <w:r>
        <w:rPr>
          <w:rFonts w:asciiTheme="minorHAnsi" w:hAnsiTheme="minorHAnsi"/>
          <w:szCs w:val="22"/>
        </w:rPr>
        <w:t>The options consulted on are all below the level required to keep the revenue gap constant at the 2020-21 level. The rationale for this is as follows:</w:t>
      </w:r>
    </w:p>
    <w:p w14:paraId="3DA9693D" w14:textId="77777777" w:rsidR="00391FCC" w:rsidRDefault="00391FCC" w:rsidP="00391FCC">
      <w:pPr>
        <w:pStyle w:val="List-bulletlvl2"/>
        <w:numPr>
          <w:ilvl w:val="0"/>
          <w:numId w:val="35"/>
        </w:numPr>
      </w:pPr>
      <w:r>
        <w:t>The pricing principles require the principle of full cost recovery to be weighed against wider considerations such as equity and the impact on regional and remote communities.</w:t>
      </w:r>
    </w:p>
    <w:p w14:paraId="27370D46" w14:textId="029024A3" w:rsidR="00391FCC" w:rsidRDefault="00391FCC" w:rsidP="00391FCC">
      <w:pPr>
        <w:pStyle w:val="List-bulletlvl2"/>
        <w:numPr>
          <w:ilvl w:val="0"/>
          <w:numId w:val="35"/>
        </w:numPr>
      </w:pPr>
      <w:r>
        <w:t>In recent years, ITMM has approved increases in heavy vehicle charges below the rate of increase in the heavy vehicle cost base.</w:t>
      </w:r>
    </w:p>
    <w:p w14:paraId="0604EE2E" w14:textId="77777777" w:rsidR="00391FCC" w:rsidRDefault="00391FCC" w:rsidP="00391FCC">
      <w:pPr>
        <w:pStyle w:val="List-bulletlvl2"/>
        <w:numPr>
          <w:ilvl w:val="0"/>
          <w:numId w:val="35"/>
        </w:numPr>
      </w:pPr>
      <w:r>
        <w:t>There is some uncertainty surrounding the forecast heavy vehicle cost bases for 2022-23 and 2023-24.</w:t>
      </w:r>
    </w:p>
    <w:p w14:paraId="06321396" w14:textId="4491280A" w:rsidR="00391FCC" w:rsidRDefault="00391FCC" w:rsidP="00391FCC">
      <w:pPr>
        <w:pStyle w:val="List-bulletlvl2"/>
        <w:numPr>
          <w:ilvl w:val="0"/>
          <w:numId w:val="35"/>
        </w:numPr>
      </w:pPr>
      <w:r>
        <w:t xml:space="preserve">It is reasonable to assume that stakeholder views on Option 3 would apply equally (or more strongly) to options involving higher percentage increases.  </w:t>
      </w:r>
    </w:p>
    <w:p w14:paraId="205A72C2" w14:textId="45D2B6FF" w:rsidR="00481273" w:rsidRDefault="00481273" w:rsidP="00481273">
      <w:pPr>
        <w:pStyle w:val="List-number"/>
        <w:numPr>
          <w:ilvl w:val="0"/>
          <w:numId w:val="0"/>
        </w:numPr>
      </w:pPr>
      <w:r>
        <w:t xml:space="preserve">Each of the options has a different impact on industry and would result in quite different outcomes in terms of the expected remaining gap between the heavy vehicle cost base and heavy vehicle charges revenue.  Based on the forecasts for the heavy vehicle cost base shown in Section </w:t>
      </w:r>
      <w:r>
        <w:fldChar w:fldCharType="begin"/>
      </w:r>
      <w:r>
        <w:instrText xml:space="preserve"> REF _Ref111537568 \r \h </w:instrText>
      </w:r>
      <w:r>
        <w:fldChar w:fldCharType="separate"/>
      </w:r>
      <w:r w:rsidR="0043504D">
        <w:t>3.5</w:t>
      </w:r>
      <w:r>
        <w:fldChar w:fldCharType="end"/>
      </w:r>
      <w:r>
        <w:t xml:space="preserve">  of this paper, the estimated gaps for each option are shown in </w:t>
      </w:r>
      <w:r>
        <w:fldChar w:fldCharType="begin"/>
      </w:r>
      <w:r>
        <w:instrText xml:space="preserve"> REF _Ref111542052 \r \h </w:instrText>
      </w:r>
      <w:r>
        <w:fldChar w:fldCharType="separate"/>
      </w:r>
      <w:r w:rsidR="0043504D">
        <w:t>Table 4</w:t>
      </w:r>
      <w:r>
        <w:fldChar w:fldCharType="end"/>
      </w:r>
      <w:r>
        <w:t xml:space="preserve"> below.  </w:t>
      </w:r>
      <w:bookmarkStart w:id="104" w:name="_Ref109826207"/>
    </w:p>
    <w:p w14:paraId="48F14562" w14:textId="77777777" w:rsidR="00481273" w:rsidRDefault="00481273" w:rsidP="00481273">
      <w:pPr>
        <w:pStyle w:val="Tabletitle"/>
      </w:pPr>
      <w:bookmarkStart w:id="105" w:name="_Ref111542052"/>
      <w:bookmarkStart w:id="106" w:name="_Toc114042940"/>
      <w:bookmarkEnd w:id="104"/>
      <w:r>
        <w:t>Estimated gap under each option</w:t>
      </w:r>
      <w:bookmarkEnd w:id="105"/>
      <w:bookmarkEnd w:id="106"/>
    </w:p>
    <w:tbl>
      <w:tblPr>
        <w:tblStyle w:val="NTCtable"/>
        <w:tblW w:w="5000" w:type="pct"/>
        <w:tblLayout w:type="fixed"/>
        <w:tblLook w:val="04A0" w:firstRow="1" w:lastRow="0" w:firstColumn="1" w:lastColumn="0" w:noHBand="0" w:noVBand="1"/>
      </w:tblPr>
      <w:tblGrid>
        <w:gridCol w:w="1761"/>
        <w:gridCol w:w="1212"/>
        <w:gridCol w:w="1211"/>
        <w:gridCol w:w="1211"/>
        <w:gridCol w:w="1211"/>
        <w:gridCol w:w="1211"/>
        <w:gridCol w:w="1210"/>
      </w:tblGrid>
      <w:tr w:rsidR="00481273" w14:paraId="2CB50938"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975" w:type="pct"/>
            <w:vAlign w:val="center"/>
          </w:tcPr>
          <w:p w14:paraId="6AFF9053" w14:textId="77777777" w:rsidR="00481273" w:rsidRPr="001F1E14" w:rsidRDefault="00481273">
            <w:pPr>
              <w:pStyle w:val="BodyCopy"/>
              <w:spacing w:before="0" w:after="0"/>
              <w:rPr>
                <w:b/>
                <w:bCs/>
                <w:szCs w:val="22"/>
              </w:rPr>
            </w:pPr>
            <w:r w:rsidRPr="001F1E14">
              <w:rPr>
                <w:b/>
                <w:bCs/>
                <w:szCs w:val="22"/>
              </w:rPr>
              <w:t>Option</w:t>
            </w:r>
          </w:p>
        </w:tc>
        <w:tc>
          <w:tcPr>
            <w:tcW w:w="671" w:type="pct"/>
            <w:vAlign w:val="center"/>
          </w:tcPr>
          <w:p w14:paraId="6950A42E" w14:textId="77777777" w:rsidR="00481273" w:rsidRPr="001F1E14" w:rsidRDefault="00481273">
            <w:pPr>
              <w:pStyle w:val="BodyCopy"/>
              <w:spacing w:before="0" w:after="0"/>
              <w:jc w:val="center"/>
              <w:rPr>
                <w:b/>
                <w:bCs/>
                <w:szCs w:val="22"/>
              </w:rPr>
            </w:pPr>
            <w:r w:rsidRPr="001F1E14">
              <w:rPr>
                <w:b/>
                <w:bCs/>
                <w:szCs w:val="22"/>
              </w:rPr>
              <w:t>Year 1</w:t>
            </w:r>
          </w:p>
          <w:p w14:paraId="55B7656E" w14:textId="77777777" w:rsidR="00481273" w:rsidRPr="001F1E14" w:rsidRDefault="00481273">
            <w:pPr>
              <w:pStyle w:val="BodyCopy"/>
              <w:spacing w:before="0" w:after="0"/>
              <w:jc w:val="center"/>
              <w:rPr>
                <w:b/>
                <w:bCs/>
                <w:szCs w:val="22"/>
              </w:rPr>
            </w:pPr>
            <w:r w:rsidRPr="001F1E14">
              <w:rPr>
                <w:b/>
                <w:bCs/>
                <w:szCs w:val="22"/>
              </w:rPr>
              <w:t>$m</w:t>
            </w:r>
          </w:p>
        </w:tc>
        <w:tc>
          <w:tcPr>
            <w:tcW w:w="671" w:type="pct"/>
            <w:vAlign w:val="center"/>
          </w:tcPr>
          <w:p w14:paraId="77BB1C4D" w14:textId="77777777" w:rsidR="00481273" w:rsidRPr="001F1E14" w:rsidRDefault="00481273">
            <w:pPr>
              <w:pStyle w:val="BodyCopy"/>
              <w:spacing w:before="0" w:after="0"/>
              <w:jc w:val="center"/>
              <w:rPr>
                <w:b/>
                <w:bCs/>
                <w:szCs w:val="22"/>
              </w:rPr>
            </w:pPr>
            <w:r w:rsidRPr="001F1E14">
              <w:rPr>
                <w:b/>
                <w:bCs/>
                <w:szCs w:val="22"/>
              </w:rPr>
              <w:t>Year 1</w:t>
            </w:r>
          </w:p>
          <w:p w14:paraId="6039B307" w14:textId="77777777" w:rsidR="00481273" w:rsidRPr="001F1E14" w:rsidRDefault="00481273">
            <w:pPr>
              <w:pStyle w:val="BodyCopy"/>
              <w:spacing w:before="0" w:after="0"/>
              <w:jc w:val="center"/>
              <w:rPr>
                <w:b/>
                <w:bCs/>
                <w:szCs w:val="22"/>
              </w:rPr>
            </w:pPr>
            <w:r w:rsidRPr="001F1E14">
              <w:rPr>
                <w:b/>
                <w:bCs/>
                <w:szCs w:val="22"/>
              </w:rPr>
              <w:t>%</w:t>
            </w:r>
          </w:p>
        </w:tc>
        <w:tc>
          <w:tcPr>
            <w:tcW w:w="671" w:type="pct"/>
            <w:vAlign w:val="center"/>
          </w:tcPr>
          <w:p w14:paraId="2095F387" w14:textId="77777777" w:rsidR="00481273" w:rsidRPr="001F1E14" w:rsidRDefault="00481273">
            <w:pPr>
              <w:pStyle w:val="BodyCopy"/>
              <w:spacing w:before="0" w:after="0"/>
              <w:jc w:val="center"/>
              <w:rPr>
                <w:b/>
                <w:bCs/>
                <w:szCs w:val="22"/>
              </w:rPr>
            </w:pPr>
            <w:r w:rsidRPr="001F1E14">
              <w:rPr>
                <w:b/>
                <w:bCs/>
                <w:szCs w:val="22"/>
              </w:rPr>
              <w:t>Year 2</w:t>
            </w:r>
          </w:p>
          <w:p w14:paraId="33AC4FAB" w14:textId="77777777" w:rsidR="00481273" w:rsidRPr="001F1E14" w:rsidRDefault="00481273">
            <w:pPr>
              <w:pStyle w:val="BodyCopy"/>
              <w:spacing w:before="0" w:after="0"/>
              <w:jc w:val="center"/>
              <w:rPr>
                <w:b/>
                <w:bCs/>
                <w:szCs w:val="22"/>
              </w:rPr>
            </w:pPr>
            <w:r w:rsidRPr="001F1E14">
              <w:rPr>
                <w:b/>
                <w:bCs/>
                <w:szCs w:val="22"/>
              </w:rPr>
              <w:t>$m</w:t>
            </w:r>
          </w:p>
        </w:tc>
        <w:tc>
          <w:tcPr>
            <w:tcW w:w="671" w:type="pct"/>
            <w:vAlign w:val="center"/>
          </w:tcPr>
          <w:p w14:paraId="747933DA" w14:textId="77777777" w:rsidR="00481273" w:rsidRPr="001F1E14" w:rsidRDefault="00481273">
            <w:pPr>
              <w:pStyle w:val="BodyCopy"/>
              <w:spacing w:before="0" w:after="0"/>
              <w:jc w:val="center"/>
              <w:rPr>
                <w:b/>
                <w:bCs/>
                <w:szCs w:val="22"/>
              </w:rPr>
            </w:pPr>
            <w:r w:rsidRPr="001F1E14">
              <w:rPr>
                <w:b/>
                <w:bCs/>
                <w:szCs w:val="22"/>
              </w:rPr>
              <w:t>Year 2</w:t>
            </w:r>
          </w:p>
          <w:p w14:paraId="68C71F24" w14:textId="77777777" w:rsidR="00481273" w:rsidRPr="001F1E14" w:rsidRDefault="00481273">
            <w:pPr>
              <w:pStyle w:val="BodyCopy"/>
              <w:spacing w:before="0" w:after="0"/>
              <w:jc w:val="center"/>
              <w:rPr>
                <w:b/>
                <w:bCs/>
                <w:szCs w:val="22"/>
              </w:rPr>
            </w:pPr>
            <w:r w:rsidRPr="001F1E14">
              <w:rPr>
                <w:b/>
                <w:bCs/>
                <w:szCs w:val="22"/>
              </w:rPr>
              <w:t>%</w:t>
            </w:r>
          </w:p>
        </w:tc>
        <w:tc>
          <w:tcPr>
            <w:tcW w:w="671" w:type="pct"/>
            <w:vAlign w:val="center"/>
          </w:tcPr>
          <w:p w14:paraId="3A02861D" w14:textId="77777777" w:rsidR="00481273" w:rsidRPr="001F1E14" w:rsidRDefault="00481273">
            <w:pPr>
              <w:pStyle w:val="BodyCopy"/>
              <w:spacing w:before="0" w:after="0"/>
              <w:jc w:val="center"/>
              <w:rPr>
                <w:b/>
                <w:bCs/>
                <w:szCs w:val="22"/>
              </w:rPr>
            </w:pPr>
            <w:r w:rsidRPr="001F1E14">
              <w:rPr>
                <w:b/>
                <w:bCs/>
                <w:szCs w:val="22"/>
              </w:rPr>
              <w:t>Year 3</w:t>
            </w:r>
          </w:p>
          <w:p w14:paraId="0DDFDECE" w14:textId="77777777" w:rsidR="00481273" w:rsidRPr="001F1E14" w:rsidRDefault="00481273">
            <w:pPr>
              <w:pStyle w:val="BodyCopy"/>
              <w:spacing w:before="0" w:after="0"/>
              <w:jc w:val="center"/>
              <w:rPr>
                <w:b/>
                <w:bCs/>
                <w:szCs w:val="22"/>
              </w:rPr>
            </w:pPr>
            <w:r w:rsidRPr="001F1E14">
              <w:rPr>
                <w:b/>
                <w:bCs/>
                <w:szCs w:val="22"/>
              </w:rPr>
              <w:t>$m</w:t>
            </w:r>
          </w:p>
        </w:tc>
        <w:tc>
          <w:tcPr>
            <w:tcW w:w="670" w:type="pct"/>
            <w:vAlign w:val="center"/>
          </w:tcPr>
          <w:p w14:paraId="60733743" w14:textId="77777777" w:rsidR="00481273" w:rsidRPr="001F1E14" w:rsidRDefault="00481273">
            <w:pPr>
              <w:pStyle w:val="BodyCopy"/>
              <w:spacing w:before="0" w:after="0"/>
              <w:jc w:val="center"/>
              <w:rPr>
                <w:b/>
                <w:bCs/>
                <w:szCs w:val="22"/>
              </w:rPr>
            </w:pPr>
            <w:r w:rsidRPr="001F1E14">
              <w:rPr>
                <w:b/>
                <w:bCs/>
                <w:szCs w:val="22"/>
              </w:rPr>
              <w:t>Year 3</w:t>
            </w:r>
          </w:p>
          <w:p w14:paraId="3F1BE88C" w14:textId="77777777" w:rsidR="00481273" w:rsidRPr="001F1E14" w:rsidRDefault="00481273">
            <w:pPr>
              <w:pStyle w:val="BodyCopy"/>
              <w:spacing w:before="0" w:after="0"/>
              <w:jc w:val="center"/>
              <w:rPr>
                <w:b/>
                <w:bCs/>
                <w:szCs w:val="22"/>
              </w:rPr>
            </w:pPr>
            <w:r w:rsidRPr="001F1E14">
              <w:rPr>
                <w:b/>
                <w:bCs/>
                <w:szCs w:val="22"/>
              </w:rPr>
              <w:t>%</w:t>
            </w:r>
          </w:p>
        </w:tc>
      </w:tr>
      <w:tr w:rsidR="00481273" w14:paraId="21974959" w14:textId="77777777">
        <w:tc>
          <w:tcPr>
            <w:tcW w:w="975" w:type="pct"/>
          </w:tcPr>
          <w:p w14:paraId="382F7253" w14:textId="77777777" w:rsidR="00481273" w:rsidRPr="001F1E14" w:rsidRDefault="00481273">
            <w:pPr>
              <w:pStyle w:val="BodyCopy"/>
              <w:spacing w:before="0" w:after="0"/>
              <w:rPr>
                <w:szCs w:val="22"/>
              </w:rPr>
            </w:pPr>
            <w:r w:rsidRPr="001F1E14">
              <w:rPr>
                <w:szCs w:val="22"/>
              </w:rPr>
              <w:t>Option 1: Increase heavy vehicle charges by 2.75 per cent per annum</w:t>
            </w:r>
            <w:r w:rsidRPr="001F1E14" w:rsidDel="00882E44">
              <w:rPr>
                <w:szCs w:val="22"/>
              </w:rPr>
              <w:t xml:space="preserve"> </w:t>
            </w:r>
          </w:p>
        </w:tc>
        <w:tc>
          <w:tcPr>
            <w:tcW w:w="671" w:type="pct"/>
            <w:vAlign w:val="center"/>
          </w:tcPr>
          <w:p w14:paraId="0F41B0D9" w14:textId="77777777" w:rsidR="00481273" w:rsidRPr="001F1E14" w:rsidRDefault="00481273">
            <w:pPr>
              <w:pStyle w:val="BodyCopy"/>
              <w:spacing w:before="0" w:after="0"/>
              <w:jc w:val="center"/>
              <w:rPr>
                <w:szCs w:val="22"/>
              </w:rPr>
            </w:pPr>
            <w:r w:rsidRPr="001F1E14">
              <w:rPr>
                <w:szCs w:val="22"/>
              </w:rPr>
              <w:t>1,337</w:t>
            </w:r>
          </w:p>
        </w:tc>
        <w:tc>
          <w:tcPr>
            <w:tcW w:w="671" w:type="pct"/>
            <w:vAlign w:val="center"/>
          </w:tcPr>
          <w:p w14:paraId="662A2E60" w14:textId="77777777" w:rsidR="00481273" w:rsidRPr="001F1E14" w:rsidRDefault="00481273">
            <w:pPr>
              <w:pStyle w:val="BodyCopy"/>
              <w:spacing w:before="0" w:after="0"/>
              <w:jc w:val="center"/>
              <w:rPr>
                <w:szCs w:val="22"/>
              </w:rPr>
            </w:pPr>
            <w:r w:rsidRPr="001F1E14">
              <w:rPr>
                <w:szCs w:val="22"/>
              </w:rPr>
              <w:t>25.7</w:t>
            </w:r>
          </w:p>
        </w:tc>
        <w:tc>
          <w:tcPr>
            <w:tcW w:w="671" w:type="pct"/>
            <w:vAlign w:val="center"/>
          </w:tcPr>
          <w:p w14:paraId="7B4205E4" w14:textId="77777777" w:rsidR="00481273" w:rsidRPr="001F1E14" w:rsidRDefault="00481273">
            <w:pPr>
              <w:pStyle w:val="BodyCopy"/>
              <w:spacing w:before="0" w:after="0"/>
              <w:jc w:val="center"/>
              <w:rPr>
                <w:szCs w:val="22"/>
              </w:rPr>
            </w:pPr>
            <w:r w:rsidRPr="001F1E14">
              <w:rPr>
                <w:szCs w:val="22"/>
              </w:rPr>
              <w:t>1,870</w:t>
            </w:r>
          </w:p>
        </w:tc>
        <w:tc>
          <w:tcPr>
            <w:tcW w:w="671" w:type="pct"/>
            <w:vAlign w:val="center"/>
          </w:tcPr>
          <w:p w14:paraId="2EE9070C" w14:textId="77777777" w:rsidR="00481273" w:rsidRPr="001F1E14" w:rsidRDefault="00481273">
            <w:pPr>
              <w:pStyle w:val="BodyCopy"/>
              <w:spacing w:before="0" w:after="0"/>
              <w:jc w:val="center"/>
              <w:rPr>
                <w:szCs w:val="22"/>
              </w:rPr>
            </w:pPr>
            <w:r w:rsidRPr="001F1E14">
              <w:rPr>
                <w:szCs w:val="22"/>
              </w:rPr>
              <w:t>31.9</w:t>
            </w:r>
          </w:p>
        </w:tc>
        <w:tc>
          <w:tcPr>
            <w:tcW w:w="671" w:type="pct"/>
            <w:vAlign w:val="center"/>
          </w:tcPr>
          <w:p w14:paraId="3CC01DB8" w14:textId="77777777" w:rsidR="00481273" w:rsidRPr="001F1E14" w:rsidRDefault="00481273">
            <w:pPr>
              <w:pStyle w:val="BodyCopy"/>
              <w:spacing w:before="0" w:after="0"/>
              <w:jc w:val="center"/>
              <w:rPr>
                <w:szCs w:val="22"/>
              </w:rPr>
            </w:pPr>
            <w:r w:rsidRPr="001F1E14">
              <w:rPr>
                <w:szCs w:val="22"/>
              </w:rPr>
              <w:t>2,013</w:t>
            </w:r>
          </w:p>
        </w:tc>
        <w:tc>
          <w:tcPr>
            <w:tcW w:w="670" w:type="pct"/>
            <w:vAlign w:val="center"/>
          </w:tcPr>
          <w:p w14:paraId="3140E4D3" w14:textId="77777777" w:rsidR="00481273" w:rsidRPr="001F1E14" w:rsidRDefault="00481273">
            <w:pPr>
              <w:pStyle w:val="BodyCopy"/>
              <w:spacing w:before="0" w:after="0"/>
              <w:jc w:val="center"/>
              <w:rPr>
                <w:szCs w:val="22"/>
              </w:rPr>
            </w:pPr>
            <w:r w:rsidRPr="001F1E14">
              <w:rPr>
                <w:szCs w:val="22"/>
              </w:rPr>
              <w:t>32.7</w:t>
            </w:r>
          </w:p>
        </w:tc>
      </w:tr>
      <w:tr w:rsidR="00481273" w14:paraId="114C7C29" w14:textId="77777777">
        <w:tc>
          <w:tcPr>
            <w:tcW w:w="975" w:type="pct"/>
          </w:tcPr>
          <w:p w14:paraId="43E594E1" w14:textId="77777777" w:rsidR="00481273" w:rsidRPr="001F1E14" w:rsidRDefault="00481273">
            <w:pPr>
              <w:pStyle w:val="BodyCopy"/>
              <w:spacing w:before="0" w:after="0"/>
              <w:rPr>
                <w:szCs w:val="22"/>
              </w:rPr>
            </w:pPr>
            <w:r w:rsidRPr="001F1E14">
              <w:rPr>
                <w:szCs w:val="22"/>
              </w:rPr>
              <w:t>Option 2: Increase heavy vehicle charges by 6 per cent per annum</w:t>
            </w:r>
            <w:r w:rsidRPr="001F1E14" w:rsidDel="00882E44">
              <w:rPr>
                <w:szCs w:val="22"/>
              </w:rPr>
              <w:t xml:space="preserve"> </w:t>
            </w:r>
          </w:p>
        </w:tc>
        <w:tc>
          <w:tcPr>
            <w:tcW w:w="671" w:type="pct"/>
            <w:vAlign w:val="center"/>
          </w:tcPr>
          <w:p w14:paraId="598D4265" w14:textId="77777777" w:rsidR="00481273" w:rsidRPr="001F1E14" w:rsidRDefault="00481273">
            <w:pPr>
              <w:pStyle w:val="BodyCopy"/>
              <w:spacing w:before="0" w:after="0"/>
              <w:jc w:val="center"/>
              <w:rPr>
                <w:szCs w:val="22"/>
              </w:rPr>
            </w:pPr>
            <w:r w:rsidRPr="001F1E14">
              <w:rPr>
                <w:szCs w:val="22"/>
              </w:rPr>
              <w:t>1,213</w:t>
            </w:r>
          </w:p>
        </w:tc>
        <w:tc>
          <w:tcPr>
            <w:tcW w:w="671" w:type="pct"/>
            <w:vAlign w:val="center"/>
          </w:tcPr>
          <w:p w14:paraId="1B39018C" w14:textId="77777777" w:rsidR="00481273" w:rsidRPr="001F1E14" w:rsidRDefault="00481273">
            <w:pPr>
              <w:pStyle w:val="BodyCopy"/>
              <w:spacing w:before="0" w:after="0"/>
              <w:jc w:val="center"/>
              <w:rPr>
                <w:szCs w:val="22"/>
              </w:rPr>
            </w:pPr>
            <w:r w:rsidRPr="001F1E14">
              <w:rPr>
                <w:szCs w:val="22"/>
              </w:rPr>
              <w:t>23.4</w:t>
            </w:r>
          </w:p>
        </w:tc>
        <w:tc>
          <w:tcPr>
            <w:tcW w:w="671" w:type="pct"/>
            <w:vAlign w:val="center"/>
          </w:tcPr>
          <w:p w14:paraId="74FD1E10" w14:textId="77777777" w:rsidR="00481273" w:rsidRPr="001F1E14" w:rsidRDefault="00481273">
            <w:pPr>
              <w:pStyle w:val="BodyCopy"/>
              <w:spacing w:before="0" w:after="0"/>
              <w:jc w:val="center"/>
              <w:rPr>
                <w:szCs w:val="22"/>
              </w:rPr>
            </w:pPr>
            <w:r w:rsidRPr="001F1E14">
              <w:rPr>
                <w:szCs w:val="22"/>
              </w:rPr>
              <w:t>1,617</w:t>
            </w:r>
          </w:p>
        </w:tc>
        <w:tc>
          <w:tcPr>
            <w:tcW w:w="671" w:type="pct"/>
            <w:vAlign w:val="center"/>
          </w:tcPr>
          <w:p w14:paraId="2D775396" w14:textId="77777777" w:rsidR="00481273" w:rsidRPr="001F1E14" w:rsidRDefault="00481273">
            <w:pPr>
              <w:pStyle w:val="BodyCopy"/>
              <w:spacing w:before="0" w:after="0"/>
              <w:jc w:val="center"/>
              <w:rPr>
                <w:szCs w:val="22"/>
              </w:rPr>
            </w:pPr>
            <w:r w:rsidRPr="001F1E14">
              <w:rPr>
                <w:szCs w:val="22"/>
              </w:rPr>
              <w:t>27.6</w:t>
            </w:r>
          </w:p>
        </w:tc>
        <w:tc>
          <w:tcPr>
            <w:tcW w:w="671" w:type="pct"/>
            <w:vAlign w:val="center"/>
          </w:tcPr>
          <w:p w14:paraId="55CE5A10" w14:textId="77777777" w:rsidR="00481273" w:rsidRPr="001F1E14" w:rsidRDefault="00481273">
            <w:pPr>
              <w:pStyle w:val="BodyCopy"/>
              <w:spacing w:before="0" w:after="0"/>
              <w:jc w:val="center"/>
              <w:rPr>
                <w:szCs w:val="22"/>
              </w:rPr>
            </w:pPr>
            <w:r w:rsidRPr="001F1E14">
              <w:rPr>
                <w:szCs w:val="22"/>
              </w:rPr>
              <w:t>1,614</w:t>
            </w:r>
          </w:p>
        </w:tc>
        <w:tc>
          <w:tcPr>
            <w:tcW w:w="670" w:type="pct"/>
            <w:vAlign w:val="center"/>
          </w:tcPr>
          <w:p w14:paraId="6861F6F8" w14:textId="77777777" w:rsidR="00481273" w:rsidRPr="001F1E14" w:rsidRDefault="00481273">
            <w:pPr>
              <w:pStyle w:val="BodyCopy"/>
              <w:spacing w:before="0" w:after="0"/>
              <w:jc w:val="center"/>
              <w:rPr>
                <w:szCs w:val="22"/>
              </w:rPr>
            </w:pPr>
            <w:r w:rsidRPr="001F1E14">
              <w:rPr>
                <w:szCs w:val="22"/>
              </w:rPr>
              <w:t>26.2</w:t>
            </w:r>
          </w:p>
        </w:tc>
      </w:tr>
      <w:tr w:rsidR="00481273" w14:paraId="0DCF30FA" w14:textId="77777777">
        <w:tc>
          <w:tcPr>
            <w:tcW w:w="975" w:type="pct"/>
          </w:tcPr>
          <w:p w14:paraId="3E43F23C" w14:textId="77777777" w:rsidR="00481273" w:rsidRPr="001F1E14" w:rsidRDefault="00481273">
            <w:pPr>
              <w:pStyle w:val="BodyCopy"/>
              <w:spacing w:before="0" w:after="0"/>
              <w:rPr>
                <w:szCs w:val="22"/>
              </w:rPr>
            </w:pPr>
            <w:r w:rsidRPr="001F1E14">
              <w:rPr>
                <w:szCs w:val="22"/>
              </w:rPr>
              <w:t>Option 3: Increase heavy vehicle charges by 10 per cent per annum</w:t>
            </w:r>
            <w:r w:rsidRPr="001F1E14" w:rsidDel="00882E44">
              <w:rPr>
                <w:szCs w:val="22"/>
              </w:rPr>
              <w:t xml:space="preserve"> </w:t>
            </w:r>
          </w:p>
        </w:tc>
        <w:tc>
          <w:tcPr>
            <w:tcW w:w="671" w:type="pct"/>
            <w:vAlign w:val="center"/>
          </w:tcPr>
          <w:p w14:paraId="4FB0AA42" w14:textId="77777777" w:rsidR="00481273" w:rsidRPr="001F1E14" w:rsidRDefault="00481273">
            <w:pPr>
              <w:pStyle w:val="BodyCopy"/>
              <w:spacing w:before="0" w:after="0"/>
              <w:jc w:val="center"/>
              <w:rPr>
                <w:szCs w:val="22"/>
              </w:rPr>
            </w:pPr>
            <w:r w:rsidRPr="001F1E14">
              <w:rPr>
                <w:szCs w:val="22"/>
              </w:rPr>
              <w:t>1,062</w:t>
            </w:r>
          </w:p>
        </w:tc>
        <w:tc>
          <w:tcPr>
            <w:tcW w:w="671" w:type="pct"/>
            <w:vAlign w:val="center"/>
          </w:tcPr>
          <w:p w14:paraId="4780843C" w14:textId="77777777" w:rsidR="00481273" w:rsidRPr="001F1E14" w:rsidRDefault="00481273">
            <w:pPr>
              <w:pStyle w:val="BodyCopy"/>
              <w:spacing w:before="0" w:after="0"/>
              <w:jc w:val="center"/>
              <w:rPr>
                <w:szCs w:val="22"/>
              </w:rPr>
            </w:pPr>
            <w:r w:rsidRPr="001F1E14">
              <w:rPr>
                <w:szCs w:val="22"/>
              </w:rPr>
              <w:t>20.5</w:t>
            </w:r>
          </w:p>
        </w:tc>
        <w:tc>
          <w:tcPr>
            <w:tcW w:w="671" w:type="pct"/>
            <w:vAlign w:val="center"/>
          </w:tcPr>
          <w:p w14:paraId="285DDEF8" w14:textId="77777777" w:rsidR="00481273" w:rsidRPr="001F1E14" w:rsidRDefault="00481273">
            <w:pPr>
              <w:pStyle w:val="BodyCopy"/>
              <w:spacing w:before="0" w:after="0"/>
              <w:jc w:val="center"/>
              <w:rPr>
                <w:szCs w:val="22"/>
              </w:rPr>
            </w:pPr>
            <w:r w:rsidRPr="001F1E14">
              <w:rPr>
                <w:szCs w:val="22"/>
              </w:rPr>
              <w:t>1,286</w:t>
            </w:r>
          </w:p>
        </w:tc>
        <w:tc>
          <w:tcPr>
            <w:tcW w:w="671" w:type="pct"/>
            <w:vAlign w:val="center"/>
          </w:tcPr>
          <w:p w14:paraId="343F9C86" w14:textId="77777777" w:rsidR="00481273" w:rsidRPr="001F1E14" w:rsidRDefault="00481273">
            <w:pPr>
              <w:pStyle w:val="BodyCopy"/>
              <w:spacing w:before="0" w:after="0"/>
              <w:jc w:val="center"/>
              <w:rPr>
                <w:szCs w:val="22"/>
              </w:rPr>
            </w:pPr>
            <w:r w:rsidRPr="001F1E14">
              <w:rPr>
                <w:szCs w:val="22"/>
              </w:rPr>
              <w:t>21.9</w:t>
            </w:r>
          </w:p>
        </w:tc>
        <w:tc>
          <w:tcPr>
            <w:tcW w:w="671" w:type="pct"/>
            <w:vAlign w:val="center"/>
          </w:tcPr>
          <w:p w14:paraId="07647EA6" w14:textId="77777777" w:rsidR="00481273" w:rsidRPr="001F1E14" w:rsidRDefault="00481273">
            <w:pPr>
              <w:pStyle w:val="BodyCopy"/>
              <w:spacing w:before="0" w:after="0"/>
              <w:jc w:val="center"/>
              <w:rPr>
                <w:szCs w:val="22"/>
              </w:rPr>
            </w:pPr>
            <w:r w:rsidRPr="001F1E14">
              <w:rPr>
                <w:szCs w:val="22"/>
              </w:rPr>
              <w:t>1,073</w:t>
            </w:r>
          </w:p>
        </w:tc>
        <w:tc>
          <w:tcPr>
            <w:tcW w:w="670" w:type="pct"/>
            <w:vAlign w:val="center"/>
          </w:tcPr>
          <w:p w14:paraId="355B6219" w14:textId="77777777" w:rsidR="00481273" w:rsidRPr="001F1E14" w:rsidRDefault="00481273">
            <w:pPr>
              <w:pStyle w:val="BodyCopy"/>
              <w:spacing w:before="0" w:after="0"/>
              <w:jc w:val="center"/>
              <w:rPr>
                <w:szCs w:val="22"/>
              </w:rPr>
            </w:pPr>
            <w:r w:rsidRPr="001F1E14">
              <w:rPr>
                <w:szCs w:val="22"/>
              </w:rPr>
              <w:t>17.4</w:t>
            </w:r>
          </w:p>
        </w:tc>
      </w:tr>
    </w:tbl>
    <w:p w14:paraId="2C6A35C5" w14:textId="77777777" w:rsidR="00D828DF" w:rsidRDefault="00D828DF" w:rsidP="00D828DF">
      <w:pPr>
        <w:pStyle w:val="BodyCopy"/>
        <w:rPr>
          <w:rFonts w:asciiTheme="minorHAnsi" w:hAnsiTheme="minorHAnsi"/>
          <w:szCs w:val="22"/>
        </w:rPr>
      </w:pPr>
      <w:bookmarkStart w:id="107" w:name="_Toc114042883"/>
      <w:r>
        <w:rPr>
          <w:rFonts w:asciiTheme="minorHAnsi" w:hAnsiTheme="minorHAnsi"/>
          <w:szCs w:val="22"/>
        </w:rPr>
        <w:t>The options consulted on are all below the level required to keep the revenue gap constant at the 2020-21 level or to reduce it. The rationale for this is as follows:</w:t>
      </w:r>
    </w:p>
    <w:p w14:paraId="019D97F1" w14:textId="77777777" w:rsidR="00D828DF" w:rsidRDefault="00D828DF" w:rsidP="00D828DF">
      <w:pPr>
        <w:pStyle w:val="BodyCopy"/>
        <w:numPr>
          <w:ilvl w:val="0"/>
          <w:numId w:val="36"/>
        </w:numPr>
        <w:rPr>
          <w:rFonts w:asciiTheme="minorHAnsi" w:hAnsiTheme="minorHAnsi"/>
          <w:szCs w:val="22"/>
        </w:rPr>
      </w:pPr>
      <w:r>
        <w:rPr>
          <w:rFonts w:asciiTheme="minorHAnsi" w:hAnsiTheme="minorHAnsi"/>
          <w:szCs w:val="22"/>
        </w:rPr>
        <w:t>The pricing principles require the principle of full cost recovery to be weighed against wider considerations such as equity and the impact on regional and remote communities.</w:t>
      </w:r>
    </w:p>
    <w:p w14:paraId="15DAB612" w14:textId="77777777" w:rsidR="00D828DF" w:rsidRDefault="00D828DF" w:rsidP="00D828DF">
      <w:pPr>
        <w:pStyle w:val="BodyCopy"/>
        <w:numPr>
          <w:ilvl w:val="0"/>
          <w:numId w:val="36"/>
        </w:numPr>
        <w:rPr>
          <w:rFonts w:asciiTheme="minorHAnsi" w:hAnsiTheme="minorHAnsi"/>
          <w:szCs w:val="22"/>
        </w:rPr>
      </w:pPr>
      <w:r>
        <w:rPr>
          <w:rFonts w:asciiTheme="minorHAnsi" w:hAnsiTheme="minorHAnsi"/>
          <w:szCs w:val="22"/>
        </w:rPr>
        <w:t>In recent years, ITMM has consistently approved increases in heavy vehicle charges below the rate of increase in the heavy vehicle cost base.</w:t>
      </w:r>
    </w:p>
    <w:p w14:paraId="028788E4" w14:textId="77777777" w:rsidR="00D828DF" w:rsidRDefault="00D828DF" w:rsidP="00D828DF">
      <w:pPr>
        <w:pStyle w:val="BodyCopy"/>
        <w:numPr>
          <w:ilvl w:val="0"/>
          <w:numId w:val="36"/>
        </w:numPr>
        <w:rPr>
          <w:rFonts w:asciiTheme="minorHAnsi" w:hAnsiTheme="minorHAnsi"/>
          <w:szCs w:val="22"/>
        </w:rPr>
      </w:pPr>
      <w:r>
        <w:rPr>
          <w:rFonts w:asciiTheme="minorHAnsi" w:hAnsiTheme="minorHAnsi"/>
          <w:szCs w:val="22"/>
        </w:rPr>
        <w:t>There is some uncertainty surrounding the forecast heavy vehicle cost bases for 2022-23 and 2023-24.</w:t>
      </w:r>
    </w:p>
    <w:p w14:paraId="249B4239" w14:textId="77777777" w:rsidR="00D828DF" w:rsidRDefault="00D828DF" w:rsidP="00D828DF">
      <w:pPr>
        <w:pStyle w:val="BodyCopy"/>
        <w:numPr>
          <w:ilvl w:val="0"/>
          <w:numId w:val="36"/>
        </w:numPr>
        <w:rPr>
          <w:rFonts w:asciiTheme="minorHAnsi" w:hAnsiTheme="minorHAnsi"/>
          <w:szCs w:val="22"/>
        </w:rPr>
      </w:pPr>
      <w:r>
        <w:rPr>
          <w:rFonts w:asciiTheme="minorHAnsi" w:hAnsiTheme="minorHAnsi"/>
          <w:szCs w:val="22"/>
        </w:rPr>
        <w:t xml:space="preserve">It is reasonable to assume that industry feedback on Option 3 would apply equally (or more strongly) to options involving higher percentage increases.  </w:t>
      </w:r>
    </w:p>
    <w:p w14:paraId="60969CC4" w14:textId="35C33C9B" w:rsidR="00481273" w:rsidRDefault="00481273" w:rsidP="00481273">
      <w:pPr>
        <w:pStyle w:val="Heading2"/>
      </w:pPr>
      <w:bookmarkStart w:id="108" w:name="_Toc121234762"/>
      <w:r>
        <w:t>Financial and fiscal implications</w:t>
      </w:r>
      <w:bookmarkEnd w:id="107"/>
      <w:bookmarkEnd w:id="108"/>
    </w:p>
    <w:p w14:paraId="0D090304" w14:textId="3FE8D853" w:rsidR="00481273" w:rsidRDefault="00481273" w:rsidP="00481273">
      <w:pPr>
        <w:pStyle w:val="BodyCopy"/>
      </w:pPr>
      <w:r>
        <w:fldChar w:fldCharType="begin"/>
      </w:r>
      <w:r>
        <w:instrText xml:space="preserve"> REF _Ref111555615 \r \h </w:instrText>
      </w:r>
      <w:r>
        <w:fldChar w:fldCharType="separate"/>
      </w:r>
      <w:r w:rsidR="0043504D">
        <w:t>Figure 8</w:t>
      </w:r>
      <w:r>
        <w:fldChar w:fldCharType="end"/>
      </w:r>
      <w:r w:rsidR="00F9022C">
        <w:t xml:space="preserve"> shows the revenue outcomes under the three options consulted on</w:t>
      </w:r>
      <w:r>
        <w:t>.</w:t>
      </w:r>
      <w:r w:rsidR="00F9022C">
        <w:t xml:space="preserve"> It illustrates that a substantial gap between the heavy vehicle cost base and estimated revenue would remain under all three options. Only under Option 3 does the revenue gap start to reduce to</w:t>
      </w:r>
      <w:r w:rsidR="00F23F06">
        <w:t>w</w:t>
      </w:r>
      <w:r w:rsidR="00F9022C">
        <w:t xml:space="preserve">ards the end of the three year period. However, it remains above the 2022-23 level.  </w:t>
      </w:r>
      <w:r>
        <w:t xml:space="preserve">   </w:t>
      </w:r>
    </w:p>
    <w:p w14:paraId="2DC574F0" w14:textId="77777777" w:rsidR="00481273" w:rsidRDefault="00481273" w:rsidP="00481273">
      <w:pPr>
        <w:pStyle w:val="Figuretitle"/>
      </w:pPr>
      <w:bookmarkStart w:id="109" w:name="_Ref111555615"/>
      <w:bookmarkStart w:id="110" w:name="_Toc114042959"/>
      <w:r>
        <w:t>Heavy Vehicle Charges Revenue Outcomes by Option</w:t>
      </w:r>
      <w:bookmarkEnd w:id="109"/>
      <w:bookmarkEnd w:id="110"/>
    </w:p>
    <w:p w14:paraId="0B23F5C8" w14:textId="77777777" w:rsidR="00481273" w:rsidRDefault="00481273" w:rsidP="00481273">
      <w:pPr>
        <w:pStyle w:val="BodyCopy"/>
      </w:pPr>
      <w:r>
        <w:rPr>
          <w:noProof/>
          <w:lang w:eastAsia="en-AU"/>
        </w:rPr>
        <w:drawing>
          <wp:inline distT="0" distB="0" distL="0" distR="0" wp14:anchorId="4371AA5E" wp14:editId="7AA1AB17">
            <wp:extent cx="5724193" cy="3741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930" cy="3749091"/>
                    </a:xfrm>
                    <a:prstGeom prst="rect">
                      <a:avLst/>
                    </a:prstGeom>
                    <a:noFill/>
                  </pic:spPr>
                </pic:pic>
              </a:graphicData>
            </a:graphic>
          </wp:inline>
        </w:drawing>
      </w:r>
    </w:p>
    <w:p w14:paraId="7D989DEB" w14:textId="7367C916" w:rsidR="00481273" w:rsidRDefault="00481273" w:rsidP="00481273">
      <w:pPr>
        <w:pStyle w:val="BodyCopy"/>
      </w:pPr>
      <w:r>
        <w:t xml:space="preserve">The following tables present the financial and fiscal implications associated with the changes in heavy vehicle charges under each of the three options outlined in Section </w:t>
      </w:r>
      <w:r>
        <w:fldChar w:fldCharType="begin"/>
      </w:r>
      <w:r>
        <w:instrText xml:space="preserve"> REF _Ref111542150 \r \h </w:instrText>
      </w:r>
      <w:r>
        <w:fldChar w:fldCharType="separate"/>
      </w:r>
      <w:r w:rsidR="0043504D">
        <w:t>5.2</w:t>
      </w:r>
      <w:r>
        <w:fldChar w:fldCharType="end"/>
      </w:r>
      <w:r>
        <w:t xml:space="preserve">. If ministers were to decide to implement heavy vehicle charges for a single year only, then the figures for 2024-25 and 2025-26 should be disregarded.    </w:t>
      </w:r>
    </w:p>
    <w:p w14:paraId="62EF3D46" w14:textId="77777777" w:rsidR="00481273" w:rsidRPr="0086633A" w:rsidRDefault="00481273" w:rsidP="00481273">
      <w:pPr>
        <w:pStyle w:val="Tabletitle"/>
      </w:pPr>
      <w:bookmarkStart w:id="111" w:name="_Ref58918369"/>
      <w:bookmarkStart w:id="112" w:name="_Toc59436401"/>
      <w:bookmarkStart w:id="113" w:name="_Toc114042941"/>
      <w:bookmarkStart w:id="114" w:name="_Ref82012467"/>
      <w:bookmarkStart w:id="115" w:name="_Toc86158561"/>
      <w:r w:rsidRPr="0086633A">
        <w:t>Estimated revenue from the roads component of registration charges</w:t>
      </w:r>
      <w:bookmarkEnd w:id="111"/>
      <w:r w:rsidRPr="0086633A">
        <w:t xml:space="preserve"> and RUC – </w:t>
      </w:r>
      <w:bookmarkEnd w:id="112"/>
      <w:r w:rsidRPr="00302891">
        <w:t>Option 1: Increase heavy vehicle charges by 2.75 per cent per annum</w:t>
      </w:r>
      <w:bookmarkEnd w:id="113"/>
      <w:r w:rsidRPr="00302891" w:rsidDel="00882E44">
        <w:t xml:space="preserve"> </w:t>
      </w:r>
      <w:bookmarkEnd w:id="114"/>
      <w:bookmarkEnd w:id="115"/>
    </w:p>
    <w:tbl>
      <w:tblPr>
        <w:tblStyle w:val="NTCtable"/>
        <w:tblW w:w="8931" w:type="dxa"/>
        <w:tblLayout w:type="fixed"/>
        <w:tblLook w:val="04A0" w:firstRow="1" w:lastRow="0" w:firstColumn="1" w:lastColumn="0" w:noHBand="0" w:noVBand="1"/>
      </w:tblPr>
      <w:tblGrid>
        <w:gridCol w:w="2232"/>
        <w:gridCol w:w="2233"/>
        <w:gridCol w:w="2233"/>
        <w:gridCol w:w="2233"/>
      </w:tblGrid>
      <w:tr w:rsidR="00481273" w:rsidRPr="00B8142E" w14:paraId="6037566F" w14:textId="77777777">
        <w:trPr>
          <w:cnfStyle w:val="100000000000" w:firstRow="1" w:lastRow="0" w:firstColumn="0" w:lastColumn="0" w:oddVBand="0" w:evenVBand="0" w:oddHBand="0" w:evenHBand="0" w:firstRowFirstColumn="0" w:firstRowLastColumn="0" w:lastRowFirstColumn="0" w:lastRowLastColumn="0"/>
        </w:trPr>
        <w:tc>
          <w:tcPr>
            <w:tcW w:w="2232" w:type="dxa"/>
          </w:tcPr>
          <w:p w14:paraId="0F0E9ED8" w14:textId="77777777" w:rsidR="00481273" w:rsidRPr="001F1E14" w:rsidRDefault="00481273">
            <w:pPr>
              <w:pStyle w:val="BodyCopy"/>
              <w:spacing w:before="120"/>
              <w:rPr>
                <w:b/>
                <w:szCs w:val="22"/>
              </w:rPr>
            </w:pPr>
            <w:bookmarkStart w:id="116" w:name="_Hlk111542378"/>
            <w:r w:rsidRPr="001F1E14">
              <w:rPr>
                <w:b/>
                <w:szCs w:val="22"/>
              </w:rPr>
              <w:t>Option 1</w:t>
            </w:r>
          </w:p>
        </w:tc>
        <w:tc>
          <w:tcPr>
            <w:tcW w:w="2233" w:type="dxa"/>
            <w:vAlign w:val="center"/>
          </w:tcPr>
          <w:p w14:paraId="3EF073F9" w14:textId="77777777" w:rsidR="00481273" w:rsidRPr="001F1E14" w:rsidRDefault="00481273">
            <w:pPr>
              <w:pStyle w:val="BodyCopy"/>
              <w:spacing w:before="120"/>
              <w:jc w:val="center"/>
              <w:rPr>
                <w:b/>
                <w:szCs w:val="22"/>
              </w:rPr>
            </w:pPr>
            <w:r w:rsidRPr="001F1E14">
              <w:rPr>
                <w:b/>
                <w:szCs w:val="22"/>
              </w:rPr>
              <w:t>Registration (roads component only)</w:t>
            </w:r>
          </w:p>
          <w:p w14:paraId="299DF771"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2C2A77AE" w14:textId="77777777" w:rsidR="00481273" w:rsidRPr="001F1E14" w:rsidRDefault="00481273">
            <w:pPr>
              <w:pStyle w:val="BodyCopy"/>
              <w:spacing w:before="120"/>
              <w:jc w:val="center"/>
              <w:rPr>
                <w:b/>
                <w:szCs w:val="22"/>
              </w:rPr>
            </w:pPr>
            <w:r w:rsidRPr="001F1E14">
              <w:rPr>
                <w:b/>
                <w:szCs w:val="22"/>
              </w:rPr>
              <w:t>RUC</w:t>
            </w:r>
          </w:p>
          <w:p w14:paraId="743E0894"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0ADC02B7" w14:textId="77777777" w:rsidR="00481273" w:rsidRPr="001F1E14" w:rsidRDefault="00481273">
            <w:pPr>
              <w:pStyle w:val="BodyCopy"/>
              <w:spacing w:before="120"/>
              <w:jc w:val="center"/>
              <w:rPr>
                <w:b/>
                <w:szCs w:val="22"/>
              </w:rPr>
            </w:pPr>
            <w:r w:rsidRPr="001F1E14">
              <w:rPr>
                <w:b/>
                <w:szCs w:val="22"/>
              </w:rPr>
              <w:t>Total</w:t>
            </w:r>
          </w:p>
          <w:p w14:paraId="3560DE27" w14:textId="77777777" w:rsidR="00481273" w:rsidRPr="001F1E14" w:rsidRDefault="00481273">
            <w:pPr>
              <w:pStyle w:val="BodyCopy"/>
              <w:spacing w:before="120"/>
              <w:jc w:val="center"/>
              <w:rPr>
                <w:b/>
                <w:szCs w:val="22"/>
              </w:rPr>
            </w:pPr>
            <w:r w:rsidRPr="001F1E14">
              <w:rPr>
                <w:b/>
                <w:szCs w:val="22"/>
              </w:rPr>
              <w:t>$m</w:t>
            </w:r>
          </w:p>
        </w:tc>
      </w:tr>
      <w:tr w:rsidR="00481273" w:rsidRPr="00B8142E" w14:paraId="783269D1" w14:textId="77777777">
        <w:tc>
          <w:tcPr>
            <w:tcW w:w="2232" w:type="dxa"/>
            <w:shd w:val="clear" w:color="auto" w:fill="E7E8EA" w:themeFill="text1" w:themeFillTint="1A"/>
            <w:vAlign w:val="center"/>
          </w:tcPr>
          <w:p w14:paraId="45FBB91D" w14:textId="77777777" w:rsidR="00481273" w:rsidRPr="001F1E14" w:rsidRDefault="00481273">
            <w:pPr>
              <w:pStyle w:val="BodyCopy"/>
              <w:spacing w:before="120"/>
              <w:rPr>
                <w:szCs w:val="22"/>
              </w:rPr>
            </w:pPr>
            <w:r w:rsidRPr="001F1E14">
              <w:rPr>
                <w:szCs w:val="22"/>
              </w:rPr>
              <w:t>2022-23 (Current)</w:t>
            </w:r>
          </w:p>
        </w:tc>
        <w:tc>
          <w:tcPr>
            <w:tcW w:w="2233" w:type="dxa"/>
            <w:shd w:val="clear" w:color="auto" w:fill="E7E8EA" w:themeFill="text1" w:themeFillTint="1A"/>
            <w:vAlign w:val="center"/>
          </w:tcPr>
          <w:p w14:paraId="64F970BD" w14:textId="77777777" w:rsidR="00481273" w:rsidRPr="005861A9" w:rsidRDefault="00481273">
            <w:pPr>
              <w:pStyle w:val="BodyCopy"/>
              <w:spacing w:before="120"/>
              <w:jc w:val="center"/>
              <w:rPr>
                <w:szCs w:val="22"/>
              </w:rPr>
            </w:pPr>
            <w:r>
              <w:rPr>
                <w:szCs w:val="22"/>
              </w:rPr>
              <w:t>1,705</w:t>
            </w:r>
          </w:p>
        </w:tc>
        <w:tc>
          <w:tcPr>
            <w:tcW w:w="2233" w:type="dxa"/>
            <w:shd w:val="clear" w:color="auto" w:fill="E7E8EA" w:themeFill="text1" w:themeFillTint="1A"/>
            <w:vAlign w:val="center"/>
          </w:tcPr>
          <w:p w14:paraId="5066EF61" w14:textId="77777777" w:rsidR="00481273" w:rsidRPr="005861A9" w:rsidRDefault="00481273">
            <w:pPr>
              <w:pStyle w:val="BodyCopy"/>
              <w:spacing w:before="120"/>
              <w:jc w:val="center"/>
              <w:rPr>
                <w:szCs w:val="22"/>
              </w:rPr>
            </w:pPr>
            <w:r w:rsidRPr="005861A9">
              <w:rPr>
                <w:szCs w:val="22"/>
              </w:rPr>
              <w:t>2,023</w:t>
            </w:r>
          </w:p>
        </w:tc>
        <w:tc>
          <w:tcPr>
            <w:tcW w:w="2233" w:type="dxa"/>
            <w:shd w:val="clear" w:color="auto" w:fill="E7E8EA" w:themeFill="text1" w:themeFillTint="1A"/>
            <w:vAlign w:val="center"/>
          </w:tcPr>
          <w:p w14:paraId="17FA4B96" w14:textId="77777777" w:rsidR="00481273" w:rsidRPr="005861A9" w:rsidRDefault="00481273">
            <w:pPr>
              <w:pStyle w:val="BodyCopy"/>
              <w:spacing w:before="120"/>
              <w:jc w:val="center"/>
              <w:rPr>
                <w:szCs w:val="22"/>
              </w:rPr>
            </w:pPr>
            <w:r>
              <w:rPr>
                <w:szCs w:val="22"/>
              </w:rPr>
              <w:t>3,727</w:t>
            </w:r>
          </w:p>
        </w:tc>
      </w:tr>
      <w:tr w:rsidR="00481273" w:rsidRPr="00B8142E" w14:paraId="53DFBC58" w14:textId="77777777">
        <w:tc>
          <w:tcPr>
            <w:tcW w:w="2232" w:type="dxa"/>
            <w:vAlign w:val="center"/>
          </w:tcPr>
          <w:p w14:paraId="41127D33" w14:textId="77777777" w:rsidR="00481273" w:rsidRPr="001F1E14" w:rsidRDefault="00481273">
            <w:pPr>
              <w:pStyle w:val="BodyCopy"/>
              <w:spacing w:before="120"/>
              <w:rPr>
                <w:szCs w:val="22"/>
              </w:rPr>
            </w:pPr>
            <w:r w:rsidRPr="001F1E14">
              <w:rPr>
                <w:szCs w:val="22"/>
              </w:rPr>
              <w:t>2023-24</w:t>
            </w:r>
          </w:p>
        </w:tc>
        <w:tc>
          <w:tcPr>
            <w:tcW w:w="2233" w:type="dxa"/>
            <w:vAlign w:val="center"/>
          </w:tcPr>
          <w:p w14:paraId="7D59D42E" w14:textId="77777777" w:rsidR="00481273" w:rsidRPr="005861A9" w:rsidRDefault="00481273">
            <w:pPr>
              <w:pStyle w:val="BodyCopy"/>
              <w:spacing w:before="120"/>
              <w:jc w:val="center"/>
              <w:rPr>
                <w:szCs w:val="22"/>
              </w:rPr>
            </w:pPr>
            <w:r>
              <w:rPr>
                <w:szCs w:val="22"/>
              </w:rPr>
              <w:t>1,782</w:t>
            </w:r>
          </w:p>
        </w:tc>
        <w:tc>
          <w:tcPr>
            <w:tcW w:w="2233" w:type="dxa"/>
            <w:vAlign w:val="center"/>
          </w:tcPr>
          <w:p w14:paraId="7A2DF3ED" w14:textId="77777777" w:rsidR="00481273" w:rsidRPr="005861A9" w:rsidRDefault="00481273">
            <w:pPr>
              <w:pStyle w:val="BodyCopy"/>
              <w:spacing w:before="120"/>
              <w:jc w:val="center"/>
              <w:rPr>
                <w:szCs w:val="22"/>
              </w:rPr>
            </w:pPr>
            <w:r w:rsidRPr="005861A9">
              <w:rPr>
                <w:szCs w:val="22"/>
              </w:rPr>
              <w:t>2,075</w:t>
            </w:r>
          </w:p>
        </w:tc>
        <w:tc>
          <w:tcPr>
            <w:tcW w:w="2233" w:type="dxa"/>
            <w:vAlign w:val="center"/>
          </w:tcPr>
          <w:p w14:paraId="4FF3B7D1" w14:textId="77777777" w:rsidR="00481273" w:rsidRPr="005861A9" w:rsidRDefault="00481273">
            <w:pPr>
              <w:pStyle w:val="BodyCopy"/>
              <w:spacing w:before="120"/>
              <w:jc w:val="center"/>
              <w:rPr>
                <w:szCs w:val="22"/>
              </w:rPr>
            </w:pPr>
            <w:r>
              <w:rPr>
                <w:szCs w:val="22"/>
              </w:rPr>
              <w:t>3,857</w:t>
            </w:r>
          </w:p>
        </w:tc>
      </w:tr>
      <w:tr w:rsidR="00481273" w:rsidRPr="00B8142E" w14:paraId="52248D83" w14:textId="77777777">
        <w:tc>
          <w:tcPr>
            <w:tcW w:w="2232" w:type="dxa"/>
            <w:vAlign w:val="center"/>
          </w:tcPr>
          <w:p w14:paraId="494959A1" w14:textId="77777777" w:rsidR="00481273" w:rsidRPr="001F1E14" w:rsidRDefault="00481273">
            <w:pPr>
              <w:pStyle w:val="BodyCopy"/>
              <w:spacing w:before="120"/>
              <w:rPr>
                <w:szCs w:val="22"/>
              </w:rPr>
            </w:pPr>
            <w:r w:rsidRPr="001F1E14">
              <w:rPr>
                <w:szCs w:val="22"/>
              </w:rPr>
              <w:t>2024-25</w:t>
            </w:r>
          </w:p>
        </w:tc>
        <w:tc>
          <w:tcPr>
            <w:tcW w:w="2233" w:type="dxa"/>
            <w:vAlign w:val="center"/>
          </w:tcPr>
          <w:p w14:paraId="1E005147" w14:textId="77777777" w:rsidR="00481273" w:rsidRPr="005861A9" w:rsidRDefault="00481273">
            <w:pPr>
              <w:pStyle w:val="BodyCopy"/>
              <w:spacing w:before="120"/>
              <w:jc w:val="center"/>
              <w:rPr>
                <w:szCs w:val="22"/>
              </w:rPr>
            </w:pPr>
            <w:r>
              <w:rPr>
                <w:szCs w:val="22"/>
              </w:rPr>
              <w:t>1,863</w:t>
            </w:r>
          </w:p>
        </w:tc>
        <w:tc>
          <w:tcPr>
            <w:tcW w:w="2233" w:type="dxa"/>
            <w:vAlign w:val="center"/>
          </w:tcPr>
          <w:p w14:paraId="0D3AD7D4" w14:textId="77777777" w:rsidR="00481273" w:rsidRPr="005861A9" w:rsidRDefault="00481273">
            <w:pPr>
              <w:pStyle w:val="BodyCopy"/>
              <w:spacing w:before="120"/>
              <w:jc w:val="center"/>
              <w:rPr>
                <w:szCs w:val="22"/>
              </w:rPr>
            </w:pPr>
            <w:r w:rsidRPr="005861A9">
              <w:rPr>
                <w:szCs w:val="22"/>
              </w:rPr>
              <w:t>2,134</w:t>
            </w:r>
          </w:p>
        </w:tc>
        <w:tc>
          <w:tcPr>
            <w:tcW w:w="2233" w:type="dxa"/>
            <w:vAlign w:val="center"/>
          </w:tcPr>
          <w:p w14:paraId="25769AFC" w14:textId="77777777" w:rsidR="00481273" w:rsidRPr="005861A9" w:rsidRDefault="00481273">
            <w:pPr>
              <w:pStyle w:val="BodyCopy"/>
              <w:spacing w:before="120"/>
              <w:jc w:val="center"/>
              <w:rPr>
                <w:szCs w:val="22"/>
              </w:rPr>
            </w:pPr>
            <w:r>
              <w:rPr>
                <w:szCs w:val="22"/>
              </w:rPr>
              <w:t>3,997</w:t>
            </w:r>
          </w:p>
        </w:tc>
      </w:tr>
      <w:tr w:rsidR="00481273" w:rsidRPr="00B8142E" w14:paraId="48D1BEDE" w14:textId="77777777">
        <w:tc>
          <w:tcPr>
            <w:tcW w:w="2232" w:type="dxa"/>
            <w:vAlign w:val="center"/>
          </w:tcPr>
          <w:p w14:paraId="5F55BDDE" w14:textId="77777777" w:rsidR="00481273" w:rsidRPr="001F1E14" w:rsidRDefault="00481273">
            <w:pPr>
              <w:pStyle w:val="BodyCopy"/>
              <w:spacing w:before="120"/>
              <w:rPr>
                <w:szCs w:val="22"/>
              </w:rPr>
            </w:pPr>
            <w:r w:rsidRPr="001F1E14">
              <w:rPr>
                <w:szCs w:val="22"/>
              </w:rPr>
              <w:t>2025-26</w:t>
            </w:r>
          </w:p>
        </w:tc>
        <w:tc>
          <w:tcPr>
            <w:tcW w:w="2233" w:type="dxa"/>
            <w:vAlign w:val="center"/>
          </w:tcPr>
          <w:p w14:paraId="7761E156" w14:textId="77777777" w:rsidR="00481273" w:rsidRPr="005861A9" w:rsidRDefault="00481273">
            <w:pPr>
              <w:pStyle w:val="BodyCopy"/>
              <w:spacing w:before="120"/>
              <w:jc w:val="center"/>
              <w:rPr>
                <w:szCs w:val="22"/>
              </w:rPr>
            </w:pPr>
            <w:r>
              <w:rPr>
                <w:szCs w:val="22"/>
              </w:rPr>
              <w:t>1,947</w:t>
            </w:r>
          </w:p>
        </w:tc>
        <w:tc>
          <w:tcPr>
            <w:tcW w:w="2233" w:type="dxa"/>
            <w:vAlign w:val="center"/>
          </w:tcPr>
          <w:p w14:paraId="010E8B78" w14:textId="77777777" w:rsidR="00481273" w:rsidRPr="005861A9" w:rsidRDefault="00481273">
            <w:pPr>
              <w:pStyle w:val="BodyCopy"/>
              <w:spacing w:before="120"/>
              <w:jc w:val="center"/>
              <w:rPr>
                <w:szCs w:val="22"/>
              </w:rPr>
            </w:pPr>
            <w:r>
              <w:rPr>
                <w:szCs w:val="22"/>
              </w:rPr>
              <w:t>2,194</w:t>
            </w:r>
          </w:p>
        </w:tc>
        <w:tc>
          <w:tcPr>
            <w:tcW w:w="2233" w:type="dxa"/>
            <w:vAlign w:val="center"/>
          </w:tcPr>
          <w:p w14:paraId="26092B60" w14:textId="77777777" w:rsidR="00481273" w:rsidRPr="005861A9" w:rsidRDefault="00481273">
            <w:pPr>
              <w:pStyle w:val="BodyCopy"/>
              <w:spacing w:before="120"/>
              <w:jc w:val="center"/>
              <w:rPr>
                <w:szCs w:val="22"/>
              </w:rPr>
            </w:pPr>
            <w:r>
              <w:rPr>
                <w:szCs w:val="22"/>
              </w:rPr>
              <w:t>4,140</w:t>
            </w:r>
          </w:p>
        </w:tc>
      </w:tr>
      <w:tr w:rsidR="00481273" w:rsidRPr="00B8142E" w14:paraId="0BAD6DB0" w14:textId="77777777">
        <w:tc>
          <w:tcPr>
            <w:tcW w:w="2232" w:type="dxa"/>
            <w:vAlign w:val="center"/>
          </w:tcPr>
          <w:p w14:paraId="31942A72" w14:textId="77777777" w:rsidR="00481273" w:rsidRPr="001F1E14" w:rsidRDefault="00481273">
            <w:pPr>
              <w:pStyle w:val="BodyCopy"/>
              <w:spacing w:before="120"/>
              <w:rPr>
                <w:szCs w:val="22"/>
              </w:rPr>
            </w:pPr>
            <w:r w:rsidRPr="001F1E14">
              <w:rPr>
                <w:szCs w:val="22"/>
              </w:rPr>
              <w:t>Total over pricing period</w:t>
            </w:r>
          </w:p>
        </w:tc>
        <w:tc>
          <w:tcPr>
            <w:tcW w:w="2233" w:type="dxa"/>
            <w:vAlign w:val="center"/>
          </w:tcPr>
          <w:p w14:paraId="1C2D26D7" w14:textId="77777777" w:rsidR="00481273" w:rsidRPr="005861A9" w:rsidRDefault="00481273">
            <w:pPr>
              <w:pStyle w:val="BodyCopy"/>
              <w:spacing w:before="120"/>
              <w:jc w:val="center"/>
              <w:rPr>
                <w:szCs w:val="22"/>
              </w:rPr>
            </w:pPr>
            <w:r>
              <w:rPr>
                <w:szCs w:val="22"/>
              </w:rPr>
              <w:t>5,592</w:t>
            </w:r>
          </w:p>
        </w:tc>
        <w:tc>
          <w:tcPr>
            <w:tcW w:w="2233" w:type="dxa"/>
            <w:vAlign w:val="center"/>
          </w:tcPr>
          <w:p w14:paraId="0B37CE44" w14:textId="77777777" w:rsidR="00481273" w:rsidRPr="005861A9" w:rsidRDefault="00481273">
            <w:pPr>
              <w:pStyle w:val="BodyCopy"/>
              <w:spacing w:before="120"/>
              <w:jc w:val="center"/>
              <w:rPr>
                <w:szCs w:val="22"/>
              </w:rPr>
            </w:pPr>
            <w:r w:rsidRPr="005861A9">
              <w:rPr>
                <w:szCs w:val="22"/>
              </w:rPr>
              <w:t>6,402</w:t>
            </w:r>
          </w:p>
        </w:tc>
        <w:tc>
          <w:tcPr>
            <w:tcW w:w="2233" w:type="dxa"/>
            <w:vAlign w:val="center"/>
          </w:tcPr>
          <w:p w14:paraId="76F0B71B" w14:textId="77777777" w:rsidR="00481273" w:rsidRPr="005861A9" w:rsidRDefault="00481273">
            <w:pPr>
              <w:pStyle w:val="BodyCopy"/>
              <w:spacing w:before="120"/>
              <w:jc w:val="center"/>
              <w:rPr>
                <w:szCs w:val="22"/>
              </w:rPr>
            </w:pPr>
            <w:r>
              <w:rPr>
                <w:szCs w:val="22"/>
              </w:rPr>
              <w:t>11,994</w:t>
            </w:r>
          </w:p>
        </w:tc>
      </w:tr>
    </w:tbl>
    <w:p w14:paraId="4F08D60E" w14:textId="77777777" w:rsidR="00481273" w:rsidRPr="005003D3" w:rsidRDefault="00481273" w:rsidP="00481273">
      <w:pPr>
        <w:pStyle w:val="Tabletitle"/>
      </w:pPr>
      <w:bookmarkStart w:id="117" w:name="_Toc114042942"/>
      <w:bookmarkEnd w:id="116"/>
      <w:r w:rsidRPr="005003D3">
        <w:t xml:space="preserve">Estimated revenue from the roads component of registration charges and RUC – Option </w:t>
      </w:r>
      <w:r>
        <w:t>2</w:t>
      </w:r>
      <w:r w:rsidRPr="005003D3">
        <w:t xml:space="preserve">: Increase heavy vehicle charges by </w:t>
      </w:r>
      <w:r>
        <w:t>6</w:t>
      </w:r>
      <w:r w:rsidRPr="005003D3">
        <w:t xml:space="preserve"> per cent per annum</w:t>
      </w:r>
      <w:bookmarkEnd w:id="117"/>
      <w:r w:rsidRPr="005003D3" w:rsidDel="00882E44">
        <w:t xml:space="preserve"> </w:t>
      </w:r>
    </w:p>
    <w:tbl>
      <w:tblPr>
        <w:tblStyle w:val="NTCtable"/>
        <w:tblW w:w="8931" w:type="dxa"/>
        <w:tblLayout w:type="fixed"/>
        <w:tblLook w:val="04A0" w:firstRow="1" w:lastRow="0" w:firstColumn="1" w:lastColumn="0" w:noHBand="0" w:noVBand="1"/>
      </w:tblPr>
      <w:tblGrid>
        <w:gridCol w:w="2232"/>
        <w:gridCol w:w="2233"/>
        <w:gridCol w:w="2233"/>
        <w:gridCol w:w="2233"/>
      </w:tblGrid>
      <w:tr w:rsidR="00481273" w:rsidRPr="00B8142E" w14:paraId="0ECFCC78" w14:textId="77777777">
        <w:trPr>
          <w:cnfStyle w:val="100000000000" w:firstRow="1" w:lastRow="0" w:firstColumn="0" w:lastColumn="0" w:oddVBand="0" w:evenVBand="0" w:oddHBand="0" w:evenHBand="0" w:firstRowFirstColumn="0" w:firstRowLastColumn="0" w:lastRowFirstColumn="0" w:lastRowLastColumn="0"/>
        </w:trPr>
        <w:tc>
          <w:tcPr>
            <w:tcW w:w="2232" w:type="dxa"/>
          </w:tcPr>
          <w:p w14:paraId="2108BC04" w14:textId="77777777" w:rsidR="00481273" w:rsidRPr="00F926B2" w:rsidRDefault="00481273">
            <w:pPr>
              <w:pStyle w:val="BodyCopy"/>
              <w:spacing w:before="120"/>
              <w:rPr>
                <w:b/>
                <w:sz w:val="20"/>
                <w:szCs w:val="20"/>
              </w:rPr>
            </w:pPr>
            <w:r>
              <w:rPr>
                <w:b/>
                <w:sz w:val="20"/>
                <w:szCs w:val="20"/>
              </w:rPr>
              <w:t>Option 2</w:t>
            </w:r>
          </w:p>
        </w:tc>
        <w:tc>
          <w:tcPr>
            <w:tcW w:w="2233" w:type="dxa"/>
            <w:vAlign w:val="center"/>
          </w:tcPr>
          <w:p w14:paraId="6721B2A1" w14:textId="77777777" w:rsidR="00481273" w:rsidRPr="001F1E14" w:rsidRDefault="00481273">
            <w:pPr>
              <w:pStyle w:val="BodyCopy"/>
              <w:spacing w:before="120"/>
              <w:jc w:val="center"/>
              <w:rPr>
                <w:b/>
                <w:szCs w:val="22"/>
              </w:rPr>
            </w:pPr>
            <w:r w:rsidRPr="001F1E14">
              <w:rPr>
                <w:b/>
                <w:szCs w:val="22"/>
              </w:rPr>
              <w:t>Registration (roads component only)</w:t>
            </w:r>
          </w:p>
          <w:p w14:paraId="12CEA7C7"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1D07363E" w14:textId="77777777" w:rsidR="00481273" w:rsidRPr="001F1E14" w:rsidRDefault="00481273">
            <w:pPr>
              <w:pStyle w:val="BodyCopy"/>
              <w:spacing w:before="120"/>
              <w:jc w:val="center"/>
              <w:rPr>
                <w:b/>
                <w:szCs w:val="22"/>
              </w:rPr>
            </w:pPr>
            <w:r w:rsidRPr="001F1E14">
              <w:rPr>
                <w:b/>
                <w:szCs w:val="22"/>
              </w:rPr>
              <w:t>RUC</w:t>
            </w:r>
          </w:p>
          <w:p w14:paraId="38B89DCC"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1D8A7A92" w14:textId="77777777" w:rsidR="00481273" w:rsidRPr="001F1E14" w:rsidRDefault="00481273">
            <w:pPr>
              <w:pStyle w:val="BodyCopy"/>
              <w:spacing w:before="120"/>
              <w:jc w:val="center"/>
              <w:rPr>
                <w:b/>
                <w:szCs w:val="22"/>
              </w:rPr>
            </w:pPr>
            <w:r w:rsidRPr="001F1E14">
              <w:rPr>
                <w:b/>
                <w:szCs w:val="22"/>
              </w:rPr>
              <w:t>Total</w:t>
            </w:r>
          </w:p>
          <w:p w14:paraId="648CF63F" w14:textId="77777777" w:rsidR="00481273" w:rsidRPr="001F1E14" w:rsidRDefault="00481273">
            <w:pPr>
              <w:pStyle w:val="BodyCopy"/>
              <w:spacing w:before="120"/>
              <w:jc w:val="center"/>
              <w:rPr>
                <w:b/>
                <w:szCs w:val="22"/>
              </w:rPr>
            </w:pPr>
            <w:r w:rsidRPr="001F1E14">
              <w:rPr>
                <w:b/>
                <w:szCs w:val="22"/>
              </w:rPr>
              <w:t>$m</w:t>
            </w:r>
          </w:p>
        </w:tc>
      </w:tr>
      <w:tr w:rsidR="00481273" w:rsidRPr="00B8142E" w14:paraId="627A6B92" w14:textId="77777777">
        <w:tc>
          <w:tcPr>
            <w:tcW w:w="2232" w:type="dxa"/>
            <w:shd w:val="clear" w:color="auto" w:fill="E7E8EA" w:themeFill="text1" w:themeFillTint="1A"/>
            <w:vAlign w:val="center"/>
          </w:tcPr>
          <w:p w14:paraId="54E3DB8E" w14:textId="77777777" w:rsidR="00481273" w:rsidRPr="001F1E14" w:rsidRDefault="00481273">
            <w:pPr>
              <w:pStyle w:val="BodyCopy"/>
              <w:spacing w:before="120"/>
              <w:rPr>
                <w:szCs w:val="22"/>
              </w:rPr>
            </w:pPr>
            <w:r w:rsidRPr="001F1E14">
              <w:rPr>
                <w:szCs w:val="22"/>
              </w:rPr>
              <w:t>2022-23 (Current)</w:t>
            </w:r>
          </w:p>
        </w:tc>
        <w:tc>
          <w:tcPr>
            <w:tcW w:w="2233" w:type="dxa"/>
            <w:shd w:val="clear" w:color="auto" w:fill="E7E8EA" w:themeFill="text1" w:themeFillTint="1A"/>
            <w:vAlign w:val="center"/>
          </w:tcPr>
          <w:p w14:paraId="446AA6C2" w14:textId="77777777" w:rsidR="00481273" w:rsidRPr="008C21D8" w:rsidRDefault="00481273">
            <w:pPr>
              <w:pStyle w:val="BodyCopy"/>
              <w:spacing w:before="120"/>
              <w:jc w:val="center"/>
            </w:pPr>
            <w:r>
              <w:t>1,705</w:t>
            </w:r>
          </w:p>
        </w:tc>
        <w:tc>
          <w:tcPr>
            <w:tcW w:w="2233" w:type="dxa"/>
            <w:shd w:val="clear" w:color="auto" w:fill="E7E8EA" w:themeFill="text1" w:themeFillTint="1A"/>
            <w:vAlign w:val="center"/>
          </w:tcPr>
          <w:p w14:paraId="4A8C47F4" w14:textId="77777777" w:rsidR="00481273" w:rsidRPr="007C31A3" w:rsidRDefault="00481273">
            <w:pPr>
              <w:pStyle w:val="BodyCopy"/>
              <w:spacing w:before="120"/>
              <w:jc w:val="center"/>
            </w:pPr>
            <w:r>
              <w:t>2,023</w:t>
            </w:r>
          </w:p>
        </w:tc>
        <w:tc>
          <w:tcPr>
            <w:tcW w:w="2233" w:type="dxa"/>
            <w:shd w:val="clear" w:color="auto" w:fill="E7E8EA" w:themeFill="text1" w:themeFillTint="1A"/>
            <w:vAlign w:val="center"/>
          </w:tcPr>
          <w:p w14:paraId="02B12F90" w14:textId="77777777" w:rsidR="00481273" w:rsidRPr="009B39B7" w:rsidRDefault="00481273">
            <w:pPr>
              <w:pStyle w:val="BodyCopy"/>
              <w:spacing w:before="120"/>
              <w:jc w:val="center"/>
            </w:pPr>
            <w:r>
              <w:t>3,727</w:t>
            </w:r>
          </w:p>
        </w:tc>
      </w:tr>
      <w:tr w:rsidR="00481273" w:rsidRPr="00B8142E" w14:paraId="3099134E" w14:textId="77777777">
        <w:tc>
          <w:tcPr>
            <w:tcW w:w="2232" w:type="dxa"/>
            <w:vAlign w:val="center"/>
          </w:tcPr>
          <w:p w14:paraId="0D7DAC17" w14:textId="77777777" w:rsidR="00481273" w:rsidRPr="001F1E14" w:rsidRDefault="00481273">
            <w:pPr>
              <w:pStyle w:val="BodyCopy"/>
              <w:spacing w:before="120"/>
              <w:rPr>
                <w:szCs w:val="22"/>
              </w:rPr>
            </w:pPr>
            <w:r w:rsidRPr="001F1E14">
              <w:rPr>
                <w:szCs w:val="22"/>
              </w:rPr>
              <w:t>2023-24</w:t>
            </w:r>
          </w:p>
        </w:tc>
        <w:tc>
          <w:tcPr>
            <w:tcW w:w="2233" w:type="dxa"/>
            <w:vAlign w:val="center"/>
          </w:tcPr>
          <w:p w14:paraId="293FB5FD" w14:textId="77777777" w:rsidR="00481273" w:rsidRPr="00F926B2" w:rsidRDefault="00481273">
            <w:pPr>
              <w:pStyle w:val="BodyCopy"/>
              <w:spacing w:before="120"/>
              <w:jc w:val="center"/>
              <w:rPr>
                <w:sz w:val="20"/>
                <w:szCs w:val="20"/>
              </w:rPr>
            </w:pPr>
            <w:r>
              <w:t>1,839</w:t>
            </w:r>
          </w:p>
        </w:tc>
        <w:tc>
          <w:tcPr>
            <w:tcW w:w="2233" w:type="dxa"/>
            <w:vAlign w:val="center"/>
          </w:tcPr>
          <w:p w14:paraId="0C357744" w14:textId="77777777" w:rsidR="00481273" w:rsidRPr="00F926B2" w:rsidRDefault="00481273">
            <w:pPr>
              <w:pStyle w:val="BodyCopy"/>
              <w:spacing w:before="120"/>
              <w:jc w:val="center"/>
              <w:rPr>
                <w:sz w:val="20"/>
                <w:szCs w:val="20"/>
              </w:rPr>
            </w:pPr>
            <w:r>
              <w:t>2,142</w:t>
            </w:r>
          </w:p>
        </w:tc>
        <w:tc>
          <w:tcPr>
            <w:tcW w:w="2233" w:type="dxa"/>
            <w:vAlign w:val="center"/>
          </w:tcPr>
          <w:p w14:paraId="7A2D22B3" w14:textId="77777777" w:rsidR="00481273" w:rsidRPr="00F926B2" w:rsidRDefault="00481273">
            <w:pPr>
              <w:pStyle w:val="BodyCopy"/>
              <w:spacing w:before="120"/>
              <w:jc w:val="center"/>
              <w:rPr>
                <w:sz w:val="20"/>
                <w:szCs w:val="20"/>
              </w:rPr>
            </w:pPr>
            <w:r>
              <w:t>3,980</w:t>
            </w:r>
          </w:p>
        </w:tc>
      </w:tr>
      <w:tr w:rsidR="00481273" w:rsidRPr="00B8142E" w14:paraId="3DE97250" w14:textId="77777777">
        <w:tc>
          <w:tcPr>
            <w:tcW w:w="2232" w:type="dxa"/>
            <w:vAlign w:val="center"/>
          </w:tcPr>
          <w:p w14:paraId="7B866EEC" w14:textId="77777777" w:rsidR="00481273" w:rsidRPr="001F1E14" w:rsidRDefault="00481273">
            <w:pPr>
              <w:pStyle w:val="BodyCopy"/>
              <w:spacing w:before="120"/>
              <w:rPr>
                <w:szCs w:val="22"/>
              </w:rPr>
            </w:pPr>
            <w:r w:rsidRPr="001F1E14">
              <w:rPr>
                <w:szCs w:val="22"/>
              </w:rPr>
              <w:t>2024-25</w:t>
            </w:r>
          </w:p>
        </w:tc>
        <w:tc>
          <w:tcPr>
            <w:tcW w:w="2233" w:type="dxa"/>
            <w:vAlign w:val="center"/>
          </w:tcPr>
          <w:p w14:paraId="6F5A60E6" w14:textId="77777777" w:rsidR="00481273" w:rsidRPr="00F926B2" w:rsidRDefault="00481273">
            <w:pPr>
              <w:pStyle w:val="BodyCopy"/>
              <w:spacing w:before="120"/>
              <w:jc w:val="center"/>
              <w:rPr>
                <w:sz w:val="20"/>
                <w:szCs w:val="20"/>
              </w:rPr>
            </w:pPr>
            <w:r>
              <w:t>1,983</w:t>
            </w:r>
          </w:p>
        </w:tc>
        <w:tc>
          <w:tcPr>
            <w:tcW w:w="2233" w:type="dxa"/>
            <w:vAlign w:val="center"/>
          </w:tcPr>
          <w:p w14:paraId="7944397C" w14:textId="77777777" w:rsidR="00481273" w:rsidRPr="00F926B2" w:rsidRDefault="00481273">
            <w:pPr>
              <w:pStyle w:val="BodyCopy"/>
              <w:spacing w:before="120"/>
              <w:jc w:val="center"/>
              <w:rPr>
                <w:sz w:val="20"/>
                <w:szCs w:val="20"/>
              </w:rPr>
            </w:pPr>
            <w:r>
              <w:t>2,268</w:t>
            </w:r>
          </w:p>
        </w:tc>
        <w:tc>
          <w:tcPr>
            <w:tcW w:w="2233" w:type="dxa"/>
            <w:vAlign w:val="center"/>
          </w:tcPr>
          <w:p w14:paraId="495E3379" w14:textId="77777777" w:rsidR="00481273" w:rsidRPr="00F926B2" w:rsidRDefault="00481273">
            <w:pPr>
              <w:pStyle w:val="BodyCopy"/>
              <w:spacing w:before="120"/>
              <w:jc w:val="center"/>
              <w:rPr>
                <w:sz w:val="20"/>
                <w:szCs w:val="20"/>
              </w:rPr>
            </w:pPr>
            <w:r>
              <w:t>4,251</w:t>
            </w:r>
          </w:p>
        </w:tc>
      </w:tr>
      <w:tr w:rsidR="00481273" w:rsidRPr="00B8142E" w14:paraId="255E5C74" w14:textId="77777777">
        <w:tc>
          <w:tcPr>
            <w:tcW w:w="2232" w:type="dxa"/>
            <w:vAlign w:val="center"/>
          </w:tcPr>
          <w:p w14:paraId="3FD33A3C" w14:textId="77777777" w:rsidR="00481273" w:rsidRPr="001F1E14" w:rsidRDefault="00481273">
            <w:pPr>
              <w:pStyle w:val="BodyCopy"/>
              <w:spacing w:before="120"/>
              <w:rPr>
                <w:szCs w:val="22"/>
              </w:rPr>
            </w:pPr>
            <w:r w:rsidRPr="001F1E14">
              <w:rPr>
                <w:szCs w:val="22"/>
              </w:rPr>
              <w:t>2025-26</w:t>
            </w:r>
          </w:p>
        </w:tc>
        <w:tc>
          <w:tcPr>
            <w:tcW w:w="2233" w:type="dxa"/>
            <w:vAlign w:val="center"/>
          </w:tcPr>
          <w:p w14:paraId="256DDB1A" w14:textId="77777777" w:rsidR="00481273" w:rsidRPr="00F926B2" w:rsidRDefault="00481273">
            <w:pPr>
              <w:pStyle w:val="BodyCopy"/>
              <w:spacing w:before="120"/>
              <w:jc w:val="center"/>
              <w:rPr>
                <w:sz w:val="20"/>
                <w:szCs w:val="20"/>
              </w:rPr>
            </w:pPr>
            <w:r>
              <w:t>2,137</w:t>
            </w:r>
          </w:p>
        </w:tc>
        <w:tc>
          <w:tcPr>
            <w:tcW w:w="2233" w:type="dxa"/>
            <w:vAlign w:val="center"/>
          </w:tcPr>
          <w:p w14:paraId="027B3CFB" w14:textId="77777777" w:rsidR="00481273" w:rsidRPr="00F926B2" w:rsidRDefault="00481273">
            <w:pPr>
              <w:pStyle w:val="BodyCopy"/>
              <w:spacing w:before="120"/>
              <w:jc w:val="center"/>
              <w:rPr>
                <w:sz w:val="20"/>
                <w:szCs w:val="20"/>
              </w:rPr>
            </w:pPr>
            <w:r>
              <w:t>2,402</w:t>
            </w:r>
          </w:p>
        </w:tc>
        <w:tc>
          <w:tcPr>
            <w:tcW w:w="2233" w:type="dxa"/>
            <w:vAlign w:val="center"/>
          </w:tcPr>
          <w:p w14:paraId="4CDF1611" w14:textId="77777777" w:rsidR="00481273" w:rsidRPr="00F926B2" w:rsidRDefault="00481273">
            <w:pPr>
              <w:pStyle w:val="BodyCopy"/>
              <w:spacing w:before="120"/>
              <w:jc w:val="center"/>
              <w:rPr>
                <w:sz w:val="20"/>
                <w:szCs w:val="20"/>
              </w:rPr>
            </w:pPr>
            <w:r>
              <w:t>4,539</w:t>
            </w:r>
          </w:p>
        </w:tc>
      </w:tr>
      <w:tr w:rsidR="00481273" w:rsidRPr="00B8142E" w14:paraId="28735D71" w14:textId="77777777">
        <w:tc>
          <w:tcPr>
            <w:tcW w:w="2232" w:type="dxa"/>
            <w:vAlign w:val="center"/>
          </w:tcPr>
          <w:p w14:paraId="300D8331" w14:textId="77777777" w:rsidR="00481273" w:rsidRPr="001F1E14" w:rsidRDefault="00481273">
            <w:pPr>
              <w:pStyle w:val="BodyCopy"/>
              <w:spacing w:before="120"/>
              <w:rPr>
                <w:szCs w:val="22"/>
              </w:rPr>
            </w:pPr>
            <w:r w:rsidRPr="001F1E14">
              <w:rPr>
                <w:szCs w:val="22"/>
              </w:rPr>
              <w:t>Total over pricing period</w:t>
            </w:r>
          </w:p>
        </w:tc>
        <w:tc>
          <w:tcPr>
            <w:tcW w:w="2233" w:type="dxa"/>
            <w:vAlign w:val="center"/>
          </w:tcPr>
          <w:p w14:paraId="116EB95C" w14:textId="77777777" w:rsidR="00481273" w:rsidRPr="00F926B2" w:rsidRDefault="00481273">
            <w:pPr>
              <w:pStyle w:val="BodyCopy"/>
              <w:spacing w:before="120"/>
              <w:jc w:val="center"/>
              <w:rPr>
                <w:sz w:val="20"/>
                <w:szCs w:val="20"/>
              </w:rPr>
            </w:pPr>
            <w:r>
              <w:t>5,958</w:t>
            </w:r>
          </w:p>
        </w:tc>
        <w:tc>
          <w:tcPr>
            <w:tcW w:w="2233" w:type="dxa"/>
            <w:vAlign w:val="center"/>
          </w:tcPr>
          <w:p w14:paraId="5FC9A7A1" w14:textId="77777777" w:rsidR="00481273" w:rsidRPr="00F926B2" w:rsidRDefault="00481273">
            <w:pPr>
              <w:pStyle w:val="BodyCopy"/>
              <w:spacing w:before="120"/>
              <w:jc w:val="center"/>
              <w:rPr>
                <w:sz w:val="20"/>
                <w:szCs w:val="20"/>
              </w:rPr>
            </w:pPr>
            <w:r>
              <w:t>6,811</w:t>
            </w:r>
          </w:p>
        </w:tc>
        <w:tc>
          <w:tcPr>
            <w:tcW w:w="2233" w:type="dxa"/>
            <w:vAlign w:val="center"/>
          </w:tcPr>
          <w:p w14:paraId="5630C7F1" w14:textId="77777777" w:rsidR="00481273" w:rsidRPr="00F926B2" w:rsidRDefault="00481273">
            <w:pPr>
              <w:pStyle w:val="BodyCopy"/>
              <w:spacing w:before="120"/>
              <w:jc w:val="center"/>
              <w:rPr>
                <w:sz w:val="20"/>
                <w:szCs w:val="20"/>
              </w:rPr>
            </w:pPr>
            <w:r>
              <w:t>12,770</w:t>
            </w:r>
          </w:p>
        </w:tc>
      </w:tr>
    </w:tbl>
    <w:p w14:paraId="3B54C0E7" w14:textId="77777777" w:rsidR="00481273" w:rsidRPr="005003D3" w:rsidRDefault="00481273" w:rsidP="00481273">
      <w:pPr>
        <w:pStyle w:val="Tabletitle"/>
      </w:pPr>
      <w:bookmarkStart w:id="118" w:name="_Toc114042943"/>
      <w:r w:rsidRPr="005003D3">
        <w:t xml:space="preserve">Estimated revenue from the roads component of registration charges and RUC – Option </w:t>
      </w:r>
      <w:r>
        <w:t>3</w:t>
      </w:r>
      <w:r w:rsidRPr="005003D3">
        <w:t xml:space="preserve">: Increase heavy vehicle charges by </w:t>
      </w:r>
      <w:r>
        <w:t>10</w:t>
      </w:r>
      <w:r w:rsidRPr="005003D3">
        <w:t xml:space="preserve"> per cent per annum</w:t>
      </w:r>
      <w:bookmarkEnd w:id="118"/>
      <w:r w:rsidRPr="005003D3" w:rsidDel="00882E44">
        <w:t xml:space="preserve"> </w:t>
      </w:r>
    </w:p>
    <w:tbl>
      <w:tblPr>
        <w:tblStyle w:val="NTCtable"/>
        <w:tblW w:w="8931" w:type="dxa"/>
        <w:tblLayout w:type="fixed"/>
        <w:tblLook w:val="04A0" w:firstRow="1" w:lastRow="0" w:firstColumn="1" w:lastColumn="0" w:noHBand="0" w:noVBand="1"/>
      </w:tblPr>
      <w:tblGrid>
        <w:gridCol w:w="2232"/>
        <w:gridCol w:w="2233"/>
        <w:gridCol w:w="2233"/>
        <w:gridCol w:w="2233"/>
      </w:tblGrid>
      <w:tr w:rsidR="00481273" w:rsidRPr="00B8142E" w14:paraId="589E4EEF" w14:textId="77777777">
        <w:trPr>
          <w:cnfStyle w:val="100000000000" w:firstRow="1" w:lastRow="0" w:firstColumn="0" w:lastColumn="0" w:oddVBand="0" w:evenVBand="0" w:oddHBand="0" w:evenHBand="0" w:firstRowFirstColumn="0" w:firstRowLastColumn="0" w:lastRowFirstColumn="0" w:lastRowLastColumn="0"/>
        </w:trPr>
        <w:tc>
          <w:tcPr>
            <w:tcW w:w="2232" w:type="dxa"/>
          </w:tcPr>
          <w:p w14:paraId="3D79324A" w14:textId="078AE4DF" w:rsidR="00481273" w:rsidRPr="001F1E14" w:rsidRDefault="00481273">
            <w:pPr>
              <w:pStyle w:val="BodyCopy"/>
              <w:spacing w:before="120"/>
              <w:rPr>
                <w:b/>
                <w:szCs w:val="22"/>
              </w:rPr>
            </w:pPr>
            <w:r w:rsidRPr="001F1E14">
              <w:rPr>
                <w:b/>
                <w:szCs w:val="22"/>
              </w:rPr>
              <w:t xml:space="preserve">Option </w:t>
            </w:r>
            <w:r w:rsidR="0013734D">
              <w:rPr>
                <w:b/>
                <w:szCs w:val="22"/>
              </w:rPr>
              <w:t>3</w:t>
            </w:r>
          </w:p>
        </w:tc>
        <w:tc>
          <w:tcPr>
            <w:tcW w:w="2233" w:type="dxa"/>
            <w:vAlign w:val="center"/>
          </w:tcPr>
          <w:p w14:paraId="6D8B0896" w14:textId="77777777" w:rsidR="00481273" w:rsidRPr="001F1E14" w:rsidRDefault="00481273">
            <w:pPr>
              <w:pStyle w:val="BodyCopy"/>
              <w:spacing w:before="120"/>
              <w:jc w:val="center"/>
              <w:rPr>
                <w:b/>
                <w:szCs w:val="22"/>
              </w:rPr>
            </w:pPr>
            <w:r w:rsidRPr="001F1E14">
              <w:rPr>
                <w:b/>
                <w:szCs w:val="22"/>
              </w:rPr>
              <w:t>Registration (roads component only)</w:t>
            </w:r>
          </w:p>
          <w:p w14:paraId="09D55C2E"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593E0396" w14:textId="77777777" w:rsidR="00481273" w:rsidRPr="001F1E14" w:rsidRDefault="00481273">
            <w:pPr>
              <w:pStyle w:val="BodyCopy"/>
              <w:spacing w:before="120"/>
              <w:jc w:val="center"/>
              <w:rPr>
                <w:b/>
                <w:szCs w:val="22"/>
              </w:rPr>
            </w:pPr>
            <w:r w:rsidRPr="001F1E14">
              <w:rPr>
                <w:b/>
                <w:szCs w:val="22"/>
              </w:rPr>
              <w:t>RUC</w:t>
            </w:r>
          </w:p>
          <w:p w14:paraId="3B1C7825" w14:textId="77777777" w:rsidR="00481273" w:rsidRPr="001F1E14" w:rsidRDefault="00481273">
            <w:pPr>
              <w:pStyle w:val="BodyCopy"/>
              <w:spacing w:before="120"/>
              <w:jc w:val="center"/>
              <w:rPr>
                <w:b/>
                <w:szCs w:val="22"/>
              </w:rPr>
            </w:pPr>
            <w:r w:rsidRPr="001F1E14">
              <w:rPr>
                <w:b/>
                <w:szCs w:val="22"/>
              </w:rPr>
              <w:t>$m</w:t>
            </w:r>
          </w:p>
        </w:tc>
        <w:tc>
          <w:tcPr>
            <w:tcW w:w="2233" w:type="dxa"/>
            <w:vAlign w:val="center"/>
          </w:tcPr>
          <w:p w14:paraId="4E39F76F" w14:textId="77777777" w:rsidR="00481273" w:rsidRPr="001F1E14" w:rsidRDefault="00481273">
            <w:pPr>
              <w:pStyle w:val="BodyCopy"/>
              <w:spacing w:before="120"/>
              <w:jc w:val="center"/>
              <w:rPr>
                <w:b/>
                <w:szCs w:val="22"/>
              </w:rPr>
            </w:pPr>
            <w:r w:rsidRPr="001F1E14">
              <w:rPr>
                <w:b/>
                <w:szCs w:val="22"/>
              </w:rPr>
              <w:t>Total</w:t>
            </w:r>
          </w:p>
          <w:p w14:paraId="20D64EEB" w14:textId="77777777" w:rsidR="00481273" w:rsidRPr="001F1E14" w:rsidRDefault="00481273">
            <w:pPr>
              <w:pStyle w:val="BodyCopy"/>
              <w:spacing w:before="120"/>
              <w:jc w:val="center"/>
              <w:rPr>
                <w:b/>
                <w:szCs w:val="22"/>
              </w:rPr>
            </w:pPr>
            <w:r w:rsidRPr="001F1E14">
              <w:rPr>
                <w:b/>
                <w:szCs w:val="22"/>
              </w:rPr>
              <w:t>$m</w:t>
            </w:r>
          </w:p>
        </w:tc>
      </w:tr>
      <w:tr w:rsidR="00481273" w:rsidRPr="00B8142E" w14:paraId="77147C4F" w14:textId="77777777">
        <w:tc>
          <w:tcPr>
            <w:tcW w:w="2232" w:type="dxa"/>
            <w:shd w:val="clear" w:color="auto" w:fill="E7E8EA" w:themeFill="text1" w:themeFillTint="1A"/>
            <w:vAlign w:val="center"/>
          </w:tcPr>
          <w:p w14:paraId="4C46FE31" w14:textId="77777777" w:rsidR="00481273" w:rsidRPr="001F1E14" w:rsidRDefault="00481273">
            <w:pPr>
              <w:pStyle w:val="BodyCopy"/>
              <w:spacing w:before="120"/>
              <w:rPr>
                <w:szCs w:val="22"/>
              </w:rPr>
            </w:pPr>
            <w:r w:rsidRPr="001F1E14">
              <w:rPr>
                <w:szCs w:val="22"/>
              </w:rPr>
              <w:t>2022-23 (Current)</w:t>
            </w:r>
          </w:p>
        </w:tc>
        <w:tc>
          <w:tcPr>
            <w:tcW w:w="2233" w:type="dxa"/>
            <w:shd w:val="clear" w:color="auto" w:fill="E7E8EA" w:themeFill="text1" w:themeFillTint="1A"/>
            <w:vAlign w:val="center"/>
          </w:tcPr>
          <w:p w14:paraId="5A926FB2" w14:textId="77777777" w:rsidR="00481273" w:rsidRPr="00A23A05" w:rsidRDefault="00481273">
            <w:pPr>
              <w:pStyle w:val="BodyCopy"/>
              <w:spacing w:before="120"/>
              <w:jc w:val="center"/>
            </w:pPr>
            <w:r>
              <w:t>1,705</w:t>
            </w:r>
          </w:p>
        </w:tc>
        <w:tc>
          <w:tcPr>
            <w:tcW w:w="2233" w:type="dxa"/>
            <w:shd w:val="clear" w:color="auto" w:fill="E7E8EA" w:themeFill="text1" w:themeFillTint="1A"/>
            <w:vAlign w:val="center"/>
          </w:tcPr>
          <w:p w14:paraId="3ED3EDF5" w14:textId="77777777" w:rsidR="00481273" w:rsidRPr="00324E26" w:rsidRDefault="00481273">
            <w:pPr>
              <w:pStyle w:val="BodyCopy"/>
              <w:spacing w:before="120"/>
              <w:jc w:val="center"/>
            </w:pPr>
            <w:r>
              <w:t>2,023</w:t>
            </w:r>
          </w:p>
        </w:tc>
        <w:tc>
          <w:tcPr>
            <w:tcW w:w="2233" w:type="dxa"/>
            <w:shd w:val="clear" w:color="auto" w:fill="E7E8EA" w:themeFill="text1" w:themeFillTint="1A"/>
            <w:vAlign w:val="center"/>
          </w:tcPr>
          <w:p w14:paraId="635CB83A" w14:textId="77777777" w:rsidR="00481273" w:rsidRPr="00365304" w:rsidRDefault="00481273">
            <w:pPr>
              <w:pStyle w:val="BodyCopy"/>
              <w:spacing w:before="120"/>
              <w:jc w:val="center"/>
            </w:pPr>
            <w:r>
              <w:t>3,727</w:t>
            </w:r>
          </w:p>
        </w:tc>
      </w:tr>
      <w:tr w:rsidR="00481273" w:rsidRPr="00B8142E" w14:paraId="59F38C32" w14:textId="77777777">
        <w:tc>
          <w:tcPr>
            <w:tcW w:w="2232" w:type="dxa"/>
            <w:vAlign w:val="center"/>
          </w:tcPr>
          <w:p w14:paraId="67F1CA79" w14:textId="77777777" w:rsidR="00481273" w:rsidRPr="001F1E14" w:rsidRDefault="00481273">
            <w:pPr>
              <w:pStyle w:val="BodyCopy"/>
              <w:spacing w:before="120"/>
              <w:rPr>
                <w:szCs w:val="22"/>
              </w:rPr>
            </w:pPr>
            <w:r w:rsidRPr="001F1E14">
              <w:rPr>
                <w:szCs w:val="22"/>
              </w:rPr>
              <w:t>2023-24</w:t>
            </w:r>
          </w:p>
        </w:tc>
        <w:tc>
          <w:tcPr>
            <w:tcW w:w="2233" w:type="dxa"/>
            <w:vAlign w:val="center"/>
          </w:tcPr>
          <w:p w14:paraId="41F173D3" w14:textId="77777777" w:rsidR="00481273" w:rsidRPr="00F926B2" w:rsidRDefault="00481273">
            <w:pPr>
              <w:pStyle w:val="BodyCopy"/>
              <w:spacing w:before="120"/>
              <w:jc w:val="center"/>
              <w:rPr>
                <w:sz w:val="20"/>
                <w:szCs w:val="20"/>
              </w:rPr>
            </w:pPr>
            <w:r>
              <w:t>1,908</w:t>
            </w:r>
          </w:p>
        </w:tc>
        <w:tc>
          <w:tcPr>
            <w:tcW w:w="2233" w:type="dxa"/>
            <w:vAlign w:val="center"/>
          </w:tcPr>
          <w:p w14:paraId="66F546C2" w14:textId="77777777" w:rsidR="00481273" w:rsidRPr="00F926B2" w:rsidRDefault="00481273">
            <w:pPr>
              <w:pStyle w:val="BodyCopy"/>
              <w:spacing w:before="120"/>
              <w:jc w:val="center"/>
              <w:rPr>
                <w:sz w:val="20"/>
                <w:szCs w:val="20"/>
              </w:rPr>
            </w:pPr>
            <w:r>
              <w:t>2,223</w:t>
            </w:r>
          </w:p>
        </w:tc>
        <w:tc>
          <w:tcPr>
            <w:tcW w:w="2233" w:type="dxa"/>
            <w:vAlign w:val="center"/>
          </w:tcPr>
          <w:p w14:paraId="6AA869E6" w14:textId="77777777" w:rsidR="00481273" w:rsidRPr="00F926B2" w:rsidRDefault="00481273">
            <w:pPr>
              <w:pStyle w:val="BodyCopy"/>
              <w:spacing w:before="120"/>
              <w:jc w:val="center"/>
              <w:rPr>
                <w:sz w:val="20"/>
                <w:szCs w:val="20"/>
              </w:rPr>
            </w:pPr>
            <w:r>
              <w:t>4,131</w:t>
            </w:r>
          </w:p>
        </w:tc>
      </w:tr>
      <w:tr w:rsidR="00481273" w:rsidRPr="00B8142E" w14:paraId="5896CA48" w14:textId="77777777">
        <w:tc>
          <w:tcPr>
            <w:tcW w:w="2232" w:type="dxa"/>
            <w:vAlign w:val="center"/>
          </w:tcPr>
          <w:p w14:paraId="6F564CBA" w14:textId="77777777" w:rsidR="00481273" w:rsidRPr="001F1E14" w:rsidRDefault="00481273">
            <w:pPr>
              <w:pStyle w:val="BodyCopy"/>
              <w:spacing w:before="120"/>
              <w:rPr>
                <w:szCs w:val="22"/>
              </w:rPr>
            </w:pPr>
            <w:r w:rsidRPr="001F1E14">
              <w:rPr>
                <w:szCs w:val="22"/>
              </w:rPr>
              <w:t>2024-25</w:t>
            </w:r>
          </w:p>
        </w:tc>
        <w:tc>
          <w:tcPr>
            <w:tcW w:w="2233" w:type="dxa"/>
            <w:vAlign w:val="center"/>
          </w:tcPr>
          <w:p w14:paraId="5CCA715B" w14:textId="77777777" w:rsidR="00481273" w:rsidRPr="00F926B2" w:rsidRDefault="00481273">
            <w:pPr>
              <w:pStyle w:val="BodyCopy"/>
              <w:spacing w:before="120"/>
              <w:jc w:val="center"/>
              <w:rPr>
                <w:sz w:val="20"/>
                <w:szCs w:val="20"/>
              </w:rPr>
            </w:pPr>
            <w:r>
              <w:t>2,135</w:t>
            </w:r>
          </w:p>
        </w:tc>
        <w:tc>
          <w:tcPr>
            <w:tcW w:w="2233" w:type="dxa"/>
            <w:vAlign w:val="center"/>
          </w:tcPr>
          <w:p w14:paraId="5D6B9E94" w14:textId="77777777" w:rsidR="00481273" w:rsidRPr="00F926B2" w:rsidRDefault="00481273">
            <w:pPr>
              <w:pStyle w:val="BodyCopy"/>
              <w:spacing w:before="120"/>
              <w:jc w:val="center"/>
              <w:rPr>
                <w:sz w:val="20"/>
                <w:szCs w:val="20"/>
              </w:rPr>
            </w:pPr>
            <w:r>
              <w:t>2,446</w:t>
            </w:r>
          </w:p>
        </w:tc>
        <w:tc>
          <w:tcPr>
            <w:tcW w:w="2233" w:type="dxa"/>
            <w:vAlign w:val="center"/>
          </w:tcPr>
          <w:p w14:paraId="04AF6A89" w14:textId="77777777" w:rsidR="00481273" w:rsidRPr="00F926B2" w:rsidRDefault="00481273">
            <w:pPr>
              <w:pStyle w:val="BodyCopy"/>
              <w:spacing w:before="120"/>
              <w:jc w:val="center"/>
              <w:rPr>
                <w:sz w:val="20"/>
                <w:szCs w:val="20"/>
              </w:rPr>
            </w:pPr>
            <w:r>
              <w:t>4,581</w:t>
            </w:r>
          </w:p>
        </w:tc>
      </w:tr>
      <w:tr w:rsidR="00481273" w:rsidRPr="00B8142E" w14:paraId="6936E60D" w14:textId="77777777">
        <w:tc>
          <w:tcPr>
            <w:tcW w:w="2232" w:type="dxa"/>
            <w:vAlign w:val="center"/>
          </w:tcPr>
          <w:p w14:paraId="2BDB150F" w14:textId="77777777" w:rsidR="00481273" w:rsidRPr="001F1E14" w:rsidRDefault="00481273">
            <w:pPr>
              <w:pStyle w:val="BodyCopy"/>
              <w:spacing w:before="120"/>
              <w:rPr>
                <w:szCs w:val="22"/>
              </w:rPr>
            </w:pPr>
            <w:r w:rsidRPr="001F1E14">
              <w:rPr>
                <w:szCs w:val="22"/>
              </w:rPr>
              <w:t>2025-26</w:t>
            </w:r>
          </w:p>
        </w:tc>
        <w:tc>
          <w:tcPr>
            <w:tcW w:w="2233" w:type="dxa"/>
            <w:vAlign w:val="center"/>
          </w:tcPr>
          <w:p w14:paraId="0EC39F51" w14:textId="77777777" w:rsidR="00481273" w:rsidRPr="00F926B2" w:rsidRDefault="00481273">
            <w:pPr>
              <w:pStyle w:val="BodyCopy"/>
              <w:spacing w:before="120"/>
              <w:jc w:val="center"/>
              <w:rPr>
                <w:sz w:val="20"/>
                <w:szCs w:val="20"/>
              </w:rPr>
            </w:pPr>
            <w:r>
              <w:t>2,388</w:t>
            </w:r>
          </w:p>
        </w:tc>
        <w:tc>
          <w:tcPr>
            <w:tcW w:w="2233" w:type="dxa"/>
            <w:vAlign w:val="center"/>
          </w:tcPr>
          <w:p w14:paraId="01C3A91E" w14:textId="77777777" w:rsidR="00481273" w:rsidRPr="00F926B2" w:rsidRDefault="00481273">
            <w:pPr>
              <w:pStyle w:val="BodyCopy"/>
              <w:spacing w:before="120"/>
              <w:jc w:val="center"/>
              <w:rPr>
                <w:sz w:val="20"/>
                <w:szCs w:val="20"/>
              </w:rPr>
            </w:pPr>
            <w:r>
              <w:t>2,692</w:t>
            </w:r>
          </w:p>
        </w:tc>
        <w:tc>
          <w:tcPr>
            <w:tcW w:w="2233" w:type="dxa"/>
            <w:vAlign w:val="center"/>
          </w:tcPr>
          <w:p w14:paraId="4A3B8A56" w14:textId="77777777" w:rsidR="00481273" w:rsidRPr="00F926B2" w:rsidRDefault="00481273">
            <w:pPr>
              <w:pStyle w:val="BodyCopy"/>
              <w:spacing w:before="120"/>
              <w:jc w:val="center"/>
              <w:rPr>
                <w:sz w:val="20"/>
                <w:szCs w:val="20"/>
              </w:rPr>
            </w:pPr>
            <w:r>
              <w:t>5,080</w:t>
            </w:r>
          </w:p>
        </w:tc>
      </w:tr>
      <w:tr w:rsidR="00481273" w:rsidRPr="00B8142E" w14:paraId="3490E5EB" w14:textId="77777777">
        <w:tc>
          <w:tcPr>
            <w:tcW w:w="2232" w:type="dxa"/>
            <w:vAlign w:val="center"/>
          </w:tcPr>
          <w:p w14:paraId="7A246546" w14:textId="77777777" w:rsidR="00481273" w:rsidRPr="001F1E14" w:rsidRDefault="00481273">
            <w:pPr>
              <w:pStyle w:val="BodyCopy"/>
              <w:spacing w:before="120"/>
              <w:rPr>
                <w:szCs w:val="22"/>
              </w:rPr>
            </w:pPr>
            <w:r w:rsidRPr="001F1E14">
              <w:rPr>
                <w:szCs w:val="22"/>
              </w:rPr>
              <w:t>Total over pricing period</w:t>
            </w:r>
          </w:p>
        </w:tc>
        <w:tc>
          <w:tcPr>
            <w:tcW w:w="2233" w:type="dxa"/>
            <w:vAlign w:val="center"/>
          </w:tcPr>
          <w:p w14:paraId="614E257D" w14:textId="77777777" w:rsidR="00481273" w:rsidRPr="00F926B2" w:rsidRDefault="00481273">
            <w:pPr>
              <w:pStyle w:val="BodyCopy"/>
              <w:spacing w:before="120"/>
              <w:jc w:val="center"/>
              <w:rPr>
                <w:sz w:val="20"/>
                <w:szCs w:val="20"/>
              </w:rPr>
            </w:pPr>
            <w:r>
              <w:t>6,431</w:t>
            </w:r>
          </w:p>
        </w:tc>
        <w:tc>
          <w:tcPr>
            <w:tcW w:w="2233" w:type="dxa"/>
            <w:vAlign w:val="center"/>
          </w:tcPr>
          <w:p w14:paraId="0E011E61" w14:textId="77777777" w:rsidR="00481273" w:rsidRPr="00F926B2" w:rsidRDefault="00481273">
            <w:pPr>
              <w:pStyle w:val="BodyCopy"/>
              <w:spacing w:before="120"/>
              <w:jc w:val="center"/>
              <w:rPr>
                <w:sz w:val="20"/>
                <w:szCs w:val="20"/>
              </w:rPr>
            </w:pPr>
            <w:r>
              <w:t>7,362</w:t>
            </w:r>
          </w:p>
        </w:tc>
        <w:tc>
          <w:tcPr>
            <w:tcW w:w="2233" w:type="dxa"/>
            <w:vAlign w:val="center"/>
          </w:tcPr>
          <w:p w14:paraId="5BF72D47" w14:textId="77777777" w:rsidR="00481273" w:rsidRPr="00F926B2" w:rsidRDefault="00481273">
            <w:pPr>
              <w:pStyle w:val="BodyCopy"/>
              <w:spacing w:before="120"/>
              <w:jc w:val="center"/>
              <w:rPr>
                <w:sz w:val="20"/>
                <w:szCs w:val="20"/>
              </w:rPr>
            </w:pPr>
            <w:r>
              <w:t>13,793</w:t>
            </w:r>
          </w:p>
        </w:tc>
      </w:tr>
    </w:tbl>
    <w:p w14:paraId="35D13C24" w14:textId="77777777" w:rsidR="00481273" w:rsidRDefault="00481273" w:rsidP="00481273">
      <w:pPr>
        <w:pStyle w:val="Heading2"/>
      </w:pPr>
      <w:bookmarkStart w:id="119" w:name="_Toc114042884"/>
      <w:bookmarkStart w:id="120" w:name="_Toc121234763"/>
      <w:r>
        <w:t>Estimated RUC rates</w:t>
      </w:r>
      <w:bookmarkEnd w:id="119"/>
      <w:bookmarkEnd w:id="120"/>
    </w:p>
    <w:p w14:paraId="36FD0DC4" w14:textId="0D3567FB" w:rsidR="00481273" w:rsidRDefault="00481273" w:rsidP="00481273">
      <w:pPr>
        <w:pStyle w:val="BodyCopy"/>
      </w:pPr>
      <w:r>
        <w:fldChar w:fldCharType="begin"/>
      </w:r>
      <w:r>
        <w:instrText xml:space="preserve"> REF _Ref82013150 \r \h </w:instrText>
      </w:r>
      <w:r>
        <w:fldChar w:fldCharType="separate"/>
      </w:r>
      <w:r w:rsidR="0043504D">
        <w:t>Table 8</w:t>
      </w:r>
      <w:r>
        <w:fldChar w:fldCharType="end"/>
      </w:r>
      <w:r>
        <w:t xml:space="preserve"> shows the estimated RUC in cents per litre of diesel fuel that would apply over the three years from 2023-24 to 2025-26 under the four conceptual approaches to setting heavy vehicle charges.  </w:t>
      </w:r>
    </w:p>
    <w:p w14:paraId="2505E621" w14:textId="77777777" w:rsidR="00481273" w:rsidRDefault="00481273" w:rsidP="00481273">
      <w:pPr>
        <w:pStyle w:val="Tabletitle"/>
        <w:tabs>
          <w:tab w:val="num" w:pos="1080"/>
        </w:tabs>
      </w:pPr>
      <w:bookmarkStart w:id="121" w:name="_Ref59003252"/>
      <w:bookmarkStart w:id="122" w:name="_Toc59436404"/>
      <w:bookmarkStart w:id="123" w:name="_Ref82013150"/>
      <w:bookmarkStart w:id="124" w:name="_Toc86158565"/>
      <w:bookmarkStart w:id="125" w:name="_Toc114042944"/>
      <w:r>
        <w:t xml:space="preserve">Road user charge under each </w:t>
      </w:r>
      <w:bookmarkEnd w:id="121"/>
      <w:bookmarkEnd w:id="122"/>
      <w:r>
        <w:t>option (cents per litre)</w:t>
      </w:r>
      <w:bookmarkEnd w:id="123"/>
      <w:bookmarkEnd w:id="124"/>
      <w:bookmarkEnd w:id="125"/>
    </w:p>
    <w:tbl>
      <w:tblPr>
        <w:tblStyle w:val="NTCtable"/>
        <w:tblW w:w="5000" w:type="pct"/>
        <w:tblLook w:val="04A0" w:firstRow="1" w:lastRow="0" w:firstColumn="1" w:lastColumn="0" w:noHBand="0" w:noVBand="1"/>
      </w:tblPr>
      <w:tblGrid>
        <w:gridCol w:w="3021"/>
        <w:gridCol w:w="1502"/>
        <w:gridCol w:w="1502"/>
        <w:gridCol w:w="1502"/>
        <w:gridCol w:w="1500"/>
      </w:tblGrid>
      <w:tr w:rsidR="00481273" w14:paraId="367CE33E" w14:textId="77777777">
        <w:trPr>
          <w:cnfStyle w:val="100000000000" w:firstRow="1" w:lastRow="0" w:firstColumn="0" w:lastColumn="0" w:oddVBand="0" w:evenVBand="0" w:oddHBand="0" w:evenHBand="0" w:firstRowFirstColumn="0" w:firstRowLastColumn="0" w:lastRowFirstColumn="0" w:lastRowLastColumn="0"/>
          <w:tblHeader/>
        </w:trPr>
        <w:tc>
          <w:tcPr>
            <w:tcW w:w="1673" w:type="pct"/>
          </w:tcPr>
          <w:p w14:paraId="6E5A563A" w14:textId="77777777" w:rsidR="00481273" w:rsidRPr="001F1E14" w:rsidRDefault="00481273">
            <w:pPr>
              <w:pStyle w:val="BodyCopy"/>
              <w:rPr>
                <w:szCs w:val="22"/>
              </w:rPr>
            </w:pPr>
            <w:r w:rsidRPr="001F1E14">
              <w:rPr>
                <w:szCs w:val="22"/>
              </w:rPr>
              <w:t>Option</w:t>
            </w:r>
          </w:p>
        </w:tc>
        <w:tc>
          <w:tcPr>
            <w:tcW w:w="832" w:type="pct"/>
          </w:tcPr>
          <w:p w14:paraId="1AAAF1E6" w14:textId="77777777" w:rsidR="00481273" w:rsidRPr="001F1E14" w:rsidRDefault="00481273">
            <w:pPr>
              <w:pStyle w:val="BodyCopy"/>
              <w:jc w:val="center"/>
              <w:rPr>
                <w:b/>
                <w:bCs/>
                <w:szCs w:val="22"/>
              </w:rPr>
            </w:pPr>
            <w:r w:rsidRPr="001F1E14">
              <w:rPr>
                <w:b/>
                <w:bCs/>
                <w:szCs w:val="22"/>
              </w:rPr>
              <w:t>Current 2022-23</w:t>
            </w:r>
          </w:p>
        </w:tc>
        <w:tc>
          <w:tcPr>
            <w:tcW w:w="832" w:type="pct"/>
            <w:vAlign w:val="center"/>
          </w:tcPr>
          <w:p w14:paraId="2B0EBDBA" w14:textId="77777777" w:rsidR="00481273" w:rsidRPr="001F1E14" w:rsidRDefault="00481273">
            <w:pPr>
              <w:pStyle w:val="BodyCopy"/>
              <w:jc w:val="center"/>
              <w:rPr>
                <w:b/>
                <w:bCs/>
                <w:szCs w:val="22"/>
              </w:rPr>
            </w:pPr>
            <w:r w:rsidRPr="001F1E14">
              <w:rPr>
                <w:b/>
                <w:bCs/>
                <w:szCs w:val="22"/>
              </w:rPr>
              <w:t>2023-24</w:t>
            </w:r>
          </w:p>
        </w:tc>
        <w:tc>
          <w:tcPr>
            <w:tcW w:w="832" w:type="pct"/>
            <w:vAlign w:val="center"/>
          </w:tcPr>
          <w:p w14:paraId="6F9152BF" w14:textId="77777777" w:rsidR="00481273" w:rsidRPr="001F1E14" w:rsidRDefault="00481273">
            <w:pPr>
              <w:pStyle w:val="BodyCopy"/>
              <w:jc w:val="center"/>
              <w:rPr>
                <w:b/>
                <w:bCs/>
                <w:szCs w:val="22"/>
              </w:rPr>
            </w:pPr>
            <w:r w:rsidRPr="001F1E14">
              <w:rPr>
                <w:b/>
                <w:bCs/>
                <w:szCs w:val="22"/>
              </w:rPr>
              <w:t>2024-25</w:t>
            </w:r>
          </w:p>
        </w:tc>
        <w:tc>
          <w:tcPr>
            <w:tcW w:w="831" w:type="pct"/>
            <w:vAlign w:val="center"/>
          </w:tcPr>
          <w:p w14:paraId="352062D9" w14:textId="77777777" w:rsidR="00481273" w:rsidRPr="001F1E14" w:rsidRDefault="00481273">
            <w:pPr>
              <w:pStyle w:val="BodyCopy"/>
              <w:jc w:val="center"/>
              <w:rPr>
                <w:b/>
                <w:bCs/>
                <w:szCs w:val="22"/>
              </w:rPr>
            </w:pPr>
            <w:r w:rsidRPr="001F1E14">
              <w:rPr>
                <w:b/>
                <w:bCs/>
                <w:szCs w:val="22"/>
              </w:rPr>
              <w:t>2025-26</w:t>
            </w:r>
          </w:p>
        </w:tc>
      </w:tr>
      <w:tr w:rsidR="00481273" w14:paraId="4B8CB512" w14:textId="77777777">
        <w:tc>
          <w:tcPr>
            <w:tcW w:w="1673" w:type="pct"/>
          </w:tcPr>
          <w:p w14:paraId="70269524" w14:textId="77777777" w:rsidR="00481273" w:rsidRPr="001F1E14" w:rsidRDefault="00481273">
            <w:pPr>
              <w:pStyle w:val="BodyCopy"/>
              <w:rPr>
                <w:szCs w:val="22"/>
              </w:rPr>
            </w:pPr>
            <w:r w:rsidRPr="001F1E14">
              <w:rPr>
                <w:szCs w:val="22"/>
              </w:rPr>
              <w:t>Option 1: Increase heavy vehicle charges by 2.75 per cent per annum</w:t>
            </w:r>
            <w:r w:rsidRPr="001F1E14" w:rsidDel="00882E44">
              <w:rPr>
                <w:szCs w:val="22"/>
              </w:rPr>
              <w:t xml:space="preserve"> </w:t>
            </w:r>
          </w:p>
        </w:tc>
        <w:tc>
          <w:tcPr>
            <w:tcW w:w="832" w:type="pct"/>
            <w:vMerge w:val="restart"/>
            <w:vAlign w:val="center"/>
          </w:tcPr>
          <w:p w14:paraId="13347B32" w14:textId="77777777" w:rsidR="00481273" w:rsidRPr="001F1E14" w:rsidRDefault="00481273">
            <w:pPr>
              <w:pStyle w:val="BodyCopy"/>
              <w:jc w:val="center"/>
              <w:rPr>
                <w:szCs w:val="22"/>
              </w:rPr>
            </w:pPr>
            <w:r w:rsidRPr="001F1E14">
              <w:rPr>
                <w:szCs w:val="22"/>
              </w:rPr>
              <w:t>27.2</w:t>
            </w:r>
          </w:p>
        </w:tc>
        <w:tc>
          <w:tcPr>
            <w:tcW w:w="832" w:type="pct"/>
            <w:vAlign w:val="center"/>
          </w:tcPr>
          <w:p w14:paraId="5F66DD0B" w14:textId="77777777" w:rsidR="00481273" w:rsidRPr="001F1E14" w:rsidRDefault="00481273">
            <w:pPr>
              <w:pStyle w:val="BodyCopy"/>
              <w:jc w:val="center"/>
              <w:rPr>
                <w:szCs w:val="22"/>
              </w:rPr>
            </w:pPr>
            <w:r w:rsidRPr="001F1E14">
              <w:rPr>
                <w:szCs w:val="22"/>
              </w:rPr>
              <w:t>27.9</w:t>
            </w:r>
          </w:p>
        </w:tc>
        <w:tc>
          <w:tcPr>
            <w:tcW w:w="832" w:type="pct"/>
            <w:vAlign w:val="center"/>
          </w:tcPr>
          <w:p w14:paraId="083ACB76" w14:textId="77777777" w:rsidR="00481273" w:rsidRPr="001F1E14" w:rsidRDefault="00481273">
            <w:pPr>
              <w:pStyle w:val="BodyCopy"/>
              <w:jc w:val="center"/>
              <w:rPr>
                <w:szCs w:val="22"/>
              </w:rPr>
            </w:pPr>
            <w:r w:rsidRPr="001F1E14">
              <w:rPr>
                <w:szCs w:val="22"/>
              </w:rPr>
              <w:t>28.7</w:t>
            </w:r>
          </w:p>
        </w:tc>
        <w:tc>
          <w:tcPr>
            <w:tcW w:w="831" w:type="pct"/>
            <w:vAlign w:val="center"/>
          </w:tcPr>
          <w:p w14:paraId="529C26E3" w14:textId="77777777" w:rsidR="00481273" w:rsidRPr="001F1E14" w:rsidRDefault="00481273">
            <w:pPr>
              <w:pStyle w:val="BodyCopy"/>
              <w:jc w:val="center"/>
              <w:rPr>
                <w:szCs w:val="22"/>
              </w:rPr>
            </w:pPr>
            <w:r w:rsidRPr="001F1E14">
              <w:rPr>
                <w:szCs w:val="22"/>
              </w:rPr>
              <w:t>29.5</w:t>
            </w:r>
          </w:p>
        </w:tc>
      </w:tr>
      <w:tr w:rsidR="00481273" w14:paraId="3A701862" w14:textId="77777777">
        <w:tc>
          <w:tcPr>
            <w:tcW w:w="1673" w:type="pct"/>
          </w:tcPr>
          <w:p w14:paraId="700B4EE0" w14:textId="77777777" w:rsidR="00481273" w:rsidRPr="001F1E14" w:rsidRDefault="00481273">
            <w:pPr>
              <w:pStyle w:val="BodyCopy"/>
              <w:rPr>
                <w:szCs w:val="22"/>
              </w:rPr>
            </w:pPr>
            <w:r w:rsidRPr="001F1E14">
              <w:rPr>
                <w:szCs w:val="22"/>
              </w:rPr>
              <w:t>Option 2: Increase heavy vehicle charges by 6 per cent per annum</w:t>
            </w:r>
            <w:r w:rsidRPr="001F1E14" w:rsidDel="00882E44">
              <w:rPr>
                <w:szCs w:val="22"/>
              </w:rPr>
              <w:t xml:space="preserve"> </w:t>
            </w:r>
          </w:p>
        </w:tc>
        <w:tc>
          <w:tcPr>
            <w:tcW w:w="832" w:type="pct"/>
            <w:vMerge/>
          </w:tcPr>
          <w:p w14:paraId="7CDDD152" w14:textId="77777777" w:rsidR="00481273" w:rsidRPr="001F1E14" w:rsidRDefault="00481273">
            <w:pPr>
              <w:pStyle w:val="BodyCopy"/>
              <w:jc w:val="center"/>
              <w:rPr>
                <w:szCs w:val="22"/>
              </w:rPr>
            </w:pPr>
          </w:p>
        </w:tc>
        <w:tc>
          <w:tcPr>
            <w:tcW w:w="832" w:type="pct"/>
            <w:vAlign w:val="center"/>
          </w:tcPr>
          <w:p w14:paraId="64B430FF" w14:textId="77777777" w:rsidR="00481273" w:rsidRPr="001F1E14" w:rsidRDefault="00481273">
            <w:pPr>
              <w:pStyle w:val="BodyCopy"/>
              <w:jc w:val="center"/>
              <w:rPr>
                <w:szCs w:val="22"/>
              </w:rPr>
            </w:pPr>
            <w:r w:rsidRPr="001F1E14">
              <w:rPr>
                <w:szCs w:val="22"/>
              </w:rPr>
              <w:t>28.8</w:t>
            </w:r>
          </w:p>
        </w:tc>
        <w:tc>
          <w:tcPr>
            <w:tcW w:w="832" w:type="pct"/>
            <w:vAlign w:val="center"/>
          </w:tcPr>
          <w:p w14:paraId="6FC88A5D" w14:textId="77777777" w:rsidR="00481273" w:rsidRPr="001F1E14" w:rsidRDefault="00481273">
            <w:pPr>
              <w:pStyle w:val="BodyCopy"/>
              <w:jc w:val="center"/>
              <w:rPr>
                <w:szCs w:val="22"/>
              </w:rPr>
            </w:pPr>
            <w:r w:rsidRPr="001F1E14">
              <w:rPr>
                <w:szCs w:val="22"/>
              </w:rPr>
              <w:t>30.5</w:t>
            </w:r>
          </w:p>
        </w:tc>
        <w:tc>
          <w:tcPr>
            <w:tcW w:w="831" w:type="pct"/>
            <w:vAlign w:val="center"/>
          </w:tcPr>
          <w:p w14:paraId="7B7108EB" w14:textId="77777777" w:rsidR="00481273" w:rsidRPr="001F1E14" w:rsidRDefault="00481273">
            <w:pPr>
              <w:pStyle w:val="BodyCopy"/>
              <w:jc w:val="center"/>
              <w:rPr>
                <w:szCs w:val="22"/>
              </w:rPr>
            </w:pPr>
            <w:r w:rsidRPr="001F1E14">
              <w:rPr>
                <w:szCs w:val="22"/>
              </w:rPr>
              <w:t>32.3</w:t>
            </w:r>
          </w:p>
        </w:tc>
      </w:tr>
      <w:tr w:rsidR="00481273" w14:paraId="2D036229" w14:textId="77777777">
        <w:tc>
          <w:tcPr>
            <w:tcW w:w="1673" w:type="pct"/>
          </w:tcPr>
          <w:p w14:paraId="79642890" w14:textId="77777777" w:rsidR="00481273" w:rsidRPr="001F1E14" w:rsidRDefault="00481273">
            <w:pPr>
              <w:pStyle w:val="BodyCopy"/>
              <w:rPr>
                <w:szCs w:val="22"/>
              </w:rPr>
            </w:pPr>
            <w:r w:rsidRPr="001F1E14">
              <w:rPr>
                <w:szCs w:val="22"/>
              </w:rPr>
              <w:t>Option 3: Increase heavy vehicle charges by 10 per cent per annum</w:t>
            </w:r>
            <w:r w:rsidRPr="001F1E14" w:rsidDel="00882E44">
              <w:rPr>
                <w:szCs w:val="22"/>
              </w:rPr>
              <w:t xml:space="preserve"> </w:t>
            </w:r>
          </w:p>
        </w:tc>
        <w:tc>
          <w:tcPr>
            <w:tcW w:w="832" w:type="pct"/>
            <w:vMerge/>
          </w:tcPr>
          <w:p w14:paraId="127508A9" w14:textId="77777777" w:rsidR="00481273" w:rsidRPr="001F1E14" w:rsidRDefault="00481273">
            <w:pPr>
              <w:pStyle w:val="BodyCopy"/>
              <w:jc w:val="center"/>
              <w:rPr>
                <w:szCs w:val="22"/>
              </w:rPr>
            </w:pPr>
          </w:p>
        </w:tc>
        <w:tc>
          <w:tcPr>
            <w:tcW w:w="832" w:type="pct"/>
            <w:vAlign w:val="center"/>
          </w:tcPr>
          <w:p w14:paraId="2EDA080C" w14:textId="77777777" w:rsidR="00481273" w:rsidRPr="001F1E14" w:rsidRDefault="00481273">
            <w:pPr>
              <w:pStyle w:val="BodyCopy"/>
              <w:jc w:val="center"/>
              <w:rPr>
                <w:szCs w:val="22"/>
              </w:rPr>
            </w:pPr>
            <w:r w:rsidRPr="001F1E14">
              <w:rPr>
                <w:szCs w:val="22"/>
              </w:rPr>
              <w:t>29.9</w:t>
            </w:r>
          </w:p>
        </w:tc>
        <w:tc>
          <w:tcPr>
            <w:tcW w:w="832" w:type="pct"/>
            <w:vAlign w:val="center"/>
          </w:tcPr>
          <w:p w14:paraId="7D73873A" w14:textId="77777777" w:rsidR="00481273" w:rsidRPr="001F1E14" w:rsidRDefault="00481273">
            <w:pPr>
              <w:pStyle w:val="BodyCopy"/>
              <w:jc w:val="center"/>
              <w:rPr>
                <w:szCs w:val="22"/>
              </w:rPr>
            </w:pPr>
            <w:r w:rsidRPr="001F1E14">
              <w:rPr>
                <w:szCs w:val="22"/>
              </w:rPr>
              <w:t>32.9</w:t>
            </w:r>
          </w:p>
        </w:tc>
        <w:tc>
          <w:tcPr>
            <w:tcW w:w="831" w:type="pct"/>
            <w:vAlign w:val="center"/>
          </w:tcPr>
          <w:p w14:paraId="5417B83A" w14:textId="77777777" w:rsidR="00481273" w:rsidRPr="001F1E14" w:rsidRDefault="00481273">
            <w:pPr>
              <w:pStyle w:val="BodyCopy"/>
              <w:jc w:val="center"/>
              <w:rPr>
                <w:szCs w:val="22"/>
              </w:rPr>
            </w:pPr>
            <w:r w:rsidRPr="001F1E14">
              <w:rPr>
                <w:szCs w:val="22"/>
              </w:rPr>
              <w:t>36.2</w:t>
            </w:r>
          </w:p>
        </w:tc>
      </w:tr>
    </w:tbl>
    <w:p w14:paraId="75D9979B" w14:textId="77777777" w:rsidR="00481273" w:rsidRDefault="00481273" w:rsidP="00481273">
      <w:pPr>
        <w:pStyle w:val="BodyCopy"/>
      </w:pPr>
      <w:r>
        <w:t xml:space="preserve">The RUC rate on gaseous fuels would be increased in parallel with increases in the RUC rate on diesel fuel.  Table 10 shows the RUC rate that would apply on gaseous fuels over the three years from 2023-24 to 2025-26 under the four conceptual approaches for setting heavy vehicle charges. </w:t>
      </w:r>
    </w:p>
    <w:p w14:paraId="379A17E9" w14:textId="77777777" w:rsidR="00481273" w:rsidRDefault="00481273" w:rsidP="00481273">
      <w:pPr>
        <w:pStyle w:val="Tabletitle"/>
      </w:pPr>
      <w:bookmarkStart w:id="126" w:name="_Ref110330885"/>
      <w:bookmarkStart w:id="127" w:name="_Toc114042945"/>
      <w:r>
        <w:t>RUC rate on gaseous fuels under each conceptual approach (cents per kg)</w:t>
      </w:r>
      <w:bookmarkEnd w:id="126"/>
      <w:bookmarkEnd w:id="127"/>
    </w:p>
    <w:tbl>
      <w:tblPr>
        <w:tblStyle w:val="NTCtable"/>
        <w:tblW w:w="5000" w:type="pct"/>
        <w:tblLook w:val="04A0" w:firstRow="1" w:lastRow="0" w:firstColumn="1" w:lastColumn="0" w:noHBand="0" w:noVBand="1"/>
      </w:tblPr>
      <w:tblGrid>
        <w:gridCol w:w="3021"/>
        <w:gridCol w:w="1502"/>
        <w:gridCol w:w="1502"/>
        <w:gridCol w:w="1502"/>
        <w:gridCol w:w="1500"/>
      </w:tblGrid>
      <w:tr w:rsidR="00481273" w14:paraId="0766D9E4" w14:textId="77777777">
        <w:trPr>
          <w:cnfStyle w:val="100000000000" w:firstRow="1" w:lastRow="0" w:firstColumn="0" w:lastColumn="0" w:oddVBand="0" w:evenVBand="0" w:oddHBand="0" w:evenHBand="0" w:firstRowFirstColumn="0" w:firstRowLastColumn="0" w:lastRowFirstColumn="0" w:lastRowLastColumn="0"/>
          <w:tblHeader/>
        </w:trPr>
        <w:tc>
          <w:tcPr>
            <w:tcW w:w="1673" w:type="pct"/>
          </w:tcPr>
          <w:p w14:paraId="2D941033" w14:textId="77777777" w:rsidR="00481273" w:rsidRPr="001F1E14" w:rsidRDefault="00481273">
            <w:pPr>
              <w:pStyle w:val="BodyCopy"/>
              <w:rPr>
                <w:szCs w:val="22"/>
              </w:rPr>
            </w:pPr>
            <w:r w:rsidRPr="001F1E14">
              <w:rPr>
                <w:szCs w:val="22"/>
              </w:rPr>
              <w:t>Conceptual approach</w:t>
            </w:r>
          </w:p>
        </w:tc>
        <w:tc>
          <w:tcPr>
            <w:tcW w:w="832" w:type="pct"/>
          </w:tcPr>
          <w:p w14:paraId="243E441A" w14:textId="77777777" w:rsidR="00481273" w:rsidRPr="001F1E14" w:rsidRDefault="00481273">
            <w:pPr>
              <w:pStyle w:val="BodyCopy"/>
              <w:jc w:val="center"/>
              <w:rPr>
                <w:b/>
                <w:bCs/>
                <w:szCs w:val="22"/>
              </w:rPr>
            </w:pPr>
            <w:r w:rsidRPr="001F1E14">
              <w:rPr>
                <w:b/>
                <w:bCs/>
                <w:szCs w:val="22"/>
              </w:rPr>
              <w:t>Current 2022-23</w:t>
            </w:r>
          </w:p>
        </w:tc>
        <w:tc>
          <w:tcPr>
            <w:tcW w:w="832" w:type="pct"/>
            <w:vAlign w:val="center"/>
          </w:tcPr>
          <w:p w14:paraId="03C76F8B" w14:textId="77777777" w:rsidR="00481273" w:rsidRPr="001F1E14" w:rsidRDefault="00481273">
            <w:pPr>
              <w:pStyle w:val="BodyCopy"/>
              <w:jc w:val="center"/>
              <w:rPr>
                <w:b/>
                <w:bCs/>
                <w:szCs w:val="22"/>
              </w:rPr>
            </w:pPr>
            <w:r w:rsidRPr="001F1E14">
              <w:rPr>
                <w:b/>
                <w:bCs/>
                <w:szCs w:val="22"/>
              </w:rPr>
              <w:t>2023-24</w:t>
            </w:r>
          </w:p>
        </w:tc>
        <w:tc>
          <w:tcPr>
            <w:tcW w:w="832" w:type="pct"/>
            <w:vAlign w:val="center"/>
          </w:tcPr>
          <w:p w14:paraId="150ECFA9" w14:textId="77777777" w:rsidR="00481273" w:rsidRPr="001F1E14" w:rsidRDefault="00481273">
            <w:pPr>
              <w:pStyle w:val="BodyCopy"/>
              <w:jc w:val="center"/>
              <w:rPr>
                <w:b/>
                <w:bCs/>
                <w:szCs w:val="22"/>
              </w:rPr>
            </w:pPr>
            <w:r w:rsidRPr="001F1E14">
              <w:rPr>
                <w:b/>
                <w:bCs/>
                <w:szCs w:val="22"/>
              </w:rPr>
              <w:t>2024-25</w:t>
            </w:r>
          </w:p>
        </w:tc>
        <w:tc>
          <w:tcPr>
            <w:tcW w:w="831" w:type="pct"/>
            <w:vAlign w:val="center"/>
          </w:tcPr>
          <w:p w14:paraId="744147A7" w14:textId="77777777" w:rsidR="00481273" w:rsidRPr="001F1E14" w:rsidRDefault="00481273">
            <w:pPr>
              <w:pStyle w:val="BodyCopy"/>
              <w:jc w:val="center"/>
              <w:rPr>
                <w:b/>
                <w:bCs/>
                <w:szCs w:val="22"/>
              </w:rPr>
            </w:pPr>
            <w:r w:rsidRPr="001F1E14">
              <w:rPr>
                <w:b/>
                <w:bCs/>
                <w:szCs w:val="22"/>
              </w:rPr>
              <w:t>2025-26</w:t>
            </w:r>
          </w:p>
        </w:tc>
      </w:tr>
      <w:tr w:rsidR="00481273" w14:paraId="2EB68D5D" w14:textId="77777777">
        <w:tc>
          <w:tcPr>
            <w:tcW w:w="1673" w:type="pct"/>
          </w:tcPr>
          <w:p w14:paraId="0FC1BC00" w14:textId="77777777" w:rsidR="00481273" w:rsidRPr="001F1E14" w:rsidRDefault="00481273">
            <w:pPr>
              <w:pStyle w:val="BodyCopy"/>
              <w:rPr>
                <w:szCs w:val="22"/>
              </w:rPr>
            </w:pPr>
            <w:r w:rsidRPr="001F1E14">
              <w:rPr>
                <w:szCs w:val="22"/>
              </w:rPr>
              <w:t>Option 1: Increase heavy vehicle charges by 2.75 per cent per annum</w:t>
            </w:r>
            <w:r w:rsidRPr="001F1E14" w:rsidDel="00882E44">
              <w:rPr>
                <w:szCs w:val="22"/>
              </w:rPr>
              <w:t xml:space="preserve"> </w:t>
            </w:r>
          </w:p>
        </w:tc>
        <w:tc>
          <w:tcPr>
            <w:tcW w:w="832" w:type="pct"/>
            <w:vMerge w:val="restart"/>
            <w:vAlign w:val="center"/>
          </w:tcPr>
          <w:p w14:paraId="1655FA02" w14:textId="77777777" w:rsidR="00481273" w:rsidRPr="001F1E14" w:rsidRDefault="00481273">
            <w:pPr>
              <w:pStyle w:val="BodyCopy"/>
              <w:jc w:val="center"/>
              <w:rPr>
                <w:szCs w:val="22"/>
              </w:rPr>
            </w:pPr>
            <w:r w:rsidRPr="001F1E14">
              <w:rPr>
                <w:szCs w:val="22"/>
              </w:rPr>
              <w:t>36.3</w:t>
            </w:r>
          </w:p>
        </w:tc>
        <w:tc>
          <w:tcPr>
            <w:tcW w:w="832" w:type="pct"/>
            <w:vAlign w:val="center"/>
          </w:tcPr>
          <w:p w14:paraId="7B64E66E" w14:textId="77777777" w:rsidR="00481273" w:rsidRPr="001F1E14" w:rsidRDefault="00481273">
            <w:pPr>
              <w:pStyle w:val="BodyCopy"/>
              <w:jc w:val="center"/>
              <w:rPr>
                <w:szCs w:val="22"/>
              </w:rPr>
            </w:pPr>
            <w:r w:rsidRPr="001F1E14">
              <w:rPr>
                <w:szCs w:val="22"/>
              </w:rPr>
              <w:t>37.3</w:t>
            </w:r>
          </w:p>
        </w:tc>
        <w:tc>
          <w:tcPr>
            <w:tcW w:w="832" w:type="pct"/>
            <w:vAlign w:val="center"/>
          </w:tcPr>
          <w:p w14:paraId="68E903A4" w14:textId="77777777" w:rsidR="00481273" w:rsidRPr="001F1E14" w:rsidRDefault="00481273">
            <w:pPr>
              <w:pStyle w:val="BodyCopy"/>
              <w:jc w:val="center"/>
              <w:rPr>
                <w:szCs w:val="22"/>
              </w:rPr>
            </w:pPr>
            <w:r w:rsidRPr="001F1E14">
              <w:rPr>
                <w:szCs w:val="22"/>
              </w:rPr>
              <w:t>38.3</w:t>
            </w:r>
          </w:p>
        </w:tc>
        <w:tc>
          <w:tcPr>
            <w:tcW w:w="831" w:type="pct"/>
            <w:vAlign w:val="center"/>
          </w:tcPr>
          <w:p w14:paraId="4E3DAA2E" w14:textId="77777777" w:rsidR="00481273" w:rsidRPr="001F1E14" w:rsidRDefault="00481273">
            <w:pPr>
              <w:pStyle w:val="BodyCopy"/>
              <w:jc w:val="center"/>
              <w:rPr>
                <w:szCs w:val="22"/>
              </w:rPr>
            </w:pPr>
            <w:r w:rsidRPr="001F1E14">
              <w:rPr>
                <w:szCs w:val="22"/>
              </w:rPr>
              <w:t>39.4</w:t>
            </w:r>
          </w:p>
        </w:tc>
      </w:tr>
      <w:tr w:rsidR="00481273" w14:paraId="6035806D" w14:textId="77777777">
        <w:tc>
          <w:tcPr>
            <w:tcW w:w="1673" w:type="pct"/>
          </w:tcPr>
          <w:p w14:paraId="2C59FCC8" w14:textId="77777777" w:rsidR="00481273" w:rsidRPr="001F1E14" w:rsidRDefault="00481273">
            <w:pPr>
              <w:pStyle w:val="BodyCopy"/>
              <w:rPr>
                <w:szCs w:val="22"/>
              </w:rPr>
            </w:pPr>
            <w:r w:rsidRPr="001F1E14">
              <w:rPr>
                <w:szCs w:val="22"/>
              </w:rPr>
              <w:t>Option 2: Increase heavy vehicle charges by 6 per cent per annum</w:t>
            </w:r>
            <w:r w:rsidRPr="001F1E14" w:rsidDel="00882E44">
              <w:rPr>
                <w:szCs w:val="22"/>
              </w:rPr>
              <w:t xml:space="preserve"> </w:t>
            </w:r>
          </w:p>
        </w:tc>
        <w:tc>
          <w:tcPr>
            <w:tcW w:w="832" w:type="pct"/>
            <w:vMerge/>
          </w:tcPr>
          <w:p w14:paraId="13434FE3" w14:textId="77777777" w:rsidR="00481273" w:rsidRPr="001F1E14" w:rsidRDefault="00481273">
            <w:pPr>
              <w:pStyle w:val="BodyCopy"/>
              <w:jc w:val="center"/>
              <w:rPr>
                <w:szCs w:val="22"/>
              </w:rPr>
            </w:pPr>
          </w:p>
        </w:tc>
        <w:tc>
          <w:tcPr>
            <w:tcW w:w="832" w:type="pct"/>
            <w:vAlign w:val="center"/>
          </w:tcPr>
          <w:p w14:paraId="185C7908" w14:textId="77777777" w:rsidR="00481273" w:rsidRPr="001F1E14" w:rsidRDefault="00481273">
            <w:pPr>
              <w:pStyle w:val="BodyCopy"/>
              <w:jc w:val="center"/>
              <w:rPr>
                <w:szCs w:val="22"/>
              </w:rPr>
            </w:pPr>
            <w:r w:rsidRPr="001F1E14">
              <w:rPr>
                <w:szCs w:val="22"/>
              </w:rPr>
              <w:t>38.5</w:t>
            </w:r>
          </w:p>
        </w:tc>
        <w:tc>
          <w:tcPr>
            <w:tcW w:w="832" w:type="pct"/>
            <w:vAlign w:val="center"/>
          </w:tcPr>
          <w:p w14:paraId="2E9BD8E9" w14:textId="77777777" w:rsidR="00481273" w:rsidRPr="001F1E14" w:rsidRDefault="00481273">
            <w:pPr>
              <w:pStyle w:val="BodyCopy"/>
              <w:jc w:val="center"/>
              <w:rPr>
                <w:szCs w:val="22"/>
              </w:rPr>
            </w:pPr>
            <w:r w:rsidRPr="001F1E14">
              <w:rPr>
                <w:szCs w:val="22"/>
              </w:rPr>
              <w:t>40.8</w:t>
            </w:r>
          </w:p>
        </w:tc>
        <w:tc>
          <w:tcPr>
            <w:tcW w:w="831" w:type="pct"/>
            <w:vAlign w:val="center"/>
          </w:tcPr>
          <w:p w14:paraId="2BDD348B" w14:textId="77777777" w:rsidR="00481273" w:rsidRPr="001F1E14" w:rsidRDefault="00481273">
            <w:pPr>
              <w:pStyle w:val="BodyCopy"/>
              <w:jc w:val="center"/>
              <w:rPr>
                <w:szCs w:val="22"/>
              </w:rPr>
            </w:pPr>
            <w:r w:rsidRPr="001F1E14">
              <w:rPr>
                <w:szCs w:val="22"/>
              </w:rPr>
              <w:t>43.2</w:t>
            </w:r>
          </w:p>
        </w:tc>
      </w:tr>
      <w:tr w:rsidR="00481273" w14:paraId="44DB6E22" w14:textId="77777777">
        <w:tc>
          <w:tcPr>
            <w:tcW w:w="1673" w:type="pct"/>
          </w:tcPr>
          <w:p w14:paraId="7F8CBDD2" w14:textId="77777777" w:rsidR="00481273" w:rsidRPr="001F1E14" w:rsidRDefault="00481273">
            <w:pPr>
              <w:pStyle w:val="BodyCopy"/>
              <w:rPr>
                <w:szCs w:val="22"/>
              </w:rPr>
            </w:pPr>
            <w:r w:rsidRPr="001F1E14">
              <w:rPr>
                <w:szCs w:val="22"/>
              </w:rPr>
              <w:t>Option 3: Increase heavy vehicle charges by 10 per cent per annum</w:t>
            </w:r>
            <w:r w:rsidRPr="001F1E14" w:rsidDel="00882E44">
              <w:rPr>
                <w:szCs w:val="22"/>
              </w:rPr>
              <w:t xml:space="preserve"> </w:t>
            </w:r>
          </w:p>
        </w:tc>
        <w:tc>
          <w:tcPr>
            <w:tcW w:w="832" w:type="pct"/>
            <w:vMerge/>
          </w:tcPr>
          <w:p w14:paraId="555B1487" w14:textId="77777777" w:rsidR="00481273" w:rsidRPr="001F1E14" w:rsidRDefault="00481273">
            <w:pPr>
              <w:pStyle w:val="BodyCopy"/>
              <w:jc w:val="center"/>
              <w:rPr>
                <w:szCs w:val="22"/>
              </w:rPr>
            </w:pPr>
          </w:p>
        </w:tc>
        <w:tc>
          <w:tcPr>
            <w:tcW w:w="832" w:type="pct"/>
            <w:vAlign w:val="center"/>
          </w:tcPr>
          <w:p w14:paraId="222F66F8" w14:textId="77777777" w:rsidR="00481273" w:rsidRPr="001F1E14" w:rsidRDefault="00481273">
            <w:pPr>
              <w:pStyle w:val="BodyCopy"/>
              <w:jc w:val="center"/>
              <w:rPr>
                <w:szCs w:val="22"/>
              </w:rPr>
            </w:pPr>
            <w:r w:rsidRPr="001F1E14">
              <w:rPr>
                <w:szCs w:val="22"/>
              </w:rPr>
              <w:t>39.9</w:t>
            </w:r>
          </w:p>
        </w:tc>
        <w:tc>
          <w:tcPr>
            <w:tcW w:w="832" w:type="pct"/>
            <w:vAlign w:val="center"/>
          </w:tcPr>
          <w:p w14:paraId="0F8E0F77" w14:textId="77777777" w:rsidR="00481273" w:rsidRPr="001F1E14" w:rsidRDefault="00481273">
            <w:pPr>
              <w:pStyle w:val="BodyCopy"/>
              <w:jc w:val="center"/>
              <w:rPr>
                <w:szCs w:val="22"/>
              </w:rPr>
            </w:pPr>
            <w:r w:rsidRPr="001F1E14">
              <w:rPr>
                <w:szCs w:val="22"/>
              </w:rPr>
              <w:t>43.9</w:t>
            </w:r>
          </w:p>
        </w:tc>
        <w:tc>
          <w:tcPr>
            <w:tcW w:w="831" w:type="pct"/>
            <w:vAlign w:val="center"/>
          </w:tcPr>
          <w:p w14:paraId="57F3F3C3" w14:textId="77777777" w:rsidR="00481273" w:rsidRPr="001F1E14" w:rsidRDefault="00481273">
            <w:pPr>
              <w:pStyle w:val="BodyCopy"/>
              <w:jc w:val="center"/>
              <w:rPr>
                <w:szCs w:val="22"/>
              </w:rPr>
            </w:pPr>
            <w:r w:rsidRPr="001F1E14">
              <w:rPr>
                <w:szCs w:val="22"/>
              </w:rPr>
              <w:t>48.3</w:t>
            </w:r>
          </w:p>
        </w:tc>
      </w:tr>
    </w:tbl>
    <w:p w14:paraId="311CF694" w14:textId="77777777" w:rsidR="00481273" w:rsidRDefault="00481273" w:rsidP="00481273">
      <w:pPr>
        <w:pStyle w:val="Heading2"/>
      </w:pPr>
      <w:bookmarkStart w:id="128" w:name="_Ref110331661"/>
      <w:bookmarkStart w:id="129" w:name="_Toc114042885"/>
      <w:bookmarkStart w:id="130" w:name="_Toc121234764"/>
      <w:r>
        <w:t>Estimated heavy vehicle registration charges</w:t>
      </w:r>
      <w:bookmarkEnd w:id="128"/>
      <w:bookmarkEnd w:id="129"/>
      <w:bookmarkEnd w:id="130"/>
    </w:p>
    <w:p w14:paraId="3F2C58A4" w14:textId="77777777" w:rsidR="00481273" w:rsidRDefault="00481273" w:rsidP="00481273">
      <w:pPr>
        <w:pStyle w:val="BodyCopy"/>
      </w:pPr>
      <w:r w:rsidRPr="00055E5A">
        <w:t>Tables 1</w:t>
      </w:r>
      <w:r>
        <w:t>1</w:t>
      </w:r>
      <w:r w:rsidRPr="00055E5A">
        <w:t>, 1</w:t>
      </w:r>
      <w:r>
        <w:t xml:space="preserve">2 and </w:t>
      </w:r>
      <w:r w:rsidRPr="00055E5A">
        <w:t>13 outline</w:t>
      </w:r>
      <w:r>
        <w:t xml:space="preserve"> the total registration charge (including both the roads and regulatory components) that would apply to common heavy vehicle classes under each conceptual approach. </w:t>
      </w:r>
    </w:p>
    <w:p w14:paraId="2351735B" w14:textId="77777777" w:rsidR="00481273" w:rsidRDefault="00481273" w:rsidP="00481273">
      <w:pPr>
        <w:pStyle w:val="Tabletitle"/>
      </w:pPr>
      <w:bookmarkStart w:id="131" w:name="_Toc114042946"/>
      <w:r>
        <w:t>Registration charges for common vehicle types: Option 1: Increase heavy vehicle charges by 2.75 per cent</w:t>
      </w:r>
      <w:bookmarkEnd w:id="131"/>
    </w:p>
    <w:tbl>
      <w:tblPr>
        <w:tblStyle w:val="NTCtable"/>
        <w:tblW w:w="9072" w:type="dxa"/>
        <w:tblLayout w:type="fixed"/>
        <w:tblCellMar>
          <w:top w:w="28" w:type="dxa"/>
          <w:bottom w:w="28" w:type="dxa"/>
        </w:tblCellMar>
        <w:tblLook w:val="04A0" w:firstRow="1" w:lastRow="0" w:firstColumn="1" w:lastColumn="0" w:noHBand="0" w:noVBand="1"/>
      </w:tblPr>
      <w:tblGrid>
        <w:gridCol w:w="2694"/>
        <w:gridCol w:w="1559"/>
        <w:gridCol w:w="1204"/>
        <w:gridCol w:w="1205"/>
        <w:gridCol w:w="1205"/>
        <w:gridCol w:w="1205"/>
      </w:tblGrid>
      <w:tr w:rsidR="00481273" w:rsidRPr="00035E77" w14:paraId="3FCD27E1"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2694" w:type="dxa"/>
            <w:noWrap/>
            <w:vAlign w:val="center"/>
            <w:hideMark/>
          </w:tcPr>
          <w:p w14:paraId="06C3337E" w14:textId="77777777" w:rsidR="00481273" w:rsidRPr="00CD6B04" w:rsidRDefault="00481273">
            <w:pPr>
              <w:pStyle w:val="BodyCopy"/>
              <w:spacing w:before="120"/>
              <w:rPr>
                <w:b/>
                <w:bCs/>
                <w:sz w:val="20"/>
                <w:szCs w:val="20"/>
              </w:rPr>
            </w:pPr>
            <w:bookmarkStart w:id="132" w:name="_Hlk64035122"/>
            <w:r w:rsidRPr="00CD6B04">
              <w:rPr>
                <w:b/>
                <w:bCs/>
                <w:sz w:val="20"/>
                <w:szCs w:val="20"/>
              </w:rPr>
              <w:t>Vehicle type</w:t>
            </w:r>
          </w:p>
        </w:tc>
        <w:tc>
          <w:tcPr>
            <w:tcW w:w="1559" w:type="dxa"/>
            <w:noWrap/>
            <w:vAlign w:val="center"/>
            <w:hideMark/>
          </w:tcPr>
          <w:p w14:paraId="099B1C8D" w14:textId="77777777" w:rsidR="00481273" w:rsidRPr="001F1E14" w:rsidRDefault="00481273">
            <w:pPr>
              <w:pStyle w:val="BodyCopy"/>
              <w:spacing w:before="120"/>
              <w:rPr>
                <w:b/>
                <w:bCs/>
                <w:szCs w:val="22"/>
              </w:rPr>
            </w:pPr>
            <w:r w:rsidRPr="001F1E14">
              <w:rPr>
                <w:b/>
                <w:bCs/>
                <w:szCs w:val="22"/>
              </w:rPr>
              <w:t>Mass rating for charging</w:t>
            </w:r>
          </w:p>
        </w:tc>
        <w:tc>
          <w:tcPr>
            <w:tcW w:w="1204" w:type="dxa"/>
            <w:vAlign w:val="center"/>
          </w:tcPr>
          <w:p w14:paraId="1EA31468" w14:textId="77777777" w:rsidR="00481273" w:rsidRPr="001F1E14" w:rsidRDefault="00481273">
            <w:pPr>
              <w:pStyle w:val="BodyCopy"/>
              <w:spacing w:before="120"/>
              <w:rPr>
                <w:b/>
                <w:bCs/>
                <w:szCs w:val="22"/>
              </w:rPr>
            </w:pPr>
            <w:r w:rsidRPr="001F1E14">
              <w:rPr>
                <w:b/>
                <w:bCs/>
                <w:szCs w:val="22"/>
              </w:rPr>
              <w:t>Current (2022–23)</w:t>
            </w:r>
          </w:p>
        </w:tc>
        <w:tc>
          <w:tcPr>
            <w:tcW w:w="1205" w:type="dxa"/>
            <w:noWrap/>
            <w:vAlign w:val="center"/>
          </w:tcPr>
          <w:p w14:paraId="7152A2AF" w14:textId="77777777" w:rsidR="00481273" w:rsidRPr="001F1E14" w:rsidRDefault="00481273">
            <w:pPr>
              <w:pStyle w:val="BodyCopy"/>
              <w:spacing w:before="120"/>
              <w:rPr>
                <w:b/>
                <w:bCs/>
                <w:szCs w:val="22"/>
              </w:rPr>
            </w:pPr>
            <w:r w:rsidRPr="001F1E14">
              <w:rPr>
                <w:b/>
                <w:bCs/>
                <w:szCs w:val="22"/>
              </w:rPr>
              <w:t>2023-24</w:t>
            </w:r>
          </w:p>
        </w:tc>
        <w:tc>
          <w:tcPr>
            <w:tcW w:w="1205" w:type="dxa"/>
            <w:noWrap/>
            <w:vAlign w:val="center"/>
          </w:tcPr>
          <w:p w14:paraId="0A3809AA" w14:textId="77777777" w:rsidR="00481273" w:rsidRPr="001F1E14" w:rsidRDefault="00481273">
            <w:pPr>
              <w:pStyle w:val="BodyCopy"/>
              <w:spacing w:before="120"/>
              <w:rPr>
                <w:b/>
                <w:bCs/>
                <w:szCs w:val="22"/>
              </w:rPr>
            </w:pPr>
            <w:r w:rsidRPr="001F1E14">
              <w:rPr>
                <w:b/>
                <w:bCs/>
                <w:szCs w:val="22"/>
              </w:rPr>
              <w:t>2024-25</w:t>
            </w:r>
          </w:p>
        </w:tc>
        <w:tc>
          <w:tcPr>
            <w:tcW w:w="1205" w:type="dxa"/>
            <w:noWrap/>
            <w:vAlign w:val="center"/>
          </w:tcPr>
          <w:p w14:paraId="22D77C6D" w14:textId="77777777" w:rsidR="00481273" w:rsidRPr="001F1E14" w:rsidRDefault="00481273">
            <w:pPr>
              <w:pStyle w:val="BodyCopy"/>
              <w:spacing w:before="120"/>
              <w:rPr>
                <w:b/>
                <w:bCs/>
                <w:szCs w:val="22"/>
              </w:rPr>
            </w:pPr>
            <w:r w:rsidRPr="001F1E14">
              <w:rPr>
                <w:b/>
                <w:bCs/>
                <w:szCs w:val="22"/>
              </w:rPr>
              <w:t>2025-26</w:t>
            </w:r>
          </w:p>
        </w:tc>
      </w:tr>
      <w:tr w:rsidR="00481273" w:rsidRPr="00035E77" w14:paraId="0C2250AB" w14:textId="77777777">
        <w:trPr>
          <w:trHeight w:val="283"/>
        </w:trPr>
        <w:tc>
          <w:tcPr>
            <w:tcW w:w="2694" w:type="dxa"/>
            <w:vMerge w:val="restart"/>
            <w:noWrap/>
          </w:tcPr>
          <w:p w14:paraId="3C7FCB1D"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0" behindDoc="0" locked="0" layoutInCell="1" allowOverlap="1" wp14:anchorId="272D947B" wp14:editId="1AA607BB">
                  <wp:simplePos x="0" y="0"/>
                  <wp:positionH relativeFrom="column">
                    <wp:posOffset>-68580</wp:posOffset>
                  </wp:positionH>
                  <wp:positionV relativeFrom="paragraph">
                    <wp:posOffset>69215</wp:posOffset>
                  </wp:positionV>
                  <wp:extent cx="683212" cy="266700"/>
                  <wp:effectExtent l="0" t="0" r="3175" b="0"/>
                  <wp:wrapNone/>
                  <wp:docPr id="63"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0D9FF25A"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4C211FDD" w14:textId="77777777" w:rsidR="00481273" w:rsidRPr="00C4270B" w:rsidRDefault="00481273">
            <w:pPr>
              <w:pStyle w:val="BodyCopy"/>
              <w:spacing w:before="0" w:after="0"/>
              <w:jc w:val="right"/>
              <w:rPr>
                <w:sz w:val="20"/>
                <w:szCs w:val="20"/>
              </w:rPr>
            </w:pPr>
            <w:r w:rsidRPr="00726E83">
              <w:t>629</w:t>
            </w:r>
          </w:p>
        </w:tc>
        <w:tc>
          <w:tcPr>
            <w:tcW w:w="1205" w:type="dxa"/>
            <w:noWrap/>
            <w:vAlign w:val="center"/>
          </w:tcPr>
          <w:p w14:paraId="2DD051D4" w14:textId="77777777" w:rsidR="00481273" w:rsidRPr="008B4CF7" w:rsidRDefault="00481273">
            <w:pPr>
              <w:pStyle w:val="BodyCopy"/>
              <w:spacing w:before="0" w:after="0"/>
              <w:jc w:val="right"/>
              <w:rPr>
                <w:sz w:val="20"/>
                <w:szCs w:val="20"/>
              </w:rPr>
            </w:pPr>
            <w:r w:rsidRPr="0044331F">
              <w:t>639</w:t>
            </w:r>
          </w:p>
        </w:tc>
        <w:tc>
          <w:tcPr>
            <w:tcW w:w="1205" w:type="dxa"/>
            <w:noWrap/>
            <w:vAlign w:val="center"/>
          </w:tcPr>
          <w:p w14:paraId="2BE0051D" w14:textId="77777777" w:rsidR="00481273" w:rsidRPr="00C4270B" w:rsidRDefault="00481273">
            <w:pPr>
              <w:pStyle w:val="BodyCopy"/>
              <w:spacing w:before="0" w:after="0"/>
              <w:jc w:val="right"/>
              <w:rPr>
                <w:sz w:val="20"/>
                <w:szCs w:val="20"/>
              </w:rPr>
            </w:pPr>
            <w:r w:rsidRPr="0044331F">
              <w:t>650</w:t>
            </w:r>
          </w:p>
        </w:tc>
        <w:tc>
          <w:tcPr>
            <w:tcW w:w="1205" w:type="dxa"/>
            <w:noWrap/>
            <w:vAlign w:val="center"/>
          </w:tcPr>
          <w:p w14:paraId="4C30EDDF" w14:textId="77777777" w:rsidR="00481273" w:rsidRPr="00C4270B" w:rsidRDefault="00481273">
            <w:pPr>
              <w:pStyle w:val="BodyCopy"/>
              <w:spacing w:before="0" w:after="0"/>
              <w:jc w:val="right"/>
              <w:rPr>
                <w:sz w:val="20"/>
                <w:szCs w:val="20"/>
              </w:rPr>
            </w:pPr>
            <w:r w:rsidRPr="0044331F">
              <w:t>661</w:t>
            </w:r>
          </w:p>
        </w:tc>
      </w:tr>
      <w:tr w:rsidR="00481273" w:rsidRPr="00035E77" w14:paraId="2FF143D3" w14:textId="77777777">
        <w:trPr>
          <w:trHeight w:val="283"/>
        </w:trPr>
        <w:tc>
          <w:tcPr>
            <w:tcW w:w="2694" w:type="dxa"/>
            <w:vMerge/>
          </w:tcPr>
          <w:p w14:paraId="1B7D5CA2" w14:textId="77777777" w:rsidR="00481273" w:rsidRPr="00C4270B" w:rsidRDefault="00481273">
            <w:pPr>
              <w:pStyle w:val="BodyCopy"/>
              <w:spacing w:before="0" w:after="0"/>
              <w:rPr>
                <w:sz w:val="20"/>
                <w:szCs w:val="20"/>
              </w:rPr>
            </w:pPr>
          </w:p>
        </w:tc>
        <w:tc>
          <w:tcPr>
            <w:tcW w:w="1559" w:type="dxa"/>
            <w:vAlign w:val="center"/>
          </w:tcPr>
          <w:p w14:paraId="33576248"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3A623D2C" w14:textId="77777777" w:rsidR="00481273" w:rsidRPr="00C4270B" w:rsidRDefault="00481273">
            <w:pPr>
              <w:pStyle w:val="BodyCopy"/>
              <w:spacing w:before="0" w:after="0"/>
              <w:jc w:val="right"/>
              <w:rPr>
                <w:sz w:val="20"/>
                <w:szCs w:val="20"/>
              </w:rPr>
            </w:pPr>
            <w:r w:rsidRPr="00726E83">
              <w:t>1,013</w:t>
            </w:r>
          </w:p>
        </w:tc>
        <w:tc>
          <w:tcPr>
            <w:tcW w:w="1205" w:type="dxa"/>
            <w:noWrap/>
            <w:vAlign w:val="center"/>
          </w:tcPr>
          <w:p w14:paraId="65D192BB" w14:textId="77777777" w:rsidR="00481273" w:rsidRPr="008B4CF7" w:rsidRDefault="00481273">
            <w:pPr>
              <w:pStyle w:val="BodyCopy"/>
              <w:spacing w:before="0" w:after="0"/>
              <w:jc w:val="right"/>
              <w:rPr>
                <w:sz w:val="20"/>
                <w:szCs w:val="20"/>
              </w:rPr>
            </w:pPr>
            <w:r w:rsidRPr="0044331F">
              <w:t>1,046</w:t>
            </w:r>
          </w:p>
        </w:tc>
        <w:tc>
          <w:tcPr>
            <w:tcW w:w="1205" w:type="dxa"/>
            <w:noWrap/>
            <w:vAlign w:val="center"/>
          </w:tcPr>
          <w:p w14:paraId="33F6F04B" w14:textId="77777777" w:rsidR="00481273" w:rsidRPr="00C4270B" w:rsidRDefault="00481273">
            <w:pPr>
              <w:pStyle w:val="BodyCopy"/>
              <w:spacing w:before="0" w:after="0"/>
              <w:jc w:val="right"/>
              <w:rPr>
                <w:sz w:val="20"/>
                <w:szCs w:val="20"/>
              </w:rPr>
            </w:pPr>
            <w:r w:rsidRPr="0044331F">
              <w:t>1,079</w:t>
            </w:r>
          </w:p>
        </w:tc>
        <w:tc>
          <w:tcPr>
            <w:tcW w:w="1205" w:type="dxa"/>
            <w:noWrap/>
            <w:vAlign w:val="center"/>
          </w:tcPr>
          <w:p w14:paraId="236D375A" w14:textId="77777777" w:rsidR="00481273" w:rsidRPr="00C4270B" w:rsidRDefault="00481273">
            <w:pPr>
              <w:pStyle w:val="BodyCopy"/>
              <w:spacing w:before="0" w:after="0"/>
              <w:jc w:val="right"/>
              <w:rPr>
                <w:sz w:val="20"/>
                <w:szCs w:val="20"/>
              </w:rPr>
            </w:pPr>
            <w:r w:rsidRPr="0044331F">
              <w:t>1,114</w:t>
            </w:r>
          </w:p>
        </w:tc>
      </w:tr>
      <w:tr w:rsidR="00481273" w:rsidRPr="00035E77" w14:paraId="4E336796" w14:textId="77777777">
        <w:trPr>
          <w:trHeight w:val="283"/>
        </w:trPr>
        <w:tc>
          <w:tcPr>
            <w:tcW w:w="2694" w:type="dxa"/>
            <w:noWrap/>
          </w:tcPr>
          <w:p w14:paraId="55C3BE1B"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49" behindDoc="0" locked="0" layoutInCell="1" allowOverlap="1" wp14:anchorId="6E834AA0" wp14:editId="3DD2D715">
                  <wp:simplePos x="0" y="0"/>
                  <wp:positionH relativeFrom="column">
                    <wp:posOffset>-68580</wp:posOffset>
                  </wp:positionH>
                  <wp:positionV relativeFrom="paragraph">
                    <wp:posOffset>-24765</wp:posOffset>
                  </wp:positionV>
                  <wp:extent cx="967740" cy="266700"/>
                  <wp:effectExtent l="0" t="0" r="3810" b="0"/>
                  <wp:wrapNone/>
                  <wp:docPr id="51" name="Picture 51"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51" name="Picture 51"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6"/>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51610473"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11F4862C" w14:textId="77777777" w:rsidR="00481273" w:rsidRPr="00C4270B" w:rsidRDefault="00481273">
            <w:pPr>
              <w:pStyle w:val="BodyCopy"/>
              <w:spacing w:before="0" w:after="0"/>
              <w:jc w:val="right"/>
              <w:rPr>
                <w:sz w:val="20"/>
                <w:szCs w:val="20"/>
              </w:rPr>
            </w:pPr>
            <w:r w:rsidRPr="00726E83">
              <w:t>2,389</w:t>
            </w:r>
          </w:p>
        </w:tc>
        <w:tc>
          <w:tcPr>
            <w:tcW w:w="1205" w:type="dxa"/>
            <w:noWrap/>
            <w:vAlign w:val="center"/>
          </w:tcPr>
          <w:p w14:paraId="6CCC0A04" w14:textId="77777777" w:rsidR="00481273" w:rsidRPr="008B4CF7" w:rsidRDefault="00481273">
            <w:pPr>
              <w:pStyle w:val="BodyCopy"/>
              <w:spacing w:before="0" w:after="0"/>
              <w:jc w:val="right"/>
              <w:rPr>
                <w:sz w:val="20"/>
                <w:szCs w:val="20"/>
              </w:rPr>
            </w:pPr>
            <w:r w:rsidRPr="0044331F">
              <w:t>2,452</w:t>
            </w:r>
          </w:p>
        </w:tc>
        <w:tc>
          <w:tcPr>
            <w:tcW w:w="1205" w:type="dxa"/>
            <w:noWrap/>
            <w:vAlign w:val="center"/>
          </w:tcPr>
          <w:p w14:paraId="6AA938F5" w14:textId="77777777" w:rsidR="00481273" w:rsidRPr="00C4270B" w:rsidRDefault="00481273">
            <w:pPr>
              <w:pStyle w:val="BodyCopy"/>
              <w:spacing w:before="0" w:after="0"/>
              <w:jc w:val="right"/>
              <w:rPr>
                <w:sz w:val="20"/>
                <w:szCs w:val="20"/>
              </w:rPr>
            </w:pPr>
            <w:r w:rsidRPr="0044331F">
              <w:t>2,517</w:t>
            </w:r>
          </w:p>
        </w:tc>
        <w:tc>
          <w:tcPr>
            <w:tcW w:w="1205" w:type="dxa"/>
            <w:noWrap/>
            <w:vAlign w:val="center"/>
          </w:tcPr>
          <w:p w14:paraId="78FAF26E" w14:textId="77777777" w:rsidR="00481273" w:rsidRPr="00C4270B" w:rsidRDefault="00481273">
            <w:pPr>
              <w:pStyle w:val="BodyCopy"/>
              <w:spacing w:before="0" w:after="0"/>
              <w:jc w:val="right"/>
              <w:rPr>
                <w:sz w:val="20"/>
                <w:szCs w:val="20"/>
              </w:rPr>
            </w:pPr>
            <w:r w:rsidRPr="0044331F">
              <w:t>2,584</w:t>
            </w:r>
          </w:p>
        </w:tc>
      </w:tr>
      <w:tr w:rsidR="00481273" w:rsidRPr="00035E77" w14:paraId="7804BA91" w14:textId="77777777">
        <w:trPr>
          <w:trHeight w:val="283"/>
        </w:trPr>
        <w:tc>
          <w:tcPr>
            <w:tcW w:w="2694" w:type="dxa"/>
            <w:vMerge w:val="restart"/>
          </w:tcPr>
          <w:p w14:paraId="2519C8A0"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7" behindDoc="0" locked="0" layoutInCell="1" allowOverlap="1" wp14:anchorId="5C921D50" wp14:editId="6C7B7A59">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65"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69326183"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16.5 t</w:t>
            </w:r>
          </w:p>
        </w:tc>
        <w:tc>
          <w:tcPr>
            <w:tcW w:w="1204" w:type="dxa"/>
            <w:vAlign w:val="center"/>
          </w:tcPr>
          <w:p w14:paraId="4CD3D20E" w14:textId="77777777" w:rsidR="00481273" w:rsidRPr="00C4270B" w:rsidRDefault="00481273">
            <w:pPr>
              <w:pStyle w:val="BodyCopy"/>
              <w:spacing w:before="0" w:after="0"/>
              <w:jc w:val="right"/>
              <w:rPr>
                <w:sz w:val="20"/>
                <w:szCs w:val="20"/>
              </w:rPr>
            </w:pPr>
            <w:r w:rsidRPr="00726E83">
              <w:t>988</w:t>
            </w:r>
          </w:p>
        </w:tc>
        <w:tc>
          <w:tcPr>
            <w:tcW w:w="1205" w:type="dxa"/>
            <w:noWrap/>
            <w:vAlign w:val="center"/>
          </w:tcPr>
          <w:p w14:paraId="752E3967" w14:textId="77777777" w:rsidR="00481273" w:rsidRPr="008B4CF7" w:rsidRDefault="00481273">
            <w:pPr>
              <w:pStyle w:val="BodyCopy"/>
              <w:spacing w:before="0" w:after="0"/>
              <w:jc w:val="right"/>
              <w:rPr>
                <w:sz w:val="20"/>
                <w:szCs w:val="20"/>
              </w:rPr>
            </w:pPr>
            <w:r w:rsidRPr="0044331F">
              <w:t>1,021</w:t>
            </w:r>
          </w:p>
        </w:tc>
        <w:tc>
          <w:tcPr>
            <w:tcW w:w="1205" w:type="dxa"/>
            <w:noWrap/>
            <w:vAlign w:val="center"/>
          </w:tcPr>
          <w:p w14:paraId="095D07DA" w14:textId="77777777" w:rsidR="00481273" w:rsidRPr="00C4270B" w:rsidRDefault="00481273">
            <w:pPr>
              <w:pStyle w:val="BodyCopy"/>
              <w:spacing w:before="0" w:after="0"/>
              <w:jc w:val="right"/>
              <w:rPr>
                <w:sz w:val="20"/>
                <w:szCs w:val="20"/>
              </w:rPr>
            </w:pPr>
            <w:r w:rsidRPr="0044331F">
              <w:t>1,054</w:t>
            </w:r>
          </w:p>
        </w:tc>
        <w:tc>
          <w:tcPr>
            <w:tcW w:w="1205" w:type="dxa"/>
            <w:noWrap/>
            <w:vAlign w:val="center"/>
          </w:tcPr>
          <w:p w14:paraId="5102EB2B" w14:textId="77777777" w:rsidR="00481273" w:rsidRPr="00C4270B" w:rsidRDefault="00481273">
            <w:pPr>
              <w:pStyle w:val="BodyCopy"/>
              <w:spacing w:before="0" w:after="0"/>
              <w:jc w:val="right"/>
              <w:rPr>
                <w:sz w:val="20"/>
                <w:szCs w:val="20"/>
              </w:rPr>
            </w:pPr>
            <w:r w:rsidRPr="0044331F">
              <w:t>1,089</w:t>
            </w:r>
          </w:p>
        </w:tc>
      </w:tr>
      <w:tr w:rsidR="00481273" w:rsidRPr="00035E77" w14:paraId="167D1076" w14:textId="77777777">
        <w:trPr>
          <w:trHeight w:val="283"/>
        </w:trPr>
        <w:tc>
          <w:tcPr>
            <w:tcW w:w="2694" w:type="dxa"/>
            <w:vMerge/>
          </w:tcPr>
          <w:p w14:paraId="687646BB" w14:textId="77777777" w:rsidR="00481273" w:rsidRPr="00C4270B" w:rsidRDefault="00481273">
            <w:pPr>
              <w:pStyle w:val="BodyCopy"/>
              <w:spacing w:before="0" w:after="0"/>
              <w:rPr>
                <w:sz w:val="20"/>
                <w:szCs w:val="20"/>
              </w:rPr>
            </w:pPr>
          </w:p>
        </w:tc>
        <w:tc>
          <w:tcPr>
            <w:tcW w:w="1559" w:type="dxa"/>
            <w:vAlign w:val="center"/>
          </w:tcPr>
          <w:p w14:paraId="1C847018"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16.5 t</w:t>
            </w:r>
          </w:p>
        </w:tc>
        <w:tc>
          <w:tcPr>
            <w:tcW w:w="1204" w:type="dxa"/>
            <w:vAlign w:val="center"/>
          </w:tcPr>
          <w:p w14:paraId="1FCCFB5F" w14:textId="77777777" w:rsidR="00481273" w:rsidRPr="00C4270B" w:rsidRDefault="00481273">
            <w:pPr>
              <w:pStyle w:val="BodyCopy"/>
              <w:spacing w:before="0" w:after="0"/>
              <w:jc w:val="right"/>
              <w:rPr>
                <w:sz w:val="20"/>
                <w:szCs w:val="20"/>
              </w:rPr>
            </w:pPr>
            <w:r w:rsidRPr="00726E83">
              <w:t>1,185</w:t>
            </w:r>
          </w:p>
        </w:tc>
        <w:tc>
          <w:tcPr>
            <w:tcW w:w="1205" w:type="dxa"/>
            <w:noWrap/>
            <w:vAlign w:val="center"/>
          </w:tcPr>
          <w:p w14:paraId="15D43D43" w14:textId="77777777" w:rsidR="00481273" w:rsidRPr="008B4CF7" w:rsidRDefault="00481273">
            <w:pPr>
              <w:pStyle w:val="BodyCopy"/>
              <w:spacing w:before="0" w:after="0"/>
              <w:jc w:val="right"/>
              <w:rPr>
                <w:sz w:val="20"/>
                <w:szCs w:val="20"/>
              </w:rPr>
            </w:pPr>
            <w:r w:rsidRPr="0044331F">
              <w:t>1,222</w:t>
            </w:r>
          </w:p>
        </w:tc>
        <w:tc>
          <w:tcPr>
            <w:tcW w:w="1205" w:type="dxa"/>
            <w:noWrap/>
            <w:vAlign w:val="center"/>
          </w:tcPr>
          <w:p w14:paraId="0A3EED57" w14:textId="77777777" w:rsidR="00481273" w:rsidRPr="00C4270B" w:rsidRDefault="00481273">
            <w:pPr>
              <w:pStyle w:val="BodyCopy"/>
              <w:spacing w:before="0" w:after="0"/>
              <w:jc w:val="right"/>
              <w:rPr>
                <w:sz w:val="20"/>
                <w:szCs w:val="20"/>
              </w:rPr>
            </w:pPr>
            <w:r w:rsidRPr="0044331F">
              <w:t>1,260</w:t>
            </w:r>
          </w:p>
        </w:tc>
        <w:tc>
          <w:tcPr>
            <w:tcW w:w="1205" w:type="dxa"/>
            <w:noWrap/>
            <w:vAlign w:val="center"/>
          </w:tcPr>
          <w:p w14:paraId="2B23C659" w14:textId="77777777" w:rsidR="00481273" w:rsidRPr="00C4270B" w:rsidRDefault="00481273">
            <w:pPr>
              <w:pStyle w:val="BodyCopy"/>
              <w:spacing w:before="0" w:after="0"/>
              <w:jc w:val="right"/>
              <w:rPr>
                <w:sz w:val="20"/>
                <w:szCs w:val="20"/>
              </w:rPr>
            </w:pPr>
            <w:r w:rsidRPr="0044331F">
              <w:t>1,300</w:t>
            </w:r>
          </w:p>
        </w:tc>
      </w:tr>
      <w:tr w:rsidR="00481273" w:rsidRPr="00035E77" w14:paraId="484E9E3D" w14:textId="77777777">
        <w:trPr>
          <w:trHeight w:val="283"/>
        </w:trPr>
        <w:tc>
          <w:tcPr>
            <w:tcW w:w="2694" w:type="dxa"/>
            <w:vMerge w:val="restart"/>
          </w:tcPr>
          <w:p w14:paraId="56ED4752"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0" behindDoc="0" locked="0" layoutInCell="1" allowOverlap="1" wp14:anchorId="5811A4F0" wp14:editId="37F167BA">
                  <wp:simplePos x="0" y="0"/>
                  <wp:positionH relativeFrom="column">
                    <wp:posOffset>-68580</wp:posOffset>
                  </wp:positionH>
                  <wp:positionV relativeFrom="paragraph">
                    <wp:posOffset>11479</wp:posOffset>
                  </wp:positionV>
                  <wp:extent cx="1069675" cy="271862"/>
                  <wp:effectExtent l="0" t="0" r="0" b="0"/>
                  <wp:wrapNone/>
                  <wp:docPr id="66"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t="-19281" b="-19281"/>
                          <a:stretch>
                            <a:fillRect/>
                          </a:stretch>
                        </pic:blipFill>
                        <pic:spPr bwMode="auto">
                          <a:xfrm>
                            <a:off x="0" y="0"/>
                            <a:ext cx="1076115" cy="2734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67D6076D"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18E7DD5B" w14:textId="77777777" w:rsidR="00481273" w:rsidRPr="00C4270B" w:rsidRDefault="00481273">
            <w:pPr>
              <w:pStyle w:val="BodyCopy"/>
              <w:spacing w:before="0" w:after="0"/>
              <w:jc w:val="right"/>
              <w:rPr>
                <w:sz w:val="20"/>
                <w:szCs w:val="20"/>
              </w:rPr>
            </w:pPr>
            <w:r w:rsidRPr="00726E83">
              <w:t>3,211</w:t>
            </w:r>
          </w:p>
        </w:tc>
        <w:tc>
          <w:tcPr>
            <w:tcW w:w="1205" w:type="dxa"/>
            <w:noWrap/>
            <w:vAlign w:val="center"/>
          </w:tcPr>
          <w:p w14:paraId="1223B019" w14:textId="77777777" w:rsidR="00481273" w:rsidRPr="008B4CF7" w:rsidRDefault="00481273">
            <w:pPr>
              <w:pStyle w:val="BodyCopy"/>
              <w:spacing w:before="0" w:after="0"/>
              <w:jc w:val="right"/>
              <w:rPr>
                <w:sz w:val="20"/>
                <w:szCs w:val="20"/>
              </w:rPr>
            </w:pPr>
            <w:r w:rsidRPr="0044331F">
              <w:t>3,293</w:t>
            </w:r>
          </w:p>
        </w:tc>
        <w:tc>
          <w:tcPr>
            <w:tcW w:w="1205" w:type="dxa"/>
            <w:noWrap/>
            <w:vAlign w:val="center"/>
          </w:tcPr>
          <w:p w14:paraId="7E275FDB" w14:textId="77777777" w:rsidR="00481273" w:rsidRPr="00C4270B" w:rsidRDefault="00481273">
            <w:pPr>
              <w:pStyle w:val="BodyCopy"/>
              <w:spacing w:before="0" w:after="0"/>
              <w:jc w:val="right"/>
              <w:rPr>
                <w:sz w:val="20"/>
                <w:szCs w:val="20"/>
              </w:rPr>
            </w:pPr>
            <w:r w:rsidRPr="0044331F">
              <w:t>3,379</w:t>
            </w:r>
          </w:p>
        </w:tc>
        <w:tc>
          <w:tcPr>
            <w:tcW w:w="1205" w:type="dxa"/>
            <w:noWrap/>
            <w:vAlign w:val="center"/>
          </w:tcPr>
          <w:p w14:paraId="47955E47" w14:textId="77777777" w:rsidR="00481273" w:rsidRPr="00C4270B" w:rsidRDefault="00481273">
            <w:pPr>
              <w:pStyle w:val="BodyCopy"/>
              <w:spacing w:before="0" w:after="0"/>
              <w:jc w:val="right"/>
              <w:rPr>
                <w:sz w:val="20"/>
                <w:szCs w:val="20"/>
              </w:rPr>
            </w:pPr>
            <w:r w:rsidRPr="0044331F">
              <w:t>3,467</w:t>
            </w:r>
          </w:p>
        </w:tc>
      </w:tr>
      <w:tr w:rsidR="00481273" w:rsidRPr="00035E77" w14:paraId="3379F53C" w14:textId="77777777">
        <w:trPr>
          <w:trHeight w:val="283"/>
        </w:trPr>
        <w:tc>
          <w:tcPr>
            <w:tcW w:w="2694" w:type="dxa"/>
            <w:vMerge/>
          </w:tcPr>
          <w:p w14:paraId="0B1958D7" w14:textId="77777777" w:rsidR="00481273" w:rsidRPr="00C4270B" w:rsidRDefault="00481273">
            <w:pPr>
              <w:pStyle w:val="BodyCopy"/>
              <w:spacing w:before="0" w:after="0"/>
              <w:rPr>
                <w:sz w:val="20"/>
                <w:szCs w:val="20"/>
              </w:rPr>
            </w:pPr>
          </w:p>
        </w:tc>
        <w:tc>
          <w:tcPr>
            <w:tcW w:w="1559" w:type="dxa"/>
            <w:vAlign w:val="center"/>
          </w:tcPr>
          <w:p w14:paraId="6671D8F0"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389C6F2A" w14:textId="77777777" w:rsidR="00481273" w:rsidRPr="00C4270B" w:rsidRDefault="00481273">
            <w:pPr>
              <w:pStyle w:val="BodyCopy"/>
              <w:spacing w:before="0" w:after="0"/>
              <w:jc w:val="right"/>
              <w:rPr>
                <w:sz w:val="20"/>
                <w:szCs w:val="20"/>
              </w:rPr>
            </w:pPr>
            <w:r w:rsidRPr="00726E83">
              <w:t>12,018</w:t>
            </w:r>
          </w:p>
        </w:tc>
        <w:tc>
          <w:tcPr>
            <w:tcW w:w="1205" w:type="dxa"/>
            <w:noWrap/>
            <w:vAlign w:val="center"/>
          </w:tcPr>
          <w:p w14:paraId="64618163" w14:textId="77777777" w:rsidR="00481273" w:rsidRPr="008B4CF7" w:rsidRDefault="00481273">
            <w:pPr>
              <w:pStyle w:val="BodyCopy"/>
              <w:spacing w:before="0" w:after="0"/>
              <w:jc w:val="right"/>
              <w:rPr>
                <w:sz w:val="20"/>
                <w:szCs w:val="20"/>
              </w:rPr>
            </w:pPr>
            <w:r w:rsidRPr="0044331F">
              <w:t>12,461</w:t>
            </w:r>
          </w:p>
        </w:tc>
        <w:tc>
          <w:tcPr>
            <w:tcW w:w="1205" w:type="dxa"/>
            <w:noWrap/>
            <w:vAlign w:val="center"/>
          </w:tcPr>
          <w:p w14:paraId="0BAD98B9" w14:textId="77777777" w:rsidR="00481273" w:rsidRPr="00C4270B" w:rsidRDefault="00481273">
            <w:pPr>
              <w:pStyle w:val="BodyCopy"/>
              <w:spacing w:before="0" w:after="0"/>
              <w:jc w:val="right"/>
              <w:rPr>
                <w:sz w:val="20"/>
                <w:szCs w:val="20"/>
              </w:rPr>
            </w:pPr>
            <w:r w:rsidRPr="0044331F">
              <w:t>12,925</w:t>
            </w:r>
          </w:p>
        </w:tc>
        <w:tc>
          <w:tcPr>
            <w:tcW w:w="1205" w:type="dxa"/>
            <w:noWrap/>
            <w:vAlign w:val="center"/>
          </w:tcPr>
          <w:p w14:paraId="1DC897F3" w14:textId="77777777" w:rsidR="00481273" w:rsidRPr="00C4270B" w:rsidRDefault="00481273">
            <w:pPr>
              <w:pStyle w:val="BodyCopy"/>
              <w:spacing w:before="0" w:after="0"/>
              <w:jc w:val="right"/>
              <w:rPr>
                <w:sz w:val="20"/>
                <w:szCs w:val="20"/>
              </w:rPr>
            </w:pPr>
            <w:r w:rsidRPr="0044331F">
              <w:t>13,406</w:t>
            </w:r>
          </w:p>
        </w:tc>
      </w:tr>
      <w:tr w:rsidR="00481273" w:rsidRPr="00035E77" w14:paraId="3BA0B50E" w14:textId="77777777">
        <w:trPr>
          <w:trHeight w:val="283"/>
        </w:trPr>
        <w:tc>
          <w:tcPr>
            <w:tcW w:w="2694" w:type="dxa"/>
            <w:noWrap/>
          </w:tcPr>
          <w:p w14:paraId="68C1BBDC"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1" behindDoc="0" locked="0" layoutInCell="1" allowOverlap="1" wp14:anchorId="43250A8F" wp14:editId="7F12EE6E">
                  <wp:simplePos x="0" y="0"/>
                  <wp:positionH relativeFrom="column">
                    <wp:posOffset>-68580</wp:posOffset>
                  </wp:positionH>
                  <wp:positionV relativeFrom="paragraph">
                    <wp:posOffset>-15875</wp:posOffset>
                  </wp:positionV>
                  <wp:extent cx="1013460" cy="213360"/>
                  <wp:effectExtent l="0" t="0" r="0" b="0"/>
                  <wp:wrapNone/>
                  <wp:docPr id="52" name="Picture 52"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52" name="Picture 52"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9"/>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6B50E88C"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19F625D8" w14:textId="77777777" w:rsidR="00481273" w:rsidRPr="00C4270B" w:rsidRDefault="00481273">
            <w:pPr>
              <w:pStyle w:val="BodyCopy"/>
              <w:spacing w:before="0" w:after="0"/>
              <w:jc w:val="right"/>
              <w:rPr>
                <w:sz w:val="20"/>
                <w:szCs w:val="20"/>
              </w:rPr>
            </w:pPr>
            <w:r w:rsidRPr="00726E83">
              <w:t>12,665</w:t>
            </w:r>
          </w:p>
        </w:tc>
        <w:tc>
          <w:tcPr>
            <w:tcW w:w="1205" w:type="dxa"/>
            <w:noWrap/>
            <w:vAlign w:val="center"/>
          </w:tcPr>
          <w:p w14:paraId="13168100" w14:textId="77777777" w:rsidR="00481273" w:rsidRPr="008B4CF7" w:rsidRDefault="00481273">
            <w:pPr>
              <w:pStyle w:val="BodyCopy"/>
              <w:spacing w:before="0" w:after="0"/>
              <w:jc w:val="right"/>
              <w:rPr>
                <w:sz w:val="20"/>
                <w:szCs w:val="20"/>
              </w:rPr>
            </w:pPr>
            <w:r w:rsidRPr="0044331F">
              <w:t>13,123</w:t>
            </w:r>
          </w:p>
        </w:tc>
        <w:tc>
          <w:tcPr>
            <w:tcW w:w="1205" w:type="dxa"/>
            <w:noWrap/>
            <w:vAlign w:val="center"/>
          </w:tcPr>
          <w:p w14:paraId="615F92F2" w14:textId="77777777" w:rsidR="00481273" w:rsidRPr="00C4270B" w:rsidRDefault="00481273">
            <w:pPr>
              <w:pStyle w:val="BodyCopy"/>
              <w:spacing w:before="0" w:after="0"/>
              <w:jc w:val="right"/>
              <w:rPr>
                <w:sz w:val="20"/>
                <w:szCs w:val="20"/>
              </w:rPr>
            </w:pPr>
            <w:r w:rsidRPr="0044331F">
              <w:t>13,603</w:t>
            </w:r>
          </w:p>
        </w:tc>
        <w:tc>
          <w:tcPr>
            <w:tcW w:w="1205" w:type="dxa"/>
            <w:noWrap/>
            <w:vAlign w:val="center"/>
          </w:tcPr>
          <w:p w14:paraId="2A9545BA" w14:textId="77777777" w:rsidR="00481273" w:rsidRPr="00C4270B" w:rsidRDefault="00481273">
            <w:pPr>
              <w:pStyle w:val="BodyCopy"/>
              <w:spacing w:before="0" w:after="0"/>
              <w:jc w:val="right"/>
              <w:rPr>
                <w:sz w:val="20"/>
                <w:szCs w:val="20"/>
              </w:rPr>
            </w:pPr>
            <w:r w:rsidRPr="0044331F">
              <w:t>14,100</w:t>
            </w:r>
          </w:p>
        </w:tc>
      </w:tr>
      <w:tr w:rsidR="00481273" w:rsidRPr="00035E77" w14:paraId="51A68BCE" w14:textId="77777777">
        <w:trPr>
          <w:trHeight w:val="283"/>
        </w:trPr>
        <w:tc>
          <w:tcPr>
            <w:tcW w:w="2694" w:type="dxa"/>
            <w:vMerge w:val="restart"/>
          </w:tcPr>
          <w:p w14:paraId="1F4EB4AD"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8" behindDoc="0" locked="0" layoutInCell="1" allowOverlap="1" wp14:anchorId="1451F40A" wp14:editId="270BE3B3">
                  <wp:simplePos x="0" y="0"/>
                  <wp:positionH relativeFrom="column">
                    <wp:posOffset>-68580</wp:posOffset>
                  </wp:positionH>
                  <wp:positionV relativeFrom="paragraph">
                    <wp:posOffset>81915</wp:posOffset>
                  </wp:positionV>
                  <wp:extent cx="693420" cy="245234"/>
                  <wp:effectExtent l="0" t="0" r="0" b="2540"/>
                  <wp:wrapNone/>
                  <wp:docPr id="68"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29761B7A"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20.0 t</w:t>
            </w:r>
          </w:p>
        </w:tc>
        <w:tc>
          <w:tcPr>
            <w:tcW w:w="1204" w:type="dxa"/>
            <w:vAlign w:val="center"/>
          </w:tcPr>
          <w:p w14:paraId="3308EDDD" w14:textId="77777777" w:rsidR="00481273" w:rsidRPr="00C4270B" w:rsidRDefault="00481273">
            <w:pPr>
              <w:pStyle w:val="BodyCopy"/>
              <w:spacing w:before="0" w:after="0"/>
              <w:jc w:val="right"/>
              <w:rPr>
                <w:sz w:val="20"/>
                <w:szCs w:val="20"/>
              </w:rPr>
            </w:pPr>
            <w:r w:rsidRPr="00726E83">
              <w:t>1,003</w:t>
            </w:r>
          </w:p>
        </w:tc>
        <w:tc>
          <w:tcPr>
            <w:tcW w:w="1205" w:type="dxa"/>
            <w:noWrap/>
            <w:vAlign w:val="center"/>
          </w:tcPr>
          <w:p w14:paraId="789A0941" w14:textId="77777777" w:rsidR="00481273" w:rsidRPr="008B4CF7" w:rsidRDefault="00481273">
            <w:pPr>
              <w:pStyle w:val="BodyCopy"/>
              <w:spacing w:before="0" w:after="0"/>
              <w:jc w:val="right"/>
              <w:rPr>
                <w:sz w:val="20"/>
                <w:szCs w:val="20"/>
              </w:rPr>
            </w:pPr>
            <w:r w:rsidRPr="0044331F">
              <w:t>1,036</w:t>
            </w:r>
          </w:p>
        </w:tc>
        <w:tc>
          <w:tcPr>
            <w:tcW w:w="1205" w:type="dxa"/>
            <w:noWrap/>
            <w:vAlign w:val="center"/>
          </w:tcPr>
          <w:p w14:paraId="4861F7E0" w14:textId="77777777" w:rsidR="00481273" w:rsidRPr="00C4270B" w:rsidRDefault="00481273">
            <w:pPr>
              <w:pStyle w:val="BodyCopy"/>
              <w:spacing w:before="0" w:after="0"/>
              <w:jc w:val="right"/>
              <w:rPr>
                <w:sz w:val="20"/>
                <w:szCs w:val="20"/>
              </w:rPr>
            </w:pPr>
            <w:r w:rsidRPr="0044331F">
              <w:t>1,069</w:t>
            </w:r>
          </w:p>
        </w:tc>
        <w:tc>
          <w:tcPr>
            <w:tcW w:w="1205" w:type="dxa"/>
            <w:noWrap/>
            <w:vAlign w:val="center"/>
          </w:tcPr>
          <w:p w14:paraId="716F308D" w14:textId="77777777" w:rsidR="00481273" w:rsidRPr="00C4270B" w:rsidRDefault="00481273">
            <w:pPr>
              <w:pStyle w:val="BodyCopy"/>
              <w:spacing w:before="0" w:after="0"/>
              <w:jc w:val="right"/>
              <w:rPr>
                <w:sz w:val="20"/>
                <w:szCs w:val="20"/>
              </w:rPr>
            </w:pPr>
            <w:r w:rsidRPr="0044331F">
              <w:t>1,104</w:t>
            </w:r>
          </w:p>
        </w:tc>
      </w:tr>
      <w:tr w:rsidR="00481273" w:rsidRPr="00035E77" w14:paraId="2EA7A3CD" w14:textId="77777777">
        <w:trPr>
          <w:trHeight w:val="283"/>
        </w:trPr>
        <w:tc>
          <w:tcPr>
            <w:tcW w:w="2694" w:type="dxa"/>
            <w:vMerge/>
          </w:tcPr>
          <w:p w14:paraId="7D4E3DF7" w14:textId="77777777" w:rsidR="00481273" w:rsidRPr="00C4270B" w:rsidRDefault="00481273">
            <w:pPr>
              <w:pStyle w:val="BodyCopy"/>
              <w:spacing w:before="0" w:after="0"/>
              <w:rPr>
                <w:sz w:val="20"/>
                <w:szCs w:val="20"/>
              </w:rPr>
            </w:pPr>
          </w:p>
        </w:tc>
        <w:tc>
          <w:tcPr>
            <w:tcW w:w="1559" w:type="dxa"/>
            <w:vAlign w:val="center"/>
          </w:tcPr>
          <w:p w14:paraId="3DAC2EA8"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20.0 t</w:t>
            </w:r>
          </w:p>
        </w:tc>
        <w:tc>
          <w:tcPr>
            <w:tcW w:w="1204" w:type="dxa"/>
            <w:vAlign w:val="center"/>
          </w:tcPr>
          <w:p w14:paraId="1186BBAD" w14:textId="77777777" w:rsidR="00481273" w:rsidRPr="00C4270B" w:rsidRDefault="00481273">
            <w:pPr>
              <w:pStyle w:val="BodyCopy"/>
              <w:spacing w:before="0" w:after="0"/>
              <w:jc w:val="right"/>
              <w:rPr>
                <w:sz w:val="20"/>
                <w:szCs w:val="20"/>
              </w:rPr>
            </w:pPr>
            <w:r w:rsidRPr="00726E83">
              <w:t>1,206</w:t>
            </w:r>
          </w:p>
        </w:tc>
        <w:tc>
          <w:tcPr>
            <w:tcW w:w="1205" w:type="dxa"/>
            <w:noWrap/>
            <w:vAlign w:val="center"/>
          </w:tcPr>
          <w:p w14:paraId="78DA8AC0" w14:textId="77777777" w:rsidR="00481273" w:rsidRPr="008B4CF7" w:rsidRDefault="00481273">
            <w:pPr>
              <w:pStyle w:val="BodyCopy"/>
              <w:spacing w:before="0" w:after="0"/>
              <w:jc w:val="right"/>
              <w:rPr>
                <w:sz w:val="20"/>
                <w:szCs w:val="20"/>
              </w:rPr>
            </w:pPr>
            <w:r w:rsidRPr="0044331F">
              <w:t>1,243</w:t>
            </w:r>
          </w:p>
        </w:tc>
        <w:tc>
          <w:tcPr>
            <w:tcW w:w="1205" w:type="dxa"/>
            <w:noWrap/>
            <w:vAlign w:val="center"/>
          </w:tcPr>
          <w:p w14:paraId="7309DCB6" w14:textId="77777777" w:rsidR="00481273" w:rsidRPr="00C4270B" w:rsidRDefault="00481273">
            <w:pPr>
              <w:pStyle w:val="BodyCopy"/>
              <w:spacing w:before="0" w:after="0"/>
              <w:jc w:val="right"/>
              <w:rPr>
                <w:sz w:val="20"/>
                <w:szCs w:val="20"/>
              </w:rPr>
            </w:pPr>
            <w:r w:rsidRPr="0044331F">
              <w:t>1,281</w:t>
            </w:r>
          </w:p>
        </w:tc>
        <w:tc>
          <w:tcPr>
            <w:tcW w:w="1205" w:type="dxa"/>
            <w:noWrap/>
            <w:vAlign w:val="center"/>
          </w:tcPr>
          <w:p w14:paraId="5C6520C9" w14:textId="77777777" w:rsidR="00481273" w:rsidRPr="00C4270B" w:rsidRDefault="00481273">
            <w:pPr>
              <w:pStyle w:val="BodyCopy"/>
              <w:spacing w:before="0" w:after="0"/>
              <w:jc w:val="right"/>
              <w:rPr>
                <w:sz w:val="20"/>
                <w:szCs w:val="20"/>
              </w:rPr>
            </w:pPr>
            <w:r w:rsidRPr="0044331F">
              <w:t>1,321</w:t>
            </w:r>
          </w:p>
        </w:tc>
      </w:tr>
      <w:tr w:rsidR="00481273" w:rsidRPr="00035E77" w14:paraId="68B961CC" w14:textId="77777777">
        <w:trPr>
          <w:trHeight w:val="283"/>
        </w:trPr>
        <w:tc>
          <w:tcPr>
            <w:tcW w:w="2694" w:type="dxa"/>
            <w:vMerge w:val="restart"/>
            <w:noWrap/>
          </w:tcPr>
          <w:p w14:paraId="7043AEB6"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9" behindDoc="0" locked="0" layoutInCell="1" allowOverlap="1" wp14:anchorId="0E2B091F" wp14:editId="24099B7E">
                  <wp:simplePos x="0" y="0"/>
                  <wp:positionH relativeFrom="column">
                    <wp:posOffset>-68580</wp:posOffset>
                  </wp:positionH>
                  <wp:positionV relativeFrom="paragraph">
                    <wp:posOffset>71755</wp:posOffset>
                  </wp:positionV>
                  <wp:extent cx="899160" cy="264160"/>
                  <wp:effectExtent l="0" t="0" r="0" b="2540"/>
                  <wp:wrapNone/>
                  <wp:docPr id="57" name="Picture 57"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wo axle b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6F9261A4"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5DB8D593" w14:textId="77777777" w:rsidR="00481273" w:rsidRPr="00C4270B" w:rsidRDefault="00481273">
            <w:pPr>
              <w:pStyle w:val="BodyCopy"/>
              <w:spacing w:before="0" w:after="0"/>
              <w:jc w:val="right"/>
              <w:rPr>
                <w:sz w:val="20"/>
                <w:szCs w:val="20"/>
              </w:rPr>
            </w:pPr>
            <w:r w:rsidRPr="00726E83">
              <w:t>529</w:t>
            </w:r>
          </w:p>
        </w:tc>
        <w:tc>
          <w:tcPr>
            <w:tcW w:w="1205" w:type="dxa"/>
            <w:noWrap/>
            <w:vAlign w:val="center"/>
          </w:tcPr>
          <w:p w14:paraId="16E65221" w14:textId="77777777" w:rsidR="00481273" w:rsidRPr="008B4CF7" w:rsidRDefault="00481273">
            <w:pPr>
              <w:pStyle w:val="BodyCopy"/>
              <w:spacing w:before="0" w:after="0"/>
              <w:jc w:val="right"/>
              <w:rPr>
                <w:sz w:val="20"/>
                <w:szCs w:val="20"/>
              </w:rPr>
            </w:pPr>
            <w:r w:rsidRPr="0044331F">
              <w:t>537</w:t>
            </w:r>
          </w:p>
        </w:tc>
        <w:tc>
          <w:tcPr>
            <w:tcW w:w="1205" w:type="dxa"/>
            <w:noWrap/>
            <w:vAlign w:val="center"/>
          </w:tcPr>
          <w:p w14:paraId="1CE97AC8" w14:textId="77777777" w:rsidR="00481273" w:rsidRPr="00C4270B" w:rsidRDefault="00481273">
            <w:pPr>
              <w:pStyle w:val="BodyCopy"/>
              <w:spacing w:before="0" w:after="0"/>
              <w:jc w:val="right"/>
              <w:rPr>
                <w:sz w:val="20"/>
                <w:szCs w:val="20"/>
              </w:rPr>
            </w:pPr>
            <w:r w:rsidRPr="0044331F">
              <w:t>545</w:t>
            </w:r>
          </w:p>
        </w:tc>
        <w:tc>
          <w:tcPr>
            <w:tcW w:w="1205" w:type="dxa"/>
            <w:noWrap/>
            <w:vAlign w:val="center"/>
          </w:tcPr>
          <w:p w14:paraId="44180660" w14:textId="77777777" w:rsidR="00481273" w:rsidRPr="00C4270B" w:rsidRDefault="00481273">
            <w:pPr>
              <w:pStyle w:val="BodyCopy"/>
              <w:spacing w:before="0" w:after="0"/>
              <w:jc w:val="right"/>
              <w:rPr>
                <w:sz w:val="20"/>
                <w:szCs w:val="20"/>
              </w:rPr>
            </w:pPr>
            <w:r w:rsidRPr="0044331F">
              <w:t>554</w:t>
            </w:r>
          </w:p>
        </w:tc>
      </w:tr>
      <w:tr w:rsidR="00481273" w:rsidRPr="00035E77" w14:paraId="6F4DE570" w14:textId="77777777">
        <w:trPr>
          <w:trHeight w:val="283"/>
        </w:trPr>
        <w:tc>
          <w:tcPr>
            <w:tcW w:w="2694" w:type="dxa"/>
            <w:vMerge/>
          </w:tcPr>
          <w:p w14:paraId="2AE9AF8B" w14:textId="77777777" w:rsidR="00481273" w:rsidRPr="00C4270B" w:rsidRDefault="00481273">
            <w:pPr>
              <w:pStyle w:val="BodyCopy"/>
              <w:spacing w:before="0" w:after="0"/>
              <w:rPr>
                <w:sz w:val="20"/>
                <w:szCs w:val="20"/>
              </w:rPr>
            </w:pPr>
          </w:p>
        </w:tc>
        <w:tc>
          <w:tcPr>
            <w:tcW w:w="1559" w:type="dxa"/>
            <w:vAlign w:val="center"/>
          </w:tcPr>
          <w:p w14:paraId="62003891"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3D87010C" w14:textId="77777777" w:rsidR="00481273" w:rsidRPr="00C4270B" w:rsidRDefault="00481273">
            <w:pPr>
              <w:pStyle w:val="BodyCopy"/>
              <w:spacing w:before="0" w:after="0"/>
              <w:jc w:val="right"/>
              <w:rPr>
                <w:sz w:val="20"/>
                <w:szCs w:val="20"/>
              </w:rPr>
            </w:pPr>
            <w:r w:rsidRPr="00726E83">
              <w:t>659</w:t>
            </w:r>
          </w:p>
        </w:tc>
        <w:tc>
          <w:tcPr>
            <w:tcW w:w="1205" w:type="dxa"/>
            <w:noWrap/>
            <w:vAlign w:val="center"/>
          </w:tcPr>
          <w:p w14:paraId="7F3FF230" w14:textId="77777777" w:rsidR="00481273" w:rsidRPr="008B4CF7" w:rsidRDefault="00481273">
            <w:pPr>
              <w:pStyle w:val="BodyCopy"/>
              <w:spacing w:before="0" w:after="0"/>
              <w:jc w:val="right"/>
              <w:rPr>
                <w:sz w:val="20"/>
                <w:szCs w:val="20"/>
              </w:rPr>
            </w:pPr>
            <w:r w:rsidRPr="0044331F">
              <w:t>673</w:t>
            </w:r>
          </w:p>
        </w:tc>
        <w:tc>
          <w:tcPr>
            <w:tcW w:w="1205" w:type="dxa"/>
            <w:noWrap/>
            <w:vAlign w:val="center"/>
          </w:tcPr>
          <w:p w14:paraId="533B0A8E" w14:textId="77777777" w:rsidR="00481273" w:rsidRPr="00C4270B" w:rsidRDefault="00481273">
            <w:pPr>
              <w:pStyle w:val="BodyCopy"/>
              <w:spacing w:before="0" w:after="0"/>
              <w:jc w:val="right"/>
              <w:rPr>
                <w:sz w:val="20"/>
                <w:szCs w:val="20"/>
              </w:rPr>
            </w:pPr>
            <w:r w:rsidRPr="0044331F">
              <w:t>688</w:t>
            </w:r>
          </w:p>
        </w:tc>
        <w:tc>
          <w:tcPr>
            <w:tcW w:w="1205" w:type="dxa"/>
            <w:noWrap/>
            <w:vAlign w:val="center"/>
          </w:tcPr>
          <w:p w14:paraId="1B10D1D0" w14:textId="77777777" w:rsidR="00481273" w:rsidRPr="00C4270B" w:rsidRDefault="00481273">
            <w:pPr>
              <w:pStyle w:val="BodyCopy"/>
              <w:spacing w:before="0" w:after="0"/>
              <w:jc w:val="right"/>
              <w:rPr>
                <w:sz w:val="20"/>
                <w:szCs w:val="20"/>
              </w:rPr>
            </w:pPr>
            <w:r w:rsidRPr="0044331F">
              <w:t>703</w:t>
            </w:r>
          </w:p>
        </w:tc>
      </w:tr>
      <w:tr w:rsidR="00481273" w:rsidRPr="00035E77" w14:paraId="4A76FFCE" w14:textId="77777777">
        <w:trPr>
          <w:trHeight w:val="283"/>
        </w:trPr>
        <w:tc>
          <w:tcPr>
            <w:tcW w:w="2694" w:type="dxa"/>
            <w:noWrap/>
          </w:tcPr>
          <w:p w14:paraId="1A67E177"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3" behindDoc="0" locked="0" layoutInCell="1" allowOverlap="1" wp14:anchorId="1F9EF137" wp14:editId="2F98868D">
                  <wp:simplePos x="0" y="0"/>
                  <wp:positionH relativeFrom="column">
                    <wp:posOffset>-68580</wp:posOffset>
                  </wp:positionH>
                  <wp:positionV relativeFrom="paragraph">
                    <wp:posOffset>229235</wp:posOffset>
                  </wp:positionV>
                  <wp:extent cx="751632" cy="190500"/>
                  <wp:effectExtent l="0" t="0" r="0" b="0"/>
                  <wp:wrapNone/>
                  <wp:docPr id="71"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52" behindDoc="0" locked="0" layoutInCell="1" allowOverlap="1" wp14:anchorId="096E9236" wp14:editId="71EBE3ED">
                  <wp:simplePos x="0" y="0"/>
                  <wp:positionH relativeFrom="column">
                    <wp:posOffset>-68580</wp:posOffset>
                  </wp:positionH>
                  <wp:positionV relativeFrom="paragraph">
                    <wp:posOffset>15875</wp:posOffset>
                  </wp:positionV>
                  <wp:extent cx="594360" cy="196302"/>
                  <wp:effectExtent l="0" t="0" r="0" b="0"/>
                  <wp:wrapNone/>
                  <wp:docPr id="58"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3"/>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1E415BBD"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4C691C67" w14:textId="77777777" w:rsidR="00481273" w:rsidRPr="00C4270B" w:rsidRDefault="00481273">
            <w:pPr>
              <w:pStyle w:val="BodyCopy"/>
              <w:spacing w:before="0" w:after="0"/>
              <w:jc w:val="right"/>
              <w:rPr>
                <w:sz w:val="20"/>
                <w:szCs w:val="20"/>
              </w:rPr>
            </w:pPr>
            <w:r w:rsidRPr="00726E83">
              <w:t>2,794</w:t>
            </w:r>
          </w:p>
        </w:tc>
        <w:tc>
          <w:tcPr>
            <w:tcW w:w="1205" w:type="dxa"/>
            <w:noWrap/>
            <w:vAlign w:val="center"/>
          </w:tcPr>
          <w:p w14:paraId="777384D7" w14:textId="77777777" w:rsidR="00481273" w:rsidRPr="008B4CF7" w:rsidRDefault="00481273">
            <w:pPr>
              <w:pStyle w:val="BodyCopy"/>
              <w:spacing w:before="0" w:after="0"/>
              <w:jc w:val="right"/>
              <w:rPr>
                <w:sz w:val="20"/>
                <w:szCs w:val="20"/>
              </w:rPr>
            </w:pPr>
            <w:r w:rsidRPr="0044331F">
              <w:t>2,895</w:t>
            </w:r>
          </w:p>
        </w:tc>
        <w:tc>
          <w:tcPr>
            <w:tcW w:w="1205" w:type="dxa"/>
            <w:noWrap/>
            <w:vAlign w:val="center"/>
          </w:tcPr>
          <w:p w14:paraId="25BC1BC0" w14:textId="77777777" w:rsidR="00481273" w:rsidRPr="00C4270B" w:rsidRDefault="00481273">
            <w:pPr>
              <w:pStyle w:val="BodyCopy"/>
              <w:spacing w:before="0" w:after="0"/>
              <w:jc w:val="right"/>
              <w:rPr>
                <w:sz w:val="20"/>
                <w:szCs w:val="20"/>
              </w:rPr>
            </w:pPr>
            <w:r w:rsidRPr="0044331F">
              <w:t>3,001</w:t>
            </w:r>
          </w:p>
        </w:tc>
        <w:tc>
          <w:tcPr>
            <w:tcW w:w="1205" w:type="dxa"/>
            <w:noWrap/>
            <w:vAlign w:val="center"/>
          </w:tcPr>
          <w:p w14:paraId="3C81611A" w14:textId="77777777" w:rsidR="00481273" w:rsidRPr="00C4270B" w:rsidRDefault="00481273">
            <w:pPr>
              <w:pStyle w:val="BodyCopy"/>
              <w:spacing w:before="0" w:after="0"/>
              <w:jc w:val="right"/>
              <w:rPr>
                <w:sz w:val="20"/>
                <w:szCs w:val="20"/>
              </w:rPr>
            </w:pPr>
            <w:r w:rsidRPr="0044331F">
              <w:t>3,111</w:t>
            </w:r>
          </w:p>
        </w:tc>
      </w:tr>
      <w:tr w:rsidR="00481273" w:rsidRPr="00035E77" w14:paraId="4AEE25C8" w14:textId="77777777">
        <w:trPr>
          <w:trHeight w:val="283"/>
        </w:trPr>
        <w:tc>
          <w:tcPr>
            <w:tcW w:w="2694" w:type="dxa"/>
          </w:tcPr>
          <w:p w14:paraId="5240681D" w14:textId="77777777" w:rsidR="00481273" w:rsidRPr="00C4270B" w:rsidRDefault="00481273">
            <w:pPr>
              <w:pStyle w:val="BodyCopy"/>
              <w:spacing w:before="0" w:after="0"/>
              <w:rPr>
                <w:b/>
                <w:bCs/>
                <w:sz w:val="20"/>
                <w:szCs w:val="20"/>
              </w:rPr>
            </w:pPr>
          </w:p>
        </w:tc>
        <w:tc>
          <w:tcPr>
            <w:tcW w:w="1559" w:type="dxa"/>
            <w:vAlign w:val="center"/>
          </w:tcPr>
          <w:p w14:paraId="0BE6F80E"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36C6EA8F" w14:textId="77777777" w:rsidR="00481273" w:rsidRPr="00C4270B" w:rsidRDefault="00481273">
            <w:pPr>
              <w:pStyle w:val="BodyCopy"/>
              <w:spacing w:before="0" w:after="0"/>
              <w:jc w:val="right"/>
              <w:rPr>
                <w:sz w:val="20"/>
                <w:szCs w:val="20"/>
              </w:rPr>
            </w:pPr>
            <w:r w:rsidRPr="00726E83">
              <w:t>6,530</w:t>
            </w:r>
          </w:p>
        </w:tc>
        <w:tc>
          <w:tcPr>
            <w:tcW w:w="1205" w:type="dxa"/>
            <w:noWrap/>
            <w:vAlign w:val="center"/>
          </w:tcPr>
          <w:p w14:paraId="08212FA4" w14:textId="77777777" w:rsidR="00481273" w:rsidRPr="008B4CF7" w:rsidRDefault="00481273">
            <w:pPr>
              <w:pStyle w:val="BodyCopy"/>
              <w:spacing w:before="0" w:after="0"/>
              <w:jc w:val="right"/>
              <w:rPr>
                <w:sz w:val="20"/>
                <w:szCs w:val="20"/>
              </w:rPr>
            </w:pPr>
            <w:r w:rsidRPr="0044331F">
              <w:t>6,680</w:t>
            </w:r>
          </w:p>
        </w:tc>
        <w:tc>
          <w:tcPr>
            <w:tcW w:w="1205" w:type="dxa"/>
            <w:noWrap/>
            <w:vAlign w:val="center"/>
          </w:tcPr>
          <w:p w14:paraId="7C2D6930" w14:textId="77777777" w:rsidR="00481273" w:rsidRPr="00C4270B" w:rsidRDefault="00481273">
            <w:pPr>
              <w:pStyle w:val="BodyCopy"/>
              <w:spacing w:before="0" w:after="0"/>
              <w:jc w:val="right"/>
              <w:rPr>
                <w:sz w:val="20"/>
                <w:szCs w:val="20"/>
              </w:rPr>
            </w:pPr>
            <w:r w:rsidRPr="0044331F">
              <w:t>6,830</w:t>
            </w:r>
          </w:p>
        </w:tc>
        <w:tc>
          <w:tcPr>
            <w:tcW w:w="1205" w:type="dxa"/>
            <w:noWrap/>
            <w:vAlign w:val="center"/>
          </w:tcPr>
          <w:p w14:paraId="752942A2" w14:textId="77777777" w:rsidR="00481273" w:rsidRPr="00C4270B" w:rsidRDefault="00481273">
            <w:pPr>
              <w:pStyle w:val="BodyCopy"/>
              <w:spacing w:before="0" w:after="0"/>
              <w:jc w:val="right"/>
              <w:rPr>
                <w:sz w:val="20"/>
                <w:szCs w:val="20"/>
              </w:rPr>
            </w:pPr>
            <w:r w:rsidRPr="0044331F">
              <w:t>6,984</w:t>
            </w:r>
          </w:p>
        </w:tc>
      </w:tr>
      <w:tr w:rsidR="00481273" w:rsidRPr="00035E77" w14:paraId="0B59B5B4" w14:textId="77777777">
        <w:trPr>
          <w:trHeight w:val="283"/>
        </w:trPr>
        <w:tc>
          <w:tcPr>
            <w:tcW w:w="2694" w:type="dxa"/>
            <w:noWrap/>
          </w:tcPr>
          <w:p w14:paraId="2D2C36E9"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5" behindDoc="0" locked="0" layoutInCell="1" allowOverlap="1" wp14:anchorId="0193F1CA" wp14:editId="23AF7B12">
                  <wp:simplePos x="0" y="0"/>
                  <wp:positionH relativeFrom="column">
                    <wp:posOffset>-68580</wp:posOffset>
                  </wp:positionH>
                  <wp:positionV relativeFrom="paragraph">
                    <wp:posOffset>207645</wp:posOffset>
                  </wp:positionV>
                  <wp:extent cx="1082040" cy="248285"/>
                  <wp:effectExtent l="0" t="0" r="3810" b="0"/>
                  <wp:wrapNone/>
                  <wp:docPr id="73"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54" behindDoc="0" locked="0" layoutInCell="1" allowOverlap="1" wp14:anchorId="1E112D38" wp14:editId="14008DDB">
                  <wp:simplePos x="0" y="0"/>
                  <wp:positionH relativeFrom="column">
                    <wp:posOffset>-68580</wp:posOffset>
                  </wp:positionH>
                  <wp:positionV relativeFrom="paragraph">
                    <wp:posOffset>1905</wp:posOffset>
                  </wp:positionV>
                  <wp:extent cx="944880" cy="209968"/>
                  <wp:effectExtent l="0" t="0" r="7620" b="0"/>
                  <wp:wrapNone/>
                  <wp:docPr id="59"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5"/>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1443468A" w14:textId="77777777" w:rsidR="00481273" w:rsidRPr="00C4270B" w:rsidRDefault="00481273">
            <w:pPr>
              <w:pStyle w:val="BodyCopy"/>
              <w:spacing w:before="0" w:after="0"/>
              <w:rPr>
                <w:b/>
                <w:bCs/>
                <w:sz w:val="20"/>
                <w:szCs w:val="20"/>
              </w:rPr>
            </w:pPr>
            <w:r w:rsidRPr="00C4270B">
              <w:rPr>
                <w:rFonts w:ascii="Calibri" w:hAnsi="Calibri" w:cs="Calibri"/>
                <w:b/>
                <w:bCs/>
                <w:sz w:val="20"/>
                <w:szCs w:val="20"/>
              </w:rPr>
              <w:t> </w:t>
            </w:r>
          </w:p>
        </w:tc>
        <w:tc>
          <w:tcPr>
            <w:tcW w:w="1204" w:type="dxa"/>
            <w:vAlign w:val="center"/>
          </w:tcPr>
          <w:p w14:paraId="73F5D0F4" w14:textId="77777777" w:rsidR="00481273" w:rsidRPr="00C4270B" w:rsidRDefault="00481273">
            <w:pPr>
              <w:pStyle w:val="BodyCopy"/>
              <w:spacing w:before="0" w:after="0"/>
              <w:jc w:val="right"/>
              <w:rPr>
                <w:sz w:val="20"/>
                <w:szCs w:val="20"/>
              </w:rPr>
            </w:pPr>
            <w:r w:rsidRPr="00726E83">
              <w:t>15,488</w:t>
            </w:r>
          </w:p>
        </w:tc>
        <w:tc>
          <w:tcPr>
            <w:tcW w:w="1205" w:type="dxa"/>
            <w:noWrap/>
            <w:vAlign w:val="center"/>
          </w:tcPr>
          <w:p w14:paraId="385E2304" w14:textId="77777777" w:rsidR="00481273" w:rsidRPr="008B4CF7" w:rsidRDefault="00481273">
            <w:pPr>
              <w:pStyle w:val="BodyCopy"/>
              <w:spacing w:before="0" w:after="0"/>
              <w:jc w:val="right"/>
              <w:rPr>
                <w:sz w:val="20"/>
                <w:szCs w:val="20"/>
              </w:rPr>
            </w:pPr>
            <w:r w:rsidRPr="0044331F">
              <w:t>15,844</w:t>
            </w:r>
          </w:p>
        </w:tc>
        <w:tc>
          <w:tcPr>
            <w:tcW w:w="1205" w:type="dxa"/>
            <w:noWrap/>
            <w:vAlign w:val="center"/>
          </w:tcPr>
          <w:p w14:paraId="0E722C65" w14:textId="77777777" w:rsidR="00481273" w:rsidRPr="00C4270B" w:rsidRDefault="00481273">
            <w:pPr>
              <w:pStyle w:val="BodyCopy"/>
              <w:spacing w:before="0" w:after="0"/>
              <w:jc w:val="right"/>
              <w:rPr>
                <w:sz w:val="20"/>
                <w:szCs w:val="20"/>
              </w:rPr>
            </w:pPr>
            <w:r w:rsidRPr="0044331F">
              <w:t>16,200</w:t>
            </w:r>
          </w:p>
        </w:tc>
        <w:tc>
          <w:tcPr>
            <w:tcW w:w="1205" w:type="dxa"/>
            <w:noWrap/>
            <w:vAlign w:val="center"/>
          </w:tcPr>
          <w:p w14:paraId="4D1DCD4C" w14:textId="77777777" w:rsidR="00481273" w:rsidRPr="00C4270B" w:rsidRDefault="00481273">
            <w:pPr>
              <w:pStyle w:val="BodyCopy"/>
              <w:spacing w:before="0" w:after="0"/>
              <w:jc w:val="right"/>
              <w:rPr>
                <w:sz w:val="20"/>
                <w:szCs w:val="20"/>
              </w:rPr>
            </w:pPr>
            <w:r w:rsidRPr="0044331F">
              <w:t>16,568</w:t>
            </w:r>
          </w:p>
        </w:tc>
      </w:tr>
      <w:tr w:rsidR="00481273" w:rsidRPr="00035E77" w14:paraId="2D7CE09C" w14:textId="77777777">
        <w:trPr>
          <w:trHeight w:val="283"/>
        </w:trPr>
        <w:tc>
          <w:tcPr>
            <w:tcW w:w="2694" w:type="dxa"/>
          </w:tcPr>
          <w:p w14:paraId="0B9C6CBF" w14:textId="77777777" w:rsidR="00481273" w:rsidRPr="00C4270B" w:rsidRDefault="00481273">
            <w:pPr>
              <w:pStyle w:val="BodyCopy"/>
              <w:spacing w:before="0" w:after="0"/>
              <w:rPr>
                <w:sz w:val="20"/>
                <w:szCs w:val="20"/>
              </w:rPr>
            </w:pPr>
          </w:p>
        </w:tc>
        <w:tc>
          <w:tcPr>
            <w:tcW w:w="1559" w:type="dxa"/>
            <w:vAlign w:val="center"/>
          </w:tcPr>
          <w:p w14:paraId="0B049144"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494581D1" w14:textId="77777777" w:rsidR="00481273" w:rsidRPr="00C4270B" w:rsidRDefault="00481273">
            <w:pPr>
              <w:pStyle w:val="BodyCopy"/>
              <w:spacing w:before="0" w:after="0"/>
              <w:jc w:val="right"/>
              <w:rPr>
                <w:sz w:val="20"/>
                <w:szCs w:val="20"/>
              </w:rPr>
            </w:pPr>
            <w:r w:rsidRPr="00726E83">
              <w:t>15,544</w:t>
            </w:r>
          </w:p>
        </w:tc>
        <w:tc>
          <w:tcPr>
            <w:tcW w:w="1205" w:type="dxa"/>
            <w:noWrap/>
            <w:vAlign w:val="center"/>
          </w:tcPr>
          <w:p w14:paraId="0A921DE6" w14:textId="77777777" w:rsidR="00481273" w:rsidRPr="008B4CF7" w:rsidRDefault="00481273">
            <w:pPr>
              <w:pStyle w:val="BodyCopy"/>
              <w:spacing w:before="0" w:after="0"/>
              <w:jc w:val="right"/>
              <w:rPr>
                <w:sz w:val="20"/>
                <w:szCs w:val="20"/>
              </w:rPr>
            </w:pPr>
            <w:r w:rsidRPr="0044331F">
              <w:t>15,900</w:t>
            </w:r>
          </w:p>
        </w:tc>
        <w:tc>
          <w:tcPr>
            <w:tcW w:w="1205" w:type="dxa"/>
            <w:noWrap/>
            <w:vAlign w:val="center"/>
          </w:tcPr>
          <w:p w14:paraId="2291B468" w14:textId="77777777" w:rsidR="00481273" w:rsidRPr="00C4270B" w:rsidRDefault="00481273">
            <w:pPr>
              <w:pStyle w:val="BodyCopy"/>
              <w:spacing w:before="0" w:after="0"/>
              <w:jc w:val="right"/>
              <w:rPr>
                <w:sz w:val="20"/>
                <w:szCs w:val="20"/>
              </w:rPr>
            </w:pPr>
            <w:r w:rsidRPr="0044331F">
              <w:t>16,256</w:t>
            </w:r>
          </w:p>
        </w:tc>
        <w:tc>
          <w:tcPr>
            <w:tcW w:w="1205" w:type="dxa"/>
            <w:noWrap/>
            <w:vAlign w:val="center"/>
          </w:tcPr>
          <w:p w14:paraId="4AC2C7EE" w14:textId="77777777" w:rsidR="00481273" w:rsidRPr="00C4270B" w:rsidRDefault="00481273">
            <w:pPr>
              <w:pStyle w:val="BodyCopy"/>
              <w:spacing w:before="0" w:after="0"/>
              <w:jc w:val="right"/>
              <w:rPr>
                <w:sz w:val="20"/>
                <w:szCs w:val="20"/>
              </w:rPr>
            </w:pPr>
            <w:r w:rsidRPr="0044331F">
              <w:t>16,624</w:t>
            </w:r>
          </w:p>
        </w:tc>
      </w:tr>
      <w:tr w:rsidR="00481273" w:rsidRPr="00035E77" w14:paraId="4FCAFAF5" w14:textId="77777777">
        <w:trPr>
          <w:trHeight w:val="283"/>
        </w:trPr>
        <w:tc>
          <w:tcPr>
            <w:tcW w:w="2694" w:type="dxa"/>
          </w:tcPr>
          <w:p w14:paraId="2AC190C6"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56" behindDoc="0" locked="0" layoutInCell="1" allowOverlap="1" wp14:anchorId="744ED7D8" wp14:editId="0FBB7464">
                  <wp:simplePos x="0" y="0"/>
                  <wp:positionH relativeFrom="column">
                    <wp:posOffset>-67310</wp:posOffset>
                  </wp:positionH>
                  <wp:positionV relativeFrom="paragraph">
                    <wp:posOffset>-12065</wp:posOffset>
                  </wp:positionV>
                  <wp:extent cx="1348740" cy="253513"/>
                  <wp:effectExtent l="0" t="0" r="3810" b="0"/>
                  <wp:wrapNone/>
                  <wp:docPr id="74"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5EDBB613"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2DE4CEF2" w14:textId="77777777" w:rsidR="00481273" w:rsidRPr="00C4270B" w:rsidRDefault="00481273">
            <w:pPr>
              <w:pStyle w:val="BodyCopy"/>
              <w:spacing w:before="0" w:after="0"/>
              <w:jc w:val="right"/>
              <w:rPr>
                <w:sz w:val="20"/>
                <w:szCs w:val="20"/>
              </w:rPr>
            </w:pPr>
            <w:r w:rsidRPr="00726E83">
              <w:t>17,400</w:t>
            </w:r>
          </w:p>
        </w:tc>
        <w:tc>
          <w:tcPr>
            <w:tcW w:w="1205" w:type="dxa"/>
            <w:noWrap/>
            <w:vAlign w:val="center"/>
          </w:tcPr>
          <w:p w14:paraId="3DE3DDCD" w14:textId="77777777" w:rsidR="00481273" w:rsidRPr="008B4CF7" w:rsidRDefault="00481273">
            <w:pPr>
              <w:pStyle w:val="BodyCopy"/>
              <w:spacing w:before="0" w:after="0"/>
              <w:jc w:val="right"/>
              <w:rPr>
                <w:sz w:val="20"/>
                <w:szCs w:val="20"/>
              </w:rPr>
            </w:pPr>
            <w:r w:rsidRPr="0044331F">
              <w:t>17,801</w:t>
            </w:r>
          </w:p>
        </w:tc>
        <w:tc>
          <w:tcPr>
            <w:tcW w:w="1205" w:type="dxa"/>
            <w:noWrap/>
            <w:vAlign w:val="center"/>
          </w:tcPr>
          <w:p w14:paraId="69C0CAAD" w14:textId="77777777" w:rsidR="00481273" w:rsidRPr="00C4270B" w:rsidRDefault="00481273">
            <w:pPr>
              <w:pStyle w:val="BodyCopy"/>
              <w:spacing w:before="0" w:after="0"/>
              <w:jc w:val="right"/>
              <w:rPr>
                <w:sz w:val="20"/>
                <w:szCs w:val="20"/>
              </w:rPr>
            </w:pPr>
            <w:r w:rsidRPr="0044331F">
              <w:t>18,199</w:t>
            </w:r>
          </w:p>
        </w:tc>
        <w:tc>
          <w:tcPr>
            <w:tcW w:w="1205" w:type="dxa"/>
            <w:noWrap/>
            <w:vAlign w:val="center"/>
          </w:tcPr>
          <w:p w14:paraId="242C3A72" w14:textId="77777777" w:rsidR="00481273" w:rsidRPr="00C4270B" w:rsidRDefault="00481273">
            <w:pPr>
              <w:pStyle w:val="BodyCopy"/>
              <w:spacing w:before="0" w:after="0"/>
              <w:jc w:val="right"/>
              <w:rPr>
                <w:sz w:val="20"/>
                <w:szCs w:val="20"/>
              </w:rPr>
            </w:pPr>
            <w:r w:rsidRPr="0044331F">
              <w:t>18,612</w:t>
            </w:r>
          </w:p>
        </w:tc>
      </w:tr>
    </w:tbl>
    <w:p w14:paraId="390A7726" w14:textId="77777777" w:rsidR="00481273" w:rsidRDefault="00481273" w:rsidP="00481273">
      <w:pPr>
        <w:pStyle w:val="Tabletitle"/>
      </w:pPr>
      <w:bookmarkStart w:id="133" w:name="_Toc114042947"/>
      <w:bookmarkEnd w:id="132"/>
      <w:r>
        <w:t>Registration charges for common vehicle types: Option 2: Increase heavy vehicle charges by 6 per cent</w:t>
      </w:r>
      <w:bookmarkEnd w:id="133"/>
    </w:p>
    <w:tbl>
      <w:tblPr>
        <w:tblStyle w:val="NTCtable"/>
        <w:tblW w:w="9072" w:type="dxa"/>
        <w:tblLayout w:type="fixed"/>
        <w:tblCellMar>
          <w:top w:w="28" w:type="dxa"/>
          <w:bottom w:w="28" w:type="dxa"/>
        </w:tblCellMar>
        <w:tblLook w:val="04A0" w:firstRow="1" w:lastRow="0" w:firstColumn="1" w:lastColumn="0" w:noHBand="0" w:noVBand="1"/>
      </w:tblPr>
      <w:tblGrid>
        <w:gridCol w:w="2694"/>
        <w:gridCol w:w="1559"/>
        <w:gridCol w:w="1204"/>
        <w:gridCol w:w="1205"/>
        <w:gridCol w:w="1205"/>
        <w:gridCol w:w="1205"/>
      </w:tblGrid>
      <w:tr w:rsidR="00481273" w:rsidRPr="00035E77" w14:paraId="39350F4E"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2694" w:type="dxa"/>
            <w:noWrap/>
            <w:vAlign w:val="center"/>
            <w:hideMark/>
          </w:tcPr>
          <w:p w14:paraId="6189C717" w14:textId="77777777" w:rsidR="00481273" w:rsidRPr="00CD6B04" w:rsidRDefault="00481273">
            <w:pPr>
              <w:pStyle w:val="BodyCopy"/>
              <w:spacing w:before="120"/>
              <w:rPr>
                <w:b/>
                <w:bCs/>
                <w:sz w:val="20"/>
                <w:szCs w:val="20"/>
              </w:rPr>
            </w:pPr>
            <w:r w:rsidRPr="00CD6B04">
              <w:rPr>
                <w:b/>
                <w:bCs/>
                <w:sz w:val="20"/>
                <w:szCs w:val="20"/>
              </w:rPr>
              <w:t>Vehicle type</w:t>
            </w:r>
          </w:p>
        </w:tc>
        <w:tc>
          <w:tcPr>
            <w:tcW w:w="1559" w:type="dxa"/>
            <w:noWrap/>
            <w:vAlign w:val="center"/>
            <w:hideMark/>
          </w:tcPr>
          <w:p w14:paraId="7DA7B8D5" w14:textId="77777777" w:rsidR="00481273" w:rsidRPr="001F1E14" w:rsidRDefault="00481273">
            <w:pPr>
              <w:pStyle w:val="BodyCopy"/>
              <w:spacing w:before="120"/>
              <w:rPr>
                <w:b/>
                <w:bCs/>
                <w:szCs w:val="22"/>
              </w:rPr>
            </w:pPr>
            <w:r w:rsidRPr="001F1E14">
              <w:rPr>
                <w:b/>
                <w:bCs/>
                <w:szCs w:val="22"/>
              </w:rPr>
              <w:t>Mass rating for charging</w:t>
            </w:r>
          </w:p>
        </w:tc>
        <w:tc>
          <w:tcPr>
            <w:tcW w:w="1204" w:type="dxa"/>
            <w:vAlign w:val="center"/>
          </w:tcPr>
          <w:p w14:paraId="266AD0C5" w14:textId="77777777" w:rsidR="00481273" w:rsidRPr="001F1E14" w:rsidRDefault="00481273">
            <w:pPr>
              <w:pStyle w:val="BodyCopy"/>
              <w:spacing w:before="120"/>
              <w:rPr>
                <w:b/>
                <w:bCs/>
                <w:szCs w:val="22"/>
              </w:rPr>
            </w:pPr>
            <w:r w:rsidRPr="001F1E14">
              <w:rPr>
                <w:b/>
                <w:bCs/>
                <w:szCs w:val="22"/>
              </w:rPr>
              <w:t>Current (2022–23)</w:t>
            </w:r>
          </w:p>
        </w:tc>
        <w:tc>
          <w:tcPr>
            <w:tcW w:w="1205" w:type="dxa"/>
            <w:noWrap/>
            <w:vAlign w:val="center"/>
          </w:tcPr>
          <w:p w14:paraId="6AD7E61D" w14:textId="77777777" w:rsidR="00481273" w:rsidRPr="001F1E14" w:rsidRDefault="00481273">
            <w:pPr>
              <w:pStyle w:val="BodyCopy"/>
              <w:spacing w:before="120"/>
              <w:rPr>
                <w:b/>
                <w:bCs/>
                <w:szCs w:val="22"/>
              </w:rPr>
            </w:pPr>
            <w:r w:rsidRPr="001F1E14">
              <w:rPr>
                <w:b/>
                <w:bCs/>
                <w:szCs w:val="22"/>
              </w:rPr>
              <w:t>2023-24</w:t>
            </w:r>
          </w:p>
        </w:tc>
        <w:tc>
          <w:tcPr>
            <w:tcW w:w="1205" w:type="dxa"/>
            <w:noWrap/>
            <w:vAlign w:val="center"/>
          </w:tcPr>
          <w:p w14:paraId="77A3CA7D" w14:textId="77777777" w:rsidR="00481273" w:rsidRPr="001F1E14" w:rsidRDefault="00481273">
            <w:pPr>
              <w:pStyle w:val="BodyCopy"/>
              <w:spacing w:before="120"/>
              <w:rPr>
                <w:b/>
                <w:bCs/>
                <w:szCs w:val="22"/>
              </w:rPr>
            </w:pPr>
            <w:r w:rsidRPr="001F1E14">
              <w:rPr>
                <w:b/>
                <w:bCs/>
                <w:szCs w:val="22"/>
              </w:rPr>
              <w:t>2024-25</w:t>
            </w:r>
          </w:p>
        </w:tc>
        <w:tc>
          <w:tcPr>
            <w:tcW w:w="1205" w:type="dxa"/>
            <w:noWrap/>
            <w:vAlign w:val="center"/>
          </w:tcPr>
          <w:p w14:paraId="619C033C" w14:textId="77777777" w:rsidR="00481273" w:rsidRPr="001F1E14" w:rsidRDefault="00481273">
            <w:pPr>
              <w:pStyle w:val="BodyCopy"/>
              <w:spacing w:before="120"/>
              <w:rPr>
                <w:b/>
                <w:bCs/>
                <w:szCs w:val="22"/>
              </w:rPr>
            </w:pPr>
            <w:r w:rsidRPr="001F1E14">
              <w:rPr>
                <w:b/>
                <w:bCs/>
                <w:szCs w:val="22"/>
              </w:rPr>
              <w:t>2025-26</w:t>
            </w:r>
          </w:p>
        </w:tc>
      </w:tr>
      <w:tr w:rsidR="00481273" w:rsidRPr="00035E77" w14:paraId="241E9041" w14:textId="77777777">
        <w:trPr>
          <w:trHeight w:val="283"/>
        </w:trPr>
        <w:tc>
          <w:tcPr>
            <w:tcW w:w="2694" w:type="dxa"/>
            <w:vMerge w:val="restart"/>
            <w:noWrap/>
          </w:tcPr>
          <w:p w14:paraId="4398FC80" w14:textId="77777777" w:rsidR="00481273" w:rsidRPr="00C4270B" w:rsidRDefault="00481273">
            <w:pPr>
              <w:pStyle w:val="BodyCopy"/>
              <w:spacing w:before="0" w:after="0"/>
              <w:jc w:val="right"/>
              <w:rPr>
                <w:sz w:val="20"/>
                <w:szCs w:val="20"/>
              </w:rPr>
            </w:pPr>
            <w:r w:rsidRPr="00C4270B">
              <w:rPr>
                <w:noProof/>
                <w:sz w:val="20"/>
                <w:szCs w:val="20"/>
                <w:lang w:eastAsia="en-AU"/>
              </w:rPr>
              <w:drawing>
                <wp:anchor distT="0" distB="0" distL="114300" distR="114300" simplePos="0" relativeHeight="251658262" behindDoc="0" locked="0" layoutInCell="1" allowOverlap="1" wp14:anchorId="256CE663" wp14:editId="5DCF376F">
                  <wp:simplePos x="0" y="0"/>
                  <wp:positionH relativeFrom="column">
                    <wp:posOffset>-68580</wp:posOffset>
                  </wp:positionH>
                  <wp:positionV relativeFrom="paragraph">
                    <wp:posOffset>69215</wp:posOffset>
                  </wp:positionV>
                  <wp:extent cx="683212" cy="266700"/>
                  <wp:effectExtent l="0" t="0" r="3175" b="0"/>
                  <wp:wrapNone/>
                  <wp:docPr id="204"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5F1B9A2F"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40F6D531" w14:textId="77777777" w:rsidR="00481273" w:rsidRPr="00C4270B" w:rsidRDefault="00481273">
            <w:pPr>
              <w:pStyle w:val="BodyCopy"/>
              <w:spacing w:before="0" w:after="0"/>
              <w:jc w:val="right"/>
              <w:rPr>
                <w:sz w:val="20"/>
                <w:szCs w:val="20"/>
              </w:rPr>
            </w:pPr>
            <w:r w:rsidRPr="0071752B">
              <w:t>629</w:t>
            </w:r>
          </w:p>
        </w:tc>
        <w:tc>
          <w:tcPr>
            <w:tcW w:w="1205" w:type="dxa"/>
            <w:noWrap/>
            <w:vAlign w:val="center"/>
          </w:tcPr>
          <w:p w14:paraId="585D83A7" w14:textId="77777777" w:rsidR="00481273" w:rsidRPr="008B4CF7" w:rsidRDefault="00481273">
            <w:pPr>
              <w:pStyle w:val="BodyCopy"/>
              <w:spacing w:before="0" w:after="0"/>
              <w:jc w:val="right"/>
              <w:rPr>
                <w:sz w:val="20"/>
                <w:szCs w:val="20"/>
              </w:rPr>
            </w:pPr>
            <w:r w:rsidRPr="00370BF4">
              <w:t>654</w:t>
            </w:r>
          </w:p>
        </w:tc>
        <w:tc>
          <w:tcPr>
            <w:tcW w:w="1205" w:type="dxa"/>
            <w:noWrap/>
            <w:vAlign w:val="center"/>
          </w:tcPr>
          <w:p w14:paraId="1690891E" w14:textId="77777777" w:rsidR="00481273" w:rsidRPr="00C4270B" w:rsidRDefault="00481273">
            <w:pPr>
              <w:pStyle w:val="BodyCopy"/>
              <w:spacing w:before="0" w:after="0"/>
              <w:jc w:val="right"/>
              <w:rPr>
                <w:sz w:val="20"/>
                <w:szCs w:val="20"/>
              </w:rPr>
            </w:pPr>
            <w:r w:rsidRPr="00370BF4">
              <w:t>680</w:t>
            </w:r>
          </w:p>
        </w:tc>
        <w:tc>
          <w:tcPr>
            <w:tcW w:w="1205" w:type="dxa"/>
            <w:noWrap/>
            <w:vAlign w:val="center"/>
          </w:tcPr>
          <w:p w14:paraId="41E90982" w14:textId="77777777" w:rsidR="00481273" w:rsidRPr="00C4270B" w:rsidRDefault="00481273">
            <w:pPr>
              <w:pStyle w:val="BodyCopy"/>
              <w:spacing w:before="0" w:after="0"/>
              <w:jc w:val="right"/>
              <w:rPr>
                <w:sz w:val="20"/>
                <w:szCs w:val="20"/>
              </w:rPr>
            </w:pPr>
            <w:r w:rsidRPr="00370BF4">
              <w:t>707</w:t>
            </w:r>
          </w:p>
        </w:tc>
      </w:tr>
      <w:tr w:rsidR="00481273" w:rsidRPr="00035E77" w14:paraId="1A7B72BF" w14:textId="77777777">
        <w:trPr>
          <w:trHeight w:val="283"/>
        </w:trPr>
        <w:tc>
          <w:tcPr>
            <w:tcW w:w="2694" w:type="dxa"/>
            <w:vMerge/>
          </w:tcPr>
          <w:p w14:paraId="4390C0CA" w14:textId="77777777" w:rsidR="00481273" w:rsidRPr="00C4270B" w:rsidRDefault="00481273">
            <w:pPr>
              <w:pStyle w:val="BodyCopy"/>
              <w:spacing w:before="0" w:after="0"/>
              <w:rPr>
                <w:sz w:val="20"/>
                <w:szCs w:val="20"/>
              </w:rPr>
            </w:pPr>
          </w:p>
        </w:tc>
        <w:tc>
          <w:tcPr>
            <w:tcW w:w="1559" w:type="dxa"/>
            <w:vAlign w:val="center"/>
          </w:tcPr>
          <w:p w14:paraId="2340E18C"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0B197B60" w14:textId="77777777" w:rsidR="00481273" w:rsidRPr="00C4270B" w:rsidRDefault="00481273">
            <w:pPr>
              <w:pStyle w:val="BodyCopy"/>
              <w:spacing w:before="0" w:after="0"/>
              <w:jc w:val="right"/>
              <w:rPr>
                <w:sz w:val="20"/>
                <w:szCs w:val="20"/>
              </w:rPr>
            </w:pPr>
            <w:r w:rsidRPr="0071752B">
              <w:t>1,013</w:t>
            </w:r>
          </w:p>
        </w:tc>
        <w:tc>
          <w:tcPr>
            <w:tcW w:w="1205" w:type="dxa"/>
            <w:noWrap/>
            <w:vAlign w:val="center"/>
          </w:tcPr>
          <w:p w14:paraId="6B9EB83C" w14:textId="77777777" w:rsidR="00481273" w:rsidRPr="008B4CF7" w:rsidRDefault="00481273">
            <w:pPr>
              <w:pStyle w:val="BodyCopy"/>
              <w:spacing w:before="0" w:after="0"/>
              <w:jc w:val="right"/>
              <w:rPr>
                <w:sz w:val="20"/>
                <w:szCs w:val="20"/>
              </w:rPr>
            </w:pPr>
            <w:r w:rsidRPr="00370BF4">
              <w:t>1,070</w:t>
            </w:r>
          </w:p>
        </w:tc>
        <w:tc>
          <w:tcPr>
            <w:tcW w:w="1205" w:type="dxa"/>
            <w:noWrap/>
            <w:vAlign w:val="center"/>
          </w:tcPr>
          <w:p w14:paraId="430ED600" w14:textId="77777777" w:rsidR="00481273" w:rsidRPr="00C4270B" w:rsidRDefault="00481273">
            <w:pPr>
              <w:pStyle w:val="BodyCopy"/>
              <w:spacing w:before="0" w:after="0"/>
              <w:jc w:val="right"/>
              <w:rPr>
                <w:sz w:val="20"/>
                <w:szCs w:val="20"/>
              </w:rPr>
            </w:pPr>
            <w:r w:rsidRPr="00370BF4">
              <w:t>1,131</w:t>
            </w:r>
          </w:p>
        </w:tc>
        <w:tc>
          <w:tcPr>
            <w:tcW w:w="1205" w:type="dxa"/>
            <w:noWrap/>
            <w:vAlign w:val="center"/>
          </w:tcPr>
          <w:p w14:paraId="2B348FC0" w14:textId="77777777" w:rsidR="00481273" w:rsidRPr="00C4270B" w:rsidRDefault="00481273">
            <w:pPr>
              <w:pStyle w:val="BodyCopy"/>
              <w:spacing w:before="0" w:after="0"/>
              <w:jc w:val="right"/>
              <w:rPr>
                <w:sz w:val="20"/>
                <w:szCs w:val="20"/>
              </w:rPr>
            </w:pPr>
            <w:r w:rsidRPr="00370BF4">
              <w:t>1,197</w:t>
            </w:r>
          </w:p>
        </w:tc>
      </w:tr>
      <w:tr w:rsidR="00481273" w:rsidRPr="00035E77" w14:paraId="05C9B87A" w14:textId="77777777">
        <w:trPr>
          <w:trHeight w:val="283"/>
        </w:trPr>
        <w:tc>
          <w:tcPr>
            <w:tcW w:w="2694" w:type="dxa"/>
            <w:noWrap/>
          </w:tcPr>
          <w:p w14:paraId="0CEDD37F"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1" behindDoc="0" locked="0" layoutInCell="1" allowOverlap="1" wp14:anchorId="718E847F" wp14:editId="037E00EA">
                  <wp:simplePos x="0" y="0"/>
                  <wp:positionH relativeFrom="column">
                    <wp:posOffset>-68580</wp:posOffset>
                  </wp:positionH>
                  <wp:positionV relativeFrom="paragraph">
                    <wp:posOffset>-24765</wp:posOffset>
                  </wp:positionV>
                  <wp:extent cx="967740" cy="266700"/>
                  <wp:effectExtent l="0" t="0" r="3810" b="0"/>
                  <wp:wrapNone/>
                  <wp:docPr id="205" name="Picture 205"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51" name="Picture 51"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6"/>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1AD754E7"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51E0EA5F" w14:textId="77777777" w:rsidR="00481273" w:rsidRPr="00C4270B" w:rsidRDefault="00481273">
            <w:pPr>
              <w:pStyle w:val="BodyCopy"/>
              <w:spacing w:before="0" w:after="0"/>
              <w:jc w:val="right"/>
              <w:rPr>
                <w:sz w:val="20"/>
                <w:szCs w:val="20"/>
              </w:rPr>
            </w:pPr>
            <w:r w:rsidRPr="0071752B">
              <w:t>2,389</w:t>
            </w:r>
          </w:p>
        </w:tc>
        <w:tc>
          <w:tcPr>
            <w:tcW w:w="1205" w:type="dxa"/>
            <w:noWrap/>
            <w:vAlign w:val="center"/>
          </w:tcPr>
          <w:p w14:paraId="3C8C3127" w14:textId="77777777" w:rsidR="00481273" w:rsidRPr="008B4CF7" w:rsidRDefault="00481273">
            <w:pPr>
              <w:pStyle w:val="BodyCopy"/>
              <w:spacing w:before="0" w:after="0"/>
              <w:jc w:val="right"/>
              <w:rPr>
                <w:sz w:val="20"/>
                <w:szCs w:val="20"/>
              </w:rPr>
            </w:pPr>
            <w:r w:rsidRPr="00370BF4">
              <w:t>2,518</w:t>
            </w:r>
          </w:p>
        </w:tc>
        <w:tc>
          <w:tcPr>
            <w:tcW w:w="1205" w:type="dxa"/>
            <w:noWrap/>
            <w:vAlign w:val="center"/>
          </w:tcPr>
          <w:p w14:paraId="69467B8F" w14:textId="77777777" w:rsidR="00481273" w:rsidRPr="00C4270B" w:rsidRDefault="00481273">
            <w:pPr>
              <w:pStyle w:val="BodyCopy"/>
              <w:spacing w:before="0" w:after="0"/>
              <w:jc w:val="right"/>
              <w:rPr>
                <w:sz w:val="20"/>
                <w:szCs w:val="20"/>
              </w:rPr>
            </w:pPr>
            <w:r w:rsidRPr="00370BF4">
              <w:t>2,657</w:t>
            </w:r>
          </w:p>
        </w:tc>
        <w:tc>
          <w:tcPr>
            <w:tcW w:w="1205" w:type="dxa"/>
            <w:noWrap/>
            <w:vAlign w:val="center"/>
          </w:tcPr>
          <w:p w14:paraId="4FFF0759" w14:textId="77777777" w:rsidR="00481273" w:rsidRPr="00C4270B" w:rsidRDefault="00481273">
            <w:pPr>
              <w:pStyle w:val="BodyCopy"/>
              <w:spacing w:before="0" w:after="0"/>
              <w:jc w:val="right"/>
              <w:rPr>
                <w:sz w:val="20"/>
                <w:szCs w:val="20"/>
              </w:rPr>
            </w:pPr>
            <w:r w:rsidRPr="00370BF4">
              <w:t>2,805</w:t>
            </w:r>
          </w:p>
        </w:tc>
      </w:tr>
      <w:tr w:rsidR="00481273" w:rsidRPr="00035E77" w14:paraId="165134AD" w14:textId="77777777">
        <w:trPr>
          <w:trHeight w:val="283"/>
        </w:trPr>
        <w:tc>
          <w:tcPr>
            <w:tcW w:w="2694" w:type="dxa"/>
            <w:vMerge w:val="restart"/>
          </w:tcPr>
          <w:p w14:paraId="26B6DD50"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9" behindDoc="0" locked="0" layoutInCell="1" allowOverlap="1" wp14:anchorId="13F5BF64" wp14:editId="55BC2383">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206"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50551A5B"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16.5 t</w:t>
            </w:r>
          </w:p>
        </w:tc>
        <w:tc>
          <w:tcPr>
            <w:tcW w:w="1204" w:type="dxa"/>
            <w:vAlign w:val="center"/>
          </w:tcPr>
          <w:p w14:paraId="6BE0FC28" w14:textId="77777777" w:rsidR="00481273" w:rsidRPr="00C4270B" w:rsidRDefault="00481273">
            <w:pPr>
              <w:pStyle w:val="BodyCopy"/>
              <w:spacing w:before="0" w:after="0"/>
              <w:jc w:val="right"/>
              <w:rPr>
                <w:sz w:val="20"/>
                <w:szCs w:val="20"/>
              </w:rPr>
            </w:pPr>
            <w:r w:rsidRPr="0071752B">
              <w:t>988</w:t>
            </w:r>
          </w:p>
        </w:tc>
        <w:tc>
          <w:tcPr>
            <w:tcW w:w="1205" w:type="dxa"/>
            <w:noWrap/>
            <w:vAlign w:val="center"/>
          </w:tcPr>
          <w:p w14:paraId="31368856" w14:textId="77777777" w:rsidR="00481273" w:rsidRPr="008B4CF7" w:rsidRDefault="00481273">
            <w:pPr>
              <w:pStyle w:val="BodyCopy"/>
              <w:spacing w:before="0" w:after="0"/>
              <w:jc w:val="right"/>
              <w:rPr>
                <w:sz w:val="20"/>
                <w:szCs w:val="20"/>
              </w:rPr>
            </w:pPr>
            <w:r w:rsidRPr="00370BF4">
              <w:t>1,045</w:t>
            </w:r>
          </w:p>
        </w:tc>
        <w:tc>
          <w:tcPr>
            <w:tcW w:w="1205" w:type="dxa"/>
            <w:noWrap/>
            <w:vAlign w:val="center"/>
          </w:tcPr>
          <w:p w14:paraId="1419242F" w14:textId="77777777" w:rsidR="00481273" w:rsidRPr="00C4270B" w:rsidRDefault="00481273">
            <w:pPr>
              <w:pStyle w:val="BodyCopy"/>
              <w:spacing w:before="0" w:after="0"/>
              <w:jc w:val="right"/>
              <w:rPr>
                <w:sz w:val="20"/>
                <w:szCs w:val="20"/>
              </w:rPr>
            </w:pPr>
            <w:r w:rsidRPr="00370BF4">
              <w:t>1,106</w:t>
            </w:r>
          </w:p>
        </w:tc>
        <w:tc>
          <w:tcPr>
            <w:tcW w:w="1205" w:type="dxa"/>
            <w:noWrap/>
            <w:vAlign w:val="center"/>
          </w:tcPr>
          <w:p w14:paraId="238DE9DB" w14:textId="77777777" w:rsidR="00481273" w:rsidRPr="00C4270B" w:rsidRDefault="00481273">
            <w:pPr>
              <w:pStyle w:val="BodyCopy"/>
              <w:spacing w:before="0" w:after="0"/>
              <w:jc w:val="right"/>
              <w:rPr>
                <w:sz w:val="20"/>
                <w:szCs w:val="20"/>
              </w:rPr>
            </w:pPr>
            <w:r w:rsidRPr="00370BF4">
              <w:t>1,172</w:t>
            </w:r>
          </w:p>
        </w:tc>
      </w:tr>
      <w:tr w:rsidR="00481273" w:rsidRPr="00035E77" w14:paraId="595BF2A1" w14:textId="77777777">
        <w:trPr>
          <w:trHeight w:val="283"/>
        </w:trPr>
        <w:tc>
          <w:tcPr>
            <w:tcW w:w="2694" w:type="dxa"/>
            <w:vMerge/>
          </w:tcPr>
          <w:p w14:paraId="445E9A94" w14:textId="77777777" w:rsidR="00481273" w:rsidRPr="00C4270B" w:rsidRDefault="00481273">
            <w:pPr>
              <w:pStyle w:val="BodyCopy"/>
              <w:spacing w:before="0" w:after="0"/>
              <w:rPr>
                <w:sz w:val="20"/>
                <w:szCs w:val="20"/>
              </w:rPr>
            </w:pPr>
          </w:p>
        </w:tc>
        <w:tc>
          <w:tcPr>
            <w:tcW w:w="1559" w:type="dxa"/>
            <w:vAlign w:val="center"/>
          </w:tcPr>
          <w:p w14:paraId="7C5CEF69"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16.5 t</w:t>
            </w:r>
          </w:p>
        </w:tc>
        <w:tc>
          <w:tcPr>
            <w:tcW w:w="1204" w:type="dxa"/>
            <w:vAlign w:val="center"/>
          </w:tcPr>
          <w:p w14:paraId="14599292" w14:textId="77777777" w:rsidR="00481273" w:rsidRPr="00C4270B" w:rsidRDefault="00481273">
            <w:pPr>
              <w:pStyle w:val="BodyCopy"/>
              <w:spacing w:before="0" w:after="0"/>
              <w:jc w:val="right"/>
              <w:rPr>
                <w:sz w:val="20"/>
                <w:szCs w:val="20"/>
              </w:rPr>
            </w:pPr>
            <w:r w:rsidRPr="0071752B">
              <w:t>1,185</w:t>
            </w:r>
          </w:p>
        </w:tc>
        <w:tc>
          <w:tcPr>
            <w:tcW w:w="1205" w:type="dxa"/>
            <w:noWrap/>
            <w:vAlign w:val="center"/>
          </w:tcPr>
          <w:p w14:paraId="4B58B598" w14:textId="77777777" w:rsidR="00481273" w:rsidRPr="008B4CF7" w:rsidRDefault="00481273">
            <w:pPr>
              <w:pStyle w:val="BodyCopy"/>
              <w:spacing w:before="0" w:after="0"/>
              <w:jc w:val="right"/>
              <w:rPr>
                <w:sz w:val="20"/>
                <w:szCs w:val="20"/>
              </w:rPr>
            </w:pPr>
            <w:r w:rsidRPr="00370BF4">
              <w:t>1,250</w:t>
            </w:r>
          </w:p>
        </w:tc>
        <w:tc>
          <w:tcPr>
            <w:tcW w:w="1205" w:type="dxa"/>
            <w:noWrap/>
            <w:vAlign w:val="center"/>
          </w:tcPr>
          <w:p w14:paraId="253B57CB" w14:textId="77777777" w:rsidR="00481273" w:rsidRPr="00C4270B" w:rsidRDefault="00481273">
            <w:pPr>
              <w:pStyle w:val="BodyCopy"/>
              <w:spacing w:before="0" w:after="0"/>
              <w:jc w:val="right"/>
              <w:rPr>
                <w:sz w:val="20"/>
                <w:szCs w:val="20"/>
              </w:rPr>
            </w:pPr>
            <w:r w:rsidRPr="00370BF4">
              <w:t>1,319</w:t>
            </w:r>
          </w:p>
        </w:tc>
        <w:tc>
          <w:tcPr>
            <w:tcW w:w="1205" w:type="dxa"/>
            <w:noWrap/>
            <w:vAlign w:val="center"/>
          </w:tcPr>
          <w:p w14:paraId="70A3DCD6" w14:textId="77777777" w:rsidR="00481273" w:rsidRPr="00C4270B" w:rsidRDefault="00481273">
            <w:pPr>
              <w:pStyle w:val="BodyCopy"/>
              <w:spacing w:before="0" w:after="0"/>
              <w:jc w:val="right"/>
              <w:rPr>
                <w:sz w:val="20"/>
                <w:szCs w:val="20"/>
              </w:rPr>
            </w:pPr>
            <w:r w:rsidRPr="00370BF4">
              <w:t>1,394</w:t>
            </w:r>
          </w:p>
        </w:tc>
      </w:tr>
      <w:tr w:rsidR="00481273" w:rsidRPr="00035E77" w14:paraId="069AB106" w14:textId="77777777">
        <w:trPr>
          <w:trHeight w:val="283"/>
        </w:trPr>
        <w:tc>
          <w:tcPr>
            <w:tcW w:w="2694" w:type="dxa"/>
            <w:vMerge w:val="restart"/>
          </w:tcPr>
          <w:p w14:paraId="3777F21D"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2" behindDoc="0" locked="0" layoutInCell="1" allowOverlap="1" wp14:anchorId="2DAB3DAB" wp14:editId="1D69A43D">
                  <wp:simplePos x="0" y="0"/>
                  <wp:positionH relativeFrom="column">
                    <wp:posOffset>-68580</wp:posOffset>
                  </wp:positionH>
                  <wp:positionV relativeFrom="paragraph">
                    <wp:posOffset>11479</wp:posOffset>
                  </wp:positionV>
                  <wp:extent cx="1069675" cy="271862"/>
                  <wp:effectExtent l="0" t="0" r="0" b="0"/>
                  <wp:wrapNone/>
                  <wp:docPr id="207"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t="-19281" b="-19281"/>
                          <a:stretch>
                            <a:fillRect/>
                          </a:stretch>
                        </pic:blipFill>
                        <pic:spPr bwMode="auto">
                          <a:xfrm>
                            <a:off x="0" y="0"/>
                            <a:ext cx="1076115" cy="2734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0F902465"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27D0F2B6" w14:textId="77777777" w:rsidR="00481273" w:rsidRPr="00C4270B" w:rsidRDefault="00481273">
            <w:pPr>
              <w:pStyle w:val="BodyCopy"/>
              <w:spacing w:before="0" w:after="0"/>
              <w:jc w:val="right"/>
              <w:rPr>
                <w:sz w:val="20"/>
                <w:szCs w:val="20"/>
              </w:rPr>
            </w:pPr>
            <w:r w:rsidRPr="0071752B">
              <w:t>3,211</w:t>
            </w:r>
          </w:p>
        </w:tc>
        <w:tc>
          <w:tcPr>
            <w:tcW w:w="1205" w:type="dxa"/>
            <w:noWrap/>
            <w:vAlign w:val="center"/>
          </w:tcPr>
          <w:p w14:paraId="15FBF68D" w14:textId="77777777" w:rsidR="00481273" w:rsidRPr="008B4CF7" w:rsidRDefault="00481273">
            <w:pPr>
              <w:pStyle w:val="BodyCopy"/>
              <w:spacing w:before="0" w:after="0"/>
              <w:jc w:val="right"/>
              <w:rPr>
                <w:sz w:val="20"/>
                <w:szCs w:val="20"/>
              </w:rPr>
            </w:pPr>
            <w:r w:rsidRPr="00370BF4">
              <w:t>3,384</w:t>
            </w:r>
          </w:p>
        </w:tc>
        <w:tc>
          <w:tcPr>
            <w:tcW w:w="1205" w:type="dxa"/>
            <w:noWrap/>
            <w:vAlign w:val="center"/>
          </w:tcPr>
          <w:p w14:paraId="7E2E4F2B" w14:textId="77777777" w:rsidR="00481273" w:rsidRPr="00C4270B" w:rsidRDefault="00481273">
            <w:pPr>
              <w:pStyle w:val="BodyCopy"/>
              <w:spacing w:before="0" w:after="0"/>
              <w:jc w:val="right"/>
              <w:rPr>
                <w:sz w:val="20"/>
                <w:szCs w:val="20"/>
              </w:rPr>
            </w:pPr>
            <w:r w:rsidRPr="00370BF4">
              <w:t>3,570</w:t>
            </w:r>
          </w:p>
        </w:tc>
        <w:tc>
          <w:tcPr>
            <w:tcW w:w="1205" w:type="dxa"/>
            <w:noWrap/>
            <w:vAlign w:val="center"/>
          </w:tcPr>
          <w:p w14:paraId="51A01D8E" w14:textId="77777777" w:rsidR="00481273" w:rsidRPr="00C4270B" w:rsidRDefault="00481273">
            <w:pPr>
              <w:pStyle w:val="BodyCopy"/>
              <w:spacing w:before="0" w:after="0"/>
              <w:jc w:val="right"/>
              <w:rPr>
                <w:sz w:val="20"/>
                <w:szCs w:val="20"/>
              </w:rPr>
            </w:pPr>
            <w:r w:rsidRPr="00370BF4">
              <w:t>3,768</w:t>
            </w:r>
          </w:p>
        </w:tc>
      </w:tr>
      <w:tr w:rsidR="00481273" w:rsidRPr="00035E77" w14:paraId="222E8C40" w14:textId="77777777">
        <w:trPr>
          <w:trHeight w:val="283"/>
        </w:trPr>
        <w:tc>
          <w:tcPr>
            <w:tcW w:w="2694" w:type="dxa"/>
            <w:vMerge/>
          </w:tcPr>
          <w:p w14:paraId="7785DDE3" w14:textId="77777777" w:rsidR="00481273" w:rsidRPr="00C4270B" w:rsidRDefault="00481273">
            <w:pPr>
              <w:pStyle w:val="BodyCopy"/>
              <w:spacing w:before="0" w:after="0"/>
              <w:rPr>
                <w:sz w:val="20"/>
                <w:szCs w:val="20"/>
              </w:rPr>
            </w:pPr>
          </w:p>
        </w:tc>
        <w:tc>
          <w:tcPr>
            <w:tcW w:w="1559" w:type="dxa"/>
            <w:vAlign w:val="center"/>
          </w:tcPr>
          <w:p w14:paraId="659E3BD5"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026A49A7" w14:textId="77777777" w:rsidR="00481273" w:rsidRPr="00C4270B" w:rsidRDefault="00481273">
            <w:pPr>
              <w:pStyle w:val="BodyCopy"/>
              <w:spacing w:before="0" w:after="0"/>
              <w:jc w:val="right"/>
              <w:rPr>
                <w:sz w:val="20"/>
                <w:szCs w:val="20"/>
              </w:rPr>
            </w:pPr>
            <w:r w:rsidRPr="0071752B">
              <w:t>12,018</w:t>
            </w:r>
          </w:p>
        </w:tc>
        <w:tc>
          <w:tcPr>
            <w:tcW w:w="1205" w:type="dxa"/>
            <w:noWrap/>
            <w:vAlign w:val="center"/>
          </w:tcPr>
          <w:p w14:paraId="42983507" w14:textId="77777777" w:rsidR="00481273" w:rsidRPr="008B4CF7" w:rsidRDefault="00481273">
            <w:pPr>
              <w:pStyle w:val="BodyCopy"/>
              <w:spacing w:before="0" w:after="0"/>
              <w:jc w:val="right"/>
              <w:rPr>
                <w:sz w:val="20"/>
                <w:szCs w:val="20"/>
              </w:rPr>
            </w:pPr>
            <w:r w:rsidRPr="00370BF4">
              <w:t>12,829</w:t>
            </w:r>
          </w:p>
        </w:tc>
        <w:tc>
          <w:tcPr>
            <w:tcW w:w="1205" w:type="dxa"/>
            <w:noWrap/>
            <w:vAlign w:val="center"/>
          </w:tcPr>
          <w:p w14:paraId="64373193" w14:textId="77777777" w:rsidR="00481273" w:rsidRPr="00C4270B" w:rsidRDefault="00481273">
            <w:pPr>
              <w:pStyle w:val="BodyCopy"/>
              <w:spacing w:before="0" w:after="0"/>
              <w:jc w:val="right"/>
              <w:rPr>
                <w:sz w:val="20"/>
                <w:szCs w:val="20"/>
              </w:rPr>
            </w:pPr>
            <w:r w:rsidRPr="00370BF4">
              <w:t>13,702</w:t>
            </w:r>
          </w:p>
        </w:tc>
        <w:tc>
          <w:tcPr>
            <w:tcW w:w="1205" w:type="dxa"/>
            <w:noWrap/>
            <w:vAlign w:val="center"/>
          </w:tcPr>
          <w:p w14:paraId="3475B1B0" w14:textId="77777777" w:rsidR="00481273" w:rsidRPr="00C4270B" w:rsidRDefault="00481273">
            <w:pPr>
              <w:pStyle w:val="BodyCopy"/>
              <w:spacing w:before="0" w:after="0"/>
              <w:jc w:val="right"/>
              <w:rPr>
                <w:sz w:val="20"/>
                <w:szCs w:val="20"/>
              </w:rPr>
            </w:pPr>
            <w:r w:rsidRPr="00370BF4">
              <w:t>14,638</w:t>
            </w:r>
          </w:p>
        </w:tc>
      </w:tr>
      <w:tr w:rsidR="00481273" w:rsidRPr="00035E77" w14:paraId="3A92A2DB" w14:textId="77777777">
        <w:trPr>
          <w:trHeight w:val="283"/>
        </w:trPr>
        <w:tc>
          <w:tcPr>
            <w:tcW w:w="2694" w:type="dxa"/>
            <w:noWrap/>
          </w:tcPr>
          <w:p w14:paraId="6EC72886"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3" behindDoc="0" locked="0" layoutInCell="1" allowOverlap="1" wp14:anchorId="78CE66D6" wp14:editId="214C262A">
                  <wp:simplePos x="0" y="0"/>
                  <wp:positionH relativeFrom="column">
                    <wp:posOffset>-68580</wp:posOffset>
                  </wp:positionH>
                  <wp:positionV relativeFrom="paragraph">
                    <wp:posOffset>-15875</wp:posOffset>
                  </wp:positionV>
                  <wp:extent cx="1013460" cy="213360"/>
                  <wp:effectExtent l="0" t="0" r="0" b="0"/>
                  <wp:wrapNone/>
                  <wp:docPr id="208" name="Picture 208"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52" name="Picture 52"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9"/>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696A7C23"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35293471" w14:textId="77777777" w:rsidR="00481273" w:rsidRPr="00C4270B" w:rsidRDefault="00481273">
            <w:pPr>
              <w:pStyle w:val="BodyCopy"/>
              <w:spacing w:before="0" w:after="0"/>
              <w:jc w:val="right"/>
              <w:rPr>
                <w:sz w:val="20"/>
                <w:szCs w:val="20"/>
              </w:rPr>
            </w:pPr>
            <w:r w:rsidRPr="0071752B">
              <w:t>12,665</w:t>
            </w:r>
          </w:p>
        </w:tc>
        <w:tc>
          <w:tcPr>
            <w:tcW w:w="1205" w:type="dxa"/>
            <w:noWrap/>
            <w:vAlign w:val="center"/>
          </w:tcPr>
          <w:p w14:paraId="08CD91D8" w14:textId="77777777" w:rsidR="00481273" w:rsidRPr="008B4CF7" w:rsidRDefault="00481273">
            <w:pPr>
              <w:pStyle w:val="BodyCopy"/>
              <w:spacing w:before="0" w:after="0"/>
              <w:jc w:val="right"/>
              <w:rPr>
                <w:sz w:val="20"/>
                <w:szCs w:val="20"/>
              </w:rPr>
            </w:pPr>
            <w:r w:rsidRPr="00370BF4">
              <w:t>13,512</w:t>
            </w:r>
          </w:p>
        </w:tc>
        <w:tc>
          <w:tcPr>
            <w:tcW w:w="1205" w:type="dxa"/>
            <w:noWrap/>
            <w:vAlign w:val="center"/>
          </w:tcPr>
          <w:p w14:paraId="5160C730" w14:textId="77777777" w:rsidR="00481273" w:rsidRPr="00C4270B" w:rsidRDefault="00481273">
            <w:pPr>
              <w:pStyle w:val="BodyCopy"/>
              <w:spacing w:before="0" w:after="0"/>
              <w:jc w:val="right"/>
              <w:rPr>
                <w:sz w:val="20"/>
                <w:szCs w:val="20"/>
              </w:rPr>
            </w:pPr>
            <w:r w:rsidRPr="00370BF4">
              <w:t>14,424</w:t>
            </w:r>
          </w:p>
        </w:tc>
        <w:tc>
          <w:tcPr>
            <w:tcW w:w="1205" w:type="dxa"/>
            <w:noWrap/>
            <w:vAlign w:val="center"/>
          </w:tcPr>
          <w:p w14:paraId="08C64D5D" w14:textId="77777777" w:rsidR="00481273" w:rsidRPr="00C4270B" w:rsidRDefault="00481273">
            <w:pPr>
              <w:pStyle w:val="BodyCopy"/>
              <w:spacing w:before="0" w:after="0"/>
              <w:jc w:val="right"/>
              <w:rPr>
                <w:sz w:val="20"/>
                <w:szCs w:val="20"/>
              </w:rPr>
            </w:pPr>
            <w:r w:rsidRPr="00370BF4">
              <w:t>15,401</w:t>
            </w:r>
          </w:p>
        </w:tc>
      </w:tr>
      <w:tr w:rsidR="00481273" w:rsidRPr="00035E77" w14:paraId="10131D23" w14:textId="77777777">
        <w:trPr>
          <w:trHeight w:val="283"/>
        </w:trPr>
        <w:tc>
          <w:tcPr>
            <w:tcW w:w="2694" w:type="dxa"/>
            <w:vMerge w:val="restart"/>
          </w:tcPr>
          <w:p w14:paraId="267E7CA2"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0" behindDoc="0" locked="0" layoutInCell="1" allowOverlap="1" wp14:anchorId="0160EE01" wp14:editId="7E97608B">
                  <wp:simplePos x="0" y="0"/>
                  <wp:positionH relativeFrom="column">
                    <wp:posOffset>-68580</wp:posOffset>
                  </wp:positionH>
                  <wp:positionV relativeFrom="paragraph">
                    <wp:posOffset>81915</wp:posOffset>
                  </wp:positionV>
                  <wp:extent cx="693420" cy="245234"/>
                  <wp:effectExtent l="0" t="0" r="0" b="2540"/>
                  <wp:wrapNone/>
                  <wp:docPr id="209"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5D801ADB"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20.0 t</w:t>
            </w:r>
          </w:p>
        </w:tc>
        <w:tc>
          <w:tcPr>
            <w:tcW w:w="1204" w:type="dxa"/>
            <w:vAlign w:val="center"/>
          </w:tcPr>
          <w:p w14:paraId="169332C1" w14:textId="77777777" w:rsidR="00481273" w:rsidRPr="00C4270B" w:rsidRDefault="00481273">
            <w:pPr>
              <w:pStyle w:val="BodyCopy"/>
              <w:spacing w:before="0" w:after="0"/>
              <w:jc w:val="right"/>
              <w:rPr>
                <w:sz w:val="20"/>
                <w:szCs w:val="20"/>
              </w:rPr>
            </w:pPr>
            <w:r w:rsidRPr="0071752B">
              <w:t>1,003</w:t>
            </w:r>
          </w:p>
        </w:tc>
        <w:tc>
          <w:tcPr>
            <w:tcW w:w="1205" w:type="dxa"/>
            <w:noWrap/>
            <w:vAlign w:val="center"/>
          </w:tcPr>
          <w:p w14:paraId="280EDEDF" w14:textId="77777777" w:rsidR="00481273" w:rsidRPr="008B4CF7" w:rsidRDefault="00481273">
            <w:pPr>
              <w:pStyle w:val="BodyCopy"/>
              <w:spacing w:before="0" w:after="0"/>
              <w:jc w:val="right"/>
              <w:rPr>
                <w:sz w:val="20"/>
                <w:szCs w:val="20"/>
              </w:rPr>
            </w:pPr>
            <w:r w:rsidRPr="00370BF4">
              <w:t>1,060</w:t>
            </w:r>
          </w:p>
        </w:tc>
        <w:tc>
          <w:tcPr>
            <w:tcW w:w="1205" w:type="dxa"/>
            <w:noWrap/>
            <w:vAlign w:val="center"/>
          </w:tcPr>
          <w:p w14:paraId="5D88D2CC" w14:textId="77777777" w:rsidR="00481273" w:rsidRPr="00C4270B" w:rsidRDefault="00481273">
            <w:pPr>
              <w:pStyle w:val="BodyCopy"/>
              <w:spacing w:before="0" w:after="0"/>
              <w:jc w:val="right"/>
              <w:rPr>
                <w:sz w:val="20"/>
                <w:szCs w:val="20"/>
              </w:rPr>
            </w:pPr>
            <w:r w:rsidRPr="00370BF4">
              <w:t>1,121</w:t>
            </w:r>
          </w:p>
        </w:tc>
        <w:tc>
          <w:tcPr>
            <w:tcW w:w="1205" w:type="dxa"/>
            <w:noWrap/>
            <w:vAlign w:val="center"/>
          </w:tcPr>
          <w:p w14:paraId="650BC861" w14:textId="77777777" w:rsidR="00481273" w:rsidRPr="00C4270B" w:rsidRDefault="00481273">
            <w:pPr>
              <w:pStyle w:val="BodyCopy"/>
              <w:spacing w:before="0" w:after="0"/>
              <w:jc w:val="right"/>
              <w:rPr>
                <w:sz w:val="20"/>
                <w:szCs w:val="20"/>
              </w:rPr>
            </w:pPr>
            <w:r w:rsidRPr="00370BF4">
              <w:t>1,187</w:t>
            </w:r>
          </w:p>
        </w:tc>
      </w:tr>
      <w:tr w:rsidR="00481273" w:rsidRPr="00035E77" w14:paraId="76F95CCA" w14:textId="77777777">
        <w:trPr>
          <w:trHeight w:val="283"/>
        </w:trPr>
        <w:tc>
          <w:tcPr>
            <w:tcW w:w="2694" w:type="dxa"/>
            <w:vMerge/>
          </w:tcPr>
          <w:p w14:paraId="485190C5" w14:textId="77777777" w:rsidR="00481273" w:rsidRPr="00C4270B" w:rsidRDefault="00481273">
            <w:pPr>
              <w:pStyle w:val="BodyCopy"/>
              <w:spacing w:before="0" w:after="0"/>
              <w:rPr>
                <w:sz w:val="20"/>
                <w:szCs w:val="20"/>
              </w:rPr>
            </w:pPr>
          </w:p>
        </w:tc>
        <w:tc>
          <w:tcPr>
            <w:tcW w:w="1559" w:type="dxa"/>
            <w:vAlign w:val="center"/>
          </w:tcPr>
          <w:p w14:paraId="7C2BB339"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20.0 t</w:t>
            </w:r>
          </w:p>
        </w:tc>
        <w:tc>
          <w:tcPr>
            <w:tcW w:w="1204" w:type="dxa"/>
            <w:vAlign w:val="center"/>
          </w:tcPr>
          <w:p w14:paraId="338793DC" w14:textId="77777777" w:rsidR="00481273" w:rsidRPr="00C4270B" w:rsidRDefault="00481273">
            <w:pPr>
              <w:pStyle w:val="BodyCopy"/>
              <w:spacing w:before="0" w:after="0"/>
              <w:jc w:val="right"/>
              <w:rPr>
                <w:sz w:val="20"/>
                <w:szCs w:val="20"/>
              </w:rPr>
            </w:pPr>
            <w:r w:rsidRPr="0071752B">
              <w:t>1,206</w:t>
            </w:r>
          </w:p>
        </w:tc>
        <w:tc>
          <w:tcPr>
            <w:tcW w:w="1205" w:type="dxa"/>
            <w:noWrap/>
            <w:vAlign w:val="center"/>
          </w:tcPr>
          <w:p w14:paraId="73402607" w14:textId="77777777" w:rsidR="00481273" w:rsidRPr="008B4CF7" w:rsidRDefault="00481273">
            <w:pPr>
              <w:pStyle w:val="BodyCopy"/>
              <w:spacing w:before="0" w:after="0"/>
              <w:jc w:val="right"/>
              <w:rPr>
                <w:sz w:val="20"/>
                <w:szCs w:val="20"/>
              </w:rPr>
            </w:pPr>
            <w:r w:rsidRPr="00370BF4">
              <w:t>1,271</w:t>
            </w:r>
          </w:p>
        </w:tc>
        <w:tc>
          <w:tcPr>
            <w:tcW w:w="1205" w:type="dxa"/>
            <w:noWrap/>
            <w:vAlign w:val="center"/>
          </w:tcPr>
          <w:p w14:paraId="7EFFC2D7" w14:textId="77777777" w:rsidR="00481273" w:rsidRPr="00C4270B" w:rsidRDefault="00481273">
            <w:pPr>
              <w:pStyle w:val="BodyCopy"/>
              <w:spacing w:before="0" w:after="0"/>
              <w:jc w:val="right"/>
              <w:rPr>
                <w:sz w:val="20"/>
                <w:szCs w:val="20"/>
              </w:rPr>
            </w:pPr>
            <w:r w:rsidRPr="00370BF4">
              <w:t>1,340</w:t>
            </w:r>
          </w:p>
        </w:tc>
        <w:tc>
          <w:tcPr>
            <w:tcW w:w="1205" w:type="dxa"/>
            <w:noWrap/>
            <w:vAlign w:val="center"/>
          </w:tcPr>
          <w:p w14:paraId="34E2AC51" w14:textId="77777777" w:rsidR="00481273" w:rsidRPr="00C4270B" w:rsidRDefault="00481273">
            <w:pPr>
              <w:pStyle w:val="BodyCopy"/>
              <w:spacing w:before="0" w:after="0"/>
              <w:jc w:val="right"/>
              <w:rPr>
                <w:sz w:val="20"/>
                <w:szCs w:val="20"/>
              </w:rPr>
            </w:pPr>
            <w:r w:rsidRPr="00370BF4">
              <w:t>1,415</w:t>
            </w:r>
          </w:p>
        </w:tc>
      </w:tr>
      <w:tr w:rsidR="00481273" w:rsidRPr="00035E77" w14:paraId="445AF318" w14:textId="77777777">
        <w:trPr>
          <w:trHeight w:val="283"/>
        </w:trPr>
        <w:tc>
          <w:tcPr>
            <w:tcW w:w="2694" w:type="dxa"/>
            <w:vMerge w:val="restart"/>
            <w:noWrap/>
          </w:tcPr>
          <w:p w14:paraId="5769A885"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1" behindDoc="0" locked="0" layoutInCell="1" allowOverlap="1" wp14:anchorId="105FBFF1" wp14:editId="445340EA">
                  <wp:simplePos x="0" y="0"/>
                  <wp:positionH relativeFrom="column">
                    <wp:posOffset>-68580</wp:posOffset>
                  </wp:positionH>
                  <wp:positionV relativeFrom="paragraph">
                    <wp:posOffset>71755</wp:posOffset>
                  </wp:positionV>
                  <wp:extent cx="899160" cy="264160"/>
                  <wp:effectExtent l="0" t="0" r="0" b="2540"/>
                  <wp:wrapNone/>
                  <wp:docPr id="210" name="Picture 210"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wo axle b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0B72C8F7"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4D946C9E" w14:textId="77777777" w:rsidR="00481273" w:rsidRPr="00C4270B" w:rsidRDefault="00481273">
            <w:pPr>
              <w:pStyle w:val="BodyCopy"/>
              <w:spacing w:before="0" w:after="0"/>
              <w:jc w:val="right"/>
              <w:rPr>
                <w:sz w:val="20"/>
                <w:szCs w:val="20"/>
              </w:rPr>
            </w:pPr>
            <w:r w:rsidRPr="0071752B">
              <w:t>529</w:t>
            </w:r>
          </w:p>
        </w:tc>
        <w:tc>
          <w:tcPr>
            <w:tcW w:w="1205" w:type="dxa"/>
            <w:noWrap/>
            <w:vAlign w:val="center"/>
          </w:tcPr>
          <w:p w14:paraId="5217CEC7" w14:textId="77777777" w:rsidR="00481273" w:rsidRPr="008B4CF7" w:rsidRDefault="00481273">
            <w:pPr>
              <w:pStyle w:val="BodyCopy"/>
              <w:spacing w:before="0" w:after="0"/>
              <w:jc w:val="right"/>
              <w:rPr>
                <w:sz w:val="20"/>
                <w:szCs w:val="20"/>
              </w:rPr>
            </w:pPr>
            <w:r w:rsidRPr="00370BF4">
              <w:t>548</w:t>
            </w:r>
          </w:p>
        </w:tc>
        <w:tc>
          <w:tcPr>
            <w:tcW w:w="1205" w:type="dxa"/>
            <w:noWrap/>
            <w:vAlign w:val="center"/>
          </w:tcPr>
          <w:p w14:paraId="766478EA" w14:textId="77777777" w:rsidR="00481273" w:rsidRPr="00C4270B" w:rsidRDefault="00481273">
            <w:pPr>
              <w:pStyle w:val="BodyCopy"/>
              <w:spacing w:before="0" w:after="0"/>
              <w:jc w:val="right"/>
              <w:rPr>
                <w:sz w:val="20"/>
                <w:szCs w:val="20"/>
              </w:rPr>
            </w:pPr>
            <w:r w:rsidRPr="00370BF4">
              <w:t>567</w:t>
            </w:r>
          </w:p>
        </w:tc>
        <w:tc>
          <w:tcPr>
            <w:tcW w:w="1205" w:type="dxa"/>
            <w:noWrap/>
            <w:vAlign w:val="center"/>
          </w:tcPr>
          <w:p w14:paraId="077F93EF" w14:textId="77777777" w:rsidR="00481273" w:rsidRPr="00C4270B" w:rsidRDefault="00481273">
            <w:pPr>
              <w:pStyle w:val="BodyCopy"/>
              <w:spacing w:before="0" w:after="0"/>
              <w:jc w:val="right"/>
              <w:rPr>
                <w:sz w:val="20"/>
                <w:szCs w:val="20"/>
              </w:rPr>
            </w:pPr>
            <w:r w:rsidRPr="00370BF4">
              <w:t>588</w:t>
            </w:r>
          </w:p>
        </w:tc>
      </w:tr>
      <w:tr w:rsidR="00481273" w:rsidRPr="00035E77" w14:paraId="07CDA54D" w14:textId="77777777">
        <w:trPr>
          <w:trHeight w:val="283"/>
        </w:trPr>
        <w:tc>
          <w:tcPr>
            <w:tcW w:w="2694" w:type="dxa"/>
            <w:vMerge/>
          </w:tcPr>
          <w:p w14:paraId="702CAD31" w14:textId="77777777" w:rsidR="00481273" w:rsidRPr="00C4270B" w:rsidRDefault="00481273">
            <w:pPr>
              <w:pStyle w:val="BodyCopy"/>
              <w:spacing w:before="0" w:after="0"/>
              <w:rPr>
                <w:sz w:val="20"/>
                <w:szCs w:val="20"/>
              </w:rPr>
            </w:pPr>
          </w:p>
        </w:tc>
        <w:tc>
          <w:tcPr>
            <w:tcW w:w="1559" w:type="dxa"/>
            <w:vAlign w:val="center"/>
          </w:tcPr>
          <w:p w14:paraId="7CFD29F5"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173F9145" w14:textId="77777777" w:rsidR="00481273" w:rsidRPr="00C4270B" w:rsidRDefault="00481273">
            <w:pPr>
              <w:pStyle w:val="BodyCopy"/>
              <w:spacing w:before="0" w:after="0"/>
              <w:jc w:val="right"/>
              <w:rPr>
                <w:sz w:val="20"/>
                <w:szCs w:val="20"/>
              </w:rPr>
            </w:pPr>
            <w:r w:rsidRPr="0071752B">
              <w:t>659</w:t>
            </w:r>
          </w:p>
        </w:tc>
        <w:tc>
          <w:tcPr>
            <w:tcW w:w="1205" w:type="dxa"/>
            <w:noWrap/>
            <w:vAlign w:val="center"/>
          </w:tcPr>
          <w:p w14:paraId="7CB4C1E1" w14:textId="77777777" w:rsidR="00481273" w:rsidRPr="008B4CF7" w:rsidRDefault="00481273">
            <w:pPr>
              <w:pStyle w:val="BodyCopy"/>
              <w:spacing w:before="0" w:after="0"/>
              <w:jc w:val="right"/>
              <w:rPr>
                <w:sz w:val="20"/>
                <w:szCs w:val="20"/>
              </w:rPr>
            </w:pPr>
            <w:r w:rsidRPr="00370BF4">
              <w:t>684</w:t>
            </w:r>
          </w:p>
        </w:tc>
        <w:tc>
          <w:tcPr>
            <w:tcW w:w="1205" w:type="dxa"/>
            <w:noWrap/>
            <w:vAlign w:val="center"/>
          </w:tcPr>
          <w:p w14:paraId="3D7ECF52" w14:textId="77777777" w:rsidR="00481273" w:rsidRPr="00C4270B" w:rsidRDefault="00481273">
            <w:pPr>
              <w:pStyle w:val="BodyCopy"/>
              <w:spacing w:before="0" w:after="0"/>
              <w:jc w:val="right"/>
              <w:rPr>
                <w:sz w:val="20"/>
                <w:szCs w:val="20"/>
              </w:rPr>
            </w:pPr>
            <w:r w:rsidRPr="00370BF4">
              <w:t>710</w:t>
            </w:r>
          </w:p>
        </w:tc>
        <w:tc>
          <w:tcPr>
            <w:tcW w:w="1205" w:type="dxa"/>
            <w:noWrap/>
            <w:vAlign w:val="center"/>
          </w:tcPr>
          <w:p w14:paraId="44E45CEC" w14:textId="77777777" w:rsidR="00481273" w:rsidRPr="00C4270B" w:rsidRDefault="00481273">
            <w:pPr>
              <w:pStyle w:val="BodyCopy"/>
              <w:spacing w:before="0" w:after="0"/>
              <w:jc w:val="right"/>
              <w:rPr>
                <w:sz w:val="20"/>
                <w:szCs w:val="20"/>
              </w:rPr>
            </w:pPr>
            <w:r w:rsidRPr="00370BF4">
              <w:t>738</w:t>
            </w:r>
          </w:p>
        </w:tc>
      </w:tr>
      <w:tr w:rsidR="00481273" w:rsidRPr="00035E77" w14:paraId="06317EB3" w14:textId="77777777">
        <w:trPr>
          <w:trHeight w:val="283"/>
        </w:trPr>
        <w:tc>
          <w:tcPr>
            <w:tcW w:w="2694" w:type="dxa"/>
            <w:noWrap/>
          </w:tcPr>
          <w:p w14:paraId="774B2D19"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4" behindDoc="0" locked="0" layoutInCell="1" allowOverlap="1" wp14:anchorId="48EE2BF8" wp14:editId="7419B690">
                  <wp:simplePos x="0" y="0"/>
                  <wp:positionH relativeFrom="column">
                    <wp:posOffset>-68580</wp:posOffset>
                  </wp:positionH>
                  <wp:positionV relativeFrom="paragraph">
                    <wp:posOffset>15875</wp:posOffset>
                  </wp:positionV>
                  <wp:extent cx="594360" cy="196302"/>
                  <wp:effectExtent l="0" t="0" r="0" b="0"/>
                  <wp:wrapNone/>
                  <wp:docPr id="212"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3"/>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1A0E05C8"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27007A23" w14:textId="77777777" w:rsidR="00481273" w:rsidRPr="00C4270B" w:rsidRDefault="00481273">
            <w:pPr>
              <w:pStyle w:val="BodyCopy"/>
              <w:spacing w:before="0" w:after="0"/>
              <w:jc w:val="right"/>
              <w:rPr>
                <w:sz w:val="20"/>
                <w:szCs w:val="20"/>
              </w:rPr>
            </w:pPr>
            <w:r w:rsidRPr="0071752B">
              <w:t>2,794</w:t>
            </w:r>
          </w:p>
        </w:tc>
        <w:tc>
          <w:tcPr>
            <w:tcW w:w="1205" w:type="dxa"/>
            <w:noWrap/>
            <w:vAlign w:val="center"/>
          </w:tcPr>
          <w:p w14:paraId="585A5832" w14:textId="77777777" w:rsidR="00481273" w:rsidRPr="008B4CF7" w:rsidRDefault="00481273">
            <w:pPr>
              <w:pStyle w:val="BodyCopy"/>
              <w:spacing w:before="0" w:after="0"/>
              <w:jc w:val="right"/>
              <w:rPr>
                <w:sz w:val="20"/>
                <w:szCs w:val="20"/>
              </w:rPr>
            </w:pPr>
            <w:r w:rsidRPr="00370BF4">
              <w:t>2,973</w:t>
            </w:r>
          </w:p>
        </w:tc>
        <w:tc>
          <w:tcPr>
            <w:tcW w:w="1205" w:type="dxa"/>
            <w:noWrap/>
            <w:vAlign w:val="center"/>
          </w:tcPr>
          <w:p w14:paraId="1CF65AF2" w14:textId="77777777" w:rsidR="00481273" w:rsidRPr="00C4270B" w:rsidRDefault="00481273">
            <w:pPr>
              <w:pStyle w:val="BodyCopy"/>
              <w:spacing w:before="0" w:after="0"/>
              <w:jc w:val="right"/>
              <w:rPr>
                <w:sz w:val="20"/>
                <w:szCs w:val="20"/>
              </w:rPr>
            </w:pPr>
            <w:r w:rsidRPr="00370BF4">
              <w:t>3,165</w:t>
            </w:r>
          </w:p>
        </w:tc>
        <w:tc>
          <w:tcPr>
            <w:tcW w:w="1205" w:type="dxa"/>
            <w:noWrap/>
            <w:vAlign w:val="center"/>
          </w:tcPr>
          <w:p w14:paraId="320BB528" w14:textId="77777777" w:rsidR="00481273" w:rsidRPr="00C4270B" w:rsidRDefault="00481273">
            <w:pPr>
              <w:pStyle w:val="BodyCopy"/>
              <w:spacing w:before="0" w:after="0"/>
              <w:jc w:val="right"/>
              <w:rPr>
                <w:sz w:val="20"/>
                <w:szCs w:val="20"/>
              </w:rPr>
            </w:pPr>
            <w:r w:rsidRPr="00370BF4">
              <w:t>3,371</w:t>
            </w:r>
          </w:p>
        </w:tc>
      </w:tr>
      <w:tr w:rsidR="00481273" w:rsidRPr="00035E77" w14:paraId="1D500478" w14:textId="77777777">
        <w:trPr>
          <w:trHeight w:val="283"/>
        </w:trPr>
        <w:tc>
          <w:tcPr>
            <w:tcW w:w="2694" w:type="dxa"/>
          </w:tcPr>
          <w:p w14:paraId="33D6513A" w14:textId="77777777" w:rsidR="00481273" w:rsidRPr="00C4270B" w:rsidRDefault="00481273">
            <w:pPr>
              <w:pStyle w:val="BodyCopy"/>
              <w:spacing w:before="0" w:after="0"/>
              <w:rPr>
                <w:b/>
                <w:bCs/>
                <w:sz w:val="20"/>
                <w:szCs w:val="20"/>
              </w:rPr>
            </w:pPr>
            <w:r w:rsidRPr="00C4270B">
              <w:rPr>
                <w:noProof/>
                <w:sz w:val="20"/>
                <w:szCs w:val="20"/>
                <w:lang w:eastAsia="en-AU"/>
              </w:rPr>
              <w:drawing>
                <wp:anchor distT="0" distB="0" distL="114300" distR="114300" simplePos="0" relativeHeight="251658265" behindDoc="0" locked="0" layoutInCell="1" allowOverlap="1" wp14:anchorId="197D9A9E" wp14:editId="02A14CE2">
                  <wp:simplePos x="0" y="0"/>
                  <wp:positionH relativeFrom="column">
                    <wp:posOffset>-33655</wp:posOffset>
                  </wp:positionH>
                  <wp:positionV relativeFrom="paragraph">
                    <wp:posOffset>-2540</wp:posOffset>
                  </wp:positionV>
                  <wp:extent cx="751632" cy="190500"/>
                  <wp:effectExtent l="0" t="0" r="0" b="0"/>
                  <wp:wrapNone/>
                  <wp:docPr id="211"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3FF6DA63"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7C24EA44" w14:textId="77777777" w:rsidR="00481273" w:rsidRPr="00C4270B" w:rsidRDefault="00481273">
            <w:pPr>
              <w:pStyle w:val="BodyCopy"/>
              <w:spacing w:before="0" w:after="0"/>
              <w:jc w:val="right"/>
              <w:rPr>
                <w:sz w:val="20"/>
                <w:szCs w:val="20"/>
              </w:rPr>
            </w:pPr>
            <w:r w:rsidRPr="0071752B">
              <w:t>6,530</w:t>
            </w:r>
          </w:p>
        </w:tc>
        <w:tc>
          <w:tcPr>
            <w:tcW w:w="1205" w:type="dxa"/>
            <w:noWrap/>
            <w:vAlign w:val="center"/>
          </w:tcPr>
          <w:p w14:paraId="2F3C3EE5" w14:textId="77777777" w:rsidR="00481273" w:rsidRPr="008B4CF7" w:rsidRDefault="00481273">
            <w:pPr>
              <w:pStyle w:val="BodyCopy"/>
              <w:spacing w:before="0" w:after="0"/>
              <w:jc w:val="right"/>
              <w:rPr>
                <w:sz w:val="20"/>
                <w:szCs w:val="20"/>
              </w:rPr>
            </w:pPr>
            <w:r w:rsidRPr="00370BF4">
              <w:t>6,875</w:t>
            </w:r>
          </w:p>
        </w:tc>
        <w:tc>
          <w:tcPr>
            <w:tcW w:w="1205" w:type="dxa"/>
            <w:noWrap/>
            <w:vAlign w:val="center"/>
          </w:tcPr>
          <w:p w14:paraId="3545AB56" w14:textId="77777777" w:rsidR="00481273" w:rsidRPr="00C4270B" w:rsidRDefault="00481273">
            <w:pPr>
              <w:pStyle w:val="BodyCopy"/>
              <w:spacing w:before="0" w:after="0"/>
              <w:jc w:val="right"/>
              <w:rPr>
                <w:sz w:val="20"/>
                <w:szCs w:val="20"/>
              </w:rPr>
            </w:pPr>
            <w:r w:rsidRPr="00370BF4">
              <w:t>7,239</w:t>
            </w:r>
          </w:p>
        </w:tc>
        <w:tc>
          <w:tcPr>
            <w:tcW w:w="1205" w:type="dxa"/>
            <w:noWrap/>
            <w:vAlign w:val="center"/>
          </w:tcPr>
          <w:p w14:paraId="4CCADB68" w14:textId="77777777" w:rsidR="00481273" w:rsidRPr="00C4270B" w:rsidRDefault="00481273">
            <w:pPr>
              <w:pStyle w:val="BodyCopy"/>
              <w:spacing w:before="0" w:after="0"/>
              <w:jc w:val="right"/>
              <w:rPr>
                <w:sz w:val="20"/>
                <w:szCs w:val="20"/>
              </w:rPr>
            </w:pPr>
            <w:r w:rsidRPr="00370BF4">
              <w:t>7,624</w:t>
            </w:r>
          </w:p>
        </w:tc>
      </w:tr>
      <w:tr w:rsidR="00481273" w:rsidRPr="00035E77" w14:paraId="1659D174" w14:textId="77777777">
        <w:trPr>
          <w:trHeight w:val="283"/>
        </w:trPr>
        <w:tc>
          <w:tcPr>
            <w:tcW w:w="2694" w:type="dxa"/>
            <w:noWrap/>
          </w:tcPr>
          <w:p w14:paraId="21C82159"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7" behindDoc="0" locked="0" layoutInCell="1" allowOverlap="1" wp14:anchorId="010F3766" wp14:editId="3FCCE780">
                  <wp:simplePos x="0" y="0"/>
                  <wp:positionH relativeFrom="column">
                    <wp:posOffset>-68580</wp:posOffset>
                  </wp:positionH>
                  <wp:positionV relativeFrom="paragraph">
                    <wp:posOffset>207645</wp:posOffset>
                  </wp:positionV>
                  <wp:extent cx="1082040" cy="248285"/>
                  <wp:effectExtent l="0" t="0" r="3810" b="0"/>
                  <wp:wrapNone/>
                  <wp:docPr id="213"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66" behindDoc="0" locked="0" layoutInCell="1" allowOverlap="1" wp14:anchorId="32D9E0C1" wp14:editId="6B9008E1">
                  <wp:simplePos x="0" y="0"/>
                  <wp:positionH relativeFrom="column">
                    <wp:posOffset>-68580</wp:posOffset>
                  </wp:positionH>
                  <wp:positionV relativeFrom="paragraph">
                    <wp:posOffset>1905</wp:posOffset>
                  </wp:positionV>
                  <wp:extent cx="944880" cy="209968"/>
                  <wp:effectExtent l="0" t="0" r="7620" b="0"/>
                  <wp:wrapNone/>
                  <wp:docPr id="214"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5"/>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15B41E30" w14:textId="77777777" w:rsidR="00481273" w:rsidRPr="00C4270B" w:rsidRDefault="00481273">
            <w:pPr>
              <w:pStyle w:val="BodyCopy"/>
              <w:spacing w:before="0" w:after="0"/>
              <w:rPr>
                <w:b/>
                <w:bCs/>
                <w:sz w:val="20"/>
                <w:szCs w:val="20"/>
              </w:rPr>
            </w:pPr>
            <w:r w:rsidRPr="00C4270B">
              <w:rPr>
                <w:rFonts w:ascii="Calibri" w:hAnsi="Calibri" w:cs="Calibri"/>
                <w:b/>
                <w:bCs/>
                <w:sz w:val="20"/>
                <w:szCs w:val="20"/>
              </w:rPr>
              <w:t> </w:t>
            </w:r>
          </w:p>
        </w:tc>
        <w:tc>
          <w:tcPr>
            <w:tcW w:w="1204" w:type="dxa"/>
            <w:vAlign w:val="center"/>
          </w:tcPr>
          <w:p w14:paraId="39F6DC86" w14:textId="77777777" w:rsidR="00481273" w:rsidRPr="00C4270B" w:rsidRDefault="00481273">
            <w:pPr>
              <w:pStyle w:val="BodyCopy"/>
              <w:spacing w:before="0" w:after="0"/>
              <w:jc w:val="right"/>
              <w:rPr>
                <w:sz w:val="20"/>
                <w:szCs w:val="20"/>
              </w:rPr>
            </w:pPr>
            <w:r w:rsidRPr="0071752B">
              <w:t>15,488</w:t>
            </w:r>
          </w:p>
        </w:tc>
        <w:tc>
          <w:tcPr>
            <w:tcW w:w="1205" w:type="dxa"/>
            <w:noWrap/>
            <w:vAlign w:val="center"/>
          </w:tcPr>
          <w:p w14:paraId="4E76C64A" w14:textId="77777777" w:rsidR="00481273" w:rsidRPr="008B4CF7" w:rsidRDefault="00481273">
            <w:pPr>
              <w:pStyle w:val="BodyCopy"/>
              <w:spacing w:before="0" w:after="0"/>
              <w:jc w:val="right"/>
              <w:rPr>
                <w:sz w:val="20"/>
                <w:szCs w:val="20"/>
              </w:rPr>
            </w:pPr>
            <w:r w:rsidRPr="00370BF4">
              <w:t>16,309</w:t>
            </w:r>
          </w:p>
        </w:tc>
        <w:tc>
          <w:tcPr>
            <w:tcW w:w="1205" w:type="dxa"/>
            <w:noWrap/>
            <w:vAlign w:val="center"/>
          </w:tcPr>
          <w:p w14:paraId="3DA1D4E8" w14:textId="77777777" w:rsidR="00481273" w:rsidRPr="00C4270B" w:rsidRDefault="00481273">
            <w:pPr>
              <w:pStyle w:val="BodyCopy"/>
              <w:spacing w:before="0" w:after="0"/>
              <w:jc w:val="right"/>
              <w:rPr>
                <w:sz w:val="20"/>
                <w:szCs w:val="20"/>
              </w:rPr>
            </w:pPr>
            <w:r w:rsidRPr="00370BF4">
              <w:t>17,176</w:t>
            </w:r>
          </w:p>
        </w:tc>
        <w:tc>
          <w:tcPr>
            <w:tcW w:w="1205" w:type="dxa"/>
            <w:noWrap/>
            <w:vAlign w:val="center"/>
          </w:tcPr>
          <w:p w14:paraId="0471A1D3" w14:textId="77777777" w:rsidR="00481273" w:rsidRPr="00C4270B" w:rsidRDefault="00481273">
            <w:pPr>
              <w:pStyle w:val="BodyCopy"/>
              <w:spacing w:before="0" w:after="0"/>
              <w:jc w:val="right"/>
              <w:rPr>
                <w:sz w:val="20"/>
                <w:szCs w:val="20"/>
              </w:rPr>
            </w:pPr>
            <w:r w:rsidRPr="00370BF4">
              <w:t>18,093</w:t>
            </w:r>
          </w:p>
        </w:tc>
      </w:tr>
      <w:tr w:rsidR="00481273" w:rsidRPr="00035E77" w14:paraId="569F4ABA" w14:textId="77777777">
        <w:trPr>
          <w:trHeight w:val="283"/>
        </w:trPr>
        <w:tc>
          <w:tcPr>
            <w:tcW w:w="2694" w:type="dxa"/>
          </w:tcPr>
          <w:p w14:paraId="0EC512A8" w14:textId="77777777" w:rsidR="00481273" w:rsidRPr="00C4270B" w:rsidRDefault="00481273">
            <w:pPr>
              <w:pStyle w:val="BodyCopy"/>
              <w:spacing w:before="0" w:after="0"/>
              <w:rPr>
                <w:sz w:val="20"/>
                <w:szCs w:val="20"/>
              </w:rPr>
            </w:pPr>
          </w:p>
        </w:tc>
        <w:tc>
          <w:tcPr>
            <w:tcW w:w="1559" w:type="dxa"/>
            <w:vAlign w:val="center"/>
          </w:tcPr>
          <w:p w14:paraId="39695D65"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1A30C588" w14:textId="77777777" w:rsidR="00481273" w:rsidRPr="00C4270B" w:rsidRDefault="00481273">
            <w:pPr>
              <w:pStyle w:val="BodyCopy"/>
              <w:spacing w:before="0" w:after="0"/>
              <w:jc w:val="right"/>
              <w:rPr>
                <w:sz w:val="20"/>
                <w:szCs w:val="20"/>
              </w:rPr>
            </w:pPr>
            <w:r w:rsidRPr="0071752B">
              <w:t>15,544</w:t>
            </w:r>
          </w:p>
        </w:tc>
        <w:tc>
          <w:tcPr>
            <w:tcW w:w="1205" w:type="dxa"/>
            <w:noWrap/>
            <w:vAlign w:val="center"/>
          </w:tcPr>
          <w:p w14:paraId="5C16C414" w14:textId="77777777" w:rsidR="00481273" w:rsidRPr="008B4CF7" w:rsidRDefault="00481273">
            <w:pPr>
              <w:pStyle w:val="BodyCopy"/>
              <w:spacing w:before="0" w:after="0"/>
              <w:jc w:val="right"/>
              <w:rPr>
                <w:sz w:val="20"/>
                <w:szCs w:val="20"/>
              </w:rPr>
            </w:pPr>
            <w:r w:rsidRPr="00370BF4">
              <w:t>16,365</w:t>
            </w:r>
          </w:p>
        </w:tc>
        <w:tc>
          <w:tcPr>
            <w:tcW w:w="1205" w:type="dxa"/>
            <w:noWrap/>
            <w:vAlign w:val="center"/>
          </w:tcPr>
          <w:p w14:paraId="706D0CA7" w14:textId="77777777" w:rsidR="00481273" w:rsidRPr="00C4270B" w:rsidRDefault="00481273">
            <w:pPr>
              <w:pStyle w:val="BodyCopy"/>
              <w:spacing w:before="0" w:after="0"/>
              <w:jc w:val="right"/>
              <w:rPr>
                <w:sz w:val="20"/>
                <w:szCs w:val="20"/>
              </w:rPr>
            </w:pPr>
            <w:r w:rsidRPr="00370BF4">
              <w:t>17,232</w:t>
            </w:r>
          </w:p>
        </w:tc>
        <w:tc>
          <w:tcPr>
            <w:tcW w:w="1205" w:type="dxa"/>
            <w:noWrap/>
            <w:vAlign w:val="center"/>
          </w:tcPr>
          <w:p w14:paraId="228B5742" w14:textId="77777777" w:rsidR="00481273" w:rsidRPr="00C4270B" w:rsidRDefault="00481273">
            <w:pPr>
              <w:pStyle w:val="BodyCopy"/>
              <w:spacing w:before="0" w:after="0"/>
              <w:jc w:val="right"/>
              <w:rPr>
                <w:sz w:val="20"/>
                <w:szCs w:val="20"/>
              </w:rPr>
            </w:pPr>
            <w:r w:rsidRPr="00370BF4">
              <w:t>18,149</w:t>
            </w:r>
          </w:p>
        </w:tc>
      </w:tr>
      <w:tr w:rsidR="00481273" w:rsidRPr="00035E77" w14:paraId="6367F801" w14:textId="77777777">
        <w:trPr>
          <w:trHeight w:val="283"/>
        </w:trPr>
        <w:tc>
          <w:tcPr>
            <w:tcW w:w="2694" w:type="dxa"/>
          </w:tcPr>
          <w:p w14:paraId="3802B3E9"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68" behindDoc="0" locked="0" layoutInCell="1" allowOverlap="1" wp14:anchorId="0FB1857F" wp14:editId="285B0007">
                  <wp:simplePos x="0" y="0"/>
                  <wp:positionH relativeFrom="column">
                    <wp:posOffset>-67310</wp:posOffset>
                  </wp:positionH>
                  <wp:positionV relativeFrom="paragraph">
                    <wp:posOffset>-12065</wp:posOffset>
                  </wp:positionV>
                  <wp:extent cx="1348740" cy="253513"/>
                  <wp:effectExtent l="0" t="0" r="3810" b="0"/>
                  <wp:wrapNone/>
                  <wp:docPr id="215"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5ABCD287"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18E55991" w14:textId="77777777" w:rsidR="00481273" w:rsidRPr="00C4270B" w:rsidRDefault="00481273">
            <w:pPr>
              <w:pStyle w:val="BodyCopy"/>
              <w:spacing w:before="0" w:after="0"/>
              <w:jc w:val="right"/>
              <w:rPr>
                <w:sz w:val="20"/>
                <w:szCs w:val="20"/>
              </w:rPr>
            </w:pPr>
            <w:r w:rsidRPr="0071752B">
              <w:t>17,400</w:t>
            </w:r>
          </w:p>
        </w:tc>
        <w:tc>
          <w:tcPr>
            <w:tcW w:w="1205" w:type="dxa"/>
            <w:noWrap/>
            <w:vAlign w:val="center"/>
          </w:tcPr>
          <w:p w14:paraId="31A9BEF5" w14:textId="77777777" w:rsidR="00481273" w:rsidRPr="008B4CF7" w:rsidRDefault="00481273">
            <w:pPr>
              <w:pStyle w:val="BodyCopy"/>
              <w:spacing w:before="0" w:after="0"/>
              <w:jc w:val="right"/>
              <w:rPr>
                <w:sz w:val="20"/>
                <w:szCs w:val="20"/>
              </w:rPr>
            </w:pPr>
            <w:r w:rsidRPr="00370BF4">
              <w:t>18,320</w:t>
            </w:r>
          </w:p>
        </w:tc>
        <w:tc>
          <w:tcPr>
            <w:tcW w:w="1205" w:type="dxa"/>
            <w:noWrap/>
            <w:vAlign w:val="center"/>
          </w:tcPr>
          <w:p w14:paraId="580F8815" w14:textId="77777777" w:rsidR="00481273" w:rsidRPr="00C4270B" w:rsidRDefault="00481273">
            <w:pPr>
              <w:pStyle w:val="BodyCopy"/>
              <w:spacing w:before="0" w:after="0"/>
              <w:jc w:val="right"/>
              <w:rPr>
                <w:sz w:val="20"/>
                <w:szCs w:val="20"/>
              </w:rPr>
            </w:pPr>
            <w:r w:rsidRPr="00370BF4">
              <w:t>19,292</w:t>
            </w:r>
          </w:p>
        </w:tc>
        <w:tc>
          <w:tcPr>
            <w:tcW w:w="1205" w:type="dxa"/>
            <w:noWrap/>
            <w:vAlign w:val="center"/>
          </w:tcPr>
          <w:p w14:paraId="66E4679E" w14:textId="77777777" w:rsidR="00481273" w:rsidRPr="00C4270B" w:rsidRDefault="00481273">
            <w:pPr>
              <w:pStyle w:val="BodyCopy"/>
              <w:spacing w:before="0" w:after="0"/>
              <w:jc w:val="right"/>
              <w:rPr>
                <w:sz w:val="20"/>
                <w:szCs w:val="20"/>
              </w:rPr>
            </w:pPr>
            <w:r w:rsidRPr="00370BF4">
              <w:t>20,320</w:t>
            </w:r>
          </w:p>
        </w:tc>
      </w:tr>
    </w:tbl>
    <w:p w14:paraId="26A235E0" w14:textId="77777777" w:rsidR="00481273" w:rsidRDefault="00481273" w:rsidP="00481273">
      <w:pPr>
        <w:pStyle w:val="Tabletitle"/>
      </w:pPr>
      <w:bookmarkStart w:id="134" w:name="_Toc114042948"/>
      <w:r>
        <w:t>Registration charges for common vehicle types: Option 3: Increase heavy vehicle charges by 10 per cent</w:t>
      </w:r>
      <w:bookmarkEnd w:id="134"/>
    </w:p>
    <w:tbl>
      <w:tblPr>
        <w:tblStyle w:val="NTCtable"/>
        <w:tblW w:w="9072" w:type="dxa"/>
        <w:tblLayout w:type="fixed"/>
        <w:tblCellMar>
          <w:top w:w="28" w:type="dxa"/>
          <w:bottom w:w="28" w:type="dxa"/>
        </w:tblCellMar>
        <w:tblLook w:val="04A0" w:firstRow="1" w:lastRow="0" w:firstColumn="1" w:lastColumn="0" w:noHBand="0" w:noVBand="1"/>
      </w:tblPr>
      <w:tblGrid>
        <w:gridCol w:w="2694"/>
        <w:gridCol w:w="1559"/>
        <w:gridCol w:w="1204"/>
        <w:gridCol w:w="1205"/>
        <w:gridCol w:w="1205"/>
        <w:gridCol w:w="1205"/>
      </w:tblGrid>
      <w:tr w:rsidR="00481273" w:rsidRPr="00035E77" w14:paraId="14F3B339"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2694" w:type="dxa"/>
            <w:noWrap/>
            <w:vAlign w:val="center"/>
            <w:hideMark/>
          </w:tcPr>
          <w:p w14:paraId="37F9A15A" w14:textId="77777777" w:rsidR="00481273" w:rsidRPr="00CD6B04" w:rsidRDefault="00481273">
            <w:pPr>
              <w:pStyle w:val="BodyCopy"/>
              <w:spacing w:before="120"/>
              <w:rPr>
                <w:b/>
                <w:bCs/>
                <w:sz w:val="20"/>
                <w:szCs w:val="20"/>
              </w:rPr>
            </w:pPr>
            <w:r w:rsidRPr="00CD6B04">
              <w:rPr>
                <w:b/>
                <w:bCs/>
                <w:sz w:val="20"/>
                <w:szCs w:val="20"/>
              </w:rPr>
              <w:t>Vehicle type</w:t>
            </w:r>
          </w:p>
        </w:tc>
        <w:tc>
          <w:tcPr>
            <w:tcW w:w="1559" w:type="dxa"/>
            <w:noWrap/>
            <w:vAlign w:val="center"/>
            <w:hideMark/>
          </w:tcPr>
          <w:p w14:paraId="7EAFBE67" w14:textId="77777777" w:rsidR="00481273" w:rsidRPr="001F1E14" w:rsidRDefault="00481273">
            <w:pPr>
              <w:pStyle w:val="BodyCopy"/>
              <w:spacing w:before="120"/>
              <w:rPr>
                <w:b/>
                <w:bCs/>
                <w:szCs w:val="22"/>
              </w:rPr>
            </w:pPr>
            <w:r w:rsidRPr="001F1E14">
              <w:rPr>
                <w:b/>
                <w:bCs/>
                <w:szCs w:val="22"/>
              </w:rPr>
              <w:t>Mass rating for charging</w:t>
            </w:r>
          </w:p>
        </w:tc>
        <w:tc>
          <w:tcPr>
            <w:tcW w:w="1204" w:type="dxa"/>
            <w:vAlign w:val="center"/>
          </w:tcPr>
          <w:p w14:paraId="372864EA" w14:textId="77777777" w:rsidR="00481273" w:rsidRPr="001F1E14" w:rsidRDefault="00481273">
            <w:pPr>
              <w:pStyle w:val="BodyCopy"/>
              <w:spacing w:before="120"/>
              <w:rPr>
                <w:b/>
                <w:bCs/>
                <w:szCs w:val="22"/>
              </w:rPr>
            </w:pPr>
            <w:r w:rsidRPr="001F1E14">
              <w:rPr>
                <w:b/>
                <w:bCs/>
                <w:szCs w:val="22"/>
              </w:rPr>
              <w:t>Current (2022–23)</w:t>
            </w:r>
          </w:p>
        </w:tc>
        <w:tc>
          <w:tcPr>
            <w:tcW w:w="1205" w:type="dxa"/>
            <w:noWrap/>
            <w:vAlign w:val="center"/>
          </w:tcPr>
          <w:p w14:paraId="23B42346" w14:textId="77777777" w:rsidR="00481273" w:rsidRPr="001F1E14" w:rsidRDefault="00481273">
            <w:pPr>
              <w:pStyle w:val="BodyCopy"/>
              <w:spacing w:before="120"/>
              <w:rPr>
                <w:b/>
                <w:bCs/>
                <w:szCs w:val="22"/>
              </w:rPr>
            </w:pPr>
            <w:r w:rsidRPr="001F1E14">
              <w:rPr>
                <w:b/>
                <w:bCs/>
                <w:szCs w:val="22"/>
              </w:rPr>
              <w:t>2023-24</w:t>
            </w:r>
          </w:p>
        </w:tc>
        <w:tc>
          <w:tcPr>
            <w:tcW w:w="1205" w:type="dxa"/>
            <w:noWrap/>
            <w:vAlign w:val="center"/>
          </w:tcPr>
          <w:p w14:paraId="50BA0C18" w14:textId="77777777" w:rsidR="00481273" w:rsidRPr="001F1E14" w:rsidRDefault="00481273">
            <w:pPr>
              <w:pStyle w:val="BodyCopy"/>
              <w:spacing w:before="120"/>
              <w:rPr>
                <w:b/>
                <w:bCs/>
                <w:szCs w:val="22"/>
              </w:rPr>
            </w:pPr>
            <w:r w:rsidRPr="001F1E14">
              <w:rPr>
                <w:b/>
                <w:bCs/>
                <w:szCs w:val="22"/>
              </w:rPr>
              <w:t>2024-25</w:t>
            </w:r>
          </w:p>
        </w:tc>
        <w:tc>
          <w:tcPr>
            <w:tcW w:w="1205" w:type="dxa"/>
            <w:noWrap/>
            <w:vAlign w:val="center"/>
          </w:tcPr>
          <w:p w14:paraId="0C6EE27E" w14:textId="77777777" w:rsidR="00481273" w:rsidRPr="001F1E14" w:rsidRDefault="00481273">
            <w:pPr>
              <w:pStyle w:val="BodyCopy"/>
              <w:spacing w:before="120"/>
              <w:rPr>
                <w:b/>
                <w:bCs/>
                <w:szCs w:val="22"/>
              </w:rPr>
            </w:pPr>
            <w:r w:rsidRPr="001F1E14">
              <w:rPr>
                <w:b/>
                <w:bCs/>
                <w:szCs w:val="22"/>
              </w:rPr>
              <w:t>2025-26</w:t>
            </w:r>
          </w:p>
        </w:tc>
      </w:tr>
      <w:tr w:rsidR="00481273" w:rsidRPr="00035E77" w14:paraId="2F411A95" w14:textId="77777777">
        <w:trPr>
          <w:trHeight w:val="283"/>
        </w:trPr>
        <w:tc>
          <w:tcPr>
            <w:tcW w:w="2694" w:type="dxa"/>
            <w:vMerge w:val="restart"/>
            <w:noWrap/>
          </w:tcPr>
          <w:p w14:paraId="642F5511" w14:textId="77777777" w:rsidR="00481273" w:rsidRPr="00C4270B" w:rsidRDefault="00481273">
            <w:pPr>
              <w:pStyle w:val="BodyCopy"/>
              <w:spacing w:before="0" w:after="0"/>
              <w:jc w:val="right"/>
              <w:rPr>
                <w:sz w:val="20"/>
                <w:szCs w:val="20"/>
              </w:rPr>
            </w:pPr>
            <w:r w:rsidRPr="00C4270B">
              <w:rPr>
                <w:noProof/>
                <w:sz w:val="20"/>
                <w:szCs w:val="20"/>
                <w:lang w:eastAsia="en-AU"/>
              </w:rPr>
              <w:drawing>
                <wp:anchor distT="0" distB="0" distL="114300" distR="114300" simplePos="0" relativeHeight="251658275" behindDoc="0" locked="0" layoutInCell="1" allowOverlap="1" wp14:anchorId="461CCA6F" wp14:editId="598EDF83">
                  <wp:simplePos x="0" y="0"/>
                  <wp:positionH relativeFrom="column">
                    <wp:posOffset>-68580</wp:posOffset>
                  </wp:positionH>
                  <wp:positionV relativeFrom="paragraph">
                    <wp:posOffset>69215</wp:posOffset>
                  </wp:positionV>
                  <wp:extent cx="683212" cy="266700"/>
                  <wp:effectExtent l="0" t="0" r="3175" b="0"/>
                  <wp:wrapNone/>
                  <wp:docPr id="216"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06DF5255"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40664299" w14:textId="77777777" w:rsidR="00481273" w:rsidRPr="00C4270B" w:rsidRDefault="00481273">
            <w:pPr>
              <w:pStyle w:val="BodyCopy"/>
              <w:spacing w:before="0" w:after="0"/>
              <w:jc w:val="right"/>
              <w:rPr>
                <w:sz w:val="20"/>
                <w:szCs w:val="20"/>
              </w:rPr>
            </w:pPr>
            <w:r w:rsidRPr="003153B8">
              <w:t>629</w:t>
            </w:r>
          </w:p>
        </w:tc>
        <w:tc>
          <w:tcPr>
            <w:tcW w:w="1205" w:type="dxa"/>
            <w:noWrap/>
            <w:vAlign w:val="center"/>
          </w:tcPr>
          <w:p w14:paraId="2E15B882" w14:textId="77777777" w:rsidR="00481273" w:rsidRPr="008B4CF7" w:rsidRDefault="00481273">
            <w:pPr>
              <w:pStyle w:val="BodyCopy"/>
              <w:spacing w:before="0" w:after="0"/>
              <w:jc w:val="right"/>
              <w:rPr>
                <w:sz w:val="20"/>
                <w:szCs w:val="20"/>
              </w:rPr>
            </w:pPr>
            <w:r w:rsidRPr="00104C46">
              <w:t>671</w:t>
            </w:r>
          </w:p>
        </w:tc>
        <w:tc>
          <w:tcPr>
            <w:tcW w:w="1205" w:type="dxa"/>
            <w:noWrap/>
            <w:vAlign w:val="center"/>
          </w:tcPr>
          <w:p w14:paraId="12540D4D" w14:textId="77777777" w:rsidR="00481273" w:rsidRPr="00C4270B" w:rsidRDefault="00481273">
            <w:pPr>
              <w:pStyle w:val="BodyCopy"/>
              <w:spacing w:before="0" w:after="0"/>
              <w:jc w:val="right"/>
              <w:rPr>
                <w:sz w:val="20"/>
                <w:szCs w:val="20"/>
              </w:rPr>
            </w:pPr>
            <w:r w:rsidRPr="00104C46">
              <w:t>717</w:t>
            </w:r>
          </w:p>
        </w:tc>
        <w:tc>
          <w:tcPr>
            <w:tcW w:w="1205" w:type="dxa"/>
            <w:noWrap/>
            <w:vAlign w:val="center"/>
          </w:tcPr>
          <w:p w14:paraId="3D8EEDAF" w14:textId="77777777" w:rsidR="00481273" w:rsidRPr="00C4270B" w:rsidRDefault="00481273">
            <w:pPr>
              <w:pStyle w:val="BodyCopy"/>
              <w:spacing w:before="0" w:after="0"/>
              <w:jc w:val="right"/>
              <w:rPr>
                <w:sz w:val="20"/>
                <w:szCs w:val="20"/>
              </w:rPr>
            </w:pPr>
            <w:r w:rsidRPr="00104C46">
              <w:t>767</w:t>
            </w:r>
          </w:p>
        </w:tc>
      </w:tr>
      <w:tr w:rsidR="00481273" w:rsidRPr="00035E77" w14:paraId="440E7BA4" w14:textId="77777777">
        <w:trPr>
          <w:trHeight w:val="283"/>
        </w:trPr>
        <w:tc>
          <w:tcPr>
            <w:tcW w:w="2694" w:type="dxa"/>
            <w:vMerge/>
          </w:tcPr>
          <w:p w14:paraId="6FA58EF5" w14:textId="77777777" w:rsidR="00481273" w:rsidRPr="00C4270B" w:rsidRDefault="00481273">
            <w:pPr>
              <w:pStyle w:val="BodyCopy"/>
              <w:spacing w:before="0" w:after="0"/>
              <w:rPr>
                <w:sz w:val="20"/>
                <w:szCs w:val="20"/>
              </w:rPr>
            </w:pPr>
          </w:p>
        </w:tc>
        <w:tc>
          <w:tcPr>
            <w:tcW w:w="1559" w:type="dxa"/>
            <w:vAlign w:val="center"/>
          </w:tcPr>
          <w:p w14:paraId="3D6A3C20"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2F91597D" w14:textId="77777777" w:rsidR="00481273" w:rsidRPr="00C4270B" w:rsidRDefault="00481273">
            <w:pPr>
              <w:pStyle w:val="BodyCopy"/>
              <w:spacing w:before="0" w:after="0"/>
              <w:jc w:val="right"/>
              <w:rPr>
                <w:sz w:val="20"/>
                <w:szCs w:val="20"/>
              </w:rPr>
            </w:pPr>
            <w:r w:rsidRPr="003153B8">
              <w:t>1,013</w:t>
            </w:r>
          </w:p>
        </w:tc>
        <w:tc>
          <w:tcPr>
            <w:tcW w:w="1205" w:type="dxa"/>
            <w:noWrap/>
            <w:vAlign w:val="center"/>
          </w:tcPr>
          <w:p w14:paraId="7622DD49" w14:textId="77777777" w:rsidR="00481273" w:rsidRPr="008B4CF7" w:rsidRDefault="00481273">
            <w:pPr>
              <w:pStyle w:val="BodyCopy"/>
              <w:spacing w:before="0" w:after="0"/>
              <w:jc w:val="right"/>
              <w:rPr>
                <w:sz w:val="20"/>
                <w:szCs w:val="20"/>
              </w:rPr>
            </w:pPr>
            <w:r w:rsidRPr="00104C46">
              <w:t>1,100</w:t>
            </w:r>
          </w:p>
        </w:tc>
        <w:tc>
          <w:tcPr>
            <w:tcW w:w="1205" w:type="dxa"/>
            <w:noWrap/>
            <w:vAlign w:val="center"/>
          </w:tcPr>
          <w:p w14:paraId="3290214C" w14:textId="77777777" w:rsidR="00481273" w:rsidRPr="00C4270B" w:rsidRDefault="00481273">
            <w:pPr>
              <w:pStyle w:val="BodyCopy"/>
              <w:spacing w:before="0" w:after="0"/>
              <w:jc w:val="right"/>
              <w:rPr>
                <w:sz w:val="20"/>
                <w:szCs w:val="20"/>
              </w:rPr>
            </w:pPr>
            <w:r w:rsidRPr="00104C46">
              <w:t>1,198</w:t>
            </w:r>
          </w:p>
        </w:tc>
        <w:tc>
          <w:tcPr>
            <w:tcW w:w="1205" w:type="dxa"/>
            <w:noWrap/>
            <w:vAlign w:val="center"/>
          </w:tcPr>
          <w:p w14:paraId="5E5A2A1D" w14:textId="77777777" w:rsidR="00481273" w:rsidRPr="00C4270B" w:rsidRDefault="00481273">
            <w:pPr>
              <w:pStyle w:val="BodyCopy"/>
              <w:spacing w:before="0" w:after="0"/>
              <w:jc w:val="right"/>
              <w:rPr>
                <w:sz w:val="20"/>
                <w:szCs w:val="20"/>
              </w:rPr>
            </w:pPr>
            <w:r w:rsidRPr="00104C46">
              <w:t>1,306</w:t>
            </w:r>
          </w:p>
        </w:tc>
      </w:tr>
      <w:tr w:rsidR="00481273" w:rsidRPr="00035E77" w14:paraId="7687DDC2" w14:textId="77777777">
        <w:trPr>
          <w:trHeight w:val="283"/>
        </w:trPr>
        <w:tc>
          <w:tcPr>
            <w:tcW w:w="2694" w:type="dxa"/>
            <w:noWrap/>
          </w:tcPr>
          <w:p w14:paraId="7AAA2C00"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4" behindDoc="0" locked="0" layoutInCell="1" allowOverlap="1" wp14:anchorId="5921809A" wp14:editId="754F6FE1">
                  <wp:simplePos x="0" y="0"/>
                  <wp:positionH relativeFrom="column">
                    <wp:posOffset>-68580</wp:posOffset>
                  </wp:positionH>
                  <wp:positionV relativeFrom="paragraph">
                    <wp:posOffset>-24765</wp:posOffset>
                  </wp:positionV>
                  <wp:extent cx="967740" cy="266700"/>
                  <wp:effectExtent l="0" t="0" r="3810" b="0"/>
                  <wp:wrapNone/>
                  <wp:docPr id="218" name="Picture 218"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51" name="Picture 51"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6"/>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6D66EBA4"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206AE54C" w14:textId="77777777" w:rsidR="00481273" w:rsidRPr="00C4270B" w:rsidRDefault="00481273">
            <w:pPr>
              <w:pStyle w:val="BodyCopy"/>
              <w:spacing w:before="0" w:after="0"/>
              <w:jc w:val="right"/>
              <w:rPr>
                <w:sz w:val="20"/>
                <w:szCs w:val="20"/>
              </w:rPr>
            </w:pPr>
            <w:r w:rsidRPr="003153B8">
              <w:t>2,389</w:t>
            </w:r>
          </w:p>
        </w:tc>
        <w:tc>
          <w:tcPr>
            <w:tcW w:w="1205" w:type="dxa"/>
            <w:noWrap/>
            <w:vAlign w:val="center"/>
          </w:tcPr>
          <w:p w14:paraId="3FEB4BAF" w14:textId="77777777" w:rsidR="00481273" w:rsidRPr="008B4CF7" w:rsidRDefault="00481273">
            <w:pPr>
              <w:pStyle w:val="BodyCopy"/>
              <w:spacing w:before="0" w:after="0"/>
              <w:jc w:val="right"/>
              <w:rPr>
                <w:sz w:val="20"/>
                <w:szCs w:val="20"/>
              </w:rPr>
            </w:pPr>
            <w:r w:rsidRPr="00104C46">
              <w:t>2,600</w:t>
            </w:r>
          </w:p>
        </w:tc>
        <w:tc>
          <w:tcPr>
            <w:tcW w:w="1205" w:type="dxa"/>
            <w:noWrap/>
            <w:vAlign w:val="center"/>
          </w:tcPr>
          <w:p w14:paraId="40C33F75" w14:textId="77777777" w:rsidR="00481273" w:rsidRPr="00C4270B" w:rsidRDefault="00481273">
            <w:pPr>
              <w:pStyle w:val="BodyCopy"/>
              <w:spacing w:before="0" w:after="0"/>
              <w:jc w:val="right"/>
              <w:rPr>
                <w:sz w:val="20"/>
                <w:szCs w:val="20"/>
              </w:rPr>
            </w:pPr>
            <w:r w:rsidRPr="00104C46">
              <w:t>2,834</w:t>
            </w:r>
          </w:p>
        </w:tc>
        <w:tc>
          <w:tcPr>
            <w:tcW w:w="1205" w:type="dxa"/>
            <w:noWrap/>
            <w:vAlign w:val="center"/>
          </w:tcPr>
          <w:p w14:paraId="1D663EE7" w14:textId="77777777" w:rsidR="00481273" w:rsidRPr="00C4270B" w:rsidRDefault="00481273">
            <w:pPr>
              <w:pStyle w:val="BodyCopy"/>
              <w:spacing w:before="0" w:after="0"/>
              <w:jc w:val="right"/>
              <w:rPr>
                <w:sz w:val="20"/>
                <w:szCs w:val="20"/>
              </w:rPr>
            </w:pPr>
            <w:r w:rsidRPr="00104C46">
              <w:t>3,092</w:t>
            </w:r>
          </w:p>
        </w:tc>
      </w:tr>
      <w:tr w:rsidR="00481273" w:rsidRPr="00035E77" w14:paraId="1940518B" w14:textId="77777777">
        <w:trPr>
          <w:trHeight w:val="283"/>
        </w:trPr>
        <w:tc>
          <w:tcPr>
            <w:tcW w:w="2694" w:type="dxa"/>
            <w:vMerge w:val="restart"/>
          </w:tcPr>
          <w:p w14:paraId="5553645F"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81" behindDoc="0" locked="0" layoutInCell="1" allowOverlap="1" wp14:anchorId="03840613" wp14:editId="7AE9B9C6">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219"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7B3E64F4"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16.5 t</w:t>
            </w:r>
          </w:p>
        </w:tc>
        <w:tc>
          <w:tcPr>
            <w:tcW w:w="1204" w:type="dxa"/>
            <w:vAlign w:val="center"/>
          </w:tcPr>
          <w:p w14:paraId="23B3D9AE" w14:textId="77777777" w:rsidR="00481273" w:rsidRPr="00C4270B" w:rsidRDefault="00481273">
            <w:pPr>
              <w:pStyle w:val="BodyCopy"/>
              <w:spacing w:before="0" w:after="0"/>
              <w:jc w:val="right"/>
              <w:rPr>
                <w:sz w:val="20"/>
                <w:szCs w:val="20"/>
              </w:rPr>
            </w:pPr>
            <w:r w:rsidRPr="003153B8">
              <w:t>988</w:t>
            </w:r>
          </w:p>
        </w:tc>
        <w:tc>
          <w:tcPr>
            <w:tcW w:w="1205" w:type="dxa"/>
            <w:noWrap/>
            <w:vAlign w:val="center"/>
          </w:tcPr>
          <w:p w14:paraId="45B2B78F" w14:textId="77777777" w:rsidR="00481273" w:rsidRPr="008B4CF7" w:rsidRDefault="00481273">
            <w:pPr>
              <w:pStyle w:val="BodyCopy"/>
              <w:spacing w:before="0" w:after="0"/>
              <w:jc w:val="right"/>
              <w:rPr>
                <w:sz w:val="20"/>
                <w:szCs w:val="20"/>
              </w:rPr>
            </w:pPr>
            <w:r w:rsidRPr="00104C46">
              <w:t>1,075</w:t>
            </w:r>
          </w:p>
        </w:tc>
        <w:tc>
          <w:tcPr>
            <w:tcW w:w="1205" w:type="dxa"/>
            <w:noWrap/>
            <w:vAlign w:val="center"/>
          </w:tcPr>
          <w:p w14:paraId="7438D07F" w14:textId="77777777" w:rsidR="00481273" w:rsidRPr="00C4270B" w:rsidRDefault="00481273">
            <w:pPr>
              <w:pStyle w:val="BodyCopy"/>
              <w:spacing w:before="0" w:after="0"/>
              <w:jc w:val="right"/>
              <w:rPr>
                <w:sz w:val="20"/>
                <w:szCs w:val="20"/>
              </w:rPr>
            </w:pPr>
            <w:r w:rsidRPr="00104C46">
              <w:t>1,173</w:t>
            </w:r>
          </w:p>
        </w:tc>
        <w:tc>
          <w:tcPr>
            <w:tcW w:w="1205" w:type="dxa"/>
            <w:noWrap/>
            <w:vAlign w:val="center"/>
          </w:tcPr>
          <w:p w14:paraId="42A39963" w14:textId="77777777" w:rsidR="00481273" w:rsidRPr="00C4270B" w:rsidRDefault="00481273">
            <w:pPr>
              <w:pStyle w:val="BodyCopy"/>
              <w:spacing w:before="0" w:after="0"/>
              <w:jc w:val="right"/>
              <w:rPr>
                <w:sz w:val="20"/>
                <w:szCs w:val="20"/>
              </w:rPr>
            </w:pPr>
            <w:r w:rsidRPr="00104C46">
              <w:t>1,281</w:t>
            </w:r>
          </w:p>
        </w:tc>
      </w:tr>
      <w:tr w:rsidR="00481273" w:rsidRPr="00035E77" w14:paraId="7EDA393A" w14:textId="77777777">
        <w:trPr>
          <w:trHeight w:val="283"/>
        </w:trPr>
        <w:tc>
          <w:tcPr>
            <w:tcW w:w="2694" w:type="dxa"/>
            <w:vMerge/>
          </w:tcPr>
          <w:p w14:paraId="53850E86" w14:textId="77777777" w:rsidR="00481273" w:rsidRPr="00C4270B" w:rsidRDefault="00481273">
            <w:pPr>
              <w:pStyle w:val="BodyCopy"/>
              <w:spacing w:before="0" w:after="0"/>
              <w:rPr>
                <w:sz w:val="20"/>
                <w:szCs w:val="20"/>
              </w:rPr>
            </w:pPr>
          </w:p>
        </w:tc>
        <w:tc>
          <w:tcPr>
            <w:tcW w:w="1559" w:type="dxa"/>
            <w:vAlign w:val="center"/>
          </w:tcPr>
          <w:p w14:paraId="328AFA08"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16.5 t</w:t>
            </w:r>
          </w:p>
        </w:tc>
        <w:tc>
          <w:tcPr>
            <w:tcW w:w="1204" w:type="dxa"/>
            <w:vAlign w:val="center"/>
          </w:tcPr>
          <w:p w14:paraId="18A6C619" w14:textId="77777777" w:rsidR="00481273" w:rsidRPr="00C4270B" w:rsidRDefault="00481273">
            <w:pPr>
              <w:pStyle w:val="BodyCopy"/>
              <w:spacing w:before="0" w:after="0"/>
              <w:jc w:val="right"/>
              <w:rPr>
                <w:sz w:val="20"/>
                <w:szCs w:val="20"/>
              </w:rPr>
            </w:pPr>
            <w:r w:rsidRPr="003153B8">
              <w:t>1,185</w:t>
            </w:r>
          </w:p>
        </w:tc>
        <w:tc>
          <w:tcPr>
            <w:tcW w:w="1205" w:type="dxa"/>
            <w:noWrap/>
            <w:vAlign w:val="center"/>
          </w:tcPr>
          <w:p w14:paraId="510A619B" w14:textId="77777777" w:rsidR="00481273" w:rsidRPr="008B4CF7" w:rsidRDefault="00481273">
            <w:pPr>
              <w:pStyle w:val="BodyCopy"/>
              <w:spacing w:before="0" w:after="0"/>
              <w:jc w:val="right"/>
              <w:rPr>
                <w:sz w:val="20"/>
                <w:szCs w:val="20"/>
              </w:rPr>
            </w:pPr>
            <w:r w:rsidRPr="00104C46">
              <w:t>1,284</w:t>
            </w:r>
          </w:p>
        </w:tc>
        <w:tc>
          <w:tcPr>
            <w:tcW w:w="1205" w:type="dxa"/>
            <w:noWrap/>
            <w:vAlign w:val="center"/>
          </w:tcPr>
          <w:p w14:paraId="164F5DD0" w14:textId="77777777" w:rsidR="00481273" w:rsidRPr="00C4270B" w:rsidRDefault="00481273">
            <w:pPr>
              <w:pStyle w:val="BodyCopy"/>
              <w:spacing w:before="0" w:after="0"/>
              <w:jc w:val="right"/>
              <w:rPr>
                <w:sz w:val="20"/>
                <w:szCs w:val="20"/>
              </w:rPr>
            </w:pPr>
            <w:r w:rsidRPr="00104C46">
              <w:t>1,395</w:t>
            </w:r>
          </w:p>
        </w:tc>
        <w:tc>
          <w:tcPr>
            <w:tcW w:w="1205" w:type="dxa"/>
            <w:noWrap/>
            <w:vAlign w:val="center"/>
          </w:tcPr>
          <w:p w14:paraId="7DCEBA9E" w14:textId="77777777" w:rsidR="00481273" w:rsidRPr="00C4270B" w:rsidRDefault="00481273">
            <w:pPr>
              <w:pStyle w:val="BodyCopy"/>
              <w:spacing w:before="0" w:after="0"/>
              <w:jc w:val="right"/>
              <w:rPr>
                <w:sz w:val="20"/>
                <w:szCs w:val="20"/>
              </w:rPr>
            </w:pPr>
            <w:r w:rsidRPr="00104C46">
              <w:t>1,518</w:t>
            </w:r>
          </w:p>
        </w:tc>
      </w:tr>
      <w:tr w:rsidR="00481273" w:rsidRPr="00035E77" w14:paraId="64D343DD" w14:textId="77777777">
        <w:trPr>
          <w:trHeight w:val="283"/>
        </w:trPr>
        <w:tc>
          <w:tcPr>
            <w:tcW w:w="2694" w:type="dxa"/>
            <w:vMerge w:val="restart"/>
          </w:tcPr>
          <w:p w14:paraId="14D273C3"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84" behindDoc="0" locked="0" layoutInCell="1" allowOverlap="1" wp14:anchorId="7388EDF1" wp14:editId="671D310E">
                  <wp:simplePos x="0" y="0"/>
                  <wp:positionH relativeFrom="column">
                    <wp:posOffset>-68580</wp:posOffset>
                  </wp:positionH>
                  <wp:positionV relativeFrom="paragraph">
                    <wp:posOffset>11479</wp:posOffset>
                  </wp:positionV>
                  <wp:extent cx="1069675" cy="271862"/>
                  <wp:effectExtent l="0" t="0" r="0" b="0"/>
                  <wp:wrapNone/>
                  <wp:docPr id="220"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t="-19281" b="-19281"/>
                          <a:stretch>
                            <a:fillRect/>
                          </a:stretch>
                        </pic:blipFill>
                        <pic:spPr bwMode="auto">
                          <a:xfrm>
                            <a:off x="0" y="0"/>
                            <a:ext cx="1076115" cy="2734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68AFC5E5"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42.5 t</w:t>
            </w:r>
          </w:p>
        </w:tc>
        <w:tc>
          <w:tcPr>
            <w:tcW w:w="1204" w:type="dxa"/>
            <w:vAlign w:val="center"/>
          </w:tcPr>
          <w:p w14:paraId="3A47DC07" w14:textId="77777777" w:rsidR="00481273" w:rsidRPr="00C4270B" w:rsidRDefault="00481273">
            <w:pPr>
              <w:pStyle w:val="BodyCopy"/>
              <w:spacing w:before="0" w:after="0"/>
              <w:jc w:val="right"/>
              <w:rPr>
                <w:sz w:val="20"/>
                <w:szCs w:val="20"/>
              </w:rPr>
            </w:pPr>
            <w:r w:rsidRPr="003153B8">
              <w:t>3,211</w:t>
            </w:r>
          </w:p>
        </w:tc>
        <w:tc>
          <w:tcPr>
            <w:tcW w:w="1205" w:type="dxa"/>
            <w:noWrap/>
            <w:vAlign w:val="center"/>
          </w:tcPr>
          <w:p w14:paraId="71D0B95A" w14:textId="77777777" w:rsidR="00481273" w:rsidRPr="008B4CF7" w:rsidRDefault="00481273">
            <w:pPr>
              <w:pStyle w:val="BodyCopy"/>
              <w:spacing w:before="0" w:after="0"/>
              <w:jc w:val="right"/>
              <w:rPr>
                <w:sz w:val="20"/>
                <w:szCs w:val="20"/>
              </w:rPr>
            </w:pPr>
            <w:r w:rsidRPr="00104C46">
              <w:t>3,496</w:t>
            </w:r>
          </w:p>
        </w:tc>
        <w:tc>
          <w:tcPr>
            <w:tcW w:w="1205" w:type="dxa"/>
            <w:noWrap/>
            <w:vAlign w:val="center"/>
          </w:tcPr>
          <w:p w14:paraId="6F63B677" w14:textId="77777777" w:rsidR="00481273" w:rsidRPr="00C4270B" w:rsidRDefault="00481273">
            <w:pPr>
              <w:pStyle w:val="BodyCopy"/>
              <w:spacing w:before="0" w:after="0"/>
              <w:jc w:val="right"/>
              <w:rPr>
                <w:sz w:val="20"/>
                <w:szCs w:val="20"/>
              </w:rPr>
            </w:pPr>
            <w:r w:rsidRPr="00104C46">
              <w:t>3,811</w:t>
            </w:r>
          </w:p>
        </w:tc>
        <w:tc>
          <w:tcPr>
            <w:tcW w:w="1205" w:type="dxa"/>
            <w:noWrap/>
            <w:vAlign w:val="center"/>
          </w:tcPr>
          <w:p w14:paraId="5F5BEE56" w14:textId="77777777" w:rsidR="00481273" w:rsidRPr="00C4270B" w:rsidRDefault="00481273">
            <w:pPr>
              <w:pStyle w:val="BodyCopy"/>
              <w:spacing w:before="0" w:after="0"/>
              <w:jc w:val="right"/>
              <w:rPr>
                <w:sz w:val="20"/>
                <w:szCs w:val="20"/>
              </w:rPr>
            </w:pPr>
            <w:r w:rsidRPr="00104C46">
              <w:t>4,159</w:t>
            </w:r>
          </w:p>
        </w:tc>
      </w:tr>
      <w:tr w:rsidR="00481273" w:rsidRPr="00035E77" w14:paraId="613E27E7" w14:textId="77777777">
        <w:trPr>
          <w:trHeight w:val="283"/>
        </w:trPr>
        <w:tc>
          <w:tcPr>
            <w:tcW w:w="2694" w:type="dxa"/>
            <w:vMerge/>
          </w:tcPr>
          <w:p w14:paraId="17DF6156" w14:textId="77777777" w:rsidR="00481273" w:rsidRPr="00C4270B" w:rsidRDefault="00481273">
            <w:pPr>
              <w:pStyle w:val="BodyCopy"/>
              <w:spacing w:before="0" w:after="0"/>
              <w:rPr>
                <w:sz w:val="20"/>
                <w:szCs w:val="20"/>
              </w:rPr>
            </w:pPr>
          </w:p>
        </w:tc>
        <w:tc>
          <w:tcPr>
            <w:tcW w:w="1559" w:type="dxa"/>
            <w:vAlign w:val="center"/>
          </w:tcPr>
          <w:p w14:paraId="6FA5D0DE"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474AD06E" w14:textId="77777777" w:rsidR="00481273" w:rsidRPr="00C4270B" w:rsidRDefault="00481273">
            <w:pPr>
              <w:pStyle w:val="BodyCopy"/>
              <w:spacing w:before="0" w:after="0"/>
              <w:jc w:val="right"/>
              <w:rPr>
                <w:sz w:val="20"/>
                <w:szCs w:val="20"/>
              </w:rPr>
            </w:pPr>
            <w:r w:rsidRPr="003153B8">
              <w:t>12,018</w:t>
            </w:r>
          </w:p>
        </w:tc>
        <w:tc>
          <w:tcPr>
            <w:tcW w:w="1205" w:type="dxa"/>
            <w:noWrap/>
            <w:vAlign w:val="center"/>
          </w:tcPr>
          <w:p w14:paraId="1C2AE880" w14:textId="77777777" w:rsidR="00481273" w:rsidRPr="008B4CF7" w:rsidRDefault="00481273">
            <w:pPr>
              <w:pStyle w:val="BodyCopy"/>
              <w:spacing w:before="0" w:after="0"/>
              <w:jc w:val="right"/>
              <w:rPr>
                <w:sz w:val="20"/>
                <w:szCs w:val="20"/>
              </w:rPr>
            </w:pPr>
            <w:r w:rsidRPr="00104C46">
              <w:t>13,282</w:t>
            </w:r>
          </w:p>
        </w:tc>
        <w:tc>
          <w:tcPr>
            <w:tcW w:w="1205" w:type="dxa"/>
            <w:noWrap/>
            <w:vAlign w:val="center"/>
          </w:tcPr>
          <w:p w14:paraId="3526367D" w14:textId="77777777" w:rsidR="00481273" w:rsidRPr="00C4270B" w:rsidRDefault="00481273">
            <w:pPr>
              <w:pStyle w:val="BodyCopy"/>
              <w:spacing w:before="0" w:after="0"/>
              <w:jc w:val="right"/>
              <w:rPr>
                <w:sz w:val="20"/>
                <w:szCs w:val="20"/>
              </w:rPr>
            </w:pPr>
            <w:r w:rsidRPr="00104C46">
              <w:t>14,689</w:t>
            </w:r>
          </w:p>
        </w:tc>
        <w:tc>
          <w:tcPr>
            <w:tcW w:w="1205" w:type="dxa"/>
            <w:noWrap/>
            <w:vAlign w:val="center"/>
          </w:tcPr>
          <w:p w14:paraId="160537E6" w14:textId="77777777" w:rsidR="00481273" w:rsidRPr="00C4270B" w:rsidRDefault="00481273">
            <w:pPr>
              <w:pStyle w:val="BodyCopy"/>
              <w:spacing w:before="0" w:after="0"/>
              <w:jc w:val="right"/>
              <w:rPr>
                <w:sz w:val="20"/>
                <w:szCs w:val="20"/>
              </w:rPr>
            </w:pPr>
            <w:r w:rsidRPr="00104C46">
              <w:t>16,255</w:t>
            </w:r>
          </w:p>
        </w:tc>
      </w:tr>
      <w:tr w:rsidR="00481273" w:rsidRPr="00035E77" w14:paraId="224DA74B" w14:textId="77777777">
        <w:trPr>
          <w:trHeight w:val="283"/>
        </w:trPr>
        <w:tc>
          <w:tcPr>
            <w:tcW w:w="2694" w:type="dxa"/>
            <w:noWrap/>
          </w:tcPr>
          <w:p w14:paraId="288DAF59"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6" behindDoc="0" locked="0" layoutInCell="1" allowOverlap="1" wp14:anchorId="65EFE5B0" wp14:editId="3F4B7797">
                  <wp:simplePos x="0" y="0"/>
                  <wp:positionH relativeFrom="column">
                    <wp:posOffset>-68580</wp:posOffset>
                  </wp:positionH>
                  <wp:positionV relativeFrom="paragraph">
                    <wp:posOffset>-15875</wp:posOffset>
                  </wp:positionV>
                  <wp:extent cx="1013460" cy="213360"/>
                  <wp:effectExtent l="0" t="0" r="0" b="0"/>
                  <wp:wrapNone/>
                  <wp:docPr id="221" name="Picture 221"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52" name="Picture 52"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9"/>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5E8CA86C"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42.5 t</w:t>
            </w:r>
          </w:p>
        </w:tc>
        <w:tc>
          <w:tcPr>
            <w:tcW w:w="1204" w:type="dxa"/>
            <w:vAlign w:val="center"/>
          </w:tcPr>
          <w:p w14:paraId="55260ED3" w14:textId="77777777" w:rsidR="00481273" w:rsidRPr="00C4270B" w:rsidRDefault="00481273">
            <w:pPr>
              <w:pStyle w:val="BodyCopy"/>
              <w:spacing w:before="0" w:after="0"/>
              <w:jc w:val="right"/>
              <w:rPr>
                <w:sz w:val="20"/>
                <w:szCs w:val="20"/>
              </w:rPr>
            </w:pPr>
            <w:r w:rsidRPr="003153B8">
              <w:t>12,665</w:t>
            </w:r>
          </w:p>
        </w:tc>
        <w:tc>
          <w:tcPr>
            <w:tcW w:w="1205" w:type="dxa"/>
            <w:noWrap/>
            <w:vAlign w:val="center"/>
          </w:tcPr>
          <w:p w14:paraId="30139B75" w14:textId="77777777" w:rsidR="00481273" w:rsidRPr="008B4CF7" w:rsidRDefault="00481273">
            <w:pPr>
              <w:pStyle w:val="BodyCopy"/>
              <w:spacing w:before="0" w:after="0"/>
              <w:jc w:val="right"/>
              <w:rPr>
                <w:sz w:val="20"/>
                <w:szCs w:val="20"/>
              </w:rPr>
            </w:pPr>
            <w:r w:rsidRPr="00104C46">
              <w:t>13,991</w:t>
            </w:r>
          </w:p>
        </w:tc>
        <w:tc>
          <w:tcPr>
            <w:tcW w:w="1205" w:type="dxa"/>
            <w:noWrap/>
            <w:vAlign w:val="center"/>
          </w:tcPr>
          <w:p w14:paraId="7B3F9312" w14:textId="77777777" w:rsidR="00481273" w:rsidRPr="00C4270B" w:rsidRDefault="00481273">
            <w:pPr>
              <w:pStyle w:val="BodyCopy"/>
              <w:spacing w:before="0" w:after="0"/>
              <w:jc w:val="right"/>
              <w:rPr>
                <w:sz w:val="20"/>
                <w:szCs w:val="20"/>
              </w:rPr>
            </w:pPr>
            <w:r w:rsidRPr="00104C46">
              <w:t>15,466</w:t>
            </w:r>
          </w:p>
        </w:tc>
        <w:tc>
          <w:tcPr>
            <w:tcW w:w="1205" w:type="dxa"/>
            <w:noWrap/>
            <w:vAlign w:val="center"/>
          </w:tcPr>
          <w:p w14:paraId="50FA02E3" w14:textId="77777777" w:rsidR="00481273" w:rsidRPr="00C4270B" w:rsidRDefault="00481273">
            <w:pPr>
              <w:pStyle w:val="BodyCopy"/>
              <w:spacing w:before="0" w:after="0"/>
              <w:jc w:val="right"/>
              <w:rPr>
                <w:sz w:val="20"/>
                <w:szCs w:val="20"/>
              </w:rPr>
            </w:pPr>
            <w:r w:rsidRPr="00104C46">
              <w:t>17,107</w:t>
            </w:r>
          </w:p>
        </w:tc>
      </w:tr>
      <w:tr w:rsidR="00481273" w:rsidRPr="00035E77" w14:paraId="658CD67F" w14:textId="77777777">
        <w:trPr>
          <w:trHeight w:val="283"/>
        </w:trPr>
        <w:tc>
          <w:tcPr>
            <w:tcW w:w="2694" w:type="dxa"/>
            <w:vMerge w:val="restart"/>
          </w:tcPr>
          <w:p w14:paraId="1817A025"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82" behindDoc="0" locked="0" layoutInCell="1" allowOverlap="1" wp14:anchorId="4D37AFD9" wp14:editId="6C62096C">
                  <wp:simplePos x="0" y="0"/>
                  <wp:positionH relativeFrom="column">
                    <wp:posOffset>-68580</wp:posOffset>
                  </wp:positionH>
                  <wp:positionV relativeFrom="paragraph">
                    <wp:posOffset>81915</wp:posOffset>
                  </wp:positionV>
                  <wp:extent cx="693420" cy="245234"/>
                  <wp:effectExtent l="0" t="0" r="0" b="2540"/>
                  <wp:wrapNone/>
                  <wp:docPr id="222"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5D67723F"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20.0 t</w:t>
            </w:r>
          </w:p>
        </w:tc>
        <w:tc>
          <w:tcPr>
            <w:tcW w:w="1204" w:type="dxa"/>
            <w:vAlign w:val="center"/>
          </w:tcPr>
          <w:p w14:paraId="6496CDAD" w14:textId="77777777" w:rsidR="00481273" w:rsidRPr="00C4270B" w:rsidRDefault="00481273">
            <w:pPr>
              <w:pStyle w:val="BodyCopy"/>
              <w:spacing w:before="0" w:after="0"/>
              <w:jc w:val="right"/>
              <w:rPr>
                <w:sz w:val="20"/>
                <w:szCs w:val="20"/>
              </w:rPr>
            </w:pPr>
            <w:r w:rsidRPr="003153B8">
              <w:t>1,003</w:t>
            </w:r>
          </w:p>
        </w:tc>
        <w:tc>
          <w:tcPr>
            <w:tcW w:w="1205" w:type="dxa"/>
            <w:noWrap/>
            <w:vAlign w:val="center"/>
          </w:tcPr>
          <w:p w14:paraId="085D4A2E" w14:textId="77777777" w:rsidR="00481273" w:rsidRPr="008B4CF7" w:rsidRDefault="00481273">
            <w:pPr>
              <w:pStyle w:val="BodyCopy"/>
              <w:spacing w:before="0" w:after="0"/>
              <w:jc w:val="right"/>
              <w:rPr>
                <w:sz w:val="20"/>
                <w:szCs w:val="20"/>
              </w:rPr>
            </w:pPr>
            <w:r w:rsidRPr="00104C46">
              <w:t>1,090</w:t>
            </w:r>
          </w:p>
        </w:tc>
        <w:tc>
          <w:tcPr>
            <w:tcW w:w="1205" w:type="dxa"/>
            <w:noWrap/>
            <w:vAlign w:val="center"/>
          </w:tcPr>
          <w:p w14:paraId="7DF38280" w14:textId="77777777" w:rsidR="00481273" w:rsidRPr="00C4270B" w:rsidRDefault="00481273">
            <w:pPr>
              <w:pStyle w:val="BodyCopy"/>
              <w:spacing w:before="0" w:after="0"/>
              <w:jc w:val="right"/>
              <w:rPr>
                <w:sz w:val="20"/>
                <w:szCs w:val="20"/>
              </w:rPr>
            </w:pPr>
            <w:r w:rsidRPr="00104C46">
              <w:t>1,188</w:t>
            </w:r>
          </w:p>
        </w:tc>
        <w:tc>
          <w:tcPr>
            <w:tcW w:w="1205" w:type="dxa"/>
            <w:noWrap/>
            <w:vAlign w:val="center"/>
          </w:tcPr>
          <w:p w14:paraId="01E266C2" w14:textId="77777777" w:rsidR="00481273" w:rsidRPr="00C4270B" w:rsidRDefault="00481273">
            <w:pPr>
              <w:pStyle w:val="BodyCopy"/>
              <w:spacing w:before="0" w:after="0"/>
              <w:jc w:val="right"/>
              <w:rPr>
                <w:sz w:val="20"/>
                <w:szCs w:val="20"/>
              </w:rPr>
            </w:pPr>
            <w:r w:rsidRPr="00104C46">
              <w:t>1,296</w:t>
            </w:r>
          </w:p>
        </w:tc>
      </w:tr>
      <w:tr w:rsidR="00481273" w:rsidRPr="00035E77" w14:paraId="7C9D1015" w14:textId="77777777">
        <w:trPr>
          <w:trHeight w:val="283"/>
        </w:trPr>
        <w:tc>
          <w:tcPr>
            <w:tcW w:w="2694" w:type="dxa"/>
            <w:vMerge/>
          </w:tcPr>
          <w:p w14:paraId="670DC4EA" w14:textId="77777777" w:rsidR="00481273" w:rsidRPr="00C4270B" w:rsidRDefault="00481273">
            <w:pPr>
              <w:pStyle w:val="BodyCopy"/>
              <w:spacing w:before="0" w:after="0"/>
              <w:rPr>
                <w:sz w:val="20"/>
                <w:szCs w:val="20"/>
              </w:rPr>
            </w:pPr>
          </w:p>
        </w:tc>
        <w:tc>
          <w:tcPr>
            <w:tcW w:w="1559" w:type="dxa"/>
            <w:vAlign w:val="center"/>
          </w:tcPr>
          <w:p w14:paraId="164842BE"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20.0 t</w:t>
            </w:r>
          </w:p>
        </w:tc>
        <w:tc>
          <w:tcPr>
            <w:tcW w:w="1204" w:type="dxa"/>
            <w:vAlign w:val="center"/>
          </w:tcPr>
          <w:p w14:paraId="6D351E8E" w14:textId="77777777" w:rsidR="00481273" w:rsidRPr="00C4270B" w:rsidRDefault="00481273">
            <w:pPr>
              <w:pStyle w:val="BodyCopy"/>
              <w:spacing w:before="0" w:after="0"/>
              <w:jc w:val="right"/>
              <w:rPr>
                <w:sz w:val="20"/>
                <w:szCs w:val="20"/>
              </w:rPr>
            </w:pPr>
            <w:r w:rsidRPr="003153B8">
              <w:t>1,206</w:t>
            </w:r>
          </w:p>
        </w:tc>
        <w:tc>
          <w:tcPr>
            <w:tcW w:w="1205" w:type="dxa"/>
            <w:noWrap/>
            <w:vAlign w:val="center"/>
          </w:tcPr>
          <w:p w14:paraId="29E21BE2" w14:textId="77777777" w:rsidR="00481273" w:rsidRPr="008B4CF7" w:rsidRDefault="00481273">
            <w:pPr>
              <w:pStyle w:val="BodyCopy"/>
              <w:spacing w:before="0" w:after="0"/>
              <w:jc w:val="right"/>
              <w:rPr>
                <w:sz w:val="20"/>
                <w:szCs w:val="20"/>
              </w:rPr>
            </w:pPr>
            <w:r w:rsidRPr="00104C46">
              <w:t>1,305</w:t>
            </w:r>
          </w:p>
        </w:tc>
        <w:tc>
          <w:tcPr>
            <w:tcW w:w="1205" w:type="dxa"/>
            <w:noWrap/>
            <w:vAlign w:val="center"/>
          </w:tcPr>
          <w:p w14:paraId="62546EF6" w14:textId="77777777" w:rsidR="00481273" w:rsidRPr="00C4270B" w:rsidRDefault="00481273">
            <w:pPr>
              <w:pStyle w:val="BodyCopy"/>
              <w:spacing w:before="0" w:after="0"/>
              <w:jc w:val="right"/>
              <w:rPr>
                <w:sz w:val="20"/>
                <w:szCs w:val="20"/>
              </w:rPr>
            </w:pPr>
            <w:r w:rsidRPr="00104C46">
              <w:t>1,416</w:t>
            </w:r>
          </w:p>
        </w:tc>
        <w:tc>
          <w:tcPr>
            <w:tcW w:w="1205" w:type="dxa"/>
            <w:noWrap/>
            <w:vAlign w:val="center"/>
          </w:tcPr>
          <w:p w14:paraId="5C31C69B" w14:textId="77777777" w:rsidR="00481273" w:rsidRPr="00C4270B" w:rsidRDefault="00481273">
            <w:pPr>
              <w:pStyle w:val="BodyCopy"/>
              <w:spacing w:before="0" w:after="0"/>
              <w:jc w:val="right"/>
              <w:rPr>
                <w:sz w:val="20"/>
                <w:szCs w:val="20"/>
              </w:rPr>
            </w:pPr>
            <w:r w:rsidRPr="00104C46">
              <w:t>1,539</w:t>
            </w:r>
          </w:p>
        </w:tc>
      </w:tr>
      <w:tr w:rsidR="00481273" w:rsidRPr="00035E77" w14:paraId="38DEB839" w14:textId="77777777">
        <w:trPr>
          <w:trHeight w:val="283"/>
        </w:trPr>
        <w:tc>
          <w:tcPr>
            <w:tcW w:w="2694" w:type="dxa"/>
            <w:vMerge w:val="restart"/>
            <w:noWrap/>
          </w:tcPr>
          <w:p w14:paraId="307EE56C"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83" behindDoc="0" locked="0" layoutInCell="1" allowOverlap="1" wp14:anchorId="08105C2A" wp14:editId="76AC6855">
                  <wp:simplePos x="0" y="0"/>
                  <wp:positionH relativeFrom="column">
                    <wp:posOffset>-68580</wp:posOffset>
                  </wp:positionH>
                  <wp:positionV relativeFrom="paragraph">
                    <wp:posOffset>71755</wp:posOffset>
                  </wp:positionV>
                  <wp:extent cx="899160" cy="264160"/>
                  <wp:effectExtent l="0" t="0" r="0" b="2540"/>
                  <wp:wrapNone/>
                  <wp:docPr id="223" name="Picture 223"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wo axle b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0F343A60"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Up to 12.0 t</w:t>
            </w:r>
          </w:p>
        </w:tc>
        <w:tc>
          <w:tcPr>
            <w:tcW w:w="1204" w:type="dxa"/>
            <w:vAlign w:val="center"/>
          </w:tcPr>
          <w:p w14:paraId="61B03C0E" w14:textId="77777777" w:rsidR="00481273" w:rsidRPr="00C4270B" w:rsidRDefault="00481273">
            <w:pPr>
              <w:pStyle w:val="BodyCopy"/>
              <w:spacing w:before="0" w:after="0"/>
              <w:jc w:val="right"/>
              <w:rPr>
                <w:sz w:val="20"/>
                <w:szCs w:val="20"/>
              </w:rPr>
            </w:pPr>
            <w:r w:rsidRPr="003153B8">
              <w:t>529</w:t>
            </w:r>
          </w:p>
        </w:tc>
        <w:tc>
          <w:tcPr>
            <w:tcW w:w="1205" w:type="dxa"/>
            <w:noWrap/>
            <w:vAlign w:val="center"/>
          </w:tcPr>
          <w:p w14:paraId="40FCD45B" w14:textId="77777777" w:rsidR="00481273" w:rsidRPr="008B4CF7" w:rsidRDefault="00481273">
            <w:pPr>
              <w:pStyle w:val="BodyCopy"/>
              <w:spacing w:before="0" w:after="0"/>
              <w:jc w:val="right"/>
              <w:rPr>
                <w:sz w:val="20"/>
                <w:szCs w:val="20"/>
              </w:rPr>
            </w:pPr>
            <w:r w:rsidRPr="00104C46">
              <w:t>561</w:t>
            </w:r>
          </w:p>
        </w:tc>
        <w:tc>
          <w:tcPr>
            <w:tcW w:w="1205" w:type="dxa"/>
            <w:noWrap/>
            <w:vAlign w:val="center"/>
          </w:tcPr>
          <w:p w14:paraId="3E6B76C8" w14:textId="77777777" w:rsidR="00481273" w:rsidRPr="00C4270B" w:rsidRDefault="00481273">
            <w:pPr>
              <w:pStyle w:val="BodyCopy"/>
              <w:spacing w:before="0" w:after="0"/>
              <w:jc w:val="right"/>
              <w:rPr>
                <w:sz w:val="20"/>
                <w:szCs w:val="20"/>
              </w:rPr>
            </w:pPr>
            <w:r w:rsidRPr="00104C46">
              <w:t>595</w:t>
            </w:r>
          </w:p>
        </w:tc>
        <w:tc>
          <w:tcPr>
            <w:tcW w:w="1205" w:type="dxa"/>
            <w:noWrap/>
            <w:vAlign w:val="center"/>
          </w:tcPr>
          <w:p w14:paraId="3BB8BAB0" w14:textId="77777777" w:rsidR="00481273" w:rsidRPr="00C4270B" w:rsidRDefault="00481273">
            <w:pPr>
              <w:pStyle w:val="BodyCopy"/>
              <w:spacing w:before="0" w:after="0"/>
              <w:jc w:val="right"/>
              <w:rPr>
                <w:sz w:val="20"/>
                <w:szCs w:val="20"/>
              </w:rPr>
            </w:pPr>
            <w:r w:rsidRPr="00104C46">
              <w:t>633</w:t>
            </w:r>
          </w:p>
        </w:tc>
      </w:tr>
      <w:tr w:rsidR="00481273" w:rsidRPr="00035E77" w14:paraId="72339AC3" w14:textId="77777777">
        <w:trPr>
          <w:trHeight w:val="283"/>
        </w:trPr>
        <w:tc>
          <w:tcPr>
            <w:tcW w:w="2694" w:type="dxa"/>
            <w:vMerge/>
          </w:tcPr>
          <w:p w14:paraId="534E24B8" w14:textId="77777777" w:rsidR="00481273" w:rsidRPr="00C4270B" w:rsidRDefault="00481273">
            <w:pPr>
              <w:pStyle w:val="BodyCopy"/>
              <w:spacing w:before="0" w:after="0"/>
              <w:rPr>
                <w:sz w:val="20"/>
                <w:szCs w:val="20"/>
              </w:rPr>
            </w:pPr>
          </w:p>
        </w:tc>
        <w:tc>
          <w:tcPr>
            <w:tcW w:w="1559" w:type="dxa"/>
            <w:vAlign w:val="center"/>
          </w:tcPr>
          <w:p w14:paraId="77E381A7" w14:textId="77777777" w:rsidR="00481273" w:rsidRPr="001F1E14" w:rsidRDefault="00481273">
            <w:pPr>
              <w:pStyle w:val="BodyCopy"/>
              <w:spacing w:before="0" w:after="0"/>
              <w:rPr>
                <w:rFonts w:asciiTheme="majorHAnsi" w:hAnsiTheme="majorHAnsi" w:cstheme="majorHAnsi"/>
                <w:szCs w:val="22"/>
              </w:rPr>
            </w:pPr>
            <w:r w:rsidRPr="001F1E14">
              <w:rPr>
                <w:rFonts w:asciiTheme="majorHAnsi" w:hAnsiTheme="majorHAnsi" w:cstheme="majorHAnsi"/>
                <w:szCs w:val="22"/>
              </w:rPr>
              <w:t>Over 12.0 t</w:t>
            </w:r>
          </w:p>
        </w:tc>
        <w:tc>
          <w:tcPr>
            <w:tcW w:w="1204" w:type="dxa"/>
            <w:vAlign w:val="center"/>
          </w:tcPr>
          <w:p w14:paraId="6DF1E990" w14:textId="77777777" w:rsidR="00481273" w:rsidRPr="00C4270B" w:rsidRDefault="00481273">
            <w:pPr>
              <w:pStyle w:val="BodyCopy"/>
              <w:spacing w:before="0" w:after="0"/>
              <w:jc w:val="right"/>
              <w:rPr>
                <w:sz w:val="20"/>
                <w:szCs w:val="20"/>
              </w:rPr>
            </w:pPr>
            <w:r w:rsidRPr="003153B8">
              <w:t>659</w:t>
            </w:r>
          </w:p>
        </w:tc>
        <w:tc>
          <w:tcPr>
            <w:tcW w:w="1205" w:type="dxa"/>
            <w:noWrap/>
            <w:vAlign w:val="center"/>
          </w:tcPr>
          <w:p w14:paraId="749A29ED" w14:textId="77777777" w:rsidR="00481273" w:rsidRPr="008B4CF7" w:rsidRDefault="00481273">
            <w:pPr>
              <w:pStyle w:val="BodyCopy"/>
              <w:spacing w:before="0" w:after="0"/>
              <w:jc w:val="right"/>
              <w:rPr>
                <w:sz w:val="20"/>
                <w:szCs w:val="20"/>
              </w:rPr>
            </w:pPr>
            <w:r w:rsidRPr="00104C46">
              <w:t>697</w:t>
            </w:r>
          </w:p>
        </w:tc>
        <w:tc>
          <w:tcPr>
            <w:tcW w:w="1205" w:type="dxa"/>
            <w:noWrap/>
            <w:vAlign w:val="center"/>
          </w:tcPr>
          <w:p w14:paraId="59476999" w14:textId="77777777" w:rsidR="00481273" w:rsidRPr="00C4270B" w:rsidRDefault="00481273">
            <w:pPr>
              <w:pStyle w:val="BodyCopy"/>
              <w:spacing w:before="0" w:after="0"/>
              <w:jc w:val="right"/>
              <w:rPr>
                <w:sz w:val="20"/>
                <w:szCs w:val="20"/>
              </w:rPr>
            </w:pPr>
            <w:r w:rsidRPr="00104C46">
              <w:t>739</w:t>
            </w:r>
          </w:p>
        </w:tc>
        <w:tc>
          <w:tcPr>
            <w:tcW w:w="1205" w:type="dxa"/>
            <w:noWrap/>
            <w:vAlign w:val="center"/>
          </w:tcPr>
          <w:p w14:paraId="23AB0034" w14:textId="77777777" w:rsidR="00481273" w:rsidRPr="00C4270B" w:rsidRDefault="00481273">
            <w:pPr>
              <w:pStyle w:val="BodyCopy"/>
              <w:spacing w:before="0" w:after="0"/>
              <w:jc w:val="right"/>
              <w:rPr>
                <w:sz w:val="20"/>
                <w:szCs w:val="20"/>
              </w:rPr>
            </w:pPr>
            <w:r w:rsidRPr="00104C46">
              <w:t>785</w:t>
            </w:r>
          </w:p>
        </w:tc>
      </w:tr>
      <w:tr w:rsidR="00481273" w:rsidRPr="00035E77" w14:paraId="41C3D1E1" w14:textId="77777777">
        <w:trPr>
          <w:trHeight w:val="283"/>
        </w:trPr>
        <w:tc>
          <w:tcPr>
            <w:tcW w:w="2694" w:type="dxa"/>
            <w:noWrap/>
          </w:tcPr>
          <w:p w14:paraId="40C51CCE"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8" behindDoc="0" locked="0" layoutInCell="1" allowOverlap="1" wp14:anchorId="4F2B841B" wp14:editId="5377EA22">
                  <wp:simplePos x="0" y="0"/>
                  <wp:positionH relativeFrom="column">
                    <wp:posOffset>-68580</wp:posOffset>
                  </wp:positionH>
                  <wp:positionV relativeFrom="paragraph">
                    <wp:posOffset>229235</wp:posOffset>
                  </wp:positionV>
                  <wp:extent cx="751632" cy="190500"/>
                  <wp:effectExtent l="0" t="0" r="0" b="0"/>
                  <wp:wrapNone/>
                  <wp:docPr id="224"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77" behindDoc="0" locked="0" layoutInCell="1" allowOverlap="1" wp14:anchorId="3A5DEA87" wp14:editId="3FFAFE28">
                  <wp:simplePos x="0" y="0"/>
                  <wp:positionH relativeFrom="column">
                    <wp:posOffset>-68580</wp:posOffset>
                  </wp:positionH>
                  <wp:positionV relativeFrom="paragraph">
                    <wp:posOffset>15875</wp:posOffset>
                  </wp:positionV>
                  <wp:extent cx="594360" cy="196302"/>
                  <wp:effectExtent l="0" t="0" r="0" b="0"/>
                  <wp:wrapNone/>
                  <wp:docPr id="225"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3"/>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64EEEF50"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3D5FC028" w14:textId="77777777" w:rsidR="00481273" w:rsidRPr="00C4270B" w:rsidRDefault="00481273">
            <w:pPr>
              <w:pStyle w:val="BodyCopy"/>
              <w:spacing w:before="0" w:after="0"/>
              <w:jc w:val="right"/>
              <w:rPr>
                <w:sz w:val="20"/>
                <w:szCs w:val="20"/>
              </w:rPr>
            </w:pPr>
            <w:r w:rsidRPr="003153B8">
              <w:t>2,794</w:t>
            </w:r>
          </w:p>
        </w:tc>
        <w:tc>
          <w:tcPr>
            <w:tcW w:w="1205" w:type="dxa"/>
            <w:noWrap/>
            <w:vAlign w:val="center"/>
          </w:tcPr>
          <w:p w14:paraId="1D5B8E2F" w14:textId="77777777" w:rsidR="00481273" w:rsidRPr="008B4CF7" w:rsidRDefault="00481273">
            <w:pPr>
              <w:pStyle w:val="BodyCopy"/>
              <w:spacing w:before="0" w:after="0"/>
              <w:jc w:val="right"/>
              <w:rPr>
                <w:sz w:val="20"/>
                <w:szCs w:val="20"/>
              </w:rPr>
            </w:pPr>
            <w:r w:rsidRPr="00104C46">
              <w:t>3,068</w:t>
            </w:r>
          </w:p>
        </w:tc>
        <w:tc>
          <w:tcPr>
            <w:tcW w:w="1205" w:type="dxa"/>
            <w:noWrap/>
            <w:vAlign w:val="center"/>
          </w:tcPr>
          <w:p w14:paraId="5C6A57C5" w14:textId="77777777" w:rsidR="00481273" w:rsidRPr="00C4270B" w:rsidRDefault="00481273">
            <w:pPr>
              <w:pStyle w:val="BodyCopy"/>
              <w:spacing w:before="0" w:after="0"/>
              <w:jc w:val="right"/>
              <w:rPr>
                <w:sz w:val="20"/>
                <w:szCs w:val="20"/>
              </w:rPr>
            </w:pPr>
            <w:r w:rsidRPr="00104C46">
              <w:t>3,373</w:t>
            </w:r>
          </w:p>
        </w:tc>
        <w:tc>
          <w:tcPr>
            <w:tcW w:w="1205" w:type="dxa"/>
            <w:noWrap/>
            <w:vAlign w:val="center"/>
          </w:tcPr>
          <w:p w14:paraId="76B61155" w14:textId="77777777" w:rsidR="00481273" w:rsidRPr="00C4270B" w:rsidRDefault="00481273">
            <w:pPr>
              <w:pStyle w:val="BodyCopy"/>
              <w:spacing w:before="0" w:after="0"/>
              <w:jc w:val="right"/>
              <w:rPr>
                <w:sz w:val="20"/>
                <w:szCs w:val="20"/>
              </w:rPr>
            </w:pPr>
            <w:r w:rsidRPr="00104C46">
              <w:t>3,713</w:t>
            </w:r>
          </w:p>
        </w:tc>
      </w:tr>
      <w:tr w:rsidR="00481273" w:rsidRPr="00035E77" w14:paraId="66F7ADF7" w14:textId="77777777">
        <w:trPr>
          <w:trHeight w:val="283"/>
        </w:trPr>
        <w:tc>
          <w:tcPr>
            <w:tcW w:w="2694" w:type="dxa"/>
          </w:tcPr>
          <w:p w14:paraId="10578314" w14:textId="77777777" w:rsidR="00481273" w:rsidRPr="00C4270B" w:rsidRDefault="00481273">
            <w:pPr>
              <w:pStyle w:val="BodyCopy"/>
              <w:spacing w:before="0" w:after="0"/>
              <w:rPr>
                <w:b/>
                <w:bCs/>
                <w:sz w:val="20"/>
                <w:szCs w:val="20"/>
              </w:rPr>
            </w:pPr>
          </w:p>
        </w:tc>
        <w:tc>
          <w:tcPr>
            <w:tcW w:w="1559" w:type="dxa"/>
            <w:vAlign w:val="center"/>
          </w:tcPr>
          <w:p w14:paraId="084C3DAE"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6FE70484" w14:textId="77777777" w:rsidR="00481273" w:rsidRPr="00C4270B" w:rsidRDefault="00481273">
            <w:pPr>
              <w:pStyle w:val="BodyCopy"/>
              <w:spacing w:before="0" w:after="0"/>
              <w:jc w:val="right"/>
              <w:rPr>
                <w:sz w:val="20"/>
                <w:szCs w:val="20"/>
              </w:rPr>
            </w:pPr>
            <w:r w:rsidRPr="003153B8">
              <w:t>6,530</w:t>
            </w:r>
          </w:p>
        </w:tc>
        <w:tc>
          <w:tcPr>
            <w:tcW w:w="1205" w:type="dxa"/>
            <w:noWrap/>
            <w:vAlign w:val="center"/>
          </w:tcPr>
          <w:p w14:paraId="0CA520A9" w14:textId="77777777" w:rsidR="00481273" w:rsidRPr="008B4CF7" w:rsidRDefault="00481273">
            <w:pPr>
              <w:pStyle w:val="BodyCopy"/>
              <w:spacing w:before="0" w:after="0"/>
              <w:jc w:val="right"/>
              <w:rPr>
                <w:sz w:val="20"/>
                <w:szCs w:val="20"/>
              </w:rPr>
            </w:pPr>
            <w:r w:rsidRPr="00104C46">
              <w:t>7,120</w:t>
            </w:r>
          </w:p>
        </w:tc>
        <w:tc>
          <w:tcPr>
            <w:tcW w:w="1205" w:type="dxa"/>
            <w:noWrap/>
            <w:vAlign w:val="center"/>
          </w:tcPr>
          <w:p w14:paraId="35E2ABAB" w14:textId="77777777" w:rsidR="00481273" w:rsidRPr="00C4270B" w:rsidRDefault="00481273">
            <w:pPr>
              <w:pStyle w:val="BodyCopy"/>
              <w:spacing w:before="0" w:after="0"/>
              <w:jc w:val="right"/>
              <w:rPr>
                <w:sz w:val="20"/>
                <w:szCs w:val="20"/>
              </w:rPr>
            </w:pPr>
            <w:r w:rsidRPr="00104C46">
              <w:t>7,765</w:t>
            </w:r>
          </w:p>
        </w:tc>
        <w:tc>
          <w:tcPr>
            <w:tcW w:w="1205" w:type="dxa"/>
            <w:noWrap/>
            <w:vAlign w:val="center"/>
          </w:tcPr>
          <w:p w14:paraId="53E08268" w14:textId="77777777" w:rsidR="00481273" w:rsidRPr="00C4270B" w:rsidRDefault="00481273">
            <w:pPr>
              <w:pStyle w:val="BodyCopy"/>
              <w:spacing w:before="0" w:after="0"/>
              <w:jc w:val="right"/>
              <w:rPr>
                <w:sz w:val="20"/>
                <w:szCs w:val="20"/>
              </w:rPr>
            </w:pPr>
            <w:r w:rsidRPr="00104C46">
              <w:t>8,469</w:t>
            </w:r>
          </w:p>
        </w:tc>
      </w:tr>
      <w:tr w:rsidR="00481273" w:rsidRPr="00035E77" w14:paraId="01A655FE" w14:textId="77777777">
        <w:trPr>
          <w:trHeight w:val="283"/>
        </w:trPr>
        <w:tc>
          <w:tcPr>
            <w:tcW w:w="2694" w:type="dxa"/>
            <w:noWrap/>
          </w:tcPr>
          <w:p w14:paraId="46D9C2EF"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80" behindDoc="0" locked="0" layoutInCell="1" allowOverlap="1" wp14:anchorId="1AF51874" wp14:editId="47B7DE66">
                  <wp:simplePos x="0" y="0"/>
                  <wp:positionH relativeFrom="column">
                    <wp:posOffset>-68580</wp:posOffset>
                  </wp:positionH>
                  <wp:positionV relativeFrom="paragraph">
                    <wp:posOffset>207645</wp:posOffset>
                  </wp:positionV>
                  <wp:extent cx="1082040" cy="248285"/>
                  <wp:effectExtent l="0" t="0" r="3810" b="0"/>
                  <wp:wrapNone/>
                  <wp:docPr id="226"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79" behindDoc="0" locked="0" layoutInCell="1" allowOverlap="1" wp14:anchorId="73DBDB19" wp14:editId="54714B70">
                  <wp:simplePos x="0" y="0"/>
                  <wp:positionH relativeFrom="column">
                    <wp:posOffset>-68580</wp:posOffset>
                  </wp:positionH>
                  <wp:positionV relativeFrom="paragraph">
                    <wp:posOffset>1905</wp:posOffset>
                  </wp:positionV>
                  <wp:extent cx="944880" cy="209968"/>
                  <wp:effectExtent l="0" t="0" r="7620" b="0"/>
                  <wp:wrapNone/>
                  <wp:docPr id="227"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5"/>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2B181B60" w14:textId="77777777" w:rsidR="00481273" w:rsidRPr="00C4270B" w:rsidRDefault="00481273">
            <w:pPr>
              <w:pStyle w:val="BodyCopy"/>
              <w:spacing w:before="0" w:after="0"/>
              <w:rPr>
                <w:b/>
                <w:bCs/>
                <w:sz w:val="20"/>
                <w:szCs w:val="20"/>
              </w:rPr>
            </w:pPr>
            <w:r w:rsidRPr="00C4270B">
              <w:rPr>
                <w:rFonts w:ascii="Calibri" w:hAnsi="Calibri" w:cs="Calibri"/>
                <w:b/>
                <w:bCs/>
                <w:sz w:val="20"/>
                <w:szCs w:val="20"/>
              </w:rPr>
              <w:t> </w:t>
            </w:r>
          </w:p>
        </w:tc>
        <w:tc>
          <w:tcPr>
            <w:tcW w:w="1204" w:type="dxa"/>
            <w:vAlign w:val="center"/>
          </w:tcPr>
          <w:p w14:paraId="56DEEF77" w14:textId="77777777" w:rsidR="00481273" w:rsidRPr="00C4270B" w:rsidRDefault="00481273">
            <w:pPr>
              <w:pStyle w:val="BodyCopy"/>
              <w:spacing w:before="0" w:after="0"/>
              <w:jc w:val="right"/>
              <w:rPr>
                <w:sz w:val="20"/>
                <w:szCs w:val="20"/>
              </w:rPr>
            </w:pPr>
            <w:r w:rsidRPr="003153B8">
              <w:t>15,488</w:t>
            </w:r>
          </w:p>
        </w:tc>
        <w:tc>
          <w:tcPr>
            <w:tcW w:w="1205" w:type="dxa"/>
            <w:noWrap/>
            <w:vAlign w:val="center"/>
          </w:tcPr>
          <w:p w14:paraId="41958DE9" w14:textId="77777777" w:rsidR="00481273" w:rsidRPr="008B4CF7" w:rsidRDefault="00481273">
            <w:pPr>
              <w:pStyle w:val="BodyCopy"/>
              <w:spacing w:before="0" w:after="0"/>
              <w:jc w:val="right"/>
              <w:rPr>
                <w:sz w:val="20"/>
                <w:szCs w:val="20"/>
              </w:rPr>
            </w:pPr>
            <w:r w:rsidRPr="00104C46">
              <w:t>16,892</w:t>
            </w:r>
          </w:p>
        </w:tc>
        <w:tc>
          <w:tcPr>
            <w:tcW w:w="1205" w:type="dxa"/>
            <w:noWrap/>
            <w:vAlign w:val="center"/>
          </w:tcPr>
          <w:p w14:paraId="2171E9C8" w14:textId="77777777" w:rsidR="00481273" w:rsidRPr="00C4270B" w:rsidRDefault="00481273">
            <w:pPr>
              <w:pStyle w:val="BodyCopy"/>
              <w:spacing w:before="0" w:after="0"/>
              <w:jc w:val="right"/>
              <w:rPr>
                <w:sz w:val="20"/>
                <w:szCs w:val="20"/>
              </w:rPr>
            </w:pPr>
            <w:r w:rsidRPr="00104C46">
              <w:t>18,428</w:t>
            </w:r>
          </w:p>
        </w:tc>
        <w:tc>
          <w:tcPr>
            <w:tcW w:w="1205" w:type="dxa"/>
            <w:noWrap/>
            <w:vAlign w:val="center"/>
          </w:tcPr>
          <w:p w14:paraId="2A2251BC" w14:textId="77777777" w:rsidR="00481273" w:rsidRPr="00C4270B" w:rsidRDefault="00481273">
            <w:pPr>
              <w:pStyle w:val="BodyCopy"/>
              <w:spacing w:before="0" w:after="0"/>
              <w:jc w:val="right"/>
              <w:rPr>
                <w:sz w:val="20"/>
                <w:szCs w:val="20"/>
              </w:rPr>
            </w:pPr>
            <w:r w:rsidRPr="00104C46">
              <w:t>20,106</w:t>
            </w:r>
          </w:p>
        </w:tc>
      </w:tr>
      <w:tr w:rsidR="00481273" w:rsidRPr="00035E77" w14:paraId="5C34CA89" w14:textId="77777777">
        <w:trPr>
          <w:trHeight w:val="283"/>
        </w:trPr>
        <w:tc>
          <w:tcPr>
            <w:tcW w:w="2694" w:type="dxa"/>
          </w:tcPr>
          <w:p w14:paraId="653DA9B1" w14:textId="77777777" w:rsidR="00481273" w:rsidRPr="00C4270B" w:rsidRDefault="00481273">
            <w:pPr>
              <w:pStyle w:val="BodyCopy"/>
              <w:spacing w:before="0" w:after="0"/>
              <w:rPr>
                <w:sz w:val="20"/>
                <w:szCs w:val="20"/>
              </w:rPr>
            </w:pPr>
          </w:p>
        </w:tc>
        <w:tc>
          <w:tcPr>
            <w:tcW w:w="1559" w:type="dxa"/>
            <w:vAlign w:val="center"/>
          </w:tcPr>
          <w:p w14:paraId="09A3E2E4"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6F43FFDE" w14:textId="77777777" w:rsidR="00481273" w:rsidRPr="00C4270B" w:rsidRDefault="00481273">
            <w:pPr>
              <w:pStyle w:val="BodyCopy"/>
              <w:spacing w:before="0" w:after="0"/>
              <w:jc w:val="right"/>
              <w:rPr>
                <w:sz w:val="20"/>
                <w:szCs w:val="20"/>
              </w:rPr>
            </w:pPr>
            <w:r w:rsidRPr="003153B8">
              <w:t>15,544</w:t>
            </w:r>
          </w:p>
        </w:tc>
        <w:tc>
          <w:tcPr>
            <w:tcW w:w="1205" w:type="dxa"/>
            <w:noWrap/>
            <w:vAlign w:val="center"/>
          </w:tcPr>
          <w:p w14:paraId="1EBBECF3" w14:textId="77777777" w:rsidR="00481273" w:rsidRPr="008B4CF7" w:rsidRDefault="00481273">
            <w:pPr>
              <w:pStyle w:val="BodyCopy"/>
              <w:spacing w:before="0" w:after="0"/>
              <w:jc w:val="right"/>
              <w:rPr>
                <w:sz w:val="20"/>
                <w:szCs w:val="20"/>
              </w:rPr>
            </w:pPr>
            <w:r w:rsidRPr="00104C46">
              <w:t>16,948</w:t>
            </w:r>
          </w:p>
        </w:tc>
        <w:tc>
          <w:tcPr>
            <w:tcW w:w="1205" w:type="dxa"/>
            <w:noWrap/>
            <w:vAlign w:val="center"/>
          </w:tcPr>
          <w:p w14:paraId="2A7DDF26" w14:textId="77777777" w:rsidR="00481273" w:rsidRPr="00C4270B" w:rsidRDefault="00481273">
            <w:pPr>
              <w:pStyle w:val="BodyCopy"/>
              <w:spacing w:before="0" w:after="0"/>
              <w:jc w:val="right"/>
              <w:rPr>
                <w:sz w:val="20"/>
                <w:szCs w:val="20"/>
              </w:rPr>
            </w:pPr>
            <w:r w:rsidRPr="00104C46">
              <w:t>18,484</w:t>
            </w:r>
          </w:p>
        </w:tc>
        <w:tc>
          <w:tcPr>
            <w:tcW w:w="1205" w:type="dxa"/>
            <w:noWrap/>
            <w:vAlign w:val="center"/>
          </w:tcPr>
          <w:p w14:paraId="39E68979" w14:textId="77777777" w:rsidR="00481273" w:rsidRPr="00C4270B" w:rsidRDefault="00481273">
            <w:pPr>
              <w:pStyle w:val="BodyCopy"/>
              <w:spacing w:before="0" w:after="0"/>
              <w:jc w:val="right"/>
              <w:rPr>
                <w:sz w:val="20"/>
                <w:szCs w:val="20"/>
              </w:rPr>
            </w:pPr>
            <w:r w:rsidRPr="00104C46">
              <w:t>20,162</w:t>
            </w:r>
          </w:p>
        </w:tc>
      </w:tr>
      <w:tr w:rsidR="00481273" w:rsidRPr="00035E77" w14:paraId="3EB54CAD" w14:textId="77777777">
        <w:trPr>
          <w:trHeight w:val="283"/>
        </w:trPr>
        <w:tc>
          <w:tcPr>
            <w:tcW w:w="2694" w:type="dxa"/>
          </w:tcPr>
          <w:p w14:paraId="704AD2F7" w14:textId="77777777" w:rsidR="00481273" w:rsidRPr="00C4270B" w:rsidRDefault="00481273">
            <w:pPr>
              <w:pStyle w:val="BodyCopy"/>
              <w:spacing w:before="0" w:after="0"/>
              <w:rPr>
                <w:sz w:val="20"/>
                <w:szCs w:val="20"/>
              </w:rPr>
            </w:pPr>
            <w:r w:rsidRPr="00C4270B">
              <w:rPr>
                <w:noProof/>
                <w:sz w:val="20"/>
                <w:szCs w:val="20"/>
                <w:lang w:eastAsia="en-AU"/>
              </w:rPr>
              <w:drawing>
                <wp:anchor distT="0" distB="0" distL="114300" distR="114300" simplePos="0" relativeHeight="251658273" behindDoc="0" locked="0" layoutInCell="1" allowOverlap="1" wp14:anchorId="1967DD2F" wp14:editId="409D1137">
                  <wp:simplePos x="0" y="0"/>
                  <wp:positionH relativeFrom="column">
                    <wp:posOffset>-67310</wp:posOffset>
                  </wp:positionH>
                  <wp:positionV relativeFrom="paragraph">
                    <wp:posOffset>-12065</wp:posOffset>
                  </wp:positionV>
                  <wp:extent cx="1348740" cy="253513"/>
                  <wp:effectExtent l="0" t="0" r="3810" b="0"/>
                  <wp:wrapNone/>
                  <wp:docPr id="228"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018C4ED6" w14:textId="77777777" w:rsidR="00481273" w:rsidRPr="00C4270B" w:rsidRDefault="00481273">
            <w:pPr>
              <w:pStyle w:val="BodyCopy"/>
              <w:spacing w:before="0" w:after="0"/>
              <w:rPr>
                <w:sz w:val="20"/>
                <w:szCs w:val="20"/>
              </w:rPr>
            </w:pPr>
            <w:r w:rsidRPr="00C4270B">
              <w:rPr>
                <w:rFonts w:ascii="Calibri" w:hAnsi="Calibri" w:cs="Calibri"/>
                <w:sz w:val="20"/>
                <w:szCs w:val="20"/>
              </w:rPr>
              <w:t> </w:t>
            </w:r>
          </w:p>
        </w:tc>
        <w:tc>
          <w:tcPr>
            <w:tcW w:w="1204" w:type="dxa"/>
            <w:vAlign w:val="center"/>
          </w:tcPr>
          <w:p w14:paraId="7EB91A04" w14:textId="77777777" w:rsidR="00481273" w:rsidRPr="00C4270B" w:rsidRDefault="00481273">
            <w:pPr>
              <w:pStyle w:val="BodyCopy"/>
              <w:spacing w:before="0" w:after="0"/>
              <w:jc w:val="right"/>
              <w:rPr>
                <w:sz w:val="20"/>
                <w:szCs w:val="20"/>
              </w:rPr>
            </w:pPr>
            <w:r w:rsidRPr="003153B8">
              <w:t>17,400</w:t>
            </w:r>
          </w:p>
        </w:tc>
        <w:tc>
          <w:tcPr>
            <w:tcW w:w="1205" w:type="dxa"/>
            <w:noWrap/>
            <w:vAlign w:val="center"/>
          </w:tcPr>
          <w:p w14:paraId="1E280717" w14:textId="77777777" w:rsidR="00481273" w:rsidRPr="008B4CF7" w:rsidRDefault="00481273">
            <w:pPr>
              <w:pStyle w:val="BodyCopy"/>
              <w:spacing w:before="0" w:after="0"/>
              <w:jc w:val="right"/>
              <w:rPr>
                <w:sz w:val="20"/>
                <w:szCs w:val="20"/>
              </w:rPr>
            </w:pPr>
            <w:r w:rsidRPr="00104C46">
              <w:t>18,975</w:t>
            </w:r>
          </w:p>
        </w:tc>
        <w:tc>
          <w:tcPr>
            <w:tcW w:w="1205" w:type="dxa"/>
            <w:noWrap/>
            <w:vAlign w:val="center"/>
          </w:tcPr>
          <w:p w14:paraId="00A4B123" w14:textId="77777777" w:rsidR="00481273" w:rsidRPr="00C4270B" w:rsidRDefault="00481273">
            <w:pPr>
              <w:pStyle w:val="BodyCopy"/>
              <w:spacing w:before="0" w:after="0"/>
              <w:jc w:val="right"/>
              <w:rPr>
                <w:sz w:val="20"/>
                <w:szCs w:val="20"/>
              </w:rPr>
            </w:pPr>
            <w:r w:rsidRPr="00104C46">
              <w:t>20,697</w:t>
            </w:r>
          </w:p>
        </w:tc>
        <w:tc>
          <w:tcPr>
            <w:tcW w:w="1205" w:type="dxa"/>
            <w:noWrap/>
            <w:vAlign w:val="center"/>
          </w:tcPr>
          <w:p w14:paraId="492C2C89" w14:textId="77777777" w:rsidR="00481273" w:rsidRPr="00C4270B" w:rsidRDefault="00481273">
            <w:pPr>
              <w:pStyle w:val="BodyCopy"/>
              <w:spacing w:before="0" w:after="0"/>
              <w:jc w:val="right"/>
              <w:rPr>
                <w:sz w:val="20"/>
                <w:szCs w:val="20"/>
              </w:rPr>
            </w:pPr>
            <w:r w:rsidRPr="00104C46">
              <w:t>22,576</w:t>
            </w:r>
          </w:p>
        </w:tc>
      </w:tr>
    </w:tbl>
    <w:p w14:paraId="0A220D99" w14:textId="77777777" w:rsidR="00B07987" w:rsidRPr="00E91017" w:rsidRDefault="00B07987" w:rsidP="00B07987">
      <w:pPr>
        <w:pStyle w:val="Heading2"/>
        <w:rPr>
          <w:lang w:eastAsia="en-AU"/>
        </w:rPr>
      </w:pPr>
      <w:bookmarkStart w:id="135" w:name="_Toc121234765"/>
      <w:r>
        <w:rPr>
          <w:lang w:eastAsia="en-AU"/>
        </w:rPr>
        <w:t>Approach to setting registration charges under options explored in this paper</w:t>
      </w:r>
      <w:bookmarkEnd w:id="135"/>
    </w:p>
    <w:p w14:paraId="57706F90" w14:textId="77777777" w:rsidR="00B07987" w:rsidRDefault="00B07987" w:rsidP="00B07987">
      <w:pPr>
        <w:pStyle w:val="BodyCopy"/>
      </w:pPr>
      <w:r>
        <w:t xml:space="preserve">As part of the 2021 Determination, it was shown that the allocation of costs to each heavy vehicle class had changed to the point that the average revenue was lower than the attributable cost for some vehicle classes. </w:t>
      </w:r>
    </w:p>
    <w:p w14:paraId="0F74BE02" w14:textId="77777777" w:rsidR="00B07987" w:rsidRDefault="00B07987" w:rsidP="00B07987">
      <w:pPr>
        <w:pStyle w:val="BodyCopy"/>
      </w:pPr>
      <w:r>
        <w:t xml:space="preserve">One of the pricing principles requires cross subsidies between different heavy vehicle classes to be removed. Based on this pricing principle, it is necessary to adjust the relativities between the registration charges for different heavy vehicle classes. In some cases, the required adjustment could be significant and impose an unreasonable burden for the operators of the affected vehicle classes. The estimated registration charges outlined in this consultation paper have been developed to moderate the adjustments required to eliminate cross-subsidies and introduces them over multiple years where required.    </w:t>
      </w:r>
    </w:p>
    <w:p w14:paraId="0CAA0C46" w14:textId="77777777" w:rsidR="00B07987" w:rsidRDefault="00B07987" w:rsidP="00B07987">
      <w:pPr>
        <w:pStyle w:val="BodyCopy"/>
      </w:pPr>
      <w:r>
        <w:t xml:space="preserve">The moderation approach adopted for the charges recommended in this paper is the same as included in the 2021 Determination. It applies differential rates of increase in the estimated charges for different types of powered units and trailers while maintaining the same overall revenue as would be achieved from a uniform percentage charge increase applied to all powered units and trailers. </w:t>
      </w:r>
    </w:p>
    <w:p w14:paraId="72A5A016" w14:textId="77777777" w:rsidR="00B07987" w:rsidRDefault="00B07987" w:rsidP="00B07987">
      <w:pPr>
        <w:pStyle w:val="BodyCopy"/>
      </w:pPr>
      <w:r>
        <w:t xml:space="preserve">That is, certain registration charges increase faster (1.5 percentage points higher than the specified annual percentage figure) to help reduce the degree of cross-subsidisation while still retaining some pragmatism about the rate of increase in charges that can be implemented for those vehicle classes. </w:t>
      </w:r>
    </w:p>
    <w:p w14:paraId="56FB50D8" w14:textId="77777777" w:rsidR="00B07987" w:rsidRDefault="00B07987" w:rsidP="00B07987">
      <w:pPr>
        <w:pStyle w:val="BodyCopy"/>
      </w:pPr>
      <w:r>
        <w:t xml:space="preserve">Charges for other types of vehicles and trailers increase by less than the specified figure Overall, the amount of revenue collected nationally is the same as if the headline increases had been applied uniformly to all powered units and trailers.  </w:t>
      </w:r>
    </w:p>
    <w:p w14:paraId="02595B32" w14:textId="77777777" w:rsidR="00B07987" w:rsidRDefault="00B07987" w:rsidP="00B07987">
      <w:pPr>
        <w:pStyle w:val="BodyCopy"/>
      </w:pPr>
      <w:r>
        <w:t>This approach is consistent with the approach outlined in Section 6.5 on page 86 and included in the recommended price path in the 2021 Determination RIS.</w:t>
      </w:r>
    </w:p>
    <w:p w14:paraId="7623144A" w14:textId="583C7231" w:rsidR="001723FD" w:rsidRDefault="001723FD" w:rsidP="001723FD">
      <w:pPr>
        <w:pStyle w:val="Heading2"/>
      </w:pPr>
      <w:bookmarkStart w:id="136" w:name="_Toc121234766"/>
      <w:r>
        <w:t>Stakeholder feedback and submissions</w:t>
      </w:r>
      <w:bookmarkEnd w:id="136"/>
    </w:p>
    <w:p w14:paraId="139A5C38" w14:textId="77777777" w:rsidR="00C45B16" w:rsidRDefault="00856AF9" w:rsidP="001723FD">
      <w:pPr>
        <w:pStyle w:val="BodyCopy"/>
      </w:pPr>
      <w:r>
        <w:t>Most s</w:t>
      </w:r>
      <w:r w:rsidR="00EA0DC8">
        <w:t>u</w:t>
      </w:r>
      <w:r w:rsidR="00F325F2">
        <w:t xml:space="preserve">bmissions raised the issue of affordability in paying </w:t>
      </w:r>
      <w:r w:rsidR="001F0284">
        <w:t xml:space="preserve">for </w:t>
      </w:r>
      <w:r w:rsidR="008372B1">
        <w:t>charge increa</w:t>
      </w:r>
      <w:r w:rsidR="008C1D21">
        <w:t xml:space="preserve">ses other than </w:t>
      </w:r>
      <w:r w:rsidR="0042038D">
        <w:t>the least amount possible</w:t>
      </w:r>
      <w:r w:rsidR="001A662B">
        <w:t xml:space="preserve"> due to high fuel costs, </w:t>
      </w:r>
      <w:r w:rsidR="007304E4">
        <w:t xml:space="preserve">covid impacts, </w:t>
      </w:r>
      <w:r w:rsidR="00150EFE">
        <w:t xml:space="preserve">inflation and other cost pressures. </w:t>
      </w:r>
    </w:p>
    <w:p w14:paraId="4099AB88" w14:textId="0A5FCF4A" w:rsidR="00856AF9" w:rsidRDefault="0042038D" w:rsidP="001723FD">
      <w:pPr>
        <w:pStyle w:val="BodyCopy"/>
      </w:pPr>
      <w:r>
        <w:t>For</w:t>
      </w:r>
      <w:r w:rsidR="002D3A7F">
        <w:t xml:space="preserve"> example</w:t>
      </w:r>
      <w:r w:rsidR="0088079B">
        <w:t xml:space="preserve">, </w:t>
      </w:r>
      <w:r w:rsidR="00ED18D0">
        <w:t>the ATA and Nat</w:t>
      </w:r>
      <w:r w:rsidR="009951F2">
        <w:t>r</w:t>
      </w:r>
      <w:r w:rsidR="00ED18D0">
        <w:t xml:space="preserve">oad </w:t>
      </w:r>
      <w:r w:rsidR="00C45B16">
        <w:t>support</w:t>
      </w:r>
      <w:r w:rsidR="00ED18D0">
        <w:t xml:space="preserve"> a zero increase in 20</w:t>
      </w:r>
      <w:r w:rsidR="005C6C6A">
        <w:t>23-24 and 2.75% in the rema</w:t>
      </w:r>
      <w:r w:rsidR="0027630A">
        <w:t>inder of the three year period</w:t>
      </w:r>
      <w:r w:rsidR="008848FD">
        <w:t xml:space="preserve">. </w:t>
      </w:r>
      <w:r w:rsidR="005E1CC8">
        <w:t xml:space="preserve"> The ALRTA, BIC and MTA (N</w:t>
      </w:r>
      <w:r w:rsidR="006D1A91">
        <w:t>T</w:t>
      </w:r>
      <w:r w:rsidR="005E1CC8">
        <w:t>/SA)</w:t>
      </w:r>
      <w:r w:rsidR="006D1A91">
        <w:t xml:space="preserve"> all supported Option</w:t>
      </w:r>
      <w:r w:rsidR="00C45B16">
        <w:t> </w:t>
      </w:r>
      <w:r w:rsidR="006D1A91">
        <w:t>1 at 2.75% per annum</w:t>
      </w:r>
      <w:r w:rsidR="00C45B16">
        <w:t xml:space="preserve"> over three years</w:t>
      </w:r>
      <w:r w:rsidR="00D56757">
        <w:t xml:space="preserve">. </w:t>
      </w:r>
    </w:p>
    <w:p w14:paraId="7170D9E0" w14:textId="37939AAD" w:rsidR="00936A28" w:rsidRDefault="00936A28" w:rsidP="00936A28">
      <w:pPr>
        <w:pStyle w:val="BodyCopy"/>
      </w:pPr>
      <w:r>
        <w:t>The ATA</w:t>
      </w:r>
      <w:r w:rsidR="00C32A5B">
        <w:t xml:space="preserve"> submitted that it</w:t>
      </w:r>
      <w:r>
        <w:t xml:space="preserve"> has previously shown that industry customers do not accept charge increases greater than CPI, if they accept them at all. Accordingly, the NTC should, before providing its final recommendations to ministers, consider</w:t>
      </w:r>
      <w:r w:rsidR="00C32A5B">
        <w:t>:</w:t>
      </w:r>
      <w:r>
        <w:t xml:space="preserve">                                                                                                                       </w:t>
      </w:r>
    </w:p>
    <w:p w14:paraId="1163505D" w14:textId="02A77DB0" w:rsidR="00936A28" w:rsidRDefault="00936A28" w:rsidP="007E3B8E">
      <w:pPr>
        <w:pStyle w:val="List-bulletlvl1"/>
      </w:pPr>
      <w:r>
        <w:t>the inflation forecasts in the RBA’s November 2022 Statement of Monetary Policy</w:t>
      </w:r>
    </w:p>
    <w:p w14:paraId="2A0EC3E6" w14:textId="26FBA636" w:rsidR="00936A28" w:rsidRDefault="00936A28" w:rsidP="007E3B8E">
      <w:pPr>
        <w:pStyle w:val="List-bulletlvl1"/>
      </w:pPr>
      <w:r>
        <w:t>the inflation forecasts in the 2022-23 October Budget, to be released on 25 October 2022.</w:t>
      </w:r>
    </w:p>
    <w:p w14:paraId="01043B77" w14:textId="6B3F9C9A" w:rsidR="005A32EA" w:rsidRDefault="007E3B8E" w:rsidP="00936A28">
      <w:pPr>
        <w:pStyle w:val="BodyCopy"/>
      </w:pPr>
      <w:r>
        <w:t xml:space="preserve">The ATA </w:t>
      </w:r>
      <w:r w:rsidR="00E5131D">
        <w:t>stated that n</w:t>
      </w:r>
      <w:r w:rsidR="00936A28">
        <w:t>o charge increases above the consumer price inflation forecasts should be considered, even if ministers do not consider it appropriate to adopt the ATA recommendation</w:t>
      </w:r>
      <w:r w:rsidR="00327936">
        <w:t xml:space="preserve">. </w:t>
      </w:r>
    </w:p>
    <w:p w14:paraId="110939E1" w14:textId="60D32EF3" w:rsidR="001723FD" w:rsidRDefault="00DB001A" w:rsidP="001723FD">
      <w:pPr>
        <w:pStyle w:val="Heading2"/>
      </w:pPr>
      <w:bookmarkStart w:id="137" w:name="_Toc121234767"/>
      <w:r>
        <w:t>Response to feedback and submissions</w:t>
      </w:r>
      <w:bookmarkEnd w:id="137"/>
    </w:p>
    <w:p w14:paraId="431C01EE" w14:textId="15382ABC" w:rsidR="00F640DD" w:rsidRDefault="006A5C67" w:rsidP="00354FE0">
      <w:pPr>
        <w:pStyle w:val="BodyCopy"/>
      </w:pPr>
      <w:r w:rsidRPr="006A5C67">
        <w:t xml:space="preserve">The NTC notes the </w:t>
      </w:r>
      <w:r w:rsidR="009C6DB3">
        <w:t>industr</w:t>
      </w:r>
      <w:r w:rsidR="00046DAD">
        <w:t xml:space="preserve">y’s strong preference </w:t>
      </w:r>
      <w:r w:rsidR="00151787">
        <w:t xml:space="preserve">for </w:t>
      </w:r>
      <w:r w:rsidR="00F640DD">
        <w:t>low rate of charge increase over the next thr</w:t>
      </w:r>
      <w:r w:rsidR="00D070A2">
        <w:t xml:space="preserve">ee years and </w:t>
      </w:r>
      <w:r w:rsidR="0068671E">
        <w:t xml:space="preserve">acknowledges the many challenges the industry has had </w:t>
      </w:r>
      <w:r w:rsidR="00394A99">
        <w:t>including the recent upsurge in fuel prices and sharp rise in inflation.</w:t>
      </w:r>
    </w:p>
    <w:p w14:paraId="72B945A6" w14:textId="00750472" w:rsidR="00C55927" w:rsidRDefault="00E5131D" w:rsidP="00354FE0">
      <w:pPr>
        <w:pStyle w:val="BodyCopy"/>
      </w:pPr>
      <w:r>
        <w:t xml:space="preserve">Given </w:t>
      </w:r>
      <w:r w:rsidR="0056011B">
        <w:t>ministers’ previous decisions on heavy vehicle charges, t</w:t>
      </w:r>
      <w:r w:rsidR="0068671E" w:rsidRPr="0068671E">
        <w:t xml:space="preserve">he industry has benefited from </w:t>
      </w:r>
      <w:r w:rsidR="0056011B">
        <w:t>zero to low</w:t>
      </w:r>
      <w:r w:rsidR="0068671E" w:rsidRPr="0068671E">
        <w:t xml:space="preserve"> increases in charges for a number of years whilst the cost base has increased significantly</w:t>
      </w:r>
      <w:r w:rsidR="0056011B">
        <w:t>. The increases in the cost base</w:t>
      </w:r>
      <w:r w:rsidR="0068671E" w:rsidRPr="0068671E">
        <w:t xml:space="preserve"> over the same period</w:t>
      </w:r>
      <w:r w:rsidR="0056011B">
        <w:t xml:space="preserve"> reflect </w:t>
      </w:r>
      <w:r w:rsidR="0068671E" w:rsidRPr="0068671E">
        <w:t xml:space="preserve">record levels of road expenditure that has benefited all road users. </w:t>
      </w:r>
    </w:p>
    <w:p w14:paraId="5E70E6E2" w14:textId="32B6C5A4" w:rsidR="00C55927" w:rsidRDefault="00BC1D40" w:rsidP="00354FE0">
      <w:pPr>
        <w:pStyle w:val="BodyCopy"/>
      </w:pPr>
      <w:r>
        <w:t xml:space="preserve">Industry concerns need to be balanced against governments’ need for revenue to support continued investment in the road network.  </w:t>
      </w:r>
    </w:p>
    <w:p w14:paraId="1B582AD0" w14:textId="25CC8BBF" w:rsidR="00481273" w:rsidRPr="00C32B44" w:rsidRDefault="001723FD" w:rsidP="00481273">
      <w:pPr>
        <w:pStyle w:val="Heading1"/>
        <w:rPr>
          <w:rFonts w:eastAsia="Cambria"/>
        </w:rPr>
      </w:pPr>
      <w:bookmarkStart w:id="138" w:name="_Toc114042889"/>
      <w:bookmarkStart w:id="139" w:name="_Toc121234768"/>
      <w:r>
        <w:t xml:space="preserve">Assessment </w:t>
      </w:r>
      <w:bookmarkEnd w:id="138"/>
      <w:r>
        <w:t>and final recommendation</w:t>
      </w:r>
      <w:bookmarkEnd w:id="139"/>
    </w:p>
    <w:p w14:paraId="206F1BF2" w14:textId="77777777" w:rsidR="00481273" w:rsidRDefault="00481273" w:rsidP="00481273">
      <w:pPr>
        <w:pStyle w:val="Heading2"/>
      </w:pPr>
      <w:bookmarkStart w:id="140" w:name="_Toc114042890"/>
      <w:bookmarkStart w:id="141" w:name="_Toc121234769"/>
      <w:bookmarkStart w:id="142" w:name="_Ref109830853"/>
      <w:r>
        <w:t>Pricing Principles</w:t>
      </w:r>
      <w:bookmarkEnd w:id="140"/>
      <w:bookmarkEnd w:id="141"/>
    </w:p>
    <w:p w14:paraId="618FE299" w14:textId="1C0EF3FF" w:rsidR="00481273" w:rsidRDefault="00481273" w:rsidP="00481273">
      <w:pPr>
        <w:pStyle w:val="BodyCopy"/>
      </w:pPr>
      <w:r>
        <w:t xml:space="preserve">When assessing the conceptual approaches developed in Section </w:t>
      </w:r>
      <w:r>
        <w:fldChar w:fldCharType="begin"/>
      </w:r>
      <w:r>
        <w:instrText xml:space="preserve"> REF _Ref110408348 \r \h </w:instrText>
      </w:r>
      <w:r>
        <w:fldChar w:fldCharType="separate"/>
      </w:r>
      <w:r w:rsidR="0043504D">
        <w:t>5</w:t>
      </w:r>
      <w:r>
        <w:fldChar w:fldCharType="end"/>
      </w:r>
      <w:r>
        <w:t xml:space="preserve">, the NTC is bound by the pricing principles. </w:t>
      </w:r>
    </w:p>
    <w:p w14:paraId="67F4FB4F" w14:textId="77777777" w:rsidR="00481273" w:rsidRPr="00905131" w:rsidRDefault="00481273" w:rsidP="00481273">
      <w:pPr>
        <w:pStyle w:val="BodyCopy"/>
      </w:pPr>
      <w:r>
        <w:t xml:space="preserve">The </w:t>
      </w:r>
      <w:r w:rsidRPr="00905131">
        <w:t>COAG principles</w:t>
      </w:r>
      <w:r w:rsidRPr="00905131">
        <w:rPr>
          <w:rStyle w:val="FootnoteReference"/>
          <w:rFonts w:ascii="Times New Roman" w:hAnsi="Times New Roman"/>
          <w:b/>
          <w:color w:val="24272A" w:themeColor="text1"/>
          <w:sz w:val="20"/>
        </w:rPr>
        <w:footnoteReference w:id="11"/>
      </w:r>
      <w:r w:rsidRPr="00905131">
        <w:t xml:space="preserve"> are:</w:t>
      </w:r>
    </w:p>
    <w:p w14:paraId="3C59E143" w14:textId="77777777" w:rsidR="00481273" w:rsidRPr="00262FD0" w:rsidRDefault="00481273" w:rsidP="00481273">
      <w:pPr>
        <w:pStyle w:val="BodyCopy"/>
        <w:rPr>
          <w:i/>
        </w:rPr>
      </w:pPr>
      <w:r w:rsidRPr="00262FD0">
        <w:rPr>
          <w:i/>
        </w:rPr>
        <w:t xml:space="preserve">“ATC direct the NTC, in developing its Determination, to apply principles and methods that </w:t>
      </w:r>
    </w:p>
    <w:p w14:paraId="5F239FD4" w14:textId="77777777" w:rsidR="00481273" w:rsidRPr="00262FD0" w:rsidRDefault="00481273" w:rsidP="004F3C74">
      <w:pPr>
        <w:pStyle w:val="List-bulletlvl1"/>
        <w:numPr>
          <w:ilvl w:val="0"/>
          <w:numId w:val="20"/>
        </w:numPr>
        <w:rPr>
          <w:i/>
        </w:rPr>
      </w:pPr>
      <w:r w:rsidRPr="00262FD0">
        <w:rPr>
          <w:i/>
        </w:rPr>
        <w:t xml:space="preserve">ensure the delivery of full cost recovery in aggregate, </w:t>
      </w:r>
    </w:p>
    <w:p w14:paraId="74B775B5" w14:textId="77777777" w:rsidR="00481273" w:rsidRPr="00262FD0" w:rsidRDefault="00481273" w:rsidP="004F3C74">
      <w:pPr>
        <w:pStyle w:val="List-bulletlvl1"/>
        <w:numPr>
          <w:ilvl w:val="0"/>
          <w:numId w:val="20"/>
        </w:numPr>
        <w:rPr>
          <w:i/>
        </w:rPr>
      </w:pPr>
      <w:r w:rsidRPr="00262FD0">
        <w:rPr>
          <w:i/>
        </w:rPr>
        <w:t xml:space="preserve">further develop indexation adjustment arrangements to ensure the ongoing delivery of full expenditure recovery in aggregate and </w:t>
      </w:r>
    </w:p>
    <w:p w14:paraId="3D2B9DF6" w14:textId="77777777" w:rsidR="00481273" w:rsidRPr="00262FD0" w:rsidRDefault="00481273" w:rsidP="004F3C74">
      <w:pPr>
        <w:pStyle w:val="List-bulletlvl1"/>
        <w:numPr>
          <w:ilvl w:val="0"/>
          <w:numId w:val="20"/>
        </w:numPr>
        <w:rPr>
          <w:i/>
        </w:rPr>
      </w:pPr>
      <w:r w:rsidRPr="00262FD0">
        <w:rPr>
          <w:i/>
        </w:rPr>
        <w:t>remove cross-subsidisation across different heavy vehicle classes,</w:t>
      </w:r>
    </w:p>
    <w:p w14:paraId="4D57ADEC" w14:textId="77777777" w:rsidR="00481273" w:rsidRPr="00262FD0" w:rsidRDefault="00481273" w:rsidP="00481273">
      <w:pPr>
        <w:pStyle w:val="BodyCopy"/>
        <w:rPr>
          <w:i/>
          <w:iCs/>
        </w:rPr>
      </w:pPr>
      <w:r w:rsidRPr="00262FD0">
        <w:rPr>
          <w:i/>
          <w:iCs/>
        </w:rPr>
        <w:t>recognising that transition to any new arrangement may require a phased approach”.</w:t>
      </w:r>
    </w:p>
    <w:p w14:paraId="37B8227B" w14:textId="77777777" w:rsidR="00481273" w:rsidRPr="00262FD0" w:rsidRDefault="00481273" w:rsidP="00481273">
      <w:pPr>
        <w:pStyle w:val="BodyCopy"/>
        <w:rPr>
          <w:u w:val="single"/>
        </w:rPr>
      </w:pPr>
      <w:r w:rsidRPr="00262FD0">
        <w:rPr>
          <w:u w:val="single"/>
        </w:rPr>
        <w:t>ATC/SCOTI guiding principles</w:t>
      </w:r>
      <w:r w:rsidRPr="00262FD0">
        <w:rPr>
          <w:rStyle w:val="FootnoteReference"/>
          <w:rFonts w:ascii="Times New Roman" w:hAnsi="Times New Roman"/>
          <w:color w:val="24272A" w:themeColor="text1"/>
          <w:sz w:val="20"/>
          <w:u w:val="single"/>
        </w:rPr>
        <w:footnoteReference w:id="12"/>
      </w:r>
    </w:p>
    <w:p w14:paraId="2E0FAA2B" w14:textId="77777777" w:rsidR="00481273" w:rsidRPr="00262FD0" w:rsidRDefault="00481273" w:rsidP="00481273">
      <w:pPr>
        <w:pStyle w:val="BodyCopy"/>
        <w:rPr>
          <w:i/>
        </w:rPr>
      </w:pPr>
      <w:r w:rsidRPr="00262FD0">
        <w:rPr>
          <w:i/>
        </w:rPr>
        <w:t>“National heavy vehicle road use prices should promote optimal use of infrastructure, vehicles and transport modes. This is subject to the following:</w:t>
      </w:r>
    </w:p>
    <w:p w14:paraId="29FFF329" w14:textId="77777777" w:rsidR="00481273" w:rsidRPr="00262FD0" w:rsidRDefault="00481273" w:rsidP="004F3C74">
      <w:pPr>
        <w:pStyle w:val="List-bulletlvl1"/>
        <w:numPr>
          <w:ilvl w:val="0"/>
          <w:numId w:val="21"/>
        </w:numPr>
        <w:rPr>
          <w:i/>
        </w:rPr>
      </w:pPr>
      <w:r w:rsidRPr="00262FD0">
        <w:rPr>
          <w:i/>
        </w:rPr>
        <w:t>full recovery of allocated infrastructure costs while minimising both the over and under recovery from any class of vehicle</w:t>
      </w:r>
    </w:p>
    <w:p w14:paraId="5B2046EE" w14:textId="77777777" w:rsidR="00481273" w:rsidRPr="00262FD0" w:rsidRDefault="00481273" w:rsidP="004F3C74">
      <w:pPr>
        <w:pStyle w:val="List-bulletlvl1"/>
        <w:numPr>
          <w:ilvl w:val="0"/>
          <w:numId w:val="21"/>
        </w:numPr>
        <w:rPr>
          <w:i/>
        </w:rPr>
      </w:pPr>
      <w:r w:rsidRPr="00262FD0">
        <w:rPr>
          <w:i/>
        </w:rPr>
        <w:t>cost effectiveness of pricing instruments</w:t>
      </w:r>
    </w:p>
    <w:p w14:paraId="004E0CE7" w14:textId="77777777" w:rsidR="00481273" w:rsidRPr="00262FD0" w:rsidRDefault="00481273" w:rsidP="004F3C74">
      <w:pPr>
        <w:pStyle w:val="List-bulletlvl1"/>
        <w:numPr>
          <w:ilvl w:val="0"/>
          <w:numId w:val="21"/>
        </w:numPr>
        <w:rPr>
          <w:i/>
        </w:rPr>
      </w:pPr>
      <w:r w:rsidRPr="00262FD0">
        <w:rPr>
          <w:i/>
        </w:rPr>
        <w:t>transparency</w:t>
      </w:r>
    </w:p>
    <w:p w14:paraId="4D51B7BC" w14:textId="77777777" w:rsidR="00481273" w:rsidRPr="00262FD0" w:rsidRDefault="00481273" w:rsidP="004F3C74">
      <w:pPr>
        <w:pStyle w:val="List-bulletlvl1"/>
        <w:numPr>
          <w:ilvl w:val="0"/>
          <w:numId w:val="21"/>
        </w:numPr>
        <w:rPr>
          <w:i/>
        </w:rPr>
      </w:pPr>
      <w:r w:rsidRPr="00262FD0">
        <w:rPr>
          <w:i/>
        </w:rPr>
        <w:t>the need to balance administrative simplicity, efficiency and equity (e.g. impact on regional and remote communities/access)</w:t>
      </w:r>
    </w:p>
    <w:p w14:paraId="53027B84" w14:textId="77777777" w:rsidR="00481273" w:rsidRPr="00262FD0" w:rsidRDefault="00481273" w:rsidP="004F3C74">
      <w:pPr>
        <w:pStyle w:val="List-bulletlvl1"/>
        <w:numPr>
          <w:ilvl w:val="0"/>
          <w:numId w:val="21"/>
        </w:numPr>
        <w:rPr>
          <w:i/>
        </w:rPr>
      </w:pPr>
      <w:r w:rsidRPr="00262FD0">
        <w:rPr>
          <w:i/>
        </w:rPr>
        <w:t>the need to have regard to other pricing applications such as light vehicle charges, tolling and congestion.”</w:t>
      </w:r>
    </w:p>
    <w:p w14:paraId="21496579" w14:textId="77777777" w:rsidR="00481273" w:rsidRDefault="00481273" w:rsidP="00481273">
      <w:pPr>
        <w:pStyle w:val="BodyCopy"/>
      </w:pPr>
      <w:r w:rsidRPr="00BC2662">
        <w:t xml:space="preserve">Both the ATC and COAG principles are standing principles until the relevant </w:t>
      </w:r>
      <w:r>
        <w:t xml:space="preserve">authority changes them and are </w:t>
      </w:r>
      <w:r w:rsidRPr="00BC2662">
        <w:t xml:space="preserve">binding on </w:t>
      </w:r>
      <w:r>
        <w:t xml:space="preserve">the </w:t>
      </w:r>
      <w:r w:rsidRPr="00BC2662">
        <w:t>NTC.</w:t>
      </w:r>
    </w:p>
    <w:p w14:paraId="696D54D5" w14:textId="35E2811D" w:rsidR="009001C2" w:rsidRDefault="00CC32C8" w:rsidP="009001C2">
      <w:pPr>
        <w:pStyle w:val="Heading2"/>
        <w:numPr>
          <w:ilvl w:val="1"/>
          <w:numId w:val="27"/>
        </w:numPr>
      </w:pPr>
      <w:bookmarkStart w:id="143" w:name="_Toc121234770"/>
      <w:r>
        <w:t>Relevant considerations</w:t>
      </w:r>
      <w:bookmarkEnd w:id="143"/>
    </w:p>
    <w:p w14:paraId="225C6492" w14:textId="77777777" w:rsidR="009001C2" w:rsidRDefault="009001C2" w:rsidP="009001C2">
      <w:pPr>
        <w:pStyle w:val="Head3-noTOC"/>
      </w:pPr>
      <w:r>
        <w:t>The pricing principles</w:t>
      </w:r>
    </w:p>
    <w:p w14:paraId="4D8AEBD0" w14:textId="77777777" w:rsidR="009001C2" w:rsidRDefault="009001C2" w:rsidP="009001C2">
      <w:pPr>
        <w:pStyle w:val="BodyText1"/>
      </w:pPr>
      <w:r>
        <w:t>Of the pricing principles, the following are most relevant to the options under consideration:</w:t>
      </w:r>
    </w:p>
    <w:p w14:paraId="65855BEF" w14:textId="77777777" w:rsidR="009001C2" w:rsidRDefault="009001C2" w:rsidP="009001C2">
      <w:pPr>
        <w:pStyle w:val="List-bulletlvl1"/>
      </w:pPr>
      <w:r>
        <w:t>fully recovering infrastructure costs while minimising both the over- and under-recovery from any class of vehicle</w:t>
      </w:r>
    </w:p>
    <w:p w14:paraId="4824C3B4" w14:textId="77777777" w:rsidR="009001C2" w:rsidRDefault="009001C2" w:rsidP="009001C2">
      <w:pPr>
        <w:pStyle w:val="List-bulletlvl1"/>
      </w:pPr>
      <w:r>
        <w:t xml:space="preserve">administrative simplicity, efficiency and equity (e.g. impact on regional and remote communities/access). </w:t>
      </w:r>
    </w:p>
    <w:p w14:paraId="4574AF1A" w14:textId="77777777" w:rsidR="009001C2" w:rsidRDefault="009001C2" w:rsidP="009001C2">
      <w:pPr>
        <w:pStyle w:val="BodyCopy"/>
      </w:pPr>
      <w:r>
        <w:t xml:space="preserve">Our interpretation of these principles is that cost recovery remains at the centre of heavy vehicle charges, but that other considerations, such as equity and the impact on regional and remote communities need to be taken into account. </w:t>
      </w:r>
    </w:p>
    <w:p w14:paraId="6871DE8B" w14:textId="77777777" w:rsidR="009001C2" w:rsidRDefault="009001C2">
      <w:pPr>
        <w:pStyle w:val="BodyCopy"/>
        <w:rPr>
          <w:b/>
          <w:bCs/>
        </w:rPr>
      </w:pPr>
      <w:r>
        <w:rPr>
          <w:b/>
          <w:bCs/>
        </w:rPr>
        <w:t>Measuring the heavy vehicle cost base – methodology and implications</w:t>
      </w:r>
    </w:p>
    <w:p w14:paraId="7373620B" w14:textId="2D106FB6" w:rsidR="009001C2" w:rsidRDefault="009001C2">
      <w:pPr>
        <w:pStyle w:val="BodyCopy"/>
      </w:pPr>
      <w:r>
        <w:t xml:space="preserve">The PAYGO model has been operating, since 1996. The methodology has been thoroughly reviewed as part of determinations in </w:t>
      </w:r>
      <w:r w:rsidR="003E51AD">
        <w:t>2000</w:t>
      </w:r>
      <w:r>
        <w:t xml:space="preserve">, </w:t>
      </w:r>
      <w:r w:rsidR="003E51AD">
        <w:t>2008</w:t>
      </w:r>
      <w:r>
        <w:t xml:space="preserve">, 2014 and 2021. Over this time, its fundamental architecture aiming at recovery of road expenditure reported by governments has been unchanged. </w:t>
      </w:r>
    </w:p>
    <w:p w14:paraId="2C854140" w14:textId="4AB33D42" w:rsidR="009001C2" w:rsidRDefault="009001C2">
      <w:pPr>
        <w:pStyle w:val="BodyCopy"/>
      </w:pPr>
      <w:r>
        <w:t xml:space="preserve">Table </w:t>
      </w:r>
      <w:r w:rsidR="008A2169">
        <w:t>13</w:t>
      </w:r>
      <w:r>
        <w:t xml:space="preserve"> </w:t>
      </w:r>
      <w:r w:rsidR="008A2169">
        <w:t>s</w:t>
      </w:r>
      <w:r>
        <w:t xml:space="preserve">hows the percentage of total allocable expenditure (expenditure after </w:t>
      </w:r>
      <w:r w:rsidR="00DD6F52">
        <w:t>adjustments such</w:t>
      </w:r>
      <w:r w:rsidR="008A2169">
        <w:t xml:space="preserve"> as unsealed travel and community service obligation allowances</w:t>
      </w:r>
      <w:r w:rsidR="00921EC4">
        <w:t>)</w:t>
      </w:r>
      <w:r w:rsidR="008A2169">
        <w:t xml:space="preserve"> </w:t>
      </w:r>
      <w:r>
        <w:t xml:space="preserve">over time. This shows that the heavy vehicle cost base has represented a relatively stable proportion of overall expenditure. This shows not only that model outcomes are stable, but also shows that changes in the heavy vehicle cost base are primarily driven by expenditure rather than changes in the model.  </w:t>
      </w:r>
    </w:p>
    <w:p w14:paraId="3F1BC0AB" w14:textId="77777777" w:rsidR="008A2169" w:rsidRPr="008A2169" w:rsidRDefault="008A2169" w:rsidP="008A2169">
      <w:pPr>
        <w:keepNext/>
        <w:keepLines/>
        <w:numPr>
          <w:ilvl w:val="0"/>
          <w:numId w:val="3"/>
        </w:numPr>
        <w:tabs>
          <w:tab w:val="left" w:pos="1021"/>
        </w:tabs>
        <w:spacing w:before="240" w:after="120"/>
        <w:rPr>
          <w:b/>
          <w:sz w:val="22"/>
        </w:rPr>
      </w:pPr>
      <w:r w:rsidRPr="008A2169">
        <w:rPr>
          <w:b/>
          <w:sz w:val="22"/>
        </w:rPr>
        <w:t>Percentage of total allocated road expenditure allocated to heavy vehicles</w:t>
      </w:r>
    </w:p>
    <w:tbl>
      <w:tblPr>
        <w:tblStyle w:val="NTCtable"/>
        <w:tblW w:w="5000" w:type="pct"/>
        <w:tblLayout w:type="fixed"/>
        <w:tblLook w:val="04A0" w:firstRow="1" w:lastRow="0" w:firstColumn="1" w:lastColumn="0" w:noHBand="0" w:noVBand="1"/>
      </w:tblPr>
      <w:tblGrid>
        <w:gridCol w:w="1554"/>
        <w:gridCol w:w="1071"/>
        <w:gridCol w:w="1069"/>
        <w:gridCol w:w="1067"/>
        <w:gridCol w:w="1067"/>
        <w:gridCol w:w="1067"/>
        <w:gridCol w:w="1067"/>
        <w:gridCol w:w="1065"/>
      </w:tblGrid>
      <w:tr w:rsidR="008A2169" w:rsidRPr="008A2169" w14:paraId="05ABB2F2" w14:textId="77777777" w:rsidTr="00026E43">
        <w:trPr>
          <w:cnfStyle w:val="100000000000" w:firstRow="1" w:lastRow="0" w:firstColumn="0" w:lastColumn="0" w:oddVBand="0" w:evenVBand="0" w:oddHBand="0" w:evenHBand="0" w:firstRowFirstColumn="0" w:firstRowLastColumn="0" w:lastRowFirstColumn="0" w:lastRowLastColumn="0"/>
          <w:trHeight w:val="544"/>
        </w:trPr>
        <w:tc>
          <w:tcPr>
            <w:tcW w:w="861" w:type="pct"/>
          </w:tcPr>
          <w:p w14:paraId="26BB2BE0" w14:textId="77777777" w:rsidR="008A2169" w:rsidRPr="008A2169" w:rsidRDefault="008A2169" w:rsidP="008A2169">
            <w:pPr>
              <w:spacing w:before="0" w:after="0"/>
              <w:rPr>
                <w:rFonts w:eastAsia="Cambria"/>
                <w:b/>
                <w:bCs/>
                <w:color w:val="000000"/>
              </w:rPr>
            </w:pPr>
          </w:p>
        </w:tc>
        <w:tc>
          <w:tcPr>
            <w:tcW w:w="593" w:type="pct"/>
          </w:tcPr>
          <w:p w14:paraId="758EFC59"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2015-16</w:t>
            </w:r>
          </w:p>
        </w:tc>
        <w:tc>
          <w:tcPr>
            <w:tcW w:w="592" w:type="pct"/>
          </w:tcPr>
          <w:p w14:paraId="0973E995"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2016-17</w:t>
            </w:r>
          </w:p>
        </w:tc>
        <w:tc>
          <w:tcPr>
            <w:tcW w:w="591" w:type="pct"/>
          </w:tcPr>
          <w:p w14:paraId="3ED4A75C"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2017-18</w:t>
            </w:r>
          </w:p>
        </w:tc>
        <w:tc>
          <w:tcPr>
            <w:tcW w:w="591" w:type="pct"/>
          </w:tcPr>
          <w:p w14:paraId="7F255108"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2018-19</w:t>
            </w:r>
          </w:p>
        </w:tc>
        <w:tc>
          <w:tcPr>
            <w:tcW w:w="591" w:type="pct"/>
          </w:tcPr>
          <w:p w14:paraId="55A28D3A"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2019-20</w:t>
            </w:r>
          </w:p>
        </w:tc>
        <w:tc>
          <w:tcPr>
            <w:tcW w:w="591" w:type="pct"/>
          </w:tcPr>
          <w:p w14:paraId="5810C482"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2020-21</w:t>
            </w:r>
          </w:p>
        </w:tc>
        <w:tc>
          <w:tcPr>
            <w:tcW w:w="590" w:type="pct"/>
          </w:tcPr>
          <w:p w14:paraId="164F9249" w14:textId="77777777" w:rsidR="008A2169" w:rsidRPr="008A2169" w:rsidRDefault="008A2169" w:rsidP="008A2169">
            <w:pPr>
              <w:spacing w:before="240" w:after="120"/>
              <w:jc w:val="center"/>
              <w:rPr>
                <w:rFonts w:eastAsia="Cambria"/>
                <w:b/>
                <w:bCs/>
                <w:color w:val="000000"/>
              </w:rPr>
            </w:pPr>
            <w:r w:rsidRPr="008A2169">
              <w:rPr>
                <w:rFonts w:eastAsia="Cambria"/>
                <w:b/>
                <w:bCs/>
                <w:color w:val="000000"/>
              </w:rPr>
              <w:t>2021-22</w:t>
            </w:r>
          </w:p>
        </w:tc>
      </w:tr>
      <w:tr w:rsidR="008A2169" w:rsidRPr="008A2169" w14:paraId="612169A3" w14:textId="77777777" w:rsidTr="00DD6F52">
        <w:tc>
          <w:tcPr>
            <w:tcW w:w="861" w:type="pct"/>
          </w:tcPr>
          <w:p w14:paraId="26FC98C6" w14:textId="45387BF3" w:rsidR="008A2169" w:rsidRPr="008A2169" w:rsidRDefault="00DD6F52" w:rsidP="008A2169">
            <w:pPr>
              <w:spacing w:before="0" w:after="0"/>
              <w:rPr>
                <w:rFonts w:eastAsia="Cambria"/>
                <w:color w:val="000000"/>
              </w:rPr>
            </w:pPr>
            <w:r>
              <w:rPr>
                <w:rFonts w:eastAsia="Cambria"/>
                <w:color w:val="000000"/>
              </w:rPr>
              <w:t>Percentage s</w:t>
            </w:r>
            <w:r w:rsidR="008A2169" w:rsidRPr="008A2169">
              <w:rPr>
                <w:rFonts w:eastAsia="Cambria"/>
                <w:color w:val="000000"/>
              </w:rPr>
              <w:t>hare of total allocated road expenditure</w:t>
            </w:r>
            <w:r>
              <w:rPr>
                <w:rFonts w:eastAsia="Cambria"/>
                <w:color w:val="000000"/>
              </w:rPr>
              <w:t xml:space="preserve"> allocated to heavy vehicles</w:t>
            </w:r>
          </w:p>
        </w:tc>
        <w:tc>
          <w:tcPr>
            <w:tcW w:w="593" w:type="pct"/>
            <w:vAlign w:val="center"/>
          </w:tcPr>
          <w:p w14:paraId="437DB9DF" w14:textId="77777777" w:rsidR="008A2169" w:rsidRPr="00DD6F52" w:rsidRDefault="008A2169" w:rsidP="00DD6F52">
            <w:pPr>
              <w:spacing w:before="240" w:after="120"/>
              <w:jc w:val="center"/>
              <w:rPr>
                <w:rFonts w:eastAsia="Cambria"/>
                <w:color w:val="000000"/>
              </w:rPr>
            </w:pPr>
            <w:r w:rsidRPr="00DD6F52">
              <w:rPr>
                <w:rFonts w:eastAsia="Cambria"/>
                <w:color w:val="000000"/>
              </w:rPr>
              <w:t>21.7%</w:t>
            </w:r>
          </w:p>
        </w:tc>
        <w:tc>
          <w:tcPr>
            <w:tcW w:w="592" w:type="pct"/>
            <w:vAlign w:val="center"/>
          </w:tcPr>
          <w:p w14:paraId="495086F7" w14:textId="77777777" w:rsidR="008A2169" w:rsidRPr="00DD6F52" w:rsidRDefault="008A2169" w:rsidP="00DD6F52">
            <w:pPr>
              <w:spacing w:before="240" w:after="120"/>
              <w:jc w:val="center"/>
              <w:rPr>
                <w:rFonts w:eastAsia="Cambria"/>
                <w:color w:val="000000"/>
              </w:rPr>
            </w:pPr>
            <w:r w:rsidRPr="00DD6F52">
              <w:rPr>
                <w:rFonts w:eastAsia="Cambria"/>
                <w:color w:val="000000"/>
              </w:rPr>
              <w:t>21.8%</w:t>
            </w:r>
          </w:p>
        </w:tc>
        <w:tc>
          <w:tcPr>
            <w:tcW w:w="591" w:type="pct"/>
            <w:vAlign w:val="center"/>
          </w:tcPr>
          <w:p w14:paraId="31567B3D" w14:textId="77777777" w:rsidR="008A2169" w:rsidRPr="00DD6F52" w:rsidRDefault="008A2169" w:rsidP="00DD6F52">
            <w:pPr>
              <w:spacing w:before="240" w:after="120"/>
              <w:jc w:val="center"/>
              <w:rPr>
                <w:rFonts w:eastAsia="Cambria"/>
                <w:color w:val="000000"/>
              </w:rPr>
            </w:pPr>
            <w:r w:rsidRPr="00DD6F52">
              <w:rPr>
                <w:rFonts w:eastAsia="Cambria"/>
                <w:color w:val="000000"/>
              </w:rPr>
              <w:t>21.4%</w:t>
            </w:r>
          </w:p>
        </w:tc>
        <w:tc>
          <w:tcPr>
            <w:tcW w:w="591" w:type="pct"/>
            <w:vAlign w:val="center"/>
          </w:tcPr>
          <w:p w14:paraId="5DC28DE7" w14:textId="77777777" w:rsidR="008A2169" w:rsidRPr="00DD6F52" w:rsidRDefault="008A2169" w:rsidP="00DD6F52">
            <w:pPr>
              <w:spacing w:before="240" w:after="120"/>
              <w:jc w:val="center"/>
              <w:rPr>
                <w:rFonts w:eastAsia="Cambria"/>
                <w:color w:val="000000"/>
              </w:rPr>
            </w:pPr>
            <w:r w:rsidRPr="00DD6F52">
              <w:rPr>
                <w:rFonts w:eastAsia="Cambria"/>
                <w:color w:val="000000"/>
              </w:rPr>
              <w:t>22.5%</w:t>
            </w:r>
          </w:p>
        </w:tc>
        <w:tc>
          <w:tcPr>
            <w:tcW w:w="591" w:type="pct"/>
            <w:vAlign w:val="center"/>
          </w:tcPr>
          <w:p w14:paraId="0BCAC058" w14:textId="77777777" w:rsidR="008A2169" w:rsidRPr="00DD6F52" w:rsidRDefault="008A2169" w:rsidP="00DD6F52">
            <w:pPr>
              <w:spacing w:before="240" w:after="120"/>
              <w:jc w:val="center"/>
              <w:rPr>
                <w:rFonts w:eastAsia="Cambria"/>
                <w:color w:val="000000"/>
              </w:rPr>
            </w:pPr>
            <w:r w:rsidRPr="00DD6F52">
              <w:rPr>
                <w:rFonts w:eastAsia="Cambria"/>
                <w:color w:val="000000"/>
              </w:rPr>
              <w:t>22.4%</w:t>
            </w:r>
          </w:p>
        </w:tc>
        <w:tc>
          <w:tcPr>
            <w:tcW w:w="591" w:type="pct"/>
            <w:vAlign w:val="center"/>
          </w:tcPr>
          <w:p w14:paraId="7C41B93F" w14:textId="77777777" w:rsidR="008A2169" w:rsidRPr="00DD6F52" w:rsidRDefault="008A2169" w:rsidP="00DD6F52">
            <w:pPr>
              <w:spacing w:before="240" w:after="120"/>
              <w:jc w:val="center"/>
              <w:rPr>
                <w:rFonts w:eastAsia="Cambria"/>
                <w:color w:val="000000"/>
              </w:rPr>
            </w:pPr>
            <w:r w:rsidRPr="00DD6F52">
              <w:rPr>
                <w:rFonts w:eastAsia="Cambria"/>
                <w:color w:val="000000"/>
              </w:rPr>
              <w:t>21.5%</w:t>
            </w:r>
          </w:p>
        </w:tc>
        <w:tc>
          <w:tcPr>
            <w:tcW w:w="590" w:type="pct"/>
            <w:vAlign w:val="center"/>
          </w:tcPr>
          <w:p w14:paraId="006C9875" w14:textId="77777777" w:rsidR="008A2169" w:rsidRPr="00DD6F52" w:rsidRDefault="008A2169" w:rsidP="00DD6F52">
            <w:pPr>
              <w:spacing w:before="240" w:after="120"/>
              <w:jc w:val="center"/>
              <w:rPr>
                <w:rFonts w:eastAsia="Cambria"/>
                <w:color w:val="000000"/>
              </w:rPr>
            </w:pPr>
            <w:r w:rsidRPr="00DD6F52">
              <w:rPr>
                <w:rFonts w:eastAsia="Cambria"/>
                <w:color w:val="000000"/>
              </w:rPr>
              <w:t>23.8%</w:t>
            </w:r>
          </w:p>
        </w:tc>
      </w:tr>
    </w:tbl>
    <w:p w14:paraId="5DEA54B4" w14:textId="6DB46CD2" w:rsidR="009001C2" w:rsidRDefault="009001C2">
      <w:pPr>
        <w:pStyle w:val="BodyCopy"/>
      </w:pPr>
      <w:r>
        <w:t xml:space="preserve">Some submitters have argued that the PAYGO model is broken and that the estimated heavy vehicle cost base is excessive. On the other hand, </w:t>
      </w:r>
      <w:r w:rsidR="00A64D02">
        <w:t>several</w:t>
      </w:r>
      <w:r>
        <w:t xml:space="preserve"> government agencies have expressed their view that the cost allocation mechanism is overly conservative. For example, the Victorian Department of Transport and Department of Treasury and Finance commissioned research which suggested that a greater proportion of costs should be allocated to heavy vehicles. This issue was considered in detail as part of the 2021 Determination.  </w:t>
      </w:r>
    </w:p>
    <w:p w14:paraId="01C05848" w14:textId="77777777" w:rsidR="009001C2" w:rsidRDefault="009001C2">
      <w:pPr>
        <w:pStyle w:val="BodyCopy"/>
      </w:pPr>
      <w:r>
        <w:t>While acknowledging some limitations in the input data and methodology used to estimate the heavy vehicle cost base, it is important to note the following:</w:t>
      </w:r>
    </w:p>
    <w:p w14:paraId="4B07824B" w14:textId="77777777" w:rsidR="009001C2" w:rsidRDefault="009001C2" w:rsidP="0066403A">
      <w:pPr>
        <w:pStyle w:val="List-bulletlvl1"/>
      </w:pPr>
      <w:r>
        <w:t xml:space="preserve">PAYGO is designed as a cost recovery mechanism reflecting actual total government expenditure on roads. The NTC has never had the ability, or the mandate to assess the quality of expenditure. PAYGO relies on the established processes where treasuries or independent infrastructure advisory agencies assess the justification for projects.  </w:t>
      </w:r>
    </w:p>
    <w:p w14:paraId="7A1E63AB" w14:textId="34860812" w:rsidR="009001C2" w:rsidRPr="002F046B" w:rsidRDefault="009001C2" w:rsidP="0066403A">
      <w:pPr>
        <w:pStyle w:val="List-bulletlvl1"/>
      </w:pPr>
      <w:r w:rsidRPr="002F046B">
        <w:t xml:space="preserve">The methodology in general, and the approach to cost allocation has been reviewed </w:t>
      </w:r>
      <w:r w:rsidR="009415CD" w:rsidRPr="002F046B">
        <w:t>several</w:t>
      </w:r>
      <w:r w:rsidRPr="002F046B">
        <w:t xml:space="preserve"> times. For example, in 2006, the Productivity Commission described the cost allocation as conservative. An independent review of the cost allocation parameters carried out by Houston Kemp in </w:t>
      </w:r>
      <w:r w:rsidR="00C36958" w:rsidRPr="002F046B">
        <w:t xml:space="preserve">2017 </w:t>
      </w:r>
      <w:r w:rsidRPr="002F046B">
        <w:t xml:space="preserve">found no </w:t>
      </w:r>
      <w:r w:rsidR="00C36958" w:rsidRPr="002F046B">
        <w:t xml:space="preserve">robust </w:t>
      </w:r>
      <w:r w:rsidRPr="002F046B">
        <w:t xml:space="preserve">evidence </w:t>
      </w:r>
      <w:r w:rsidR="00C36958" w:rsidRPr="002F046B">
        <w:t>to depart from existing allocators.</w:t>
      </w:r>
    </w:p>
    <w:p w14:paraId="7851F006" w14:textId="6EFB2E6D" w:rsidR="0007258A" w:rsidRDefault="009001C2" w:rsidP="009001C2">
      <w:pPr>
        <w:pStyle w:val="List-bulletlvl1"/>
      </w:pPr>
      <w:r>
        <w:t>Some of the increases in infrastructure expenditure have been described as economic stimulus</w:t>
      </w:r>
      <w:r w:rsidR="00992CD4">
        <w:t xml:space="preserve"> </w:t>
      </w:r>
      <w:r>
        <w:t xml:space="preserve">and may have been driven by factors other than the exclusive aim of enhancing transport productivity. It is not possible to quantify the extent to which expenditure may have been undertaken on this basis. To the extent this is the case, there would be a reasonable argument that this type of expenditure should not necessarily be fully recovered through heavy vehicle charges.  </w:t>
      </w:r>
    </w:p>
    <w:p w14:paraId="5E928267" w14:textId="689B196D" w:rsidR="009001C2" w:rsidRDefault="009001C2" w:rsidP="009001C2">
      <w:pPr>
        <w:pStyle w:val="BodyCopy"/>
        <w:rPr>
          <w:b/>
          <w:bCs/>
        </w:rPr>
      </w:pPr>
      <w:r>
        <w:rPr>
          <w:b/>
          <w:bCs/>
        </w:rPr>
        <w:t>Benefits of investment in the road network</w:t>
      </w:r>
    </w:p>
    <w:p w14:paraId="35A18FB2" w14:textId="38049A53" w:rsidR="009001C2" w:rsidRDefault="009001C2" w:rsidP="009001C2">
      <w:pPr>
        <w:pStyle w:val="BodyCopy"/>
      </w:pPr>
      <w:r>
        <w:t>Some submitters have questioned</w:t>
      </w:r>
      <w:r w:rsidR="00CC32C8">
        <w:t xml:space="preserve"> the benefit provided to industry by recent investment</w:t>
      </w:r>
      <w:r w:rsidR="00102CBA">
        <w:t xml:space="preserve">s in the road network. </w:t>
      </w:r>
    </w:p>
    <w:p w14:paraId="73B2622A" w14:textId="7674BA51" w:rsidR="00102CBA" w:rsidRDefault="00102CBA" w:rsidP="009001C2">
      <w:pPr>
        <w:pStyle w:val="BodyCopy"/>
      </w:pPr>
      <w:r>
        <w:t xml:space="preserve">One of the challenges with roads is that they are a network which is shared by different types of users. This makes it difficult to directly attribute </w:t>
      </w:r>
      <w:r w:rsidR="00C328F7">
        <w:t>the benefits of individual investments to users. In networks, enhancements tend to benefit all users to some degree</w:t>
      </w:r>
      <w:r w:rsidR="005B08BE">
        <w:t xml:space="preserve">, although the magnitude of benefits can vary </w:t>
      </w:r>
      <w:r w:rsidR="00AA4610">
        <w:t>significantly</w:t>
      </w:r>
      <w:r w:rsidR="005B08BE">
        <w:t xml:space="preserve"> between different users.</w:t>
      </w:r>
      <w:r w:rsidR="009415CD" w:rsidRPr="009415CD">
        <w:rPr>
          <w:rStyle w:val="FootnoteReference"/>
          <w:b/>
          <w:bCs/>
        </w:rPr>
        <w:t xml:space="preserve"> </w:t>
      </w:r>
      <w:r w:rsidR="009415CD">
        <w:rPr>
          <w:rStyle w:val="FootnoteReference"/>
          <w:b/>
          <w:bCs/>
        </w:rPr>
        <w:footnoteReference w:id="13"/>
      </w:r>
    </w:p>
    <w:p w14:paraId="5F529CB7" w14:textId="23BB9971" w:rsidR="005B08BE" w:rsidRDefault="005B08BE" w:rsidP="009001C2">
      <w:pPr>
        <w:pStyle w:val="BodyCopy"/>
      </w:pPr>
      <w:r>
        <w:t>Typically, in networks</w:t>
      </w:r>
      <w:r w:rsidR="009F795D">
        <w:t xml:space="preserve">, </w:t>
      </w:r>
      <w:r w:rsidR="00767A7E">
        <w:t>costs are shared amongst users based on some type of averaging</w:t>
      </w:r>
      <w:r w:rsidR="00B25148">
        <w:t>. For example, the cost of strengthening electricity distribution networks to cope with additional demand from new users tend to be shared across all users</w:t>
      </w:r>
      <w:r w:rsidR="0028122B">
        <w:t xml:space="preserve">.  </w:t>
      </w:r>
    </w:p>
    <w:p w14:paraId="169BEF85" w14:textId="26C53BD3" w:rsidR="0028122B" w:rsidRDefault="0028122B" w:rsidP="009001C2">
      <w:pPr>
        <w:pStyle w:val="BodyCopy"/>
      </w:pPr>
      <w:r>
        <w:t xml:space="preserve">Given the information available, it is impossible to determine which </w:t>
      </w:r>
      <w:r w:rsidR="00C873C7">
        <w:t>expenditure has</w:t>
      </w:r>
      <w:r w:rsidR="006F3204">
        <w:t xml:space="preserve"> directly</w:t>
      </w:r>
      <w:r w:rsidR="00C873C7">
        <w:t xml:space="preserve"> benefitted </w:t>
      </w:r>
      <w:r w:rsidR="006F3204">
        <w:t>heavy vehicles</w:t>
      </w:r>
      <w:r w:rsidR="00C873C7">
        <w:t xml:space="preserve"> compared to other types of users.</w:t>
      </w:r>
      <w:r w:rsidR="009522B2">
        <w:t xml:space="preserve"> However, it is reasonable to assume that improvements to the road network have provided some benefit to heavy vehicle operators. </w:t>
      </w:r>
    </w:p>
    <w:p w14:paraId="626C1C36" w14:textId="384A0091" w:rsidR="00360DE4" w:rsidRDefault="00A64D02" w:rsidP="007D4DDF">
      <w:pPr>
        <w:pStyle w:val="BodyCopy"/>
        <w:rPr>
          <w:b/>
          <w:bCs/>
        </w:rPr>
      </w:pPr>
      <w:r>
        <w:rPr>
          <w:b/>
          <w:bCs/>
        </w:rPr>
        <w:t>Revenue gap under different future price paths</w:t>
      </w:r>
    </w:p>
    <w:p w14:paraId="06C5C864" w14:textId="11226913" w:rsidR="00D722A8" w:rsidRDefault="00510387" w:rsidP="00B82BC9">
      <w:pPr>
        <w:pStyle w:val="BodyCopy"/>
      </w:pPr>
      <w:r>
        <w:t xml:space="preserve">If </w:t>
      </w:r>
      <w:r w:rsidR="00D722A8">
        <w:t xml:space="preserve">ministers were to decide that achieving full cost recovery by 2025-26 was the primary goal, this would require </w:t>
      </w:r>
      <w:r w:rsidR="00E17F24">
        <w:t xml:space="preserve">heavy vehicle charges to be increased by </w:t>
      </w:r>
      <w:r w:rsidR="0009766D">
        <w:t xml:space="preserve">approximately </w:t>
      </w:r>
      <w:r w:rsidR="001A2036">
        <w:t>17.3</w:t>
      </w:r>
      <w:r w:rsidR="00E17F24">
        <w:t xml:space="preserve"> per cent in each of the three years from 2023-24 to 2025-26.  </w:t>
      </w:r>
    </w:p>
    <w:p w14:paraId="52680A30" w14:textId="2D176548" w:rsidR="009001C2" w:rsidRPr="0017662E" w:rsidRDefault="0017662E" w:rsidP="0017662E">
      <w:pPr>
        <w:pStyle w:val="BodyCopy"/>
      </w:pPr>
      <w:r>
        <w:t>If ministers wanted to keep the gap between the heavy ve</w:t>
      </w:r>
      <w:r w:rsidR="003B2D0B">
        <w:t>hicle cost base and</w:t>
      </w:r>
      <w:r>
        <w:t xml:space="preserve"> heavy vehicle charges revenue </w:t>
      </w:r>
      <w:r w:rsidR="003B2D0B">
        <w:t>constant at the 2022-23 level ($575.</w:t>
      </w:r>
      <w:r w:rsidR="00292CDF">
        <w:t>8m</w:t>
      </w:r>
      <w:r w:rsidR="003B2D0B">
        <w:t xml:space="preserve">), this would require heavy vehicle charges to be increased by </w:t>
      </w:r>
      <w:r w:rsidR="00002632">
        <w:t>13.5</w:t>
      </w:r>
      <w:r w:rsidR="003B2D0B">
        <w:t xml:space="preserve"> per cent in each of the three years from 2023-24 to 2025</w:t>
      </w:r>
      <w:r w:rsidR="00292CDF">
        <w:noBreakHyphen/>
      </w:r>
      <w:r w:rsidR="003B2D0B">
        <w:t xml:space="preserve">26. </w:t>
      </w:r>
    </w:p>
    <w:p w14:paraId="65ACBAC7" w14:textId="7D20CDD4" w:rsidR="009001C2" w:rsidRDefault="009B626C" w:rsidP="009001C2">
      <w:pPr>
        <w:pStyle w:val="BodyCopy"/>
      </w:pPr>
      <w:r>
        <w:t>Based</w:t>
      </w:r>
      <w:r w:rsidR="00AD1CD6">
        <w:t xml:space="preserve"> in part</w:t>
      </w:r>
      <w:r>
        <w:t xml:space="preserve"> on </w:t>
      </w:r>
      <w:r w:rsidR="00785E8A">
        <w:t xml:space="preserve">the size of historical increases to heavy vehicle charges approved by ITMM, the NTC consulted on three options for setting heavy vehicle charges </w:t>
      </w:r>
      <w:r w:rsidR="002619C4">
        <w:t xml:space="preserve">from 2023-24 onwards that would see the gap between the heavy vehicle </w:t>
      </w:r>
      <w:r w:rsidR="00067482">
        <w:t xml:space="preserve">cost base and heavy vehicle charges revenue </w:t>
      </w:r>
      <w:r w:rsidR="00A64D02">
        <w:t xml:space="preserve">grow above </w:t>
      </w:r>
      <w:r w:rsidR="00067482">
        <w:t>beyond the 2022-23 level of $575.</w:t>
      </w:r>
      <w:r w:rsidR="00292CDF">
        <w:t>8</w:t>
      </w:r>
      <w:r w:rsidR="00067482">
        <w:t>m</w:t>
      </w:r>
      <w:r w:rsidR="00A64D02">
        <w:t xml:space="preserve"> by 2025-26</w:t>
      </w:r>
      <w:r w:rsidR="00067482">
        <w:t xml:space="preserve">. </w:t>
      </w:r>
    </w:p>
    <w:p w14:paraId="6A3C63DC" w14:textId="6B6FA02F" w:rsidR="009001C2" w:rsidRDefault="00DB4E88" w:rsidP="001E10F3">
      <w:pPr>
        <w:pStyle w:val="BodyCopy"/>
      </w:pPr>
      <w:r>
        <w:fldChar w:fldCharType="begin"/>
      </w:r>
      <w:r>
        <w:instrText xml:space="preserve"> REF _Ref117760488 \r \h </w:instrText>
      </w:r>
      <w:r>
        <w:fldChar w:fldCharType="separate"/>
      </w:r>
      <w:r w:rsidR="0043504D">
        <w:t>Table 14</w:t>
      </w:r>
      <w:r>
        <w:fldChar w:fldCharType="end"/>
      </w:r>
      <w:r>
        <w:t xml:space="preserve"> shows the revenue gaps under key scenarios for setting heavy vehicle charges.  </w:t>
      </w:r>
    </w:p>
    <w:p w14:paraId="7DEDC881" w14:textId="511799D5" w:rsidR="001E10F3" w:rsidRDefault="00360DE4" w:rsidP="00360DE4">
      <w:pPr>
        <w:pStyle w:val="Tabletitle"/>
      </w:pPr>
      <w:bookmarkStart w:id="144" w:name="_Ref117760488"/>
      <w:r>
        <w:t>Revenue gaps compared</w:t>
      </w:r>
      <w:bookmarkEnd w:id="144"/>
    </w:p>
    <w:tbl>
      <w:tblPr>
        <w:tblStyle w:val="NTCtable"/>
        <w:tblW w:w="5000" w:type="pct"/>
        <w:tblLayout w:type="fixed"/>
        <w:tblLook w:val="04A0" w:firstRow="1" w:lastRow="0" w:firstColumn="1" w:lastColumn="0" w:noHBand="0" w:noVBand="1"/>
      </w:tblPr>
      <w:tblGrid>
        <w:gridCol w:w="1761"/>
        <w:gridCol w:w="1212"/>
        <w:gridCol w:w="1211"/>
        <w:gridCol w:w="1211"/>
        <w:gridCol w:w="1211"/>
        <w:gridCol w:w="1211"/>
        <w:gridCol w:w="1210"/>
      </w:tblGrid>
      <w:tr w:rsidR="001E10F3" w14:paraId="74536833" w14:textId="77777777" w:rsidTr="00463103">
        <w:trPr>
          <w:cnfStyle w:val="100000000000" w:firstRow="1" w:lastRow="0" w:firstColumn="0" w:lastColumn="0" w:oddVBand="0" w:evenVBand="0" w:oddHBand="0" w:evenHBand="0" w:firstRowFirstColumn="0" w:firstRowLastColumn="0" w:lastRowFirstColumn="0" w:lastRowLastColumn="0"/>
          <w:trHeight w:val="544"/>
          <w:tblHeader/>
        </w:trPr>
        <w:tc>
          <w:tcPr>
            <w:tcW w:w="975" w:type="pct"/>
            <w:vAlign w:val="center"/>
          </w:tcPr>
          <w:p w14:paraId="5A07234B" w14:textId="77777777" w:rsidR="001E10F3" w:rsidRPr="001F1E14" w:rsidRDefault="001E10F3" w:rsidP="00463103">
            <w:pPr>
              <w:pStyle w:val="BodyCopy"/>
              <w:spacing w:before="0" w:after="0"/>
              <w:rPr>
                <w:b/>
                <w:bCs/>
                <w:szCs w:val="22"/>
              </w:rPr>
            </w:pPr>
            <w:r w:rsidRPr="001F1E14">
              <w:rPr>
                <w:b/>
                <w:bCs/>
                <w:szCs w:val="22"/>
              </w:rPr>
              <w:t>Option</w:t>
            </w:r>
          </w:p>
        </w:tc>
        <w:tc>
          <w:tcPr>
            <w:tcW w:w="671" w:type="pct"/>
            <w:vAlign w:val="center"/>
          </w:tcPr>
          <w:p w14:paraId="5EE1EA42" w14:textId="77777777" w:rsidR="001E10F3" w:rsidRPr="001F1E14" w:rsidRDefault="001E10F3" w:rsidP="00463103">
            <w:pPr>
              <w:pStyle w:val="BodyCopy"/>
              <w:spacing w:before="0" w:after="0"/>
              <w:jc w:val="center"/>
              <w:rPr>
                <w:b/>
                <w:bCs/>
                <w:szCs w:val="22"/>
              </w:rPr>
            </w:pPr>
            <w:r w:rsidRPr="001F1E14">
              <w:rPr>
                <w:b/>
                <w:bCs/>
                <w:szCs w:val="22"/>
              </w:rPr>
              <w:t>Year 1</w:t>
            </w:r>
          </w:p>
          <w:p w14:paraId="1BE4C30A" w14:textId="77777777" w:rsidR="001E10F3" w:rsidRPr="001F1E14" w:rsidRDefault="001E10F3" w:rsidP="00463103">
            <w:pPr>
              <w:pStyle w:val="BodyCopy"/>
              <w:spacing w:before="0" w:after="0"/>
              <w:jc w:val="center"/>
              <w:rPr>
                <w:b/>
                <w:bCs/>
                <w:szCs w:val="22"/>
              </w:rPr>
            </w:pPr>
            <w:r w:rsidRPr="001F1E14">
              <w:rPr>
                <w:b/>
                <w:bCs/>
                <w:szCs w:val="22"/>
              </w:rPr>
              <w:t>$m</w:t>
            </w:r>
          </w:p>
        </w:tc>
        <w:tc>
          <w:tcPr>
            <w:tcW w:w="671" w:type="pct"/>
            <w:vAlign w:val="center"/>
          </w:tcPr>
          <w:p w14:paraId="321B210A" w14:textId="77777777" w:rsidR="001E10F3" w:rsidRPr="001F1E14" w:rsidRDefault="001E10F3" w:rsidP="00463103">
            <w:pPr>
              <w:pStyle w:val="BodyCopy"/>
              <w:spacing w:before="0" w:after="0"/>
              <w:jc w:val="center"/>
              <w:rPr>
                <w:b/>
                <w:bCs/>
                <w:szCs w:val="22"/>
              </w:rPr>
            </w:pPr>
            <w:r w:rsidRPr="001F1E14">
              <w:rPr>
                <w:b/>
                <w:bCs/>
                <w:szCs w:val="22"/>
              </w:rPr>
              <w:t>Year 1</w:t>
            </w:r>
          </w:p>
          <w:p w14:paraId="55CF3E45" w14:textId="77777777" w:rsidR="001E10F3" w:rsidRPr="001F1E14" w:rsidRDefault="001E10F3" w:rsidP="00463103">
            <w:pPr>
              <w:pStyle w:val="BodyCopy"/>
              <w:spacing w:before="0" w:after="0"/>
              <w:jc w:val="center"/>
              <w:rPr>
                <w:b/>
                <w:bCs/>
                <w:szCs w:val="22"/>
              </w:rPr>
            </w:pPr>
            <w:r w:rsidRPr="001F1E14">
              <w:rPr>
                <w:b/>
                <w:bCs/>
                <w:szCs w:val="22"/>
              </w:rPr>
              <w:t>%</w:t>
            </w:r>
          </w:p>
        </w:tc>
        <w:tc>
          <w:tcPr>
            <w:tcW w:w="671" w:type="pct"/>
            <w:vAlign w:val="center"/>
          </w:tcPr>
          <w:p w14:paraId="0A94BB68" w14:textId="77777777" w:rsidR="001E10F3" w:rsidRPr="001F1E14" w:rsidRDefault="001E10F3" w:rsidP="00463103">
            <w:pPr>
              <w:pStyle w:val="BodyCopy"/>
              <w:spacing w:before="0" w:after="0"/>
              <w:jc w:val="center"/>
              <w:rPr>
                <w:b/>
                <w:bCs/>
                <w:szCs w:val="22"/>
              </w:rPr>
            </w:pPr>
            <w:r w:rsidRPr="001F1E14">
              <w:rPr>
                <w:b/>
                <w:bCs/>
                <w:szCs w:val="22"/>
              </w:rPr>
              <w:t>Year 2</w:t>
            </w:r>
          </w:p>
          <w:p w14:paraId="06E62C33" w14:textId="77777777" w:rsidR="001E10F3" w:rsidRPr="001F1E14" w:rsidRDefault="001E10F3" w:rsidP="00463103">
            <w:pPr>
              <w:pStyle w:val="BodyCopy"/>
              <w:spacing w:before="0" w:after="0"/>
              <w:jc w:val="center"/>
              <w:rPr>
                <w:b/>
                <w:bCs/>
                <w:szCs w:val="22"/>
              </w:rPr>
            </w:pPr>
            <w:r w:rsidRPr="001F1E14">
              <w:rPr>
                <w:b/>
                <w:bCs/>
                <w:szCs w:val="22"/>
              </w:rPr>
              <w:t>$m</w:t>
            </w:r>
          </w:p>
        </w:tc>
        <w:tc>
          <w:tcPr>
            <w:tcW w:w="671" w:type="pct"/>
            <w:vAlign w:val="center"/>
          </w:tcPr>
          <w:p w14:paraId="473A4278" w14:textId="77777777" w:rsidR="001E10F3" w:rsidRPr="001F1E14" w:rsidRDefault="001E10F3" w:rsidP="00463103">
            <w:pPr>
              <w:pStyle w:val="BodyCopy"/>
              <w:spacing w:before="0" w:after="0"/>
              <w:jc w:val="center"/>
              <w:rPr>
                <w:b/>
                <w:bCs/>
                <w:szCs w:val="22"/>
              </w:rPr>
            </w:pPr>
            <w:r w:rsidRPr="001F1E14">
              <w:rPr>
                <w:b/>
                <w:bCs/>
                <w:szCs w:val="22"/>
              </w:rPr>
              <w:t>Year 2</w:t>
            </w:r>
          </w:p>
          <w:p w14:paraId="2114DA4D" w14:textId="77777777" w:rsidR="001E10F3" w:rsidRPr="001F1E14" w:rsidRDefault="001E10F3" w:rsidP="00463103">
            <w:pPr>
              <w:pStyle w:val="BodyCopy"/>
              <w:spacing w:before="0" w:after="0"/>
              <w:jc w:val="center"/>
              <w:rPr>
                <w:b/>
                <w:bCs/>
                <w:szCs w:val="22"/>
              </w:rPr>
            </w:pPr>
            <w:r w:rsidRPr="001F1E14">
              <w:rPr>
                <w:b/>
                <w:bCs/>
                <w:szCs w:val="22"/>
              </w:rPr>
              <w:t>%</w:t>
            </w:r>
          </w:p>
        </w:tc>
        <w:tc>
          <w:tcPr>
            <w:tcW w:w="671" w:type="pct"/>
            <w:vAlign w:val="center"/>
          </w:tcPr>
          <w:p w14:paraId="3807743F" w14:textId="77777777" w:rsidR="001E10F3" w:rsidRPr="001F1E14" w:rsidRDefault="001E10F3" w:rsidP="00463103">
            <w:pPr>
              <w:pStyle w:val="BodyCopy"/>
              <w:spacing w:before="0" w:after="0"/>
              <w:jc w:val="center"/>
              <w:rPr>
                <w:b/>
                <w:bCs/>
                <w:szCs w:val="22"/>
              </w:rPr>
            </w:pPr>
            <w:r w:rsidRPr="001F1E14">
              <w:rPr>
                <w:b/>
                <w:bCs/>
                <w:szCs w:val="22"/>
              </w:rPr>
              <w:t>Year 3</w:t>
            </w:r>
          </w:p>
          <w:p w14:paraId="1103582D" w14:textId="77777777" w:rsidR="001E10F3" w:rsidRPr="001F1E14" w:rsidRDefault="001E10F3" w:rsidP="00463103">
            <w:pPr>
              <w:pStyle w:val="BodyCopy"/>
              <w:spacing w:before="0" w:after="0"/>
              <w:jc w:val="center"/>
              <w:rPr>
                <w:b/>
                <w:bCs/>
                <w:szCs w:val="22"/>
              </w:rPr>
            </w:pPr>
            <w:r w:rsidRPr="001F1E14">
              <w:rPr>
                <w:b/>
                <w:bCs/>
                <w:szCs w:val="22"/>
              </w:rPr>
              <w:t>$m</w:t>
            </w:r>
          </w:p>
        </w:tc>
        <w:tc>
          <w:tcPr>
            <w:tcW w:w="670" w:type="pct"/>
            <w:vAlign w:val="center"/>
          </w:tcPr>
          <w:p w14:paraId="485A6E2B" w14:textId="77777777" w:rsidR="001E10F3" w:rsidRPr="001F1E14" w:rsidRDefault="001E10F3" w:rsidP="00463103">
            <w:pPr>
              <w:pStyle w:val="BodyCopy"/>
              <w:spacing w:before="0" w:after="0"/>
              <w:jc w:val="center"/>
              <w:rPr>
                <w:b/>
                <w:bCs/>
                <w:szCs w:val="22"/>
              </w:rPr>
            </w:pPr>
            <w:r w:rsidRPr="001F1E14">
              <w:rPr>
                <w:b/>
                <w:bCs/>
                <w:szCs w:val="22"/>
              </w:rPr>
              <w:t>Year 3</w:t>
            </w:r>
          </w:p>
          <w:p w14:paraId="50414DD3" w14:textId="77777777" w:rsidR="001E10F3" w:rsidRPr="001F1E14" w:rsidRDefault="001E10F3" w:rsidP="00463103">
            <w:pPr>
              <w:pStyle w:val="BodyCopy"/>
              <w:spacing w:before="0" w:after="0"/>
              <w:jc w:val="center"/>
              <w:rPr>
                <w:b/>
                <w:bCs/>
                <w:szCs w:val="22"/>
              </w:rPr>
            </w:pPr>
            <w:r w:rsidRPr="001F1E14">
              <w:rPr>
                <w:b/>
                <w:bCs/>
                <w:szCs w:val="22"/>
              </w:rPr>
              <w:t>%</w:t>
            </w:r>
          </w:p>
        </w:tc>
      </w:tr>
      <w:tr w:rsidR="001E10F3" w14:paraId="7FBBB465" w14:textId="77777777" w:rsidTr="00463103">
        <w:tc>
          <w:tcPr>
            <w:tcW w:w="975" w:type="pct"/>
          </w:tcPr>
          <w:p w14:paraId="3788C5EB" w14:textId="64C37C95" w:rsidR="001E10F3" w:rsidRPr="001F1E14" w:rsidRDefault="001E10F3" w:rsidP="00463103">
            <w:pPr>
              <w:pStyle w:val="BodyCopy"/>
              <w:spacing w:before="0" w:after="0"/>
              <w:rPr>
                <w:szCs w:val="22"/>
              </w:rPr>
            </w:pPr>
            <w:r>
              <w:rPr>
                <w:szCs w:val="22"/>
              </w:rPr>
              <w:t>Achieve full cost recovery by 2025-26</w:t>
            </w:r>
          </w:p>
        </w:tc>
        <w:tc>
          <w:tcPr>
            <w:tcW w:w="671" w:type="pct"/>
            <w:vAlign w:val="center"/>
          </w:tcPr>
          <w:p w14:paraId="151D9CD1" w14:textId="064053C9" w:rsidR="001E10F3" w:rsidRPr="001F1E14" w:rsidRDefault="00BD5C6D" w:rsidP="00463103">
            <w:pPr>
              <w:pStyle w:val="BodyCopy"/>
              <w:spacing w:before="0" w:after="0"/>
              <w:jc w:val="center"/>
              <w:rPr>
                <w:szCs w:val="22"/>
              </w:rPr>
            </w:pPr>
            <w:r>
              <w:rPr>
                <w:szCs w:val="22"/>
              </w:rPr>
              <w:t>788</w:t>
            </w:r>
          </w:p>
        </w:tc>
        <w:tc>
          <w:tcPr>
            <w:tcW w:w="671" w:type="pct"/>
            <w:vAlign w:val="center"/>
          </w:tcPr>
          <w:p w14:paraId="2C15CC9A" w14:textId="4F7A8145" w:rsidR="001E10F3" w:rsidRPr="001F1E14" w:rsidRDefault="00BD5C6D" w:rsidP="00463103">
            <w:pPr>
              <w:pStyle w:val="BodyCopy"/>
              <w:spacing w:before="0" w:after="0"/>
              <w:jc w:val="center"/>
              <w:rPr>
                <w:szCs w:val="22"/>
              </w:rPr>
            </w:pPr>
            <w:r>
              <w:rPr>
                <w:szCs w:val="22"/>
              </w:rPr>
              <w:t>15.2</w:t>
            </w:r>
          </w:p>
        </w:tc>
        <w:tc>
          <w:tcPr>
            <w:tcW w:w="671" w:type="pct"/>
            <w:vAlign w:val="center"/>
          </w:tcPr>
          <w:p w14:paraId="5B56FF25" w14:textId="2FAC275D" w:rsidR="001E10F3" w:rsidRPr="001F1E14" w:rsidRDefault="00BD5C6D" w:rsidP="00463103">
            <w:pPr>
              <w:pStyle w:val="BodyCopy"/>
              <w:spacing w:before="0" w:after="0"/>
              <w:jc w:val="center"/>
              <w:rPr>
                <w:szCs w:val="22"/>
              </w:rPr>
            </w:pPr>
            <w:r>
              <w:rPr>
                <w:szCs w:val="22"/>
              </w:rPr>
              <w:t>661</w:t>
            </w:r>
          </w:p>
        </w:tc>
        <w:tc>
          <w:tcPr>
            <w:tcW w:w="671" w:type="pct"/>
            <w:vAlign w:val="center"/>
          </w:tcPr>
          <w:p w14:paraId="3387080F" w14:textId="2744F31E" w:rsidR="001E10F3" w:rsidRPr="001F1E14" w:rsidRDefault="00BD5C6D" w:rsidP="00463103">
            <w:pPr>
              <w:pStyle w:val="BodyCopy"/>
              <w:spacing w:before="0" w:after="0"/>
              <w:jc w:val="center"/>
              <w:rPr>
                <w:szCs w:val="22"/>
              </w:rPr>
            </w:pPr>
            <w:r>
              <w:rPr>
                <w:szCs w:val="22"/>
              </w:rPr>
              <w:t>11.3</w:t>
            </w:r>
          </w:p>
        </w:tc>
        <w:tc>
          <w:tcPr>
            <w:tcW w:w="671" w:type="pct"/>
            <w:vAlign w:val="center"/>
          </w:tcPr>
          <w:p w14:paraId="5E4CE437" w14:textId="5BA648E4" w:rsidR="001E10F3" w:rsidRPr="001F1E14" w:rsidRDefault="00BD5C6D" w:rsidP="00463103">
            <w:pPr>
              <w:pStyle w:val="BodyCopy"/>
              <w:spacing w:before="0" w:after="0"/>
              <w:jc w:val="center"/>
              <w:rPr>
                <w:szCs w:val="22"/>
              </w:rPr>
            </w:pPr>
            <w:r>
              <w:rPr>
                <w:szCs w:val="22"/>
              </w:rPr>
              <w:t>0</w:t>
            </w:r>
          </w:p>
        </w:tc>
        <w:tc>
          <w:tcPr>
            <w:tcW w:w="670" w:type="pct"/>
            <w:vAlign w:val="center"/>
          </w:tcPr>
          <w:p w14:paraId="46DBF7BC" w14:textId="465C8FAB" w:rsidR="001E10F3" w:rsidRPr="001F1E14" w:rsidRDefault="002F046B" w:rsidP="00463103">
            <w:pPr>
              <w:pStyle w:val="BodyCopy"/>
              <w:spacing w:before="0" w:after="0"/>
              <w:jc w:val="center"/>
              <w:rPr>
                <w:szCs w:val="22"/>
              </w:rPr>
            </w:pPr>
            <w:r>
              <w:rPr>
                <w:szCs w:val="22"/>
              </w:rPr>
              <w:t>-</w:t>
            </w:r>
          </w:p>
        </w:tc>
      </w:tr>
      <w:tr w:rsidR="001E10F3" w14:paraId="6C2BD579" w14:textId="77777777" w:rsidTr="00463103">
        <w:tc>
          <w:tcPr>
            <w:tcW w:w="975" w:type="pct"/>
          </w:tcPr>
          <w:p w14:paraId="70B86E20" w14:textId="0BC057D3" w:rsidR="001E10F3" w:rsidRPr="002C131D" w:rsidRDefault="002C131D" w:rsidP="00463103">
            <w:pPr>
              <w:pStyle w:val="BodyCopy"/>
              <w:spacing w:before="0" w:after="0"/>
              <w:rPr>
                <w:szCs w:val="22"/>
              </w:rPr>
            </w:pPr>
            <w:r w:rsidRPr="002C131D">
              <w:t>Keep revenue gap at 2022-23 level</w:t>
            </w:r>
            <w:r>
              <w:t xml:space="preserve"> of $575.</w:t>
            </w:r>
            <w:r w:rsidR="001A2036">
              <w:t>8</w:t>
            </w:r>
            <w:r>
              <w:t>m</w:t>
            </w:r>
            <w:r w:rsidRPr="002C131D">
              <w:t xml:space="preserve"> by 2025-26</w:t>
            </w:r>
          </w:p>
        </w:tc>
        <w:tc>
          <w:tcPr>
            <w:tcW w:w="671" w:type="pct"/>
            <w:vAlign w:val="center"/>
          </w:tcPr>
          <w:p w14:paraId="6E65C45F" w14:textId="72818CE6" w:rsidR="001E10F3" w:rsidRPr="001F1E14" w:rsidRDefault="00BD5C6D" w:rsidP="00463103">
            <w:pPr>
              <w:pStyle w:val="BodyCopy"/>
              <w:spacing w:before="0" w:after="0"/>
              <w:jc w:val="center"/>
              <w:rPr>
                <w:szCs w:val="22"/>
              </w:rPr>
            </w:pPr>
            <w:r>
              <w:rPr>
                <w:szCs w:val="22"/>
              </w:rPr>
              <w:t>930</w:t>
            </w:r>
          </w:p>
        </w:tc>
        <w:tc>
          <w:tcPr>
            <w:tcW w:w="671" w:type="pct"/>
            <w:vAlign w:val="center"/>
          </w:tcPr>
          <w:p w14:paraId="512B6F5D" w14:textId="323CBBC2" w:rsidR="001E10F3" w:rsidRPr="001F1E14" w:rsidRDefault="00BD5C6D" w:rsidP="00463103">
            <w:pPr>
              <w:pStyle w:val="BodyCopy"/>
              <w:spacing w:before="0" w:after="0"/>
              <w:jc w:val="center"/>
              <w:rPr>
                <w:szCs w:val="22"/>
              </w:rPr>
            </w:pPr>
            <w:r>
              <w:rPr>
                <w:szCs w:val="22"/>
              </w:rPr>
              <w:t>17.9</w:t>
            </w:r>
          </w:p>
        </w:tc>
        <w:tc>
          <w:tcPr>
            <w:tcW w:w="671" w:type="pct"/>
            <w:vAlign w:val="center"/>
          </w:tcPr>
          <w:p w14:paraId="0A5C308F" w14:textId="48A21045" w:rsidR="001E10F3" w:rsidRPr="001F1E14" w:rsidRDefault="00BD5C6D" w:rsidP="00463103">
            <w:pPr>
              <w:pStyle w:val="BodyCopy"/>
              <w:spacing w:before="0" w:after="0"/>
              <w:jc w:val="center"/>
              <w:rPr>
                <w:szCs w:val="22"/>
              </w:rPr>
            </w:pPr>
            <w:r>
              <w:rPr>
                <w:szCs w:val="22"/>
              </w:rPr>
              <w:t>991</w:t>
            </w:r>
          </w:p>
        </w:tc>
        <w:tc>
          <w:tcPr>
            <w:tcW w:w="671" w:type="pct"/>
            <w:vAlign w:val="center"/>
          </w:tcPr>
          <w:p w14:paraId="0DBF9566" w14:textId="50110D64" w:rsidR="001E10F3" w:rsidRPr="001F1E14" w:rsidRDefault="00BD5C6D" w:rsidP="00463103">
            <w:pPr>
              <w:pStyle w:val="BodyCopy"/>
              <w:spacing w:before="0" w:after="0"/>
              <w:jc w:val="center"/>
              <w:rPr>
                <w:szCs w:val="22"/>
              </w:rPr>
            </w:pPr>
            <w:r>
              <w:rPr>
                <w:szCs w:val="22"/>
              </w:rPr>
              <w:t>16.9</w:t>
            </w:r>
          </w:p>
        </w:tc>
        <w:tc>
          <w:tcPr>
            <w:tcW w:w="671" w:type="pct"/>
            <w:vAlign w:val="center"/>
          </w:tcPr>
          <w:p w14:paraId="09D32D6B" w14:textId="15B8EB6F" w:rsidR="001E10F3" w:rsidRPr="001F1E14" w:rsidRDefault="00BD5C6D" w:rsidP="00463103">
            <w:pPr>
              <w:pStyle w:val="BodyCopy"/>
              <w:spacing w:before="0" w:after="0"/>
              <w:jc w:val="center"/>
              <w:rPr>
                <w:szCs w:val="22"/>
              </w:rPr>
            </w:pPr>
            <w:r>
              <w:rPr>
                <w:szCs w:val="22"/>
              </w:rPr>
              <w:t>576</w:t>
            </w:r>
          </w:p>
        </w:tc>
        <w:tc>
          <w:tcPr>
            <w:tcW w:w="670" w:type="pct"/>
            <w:vAlign w:val="center"/>
          </w:tcPr>
          <w:p w14:paraId="058220AA" w14:textId="289BEF3D" w:rsidR="001E10F3" w:rsidRPr="001F1E14" w:rsidRDefault="00BD5C6D" w:rsidP="00463103">
            <w:pPr>
              <w:pStyle w:val="BodyCopy"/>
              <w:spacing w:before="0" w:after="0"/>
              <w:jc w:val="center"/>
              <w:rPr>
                <w:szCs w:val="22"/>
              </w:rPr>
            </w:pPr>
            <w:r>
              <w:rPr>
                <w:szCs w:val="22"/>
              </w:rPr>
              <w:t>9.4</w:t>
            </w:r>
          </w:p>
        </w:tc>
      </w:tr>
      <w:tr w:rsidR="001E10F3" w14:paraId="6B8434BA" w14:textId="77777777" w:rsidTr="00463103">
        <w:tc>
          <w:tcPr>
            <w:tcW w:w="975" w:type="pct"/>
          </w:tcPr>
          <w:p w14:paraId="3ED1507B" w14:textId="77777777" w:rsidR="001E10F3" w:rsidRPr="001F1E14" w:rsidRDefault="001E10F3" w:rsidP="00463103">
            <w:pPr>
              <w:pStyle w:val="BodyCopy"/>
              <w:spacing w:before="0" w:after="0"/>
              <w:rPr>
                <w:szCs w:val="22"/>
              </w:rPr>
            </w:pPr>
            <w:r w:rsidRPr="001F1E14">
              <w:rPr>
                <w:szCs w:val="22"/>
              </w:rPr>
              <w:t>Option 1: Increase heavy vehicle charges by 2.75 per cent per annum</w:t>
            </w:r>
            <w:r w:rsidRPr="001F1E14" w:rsidDel="00882E44">
              <w:rPr>
                <w:szCs w:val="22"/>
              </w:rPr>
              <w:t xml:space="preserve"> </w:t>
            </w:r>
          </w:p>
        </w:tc>
        <w:tc>
          <w:tcPr>
            <w:tcW w:w="671" w:type="pct"/>
            <w:vAlign w:val="center"/>
          </w:tcPr>
          <w:p w14:paraId="7F096482" w14:textId="77777777" w:rsidR="001E10F3" w:rsidRPr="001F1E14" w:rsidRDefault="001E10F3" w:rsidP="00463103">
            <w:pPr>
              <w:pStyle w:val="BodyCopy"/>
              <w:spacing w:before="0" w:after="0"/>
              <w:jc w:val="center"/>
              <w:rPr>
                <w:szCs w:val="22"/>
              </w:rPr>
            </w:pPr>
            <w:r w:rsidRPr="001F1E14">
              <w:rPr>
                <w:szCs w:val="22"/>
              </w:rPr>
              <w:t>1,337</w:t>
            </w:r>
          </w:p>
        </w:tc>
        <w:tc>
          <w:tcPr>
            <w:tcW w:w="671" w:type="pct"/>
            <w:vAlign w:val="center"/>
          </w:tcPr>
          <w:p w14:paraId="2661C9A9" w14:textId="77777777" w:rsidR="001E10F3" w:rsidRPr="001F1E14" w:rsidRDefault="001E10F3" w:rsidP="00463103">
            <w:pPr>
              <w:pStyle w:val="BodyCopy"/>
              <w:spacing w:before="0" w:after="0"/>
              <w:jc w:val="center"/>
              <w:rPr>
                <w:szCs w:val="22"/>
              </w:rPr>
            </w:pPr>
            <w:r w:rsidRPr="001F1E14">
              <w:rPr>
                <w:szCs w:val="22"/>
              </w:rPr>
              <w:t>25.7</w:t>
            </w:r>
          </w:p>
        </w:tc>
        <w:tc>
          <w:tcPr>
            <w:tcW w:w="671" w:type="pct"/>
            <w:vAlign w:val="center"/>
          </w:tcPr>
          <w:p w14:paraId="10822ABE" w14:textId="77777777" w:rsidR="001E10F3" w:rsidRPr="001F1E14" w:rsidRDefault="001E10F3" w:rsidP="00463103">
            <w:pPr>
              <w:pStyle w:val="BodyCopy"/>
              <w:spacing w:before="0" w:after="0"/>
              <w:jc w:val="center"/>
              <w:rPr>
                <w:szCs w:val="22"/>
              </w:rPr>
            </w:pPr>
            <w:r w:rsidRPr="001F1E14">
              <w:rPr>
                <w:szCs w:val="22"/>
              </w:rPr>
              <w:t>1,870</w:t>
            </w:r>
          </w:p>
        </w:tc>
        <w:tc>
          <w:tcPr>
            <w:tcW w:w="671" w:type="pct"/>
            <w:vAlign w:val="center"/>
          </w:tcPr>
          <w:p w14:paraId="6CAE8666" w14:textId="77777777" w:rsidR="001E10F3" w:rsidRPr="001F1E14" w:rsidRDefault="001E10F3" w:rsidP="00463103">
            <w:pPr>
              <w:pStyle w:val="BodyCopy"/>
              <w:spacing w:before="0" w:after="0"/>
              <w:jc w:val="center"/>
              <w:rPr>
                <w:szCs w:val="22"/>
              </w:rPr>
            </w:pPr>
            <w:r w:rsidRPr="001F1E14">
              <w:rPr>
                <w:szCs w:val="22"/>
              </w:rPr>
              <w:t>31.9</w:t>
            </w:r>
          </w:p>
        </w:tc>
        <w:tc>
          <w:tcPr>
            <w:tcW w:w="671" w:type="pct"/>
            <w:vAlign w:val="center"/>
          </w:tcPr>
          <w:p w14:paraId="7E66ECEA" w14:textId="77777777" w:rsidR="001E10F3" w:rsidRPr="001F1E14" w:rsidRDefault="001E10F3" w:rsidP="00463103">
            <w:pPr>
              <w:pStyle w:val="BodyCopy"/>
              <w:spacing w:before="0" w:after="0"/>
              <w:jc w:val="center"/>
              <w:rPr>
                <w:szCs w:val="22"/>
              </w:rPr>
            </w:pPr>
            <w:r w:rsidRPr="001F1E14">
              <w:rPr>
                <w:szCs w:val="22"/>
              </w:rPr>
              <w:t>2,013</w:t>
            </w:r>
          </w:p>
        </w:tc>
        <w:tc>
          <w:tcPr>
            <w:tcW w:w="670" w:type="pct"/>
            <w:vAlign w:val="center"/>
          </w:tcPr>
          <w:p w14:paraId="4D9BC292" w14:textId="77777777" w:rsidR="001E10F3" w:rsidRPr="001F1E14" w:rsidRDefault="001E10F3" w:rsidP="00463103">
            <w:pPr>
              <w:pStyle w:val="BodyCopy"/>
              <w:spacing w:before="0" w:after="0"/>
              <w:jc w:val="center"/>
              <w:rPr>
                <w:szCs w:val="22"/>
              </w:rPr>
            </w:pPr>
            <w:r w:rsidRPr="001F1E14">
              <w:rPr>
                <w:szCs w:val="22"/>
              </w:rPr>
              <w:t>32.7</w:t>
            </w:r>
          </w:p>
        </w:tc>
      </w:tr>
      <w:tr w:rsidR="001E10F3" w14:paraId="094FF235" w14:textId="77777777" w:rsidTr="00463103">
        <w:tc>
          <w:tcPr>
            <w:tcW w:w="975" w:type="pct"/>
          </w:tcPr>
          <w:p w14:paraId="49E7ADAB" w14:textId="77777777" w:rsidR="001E10F3" w:rsidRPr="001F1E14" w:rsidRDefault="001E10F3" w:rsidP="00463103">
            <w:pPr>
              <w:pStyle w:val="BodyCopy"/>
              <w:spacing w:before="0" w:after="0"/>
              <w:rPr>
                <w:szCs w:val="22"/>
              </w:rPr>
            </w:pPr>
            <w:r w:rsidRPr="001F1E14">
              <w:rPr>
                <w:szCs w:val="22"/>
              </w:rPr>
              <w:t>Option 2: Increase heavy vehicle charges by 6 per cent per annum</w:t>
            </w:r>
            <w:r w:rsidRPr="001F1E14" w:rsidDel="00882E44">
              <w:rPr>
                <w:szCs w:val="22"/>
              </w:rPr>
              <w:t xml:space="preserve"> </w:t>
            </w:r>
          </w:p>
        </w:tc>
        <w:tc>
          <w:tcPr>
            <w:tcW w:w="671" w:type="pct"/>
            <w:vAlign w:val="center"/>
          </w:tcPr>
          <w:p w14:paraId="57FE5AC0" w14:textId="77777777" w:rsidR="001E10F3" w:rsidRPr="001F1E14" w:rsidRDefault="001E10F3" w:rsidP="00463103">
            <w:pPr>
              <w:pStyle w:val="BodyCopy"/>
              <w:spacing w:before="0" w:after="0"/>
              <w:jc w:val="center"/>
              <w:rPr>
                <w:szCs w:val="22"/>
              </w:rPr>
            </w:pPr>
            <w:r w:rsidRPr="001F1E14">
              <w:rPr>
                <w:szCs w:val="22"/>
              </w:rPr>
              <w:t>1,213</w:t>
            </w:r>
          </w:p>
        </w:tc>
        <w:tc>
          <w:tcPr>
            <w:tcW w:w="671" w:type="pct"/>
            <w:vAlign w:val="center"/>
          </w:tcPr>
          <w:p w14:paraId="53EC6B97" w14:textId="77777777" w:rsidR="001E10F3" w:rsidRPr="001F1E14" w:rsidRDefault="001E10F3" w:rsidP="00463103">
            <w:pPr>
              <w:pStyle w:val="BodyCopy"/>
              <w:spacing w:before="0" w:after="0"/>
              <w:jc w:val="center"/>
              <w:rPr>
                <w:szCs w:val="22"/>
              </w:rPr>
            </w:pPr>
            <w:r w:rsidRPr="001F1E14">
              <w:rPr>
                <w:szCs w:val="22"/>
              </w:rPr>
              <w:t>23.4</w:t>
            </w:r>
          </w:p>
        </w:tc>
        <w:tc>
          <w:tcPr>
            <w:tcW w:w="671" w:type="pct"/>
            <w:vAlign w:val="center"/>
          </w:tcPr>
          <w:p w14:paraId="2FE852A7" w14:textId="77777777" w:rsidR="001E10F3" w:rsidRPr="001F1E14" w:rsidRDefault="001E10F3" w:rsidP="00463103">
            <w:pPr>
              <w:pStyle w:val="BodyCopy"/>
              <w:spacing w:before="0" w:after="0"/>
              <w:jc w:val="center"/>
              <w:rPr>
                <w:szCs w:val="22"/>
              </w:rPr>
            </w:pPr>
            <w:r w:rsidRPr="001F1E14">
              <w:rPr>
                <w:szCs w:val="22"/>
              </w:rPr>
              <w:t>1,617</w:t>
            </w:r>
          </w:p>
        </w:tc>
        <w:tc>
          <w:tcPr>
            <w:tcW w:w="671" w:type="pct"/>
            <w:vAlign w:val="center"/>
          </w:tcPr>
          <w:p w14:paraId="7EB79F7D" w14:textId="77777777" w:rsidR="001E10F3" w:rsidRPr="001F1E14" w:rsidRDefault="001E10F3" w:rsidP="00463103">
            <w:pPr>
              <w:pStyle w:val="BodyCopy"/>
              <w:spacing w:before="0" w:after="0"/>
              <w:jc w:val="center"/>
              <w:rPr>
                <w:szCs w:val="22"/>
              </w:rPr>
            </w:pPr>
            <w:r w:rsidRPr="001F1E14">
              <w:rPr>
                <w:szCs w:val="22"/>
              </w:rPr>
              <w:t>27.6</w:t>
            </w:r>
          </w:p>
        </w:tc>
        <w:tc>
          <w:tcPr>
            <w:tcW w:w="671" w:type="pct"/>
            <w:vAlign w:val="center"/>
          </w:tcPr>
          <w:p w14:paraId="656E81E8" w14:textId="77777777" w:rsidR="001E10F3" w:rsidRPr="001F1E14" w:rsidRDefault="001E10F3" w:rsidP="00463103">
            <w:pPr>
              <w:pStyle w:val="BodyCopy"/>
              <w:spacing w:before="0" w:after="0"/>
              <w:jc w:val="center"/>
              <w:rPr>
                <w:szCs w:val="22"/>
              </w:rPr>
            </w:pPr>
            <w:r w:rsidRPr="001F1E14">
              <w:rPr>
                <w:szCs w:val="22"/>
              </w:rPr>
              <w:t>1,614</w:t>
            </w:r>
          </w:p>
        </w:tc>
        <w:tc>
          <w:tcPr>
            <w:tcW w:w="670" w:type="pct"/>
            <w:vAlign w:val="center"/>
          </w:tcPr>
          <w:p w14:paraId="5B7A9917" w14:textId="77777777" w:rsidR="001E10F3" w:rsidRPr="001F1E14" w:rsidRDefault="001E10F3" w:rsidP="00463103">
            <w:pPr>
              <w:pStyle w:val="BodyCopy"/>
              <w:spacing w:before="0" w:after="0"/>
              <w:jc w:val="center"/>
              <w:rPr>
                <w:szCs w:val="22"/>
              </w:rPr>
            </w:pPr>
            <w:r w:rsidRPr="001F1E14">
              <w:rPr>
                <w:szCs w:val="22"/>
              </w:rPr>
              <w:t>26.2</w:t>
            </w:r>
          </w:p>
        </w:tc>
      </w:tr>
      <w:tr w:rsidR="001E10F3" w14:paraId="220B590E" w14:textId="77777777" w:rsidTr="00463103">
        <w:tc>
          <w:tcPr>
            <w:tcW w:w="975" w:type="pct"/>
          </w:tcPr>
          <w:p w14:paraId="5B0B8F7A" w14:textId="77777777" w:rsidR="001E10F3" w:rsidRPr="001F1E14" w:rsidRDefault="001E10F3" w:rsidP="00463103">
            <w:pPr>
              <w:pStyle w:val="BodyCopy"/>
              <w:spacing w:before="0" w:after="0"/>
              <w:rPr>
                <w:szCs w:val="22"/>
              </w:rPr>
            </w:pPr>
            <w:r w:rsidRPr="001F1E14">
              <w:rPr>
                <w:szCs w:val="22"/>
              </w:rPr>
              <w:t>Option 3: Increase heavy vehicle charges by 10 per cent per annum</w:t>
            </w:r>
            <w:r w:rsidRPr="001F1E14" w:rsidDel="00882E44">
              <w:rPr>
                <w:szCs w:val="22"/>
              </w:rPr>
              <w:t xml:space="preserve"> </w:t>
            </w:r>
          </w:p>
        </w:tc>
        <w:tc>
          <w:tcPr>
            <w:tcW w:w="671" w:type="pct"/>
            <w:vAlign w:val="center"/>
          </w:tcPr>
          <w:p w14:paraId="658C2C4F" w14:textId="77777777" w:rsidR="001E10F3" w:rsidRPr="001F1E14" w:rsidRDefault="001E10F3" w:rsidP="00463103">
            <w:pPr>
              <w:pStyle w:val="BodyCopy"/>
              <w:spacing w:before="0" w:after="0"/>
              <w:jc w:val="center"/>
              <w:rPr>
                <w:szCs w:val="22"/>
              </w:rPr>
            </w:pPr>
            <w:r w:rsidRPr="001F1E14">
              <w:rPr>
                <w:szCs w:val="22"/>
              </w:rPr>
              <w:t>1,062</w:t>
            </w:r>
          </w:p>
        </w:tc>
        <w:tc>
          <w:tcPr>
            <w:tcW w:w="671" w:type="pct"/>
            <w:vAlign w:val="center"/>
          </w:tcPr>
          <w:p w14:paraId="4D8CCF9B" w14:textId="77777777" w:rsidR="001E10F3" w:rsidRPr="001F1E14" w:rsidRDefault="001E10F3" w:rsidP="00463103">
            <w:pPr>
              <w:pStyle w:val="BodyCopy"/>
              <w:spacing w:before="0" w:after="0"/>
              <w:jc w:val="center"/>
              <w:rPr>
                <w:szCs w:val="22"/>
              </w:rPr>
            </w:pPr>
            <w:r w:rsidRPr="001F1E14">
              <w:rPr>
                <w:szCs w:val="22"/>
              </w:rPr>
              <w:t>20.5</w:t>
            </w:r>
          </w:p>
        </w:tc>
        <w:tc>
          <w:tcPr>
            <w:tcW w:w="671" w:type="pct"/>
            <w:vAlign w:val="center"/>
          </w:tcPr>
          <w:p w14:paraId="2E053F48" w14:textId="77777777" w:rsidR="001E10F3" w:rsidRPr="001F1E14" w:rsidRDefault="001E10F3" w:rsidP="00463103">
            <w:pPr>
              <w:pStyle w:val="BodyCopy"/>
              <w:spacing w:before="0" w:after="0"/>
              <w:jc w:val="center"/>
              <w:rPr>
                <w:szCs w:val="22"/>
              </w:rPr>
            </w:pPr>
            <w:r w:rsidRPr="001F1E14">
              <w:rPr>
                <w:szCs w:val="22"/>
              </w:rPr>
              <w:t>1,286</w:t>
            </w:r>
          </w:p>
        </w:tc>
        <w:tc>
          <w:tcPr>
            <w:tcW w:w="671" w:type="pct"/>
            <w:vAlign w:val="center"/>
          </w:tcPr>
          <w:p w14:paraId="1A597C0F" w14:textId="77777777" w:rsidR="001E10F3" w:rsidRPr="001F1E14" w:rsidRDefault="001E10F3" w:rsidP="00463103">
            <w:pPr>
              <w:pStyle w:val="BodyCopy"/>
              <w:spacing w:before="0" w:after="0"/>
              <w:jc w:val="center"/>
              <w:rPr>
                <w:szCs w:val="22"/>
              </w:rPr>
            </w:pPr>
            <w:r w:rsidRPr="001F1E14">
              <w:rPr>
                <w:szCs w:val="22"/>
              </w:rPr>
              <w:t>21.9</w:t>
            </w:r>
          </w:p>
        </w:tc>
        <w:tc>
          <w:tcPr>
            <w:tcW w:w="671" w:type="pct"/>
            <w:vAlign w:val="center"/>
          </w:tcPr>
          <w:p w14:paraId="75F90930" w14:textId="77777777" w:rsidR="001E10F3" w:rsidRPr="001F1E14" w:rsidRDefault="001E10F3" w:rsidP="00463103">
            <w:pPr>
              <w:pStyle w:val="BodyCopy"/>
              <w:spacing w:before="0" w:after="0"/>
              <w:jc w:val="center"/>
              <w:rPr>
                <w:szCs w:val="22"/>
              </w:rPr>
            </w:pPr>
            <w:r w:rsidRPr="001F1E14">
              <w:rPr>
                <w:szCs w:val="22"/>
              </w:rPr>
              <w:t>1,073</w:t>
            </w:r>
          </w:p>
        </w:tc>
        <w:tc>
          <w:tcPr>
            <w:tcW w:w="670" w:type="pct"/>
            <w:vAlign w:val="center"/>
          </w:tcPr>
          <w:p w14:paraId="6DE26A0D" w14:textId="77777777" w:rsidR="001E10F3" w:rsidRPr="001F1E14" w:rsidRDefault="001E10F3" w:rsidP="00463103">
            <w:pPr>
              <w:pStyle w:val="BodyCopy"/>
              <w:spacing w:before="0" w:after="0"/>
              <w:jc w:val="center"/>
              <w:rPr>
                <w:szCs w:val="22"/>
              </w:rPr>
            </w:pPr>
            <w:r w:rsidRPr="001F1E14">
              <w:rPr>
                <w:szCs w:val="22"/>
              </w:rPr>
              <w:t>17.4</w:t>
            </w:r>
          </w:p>
        </w:tc>
      </w:tr>
    </w:tbl>
    <w:p w14:paraId="2F6A164B" w14:textId="54B85900" w:rsidR="005F6811" w:rsidRDefault="0043401A" w:rsidP="00F63310">
      <w:pPr>
        <w:pStyle w:val="BodyCopy"/>
      </w:pPr>
      <w:r>
        <w:t>Unless ministers choose to increase heavy vehicle charges by</w:t>
      </w:r>
      <w:r w:rsidR="001A2036">
        <w:t xml:space="preserve"> 17.5 per cent over the three years from</w:t>
      </w:r>
      <w:r w:rsidR="005F6811">
        <w:t xml:space="preserve"> 2023-24 to 2025-26, there will be a gap between the heavy vehicle cost base and the revenue provided from heavy vehicle charges.  </w:t>
      </w:r>
    </w:p>
    <w:p w14:paraId="591EB7E8" w14:textId="1BC62FB1" w:rsidR="00A64D02" w:rsidRPr="0007258A" w:rsidRDefault="00A64D02" w:rsidP="00A64D02">
      <w:pPr>
        <w:pStyle w:val="List-bulletlvl1"/>
        <w:numPr>
          <w:ilvl w:val="0"/>
          <w:numId w:val="0"/>
        </w:numPr>
        <w:rPr>
          <w:b/>
          <w:bCs/>
        </w:rPr>
      </w:pPr>
      <w:r w:rsidRPr="0007258A">
        <w:rPr>
          <w:b/>
          <w:bCs/>
        </w:rPr>
        <w:t xml:space="preserve">Implications of </w:t>
      </w:r>
      <w:r>
        <w:rPr>
          <w:b/>
          <w:bCs/>
        </w:rPr>
        <w:t xml:space="preserve">the </w:t>
      </w:r>
      <w:r w:rsidRPr="0007258A">
        <w:rPr>
          <w:b/>
          <w:bCs/>
        </w:rPr>
        <w:t>current revenue gap</w:t>
      </w:r>
    </w:p>
    <w:p w14:paraId="0A82305A" w14:textId="77777777" w:rsidR="00A64D02" w:rsidRDefault="00A64D02" w:rsidP="00A64D02">
      <w:pPr>
        <w:pStyle w:val="List-bulletlvl1"/>
        <w:numPr>
          <w:ilvl w:val="0"/>
          <w:numId w:val="0"/>
        </w:numPr>
      </w:pPr>
      <w:r>
        <w:t xml:space="preserve">There are two important consequences from the current revenue gap. </w:t>
      </w:r>
    </w:p>
    <w:p w14:paraId="3F85A3D8" w14:textId="77777777" w:rsidR="00A64D02" w:rsidRDefault="00A64D02" w:rsidP="00A64D02">
      <w:pPr>
        <w:pStyle w:val="List-bulletlvl1"/>
        <w:numPr>
          <w:ilvl w:val="0"/>
          <w:numId w:val="0"/>
        </w:numPr>
      </w:pPr>
      <w:r>
        <w:t>First, the shortfall needs to be made up from other sources of revenue. That is, where expenditure on roads related to heavy vehicles is not met from heavy vehicle charges revenue, this effectively results in general taxpayers providing a cross-subsidy to heavy vehicle operators. Given the principle of full cost recovery expressed in the pricing principles and the overall design of the PAYGO model, governments have arguably decided against providing an explicit cross-subsidy to heavy vehicle operators.</w:t>
      </w:r>
    </w:p>
    <w:p w14:paraId="04EB6353" w14:textId="77777777" w:rsidR="00A64D02" w:rsidRDefault="00A64D02" w:rsidP="00A64D02">
      <w:pPr>
        <w:pStyle w:val="List-bulletlvl1"/>
        <w:numPr>
          <w:ilvl w:val="0"/>
          <w:numId w:val="0"/>
        </w:numPr>
      </w:pPr>
      <w:r>
        <w:t xml:space="preserve">Second, the ability of governments to fund ongoing expenditure on the road network depends on having sufficient revenue. Departures from full cost recovery reduce the ability of governments to fund this type of expenditure. </w:t>
      </w:r>
    </w:p>
    <w:p w14:paraId="554E1010" w14:textId="77777777" w:rsidR="00A64D02" w:rsidRPr="0007258A" w:rsidRDefault="00A64D02" w:rsidP="00A64D02">
      <w:pPr>
        <w:pStyle w:val="List-bulletlvl1"/>
        <w:numPr>
          <w:ilvl w:val="0"/>
          <w:numId w:val="0"/>
        </w:numPr>
      </w:pPr>
      <w:r>
        <w:t xml:space="preserve">We understand that, in some states and territories, the state of the existing network has deteriorated due to a backlog in maintenance. It would be possible to argue reasonably that governments’ ability to reduce the maintenance backlog is negatively affected by any persistent revenue gaps.  </w:t>
      </w:r>
    </w:p>
    <w:p w14:paraId="2ECB1665" w14:textId="151093C1" w:rsidR="00A64D02" w:rsidRDefault="00A64D02" w:rsidP="00A64D02">
      <w:pPr>
        <w:pStyle w:val="BodyCopy"/>
      </w:pPr>
      <w:r>
        <w:t xml:space="preserve">Overall, these considerations support the argument that revenue gaps need to be limited, and ideally eliminated over time.  </w:t>
      </w:r>
    </w:p>
    <w:p w14:paraId="380103BE" w14:textId="77777777" w:rsidR="006601BA" w:rsidRPr="009E6AE3" w:rsidRDefault="006601BA" w:rsidP="00A64D02">
      <w:pPr>
        <w:pStyle w:val="BodyCopy"/>
      </w:pPr>
    </w:p>
    <w:p w14:paraId="7DC44D7C" w14:textId="77777777" w:rsidR="009001C2" w:rsidRDefault="009001C2">
      <w:pPr>
        <w:pStyle w:val="BodyCopy"/>
        <w:rPr>
          <w:b/>
          <w:bCs/>
        </w:rPr>
      </w:pPr>
      <w:r>
        <w:rPr>
          <w:b/>
          <w:bCs/>
        </w:rPr>
        <w:t>Industry affordability</w:t>
      </w:r>
    </w:p>
    <w:p w14:paraId="67DAD2FD" w14:textId="77777777" w:rsidR="00CF7393" w:rsidRDefault="0013468B">
      <w:pPr>
        <w:pStyle w:val="BodyCopy"/>
      </w:pPr>
      <w:r>
        <w:t xml:space="preserve">Industry associations </w:t>
      </w:r>
      <w:r w:rsidR="00CF7393">
        <w:t>have highlighted that significant increases in heavy vehicle charges would be difficult for operators to manage. Reasons for this include:</w:t>
      </w:r>
    </w:p>
    <w:p w14:paraId="3C8F9130" w14:textId="4502CCDB" w:rsidR="0003015F" w:rsidRDefault="00CF7393" w:rsidP="0003015F">
      <w:pPr>
        <w:pStyle w:val="List-bulletlvl2"/>
        <w:numPr>
          <w:ilvl w:val="0"/>
          <w:numId w:val="33"/>
        </w:numPr>
      </w:pPr>
      <w:r>
        <w:t>Trading conditions have been challenging for parts of the industry</w:t>
      </w:r>
      <w:r w:rsidR="0003015F">
        <w:t xml:space="preserve">, and the industry is still slowly rebounding from the effects of COVID-19 with conditions still inferior to those that existed before the pandemic. For example, bus passenger loads have fallen with respect to service kilometres. </w:t>
      </w:r>
    </w:p>
    <w:p w14:paraId="36289D04" w14:textId="7D47A8C0" w:rsidR="0003015F" w:rsidRDefault="0003015F" w:rsidP="0003015F">
      <w:pPr>
        <w:pStyle w:val="List-bulletlvl2"/>
        <w:numPr>
          <w:ilvl w:val="0"/>
          <w:numId w:val="33"/>
        </w:numPr>
      </w:pPr>
      <w:r>
        <w:t xml:space="preserve">The industry is facing significant cost increases for fuel, trucks, tyres, parts and servicing costs. In addition, interest rates have increased significantly, increasing the cost of borrowing. Operators have, in many cases, not been </w:t>
      </w:r>
      <w:r w:rsidR="003A3F8F">
        <w:t>able</w:t>
      </w:r>
      <w:r>
        <w:t xml:space="preserve"> to reflect cost increases in freight rates.  </w:t>
      </w:r>
    </w:p>
    <w:p w14:paraId="6EDD86D4" w14:textId="42EE34A3" w:rsidR="009001C2" w:rsidRDefault="0003015F" w:rsidP="0003015F">
      <w:pPr>
        <w:pStyle w:val="List-bulletlvl2"/>
        <w:numPr>
          <w:ilvl w:val="0"/>
          <w:numId w:val="33"/>
        </w:numPr>
      </w:pPr>
      <w:r>
        <w:t>There is a significant shortage of drivers.</w:t>
      </w:r>
    </w:p>
    <w:p w14:paraId="64BC4956" w14:textId="0A01D40D" w:rsidR="0003015F" w:rsidRDefault="0003015F" w:rsidP="0003015F">
      <w:pPr>
        <w:pStyle w:val="List-bulletlvl2"/>
        <w:numPr>
          <w:ilvl w:val="0"/>
          <w:numId w:val="33"/>
        </w:numPr>
      </w:pPr>
      <w:r>
        <w:t>Compliance costs are increasing.</w:t>
      </w:r>
    </w:p>
    <w:p w14:paraId="28B74946" w14:textId="77777777" w:rsidR="003A3F8F" w:rsidRDefault="00A64D02" w:rsidP="0003015F">
      <w:pPr>
        <w:pStyle w:val="BodyCopy"/>
      </w:pPr>
      <w:r>
        <w:t xml:space="preserve">Even though industry conditions may be difficult, this does not necessarily indicate that industry would be unable to cope with reasonable increases to heavy vehicle charges. This is because the trucking industry is highly competitive, with a large number of operators, and relatively low entry and exit costs. </w:t>
      </w:r>
    </w:p>
    <w:p w14:paraId="2E0C21FC" w14:textId="685633F0" w:rsidR="00B56D49" w:rsidRDefault="00A64D02" w:rsidP="0003015F">
      <w:pPr>
        <w:pStyle w:val="BodyCopy"/>
      </w:pPr>
      <w:r>
        <w:t>Therefore, it would be reasonable to expect that increases in costs due to a rise</w:t>
      </w:r>
      <w:r w:rsidR="003A3F8F">
        <w:t xml:space="preserve"> in</w:t>
      </w:r>
      <w:r>
        <w:t xml:space="preserve"> heavy vehicle charges would, over time, flow through to the prices charged by operators to their customers. That is not to say that all operators are </w:t>
      </w:r>
      <w:r w:rsidR="003A3F8F">
        <w:t>able</w:t>
      </w:r>
      <w:r>
        <w:t xml:space="preserve"> to immediately reflect cost increases in their prices. However, it is unlikely that a </w:t>
      </w:r>
      <w:r w:rsidR="003A3F8F">
        <w:t>reasonable increase</w:t>
      </w:r>
      <w:r>
        <w:t xml:space="preserve"> in heavy vehicle charges would have a major or permanent impact on the overall size and composition of the industry. </w:t>
      </w:r>
    </w:p>
    <w:p w14:paraId="30538A06" w14:textId="77777777" w:rsidR="009001C2" w:rsidRDefault="009001C2">
      <w:pPr>
        <w:pStyle w:val="BodyCopy"/>
        <w:rPr>
          <w:b/>
          <w:bCs/>
        </w:rPr>
      </w:pPr>
      <w:r>
        <w:rPr>
          <w:b/>
          <w:bCs/>
        </w:rPr>
        <w:t>Impact on heavy vehicle operating costs</w:t>
      </w:r>
    </w:p>
    <w:p w14:paraId="1F184C6C" w14:textId="77777777" w:rsidR="00A64D02" w:rsidRDefault="00A64D02">
      <w:pPr>
        <w:pStyle w:val="BodyCopy"/>
      </w:pPr>
      <w:r>
        <w:t xml:space="preserve">From research undertaken as part of the 2021 Determination, we understand that heavy vehicle charges make up between approximately 2 and 8 per cent of total vehicle operating costs. From this perspective, an increase of 6 per cent in heavy vehicle charges would increase total vehicle operating costs by between approximately 0.1 and 0.5 per cent. </w:t>
      </w:r>
    </w:p>
    <w:p w14:paraId="0FE2DEA6" w14:textId="2173627A" w:rsidR="009001C2" w:rsidRPr="00A64D02" w:rsidRDefault="00A64D02">
      <w:pPr>
        <w:pStyle w:val="BodyCopy"/>
      </w:pPr>
      <w:r>
        <w:t xml:space="preserve">Compared to other cost pressures, such as fluctuations in the price of fuel (excluding the fuel excise tax) or vehicle parts, the impact on total vehicle operating costs is likely to be small in most cases.  </w:t>
      </w:r>
    </w:p>
    <w:p w14:paraId="2D08BB59" w14:textId="77777777" w:rsidR="009001C2" w:rsidRDefault="009001C2">
      <w:pPr>
        <w:pStyle w:val="BodyCopy"/>
        <w:rPr>
          <w:b/>
          <w:bCs/>
        </w:rPr>
      </w:pPr>
      <w:r>
        <w:rPr>
          <w:b/>
          <w:bCs/>
        </w:rPr>
        <w:t>Possible impact on regional and remote communities</w:t>
      </w:r>
    </w:p>
    <w:p w14:paraId="43081F52" w14:textId="26314B77" w:rsidR="009001C2" w:rsidRDefault="00A64D02">
      <w:pPr>
        <w:pStyle w:val="BodyCopy"/>
      </w:pPr>
      <w:r>
        <w:t xml:space="preserve">Increasing heavy vehicle charges is expected to make transporting people or goods by heavy vehicle more expensive. However, as outlined in the previous section, the increase in costs caused directly by the heavy vehicle charge increases consulted upon are likely to be small. </w:t>
      </w:r>
    </w:p>
    <w:p w14:paraId="4C28D8F0" w14:textId="7A0C9C26" w:rsidR="00A64D02" w:rsidRDefault="00A64D02">
      <w:pPr>
        <w:pStyle w:val="BodyCopy"/>
      </w:pPr>
      <w:r>
        <w:t xml:space="preserve">Against this, it is important to consider the implications that an inability to maintain roads would have on the same communities. If roads cannot be maintained due to a lack of government funding, this would also be expected to have a particularly noticeable effect on regional and remote communities.  </w:t>
      </w:r>
    </w:p>
    <w:p w14:paraId="50CF5C5C" w14:textId="6879DCB0" w:rsidR="00A64D02" w:rsidRPr="00A64D02" w:rsidRDefault="00A64D02">
      <w:pPr>
        <w:pStyle w:val="BodyCopy"/>
      </w:pPr>
      <w:r>
        <w:t xml:space="preserve">Therefore, the NTC considers that increasing heavy vehicle charges sufficiently to maintain governments’ ability to continue investing in the road network would not disadvantage regional and remote communities.  </w:t>
      </w:r>
    </w:p>
    <w:p w14:paraId="00B747BB" w14:textId="1A8E33FE" w:rsidR="00481273" w:rsidRDefault="00FD5100" w:rsidP="00481273">
      <w:pPr>
        <w:pStyle w:val="Heading2"/>
      </w:pPr>
      <w:bookmarkStart w:id="145" w:name="_Toc121234771"/>
      <w:bookmarkEnd w:id="142"/>
      <w:r>
        <w:t>Conclusion and recommendations</w:t>
      </w:r>
      <w:bookmarkEnd w:id="145"/>
    </w:p>
    <w:p w14:paraId="38550873" w14:textId="4EFC2393" w:rsidR="00DB001A" w:rsidRDefault="00A64D02" w:rsidP="00DB001A">
      <w:pPr>
        <w:pStyle w:val="BodyCopy"/>
      </w:pPr>
      <w:r>
        <w:t xml:space="preserve">The NTC acknowledges the concerns expressed by submitters about the impact that increasing heavy vehicle charges has on operators and their customers. However, the requirement to achieve full cost recovery remains an important guiding principle which the NTC is required to consider. Neither heavy vehicle operators </w:t>
      </w:r>
      <w:r w:rsidR="003A3F8F">
        <w:t>nor</w:t>
      </w:r>
      <w:r>
        <w:t xml:space="preserve"> the communities they serve will benefit if heavy vehicle charges fail to provide governments with sufficient revenue to maintain a reasonable level of investment in the road network. </w:t>
      </w:r>
    </w:p>
    <w:p w14:paraId="3BA46DCC" w14:textId="6E80C920" w:rsidR="00DB001A" w:rsidRDefault="00A64D02" w:rsidP="00481273">
      <w:pPr>
        <w:pStyle w:val="BodyCopy"/>
      </w:pPr>
      <w:r>
        <w:t xml:space="preserve">Taking all the relevant and often competing considerations into account, the NTC recommends that ITMM agree to increase heavy vehicle charges by 6 per cent per annum for three years, as outlined in Option 2 in the consultation paper.  </w:t>
      </w:r>
    </w:p>
    <w:p w14:paraId="53BC552C" w14:textId="77777777" w:rsidR="00DB001A" w:rsidRDefault="00DB001A" w:rsidP="00481273">
      <w:pPr>
        <w:pStyle w:val="BodyCopy"/>
      </w:pPr>
    </w:p>
    <w:p w14:paraId="7162FB7A" w14:textId="77777777" w:rsidR="001723FD" w:rsidRDefault="001723FD" w:rsidP="001723FD">
      <w:pPr>
        <w:pStyle w:val="Heading1"/>
      </w:pPr>
      <w:bookmarkStart w:id="146" w:name="_Toc114042887"/>
      <w:bookmarkStart w:id="147" w:name="_Toc121234772"/>
      <w:r>
        <w:t>Alternative approaches to rounding heavy vehicle charges</w:t>
      </w:r>
      <w:bookmarkEnd w:id="146"/>
      <w:bookmarkEnd w:id="147"/>
    </w:p>
    <w:p w14:paraId="7D5666CF" w14:textId="77777777" w:rsidR="001723FD" w:rsidRDefault="001723FD" w:rsidP="001723FD">
      <w:pPr>
        <w:pStyle w:val="BodyCopy"/>
      </w:pPr>
      <w:r>
        <w:t xml:space="preserve">The PAYGO model was originally developed with the overarching objective of determining a combination of nationally consistent RUC and registration charges that would be expected to recover the identified heavy vehicle cost base.  </w:t>
      </w:r>
    </w:p>
    <w:p w14:paraId="76B31E30" w14:textId="77777777" w:rsidR="001723FD" w:rsidRDefault="001723FD" w:rsidP="001723FD">
      <w:pPr>
        <w:pStyle w:val="BodyCopy"/>
      </w:pPr>
      <w:r>
        <w:t xml:space="preserve">In this model, both RUC and registration charges are calculated to multiple decimals. This is required to ensure estimated revenue precisely recovers the cost base. Heavy vehicle charges have not been set with reference to a specific revenue target since 2017-18.  </w:t>
      </w:r>
    </w:p>
    <w:p w14:paraId="509A158B" w14:textId="77777777" w:rsidR="001723FD" w:rsidRDefault="001723FD" w:rsidP="001723FD">
      <w:pPr>
        <w:pStyle w:val="BodyCopy"/>
      </w:pPr>
      <w:r>
        <w:t xml:space="preserve">In recent years, charges have typically been increased by a percentage as approved by ministers, rather than to recover a specific amount. Under this approach, the NTC has applied percentage increases to unrounded heavy vehicle charges, and then rounded the result. The rounded result is then recommended to ministers as a specific charge to approve. Rounding for registration charges is to the next full dollar whereas the RUC rate is rounded to the next 0.1 cent per litre, as required under the Fuel Tax Act 2006 (Cth).  </w:t>
      </w:r>
    </w:p>
    <w:p w14:paraId="423943F2" w14:textId="1CD28230" w:rsidR="001723FD" w:rsidRDefault="001723FD" w:rsidP="001723FD">
      <w:pPr>
        <w:pStyle w:val="BodyCopy"/>
      </w:pPr>
      <w:r>
        <w:t xml:space="preserve">Using RUC as an example, </w:t>
      </w:r>
      <w:r>
        <w:fldChar w:fldCharType="begin"/>
      </w:r>
      <w:r>
        <w:instrText xml:space="preserve"> REF _Ref110863078 \r \h </w:instrText>
      </w:r>
      <w:r>
        <w:fldChar w:fldCharType="separate"/>
      </w:r>
      <w:r w:rsidR="0043504D">
        <w:t>Table 15</w:t>
      </w:r>
      <w:r>
        <w:fldChar w:fldCharType="end"/>
      </w:r>
      <w:r>
        <w:t xml:space="preserve"> shows how percentage increases were applied to the unrounded RUC.</w:t>
      </w:r>
    </w:p>
    <w:p w14:paraId="29F07B93" w14:textId="77777777" w:rsidR="001723FD" w:rsidRDefault="001723FD" w:rsidP="001723FD">
      <w:pPr>
        <w:pStyle w:val="Tabletitle"/>
      </w:pPr>
      <w:bookmarkStart w:id="148" w:name="_Ref110863078"/>
      <w:bookmarkStart w:id="149" w:name="_Toc114042949"/>
      <w:r>
        <w:t>Current approach to rounding illustrated</w:t>
      </w:r>
      <w:bookmarkEnd w:id="148"/>
      <w:bookmarkEnd w:id="149"/>
    </w:p>
    <w:tbl>
      <w:tblPr>
        <w:tblStyle w:val="NTCtable"/>
        <w:tblW w:w="0" w:type="auto"/>
        <w:tblLook w:val="04A0" w:firstRow="1" w:lastRow="0" w:firstColumn="1" w:lastColumn="0" w:noHBand="0" w:noVBand="1"/>
      </w:tblPr>
      <w:tblGrid>
        <w:gridCol w:w="1276"/>
        <w:gridCol w:w="1653"/>
        <w:gridCol w:w="1654"/>
        <w:gridCol w:w="1654"/>
        <w:gridCol w:w="2790"/>
      </w:tblGrid>
      <w:tr w:rsidR="001723FD" w14:paraId="57D64CE4" w14:textId="77777777">
        <w:trPr>
          <w:cnfStyle w:val="100000000000" w:firstRow="1" w:lastRow="0" w:firstColumn="0" w:lastColumn="0" w:oddVBand="0" w:evenVBand="0" w:oddHBand="0" w:evenHBand="0" w:firstRowFirstColumn="0" w:firstRowLastColumn="0" w:lastRowFirstColumn="0" w:lastRowLastColumn="0"/>
        </w:trPr>
        <w:tc>
          <w:tcPr>
            <w:tcW w:w="1276" w:type="dxa"/>
          </w:tcPr>
          <w:p w14:paraId="09C17605" w14:textId="77777777" w:rsidR="001723FD" w:rsidRDefault="001723FD">
            <w:pPr>
              <w:pStyle w:val="BodyCopy"/>
            </w:pPr>
            <w:r>
              <w:t>Financial Year</w:t>
            </w:r>
          </w:p>
        </w:tc>
        <w:tc>
          <w:tcPr>
            <w:tcW w:w="1653" w:type="dxa"/>
          </w:tcPr>
          <w:p w14:paraId="5DD95975" w14:textId="77777777" w:rsidR="001723FD" w:rsidRDefault="001723FD">
            <w:pPr>
              <w:pStyle w:val="BodyCopy"/>
            </w:pPr>
            <w:r>
              <w:t xml:space="preserve">Unrounded RUC rate (cents/litre) </w:t>
            </w:r>
          </w:p>
        </w:tc>
        <w:tc>
          <w:tcPr>
            <w:tcW w:w="1654" w:type="dxa"/>
          </w:tcPr>
          <w:p w14:paraId="7649CDD2" w14:textId="77777777" w:rsidR="001723FD" w:rsidRDefault="001723FD">
            <w:pPr>
              <w:pStyle w:val="BodyCopy"/>
            </w:pPr>
            <w:r>
              <w:t>Percentage change applied</w:t>
            </w:r>
          </w:p>
        </w:tc>
        <w:tc>
          <w:tcPr>
            <w:tcW w:w="1654" w:type="dxa"/>
          </w:tcPr>
          <w:p w14:paraId="0869D5D9" w14:textId="77777777" w:rsidR="001723FD" w:rsidRDefault="001723FD">
            <w:pPr>
              <w:pStyle w:val="BodyCopy"/>
            </w:pPr>
            <w:r>
              <w:t>Actual, rounded RUC rate</w:t>
            </w:r>
          </w:p>
        </w:tc>
        <w:tc>
          <w:tcPr>
            <w:tcW w:w="2790" w:type="dxa"/>
          </w:tcPr>
          <w:p w14:paraId="5F3D9051" w14:textId="77777777" w:rsidR="001723FD" w:rsidRDefault="001723FD">
            <w:pPr>
              <w:pStyle w:val="BodyCopy"/>
            </w:pPr>
            <w:r>
              <w:t>Notes</w:t>
            </w:r>
          </w:p>
        </w:tc>
      </w:tr>
      <w:tr w:rsidR="001723FD" w14:paraId="4B74131D" w14:textId="77777777">
        <w:tc>
          <w:tcPr>
            <w:tcW w:w="1276" w:type="dxa"/>
            <w:vAlign w:val="center"/>
          </w:tcPr>
          <w:p w14:paraId="53509C05" w14:textId="77777777" w:rsidR="001723FD" w:rsidRDefault="001723FD">
            <w:pPr>
              <w:pStyle w:val="BodyCopy"/>
              <w:jc w:val="center"/>
            </w:pPr>
            <w:r w:rsidRPr="000141BB">
              <w:t>2015/2016</w:t>
            </w:r>
          </w:p>
        </w:tc>
        <w:tc>
          <w:tcPr>
            <w:tcW w:w="1653" w:type="dxa"/>
            <w:vAlign w:val="center"/>
          </w:tcPr>
          <w:p w14:paraId="567E59CF" w14:textId="77777777" w:rsidR="001723FD" w:rsidRDefault="001723FD">
            <w:pPr>
              <w:pStyle w:val="BodyCopy"/>
              <w:jc w:val="center"/>
            </w:pPr>
            <w:r w:rsidRPr="00D77B8F">
              <w:t>26.13750</w:t>
            </w:r>
          </w:p>
        </w:tc>
        <w:tc>
          <w:tcPr>
            <w:tcW w:w="1654" w:type="dxa"/>
            <w:vAlign w:val="center"/>
          </w:tcPr>
          <w:p w14:paraId="48484CEA" w14:textId="77777777" w:rsidR="001723FD" w:rsidRDefault="001723FD">
            <w:pPr>
              <w:pStyle w:val="BodyCopy"/>
              <w:jc w:val="center"/>
            </w:pPr>
            <w:r w:rsidRPr="0048296D">
              <w:t>0.60%</w:t>
            </w:r>
          </w:p>
        </w:tc>
        <w:tc>
          <w:tcPr>
            <w:tcW w:w="1654" w:type="dxa"/>
            <w:vAlign w:val="center"/>
          </w:tcPr>
          <w:p w14:paraId="18BB8A5F" w14:textId="77777777" w:rsidR="001723FD" w:rsidRDefault="001723FD">
            <w:pPr>
              <w:pStyle w:val="BodyCopy"/>
              <w:jc w:val="center"/>
            </w:pPr>
            <w:r w:rsidRPr="00CF0D50">
              <w:t>26</w:t>
            </w:r>
            <w:r>
              <w:t>.</w:t>
            </w:r>
            <w:r w:rsidRPr="00CF0D50">
              <w:t>14</w:t>
            </w:r>
          </w:p>
        </w:tc>
        <w:tc>
          <w:tcPr>
            <w:tcW w:w="2790" w:type="dxa"/>
          </w:tcPr>
          <w:p w14:paraId="6DB81E6C" w14:textId="77777777" w:rsidR="001723FD" w:rsidRDefault="001723FD">
            <w:pPr>
              <w:pStyle w:val="BodyCopy"/>
            </w:pPr>
            <w:r>
              <w:t>Last year where RUC set to two decimals. Starting point for subsequent calculations.</w:t>
            </w:r>
          </w:p>
        </w:tc>
      </w:tr>
      <w:tr w:rsidR="001723FD" w14:paraId="5740DB65" w14:textId="77777777">
        <w:tc>
          <w:tcPr>
            <w:tcW w:w="1276" w:type="dxa"/>
            <w:vAlign w:val="center"/>
          </w:tcPr>
          <w:p w14:paraId="3F0E1F5E" w14:textId="77777777" w:rsidR="001723FD" w:rsidRDefault="001723FD">
            <w:pPr>
              <w:pStyle w:val="BodyCopy"/>
              <w:jc w:val="center"/>
            </w:pPr>
            <w:r w:rsidRPr="000141BB">
              <w:t>2016/2017</w:t>
            </w:r>
          </w:p>
        </w:tc>
        <w:tc>
          <w:tcPr>
            <w:tcW w:w="1653" w:type="dxa"/>
            <w:vAlign w:val="center"/>
          </w:tcPr>
          <w:p w14:paraId="1BD63F34" w14:textId="77777777" w:rsidR="001723FD" w:rsidRDefault="001723FD">
            <w:pPr>
              <w:pStyle w:val="BodyCopy"/>
              <w:jc w:val="center"/>
            </w:pPr>
            <w:r w:rsidRPr="00D77B8F">
              <w:t>25.90226</w:t>
            </w:r>
          </w:p>
        </w:tc>
        <w:tc>
          <w:tcPr>
            <w:tcW w:w="1654" w:type="dxa"/>
            <w:vAlign w:val="center"/>
          </w:tcPr>
          <w:p w14:paraId="05437081" w14:textId="77777777" w:rsidR="001723FD" w:rsidRDefault="001723FD">
            <w:pPr>
              <w:pStyle w:val="BodyCopy"/>
              <w:jc w:val="center"/>
            </w:pPr>
            <w:r w:rsidRPr="0048296D">
              <w:t>-0.90%</w:t>
            </w:r>
          </w:p>
        </w:tc>
        <w:tc>
          <w:tcPr>
            <w:tcW w:w="1654" w:type="dxa"/>
            <w:vAlign w:val="center"/>
          </w:tcPr>
          <w:p w14:paraId="073FCAB3" w14:textId="77777777" w:rsidR="001723FD" w:rsidRDefault="001723FD">
            <w:pPr>
              <w:pStyle w:val="BodyCopy"/>
              <w:jc w:val="center"/>
            </w:pPr>
            <w:r w:rsidRPr="00CF0D50">
              <w:t>25</w:t>
            </w:r>
            <w:r>
              <w:t>.</w:t>
            </w:r>
            <w:r w:rsidRPr="00CF0D50">
              <w:t>9</w:t>
            </w:r>
          </w:p>
        </w:tc>
        <w:tc>
          <w:tcPr>
            <w:tcW w:w="2790" w:type="dxa"/>
          </w:tcPr>
          <w:p w14:paraId="354FF398" w14:textId="77777777" w:rsidR="001723FD" w:rsidRDefault="001723FD">
            <w:pPr>
              <w:pStyle w:val="BodyCopy"/>
            </w:pPr>
            <w:r>
              <w:t>First year where RUC set to single decimal. Overall level of HV charges revenue frozen.</w:t>
            </w:r>
          </w:p>
        </w:tc>
      </w:tr>
      <w:tr w:rsidR="001723FD" w14:paraId="30CE079C" w14:textId="77777777">
        <w:tc>
          <w:tcPr>
            <w:tcW w:w="1276" w:type="dxa"/>
            <w:vAlign w:val="center"/>
          </w:tcPr>
          <w:p w14:paraId="6E2D8EFA" w14:textId="77777777" w:rsidR="001723FD" w:rsidRDefault="001723FD">
            <w:pPr>
              <w:pStyle w:val="BodyCopy"/>
              <w:jc w:val="center"/>
            </w:pPr>
            <w:r w:rsidRPr="000141BB">
              <w:t>2017/2018</w:t>
            </w:r>
          </w:p>
        </w:tc>
        <w:tc>
          <w:tcPr>
            <w:tcW w:w="1653" w:type="dxa"/>
            <w:vAlign w:val="center"/>
          </w:tcPr>
          <w:p w14:paraId="64D2EC21" w14:textId="77777777" w:rsidR="001723FD" w:rsidRDefault="001723FD">
            <w:pPr>
              <w:pStyle w:val="BodyCopy"/>
              <w:jc w:val="center"/>
            </w:pPr>
            <w:r w:rsidRPr="00D77B8F">
              <w:t>25.79865</w:t>
            </w:r>
          </w:p>
        </w:tc>
        <w:tc>
          <w:tcPr>
            <w:tcW w:w="1654" w:type="dxa"/>
            <w:vAlign w:val="center"/>
          </w:tcPr>
          <w:p w14:paraId="0AB989A1" w14:textId="77777777" w:rsidR="001723FD" w:rsidRDefault="001723FD">
            <w:pPr>
              <w:pStyle w:val="BodyCopy"/>
              <w:jc w:val="center"/>
            </w:pPr>
            <w:r w:rsidRPr="0048296D">
              <w:t>-0.40%</w:t>
            </w:r>
          </w:p>
        </w:tc>
        <w:tc>
          <w:tcPr>
            <w:tcW w:w="1654" w:type="dxa"/>
            <w:vAlign w:val="center"/>
          </w:tcPr>
          <w:p w14:paraId="0AE19E96" w14:textId="77777777" w:rsidR="001723FD" w:rsidRDefault="001723FD">
            <w:pPr>
              <w:pStyle w:val="BodyCopy"/>
              <w:jc w:val="center"/>
            </w:pPr>
            <w:r w:rsidRPr="00CF0D50">
              <w:t>25</w:t>
            </w:r>
            <w:r>
              <w:t>.</w:t>
            </w:r>
            <w:r w:rsidRPr="00CF0D50">
              <w:t>8</w:t>
            </w:r>
          </w:p>
        </w:tc>
        <w:tc>
          <w:tcPr>
            <w:tcW w:w="2790" w:type="dxa"/>
          </w:tcPr>
          <w:p w14:paraId="0C8DA3B5" w14:textId="77777777" w:rsidR="001723FD" w:rsidRDefault="001723FD">
            <w:pPr>
              <w:pStyle w:val="BodyCopy"/>
            </w:pPr>
            <w:r>
              <w:t>Overall level of HV charges revenue frozen</w:t>
            </w:r>
          </w:p>
        </w:tc>
      </w:tr>
      <w:tr w:rsidR="001723FD" w14:paraId="7A8CAA06" w14:textId="77777777">
        <w:tc>
          <w:tcPr>
            <w:tcW w:w="9027" w:type="dxa"/>
            <w:gridSpan w:val="5"/>
            <w:vAlign w:val="center"/>
          </w:tcPr>
          <w:p w14:paraId="6B06AFA1" w14:textId="77777777" w:rsidR="001723FD" w:rsidRDefault="001723FD">
            <w:pPr>
              <w:pStyle w:val="BodyCopy"/>
            </w:pPr>
            <w:r>
              <w:t>Heavy vehicle charges were frozen at 2017-18 levels from 2018-19 to 2020-21</w:t>
            </w:r>
          </w:p>
        </w:tc>
      </w:tr>
      <w:tr w:rsidR="001723FD" w14:paraId="5693370F" w14:textId="77777777">
        <w:tc>
          <w:tcPr>
            <w:tcW w:w="1276" w:type="dxa"/>
            <w:vAlign w:val="center"/>
          </w:tcPr>
          <w:p w14:paraId="01638FCF" w14:textId="77777777" w:rsidR="001723FD" w:rsidRDefault="001723FD">
            <w:pPr>
              <w:pStyle w:val="BodyCopy"/>
              <w:jc w:val="center"/>
            </w:pPr>
            <w:r w:rsidRPr="001E2AE9">
              <w:t>2021/2022</w:t>
            </w:r>
          </w:p>
        </w:tc>
        <w:tc>
          <w:tcPr>
            <w:tcW w:w="1653" w:type="dxa"/>
            <w:vAlign w:val="center"/>
          </w:tcPr>
          <w:p w14:paraId="6390B3C4" w14:textId="77777777" w:rsidR="001723FD" w:rsidRDefault="001723FD">
            <w:pPr>
              <w:pStyle w:val="BodyCopy"/>
              <w:jc w:val="center"/>
            </w:pPr>
            <w:r w:rsidRPr="00C44116">
              <w:t>26.44362</w:t>
            </w:r>
          </w:p>
        </w:tc>
        <w:tc>
          <w:tcPr>
            <w:tcW w:w="1654" w:type="dxa"/>
            <w:vAlign w:val="center"/>
          </w:tcPr>
          <w:p w14:paraId="414D4F8E" w14:textId="77777777" w:rsidR="001723FD" w:rsidRDefault="001723FD">
            <w:pPr>
              <w:pStyle w:val="BodyCopy"/>
              <w:jc w:val="center"/>
            </w:pPr>
            <w:r>
              <w:t>2.5</w:t>
            </w:r>
          </w:p>
        </w:tc>
        <w:tc>
          <w:tcPr>
            <w:tcW w:w="1654" w:type="dxa"/>
            <w:vAlign w:val="center"/>
          </w:tcPr>
          <w:p w14:paraId="4DF1C85C" w14:textId="77777777" w:rsidR="001723FD" w:rsidRDefault="001723FD">
            <w:pPr>
              <w:pStyle w:val="BodyCopy"/>
              <w:jc w:val="center"/>
            </w:pPr>
            <w:r>
              <w:t>26.4</w:t>
            </w:r>
          </w:p>
        </w:tc>
        <w:tc>
          <w:tcPr>
            <w:tcW w:w="2790" w:type="dxa"/>
          </w:tcPr>
          <w:p w14:paraId="4FA06017" w14:textId="77777777" w:rsidR="001723FD" w:rsidRDefault="001723FD">
            <w:pPr>
              <w:pStyle w:val="BodyCopy"/>
            </w:pPr>
            <w:r>
              <w:t>ITMM agrees to increase charges by 2.5 per cent</w:t>
            </w:r>
          </w:p>
        </w:tc>
      </w:tr>
      <w:tr w:rsidR="001723FD" w14:paraId="38D5CF87" w14:textId="77777777">
        <w:tc>
          <w:tcPr>
            <w:tcW w:w="1276" w:type="dxa"/>
            <w:vAlign w:val="center"/>
          </w:tcPr>
          <w:p w14:paraId="68B41915" w14:textId="77777777" w:rsidR="001723FD" w:rsidRDefault="001723FD">
            <w:pPr>
              <w:pStyle w:val="BodyCopy"/>
              <w:jc w:val="center"/>
            </w:pPr>
            <w:r w:rsidRPr="001E2AE9">
              <w:t>2022/2023</w:t>
            </w:r>
          </w:p>
        </w:tc>
        <w:tc>
          <w:tcPr>
            <w:tcW w:w="1653" w:type="dxa"/>
            <w:vAlign w:val="center"/>
          </w:tcPr>
          <w:p w14:paraId="60332447" w14:textId="77777777" w:rsidR="001723FD" w:rsidRDefault="001723FD">
            <w:pPr>
              <w:pStyle w:val="BodyCopy"/>
              <w:jc w:val="center"/>
            </w:pPr>
            <w:r w:rsidRPr="00C44116">
              <w:t>27.17082</w:t>
            </w:r>
          </w:p>
        </w:tc>
        <w:tc>
          <w:tcPr>
            <w:tcW w:w="1654" w:type="dxa"/>
            <w:vAlign w:val="center"/>
          </w:tcPr>
          <w:p w14:paraId="250395FB" w14:textId="77777777" w:rsidR="001723FD" w:rsidRDefault="001723FD">
            <w:pPr>
              <w:pStyle w:val="BodyCopy"/>
              <w:jc w:val="center"/>
            </w:pPr>
            <w:r>
              <w:t>2.75</w:t>
            </w:r>
          </w:p>
        </w:tc>
        <w:tc>
          <w:tcPr>
            <w:tcW w:w="1654" w:type="dxa"/>
            <w:vAlign w:val="center"/>
          </w:tcPr>
          <w:p w14:paraId="159D7E07" w14:textId="77777777" w:rsidR="001723FD" w:rsidRDefault="001723FD">
            <w:pPr>
              <w:pStyle w:val="BodyCopy"/>
              <w:jc w:val="center"/>
            </w:pPr>
            <w:r>
              <w:t>27.2</w:t>
            </w:r>
          </w:p>
        </w:tc>
        <w:tc>
          <w:tcPr>
            <w:tcW w:w="2790" w:type="dxa"/>
          </w:tcPr>
          <w:p w14:paraId="55F87CBA" w14:textId="77777777" w:rsidR="001723FD" w:rsidRDefault="001723FD">
            <w:pPr>
              <w:pStyle w:val="BodyCopy"/>
            </w:pPr>
            <w:r>
              <w:t>ITMM agrees to increase heavy vehicle charges by 2.75 per cent</w:t>
            </w:r>
          </w:p>
        </w:tc>
      </w:tr>
    </w:tbl>
    <w:p w14:paraId="7D872D5B" w14:textId="77777777" w:rsidR="001723FD" w:rsidRDefault="001723FD" w:rsidP="001723FD">
      <w:pPr>
        <w:pStyle w:val="BodyCopy"/>
      </w:pPr>
      <w:r>
        <w:t xml:space="preserve">On the one hand, this approach minimises the cumulative effect of rounding over time. On the other hand, stakeholders may identify that the difference between two RUC rates rounded to the nearest 0.1 cents per litre does not precisely reflect the percentage increase described. </w:t>
      </w:r>
    </w:p>
    <w:p w14:paraId="45E3E88E" w14:textId="77777777" w:rsidR="001723FD" w:rsidRDefault="001723FD" w:rsidP="001723FD">
      <w:pPr>
        <w:pStyle w:val="BodyCopy"/>
      </w:pPr>
      <w:r>
        <w:t xml:space="preserve">To avoid any doubt, in reports to ministers, the NTC identifies both the headline percentage change and the specific registration charges and RUC rate to be implemented in all consultation papers and reports to ministers. </w:t>
      </w:r>
    </w:p>
    <w:p w14:paraId="535D6A06" w14:textId="70E80D21" w:rsidR="001723FD" w:rsidRDefault="001723FD" w:rsidP="001723FD">
      <w:pPr>
        <w:pStyle w:val="BodyCopy"/>
      </w:pPr>
      <w:r>
        <w:t xml:space="preserve">An alternative would be to apply approved percentage changes to rounded heavy vehicle charges, as approved by ministers, and identified in the Model Law for registration charges and the legislative instrument made by the Federal Transport Minister to set the RUC rate. The end result would then be rounded again to derive the specific rates to be recommended to ministers. </w:t>
      </w:r>
      <w:r>
        <w:fldChar w:fldCharType="begin"/>
      </w:r>
      <w:r>
        <w:instrText xml:space="preserve"> REF _Ref110863034 \r \h </w:instrText>
      </w:r>
      <w:r>
        <w:fldChar w:fldCharType="separate"/>
      </w:r>
      <w:r w:rsidR="0043504D">
        <w:t>Table 16</w:t>
      </w:r>
      <w:r>
        <w:fldChar w:fldCharType="end"/>
      </w:r>
      <w:r>
        <w:t xml:space="preserve"> shows how this could work.   </w:t>
      </w:r>
    </w:p>
    <w:p w14:paraId="41B94B3C" w14:textId="77777777" w:rsidR="001723FD" w:rsidRDefault="001723FD" w:rsidP="001723FD">
      <w:pPr>
        <w:pStyle w:val="Tabletitle"/>
      </w:pPr>
      <w:bookmarkStart w:id="150" w:name="_Ref110863034"/>
      <w:bookmarkStart w:id="151" w:name="_Toc114042950"/>
      <w:r>
        <w:t>Alternative approach to rounding illustrated</w:t>
      </w:r>
      <w:bookmarkEnd w:id="150"/>
      <w:bookmarkEnd w:id="151"/>
    </w:p>
    <w:tbl>
      <w:tblPr>
        <w:tblStyle w:val="NTCtable"/>
        <w:tblW w:w="0" w:type="auto"/>
        <w:tblLook w:val="04A0" w:firstRow="1" w:lastRow="0" w:firstColumn="1" w:lastColumn="0" w:noHBand="0" w:noVBand="1"/>
      </w:tblPr>
      <w:tblGrid>
        <w:gridCol w:w="1276"/>
        <w:gridCol w:w="1653"/>
        <w:gridCol w:w="1654"/>
        <w:gridCol w:w="1654"/>
        <w:gridCol w:w="2790"/>
      </w:tblGrid>
      <w:tr w:rsidR="001723FD" w14:paraId="081FDDBC" w14:textId="77777777">
        <w:trPr>
          <w:cnfStyle w:val="100000000000" w:firstRow="1" w:lastRow="0" w:firstColumn="0" w:lastColumn="0" w:oddVBand="0" w:evenVBand="0" w:oddHBand="0" w:evenHBand="0" w:firstRowFirstColumn="0" w:firstRowLastColumn="0" w:lastRowFirstColumn="0" w:lastRowLastColumn="0"/>
        </w:trPr>
        <w:tc>
          <w:tcPr>
            <w:tcW w:w="1276" w:type="dxa"/>
          </w:tcPr>
          <w:p w14:paraId="7C881B94" w14:textId="77777777" w:rsidR="001723FD" w:rsidRDefault="001723FD">
            <w:pPr>
              <w:pStyle w:val="BodyCopy"/>
            </w:pPr>
            <w:r>
              <w:t>Financial Year</w:t>
            </w:r>
          </w:p>
        </w:tc>
        <w:tc>
          <w:tcPr>
            <w:tcW w:w="1653" w:type="dxa"/>
          </w:tcPr>
          <w:p w14:paraId="0C96F45B" w14:textId="77777777" w:rsidR="001723FD" w:rsidRDefault="001723FD">
            <w:pPr>
              <w:pStyle w:val="BodyCopy"/>
            </w:pPr>
            <w:r>
              <w:t>Unrounded RUC rate</w:t>
            </w:r>
          </w:p>
        </w:tc>
        <w:tc>
          <w:tcPr>
            <w:tcW w:w="1654" w:type="dxa"/>
          </w:tcPr>
          <w:p w14:paraId="1628F6A4" w14:textId="77777777" w:rsidR="001723FD" w:rsidRDefault="001723FD">
            <w:pPr>
              <w:pStyle w:val="BodyCopy"/>
            </w:pPr>
            <w:r>
              <w:t>Percentage change applied</w:t>
            </w:r>
          </w:p>
        </w:tc>
        <w:tc>
          <w:tcPr>
            <w:tcW w:w="1654" w:type="dxa"/>
          </w:tcPr>
          <w:p w14:paraId="3C8AB22B" w14:textId="77777777" w:rsidR="001723FD" w:rsidRDefault="001723FD">
            <w:pPr>
              <w:pStyle w:val="BodyCopy"/>
            </w:pPr>
            <w:r>
              <w:t>Actual, rounded RUC rate</w:t>
            </w:r>
          </w:p>
        </w:tc>
        <w:tc>
          <w:tcPr>
            <w:tcW w:w="2790" w:type="dxa"/>
          </w:tcPr>
          <w:p w14:paraId="2FE1E521" w14:textId="77777777" w:rsidR="001723FD" w:rsidRDefault="001723FD">
            <w:pPr>
              <w:pStyle w:val="BodyCopy"/>
            </w:pPr>
            <w:r>
              <w:t>Notes</w:t>
            </w:r>
          </w:p>
        </w:tc>
      </w:tr>
      <w:tr w:rsidR="001723FD" w14:paraId="37DF78DA" w14:textId="77777777">
        <w:tc>
          <w:tcPr>
            <w:tcW w:w="1276" w:type="dxa"/>
            <w:vAlign w:val="center"/>
          </w:tcPr>
          <w:p w14:paraId="498A385C" w14:textId="77777777" w:rsidR="001723FD" w:rsidRDefault="001723FD">
            <w:pPr>
              <w:pStyle w:val="BodyCopy"/>
              <w:jc w:val="center"/>
            </w:pPr>
            <w:r w:rsidRPr="000141BB">
              <w:t>2015/2016</w:t>
            </w:r>
          </w:p>
        </w:tc>
        <w:tc>
          <w:tcPr>
            <w:tcW w:w="1653" w:type="dxa"/>
            <w:vAlign w:val="center"/>
          </w:tcPr>
          <w:p w14:paraId="56A0EAB3" w14:textId="77777777" w:rsidR="001723FD" w:rsidRDefault="001723FD">
            <w:pPr>
              <w:pStyle w:val="BodyCopy"/>
              <w:jc w:val="center"/>
            </w:pPr>
            <w:r>
              <w:t>N/A</w:t>
            </w:r>
          </w:p>
        </w:tc>
        <w:tc>
          <w:tcPr>
            <w:tcW w:w="1654" w:type="dxa"/>
            <w:vAlign w:val="center"/>
          </w:tcPr>
          <w:p w14:paraId="7658C797" w14:textId="77777777" w:rsidR="001723FD" w:rsidRDefault="001723FD">
            <w:pPr>
              <w:pStyle w:val="BodyCopy"/>
              <w:jc w:val="center"/>
            </w:pPr>
            <w:r>
              <w:t>N/A</w:t>
            </w:r>
          </w:p>
        </w:tc>
        <w:tc>
          <w:tcPr>
            <w:tcW w:w="1654" w:type="dxa"/>
            <w:vAlign w:val="center"/>
          </w:tcPr>
          <w:p w14:paraId="46EDE1A5" w14:textId="77777777" w:rsidR="001723FD" w:rsidRDefault="001723FD">
            <w:pPr>
              <w:pStyle w:val="BodyCopy"/>
              <w:jc w:val="center"/>
            </w:pPr>
            <w:r>
              <w:t>26.14</w:t>
            </w:r>
          </w:p>
        </w:tc>
        <w:tc>
          <w:tcPr>
            <w:tcW w:w="2790" w:type="dxa"/>
          </w:tcPr>
          <w:p w14:paraId="2EF63F19" w14:textId="77777777" w:rsidR="001723FD" w:rsidRDefault="001723FD">
            <w:pPr>
              <w:pStyle w:val="BodyCopy"/>
            </w:pPr>
            <w:r>
              <w:t>Last year where RUC set to two decimals. Starting point for subsequent calculations.</w:t>
            </w:r>
          </w:p>
        </w:tc>
      </w:tr>
      <w:tr w:rsidR="001723FD" w14:paraId="709F1BF5" w14:textId="77777777">
        <w:tc>
          <w:tcPr>
            <w:tcW w:w="1276" w:type="dxa"/>
            <w:vAlign w:val="center"/>
          </w:tcPr>
          <w:p w14:paraId="132C03B6" w14:textId="77777777" w:rsidR="001723FD" w:rsidRDefault="001723FD">
            <w:pPr>
              <w:pStyle w:val="BodyCopy"/>
              <w:jc w:val="center"/>
            </w:pPr>
            <w:r w:rsidRPr="000141BB">
              <w:t>2016/2017</w:t>
            </w:r>
          </w:p>
        </w:tc>
        <w:tc>
          <w:tcPr>
            <w:tcW w:w="1653" w:type="dxa"/>
            <w:vAlign w:val="center"/>
          </w:tcPr>
          <w:p w14:paraId="1A971FA8" w14:textId="77777777" w:rsidR="001723FD" w:rsidRDefault="001723FD">
            <w:pPr>
              <w:pStyle w:val="BodyCopy"/>
              <w:jc w:val="center"/>
            </w:pPr>
            <w:r w:rsidRPr="00D77B8F">
              <w:t>25.90</w:t>
            </w:r>
            <w:r>
              <w:t>474</w:t>
            </w:r>
          </w:p>
        </w:tc>
        <w:tc>
          <w:tcPr>
            <w:tcW w:w="1654" w:type="dxa"/>
            <w:vAlign w:val="center"/>
          </w:tcPr>
          <w:p w14:paraId="32A62EE6" w14:textId="77777777" w:rsidR="001723FD" w:rsidRDefault="001723FD">
            <w:pPr>
              <w:pStyle w:val="BodyCopy"/>
              <w:jc w:val="center"/>
            </w:pPr>
            <w:r w:rsidRPr="0048296D">
              <w:t>-0.90%</w:t>
            </w:r>
          </w:p>
        </w:tc>
        <w:tc>
          <w:tcPr>
            <w:tcW w:w="1654" w:type="dxa"/>
            <w:vAlign w:val="center"/>
          </w:tcPr>
          <w:p w14:paraId="2C61F03E" w14:textId="77777777" w:rsidR="001723FD" w:rsidRDefault="001723FD">
            <w:pPr>
              <w:pStyle w:val="BodyCopy"/>
              <w:jc w:val="center"/>
            </w:pPr>
            <w:r w:rsidRPr="00CF0D50">
              <w:t>25</w:t>
            </w:r>
            <w:r>
              <w:t>.</w:t>
            </w:r>
            <w:r w:rsidRPr="00CF0D50">
              <w:t>9</w:t>
            </w:r>
          </w:p>
        </w:tc>
        <w:tc>
          <w:tcPr>
            <w:tcW w:w="2790" w:type="dxa"/>
          </w:tcPr>
          <w:p w14:paraId="444A4753" w14:textId="77777777" w:rsidR="001723FD" w:rsidRDefault="001723FD">
            <w:pPr>
              <w:pStyle w:val="BodyCopy"/>
            </w:pPr>
            <w:r>
              <w:t>First year where RUC set to single decimal. Overall level of HV charges revenue frozen.</w:t>
            </w:r>
          </w:p>
        </w:tc>
      </w:tr>
      <w:tr w:rsidR="001723FD" w14:paraId="798B1AC8" w14:textId="77777777">
        <w:tc>
          <w:tcPr>
            <w:tcW w:w="1276" w:type="dxa"/>
            <w:vAlign w:val="center"/>
          </w:tcPr>
          <w:p w14:paraId="230079EC" w14:textId="77777777" w:rsidR="001723FD" w:rsidRDefault="001723FD">
            <w:pPr>
              <w:pStyle w:val="BodyCopy"/>
              <w:jc w:val="center"/>
            </w:pPr>
            <w:r w:rsidRPr="000141BB">
              <w:t>2017/2018</w:t>
            </w:r>
          </w:p>
        </w:tc>
        <w:tc>
          <w:tcPr>
            <w:tcW w:w="1653" w:type="dxa"/>
            <w:vAlign w:val="center"/>
          </w:tcPr>
          <w:p w14:paraId="64520635" w14:textId="77777777" w:rsidR="001723FD" w:rsidRDefault="001723FD">
            <w:pPr>
              <w:pStyle w:val="BodyCopy"/>
              <w:jc w:val="center"/>
            </w:pPr>
            <w:r w:rsidRPr="00D77B8F">
              <w:t>25.79</w:t>
            </w:r>
            <w:r>
              <w:t>64</w:t>
            </w:r>
          </w:p>
        </w:tc>
        <w:tc>
          <w:tcPr>
            <w:tcW w:w="1654" w:type="dxa"/>
            <w:vAlign w:val="center"/>
          </w:tcPr>
          <w:p w14:paraId="39C5174A" w14:textId="77777777" w:rsidR="001723FD" w:rsidRDefault="001723FD">
            <w:pPr>
              <w:pStyle w:val="BodyCopy"/>
              <w:jc w:val="center"/>
            </w:pPr>
            <w:r w:rsidRPr="0048296D">
              <w:t>-0.40%</w:t>
            </w:r>
          </w:p>
        </w:tc>
        <w:tc>
          <w:tcPr>
            <w:tcW w:w="1654" w:type="dxa"/>
            <w:vAlign w:val="center"/>
          </w:tcPr>
          <w:p w14:paraId="591B4B45" w14:textId="77777777" w:rsidR="001723FD" w:rsidRDefault="001723FD">
            <w:pPr>
              <w:pStyle w:val="BodyCopy"/>
              <w:jc w:val="center"/>
            </w:pPr>
            <w:r w:rsidRPr="00CF0D50">
              <w:t>25</w:t>
            </w:r>
            <w:r>
              <w:t>.</w:t>
            </w:r>
            <w:r w:rsidRPr="00CF0D50">
              <w:t>8</w:t>
            </w:r>
          </w:p>
        </w:tc>
        <w:tc>
          <w:tcPr>
            <w:tcW w:w="2790" w:type="dxa"/>
          </w:tcPr>
          <w:p w14:paraId="07238AA9" w14:textId="77777777" w:rsidR="001723FD" w:rsidRDefault="001723FD">
            <w:pPr>
              <w:pStyle w:val="BodyCopy"/>
            </w:pPr>
            <w:r>
              <w:t>Overall level of HV charges revenue frozen</w:t>
            </w:r>
          </w:p>
        </w:tc>
      </w:tr>
      <w:tr w:rsidR="001723FD" w14:paraId="5EEF83AB" w14:textId="77777777">
        <w:tc>
          <w:tcPr>
            <w:tcW w:w="9027" w:type="dxa"/>
            <w:gridSpan w:val="5"/>
            <w:vAlign w:val="center"/>
          </w:tcPr>
          <w:p w14:paraId="688F5CFF" w14:textId="77777777" w:rsidR="001723FD" w:rsidRDefault="001723FD">
            <w:pPr>
              <w:pStyle w:val="BodyCopy"/>
            </w:pPr>
            <w:r>
              <w:t>Heavy vehicle charges were frozen at 2017-18 levels from 2018-19 to 2020-21</w:t>
            </w:r>
          </w:p>
        </w:tc>
      </w:tr>
      <w:tr w:rsidR="001723FD" w14:paraId="11835EFE" w14:textId="77777777">
        <w:tc>
          <w:tcPr>
            <w:tcW w:w="1276" w:type="dxa"/>
            <w:vAlign w:val="center"/>
          </w:tcPr>
          <w:p w14:paraId="259B1994" w14:textId="77777777" w:rsidR="001723FD" w:rsidRDefault="001723FD">
            <w:pPr>
              <w:pStyle w:val="BodyCopy"/>
              <w:jc w:val="center"/>
            </w:pPr>
            <w:r w:rsidRPr="001E2AE9">
              <w:t>2021/2022</w:t>
            </w:r>
          </w:p>
        </w:tc>
        <w:tc>
          <w:tcPr>
            <w:tcW w:w="1653" w:type="dxa"/>
            <w:vAlign w:val="center"/>
          </w:tcPr>
          <w:p w14:paraId="4A31102B" w14:textId="77777777" w:rsidR="001723FD" w:rsidRDefault="001723FD">
            <w:pPr>
              <w:pStyle w:val="BodyCopy"/>
              <w:jc w:val="center"/>
            </w:pPr>
            <w:r>
              <w:t>26.445</w:t>
            </w:r>
          </w:p>
        </w:tc>
        <w:tc>
          <w:tcPr>
            <w:tcW w:w="1654" w:type="dxa"/>
            <w:vAlign w:val="center"/>
          </w:tcPr>
          <w:p w14:paraId="57460D73" w14:textId="77777777" w:rsidR="001723FD" w:rsidRDefault="001723FD">
            <w:pPr>
              <w:pStyle w:val="BodyCopy"/>
              <w:jc w:val="center"/>
            </w:pPr>
            <w:r>
              <w:t>2.5</w:t>
            </w:r>
          </w:p>
        </w:tc>
        <w:tc>
          <w:tcPr>
            <w:tcW w:w="1654" w:type="dxa"/>
            <w:vAlign w:val="center"/>
          </w:tcPr>
          <w:p w14:paraId="357EC7B9" w14:textId="77777777" w:rsidR="001723FD" w:rsidRDefault="001723FD">
            <w:pPr>
              <w:pStyle w:val="BodyCopy"/>
              <w:jc w:val="center"/>
            </w:pPr>
            <w:r>
              <w:t>26.4</w:t>
            </w:r>
          </w:p>
        </w:tc>
        <w:tc>
          <w:tcPr>
            <w:tcW w:w="2790" w:type="dxa"/>
          </w:tcPr>
          <w:p w14:paraId="5BC0E0F8" w14:textId="77777777" w:rsidR="001723FD" w:rsidRDefault="001723FD">
            <w:pPr>
              <w:pStyle w:val="BodyCopy"/>
            </w:pPr>
            <w:r>
              <w:t>ITMM agrees to increase charges by 2.5 per cent</w:t>
            </w:r>
          </w:p>
        </w:tc>
      </w:tr>
      <w:tr w:rsidR="001723FD" w14:paraId="49F7C0AB" w14:textId="77777777">
        <w:tc>
          <w:tcPr>
            <w:tcW w:w="1276" w:type="dxa"/>
            <w:vAlign w:val="center"/>
          </w:tcPr>
          <w:p w14:paraId="77DFE207" w14:textId="77777777" w:rsidR="001723FD" w:rsidRDefault="001723FD">
            <w:pPr>
              <w:pStyle w:val="BodyCopy"/>
              <w:jc w:val="center"/>
            </w:pPr>
            <w:r w:rsidRPr="001E2AE9">
              <w:t>2022/2023</w:t>
            </w:r>
          </w:p>
        </w:tc>
        <w:tc>
          <w:tcPr>
            <w:tcW w:w="1653" w:type="dxa"/>
            <w:vAlign w:val="center"/>
          </w:tcPr>
          <w:p w14:paraId="62EF29BE" w14:textId="77777777" w:rsidR="001723FD" w:rsidRDefault="001723FD">
            <w:pPr>
              <w:pStyle w:val="BodyCopy"/>
              <w:jc w:val="center"/>
            </w:pPr>
            <w:r w:rsidRPr="00C44116">
              <w:t>27.</w:t>
            </w:r>
            <w:r>
              <w:t>126</w:t>
            </w:r>
          </w:p>
        </w:tc>
        <w:tc>
          <w:tcPr>
            <w:tcW w:w="1654" w:type="dxa"/>
            <w:vAlign w:val="center"/>
          </w:tcPr>
          <w:p w14:paraId="0C2139F7" w14:textId="77777777" w:rsidR="001723FD" w:rsidRDefault="001723FD">
            <w:pPr>
              <w:pStyle w:val="BodyCopy"/>
              <w:jc w:val="center"/>
            </w:pPr>
            <w:r>
              <w:t>2.75</w:t>
            </w:r>
          </w:p>
        </w:tc>
        <w:tc>
          <w:tcPr>
            <w:tcW w:w="1654" w:type="dxa"/>
            <w:vAlign w:val="center"/>
          </w:tcPr>
          <w:p w14:paraId="71B96755" w14:textId="77777777" w:rsidR="001723FD" w:rsidRDefault="001723FD">
            <w:pPr>
              <w:pStyle w:val="BodyCopy"/>
              <w:jc w:val="center"/>
            </w:pPr>
            <w:r>
              <w:t>27.1</w:t>
            </w:r>
          </w:p>
        </w:tc>
        <w:tc>
          <w:tcPr>
            <w:tcW w:w="2790" w:type="dxa"/>
          </w:tcPr>
          <w:p w14:paraId="70BE2754" w14:textId="77777777" w:rsidR="001723FD" w:rsidRDefault="001723FD">
            <w:pPr>
              <w:pStyle w:val="BodyCopy"/>
            </w:pPr>
            <w:r>
              <w:t>ITMM agrees to increase heavy vehicle charges by 2.75 per cent</w:t>
            </w:r>
          </w:p>
        </w:tc>
      </w:tr>
    </w:tbl>
    <w:p w14:paraId="40A74367" w14:textId="77777777" w:rsidR="001723FD" w:rsidRDefault="001723FD" w:rsidP="001723FD">
      <w:pPr>
        <w:pStyle w:val="BodyCopy"/>
      </w:pPr>
      <w:r>
        <w:t>The advantage of this approach is that the changes in the heavy vehicle charges would be applied to the specific rates set out in the Model Law for registration charges or the legislative instrument for RUC, and then rounded. Year-on-year changes could be easier for the public to understand and reconcile. On the other hand, over multiple years, this approach could lead to a larger cumulative effect of rounding. Over time, it could also slightly change the percentages of total revenue recovered by the Commonwealth and states and territories, respectively.</w:t>
      </w:r>
    </w:p>
    <w:p w14:paraId="6BD193BE" w14:textId="77777777" w:rsidR="001723FD" w:rsidRDefault="001723FD" w:rsidP="001723FD">
      <w:pPr>
        <w:pStyle w:val="BodyCopy"/>
      </w:pPr>
      <w:r>
        <w:t xml:space="preserve">In addition, this approach would arguably make it more complex to set heavy vehicle charges to recover a specific revenue target again in the future, should ministers wish to pursue this.    </w:t>
      </w:r>
    </w:p>
    <w:p w14:paraId="179074F0" w14:textId="04B2E432" w:rsidR="001723FD" w:rsidRDefault="00354FE0" w:rsidP="00354FE0">
      <w:pPr>
        <w:pStyle w:val="Heading2"/>
      </w:pPr>
      <w:bookmarkStart w:id="152" w:name="_Toc121234773"/>
      <w:r>
        <w:t>Stakeholder feedback and submissions</w:t>
      </w:r>
      <w:bookmarkEnd w:id="152"/>
    </w:p>
    <w:p w14:paraId="6991ED77" w14:textId="77777777" w:rsidR="003A3F8F" w:rsidRDefault="00567E9E" w:rsidP="003A3F8F">
      <w:pPr>
        <w:pStyle w:val="BodyCopy"/>
      </w:pPr>
      <w:r>
        <w:t>Most submissions did not express a preference on the rounding issue.</w:t>
      </w:r>
      <w:r w:rsidR="00313FED">
        <w:t xml:space="preserve"> The ATA said </w:t>
      </w:r>
      <w:r w:rsidR="00313FED" w:rsidRPr="00313FED">
        <w:t>there is no reason to depart from the NTC’s current approach, provided that both the headline percentage change and the specific registration charges/RUC rates are identified.</w:t>
      </w:r>
      <w:r w:rsidR="003A3BB9">
        <w:t xml:space="preserve"> The BIC </w:t>
      </w:r>
      <w:r w:rsidR="00617025">
        <w:t xml:space="preserve">said </w:t>
      </w:r>
      <w:r w:rsidR="00617025" w:rsidRPr="00617025">
        <w:t>we see no reason to change the current approach on this matter.</w:t>
      </w:r>
      <w:r w:rsidR="00617025">
        <w:t xml:space="preserve"> However, Natroad preferred the </w:t>
      </w:r>
      <w:r w:rsidR="00E56EE6">
        <w:t>alter</w:t>
      </w:r>
      <w:r w:rsidR="00FE18C4">
        <w:t xml:space="preserve">native approach </w:t>
      </w:r>
      <w:r w:rsidR="00FE18C4" w:rsidRPr="00FE18C4">
        <w:t>as it is easier for the public to understand</w:t>
      </w:r>
      <w:r w:rsidR="00FE18C4">
        <w:t>.</w:t>
      </w:r>
    </w:p>
    <w:p w14:paraId="678515D9" w14:textId="55732293" w:rsidR="001723FD" w:rsidRPr="001723FD" w:rsidRDefault="003A3F8F" w:rsidP="001723FD">
      <w:pPr>
        <w:pStyle w:val="Heading2"/>
      </w:pPr>
      <w:bookmarkStart w:id="153" w:name="_Toc121234774"/>
      <w:r>
        <w:t>Conclusion</w:t>
      </w:r>
      <w:bookmarkEnd w:id="153"/>
    </w:p>
    <w:p w14:paraId="77A40E6E" w14:textId="31319A68" w:rsidR="001723FD" w:rsidRDefault="003A3F8F" w:rsidP="001723FD">
      <w:pPr>
        <w:pStyle w:val="BodyCopy"/>
      </w:pPr>
      <w:r>
        <w:t>There was no clear support amongst stakeholders to change the</w:t>
      </w:r>
      <w:r w:rsidR="00B07987">
        <w:t xml:space="preserve"> current approach to rounding. </w:t>
      </w:r>
      <w:r>
        <w:t xml:space="preserve">Also, the current approach has the advantage that it minimises the cumulative effect of rounding over time. The NTC will therefore continue to apply the current approach to rounding.  </w:t>
      </w:r>
    </w:p>
    <w:p w14:paraId="6BCA81AD" w14:textId="77777777" w:rsidR="001723FD" w:rsidRPr="00EA6588" w:rsidRDefault="001723FD" w:rsidP="001723FD">
      <w:pPr>
        <w:pStyle w:val="BodyCopy"/>
      </w:pPr>
    </w:p>
    <w:p w14:paraId="355A215D" w14:textId="77777777" w:rsidR="00481273" w:rsidRDefault="00481273" w:rsidP="00481273">
      <w:pPr>
        <w:spacing w:before="0" w:after="0"/>
        <w:rPr>
          <w:color w:val="000000"/>
          <w:sz w:val="44"/>
          <w:szCs w:val="40"/>
        </w:rPr>
      </w:pPr>
      <w:r>
        <w:br w:type="page"/>
      </w:r>
    </w:p>
    <w:p w14:paraId="5DBEB218" w14:textId="77777777" w:rsidR="00481273" w:rsidRDefault="00481273" w:rsidP="00481273">
      <w:pPr>
        <w:pStyle w:val="Head1-Appendix"/>
        <w:numPr>
          <w:ilvl w:val="0"/>
          <w:numId w:val="0"/>
        </w:numPr>
      </w:pPr>
      <w:bookmarkStart w:id="154" w:name="_Toc114042894"/>
      <w:bookmarkStart w:id="155" w:name="_Toc121234775"/>
      <w:r w:rsidRPr="009A3B13">
        <w:t>Glossary</w:t>
      </w:r>
      <w:bookmarkEnd w:id="154"/>
      <w:bookmarkEnd w:id="155"/>
    </w:p>
    <w:p w14:paraId="77C31D3B" w14:textId="77777777" w:rsidR="00481273" w:rsidRDefault="00481273" w:rsidP="00481273">
      <w:pPr>
        <w:pStyle w:val="BodyCopy"/>
      </w:pPr>
      <w:r>
        <w:t>Include</w:t>
      </w:r>
      <w:r w:rsidRPr="005079EC">
        <w:t xml:space="preserve"> a glossary </w:t>
      </w:r>
      <w:r>
        <w:t xml:space="preserve">of terms for complex or technical documents. </w:t>
      </w:r>
    </w:p>
    <w:tbl>
      <w:tblPr>
        <w:tblStyle w:val="NTCtable"/>
        <w:tblW w:w="0" w:type="auto"/>
        <w:tblLook w:val="04A0" w:firstRow="1" w:lastRow="0" w:firstColumn="1" w:lastColumn="0" w:noHBand="0" w:noVBand="1"/>
      </w:tblPr>
      <w:tblGrid>
        <w:gridCol w:w="1525"/>
        <w:gridCol w:w="7478"/>
      </w:tblGrid>
      <w:tr w:rsidR="00481273" w14:paraId="76DB3416" w14:textId="77777777">
        <w:trPr>
          <w:cnfStyle w:val="100000000000" w:firstRow="1" w:lastRow="0" w:firstColumn="0" w:lastColumn="0" w:oddVBand="0" w:evenVBand="0" w:oddHBand="0" w:evenHBand="0" w:firstRowFirstColumn="0" w:firstRowLastColumn="0" w:lastRowFirstColumn="0" w:lastRowLastColumn="0"/>
        </w:trPr>
        <w:tc>
          <w:tcPr>
            <w:tcW w:w="1525" w:type="dxa"/>
          </w:tcPr>
          <w:p w14:paraId="13454A76" w14:textId="77777777" w:rsidR="00481273" w:rsidRPr="005B6206" w:rsidRDefault="00481273">
            <w:pPr>
              <w:pStyle w:val="BodyCopy"/>
              <w:spacing w:before="144" w:after="144"/>
              <w:rPr>
                <w:b/>
              </w:rPr>
            </w:pPr>
            <w:r w:rsidRPr="005B6206">
              <w:rPr>
                <w:b/>
              </w:rPr>
              <w:t>Term</w:t>
            </w:r>
          </w:p>
        </w:tc>
        <w:tc>
          <w:tcPr>
            <w:tcW w:w="7478" w:type="dxa"/>
          </w:tcPr>
          <w:p w14:paraId="6446453D" w14:textId="77777777" w:rsidR="00481273" w:rsidRPr="005B6206" w:rsidRDefault="00481273">
            <w:pPr>
              <w:pStyle w:val="BodyCopy"/>
              <w:spacing w:before="144" w:after="144"/>
              <w:rPr>
                <w:b/>
              </w:rPr>
            </w:pPr>
            <w:r w:rsidRPr="005B6206">
              <w:rPr>
                <w:b/>
              </w:rPr>
              <w:t>Definition</w:t>
            </w:r>
          </w:p>
        </w:tc>
      </w:tr>
      <w:tr w:rsidR="00481273" w14:paraId="09BE7AD8" w14:textId="77777777">
        <w:tc>
          <w:tcPr>
            <w:tcW w:w="1525" w:type="dxa"/>
          </w:tcPr>
          <w:p w14:paraId="526A24A8" w14:textId="77777777" w:rsidR="00481273" w:rsidRDefault="00481273">
            <w:pPr>
              <w:pStyle w:val="BodyCopy"/>
            </w:pPr>
            <w:r w:rsidRPr="0066032C">
              <w:t>Heavy vehicle cost base</w:t>
            </w:r>
          </w:p>
        </w:tc>
        <w:tc>
          <w:tcPr>
            <w:tcW w:w="7478" w:type="dxa"/>
          </w:tcPr>
          <w:p w14:paraId="4D0D13D4" w14:textId="77777777" w:rsidR="00481273" w:rsidRDefault="00481273">
            <w:pPr>
              <w:pStyle w:val="BodyCopy"/>
            </w:pPr>
            <w:r w:rsidRPr="0066032C">
              <w:t>The heavy vehicle cost base is that share of national government road expenditure that can be attributed to the heavy vehicle sector in the PAYGO model.</w:t>
            </w:r>
          </w:p>
        </w:tc>
      </w:tr>
      <w:tr w:rsidR="00481273" w14:paraId="1227E339" w14:textId="77777777">
        <w:tc>
          <w:tcPr>
            <w:tcW w:w="1525" w:type="dxa"/>
          </w:tcPr>
          <w:p w14:paraId="6B7B673D" w14:textId="77777777" w:rsidR="00481273" w:rsidRDefault="00481273">
            <w:pPr>
              <w:pStyle w:val="BodyCopy"/>
            </w:pPr>
            <w:r w:rsidRPr="0066032C">
              <w:t>Infrastructure and Transport Ministers Meeting (ITMM)</w:t>
            </w:r>
          </w:p>
        </w:tc>
        <w:tc>
          <w:tcPr>
            <w:tcW w:w="7478" w:type="dxa"/>
          </w:tcPr>
          <w:p w14:paraId="783486E4" w14:textId="77777777" w:rsidR="00481273" w:rsidRDefault="00481273">
            <w:pPr>
              <w:pStyle w:val="BodyCopy"/>
            </w:pPr>
            <w:r w:rsidRPr="0066032C">
              <w:t>The Infrastructure and Transport Ministers Meeting (ITMM) brings together Commonwealth, State and Territory Ministers with responsibility for transport and infrastructure issues, as well as the Australian Local Government Association.</w:t>
            </w:r>
          </w:p>
        </w:tc>
      </w:tr>
      <w:tr w:rsidR="00481273" w14:paraId="42EBBE39" w14:textId="77777777">
        <w:tc>
          <w:tcPr>
            <w:tcW w:w="1525" w:type="dxa"/>
          </w:tcPr>
          <w:p w14:paraId="1F44C811" w14:textId="77777777" w:rsidR="00481273" w:rsidRDefault="00481273">
            <w:pPr>
              <w:pStyle w:val="BodyCopy"/>
            </w:pPr>
            <w:r w:rsidRPr="0066032C">
              <w:t>PAYGO</w:t>
            </w:r>
          </w:p>
        </w:tc>
        <w:tc>
          <w:tcPr>
            <w:tcW w:w="7478" w:type="dxa"/>
          </w:tcPr>
          <w:p w14:paraId="2CBBFD28" w14:textId="77777777" w:rsidR="00481273" w:rsidRDefault="00481273">
            <w:pPr>
              <w:pStyle w:val="BodyCopy"/>
            </w:pPr>
            <w:r w:rsidRPr="0066032C">
              <w:t xml:space="preserve">Pay As You Go (PAYGO) is an approach used to determine the amount to be recovered from heavy vehicles through heavy vehicle charges. Trend levels of road construction and maintenance expenditure and road use is assessed over the past seven years to reflect the annualised costs of providing and maintaining roads. </w:t>
            </w:r>
          </w:p>
        </w:tc>
      </w:tr>
      <w:tr w:rsidR="00481273" w14:paraId="1EA211F1" w14:textId="77777777">
        <w:tc>
          <w:tcPr>
            <w:tcW w:w="1525" w:type="dxa"/>
          </w:tcPr>
          <w:p w14:paraId="68ED709D" w14:textId="77777777" w:rsidR="00481273" w:rsidRDefault="00481273">
            <w:pPr>
              <w:pStyle w:val="BodyCopy"/>
            </w:pPr>
            <w:r w:rsidRPr="0066032C">
              <w:t>Registration charge</w:t>
            </w:r>
          </w:p>
        </w:tc>
        <w:tc>
          <w:tcPr>
            <w:tcW w:w="7478" w:type="dxa"/>
          </w:tcPr>
          <w:p w14:paraId="7806240D" w14:textId="77777777" w:rsidR="00481273" w:rsidRPr="00C722D4" w:rsidRDefault="00481273">
            <w:pPr>
              <w:pStyle w:val="BodyCopy"/>
            </w:pPr>
            <w:r w:rsidRPr="0066032C">
              <w:t xml:space="preserve"> </w:t>
            </w:r>
            <w:r>
              <w:t>T</w:t>
            </w:r>
            <w:r w:rsidRPr="0066032C">
              <w:t>he annual registration charge that applies to heavy vehicles by vehicle and trailer type.</w:t>
            </w:r>
          </w:p>
        </w:tc>
      </w:tr>
      <w:tr w:rsidR="00481273" w14:paraId="177667D2" w14:textId="77777777">
        <w:tc>
          <w:tcPr>
            <w:tcW w:w="1525" w:type="dxa"/>
          </w:tcPr>
          <w:p w14:paraId="4A9710E8" w14:textId="77777777" w:rsidR="00481273" w:rsidRDefault="00481273">
            <w:pPr>
              <w:pStyle w:val="BodyCopy"/>
            </w:pPr>
            <w:r w:rsidRPr="0066032C">
              <w:t>Regulatory component of registration charge</w:t>
            </w:r>
          </w:p>
        </w:tc>
        <w:tc>
          <w:tcPr>
            <w:tcW w:w="7478" w:type="dxa"/>
          </w:tcPr>
          <w:p w14:paraId="207083A0" w14:textId="77777777" w:rsidR="00481273" w:rsidRPr="00C722D4" w:rsidRDefault="00481273">
            <w:pPr>
              <w:pStyle w:val="BodyCopy"/>
            </w:pPr>
            <w:r w:rsidRPr="0066032C">
              <w:t>The regulatory component of the heavy vehicle registration charge is applied to each heavy vehicle and trailer type and is based on the heavy vehicle fleet and the budget of the National Heavy Vehicle Regulator.</w:t>
            </w:r>
          </w:p>
        </w:tc>
      </w:tr>
      <w:tr w:rsidR="00481273" w14:paraId="021E21EA" w14:textId="77777777">
        <w:tc>
          <w:tcPr>
            <w:tcW w:w="1525" w:type="dxa"/>
          </w:tcPr>
          <w:p w14:paraId="34799CD6" w14:textId="77777777" w:rsidR="00481273" w:rsidRDefault="00481273">
            <w:pPr>
              <w:pStyle w:val="BodyCopy"/>
            </w:pPr>
            <w:r w:rsidRPr="0066032C">
              <w:t>Roads component of registration charge</w:t>
            </w:r>
          </w:p>
        </w:tc>
        <w:tc>
          <w:tcPr>
            <w:tcW w:w="7478" w:type="dxa"/>
          </w:tcPr>
          <w:p w14:paraId="38828466" w14:textId="77777777" w:rsidR="00481273" w:rsidRPr="00C722D4" w:rsidRDefault="00481273">
            <w:pPr>
              <w:pStyle w:val="BodyCopy"/>
            </w:pPr>
            <w:r w:rsidRPr="0066032C">
              <w:t>The roads component of the heavy vehicle registration charge is applied to each heavy vehicle and trailer type and is determined by outcomes from the PAYGO model based on heavy vehicle allocated cost and use.</w:t>
            </w:r>
          </w:p>
        </w:tc>
      </w:tr>
      <w:tr w:rsidR="00481273" w14:paraId="6237BAE1" w14:textId="77777777">
        <w:tc>
          <w:tcPr>
            <w:tcW w:w="1525" w:type="dxa"/>
          </w:tcPr>
          <w:p w14:paraId="5907ADDA" w14:textId="77777777" w:rsidR="00481273" w:rsidRDefault="00481273">
            <w:pPr>
              <w:pStyle w:val="BodyCopy"/>
            </w:pPr>
            <w:r w:rsidRPr="0066032C">
              <w:t>Road expenditure</w:t>
            </w:r>
          </w:p>
        </w:tc>
        <w:tc>
          <w:tcPr>
            <w:tcW w:w="7478" w:type="dxa"/>
          </w:tcPr>
          <w:p w14:paraId="16A5659B" w14:textId="77777777" w:rsidR="00481273" w:rsidRPr="00C722D4" w:rsidRDefault="00481273">
            <w:pPr>
              <w:pStyle w:val="BodyCopy"/>
            </w:pPr>
            <w:r w:rsidRPr="0066032C">
              <w:t xml:space="preserve">Road expenditure includes all government arterial and local road expenditure that meets NTC guidelines for inclusion in the PAYGO cost base.  </w:t>
            </w:r>
          </w:p>
        </w:tc>
      </w:tr>
      <w:tr w:rsidR="00481273" w14:paraId="55C4D990" w14:textId="77777777">
        <w:tc>
          <w:tcPr>
            <w:tcW w:w="1525" w:type="dxa"/>
          </w:tcPr>
          <w:p w14:paraId="0F094633" w14:textId="77777777" w:rsidR="00481273" w:rsidRDefault="00481273">
            <w:pPr>
              <w:pStyle w:val="BodyCopy"/>
            </w:pPr>
            <w:r w:rsidRPr="0066032C">
              <w:t>RUC</w:t>
            </w:r>
          </w:p>
        </w:tc>
        <w:tc>
          <w:tcPr>
            <w:tcW w:w="7478" w:type="dxa"/>
          </w:tcPr>
          <w:p w14:paraId="71D6BAB0" w14:textId="77777777" w:rsidR="00481273" w:rsidRPr="00C722D4" w:rsidRDefault="00481273">
            <w:pPr>
              <w:pStyle w:val="BodyCopy"/>
            </w:pPr>
            <w:r w:rsidRPr="0066032C">
              <w:t>Road User Charge.  The Road User Charge is the charge that is applied to heavy vehicle fuel use expressed in cents per litre or cents per kilogram.</w:t>
            </w:r>
          </w:p>
        </w:tc>
      </w:tr>
    </w:tbl>
    <w:p w14:paraId="7BDB4B3E" w14:textId="77777777" w:rsidR="00481273" w:rsidRDefault="00481273" w:rsidP="00481273">
      <w:pPr>
        <w:pStyle w:val="BodyCopy"/>
      </w:pPr>
    </w:p>
    <w:p w14:paraId="26E272E0" w14:textId="77777777" w:rsidR="00481273" w:rsidRDefault="00481273" w:rsidP="00481273">
      <w:pPr>
        <w:pStyle w:val="Head1-Appendix"/>
        <w:numPr>
          <w:ilvl w:val="0"/>
          <w:numId w:val="0"/>
        </w:numPr>
      </w:pPr>
      <w:bookmarkStart w:id="156" w:name="_Toc114042895"/>
      <w:bookmarkStart w:id="157" w:name="_Toc121234776"/>
      <w:r w:rsidRPr="000C5597">
        <w:t>Re</w:t>
      </w:r>
      <w:r>
        <w:t>ferences</w:t>
      </w:r>
      <w:bookmarkEnd w:id="156"/>
      <w:bookmarkEnd w:id="157"/>
    </w:p>
    <w:p w14:paraId="585DBDD6" w14:textId="77777777" w:rsidR="00481273" w:rsidRPr="00A0762A" w:rsidRDefault="00481273" w:rsidP="00481273">
      <w:pPr>
        <w:pStyle w:val="BodyCopy"/>
      </w:pPr>
      <w:r w:rsidRPr="00A0762A">
        <w:rPr>
          <w:rStyle w:val="markedcontent"/>
        </w:rPr>
        <w:t xml:space="preserve">National Transport Commission 2021, </w:t>
      </w:r>
      <w:r w:rsidRPr="00BC4469">
        <w:rPr>
          <w:rStyle w:val="markedcontent"/>
          <w:i/>
          <w:iCs/>
        </w:rPr>
        <w:t>Heavy vehicle charges</w:t>
      </w:r>
      <w:r>
        <w:rPr>
          <w:rStyle w:val="markedcontent"/>
          <w:i/>
          <w:iCs/>
        </w:rPr>
        <w:t xml:space="preserve"> </w:t>
      </w:r>
      <w:r w:rsidRPr="00BC4469">
        <w:rPr>
          <w:rStyle w:val="markedcontent"/>
          <w:i/>
          <w:iCs/>
        </w:rPr>
        <w:t>determination: consultation</w:t>
      </w:r>
      <w:r>
        <w:rPr>
          <w:rStyle w:val="markedcontent"/>
          <w:i/>
          <w:iCs/>
        </w:rPr>
        <w:t xml:space="preserve"> </w:t>
      </w:r>
      <w:r w:rsidRPr="00BC4469">
        <w:rPr>
          <w:rStyle w:val="markedcontent"/>
          <w:i/>
          <w:iCs/>
        </w:rPr>
        <w:t>regulation impact statement</w:t>
      </w:r>
      <w:r w:rsidRPr="00A0762A">
        <w:rPr>
          <w:rStyle w:val="markedcontent"/>
        </w:rPr>
        <w:t>, NTC,</w:t>
      </w:r>
      <w:r w:rsidRPr="00A0762A">
        <w:br/>
      </w:r>
      <w:r w:rsidRPr="00A0762A">
        <w:rPr>
          <w:rStyle w:val="markedcontent"/>
        </w:rPr>
        <w:t>Melbourne</w:t>
      </w:r>
    </w:p>
    <w:p w14:paraId="1F489901" w14:textId="77777777" w:rsidR="00481273" w:rsidRDefault="00481273" w:rsidP="00481273">
      <w:pPr>
        <w:pStyle w:val="BodyCopy"/>
      </w:pPr>
    </w:p>
    <w:p w14:paraId="0688A828" w14:textId="77777777" w:rsidR="0010116D" w:rsidRPr="004E2BBF" w:rsidRDefault="0010116D" w:rsidP="009476C1">
      <w:pPr>
        <w:pStyle w:val="BodyCopy"/>
      </w:pPr>
    </w:p>
    <w:p w14:paraId="43A7B36A" w14:textId="77777777" w:rsidR="002E2D1B" w:rsidRDefault="002E2D1B">
      <w:pPr>
        <w:spacing w:before="0" w:after="0"/>
        <w:rPr>
          <w:color w:val="000000"/>
          <w:sz w:val="44"/>
          <w:szCs w:val="40"/>
        </w:rPr>
      </w:pPr>
      <w:bookmarkStart w:id="158" w:name="_Toc496689363"/>
      <w:r>
        <w:br w:type="page"/>
      </w:r>
    </w:p>
    <w:p w14:paraId="1C663EDE" w14:textId="77777777" w:rsidR="00646FC3" w:rsidRDefault="00646FC3" w:rsidP="002E2D1B">
      <w:pPr>
        <w:pStyle w:val="Head1-Appendix"/>
        <w:sectPr w:rsidR="00646FC3" w:rsidSect="00E35DEB">
          <w:headerReference w:type="even" r:id="rId37"/>
          <w:headerReference w:type="default" r:id="rId38"/>
          <w:footerReference w:type="even" r:id="rId39"/>
          <w:footerReference w:type="default" r:id="rId40"/>
          <w:headerReference w:type="first" r:id="rId41"/>
          <w:footerReference w:type="first" r:id="rId42"/>
          <w:pgSz w:w="11907" w:h="16840" w:code="9"/>
          <w:pgMar w:top="851" w:right="1440" w:bottom="1985" w:left="1440" w:header="283" w:footer="1134" w:gutter="0"/>
          <w:pgNumType w:start="1"/>
          <w:cols w:space="720"/>
          <w:docGrid w:linePitch="272"/>
        </w:sectPr>
      </w:pPr>
    </w:p>
    <w:p w14:paraId="139ABBC8" w14:textId="22F357BA" w:rsidR="002E2D1B" w:rsidRDefault="002E2D1B" w:rsidP="002E2D1B">
      <w:pPr>
        <w:pStyle w:val="Head1-Appendix"/>
      </w:pPr>
      <w:bookmarkStart w:id="159" w:name="_Toc121234777"/>
      <w:r>
        <w:t>Su</w:t>
      </w:r>
      <w:r w:rsidR="009415CD">
        <w:t>mmary of submissions</w:t>
      </w:r>
      <w:bookmarkEnd w:id="159"/>
      <w:r>
        <w:t xml:space="preserve"> </w:t>
      </w:r>
    </w:p>
    <w:p w14:paraId="1A7BEF54" w14:textId="6BA56C31" w:rsidR="007F09EE" w:rsidRDefault="007F09EE" w:rsidP="007F09EE">
      <w:pPr>
        <w:pStyle w:val="BodyCopy"/>
      </w:pPr>
      <w:bookmarkStart w:id="160" w:name="_Hlk3978862"/>
      <w:r>
        <w:t xml:space="preserve">The table below outlines submissions in response to the </w:t>
      </w:r>
      <w:r w:rsidR="009415CD">
        <w:t>consultation paper</w:t>
      </w:r>
      <w:r>
        <w:t xml:space="preserve"> (grouped by question/theme) and the NTC’s responses.</w:t>
      </w:r>
    </w:p>
    <w:tbl>
      <w:tblPr>
        <w:tblStyle w:val="NTCtable"/>
        <w:tblpPr w:leftFromText="180" w:rightFromText="180" w:vertAnchor="text" w:tblpY="1"/>
        <w:tblOverlap w:val="never"/>
        <w:tblW w:w="473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5"/>
        <w:gridCol w:w="1562"/>
        <w:gridCol w:w="1273"/>
        <w:gridCol w:w="1562"/>
        <w:gridCol w:w="4962"/>
        <w:gridCol w:w="2207"/>
      </w:tblGrid>
      <w:tr w:rsidR="001E7108" w:rsidRPr="000231A1" w14:paraId="5A2F65CC" w14:textId="77777777" w:rsidTr="000231A1">
        <w:trPr>
          <w:cnfStyle w:val="100000000000" w:firstRow="1" w:lastRow="0" w:firstColumn="0" w:lastColumn="0" w:oddVBand="0" w:evenVBand="0" w:oddHBand="0" w:evenHBand="0" w:firstRowFirstColumn="0" w:firstRowLastColumn="0" w:lastRowFirstColumn="0" w:lastRowLastColumn="0"/>
          <w:cantSplit/>
          <w:trHeight w:val="285"/>
          <w:tblHeader/>
        </w:trPr>
        <w:tc>
          <w:tcPr>
            <w:tcW w:w="639" w:type="pct"/>
            <w:noWrap/>
            <w:hideMark/>
          </w:tcPr>
          <w:p w14:paraId="53BD296F" w14:textId="6F884F97" w:rsidR="0092148C" w:rsidRPr="00B2369A" w:rsidRDefault="007F09EE" w:rsidP="00A76DD5">
            <w:pPr>
              <w:spacing w:before="0" w:after="0"/>
              <w:rPr>
                <w:rFonts w:asciiTheme="minorHAnsi" w:hAnsiTheme="minorHAnsi" w:cstheme="minorHAnsi"/>
                <w:b/>
                <w:lang w:eastAsia="en-AU"/>
              </w:rPr>
            </w:pPr>
            <w:r w:rsidRPr="00B2369A">
              <w:rPr>
                <w:rFonts w:eastAsia="Cambria"/>
                <w:b/>
                <w:color w:val="000000"/>
                <w:szCs w:val="24"/>
              </w:rPr>
              <w:t xml:space="preserve">Summary of submissions and the NTC’s </w:t>
            </w:r>
            <w:r w:rsidRPr="00B2369A">
              <w:rPr>
                <w:rFonts w:eastAsia="Cambria"/>
                <w:b/>
                <w:bCs/>
                <w:color w:val="000000"/>
                <w:szCs w:val="24"/>
              </w:rPr>
              <w:t>responses</w:t>
            </w:r>
            <w:r w:rsidR="00204A2B">
              <w:rPr>
                <w:b/>
                <w:bCs/>
              </w:rPr>
              <w:t xml:space="preserve"> </w:t>
            </w:r>
            <w:bookmarkEnd w:id="160"/>
            <w:r w:rsidR="0092148C" w:rsidRPr="00B2369A">
              <w:rPr>
                <w:rFonts w:asciiTheme="minorHAnsi" w:hAnsiTheme="minorHAnsi" w:cstheme="minorHAnsi"/>
                <w:b/>
                <w:lang w:eastAsia="en-AU"/>
              </w:rPr>
              <w:t>Stakeholder</w:t>
            </w:r>
          </w:p>
        </w:tc>
        <w:tc>
          <w:tcPr>
            <w:tcW w:w="589" w:type="pct"/>
            <w:noWrap/>
            <w:hideMark/>
          </w:tcPr>
          <w:p w14:paraId="1AEB7ADE" w14:textId="77777777" w:rsidR="0092148C" w:rsidRPr="00B2369A" w:rsidRDefault="0092148C" w:rsidP="00A76DD5">
            <w:pPr>
              <w:spacing w:before="0" w:after="0"/>
              <w:rPr>
                <w:rFonts w:asciiTheme="minorHAnsi" w:hAnsiTheme="minorHAnsi" w:cstheme="minorHAnsi"/>
                <w:b/>
                <w:lang w:eastAsia="en-AU"/>
              </w:rPr>
            </w:pPr>
            <w:r w:rsidRPr="00B2369A">
              <w:rPr>
                <w:rFonts w:asciiTheme="minorHAnsi" w:hAnsiTheme="minorHAnsi" w:cstheme="minorHAnsi"/>
                <w:b/>
                <w:lang w:eastAsia="en-AU"/>
              </w:rPr>
              <w:t>Stakeholder type</w:t>
            </w:r>
          </w:p>
        </w:tc>
        <w:tc>
          <w:tcPr>
            <w:tcW w:w="480" w:type="pct"/>
            <w:noWrap/>
            <w:hideMark/>
          </w:tcPr>
          <w:p w14:paraId="56D54D92" w14:textId="77777777" w:rsidR="0092148C" w:rsidRPr="00B2369A" w:rsidRDefault="0092148C" w:rsidP="00A76DD5">
            <w:pPr>
              <w:spacing w:before="0" w:after="0"/>
              <w:rPr>
                <w:rFonts w:asciiTheme="minorHAnsi" w:hAnsiTheme="minorHAnsi" w:cstheme="minorHAnsi"/>
                <w:b/>
                <w:lang w:eastAsia="en-AU"/>
              </w:rPr>
            </w:pPr>
            <w:r w:rsidRPr="00B2369A">
              <w:rPr>
                <w:rFonts w:asciiTheme="minorHAnsi" w:hAnsiTheme="minorHAnsi" w:cstheme="minorHAnsi"/>
                <w:b/>
                <w:lang w:eastAsia="en-AU"/>
              </w:rPr>
              <w:t>Question no.</w:t>
            </w:r>
          </w:p>
        </w:tc>
        <w:tc>
          <w:tcPr>
            <w:tcW w:w="589" w:type="pct"/>
            <w:noWrap/>
            <w:hideMark/>
          </w:tcPr>
          <w:p w14:paraId="500DB959" w14:textId="77777777" w:rsidR="0092148C" w:rsidRPr="00B2369A" w:rsidRDefault="0092148C" w:rsidP="00A76DD5">
            <w:pPr>
              <w:spacing w:before="0" w:after="0"/>
              <w:rPr>
                <w:rFonts w:asciiTheme="minorHAnsi" w:hAnsiTheme="minorHAnsi" w:cstheme="minorHAnsi"/>
                <w:b/>
                <w:lang w:eastAsia="en-AU"/>
              </w:rPr>
            </w:pPr>
            <w:r w:rsidRPr="00B2369A">
              <w:rPr>
                <w:rFonts w:asciiTheme="minorHAnsi" w:hAnsiTheme="minorHAnsi" w:cstheme="minorHAnsi"/>
                <w:b/>
                <w:lang w:eastAsia="en-AU"/>
              </w:rPr>
              <w:t>Theme</w:t>
            </w:r>
          </w:p>
        </w:tc>
        <w:tc>
          <w:tcPr>
            <w:tcW w:w="1871" w:type="pct"/>
            <w:noWrap/>
            <w:hideMark/>
          </w:tcPr>
          <w:p w14:paraId="398C66F8" w14:textId="77777777" w:rsidR="0092148C" w:rsidRPr="00B2369A" w:rsidRDefault="0092148C" w:rsidP="00A76DD5">
            <w:pPr>
              <w:spacing w:before="0" w:after="0"/>
              <w:rPr>
                <w:rFonts w:asciiTheme="minorHAnsi" w:hAnsiTheme="minorHAnsi" w:cstheme="minorHAnsi"/>
                <w:b/>
                <w:lang w:eastAsia="en-AU"/>
              </w:rPr>
            </w:pPr>
            <w:r w:rsidRPr="00B2369A">
              <w:rPr>
                <w:rFonts w:asciiTheme="minorHAnsi" w:hAnsiTheme="minorHAnsi" w:cstheme="minorHAnsi"/>
                <w:b/>
                <w:lang w:eastAsia="en-AU"/>
              </w:rPr>
              <w:t>Extract</w:t>
            </w:r>
          </w:p>
        </w:tc>
        <w:tc>
          <w:tcPr>
            <w:tcW w:w="833" w:type="pct"/>
            <w:noWrap/>
            <w:hideMark/>
          </w:tcPr>
          <w:p w14:paraId="5A57178D" w14:textId="77777777" w:rsidR="0092148C" w:rsidRPr="00B2369A" w:rsidRDefault="0092148C" w:rsidP="00A76DD5">
            <w:pPr>
              <w:spacing w:before="0" w:after="0"/>
              <w:rPr>
                <w:rFonts w:asciiTheme="minorHAnsi" w:hAnsiTheme="minorHAnsi" w:cstheme="minorHAnsi"/>
                <w:b/>
                <w:lang w:eastAsia="en-AU"/>
              </w:rPr>
            </w:pPr>
            <w:r w:rsidRPr="00B2369A">
              <w:rPr>
                <w:rFonts w:asciiTheme="minorHAnsi" w:hAnsiTheme="minorHAnsi" w:cstheme="minorHAnsi"/>
                <w:b/>
                <w:lang w:eastAsia="en-AU"/>
              </w:rPr>
              <w:t>NTC Response</w:t>
            </w:r>
          </w:p>
        </w:tc>
      </w:tr>
      <w:tr w:rsidR="004E2083" w:rsidRPr="000231A1" w14:paraId="74837075" w14:textId="77777777" w:rsidTr="000231A1">
        <w:trPr>
          <w:trHeight w:val="1995"/>
        </w:trPr>
        <w:tc>
          <w:tcPr>
            <w:tcW w:w="639" w:type="pct"/>
            <w:hideMark/>
          </w:tcPr>
          <w:p w14:paraId="67611A53" w14:textId="77777777" w:rsidR="0092148C" w:rsidRPr="00B2369A" w:rsidRDefault="0092148C" w:rsidP="00A76DD5">
            <w:pPr>
              <w:spacing w:before="0" w:after="0"/>
              <w:rPr>
                <w:rFonts w:asciiTheme="minorHAnsi" w:hAnsiTheme="minorHAnsi" w:cstheme="minorHAnsi"/>
                <w:color w:val="000000"/>
                <w:lang w:eastAsia="en-AU"/>
              </w:rPr>
            </w:pPr>
            <w:r w:rsidRPr="00B2369A">
              <w:rPr>
                <w:rFonts w:asciiTheme="minorHAnsi" w:hAnsiTheme="minorHAnsi" w:cstheme="minorHAnsi"/>
                <w:color w:val="000000"/>
                <w:lang w:eastAsia="en-AU"/>
              </w:rPr>
              <w:t>Australian Livestock and Rural Transporters Assoc. (ALRTA)</w:t>
            </w:r>
          </w:p>
        </w:tc>
        <w:tc>
          <w:tcPr>
            <w:tcW w:w="589" w:type="pct"/>
            <w:hideMark/>
          </w:tcPr>
          <w:p w14:paraId="133BCC7B" w14:textId="77777777" w:rsidR="0092148C" w:rsidRPr="00B2369A" w:rsidRDefault="0092148C" w:rsidP="00A76DD5">
            <w:pPr>
              <w:spacing w:before="0" w:after="0"/>
              <w:rPr>
                <w:rFonts w:asciiTheme="minorHAnsi" w:hAnsiTheme="minorHAnsi" w:cstheme="minorHAnsi"/>
                <w:color w:val="000000"/>
                <w:lang w:eastAsia="en-AU"/>
              </w:rPr>
            </w:pPr>
            <w:r w:rsidRPr="00B2369A">
              <w:rPr>
                <w:rFonts w:asciiTheme="minorHAnsi" w:hAnsiTheme="minorHAnsi" w:cstheme="minorHAnsi"/>
                <w:color w:val="000000"/>
                <w:lang w:eastAsia="en-AU"/>
              </w:rPr>
              <w:t xml:space="preserve">Peak bodies </w:t>
            </w:r>
          </w:p>
        </w:tc>
        <w:tc>
          <w:tcPr>
            <w:tcW w:w="480" w:type="pct"/>
            <w:hideMark/>
          </w:tcPr>
          <w:p w14:paraId="7820347E" w14:textId="77777777" w:rsidR="0092148C" w:rsidRPr="00B2369A" w:rsidRDefault="0092148C" w:rsidP="00A76DD5">
            <w:pPr>
              <w:spacing w:before="0" w:after="0"/>
              <w:rPr>
                <w:rFonts w:asciiTheme="minorHAnsi" w:hAnsiTheme="minorHAnsi" w:cstheme="minorHAnsi"/>
                <w:color w:val="000000"/>
                <w:lang w:eastAsia="en-AU"/>
              </w:rPr>
            </w:pPr>
            <w:r w:rsidRPr="00B2369A">
              <w:rPr>
                <w:rFonts w:asciiTheme="minorHAnsi" w:hAnsiTheme="minorHAnsi" w:cstheme="minorHAnsi"/>
                <w:color w:val="000000"/>
                <w:lang w:eastAsia="en-AU"/>
              </w:rPr>
              <w:t>1</w:t>
            </w:r>
          </w:p>
        </w:tc>
        <w:tc>
          <w:tcPr>
            <w:tcW w:w="589" w:type="pct"/>
            <w:hideMark/>
          </w:tcPr>
          <w:p w14:paraId="068AAD41" w14:textId="77777777" w:rsidR="0092148C" w:rsidRPr="00B2369A" w:rsidRDefault="0092148C" w:rsidP="00A76DD5">
            <w:pPr>
              <w:spacing w:before="0" w:after="0"/>
              <w:rPr>
                <w:rFonts w:asciiTheme="minorHAnsi" w:hAnsiTheme="minorHAnsi" w:cstheme="minorHAnsi"/>
                <w:color w:val="000000"/>
                <w:lang w:eastAsia="en-AU"/>
              </w:rPr>
            </w:pPr>
            <w:r w:rsidRPr="00B2369A">
              <w:rPr>
                <w:rFonts w:asciiTheme="minorHAnsi" w:hAnsiTheme="minorHAnsi" w:cstheme="minorHAnsi"/>
                <w:color w:val="000000"/>
                <w:lang w:eastAsia="en-AU"/>
              </w:rPr>
              <w:t>PAYGO - Developing the cost base</w:t>
            </w:r>
          </w:p>
        </w:tc>
        <w:tc>
          <w:tcPr>
            <w:tcW w:w="1871" w:type="pct"/>
            <w:hideMark/>
          </w:tcPr>
          <w:p w14:paraId="1125443F" w14:textId="77777777" w:rsidR="0092148C" w:rsidRPr="00B2369A" w:rsidRDefault="0092148C" w:rsidP="00A76DD5">
            <w:pPr>
              <w:spacing w:before="0" w:after="0"/>
              <w:rPr>
                <w:rFonts w:asciiTheme="minorHAnsi" w:hAnsiTheme="minorHAnsi" w:cstheme="minorHAnsi"/>
                <w:color w:val="000000"/>
                <w:lang w:eastAsia="en-AU"/>
              </w:rPr>
            </w:pPr>
            <w:r w:rsidRPr="00B2369A">
              <w:rPr>
                <w:rFonts w:asciiTheme="minorHAnsi" w:hAnsiTheme="minorHAnsi" w:cstheme="minorHAnsi"/>
                <w:color w:val="000000"/>
                <w:lang w:eastAsia="en-AU"/>
              </w:rPr>
              <w:t>ALRTA continues to fundamentally support fair cost recovery based on an agreed economic model. However, the magnitude of the current gap between revenue and expenditure calculated via the PAYGO model is of grave concern. This gap has now grown so large that it is difficult to imagine a scenario under which it could return to balance without either significantly reduced infrastructure investment (which would be counter-productive in a broader economic sense) or charging increases of a scale that would threaten the viability of road transport businesses. ALRTA asserts that a frank conversation must occur between industry and government to identify a pragmatic approach to achieving balance in the medium term. This is likely to involve a one-off intervention to fix the imbalance under PAYGO or a transition to an entirely new approach to fair cost recovery involving a ‘reset’ such that it could be launched on a cost-neutral basis.</w:t>
            </w:r>
          </w:p>
        </w:tc>
        <w:tc>
          <w:tcPr>
            <w:tcW w:w="833" w:type="pct"/>
            <w:hideMark/>
          </w:tcPr>
          <w:p w14:paraId="12FB8075" w14:textId="61911347" w:rsidR="00FB2C87" w:rsidRDefault="00FB2C87" w:rsidP="00A76DD5">
            <w:pPr>
              <w:spacing w:before="0" w:after="0"/>
              <w:rPr>
                <w:rFonts w:asciiTheme="minorHAnsi" w:hAnsiTheme="minorHAnsi" w:cstheme="minorHAnsi"/>
                <w:color w:val="000000"/>
                <w:lang w:eastAsia="en-AU"/>
              </w:rPr>
            </w:pPr>
            <w:r>
              <w:rPr>
                <w:rFonts w:asciiTheme="minorHAnsi" w:hAnsiTheme="minorHAnsi" w:cstheme="minorHAnsi"/>
                <w:color w:val="000000"/>
                <w:lang w:eastAsia="en-AU"/>
              </w:rPr>
              <w:t>The NTC notes ALRTA’s comments</w:t>
            </w:r>
            <w:r w:rsidR="00F0705E">
              <w:rPr>
                <w:rFonts w:asciiTheme="minorHAnsi" w:hAnsiTheme="minorHAnsi" w:cstheme="minorHAnsi"/>
                <w:color w:val="000000"/>
                <w:lang w:eastAsia="en-AU"/>
              </w:rPr>
              <w:t>.</w:t>
            </w:r>
          </w:p>
          <w:p w14:paraId="5DB7F01D" w14:textId="324B96FF" w:rsidR="00E130DC" w:rsidRPr="00B2369A" w:rsidRDefault="00FB2C87" w:rsidP="00F0705E">
            <w:pPr>
              <w:spacing w:before="0" w:after="0"/>
              <w:rPr>
                <w:rFonts w:asciiTheme="minorHAnsi" w:hAnsiTheme="minorHAnsi" w:cstheme="minorHAnsi"/>
                <w:color w:val="000000"/>
                <w:lang w:eastAsia="en-AU"/>
              </w:rPr>
            </w:pPr>
            <w:r>
              <w:rPr>
                <w:rFonts w:asciiTheme="minorHAnsi" w:hAnsiTheme="minorHAnsi" w:cstheme="minorHAnsi"/>
                <w:color w:val="000000"/>
                <w:lang w:eastAsia="en-AU"/>
              </w:rPr>
              <w:t>Currently,</w:t>
            </w:r>
            <w:r w:rsidR="00F0705E">
              <w:rPr>
                <w:rFonts w:asciiTheme="minorHAnsi" w:hAnsiTheme="minorHAnsi" w:cstheme="minorHAnsi"/>
                <w:color w:val="000000"/>
                <w:lang w:eastAsia="en-AU"/>
              </w:rPr>
              <w:t xml:space="preserve"> alternative costing approaches are being reviewed </w:t>
            </w:r>
            <w:r>
              <w:rPr>
                <w:rFonts w:asciiTheme="minorHAnsi" w:hAnsiTheme="minorHAnsi" w:cstheme="minorHAnsi"/>
                <w:color w:val="000000"/>
                <w:lang w:eastAsia="en-AU"/>
              </w:rPr>
              <w:t>a</w:t>
            </w:r>
            <w:r w:rsidRPr="00FB2C87">
              <w:rPr>
                <w:rFonts w:asciiTheme="minorHAnsi" w:hAnsiTheme="minorHAnsi" w:cstheme="minorHAnsi"/>
                <w:color w:val="000000"/>
                <w:lang w:eastAsia="en-AU"/>
              </w:rPr>
              <w:t xml:space="preserve">s part of the Heavy Vehicle Road Reform </w:t>
            </w:r>
            <w:r w:rsidR="00F0705E">
              <w:rPr>
                <w:rFonts w:asciiTheme="minorHAnsi" w:hAnsiTheme="minorHAnsi" w:cstheme="minorHAnsi"/>
                <w:color w:val="000000"/>
                <w:lang w:eastAsia="en-AU"/>
              </w:rPr>
              <w:t xml:space="preserve">project.  </w:t>
            </w:r>
          </w:p>
        </w:tc>
      </w:tr>
      <w:tr w:rsidR="004E2083" w:rsidRPr="000231A1" w14:paraId="3B033A02" w14:textId="77777777" w:rsidTr="000231A1">
        <w:trPr>
          <w:trHeight w:val="4560"/>
        </w:trPr>
        <w:tc>
          <w:tcPr>
            <w:tcW w:w="639" w:type="pct"/>
            <w:hideMark/>
          </w:tcPr>
          <w:p w14:paraId="717E363B" w14:textId="77777777" w:rsidR="0092148C" w:rsidRPr="00605470" w:rsidRDefault="0092148C" w:rsidP="00A76DD5">
            <w:pPr>
              <w:spacing w:before="0" w:after="0"/>
              <w:rPr>
                <w:rFonts w:asciiTheme="minorHAnsi" w:hAnsiTheme="minorHAnsi" w:cstheme="minorHAnsi"/>
                <w:color w:val="000000"/>
                <w:lang w:eastAsia="en-AU"/>
              </w:rPr>
            </w:pPr>
            <w:r w:rsidRPr="00605470">
              <w:rPr>
                <w:rFonts w:asciiTheme="minorHAnsi" w:hAnsiTheme="minorHAnsi" w:cstheme="minorHAnsi"/>
                <w:color w:val="000000"/>
                <w:lang w:eastAsia="en-AU"/>
              </w:rPr>
              <w:t>Australian Trucking Assoc. (ATA)</w:t>
            </w:r>
          </w:p>
        </w:tc>
        <w:tc>
          <w:tcPr>
            <w:tcW w:w="589" w:type="pct"/>
            <w:hideMark/>
          </w:tcPr>
          <w:p w14:paraId="11F36DD9" w14:textId="77777777" w:rsidR="0092148C" w:rsidRPr="00605470" w:rsidRDefault="0092148C" w:rsidP="00A76DD5">
            <w:pPr>
              <w:spacing w:before="0" w:after="0"/>
              <w:rPr>
                <w:rFonts w:asciiTheme="minorHAnsi" w:hAnsiTheme="minorHAnsi" w:cstheme="minorHAnsi"/>
                <w:color w:val="000000"/>
                <w:lang w:eastAsia="en-AU"/>
              </w:rPr>
            </w:pPr>
            <w:r w:rsidRPr="00605470">
              <w:rPr>
                <w:rFonts w:asciiTheme="minorHAnsi" w:hAnsiTheme="minorHAnsi" w:cstheme="minorHAnsi"/>
                <w:color w:val="000000"/>
                <w:lang w:eastAsia="en-AU"/>
              </w:rPr>
              <w:t xml:space="preserve">Peak bodies </w:t>
            </w:r>
          </w:p>
        </w:tc>
        <w:tc>
          <w:tcPr>
            <w:tcW w:w="480" w:type="pct"/>
            <w:hideMark/>
          </w:tcPr>
          <w:p w14:paraId="42C9CD69" w14:textId="77777777" w:rsidR="0092148C" w:rsidRPr="00605470" w:rsidRDefault="0092148C" w:rsidP="00A76DD5">
            <w:pPr>
              <w:spacing w:before="0" w:after="0"/>
              <w:rPr>
                <w:rFonts w:asciiTheme="minorHAnsi" w:hAnsiTheme="minorHAnsi" w:cstheme="minorHAnsi"/>
                <w:color w:val="000000"/>
                <w:lang w:eastAsia="en-AU"/>
              </w:rPr>
            </w:pPr>
            <w:r w:rsidRPr="00605470">
              <w:rPr>
                <w:rFonts w:asciiTheme="minorHAnsi" w:hAnsiTheme="minorHAnsi" w:cstheme="minorHAnsi"/>
                <w:color w:val="000000"/>
                <w:lang w:eastAsia="en-AU"/>
              </w:rPr>
              <w:t>1</w:t>
            </w:r>
          </w:p>
        </w:tc>
        <w:tc>
          <w:tcPr>
            <w:tcW w:w="589" w:type="pct"/>
            <w:hideMark/>
          </w:tcPr>
          <w:p w14:paraId="52DA1C18" w14:textId="77777777" w:rsidR="0092148C" w:rsidRPr="00605470" w:rsidRDefault="0092148C" w:rsidP="00A76DD5">
            <w:pPr>
              <w:spacing w:before="0" w:after="0"/>
              <w:rPr>
                <w:rFonts w:asciiTheme="minorHAnsi" w:hAnsiTheme="minorHAnsi" w:cstheme="minorHAnsi"/>
                <w:color w:val="000000"/>
                <w:lang w:eastAsia="en-AU"/>
              </w:rPr>
            </w:pPr>
            <w:r w:rsidRPr="00605470">
              <w:rPr>
                <w:rFonts w:asciiTheme="minorHAnsi" w:hAnsiTheme="minorHAnsi" w:cstheme="minorHAnsi"/>
                <w:color w:val="000000"/>
                <w:lang w:eastAsia="en-AU"/>
              </w:rPr>
              <w:t>PAYGO - Developing the cost base</w:t>
            </w:r>
          </w:p>
        </w:tc>
        <w:tc>
          <w:tcPr>
            <w:tcW w:w="1871" w:type="pct"/>
            <w:hideMark/>
          </w:tcPr>
          <w:p w14:paraId="1474B497" w14:textId="77777777" w:rsidR="0092148C" w:rsidRPr="00605470" w:rsidRDefault="0092148C" w:rsidP="00A76DD5">
            <w:pPr>
              <w:spacing w:before="0" w:after="0"/>
              <w:rPr>
                <w:rFonts w:asciiTheme="minorHAnsi" w:hAnsiTheme="minorHAnsi" w:cstheme="minorHAnsi"/>
                <w:color w:val="000000"/>
                <w:lang w:eastAsia="en-AU"/>
              </w:rPr>
            </w:pPr>
            <w:r w:rsidRPr="00605470">
              <w:rPr>
                <w:rFonts w:asciiTheme="minorHAnsi" w:hAnsiTheme="minorHAnsi" w:cstheme="minorHAnsi"/>
                <w:color w:val="000000"/>
                <w:lang w:eastAsia="en-AU"/>
              </w:rPr>
              <w:t>6. There is extensive relevant information available that shows the existing heavy vehicle cost base is meaningless and should be scrapped. The NTC has not considered this information sufficiently.</w:t>
            </w:r>
            <w:r w:rsidRPr="00605470">
              <w:rPr>
                <w:rFonts w:asciiTheme="minorHAnsi" w:hAnsiTheme="minorHAnsi" w:cstheme="minorHAnsi"/>
                <w:color w:val="000000"/>
                <w:lang w:eastAsia="en-AU"/>
              </w:rPr>
              <w:br/>
              <w:t>7. The cost base uses state governments’ road expenditure figures without audit or appraisal, despite the industry’s long held concerns.</w:t>
            </w:r>
            <w:r w:rsidRPr="00605470">
              <w:rPr>
                <w:rFonts w:asciiTheme="minorHAnsi" w:hAnsiTheme="minorHAnsi" w:cstheme="minorHAnsi"/>
                <w:color w:val="000000"/>
                <w:lang w:eastAsia="en-AU"/>
              </w:rPr>
              <w:br/>
              <w:t>8. The spending included in the cost base is entirely driven by governments’ budget decisions. There is no direct and systematic link to the needs of the industry or broader transport policy priorities, such as increasing productivity.</w:t>
            </w:r>
            <w:r w:rsidRPr="00605470">
              <w:rPr>
                <w:rFonts w:asciiTheme="minorHAnsi" w:hAnsiTheme="minorHAnsi" w:cstheme="minorHAnsi"/>
                <w:color w:val="000000"/>
                <w:lang w:eastAsia="en-AU"/>
              </w:rPr>
              <w:br/>
              <w:t>9. Instead, the model requires heavy vehicle operators to pay a share of the cost of road investments that are not freight priorities, such as projects to increase capacity for commuter traffic or for opening up new residential developments.</w:t>
            </w:r>
            <w:r w:rsidRPr="00605470">
              <w:rPr>
                <w:rFonts w:asciiTheme="minorHAnsi" w:hAnsiTheme="minorHAnsi" w:cstheme="minorHAnsi"/>
                <w:color w:val="000000"/>
                <w:lang w:eastAsia="en-AU"/>
              </w:rPr>
              <w:br/>
              <w:t>10. The current system prioritises new projects over road maintenance spending. There is no funding certainty for road authorities to make optimal lifecycle decisions.  The recent increase in rain and floods has led to a noticeable decrease in road quality. The impact of weather events is expected to increase due to climate change; the funding system does not prioritise road maintenance appropriately.</w:t>
            </w:r>
            <w:r w:rsidRPr="00605470">
              <w:rPr>
                <w:rFonts w:asciiTheme="minorHAnsi" w:hAnsiTheme="minorHAnsi" w:cstheme="minorHAnsi"/>
                <w:color w:val="000000"/>
                <w:lang w:eastAsia="en-AU"/>
              </w:rPr>
              <w:br/>
              <w:t>11. The consultation paper concedes that the cost base includes stimulus expenditure designed to support economic growth in the face of challenging conditions. No attempt has been made to separate out this expenditure, which is properly a cost that should be borne by the whole community.</w:t>
            </w:r>
            <w:r w:rsidRPr="00605470">
              <w:rPr>
                <w:rFonts w:asciiTheme="minorHAnsi" w:hAnsiTheme="minorHAnsi" w:cstheme="minorHAnsi"/>
                <w:color w:val="000000"/>
                <w:lang w:eastAsia="en-AU"/>
              </w:rPr>
              <w:br/>
              <w:t>12. The cost base is also inflated by poor project estimation and delivery.</w:t>
            </w:r>
            <w:r w:rsidRPr="00605470">
              <w:rPr>
                <w:rFonts w:asciiTheme="minorHAnsi" w:hAnsiTheme="minorHAnsi" w:cstheme="minorHAnsi"/>
                <w:color w:val="000000"/>
                <w:lang w:eastAsia="en-AU"/>
              </w:rPr>
              <w:br/>
              <w:t>13. From 2001 to 2015, governments spent $28 billion more on transport infrastructure projects than originally announced. The main cause of the cost overruns was found to be premature announcements ahead of proper planning and assessment</w:t>
            </w:r>
          </w:p>
        </w:tc>
        <w:tc>
          <w:tcPr>
            <w:tcW w:w="833" w:type="pct"/>
            <w:hideMark/>
          </w:tcPr>
          <w:p w14:paraId="6BFB5D79" w14:textId="6207D478" w:rsidR="00823165" w:rsidRDefault="0025379A" w:rsidP="00A76DD5">
            <w:pPr>
              <w:spacing w:before="0"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00F0705E">
              <w:rPr>
                <w:rFonts w:asciiTheme="minorHAnsi" w:hAnsiTheme="minorHAnsi" w:cstheme="minorHAnsi"/>
                <w:color w:val="000000"/>
                <w:lang w:eastAsia="en-AU"/>
              </w:rPr>
              <w:t xml:space="preserve">NTC notes that the </w:t>
            </w:r>
            <w:r w:rsidRPr="002A0252">
              <w:rPr>
                <w:rFonts w:asciiTheme="minorHAnsi" w:hAnsiTheme="minorHAnsi" w:cstheme="minorHAnsi"/>
                <w:color w:val="000000"/>
                <w:lang w:eastAsia="en-AU"/>
              </w:rPr>
              <w:t>allocat</w:t>
            </w:r>
            <w:r w:rsidR="005D14D3">
              <w:rPr>
                <w:rFonts w:asciiTheme="minorHAnsi" w:hAnsiTheme="minorHAnsi" w:cstheme="minorHAnsi"/>
                <w:color w:val="000000"/>
                <w:lang w:eastAsia="en-AU"/>
              </w:rPr>
              <w:t xml:space="preserve">ion of </w:t>
            </w:r>
            <w:r w:rsidRPr="002A0252">
              <w:rPr>
                <w:rFonts w:asciiTheme="minorHAnsi" w:hAnsiTheme="minorHAnsi" w:cstheme="minorHAnsi"/>
                <w:color w:val="000000"/>
                <w:lang w:eastAsia="en-AU"/>
              </w:rPr>
              <w:t xml:space="preserve"> different types of road expenditure to heavy vehicles</w:t>
            </w:r>
            <w:r w:rsidR="005D14D3">
              <w:rPr>
                <w:rFonts w:asciiTheme="minorHAnsi" w:hAnsiTheme="minorHAnsi" w:cstheme="minorHAnsi"/>
                <w:color w:val="000000"/>
                <w:lang w:eastAsia="en-AU"/>
              </w:rPr>
              <w:t xml:space="preserve"> </w:t>
            </w:r>
            <w:r w:rsidR="00F0705E">
              <w:rPr>
                <w:rFonts w:asciiTheme="minorHAnsi" w:hAnsiTheme="minorHAnsi" w:cstheme="minorHAnsi"/>
                <w:color w:val="000000"/>
                <w:lang w:eastAsia="en-AU"/>
              </w:rPr>
              <w:t>has been described by third parties as</w:t>
            </w:r>
            <w:r w:rsidR="005D14D3">
              <w:rPr>
                <w:rFonts w:asciiTheme="minorHAnsi" w:hAnsiTheme="minorHAnsi" w:cstheme="minorHAnsi"/>
                <w:color w:val="000000"/>
                <w:lang w:eastAsia="en-AU"/>
              </w:rPr>
              <w:t xml:space="preserve"> conservative</w:t>
            </w:r>
            <w:r w:rsidRPr="002A0252">
              <w:rPr>
                <w:rFonts w:asciiTheme="minorHAnsi" w:hAnsiTheme="minorHAnsi" w:cstheme="minorHAnsi"/>
                <w:color w:val="000000"/>
                <w:lang w:eastAsia="en-AU"/>
              </w:rPr>
              <w:t xml:space="preserve">. </w:t>
            </w:r>
            <w:r w:rsidR="005D14D3">
              <w:rPr>
                <w:rFonts w:asciiTheme="minorHAnsi" w:hAnsiTheme="minorHAnsi" w:cstheme="minorHAnsi"/>
                <w:color w:val="000000"/>
                <w:lang w:eastAsia="en-AU"/>
              </w:rPr>
              <w:t>C</w:t>
            </w:r>
            <w:r w:rsidR="0092148C" w:rsidRPr="00605470">
              <w:rPr>
                <w:rFonts w:asciiTheme="minorHAnsi" w:hAnsiTheme="minorHAnsi" w:cstheme="minorHAnsi"/>
                <w:color w:val="000000"/>
                <w:lang w:eastAsia="en-AU"/>
              </w:rPr>
              <w:t xml:space="preserve">omprehensive arterial and local road </w:t>
            </w:r>
            <w:r w:rsidR="003C4C0A">
              <w:rPr>
                <w:rFonts w:asciiTheme="minorHAnsi" w:hAnsiTheme="minorHAnsi" w:cstheme="minorHAnsi"/>
                <w:color w:val="000000"/>
                <w:lang w:eastAsia="en-AU"/>
              </w:rPr>
              <w:t xml:space="preserve">heavy vehicle </w:t>
            </w:r>
            <w:r w:rsidR="0092148C" w:rsidRPr="00605470">
              <w:rPr>
                <w:rFonts w:asciiTheme="minorHAnsi" w:hAnsiTheme="minorHAnsi" w:cstheme="minorHAnsi"/>
                <w:color w:val="000000"/>
                <w:lang w:eastAsia="en-AU"/>
              </w:rPr>
              <w:t xml:space="preserve">expenditure </w:t>
            </w:r>
            <w:r w:rsidR="005D14D3">
              <w:rPr>
                <w:rFonts w:asciiTheme="minorHAnsi" w:hAnsiTheme="minorHAnsi" w:cstheme="minorHAnsi"/>
                <w:color w:val="000000"/>
                <w:lang w:eastAsia="en-AU"/>
              </w:rPr>
              <w:t xml:space="preserve">is obtained from </w:t>
            </w:r>
            <w:r w:rsidR="005D14D3" w:rsidRPr="005D14D3">
              <w:rPr>
                <w:rFonts w:asciiTheme="minorHAnsi" w:hAnsiTheme="minorHAnsi" w:cstheme="minorHAnsi"/>
                <w:color w:val="000000"/>
                <w:lang w:eastAsia="en-AU"/>
              </w:rPr>
              <w:t>all</w:t>
            </w:r>
            <w:r w:rsidR="005D14D3">
              <w:rPr>
                <w:rFonts w:asciiTheme="minorHAnsi" w:hAnsiTheme="minorHAnsi" w:cstheme="minorHAnsi"/>
                <w:color w:val="000000"/>
                <w:lang w:eastAsia="en-AU"/>
              </w:rPr>
              <w:t xml:space="preserve">. </w:t>
            </w:r>
            <w:r w:rsidR="000B5EB0">
              <w:rPr>
                <w:rFonts w:asciiTheme="minorHAnsi" w:hAnsiTheme="minorHAnsi" w:cstheme="minorHAnsi"/>
                <w:color w:val="000000"/>
                <w:lang w:eastAsia="en-AU"/>
              </w:rPr>
              <w:t xml:space="preserve">  </w:t>
            </w:r>
            <w:r w:rsidR="005D14D3">
              <w:t xml:space="preserve"> As per t</w:t>
            </w:r>
            <w:r w:rsidR="005D14D3" w:rsidRPr="005D14D3">
              <w:rPr>
                <w:rFonts w:asciiTheme="minorHAnsi" w:hAnsiTheme="minorHAnsi" w:cstheme="minorHAnsi"/>
                <w:color w:val="000000"/>
                <w:lang w:eastAsia="en-AU"/>
              </w:rPr>
              <w:t xml:space="preserve">he </w:t>
            </w:r>
            <w:r w:rsidR="005D14D3">
              <w:rPr>
                <w:rFonts w:asciiTheme="minorHAnsi" w:hAnsiTheme="minorHAnsi" w:cstheme="minorHAnsi"/>
                <w:color w:val="000000"/>
                <w:lang w:eastAsia="en-AU"/>
              </w:rPr>
              <w:t xml:space="preserve">NTC’s </w:t>
            </w:r>
            <w:r w:rsidR="005D14D3" w:rsidRPr="005D14D3">
              <w:rPr>
                <w:rFonts w:asciiTheme="minorHAnsi" w:hAnsiTheme="minorHAnsi" w:cstheme="minorHAnsi"/>
                <w:color w:val="000000"/>
                <w:lang w:eastAsia="en-AU"/>
              </w:rPr>
              <w:t>reporting guidelines</w:t>
            </w:r>
            <w:r w:rsidR="00274FC0">
              <w:rPr>
                <w:rFonts w:asciiTheme="minorHAnsi" w:hAnsiTheme="minorHAnsi" w:cstheme="minorHAnsi"/>
                <w:color w:val="000000"/>
                <w:lang w:eastAsia="en-AU"/>
              </w:rPr>
              <w:t>,</w:t>
            </w:r>
            <w:r w:rsidR="005D14D3" w:rsidRPr="005D14D3">
              <w:rPr>
                <w:rFonts w:asciiTheme="minorHAnsi" w:hAnsiTheme="minorHAnsi" w:cstheme="minorHAnsi"/>
                <w:color w:val="000000"/>
                <w:lang w:eastAsia="en-AU"/>
              </w:rPr>
              <w:t xml:space="preserve"> road construction and maintenance expenditure funded by money received from insurance claims and Commonwealth Disaster Recovery Funding Arrangements (DRFA), formerly known as Natural Disaster Recovery and Relief Arrangements (NDRRA)</w:t>
            </w:r>
            <w:r w:rsidR="00274FC0">
              <w:rPr>
                <w:rFonts w:asciiTheme="minorHAnsi" w:hAnsiTheme="minorHAnsi" w:cstheme="minorHAnsi"/>
                <w:color w:val="000000"/>
                <w:lang w:eastAsia="en-AU"/>
              </w:rPr>
              <w:t xml:space="preserve"> are excluded from the cost base</w:t>
            </w:r>
            <w:r w:rsidR="005D14D3" w:rsidRPr="005D14D3">
              <w:rPr>
                <w:rFonts w:asciiTheme="minorHAnsi" w:hAnsiTheme="minorHAnsi" w:cstheme="minorHAnsi"/>
                <w:color w:val="000000"/>
                <w:lang w:eastAsia="en-AU"/>
              </w:rPr>
              <w:t>.</w:t>
            </w:r>
            <w:r w:rsidR="00274FC0">
              <w:rPr>
                <w:rFonts w:asciiTheme="minorHAnsi" w:hAnsiTheme="minorHAnsi" w:cstheme="minorHAnsi"/>
                <w:color w:val="000000"/>
                <w:lang w:eastAsia="en-AU"/>
              </w:rPr>
              <w:t xml:space="preserve"> </w:t>
            </w:r>
            <w:r w:rsidR="00875998">
              <w:rPr>
                <w:rFonts w:asciiTheme="minorHAnsi" w:hAnsiTheme="minorHAnsi" w:cstheme="minorHAnsi"/>
                <w:color w:val="000000"/>
                <w:lang w:eastAsia="en-AU"/>
              </w:rPr>
              <w:t>T</w:t>
            </w:r>
            <w:r w:rsidR="0092148C" w:rsidRPr="00F3481E">
              <w:rPr>
                <w:rFonts w:asciiTheme="minorHAnsi" w:hAnsiTheme="minorHAnsi" w:cstheme="minorHAnsi"/>
                <w:color w:val="000000"/>
                <w:lang w:eastAsia="en-AU"/>
              </w:rPr>
              <w:t xml:space="preserve">he expenditure </w:t>
            </w:r>
            <w:r w:rsidR="00F0705E">
              <w:rPr>
                <w:rFonts w:asciiTheme="minorHAnsi" w:hAnsiTheme="minorHAnsi" w:cstheme="minorHAnsi"/>
                <w:color w:val="000000"/>
                <w:lang w:eastAsia="en-AU"/>
              </w:rPr>
              <w:t xml:space="preserve">data </w:t>
            </w:r>
            <w:r w:rsidR="0092148C" w:rsidRPr="00F3481E">
              <w:rPr>
                <w:rFonts w:asciiTheme="minorHAnsi" w:hAnsiTheme="minorHAnsi" w:cstheme="minorHAnsi"/>
                <w:color w:val="000000"/>
                <w:lang w:eastAsia="en-AU"/>
              </w:rPr>
              <w:t>re</w:t>
            </w:r>
            <w:r w:rsidR="00274FC0">
              <w:rPr>
                <w:rFonts w:asciiTheme="minorHAnsi" w:hAnsiTheme="minorHAnsi" w:cstheme="minorHAnsi"/>
                <w:color w:val="000000"/>
                <w:lang w:eastAsia="en-AU"/>
              </w:rPr>
              <w:t xml:space="preserve">ceived from the jurisdictions </w:t>
            </w:r>
            <w:r w:rsidR="00F0705E">
              <w:rPr>
                <w:rFonts w:asciiTheme="minorHAnsi" w:hAnsiTheme="minorHAnsi" w:cstheme="minorHAnsi"/>
                <w:color w:val="000000"/>
                <w:lang w:eastAsia="en-AU"/>
              </w:rPr>
              <w:t>is</w:t>
            </w:r>
            <w:r w:rsidR="00274FC0">
              <w:rPr>
                <w:rFonts w:asciiTheme="minorHAnsi" w:hAnsiTheme="minorHAnsi" w:cstheme="minorHAnsi"/>
                <w:color w:val="000000"/>
                <w:lang w:eastAsia="en-AU"/>
              </w:rPr>
              <w:t xml:space="preserve"> reviewed and</w:t>
            </w:r>
            <w:r w:rsidR="00274FC0" w:rsidRPr="00145B7B">
              <w:rPr>
                <w:rFonts w:asciiTheme="minorHAnsi" w:hAnsiTheme="minorHAnsi" w:cstheme="minorHAnsi"/>
                <w:color w:val="000000"/>
                <w:lang w:eastAsia="en-AU"/>
              </w:rPr>
              <w:t xml:space="preserve"> signed</w:t>
            </w:r>
            <w:r w:rsidR="000B5EB0" w:rsidRPr="00145B7B">
              <w:rPr>
                <w:rFonts w:asciiTheme="minorHAnsi" w:hAnsiTheme="minorHAnsi" w:cstheme="minorHAnsi"/>
                <w:color w:val="000000"/>
                <w:lang w:eastAsia="en-AU"/>
              </w:rPr>
              <w:t xml:space="preserve"> off as being compliant with the expenditure by road agency CEO's or equivalent</w:t>
            </w:r>
            <w:r w:rsidR="000B5EB0">
              <w:rPr>
                <w:rFonts w:asciiTheme="minorHAnsi" w:hAnsiTheme="minorHAnsi" w:cstheme="minorHAnsi"/>
                <w:color w:val="000000"/>
                <w:lang w:eastAsia="en-AU"/>
              </w:rPr>
              <w:t xml:space="preserve">, and is subject to internal audit </w:t>
            </w:r>
            <w:r w:rsidR="005A04C4">
              <w:rPr>
                <w:rFonts w:asciiTheme="minorHAnsi" w:hAnsiTheme="minorHAnsi" w:cstheme="minorHAnsi"/>
                <w:color w:val="000000"/>
                <w:lang w:eastAsia="en-AU"/>
              </w:rPr>
              <w:t>within the relevant agencies</w:t>
            </w:r>
            <w:r w:rsidR="000B5EB0">
              <w:rPr>
                <w:rFonts w:asciiTheme="minorHAnsi" w:hAnsiTheme="minorHAnsi" w:cstheme="minorHAnsi"/>
                <w:color w:val="000000"/>
                <w:lang w:eastAsia="en-AU"/>
              </w:rPr>
              <w:t xml:space="preserve">.  </w:t>
            </w:r>
            <w:r w:rsidR="00823165" w:rsidRPr="006F5A18">
              <w:rPr>
                <w:rFonts w:asciiTheme="minorHAnsi" w:hAnsiTheme="minorHAnsi" w:cstheme="minorHAnsi"/>
                <w:color w:val="000000"/>
                <w:lang w:eastAsia="en-AU"/>
              </w:rPr>
              <w:t xml:space="preserve"> </w:t>
            </w:r>
          </w:p>
          <w:p w14:paraId="626F1281" w14:textId="77777777" w:rsidR="00274FC0" w:rsidRDefault="00274FC0" w:rsidP="00A76DD5">
            <w:pPr>
              <w:spacing w:before="0" w:after="0"/>
              <w:rPr>
                <w:rFonts w:asciiTheme="minorHAnsi" w:hAnsiTheme="minorHAnsi" w:cstheme="minorHAnsi"/>
                <w:color w:val="000000"/>
                <w:lang w:eastAsia="en-AU"/>
              </w:rPr>
            </w:pPr>
          </w:p>
          <w:p w14:paraId="5C40BF99" w14:textId="4C9D48B2" w:rsidR="00274FC0" w:rsidRPr="002A0252" w:rsidRDefault="00274FC0" w:rsidP="00A76DD5">
            <w:pPr>
              <w:spacing w:before="0" w:after="0"/>
              <w:rPr>
                <w:rFonts w:asciiTheme="minorHAnsi" w:hAnsiTheme="minorHAnsi" w:cstheme="minorHAnsi"/>
                <w:color w:val="000000"/>
                <w:lang w:eastAsia="en-AU"/>
              </w:rPr>
            </w:pPr>
            <w:r>
              <w:rPr>
                <w:rFonts w:asciiTheme="minorHAnsi" w:hAnsiTheme="minorHAnsi" w:cstheme="minorHAnsi"/>
                <w:color w:val="000000"/>
                <w:lang w:eastAsia="en-AU"/>
              </w:rPr>
              <w:t>A</w:t>
            </w:r>
            <w:r w:rsidRPr="00FB2C87">
              <w:rPr>
                <w:rFonts w:asciiTheme="minorHAnsi" w:hAnsiTheme="minorHAnsi" w:cstheme="minorHAnsi"/>
                <w:color w:val="000000"/>
                <w:lang w:eastAsia="en-AU"/>
              </w:rPr>
              <w:t>s part of Heavy Vehicle Road Reform</w:t>
            </w:r>
            <w:r w:rsidR="00F0705E">
              <w:rPr>
                <w:rFonts w:asciiTheme="minorHAnsi" w:hAnsiTheme="minorHAnsi" w:cstheme="minorHAnsi"/>
                <w:color w:val="000000"/>
                <w:lang w:eastAsia="en-AU"/>
              </w:rPr>
              <w:t>,</w:t>
            </w:r>
            <w:r w:rsidRPr="00FB2C87">
              <w:rPr>
                <w:rFonts w:asciiTheme="minorHAnsi" w:hAnsiTheme="minorHAnsi" w:cstheme="minorHAnsi"/>
                <w:color w:val="000000"/>
                <w:lang w:eastAsia="en-AU"/>
              </w:rPr>
              <w:t xml:space="preserve"> </w:t>
            </w:r>
            <w:r>
              <w:rPr>
                <w:rFonts w:asciiTheme="minorHAnsi" w:hAnsiTheme="minorHAnsi" w:cstheme="minorHAnsi"/>
                <w:color w:val="000000"/>
                <w:lang w:eastAsia="en-AU"/>
              </w:rPr>
              <w:t xml:space="preserve">other </w:t>
            </w:r>
            <w:r w:rsidRPr="00FB2C87">
              <w:rPr>
                <w:rFonts w:asciiTheme="minorHAnsi" w:hAnsiTheme="minorHAnsi" w:cstheme="minorHAnsi"/>
                <w:color w:val="000000"/>
                <w:lang w:eastAsia="en-AU"/>
              </w:rPr>
              <w:t xml:space="preserve">alternative </w:t>
            </w:r>
            <w:r>
              <w:rPr>
                <w:rFonts w:asciiTheme="minorHAnsi" w:hAnsiTheme="minorHAnsi" w:cstheme="minorHAnsi"/>
                <w:color w:val="000000"/>
                <w:lang w:eastAsia="en-AU"/>
              </w:rPr>
              <w:t>costing approaches are being reviewed</w:t>
            </w:r>
            <w:r w:rsidR="00F0705E">
              <w:rPr>
                <w:rFonts w:asciiTheme="minorHAnsi" w:hAnsiTheme="minorHAnsi" w:cstheme="minorHAnsi"/>
                <w:color w:val="000000"/>
                <w:lang w:eastAsia="en-AU"/>
              </w:rPr>
              <w:t xml:space="preserve">.  </w:t>
            </w:r>
          </w:p>
        </w:tc>
      </w:tr>
      <w:tr w:rsidR="004E2083" w:rsidRPr="000231A1" w14:paraId="2A067C46" w14:textId="77777777" w:rsidTr="000231A1">
        <w:trPr>
          <w:trHeight w:val="2850"/>
        </w:trPr>
        <w:tc>
          <w:tcPr>
            <w:tcW w:w="639" w:type="pct"/>
            <w:hideMark/>
          </w:tcPr>
          <w:p w14:paraId="05D52803" w14:textId="77777777"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Australian Trucking Assoc. (ATA)</w:t>
            </w:r>
          </w:p>
        </w:tc>
        <w:tc>
          <w:tcPr>
            <w:tcW w:w="589" w:type="pct"/>
            <w:hideMark/>
          </w:tcPr>
          <w:p w14:paraId="5D6CA0ED" w14:textId="77777777"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 xml:space="preserve">Peak bodies </w:t>
            </w:r>
          </w:p>
        </w:tc>
        <w:tc>
          <w:tcPr>
            <w:tcW w:w="480" w:type="pct"/>
            <w:hideMark/>
          </w:tcPr>
          <w:p w14:paraId="2B6699E3" w14:textId="77777777"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1</w:t>
            </w:r>
          </w:p>
        </w:tc>
        <w:tc>
          <w:tcPr>
            <w:tcW w:w="589" w:type="pct"/>
            <w:hideMark/>
          </w:tcPr>
          <w:p w14:paraId="1A2A61A0" w14:textId="77777777"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PAYGO - Developing the cost base</w:t>
            </w:r>
          </w:p>
        </w:tc>
        <w:tc>
          <w:tcPr>
            <w:tcW w:w="1871" w:type="pct"/>
            <w:hideMark/>
          </w:tcPr>
          <w:p w14:paraId="66EFE787" w14:textId="6F5EA409"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Question 1 response continued                                                                                                                                                                                                                                                                                    15. Consistent with this approach, the PAYGO cost base should be recalculated so that the major projects included—</w:t>
            </w:r>
            <w:r w:rsidRPr="002A0252">
              <w:rPr>
                <w:rFonts w:asciiTheme="minorHAnsi" w:hAnsiTheme="minorHAnsi" w:cstheme="minorHAnsi"/>
                <w:color w:val="000000"/>
                <w:lang w:eastAsia="en-AU"/>
              </w:rPr>
              <w:br/>
              <w:t>a. are endorsed by an independent infrastructure agency such as Infrastructure Australia</w:t>
            </w:r>
            <w:r w:rsidRPr="002A0252">
              <w:rPr>
                <w:rFonts w:asciiTheme="minorHAnsi" w:hAnsiTheme="minorHAnsi" w:cstheme="minorHAnsi"/>
                <w:color w:val="000000"/>
                <w:lang w:eastAsia="en-AU"/>
              </w:rPr>
              <w:br/>
              <w:t>b. are based on integrated transport planning, including trucking industry and community consultation</w:t>
            </w:r>
            <w:r w:rsidRPr="002A0252">
              <w:rPr>
                <w:rFonts w:asciiTheme="minorHAnsi" w:hAnsiTheme="minorHAnsi" w:cstheme="minorHAnsi"/>
                <w:color w:val="000000"/>
                <w:lang w:eastAsia="en-AU"/>
              </w:rPr>
              <w:br/>
              <w:t>c. include rest areas and access improvements in project planning and delivery.</w:t>
            </w:r>
            <w:r w:rsidRPr="002A0252">
              <w:rPr>
                <w:rFonts w:asciiTheme="minorHAnsi" w:hAnsiTheme="minorHAnsi" w:cstheme="minorHAnsi"/>
                <w:color w:val="000000"/>
                <w:lang w:eastAsia="en-AU"/>
              </w:rPr>
              <w:br/>
              <w:t>16. Further, there is an urgent and unfulfilled reform priority for governments to improve the transparency of the cost base. Governments should make it clear what road user charges are paying for and how industry priorities will be implemented.</w:t>
            </w:r>
            <w:r w:rsidRPr="002A0252">
              <w:rPr>
                <w:rFonts w:asciiTheme="minorHAnsi" w:hAnsiTheme="minorHAnsi" w:cstheme="minorHAnsi"/>
                <w:color w:val="000000"/>
                <w:lang w:eastAsia="en-AU"/>
              </w:rPr>
              <w:br/>
              <w:t>17. The WA Economic Regulation Authority’s recent draft decision about the Western Power electricity network is a model of the approach the NTC and governments should adopt.</w:t>
            </w:r>
          </w:p>
        </w:tc>
        <w:tc>
          <w:tcPr>
            <w:tcW w:w="833" w:type="pct"/>
            <w:hideMark/>
          </w:tcPr>
          <w:p w14:paraId="1C920CEC" w14:textId="1F418272" w:rsidR="0092148C" w:rsidRPr="002A0252" w:rsidRDefault="0092148C" w:rsidP="00A76DD5">
            <w:pPr>
              <w:spacing w:before="0" w:after="0"/>
              <w:rPr>
                <w:rFonts w:asciiTheme="minorHAnsi" w:hAnsiTheme="minorHAnsi" w:cstheme="minorHAnsi"/>
                <w:color w:val="000000"/>
                <w:lang w:eastAsia="en-AU"/>
              </w:rPr>
            </w:pPr>
            <w:r w:rsidRPr="002A0252">
              <w:rPr>
                <w:rFonts w:asciiTheme="minorHAnsi" w:hAnsiTheme="minorHAnsi" w:cstheme="minorHAnsi"/>
                <w:color w:val="000000"/>
                <w:lang w:eastAsia="en-AU"/>
              </w:rPr>
              <w:t>The NTC notes the ATA</w:t>
            </w:r>
            <w:r w:rsidR="00F0705E">
              <w:rPr>
                <w:rFonts w:asciiTheme="minorHAnsi" w:hAnsiTheme="minorHAnsi" w:cstheme="minorHAnsi"/>
                <w:color w:val="000000"/>
                <w:lang w:eastAsia="en-AU"/>
              </w:rPr>
              <w:t>’s</w:t>
            </w:r>
            <w:r w:rsidRPr="002A0252">
              <w:rPr>
                <w:rFonts w:asciiTheme="minorHAnsi" w:hAnsiTheme="minorHAnsi" w:cstheme="minorHAnsi"/>
                <w:color w:val="000000"/>
                <w:lang w:eastAsia="en-AU"/>
              </w:rPr>
              <w:t xml:space="preserve"> recommendations.</w:t>
            </w:r>
            <w:r w:rsidR="00F0705E">
              <w:rPr>
                <w:rFonts w:asciiTheme="minorHAnsi" w:hAnsiTheme="minorHAnsi" w:cstheme="minorHAnsi"/>
                <w:color w:val="000000"/>
                <w:lang w:eastAsia="en-AU"/>
              </w:rPr>
              <w:t xml:space="preserve"> These recommendations are beyond the scope of the options for implementing heavy vehicle charges from 2023-24 onwards being consulted on.  </w:t>
            </w:r>
            <w:r w:rsidRPr="002A0252">
              <w:rPr>
                <w:rFonts w:asciiTheme="minorHAnsi" w:hAnsiTheme="minorHAnsi" w:cstheme="minorHAnsi"/>
                <w:color w:val="000000"/>
                <w:lang w:eastAsia="en-AU"/>
              </w:rPr>
              <w:t xml:space="preserve">                                                     </w:t>
            </w:r>
          </w:p>
        </w:tc>
      </w:tr>
      <w:tr w:rsidR="004E2083" w:rsidRPr="000231A1" w14:paraId="78799260" w14:textId="77777777" w:rsidTr="000231A1">
        <w:trPr>
          <w:trHeight w:val="4560"/>
        </w:trPr>
        <w:tc>
          <w:tcPr>
            <w:tcW w:w="639" w:type="pct"/>
            <w:hideMark/>
          </w:tcPr>
          <w:p w14:paraId="55DA484B" w14:textId="2C38BDE8" w:rsidR="0092148C" w:rsidRPr="00296687" w:rsidRDefault="00F95EEA" w:rsidP="00A76DD5">
            <w:pPr>
              <w:spacing w:before="0" w:after="0"/>
              <w:rPr>
                <w:rFonts w:asciiTheme="minorHAnsi" w:hAnsiTheme="minorHAnsi" w:cstheme="minorHAnsi"/>
                <w:color w:val="000000"/>
                <w:lang w:eastAsia="en-AU"/>
              </w:rPr>
            </w:pPr>
            <w:r w:rsidRPr="00F95EEA">
              <w:rPr>
                <w:rFonts w:asciiTheme="minorHAnsi" w:hAnsiTheme="minorHAnsi" w:cstheme="minorHAnsi"/>
                <w:color w:val="000000"/>
                <w:lang w:eastAsia="en-AU"/>
              </w:rPr>
              <w:t>Bus Australia Network (BAN)</w:t>
            </w:r>
          </w:p>
        </w:tc>
        <w:tc>
          <w:tcPr>
            <w:tcW w:w="589" w:type="pct"/>
            <w:hideMark/>
          </w:tcPr>
          <w:p w14:paraId="32144E4C"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 xml:space="preserve">Peak bodies </w:t>
            </w:r>
          </w:p>
        </w:tc>
        <w:tc>
          <w:tcPr>
            <w:tcW w:w="480" w:type="pct"/>
            <w:hideMark/>
          </w:tcPr>
          <w:p w14:paraId="500C8669"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1</w:t>
            </w:r>
          </w:p>
        </w:tc>
        <w:tc>
          <w:tcPr>
            <w:tcW w:w="589" w:type="pct"/>
            <w:hideMark/>
          </w:tcPr>
          <w:p w14:paraId="0B8D4AF5"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PAYGO - Developing the cost base</w:t>
            </w:r>
          </w:p>
        </w:tc>
        <w:tc>
          <w:tcPr>
            <w:tcW w:w="1871" w:type="pct"/>
            <w:hideMark/>
          </w:tcPr>
          <w:p w14:paraId="46814031"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Bus Australia Network (BAN) remains concerned that a narrow view of equity continues to be taken by the Commission, which appears to treat the guidelines example of regional and remote communities as the only particular equity issue of concern. BAN submits that equity is a much broader concept than this and should take account, for example, of differing societal external benefits and costs flowing from different categories of road use/vehicle use (e.g., social exclusion benefits; greenhouse gas impacts; congestion mitigation) and of the relative impacts of COVID on different sectors (the latter being a capacity to pay or affordability consideration). The NTC should commission research into a wider understanding of equity as it relates to road use charging, including how this relates to matters of wider societal external benefits and costs expected from particular classes of vehicle/use.                                                                                                                                                                                                             The rapid growth in the HV cost base that is evident in NTC (2022) raises serious issues for sectoral governance and funding. In particular, does the HV sector have sufficient influence over the choice of road expenditure priorities that it is being asked to fund through charges? Given the size and rapid rate of increase in the HV cost base and slow rate of change in institutional governance arrangements, the answer to this question can only be ‘certainly not’. As a matter of governance and process equity, Ministers and the NTC should urgently consider ways in which the HV sector can be provided with a more appropriate level of input on expenditure priorities that it is being asked to fund.                                                                                                                                                                                            We are concerned that the impact of COVID on bus ESA-kms may not have been factored into the cost attribution process. NTC (2022) does not comment on this matter. There is a need for an independent review of the cost attribution formulae used by NTC, particularly relating to ESA-kms.</w:t>
            </w:r>
          </w:p>
        </w:tc>
        <w:tc>
          <w:tcPr>
            <w:tcW w:w="833" w:type="pct"/>
            <w:hideMark/>
          </w:tcPr>
          <w:p w14:paraId="656E2540" w14:textId="77777777" w:rsidR="00D84C68"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 xml:space="preserve">The issues raised by BAN concerning governance and equity are noted by the NTC. </w:t>
            </w:r>
          </w:p>
          <w:p w14:paraId="4A34C6EA" w14:textId="77777777" w:rsidR="00D84C68" w:rsidRDefault="00D84C68" w:rsidP="00A76DD5">
            <w:pPr>
              <w:spacing w:before="0" w:after="0"/>
              <w:rPr>
                <w:rFonts w:asciiTheme="minorHAnsi" w:hAnsiTheme="minorHAnsi" w:cstheme="minorHAnsi"/>
                <w:color w:val="000000"/>
                <w:lang w:eastAsia="en-AU"/>
              </w:rPr>
            </w:pPr>
          </w:p>
          <w:p w14:paraId="67887190" w14:textId="5E75E5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 xml:space="preserve">ESA values for buses are based on an extensive review of all ESA values commissioned by the NTC. These ESA values were consulted on as part of the 2021 Determination.                                                                                                                                                                               </w:t>
            </w:r>
          </w:p>
        </w:tc>
      </w:tr>
      <w:tr w:rsidR="004E2083" w:rsidRPr="000231A1" w14:paraId="539178EB" w14:textId="77777777" w:rsidTr="000231A1">
        <w:trPr>
          <w:trHeight w:val="1710"/>
        </w:trPr>
        <w:tc>
          <w:tcPr>
            <w:tcW w:w="639" w:type="pct"/>
            <w:hideMark/>
          </w:tcPr>
          <w:p w14:paraId="6AF170BF"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Cement, Concrete and Aggregates Assoc. (CCAA)</w:t>
            </w:r>
          </w:p>
        </w:tc>
        <w:tc>
          <w:tcPr>
            <w:tcW w:w="589" w:type="pct"/>
            <w:hideMark/>
          </w:tcPr>
          <w:p w14:paraId="4B7F439A"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 xml:space="preserve">Peak bodies </w:t>
            </w:r>
          </w:p>
        </w:tc>
        <w:tc>
          <w:tcPr>
            <w:tcW w:w="480" w:type="pct"/>
            <w:hideMark/>
          </w:tcPr>
          <w:p w14:paraId="6C513A4B"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1</w:t>
            </w:r>
          </w:p>
        </w:tc>
        <w:tc>
          <w:tcPr>
            <w:tcW w:w="589" w:type="pct"/>
            <w:hideMark/>
          </w:tcPr>
          <w:p w14:paraId="033636CD"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PAYGO - Developing the cost base</w:t>
            </w:r>
          </w:p>
        </w:tc>
        <w:tc>
          <w:tcPr>
            <w:tcW w:w="1871" w:type="pct"/>
            <w:hideMark/>
          </w:tcPr>
          <w:p w14:paraId="51E10B25"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CCAA recognises that the road freight industry is a significant user of the road network and accepts that as such the industry should pay a fair, but not disproportionate, contribution to service the road network.                                                                                                                                                                                                                                                                                                                  Supports the linking of road user charges to road expenditure, requiring revenue recovered through road users be ear marked for investment back into the road network, provided that:</w:t>
            </w:r>
            <w:r w:rsidRPr="00296687">
              <w:rPr>
                <w:rFonts w:asciiTheme="minorHAnsi" w:hAnsiTheme="minorHAnsi" w:cstheme="minorHAnsi"/>
                <w:color w:val="000000"/>
                <w:lang w:eastAsia="en-AU"/>
              </w:rPr>
              <w:br/>
              <w:t>a. There is a clear and transparent link between funds raised and investments made based on clear priorities.</w:t>
            </w:r>
            <w:r w:rsidRPr="00296687">
              <w:rPr>
                <w:rFonts w:asciiTheme="minorHAnsi" w:hAnsiTheme="minorHAnsi" w:cstheme="minorHAnsi"/>
                <w:color w:val="000000"/>
                <w:lang w:eastAsia="en-AU"/>
              </w:rPr>
              <w:br/>
              <w:t>b. It should not be simply a revenue-raising exercise for Government and not result in "double dipping" or cross subsidisation.</w:t>
            </w:r>
          </w:p>
        </w:tc>
        <w:tc>
          <w:tcPr>
            <w:tcW w:w="833" w:type="pct"/>
            <w:hideMark/>
          </w:tcPr>
          <w:p w14:paraId="41757EE2"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Noted</w:t>
            </w:r>
          </w:p>
        </w:tc>
      </w:tr>
      <w:tr w:rsidR="004E2083" w:rsidRPr="000231A1" w14:paraId="07257F47" w14:textId="77777777" w:rsidTr="000231A1">
        <w:trPr>
          <w:trHeight w:val="855"/>
        </w:trPr>
        <w:tc>
          <w:tcPr>
            <w:tcW w:w="639" w:type="pct"/>
            <w:hideMark/>
          </w:tcPr>
          <w:p w14:paraId="0ED8C0E4"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Motor Trade Assoc. (SA/NT)</w:t>
            </w:r>
          </w:p>
        </w:tc>
        <w:tc>
          <w:tcPr>
            <w:tcW w:w="589" w:type="pct"/>
            <w:hideMark/>
          </w:tcPr>
          <w:p w14:paraId="2C6CA56C"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Industry Group</w:t>
            </w:r>
          </w:p>
        </w:tc>
        <w:tc>
          <w:tcPr>
            <w:tcW w:w="480" w:type="pct"/>
            <w:hideMark/>
          </w:tcPr>
          <w:p w14:paraId="5F12FBB8"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1</w:t>
            </w:r>
          </w:p>
        </w:tc>
        <w:tc>
          <w:tcPr>
            <w:tcW w:w="589" w:type="pct"/>
            <w:hideMark/>
          </w:tcPr>
          <w:p w14:paraId="764FB9BA"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PAYGO - Developing the cost base</w:t>
            </w:r>
          </w:p>
        </w:tc>
        <w:tc>
          <w:tcPr>
            <w:tcW w:w="1871" w:type="pct"/>
            <w:hideMark/>
          </w:tcPr>
          <w:p w14:paraId="6B950662" w14:textId="77777777" w:rsidR="0092148C" w:rsidRPr="008B2EAA" w:rsidRDefault="0092148C" w:rsidP="00A76DD5">
            <w:pPr>
              <w:spacing w:before="0" w:after="0"/>
              <w:rPr>
                <w:rFonts w:asciiTheme="minorHAnsi" w:hAnsiTheme="minorHAnsi" w:cstheme="minorHAnsi"/>
                <w:color w:val="000000"/>
                <w:lang w:eastAsia="en-AU"/>
              </w:rPr>
            </w:pPr>
            <w:r w:rsidRPr="008B2EAA">
              <w:rPr>
                <w:rFonts w:asciiTheme="minorHAnsi" w:hAnsiTheme="minorHAnsi" w:cstheme="minorHAnsi"/>
                <w:color w:val="000000"/>
                <w:lang w:eastAsia="en-AU"/>
              </w:rPr>
              <w:t>The NTC and the ITMM should investigate the sharp increase in road expenditure costs over the past 5 years. If there is a periodical renewal of old roads or government policies on road maintenance shifting to increase the cost base. While road user charges have increased by $1 billion in a decade, the cost base has increased by $3 billion with the majority of growth in the past 5 years.</w:t>
            </w:r>
          </w:p>
        </w:tc>
        <w:tc>
          <w:tcPr>
            <w:tcW w:w="833" w:type="pct"/>
            <w:hideMark/>
          </w:tcPr>
          <w:p w14:paraId="4F22DA82"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Noted</w:t>
            </w:r>
          </w:p>
        </w:tc>
      </w:tr>
      <w:tr w:rsidR="004E2083" w:rsidRPr="000231A1" w14:paraId="47D440CC" w14:textId="77777777" w:rsidTr="000231A1">
        <w:trPr>
          <w:trHeight w:val="1425"/>
        </w:trPr>
        <w:tc>
          <w:tcPr>
            <w:tcW w:w="639" w:type="pct"/>
            <w:hideMark/>
          </w:tcPr>
          <w:p w14:paraId="4490764C"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National Road Transport Assoc. (Natroad)</w:t>
            </w:r>
          </w:p>
        </w:tc>
        <w:tc>
          <w:tcPr>
            <w:tcW w:w="589" w:type="pct"/>
            <w:noWrap/>
            <w:hideMark/>
          </w:tcPr>
          <w:p w14:paraId="75172197"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 xml:space="preserve">Peak bodies </w:t>
            </w:r>
          </w:p>
        </w:tc>
        <w:tc>
          <w:tcPr>
            <w:tcW w:w="480" w:type="pct"/>
            <w:hideMark/>
          </w:tcPr>
          <w:p w14:paraId="137091D9"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1</w:t>
            </w:r>
          </w:p>
        </w:tc>
        <w:tc>
          <w:tcPr>
            <w:tcW w:w="589" w:type="pct"/>
            <w:hideMark/>
          </w:tcPr>
          <w:p w14:paraId="6097EC33"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PAYGO - Developing the cost base</w:t>
            </w:r>
          </w:p>
        </w:tc>
        <w:tc>
          <w:tcPr>
            <w:tcW w:w="1871" w:type="pct"/>
            <w:hideMark/>
          </w:tcPr>
          <w:p w14:paraId="3F4D4D79" w14:textId="77777777"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NatRoad believes that it is futile to base increased RUC and registration charges on past State and Territory road expenditure. This leads to a situation where charges are driven solely by governments’ spending plans. Those plans are often inconsistent with real world requirements (such as road maintenance or sealing) or industry’s ability to pay (which is diminishing for a broad range of economic reasons.)  There is no qualitative check on that expenditure undertaken by the NTC. Industry pays for State and Territory inefficiencies in road construction.</w:t>
            </w:r>
          </w:p>
        </w:tc>
        <w:tc>
          <w:tcPr>
            <w:tcW w:w="833" w:type="pct"/>
            <w:hideMark/>
          </w:tcPr>
          <w:p w14:paraId="13A1F8D8" w14:textId="70ADBB09" w:rsidR="0092148C" w:rsidRPr="00296687" w:rsidRDefault="0092148C" w:rsidP="00A76DD5">
            <w:pPr>
              <w:spacing w:before="0" w:after="0"/>
              <w:rPr>
                <w:rFonts w:asciiTheme="minorHAnsi" w:hAnsiTheme="minorHAnsi" w:cstheme="minorHAnsi"/>
                <w:color w:val="000000"/>
                <w:lang w:eastAsia="en-AU"/>
              </w:rPr>
            </w:pPr>
            <w:r w:rsidRPr="00296687">
              <w:rPr>
                <w:rFonts w:asciiTheme="minorHAnsi" w:hAnsiTheme="minorHAnsi" w:cstheme="minorHAnsi"/>
                <w:color w:val="000000"/>
                <w:lang w:eastAsia="en-AU"/>
              </w:rPr>
              <w:t>Noted</w:t>
            </w:r>
          </w:p>
        </w:tc>
      </w:tr>
      <w:tr w:rsidR="004E2083" w:rsidRPr="000231A1" w14:paraId="5FF931AC" w14:textId="77777777" w:rsidTr="000231A1">
        <w:trPr>
          <w:trHeight w:val="855"/>
        </w:trPr>
        <w:tc>
          <w:tcPr>
            <w:tcW w:w="639" w:type="pct"/>
            <w:hideMark/>
          </w:tcPr>
          <w:p w14:paraId="34C6B324"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Australian Livestock and Rural Transporters Assoc. (ALRTA)</w:t>
            </w:r>
          </w:p>
        </w:tc>
        <w:tc>
          <w:tcPr>
            <w:tcW w:w="589" w:type="pct"/>
            <w:hideMark/>
          </w:tcPr>
          <w:p w14:paraId="45D34E89"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 xml:space="preserve">Peak bodies </w:t>
            </w:r>
          </w:p>
        </w:tc>
        <w:tc>
          <w:tcPr>
            <w:tcW w:w="480" w:type="pct"/>
            <w:hideMark/>
          </w:tcPr>
          <w:p w14:paraId="5678AB2B"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2</w:t>
            </w:r>
          </w:p>
        </w:tc>
        <w:tc>
          <w:tcPr>
            <w:tcW w:w="589" w:type="pct"/>
            <w:hideMark/>
          </w:tcPr>
          <w:p w14:paraId="6E4B82CF"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Impl. Opt. - Setting charges for 3 years</w:t>
            </w:r>
          </w:p>
        </w:tc>
        <w:tc>
          <w:tcPr>
            <w:tcW w:w="1871" w:type="pct"/>
            <w:hideMark/>
          </w:tcPr>
          <w:p w14:paraId="61E63882"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ALRTA remains strongly supportive of multi-year price pathing to give certainty to industry and governments in challenging economic circumstances</w:t>
            </w:r>
          </w:p>
        </w:tc>
        <w:tc>
          <w:tcPr>
            <w:tcW w:w="833" w:type="pct"/>
            <w:hideMark/>
          </w:tcPr>
          <w:p w14:paraId="5812B010"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Noted</w:t>
            </w:r>
          </w:p>
        </w:tc>
      </w:tr>
      <w:tr w:rsidR="004E2083" w:rsidRPr="000231A1" w14:paraId="1C3CDC08" w14:textId="77777777" w:rsidTr="000231A1">
        <w:trPr>
          <w:trHeight w:val="855"/>
        </w:trPr>
        <w:tc>
          <w:tcPr>
            <w:tcW w:w="639" w:type="pct"/>
            <w:hideMark/>
          </w:tcPr>
          <w:p w14:paraId="75F387D8"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Australian Trucking Assoc. (ATA)</w:t>
            </w:r>
          </w:p>
        </w:tc>
        <w:tc>
          <w:tcPr>
            <w:tcW w:w="589" w:type="pct"/>
            <w:hideMark/>
          </w:tcPr>
          <w:p w14:paraId="1AAF6D0C"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 xml:space="preserve">Peak bodies </w:t>
            </w:r>
          </w:p>
        </w:tc>
        <w:tc>
          <w:tcPr>
            <w:tcW w:w="480" w:type="pct"/>
            <w:hideMark/>
          </w:tcPr>
          <w:p w14:paraId="56F71756"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2</w:t>
            </w:r>
          </w:p>
        </w:tc>
        <w:tc>
          <w:tcPr>
            <w:tcW w:w="589" w:type="pct"/>
            <w:hideMark/>
          </w:tcPr>
          <w:p w14:paraId="60471E00"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Impl. Opt. - Setting charges for 3 years</w:t>
            </w:r>
          </w:p>
        </w:tc>
        <w:tc>
          <w:tcPr>
            <w:tcW w:w="1871" w:type="pct"/>
            <w:hideMark/>
          </w:tcPr>
          <w:p w14:paraId="2356C516"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18. 'The ATA supports the recommendation for a three-year pricing period commencing in 2023-24, on the basis that governments intend to move towards a forward-looking cost base or to reinstate the link between a new, more targeted cost base and heavy vehicle charges revenue.</w:t>
            </w:r>
          </w:p>
        </w:tc>
        <w:tc>
          <w:tcPr>
            <w:tcW w:w="833" w:type="pct"/>
            <w:hideMark/>
          </w:tcPr>
          <w:p w14:paraId="52D3A3B9"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Noted</w:t>
            </w:r>
          </w:p>
        </w:tc>
      </w:tr>
      <w:tr w:rsidR="004E2083" w:rsidRPr="000231A1" w14:paraId="3DF891EF" w14:textId="77777777" w:rsidTr="000231A1">
        <w:trPr>
          <w:trHeight w:val="570"/>
        </w:trPr>
        <w:tc>
          <w:tcPr>
            <w:tcW w:w="639" w:type="pct"/>
            <w:hideMark/>
          </w:tcPr>
          <w:p w14:paraId="65D1E0FE" w14:textId="2840BFF2" w:rsidR="0092148C" w:rsidRPr="00132347"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3FB1520E"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 xml:space="preserve">Peak bodies </w:t>
            </w:r>
          </w:p>
        </w:tc>
        <w:tc>
          <w:tcPr>
            <w:tcW w:w="480" w:type="pct"/>
            <w:hideMark/>
          </w:tcPr>
          <w:p w14:paraId="10A5BE80"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2</w:t>
            </w:r>
          </w:p>
        </w:tc>
        <w:tc>
          <w:tcPr>
            <w:tcW w:w="589" w:type="pct"/>
            <w:hideMark/>
          </w:tcPr>
          <w:p w14:paraId="4189FF0E"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Impl. Opt. - Setting charges for 3 years</w:t>
            </w:r>
          </w:p>
        </w:tc>
        <w:tc>
          <w:tcPr>
            <w:tcW w:w="1871" w:type="pct"/>
            <w:hideMark/>
          </w:tcPr>
          <w:p w14:paraId="660A8BA8"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No, we prefer a one-year determination.</w:t>
            </w:r>
          </w:p>
        </w:tc>
        <w:tc>
          <w:tcPr>
            <w:tcW w:w="833" w:type="pct"/>
            <w:hideMark/>
          </w:tcPr>
          <w:p w14:paraId="3D9CA87D" w14:textId="77777777" w:rsidR="0092148C" w:rsidRPr="00132347" w:rsidRDefault="0092148C" w:rsidP="00A76DD5">
            <w:pPr>
              <w:spacing w:before="0" w:after="0"/>
              <w:rPr>
                <w:rFonts w:asciiTheme="minorHAnsi" w:hAnsiTheme="minorHAnsi" w:cstheme="minorHAnsi"/>
                <w:color w:val="000000"/>
                <w:lang w:eastAsia="en-AU"/>
              </w:rPr>
            </w:pPr>
            <w:r w:rsidRPr="00132347">
              <w:rPr>
                <w:rFonts w:asciiTheme="minorHAnsi" w:hAnsiTheme="minorHAnsi" w:cstheme="minorHAnsi"/>
                <w:color w:val="000000"/>
                <w:lang w:eastAsia="en-AU"/>
              </w:rPr>
              <w:t xml:space="preserve">BAN's preference for a one year Determination only is noted. </w:t>
            </w:r>
          </w:p>
        </w:tc>
      </w:tr>
      <w:tr w:rsidR="004E2083" w:rsidRPr="000231A1" w14:paraId="419CD444" w14:textId="77777777" w:rsidTr="000231A1">
        <w:trPr>
          <w:trHeight w:val="855"/>
        </w:trPr>
        <w:tc>
          <w:tcPr>
            <w:tcW w:w="639" w:type="pct"/>
            <w:hideMark/>
          </w:tcPr>
          <w:p w14:paraId="04036574"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Cement, Concrete and Aggregates Assoc. (CCAA)</w:t>
            </w:r>
          </w:p>
        </w:tc>
        <w:tc>
          <w:tcPr>
            <w:tcW w:w="589" w:type="pct"/>
            <w:hideMark/>
          </w:tcPr>
          <w:p w14:paraId="1157CEA3"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 xml:space="preserve">Peak bodies </w:t>
            </w:r>
          </w:p>
        </w:tc>
        <w:tc>
          <w:tcPr>
            <w:tcW w:w="480" w:type="pct"/>
            <w:hideMark/>
          </w:tcPr>
          <w:p w14:paraId="709EFF3B"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2</w:t>
            </w:r>
          </w:p>
        </w:tc>
        <w:tc>
          <w:tcPr>
            <w:tcW w:w="589" w:type="pct"/>
            <w:hideMark/>
          </w:tcPr>
          <w:p w14:paraId="1EB2673B"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Impl. Opt. - Setting charges for 3 years</w:t>
            </w:r>
          </w:p>
        </w:tc>
        <w:tc>
          <w:tcPr>
            <w:tcW w:w="1871" w:type="pct"/>
            <w:hideMark/>
          </w:tcPr>
          <w:p w14:paraId="3D2F1262"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Whilst any increase in charges be kept to a minimum, we strongly prefer an outcome that offers as much long term predictability and certainty of charges as possible.</w:t>
            </w:r>
          </w:p>
        </w:tc>
        <w:tc>
          <w:tcPr>
            <w:tcW w:w="833" w:type="pct"/>
            <w:hideMark/>
          </w:tcPr>
          <w:p w14:paraId="51E10C2C"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Noted</w:t>
            </w:r>
          </w:p>
        </w:tc>
      </w:tr>
      <w:tr w:rsidR="004E2083" w:rsidRPr="000231A1" w14:paraId="0B15441B" w14:textId="77777777" w:rsidTr="000231A1">
        <w:trPr>
          <w:trHeight w:val="570"/>
        </w:trPr>
        <w:tc>
          <w:tcPr>
            <w:tcW w:w="639" w:type="pct"/>
            <w:hideMark/>
          </w:tcPr>
          <w:p w14:paraId="38881E34"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Motor Trade Assoc. (SA/NT)</w:t>
            </w:r>
          </w:p>
        </w:tc>
        <w:tc>
          <w:tcPr>
            <w:tcW w:w="589" w:type="pct"/>
            <w:hideMark/>
          </w:tcPr>
          <w:p w14:paraId="58FB8123"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Industry Group</w:t>
            </w:r>
          </w:p>
        </w:tc>
        <w:tc>
          <w:tcPr>
            <w:tcW w:w="480" w:type="pct"/>
            <w:hideMark/>
          </w:tcPr>
          <w:p w14:paraId="43960A29"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2</w:t>
            </w:r>
          </w:p>
        </w:tc>
        <w:tc>
          <w:tcPr>
            <w:tcW w:w="589" w:type="pct"/>
            <w:hideMark/>
          </w:tcPr>
          <w:p w14:paraId="6E1096B1"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Impl. Opt. - Setting charges for 3 years</w:t>
            </w:r>
          </w:p>
        </w:tc>
        <w:tc>
          <w:tcPr>
            <w:tcW w:w="1871" w:type="pct"/>
            <w:hideMark/>
          </w:tcPr>
          <w:p w14:paraId="0D71EF4D"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Further investigation is required on the cost base increases before MTA can make a judgement on behalf of members. Cost increases are minimised and done on a year-on-year bases rather than in a three year period to better respond to economic circumstances.</w:t>
            </w:r>
          </w:p>
        </w:tc>
        <w:tc>
          <w:tcPr>
            <w:tcW w:w="833" w:type="pct"/>
            <w:hideMark/>
          </w:tcPr>
          <w:p w14:paraId="66F61F22"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Noted</w:t>
            </w:r>
          </w:p>
        </w:tc>
      </w:tr>
      <w:tr w:rsidR="004E2083" w:rsidRPr="000231A1" w14:paraId="18C71520" w14:textId="77777777" w:rsidTr="000231A1">
        <w:trPr>
          <w:trHeight w:val="855"/>
        </w:trPr>
        <w:tc>
          <w:tcPr>
            <w:tcW w:w="639" w:type="pct"/>
            <w:hideMark/>
          </w:tcPr>
          <w:p w14:paraId="49E270BD"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National Road Transport Assoc. (Natroad)</w:t>
            </w:r>
          </w:p>
        </w:tc>
        <w:tc>
          <w:tcPr>
            <w:tcW w:w="589" w:type="pct"/>
            <w:hideMark/>
          </w:tcPr>
          <w:p w14:paraId="0F0BCD97"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 xml:space="preserve">Peak bodies </w:t>
            </w:r>
          </w:p>
        </w:tc>
        <w:tc>
          <w:tcPr>
            <w:tcW w:w="480" w:type="pct"/>
            <w:hideMark/>
          </w:tcPr>
          <w:p w14:paraId="52DAE5E8"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2</w:t>
            </w:r>
          </w:p>
        </w:tc>
        <w:tc>
          <w:tcPr>
            <w:tcW w:w="589" w:type="pct"/>
            <w:hideMark/>
          </w:tcPr>
          <w:p w14:paraId="32B2DD22"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Impl. Opt. - Setting charges for 3 years</w:t>
            </w:r>
          </w:p>
        </w:tc>
        <w:tc>
          <w:tcPr>
            <w:tcW w:w="1871" w:type="pct"/>
            <w:noWrap/>
            <w:hideMark/>
          </w:tcPr>
          <w:p w14:paraId="12DA31C1"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A new costing model is needed to underpin the Heavy Vehicle Road Reform (HVRR) process. In the meantime, a zero or a small, fixed price increase is a better outcome than reliance on PAYGO or alternative models to set a recovery amount.</w:t>
            </w:r>
          </w:p>
        </w:tc>
        <w:tc>
          <w:tcPr>
            <w:tcW w:w="833" w:type="pct"/>
            <w:hideMark/>
          </w:tcPr>
          <w:p w14:paraId="57B368C4"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 xml:space="preserve">Noted </w:t>
            </w:r>
          </w:p>
        </w:tc>
      </w:tr>
      <w:tr w:rsidR="004E2083" w:rsidRPr="000231A1" w14:paraId="287EAFB4" w14:textId="77777777" w:rsidTr="000231A1">
        <w:trPr>
          <w:trHeight w:val="570"/>
        </w:trPr>
        <w:tc>
          <w:tcPr>
            <w:tcW w:w="639" w:type="pct"/>
            <w:hideMark/>
          </w:tcPr>
          <w:p w14:paraId="28823203"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Australian Trucking Assoc. (ATA)</w:t>
            </w:r>
          </w:p>
        </w:tc>
        <w:tc>
          <w:tcPr>
            <w:tcW w:w="589" w:type="pct"/>
            <w:hideMark/>
          </w:tcPr>
          <w:p w14:paraId="25C55836"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 xml:space="preserve">Peak bodies </w:t>
            </w:r>
          </w:p>
        </w:tc>
        <w:tc>
          <w:tcPr>
            <w:tcW w:w="480" w:type="pct"/>
            <w:hideMark/>
          </w:tcPr>
          <w:p w14:paraId="1ED5CF29"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3</w:t>
            </w:r>
          </w:p>
        </w:tc>
        <w:tc>
          <w:tcPr>
            <w:tcW w:w="589" w:type="pct"/>
            <w:hideMark/>
          </w:tcPr>
          <w:p w14:paraId="0B790C93"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Impl. Opt. - Setting charges for 1 or 3 years</w:t>
            </w:r>
          </w:p>
        </w:tc>
        <w:tc>
          <w:tcPr>
            <w:tcW w:w="1871" w:type="pct"/>
            <w:hideMark/>
          </w:tcPr>
          <w:p w14:paraId="3DE40B1D"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19. The issues relating to the decision about whether to set prices for a single year or three years have now been fully canvassed.</w:t>
            </w:r>
          </w:p>
        </w:tc>
        <w:tc>
          <w:tcPr>
            <w:tcW w:w="833" w:type="pct"/>
            <w:hideMark/>
          </w:tcPr>
          <w:p w14:paraId="708B3BB6" w14:textId="77777777" w:rsidR="0092148C" w:rsidRPr="00220C06" w:rsidRDefault="0092148C" w:rsidP="00A76DD5">
            <w:pPr>
              <w:spacing w:before="0" w:after="0"/>
              <w:rPr>
                <w:rFonts w:asciiTheme="minorHAnsi" w:hAnsiTheme="minorHAnsi" w:cstheme="minorHAnsi"/>
                <w:color w:val="000000"/>
                <w:lang w:eastAsia="en-AU"/>
              </w:rPr>
            </w:pPr>
            <w:r w:rsidRPr="00220C06">
              <w:rPr>
                <w:rFonts w:asciiTheme="minorHAnsi" w:hAnsiTheme="minorHAnsi" w:cstheme="minorHAnsi"/>
                <w:color w:val="000000"/>
                <w:lang w:eastAsia="en-AU"/>
              </w:rPr>
              <w:t>Noted</w:t>
            </w:r>
          </w:p>
        </w:tc>
      </w:tr>
      <w:tr w:rsidR="004E2083" w:rsidRPr="000231A1" w14:paraId="13B1B1E7" w14:textId="77777777" w:rsidTr="000231A1">
        <w:trPr>
          <w:trHeight w:val="1140"/>
        </w:trPr>
        <w:tc>
          <w:tcPr>
            <w:tcW w:w="639" w:type="pct"/>
            <w:hideMark/>
          </w:tcPr>
          <w:p w14:paraId="1F27462A" w14:textId="734B97A9" w:rsidR="0092148C" w:rsidRPr="00A6035D"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40BB6E75"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718956FE"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3</w:t>
            </w:r>
          </w:p>
        </w:tc>
        <w:tc>
          <w:tcPr>
            <w:tcW w:w="589" w:type="pct"/>
            <w:hideMark/>
          </w:tcPr>
          <w:p w14:paraId="3CDB3BF8"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Setting charges for 1 or 3 years</w:t>
            </w:r>
          </w:p>
        </w:tc>
        <w:tc>
          <w:tcPr>
            <w:tcW w:w="1871" w:type="pct"/>
            <w:hideMark/>
          </w:tcPr>
          <w:p w14:paraId="41986FF0"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The current economic climate is uncertain, with slower economic growth being likely. Given that the bus industry has been severely impacted by COVID, affordability considerations suggest that charges should be set for a shorter (rather than longer) time period, to reduce risks of locking industry into future charges that may be excessive in the economic circumstances of the time. BAN believes that a 12-month period is preferrable to 3 years in the current economic climate.</w:t>
            </w:r>
          </w:p>
        </w:tc>
        <w:tc>
          <w:tcPr>
            <w:tcW w:w="833" w:type="pct"/>
            <w:hideMark/>
          </w:tcPr>
          <w:p w14:paraId="100B11AC"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79F9685B" w14:textId="77777777" w:rsidTr="000231A1">
        <w:trPr>
          <w:trHeight w:val="855"/>
        </w:trPr>
        <w:tc>
          <w:tcPr>
            <w:tcW w:w="639" w:type="pct"/>
            <w:hideMark/>
          </w:tcPr>
          <w:p w14:paraId="2302AA2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National Road Transport Assoc. (Natroad)</w:t>
            </w:r>
          </w:p>
        </w:tc>
        <w:tc>
          <w:tcPr>
            <w:tcW w:w="589" w:type="pct"/>
            <w:hideMark/>
          </w:tcPr>
          <w:p w14:paraId="3846A60F"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095D6C03"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3</w:t>
            </w:r>
          </w:p>
        </w:tc>
        <w:tc>
          <w:tcPr>
            <w:tcW w:w="589" w:type="pct"/>
            <w:hideMark/>
          </w:tcPr>
          <w:p w14:paraId="60056B68"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Setting charges for 1 or 3 years</w:t>
            </w:r>
          </w:p>
        </w:tc>
        <w:tc>
          <w:tcPr>
            <w:tcW w:w="1871" w:type="pct"/>
            <w:hideMark/>
          </w:tcPr>
          <w:p w14:paraId="4AF65716"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We agree with the National Transport Commission’s recommendation that Ministers set heavy vehicle charges for a three-year period beginning in 2023-24. This will give the industry a degree of certainty.</w:t>
            </w:r>
          </w:p>
        </w:tc>
        <w:tc>
          <w:tcPr>
            <w:tcW w:w="833" w:type="pct"/>
            <w:hideMark/>
          </w:tcPr>
          <w:p w14:paraId="6777CCD1"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Noted </w:t>
            </w:r>
          </w:p>
        </w:tc>
      </w:tr>
      <w:tr w:rsidR="004E2083" w:rsidRPr="000231A1" w14:paraId="69355C2E" w14:textId="77777777" w:rsidTr="000231A1">
        <w:trPr>
          <w:trHeight w:val="570"/>
        </w:trPr>
        <w:tc>
          <w:tcPr>
            <w:tcW w:w="639" w:type="pct"/>
            <w:hideMark/>
          </w:tcPr>
          <w:p w14:paraId="7025639E"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Australian Trucking Assoc. (ATA)</w:t>
            </w:r>
          </w:p>
        </w:tc>
        <w:tc>
          <w:tcPr>
            <w:tcW w:w="589" w:type="pct"/>
            <w:hideMark/>
          </w:tcPr>
          <w:p w14:paraId="656B8847"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6957EA93"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4</w:t>
            </w:r>
          </w:p>
        </w:tc>
        <w:tc>
          <w:tcPr>
            <w:tcW w:w="589" w:type="pct"/>
            <w:hideMark/>
          </w:tcPr>
          <w:p w14:paraId="6CCF00FC"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Charges rounding</w:t>
            </w:r>
          </w:p>
        </w:tc>
        <w:tc>
          <w:tcPr>
            <w:tcW w:w="1871" w:type="pct"/>
            <w:hideMark/>
          </w:tcPr>
          <w:p w14:paraId="5C65BFDA"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20. 'There is no reason to depart from the NTC’s current approach, provided that both the headline percentage change and the specific registration charges/RUC rates are identified.</w:t>
            </w:r>
          </w:p>
        </w:tc>
        <w:tc>
          <w:tcPr>
            <w:tcW w:w="833" w:type="pct"/>
            <w:hideMark/>
          </w:tcPr>
          <w:p w14:paraId="467DF53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01004682" w14:textId="77777777" w:rsidTr="000231A1">
        <w:trPr>
          <w:trHeight w:val="570"/>
        </w:trPr>
        <w:tc>
          <w:tcPr>
            <w:tcW w:w="639" w:type="pct"/>
            <w:hideMark/>
          </w:tcPr>
          <w:p w14:paraId="3F1E2DB3" w14:textId="6D6B28A6" w:rsidR="0092148C" w:rsidRPr="00A6035D"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03CBEF78"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41AE6DF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4</w:t>
            </w:r>
          </w:p>
        </w:tc>
        <w:tc>
          <w:tcPr>
            <w:tcW w:w="589" w:type="pct"/>
            <w:hideMark/>
          </w:tcPr>
          <w:p w14:paraId="5BBE60DE"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Charges rounding</w:t>
            </w:r>
          </w:p>
        </w:tc>
        <w:tc>
          <w:tcPr>
            <w:tcW w:w="1871" w:type="pct"/>
            <w:hideMark/>
          </w:tcPr>
          <w:p w14:paraId="31971C4F"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Given our recommendation that charges should only be for a one-year period, we see no reason to change the current approach on this matter.</w:t>
            </w:r>
          </w:p>
        </w:tc>
        <w:tc>
          <w:tcPr>
            <w:tcW w:w="833" w:type="pct"/>
            <w:hideMark/>
          </w:tcPr>
          <w:p w14:paraId="0D25DF9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25EF8C03" w14:textId="77777777" w:rsidTr="000231A1">
        <w:trPr>
          <w:trHeight w:val="855"/>
        </w:trPr>
        <w:tc>
          <w:tcPr>
            <w:tcW w:w="639" w:type="pct"/>
            <w:hideMark/>
          </w:tcPr>
          <w:p w14:paraId="029D8CBF"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National Road Transport Assoc. (Natroad)</w:t>
            </w:r>
          </w:p>
        </w:tc>
        <w:tc>
          <w:tcPr>
            <w:tcW w:w="589" w:type="pct"/>
            <w:hideMark/>
          </w:tcPr>
          <w:p w14:paraId="712D329B"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6DFB6AF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4</w:t>
            </w:r>
          </w:p>
        </w:tc>
        <w:tc>
          <w:tcPr>
            <w:tcW w:w="589" w:type="pct"/>
            <w:hideMark/>
          </w:tcPr>
          <w:p w14:paraId="6144552F"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Charges rounding</w:t>
            </w:r>
          </w:p>
        </w:tc>
        <w:tc>
          <w:tcPr>
            <w:tcW w:w="1871" w:type="pct"/>
            <w:hideMark/>
          </w:tcPr>
          <w:p w14:paraId="1584CDDC"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The 2nd alternative is preferred based on applying the percentage increase to a rounded number as it is easier for the public to understand.</w:t>
            </w:r>
          </w:p>
        </w:tc>
        <w:tc>
          <w:tcPr>
            <w:tcW w:w="833" w:type="pct"/>
            <w:hideMark/>
          </w:tcPr>
          <w:p w14:paraId="22DA25F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Noted </w:t>
            </w:r>
          </w:p>
        </w:tc>
      </w:tr>
      <w:tr w:rsidR="004E2083" w:rsidRPr="000231A1" w14:paraId="72F3B9E5" w14:textId="77777777" w:rsidTr="000231A1">
        <w:trPr>
          <w:trHeight w:val="570"/>
        </w:trPr>
        <w:tc>
          <w:tcPr>
            <w:tcW w:w="639" w:type="pct"/>
            <w:hideMark/>
          </w:tcPr>
          <w:p w14:paraId="71DB1EA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Australian Trucking Assoc. (ATA)</w:t>
            </w:r>
          </w:p>
        </w:tc>
        <w:tc>
          <w:tcPr>
            <w:tcW w:w="589" w:type="pct"/>
            <w:hideMark/>
          </w:tcPr>
          <w:p w14:paraId="7E3435D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3402BACC"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5</w:t>
            </w:r>
          </w:p>
        </w:tc>
        <w:tc>
          <w:tcPr>
            <w:tcW w:w="589" w:type="pct"/>
            <w:hideMark/>
          </w:tcPr>
          <w:p w14:paraId="67C4EC6A"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Ranking of options</w:t>
            </w:r>
          </w:p>
        </w:tc>
        <w:tc>
          <w:tcPr>
            <w:tcW w:w="1871" w:type="pct"/>
            <w:hideMark/>
          </w:tcPr>
          <w:p w14:paraId="08AE8337"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21. 'The ATA does not agree with the NTC’s ranking of options against their ability to achieve full cost recovery over time. Given the fundamental issues with the heavy vehicle cost base  it is not fruitful to attempt to compare options against this inflated figure.</w:t>
            </w:r>
          </w:p>
        </w:tc>
        <w:tc>
          <w:tcPr>
            <w:tcW w:w="833" w:type="pct"/>
            <w:hideMark/>
          </w:tcPr>
          <w:p w14:paraId="29EC8D41"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Noted </w:t>
            </w:r>
          </w:p>
        </w:tc>
      </w:tr>
      <w:tr w:rsidR="004E2083" w:rsidRPr="000231A1" w14:paraId="48826DDD" w14:textId="77777777" w:rsidTr="000231A1">
        <w:trPr>
          <w:trHeight w:val="1140"/>
        </w:trPr>
        <w:tc>
          <w:tcPr>
            <w:tcW w:w="639" w:type="pct"/>
            <w:hideMark/>
          </w:tcPr>
          <w:p w14:paraId="0B2F8ABE" w14:textId="18E68BFE" w:rsidR="0092148C" w:rsidRPr="00A6035D"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39EA5AF0"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6EAF80B4"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5</w:t>
            </w:r>
          </w:p>
        </w:tc>
        <w:tc>
          <w:tcPr>
            <w:tcW w:w="589" w:type="pct"/>
            <w:hideMark/>
          </w:tcPr>
          <w:p w14:paraId="5DE95939"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Ranking of options</w:t>
            </w:r>
          </w:p>
        </w:tc>
        <w:tc>
          <w:tcPr>
            <w:tcW w:w="1871" w:type="pct"/>
            <w:hideMark/>
          </w:tcPr>
          <w:p w14:paraId="5C10C5D5"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The criteria are agreed and ranking of options against criteria are agreed but the lack of any discussion of the weight of criteria and the scale of difference between options that are ranked on any criterion (such rankings being ordinal not cardinal) reduces the value of the assessment of options. BAN argues that equity and affordability are particularly important at this time and that these criteria strongly suggest Option 1 as the preferred option.</w:t>
            </w:r>
          </w:p>
        </w:tc>
        <w:tc>
          <w:tcPr>
            <w:tcW w:w="833" w:type="pct"/>
            <w:hideMark/>
          </w:tcPr>
          <w:p w14:paraId="0A826C53"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458D75E5" w14:textId="77777777" w:rsidTr="000231A1">
        <w:trPr>
          <w:trHeight w:val="855"/>
        </w:trPr>
        <w:tc>
          <w:tcPr>
            <w:tcW w:w="639" w:type="pct"/>
            <w:hideMark/>
          </w:tcPr>
          <w:p w14:paraId="4EBD9C96"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National Road Transport Assoc. (Natroad)</w:t>
            </w:r>
          </w:p>
        </w:tc>
        <w:tc>
          <w:tcPr>
            <w:tcW w:w="589" w:type="pct"/>
            <w:hideMark/>
          </w:tcPr>
          <w:p w14:paraId="5B2D1682"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6BC56845"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5</w:t>
            </w:r>
          </w:p>
        </w:tc>
        <w:tc>
          <w:tcPr>
            <w:tcW w:w="589" w:type="pct"/>
            <w:hideMark/>
          </w:tcPr>
          <w:p w14:paraId="0F3E0040"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Ranking of options</w:t>
            </w:r>
          </w:p>
        </w:tc>
        <w:tc>
          <w:tcPr>
            <w:tcW w:w="1871" w:type="pct"/>
            <w:hideMark/>
          </w:tcPr>
          <w:p w14:paraId="589C615A"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Registration charges that apply to larger combinations mitigate against other Government objectives, such as encouraging fewer truck trips for the same task and encouraging the uptake of larger, modern low emissions vehicles. That should be a factor in assessing the preferred options.</w:t>
            </w:r>
          </w:p>
        </w:tc>
        <w:tc>
          <w:tcPr>
            <w:tcW w:w="833" w:type="pct"/>
            <w:hideMark/>
          </w:tcPr>
          <w:p w14:paraId="024FAC31"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0A38B55A" w14:textId="77777777" w:rsidTr="000231A1">
        <w:trPr>
          <w:trHeight w:val="1425"/>
        </w:trPr>
        <w:tc>
          <w:tcPr>
            <w:tcW w:w="639" w:type="pct"/>
            <w:hideMark/>
          </w:tcPr>
          <w:p w14:paraId="5EF09E78"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Australian Livestock and Rural Transporters Assoc. (ALRTA)</w:t>
            </w:r>
          </w:p>
        </w:tc>
        <w:tc>
          <w:tcPr>
            <w:tcW w:w="589" w:type="pct"/>
            <w:hideMark/>
          </w:tcPr>
          <w:p w14:paraId="4FFC4EF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1D6F213F"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6</w:t>
            </w:r>
          </w:p>
        </w:tc>
        <w:tc>
          <w:tcPr>
            <w:tcW w:w="589" w:type="pct"/>
            <w:hideMark/>
          </w:tcPr>
          <w:p w14:paraId="4B5B1F7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Which options are preferred</w:t>
            </w:r>
          </w:p>
        </w:tc>
        <w:tc>
          <w:tcPr>
            <w:tcW w:w="1871" w:type="pct"/>
            <w:hideMark/>
          </w:tcPr>
          <w:p w14:paraId="01D3E1B2"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ALRTA considers that NTC Option 1, applied over three years, is the preferred charging option. That heavy vehicle registration and Road User Charges be increased by 2.75 per cent in 2023-24, 2024-25 and 2025-26. While we acknowledge that moderate increases will not reduce the gap between forecast revenue and expenditure, it is important that some level of increase is applied in each of the next three years to reduce the gap growth that would otherwise occur if charges were frozen. The ALRTA also stress the impact on the industry of high fuel costs, covid impacts, inflation, driver shortages etc in selecting Option  1. </w:t>
            </w:r>
          </w:p>
        </w:tc>
        <w:tc>
          <w:tcPr>
            <w:tcW w:w="833" w:type="pct"/>
            <w:hideMark/>
          </w:tcPr>
          <w:p w14:paraId="388610A1"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Noted</w:t>
            </w:r>
          </w:p>
        </w:tc>
      </w:tr>
      <w:tr w:rsidR="004E2083" w:rsidRPr="000231A1" w14:paraId="55C5FF3F" w14:textId="77777777" w:rsidTr="000231A1">
        <w:trPr>
          <w:trHeight w:val="3420"/>
        </w:trPr>
        <w:tc>
          <w:tcPr>
            <w:tcW w:w="639" w:type="pct"/>
            <w:hideMark/>
          </w:tcPr>
          <w:p w14:paraId="3C920567"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Australian Trucking Assoc. (ATA)</w:t>
            </w:r>
          </w:p>
        </w:tc>
        <w:tc>
          <w:tcPr>
            <w:tcW w:w="589" w:type="pct"/>
            <w:hideMark/>
          </w:tcPr>
          <w:p w14:paraId="48E613BD"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 xml:space="preserve">Peak bodies </w:t>
            </w:r>
          </w:p>
        </w:tc>
        <w:tc>
          <w:tcPr>
            <w:tcW w:w="480" w:type="pct"/>
            <w:hideMark/>
          </w:tcPr>
          <w:p w14:paraId="3D9012E6"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6</w:t>
            </w:r>
          </w:p>
        </w:tc>
        <w:tc>
          <w:tcPr>
            <w:tcW w:w="589" w:type="pct"/>
            <w:hideMark/>
          </w:tcPr>
          <w:p w14:paraId="5B31E835" w14:textId="77777777"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Impl. Opt. - Which options are preferred</w:t>
            </w:r>
          </w:p>
        </w:tc>
        <w:tc>
          <w:tcPr>
            <w:tcW w:w="1871" w:type="pct"/>
            <w:hideMark/>
          </w:tcPr>
          <w:p w14:paraId="24A60D40" w14:textId="0BB275DE" w:rsidR="0092148C" w:rsidRPr="00A6035D" w:rsidRDefault="0092148C" w:rsidP="00A76DD5">
            <w:pPr>
              <w:spacing w:before="0" w:after="0"/>
              <w:rPr>
                <w:rFonts w:asciiTheme="minorHAnsi" w:hAnsiTheme="minorHAnsi" w:cstheme="minorHAnsi"/>
                <w:color w:val="000000"/>
                <w:lang w:eastAsia="en-AU"/>
              </w:rPr>
            </w:pPr>
            <w:r w:rsidRPr="00A6035D">
              <w:rPr>
                <w:rFonts w:asciiTheme="minorHAnsi" w:hAnsiTheme="minorHAnsi" w:cstheme="minorHAnsi"/>
                <w:color w:val="000000"/>
                <w:lang w:eastAsia="en-AU"/>
              </w:rPr>
              <w:t>22. 'The ATA does not support the options considered in the paper.</w:t>
            </w:r>
            <w:r w:rsidRPr="00A6035D">
              <w:rPr>
                <w:rFonts w:asciiTheme="minorHAnsi" w:hAnsiTheme="minorHAnsi" w:cstheme="minorHAnsi"/>
                <w:color w:val="000000"/>
                <w:lang w:eastAsia="en-AU"/>
              </w:rPr>
              <w:br/>
              <w:t>23. In an ATA survey, 54 per cent of trucking businesses reported they are not able to impose fuel surcharges to pass these costs on to their customers.                                                                                   24. The previous government’s six month fuel tax cut has added to the difficulties facing trucking businesses. The effective fuel tax reduction for trucking businesses was 4.3 cents per litre rather than the headline tax cut, 22.1 cents per litre.                                                                                                                                                                                                                                                                                           a.</w:t>
            </w:r>
            <w:r w:rsidR="00D8531D" w:rsidRPr="00A6035D">
              <w:rPr>
                <w:rFonts w:asciiTheme="minorHAnsi" w:hAnsiTheme="minorHAnsi" w:cstheme="minorHAnsi"/>
                <w:color w:val="000000"/>
                <w:lang w:eastAsia="en-AU"/>
              </w:rPr>
              <w:t xml:space="preserve"> </w:t>
            </w:r>
            <w:r w:rsidRPr="00A6035D">
              <w:rPr>
                <w:rFonts w:asciiTheme="minorHAnsi" w:hAnsiTheme="minorHAnsi" w:cstheme="minorHAnsi"/>
                <w:color w:val="000000"/>
                <w:lang w:eastAsia="en-AU"/>
              </w:rPr>
              <w:t>customers expected to see a reduction in freight rates based on the 22.1 cents per litre headline figure, not the actual figure of 4.3 cents per litre</w:t>
            </w:r>
            <w:r w:rsidRPr="00A6035D">
              <w:rPr>
                <w:rFonts w:asciiTheme="minorHAnsi" w:hAnsiTheme="minorHAnsi" w:cstheme="minorHAnsi"/>
                <w:color w:val="000000"/>
                <w:lang w:eastAsia="en-AU"/>
              </w:rPr>
              <w:br/>
              <w:t>b. fuel levy and rate review formulas in industry contracts returned the wrong results</w:t>
            </w:r>
            <w:r w:rsidRPr="00A6035D">
              <w:rPr>
                <w:rFonts w:asciiTheme="minorHAnsi" w:hAnsiTheme="minorHAnsi" w:cstheme="minorHAnsi"/>
                <w:color w:val="000000"/>
                <w:lang w:eastAsia="en-AU"/>
              </w:rPr>
              <w:br/>
              <w:t>c. some trucking businesses faced considerable cash flow difficulties. They paid less tax at the pump but did not receive on-road fuel tax credits on their activity statements to offset their other tax liabilities.                                                                                                                                                                                                                                                                                                                       25. From 1 April to 18 August 2022, some 2,000 heavy on-road transport operators had to negotiate payment arrangements with the ATO. These businesses should not be further penalised while they get out from under the previous government’s policy decision.</w:t>
            </w:r>
          </w:p>
        </w:tc>
        <w:tc>
          <w:tcPr>
            <w:tcW w:w="833" w:type="pct"/>
            <w:hideMark/>
          </w:tcPr>
          <w:p w14:paraId="11571B7B" w14:textId="5C53B4C9" w:rsidR="0092148C" w:rsidRPr="00C3272E" w:rsidRDefault="0092148C" w:rsidP="00A76DD5">
            <w:pPr>
              <w:spacing w:before="0" w:after="0"/>
              <w:rPr>
                <w:rFonts w:asciiTheme="minorHAnsi" w:hAnsiTheme="minorHAnsi" w:cstheme="minorHAnsi"/>
                <w:lang w:eastAsia="en-AU"/>
              </w:rPr>
            </w:pPr>
            <w:r w:rsidRPr="00A6035D">
              <w:rPr>
                <w:rFonts w:asciiTheme="minorHAnsi" w:hAnsiTheme="minorHAnsi" w:cstheme="minorHAnsi"/>
                <w:lang w:eastAsia="en-AU"/>
              </w:rPr>
              <w:t xml:space="preserve">The NTC notes the issues raised by the ATA. </w:t>
            </w:r>
            <w:r w:rsidR="006F5F03">
              <w:rPr>
                <w:rFonts w:asciiTheme="minorHAnsi" w:hAnsiTheme="minorHAnsi" w:cstheme="minorHAnsi"/>
                <w:lang w:eastAsia="en-AU"/>
              </w:rPr>
              <w:t>The NTC does not anticipate a</w:t>
            </w:r>
            <w:r w:rsidR="007548BA">
              <w:rPr>
                <w:rFonts w:asciiTheme="minorHAnsi" w:hAnsiTheme="minorHAnsi" w:cstheme="minorHAnsi"/>
                <w:lang w:eastAsia="en-AU"/>
              </w:rPr>
              <w:t>ny impacts</w:t>
            </w:r>
            <w:r w:rsidR="006F5F03">
              <w:rPr>
                <w:rFonts w:asciiTheme="minorHAnsi" w:hAnsiTheme="minorHAnsi" w:cstheme="minorHAnsi"/>
                <w:lang w:eastAsia="en-AU"/>
              </w:rPr>
              <w:t xml:space="preserve"> from a temporary reduction in the fuel excise tax</w:t>
            </w:r>
            <w:r w:rsidR="00C3272E">
              <w:rPr>
                <w:rFonts w:asciiTheme="minorHAnsi" w:hAnsiTheme="minorHAnsi" w:cstheme="minorHAnsi"/>
                <w:lang w:eastAsia="en-AU"/>
              </w:rPr>
              <w:t xml:space="preserve"> to occur</w:t>
            </w:r>
            <w:r w:rsidR="006F5F03">
              <w:rPr>
                <w:rFonts w:asciiTheme="minorHAnsi" w:hAnsiTheme="minorHAnsi" w:cstheme="minorHAnsi"/>
                <w:lang w:eastAsia="en-AU"/>
              </w:rPr>
              <w:t xml:space="preserve"> </w:t>
            </w:r>
            <w:r w:rsidR="00C3272E">
              <w:rPr>
                <w:rFonts w:asciiTheme="minorHAnsi" w:hAnsiTheme="minorHAnsi" w:cstheme="minorHAnsi"/>
                <w:lang w:eastAsia="en-AU"/>
              </w:rPr>
              <w:t>in</w:t>
            </w:r>
            <w:r w:rsidR="007548BA">
              <w:rPr>
                <w:rFonts w:asciiTheme="minorHAnsi" w:hAnsiTheme="minorHAnsi" w:cstheme="minorHAnsi"/>
                <w:lang w:eastAsia="en-AU"/>
              </w:rPr>
              <w:t xml:space="preserve"> the</w:t>
            </w:r>
            <w:r w:rsidRPr="00444B03">
              <w:rPr>
                <w:rFonts w:asciiTheme="minorHAnsi" w:hAnsiTheme="minorHAnsi" w:cstheme="minorHAnsi"/>
                <w:lang w:eastAsia="en-AU"/>
              </w:rPr>
              <w:t xml:space="preserve"> period of 2023-24 to 2025-26</w:t>
            </w:r>
            <w:r w:rsidR="000C73DC">
              <w:rPr>
                <w:rFonts w:asciiTheme="minorHAnsi" w:hAnsiTheme="minorHAnsi" w:cstheme="minorHAnsi"/>
                <w:lang w:eastAsia="en-AU"/>
              </w:rPr>
              <w:t>.</w:t>
            </w:r>
          </w:p>
        </w:tc>
      </w:tr>
      <w:tr w:rsidR="004E2083" w:rsidRPr="000231A1" w14:paraId="3D9B9A50" w14:textId="77777777" w:rsidTr="000231A1">
        <w:trPr>
          <w:trHeight w:val="3143"/>
        </w:trPr>
        <w:tc>
          <w:tcPr>
            <w:tcW w:w="639" w:type="pct"/>
            <w:hideMark/>
          </w:tcPr>
          <w:p w14:paraId="27DDEB41"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Australian Trucking Assoc. (ATA)</w:t>
            </w:r>
          </w:p>
        </w:tc>
        <w:tc>
          <w:tcPr>
            <w:tcW w:w="589" w:type="pct"/>
            <w:hideMark/>
          </w:tcPr>
          <w:p w14:paraId="0796EE84"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 xml:space="preserve">Peak bodies </w:t>
            </w:r>
          </w:p>
        </w:tc>
        <w:tc>
          <w:tcPr>
            <w:tcW w:w="480" w:type="pct"/>
            <w:hideMark/>
          </w:tcPr>
          <w:p w14:paraId="4448DF85"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6</w:t>
            </w:r>
          </w:p>
        </w:tc>
        <w:tc>
          <w:tcPr>
            <w:tcW w:w="589" w:type="pct"/>
            <w:hideMark/>
          </w:tcPr>
          <w:p w14:paraId="3AB3D98B"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Impl. Opt. - Which options are preferred</w:t>
            </w:r>
          </w:p>
        </w:tc>
        <w:tc>
          <w:tcPr>
            <w:tcW w:w="1871" w:type="pct"/>
            <w:hideMark/>
          </w:tcPr>
          <w:p w14:paraId="20AD7660"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Question 6 continued                                                                                                                                                                                                                                                                                                     27. 'ATA members consider that they are not getting value out of the heavy vehicle charges they currently pay. In particular—</w:t>
            </w:r>
            <w:r w:rsidRPr="00E57B17">
              <w:rPr>
                <w:rFonts w:asciiTheme="minorHAnsi" w:hAnsiTheme="minorHAnsi" w:cstheme="minorHAnsi"/>
                <w:color w:val="000000"/>
                <w:lang w:eastAsia="en-AU"/>
              </w:rPr>
              <w:br/>
              <w:t>a.  trucking businesses are not told what their charges are buying and how their needs and priorities will be met. No business or householder would agree to pay a large non-itemised invoice for unspecified services</w:t>
            </w:r>
            <w:r w:rsidRPr="00E57B17">
              <w:rPr>
                <w:rFonts w:asciiTheme="minorHAnsi" w:hAnsiTheme="minorHAnsi" w:cstheme="minorHAnsi"/>
                <w:color w:val="000000"/>
                <w:lang w:eastAsia="en-AU"/>
              </w:rPr>
              <w:br/>
              <w:t>b. in addition to paying heavy vehicle charges, businesses operating high productivity vehicles in the eastern states and South Australia must deal with a complicated and inconsistent system for approving road access. The NHVR issues some 46,000 permits per year.</w:t>
            </w:r>
            <w:r w:rsidRPr="00E57B17">
              <w:rPr>
                <w:rFonts w:asciiTheme="minorHAnsi" w:hAnsiTheme="minorHAnsi" w:cstheme="minorHAnsi"/>
                <w:color w:val="000000"/>
                <w:lang w:eastAsia="en-AU"/>
              </w:rPr>
              <w:br/>
              <w:t>c. more generally, businesses face the cost and difficulty of complying with the Heavy Vehicle National Law, which is 681 pages long and highly prescriptive.14 The HVNL has been under review since January 2019. The review process has not produced a single chamber-ready legislative amendment.</w:t>
            </w:r>
            <w:r w:rsidRPr="00E57B17">
              <w:rPr>
                <w:rFonts w:asciiTheme="minorHAnsi" w:hAnsiTheme="minorHAnsi" w:cstheme="minorHAnsi"/>
                <w:color w:val="000000"/>
                <w:lang w:eastAsia="en-AU"/>
              </w:rPr>
              <w:br/>
              <w:t>28. Given the high cost and compliance burden faced by trucking businesses, and the failure of governments to address those burdens, the ATA recommends there should be no charge increase in 2023-24. In 2024-25 and 2025-26, charges should increase 2.75 per cent per year</w:t>
            </w:r>
          </w:p>
        </w:tc>
        <w:tc>
          <w:tcPr>
            <w:tcW w:w="833" w:type="pct"/>
            <w:hideMark/>
          </w:tcPr>
          <w:p w14:paraId="39A3024A" w14:textId="67137CB4" w:rsidR="0092148C" w:rsidRPr="00E57B17" w:rsidRDefault="00E57B17" w:rsidP="00A76DD5">
            <w:pPr>
              <w:spacing w:before="0" w:after="0"/>
              <w:rPr>
                <w:rFonts w:asciiTheme="minorHAnsi" w:hAnsiTheme="minorHAnsi" w:cstheme="minorHAnsi"/>
                <w:lang w:eastAsia="en-AU"/>
              </w:rPr>
            </w:pPr>
            <w:r>
              <w:rPr>
                <w:rFonts w:asciiTheme="minorHAnsi" w:hAnsiTheme="minorHAnsi" w:cstheme="minorHAnsi"/>
                <w:lang w:eastAsia="en-AU"/>
              </w:rPr>
              <w:t xml:space="preserve">Noted.  </w:t>
            </w:r>
            <w:r w:rsidR="001B687A">
              <w:rPr>
                <w:rFonts w:asciiTheme="minorHAnsi" w:hAnsiTheme="minorHAnsi" w:cstheme="minorHAnsi"/>
                <w:lang w:eastAsia="en-AU"/>
              </w:rPr>
              <w:t xml:space="preserve">A </w:t>
            </w:r>
            <w:r w:rsidR="0092148C" w:rsidRPr="001B687A">
              <w:rPr>
                <w:rFonts w:asciiTheme="minorHAnsi" w:hAnsiTheme="minorHAnsi" w:cstheme="minorHAnsi"/>
                <w:lang w:eastAsia="en-AU"/>
              </w:rPr>
              <w:t xml:space="preserve">breakdown of expenditure by category </w:t>
            </w:r>
            <w:r w:rsidR="00731E6D">
              <w:rPr>
                <w:rFonts w:asciiTheme="minorHAnsi" w:hAnsiTheme="minorHAnsi" w:cstheme="minorHAnsi"/>
                <w:lang w:eastAsia="en-AU"/>
              </w:rPr>
              <w:t>can be found in</w:t>
            </w:r>
            <w:r w:rsidR="0092148C" w:rsidRPr="00E57B17">
              <w:rPr>
                <w:rFonts w:asciiTheme="minorHAnsi" w:hAnsiTheme="minorHAnsi" w:cstheme="minorHAnsi"/>
                <w:lang w:eastAsia="en-AU"/>
              </w:rPr>
              <w:t xml:space="preserve"> NTC annual reports</w:t>
            </w:r>
            <w:r w:rsidR="00FC17D8">
              <w:rPr>
                <w:rFonts w:asciiTheme="minorHAnsi" w:hAnsiTheme="minorHAnsi" w:cstheme="minorHAnsi"/>
                <w:lang w:eastAsia="en-AU"/>
              </w:rPr>
              <w:t xml:space="preserve">. This </w:t>
            </w:r>
            <w:r w:rsidR="0092148C" w:rsidRPr="00E57B17">
              <w:rPr>
                <w:rFonts w:asciiTheme="minorHAnsi" w:hAnsiTheme="minorHAnsi" w:cstheme="minorHAnsi"/>
                <w:lang w:eastAsia="en-AU"/>
              </w:rPr>
              <w:t xml:space="preserve">provides some information on </w:t>
            </w:r>
            <w:r w:rsidR="003F493B">
              <w:rPr>
                <w:rFonts w:asciiTheme="minorHAnsi" w:hAnsiTheme="minorHAnsi" w:cstheme="minorHAnsi"/>
                <w:lang w:eastAsia="en-AU"/>
              </w:rPr>
              <w:t xml:space="preserve">the types of expenditure recovered through heavy vehicle charges.  </w:t>
            </w:r>
          </w:p>
        </w:tc>
      </w:tr>
      <w:tr w:rsidR="004E2083" w:rsidRPr="000231A1" w14:paraId="387E374B" w14:textId="77777777" w:rsidTr="00CF6F2B">
        <w:trPr>
          <w:trHeight w:val="1408"/>
        </w:trPr>
        <w:tc>
          <w:tcPr>
            <w:tcW w:w="639" w:type="pct"/>
            <w:hideMark/>
          </w:tcPr>
          <w:p w14:paraId="157BC934" w14:textId="26D69DFE" w:rsidR="0092148C" w:rsidRPr="00E57B17"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48E29713"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 xml:space="preserve">Peak bodies </w:t>
            </w:r>
          </w:p>
        </w:tc>
        <w:tc>
          <w:tcPr>
            <w:tcW w:w="480" w:type="pct"/>
            <w:hideMark/>
          </w:tcPr>
          <w:p w14:paraId="37CA7CCF"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6</w:t>
            </w:r>
          </w:p>
        </w:tc>
        <w:tc>
          <w:tcPr>
            <w:tcW w:w="589" w:type="pct"/>
            <w:hideMark/>
          </w:tcPr>
          <w:p w14:paraId="6E22E0EC" w14:textId="77777777"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Impl. Opt. - Which options are preferred</w:t>
            </w:r>
          </w:p>
        </w:tc>
        <w:tc>
          <w:tcPr>
            <w:tcW w:w="1871" w:type="pct"/>
            <w:hideMark/>
          </w:tcPr>
          <w:p w14:paraId="4B1BA1C3" w14:textId="5B4089A5"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BA</w:t>
            </w:r>
            <w:r w:rsidR="008B2EAA">
              <w:rPr>
                <w:rFonts w:asciiTheme="minorHAnsi" w:hAnsiTheme="minorHAnsi" w:cstheme="minorHAnsi"/>
                <w:color w:val="000000"/>
                <w:lang w:eastAsia="en-AU"/>
              </w:rPr>
              <w:t>N</w:t>
            </w:r>
            <w:r w:rsidRPr="00E57B17">
              <w:rPr>
                <w:rFonts w:asciiTheme="minorHAnsi" w:hAnsiTheme="minorHAnsi" w:cstheme="minorHAnsi"/>
                <w:color w:val="000000"/>
                <w:lang w:eastAsia="en-AU"/>
              </w:rPr>
              <w:t xml:space="preserve">’s preferred option is Option 1,                                                                                                                                                                                                                                                                                       - which we believe gives some recognition to the current state of economic uncertainty and industry capacity to pay (affordability) in terms of the rate of proposed charge increase (which are the smallest of the 3 options).                                                                                                                                                                                                                                                                                                                             - some (implicit) recognition of the equity/external benefits from bus use, in terms of the proposed increases in registration charges for 2 axle buses                                                                                           - some (implicit) recognition that full cost recovery may not be an appropriate result to pursue in a context of major macro-economic stimulus, which implies an unrealistic and inappropriate growth in an apparent HV cost base.                                                                                                                                                                                                                                                                                                    Our most preferred option is for a 2% p.a. rate of charge increase but we see 2.75% as a reasonable compromise solution for the RUC in the current economic environment, provided the registration charge increase for bus is around 2% p.a. </w:t>
            </w:r>
          </w:p>
        </w:tc>
        <w:tc>
          <w:tcPr>
            <w:tcW w:w="833" w:type="pct"/>
            <w:hideMark/>
          </w:tcPr>
          <w:p w14:paraId="7E19A28F" w14:textId="335BFE06" w:rsidR="0092148C" w:rsidRPr="00E57B17" w:rsidRDefault="0092148C" w:rsidP="00A76DD5">
            <w:pPr>
              <w:spacing w:before="0" w:after="0"/>
              <w:rPr>
                <w:rFonts w:asciiTheme="minorHAnsi" w:hAnsiTheme="minorHAnsi" w:cstheme="minorHAnsi"/>
                <w:color w:val="000000"/>
                <w:lang w:eastAsia="en-AU"/>
              </w:rPr>
            </w:pPr>
            <w:r w:rsidRPr="00E57B17">
              <w:rPr>
                <w:rFonts w:asciiTheme="minorHAnsi" w:hAnsiTheme="minorHAnsi" w:cstheme="minorHAnsi"/>
                <w:color w:val="000000"/>
                <w:lang w:eastAsia="en-AU"/>
              </w:rPr>
              <w:t>BA</w:t>
            </w:r>
            <w:r w:rsidR="008B2EAA">
              <w:rPr>
                <w:rFonts w:asciiTheme="minorHAnsi" w:hAnsiTheme="minorHAnsi" w:cstheme="minorHAnsi"/>
                <w:color w:val="000000"/>
                <w:lang w:eastAsia="en-AU"/>
              </w:rPr>
              <w:t>N</w:t>
            </w:r>
            <w:r w:rsidRPr="00E57B17">
              <w:rPr>
                <w:rFonts w:asciiTheme="minorHAnsi" w:hAnsiTheme="minorHAnsi" w:cstheme="minorHAnsi"/>
                <w:color w:val="000000"/>
                <w:lang w:eastAsia="en-AU"/>
              </w:rPr>
              <w:t xml:space="preserve">'s preference for Option 1 at 2.75% per annum is noted but with all bus registration charges increasing at 2.0% per annum. However, the BAN submission has incorrectly interpreted why there is a lower percentage increase for some bus types in the Option 1 charges shown in the consultation paper. The lower increases are not a result of equity/external benefit considerations. Instead, the different overall percentage increases across different heavy vehicle types arise because the registration charges listed in the Option 1 table are total registration charges including both the roads and regulatory components, and where the regulatory component was held constant.  The increase of 2.75% per annum under Option 1 applies only to the roads component of the registration charge. The changes in the roads component of registration charges was also modified to accommodate a gradual change in registration charges across different vehicle types to avoid cross-subsidies between vehicle classes </w:t>
            </w:r>
          </w:p>
        </w:tc>
      </w:tr>
      <w:tr w:rsidR="004E2083" w:rsidRPr="000231A1" w14:paraId="4472BD38" w14:textId="77777777" w:rsidTr="000231A1">
        <w:trPr>
          <w:trHeight w:val="855"/>
        </w:trPr>
        <w:tc>
          <w:tcPr>
            <w:tcW w:w="639" w:type="pct"/>
            <w:hideMark/>
          </w:tcPr>
          <w:p w14:paraId="5D1C0F16"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Cement, Concrete and Aggregates Assoc. (CCAA)</w:t>
            </w:r>
          </w:p>
        </w:tc>
        <w:tc>
          <w:tcPr>
            <w:tcW w:w="589" w:type="pct"/>
            <w:hideMark/>
          </w:tcPr>
          <w:p w14:paraId="187BACD7"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5BA27285"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6</w:t>
            </w:r>
          </w:p>
        </w:tc>
        <w:tc>
          <w:tcPr>
            <w:tcW w:w="589" w:type="pct"/>
            <w:hideMark/>
          </w:tcPr>
          <w:p w14:paraId="02103DEC"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Impl. Opt. - Which options are preferred</w:t>
            </w:r>
          </w:p>
        </w:tc>
        <w:tc>
          <w:tcPr>
            <w:tcW w:w="1871" w:type="pct"/>
            <w:hideMark/>
          </w:tcPr>
          <w:p w14:paraId="442445E6"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Whilst obviously the industry prefers smaller charging increases, it is more disposed to options which provide greater predictability and certainty over the longer term.</w:t>
            </w:r>
          </w:p>
        </w:tc>
        <w:tc>
          <w:tcPr>
            <w:tcW w:w="833" w:type="pct"/>
            <w:hideMark/>
          </w:tcPr>
          <w:p w14:paraId="3E9A671E"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Noted</w:t>
            </w:r>
          </w:p>
        </w:tc>
      </w:tr>
      <w:tr w:rsidR="004E2083" w:rsidRPr="000231A1" w14:paraId="06126C99" w14:textId="77777777" w:rsidTr="000231A1">
        <w:trPr>
          <w:trHeight w:val="1140"/>
        </w:trPr>
        <w:tc>
          <w:tcPr>
            <w:tcW w:w="639" w:type="pct"/>
            <w:hideMark/>
          </w:tcPr>
          <w:p w14:paraId="00D1E696"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Motor Trade Assoc. (SA/NT)</w:t>
            </w:r>
          </w:p>
        </w:tc>
        <w:tc>
          <w:tcPr>
            <w:tcW w:w="589" w:type="pct"/>
            <w:hideMark/>
          </w:tcPr>
          <w:p w14:paraId="0F87C8C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Industry Group</w:t>
            </w:r>
          </w:p>
        </w:tc>
        <w:tc>
          <w:tcPr>
            <w:tcW w:w="480" w:type="pct"/>
            <w:hideMark/>
          </w:tcPr>
          <w:p w14:paraId="672E74A6"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6</w:t>
            </w:r>
          </w:p>
        </w:tc>
        <w:tc>
          <w:tcPr>
            <w:tcW w:w="589" w:type="pct"/>
            <w:hideMark/>
          </w:tcPr>
          <w:p w14:paraId="7C3E0165"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Impl. Opt. - Which options are preferred</w:t>
            </w:r>
          </w:p>
        </w:tc>
        <w:tc>
          <w:tcPr>
            <w:tcW w:w="1871" w:type="pct"/>
            <w:hideMark/>
          </w:tcPr>
          <w:p w14:paraId="71C8763A"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The MTA’s position is that there are minimal increases to the cost of businesses in the current economic climate. The NTC should undertake an analysis of the cost base increase over the past 5 years to understand the cause of the large increase so Ministers can appropriately apportion cost recovery to the causes. If there is no other options to consider, option 1 (2.75% p.a.) as it represents the lowest impact to heavy vehicle industry.</w:t>
            </w:r>
          </w:p>
        </w:tc>
        <w:tc>
          <w:tcPr>
            <w:tcW w:w="833" w:type="pct"/>
            <w:hideMark/>
          </w:tcPr>
          <w:p w14:paraId="326C76B3"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Noted</w:t>
            </w:r>
          </w:p>
        </w:tc>
      </w:tr>
      <w:tr w:rsidR="004E2083" w:rsidRPr="000231A1" w14:paraId="1A932EB0" w14:textId="77777777" w:rsidTr="000231A1">
        <w:trPr>
          <w:trHeight w:val="855"/>
        </w:trPr>
        <w:tc>
          <w:tcPr>
            <w:tcW w:w="639" w:type="pct"/>
            <w:hideMark/>
          </w:tcPr>
          <w:p w14:paraId="0BDCEC92"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National Road Transport Assoc. (Natroad)</w:t>
            </w:r>
          </w:p>
        </w:tc>
        <w:tc>
          <w:tcPr>
            <w:tcW w:w="589" w:type="pct"/>
            <w:hideMark/>
          </w:tcPr>
          <w:p w14:paraId="356C5F5A"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1992D005"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6</w:t>
            </w:r>
          </w:p>
        </w:tc>
        <w:tc>
          <w:tcPr>
            <w:tcW w:w="589" w:type="pct"/>
            <w:hideMark/>
          </w:tcPr>
          <w:p w14:paraId="30431EDE"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Impl. Opt. - Which options are preferred</w:t>
            </w:r>
          </w:p>
        </w:tc>
        <w:tc>
          <w:tcPr>
            <w:tcW w:w="1871" w:type="pct"/>
            <w:hideMark/>
          </w:tcPr>
          <w:p w14:paraId="1A03F654"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NatRoad remains wedded to its position that if governments are going to increase the road user charge (RUC) and registration charges, a small percentage increase should be adopted at the most. Given industry conditions, particularly record fuel prices, a zero increase at least in the first year is recommended. We prefer a zero increase in the first year and then the balance of Option 1.</w:t>
            </w:r>
          </w:p>
        </w:tc>
        <w:tc>
          <w:tcPr>
            <w:tcW w:w="833" w:type="pct"/>
            <w:hideMark/>
          </w:tcPr>
          <w:p w14:paraId="250DB987"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Noted </w:t>
            </w:r>
          </w:p>
        </w:tc>
      </w:tr>
      <w:tr w:rsidR="004E2083" w:rsidRPr="000231A1" w14:paraId="2F97C7DC" w14:textId="77777777" w:rsidTr="000231A1">
        <w:trPr>
          <w:trHeight w:val="855"/>
        </w:trPr>
        <w:tc>
          <w:tcPr>
            <w:tcW w:w="639" w:type="pct"/>
            <w:hideMark/>
          </w:tcPr>
          <w:p w14:paraId="1B72C3B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Australian Livestock and Rural Transporters Assoc. (ALRTA)</w:t>
            </w:r>
          </w:p>
        </w:tc>
        <w:tc>
          <w:tcPr>
            <w:tcW w:w="589" w:type="pct"/>
            <w:hideMark/>
          </w:tcPr>
          <w:p w14:paraId="1CCB4303"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3CD6836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7</w:t>
            </w:r>
          </w:p>
        </w:tc>
        <w:tc>
          <w:tcPr>
            <w:tcW w:w="589" w:type="pct"/>
            <w:hideMark/>
          </w:tcPr>
          <w:p w14:paraId="0C7C2B44"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Detrm. Opt. - Other information for ministers to consider</w:t>
            </w:r>
          </w:p>
        </w:tc>
        <w:tc>
          <w:tcPr>
            <w:tcW w:w="1871" w:type="pct"/>
            <w:hideMark/>
          </w:tcPr>
          <w:p w14:paraId="12947432"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That Australian Governments increase the proportion of road expenditure allocated to rural and regional roads and be required to consult with peak road freight associations about the nature and quality of regional roadworks funded by heavy vehicle charges.</w:t>
            </w:r>
          </w:p>
        </w:tc>
        <w:tc>
          <w:tcPr>
            <w:tcW w:w="833" w:type="pct"/>
            <w:hideMark/>
          </w:tcPr>
          <w:p w14:paraId="643A673F"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Noted</w:t>
            </w:r>
          </w:p>
        </w:tc>
      </w:tr>
      <w:tr w:rsidR="004E2083" w:rsidRPr="000231A1" w14:paraId="34E8CA6D" w14:textId="77777777" w:rsidTr="000231A1">
        <w:trPr>
          <w:trHeight w:val="1710"/>
        </w:trPr>
        <w:tc>
          <w:tcPr>
            <w:tcW w:w="639" w:type="pct"/>
            <w:hideMark/>
          </w:tcPr>
          <w:p w14:paraId="6CDB12F1"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Australian Trucking Assoc. (ATA)</w:t>
            </w:r>
          </w:p>
        </w:tc>
        <w:tc>
          <w:tcPr>
            <w:tcW w:w="589" w:type="pct"/>
            <w:hideMark/>
          </w:tcPr>
          <w:p w14:paraId="2B72A774"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688EE960"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7</w:t>
            </w:r>
          </w:p>
        </w:tc>
        <w:tc>
          <w:tcPr>
            <w:tcW w:w="589" w:type="pct"/>
            <w:hideMark/>
          </w:tcPr>
          <w:p w14:paraId="4D9BF8B7"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Detrm. Opt. - Other information for ministers to consider</w:t>
            </w:r>
          </w:p>
        </w:tc>
        <w:tc>
          <w:tcPr>
            <w:tcW w:w="1871" w:type="pct"/>
            <w:hideMark/>
          </w:tcPr>
          <w:p w14:paraId="73A17372"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29. 'The ATA has previously shown that industry customers do not accept charge increases greater than CPI, if they accept them at all.                                                                                                                            30. Accordingly, the NTC should, before providing its final recommendations to ministers, consider—</w:t>
            </w:r>
            <w:r w:rsidRPr="002C4F97">
              <w:rPr>
                <w:rFonts w:asciiTheme="minorHAnsi" w:hAnsiTheme="minorHAnsi" w:cstheme="minorHAnsi"/>
                <w:color w:val="000000"/>
                <w:lang w:eastAsia="en-AU"/>
              </w:rPr>
              <w:br/>
              <w:t>a. the inflation forecasts in the RBA’s November 2022 Statement of Monetary Policy</w:t>
            </w:r>
            <w:r w:rsidRPr="002C4F97">
              <w:rPr>
                <w:rFonts w:asciiTheme="minorHAnsi" w:hAnsiTheme="minorHAnsi" w:cstheme="minorHAnsi"/>
                <w:color w:val="000000"/>
                <w:lang w:eastAsia="en-AU"/>
              </w:rPr>
              <w:br/>
              <w:t>b. the inflation forecasts in the 2022-23 October Budget, to be released on 25 October 2022.</w:t>
            </w:r>
            <w:r w:rsidRPr="002C4F97">
              <w:rPr>
                <w:rFonts w:asciiTheme="minorHAnsi" w:hAnsiTheme="minorHAnsi" w:cstheme="minorHAnsi"/>
                <w:color w:val="000000"/>
                <w:lang w:eastAsia="en-AU"/>
              </w:rPr>
              <w:br/>
              <w:t xml:space="preserve">31.  No charge increases above the consumer price inflation forecasts should be considered, even if ministers do not consider it appropriate to adopt the ATA recommendation </w:t>
            </w:r>
          </w:p>
        </w:tc>
        <w:tc>
          <w:tcPr>
            <w:tcW w:w="833" w:type="pct"/>
            <w:hideMark/>
          </w:tcPr>
          <w:p w14:paraId="13D6DCFE"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The NTC notes the inflation forecast sources raised by the ATA.</w:t>
            </w:r>
          </w:p>
        </w:tc>
      </w:tr>
      <w:tr w:rsidR="004E2083" w:rsidRPr="000231A1" w14:paraId="010F5C49" w14:textId="77777777" w:rsidTr="000231A1">
        <w:trPr>
          <w:trHeight w:val="855"/>
        </w:trPr>
        <w:tc>
          <w:tcPr>
            <w:tcW w:w="639" w:type="pct"/>
            <w:hideMark/>
          </w:tcPr>
          <w:p w14:paraId="61AA7C61" w14:textId="21F2FE15" w:rsidR="0092148C" w:rsidRPr="002C4F97"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64728BB3"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1966328A"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7</w:t>
            </w:r>
          </w:p>
        </w:tc>
        <w:tc>
          <w:tcPr>
            <w:tcW w:w="589" w:type="pct"/>
            <w:hideMark/>
          </w:tcPr>
          <w:p w14:paraId="00AD89D1"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Detrm. Opt. - Other information for ministers to consider</w:t>
            </w:r>
          </w:p>
        </w:tc>
        <w:tc>
          <w:tcPr>
            <w:tcW w:w="1871" w:type="pct"/>
            <w:hideMark/>
          </w:tcPr>
          <w:p w14:paraId="1C8CB473"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Comments that are relevant here are included in response to questions 5 and 6. We also reinforce the need for a review of cost attribution parameters, as part of an urgent review of the whole PAYGO approach to charge setting, at a time road spending levels are growing so quickly, and fuel sources are expected to change so substantially.</w:t>
            </w:r>
          </w:p>
        </w:tc>
        <w:tc>
          <w:tcPr>
            <w:tcW w:w="833" w:type="pct"/>
            <w:hideMark/>
          </w:tcPr>
          <w:p w14:paraId="5CF368FB"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Noted</w:t>
            </w:r>
          </w:p>
        </w:tc>
      </w:tr>
      <w:tr w:rsidR="004E2083" w:rsidRPr="000231A1" w14:paraId="15A5B09F" w14:textId="77777777" w:rsidTr="000231A1">
        <w:trPr>
          <w:trHeight w:val="2280"/>
        </w:trPr>
        <w:tc>
          <w:tcPr>
            <w:tcW w:w="639" w:type="pct"/>
            <w:hideMark/>
          </w:tcPr>
          <w:p w14:paraId="45541850"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Cement, Concrete and Aggregates Assoc. (CCAA)</w:t>
            </w:r>
          </w:p>
        </w:tc>
        <w:tc>
          <w:tcPr>
            <w:tcW w:w="589" w:type="pct"/>
            <w:hideMark/>
          </w:tcPr>
          <w:p w14:paraId="46358CF4"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 xml:space="preserve">Peak bodies </w:t>
            </w:r>
          </w:p>
        </w:tc>
        <w:tc>
          <w:tcPr>
            <w:tcW w:w="480" w:type="pct"/>
            <w:hideMark/>
          </w:tcPr>
          <w:p w14:paraId="0F6D546B"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7</w:t>
            </w:r>
          </w:p>
        </w:tc>
        <w:tc>
          <w:tcPr>
            <w:tcW w:w="589" w:type="pct"/>
            <w:hideMark/>
          </w:tcPr>
          <w:p w14:paraId="704C564C"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Detrm. Opt. - Other information for ministers to consider</w:t>
            </w:r>
          </w:p>
        </w:tc>
        <w:tc>
          <w:tcPr>
            <w:tcW w:w="1871" w:type="pct"/>
            <w:hideMark/>
          </w:tcPr>
          <w:p w14:paraId="3B97A21D"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The volatility and unpredictably of current business operating and input costs are causing significant difficulties for the construction materials sector, and as such our preference for heavy vehicle charging is that it be clear and predictable.</w:t>
            </w:r>
            <w:r w:rsidRPr="005535BF">
              <w:rPr>
                <w:rFonts w:asciiTheme="minorHAnsi" w:hAnsiTheme="minorHAnsi" w:cstheme="minorHAnsi"/>
                <w:color w:val="000000"/>
                <w:lang w:eastAsia="en-AU"/>
              </w:rPr>
              <w:br/>
              <w:t>You would be aware that increased charges will be passed onto customers and while it is never easy to pass on additional costs such as these, particularly in these inflationary times, it is exceptionally difficult, if not impossible to recover additional charges that are changed frequently over a drawn out time frame.                                                                                                                                             More specifically, heavy construction materials are an essential component in the infrastructure delivery chain, increased road user charges will impact directly on the industries’ ability to deliver affordable construction materials for infrastructure projects.                                                                                                                                                                                                                                          Road charging reforms for the heavy vehicle sector must be accompanied with or followed by similar reforms for light vehicles.</w:t>
            </w:r>
          </w:p>
        </w:tc>
        <w:tc>
          <w:tcPr>
            <w:tcW w:w="833" w:type="pct"/>
            <w:hideMark/>
          </w:tcPr>
          <w:p w14:paraId="4332F9CB"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Noted</w:t>
            </w:r>
          </w:p>
        </w:tc>
      </w:tr>
      <w:tr w:rsidR="004E2083" w:rsidRPr="000231A1" w14:paraId="16F7EEF1" w14:textId="77777777" w:rsidTr="000231A1">
        <w:trPr>
          <w:trHeight w:val="855"/>
        </w:trPr>
        <w:tc>
          <w:tcPr>
            <w:tcW w:w="639" w:type="pct"/>
            <w:hideMark/>
          </w:tcPr>
          <w:p w14:paraId="10758F5E"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Motor Trade Assoc. (SA/NT)</w:t>
            </w:r>
          </w:p>
        </w:tc>
        <w:tc>
          <w:tcPr>
            <w:tcW w:w="589" w:type="pct"/>
            <w:hideMark/>
          </w:tcPr>
          <w:p w14:paraId="0909C731"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Industry Group</w:t>
            </w:r>
          </w:p>
        </w:tc>
        <w:tc>
          <w:tcPr>
            <w:tcW w:w="480" w:type="pct"/>
            <w:hideMark/>
          </w:tcPr>
          <w:p w14:paraId="572B6590"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7</w:t>
            </w:r>
          </w:p>
        </w:tc>
        <w:tc>
          <w:tcPr>
            <w:tcW w:w="589" w:type="pct"/>
            <w:hideMark/>
          </w:tcPr>
          <w:p w14:paraId="36E41915"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Detrm. Opt. - Other information for ministers to consider</w:t>
            </w:r>
          </w:p>
        </w:tc>
        <w:tc>
          <w:tcPr>
            <w:tcW w:w="1871" w:type="pct"/>
            <w:hideMark/>
          </w:tcPr>
          <w:p w14:paraId="67A31750"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The NTC should consider the current costs of business operators are facing in the heavy vehicle sector. - impact of covid restrictions, increase in fuel costs, driver and equipment shortages and costs of government regulation.</w:t>
            </w:r>
          </w:p>
        </w:tc>
        <w:tc>
          <w:tcPr>
            <w:tcW w:w="833" w:type="pct"/>
            <w:hideMark/>
          </w:tcPr>
          <w:p w14:paraId="76C24C5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Noted</w:t>
            </w:r>
          </w:p>
        </w:tc>
      </w:tr>
      <w:tr w:rsidR="004E2083" w:rsidRPr="000231A1" w14:paraId="5DC3AD7D" w14:textId="77777777" w:rsidTr="000231A1">
        <w:trPr>
          <w:trHeight w:val="855"/>
        </w:trPr>
        <w:tc>
          <w:tcPr>
            <w:tcW w:w="639" w:type="pct"/>
            <w:hideMark/>
          </w:tcPr>
          <w:p w14:paraId="409649B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National Road Transport Assoc. (Natroad)</w:t>
            </w:r>
          </w:p>
        </w:tc>
        <w:tc>
          <w:tcPr>
            <w:tcW w:w="589" w:type="pct"/>
            <w:hideMark/>
          </w:tcPr>
          <w:p w14:paraId="6097248F"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Peak bodies </w:t>
            </w:r>
          </w:p>
        </w:tc>
        <w:tc>
          <w:tcPr>
            <w:tcW w:w="480" w:type="pct"/>
            <w:hideMark/>
          </w:tcPr>
          <w:p w14:paraId="21626070"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7</w:t>
            </w:r>
          </w:p>
        </w:tc>
        <w:tc>
          <w:tcPr>
            <w:tcW w:w="589" w:type="pct"/>
            <w:hideMark/>
          </w:tcPr>
          <w:p w14:paraId="561A5E09"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Detrm. Opt. - Other information for ministers to consider</w:t>
            </w:r>
          </w:p>
        </w:tc>
        <w:tc>
          <w:tcPr>
            <w:tcW w:w="1871" w:type="pct"/>
            <w:hideMark/>
          </w:tcPr>
          <w:p w14:paraId="4C9665B2"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Intense cost pressures on the industry including the  negative impact of the six month loss of fuel tax credits and high diesel prices because of Russia's war with Ukraine.</w:t>
            </w:r>
          </w:p>
        </w:tc>
        <w:tc>
          <w:tcPr>
            <w:tcW w:w="833" w:type="pct"/>
            <w:hideMark/>
          </w:tcPr>
          <w:p w14:paraId="40C8431E" w14:textId="77777777" w:rsidR="0092148C" w:rsidRPr="002C4F97" w:rsidRDefault="0092148C" w:rsidP="00A76DD5">
            <w:pPr>
              <w:spacing w:before="0" w:after="0"/>
              <w:rPr>
                <w:rFonts w:asciiTheme="minorHAnsi" w:hAnsiTheme="minorHAnsi" w:cstheme="minorHAnsi"/>
                <w:color w:val="000000"/>
                <w:lang w:eastAsia="en-AU"/>
              </w:rPr>
            </w:pPr>
            <w:r w:rsidRPr="002C4F97">
              <w:rPr>
                <w:rFonts w:asciiTheme="minorHAnsi" w:hAnsiTheme="minorHAnsi" w:cstheme="minorHAnsi"/>
                <w:color w:val="000000"/>
                <w:lang w:eastAsia="en-AU"/>
              </w:rPr>
              <w:t xml:space="preserve">Noted </w:t>
            </w:r>
          </w:p>
        </w:tc>
      </w:tr>
      <w:tr w:rsidR="004E2083" w:rsidRPr="000231A1" w14:paraId="45E2A737" w14:textId="77777777" w:rsidTr="000231A1">
        <w:trPr>
          <w:trHeight w:val="1425"/>
        </w:trPr>
        <w:tc>
          <w:tcPr>
            <w:tcW w:w="639" w:type="pct"/>
            <w:hideMark/>
          </w:tcPr>
          <w:p w14:paraId="36E37B36" w14:textId="77777777" w:rsidR="0092148C" w:rsidRPr="00122E3B" w:rsidRDefault="0092148C" w:rsidP="00A76DD5">
            <w:pPr>
              <w:spacing w:before="0" w:after="0"/>
              <w:rPr>
                <w:rFonts w:asciiTheme="minorHAnsi" w:hAnsiTheme="minorHAnsi" w:cstheme="minorHAnsi"/>
                <w:color w:val="000000"/>
                <w:lang w:eastAsia="en-AU"/>
              </w:rPr>
            </w:pPr>
            <w:r w:rsidRPr="00122E3B">
              <w:rPr>
                <w:rFonts w:asciiTheme="minorHAnsi" w:hAnsiTheme="minorHAnsi" w:cstheme="minorHAnsi"/>
                <w:color w:val="000000"/>
                <w:lang w:eastAsia="en-AU"/>
              </w:rPr>
              <w:t>Australian Trucking Assoc. (ATA)</w:t>
            </w:r>
          </w:p>
        </w:tc>
        <w:tc>
          <w:tcPr>
            <w:tcW w:w="589" w:type="pct"/>
            <w:noWrap/>
            <w:hideMark/>
          </w:tcPr>
          <w:p w14:paraId="4FFAA88C" w14:textId="77777777" w:rsidR="0092148C" w:rsidRPr="00122E3B" w:rsidRDefault="0092148C" w:rsidP="00A76DD5">
            <w:pPr>
              <w:spacing w:before="0" w:after="0"/>
              <w:rPr>
                <w:rFonts w:asciiTheme="minorHAnsi" w:hAnsiTheme="minorHAnsi" w:cstheme="minorHAnsi"/>
                <w:color w:val="000000"/>
                <w:lang w:eastAsia="en-AU"/>
              </w:rPr>
            </w:pPr>
            <w:r w:rsidRPr="00122E3B">
              <w:rPr>
                <w:rFonts w:asciiTheme="minorHAnsi" w:hAnsiTheme="minorHAnsi" w:cstheme="minorHAnsi"/>
                <w:color w:val="000000"/>
                <w:lang w:eastAsia="en-AU"/>
              </w:rPr>
              <w:t xml:space="preserve">Peak bodies </w:t>
            </w:r>
          </w:p>
        </w:tc>
        <w:tc>
          <w:tcPr>
            <w:tcW w:w="480" w:type="pct"/>
            <w:noWrap/>
            <w:hideMark/>
          </w:tcPr>
          <w:p w14:paraId="5E20EC35" w14:textId="77777777" w:rsidR="0092148C" w:rsidRPr="00122E3B" w:rsidRDefault="0092148C" w:rsidP="00A76DD5">
            <w:pPr>
              <w:spacing w:before="0" w:after="0"/>
              <w:rPr>
                <w:rFonts w:asciiTheme="minorHAnsi" w:hAnsiTheme="minorHAnsi" w:cstheme="minorHAnsi"/>
                <w:color w:val="000000"/>
                <w:lang w:eastAsia="en-AU"/>
              </w:rPr>
            </w:pPr>
          </w:p>
        </w:tc>
        <w:tc>
          <w:tcPr>
            <w:tcW w:w="589" w:type="pct"/>
            <w:hideMark/>
          </w:tcPr>
          <w:p w14:paraId="301295EE" w14:textId="77777777" w:rsidR="0092148C" w:rsidRPr="00122E3B" w:rsidRDefault="0092148C" w:rsidP="00A76DD5">
            <w:pPr>
              <w:spacing w:before="0" w:after="0"/>
              <w:rPr>
                <w:rFonts w:asciiTheme="minorHAnsi" w:hAnsiTheme="minorHAnsi" w:cstheme="minorHAnsi"/>
                <w:color w:val="000000"/>
                <w:lang w:eastAsia="en-AU"/>
              </w:rPr>
            </w:pPr>
            <w:r w:rsidRPr="00122E3B">
              <w:rPr>
                <w:rFonts w:asciiTheme="minorHAnsi" w:hAnsiTheme="minorHAnsi" w:cstheme="minorHAnsi"/>
                <w:color w:val="000000"/>
                <w:lang w:eastAsia="en-AU"/>
              </w:rPr>
              <w:t>Determination options (general)</w:t>
            </w:r>
          </w:p>
        </w:tc>
        <w:tc>
          <w:tcPr>
            <w:tcW w:w="1871" w:type="pct"/>
            <w:noWrap/>
            <w:hideMark/>
          </w:tcPr>
          <w:p w14:paraId="540E9BC8" w14:textId="77777777" w:rsidR="0092148C" w:rsidRPr="00122E3B" w:rsidRDefault="0092148C" w:rsidP="00A76DD5">
            <w:pPr>
              <w:spacing w:before="0" w:after="0"/>
              <w:rPr>
                <w:rFonts w:asciiTheme="minorHAnsi" w:hAnsiTheme="minorHAnsi" w:cstheme="minorHAnsi"/>
                <w:color w:val="000000"/>
                <w:lang w:eastAsia="en-AU"/>
              </w:rPr>
            </w:pPr>
            <w:r w:rsidRPr="00122E3B">
              <w:rPr>
                <w:rFonts w:asciiTheme="minorHAnsi" w:hAnsiTheme="minorHAnsi" w:cstheme="minorHAnsi"/>
                <w:color w:val="000000"/>
                <w:lang w:eastAsia="en-AU"/>
              </w:rPr>
              <w:t>3. The problem with all three options is that the PAYGO model is dead. For a time, it was an adequate proxy for broader road pricing reforms. But governments have failed to deliver those reforms.</w:t>
            </w:r>
          </w:p>
        </w:tc>
        <w:tc>
          <w:tcPr>
            <w:tcW w:w="833" w:type="pct"/>
            <w:hideMark/>
          </w:tcPr>
          <w:p w14:paraId="4F7B3D11" w14:textId="5255FC9F" w:rsidR="0092148C" w:rsidRPr="00BA0E4B" w:rsidRDefault="008B2EAA" w:rsidP="008B2EAA">
            <w:pPr>
              <w:spacing w:before="0" w:after="0"/>
              <w:rPr>
                <w:rFonts w:asciiTheme="minorHAnsi" w:hAnsiTheme="minorHAnsi" w:cstheme="minorHAnsi"/>
                <w:color w:val="000000"/>
                <w:lang w:eastAsia="en-AU"/>
              </w:rPr>
            </w:pPr>
            <w:r w:rsidRPr="008B2EAA">
              <w:rPr>
                <w:rFonts w:asciiTheme="minorHAnsi" w:hAnsiTheme="minorHAnsi" w:cstheme="minorHAnsi"/>
                <w:color w:val="000000"/>
                <w:lang w:val="en-AU" w:eastAsia="en-AU"/>
              </w:rPr>
              <w:t xml:space="preserve">The National Transport Commission (NTC) has been administering the PAYGO system since 1995. During that time </w:t>
            </w:r>
            <w:r>
              <w:rPr>
                <w:rFonts w:asciiTheme="minorHAnsi" w:hAnsiTheme="minorHAnsi" w:cstheme="minorHAnsi"/>
                <w:color w:val="000000"/>
                <w:lang w:val="en-AU" w:eastAsia="en-AU"/>
              </w:rPr>
              <w:t xml:space="preserve">the PAYGO system has refined and NTC has </w:t>
            </w:r>
            <w:r w:rsidRPr="008B2EAA">
              <w:rPr>
                <w:rFonts w:asciiTheme="minorHAnsi" w:hAnsiTheme="minorHAnsi" w:cstheme="minorHAnsi"/>
                <w:color w:val="000000"/>
                <w:lang w:val="en-AU" w:eastAsia="en-AU"/>
              </w:rPr>
              <w:t>completed several heavy vehicle charges determinations</w:t>
            </w:r>
            <w:r w:rsidR="00F0705E">
              <w:rPr>
                <w:rFonts w:asciiTheme="minorHAnsi" w:hAnsiTheme="minorHAnsi" w:cstheme="minorHAnsi"/>
                <w:color w:val="000000"/>
                <w:lang w:val="en-AU" w:eastAsia="en-AU"/>
              </w:rPr>
              <w:t xml:space="preserve"> where all aspects of the model were reviwed</w:t>
            </w:r>
            <w:r>
              <w:rPr>
                <w:rFonts w:asciiTheme="minorHAnsi" w:hAnsiTheme="minorHAnsi" w:cstheme="minorHAnsi"/>
                <w:color w:val="000000"/>
                <w:lang w:val="en-AU" w:eastAsia="en-AU"/>
              </w:rPr>
              <w:t xml:space="preserve">. </w:t>
            </w:r>
            <w:r w:rsidRPr="008B2EAA">
              <w:rPr>
                <w:rFonts w:asciiTheme="minorHAnsi" w:hAnsiTheme="minorHAnsi" w:cstheme="minorHAnsi"/>
                <w:color w:val="000000"/>
                <w:lang w:val="en-AU" w:eastAsia="en-AU"/>
              </w:rPr>
              <w:t xml:space="preserve"> </w:t>
            </w:r>
            <w:r w:rsidR="00AB2B26">
              <w:rPr>
                <w:rFonts w:asciiTheme="minorHAnsi" w:hAnsiTheme="minorHAnsi" w:cstheme="minorHAnsi"/>
                <w:color w:val="000000"/>
                <w:lang w:eastAsia="en-AU"/>
              </w:rPr>
              <w:t xml:space="preserve">Unless ministers decide to implement an alternative model, </w:t>
            </w:r>
            <w:r w:rsidR="00BA0E4B">
              <w:rPr>
                <w:rFonts w:asciiTheme="minorHAnsi" w:hAnsiTheme="minorHAnsi" w:cstheme="minorHAnsi"/>
                <w:color w:val="000000"/>
                <w:lang w:eastAsia="en-AU"/>
              </w:rPr>
              <w:t>t</w:t>
            </w:r>
            <w:r w:rsidR="0092148C" w:rsidRPr="00122E3B">
              <w:rPr>
                <w:rFonts w:asciiTheme="minorHAnsi" w:hAnsiTheme="minorHAnsi" w:cstheme="minorHAnsi"/>
                <w:color w:val="000000"/>
                <w:lang w:eastAsia="en-AU"/>
              </w:rPr>
              <w:t>he PAYGO model</w:t>
            </w:r>
            <w:r w:rsidR="00BA0E4B">
              <w:rPr>
                <w:rFonts w:asciiTheme="minorHAnsi" w:hAnsiTheme="minorHAnsi" w:cstheme="minorHAnsi"/>
                <w:color w:val="000000"/>
                <w:lang w:eastAsia="en-AU"/>
              </w:rPr>
              <w:t xml:space="preserve"> will remain in use.  </w:t>
            </w:r>
            <w:r w:rsidR="00AB2B26">
              <w:rPr>
                <w:rFonts w:asciiTheme="minorHAnsi" w:hAnsiTheme="minorHAnsi" w:cstheme="minorHAnsi"/>
                <w:color w:val="000000"/>
                <w:lang w:eastAsia="en-AU"/>
              </w:rPr>
              <w:t xml:space="preserve"> </w:t>
            </w:r>
            <w:r w:rsidR="0092148C" w:rsidRPr="00BA0E4B">
              <w:rPr>
                <w:rFonts w:asciiTheme="minorHAnsi" w:hAnsiTheme="minorHAnsi" w:cstheme="minorHAnsi"/>
                <w:color w:val="000000"/>
                <w:lang w:eastAsia="en-AU"/>
              </w:rPr>
              <w:t>An alternate model is being investigated as part of the Heavy Vehicle Road Reform project, led by the Commonwealth Department of Infrastructure, Transport, Regional Development</w:t>
            </w:r>
            <w:r w:rsidR="00F0705E">
              <w:rPr>
                <w:rFonts w:asciiTheme="minorHAnsi" w:hAnsiTheme="minorHAnsi" w:cstheme="minorHAnsi"/>
                <w:color w:val="000000"/>
                <w:lang w:eastAsia="en-AU"/>
              </w:rPr>
              <w:t xml:space="preserve">, </w:t>
            </w:r>
            <w:r w:rsidR="0092148C" w:rsidRPr="00BA0E4B">
              <w:rPr>
                <w:rFonts w:asciiTheme="minorHAnsi" w:hAnsiTheme="minorHAnsi" w:cstheme="minorHAnsi"/>
                <w:color w:val="000000"/>
                <w:lang w:eastAsia="en-AU"/>
              </w:rPr>
              <w:t>Communications</w:t>
            </w:r>
            <w:r w:rsidR="00F0705E">
              <w:rPr>
                <w:rFonts w:asciiTheme="minorHAnsi" w:hAnsiTheme="minorHAnsi" w:cstheme="minorHAnsi"/>
                <w:color w:val="000000"/>
                <w:lang w:eastAsia="en-AU"/>
              </w:rPr>
              <w:t xml:space="preserve"> and the Arts</w:t>
            </w:r>
            <w:r w:rsidR="0092148C" w:rsidRPr="00BA0E4B">
              <w:rPr>
                <w:rFonts w:asciiTheme="minorHAnsi" w:hAnsiTheme="minorHAnsi" w:cstheme="minorHAnsi"/>
                <w:color w:val="000000"/>
                <w:lang w:eastAsia="en-AU"/>
              </w:rPr>
              <w:t xml:space="preserve">. However, this </w:t>
            </w:r>
            <w:r w:rsidR="00BA0E4B">
              <w:rPr>
                <w:rFonts w:asciiTheme="minorHAnsi" w:hAnsiTheme="minorHAnsi" w:cstheme="minorHAnsi"/>
                <w:color w:val="000000"/>
                <w:lang w:eastAsia="en-AU"/>
              </w:rPr>
              <w:t>may</w:t>
            </w:r>
            <w:r w:rsidR="0092148C" w:rsidRPr="00BA0E4B">
              <w:rPr>
                <w:rFonts w:asciiTheme="minorHAnsi" w:hAnsiTheme="minorHAnsi" w:cstheme="minorHAnsi"/>
                <w:color w:val="000000"/>
                <w:lang w:eastAsia="en-AU"/>
              </w:rPr>
              <w:t xml:space="preserve"> </w:t>
            </w:r>
            <w:r w:rsidR="00BA0E4B">
              <w:rPr>
                <w:rFonts w:asciiTheme="minorHAnsi" w:hAnsiTheme="minorHAnsi" w:cstheme="minorHAnsi"/>
                <w:color w:val="000000"/>
                <w:lang w:eastAsia="en-AU"/>
              </w:rPr>
              <w:t xml:space="preserve">not </w:t>
            </w:r>
            <w:r w:rsidR="0092148C" w:rsidRPr="00BA0E4B">
              <w:rPr>
                <w:rFonts w:asciiTheme="minorHAnsi" w:hAnsiTheme="minorHAnsi" w:cstheme="minorHAnsi"/>
                <w:color w:val="000000"/>
                <w:lang w:eastAsia="en-AU"/>
              </w:rPr>
              <w:t>become operational during the period covered by the consultation report.</w:t>
            </w:r>
          </w:p>
        </w:tc>
      </w:tr>
      <w:tr w:rsidR="004E2083" w:rsidRPr="000231A1" w14:paraId="36FF068D" w14:textId="77777777" w:rsidTr="000231A1">
        <w:trPr>
          <w:trHeight w:val="1425"/>
        </w:trPr>
        <w:tc>
          <w:tcPr>
            <w:tcW w:w="639" w:type="pct"/>
            <w:hideMark/>
          </w:tcPr>
          <w:p w14:paraId="2335D45B" w14:textId="544C118D" w:rsidR="0092148C" w:rsidRPr="005535BF" w:rsidRDefault="004D413C" w:rsidP="00A76DD5">
            <w:pPr>
              <w:spacing w:before="0" w:after="0"/>
              <w:rPr>
                <w:rFonts w:asciiTheme="minorHAnsi" w:hAnsiTheme="minorHAnsi" w:cstheme="minorHAnsi"/>
                <w:color w:val="000000"/>
                <w:lang w:eastAsia="en-AU"/>
              </w:rPr>
            </w:pPr>
            <w:r>
              <w:t>Bus Australia Network (BAN)</w:t>
            </w:r>
          </w:p>
        </w:tc>
        <w:tc>
          <w:tcPr>
            <w:tcW w:w="589" w:type="pct"/>
            <w:hideMark/>
          </w:tcPr>
          <w:p w14:paraId="632065B2"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 xml:space="preserve">Peak bodies </w:t>
            </w:r>
          </w:p>
        </w:tc>
        <w:tc>
          <w:tcPr>
            <w:tcW w:w="480" w:type="pct"/>
            <w:hideMark/>
          </w:tcPr>
          <w:p w14:paraId="6CEA582B" w14:textId="77777777" w:rsidR="0092148C" w:rsidRPr="005535BF" w:rsidRDefault="0092148C" w:rsidP="00A76DD5">
            <w:pPr>
              <w:spacing w:before="0" w:after="0"/>
              <w:rPr>
                <w:rFonts w:asciiTheme="minorHAnsi" w:hAnsiTheme="minorHAnsi" w:cstheme="minorHAnsi"/>
                <w:color w:val="000000"/>
                <w:lang w:eastAsia="en-AU"/>
              </w:rPr>
            </w:pPr>
          </w:p>
        </w:tc>
        <w:tc>
          <w:tcPr>
            <w:tcW w:w="589" w:type="pct"/>
            <w:hideMark/>
          </w:tcPr>
          <w:p w14:paraId="75456925"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Impl. Opt. - Impact on industry</w:t>
            </w:r>
          </w:p>
        </w:tc>
        <w:tc>
          <w:tcPr>
            <w:tcW w:w="1871" w:type="pct"/>
            <w:hideMark/>
          </w:tcPr>
          <w:p w14:paraId="02DFB6A4" w14:textId="77777777"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The NTC spreadsheet that accompanied NTC (2021) shows how much worse the impact of COVID-19 has been on operators of 3 axle buses than on operators of most other vehicles. On grounds of affordability then, BIC concludes that registration charges for 3 axle buses under Option 1 should be around 2% p.a.</w:t>
            </w:r>
          </w:p>
        </w:tc>
        <w:tc>
          <w:tcPr>
            <w:tcW w:w="833" w:type="pct"/>
            <w:hideMark/>
          </w:tcPr>
          <w:p w14:paraId="5B6E7157" w14:textId="227AA194" w:rsidR="0092148C" w:rsidRPr="005535BF" w:rsidRDefault="0092148C" w:rsidP="00A76DD5">
            <w:pPr>
              <w:spacing w:before="0" w:after="0"/>
              <w:rPr>
                <w:rFonts w:asciiTheme="minorHAnsi" w:hAnsiTheme="minorHAnsi" w:cstheme="minorHAnsi"/>
                <w:color w:val="000000"/>
                <w:lang w:eastAsia="en-AU"/>
              </w:rPr>
            </w:pPr>
            <w:r w:rsidRPr="005535BF">
              <w:rPr>
                <w:rFonts w:asciiTheme="minorHAnsi" w:hAnsiTheme="minorHAnsi" w:cstheme="minorHAnsi"/>
                <w:color w:val="000000"/>
                <w:lang w:eastAsia="en-AU"/>
              </w:rPr>
              <w:t xml:space="preserve">Noted. The PAYGO model smoothes out annual changes using a </w:t>
            </w:r>
            <w:r w:rsidR="005535BF" w:rsidRPr="005535BF">
              <w:rPr>
                <w:rFonts w:asciiTheme="minorHAnsi" w:hAnsiTheme="minorHAnsi" w:cstheme="minorHAnsi"/>
                <w:color w:val="000000"/>
                <w:lang w:eastAsia="en-AU"/>
              </w:rPr>
              <w:t>7-year</w:t>
            </w:r>
            <w:r w:rsidRPr="005535BF">
              <w:rPr>
                <w:rFonts w:asciiTheme="minorHAnsi" w:hAnsiTheme="minorHAnsi" w:cstheme="minorHAnsi"/>
                <w:color w:val="000000"/>
                <w:lang w:eastAsia="en-AU"/>
              </w:rPr>
              <w:t xml:space="preserve"> Exponential Moving Average (EMA.   The average VKT per vehicle used for this bus type in PAYGO would have been reduced compared to a Business As Usual scenario as the 2019-20 Survey of Motor Vehicle Use (</w:t>
            </w:r>
            <w:r w:rsidR="00DE5320" w:rsidRPr="005535BF">
              <w:rPr>
                <w:rFonts w:asciiTheme="minorHAnsi" w:hAnsiTheme="minorHAnsi" w:cstheme="minorHAnsi"/>
                <w:color w:val="000000"/>
                <w:lang w:eastAsia="en-AU"/>
              </w:rPr>
              <w:t>SMVU) captured</w:t>
            </w:r>
            <w:r w:rsidRPr="005535BF">
              <w:rPr>
                <w:rFonts w:asciiTheme="minorHAnsi" w:hAnsiTheme="minorHAnsi" w:cstheme="minorHAnsi"/>
                <w:color w:val="000000"/>
                <w:lang w:eastAsia="en-AU"/>
              </w:rPr>
              <w:t xml:space="preserve">  four months of Covid lockdowns and this year had a 50% weighting in the EMA analysis. </w:t>
            </w:r>
          </w:p>
        </w:tc>
      </w:tr>
    </w:tbl>
    <w:p w14:paraId="7E335882" w14:textId="108CF040" w:rsidR="0092148C" w:rsidRPr="0092148C" w:rsidRDefault="0092148C" w:rsidP="00044E07">
      <w:pPr>
        <w:pStyle w:val="BodyCopy"/>
        <w:sectPr w:rsidR="0092148C" w:rsidRPr="0092148C" w:rsidSect="00F56C3B">
          <w:pgSz w:w="16840" w:h="11907" w:orient="landscape" w:code="9"/>
          <w:pgMar w:top="1440" w:right="851" w:bottom="1440" w:left="1985" w:header="283" w:footer="1134" w:gutter="0"/>
          <w:pgNumType w:start="1"/>
          <w:cols w:space="720"/>
          <w:docGrid w:linePitch="272"/>
        </w:sectPr>
      </w:pPr>
    </w:p>
    <w:bookmarkEnd w:id="158"/>
    <w:p w14:paraId="3AA43929" w14:textId="43AA9366" w:rsidR="004D1A16" w:rsidRDefault="004D1A16" w:rsidP="00E35DEB">
      <w:pPr>
        <w:spacing w:before="0" w:after="0"/>
      </w:pPr>
    </w:p>
    <w:p w14:paraId="4931AA24" w14:textId="77777777" w:rsidR="00E35DEB" w:rsidRDefault="00E35DEB" w:rsidP="00E35DEB">
      <w:pPr>
        <w:spacing w:before="0" w:after="0"/>
      </w:pPr>
    </w:p>
    <w:p w14:paraId="11591587" w14:textId="77777777" w:rsidR="00E35DEB" w:rsidRDefault="00E35DEB" w:rsidP="00E35DEB">
      <w:pPr>
        <w:spacing w:before="0" w:after="0"/>
      </w:pPr>
    </w:p>
    <w:p w14:paraId="219B857B" w14:textId="77777777" w:rsidR="003D7D8F" w:rsidRDefault="003D7D8F" w:rsidP="00E35DEB">
      <w:pPr>
        <w:spacing w:before="0" w:after="0"/>
      </w:pPr>
    </w:p>
    <w:p w14:paraId="665C8451" w14:textId="77777777" w:rsidR="003D7D8F" w:rsidRDefault="003D7D8F" w:rsidP="00E35DEB">
      <w:pPr>
        <w:spacing w:before="0" w:after="0"/>
      </w:pPr>
    </w:p>
    <w:p w14:paraId="064CFFF4" w14:textId="77777777" w:rsidR="003D7D8F" w:rsidRDefault="003D7D8F" w:rsidP="00E35DEB">
      <w:pPr>
        <w:spacing w:before="0" w:after="0"/>
      </w:pPr>
    </w:p>
    <w:p w14:paraId="5303F607" w14:textId="77777777" w:rsidR="003D7D8F" w:rsidRDefault="003D7D8F" w:rsidP="00E35DEB">
      <w:pPr>
        <w:spacing w:before="0" w:after="0"/>
      </w:pPr>
    </w:p>
    <w:p w14:paraId="5A0241D5" w14:textId="77777777" w:rsidR="003D7D8F" w:rsidRDefault="003D7D8F" w:rsidP="00E35DEB">
      <w:pPr>
        <w:spacing w:before="0" w:after="0"/>
      </w:pPr>
    </w:p>
    <w:p w14:paraId="23A479AC" w14:textId="77777777" w:rsidR="003D7D8F" w:rsidRDefault="003D7D8F" w:rsidP="00E35DEB">
      <w:pPr>
        <w:spacing w:before="0" w:after="0"/>
      </w:pPr>
    </w:p>
    <w:p w14:paraId="77DC8789" w14:textId="77777777" w:rsidR="003D7D8F" w:rsidRDefault="003D7D8F" w:rsidP="00E35DEB">
      <w:pPr>
        <w:spacing w:before="0" w:after="0"/>
      </w:pPr>
    </w:p>
    <w:p w14:paraId="62487A9E" w14:textId="77777777" w:rsidR="003D7D8F" w:rsidRDefault="003D7D8F" w:rsidP="00E35DEB">
      <w:pPr>
        <w:spacing w:before="0" w:after="0"/>
      </w:pPr>
    </w:p>
    <w:p w14:paraId="1194F650" w14:textId="77777777" w:rsidR="003D7D8F" w:rsidRDefault="003D7D8F" w:rsidP="00E35DEB">
      <w:pPr>
        <w:spacing w:before="0" w:after="0"/>
      </w:pPr>
    </w:p>
    <w:p w14:paraId="1ABA18A8" w14:textId="77777777" w:rsidR="003D7D8F" w:rsidRDefault="003D7D8F" w:rsidP="00E35DEB">
      <w:pPr>
        <w:spacing w:before="0" w:after="0"/>
      </w:pPr>
    </w:p>
    <w:p w14:paraId="7050A458" w14:textId="77777777" w:rsidR="003D7D8F" w:rsidRDefault="003D7D8F" w:rsidP="00E35DEB">
      <w:pPr>
        <w:spacing w:before="0" w:after="0"/>
      </w:pPr>
    </w:p>
    <w:p w14:paraId="60BDB077" w14:textId="77777777" w:rsidR="003D7D8F" w:rsidRDefault="003D7D8F" w:rsidP="00E35DEB">
      <w:pPr>
        <w:spacing w:before="0" w:after="0"/>
      </w:pPr>
    </w:p>
    <w:p w14:paraId="68279FAB" w14:textId="77777777" w:rsidR="003D7D8F" w:rsidRDefault="003D7D8F" w:rsidP="00E35DEB">
      <w:pPr>
        <w:spacing w:before="0" w:after="0"/>
      </w:pPr>
    </w:p>
    <w:p w14:paraId="5325462D" w14:textId="77777777" w:rsidR="003D7D8F" w:rsidRDefault="003D7D8F" w:rsidP="00E35DEB">
      <w:pPr>
        <w:spacing w:before="0" w:after="0"/>
      </w:pPr>
    </w:p>
    <w:p w14:paraId="58020B21" w14:textId="77777777" w:rsidR="003D7D8F" w:rsidRDefault="003D7D8F" w:rsidP="00E35DEB">
      <w:pPr>
        <w:spacing w:before="0" w:after="0"/>
      </w:pPr>
    </w:p>
    <w:p w14:paraId="6171E892" w14:textId="77777777" w:rsidR="003D7D8F" w:rsidRDefault="003D7D8F" w:rsidP="00E35DEB">
      <w:pPr>
        <w:spacing w:before="0" w:after="0"/>
      </w:pPr>
    </w:p>
    <w:p w14:paraId="69F42558" w14:textId="77777777" w:rsidR="003D7D8F" w:rsidRDefault="003D7D8F" w:rsidP="00E35DEB">
      <w:pPr>
        <w:spacing w:before="0" w:after="0"/>
      </w:pPr>
    </w:p>
    <w:p w14:paraId="564987EB" w14:textId="77777777" w:rsidR="003D7D8F" w:rsidRDefault="003D7D8F" w:rsidP="00E35DEB">
      <w:pPr>
        <w:spacing w:before="0" w:after="0"/>
      </w:pPr>
    </w:p>
    <w:p w14:paraId="5DF0323D" w14:textId="77777777" w:rsidR="003D7D8F" w:rsidRDefault="003D7D8F" w:rsidP="00E35DEB">
      <w:pPr>
        <w:spacing w:before="0" w:after="0"/>
      </w:pPr>
    </w:p>
    <w:p w14:paraId="62C42F44" w14:textId="77777777" w:rsidR="00E35DEB" w:rsidRPr="004D1A16" w:rsidRDefault="003D7D8F" w:rsidP="00E35DEB">
      <w:pPr>
        <w:spacing w:before="0" w:after="0"/>
      </w:pPr>
      <w:r>
        <w:rPr>
          <w:noProof/>
          <w:lang w:eastAsia="en-AU"/>
        </w:rPr>
        <mc:AlternateContent>
          <mc:Choice Requires="wpg">
            <w:drawing>
              <wp:anchor distT="0" distB="0" distL="114300" distR="114300" simplePos="0" relativeHeight="251658285" behindDoc="0" locked="0" layoutInCell="1" allowOverlap="1" wp14:anchorId="37C08D41" wp14:editId="70F7CF2D">
                <wp:simplePos x="0" y="0"/>
                <wp:positionH relativeFrom="margin">
                  <wp:align>center</wp:align>
                </wp:positionH>
                <wp:positionV relativeFrom="paragraph">
                  <wp:posOffset>1431290</wp:posOffset>
                </wp:positionV>
                <wp:extent cx="7534620" cy="3079227"/>
                <wp:effectExtent l="0" t="0" r="9525" b="6985"/>
                <wp:wrapNone/>
                <wp:docPr id="41" name="Group 41"/>
                <wp:cNvGraphicFramePr/>
                <a:graphic xmlns:a="http://schemas.openxmlformats.org/drawingml/2006/main">
                  <a:graphicData uri="http://schemas.microsoft.com/office/word/2010/wordprocessingGroup">
                    <wpg:wgp>
                      <wpg:cNvGrpSpPr/>
                      <wpg:grpSpPr>
                        <a:xfrm>
                          <a:off x="0" y="0"/>
                          <a:ext cx="7534620" cy="3079227"/>
                          <a:chOff x="0" y="0"/>
                          <a:chExt cx="7534620" cy="3079227"/>
                        </a:xfrm>
                      </wpg:grpSpPr>
                      <wps:wsp>
                        <wps:cNvPr id="39" name="Rectangle 39"/>
                        <wps:cNvSpPr/>
                        <wps:spPr>
                          <a:xfrm>
                            <a:off x="0" y="0"/>
                            <a:ext cx="7534620" cy="30792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Graphic 21"/>
                          <pic:cNvPicPr>
                            <a:picLocks noChangeAspect="1"/>
                          </pic:cNvPicPr>
                        </pic:nvPicPr>
                        <pic:blipFill>
                          <a:blip r:embed="rId43">
                            <a:extLst>
                              <a:ext uri="{96DAC541-7B7A-43D3-8B79-37D633B846F1}">
                                <asvg:svgBlip xmlns:asvg="http://schemas.microsoft.com/office/drawing/2016/SVG/main" xmlns:ma14="http://schemas.microsoft.com/office/mac/drawingml/2011/main" xmlns:c="http://schemas.openxmlformats.org/drawingml/2006/chart" xmlns:a16="http://schemas.microsoft.com/office/drawing/2014/main" xmlns:dgm="http://schemas.openxmlformats.org/drawingml/2006/diagram"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3940532" y="309283"/>
                            <a:ext cx="3587931" cy="2354580"/>
                          </a:xfrm>
                          <a:prstGeom prst="rect">
                            <a:avLst/>
                          </a:prstGeom>
                        </pic:spPr>
                      </pic:pic>
                      <wps:wsp>
                        <wps:cNvPr id="9" name="Text Box 9"/>
                        <wps:cNvSpPr txBox="1"/>
                        <wps:spPr>
                          <a:xfrm>
                            <a:off x="927847" y="1331259"/>
                            <a:ext cx="2239645" cy="13360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c="http://schemas.openxmlformats.org/drawingml/2006/chart" xmlns:a16="http://schemas.microsoft.com/office/drawing/2014/main" xmlns:dgm="http://schemas.openxmlformats.org/drawingml/2006/diagram"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92AA80" w14:textId="77777777" w:rsidR="00855491" w:rsidRPr="0097712C" w:rsidRDefault="00855491" w:rsidP="00E35DEB">
                              <w:pPr>
                                <w:pStyle w:val="BodyCopy"/>
                              </w:pPr>
                              <w:r w:rsidRPr="0097712C">
                                <w:rPr>
                                  <w:b/>
                                </w:rPr>
                                <w:t>National Transport Commission</w:t>
                              </w:r>
                              <w:r w:rsidRPr="0097712C">
                                <w:br/>
                                <w:t>Level 3/600 Bourke Street</w:t>
                              </w:r>
                              <w:r w:rsidRPr="0097712C">
                                <w:br/>
                                <w:t>Melbourne VIC 3000</w:t>
                              </w:r>
                              <w:r w:rsidRPr="0097712C">
                                <w:br/>
                                <w:t xml:space="preserve">Ph: (03) 9236 5000 </w:t>
                              </w:r>
                              <w:r w:rsidRPr="0097712C">
                                <w:br/>
                                <w:t xml:space="preserve">Email: </w:t>
                              </w:r>
                              <w:hyperlink r:id="rId48" w:history="1">
                                <w:r w:rsidRPr="0097712C">
                                  <w:t>enquiries@ntc.gov.au</w:t>
                                </w:r>
                              </w:hyperlink>
                              <w:r w:rsidRPr="0097712C">
                                <w:t xml:space="preserve"> </w:t>
                              </w:r>
                              <w:r w:rsidRPr="0097712C">
                                <w:br/>
                              </w:r>
                              <w:hyperlink r:id="rId49" w:history="1">
                                <w:r w:rsidRPr="0097712C">
                                  <w:rPr>
                                    <w:b/>
                                    <w:u w:val="single"/>
                                  </w:rPr>
                                  <w:t>www.ntc.gov.au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C08D41" id="Group 41" o:spid="_x0000_s1028" style="position:absolute;margin-left:0;margin-top:112.7pt;width:593.3pt;height:242.45pt;z-index:251658285;mso-position-horizontal:center;mso-position-horizontal-relative:margin" coordsize="75346,3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&#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">
                <v:rect id="Rectangle 39" o:spid="_x0000_s1029" style="position:absolute;width:75346;height:3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30" type="#_x0000_t75" style="position:absolute;left:39405;top:3092;width:35879;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">
                  <v:imagedata r:id="rId50" o:title=""/>
                  <v:path arrowok="t"/>
                </v:shape>
                <v:shape id="Text Box 9" o:spid="_x0000_s1031" type="#_x0000_t202" style="position:absolute;left:9278;top:13312;width:22396;height:1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B92AA80" w14:textId="77777777" w:rsidR="00855491" w:rsidRPr="0097712C" w:rsidRDefault="00855491" w:rsidP="00E35DEB">
                        <w:pPr>
                          <w:pStyle w:val="BodyCopy"/>
                        </w:pPr>
                        <w:r w:rsidRPr="0097712C">
                          <w:rPr>
                            <w:b/>
                          </w:rPr>
                          <w:t>National Transport Commission</w:t>
                        </w:r>
                        <w:r w:rsidRPr="0097712C">
                          <w:br/>
                          <w:t>Level 3/600 Bourke Street</w:t>
                        </w:r>
                        <w:r w:rsidRPr="0097712C">
                          <w:br/>
                          <w:t>Melbourne VIC 3000</w:t>
                        </w:r>
                        <w:r w:rsidRPr="0097712C">
                          <w:br/>
                          <w:t xml:space="preserve">Ph: (03) 9236 5000 </w:t>
                        </w:r>
                        <w:r w:rsidRPr="0097712C">
                          <w:br/>
                          <w:t xml:space="preserve">Email: </w:t>
                        </w:r>
                        <w:hyperlink r:id="rId51" w:history="1">
                          <w:r w:rsidRPr="0097712C">
                            <w:t>enquiries@ntc.gov.au</w:t>
                          </w:r>
                        </w:hyperlink>
                        <w:r w:rsidRPr="0097712C">
                          <w:t xml:space="preserve"> </w:t>
                        </w:r>
                        <w:r w:rsidRPr="0097712C">
                          <w:br/>
                        </w:r>
                        <w:hyperlink r:id="rId52" w:history="1">
                          <w:r w:rsidRPr="0097712C">
                            <w:rPr>
                              <w:b/>
                              <w:u w:val="single"/>
                            </w:rPr>
                            <w:t>www.ntc.gov.au</w:t>
                          </w:r>
                        </w:hyperlink>
                      </w:p>
                    </w:txbxContent>
                  </v:textbox>
                </v:shape>
                <w10:wrap anchorx="margin"/>
              </v:group>
            </w:pict>
          </mc:Fallback>
        </mc:AlternateContent>
      </w:r>
      <w:bookmarkStart w:id="161" w:name="_GoBack"/>
      <w:bookmarkEnd w:id="161"/>
    </w:p>
    <w:sectPr w:rsidR="00E35DEB" w:rsidRPr="004D1A16" w:rsidSect="00E35DEB">
      <w:pgSz w:w="11907" w:h="16840" w:code="9"/>
      <w:pgMar w:top="851" w:right="1440" w:bottom="1985" w:left="1440" w:header="283" w:footer="113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E4180" w14:textId="77777777" w:rsidR="002408FC" w:rsidRDefault="002408FC">
      <w:r>
        <w:separator/>
      </w:r>
    </w:p>
    <w:p w14:paraId="02C3B873" w14:textId="77777777" w:rsidR="002408FC" w:rsidRDefault="002408FC"/>
  </w:endnote>
  <w:endnote w:type="continuationSeparator" w:id="0">
    <w:p w14:paraId="5994D30B" w14:textId="77777777" w:rsidR="002408FC" w:rsidRDefault="002408FC">
      <w:r>
        <w:continuationSeparator/>
      </w:r>
    </w:p>
    <w:p w14:paraId="3D713CCA" w14:textId="77777777" w:rsidR="002408FC" w:rsidRDefault="002408FC"/>
  </w:endnote>
  <w:endnote w:type="continuationNotice" w:id="1">
    <w:p w14:paraId="7B993ADC" w14:textId="77777777" w:rsidR="002408FC" w:rsidRDefault="002408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ePrint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0351" w14:textId="224B4F45" w:rsidR="00855491" w:rsidRDefault="00816313" w:rsidP="00556F87">
    <w:pPr>
      <w:pStyle w:val="Footer"/>
      <w:framePr w:wrap="around" w:vAnchor="text" w:hAnchor="margin" w:xAlign="outside" w:y="1"/>
      <w:rPr>
        <w:rStyle w:val="PageNumber"/>
      </w:rPr>
    </w:pPr>
    <w:r>
      <w:rPr>
        <w:noProof/>
        <w:lang w:eastAsia="en-AU"/>
      </w:rPr>
      <mc:AlternateContent>
        <mc:Choice Requires="wps">
          <w:drawing>
            <wp:anchor distT="0" distB="0" distL="0" distR="0" simplePos="0" relativeHeight="251658247" behindDoc="0" locked="0" layoutInCell="1" allowOverlap="1" wp14:anchorId="3E2CE04F" wp14:editId="69795E15">
              <wp:simplePos x="635" y="635"/>
              <wp:positionH relativeFrom="column">
                <wp:align>center</wp:align>
              </wp:positionH>
              <wp:positionV relativeFrom="paragraph">
                <wp:posOffset>635</wp:posOffset>
              </wp:positionV>
              <wp:extent cx="443865" cy="443865"/>
              <wp:effectExtent l="0" t="0" r="635" b="17145"/>
              <wp:wrapSquare wrapText="bothSides"/>
              <wp:docPr id="24" name="Text Box 2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3E566" w14:textId="65845564"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2CE04F" id="_x0000_t202" coordsize="21600,21600" o:spt="202" path="m,l,21600r21600,l21600,xe">
              <v:stroke joinstyle="miter"/>
              <v:path gradientshapeok="t" o:connecttype="rect"/>
            </v:shapetype>
            <v:shape id="Text Box 24" o:spid="_x0000_s1034"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X3IfX14CAACkBAAADgAAAAAAAAAAAAAAAAAuAgAAZHJzL2Uyb0RvYy54bWxQSwEC&#10;LQAUAAYACAAAACEAhLDTKNYAAAADAQAADwAAAAAAAAAAAAAAAAC4BAAAZHJzL2Rvd25yZXYueG1s&#10;UEsFBgAAAAAEAAQA8wAAALsFAAAAAA==&#10;" filled="f" stroked="f">
              <v:textbox style="mso-fit-shape-to-text:t" inset="0,0,0,0">
                <w:txbxContent>
                  <w:p w14:paraId="3903E566" w14:textId="65845564"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v:textbox>
              <w10:wrap type="square"/>
            </v:shape>
          </w:pict>
        </mc:Fallback>
      </mc:AlternateContent>
    </w:r>
    <w:r w:rsidR="00855491">
      <w:rPr>
        <w:rStyle w:val="PageNumber"/>
      </w:rPr>
      <w:fldChar w:fldCharType="begin"/>
    </w:r>
    <w:r w:rsidR="00855491">
      <w:rPr>
        <w:rStyle w:val="PageNumber"/>
      </w:rPr>
      <w:instrText xml:space="preserve">PAGE  </w:instrText>
    </w:r>
    <w:r w:rsidR="00855491">
      <w:rPr>
        <w:rStyle w:val="PageNumber"/>
      </w:rPr>
      <w:fldChar w:fldCharType="separate"/>
    </w:r>
    <w:r w:rsidR="00855491">
      <w:rPr>
        <w:rStyle w:val="PageNumber"/>
        <w:noProof/>
      </w:rPr>
      <w:t>14</w:t>
    </w:r>
    <w:r w:rsidR="00855491">
      <w:rPr>
        <w:rStyle w:val="PageNumber"/>
      </w:rPr>
      <w:fldChar w:fldCharType="end"/>
    </w:r>
  </w:p>
  <w:p w14:paraId="5E202DE4" w14:textId="77777777" w:rsidR="00855491" w:rsidRPr="00C91BF9" w:rsidRDefault="00855491" w:rsidP="00EE42C0">
    <w:pPr>
      <w:pStyle w:val="Footer"/>
      <w:tabs>
        <w:tab w:val="right" w:pos="8760"/>
      </w:tabs>
      <w:ind w:right="360" w:firstLine="360"/>
    </w:pPr>
    <w:r>
      <w:rPr>
        <w:sz w:val="14"/>
      </w:rPr>
      <w:tab/>
    </w:r>
    <w:r w:rsidRPr="00C91BF9">
      <w:rPr>
        <w:color w:val="003867"/>
        <w:sz w:val="14"/>
        <w:szCs w:val="24"/>
      </w:rPr>
      <w:t>&lt;Insert title of paper here&gt;</w:t>
    </w:r>
    <w:r w:rsidRPr="00C91BF9">
      <w:rPr>
        <w:color w:val="953048"/>
        <w:sz w:val="14"/>
        <w:szCs w:val="24"/>
      </w:rPr>
      <w:t xml:space="preserve"> &lt;insert the month and year the paper was released&gt;</w:t>
    </w:r>
  </w:p>
  <w:p w14:paraId="138D5A39" w14:textId="77777777" w:rsidR="00855491" w:rsidRDefault="0085549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5029" w14:textId="5F47DDEF" w:rsidR="00855491" w:rsidRPr="001F62E1" w:rsidRDefault="00816313" w:rsidP="00FF7943">
    <w:pPr>
      <w:jc w:val="both"/>
    </w:pPr>
    <w:r>
      <w:rPr>
        <w:noProof/>
        <w:lang w:eastAsia="en-AU"/>
      </w:rPr>
      <mc:AlternateContent>
        <mc:Choice Requires="wps">
          <w:drawing>
            <wp:anchor distT="0" distB="0" distL="0" distR="0" simplePos="0" relativeHeight="251658248" behindDoc="0" locked="0" layoutInCell="1" allowOverlap="1" wp14:anchorId="6319F8C2" wp14:editId="20B267F8">
              <wp:simplePos x="0" y="0"/>
              <wp:positionH relativeFrom="column">
                <wp:posOffset>2590165</wp:posOffset>
              </wp:positionH>
              <wp:positionV relativeFrom="paragraph">
                <wp:posOffset>-52705</wp:posOffset>
              </wp:positionV>
              <wp:extent cx="443865" cy="443865"/>
              <wp:effectExtent l="0" t="0" r="635" b="17145"/>
              <wp:wrapSquare wrapText="bothSides"/>
              <wp:docPr id="26" name="Text Box 26"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F1BC9" w14:textId="7689B772" w:rsidR="00816313" w:rsidRPr="004D5BD9" w:rsidRDefault="00816313">
                          <w:pPr>
                            <w:rPr>
                              <w:rFonts w:ascii="Calibri" w:eastAsia="Calibri" w:hAnsi="Calibri" w:cs="Calibri"/>
                              <w:noProof/>
                              <w:color w:val="FF0000"/>
                              <w:sz w:val="22"/>
                              <w:szCs w:val="22"/>
                            </w:rPr>
                          </w:pPr>
                          <w:r w:rsidRPr="004D5BD9">
                            <w:rPr>
                              <w:rFonts w:ascii="Calibri" w:eastAsia="Calibri" w:hAnsi="Calibri" w:cs="Calibri"/>
                              <w:noProof/>
                              <w:color w:val="FF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319F8C2" id="_x0000_t202" coordsize="21600,21600" o:spt="202" path="m,l,21600r21600,l21600,xe">
              <v:stroke joinstyle="miter"/>
              <v:path gradientshapeok="t" o:connecttype="rect"/>
            </v:shapetype>
            <v:shape id="Text Box 26" o:spid="_x0000_s1035" type="#_x0000_t202" alt="OFFICIAL" style="position:absolute;left:0;text-align:left;margin-left:203.95pt;margin-top:-4.15pt;width:34.95pt;height:34.95pt;z-index:251658248;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" filled="f" stroked="f">
              <v:textbox style="mso-fit-shape-to-text:t" inset="0,0,0,0">
                <w:txbxContent>
                  <w:p w14:paraId="396F1BC9" w14:textId="7689B772" w:rsidR="00816313" w:rsidRPr="004D5BD9" w:rsidRDefault="00816313">
                    <w:pPr>
                      <w:rPr>
                        <w:rFonts w:ascii="Calibri" w:eastAsia="Calibri" w:hAnsi="Calibri" w:cs="Calibri"/>
                        <w:noProof/>
                        <w:color w:val="FF0000"/>
                        <w:sz w:val="22"/>
                        <w:szCs w:val="22"/>
                      </w:rPr>
                    </w:pPr>
                    <w:r w:rsidRPr="004D5BD9">
                      <w:rPr>
                        <w:rFonts w:ascii="Calibri" w:eastAsia="Calibri" w:hAnsi="Calibri" w:cs="Calibri"/>
                        <w:noProof/>
                        <w:color w:val="FF0000"/>
                        <w:sz w:val="22"/>
                        <w:szCs w:val="22"/>
                      </w:rPr>
                      <w:t>OFFICIAL</w:t>
                    </w:r>
                  </w:p>
                </w:txbxContent>
              </v:textbox>
              <w10:wrap type="square"/>
            </v:shape>
          </w:pict>
        </mc:Fallback>
      </mc:AlternateContent>
    </w:r>
  </w:p>
  <w:p w14:paraId="49583E9D" w14:textId="1FE18595" w:rsidR="00855491" w:rsidRDefault="00855491" w:rsidP="00FF7943">
    <w:pPr>
      <w:framePr w:w="567" w:h="361" w:hRule="exact" w:hSpace="284" w:vSpace="284" w:wrap="around" w:vAnchor="text" w:hAnchor="page" w:x="1417" w:y="516" w:anchorLock="1"/>
      <w:jc w:val="both"/>
    </w:pPr>
    <w:r>
      <w:fldChar w:fldCharType="begin"/>
    </w:r>
    <w:r>
      <w:instrText xml:space="preserve"> PAGE   \* MERGEFORMAT </w:instrText>
    </w:r>
    <w:r>
      <w:fldChar w:fldCharType="separate"/>
    </w:r>
    <w:r w:rsidR="00AB1B17">
      <w:rPr>
        <w:noProof/>
      </w:rPr>
      <w:t>1</w:t>
    </w:r>
    <w:r>
      <w:rPr>
        <w:noProof/>
      </w:rPr>
      <w:fldChar w:fldCharType="end"/>
    </w:r>
  </w:p>
  <w:p w14:paraId="5966E17A" w14:textId="28CF468A" w:rsidR="00855491" w:rsidRPr="00FF7943" w:rsidRDefault="00855491" w:rsidP="00FF7943">
    <w:pPr>
      <w:pStyle w:val="Footer"/>
    </w:pPr>
    <w:r w:rsidRPr="00FF7943">
      <w:rPr>
        <w:b/>
      </w:rPr>
      <w:fldChar w:fldCharType="begin"/>
    </w:r>
    <w:r w:rsidRPr="00FF7943">
      <w:rPr>
        <w:b/>
      </w:rPr>
      <w:instrText xml:space="preserve"> STYLEREF "Report title" \* MERGEFORMAT </w:instrText>
    </w:r>
    <w:r w:rsidRPr="00FF7943">
      <w:rPr>
        <w:b/>
      </w:rPr>
      <w:fldChar w:fldCharType="separate"/>
    </w:r>
    <w:r w:rsidR="00AB1B17">
      <w:rPr>
        <w:b/>
        <w:noProof/>
      </w:rPr>
      <w:t>Supplementary paper to the 2021 heavy vehicle charges determination – decision regulation impact statement – December 2021</w:t>
    </w:r>
    <w:r w:rsidRPr="00FF7943">
      <w:rPr>
        <w:b/>
      </w:rPr>
      <w:fldChar w:fldCharType="end"/>
    </w:r>
    <w:r w:rsidRPr="00FF7943">
      <w:t xml:space="preserve"> </w:t>
    </w:r>
    <w:fldSimple w:instr=" STYLEREF &quot;Report date&quot; \* MERGEFORMAT ">
      <w:r w:rsidR="00AB1B17">
        <w:rPr>
          <w:noProof/>
        </w:rPr>
        <w:t>December 2022</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5901" w14:textId="5547E9DD" w:rsidR="00855491" w:rsidRPr="001F62E1" w:rsidRDefault="00816313" w:rsidP="003934DB">
    <w:pPr>
      <w:jc w:val="both"/>
    </w:pPr>
    <w:r>
      <w:rPr>
        <w:noProof/>
        <w:lang w:eastAsia="en-AU"/>
      </w:rPr>
      <mc:AlternateContent>
        <mc:Choice Requires="wps">
          <w:drawing>
            <wp:anchor distT="0" distB="0" distL="0" distR="0" simplePos="0" relativeHeight="251658246" behindDoc="0" locked="0" layoutInCell="1" allowOverlap="1" wp14:anchorId="42E39F4C" wp14:editId="12351E29">
              <wp:simplePos x="635" y="635"/>
              <wp:positionH relativeFrom="column">
                <wp:align>center</wp:align>
              </wp:positionH>
              <wp:positionV relativeFrom="paragraph">
                <wp:posOffset>635</wp:posOffset>
              </wp:positionV>
              <wp:extent cx="443865" cy="443865"/>
              <wp:effectExtent l="0" t="0" r="635" b="17145"/>
              <wp:wrapSquare wrapText="bothSides"/>
              <wp:docPr id="28" name="Text Box 2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65631B" w14:textId="4497DB86"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E39F4C" id="_x0000_t202" coordsize="21600,21600" o:spt="202" path="m,l,21600r21600,l21600,xe">
              <v:stroke joinstyle="miter"/>
              <v:path gradientshapeok="t" o:connecttype="rect"/>
            </v:shapetype>
            <v:shape id="Text Box 28" o:spid="_x0000_s1037"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9XlftfAgAApAQAAA4AAAAAAAAAAAAAAAAALgIAAGRycy9lMm9Eb2MueG1sUEsB&#10;Ai0AFAAGAAgAAAAhAISw0yjWAAAAAwEAAA8AAAAAAAAAAAAAAAAAuQQAAGRycy9kb3ducmV2Lnht&#10;bFBLBQYAAAAABAAEAPMAAAC8BQAAAAA=&#10;" filled="f" stroked="f">
              <v:textbox style="mso-fit-shape-to-text:t" inset="0,0,0,0">
                <w:txbxContent>
                  <w:p w14:paraId="5865631B" w14:textId="4497DB86"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v:textbox>
              <w10:wrap type="square"/>
            </v:shape>
          </w:pict>
        </mc:Fallback>
      </mc:AlternateContent>
    </w:r>
  </w:p>
  <w:p w14:paraId="22A9611E" w14:textId="77777777" w:rsidR="00855491" w:rsidRDefault="00855491" w:rsidP="003934DB">
    <w:pPr>
      <w:framePr w:w="567" w:h="361" w:hRule="exact" w:hSpace="284" w:vSpace="284" w:wrap="around" w:vAnchor="text" w:hAnchor="page" w:x="1417" w:y="516" w:anchorLock="1"/>
      <w:jc w:val="both"/>
    </w:pPr>
    <w:r>
      <w:fldChar w:fldCharType="begin"/>
    </w:r>
    <w:r>
      <w:instrText xml:space="preserve"> PAGE   \* MERGEFORMAT </w:instrText>
    </w:r>
    <w:r>
      <w:fldChar w:fldCharType="separate"/>
    </w:r>
    <w:r>
      <w:t>21</w:t>
    </w:r>
    <w:r>
      <w:rPr>
        <w:noProof/>
      </w:rPr>
      <w:fldChar w:fldCharType="end"/>
    </w:r>
  </w:p>
  <w:p w14:paraId="56FF8926" w14:textId="530EE6E9" w:rsidR="00855491" w:rsidRPr="00FF7943" w:rsidRDefault="00855491" w:rsidP="003934DB">
    <w:pPr>
      <w:pStyle w:val="Footer"/>
    </w:pPr>
    <w:r w:rsidRPr="00FF7943">
      <w:rPr>
        <w:b/>
      </w:rPr>
      <w:fldChar w:fldCharType="begin"/>
    </w:r>
    <w:r w:rsidRPr="00FF7943">
      <w:rPr>
        <w:b/>
      </w:rPr>
      <w:instrText xml:space="preserve"> STYLEREF "Report title" \* MERGEFORMAT </w:instrText>
    </w:r>
    <w:r w:rsidRPr="00FF7943">
      <w:rPr>
        <w:b/>
      </w:rPr>
      <w:fldChar w:fldCharType="separate"/>
    </w:r>
    <w:r w:rsidR="0043504D">
      <w:rPr>
        <w:b/>
        <w:noProof/>
      </w:rPr>
      <w:t>Setting heavy vehicle charges to apply from 2023-24 onwards</w:t>
    </w:r>
    <w:r w:rsidRPr="00FF7943">
      <w:rPr>
        <w:b/>
      </w:rPr>
      <w:fldChar w:fldCharType="end"/>
    </w:r>
    <w:r w:rsidRPr="00FF7943">
      <w:t xml:space="preserve"> </w:t>
    </w:r>
    <w:r>
      <w:rPr>
        <w:noProof/>
      </w:rPr>
      <w:fldChar w:fldCharType="begin"/>
    </w:r>
    <w:r>
      <w:rPr>
        <w:noProof/>
      </w:rPr>
      <w:instrText xml:space="preserve"> STYLEREF "Report date" \* MERGEFORMAT </w:instrText>
    </w:r>
    <w:r>
      <w:rPr>
        <w:noProof/>
      </w:rPr>
      <w:fldChar w:fldCharType="separate"/>
    </w:r>
    <w:r w:rsidR="0043504D">
      <w:rPr>
        <w:noProof/>
      </w:rPr>
      <w:t>December 2022</w:t>
    </w:r>
    <w:r>
      <w:rPr>
        <w:noProof/>
      </w:rPr>
      <w:fldChar w:fldCharType="end"/>
    </w:r>
  </w:p>
  <w:p w14:paraId="243D5B10" w14:textId="77777777" w:rsidR="00855491" w:rsidRDefault="008554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34B3E" w14:textId="77777777" w:rsidR="002408FC" w:rsidRDefault="002408FC">
      <w:r>
        <w:separator/>
      </w:r>
    </w:p>
    <w:p w14:paraId="460A7379" w14:textId="77777777" w:rsidR="002408FC" w:rsidRDefault="002408FC"/>
  </w:footnote>
  <w:footnote w:type="continuationSeparator" w:id="0">
    <w:p w14:paraId="0FDE2864" w14:textId="77777777" w:rsidR="002408FC" w:rsidRDefault="002408FC">
      <w:r>
        <w:continuationSeparator/>
      </w:r>
    </w:p>
    <w:p w14:paraId="58C03003" w14:textId="77777777" w:rsidR="002408FC" w:rsidRDefault="002408FC"/>
  </w:footnote>
  <w:footnote w:type="continuationNotice" w:id="1">
    <w:p w14:paraId="4A0A6EFD" w14:textId="77777777" w:rsidR="002408FC" w:rsidRDefault="002408FC">
      <w:pPr>
        <w:spacing w:before="0" w:after="0"/>
      </w:pPr>
    </w:p>
  </w:footnote>
  <w:footnote w:id="2">
    <w:p w14:paraId="05B02F32" w14:textId="2E5BD0D0" w:rsidR="003B37E4" w:rsidRDefault="003B37E4">
      <w:pPr>
        <w:pStyle w:val="FootnoteText"/>
      </w:pPr>
      <w:r>
        <w:rPr>
          <w:rStyle w:val="FootnoteReference"/>
        </w:rPr>
        <w:footnoteRef/>
      </w:r>
      <w:r>
        <w:t xml:space="preserve"> Excluding revenue from the regulatory component of registration charges.</w:t>
      </w:r>
    </w:p>
  </w:footnote>
  <w:footnote w:id="3">
    <w:p w14:paraId="2E58B4F7" w14:textId="77777777" w:rsidR="00481273" w:rsidRDefault="00481273" w:rsidP="00481273">
      <w:pPr>
        <w:pStyle w:val="FootnoteText"/>
      </w:pPr>
      <w:r>
        <w:rPr>
          <w:rStyle w:val="FootnoteReference"/>
        </w:rPr>
        <w:footnoteRef/>
      </w:r>
      <w:r>
        <w:t xml:space="preserve"> The gap is measured as a percentage of the estimated total heavy vehicle cost base.  </w:t>
      </w:r>
    </w:p>
  </w:footnote>
  <w:footnote w:id="4">
    <w:p w14:paraId="64AA4D36" w14:textId="77777777" w:rsidR="00481273" w:rsidRDefault="00481273" w:rsidP="00481273">
      <w:pPr>
        <w:pStyle w:val="FootnoteText"/>
      </w:pPr>
      <w:r>
        <w:rPr>
          <w:rStyle w:val="FootnoteReference"/>
        </w:rPr>
        <w:footnoteRef/>
      </w:r>
      <w:r>
        <w:t xml:space="preserve"> The 2022-23 Budget fact sheet can be found under: </w:t>
      </w:r>
      <w:r w:rsidRPr="002D7414">
        <w:t>https://budget.gov.au/2022-23/content/factsheets/download/factsheet_excise.pdf</w:t>
      </w:r>
    </w:p>
  </w:footnote>
  <w:footnote w:id="5">
    <w:p w14:paraId="7460EF79" w14:textId="77777777" w:rsidR="00481273" w:rsidRPr="001A5A17" w:rsidRDefault="00481273" w:rsidP="00481273">
      <w:pPr>
        <w:pStyle w:val="FootnoteText"/>
        <w:rPr>
          <w:rFonts w:asciiTheme="majorHAnsi" w:hAnsiTheme="majorHAnsi" w:cstheme="majorHAnsi"/>
          <w:color w:val="24272A" w:themeColor="text1"/>
          <w:sz w:val="16"/>
        </w:rPr>
      </w:pPr>
      <w:r w:rsidRPr="00F06A32">
        <w:rPr>
          <w:rStyle w:val="FootnoteReference"/>
        </w:rPr>
        <w:footnoteRef/>
      </w:r>
      <w:r w:rsidRPr="00F06A32">
        <w:t xml:space="preserve"> </w:t>
      </w:r>
      <w:r w:rsidRPr="00F06A32">
        <w:rPr>
          <w:rFonts w:ascii="Helvetica" w:hAnsi="Helvetica" w:cs="Helvetica"/>
          <w:color w:val="292929"/>
          <w:sz w:val="22"/>
          <w:szCs w:val="22"/>
          <w:shd w:val="clear" w:color="auto" w:fill="FFFFFF"/>
        </w:rPr>
        <w:t> </w:t>
      </w:r>
      <w:r w:rsidRPr="001A5A17">
        <w:rPr>
          <w:rFonts w:asciiTheme="majorHAnsi" w:hAnsiTheme="majorHAnsi" w:cstheme="majorHAnsi"/>
          <w:color w:val="24272A" w:themeColor="text1"/>
          <w:sz w:val="16"/>
        </w:rPr>
        <w:t xml:space="preserve">Under the </w:t>
      </w:r>
      <w:hyperlink r:id="rId1" w:history="1">
        <w:r w:rsidRPr="001A5A17">
          <w:rPr>
            <w:rFonts w:asciiTheme="majorHAnsi" w:hAnsiTheme="majorHAnsi" w:cstheme="majorHAnsi"/>
            <w:color w:val="24272A" w:themeColor="text1"/>
            <w:sz w:val="16"/>
          </w:rPr>
          <w:t>Inter-Governmental Agreement for Regulatory and Operational Reform in Road, Rail and Intermodal Transport</w:t>
        </w:r>
      </w:hyperlink>
      <w:r w:rsidRPr="00F06A32">
        <w:rPr>
          <w:rFonts w:asciiTheme="majorHAnsi" w:hAnsiTheme="majorHAnsi" w:cstheme="majorHAnsi"/>
          <w:color w:val="24272A" w:themeColor="text1"/>
          <w:sz w:val="16"/>
        </w:rPr>
        <w:t xml:space="preserve"> 20</w:t>
      </w:r>
      <w:r w:rsidRPr="009D6C52">
        <w:rPr>
          <w:rFonts w:asciiTheme="majorHAnsi" w:hAnsiTheme="majorHAnsi" w:cstheme="majorHAnsi"/>
          <w:color w:val="24272A" w:themeColor="text1"/>
          <w:sz w:val="16"/>
        </w:rPr>
        <w:t>03</w:t>
      </w:r>
      <w:r>
        <w:rPr>
          <w:rFonts w:asciiTheme="majorHAnsi" w:hAnsiTheme="majorHAnsi" w:cstheme="majorHAnsi"/>
          <w:color w:val="24272A" w:themeColor="text1"/>
          <w:sz w:val="16"/>
        </w:rPr>
        <w:t>,</w:t>
      </w:r>
      <w:r w:rsidRPr="00F06A32">
        <w:rPr>
          <w:rFonts w:asciiTheme="majorHAnsi" w:hAnsiTheme="majorHAnsi" w:cstheme="majorHAnsi"/>
          <w:color w:val="24272A" w:themeColor="text1"/>
          <w:sz w:val="16"/>
        </w:rPr>
        <w:t xml:space="preserve"> </w:t>
      </w:r>
      <w:r w:rsidRPr="009D6C52">
        <w:rPr>
          <w:rFonts w:asciiTheme="majorHAnsi" w:hAnsiTheme="majorHAnsi" w:cstheme="majorHAnsi"/>
          <w:color w:val="24272A" w:themeColor="text1"/>
          <w:sz w:val="16"/>
        </w:rPr>
        <w:t>and in accor</w:t>
      </w:r>
      <w:r w:rsidRPr="0048498B">
        <w:rPr>
          <w:rFonts w:asciiTheme="majorHAnsi" w:hAnsiTheme="majorHAnsi" w:cstheme="majorHAnsi"/>
          <w:color w:val="24272A" w:themeColor="text1"/>
          <w:sz w:val="16"/>
        </w:rPr>
        <w:t xml:space="preserve">dance </w:t>
      </w:r>
      <w:r w:rsidRPr="005E2DE0">
        <w:rPr>
          <w:rFonts w:asciiTheme="majorHAnsi" w:hAnsiTheme="majorHAnsi" w:cstheme="majorHAnsi"/>
          <w:color w:val="24272A" w:themeColor="text1"/>
          <w:sz w:val="16"/>
        </w:rPr>
        <w:t>wit</w:t>
      </w:r>
      <w:r w:rsidRPr="00F06A32">
        <w:rPr>
          <w:rFonts w:asciiTheme="majorHAnsi" w:hAnsiTheme="majorHAnsi" w:cstheme="majorHAnsi"/>
          <w:color w:val="24272A" w:themeColor="text1"/>
          <w:sz w:val="16"/>
        </w:rPr>
        <w:t>h the pricing principles</w:t>
      </w:r>
      <w:r>
        <w:rPr>
          <w:rFonts w:asciiTheme="majorHAnsi" w:hAnsiTheme="majorHAnsi" w:cstheme="majorHAnsi"/>
          <w:color w:val="24272A" w:themeColor="text1"/>
          <w:sz w:val="16"/>
        </w:rPr>
        <w:t>.</w:t>
      </w:r>
    </w:p>
  </w:footnote>
  <w:footnote w:id="6">
    <w:p w14:paraId="45CFF383" w14:textId="77777777" w:rsidR="00481273" w:rsidRPr="00262FD0" w:rsidRDefault="00481273" w:rsidP="00481273">
      <w:pPr>
        <w:pStyle w:val="FootnoteText"/>
        <w:rPr>
          <w:rFonts w:asciiTheme="majorHAnsi" w:hAnsiTheme="majorHAnsi" w:cstheme="majorHAnsi"/>
        </w:rPr>
      </w:pPr>
      <w:r w:rsidRPr="00BC2662">
        <w:rPr>
          <w:rStyle w:val="FootnoteReference"/>
        </w:rPr>
        <w:footnoteRef/>
      </w:r>
      <w:r w:rsidRPr="00BC2662">
        <w:t xml:space="preserve"> </w:t>
      </w:r>
      <w:r>
        <w:rPr>
          <w:rFonts w:asciiTheme="majorHAnsi" w:hAnsiTheme="majorHAnsi" w:cstheme="majorHAnsi"/>
          <w:color w:val="24272A" w:themeColor="text1"/>
          <w:sz w:val="16"/>
        </w:rPr>
        <w:t>E</w:t>
      </w:r>
      <w:r w:rsidRPr="00262FD0">
        <w:rPr>
          <w:rFonts w:asciiTheme="majorHAnsi" w:hAnsiTheme="majorHAnsi" w:cstheme="majorHAnsi"/>
          <w:color w:val="24272A" w:themeColor="text1"/>
          <w:sz w:val="16"/>
        </w:rPr>
        <w:t>ndorsed at its meeting of 13 April 2007</w:t>
      </w:r>
      <w:r>
        <w:rPr>
          <w:rFonts w:asciiTheme="majorHAnsi" w:hAnsiTheme="majorHAnsi" w:cstheme="majorHAnsi"/>
          <w:color w:val="24272A" w:themeColor="text1"/>
          <w:sz w:val="16"/>
        </w:rPr>
        <w:t>.</w:t>
      </w:r>
    </w:p>
  </w:footnote>
  <w:footnote w:id="7">
    <w:p w14:paraId="55BDBA7C" w14:textId="77777777" w:rsidR="00481273" w:rsidRPr="00262FD0" w:rsidRDefault="00481273" w:rsidP="00481273">
      <w:pPr>
        <w:pStyle w:val="FootnoteText"/>
        <w:rPr>
          <w:rFonts w:asciiTheme="majorHAnsi" w:hAnsiTheme="majorHAnsi" w:cstheme="majorHAnsi"/>
        </w:rPr>
      </w:pPr>
      <w:r w:rsidRPr="00262FD0">
        <w:rPr>
          <w:rStyle w:val="FootnoteReference"/>
          <w:rFonts w:asciiTheme="majorHAnsi" w:hAnsiTheme="majorHAnsi" w:cstheme="majorHAnsi"/>
        </w:rPr>
        <w:footnoteRef/>
      </w:r>
      <w:r w:rsidRPr="00262FD0">
        <w:rPr>
          <w:rFonts w:asciiTheme="majorHAnsi" w:hAnsiTheme="majorHAnsi" w:cstheme="majorHAnsi"/>
        </w:rPr>
        <w:t xml:space="preserve"> </w:t>
      </w:r>
      <w:r>
        <w:rPr>
          <w:rFonts w:asciiTheme="majorHAnsi" w:hAnsiTheme="majorHAnsi" w:cstheme="majorHAnsi"/>
          <w:color w:val="24272A" w:themeColor="text1"/>
          <w:sz w:val="16"/>
        </w:rPr>
        <w:t>A</w:t>
      </w:r>
      <w:r w:rsidRPr="00262FD0">
        <w:rPr>
          <w:rFonts w:asciiTheme="majorHAnsi" w:hAnsiTheme="majorHAnsi" w:cstheme="majorHAnsi"/>
          <w:color w:val="24272A" w:themeColor="text1"/>
          <w:sz w:val="16"/>
        </w:rPr>
        <w:t>pproved by ATC in August 2004 and reaffirmed in May 2007</w:t>
      </w:r>
      <w:r>
        <w:rPr>
          <w:rFonts w:asciiTheme="majorHAnsi" w:hAnsiTheme="majorHAnsi" w:cstheme="majorHAnsi"/>
          <w:color w:val="24272A" w:themeColor="text1"/>
          <w:sz w:val="16"/>
        </w:rPr>
        <w:t xml:space="preserve">. Note: SCOTI is the </w:t>
      </w:r>
      <w:r w:rsidRPr="00997F4A">
        <w:rPr>
          <w:rFonts w:asciiTheme="majorHAnsi" w:hAnsiTheme="majorHAnsi" w:cstheme="majorHAnsi"/>
          <w:color w:val="24272A" w:themeColor="text1"/>
          <w:sz w:val="16"/>
        </w:rPr>
        <w:t>Standing Council on Transport and Infrastructure</w:t>
      </w:r>
      <w:r>
        <w:rPr>
          <w:rFonts w:asciiTheme="majorHAnsi" w:hAnsiTheme="majorHAnsi" w:cstheme="majorHAnsi"/>
          <w:color w:val="24272A" w:themeColor="text1"/>
          <w:sz w:val="16"/>
        </w:rPr>
        <w:t>, a predecessor of ITMM.</w:t>
      </w:r>
    </w:p>
  </w:footnote>
  <w:footnote w:id="8">
    <w:p w14:paraId="6AA81557" w14:textId="77777777" w:rsidR="00481273" w:rsidRPr="001A5A17" w:rsidRDefault="00481273" w:rsidP="00481273">
      <w:pPr>
        <w:pStyle w:val="FootnoteText"/>
        <w:rPr>
          <w:sz w:val="16"/>
        </w:rPr>
      </w:pPr>
      <w:r>
        <w:rPr>
          <w:rStyle w:val="FootnoteReference"/>
        </w:rPr>
        <w:footnoteRef/>
      </w:r>
      <w:r>
        <w:t xml:space="preserve"> </w:t>
      </w:r>
      <w:r w:rsidRPr="001A5A17">
        <w:rPr>
          <w:sz w:val="16"/>
        </w:rPr>
        <w:t>The cost allocation matrix has been developed over time with input from industry and experts and has been subject to consultation. The current matrix was</w:t>
      </w:r>
      <w:r>
        <w:rPr>
          <w:sz w:val="16"/>
        </w:rPr>
        <w:t xml:space="preserve"> first</w:t>
      </w:r>
      <w:r w:rsidRPr="001A5A17">
        <w:rPr>
          <w:sz w:val="16"/>
        </w:rPr>
        <w:t xml:space="preserve"> approved as part of the 2007 Heavy Vehicle Charges Determination.  </w:t>
      </w:r>
    </w:p>
  </w:footnote>
  <w:footnote w:id="9">
    <w:p w14:paraId="4D4792D5" w14:textId="77777777" w:rsidR="00481273" w:rsidRDefault="00481273" w:rsidP="00481273">
      <w:pPr>
        <w:pStyle w:val="FootnoteText"/>
      </w:pPr>
      <w:r>
        <w:rPr>
          <w:rStyle w:val="FootnoteReference"/>
        </w:rPr>
        <w:footnoteRef/>
      </w:r>
      <w:r w:rsidRPr="00811A6B">
        <w:rPr>
          <w:sz w:val="16"/>
        </w:rPr>
        <w:t xml:space="preserve"> ESA stands for Equivalent Standard Axles, a measure of road wear caused by a vehicle, AGM stands for Average Gross Mass, a measure of vehicle weight, and PCU stands for Passenger Car Unit, a measure of the footprint of a vehicle.</w:t>
      </w:r>
    </w:p>
  </w:footnote>
  <w:footnote w:id="10">
    <w:p w14:paraId="4DD8C241" w14:textId="77777777" w:rsidR="00481273" w:rsidRDefault="00481273" w:rsidP="00481273">
      <w:pPr>
        <w:pStyle w:val="FootnoteText"/>
      </w:pPr>
      <w:r>
        <w:rPr>
          <w:rStyle w:val="FootnoteReference"/>
        </w:rPr>
        <w:footnoteRef/>
      </w:r>
      <w:r>
        <w:t xml:space="preserve"> This approach is different form that used in the PAYGO model when setting charges to achieve full cost recovery where it is assumed that the vehicle fleet remains unchanged between the year of cost base measurement and the year that the heavy vehicle charges are applied. The methodology used to forecast registration charges revenue in this consultation paper is likely to be more accurate as it reflects historical rates of growth in the heavy vehicle fleet.   </w:t>
      </w:r>
    </w:p>
  </w:footnote>
  <w:footnote w:id="11">
    <w:p w14:paraId="0FA11F64" w14:textId="77777777" w:rsidR="00481273" w:rsidRPr="00262FD0" w:rsidRDefault="00481273" w:rsidP="00481273">
      <w:pPr>
        <w:pStyle w:val="FootnoteText"/>
        <w:rPr>
          <w:rFonts w:asciiTheme="majorHAnsi" w:hAnsiTheme="majorHAnsi" w:cstheme="majorHAnsi"/>
        </w:rPr>
      </w:pPr>
      <w:r w:rsidRPr="00BC2662">
        <w:rPr>
          <w:rStyle w:val="FootnoteReference"/>
        </w:rPr>
        <w:footnoteRef/>
      </w:r>
      <w:r w:rsidRPr="00BC2662">
        <w:t xml:space="preserve"> </w:t>
      </w:r>
      <w:r>
        <w:rPr>
          <w:rFonts w:asciiTheme="majorHAnsi" w:hAnsiTheme="majorHAnsi" w:cstheme="majorHAnsi"/>
          <w:color w:val="24272A" w:themeColor="text1"/>
          <w:sz w:val="16"/>
        </w:rPr>
        <w:t>E</w:t>
      </w:r>
      <w:r w:rsidRPr="00262FD0">
        <w:rPr>
          <w:rFonts w:asciiTheme="majorHAnsi" w:hAnsiTheme="majorHAnsi" w:cstheme="majorHAnsi"/>
          <w:color w:val="24272A" w:themeColor="text1"/>
          <w:sz w:val="16"/>
        </w:rPr>
        <w:t>ndorsed at its meeting of 13 April 2007</w:t>
      </w:r>
      <w:r>
        <w:rPr>
          <w:rFonts w:asciiTheme="majorHAnsi" w:hAnsiTheme="majorHAnsi" w:cstheme="majorHAnsi"/>
          <w:color w:val="24272A" w:themeColor="text1"/>
          <w:sz w:val="16"/>
        </w:rPr>
        <w:t>.</w:t>
      </w:r>
    </w:p>
  </w:footnote>
  <w:footnote w:id="12">
    <w:p w14:paraId="333E08C2" w14:textId="77777777" w:rsidR="00481273" w:rsidRPr="00262FD0" w:rsidRDefault="00481273" w:rsidP="00481273">
      <w:pPr>
        <w:pStyle w:val="FootnoteText"/>
        <w:rPr>
          <w:rFonts w:asciiTheme="majorHAnsi" w:hAnsiTheme="majorHAnsi" w:cstheme="majorHAnsi"/>
        </w:rPr>
      </w:pPr>
      <w:r w:rsidRPr="00262FD0">
        <w:rPr>
          <w:rStyle w:val="FootnoteReference"/>
          <w:rFonts w:asciiTheme="majorHAnsi" w:hAnsiTheme="majorHAnsi" w:cstheme="majorHAnsi"/>
        </w:rPr>
        <w:footnoteRef/>
      </w:r>
      <w:r w:rsidRPr="00262FD0">
        <w:rPr>
          <w:rFonts w:asciiTheme="majorHAnsi" w:hAnsiTheme="majorHAnsi" w:cstheme="majorHAnsi"/>
        </w:rPr>
        <w:t xml:space="preserve"> </w:t>
      </w:r>
      <w:r>
        <w:rPr>
          <w:rFonts w:asciiTheme="majorHAnsi" w:hAnsiTheme="majorHAnsi" w:cstheme="majorHAnsi"/>
          <w:color w:val="24272A" w:themeColor="text1"/>
          <w:sz w:val="16"/>
        </w:rPr>
        <w:t>A</w:t>
      </w:r>
      <w:r w:rsidRPr="00262FD0">
        <w:rPr>
          <w:rFonts w:asciiTheme="majorHAnsi" w:hAnsiTheme="majorHAnsi" w:cstheme="majorHAnsi"/>
          <w:color w:val="24272A" w:themeColor="text1"/>
          <w:sz w:val="16"/>
        </w:rPr>
        <w:t>pproved by ATC in August 2004 and reaffirmed in May 2007</w:t>
      </w:r>
      <w:r>
        <w:rPr>
          <w:rFonts w:asciiTheme="majorHAnsi" w:hAnsiTheme="majorHAnsi" w:cstheme="majorHAnsi"/>
          <w:color w:val="24272A" w:themeColor="text1"/>
          <w:sz w:val="16"/>
        </w:rPr>
        <w:t xml:space="preserve">. Note: SCOTI is the </w:t>
      </w:r>
      <w:r w:rsidRPr="00997F4A">
        <w:rPr>
          <w:rFonts w:asciiTheme="majorHAnsi" w:hAnsiTheme="majorHAnsi" w:cstheme="majorHAnsi"/>
          <w:color w:val="24272A" w:themeColor="text1"/>
          <w:sz w:val="16"/>
        </w:rPr>
        <w:t>Standing Council on Transport and Infrastructure</w:t>
      </w:r>
      <w:r>
        <w:rPr>
          <w:rFonts w:asciiTheme="majorHAnsi" w:hAnsiTheme="majorHAnsi" w:cstheme="majorHAnsi"/>
          <w:color w:val="24272A" w:themeColor="text1"/>
          <w:sz w:val="16"/>
        </w:rPr>
        <w:t>, a predecessor of ITMM.</w:t>
      </w:r>
    </w:p>
  </w:footnote>
  <w:footnote w:id="13">
    <w:p w14:paraId="06BF5D8E" w14:textId="77777777" w:rsidR="009415CD" w:rsidRDefault="009415CD" w:rsidP="009415CD">
      <w:pPr>
        <w:pStyle w:val="FootnoteText"/>
      </w:pPr>
      <w:r>
        <w:rPr>
          <w:rStyle w:val="FootnoteReference"/>
        </w:rPr>
        <w:footnoteRef/>
      </w:r>
      <w:r>
        <w:t xml:space="preserve"> Some benefits are in the nature of ‘option values’ where the benefit lies in the possibility of using parts of the road network at some time in the future, whether this use actually occurs or not.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20B69" w14:textId="05D9C8B1" w:rsidR="00855491" w:rsidRDefault="00816313">
    <w:r>
      <w:rPr>
        <w:noProof/>
        <w:lang w:eastAsia="en-AU"/>
      </w:rPr>
      <mc:AlternateContent>
        <mc:Choice Requires="wps">
          <w:drawing>
            <wp:anchor distT="0" distB="0" distL="0" distR="0" simplePos="0" relativeHeight="251658244" behindDoc="0" locked="0" layoutInCell="1" allowOverlap="1" wp14:anchorId="7DC19CCA" wp14:editId="6402B107">
              <wp:simplePos x="635" y="635"/>
              <wp:positionH relativeFrom="column">
                <wp:align>center</wp:align>
              </wp:positionH>
              <wp:positionV relativeFrom="paragraph">
                <wp:posOffset>635</wp:posOffset>
              </wp:positionV>
              <wp:extent cx="443865" cy="443865"/>
              <wp:effectExtent l="0" t="0" r="635" b="17145"/>
              <wp:wrapSquare wrapText="bothSides"/>
              <wp:docPr id="3" name="Text Box 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F36E84" w14:textId="14E366A4"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C19CCA" id="_x0000_t202" coordsize="21600,21600" o:spt="202" path="m,l,21600r21600,l21600,xe">
              <v:stroke joinstyle="miter"/>
              <v:path gradientshapeok="t" o:connecttype="rect"/>
            </v:shapetype>
            <v:shape id="Text Box 3" o:spid="_x0000_s1032"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oBD52FsCAACbBAAADgAAAAAAAAAAAAAAAAAuAgAAZHJzL2Uyb0RvYy54bWxQSwECLQAU&#10;AAYACAAAACEAhLDTKNYAAAADAQAADwAAAAAAAAAAAAAAAAC1BAAAZHJzL2Rvd25yZXYueG1sUEsF&#10;BgAAAAAEAAQA8wAAALgFAAAAAA==&#10;" filled="f" stroked="f">
              <v:textbox style="mso-fit-shape-to-text:t" inset="0,0,0,0">
                <w:txbxContent>
                  <w:p w14:paraId="0BF36E84" w14:textId="14E366A4"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v:textbox>
              <w10:wrap type="square"/>
            </v:shape>
          </w:pict>
        </mc:Fallback>
      </mc:AlternateContent>
    </w:r>
  </w:p>
  <w:p w14:paraId="4ACC7A50" w14:textId="77777777" w:rsidR="00855491" w:rsidRDefault="0085549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EC9F4" w14:textId="0EF4EE5E" w:rsidR="00855491" w:rsidRDefault="00816313">
    <w:pPr>
      <w:pStyle w:val="Header"/>
    </w:pPr>
    <w:r>
      <w:rPr>
        <w:noProof/>
        <w:lang w:eastAsia="en-AU"/>
      </w:rPr>
      <mc:AlternateContent>
        <mc:Choice Requires="wps">
          <w:drawing>
            <wp:anchor distT="0" distB="0" distL="0" distR="0" simplePos="0" relativeHeight="251658245" behindDoc="0" locked="0" layoutInCell="1" allowOverlap="1" wp14:anchorId="4D881AA2" wp14:editId="298BD893">
              <wp:simplePos x="914400" y="182880"/>
              <wp:positionH relativeFrom="column">
                <wp:align>center</wp:align>
              </wp:positionH>
              <wp:positionV relativeFrom="paragraph">
                <wp:posOffset>635</wp:posOffset>
              </wp:positionV>
              <wp:extent cx="443865" cy="443865"/>
              <wp:effectExtent l="0" t="0" r="635" b="17145"/>
              <wp:wrapSquare wrapText="bothSides"/>
              <wp:docPr id="23" name="Text Box 2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374F0" w14:textId="1B59F375"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881AA2" id="_x0000_t202" coordsize="21600,21600" o:spt="202" path="m,l,21600r21600,l21600,xe">
              <v:stroke joinstyle="miter"/>
              <v:path gradientshapeok="t" o:connecttype="rect"/>
            </v:shapetype>
            <v:shape id="Text Box 23" o:spid="_x0000_s1033"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MAzbM14CAACkBAAADgAAAAAAAAAAAAAAAAAuAgAAZHJzL2Uyb0RvYy54bWxQSwEC&#10;LQAUAAYACAAAACEAhLDTKNYAAAADAQAADwAAAAAAAAAAAAAAAAC4BAAAZHJzL2Rvd25yZXYueG1s&#10;UEsFBgAAAAAEAAQA8wAAALsFAAAAAA==&#10;" filled="f" stroked="f">
              <v:textbox style="mso-fit-shape-to-text:t" inset="0,0,0,0">
                <w:txbxContent>
                  <w:p w14:paraId="4F7374F0" w14:textId="1B59F375"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6AA0" w14:textId="746C9D41" w:rsidR="00855491" w:rsidRDefault="00816313">
    <w:r>
      <w:rPr>
        <w:noProof/>
        <w:lang w:eastAsia="en-AU"/>
      </w:rPr>
      <mc:AlternateContent>
        <mc:Choice Requires="wps">
          <w:drawing>
            <wp:anchor distT="0" distB="0" distL="0" distR="0" simplePos="0" relativeHeight="251658243" behindDoc="0" locked="0" layoutInCell="1" allowOverlap="1" wp14:anchorId="38FB6F91" wp14:editId="2005B3D1">
              <wp:simplePos x="635" y="635"/>
              <wp:positionH relativeFrom="column">
                <wp:align>center</wp:align>
              </wp:positionH>
              <wp:positionV relativeFrom="paragraph">
                <wp:posOffset>635</wp:posOffset>
              </wp:positionV>
              <wp:extent cx="443865" cy="443865"/>
              <wp:effectExtent l="0" t="0" r="635" b="17145"/>
              <wp:wrapSquare wrapText="bothSides"/>
              <wp:docPr id="27" name="Text Box 2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2C9571" w14:textId="6E6DEEFB"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FB6F91" id="_x0000_t202" coordsize="21600,21600" o:spt="202" path="m,l,21600r21600,l21600,xe">
              <v:stroke joinstyle="miter"/>
              <v:path gradientshapeok="t" o:connecttype="rect"/>
            </v:shapetype>
            <v:shape id="Text Box 27" o:spid="_x0000_s1036"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PZzZkdfAgAApAQAAA4AAAAAAAAAAAAAAAAALgIAAGRycy9lMm9Eb2MueG1sUEsB&#10;Ai0AFAAGAAgAAAAhAISw0yjWAAAAAwEAAA8AAAAAAAAAAAAAAAAAuQQAAGRycy9kb3ducmV2Lnht&#10;bFBLBQYAAAAABAAEAPMAAAC8BQAAAAA=&#10;" filled="f" stroked="f">
              <v:textbox style="mso-fit-shape-to-text:t" inset="0,0,0,0">
                <w:txbxContent>
                  <w:p w14:paraId="692C9571" w14:textId="6E6DEEFB" w:rsidR="00816313" w:rsidRPr="00816313" w:rsidRDefault="00816313">
                    <w:pPr>
                      <w:rPr>
                        <w:rFonts w:ascii="Calibri" w:eastAsia="Calibri" w:hAnsi="Calibri" w:cs="Calibri"/>
                        <w:noProof/>
                        <w:color w:val="FF0000"/>
                        <w:sz w:val="24"/>
                        <w:szCs w:val="24"/>
                      </w:rPr>
                    </w:pPr>
                    <w:r w:rsidRPr="00816313">
                      <w:rPr>
                        <w:rFonts w:ascii="Calibri" w:eastAsia="Calibri" w:hAnsi="Calibri" w:cs="Calibri"/>
                        <w:noProof/>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F4A1234"/>
    <w:lvl w:ilvl="0">
      <w:start w:val="1"/>
      <w:numFmt w:val="decimal"/>
      <w:pStyle w:val="Heading1"/>
      <w:lvlText w:val="%1"/>
      <w:lvlJc w:val="left"/>
      <w:pPr>
        <w:ind w:left="7" w:hanging="432"/>
      </w:pPr>
      <w:rPr>
        <w:rFonts w:hint="default"/>
        <w:b w:val="0"/>
        <w:i w:val="0"/>
      </w:rPr>
    </w:lvl>
    <w:lvl w:ilvl="1">
      <w:start w:val="1"/>
      <w:numFmt w:val="decimal"/>
      <w:pStyle w:val="Heading2"/>
      <w:lvlText w:val="%1.%2"/>
      <w:lvlJc w:val="left"/>
      <w:pPr>
        <w:ind w:left="454" w:hanging="454"/>
      </w:pPr>
      <w:rPr>
        <w:rFonts w:hint="default"/>
        <w:sz w:val="28"/>
        <w:szCs w:val="28"/>
      </w:rPr>
    </w:lvl>
    <w:lvl w:ilvl="2">
      <w:start w:val="1"/>
      <w:numFmt w:val="decimal"/>
      <w:pStyle w:val="Heading3"/>
      <w:lvlText w:val="%1.%2.%3"/>
      <w:lvlJc w:val="left"/>
      <w:pPr>
        <w:ind w:left="1572" w:hanging="720"/>
      </w:pPr>
      <w:rPr>
        <w:rFonts w:hint="default"/>
      </w:rPr>
    </w:lvl>
    <w:lvl w:ilvl="3">
      <w:start w:val="1"/>
      <w:numFmt w:val="decimal"/>
      <w:pStyle w:val="Heading4"/>
      <w:lvlText w:val="%1.%2.%3.%4"/>
      <w:lvlJc w:val="left"/>
      <w:pPr>
        <w:ind w:left="439" w:hanging="864"/>
      </w:pPr>
      <w:rPr>
        <w:rFonts w:hint="default"/>
      </w:rPr>
    </w:lvl>
    <w:lvl w:ilvl="4">
      <w:start w:val="1"/>
      <w:numFmt w:val="decimal"/>
      <w:pStyle w:val="Heading5"/>
      <w:lvlText w:val="%1.%2.%3.%4.%5"/>
      <w:lvlJc w:val="left"/>
      <w:pPr>
        <w:ind w:left="583" w:hanging="1008"/>
      </w:pPr>
      <w:rPr>
        <w:rFonts w:hint="default"/>
      </w:rPr>
    </w:lvl>
    <w:lvl w:ilvl="5">
      <w:start w:val="1"/>
      <w:numFmt w:val="decimal"/>
      <w:pStyle w:val="Heading6"/>
      <w:lvlText w:val="%1.%2.%3.%4.%5.%6"/>
      <w:lvlJc w:val="left"/>
      <w:pPr>
        <w:ind w:left="727" w:hanging="1152"/>
      </w:pPr>
      <w:rPr>
        <w:rFonts w:hint="default"/>
      </w:rPr>
    </w:lvl>
    <w:lvl w:ilvl="6">
      <w:start w:val="1"/>
      <w:numFmt w:val="decimal"/>
      <w:pStyle w:val="Heading7"/>
      <w:lvlText w:val="%1.%2.%3.%4.%5.%6.%7"/>
      <w:lvlJc w:val="left"/>
      <w:pPr>
        <w:ind w:left="871" w:hanging="1296"/>
      </w:pPr>
      <w:rPr>
        <w:rFonts w:hint="default"/>
      </w:rPr>
    </w:lvl>
    <w:lvl w:ilvl="7">
      <w:start w:val="1"/>
      <w:numFmt w:val="decimal"/>
      <w:pStyle w:val="Heading8"/>
      <w:lvlText w:val="%1.%2.%3.%4.%5.%6.%7.%8"/>
      <w:lvlJc w:val="left"/>
      <w:pPr>
        <w:ind w:left="1015" w:hanging="1440"/>
      </w:pPr>
      <w:rPr>
        <w:rFonts w:hint="default"/>
      </w:rPr>
    </w:lvl>
    <w:lvl w:ilvl="8">
      <w:start w:val="1"/>
      <w:numFmt w:val="decimal"/>
      <w:pStyle w:val="Heading9"/>
      <w:lvlText w:val="%1.%2.%3.%4.%5.%6.%7.%8.%9"/>
      <w:lvlJc w:val="left"/>
      <w:pPr>
        <w:ind w:left="1159" w:hanging="1584"/>
      </w:pPr>
      <w:rPr>
        <w:rFonts w:hint="default"/>
      </w:rPr>
    </w:lvl>
  </w:abstractNum>
  <w:abstractNum w:abstractNumId="1" w15:restartNumberingAfterBreak="0">
    <w:nsid w:val="00363F01"/>
    <w:multiLevelType w:val="hybridMultilevel"/>
    <w:tmpl w:val="70C6D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C2177"/>
    <w:multiLevelType w:val="hybridMultilevel"/>
    <w:tmpl w:val="FA0C4AD4"/>
    <w:lvl w:ilvl="0" w:tplc="8C80A534">
      <w:start w:val="1"/>
      <w:numFmt w:val="bullet"/>
      <w:lvlText w:val=""/>
      <w:lvlJc w:val="left"/>
      <w:pPr>
        <w:ind w:left="720" w:hanging="360"/>
      </w:pPr>
      <w:rPr>
        <w:rFonts w:ascii="Wingdings" w:hAnsi="Wingdings" w:hint="default"/>
        <w:color w:val="71DAD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63733"/>
    <w:multiLevelType w:val="hybridMultilevel"/>
    <w:tmpl w:val="D268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E0031"/>
    <w:multiLevelType w:val="hybridMultilevel"/>
    <w:tmpl w:val="9B92ACBE"/>
    <w:lvl w:ilvl="0" w:tplc="0F2A21B8">
      <w:start w:val="1"/>
      <w:numFmt w:val="bullet"/>
      <w:pStyle w:val="LightList-Accent3"/>
      <w:lvlText w:val=""/>
      <w:lvlJc w:val="left"/>
      <w:pPr>
        <w:ind w:left="720" w:hanging="360"/>
      </w:pPr>
      <w:rPr>
        <w:rFonts w:ascii="Wingdings" w:hAnsi="Wingdings" w:hint="default"/>
        <w:color w:val="24312A"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67E16"/>
    <w:multiLevelType w:val="hybridMultilevel"/>
    <w:tmpl w:val="ED9E6EB6"/>
    <w:lvl w:ilvl="0" w:tplc="8C80A534">
      <w:start w:val="1"/>
      <w:numFmt w:val="bullet"/>
      <w:lvlText w:val=""/>
      <w:lvlJc w:val="left"/>
      <w:pPr>
        <w:ind w:left="851" w:hanging="284"/>
      </w:pPr>
      <w:rPr>
        <w:rFonts w:ascii="Wingdings" w:hAnsi="Wingdings" w:hint="default"/>
        <w:color w:val="71DAD6" w:themeColor="accent2"/>
        <w:position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A0776B"/>
    <w:multiLevelType w:val="hybridMultilevel"/>
    <w:tmpl w:val="14F2D6AE"/>
    <w:lvl w:ilvl="0" w:tplc="5F025CAE">
      <w:start w:val="1"/>
      <w:numFmt w:val="bullet"/>
      <w:pStyle w:val="List-bulletlvl2"/>
      <w:lvlText w:val="–"/>
      <w:lvlJc w:val="left"/>
      <w:pPr>
        <w:ind w:left="851" w:hanging="284"/>
      </w:pPr>
      <w:rPr>
        <w:rFonts w:ascii="Arial" w:hAnsi="Arial" w:hint="default"/>
        <w:color w:val="10CFC9" w:themeColor="accent1"/>
        <w:position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61079"/>
    <w:multiLevelType w:val="hybridMultilevel"/>
    <w:tmpl w:val="832471A2"/>
    <w:lvl w:ilvl="0" w:tplc="B84E2A78">
      <w:start w:val="1"/>
      <w:numFmt w:val="decimal"/>
      <w:pStyle w:val="List-numb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21010"/>
    <w:multiLevelType w:val="hybridMultilevel"/>
    <w:tmpl w:val="D0328904"/>
    <w:lvl w:ilvl="0" w:tplc="8C80A534">
      <w:start w:val="1"/>
      <w:numFmt w:val="bullet"/>
      <w:lvlText w:val=""/>
      <w:lvlJc w:val="left"/>
      <w:pPr>
        <w:ind w:left="720" w:hanging="360"/>
      </w:pPr>
      <w:rPr>
        <w:rFonts w:ascii="Wingdings" w:hAnsi="Wingdings" w:hint="default"/>
        <w:color w:val="71DAD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62188"/>
    <w:multiLevelType w:val="hybridMultilevel"/>
    <w:tmpl w:val="113EC044"/>
    <w:lvl w:ilvl="0" w:tplc="77F69FF6">
      <w:start w:val="1"/>
      <w:numFmt w:val="bullet"/>
      <w:pStyle w:val="ListBullet"/>
      <w:lvlText w:val=""/>
      <w:lvlJc w:val="left"/>
      <w:pPr>
        <w:tabs>
          <w:tab w:val="num" w:pos="340"/>
        </w:tabs>
        <w:ind w:left="340" w:hanging="340"/>
      </w:pPr>
      <w:rPr>
        <w:rFonts w:ascii="Symbol" w:hAnsi="Symbol" w:hint="default"/>
        <w:color w:val="10CFC9"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6234E"/>
    <w:multiLevelType w:val="hybridMultilevel"/>
    <w:tmpl w:val="4D04F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47B33"/>
    <w:multiLevelType w:val="multilevel"/>
    <w:tmpl w:val="EAEABC9C"/>
    <w:lvl w:ilvl="0">
      <w:start w:val="1"/>
      <w:numFmt w:val="decimal"/>
      <w:lvlText w:val="%1."/>
      <w:lvlJc w:val="left"/>
      <w:pPr>
        <w:ind w:left="567" w:hanging="283"/>
      </w:pPr>
      <w:rPr>
        <w:rFonts w:hint="default"/>
        <w:color w:val="10CFC9"/>
        <w:position w:val="0"/>
        <w:sz w:val="22"/>
      </w:rPr>
    </w:lvl>
    <w:lvl w:ilvl="1">
      <w:start w:val="1"/>
      <w:numFmt w:val="bullet"/>
      <w:lvlText w:val="–"/>
      <w:lvlJc w:val="left"/>
      <w:pPr>
        <w:ind w:left="851" w:hanging="284"/>
      </w:pPr>
      <w:rPr>
        <w:rFonts w:ascii="Arial" w:hAnsi="Arial" w:hint="default"/>
        <w:b w:val="0"/>
        <w:i w:val="0"/>
        <w:color w:val="10CFC9"/>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B35FC2"/>
    <w:multiLevelType w:val="multilevel"/>
    <w:tmpl w:val="EAEABC9C"/>
    <w:lvl w:ilvl="0">
      <w:start w:val="1"/>
      <w:numFmt w:val="decimal"/>
      <w:lvlText w:val="%1."/>
      <w:lvlJc w:val="left"/>
      <w:pPr>
        <w:ind w:left="567" w:hanging="283"/>
      </w:pPr>
      <w:rPr>
        <w:rFonts w:hint="default"/>
        <w:color w:val="10CFC9"/>
        <w:position w:val="0"/>
        <w:sz w:val="22"/>
      </w:rPr>
    </w:lvl>
    <w:lvl w:ilvl="1">
      <w:start w:val="1"/>
      <w:numFmt w:val="bullet"/>
      <w:lvlText w:val="–"/>
      <w:lvlJc w:val="left"/>
      <w:pPr>
        <w:ind w:left="851" w:hanging="284"/>
      </w:pPr>
      <w:rPr>
        <w:rFonts w:ascii="Arial" w:hAnsi="Arial" w:hint="default"/>
        <w:b w:val="0"/>
        <w:i w:val="0"/>
        <w:color w:val="10CFC9"/>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8972DC"/>
    <w:multiLevelType w:val="hybridMultilevel"/>
    <w:tmpl w:val="3ED02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AD3E4B"/>
    <w:multiLevelType w:val="hybridMultilevel"/>
    <w:tmpl w:val="8A9619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71A02"/>
    <w:multiLevelType w:val="multilevel"/>
    <w:tmpl w:val="EAEABC9C"/>
    <w:lvl w:ilvl="0">
      <w:start w:val="1"/>
      <w:numFmt w:val="decimal"/>
      <w:lvlText w:val="%1."/>
      <w:lvlJc w:val="left"/>
      <w:pPr>
        <w:ind w:left="567" w:hanging="283"/>
      </w:pPr>
      <w:rPr>
        <w:rFonts w:hint="default"/>
        <w:color w:val="10CFC9"/>
        <w:position w:val="0"/>
        <w:sz w:val="22"/>
      </w:rPr>
    </w:lvl>
    <w:lvl w:ilvl="1">
      <w:start w:val="1"/>
      <w:numFmt w:val="bullet"/>
      <w:lvlText w:val="–"/>
      <w:lvlJc w:val="left"/>
      <w:pPr>
        <w:ind w:left="851" w:hanging="284"/>
      </w:pPr>
      <w:rPr>
        <w:rFonts w:ascii="Arial" w:hAnsi="Arial" w:hint="default"/>
        <w:b w:val="0"/>
        <w:i w:val="0"/>
        <w:color w:val="10CFC9"/>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030F35"/>
    <w:multiLevelType w:val="multilevel"/>
    <w:tmpl w:val="EAEABC9C"/>
    <w:lvl w:ilvl="0">
      <w:start w:val="1"/>
      <w:numFmt w:val="decimal"/>
      <w:lvlText w:val="%1."/>
      <w:lvlJc w:val="left"/>
      <w:pPr>
        <w:ind w:left="567" w:hanging="283"/>
      </w:pPr>
      <w:rPr>
        <w:rFonts w:hint="default"/>
        <w:color w:val="10CFC9"/>
        <w:position w:val="0"/>
        <w:sz w:val="22"/>
      </w:rPr>
    </w:lvl>
    <w:lvl w:ilvl="1">
      <w:start w:val="1"/>
      <w:numFmt w:val="bullet"/>
      <w:lvlText w:val="–"/>
      <w:lvlJc w:val="left"/>
      <w:pPr>
        <w:ind w:left="851" w:hanging="284"/>
      </w:pPr>
      <w:rPr>
        <w:rFonts w:ascii="Arial" w:hAnsi="Arial" w:hint="default"/>
        <w:b w:val="0"/>
        <w:i w:val="0"/>
        <w:color w:val="10CFC9"/>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DA5DDF"/>
    <w:multiLevelType w:val="singleLevel"/>
    <w:tmpl w:val="49AE11B2"/>
    <w:lvl w:ilvl="0">
      <w:start w:val="1"/>
      <w:numFmt w:val="decimal"/>
      <w:pStyle w:val="Figuretitle"/>
      <w:lvlText w:val="Figure %1."/>
      <w:lvlJc w:val="left"/>
      <w:pPr>
        <w:tabs>
          <w:tab w:val="num" w:pos="1021"/>
        </w:tabs>
        <w:ind w:left="1021" w:hanging="1021"/>
      </w:pPr>
      <w:rPr>
        <w:rFonts w:hint="default"/>
      </w:rPr>
    </w:lvl>
  </w:abstractNum>
  <w:abstractNum w:abstractNumId="18" w15:restartNumberingAfterBreak="0">
    <w:nsid w:val="363A1343"/>
    <w:multiLevelType w:val="hybridMultilevel"/>
    <w:tmpl w:val="8978268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4471B4"/>
    <w:multiLevelType w:val="hybridMultilevel"/>
    <w:tmpl w:val="B76A0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0D479F"/>
    <w:multiLevelType w:val="multilevel"/>
    <w:tmpl w:val="2BD63FE2"/>
    <w:styleLink w:val="AppendixHeadings"/>
    <w:lvl w:ilvl="0">
      <w:start w:val="1"/>
      <w:numFmt w:val="upperLetter"/>
      <w:pStyle w:val="Head1-Appendix"/>
      <w:lvlText w:val="Appendix %1"/>
      <w:lvlJc w:val="left"/>
      <w:pPr>
        <w:tabs>
          <w:tab w:val="num" w:pos="2552"/>
        </w:tabs>
        <w:ind w:left="2552" w:hanging="2552"/>
      </w:pPr>
      <w:rPr>
        <w:rFonts w:ascii="Arial" w:hAnsi="Arial" w:hint="default"/>
        <w:color w:val="002954"/>
        <w:sz w:val="44"/>
      </w:rPr>
    </w:lvl>
    <w:lvl w:ilvl="1">
      <w:start w:val="1"/>
      <w:numFmt w:val="decimal"/>
      <w:lvlText w:val="%1.%2"/>
      <w:lvlJc w:val="left"/>
      <w:pPr>
        <w:tabs>
          <w:tab w:val="num" w:pos="680"/>
        </w:tabs>
        <w:ind w:left="680" w:hanging="680"/>
      </w:pPr>
      <w:rPr>
        <w:rFonts w:ascii="Arial" w:hAnsi="Arial" w:hint="default"/>
        <w:b/>
        <w:color w:val="002954"/>
        <w:sz w:val="28"/>
      </w:rPr>
    </w:lvl>
    <w:lvl w:ilvl="2">
      <w:start w:val="1"/>
      <w:numFmt w:val="decimal"/>
      <w:lvlText w:val="%1.%2.%3"/>
      <w:lvlJc w:val="left"/>
      <w:pPr>
        <w:tabs>
          <w:tab w:val="num" w:pos="680"/>
        </w:tabs>
        <w:ind w:left="680" w:hanging="680"/>
      </w:pPr>
      <w:rPr>
        <w:rFonts w:ascii="Arial" w:hAnsi="Arial" w:hint="default"/>
        <w:b/>
        <w:color w:val="002954"/>
        <w:sz w:val="24"/>
      </w:rPr>
    </w:lvl>
    <w:lvl w:ilvl="3">
      <w:start w:val="1"/>
      <w:numFmt w:val="decimal"/>
      <w:lvlText w:val="(%4)"/>
      <w:lvlJc w:val="left"/>
      <w:pPr>
        <w:ind w:left="396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21" w15:restartNumberingAfterBreak="0">
    <w:nsid w:val="41510F7C"/>
    <w:multiLevelType w:val="multilevel"/>
    <w:tmpl w:val="2BD63FE2"/>
    <w:numStyleLink w:val="AppendixHeadings"/>
  </w:abstractNum>
  <w:abstractNum w:abstractNumId="22" w15:restartNumberingAfterBreak="0">
    <w:nsid w:val="49341E28"/>
    <w:multiLevelType w:val="hybridMultilevel"/>
    <w:tmpl w:val="DB5E5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5F23D1"/>
    <w:multiLevelType w:val="hybridMultilevel"/>
    <w:tmpl w:val="AC6C1EF4"/>
    <w:lvl w:ilvl="0" w:tplc="B21ECD4E">
      <w:start w:val="1"/>
      <w:numFmt w:val="decimal"/>
      <w:pStyle w:val="Questionslist"/>
      <w:lvlText w:val="Question %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96197A"/>
    <w:multiLevelType w:val="hybridMultilevel"/>
    <w:tmpl w:val="592C8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6911503"/>
    <w:multiLevelType w:val="hybridMultilevel"/>
    <w:tmpl w:val="592C8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E93FA2"/>
    <w:multiLevelType w:val="hybridMultilevel"/>
    <w:tmpl w:val="6A8E2380"/>
    <w:lvl w:ilvl="0" w:tplc="D0B2FD5E">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212A5D"/>
    <w:multiLevelType w:val="singleLevel"/>
    <w:tmpl w:val="148208FC"/>
    <w:lvl w:ilvl="0">
      <w:start w:val="1"/>
      <w:numFmt w:val="decimal"/>
      <w:pStyle w:val="Tabletitle"/>
      <w:lvlText w:val="Table %1."/>
      <w:lvlJc w:val="left"/>
      <w:pPr>
        <w:tabs>
          <w:tab w:val="num" w:pos="1648"/>
        </w:tabs>
        <w:ind w:left="1589" w:hanging="1021"/>
      </w:pPr>
    </w:lvl>
  </w:abstractNum>
  <w:abstractNum w:abstractNumId="28" w15:restartNumberingAfterBreak="0">
    <w:nsid w:val="70053307"/>
    <w:multiLevelType w:val="hybridMultilevel"/>
    <w:tmpl w:val="84C87A28"/>
    <w:lvl w:ilvl="0" w:tplc="8C80A534">
      <w:start w:val="1"/>
      <w:numFmt w:val="bullet"/>
      <w:lvlText w:val=""/>
      <w:lvlJc w:val="left"/>
      <w:pPr>
        <w:ind w:left="720" w:hanging="360"/>
      </w:pPr>
      <w:rPr>
        <w:rFonts w:ascii="Wingdings" w:hAnsi="Wingdings" w:hint="default"/>
        <w:color w:val="71DAD6"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FE00C2"/>
    <w:multiLevelType w:val="multilevel"/>
    <w:tmpl w:val="F56CE5B2"/>
    <w:lvl w:ilvl="0">
      <w:start w:val="1"/>
      <w:numFmt w:val="bullet"/>
      <w:pStyle w:val="List-bulletlvl1"/>
      <w:lvlText w:val=""/>
      <w:lvlJc w:val="left"/>
      <w:pPr>
        <w:ind w:left="567" w:hanging="283"/>
      </w:pPr>
      <w:rPr>
        <w:rFonts w:ascii="Wingdings" w:hAnsi="Wingdings" w:hint="default"/>
        <w:color w:val="10CFC9"/>
        <w:position w:val="0"/>
        <w:sz w:val="22"/>
      </w:rPr>
    </w:lvl>
    <w:lvl w:ilvl="1">
      <w:start w:val="1"/>
      <w:numFmt w:val="bullet"/>
      <w:lvlText w:val="–"/>
      <w:lvlJc w:val="left"/>
      <w:pPr>
        <w:ind w:left="851" w:hanging="284"/>
      </w:pPr>
      <w:rPr>
        <w:rFonts w:ascii="Arial" w:hAnsi="Arial" w:hint="default"/>
        <w:b w:val="0"/>
        <w:i w:val="0"/>
        <w:color w:val="10CFC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656969"/>
    <w:multiLevelType w:val="hybridMultilevel"/>
    <w:tmpl w:val="55D68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7"/>
  </w:num>
  <w:num w:numId="4">
    <w:abstractNumId w:val="4"/>
  </w:num>
  <w:num w:numId="5">
    <w:abstractNumId w:val="7"/>
  </w:num>
  <w:num w:numId="6">
    <w:abstractNumId w:val="23"/>
  </w:num>
  <w:num w:numId="7">
    <w:abstractNumId w:val="9"/>
  </w:num>
  <w:num w:numId="8">
    <w:abstractNumId w:val="29"/>
  </w:num>
  <w:num w:numId="9">
    <w:abstractNumId w:val="20"/>
  </w:num>
  <w:num w:numId="10">
    <w:abstractNumId w:val="21"/>
    <w:lvlOverride w:ilvl="0">
      <w:lvl w:ilvl="0">
        <w:start w:val="1"/>
        <w:numFmt w:val="upperLetter"/>
        <w:pStyle w:val="Head1-Appendix"/>
        <w:lvlText w:val="Appendix %1"/>
        <w:lvlJc w:val="left"/>
        <w:pPr>
          <w:tabs>
            <w:tab w:val="num" w:pos="3687"/>
          </w:tabs>
          <w:ind w:left="3687" w:hanging="2552"/>
        </w:pPr>
        <w:rPr>
          <w:rFonts w:ascii="Arial" w:hAnsi="Arial" w:hint="default"/>
          <w:b/>
          <w:color w:val="auto"/>
          <w:sz w:val="44"/>
        </w:rPr>
      </w:lvl>
    </w:lvlOverride>
    <w:lvlOverride w:ilvl="1">
      <w:lvl w:ilvl="1">
        <w:start w:val="1"/>
        <w:numFmt w:val="decimal"/>
        <w:lvlText w:val="%1.%2"/>
        <w:lvlJc w:val="left"/>
        <w:pPr>
          <w:tabs>
            <w:tab w:val="num" w:pos="1815"/>
          </w:tabs>
          <w:ind w:left="1815" w:hanging="680"/>
        </w:pPr>
        <w:rPr>
          <w:rFonts w:ascii="Arial" w:hAnsi="Arial" w:hint="default"/>
          <w:b/>
          <w:color w:val="auto"/>
          <w:sz w:val="28"/>
        </w:rPr>
      </w:lvl>
    </w:lvlOverride>
    <w:lvlOverride w:ilvl="2">
      <w:lvl w:ilvl="2">
        <w:start w:val="1"/>
        <w:numFmt w:val="decimal"/>
        <w:lvlText w:val="%1.%2.%3"/>
        <w:lvlJc w:val="left"/>
        <w:pPr>
          <w:tabs>
            <w:tab w:val="num" w:pos="1815"/>
          </w:tabs>
          <w:ind w:left="1815" w:hanging="680"/>
        </w:pPr>
        <w:rPr>
          <w:rFonts w:ascii="Arial" w:hAnsi="Arial" w:hint="default"/>
          <w:b/>
          <w:color w:val="auto"/>
          <w:sz w:val="24"/>
        </w:rPr>
      </w:lvl>
    </w:lvlOverride>
  </w:num>
  <w:num w:numId="11">
    <w:abstractNumId w:val="6"/>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2"/>
  </w:num>
  <w:num w:numId="15">
    <w:abstractNumId w:val="10"/>
  </w:num>
  <w:num w:numId="16">
    <w:abstractNumId w:val="19"/>
  </w:num>
  <w:num w:numId="17">
    <w:abstractNumId w:val="22"/>
  </w:num>
  <w:num w:numId="18">
    <w:abstractNumId w:val="3"/>
  </w:num>
  <w:num w:numId="19">
    <w:abstractNumId w:val="13"/>
  </w:num>
  <w:num w:numId="20">
    <w:abstractNumId w:val="16"/>
  </w:num>
  <w:num w:numId="21">
    <w:abstractNumId w:val="11"/>
  </w:num>
  <w:num w:numId="22">
    <w:abstractNumId w:val="8"/>
  </w:num>
  <w:num w:numId="23">
    <w:abstractNumId w:val="28"/>
  </w:num>
  <w:num w:numId="24">
    <w:abstractNumId w:val="26"/>
  </w:num>
  <w:num w:numId="25">
    <w:abstractNumId w:val="21"/>
    <w:lvlOverride w:ilvl="0">
      <w:lvl w:ilvl="0">
        <w:start w:val="1"/>
        <w:numFmt w:val="upperLetter"/>
        <w:pStyle w:val="Head1-Appendix"/>
        <w:lvlText w:val="Appendix %1"/>
        <w:lvlJc w:val="left"/>
        <w:pPr>
          <w:tabs>
            <w:tab w:val="num" w:pos="3687"/>
          </w:tabs>
          <w:ind w:left="3687" w:hanging="2552"/>
        </w:pPr>
        <w:rPr>
          <w:rFonts w:ascii="Arial" w:hAnsi="Arial" w:hint="default"/>
          <w:b/>
          <w:color w:val="auto"/>
          <w:sz w:val="44"/>
        </w:rPr>
      </w:lvl>
    </w:lvlOverride>
    <w:lvlOverride w:ilvl="1">
      <w:lvl w:ilvl="1">
        <w:start w:val="1"/>
        <w:numFmt w:val="decimal"/>
        <w:lvlText w:val="%1.%2"/>
        <w:lvlJc w:val="left"/>
        <w:pPr>
          <w:tabs>
            <w:tab w:val="num" w:pos="1815"/>
          </w:tabs>
          <w:ind w:left="1815" w:hanging="680"/>
        </w:pPr>
        <w:rPr>
          <w:rFonts w:ascii="Arial" w:hAnsi="Arial" w:hint="default"/>
          <w:b/>
          <w:color w:val="auto"/>
          <w:sz w:val="28"/>
        </w:rPr>
      </w:lvl>
    </w:lvlOverride>
    <w:lvlOverride w:ilvl="2">
      <w:lvl w:ilvl="2">
        <w:start w:val="1"/>
        <w:numFmt w:val="decimal"/>
        <w:lvlText w:val="%1.%2.%3"/>
        <w:lvlJc w:val="left"/>
        <w:pPr>
          <w:tabs>
            <w:tab w:val="num" w:pos="1815"/>
          </w:tabs>
          <w:ind w:left="1815" w:hanging="680"/>
        </w:pPr>
        <w:rPr>
          <w:rFonts w:ascii="Arial" w:hAnsi="Arial" w:hint="default"/>
          <w:b/>
          <w:color w:val="auto"/>
          <w:sz w:val="24"/>
        </w:rPr>
      </w:lvl>
    </w:lvlOverride>
  </w:num>
  <w:num w:numId="26">
    <w:abstractNumId w:val="21"/>
    <w:lvlOverride w:ilvl="0">
      <w:lvl w:ilvl="0">
        <w:start w:val="1"/>
        <w:numFmt w:val="upperLetter"/>
        <w:pStyle w:val="Head1-Appendix"/>
        <w:lvlText w:val="Appendix %1"/>
        <w:lvlJc w:val="left"/>
        <w:pPr>
          <w:tabs>
            <w:tab w:val="num" w:pos="3687"/>
          </w:tabs>
          <w:ind w:left="3687" w:hanging="2552"/>
        </w:pPr>
        <w:rPr>
          <w:rFonts w:ascii="Arial" w:hAnsi="Arial" w:hint="default"/>
          <w:b/>
          <w:color w:val="auto"/>
          <w:sz w:val="44"/>
        </w:rPr>
      </w:lvl>
    </w:lvlOverride>
    <w:lvlOverride w:ilvl="1">
      <w:lvl w:ilvl="1">
        <w:start w:val="1"/>
        <w:numFmt w:val="decimal"/>
        <w:lvlText w:val="%1.%2"/>
        <w:lvlJc w:val="left"/>
        <w:pPr>
          <w:tabs>
            <w:tab w:val="num" w:pos="1815"/>
          </w:tabs>
          <w:ind w:left="1815" w:hanging="680"/>
        </w:pPr>
        <w:rPr>
          <w:rFonts w:ascii="Arial" w:hAnsi="Arial" w:hint="default"/>
          <w:b/>
          <w:color w:val="auto"/>
          <w:sz w:val="28"/>
        </w:rPr>
      </w:lvl>
    </w:lvlOverride>
    <w:lvlOverride w:ilvl="2">
      <w:lvl w:ilvl="2">
        <w:start w:val="1"/>
        <w:numFmt w:val="decimal"/>
        <w:lvlText w:val="%1.%2.%3"/>
        <w:lvlJc w:val="left"/>
        <w:pPr>
          <w:tabs>
            <w:tab w:val="num" w:pos="1815"/>
          </w:tabs>
          <w:ind w:left="1815" w:hanging="680"/>
        </w:pPr>
        <w:rPr>
          <w:rFonts w:ascii="Arial" w:hAnsi="Arial" w:hint="default"/>
          <w:b/>
          <w:color w:val="auto"/>
          <w:sz w:val="24"/>
        </w:rPr>
      </w:lvl>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6"/>
  </w:num>
  <w:num w:numId="30">
    <w:abstractNumId w:val="30"/>
  </w:num>
  <w:num w:numId="31">
    <w:abstractNumId w:val="14"/>
  </w:num>
  <w:num w:numId="32">
    <w:abstractNumId w:val="18"/>
  </w:num>
  <w:num w:numId="33">
    <w:abstractNumId w:val="2"/>
  </w:num>
  <w:num w:numId="34">
    <w:abstractNumId w:val="25"/>
  </w:num>
  <w:num w:numId="35">
    <w:abstractNumId w:val="5"/>
  </w:num>
  <w:num w:numId="36">
    <w:abstractNumId w:val="24"/>
  </w:num>
  <w:num w:numId="37">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printFractionalCharacterWidth/>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efaultTableStyle w:val="NTCtable"/>
  <w:displayHorizontalDrawingGridEvery w:val="0"/>
  <w:displayVerticalDrawingGridEvery w:val="0"/>
  <w:doNotUseMarginsForDrawingGridOrigin/>
  <w:doNotShadeFormData/>
  <w:noPunctuationKerning/>
  <w:characterSpacingControl w:val="doNotCompress"/>
  <w:hdrShapeDefaults>
    <o:shapedefaults v:ext="edit" spidmax="2052" fillcolor="white" stroke="f" strokecolor="blue">
      <v:fill color="white"/>
      <v:stroke color="blu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AB3"/>
    <w:rsid w:val="00000EB3"/>
    <w:rsid w:val="00000F5B"/>
    <w:rsid w:val="00001B4A"/>
    <w:rsid w:val="00002632"/>
    <w:rsid w:val="00004025"/>
    <w:rsid w:val="00005866"/>
    <w:rsid w:val="000119A2"/>
    <w:rsid w:val="000136A9"/>
    <w:rsid w:val="0001514E"/>
    <w:rsid w:val="000155B8"/>
    <w:rsid w:val="000165BE"/>
    <w:rsid w:val="000231A1"/>
    <w:rsid w:val="000235EC"/>
    <w:rsid w:val="00023949"/>
    <w:rsid w:val="000251B1"/>
    <w:rsid w:val="000262AE"/>
    <w:rsid w:val="0003015F"/>
    <w:rsid w:val="00030B46"/>
    <w:rsid w:val="00030D0A"/>
    <w:rsid w:val="0003323B"/>
    <w:rsid w:val="00035EB2"/>
    <w:rsid w:val="000374C7"/>
    <w:rsid w:val="0003785F"/>
    <w:rsid w:val="0004236A"/>
    <w:rsid w:val="00044E07"/>
    <w:rsid w:val="00045A84"/>
    <w:rsid w:val="000465F8"/>
    <w:rsid w:val="00046C31"/>
    <w:rsid w:val="00046DAD"/>
    <w:rsid w:val="0005238F"/>
    <w:rsid w:val="00054834"/>
    <w:rsid w:val="000548BF"/>
    <w:rsid w:val="000564F0"/>
    <w:rsid w:val="00056FC4"/>
    <w:rsid w:val="00057FBA"/>
    <w:rsid w:val="00061B7B"/>
    <w:rsid w:val="0006264D"/>
    <w:rsid w:val="00063C8B"/>
    <w:rsid w:val="00064A76"/>
    <w:rsid w:val="00064FF5"/>
    <w:rsid w:val="00067482"/>
    <w:rsid w:val="0007258A"/>
    <w:rsid w:val="00076A24"/>
    <w:rsid w:val="000805A1"/>
    <w:rsid w:val="00081BEA"/>
    <w:rsid w:val="00081DB8"/>
    <w:rsid w:val="000827FE"/>
    <w:rsid w:val="00084002"/>
    <w:rsid w:val="000840B0"/>
    <w:rsid w:val="00086DEF"/>
    <w:rsid w:val="0009032B"/>
    <w:rsid w:val="00092608"/>
    <w:rsid w:val="00092C83"/>
    <w:rsid w:val="00094880"/>
    <w:rsid w:val="0009766D"/>
    <w:rsid w:val="00097BF7"/>
    <w:rsid w:val="000A00ED"/>
    <w:rsid w:val="000A2627"/>
    <w:rsid w:val="000A4026"/>
    <w:rsid w:val="000A4214"/>
    <w:rsid w:val="000A69FF"/>
    <w:rsid w:val="000A71B2"/>
    <w:rsid w:val="000A7779"/>
    <w:rsid w:val="000B39CF"/>
    <w:rsid w:val="000B42A6"/>
    <w:rsid w:val="000B5718"/>
    <w:rsid w:val="000B5EB0"/>
    <w:rsid w:val="000B6F27"/>
    <w:rsid w:val="000C07FB"/>
    <w:rsid w:val="000C332E"/>
    <w:rsid w:val="000C3569"/>
    <w:rsid w:val="000C3C33"/>
    <w:rsid w:val="000C5597"/>
    <w:rsid w:val="000C73DC"/>
    <w:rsid w:val="000C76B7"/>
    <w:rsid w:val="000D0409"/>
    <w:rsid w:val="000D19A8"/>
    <w:rsid w:val="000D2FAF"/>
    <w:rsid w:val="000D40B5"/>
    <w:rsid w:val="000E05E3"/>
    <w:rsid w:val="000E10AB"/>
    <w:rsid w:val="000E11BC"/>
    <w:rsid w:val="000E1F72"/>
    <w:rsid w:val="000E23F6"/>
    <w:rsid w:val="000E43E7"/>
    <w:rsid w:val="000E4481"/>
    <w:rsid w:val="000E6573"/>
    <w:rsid w:val="000E6FE3"/>
    <w:rsid w:val="000E710B"/>
    <w:rsid w:val="000F0980"/>
    <w:rsid w:val="000F0CB6"/>
    <w:rsid w:val="000F5AF9"/>
    <w:rsid w:val="000F5ECD"/>
    <w:rsid w:val="000F6F83"/>
    <w:rsid w:val="000F7695"/>
    <w:rsid w:val="00100A64"/>
    <w:rsid w:val="0010116D"/>
    <w:rsid w:val="00102389"/>
    <w:rsid w:val="00102537"/>
    <w:rsid w:val="00102CBA"/>
    <w:rsid w:val="00107AB7"/>
    <w:rsid w:val="00112D1C"/>
    <w:rsid w:val="00113E6E"/>
    <w:rsid w:val="00116E90"/>
    <w:rsid w:val="001220A7"/>
    <w:rsid w:val="00122E3B"/>
    <w:rsid w:val="001233C7"/>
    <w:rsid w:val="001258D0"/>
    <w:rsid w:val="00130037"/>
    <w:rsid w:val="00132347"/>
    <w:rsid w:val="001344E3"/>
    <w:rsid w:val="0013468B"/>
    <w:rsid w:val="001357F6"/>
    <w:rsid w:val="00136545"/>
    <w:rsid w:val="00136D1B"/>
    <w:rsid w:val="0013734D"/>
    <w:rsid w:val="00142EEE"/>
    <w:rsid w:val="00144E3F"/>
    <w:rsid w:val="00144FFC"/>
    <w:rsid w:val="00146486"/>
    <w:rsid w:val="001471D8"/>
    <w:rsid w:val="00150EFE"/>
    <w:rsid w:val="00151787"/>
    <w:rsid w:val="00152DB7"/>
    <w:rsid w:val="00153B7E"/>
    <w:rsid w:val="00157DF9"/>
    <w:rsid w:val="001600CB"/>
    <w:rsid w:val="00160167"/>
    <w:rsid w:val="001604BF"/>
    <w:rsid w:val="00160A93"/>
    <w:rsid w:val="00162780"/>
    <w:rsid w:val="00162A43"/>
    <w:rsid w:val="001647CB"/>
    <w:rsid w:val="001651DD"/>
    <w:rsid w:val="0016666B"/>
    <w:rsid w:val="0016754C"/>
    <w:rsid w:val="00167B05"/>
    <w:rsid w:val="00167F45"/>
    <w:rsid w:val="00171113"/>
    <w:rsid w:val="001723FD"/>
    <w:rsid w:val="00172B7E"/>
    <w:rsid w:val="00173F51"/>
    <w:rsid w:val="00174353"/>
    <w:rsid w:val="0017662E"/>
    <w:rsid w:val="00176F81"/>
    <w:rsid w:val="001813FF"/>
    <w:rsid w:val="00185C29"/>
    <w:rsid w:val="00191490"/>
    <w:rsid w:val="00191E51"/>
    <w:rsid w:val="00192625"/>
    <w:rsid w:val="00193AD3"/>
    <w:rsid w:val="0019414F"/>
    <w:rsid w:val="001A02B5"/>
    <w:rsid w:val="001A2036"/>
    <w:rsid w:val="001A39C4"/>
    <w:rsid w:val="001A3A63"/>
    <w:rsid w:val="001A56D5"/>
    <w:rsid w:val="001A5ADB"/>
    <w:rsid w:val="001A662B"/>
    <w:rsid w:val="001A751B"/>
    <w:rsid w:val="001A7FF4"/>
    <w:rsid w:val="001B23A7"/>
    <w:rsid w:val="001B687A"/>
    <w:rsid w:val="001C4543"/>
    <w:rsid w:val="001C4646"/>
    <w:rsid w:val="001D0398"/>
    <w:rsid w:val="001D050C"/>
    <w:rsid w:val="001D0FBE"/>
    <w:rsid w:val="001D1AFB"/>
    <w:rsid w:val="001D284D"/>
    <w:rsid w:val="001D3935"/>
    <w:rsid w:val="001D410B"/>
    <w:rsid w:val="001D43A9"/>
    <w:rsid w:val="001E05B0"/>
    <w:rsid w:val="001E10F3"/>
    <w:rsid w:val="001E3871"/>
    <w:rsid w:val="001E3977"/>
    <w:rsid w:val="001E3E73"/>
    <w:rsid w:val="001E47EF"/>
    <w:rsid w:val="001E575D"/>
    <w:rsid w:val="001E6A84"/>
    <w:rsid w:val="001E7108"/>
    <w:rsid w:val="001F0284"/>
    <w:rsid w:val="001F2BCE"/>
    <w:rsid w:val="001F397C"/>
    <w:rsid w:val="001F5B1E"/>
    <w:rsid w:val="001F62E1"/>
    <w:rsid w:val="00200868"/>
    <w:rsid w:val="00202913"/>
    <w:rsid w:val="00202B92"/>
    <w:rsid w:val="00204A2B"/>
    <w:rsid w:val="0020612F"/>
    <w:rsid w:val="002063F3"/>
    <w:rsid w:val="00206BA2"/>
    <w:rsid w:val="002101F6"/>
    <w:rsid w:val="00210749"/>
    <w:rsid w:val="00211937"/>
    <w:rsid w:val="002120F1"/>
    <w:rsid w:val="002159A1"/>
    <w:rsid w:val="0021673F"/>
    <w:rsid w:val="0021704C"/>
    <w:rsid w:val="00217BCF"/>
    <w:rsid w:val="00220C06"/>
    <w:rsid w:val="002227E7"/>
    <w:rsid w:val="00223249"/>
    <w:rsid w:val="00225C55"/>
    <w:rsid w:val="00226183"/>
    <w:rsid w:val="002275D4"/>
    <w:rsid w:val="0023256C"/>
    <w:rsid w:val="002326B6"/>
    <w:rsid w:val="00232ADD"/>
    <w:rsid w:val="00234583"/>
    <w:rsid w:val="00234E36"/>
    <w:rsid w:val="00235F95"/>
    <w:rsid w:val="0023604D"/>
    <w:rsid w:val="00237E1B"/>
    <w:rsid w:val="002408FC"/>
    <w:rsid w:val="00245724"/>
    <w:rsid w:val="00246C7A"/>
    <w:rsid w:val="00247AC8"/>
    <w:rsid w:val="00251603"/>
    <w:rsid w:val="0025379A"/>
    <w:rsid w:val="00255B03"/>
    <w:rsid w:val="00260E88"/>
    <w:rsid w:val="00261322"/>
    <w:rsid w:val="002619C4"/>
    <w:rsid w:val="002707BA"/>
    <w:rsid w:val="002728A3"/>
    <w:rsid w:val="00272CC0"/>
    <w:rsid w:val="00272D25"/>
    <w:rsid w:val="00272E28"/>
    <w:rsid w:val="00274A65"/>
    <w:rsid w:val="00274FC0"/>
    <w:rsid w:val="002753A2"/>
    <w:rsid w:val="0027630A"/>
    <w:rsid w:val="00277F1D"/>
    <w:rsid w:val="0028122B"/>
    <w:rsid w:val="0028139F"/>
    <w:rsid w:val="0029138E"/>
    <w:rsid w:val="00292CDF"/>
    <w:rsid w:val="00293AA3"/>
    <w:rsid w:val="0029406C"/>
    <w:rsid w:val="00294554"/>
    <w:rsid w:val="00295FAE"/>
    <w:rsid w:val="00296687"/>
    <w:rsid w:val="00297063"/>
    <w:rsid w:val="002A0055"/>
    <w:rsid w:val="002A0252"/>
    <w:rsid w:val="002A3428"/>
    <w:rsid w:val="002A372D"/>
    <w:rsid w:val="002A38A0"/>
    <w:rsid w:val="002A481E"/>
    <w:rsid w:val="002A5274"/>
    <w:rsid w:val="002A634A"/>
    <w:rsid w:val="002B14B7"/>
    <w:rsid w:val="002B238D"/>
    <w:rsid w:val="002B2ECC"/>
    <w:rsid w:val="002B4452"/>
    <w:rsid w:val="002C0FCD"/>
    <w:rsid w:val="002C131D"/>
    <w:rsid w:val="002C2DF8"/>
    <w:rsid w:val="002C3711"/>
    <w:rsid w:val="002C3A7A"/>
    <w:rsid w:val="002C4F97"/>
    <w:rsid w:val="002C5CA3"/>
    <w:rsid w:val="002C6D5B"/>
    <w:rsid w:val="002D3A7F"/>
    <w:rsid w:val="002D5171"/>
    <w:rsid w:val="002D72FA"/>
    <w:rsid w:val="002D7AB3"/>
    <w:rsid w:val="002E1E46"/>
    <w:rsid w:val="002E2D1B"/>
    <w:rsid w:val="002E4185"/>
    <w:rsid w:val="002E4618"/>
    <w:rsid w:val="002E47E9"/>
    <w:rsid w:val="002E529F"/>
    <w:rsid w:val="002E549E"/>
    <w:rsid w:val="002E74BC"/>
    <w:rsid w:val="002F046B"/>
    <w:rsid w:val="002F4DD7"/>
    <w:rsid w:val="002F5781"/>
    <w:rsid w:val="002F5D4A"/>
    <w:rsid w:val="00301959"/>
    <w:rsid w:val="00301EB0"/>
    <w:rsid w:val="00303646"/>
    <w:rsid w:val="00304F93"/>
    <w:rsid w:val="00305366"/>
    <w:rsid w:val="00310A60"/>
    <w:rsid w:val="00313FED"/>
    <w:rsid w:val="003143D5"/>
    <w:rsid w:val="00314919"/>
    <w:rsid w:val="00314DA3"/>
    <w:rsid w:val="00315195"/>
    <w:rsid w:val="00316A8B"/>
    <w:rsid w:val="00316B54"/>
    <w:rsid w:val="0031747F"/>
    <w:rsid w:val="00320ECC"/>
    <w:rsid w:val="00321CA2"/>
    <w:rsid w:val="00321D5A"/>
    <w:rsid w:val="0032328D"/>
    <w:rsid w:val="0032464F"/>
    <w:rsid w:val="00324A0D"/>
    <w:rsid w:val="00324B1C"/>
    <w:rsid w:val="00327762"/>
    <w:rsid w:val="00327936"/>
    <w:rsid w:val="00333457"/>
    <w:rsid w:val="003347F2"/>
    <w:rsid w:val="003402EC"/>
    <w:rsid w:val="00341DA7"/>
    <w:rsid w:val="003423C5"/>
    <w:rsid w:val="00342857"/>
    <w:rsid w:val="00342ECA"/>
    <w:rsid w:val="00346EF0"/>
    <w:rsid w:val="0034717B"/>
    <w:rsid w:val="00352D4C"/>
    <w:rsid w:val="003531E2"/>
    <w:rsid w:val="00354397"/>
    <w:rsid w:val="003548BE"/>
    <w:rsid w:val="00354FE0"/>
    <w:rsid w:val="00355612"/>
    <w:rsid w:val="0035599B"/>
    <w:rsid w:val="00360DE4"/>
    <w:rsid w:val="00361CCD"/>
    <w:rsid w:val="00362B49"/>
    <w:rsid w:val="003639AB"/>
    <w:rsid w:val="0036593B"/>
    <w:rsid w:val="00367648"/>
    <w:rsid w:val="00367D39"/>
    <w:rsid w:val="0037192E"/>
    <w:rsid w:val="00373D6C"/>
    <w:rsid w:val="00375051"/>
    <w:rsid w:val="003750FB"/>
    <w:rsid w:val="003764F4"/>
    <w:rsid w:val="00391FCC"/>
    <w:rsid w:val="00392148"/>
    <w:rsid w:val="003925A3"/>
    <w:rsid w:val="003934DB"/>
    <w:rsid w:val="00393FC8"/>
    <w:rsid w:val="00394A99"/>
    <w:rsid w:val="00396061"/>
    <w:rsid w:val="0039713F"/>
    <w:rsid w:val="003A01A6"/>
    <w:rsid w:val="003A0300"/>
    <w:rsid w:val="003A28BA"/>
    <w:rsid w:val="003A3BB9"/>
    <w:rsid w:val="003A3F8F"/>
    <w:rsid w:val="003A5997"/>
    <w:rsid w:val="003A675F"/>
    <w:rsid w:val="003A71E2"/>
    <w:rsid w:val="003B0C4C"/>
    <w:rsid w:val="003B11F2"/>
    <w:rsid w:val="003B2D0B"/>
    <w:rsid w:val="003B2D85"/>
    <w:rsid w:val="003B331A"/>
    <w:rsid w:val="003B37E4"/>
    <w:rsid w:val="003B44C1"/>
    <w:rsid w:val="003B799D"/>
    <w:rsid w:val="003C152F"/>
    <w:rsid w:val="003C4C0A"/>
    <w:rsid w:val="003C5528"/>
    <w:rsid w:val="003C7F45"/>
    <w:rsid w:val="003D1758"/>
    <w:rsid w:val="003D1C0E"/>
    <w:rsid w:val="003D4FFB"/>
    <w:rsid w:val="003D7D8F"/>
    <w:rsid w:val="003E1488"/>
    <w:rsid w:val="003E51AD"/>
    <w:rsid w:val="003F2AEA"/>
    <w:rsid w:val="003F2E69"/>
    <w:rsid w:val="003F378D"/>
    <w:rsid w:val="003F493B"/>
    <w:rsid w:val="003F4A57"/>
    <w:rsid w:val="003F6617"/>
    <w:rsid w:val="003F7D74"/>
    <w:rsid w:val="004011D9"/>
    <w:rsid w:val="0040257D"/>
    <w:rsid w:val="00404EE2"/>
    <w:rsid w:val="004062F2"/>
    <w:rsid w:val="004071B7"/>
    <w:rsid w:val="00410291"/>
    <w:rsid w:val="00416DF9"/>
    <w:rsid w:val="0042038D"/>
    <w:rsid w:val="00424004"/>
    <w:rsid w:val="00425B36"/>
    <w:rsid w:val="0043401A"/>
    <w:rsid w:val="0043504D"/>
    <w:rsid w:val="00435F01"/>
    <w:rsid w:val="00442093"/>
    <w:rsid w:val="004425A9"/>
    <w:rsid w:val="00442A51"/>
    <w:rsid w:val="004434E1"/>
    <w:rsid w:val="004444A8"/>
    <w:rsid w:val="00444B03"/>
    <w:rsid w:val="00447B80"/>
    <w:rsid w:val="00450CEC"/>
    <w:rsid w:val="00451597"/>
    <w:rsid w:val="004543DE"/>
    <w:rsid w:val="00455B80"/>
    <w:rsid w:val="00455ECE"/>
    <w:rsid w:val="0045766A"/>
    <w:rsid w:val="00463103"/>
    <w:rsid w:val="00467072"/>
    <w:rsid w:val="004670ED"/>
    <w:rsid w:val="004673CE"/>
    <w:rsid w:val="00467F70"/>
    <w:rsid w:val="00470951"/>
    <w:rsid w:val="0047137C"/>
    <w:rsid w:val="00472B49"/>
    <w:rsid w:val="00473502"/>
    <w:rsid w:val="00473990"/>
    <w:rsid w:val="004740A9"/>
    <w:rsid w:val="00476D2F"/>
    <w:rsid w:val="0048062A"/>
    <w:rsid w:val="004808C5"/>
    <w:rsid w:val="0048121D"/>
    <w:rsid w:val="00481273"/>
    <w:rsid w:val="004829F5"/>
    <w:rsid w:val="00483188"/>
    <w:rsid w:val="00483650"/>
    <w:rsid w:val="004836C8"/>
    <w:rsid w:val="004842B8"/>
    <w:rsid w:val="00485524"/>
    <w:rsid w:val="00485EBD"/>
    <w:rsid w:val="00486AF0"/>
    <w:rsid w:val="00493A5C"/>
    <w:rsid w:val="00494FE7"/>
    <w:rsid w:val="004972E9"/>
    <w:rsid w:val="004A00CA"/>
    <w:rsid w:val="004A0582"/>
    <w:rsid w:val="004A38A6"/>
    <w:rsid w:val="004A70B5"/>
    <w:rsid w:val="004B1D82"/>
    <w:rsid w:val="004B2E8E"/>
    <w:rsid w:val="004B30CE"/>
    <w:rsid w:val="004B3866"/>
    <w:rsid w:val="004B3EA5"/>
    <w:rsid w:val="004B4170"/>
    <w:rsid w:val="004B5404"/>
    <w:rsid w:val="004B557F"/>
    <w:rsid w:val="004B7308"/>
    <w:rsid w:val="004C0761"/>
    <w:rsid w:val="004C1FBD"/>
    <w:rsid w:val="004C43DF"/>
    <w:rsid w:val="004C574A"/>
    <w:rsid w:val="004C5A31"/>
    <w:rsid w:val="004C6304"/>
    <w:rsid w:val="004D1A16"/>
    <w:rsid w:val="004D2217"/>
    <w:rsid w:val="004D2A39"/>
    <w:rsid w:val="004D413C"/>
    <w:rsid w:val="004D42BA"/>
    <w:rsid w:val="004D4C7C"/>
    <w:rsid w:val="004D5BD9"/>
    <w:rsid w:val="004D63AC"/>
    <w:rsid w:val="004D74BC"/>
    <w:rsid w:val="004E068F"/>
    <w:rsid w:val="004E0EC8"/>
    <w:rsid w:val="004E2083"/>
    <w:rsid w:val="004E2BBF"/>
    <w:rsid w:val="004E31D1"/>
    <w:rsid w:val="004E5167"/>
    <w:rsid w:val="004E64ED"/>
    <w:rsid w:val="004F1DB4"/>
    <w:rsid w:val="004F3BB2"/>
    <w:rsid w:val="004F3C74"/>
    <w:rsid w:val="004F4552"/>
    <w:rsid w:val="004F742C"/>
    <w:rsid w:val="004F7D11"/>
    <w:rsid w:val="00500196"/>
    <w:rsid w:val="00501519"/>
    <w:rsid w:val="00502908"/>
    <w:rsid w:val="00507FEC"/>
    <w:rsid w:val="00510387"/>
    <w:rsid w:val="00511A99"/>
    <w:rsid w:val="00516D58"/>
    <w:rsid w:val="005211B9"/>
    <w:rsid w:val="00521594"/>
    <w:rsid w:val="005215F2"/>
    <w:rsid w:val="00521CFE"/>
    <w:rsid w:val="00522ED2"/>
    <w:rsid w:val="005241AC"/>
    <w:rsid w:val="005256A3"/>
    <w:rsid w:val="005257C4"/>
    <w:rsid w:val="00525B9D"/>
    <w:rsid w:val="00525EF9"/>
    <w:rsid w:val="00526B0C"/>
    <w:rsid w:val="0052798B"/>
    <w:rsid w:val="0053122C"/>
    <w:rsid w:val="00531ECC"/>
    <w:rsid w:val="00533E42"/>
    <w:rsid w:val="0053426F"/>
    <w:rsid w:val="00540927"/>
    <w:rsid w:val="00541E3B"/>
    <w:rsid w:val="00543B22"/>
    <w:rsid w:val="0054411C"/>
    <w:rsid w:val="00545F15"/>
    <w:rsid w:val="0054726B"/>
    <w:rsid w:val="00551538"/>
    <w:rsid w:val="005535BF"/>
    <w:rsid w:val="00554ADD"/>
    <w:rsid w:val="00556C34"/>
    <w:rsid w:val="00556F87"/>
    <w:rsid w:val="0056000F"/>
    <w:rsid w:val="0056001C"/>
    <w:rsid w:val="00560031"/>
    <w:rsid w:val="0056011B"/>
    <w:rsid w:val="00562A54"/>
    <w:rsid w:val="00562B0F"/>
    <w:rsid w:val="00563D6E"/>
    <w:rsid w:val="00565DE3"/>
    <w:rsid w:val="00567E9E"/>
    <w:rsid w:val="005707F3"/>
    <w:rsid w:val="005721E2"/>
    <w:rsid w:val="00572828"/>
    <w:rsid w:val="00573211"/>
    <w:rsid w:val="0057336A"/>
    <w:rsid w:val="005734FD"/>
    <w:rsid w:val="00574750"/>
    <w:rsid w:val="00574BF2"/>
    <w:rsid w:val="0058193F"/>
    <w:rsid w:val="00581D67"/>
    <w:rsid w:val="0058672A"/>
    <w:rsid w:val="00586B15"/>
    <w:rsid w:val="005908B7"/>
    <w:rsid w:val="00590EDA"/>
    <w:rsid w:val="00592CB9"/>
    <w:rsid w:val="00595FBE"/>
    <w:rsid w:val="005A04C4"/>
    <w:rsid w:val="005A0535"/>
    <w:rsid w:val="005A32EA"/>
    <w:rsid w:val="005A4E1E"/>
    <w:rsid w:val="005A7D63"/>
    <w:rsid w:val="005B08BE"/>
    <w:rsid w:val="005B142F"/>
    <w:rsid w:val="005B40AC"/>
    <w:rsid w:val="005B42F8"/>
    <w:rsid w:val="005B5D25"/>
    <w:rsid w:val="005B6206"/>
    <w:rsid w:val="005B7118"/>
    <w:rsid w:val="005C04B3"/>
    <w:rsid w:val="005C1C13"/>
    <w:rsid w:val="005C23DE"/>
    <w:rsid w:val="005C3D90"/>
    <w:rsid w:val="005C6C6A"/>
    <w:rsid w:val="005C6D01"/>
    <w:rsid w:val="005C6DE8"/>
    <w:rsid w:val="005D14D3"/>
    <w:rsid w:val="005D3795"/>
    <w:rsid w:val="005D578B"/>
    <w:rsid w:val="005D6C28"/>
    <w:rsid w:val="005D7AC1"/>
    <w:rsid w:val="005E19E6"/>
    <w:rsid w:val="005E1CC8"/>
    <w:rsid w:val="005E3F0A"/>
    <w:rsid w:val="005E79C4"/>
    <w:rsid w:val="005F05F1"/>
    <w:rsid w:val="005F28F2"/>
    <w:rsid w:val="005F3EC0"/>
    <w:rsid w:val="005F616B"/>
    <w:rsid w:val="005F67C3"/>
    <w:rsid w:val="005F6811"/>
    <w:rsid w:val="00600C70"/>
    <w:rsid w:val="00600C75"/>
    <w:rsid w:val="00604938"/>
    <w:rsid w:val="00605470"/>
    <w:rsid w:val="00605E03"/>
    <w:rsid w:val="00606D62"/>
    <w:rsid w:val="006158B2"/>
    <w:rsid w:val="00617025"/>
    <w:rsid w:val="00622B20"/>
    <w:rsid w:val="00623856"/>
    <w:rsid w:val="006256D5"/>
    <w:rsid w:val="00627BD9"/>
    <w:rsid w:val="00627FC7"/>
    <w:rsid w:val="006301E4"/>
    <w:rsid w:val="00630B3E"/>
    <w:rsid w:val="00631583"/>
    <w:rsid w:val="006345C8"/>
    <w:rsid w:val="0063706E"/>
    <w:rsid w:val="00641960"/>
    <w:rsid w:val="00646AF1"/>
    <w:rsid w:val="00646CCB"/>
    <w:rsid w:val="00646DA0"/>
    <w:rsid w:val="00646FC3"/>
    <w:rsid w:val="006476B1"/>
    <w:rsid w:val="00655669"/>
    <w:rsid w:val="006560E3"/>
    <w:rsid w:val="00656C96"/>
    <w:rsid w:val="006601BA"/>
    <w:rsid w:val="00661321"/>
    <w:rsid w:val="00662A7C"/>
    <w:rsid w:val="0066403A"/>
    <w:rsid w:val="006645E2"/>
    <w:rsid w:val="0066564E"/>
    <w:rsid w:val="00665A6F"/>
    <w:rsid w:val="00666D80"/>
    <w:rsid w:val="0067041B"/>
    <w:rsid w:val="00671CD6"/>
    <w:rsid w:val="00673E9F"/>
    <w:rsid w:val="006763AA"/>
    <w:rsid w:val="00684E8B"/>
    <w:rsid w:val="0068671E"/>
    <w:rsid w:val="00687B51"/>
    <w:rsid w:val="00690C2A"/>
    <w:rsid w:val="0069135C"/>
    <w:rsid w:val="0069150C"/>
    <w:rsid w:val="00692305"/>
    <w:rsid w:val="006927F9"/>
    <w:rsid w:val="00692819"/>
    <w:rsid w:val="00692E51"/>
    <w:rsid w:val="00694DF8"/>
    <w:rsid w:val="00695010"/>
    <w:rsid w:val="00697667"/>
    <w:rsid w:val="006A277B"/>
    <w:rsid w:val="006A2B2F"/>
    <w:rsid w:val="006A36B1"/>
    <w:rsid w:val="006A4028"/>
    <w:rsid w:val="006A56BF"/>
    <w:rsid w:val="006A5C67"/>
    <w:rsid w:val="006A62AC"/>
    <w:rsid w:val="006A6DDF"/>
    <w:rsid w:val="006B0A9B"/>
    <w:rsid w:val="006B0D7E"/>
    <w:rsid w:val="006B12AF"/>
    <w:rsid w:val="006B182C"/>
    <w:rsid w:val="006B2DFE"/>
    <w:rsid w:val="006B38A7"/>
    <w:rsid w:val="006B560E"/>
    <w:rsid w:val="006C043A"/>
    <w:rsid w:val="006C6A2B"/>
    <w:rsid w:val="006D0AC5"/>
    <w:rsid w:val="006D1A91"/>
    <w:rsid w:val="006D3223"/>
    <w:rsid w:val="006D367D"/>
    <w:rsid w:val="006D42A9"/>
    <w:rsid w:val="006D509A"/>
    <w:rsid w:val="006D5275"/>
    <w:rsid w:val="006D53B2"/>
    <w:rsid w:val="006D5E58"/>
    <w:rsid w:val="006D7A96"/>
    <w:rsid w:val="006D7B91"/>
    <w:rsid w:val="006E2F0E"/>
    <w:rsid w:val="006E6539"/>
    <w:rsid w:val="006F0F7E"/>
    <w:rsid w:val="006F10A7"/>
    <w:rsid w:val="006F3204"/>
    <w:rsid w:val="006F5F03"/>
    <w:rsid w:val="006F6BD4"/>
    <w:rsid w:val="007044D2"/>
    <w:rsid w:val="007128E6"/>
    <w:rsid w:val="00713747"/>
    <w:rsid w:val="0071483B"/>
    <w:rsid w:val="00714E11"/>
    <w:rsid w:val="00717B30"/>
    <w:rsid w:val="00724981"/>
    <w:rsid w:val="0072577E"/>
    <w:rsid w:val="007269BF"/>
    <w:rsid w:val="007304E4"/>
    <w:rsid w:val="00731E6D"/>
    <w:rsid w:val="0073258F"/>
    <w:rsid w:val="00735BB8"/>
    <w:rsid w:val="00744D8D"/>
    <w:rsid w:val="007463FA"/>
    <w:rsid w:val="00747009"/>
    <w:rsid w:val="00751CD1"/>
    <w:rsid w:val="00752BFA"/>
    <w:rsid w:val="007534FE"/>
    <w:rsid w:val="00754144"/>
    <w:rsid w:val="00754313"/>
    <w:rsid w:val="007548BA"/>
    <w:rsid w:val="007579FA"/>
    <w:rsid w:val="007607C4"/>
    <w:rsid w:val="00767A7E"/>
    <w:rsid w:val="00767AE0"/>
    <w:rsid w:val="007701BC"/>
    <w:rsid w:val="00770C96"/>
    <w:rsid w:val="0077274F"/>
    <w:rsid w:val="0077302A"/>
    <w:rsid w:val="0077316A"/>
    <w:rsid w:val="007736FC"/>
    <w:rsid w:val="00775AB1"/>
    <w:rsid w:val="0078095E"/>
    <w:rsid w:val="00781A40"/>
    <w:rsid w:val="00781E74"/>
    <w:rsid w:val="007851B7"/>
    <w:rsid w:val="00785E8A"/>
    <w:rsid w:val="007903C4"/>
    <w:rsid w:val="00792B3F"/>
    <w:rsid w:val="00792F8A"/>
    <w:rsid w:val="007942F1"/>
    <w:rsid w:val="007944C4"/>
    <w:rsid w:val="007A349D"/>
    <w:rsid w:val="007A3968"/>
    <w:rsid w:val="007A5419"/>
    <w:rsid w:val="007B1F0E"/>
    <w:rsid w:val="007B4405"/>
    <w:rsid w:val="007B4573"/>
    <w:rsid w:val="007B7922"/>
    <w:rsid w:val="007B7FA8"/>
    <w:rsid w:val="007C1626"/>
    <w:rsid w:val="007C292F"/>
    <w:rsid w:val="007C2E20"/>
    <w:rsid w:val="007C3184"/>
    <w:rsid w:val="007C414F"/>
    <w:rsid w:val="007C4743"/>
    <w:rsid w:val="007C66BC"/>
    <w:rsid w:val="007D34E3"/>
    <w:rsid w:val="007D400A"/>
    <w:rsid w:val="007D4DDF"/>
    <w:rsid w:val="007D4FFF"/>
    <w:rsid w:val="007D546D"/>
    <w:rsid w:val="007D5B3A"/>
    <w:rsid w:val="007D74E8"/>
    <w:rsid w:val="007E2F28"/>
    <w:rsid w:val="007E3765"/>
    <w:rsid w:val="007E3B8E"/>
    <w:rsid w:val="007E46FD"/>
    <w:rsid w:val="007E5027"/>
    <w:rsid w:val="007F09EE"/>
    <w:rsid w:val="007F3166"/>
    <w:rsid w:val="007F7477"/>
    <w:rsid w:val="00801CCB"/>
    <w:rsid w:val="00801F60"/>
    <w:rsid w:val="0081150F"/>
    <w:rsid w:val="00813EF8"/>
    <w:rsid w:val="00816313"/>
    <w:rsid w:val="0081670D"/>
    <w:rsid w:val="0081695B"/>
    <w:rsid w:val="00817DAB"/>
    <w:rsid w:val="00821A79"/>
    <w:rsid w:val="00823165"/>
    <w:rsid w:val="00826E6A"/>
    <w:rsid w:val="00827AA4"/>
    <w:rsid w:val="00830F9D"/>
    <w:rsid w:val="00831D30"/>
    <w:rsid w:val="008334FD"/>
    <w:rsid w:val="008346D5"/>
    <w:rsid w:val="00837113"/>
    <w:rsid w:val="008372B1"/>
    <w:rsid w:val="008438CD"/>
    <w:rsid w:val="00844057"/>
    <w:rsid w:val="00846C55"/>
    <w:rsid w:val="00846E86"/>
    <w:rsid w:val="00846F7D"/>
    <w:rsid w:val="008515F3"/>
    <w:rsid w:val="00852A88"/>
    <w:rsid w:val="00852FAD"/>
    <w:rsid w:val="008534D6"/>
    <w:rsid w:val="00854A57"/>
    <w:rsid w:val="00855491"/>
    <w:rsid w:val="00855749"/>
    <w:rsid w:val="00855B50"/>
    <w:rsid w:val="00856AF9"/>
    <w:rsid w:val="00857B27"/>
    <w:rsid w:val="00857F99"/>
    <w:rsid w:val="00860010"/>
    <w:rsid w:val="00860AAD"/>
    <w:rsid w:val="00861029"/>
    <w:rsid w:val="00861170"/>
    <w:rsid w:val="00862A36"/>
    <w:rsid w:val="008634E6"/>
    <w:rsid w:val="008722CA"/>
    <w:rsid w:val="0087255B"/>
    <w:rsid w:val="00874654"/>
    <w:rsid w:val="008758A8"/>
    <w:rsid w:val="00875998"/>
    <w:rsid w:val="0088021E"/>
    <w:rsid w:val="008806BA"/>
    <w:rsid w:val="0088079B"/>
    <w:rsid w:val="00880954"/>
    <w:rsid w:val="00882208"/>
    <w:rsid w:val="00883604"/>
    <w:rsid w:val="0088438B"/>
    <w:rsid w:val="008848FD"/>
    <w:rsid w:val="00886BE4"/>
    <w:rsid w:val="00886FAA"/>
    <w:rsid w:val="00890F1D"/>
    <w:rsid w:val="008947C6"/>
    <w:rsid w:val="00894AC5"/>
    <w:rsid w:val="00896FEE"/>
    <w:rsid w:val="00897616"/>
    <w:rsid w:val="008A15FF"/>
    <w:rsid w:val="008A2169"/>
    <w:rsid w:val="008A3964"/>
    <w:rsid w:val="008A41D9"/>
    <w:rsid w:val="008A7688"/>
    <w:rsid w:val="008B22A2"/>
    <w:rsid w:val="008B2EAA"/>
    <w:rsid w:val="008B6E8A"/>
    <w:rsid w:val="008C1D21"/>
    <w:rsid w:val="008C3B6F"/>
    <w:rsid w:val="008C4DF4"/>
    <w:rsid w:val="008C516B"/>
    <w:rsid w:val="008D2CE9"/>
    <w:rsid w:val="008D7DEF"/>
    <w:rsid w:val="008E0B25"/>
    <w:rsid w:val="008E2AD6"/>
    <w:rsid w:val="008E43FE"/>
    <w:rsid w:val="008E44AA"/>
    <w:rsid w:val="008E5296"/>
    <w:rsid w:val="008E654A"/>
    <w:rsid w:val="008E771A"/>
    <w:rsid w:val="008F1A84"/>
    <w:rsid w:val="008F20BD"/>
    <w:rsid w:val="008F2E34"/>
    <w:rsid w:val="008F3D87"/>
    <w:rsid w:val="008F48D2"/>
    <w:rsid w:val="008F58A8"/>
    <w:rsid w:val="008F730D"/>
    <w:rsid w:val="008F77F9"/>
    <w:rsid w:val="009001C2"/>
    <w:rsid w:val="009019F7"/>
    <w:rsid w:val="00904398"/>
    <w:rsid w:val="00904E87"/>
    <w:rsid w:val="00906521"/>
    <w:rsid w:val="009074B0"/>
    <w:rsid w:val="0091068A"/>
    <w:rsid w:val="00910E57"/>
    <w:rsid w:val="00912295"/>
    <w:rsid w:val="00914845"/>
    <w:rsid w:val="00916047"/>
    <w:rsid w:val="00917281"/>
    <w:rsid w:val="00917D2C"/>
    <w:rsid w:val="00920006"/>
    <w:rsid w:val="0092148C"/>
    <w:rsid w:val="009215D0"/>
    <w:rsid w:val="009219F8"/>
    <w:rsid w:val="00921EC4"/>
    <w:rsid w:val="00921EF2"/>
    <w:rsid w:val="00922297"/>
    <w:rsid w:val="0092328B"/>
    <w:rsid w:val="009234E5"/>
    <w:rsid w:val="00925CBE"/>
    <w:rsid w:val="00926D50"/>
    <w:rsid w:val="00931C9E"/>
    <w:rsid w:val="00934A8E"/>
    <w:rsid w:val="00936A28"/>
    <w:rsid w:val="009378A0"/>
    <w:rsid w:val="00940D9C"/>
    <w:rsid w:val="009415CD"/>
    <w:rsid w:val="0094199C"/>
    <w:rsid w:val="0094304B"/>
    <w:rsid w:val="00944296"/>
    <w:rsid w:val="00945078"/>
    <w:rsid w:val="009476C1"/>
    <w:rsid w:val="00947D45"/>
    <w:rsid w:val="009522B2"/>
    <w:rsid w:val="009527EE"/>
    <w:rsid w:val="00953135"/>
    <w:rsid w:val="00953491"/>
    <w:rsid w:val="00953AAF"/>
    <w:rsid w:val="00954700"/>
    <w:rsid w:val="009607EC"/>
    <w:rsid w:val="00965815"/>
    <w:rsid w:val="0096725A"/>
    <w:rsid w:val="00967BC6"/>
    <w:rsid w:val="009707AC"/>
    <w:rsid w:val="009712C1"/>
    <w:rsid w:val="009729A3"/>
    <w:rsid w:val="00972E8F"/>
    <w:rsid w:val="009752B4"/>
    <w:rsid w:val="0097712C"/>
    <w:rsid w:val="00980469"/>
    <w:rsid w:val="00980A57"/>
    <w:rsid w:val="0098106F"/>
    <w:rsid w:val="009813AC"/>
    <w:rsid w:val="009815DB"/>
    <w:rsid w:val="0098238B"/>
    <w:rsid w:val="009866D6"/>
    <w:rsid w:val="00986CBA"/>
    <w:rsid w:val="00990E2A"/>
    <w:rsid w:val="00991BBB"/>
    <w:rsid w:val="00992CD4"/>
    <w:rsid w:val="009951F2"/>
    <w:rsid w:val="0099540B"/>
    <w:rsid w:val="00997E6B"/>
    <w:rsid w:val="009A2912"/>
    <w:rsid w:val="009A3A0F"/>
    <w:rsid w:val="009A3B13"/>
    <w:rsid w:val="009A5071"/>
    <w:rsid w:val="009A57F9"/>
    <w:rsid w:val="009B2AA1"/>
    <w:rsid w:val="009B2D41"/>
    <w:rsid w:val="009B2E22"/>
    <w:rsid w:val="009B626C"/>
    <w:rsid w:val="009C0B16"/>
    <w:rsid w:val="009C132E"/>
    <w:rsid w:val="009C144C"/>
    <w:rsid w:val="009C3435"/>
    <w:rsid w:val="009C666D"/>
    <w:rsid w:val="009C6D01"/>
    <w:rsid w:val="009C6DB3"/>
    <w:rsid w:val="009D026B"/>
    <w:rsid w:val="009D2F52"/>
    <w:rsid w:val="009D36AB"/>
    <w:rsid w:val="009D3D89"/>
    <w:rsid w:val="009D3DE3"/>
    <w:rsid w:val="009D5B7A"/>
    <w:rsid w:val="009E00F8"/>
    <w:rsid w:val="009E1BAB"/>
    <w:rsid w:val="009E3B15"/>
    <w:rsid w:val="009E516F"/>
    <w:rsid w:val="009E6AE3"/>
    <w:rsid w:val="009F03A5"/>
    <w:rsid w:val="009F12C5"/>
    <w:rsid w:val="009F30A6"/>
    <w:rsid w:val="009F6471"/>
    <w:rsid w:val="009F795D"/>
    <w:rsid w:val="009F7E85"/>
    <w:rsid w:val="00A005CC"/>
    <w:rsid w:val="00A01763"/>
    <w:rsid w:val="00A03962"/>
    <w:rsid w:val="00A0766D"/>
    <w:rsid w:val="00A07774"/>
    <w:rsid w:val="00A10046"/>
    <w:rsid w:val="00A1055F"/>
    <w:rsid w:val="00A1326A"/>
    <w:rsid w:val="00A13ED7"/>
    <w:rsid w:val="00A15FFD"/>
    <w:rsid w:val="00A21D8F"/>
    <w:rsid w:val="00A22FC9"/>
    <w:rsid w:val="00A24740"/>
    <w:rsid w:val="00A30556"/>
    <w:rsid w:val="00A307EA"/>
    <w:rsid w:val="00A30AD8"/>
    <w:rsid w:val="00A32345"/>
    <w:rsid w:val="00A32386"/>
    <w:rsid w:val="00A32ED0"/>
    <w:rsid w:val="00A339E1"/>
    <w:rsid w:val="00A33C45"/>
    <w:rsid w:val="00A34EAA"/>
    <w:rsid w:val="00A358DC"/>
    <w:rsid w:val="00A36E61"/>
    <w:rsid w:val="00A37D8D"/>
    <w:rsid w:val="00A4188E"/>
    <w:rsid w:val="00A43C06"/>
    <w:rsid w:val="00A43F7D"/>
    <w:rsid w:val="00A454A1"/>
    <w:rsid w:val="00A46D85"/>
    <w:rsid w:val="00A471A0"/>
    <w:rsid w:val="00A515CC"/>
    <w:rsid w:val="00A5268C"/>
    <w:rsid w:val="00A56B49"/>
    <w:rsid w:val="00A57253"/>
    <w:rsid w:val="00A6035D"/>
    <w:rsid w:val="00A60F40"/>
    <w:rsid w:val="00A634AF"/>
    <w:rsid w:val="00A64D02"/>
    <w:rsid w:val="00A736B2"/>
    <w:rsid w:val="00A73E73"/>
    <w:rsid w:val="00A74E85"/>
    <w:rsid w:val="00A75E0F"/>
    <w:rsid w:val="00A75F7B"/>
    <w:rsid w:val="00A76DD5"/>
    <w:rsid w:val="00A77628"/>
    <w:rsid w:val="00A77B91"/>
    <w:rsid w:val="00A807B3"/>
    <w:rsid w:val="00A82777"/>
    <w:rsid w:val="00A82EF3"/>
    <w:rsid w:val="00A84212"/>
    <w:rsid w:val="00A84A9C"/>
    <w:rsid w:val="00A85719"/>
    <w:rsid w:val="00A86327"/>
    <w:rsid w:val="00A90246"/>
    <w:rsid w:val="00A9597F"/>
    <w:rsid w:val="00A96960"/>
    <w:rsid w:val="00A969FC"/>
    <w:rsid w:val="00AA0132"/>
    <w:rsid w:val="00AA1551"/>
    <w:rsid w:val="00AA3EE8"/>
    <w:rsid w:val="00AA4610"/>
    <w:rsid w:val="00AA48D3"/>
    <w:rsid w:val="00AA6B8B"/>
    <w:rsid w:val="00AA73BF"/>
    <w:rsid w:val="00AB1B17"/>
    <w:rsid w:val="00AB2B26"/>
    <w:rsid w:val="00AC1292"/>
    <w:rsid w:val="00AC66B8"/>
    <w:rsid w:val="00AD03CC"/>
    <w:rsid w:val="00AD1CD6"/>
    <w:rsid w:val="00AD6759"/>
    <w:rsid w:val="00AD6CC8"/>
    <w:rsid w:val="00AE1A37"/>
    <w:rsid w:val="00AE261B"/>
    <w:rsid w:val="00AE403E"/>
    <w:rsid w:val="00AE5617"/>
    <w:rsid w:val="00AE5D69"/>
    <w:rsid w:val="00AE709D"/>
    <w:rsid w:val="00AE7C0D"/>
    <w:rsid w:val="00AF2DA3"/>
    <w:rsid w:val="00AF34DD"/>
    <w:rsid w:val="00AF6E4E"/>
    <w:rsid w:val="00B0016F"/>
    <w:rsid w:val="00B00FA7"/>
    <w:rsid w:val="00B01A00"/>
    <w:rsid w:val="00B0218A"/>
    <w:rsid w:val="00B02856"/>
    <w:rsid w:val="00B05AC2"/>
    <w:rsid w:val="00B06C8A"/>
    <w:rsid w:val="00B06F61"/>
    <w:rsid w:val="00B076E6"/>
    <w:rsid w:val="00B07987"/>
    <w:rsid w:val="00B167E9"/>
    <w:rsid w:val="00B17944"/>
    <w:rsid w:val="00B21A55"/>
    <w:rsid w:val="00B2369A"/>
    <w:rsid w:val="00B23CE7"/>
    <w:rsid w:val="00B24D82"/>
    <w:rsid w:val="00B25148"/>
    <w:rsid w:val="00B27C07"/>
    <w:rsid w:val="00B321B6"/>
    <w:rsid w:val="00B33225"/>
    <w:rsid w:val="00B333C3"/>
    <w:rsid w:val="00B333EA"/>
    <w:rsid w:val="00B345AB"/>
    <w:rsid w:val="00B40565"/>
    <w:rsid w:val="00B405E4"/>
    <w:rsid w:val="00B4143B"/>
    <w:rsid w:val="00B43568"/>
    <w:rsid w:val="00B44E88"/>
    <w:rsid w:val="00B452ED"/>
    <w:rsid w:val="00B50F88"/>
    <w:rsid w:val="00B510E7"/>
    <w:rsid w:val="00B520CC"/>
    <w:rsid w:val="00B52197"/>
    <w:rsid w:val="00B53551"/>
    <w:rsid w:val="00B56D49"/>
    <w:rsid w:val="00B60376"/>
    <w:rsid w:val="00B60D0D"/>
    <w:rsid w:val="00B621A1"/>
    <w:rsid w:val="00B67DB7"/>
    <w:rsid w:val="00B73FB4"/>
    <w:rsid w:val="00B7418C"/>
    <w:rsid w:val="00B75665"/>
    <w:rsid w:val="00B7641C"/>
    <w:rsid w:val="00B77CFA"/>
    <w:rsid w:val="00B81FC4"/>
    <w:rsid w:val="00B82857"/>
    <w:rsid w:val="00B82928"/>
    <w:rsid w:val="00B82A42"/>
    <w:rsid w:val="00B82BC9"/>
    <w:rsid w:val="00B84ED0"/>
    <w:rsid w:val="00B85646"/>
    <w:rsid w:val="00B8709D"/>
    <w:rsid w:val="00B8749D"/>
    <w:rsid w:val="00B9246A"/>
    <w:rsid w:val="00B94DFB"/>
    <w:rsid w:val="00B951CC"/>
    <w:rsid w:val="00B97F50"/>
    <w:rsid w:val="00BA0E4B"/>
    <w:rsid w:val="00BA2AAA"/>
    <w:rsid w:val="00BA611A"/>
    <w:rsid w:val="00BA704D"/>
    <w:rsid w:val="00BA7855"/>
    <w:rsid w:val="00BB13CA"/>
    <w:rsid w:val="00BB1596"/>
    <w:rsid w:val="00BB15F9"/>
    <w:rsid w:val="00BB1871"/>
    <w:rsid w:val="00BB24EF"/>
    <w:rsid w:val="00BB31AB"/>
    <w:rsid w:val="00BB390A"/>
    <w:rsid w:val="00BB3B73"/>
    <w:rsid w:val="00BB4668"/>
    <w:rsid w:val="00BB61F3"/>
    <w:rsid w:val="00BB6F52"/>
    <w:rsid w:val="00BC1D40"/>
    <w:rsid w:val="00BC26FC"/>
    <w:rsid w:val="00BC2764"/>
    <w:rsid w:val="00BC795A"/>
    <w:rsid w:val="00BC7D31"/>
    <w:rsid w:val="00BC7F21"/>
    <w:rsid w:val="00BD387E"/>
    <w:rsid w:val="00BD5C6D"/>
    <w:rsid w:val="00BD6694"/>
    <w:rsid w:val="00BD6AB1"/>
    <w:rsid w:val="00BE22E7"/>
    <w:rsid w:val="00BE2584"/>
    <w:rsid w:val="00BE2D3C"/>
    <w:rsid w:val="00BF3611"/>
    <w:rsid w:val="00BF6197"/>
    <w:rsid w:val="00BF784B"/>
    <w:rsid w:val="00C015D4"/>
    <w:rsid w:val="00C01F8F"/>
    <w:rsid w:val="00C0317C"/>
    <w:rsid w:val="00C032A8"/>
    <w:rsid w:val="00C03714"/>
    <w:rsid w:val="00C042A4"/>
    <w:rsid w:val="00C04BBA"/>
    <w:rsid w:val="00C068BF"/>
    <w:rsid w:val="00C11352"/>
    <w:rsid w:val="00C17333"/>
    <w:rsid w:val="00C2112A"/>
    <w:rsid w:val="00C24765"/>
    <w:rsid w:val="00C24A37"/>
    <w:rsid w:val="00C263E8"/>
    <w:rsid w:val="00C31169"/>
    <w:rsid w:val="00C3272E"/>
    <w:rsid w:val="00C328F7"/>
    <w:rsid w:val="00C32A5B"/>
    <w:rsid w:val="00C32B44"/>
    <w:rsid w:val="00C34884"/>
    <w:rsid w:val="00C34C1E"/>
    <w:rsid w:val="00C34F2B"/>
    <w:rsid w:val="00C3657F"/>
    <w:rsid w:val="00C36958"/>
    <w:rsid w:val="00C41430"/>
    <w:rsid w:val="00C41997"/>
    <w:rsid w:val="00C422D5"/>
    <w:rsid w:val="00C44A73"/>
    <w:rsid w:val="00C45B16"/>
    <w:rsid w:val="00C478A5"/>
    <w:rsid w:val="00C52559"/>
    <w:rsid w:val="00C53FDD"/>
    <w:rsid w:val="00C54D05"/>
    <w:rsid w:val="00C54F68"/>
    <w:rsid w:val="00C55209"/>
    <w:rsid w:val="00C55927"/>
    <w:rsid w:val="00C569B0"/>
    <w:rsid w:val="00C636D0"/>
    <w:rsid w:val="00C64E2E"/>
    <w:rsid w:val="00C657D6"/>
    <w:rsid w:val="00C722D4"/>
    <w:rsid w:val="00C72DF4"/>
    <w:rsid w:val="00C735BE"/>
    <w:rsid w:val="00C754DA"/>
    <w:rsid w:val="00C7665A"/>
    <w:rsid w:val="00C77CE0"/>
    <w:rsid w:val="00C807DC"/>
    <w:rsid w:val="00C81671"/>
    <w:rsid w:val="00C818E3"/>
    <w:rsid w:val="00C844A7"/>
    <w:rsid w:val="00C873C7"/>
    <w:rsid w:val="00C90556"/>
    <w:rsid w:val="00C91BF9"/>
    <w:rsid w:val="00C928C9"/>
    <w:rsid w:val="00C9403C"/>
    <w:rsid w:val="00C9571C"/>
    <w:rsid w:val="00C97F8D"/>
    <w:rsid w:val="00CA1EAA"/>
    <w:rsid w:val="00CA2502"/>
    <w:rsid w:val="00CA5A4C"/>
    <w:rsid w:val="00CA79A2"/>
    <w:rsid w:val="00CA7D10"/>
    <w:rsid w:val="00CB6E9D"/>
    <w:rsid w:val="00CC07F4"/>
    <w:rsid w:val="00CC310F"/>
    <w:rsid w:val="00CC32C8"/>
    <w:rsid w:val="00CC48BD"/>
    <w:rsid w:val="00CC4ECE"/>
    <w:rsid w:val="00CC69BE"/>
    <w:rsid w:val="00CC7CAB"/>
    <w:rsid w:val="00CD09B1"/>
    <w:rsid w:val="00CD10CC"/>
    <w:rsid w:val="00CD3C39"/>
    <w:rsid w:val="00CD45E6"/>
    <w:rsid w:val="00CD5FE2"/>
    <w:rsid w:val="00CE0F0D"/>
    <w:rsid w:val="00CE17F8"/>
    <w:rsid w:val="00CE1ECA"/>
    <w:rsid w:val="00CE4307"/>
    <w:rsid w:val="00CE456B"/>
    <w:rsid w:val="00CE475E"/>
    <w:rsid w:val="00CE5D1A"/>
    <w:rsid w:val="00CE754A"/>
    <w:rsid w:val="00CF0A7E"/>
    <w:rsid w:val="00CF6F2B"/>
    <w:rsid w:val="00CF7393"/>
    <w:rsid w:val="00D00372"/>
    <w:rsid w:val="00D02913"/>
    <w:rsid w:val="00D03142"/>
    <w:rsid w:val="00D033A9"/>
    <w:rsid w:val="00D070A2"/>
    <w:rsid w:val="00D10577"/>
    <w:rsid w:val="00D12982"/>
    <w:rsid w:val="00D168C3"/>
    <w:rsid w:val="00D170A2"/>
    <w:rsid w:val="00D202A8"/>
    <w:rsid w:val="00D2205C"/>
    <w:rsid w:val="00D22C9F"/>
    <w:rsid w:val="00D25329"/>
    <w:rsid w:val="00D267CA"/>
    <w:rsid w:val="00D2724F"/>
    <w:rsid w:val="00D32FF8"/>
    <w:rsid w:val="00D33059"/>
    <w:rsid w:val="00D42127"/>
    <w:rsid w:val="00D43C00"/>
    <w:rsid w:val="00D4562A"/>
    <w:rsid w:val="00D47669"/>
    <w:rsid w:val="00D5051E"/>
    <w:rsid w:val="00D51DFF"/>
    <w:rsid w:val="00D56439"/>
    <w:rsid w:val="00D56757"/>
    <w:rsid w:val="00D621B6"/>
    <w:rsid w:val="00D631E4"/>
    <w:rsid w:val="00D646AD"/>
    <w:rsid w:val="00D65B8B"/>
    <w:rsid w:val="00D665F6"/>
    <w:rsid w:val="00D66800"/>
    <w:rsid w:val="00D66DE8"/>
    <w:rsid w:val="00D67581"/>
    <w:rsid w:val="00D716AB"/>
    <w:rsid w:val="00D722A8"/>
    <w:rsid w:val="00D72468"/>
    <w:rsid w:val="00D72799"/>
    <w:rsid w:val="00D7508B"/>
    <w:rsid w:val="00D75926"/>
    <w:rsid w:val="00D761B8"/>
    <w:rsid w:val="00D76B0D"/>
    <w:rsid w:val="00D828DF"/>
    <w:rsid w:val="00D84C68"/>
    <w:rsid w:val="00D8531D"/>
    <w:rsid w:val="00D85A6F"/>
    <w:rsid w:val="00D867FB"/>
    <w:rsid w:val="00D90F34"/>
    <w:rsid w:val="00D9107C"/>
    <w:rsid w:val="00D957CB"/>
    <w:rsid w:val="00D976B0"/>
    <w:rsid w:val="00DA0BCF"/>
    <w:rsid w:val="00DA1605"/>
    <w:rsid w:val="00DA1B0D"/>
    <w:rsid w:val="00DA343C"/>
    <w:rsid w:val="00DA3DE7"/>
    <w:rsid w:val="00DA4209"/>
    <w:rsid w:val="00DA5CE7"/>
    <w:rsid w:val="00DB001A"/>
    <w:rsid w:val="00DB2889"/>
    <w:rsid w:val="00DB305D"/>
    <w:rsid w:val="00DB4E88"/>
    <w:rsid w:val="00DB581F"/>
    <w:rsid w:val="00DB73A0"/>
    <w:rsid w:val="00DB7E85"/>
    <w:rsid w:val="00DC13E4"/>
    <w:rsid w:val="00DC38B2"/>
    <w:rsid w:val="00DC64FC"/>
    <w:rsid w:val="00DC658A"/>
    <w:rsid w:val="00DC7878"/>
    <w:rsid w:val="00DD00F7"/>
    <w:rsid w:val="00DD0FB8"/>
    <w:rsid w:val="00DD290D"/>
    <w:rsid w:val="00DD31D2"/>
    <w:rsid w:val="00DD4180"/>
    <w:rsid w:val="00DD6F52"/>
    <w:rsid w:val="00DE3D7E"/>
    <w:rsid w:val="00DE43F2"/>
    <w:rsid w:val="00DE4796"/>
    <w:rsid w:val="00DE5320"/>
    <w:rsid w:val="00DE5DF6"/>
    <w:rsid w:val="00DF26FF"/>
    <w:rsid w:val="00DF3484"/>
    <w:rsid w:val="00DF4589"/>
    <w:rsid w:val="00DF57EF"/>
    <w:rsid w:val="00DF6BFC"/>
    <w:rsid w:val="00E02022"/>
    <w:rsid w:val="00E02929"/>
    <w:rsid w:val="00E04967"/>
    <w:rsid w:val="00E05CD7"/>
    <w:rsid w:val="00E07A6C"/>
    <w:rsid w:val="00E130DC"/>
    <w:rsid w:val="00E143A1"/>
    <w:rsid w:val="00E16269"/>
    <w:rsid w:val="00E1666C"/>
    <w:rsid w:val="00E17F24"/>
    <w:rsid w:val="00E207E5"/>
    <w:rsid w:val="00E251C3"/>
    <w:rsid w:val="00E2756B"/>
    <w:rsid w:val="00E30170"/>
    <w:rsid w:val="00E3305F"/>
    <w:rsid w:val="00E33D29"/>
    <w:rsid w:val="00E34537"/>
    <w:rsid w:val="00E34F75"/>
    <w:rsid w:val="00E35DEB"/>
    <w:rsid w:val="00E372DF"/>
    <w:rsid w:val="00E37E3D"/>
    <w:rsid w:val="00E442BE"/>
    <w:rsid w:val="00E46B39"/>
    <w:rsid w:val="00E5129C"/>
    <w:rsid w:val="00E5131D"/>
    <w:rsid w:val="00E51ACF"/>
    <w:rsid w:val="00E553A8"/>
    <w:rsid w:val="00E56EE6"/>
    <w:rsid w:val="00E5798A"/>
    <w:rsid w:val="00E57B17"/>
    <w:rsid w:val="00E62503"/>
    <w:rsid w:val="00E62D44"/>
    <w:rsid w:val="00E64B77"/>
    <w:rsid w:val="00E6546F"/>
    <w:rsid w:val="00E717B1"/>
    <w:rsid w:val="00E73D5C"/>
    <w:rsid w:val="00E75717"/>
    <w:rsid w:val="00E77304"/>
    <w:rsid w:val="00E80238"/>
    <w:rsid w:val="00E848C9"/>
    <w:rsid w:val="00E87E22"/>
    <w:rsid w:val="00E90DAB"/>
    <w:rsid w:val="00E91DEE"/>
    <w:rsid w:val="00E93B2D"/>
    <w:rsid w:val="00E9768B"/>
    <w:rsid w:val="00E97C94"/>
    <w:rsid w:val="00EA0DC8"/>
    <w:rsid w:val="00EA55C2"/>
    <w:rsid w:val="00EA5AFF"/>
    <w:rsid w:val="00EA7EFF"/>
    <w:rsid w:val="00EB1862"/>
    <w:rsid w:val="00EB2871"/>
    <w:rsid w:val="00EB5BCA"/>
    <w:rsid w:val="00EB7D03"/>
    <w:rsid w:val="00EC02C8"/>
    <w:rsid w:val="00EC2ACA"/>
    <w:rsid w:val="00EC7087"/>
    <w:rsid w:val="00EC7260"/>
    <w:rsid w:val="00ED18D0"/>
    <w:rsid w:val="00ED1FAB"/>
    <w:rsid w:val="00ED2569"/>
    <w:rsid w:val="00ED405F"/>
    <w:rsid w:val="00ED536B"/>
    <w:rsid w:val="00ED5A32"/>
    <w:rsid w:val="00ED5E0C"/>
    <w:rsid w:val="00ED7FDC"/>
    <w:rsid w:val="00EE31C9"/>
    <w:rsid w:val="00EE42C0"/>
    <w:rsid w:val="00EE4C47"/>
    <w:rsid w:val="00EE4FFD"/>
    <w:rsid w:val="00EF0606"/>
    <w:rsid w:val="00EF0D03"/>
    <w:rsid w:val="00EF28BD"/>
    <w:rsid w:val="00EF4543"/>
    <w:rsid w:val="00EF5648"/>
    <w:rsid w:val="00EF6E44"/>
    <w:rsid w:val="00F008E4"/>
    <w:rsid w:val="00F03F5E"/>
    <w:rsid w:val="00F05FC8"/>
    <w:rsid w:val="00F0705E"/>
    <w:rsid w:val="00F101EE"/>
    <w:rsid w:val="00F1251A"/>
    <w:rsid w:val="00F12877"/>
    <w:rsid w:val="00F12DFA"/>
    <w:rsid w:val="00F13DC9"/>
    <w:rsid w:val="00F165D7"/>
    <w:rsid w:val="00F16839"/>
    <w:rsid w:val="00F207AC"/>
    <w:rsid w:val="00F23C10"/>
    <w:rsid w:val="00F23F06"/>
    <w:rsid w:val="00F24477"/>
    <w:rsid w:val="00F325F2"/>
    <w:rsid w:val="00F3481E"/>
    <w:rsid w:val="00F377BF"/>
    <w:rsid w:val="00F4095D"/>
    <w:rsid w:val="00F438E4"/>
    <w:rsid w:val="00F468A9"/>
    <w:rsid w:val="00F468DF"/>
    <w:rsid w:val="00F5458A"/>
    <w:rsid w:val="00F54993"/>
    <w:rsid w:val="00F56C3B"/>
    <w:rsid w:val="00F60715"/>
    <w:rsid w:val="00F62233"/>
    <w:rsid w:val="00F63310"/>
    <w:rsid w:val="00F635AD"/>
    <w:rsid w:val="00F640DD"/>
    <w:rsid w:val="00F64B78"/>
    <w:rsid w:val="00F65154"/>
    <w:rsid w:val="00F66AB6"/>
    <w:rsid w:val="00F6718C"/>
    <w:rsid w:val="00F71F38"/>
    <w:rsid w:val="00F72331"/>
    <w:rsid w:val="00F72C07"/>
    <w:rsid w:val="00F73FBA"/>
    <w:rsid w:val="00F7597D"/>
    <w:rsid w:val="00F763EC"/>
    <w:rsid w:val="00F76478"/>
    <w:rsid w:val="00F81D33"/>
    <w:rsid w:val="00F83255"/>
    <w:rsid w:val="00F83635"/>
    <w:rsid w:val="00F83717"/>
    <w:rsid w:val="00F83A1D"/>
    <w:rsid w:val="00F84FD1"/>
    <w:rsid w:val="00F86002"/>
    <w:rsid w:val="00F9022C"/>
    <w:rsid w:val="00F91DC6"/>
    <w:rsid w:val="00F933A6"/>
    <w:rsid w:val="00F95EEA"/>
    <w:rsid w:val="00F95F95"/>
    <w:rsid w:val="00F96CBF"/>
    <w:rsid w:val="00F97760"/>
    <w:rsid w:val="00FA109A"/>
    <w:rsid w:val="00FA109C"/>
    <w:rsid w:val="00FA1407"/>
    <w:rsid w:val="00FA18F5"/>
    <w:rsid w:val="00FA2E08"/>
    <w:rsid w:val="00FA3140"/>
    <w:rsid w:val="00FA5573"/>
    <w:rsid w:val="00FA734D"/>
    <w:rsid w:val="00FA76DE"/>
    <w:rsid w:val="00FA78DB"/>
    <w:rsid w:val="00FB040F"/>
    <w:rsid w:val="00FB127E"/>
    <w:rsid w:val="00FB29B0"/>
    <w:rsid w:val="00FB2C87"/>
    <w:rsid w:val="00FB3157"/>
    <w:rsid w:val="00FB54F0"/>
    <w:rsid w:val="00FC17D8"/>
    <w:rsid w:val="00FC5B24"/>
    <w:rsid w:val="00FD4BE3"/>
    <w:rsid w:val="00FD5100"/>
    <w:rsid w:val="00FD5958"/>
    <w:rsid w:val="00FD5B74"/>
    <w:rsid w:val="00FD6400"/>
    <w:rsid w:val="00FE1063"/>
    <w:rsid w:val="00FE18C4"/>
    <w:rsid w:val="00FF1020"/>
    <w:rsid w:val="00FF1501"/>
    <w:rsid w:val="00FF23D4"/>
    <w:rsid w:val="00FF2778"/>
    <w:rsid w:val="00FF3BBB"/>
    <w:rsid w:val="00FF4155"/>
    <w:rsid w:val="00FF5D9B"/>
    <w:rsid w:val="00FF79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stroke="f" strokecolor="blue">
      <v:fill color="white"/>
      <v:stroke color="blue" on="f"/>
    </o:shapedefaults>
    <o:shapelayout v:ext="edit">
      <o:idmap v:ext="edit" data="2"/>
    </o:shapelayout>
  </w:shapeDefaults>
  <w:decimalSymbol w:val="."/>
  <w:listSeparator w:val=","/>
  <w14:docId w14:val="0C76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nePrinter" w:eastAsia="Times New Roman" w:hAnsi="LinePrinter"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TC footer"/>
    <w:semiHidden/>
    <w:qFormat/>
    <w:rsid w:val="00C722D4"/>
    <w:pPr>
      <w:spacing w:before="80" w:after="80"/>
    </w:pPr>
    <w:rPr>
      <w:rFonts w:ascii="Arial" w:hAnsi="Arial"/>
      <w:lang w:eastAsia="en-US"/>
    </w:rPr>
  </w:style>
  <w:style w:type="paragraph" w:styleId="Heading1">
    <w:name w:val="heading 1"/>
    <w:aliases w:val="Head 1"/>
    <w:basedOn w:val="Normal"/>
    <w:next w:val="BodyCopy"/>
    <w:uiPriority w:val="9"/>
    <w:qFormat/>
    <w:rsid w:val="00B06C8A"/>
    <w:pPr>
      <w:keepNext/>
      <w:pageBreakBefore/>
      <w:numPr>
        <w:numId w:val="1"/>
      </w:numPr>
      <w:pBdr>
        <w:bottom w:val="single" w:sz="8" w:space="4" w:color="10CFC9" w:themeColor="accent1"/>
      </w:pBdr>
      <w:spacing w:before="0" w:after="360"/>
      <w:ind w:left="431" w:hanging="431"/>
      <w:outlineLvl w:val="0"/>
    </w:pPr>
    <w:rPr>
      <w:color w:val="000000"/>
      <w:sz w:val="44"/>
      <w:szCs w:val="40"/>
    </w:rPr>
  </w:style>
  <w:style w:type="paragraph" w:styleId="Heading2">
    <w:name w:val="heading 2"/>
    <w:aliases w:val="Head 2"/>
    <w:basedOn w:val="Normal"/>
    <w:next w:val="BodyCopy"/>
    <w:link w:val="Heading2Char"/>
    <w:qFormat/>
    <w:rsid w:val="00CE17F8"/>
    <w:pPr>
      <w:keepNext/>
      <w:numPr>
        <w:ilvl w:val="1"/>
        <w:numId w:val="1"/>
      </w:numPr>
      <w:pBdr>
        <w:bottom w:val="single" w:sz="4" w:space="4" w:color="000000"/>
      </w:pBdr>
      <w:spacing w:before="360" w:after="120"/>
      <w:outlineLvl w:val="1"/>
    </w:pPr>
    <w:rPr>
      <w:b/>
      <w:color w:val="000000"/>
      <w:sz w:val="28"/>
      <w:szCs w:val="28"/>
    </w:rPr>
  </w:style>
  <w:style w:type="paragraph" w:styleId="Heading3">
    <w:name w:val="heading 3"/>
    <w:aliases w:val="Head 3"/>
    <w:basedOn w:val="Normal"/>
    <w:next w:val="BodyCopy"/>
    <w:link w:val="Heading3Char"/>
    <w:qFormat/>
    <w:rsid w:val="00BB1871"/>
    <w:pPr>
      <w:keepNext/>
      <w:numPr>
        <w:ilvl w:val="2"/>
        <w:numId w:val="1"/>
      </w:numPr>
      <w:spacing w:before="240" w:after="120"/>
      <w:ind w:left="720"/>
      <w:outlineLvl w:val="2"/>
    </w:pPr>
    <w:rPr>
      <w:b/>
      <w:color w:val="24272A" w:themeColor="text1"/>
      <w:sz w:val="22"/>
      <w:szCs w:val="24"/>
    </w:rPr>
  </w:style>
  <w:style w:type="paragraph" w:styleId="Heading4">
    <w:name w:val="heading 4"/>
    <w:basedOn w:val="Normal"/>
    <w:next w:val="BodyCopy"/>
    <w:qFormat/>
    <w:rsid w:val="00CE17F8"/>
    <w:pPr>
      <w:keepNext/>
      <w:numPr>
        <w:ilvl w:val="3"/>
        <w:numId w:val="1"/>
      </w:numPr>
      <w:spacing w:before="240" w:after="120"/>
      <w:outlineLvl w:val="3"/>
    </w:pPr>
    <w:rPr>
      <w:b/>
      <w:color w:val="FFFFFF" w:themeColor="background1"/>
      <w:sz w:val="22"/>
    </w:rPr>
  </w:style>
  <w:style w:type="paragraph" w:styleId="Heading5">
    <w:name w:val="heading 5"/>
    <w:basedOn w:val="Normal"/>
    <w:next w:val="Normal"/>
    <w:semiHidden/>
    <w:qFormat/>
    <w:rsid w:val="00CE17F8"/>
    <w:pPr>
      <w:numPr>
        <w:ilvl w:val="4"/>
        <w:numId w:val="1"/>
      </w:numPr>
      <w:outlineLvl w:val="4"/>
    </w:pPr>
    <w:rPr>
      <w:b/>
    </w:rPr>
  </w:style>
  <w:style w:type="paragraph" w:styleId="Heading6">
    <w:name w:val="heading 6"/>
    <w:basedOn w:val="Normal"/>
    <w:next w:val="Normal"/>
    <w:semiHidden/>
    <w:qFormat/>
    <w:rsid w:val="00CE17F8"/>
    <w:pPr>
      <w:numPr>
        <w:ilvl w:val="5"/>
        <w:numId w:val="1"/>
      </w:numPr>
      <w:outlineLvl w:val="5"/>
    </w:pPr>
    <w:rPr>
      <w:u w:val="single"/>
    </w:rPr>
  </w:style>
  <w:style w:type="paragraph" w:styleId="Heading7">
    <w:name w:val="heading 7"/>
    <w:basedOn w:val="Normal"/>
    <w:next w:val="Normal"/>
    <w:uiPriority w:val="99"/>
    <w:semiHidden/>
    <w:qFormat/>
    <w:rsid w:val="00CE17F8"/>
    <w:pPr>
      <w:numPr>
        <w:ilvl w:val="6"/>
        <w:numId w:val="1"/>
      </w:numPr>
      <w:outlineLvl w:val="6"/>
    </w:pPr>
    <w:rPr>
      <w:i/>
    </w:rPr>
  </w:style>
  <w:style w:type="paragraph" w:styleId="Heading8">
    <w:name w:val="heading 8"/>
    <w:basedOn w:val="Normal"/>
    <w:next w:val="Normal"/>
    <w:uiPriority w:val="99"/>
    <w:semiHidden/>
    <w:qFormat/>
    <w:rsid w:val="00CE17F8"/>
    <w:pPr>
      <w:numPr>
        <w:ilvl w:val="7"/>
        <w:numId w:val="1"/>
      </w:numPr>
      <w:outlineLvl w:val="7"/>
    </w:pPr>
    <w:rPr>
      <w:i/>
    </w:rPr>
  </w:style>
  <w:style w:type="paragraph" w:styleId="Heading9">
    <w:name w:val="heading 9"/>
    <w:basedOn w:val="Normal"/>
    <w:next w:val="Normal"/>
    <w:uiPriority w:val="99"/>
    <w:semiHidden/>
    <w:qFormat/>
    <w:rsid w:val="00CE17F8"/>
    <w:pPr>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F7943"/>
    <w:pPr>
      <w:tabs>
        <w:tab w:val="left" w:pos="5670"/>
      </w:tabs>
      <w:spacing w:before="0" w:after="0"/>
    </w:pPr>
    <w:rPr>
      <w:sz w:val="16"/>
    </w:rPr>
  </w:style>
  <w:style w:type="character" w:customStyle="1" w:styleId="FooterChar">
    <w:name w:val="Footer Char"/>
    <w:link w:val="Footer"/>
    <w:uiPriority w:val="99"/>
    <w:locked/>
    <w:rsid w:val="00FF7943"/>
    <w:rPr>
      <w:rFonts w:ascii="Arial" w:hAnsi="Arial"/>
      <w:sz w:val="16"/>
      <w:lang w:eastAsia="en-US"/>
    </w:rPr>
  </w:style>
  <w:style w:type="paragraph" w:customStyle="1" w:styleId="QuestionTOC">
    <w:name w:val="Question TOC"/>
    <w:basedOn w:val="TOC1"/>
    <w:qFormat/>
    <w:rsid w:val="00604938"/>
    <w:pPr>
      <w:tabs>
        <w:tab w:val="clear" w:pos="9071"/>
        <w:tab w:val="right" w:leader="dot" w:pos="10206"/>
      </w:tabs>
      <w:spacing w:before="120" w:after="120"/>
      <w:ind w:left="1418" w:hanging="1418"/>
    </w:pPr>
    <w:rPr>
      <w:b w:val="0"/>
    </w:rPr>
  </w:style>
  <w:style w:type="paragraph" w:styleId="TOC3">
    <w:name w:val="toc 3"/>
    <w:basedOn w:val="Normal"/>
    <w:next w:val="Normal"/>
    <w:uiPriority w:val="39"/>
    <w:rsid w:val="004F3BB2"/>
    <w:pPr>
      <w:tabs>
        <w:tab w:val="right" w:pos="9071"/>
        <w:tab w:val="right" w:pos="11340"/>
      </w:tabs>
      <w:ind w:left="1418" w:hanging="709"/>
    </w:pPr>
    <w:rPr>
      <w:noProof/>
    </w:rPr>
  </w:style>
  <w:style w:type="paragraph" w:styleId="TOC2">
    <w:name w:val="toc 2"/>
    <w:basedOn w:val="Normal"/>
    <w:next w:val="Normal"/>
    <w:uiPriority w:val="39"/>
    <w:rsid w:val="00F23C10"/>
    <w:pPr>
      <w:tabs>
        <w:tab w:val="right" w:pos="9072"/>
        <w:tab w:val="right" w:pos="9356"/>
        <w:tab w:val="right" w:pos="10206"/>
      </w:tabs>
      <w:ind w:left="709" w:hanging="425"/>
    </w:pPr>
    <w:rPr>
      <w:noProof/>
    </w:rPr>
  </w:style>
  <w:style w:type="paragraph" w:styleId="TOC1">
    <w:name w:val="toc 1"/>
    <w:basedOn w:val="Normal"/>
    <w:next w:val="Normal"/>
    <w:uiPriority w:val="39"/>
    <w:rsid w:val="004F3BB2"/>
    <w:pPr>
      <w:tabs>
        <w:tab w:val="right" w:leader="dot" w:pos="9071"/>
      </w:tabs>
      <w:ind w:left="284" w:hanging="284"/>
    </w:pPr>
    <w:rPr>
      <w:b/>
      <w:noProof/>
      <w:sz w:val="22"/>
    </w:rPr>
  </w:style>
  <w:style w:type="character" w:styleId="PageNumber">
    <w:name w:val="page number"/>
    <w:basedOn w:val="DefaultParagraphFont"/>
    <w:semiHidden/>
  </w:style>
  <w:style w:type="paragraph" w:styleId="TableofFigures">
    <w:name w:val="table of figures"/>
    <w:basedOn w:val="Normal"/>
    <w:next w:val="Normal"/>
    <w:uiPriority w:val="99"/>
    <w:rsid w:val="008515F3"/>
    <w:pPr>
      <w:keepLines/>
      <w:tabs>
        <w:tab w:val="right" w:pos="9071"/>
      </w:tabs>
      <w:ind w:left="1304" w:right="454" w:hanging="1304"/>
    </w:pPr>
    <w:rPr>
      <w:sz w:val="22"/>
    </w:rPr>
  </w:style>
  <w:style w:type="table" w:customStyle="1" w:styleId="NTC-Questions">
    <w:name w:val="NTC - Questions"/>
    <w:basedOn w:val="TableNormal"/>
    <w:uiPriority w:val="99"/>
    <w:rsid w:val="004829F5"/>
    <w:tblPr>
      <w:tblCellMar>
        <w:left w:w="284" w:type="dxa"/>
        <w:bottom w:w="227" w:type="dxa"/>
        <w:right w:w="284" w:type="dxa"/>
      </w:tblCellMar>
    </w:tblPr>
    <w:tcPr>
      <w:shd w:val="clear" w:color="auto" w:fill="F2F2F2" w:themeFill="background1" w:themeFillShade="F2"/>
    </w:tcPr>
  </w:style>
  <w:style w:type="paragraph" w:customStyle="1" w:styleId="BodyCopy">
    <w:name w:val="Body Copy"/>
    <w:basedOn w:val="Normal"/>
    <w:link w:val="BodyCopyChar"/>
    <w:uiPriority w:val="99"/>
    <w:qFormat/>
    <w:rsid w:val="00D9107C"/>
    <w:pPr>
      <w:spacing w:before="240" w:after="120"/>
    </w:pPr>
    <w:rPr>
      <w:rFonts w:eastAsia="Cambria"/>
      <w:color w:val="000000"/>
      <w:sz w:val="22"/>
      <w:szCs w:val="24"/>
    </w:rPr>
  </w:style>
  <w:style w:type="paragraph" w:customStyle="1" w:styleId="TOCheader">
    <w:name w:val="TOC header"/>
    <w:basedOn w:val="Normal"/>
    <w:next w:val="Normal"/>
    <w:semiHidden/>
    <w:qFormat/>
    <w:rsid w:val="00FD5B74"/>
    <w:pPr>
      <w:keepNext/>
      <w:pageBreakBefore/>
      <w:pBdr>
        <w:bottom w:val="single" w:sz="8" w:space="4" w:color="FF4713"/>
      </w:pBdr>
      <w:spacing w:before="0" w:after="360"/>
      <w:ind w:left="432" w:hanging="432"/>
      <w:outlineLvl w:val="0"/>
    </w:pPr>
    <w:rPr>
      <w:rFonts w:eastAsia="Cambria"/>
      <w:color w:val="000000"/>
      <w:sz w:val="44"/>
      <w:szCs w:val="24"/>
    </w:rPr>
  </w:style>
  <w:style w:type="table" w:customStyle="1" w:styleId="NTC-keypoints">
    <w:name w:val="NTC - keypoints"/>
    <w:basedOn w:val="TableNormal"/>
    <w:uiPriority w:val="99"/>
    <w:rsid w:val="004829F5"/>
    <w:tblPr>
      <w:tblCellMar>
        <w:left w:w="284" w:type="dxa"/>
        <w:bottom w:w="227" w:type="dxa"/>
        <w:right w:w="284" w:type="dxa"/>
      </w:tblCellMar>
    </w:tblPr>
    <w:tcPr>
      <w:shd w:val="clear" w:color="auto" w:fill="DCF5F3"/>
    </w:tcPr>
  </w:style>
  <w:style w:type="paragraph" w:styleId="TOC7">
    <w:name w:val="toc 7"/>
    <w:basedOn w:val="Normal"/>
    <w:next w:val="Normal"/>
    <w:semiHidden/>
    <w:pPr>
      <w:tabs>
        <w:tab w:val="right" w:leader="dot" w:pos="9071"/>
      </w:tabs>
      <w:ind w:left="1560"/>
    </w:pPr>
  </w:style>
  <w:style w:type="paragraph" w:styleId="TOC8">
    <w:name w:val="toc 8"/>
    <w:basedOn w:val="Normal"/>
    <w:next w:val="Normal"/>
    <w:semiHidden/>
    <w:pPr>
      <w:tabs>
        <w:tab w:val="right" w:leader="dot" w:pos="9071"/>
      </w:tabs>
      <w:ind w:left="1820"/>
    </w:pPr>
  </w:style>
  <w:style w:type="paragraph" w:styleId="TOC9">
    <w:name w:val="toc 9"/>
    <w:basedOn w:val="Normal"/>
    <w:next w:val="Normal"/>
    <w:semiHidden/>
    <w:pPr>
      <w:tabs>
        <w:tab w:val="right" w:leader="dot" w:pos="9071"/>
      </w:tabs>
      <w:ind w:left="2080"/>
    </w:pPr>
  </w:style>
  <w:style w:type="character" w:styleId="Hyperlink">
    <w:name w:val="Hyperlink"/>
    <w:uiPriority w:val="99"/>
    <w:rsid w:val="0097712C"/>
    <w:rPr>
      <w:b/>
      <w:color w:val="000000"/>
      <w:u w:val="single"/>
    </w:rPr>
  </w:style>
  <w:style w:type="paragraph" w:styleId="DocumentMap">
    <w:name w:val="Document Map"/>
    <w:basedOn w:val="Normal"/>
    <w:semiHidden/>
    <w:pPr>
      <w:shd w:val="clear" w:color="auto" w:fill="000080"/>
    </w:pPr>
    <w:rPr>
      <w:rFonts w:ascii="Tahoma" w:hAnsi="Tahoma"/>
    </w:rPr>
  </w:style>
  <w:style w:type="paragraph" w:customStyle="1" w:styleId="Tabletitle">
    <w:name w:val="Table title"/>
    <w:basedOn w:val="Normal"/>
    <w:next w:val="BodyCopy"/>
    <w:qFormat/>
    <w:rsid w:val="006927F9"/>
    <w:pPr>
      <w:keepNext/>
      <w:keepLines/>
      <w:numPr>
        <w:numId w:val="3"/>
      </w:numPr>
      <w:tabs>
        <w:tab w:val="clear" w:pos="1648"/>
        <w:tab w:val="left" w:pos="1021"/>
      </w:tabs>
      <w:spacing w:before="240" w:after="120"/>
      <w:ind w:left="1021"/>
    </w:pPr>
    <w:rPr>
      <w:b/>
      <w:sz w:val="22"/>
    </w:rPr>
  </w:style>
  <w:style w:type="paragraph" w:customStyle="1" w:styleId="Figuretitle">
    <w:name w:val="Figure title"/>
    <w:basedOn w:val="Normal"/>
    <w:next w:val="BodyCopy"/>
    <w:uiPriority w:val="3"/>
    <w:qFormat/>
    <w:rsid w:val="009E1BAB"/>
    <w:pPr>
      <w:keepNext/>
      <w:keepLines/>
      <w:numPr>
        <w:numId w:val="2"/>
      </w:numPr>
      <w:spacing w:before="240" w:after="120"/>
    </w:pPr>
    <w:rPr>
      <w:b/>
    </w:rPr>
  </w:style>
  <w:style w:type="paragraph" w:customStyle="1" w:styleId="Reporttitle">
    <w:name w:val="Report title"/>
    <w:rsid w:val="00AC66B8"/>
    <w:pPr>
      <w:spacing w:after="60"/>
    </w:pPr>
    <w:rPr>
      <w:rFonts w:ascii="Arial" w:eastAsia="Cambria" w:hAnsi="Arial"/>
      <w:color w:val="FFFFFF"/>
      <w:sz w:val="52"/>
      <w:szCs w:val="24"/>
      <w:lang w:eastAsia="en-US"/>
    </w:rPr>
  </w:style>
  <w:style w:type="paragraph" w:styleId="BalloonText">
    <w:name w:val="Balloon Text"/>
    <w:basedOn w:val="Normal"/>
    <w:link w:val="BalloonTextChar"/>
    <w:semiHidden/>
    <w:rsid w:val="00483188"/>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483188"/>
    <w:rPr>
      <w:rFonts w:ascii="Tahoma" w:hAnsi="Tahoma" w:cs="Tahoma"/>
      <w:sz w:val="16"/>
      <w:szCs w:val="16"/>
      <w:lang w:eastAsia="en-US"/>
    </w:rPr>
  </w:style>
  <w:style w:type="table" w:styleId="LightList">
    <w:name w:val="Light List"/>
    <w:aliases w:val="NTC alternate rows"/>
    <w:rsid w:val="00FA734D"/>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NTCtable">
    <w:name w:val="NTC table"/>
    <w:basedOn w:val="TableNormal"/>
    <w:uiPriority w:val="99"/>
    <w:rsid w:val="00D033A9"/>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styleId="TableGrid">
    <w:name w:val="Table Grid"/>
    <w:basedOn w:val="TableNormal"/>
    <w:rsid w:val="0069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lvl1">
    <w:name w:val="List - bullet lvl 1"/>
    <w:basedOn w:val="BodyCopy"/>
    <w:uiPriority w:val="99"/>
    <w:qFormat/>
    <w:rsid w:val="009F7E85"/>
    <w:pPr>
      <w:numPr>
        <w:numId w:val="8"/>
      </w:numPr>
      <w:spacing w:before="120"/>
    </w:pPr>
  </w:style>
  <w:style w:type="table" w:styleId="LightList-Accent2">
    <w:name w:val="Light List Accent 2"/>
    <w:basedOn w:val="TableNormal"/>
    <w:uiPriority w:val="61"/>
    <w:rsid w:val="003F2AEA"/>
    <w:tblPr>
      <w:tblStyleRowBandSize w:val="1"/>
      <w:tblStyleColBandSize w:val="1"/>
      <w:tblBorders>
        <w:top w:val="single" w:sz="8" w:space="0" w:color="71DAD6" w:themeColor="accent2"/>
        <w:left w:val="single" w:sz="8" w:space="0" w:color="71DAD6" w:themeColor="accent2"/>
        <w:bottom w:val="single" w:sz="8" w:space="0" w:color="71DAD6" w:themeColor="accent2"/>
        <w:right w:val="single" w:sz="8" w:space="0" w:color="71DAD6" w:themeColor="accent2"/>
      </w:tblBorders>
    </w:tblPr>
    <w:tblStylePr w:type="firstRow">
      <w:pPr>
        <w:spacing w:before="0" w:after="0" w:line="240" w:lineRule="auto"/>
      </w:pPr>
      <w:rPr>
        <w:b/>
        <w:bCs/>
        <w:color w:val="FFFFFF" w:themeColor="background1"/>
      </w:rPr>
      <w:tblPr/>
      <w:tcPr>
        <w:shd w:val="clear" w:color="auto" w:fill="71DAD6" w:themeFill="accent2"/>
      </w:tcPr>
    </w:tblStylePr>
    <w:tblStylePr w:type="lastRow">
      <w:pPr>
        <w:spacing w:before="0" w:after="0" w:line="240" w:lineRule="auto"/>
      </w:pPr>
      <w:rPr>
        <w:b/>
        <w:bCs/>
      </w:rPr>
      <w:tblPr/>
      <w:tcPr>
        <w:tcBorders>
          <w:top w:val="double" w:sz="6" w:space="0" w:color="71DAD6" w:themeColor="accent2"/>
          <w:left w:val="single" w:sz="8" w:space="0" w:color="71DAD6" w:themeColor="accent2"/>
          <w:bottom w:val="single" w:sz="8" w:space="0" w:color="71DAD6" w:themeColor="accent2"/>
          <w:right w:val="single" w:sz="8" w:space="0" w:color="71DAD6" w:themeColor="accent2"/>
        </w:tcBorders>
      </w:tcPr>
    </w:tblStylePr>
    <w:tblStylePr w:type="firstCol">
      <w:rPr>
        <w:b/>
        <w:bCs/>
      </w:rPr>
    </w:tblStylePr>
    <w:tblStylePr w:type="lastCol">
      <w:rPr>
        <w:b/>
        <w:bCs/>
      </w:rPr>
    </w:tblStylePr>
    <w:tblStylePr w:type="band1Vert">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tblStylePr w:type="band1Horz">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style>
  <w:style w:type="table" w:styleId="LightList-Accent3">
    <w:name w:val="Light List Accent 3"/>
    <w:basedOn w:val="TableNormal"/>
    <w:uiPriority w:val="61"/>
    <w:rsid w:val="003F2AEA"/>
    <w:pPr>
      <w:numPr>
        <w:numId w:val="4"/>
      </w:numPr>
    </w:pPr>
    <w:tblPr>
      <w:tblStyleRowBandSize w:val="1"/>
      <w:tblStyleColBandSize w:val="1"/>
      <w:tblBorders>
        <w:top w:val="single" w:sz="8" w:space="0" w:color="A5E7E3" w:themeColor="accent3"/>
        <w:left w:val="single" w:sz="8" w:space="0" w:color="A5E7E3" w:themeColor="accent3"/>
        <w:bottom w:val="single" w:sz="8" w:space="0" w:color="A5E7E3" w:themeColor="accent3"/>
        <w:right w:val="single" w:sz="8" w:space="0" w:color="A5E7E3" w:themeColor="accent3"/>
      </w:tblBorders>
    </w:tblPr>
    <w:tblStylePr w:type="firstRow">
      <w:rPr>
        <w:b/>
        <w:bCs/>
        <w:color w:val="FFFFFF" w:themeColor="background1"/>
      </w:rPr>
      <w:tblPr/>
      <w:tcPr>
        <w:shd w:val="clear" w:color="auto" w:fill="A5E7E3" w:themeFill="accent3"/>
      </w:tcPr>
    </w:tblStylePr>
    <w:tblStylePr w:type="lastRow">
      <w:rPr>
        <w:b/>
        <w:bCs/>
      </w:rPr>
      <w:tblPr/>
      <w:tcPr>
        <w:tcBorders>
          <w:top w:val="double" w:sz="6" w:space="0" w:color="A5E7E3" w:themeColor="accent3"/>
          <w:left w:val="single" w:sz="8" w:space="0" w:color="A5E7E3" w:themeColor="accent3"/>
          <w:bottom w:val="single" w:sz="8" w:space="0" w:color="A5E7E3" w:themeColor="accent3"/>
          <w:right w:val="single" w:sz="8" w:space="0" w:color="A5E7E3" w:themeColor="accent3"/>
        </w:tcBorders>
      </w:tcPr>
    </w:tblStylePr>
    <w:tblStylePr w:type="firstCol">
      <w:rPr>
        <w:b/>
        <w:bCs/>
      </w:rPr>
    </w:tblStylePr>
    <w:tblStylePr w:type="lastCol">
      <w:rPr>
        <w:b/>
        <w:bCs/>
      </w:rPr>
    </w:tblStylePr>
    <w:tblStylePr w:type="band1Vert">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tblStylePr w:type="band1Horz">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style>
  <w:style w:type="table" w:styleId="PlainTable1">
    <w:name w:val="Plain Table 1"/>
    <w:basedOn w:val="TableNormal"/>
    <w:uiPriority w:val="41"/>
    <w:rsid w:val="006927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927F9"/>
    <w:tblPr>
      <w:tblStyleRowBandSize w:val="1"/>
      <w:tblStyleColBandSize w:val="1"/>
      <w:tblBorders>
        <w:top w:val="single" w:sz="4" w:space="0" w:color="A1A8AF" w:themeColor="text1" w:themeTint="66"/>
        <w:left w:val="single" w:sz="4" w:space="0" w:color="A1A8AF" w:themeColor="text1" w:themeTint="66"/>
        <w:bottom w:val="single" w:sz="4" w:space="0" w:color="A1A8AF" w:themeColor="text1" w:themeTint="66"/>
        <w:right w:val="single" w:sz="4" w:space="0" w:color="A1A8AF" w:themeColor="text1" w:themeTint="66"/>
        <w:insideH w:val="single" w:sz="4" w:space="0" w:color="A1A8AF" w:themeColor="text1" w:themeTint="66"/>
        <w:insideV w:val="single" w:sz="4" w:space="0" w:color="A1A8AF" w:themeColor="text1" w:themeTint="66"/>
      </w:tblBorders>
    </w:tblPr>
    <w:tblStylePr w:type="firstRow">
      <w:rPr>
        <w:b/>
        <w:bCs/>
      </w:rPr>
      <w:tblPr/>
      <w:tcPr>
        <w:tcBorders>
          <w:bottom w:val="single" w:sz="12" w:space="0" w:color="737D86" w:themeColor="text1" w:themeTint="99"/>
        </w:tcBorders>
      </w:tcPr>
    </w:tblStylePr>
    <w:tblStylePr w:type="lastRow">
      <w:rPr>
        <w:b/>
        <w:bCs/>
      </w:rPr>
      <w:tblPr/>
      <w:tcPr>
        <w:tcBorders>
          <w:top w:val="double" w:sz="2" w:space="0" w:color="737D8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927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92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92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92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92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3-box">
    <w:name w:val="Head 3 -  box"/>
    <w:basedOn w:val="BodyCopy"/>
    <w:uiPriority w:val="2"/>
    <w:qFormat/>
    <w:rsid w:val="00533E42"/>
    <w:pPr>
      <w:spacing w:after="80"/>
    </w:pPr>
    <w:rPr>
      <w:b/>
      <w:bCs/>
    </w:rPr>
  </w:style>
  <w:style w:type="paragraph" w:customStyle="1" w:styleId="List-number">
    <w:name w:val="List - number"/>
    <w:basedOn w:val="BodyCopy"/>
    <w:qFormat/>
    <w:rsid w:val="00595FBE"/>
    <w:pPr>
      <w:numPr>
        <w:numId w:val="5"/>
      </w:numPr>
    </w:pPr>
  </w:style>
  <w:style w:type="paragraph" w:styleId="FootnoteText">
    <w:name w:val="footnote text"/>
    <w:basedOn w:val="Normal"/>
    <w:link w:val="FootnoteTextChar"/>
    <w:qFormat/>
    <w:rsid w:val="00AA3EE8"/>
    <w:pPr>
      <w:spacing w:after="0"/>
    </w:pPr>
    <w:rPr>
      <w:sz w:val="18"/>
      <w:szCs w:val="24"/>
    </w:rPr>
  </w:style>
  <w:style w:type="character" w:customStyle="1" w:styleId="FootnoteTextChar">
    <w:name w:val="Footnote Text Char"/>
    <w:basedOn w:val="DefaultParagraphFont"/>
    <w:link w:val="FootnoteText"/>
    <w:rsid w:val="00AA3EE8"/>
    <w:rPr>
      <w:rFonts w:ascii="Arial" w:hAnsi="Arial"/>
      <w:sz w:val="18"/>
      <w:szCs w:val="24"/>
      <w:lang w:eastAsia="en-US"/>
    </w:rPr>
  </w:style>
  <w:style w:type="paragraph" w:customStyle="1" w:styleId="Reportdate">
    <w:name w:val="Report date"/>
    <w:basedOn w:val="Normal"/>
    <w:rsid w:val="00AC66B8"/>
    <w:pPr>
      <w:spacing w:before="60" w:after="0"/>
    </w:pPr>
    <w:rPr>
      <w:rFonts w:eastAsia="Cambria"/>
      <w:color w:val="FFFFFF"/>
      <w:sz w:val="36"/>
      <w:szCs w:val="44"/>
    </w:rPr>
  </w:style>
  <w:style w:type="paragraph" w:styleId="CommentText">
    <w:name w:val="annotation text"/>
    <w:basedOn w:val="Normal"/>
    <w:link w:val="CommentTextChar"/>
    <w:semiHidden/>
    <w:rsid w:val="00DD31D2"/>
    <w:rPr>
      <w:sz w:val="24"/>
      <w:szCs w:val="24"/>
    </w:rPr>
  </w:style>
  <w:style w:type="character" w:customStyle="1" w:styleId="CommentTextChar">
    <w:name w:val="Comment Text Char"/>
    <w:basedOn w:val="DefaultParagraphFont"/>
    <w:link w:val="CommentText"/>
    <w:semiHidden/>
    <w:rsid w:val="00B02856"/>
    <w:rPr>
      <w:rFonts w:ascii="Arial" w:hAnsi="Arial"/>
      <w:sz w:val="24"/>
      <w:szCs w:val="24"/>
      <w:lang w:eastAsia="en-US"/>
    </w:rPr>
  </w:style>
  <w:style w:type="paragraph" w:styleId="CommentSubject">
    <w:name w:val="annotation subject"/>
    <w:basedOn w:val="CommentText"/>
    <w:next w:val="CommentText"/>
    <w:link w:val="CommentSubjectChar"/>
    <w:semiHidden/>
    <w:rsid w:val="00DD31D2"/>
    <w:rPr>
      <w:b/>
      <w:bCs/>
      <w:sz w:val="20"/>
      <w:szCs w:val="20"/>
    </w:rPr>
  </w:style>
  <w:style w:type="character" w:customStyle="1" w:styleId="CommentSubjectChar">
    <w:name w:val="Comment Subject Char"/>
    <w:basedOn w:val="CommentTextChar"/>
    <w:link w:val="CommentSubject"/>
    <w:semiHidden/>
    <w:rsid w:val="00B02856"/>
    <w:rPr>
      <w:rFonts w:ascii="Arial" w:hAnsi="Arial"/>
      <w:b/>
      <w:bCs/>
      <w:sz w:val="24"/>
      <w:szCs w:val="24"/>
      <w:lang w:eastAsia="en-US"/>
    </w:rPr>
  </w:style>
  <w:style w:type="paragraph" w:customStyle="1" w:styleId="Default">
    <w:name w:val="Default"/>
    <w:rsid w:val="00447B80"/>
    <w:pPr>
      <w:widowControl w:val="0"/>
      <w:autoSpaceDE w:val="0"/>
      <w:autoSpaceDN w:val="0"/>
      <w:adjustRightInd w:val="0"/>
    </w:pPr>
    <w:rPr>
      <w:rFonts w:ascii="Calibri" w:hAnsi="Calibri" w:cs="Calibri"/>
      <w:color w:val="000000"/>
      <w:sz w:val="24"/>
      <w:szCs w:val="24"/>
      <w:lang w:val="en-US"/>
    </w:rPr>
  </w:style>
  <w:style w:type="paragraph" w:customStyle="1" w:styleId="List-bulletlvl2">
    <w:name w:val="List - bullet lvl 2"/>
    <w:basedOn w:val="List-bulletlvl1"/>
    <w:qFormat/>
    <w:rsid w:val="009F7E85"/>
    <w:pPr>
      <w:numPr>
        <w:numId w:val="11"/>
      </w:numPr>
    </w:pPr>
  </w:style>
  <w:style w:type="paragraph" w:styleId="ListBullet">
    <w:name w:val="List Bullet"/>
    <w:basedOn w:val="Normal"/>
    <w:semiHidden/>
    <w:qFormat/>
    <w:rsid w:val="0077302A"/>
    <w:pPr>
      <w:numPr>
        <w:numId w:val="7"/>
      </w:numPr>
      <w:spacing w:before="0" w:after="0" w:line="300" w:lineRule="atLeast"/>
    </w:pPr>
    <w:rPr>
      <w:rFonts w:asciiTheme="minorHAnsi" w:eastAsiaTheme="minorHAnsi" w:hAnsiTheme="minorHAnsi" w:cstheme="minorBidi"/>
      <w:sz w:val="24"/>
      <w:szCs w:val="22"/>
    </w:rPr>
  </w:style>
  <w:style w:type="character" w:styleId="CommentReference">
    <w:name w:val="annotation reference"/>
    <w:basedOn w:val="DefaultParagraphFont"/>
    <w:semiHidden/>
    <w:rsid w:val="00E91DEE"/>
    <w:rPr>
      <w:sz w:val="18"/>
      <w:szCs w:val="18"/>
    </w:rPr>
  </w:style>
  <w:style w:type="paragraph" w:styleId="EndnoteText">
    <w:name w:val="endnote text"/>
    <w:basedOn w:val="Normal"/>
    <w:link w:val="EndnoteTextChar"/>
    <w:semiHidden/>
    <w:rsid w:val="0067041B"/>
    <w:pPr>
      <w:spacing w:before="0" w:after="0"/>
    </w:pPr>
    <w:rPr>
      <w:sz w:val="18"/>
      <w:szCs w:val="18"/>
    </w:rPr>
  </w:style>
  <w:style w:type="character" w:customStyle="1" w:styleId="EndnoteTextChar">
    <w:name w:val="Endnote Text Char"/>
    <w:basedOn w:val="DefaultParagraphFont"/>
    <w:link w:val="EndnoteText"/>
    <w:semiHidden/>
    <w:rsid w:val="00B02856"/>
    <w:rPr>
      <w:rFonts w:ascii="Arial" w:hAnsi="Arial"/>
      <w:sz w:val="18"/>
      <w:szCs w:val="18"/>
      <w:lang w:eastAsia="en-US"/>
    </w:rPr>
  </w:style>
  <w:style w:type="character" w:styleId="EndnoteReference">
    <w:name w:val="endnote reference"/>
    <w:basedOn w:val="DefaultParagraphFont"/>
    <w:semiHidden/>
    <w:rsid w:val="0067041B"/>
    <w:rPr>
      <w:vertAlign w:val="superscript"/>
    </w:rPr>
  </w:style>
  <w:style w:type="paragraph" w:customStyle="1" w:styleId="Questionslist">
    <w:name w:val="Questions list"/>
    <w:basedOn w:val="BodyText"/>
    <w:rsid w:val="00485524"/>
    <w:pPr>
      <w:numPr>
        <w:numId w:val="6"/>
      </w:numPr>
      <w:spacing w:before="240"/>
      <w:ind w:left="1418" w:hanging="1418"/>
    </w:pPr>
    <w:rPr>
      <w:sz w:val="22"/>
    </w:rPr>
  </w:style>
  <w:style w:type="table" w:styleId="PlainTable4">
    <w:name w:val="Plain Table 4"/>
    <w:basedOn w:val="TableNormal"/>
    <w:uiPriority w:val="44"/>
    <w:rsid w:val="006927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List Paragraph1,NAST Quote,List Paragraph11,Bulleted Para,CV text,Dot pt,F5 List Paragraph,FooterText,L,List Paragraph111,List Paragraph2,Medium Grid 1 - Accent 21,NFP GP Bulleted List,Numbered Paragraph,numbered,CAB - List Bullet,Bullets"/>
    <w:basedOn w:val="Normal"/>
    <w:link w:val="ListParagraphChar"/>
    <w:uiPriority w:val="34"/>
    <w:qFormat/>
    <w:rsid w:val="00954700"/>
    <w:pPr>
      <w:spacing w:before="0" w:after="200" w:line="276"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6927F9"/>
    <w:tblPr>
      <w:tblStyleRowBandSize w:val="1"/>
      <w:tblStyleColBandSize w:val="1"/>
    </w:tblPr>
    <w:tblStylePr w:type="firstRow">
      <w:rPr>
        <w:b/>
        <w:bCs/>
        <w:caps/>
      </w:rPr>
      <w:tblPr/>
      <w:tcPr>
        <w:tcBorders>
          <w:bottom w:val="single" w:sz="4" w:space="0" w:color="8A92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92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otnoteReference">
    <w:name w:val="footnote reference"/>
    <w:basedOn w:val="DefaultParagraphFont"/>
    <w:rsid w:val="00320ECC"/>
    <w:rPr>
      <w:sz w:val="18"/>
      <w:vertAlign w:val="superscript"/>
    </w:rPr>
  </w:style>
  <w:style w:type="paragraph" w:customStyle="1" w:styleId="Head1-Appendix">
    <w:name w:val="Head 1 - Appendix"/>
    <w:basedOn w:val="Heading1"/>
    <w:next w:val="BodyCopy"/>
    <w:qFormat/>
    <w:rsid w:val="000C76B7"/>
    <w:pPr>
      <w:numPr>
        <w:numId w:val="10"/>
      </w:numPr>
      <w:ind w:left="0" w:firstLine="0"/>
    </w:pPr>
  </w:style>
  <w:style w:type="character" w:styleId="FollowedHyperlink">
    <w:name w:val="FollowedHyperlink"/>
    <w:basedOn w:val="DefaultParagraphFont"/>
    <w:semiHidden/>
    <w:unhideWhenUsed/>
    <w:rsid w:val="0097712C"/>
    <w:rPr>
      <w:color w:val="919294" w:themeColor="followedHyperlink"/>
      <w:u w:val="single"/>
    </w:rPr>
  </w:style>
  <w:style w:type="numbering" w:customStyle="1" w:styleId="AppendixHeadings">
    <w:name w:val="Appendix Headings"/>
    <w:uiPriority w:val="99"/>
    <w:rsid w:val="007A3968"/>
    <w:pPr>
      <w:numPr>
        <w:numId w:val="9"/>
      </w:numPr>
    </w:pPr>
  </w:style>
  <w:style w:type="paragraph" w:styleId="Quote">
    <w:name w:val="Quote"/>
    <w:basedOn w:val="BodyCopy"/>
    <w:next w:val="BodyCopy"/>
    <w:link w:val="QuoteChar"/>
    <w:uiPriority w:val="29"/>
    <w:qFormat/>
    <w:rsid w:val="00C722D4"/>
    <w:pPr>
      <w:ind w:left="680" w:right="680"/>
      <w:jc w:val="both"/>
    </w:pPr>
    <w:rPr>
      <w:i/>
      <w:iCs/>
      <w:color w:val="24272A" w:themeColor="text1"/>
    </w:rPr>
  </w:style>
  <w:style w:type="character" w:customStyle="1" w:styleId="QuoteChar">
    <w:name w:val="Quote Char"/>
    <w:basedOn w:val="DefaultParagraphFont"/>
    <w:link w:val="Quote"/>
    <w:uiPriority w:val="29"/>
    <w:rsid w:val="00C722D4"/>
    <w:rPr>
      <w:rFonts w:ascii="Arial" w:eastAsia="Cambria" w:hAnsi="Arial"/>
      <w:i/>
      <w:iCs/>
      <w:color w:val="24272A" w:themeColor="text1"/>
      <w:sz w:val="22"/>
      <w:szCs w:val="24"/>
      <w:lang w:eastAsia="en-US"/>
    </w:rPr>
  </w:style>
  <w:style w:type="table" w:customStyle="1" w:styleId="NTC-casestudy">
    <w:name w:val="NTC - case study"/>
    <w:basedOn w:val="TableNormal"/>
    <w:uiPriority w:val="99"/>
    <w:rsid w:val="00D033A9"/>
    <w:tblPr>
      <w:tblBorders>
        <w:top w:val="dotted" w:sz="18" w:space="0" w:color="10CFC9" w:themeColor="accent1"/>
        <w:left w:val="dotted" w:sz="18" w:space="0" w:color="10CFC9" w:themeColor="accent1"/>
        <w:bottom w:val="dotted" w:sz="18" w:space="0" w:color="10CFC9" w:themeColor="accent1"/>
        <w:right w:val="dotted" w:sz="18" w:space="0" w:color="10CFC9" w:themeColor="accent1"/>
      </w:tblBorders>
      <w:tblCellMar>
        <w:left w:w="284" w:type="dxa"/>
        <w:bottom w:w="284" w:type="dxa"/>
        <w:right w:w="284" w:type="dxa"/>
      </w:tblCellMar>
    </w:tblPr>
    <w:tcPr>
      <w:shd w:val="clear" w:color="auto" w:fill="auto"/>
    </w:tcPr>
  </w:style>
  <w:style w:type="table" w:customStyle="1" w:styleId="NTCcovertext">
    <w:name w:val="NTC cover text"/>
    <w:basedOn w:val="TableNormal"/>
    <w:uiPriority w:val="99"/>
    <w:rsid w:val="009F30A6"/>
    <w:rPr>
      <w:rFonts w:ascii="Arial" w:hAnsi="Arial"/>
      <w:color w:val="FFFFFF" w:themeColor="background1"/>
      <w:sz w:val="48"/>
    </w:rPr>
    <w:tblPr/>
    <w:tcPr>
      <w:shd w:val="clear" w:color="auto" w:fill="auto"/>
    </w:tcPr>
  </w:style>
  <w:style w:type="paragraph" w:styleId="NormalWeb">
    <w:name w:val="Normal (Web)"/>
    <w:basedOn w:val="Normal"/>
    <w:uiPriority w:val="99"/>
    <w:semiHidden/>
    <w:unhideWhenUsed/>
    <w:rsid w:val="00316B54"/>
    <w:pPr>
      <w:spacing w:before="100" w:beforeAutospacing="1" w:after="100" w:afterAutospacing="1"/>
    </w:pPr>
    <w:rPr>
      <w:rFonts w:ascii="Times New Roman" w:eastAsiaTheme="minorEastAsia" w:hAnsi="Times New Roman"/>
      <w:sz w:val="24"/>
      <w:szCs w:val="24"/>
      <w:lang w:eastAsia="en-AU"/>
    </w:rPr>
  </w:style>
  <w:style w:type="character" w:customStyle="1" w:styleId="UnresolvedMention">
    <w:name w:val="Unresolved Mention"/>
    <w:basedOn w:val="DefaultParagraphFont"/>
    <w:uiPriority w:val="99"/>
    <w:semiHidden/>
    <w:unhideWhenUsed/>
    <w:rsid w:val="005B5D25"/>
    <w:rPr>
      <w:color w:val="808080"/>
      <w:shd w:val="clear" w:color="auto" w:fill="E6E6E6"/>
    </w:rPr>
  </w:style>
  <w:style w:type="paragraph" w:customStyle="1" w:styleId="Head3-noTOC">
    <w:name w:val="Head 3 - no TOC"/>
    <w:basedOn w:val="BodyCopy"/>
    <w:uiPriority w:val="99"/>
    <w:qFormat/>
    <w:rsid w:val="002A634A"/>
    <w:pPr>
      <w:ind w:left="720" w:hanging="720"/>
    </w:pPr>
    <w:rPr>
      <w:b/>
    </w:rPr>
  </w:style>
  <w:style w:type="paragraph" w:customStyle="1" w:styleId="Boxheading">
    <w:name w:val="Box heading"/>
    <w:basedOn w:val="BodyCopy"/>
    <w:uiPriority w:val="2"/>
    <w:qFormat/>
    <w:rsid w:val="00BB1871"/>
    <w:pPr>
      <w:spacing w:before="120" w:after="80"/>
    </w:pPr>
    <w:rPr>
      <w:b/>
      <w:bCs/>
      <w:color w:val="24272A" w:themeColor="text1"/>
    </w:rPr>
  </w:style>
  <w:style w:type="paragraph" w:styleId="Header">
    <w:name w:val="header"/>
    <w:basedOn w:val="Normal"/>
    <w:link w:val="HeaderChar"/>
    <w:uiPriority w:val="99"/>
    <w:unhideWhenUsed/>
    <w:rsid w:val="00FB127E"/>
    <w:pPr>
      <w:tabs>
        <w:tab w:val="center" w:pos="4680"/>
        <w:tab w:val="right" w:pos="9360"/>
      </w:tabs>
      <w:spacing w:before="0" w:after="0"/>
    </w:pPr>
  </w:style>
  <w:style w:type="paragraph" w:styleId="BodyText">
    <w:name w:val="Body Text"/>
    <w:basedOn w:val="Normal"/>
    <w:link w:val="BodyTextChar"/>
    <w:semiHidden/>
    <w:unhideWhenUsed/>
    <w:rsid w:val="00000EB3"/>
    <w:pPr>
      <w:spacing w:after="120"/>
    </w:pPr>
  </w:style>
  <w:style w:type="character" w:customStyle="1" w:styleId="BodyTextChar">
    <w:name w:val="Body Text Char"/>
    <w:basedOn w:val="DefaultParagraphFont"/>
    <w:link w:val="BodyText"/>
    <w:semiHidden/>
    <w:rsid w:val="00000EB3"/>
    <w:rPr>
      <w:rFonts w:ascii="Arial" w:hAnsi="Arial"/>
      <w:lang w:eastAsia="en-US"/>
    </w:rPr>
  </w:style>
  <w:style w:type="character" w:customStyle="1" w:styleId="HeaderChar">
    <w:name w:val="Header Char"/>
    <w:basedOn w:val="DefaultParagraphFont"/>
    <w:link w:val="Header"/>
    <w:uiPriority w:val="99"/>
    <w:rsid w:val="00FB127E"/>
    <w:rPr>
      <w:rFonts w:ascii="Arial" w:hAnsi="Arial"/>
      <w:lang w:eastAsia="en-US"/>
    </w:rPr>
  </w:style>
  <w:style w:type="character" w:customStyle="1" w:styleId="BodyCopyChar">
    <w:name w:val="Body Copy Char"/>
    <w:link w:val="BodyCopy"/>
    <w:uiPriority w:val="99"/>
    <w:rsid w:val="00481273"/>
    <w:rPr>
      <w:rFonts w:ascii="Arial" w:eastAsia="Cambria" w:hAnsi="Arial"/>
      <w:color w:val="000000"/>
      <w:sz w:val="22"/>
      <w:szCs w:val="24"/>
      <w:lang w:eastAsia="en-US"/>
    </w:rPr>
  </w:style>
  <w:style w:type="paragraph" w:customStyle="1" w:styleId="BodyText1">
    <w:name w:val="Body Text1"/>
    <w:basedOn w:val="Normal"/>
    <w:uiPriority w:val="99"/>
    <w:qFormat/>
    <w:rsid w:val="00481273"/>
    <w:pPr>
      <w:spacing w:before="0" w:after="200" w:line="260" w:lineRule="exact"/>
    </w:pPr>
    <w:rPr>
      <w:sz w:val="22"/>
      <w:szCs w:val="24"/>
    </w:rPr>
  </w:style>
  <w:style w:type="character" w:customStyle="1" w:styleId="UnresolvedMention1">
    <w:name w:val="Unresolved Mention1"/>
    <w:basedOn w:val="DefaultParagraphFont"/>
    <w:uiPriority w:val="99"/>
    <w:semiHidden/>
    <w:unhideWhenUsed/>
    <w:rsid w:val="00481273"/>
    <w:rPr>
      <w:color w:val="808080"/>
      <w:shd w:val="clear" w:color="auto" w:fill="E6E6E6"/>
    </w:rPr>
  </w:style>
  <w:style w:type="paragraph" w:styleId="Revision">
    <w:name w:val="Revision"/>
    <w:hidden/>
    <w:uiPriority w:val="99"/>
    <w:semiHidden/>
    <w:rsid w:val="00481273"/>
    <w:rPr>
      <w:rFonts w:ascii="Arial" w:hAnsi="Arial"/>
      <w:lang w:eastAsia="en-US"/>
    </w:rPr>
  </w:style>
  <w:style w:type="character" w:customStyle="1" w:styleId="ListParagraphChar">
    <w:name w:val="List Paragraph Char"/>
    <w:aliases w:val="List Paragraph1 Char,NAST Quote Char,List Paragraph11 Char,Bulleted Para Char,CV text Char,Dot pt Char,F5 List Paragraph Char,FooterText Char,L Char,List Paragraph111 Char,List Paragraph2 Char,Medium Grid 1 - Accent 21 Char"/>
    <w:basedOn w:val="DefaultParagraphFont"/>
    <w:link w:val="ListParagraph"/>
    <w:uiPriority w:val="34"/>
    <w:locked/>
    <w:rsid w:val="00481273"/>
    <w:rPr>
      <w:rFonts w:asciiTheme="minorHAnsi" w:eastAsiaTheme="minorHAnsi" w:hAnsiTheme="minorHAnsi" w:cstheme="minorBidi"/>
      <w:sz w:val="22"/>
      <w:szCs w:val="22"/>
      <w:lang w:eastAsia="en-US"/>
    </w:rPr>
  </w:style>
  <w:style w:type="character" w:customStyle="1" w:styleId="markedcontent">
    <w:name w:val="markedcontent"/>
    <w:basedOn w:val="DefaultParagraphFont"/>
    <w:rsid w:val="00481273"/>
  </w:style>
  <w:style w:type="character" w:customStyle="1" w:styleId="Heading3Char">
    <w:name w:val="Heading 3 Char"/>
    <w:aliases w:val="Head 3 Char"/>
    <w:basedOn w:val="DefaultParagraphFont"/>
    <w:link w:val="Heading3"/>
    <w:rsid w:val="00481273"/>
    <w:rPr>
      <w:rFonts w:ascii="Arial" w:hAnsi="Arial"/>
      <w:b/>
      <w:color w:val="24272A" w:themeColor="text1"/>
      <w:sz w:val="22"/>
      <w:szCs w:val="24"/>
      <w:lang w:eastAsia="en-US"/>
    </w:rPr>
  </w:style>
  <w:style w:type="character" w:customStyle="1" w:styleId="Heading2Char">
    <w:name w:val="Heading 2 Char"/>
    <w:aliases w:val="Head 2 Char"/>
    <w:basedOn w:val="DefaultParagraphFont"/>
    <w:link w:val="Heading2"/>
    <w:rsid w:val="00481273"/>
    <w:rPr>
      <w:rFonts w:ascii="Arial" w:hAnsi="Arial"/>
      <w:b/>
      <w:color w:val="000000"/>
      <w:sz w:val="28"/>
      <w:szCs w:val="28"/>
      <w:lang w:eastAsia="en-US"/>
    </w:rPr>
  </w:style>
  <w:style w:type="paragraph" w:styleId="Caption">
    <w:name w:val="caption"/>
    <w:basedOn w:val="Normal"/>
    <w:next w:val="Normal"/>
    <w:unhideWhenUsed/>
    <w:rsid w:val="00481273"/>
    <w:pPr>
      <w:spacing w:before="0" w:after="200"/>
    </w:pPr>
    <w:rPr>
      <w:i/>
      <w:iCs/>
      <w:color w:val="24312A" w:themeColor="text2"/>
      <w:sz w:val="18"/>
      <w:szCs w:val="18"/>
    </w:rPr>
  </w:style>
  <w:style w:type="character" w:styleId="PlaceholderText">
    <w:name w:val="Placeholder Text"/>
    <w:basedOn w:val="DefaultParagraphFont"/>
    <w:uiPriority w:val="99"/>
    <w:semiHidden/>
    <w:rsid w:val="004812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827">
      <w:bodyDiv w:val="1"/>
      <w:marLeft w:val="0"/>
      <w:marRight w:val="0"/>
      <w:marTop w:val="0"/>
      <w:marBottom w:val="0"/>
      <w:divBdr>
        <w:top w:val="none" w:sz="0" w:space="0" w:color="auto"/>
        <w:left w:val="none" w:sz="0" w:space="0" w:color="auto"/>
        <w:bottom w:val="none" w:sz="0" w:space="0" w:color="auto"/>
        <w:right w:val="none" w:sz="0" w:space="0" w:color="auto"/>
      </w:divBdr>
    </w:div>
    <w:div w:id="353730515">
      <w:bodyDiv w:val="1"/>
      <w:marLeft w:val="0"/>
      <w:marRight w:val="0"/>
      <w:marTop w:val="0"/>
      <w:marBottom w:val="0"/>
      <w:divBdr>
        <w:top w:val="none" w:sz="0" w:space="0" w:color="auto"/>
        <w:left w:val="none" w:sz="0" w:space="0" w:color="auto"/>
        <w:bottom w:val="none" w:sz="0" w:space="0" w:color="auto"/>
        <w:right w:val="none" w:sz="0" w:space="0" w:color="auto"/>
      </w:divBdr>
    </w:div>
    <w:div w:id="476730785">
      <w:bodyDiv w:val="1"/>
      <w:marLeft w:val="0"/>
      <w:marRight w:val="0"/>
      <w:marTop w:val="0"/>
      <w:marBottom w:val="0"/>
      <w:divBdr>
        <w:top w:val="none" w:sz="0" w:space="0" w:color="auto"/>
        <w:left w:val="none" w:sz="0" w:space="0" w:color="auto"/>
        <w:bottom w:val="none" w:sz="0" w:space="0" w:color="auto"/>
        <w:right w:val="none" w:sz="0" w:space="0" w:color="auto"/>
      </w:divBdr>
    </w:div>
    <w:div w:id="659122044">
      <w:bodyDiv w:val="1"/>
      <w:marLeft w:val="0"/>
      <w:marRight w:val="0"/>
      <w:marTop w:val="0"/>
      <w:marBottom w:val="0"/>
      <w:divBdr>
        <w:top w:val="none" w:sz="0" w:space="0" w:color="auto"/>
        <w:left w:val="none" w:sz="0" w:space="0" w:color="auto"/>
        <w:bottom w:val="none" w:sz="0" w:space="0" w:color="auto"/>
        <w:right w:val="none" w:sz="0" w:space="0" w:color="auto"/>
      </w:divBdr>
    </w:div>
    <w:div w:id="1033925018">
      <w:bodyDiv w:val="1"/>
      <w:marLeft w:val="0"/>
      <w:marRight w:val="0"/>
      <w:marTop w:val="0"/>
      <w:marBottom w:val="0"/>
      <w:divBdr>
        <w:top w:val="none" w:sz="0" w:space="0" w:color="auto"/>
        <w:left w:val="none" w:sz="0" w:space="0" w:color="auto"/>
        <w:bottom w:val="none" w:sz="0" w:space="0" w:color="auto"/>
        <w:right w:val="none" w:sz="0" w:space="0" w:color="auto"/>
      </w:divBdr>
    </w:div>
    <w:div w:id="1061099853">
      <w:bodyDiv w:val="1"/>
      <w:marLeft w:val="0"/>
      <w:marRight w:val="0"/>
      <w:marTop w:val="0"/>
      <w:marBottom w:val="0"/>
      <w:divBdr>
        <w:top w:val="none" w:sz="0" w:space="0" w:color="auto"/>
        <w:left w:val="none" w:sz="0" w:space="0" w:color="auto"/>
        <w:bottom w:val="none" w:sz="0" w:space="0" w:color="auto"/>
        <w:right w:val="none" w:sz="0" w:space="0" w:color="auto"/>
      </w:divBdr>
    </w:div>
    <w:div w:id="1409767589">
      <w:bodyDiv w:val="1"/>
      <w:marLeft w:val="0"/>
      <w:marRight w:val="0"/>
      <w:marTop w:val="0"/>
      <w:marBottom w:val="0"/>
      <w:divBdr>
        <w:top w:val="none" w:sz="0" w:space="0" w:color="auto"/>
        <w:left w:val="none" w:sz="0" w:space="0" w:color="auto"/>
        <w:bottom w:val="none" w:sz="0" w:space="0" w:color="auto"/>
        <w:right w:val="none" w:sz="0" w:space="0" w:color="auto"/>
      </w:divBdr>
      <w:divsChild>
        <w:div w:id="14815824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9.wmf"/><Relationship Id="rId42" Type="http://schemas.openxmlformats.org/officeDocument/2006/relationships/footer" Target="footer3.xml"/><Relationship Id="rId47" Type="http://schemas.openxmlformats.org/officeDocument/2006/relationships/image" Target="media/image21.svg"/><Relationship Id="rId50" Type="http://schemas.openxmlformats.org/officeDocument/2006/relationships/image" Target="media/image23.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header" Target="header1.xml"/><Relationship Id="rId40" Type="http://schemas.openxmlformats.org/officeDocument/2006/relationships/footer" Target="footer2.xml"/><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hyperlink" Target="http://www.ntc.gov.au" TargetMode="External"/><Relationship Id="rId19"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hyperlink" Target="http://www.ntc.gov.au" TargetMode="External"/><Relationship Id="rId4" Type="http://schemas.openxmlformats.org/officeDocument/2006/relationships/settings" Target="settings.xml"/><Relationship Id="rId9" Type="http://schemas.openxmlformats.org/officeDocument/2006/relationships/hyperlink" Target="mailto:rstaheli@ntc.gov.au" TargetMode="Externa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hyperlink" Target="mailto:enquiries@ntc.gov.au" TargetMode="External"/><Relationship Id="rId56" Type="http://schemas.openxmlformats.org/officeDocument/2006/relationships/customXml" Target="../customXml/item3.xml"/><Relationship Id="rId8" Type="http://schemas.openxmlformats.org/officeDocument/2006/relationships/image" Target="media/image1.jpg"/><Relationship Id="rId51" Type="http://schemas.openxmlformats.org/officeDocument/2006/relationships/hyperlink" Target="mailto:enquiries@ntc.gov.au" TargetMode="External"/><Relationship Id="rId3" Type="http://schemas.openxmlformats.org/officeDocument/2006/relationships/styles" Target="styles.xml"/><Relationship Id="rId12" Type="http://schemas.openxmlformats.org/officeDocument/2006/relationships/hyperlink" Target="https://www.ntc.gov.au/transport-reform/ntc-projects/heavy-vehicle-charges-determination" TargetMode="External"/><Relationship Id="rId17" Type="http://schemas.microsoft.com/office/2007/relationships/diagramDrawing" Target="diagrams/drawing1.xml"/><Relationship Id="rId25" Type="http://schemas.openxmlformats.org/officeDocument/2006/relationships/image" Target="media/image10.wmf"/><Relationship Id="rId33" Type="http://schemas.openxmlformats.org/officeDocument/2006/relationships/image" Target="media/image18.png"/><Relationship Id="rId38"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hyperlink" Target="http://www.ntc.gov.au" TargetMode="External"/><Relationship Id="rId5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ntc.gov.au/Media/Reports/%280AAD626F-5961-0DFA-6508-258B5697EBBD%29.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4F64D-C88A-460B-90D1-3CFAD7024D76}" type="doc">
      <dgm:prSet loTypeId="urn:microsoft.com/office/officeart/2005/8/layout/hProcess11" loCatId="process" qsTypeId="urn:microsoft.com/office/officeart/2005/8/quickstyle/simple1" qsCatId="simple" csTypeId="urn:microsoft.com/office/officeart/2005/8/colors/accent1_1" csCatId="accent1" phldr="1"/>
      <dgm:spPr/>
      <dgm:t>
        <a:bodyPr/>
        <a:lstStyle/>
        <a:p>
          <a:endParaRPr lang="en-AU"/>
        </a:p>
      </dgm:t>
    </dgm:pt>
    <dgm:pt modelId="{7903E363-4A56-43E9-9249-D6DCE2048AB4}">
      <dgm:prSet phldrT="[Text]" custT="1"/>
      <dgm:spPr/>
      <dgm:t>
        <a:bodyPr/>
        <a:lstStyle/>
        <a:p>
          <a:r>
            <a:rPr lang="en-AU" sz="800" b="1"/>
            <a:t>July 2022</a:t>
          </a:r>
        </a:p>
        <a:p>
          <a:r>
            <a:rPr lang="en-AU" sz="800" b="1">
              <a:solidFill>
                <a:srgbClr val="002F88"/>
              </a:solidFill>
            </a:rPr>
            <a:t>Initial discussions</a:t>
          </a:r>
        </a:p>
        <a:p>
          <a:r>
            <a:rPr lang="en-AU" sz="800" b="0"/>
            <a:t>Informal discussions of issues and options with stakeholders</a:t>
          </a:r>
        </a:p>
      </dgm:t>
    </dgm:pt>
    <dgm:pt modelId="{83C1C67F-62EE-41C4-98E1-8406250EDA93}" type="parTrans" cxnId="{06046D14-F6A0-497E-A347-6A2D6850D214}">
      <dgm:prSet/>
      <dgm:spPr/>
      <dgm:t>
        <a:bodyPr/>
        <a:lstStyle/>
        <a:p>
          <a:endParaRPr lang="en-AU"/>
        </a:p>
      </dgm:t>
    </dgm:pt>
    <dgm:pt modelId="{A52D4A25-C0C6-4C55-9BE1-70E5DAE02C9A}" type="sibTrans" cxnId="{06046D14-F6A0-497E-A347-6A2D6850D214}">
      <dgm:prSet/>
      <dgm:spPr/>
      <dgm:t>
        <a:bodyPr/>
        <a:lstStyle/>
        <a:p>
          <a:endParaRPr lang="en-AU"/>
        </a:p>
      </dgm:t>
    </dgm:pt>
    <dgm:pt modelId="{21F8C07F-3410-49B9-AE39-7BE0F6A36F6A}">
      <dgm:prSet phldrT="[Text]" custT="1"/>
      <dgm:spPr/>
      <dgm:t>
        <a:bodyPr/>
        <a:lstStyle/>
        <a:p>
          <a:r>
            <a:rPr lang="en-AU" sz="800" b="1"/>
            <a:t>October 2022</a:t>
          </a:r>
        </a:p>
        <a:p>
          <a:r>
            <a:rPr lang="en-AU" sz="800" b="1">
              <a:solidFill>
                <a:srgbClr val="002F88"/>
              </a:solidFill>
            </a:rPr>
            <a:t>ITSOC</a:t>
          </a:r>
        </a:p>
        <a:p>
          <a:r>
            <a:rPr lang="en-AU" sz="800" b="0"/>
            <a:t>Consideration by ITSOC</a:t>
          </a:r>
        </a:p>
      </dgm:t>
    </dgm:pt>
    <dgm:pt modelId="{F9FE4A6B-C1AC-499C-A828-6F0BA02605BF}" type="parTrans" cxnId="{424F0864-B475-40A9-B82F-F296CC5C33E4}">
      <dgm:prSet/>
      <dgm:spPr/>
      <dgm:t>
        <a:bodyPr/>
        <a:lstStyle/>
        <a:p>
          <a:endParaRPr lang="en-AU"/>
        </a:p>
      </dgm:t>
    </dgm:pt>
    <dgm:pt modelId="{7430C0A6-28C4-4A36-BFDE-0E918698F629}" type="sibTrans" cxnId="{424F0864-B475-40A9-B82F-F296CC5C33E4}">
      <dgm:prSet/>
      <dgm:spPr/>
      <dgm:t>
        <a:bodyPr/>
        <a:lstStyle/>
        <a:p>
          <a:endParaRPr lang="en-AU"/>
        </a:p>
      </dgm:t>
    </dgm:pt>
    <dgm:pt modelId="{AEBCA47D-B779-4A81-AE7B-76EC2C5D17BA}">
      <dgm:prSet custT="1"/>
      <dgm:spPr>
        <a:ln w="28575">
          <a:solidFill>
            <a:schemeClr val="accent1"/>
          </a:solidFill>
          <a:prstDash val="sysDash"/>
        </a:ln>
      </dgm:spPr>
      <dgm:t>
        <a:bodyPr/>
        <a:lstStyle/>
        <a:p>
          <a:r>
            <a:rPr lang="en-AU" sz="800" b="1"/>
            <a:t>December 2022</a:t>
          </a:r>
          <a:endParaRPr lang="en-AU" sz="800">
            <a:solidFill>
              <a:srgbClr val="002F88"/>
            </a:solidFill>
          </a:endParaRPr>
        </a:p>
        <a:p>
          <a:r>
            <a:rPr lang="en-AU" sz="800" b="1">
              <a:solidFill>
                <a:srgbClr val="002F88"/>
              </a:solidFill>
            </a:rPr>
            <a:t>ITMM Decision</a:t>
          </a:r>
        </a:p>
        <a:p>
          <a:r>
            <a:rPr lang="en-AU" sz="800">
              <a:solidFill>
                <a:schemeClr val="tx1"/>
              </a:solidFill>
            </a:rPr>
            <a:t>ITMM</a:t>
          </a:r>
          <a:r>
            <a:rPr lang="en-AU" sz="800"/>
            <a:t> decides on heavy vehicle charges to apply from 2023-24 onwards</a:t>
          </a:r>
        </a:p>
      </dgm:t>
    </dgm:pt>
    <dgm:pt modelId="{238E60F4-A95E-4B74-AAC5-7391269AF81B}" type="parTrans" cxnId="{F22A9247-2419-415D-B591-960B908FA3D3}">
      <dgm:prSet/>
      <dgm:spPr/>
      <dgm:t>
        <a:bodyPr/>
        <a:lstStyle/>
        <a:p>
          <a:endParaRPr lang="en-AU"/>
        </a:p>
      </dgm:t>
    </dgm:pt>
    <dgm:pt modelId="{42C116DC-1A17-4A5E-BA0F-F20CB9705DFD}" type="sibTrans" cxnId="{F22A9247-2419-415D-B591-960B908FA3D3}">
      <dgm:prSet/>
      <dgm:spPr/>
      <dgm:t>
        <a:bodyPr/>
        <a:lstStyle/>
        <a:p>
          <a:endParaRPr lang="en-AU"/>
        </a:p>
      </dgm:t>
    </dgm:pt>
    <dgm:pt modelId="{301D586A-B301-43DE-9157-98045CF1D85E}">
      <dgm:prSet custT="1"/>
      <dgm:spPr/>
      <dgm:t>
        <a:bodyPr/>
        <a:lstStyle/>
        <a:p>
          <a:r>
            <a:rPr lang="en-AU" sz="800" b="1"/>
            <a:t>1 July 2023</a:t>
          </a:r>
        </a:p>
        <a:p>
          <a:r>
            <a:rPr lang="en-AU" sz="800" b="1">
              <a:solidFill>
                <a:srgbClr val="002F88"/>
              </a:solidFill>
            </a:rPr>
            <a:t>New charges effective</a:t>
          </a:r>
        </a:p>
        <a:p>
          <a:r>
            <a:rPr lang="en-AU" sz="800" b="0">
              <a:solidFill>
                <a:schemeClr val="tx1"/>
              </a:solidFill>
            </a:rPr>
            <a:t>New heavy vehicle charges apply from this date</a:t>
          </a:r>
        </a:p>
      </dgm:t>
    </dgm:pt>
    <dgm:pt modelId="{63681FD8-9C21-48A5-A1D5-8E800AD8F4B1}" type="parTrans" cxnId="{85C5EB14-153F-4AA5-B9F8-3C8B887ACE92}">
      <dgm:prSet/>
      <dgm:spPr/>
      <dgm:t>
        <a:bodyPr/>
        <a:lstStyle/>
        <a:p>
          <a:endParaRPr lang="en-AU"/>
        </a:p>
      </dgm:t>
    </dgm:pt>
    <dgm:pt modelId="{584146E2-26EC-48EC-9CF1-82933F83649B}" type="sibTrans" cxnId="{85C5EB14-153F-4AA5-B9F8-3C8B887ACE92}">
      <dgm:prSet/>
      <dgm:spPr/>
      <dgm:t>
        <a:bodyPr/>
        <a:lstStyle/>
        <a:p>
          <a:endParaRPr lang="en-AU"/>
        </a:p>
      </dgm:t>
    </dgm:pt>
    <dgm:pt modelId="{9FCFA5E6-50EB-4986-A405-D5E598422246}">
      <dgm:prSet phldrT="[Text]" custT="1"/>
      <dgm:spPr>
        <a:ln>
          <a:solidFill>
            <a:schemeClr val="bg1"/>
          </a:solidFill>
        </a:ln>
      </dgm:spPr>
      <dgm:t>
        <a:bodyPr/>
        <a:lstStyle/>
        <a:p>
          <a:r>
            <a:rPr lang="en-AU" sz="800" b="1"/>
            <a:t>September/ October 2022</a:t>
          </a:r>
        </a:p>
        <a:p>
          <a:r>
            <a:rPr lang="en-AU" sz="800" b="1">
              <a:solidFill>
                <a:srgbClr val="002F88"/>
              </a:solidFill>
            </a:rPr>
            <a:t>Consultation paper and formal stakeholder discussions</a:t>
          </a:r>
        </a:p>
        <a:p>
          <a:r>
            <a:rPr lang="en-AU" sz="800" b="0"/>
            <a:t>Seeking stakeholder feedback</a:t>
          </a:r>
          <a:endParaRPr lang="en-AU" sz="800" b="1">
            <a:solidFill>
              <a:srgbClr val="002F88"/>
            </a:solidFill>
          </a:endParaRPr>
        </a:p>
      </dgm:t>
    </dgm:pt>
    <dgm:pt modelId="{D023CE9B-B6FD-428C-902A-EAC377FBB7B2}" type="sibTrans" cxnId="{33D42A4D-0E4B-4E17-BF57-8D88A864A8C2}">
      <dgm:prSet/>
      <dgm:spPr/>
      <dgm:t>
        <a:bodyPr/>
        <a:lstStyle/>
        <a:p>
          <a:endParaRPr lang="en-AU"/>
        </a:p>
      </dgm:t>
    </dgm:pt>
    <dgm:pt modelId="{6008A170-41B5-49FA-86B9-C9162AD4F252}" type="parTrans" cxnId="{33D42A4D-0E4B-4E17-BF57-8D88A864A8C2}">
      <dgm:prSet/>
      <dgm:spPr/>
      <dgm:t>
        <a:bodyPr/>
        <a:lstStyle/>
        <a:p>
          <a:endParaRPr lang="en-AU"/>
        </a:p>
      </dgm:t>
    </dgm:pt>
    <dgm:pt modelId="{5E1EB1F5-92A3-456D-950B-FA5E0DF127A9}">
      <dgm:prSet custT="1"/>
      <dgm:spPr/>
      <dgm:t>
        <a:bodyPr/>
        <a:lstStyle/>
        <a:p>
          <a:r>
            <a:rPr lang="en-AU" sz="800" b="1"/>
            <a:t>January /February 2023</a:t>
          </a:r>
        </a:p>
        <a:p>
          <a:r>
            <a:rPr lang="en-AU" sz="800" b="1">
              <a:solidFill>
                <a:srgbClr val="002F88"/>
              </a:solidFill>
            </a:rPr>
            <a:t>Public consultation on RUC rates</a:t>
          </a:r>
        </a:p>
        <a:p>
          <a:r>
            <a:rPr lang="en-AU" sz="800" b="0">
              <a:solidFill>
                <a:schemeClr val="tx1"/>
              </a:solidFill>
            </a:rPr>
            <a:t>Public consultation for 60 days on new RUC rates</a:t>
          </a:r>
        </a:p>
      </dgm:t>
    </dgm:pt>
    <dgm:pt modelId="{B751EC55-71C0-425F-8000-60EA5D906139}" type="parTrans" cxnId="{B5A85F1F-702A-4646-B90B-B253409D0EBF}">
      <dgm:prSet/>
      <dgm:spPr/>
      <dgm:t>
        <a:bodyPr/>
        <a:lstStyle/>
        <a:p>
          <a:endParaRPr lang="en-AU"/>
        </a:p>
      </dgm:t>
    </dgm:pt>
    <dgm:pt modelId="{2CDA9529-8C85-483B-B460-43559B25A823}" type="sibTrans" cxnId="{B5A85F1F-702A-4646-B90B-B253409D0EBF}">
      <dgm:prSet/>
      <dgm:spPr/>
      <dgm:t>
        <a:bodyPr/>
        <a:lstStyle/>
        <a:p>
          <a:endParaRPr lang="en-AU"/>
        </a:p>
      </dgm:t>
    </dgm:pt>
    <dgm:pt modelId="{78A94EA3-C6D6-4D01-BEED-0D6E5D12A1DF}">
      <dgm:prSet custT="1"/>
      <dgm:spPr/>
      <dgm:t>
        <a:bodyPr/>
        <a:lstStyle/>
        <a:p>
          <a:r>
            <a:rPr lang="en-AU" sz="800" b="1"/>
            <a:t>April 2023</a:t>
          </a:r>
        </a:p>
        <a:p>
          <a:r>
            <a:rPr lang="en-AU" sz="800" b="1">
              <a:solidFill>
                <a:srgbClr val="002F88"/>
              </a:solidFill>
            </a:rPr>
            <a:t>Model Law</a:t>
          </a:r>
        </a:p>
        <a:p>
          <a:r>
            <a:rPr lang="en-AU" sz="800" b="0"/>
            <a:t>Heavy Vehicle charges Model Law updated to reflect approved registration charges</a:t>
          </a:r>
        </a:p>
        <a:p>
          <a:endParaRPr lang="en-AU" sz="800">
            <a:solidFill>
              <a:srgbClr val="002F88"/>
            </a:solidFill>
          </a:endParaRPr>
        </a:p>
      </dgm:t>
    </dgm:pt>
    <dgm:pt modelId="{A7FD077C-6252-4766-8066-BFA88EA8404A}" type="parTrans" cxnId="{52052F3A-50F9-49D6-AA04-F3D0E09276C9}">
      <dgm:prSet/>
      <dgm:spPr/>
      <dgm:t>
        <a:bodyPr/>
        <a:lstStyle/>
        <a:p>
          <a:endParaRPr lang="en-AU"/>
        </a:p>
      </dgm:t>
    </dgm:pt>
    <dgm:pt modelId="{8ABC343B-2DBC-4DC9-AE53-164D4874BA28}" type="sibTrans" cxnId="{52052F3A-50F9-49D6-AA04-F3D0E09276C9}">
      <dgm:prSet/>
      <dgm:spPr/>
      <dgm:t>
        <a:bodyPr/>
        <a:lstStyle/>
        <a:p>
          <a:endParaRPr lang="en-AU"/>
        </a:p>
      </dgm:t>
    </dgm:pt>
    <dgm:pt modelId="{FDF9AE45-A380-411D-B22B-FE2118C56D8F}" type="pres">
      <dgm:prSet presAssocID="{63C4F64D-C88A-460B-90D1-3CFAD7024D76}" presName="Name0" presStyleCnt="0">
        <dgm:presLayoutVars>
          <dgm:dir/>
          <dgm:resizeHandles val="exact"/>
        </dgm:presLayoutVars>
      </dgm:prSet>
      <dgm:spPr/>
      <dgm:t>
        <a:bodyPr/>
        <a:lstStyle/>
        <a:p>
          <a:endParaRPr lang="en-US"/>
        </a:p>
      </dgm:t>
    </dgm:pt>
    <dgm:pt modelId="{891365C9-EE81-40B4-8052-48B5FFFF1590}" type="pres">
      <dgm:prSet presAssocID="{63C4F64D-C88A-460B-90D1-3CFAD7024D76}" presName="arrow" presStyleLbl="bgShp" presStyleIdx="0" presStyleCnt="1"/>
      <dgm:spPr/>
    </dgm:pt>
    <dgm:pt modelId="{AC31A202-952C-4000-81B5-22C0DF2AD277}" type="pres">
      <dgm:prSet presAssocID="{63C4F64D-C88A-460B-90D1-3CFAD7024D76}" presName="points" presStyleCnt="0"/>
      <dgm:spPr/>
    </dgm:pt>
    <dgm:pt modelId="{A60BC416-83D5-465A-994F-858403BCAB40}" type="pres">
      <dgm:prSet presAssocID="{7903E363-4A56-43E9-9249-D6DCE2048AB4}" presName="compositeA" presStyleCnt="0"/>
      <dgm:spPr/>
    </dgm:pt>
    <dgm:pt modelId="{C9202B98-E402-4C39-9A00-7F5228AC5C33}" type="pres">
      <dgm:prSet presAssocID="{7903E363-4A56-43E9-9249-D6DCE2048AB4}" presName="textA" presStyleLbl="revTx" presStyleIdx="0" presStyleCnt="7" custScaleX="197057" custLinFactNeighborX="8945" custLinFactNeighborY="-615">
        <dgm:presLayoutVars>
          <dgm:bulletEnabled val="1"/>
        </dgm:presLayoutVars>
      </dgm:prSet>
      <dgm:spPr/>
      <dgm:t>
        <a:bodyPr/>
        <a:lstStyle/>
        <a:p>
          <a:endParaRPr lang="en-US"/>
        </a:p>
      </dgm:t>
    </dgm:pt>
    <dgm:pt modelId="{FBFDFB41-A0AD-4DE5-BA3E-848AB6C0CC95}" type="pres">
      <dgm:prSet presAssocID="{7903E363-4A56-43E9-9249-D6DCE2048AB4}" presName="circleA" presStyleLbl="node1" presStyleIdx="0" presStyleCnt="7" custLinFactNeighborX="26786" custLinFactNeighborY="-5952"/>
      <dgm:spPr>
        <a:solidFill>
          <a:schemeClr val="accent1"/>
        </a:solidFill>
      </dgm:spPr>
    </dgm:pt>
    <dgm:pt modelId="{0E6ADEB4-7BE2-4C1A-8E66-57D3C359C7A5}" type="pres">
      <dgm:prSet presAssocID="{7903E363-4A56-43E9-9249-D6DCE2048AB4}" presName="spaceA" presStyleCnt="0"/>
      <dgm:spPr/>
    </dgm:pt>
    <dgm:pt modelId="{20D6B445-2E6D-42B1-85E2-7AAF5DF35A81}" type="pres">
      <dgm:prSet presAssocID="{A52D4A25-C0C6-4C55-9BE1-70E5DAE02C9A}" presName="space" presStyleCnt="0"/>
      <dgm:spPr/>
    </dgm:pt>
    <dgm:pt modelId="{0B737951-3BD4-4764-9790-69C5873A040F}" type="pres">
      <dgm:prSet presAssocID="{9FCFA5E6-50EB-4986-A405-D5E598422246}" presName="compositeB" presStyleCnt="0"/>
      <dgm:spPr/>
    </dgm:pt>
    <dgm:pt modelId="{5D0D5E15-3EC6-4F13-B82D-F730ABDCF115}" type="pres">
      <dgm:prSet presAssocID="{9FCFA5E6-50EB-4986-A405-D5E598422246}" presName="textB" presStyleLbl="revTx" presStyleIdx="1" presStyleCnt="7" custScaleX="200675" custLinFactNeighborX="-6772" custLinFactNeighborY="0">
        <dgm:presLayoutVars>
          <dgm:bulletEnabled val="1"/>
        </dgm:presLayoutVars>
      </dgm:prSet>
      <dgm:spPr/>
      <dgm:t>
        <a:bodyPr/>
        <a:lstStyle/>
        <a:p>
          <a:endParaRPr lang="en-US"/>
        </a:p>
      </dgm:t>
    </dgm:pt>
    <dgm:pt modelId="{2277E9E3-FEC2-4D4D-9066-A87252117F24}" type="pres">
      <dgm:prSet presAssocID="{9FCFA5E6-50EB-4986-A405-D5E598422246}" presName="circleB" presStyleLbl="node1" presStyleIdx="1" presStyleCnt="7"/>
      <dgm:spPr>
        <a:solidFill>
          <a:schemeClr val="accent1"/>
        </a:solidFill>
      </dgm:spPr>
    </dgm:pt>
    <dgm:pt modelId="{3B2268A3-2233-45FD-98D9-62710074EE44}" type="pres">
      <dgm:prSet presAssocID="{9FCFA5E6-50EB-4986-A405-D5E598422246}" presName="spaceB" presStyleCnt="0"/>
      <dgm:spPr/>
    </dgm:pt>
    <dgm:pt modelId="{F0DB2972-1571-4E90-A080-275961509D9E}" type="pres">
      <dgm:prSet presAssocID="{D023CE9B-B6FD-428C-902A-EAC377FBB7B2}" presName="space" presStyleCnt="0"/>
      <dgm:spPr/>
    </dgm:pt>
    <dgm:pt modelId="{C7E19CBA-501E-4BAE-8637-09879ADCFFF6}" type="pres">
      <dgm:prSet presAssocID="{21F8C07F-3410-49B9-AE39-7BE0F6A36F6A}" presName="compositeA" presStyleCnt="0"/>
      <dgm:spPr/>
    </dgm:pt>
    <dgm:pt modelId="{547AA36A-A861-4E2A-BD11-6DC8A13F5C09}" type="pres">
      <dgm:prSet presAssocID="{21F8C07F-3410-49B9-AE39-7BE0F6A36F6A}" presName="textA" presStyleLbl="revTx" presStyleIdx="2" presStyleCnt="7" custScaleX="184123">
        <dgm:presLayoutVars>
          <dgm:bulletEnabled val="1"/>
        </dgm:presLayoutVars>
      </dgm:prSet>
      <dgm:spPr/>
      <dgm:t>
        <a:bodyPr/>
        <a:lstStyle/>
        <a:p>
          <a:endParaRPr lang="en-US"/>
        </a:p>
      </dgm:t>
    </dgm:pt>
    <dgm:pt modelId="{90F30E46-836D-46EC-9F0C-4FAB4B2A6682}" type="pres">
      <dgm:prSet presAssocID="{21F8C07F-3410-49B9-AE39-7BE0F6A36F6A}" presName="circleA" presStyleLbl="node1" presStyleIdx="2" presStyleCnt="7"/>
      <dgm:spPr>
        <a:solidFill>
          <a:schemeClr val="accent1"/>
        </a:solidFill>
      </dgm:spPr>
    </dgm:pt>
    <dgm:pt modelId="{9114ED77-6865-416E-81F2-A387A25E8FA1}" type="pres">
      <dgm:prSet presAssocID="{21F8C07F-3410-49B9-AE39-7BE0F6A36F6A}" presName="spaceA" presStyleCnt="0"/>
      <dgm:spPr/>
    </dgm:pt>
    <dgm:pt modelId="{A179E7AF-620F-4622-998B-CC11061F0206}" type="pres">
      <dgm:prSet presAssocID="{7430C0A6-28C4-4A36-BFDE-0E918698F629}" presName="space" presStyleCnt="0"/>
      <dgm:spPr/>
    </dgm:pt>
    <dgm:pt modelId="{C6F29080-36F6-4812-9D61-7FB52EB43CD3}" type="pres">
      <dgm:prSet presAssocID="{AEBCA47D-B779-4A81-AE7B-76EC2C5D17BA}" presName="compositeB" presStyleCnt="0"/>
      <dgm:spPr/>
    </dgm:pt>
    <dgm:pt modelId="{706328CB-0C98-4472-A663-32439688063A}" type="pres">
      <dgm:prSet presAssocID="{AEBCA47D-B779-4A81-AE7B-76EC2C5D17BA}" presName="textB" presStyleLbl="revTx" presStyleIdx="3" presStyleCnt="7" custScaleX="228328">
        <dgm:presLayoutVars>
          <dgm:bulletEnabled val="1"/>
        </dgm:presLayoutVars>
      </dgm:prSet>
      <dgm:spPr/>
      <dgm:t>
        <a:bodyPr/>
        <a:lstStyle/>
        <a:p>
          <a:endParaRPr lang="en-US"/>
        </a:p>
      </dgm:t>
    </dgm:pt>
    <dgm:pt modelId="{97274395-B64A-44F7-B842-E08086FD1F4B}" type="pres">
      <dgm:prSet presAssocID="{AEBCA47D-B779-4A81-AE7B-76EC2C5D17BA}" presName="circleB" presStyleLbl="node1" presStyleIdx="3" presStyleCnt="7"/>
      <dgm:spPr>
        <a:solidFill>
          <a:schemeClr val="accent1"/>
        </a:solidFill>
      </dgm:spPr>
    </dgm:pt>
    <dgm:pt modelId="{89C43C27-80EB-4B1F-9F29-F6B5C49073E0}" type="pres">
      <dgm:prSet presAssocID="{AEBCA47D-B779-4A81-AE7B-76EC2C5D17BA}" presName="spaceB" presStyleCnt="0"/>
      <dgm:spPr/>
    </dgm:pt>
    <dgm:pt modelId="{0E615544-3764-4AB9-BB4A-8D9690A7A009}" type="pres">
      <dgm:prSet presAssocID="{42C116DC-1A17-4A5E-BA0F-F20CB9705DFD}" presName="space" presStyleCnt="0"/>
      <dgm:spPr/>
    </dgm:pt>
    <dgm:pt modelId="{55A20B55-2275-465A-9591-BB31AE94908C}" type="pres">
      <dgm:prSet presAssocID="{5E1EB1F5-92A3-456D-950B-FA5E0DF127A9}" presName="compositeA" presStyleCnt="0"/>
      <dgm:spPr/>
    </dgm:pt>
    <dgm:pt modelId="{5DD63F02-E9A3-43B4-B437-6553304DF168}" type="pres">
      <dgm:prSet presAssocID="{5E1EB1F5-92A3-456D-950B-FA5E0DF127A9}" presName="textA" presStyleLbl="revTx" presStyleIdx="4" presStyleCnt="7" custScaleX="194844">
        <dgm:presLayoutVars>
          <dgm:bulletEnabled val="1"/>
        </dgm:presLayoutVars>
      </dgm:prSet>
      <dgm:spPr/>
      <dgm:t>
        <a:bodyPr/>
        <a:lstStyle/>
        <a:p>
          <a:endParaRPr lang="en-US"/>
        </a:p>
      </dgm:t>
    </dgm:pt>
    <dgm:pt modelId="{4D7C705A-462B-4F27-BF47-EA7C46BB14BA}" type="pres">
      <dgm:prSet presAssocID="{5E1EB1F5-92A3-456D-950B-FA5E0DF127A9}" presName="circleA" presStyleLbl="node1" presStyleIdx="4" presStyleCnt="7"/>
      <dgm:spPr/>
    </dgm:pt>
    <dgm:pt modelId="{C897B050-69A5-4DE2-BC50-932195D65FAA}" type="pres">
      <dgm:prSet presAssocID="{5E1EB1F5-92A3-456D-950B-FA5E0DF127A9}" presName="spaceA" presStyleCnt="0"/>
      <dgm:spPr/>
    </dgm:pt>
    <dgm:pt modelId="{79648EE1-355F-4A1B-BA4E-5CC223F8943D}" type="pres">
      <dgm:prSet presAssocID="{2CDA9529-8C85-483B-B460-43559B25A823}" presName="space" presStyleCnt="0"/>
      <dgm:spPr/>
    </dgm:pt>
    <dgm:pt modelId="{C8683D16-C8FF-4F5B-BCBB-6C275CBD9FBC}" type="pres">
      <dgm:prSet presAssocID="{78A94EA3-C6D6-4D01-BEED-0D6E5D12A1DF}" presName="compositeB" presStyleCnt="0"/>
      <dgm:spPr/>
    </dgm:pt>
    <dgm:pt modelId="{65B32516-9326-4E33-84A3-5C8ED0806D97}" type="pres">
      <dgm:prSet presAssocID="{78A94EA3-C6D6-4D01-BEED-0D6E5D12A1DF}" presName="textB" presStyleLbl="revTx" presStyleIdx="5" presStyleCnt="7" custScaleX="185642">
        <dgm:presLayoutVars>
          <dgm:bulletEnabled val="1"/>
        </dgm:presLayoutVars>
      </dgm:prSet>
      <dgm:spPr/>
      <dgm:t>
        <a:bodyPr/>
        <a:lstStyle/>
        <a:p>
          <a:endParaRPr lang="en-US"/>
        </a:p>
      </dgm:t>
    </dgm:pt>
    <dgm:pt modelId="{9926B8D2-BD87-4274-AA95-E53F08BF02E5}" type="pres">
      <dgm:prSet presAssocID="{78A94EA3-C6D6-4D01-BEED-0D6E5D12A1DF}" presName="circleB" presStyleLbl="node1" presStyleIdx="5" presStyleCnt="7"/>
      <dgm:spPr/>
    </dgm:pt>
    <dgm:pt modelId="{E8C4EDB6-FF28-4413-A783-7C4A16FA4EBF}" type="pres">
      <dgm:prSet presAssocID="{78A94EA3-C6D6-4D01-BEED-0D6E5D12A1DF}" presName="spaceB" presStyleCnt="0"/>
      <dgm:spPr/>
    </dgm:pt>
    <dgm:pt modelId="{DE7301EE-3DD4-456C-AD3B-B66D2108539D}" type="pres">
      <dgm:prSet presAssocID="{8ABC343B-2DBC-4DC9-AE53-164D4874BA28}" presName="space" presStyleCnt="0"/>
      <dgm:spPr/>
    </dgm:pt>
    <dgm:pt modelId="{B8304255-6FF8-41F3-8B37-EB04592DD22C}" type="pres">
      <dgm:prSet presAssocID="{301D586A-B301-43DE-9157-98045CF1D85E}" presName="compositeA" presStyleCnt="0"/>
      <dgm:spPr/>
    </dgm:pt>
    <dgm:pt modelId="{983B1376-777B-4ECA-AF79-C2577DB5D68C}" type="pres">
      <dgm:prSet presAssocID="{301D586A-B301-43DE-9157-98045CF1D85E}" presName="textA" presStyleLbl="revTx" presStyleIdx="6" presStyleCnt="7" custScaleX="240252">
        <dgm:presLayoutVars>
          <dgm:bulletEnabled val="1"/>
        </dgm:presLayoutVars>
      </dgm:prSet>
      <dgm:spPr/>
      <dgm:t>
        <a:bodyPr/>
        <a:lstStyle/>
        <a:p>
          <a:endParaRPr lang="en-US"/>
        </a:p>
      </dgm:t>
    </dgm:pt>
    <dgm:pt modelId="{02A82535-059F-4E20-A61B-476A571CEDFE}" type="pres">
      <dgm:prSet presAssocID="{301D586A-B301-43DE-9157-98045CF1D85E}" presName="circleA" presStyleLbl="node1" presStyleIdx="6" presStyleCnt="7"/>
      <dgm:spPr/>
    </dgm:pt>
    <dgm:pt modelId="{E1F3A371-1728-4634-AB84-F111D2632CBE}" type="pres">
      <dgm:prSet presAssocID="{301D586A-B301-43DE-9157-98045CF1D85E}" presName="spaceA" presStyleCnt="0"/>
      <dgm:spPr/>
    </dgm:pt>
  </dgm:ptLst>
  <dgm:cxnLst>
    <dgm:cxn modelId="{33D42A4D-0E4B-4E17-BF57-8D88A864A8C2}" srcId="{63C4F64D-C88A-460B-90D1-3CFAD7024D76}" destId="{9FCFA5E6-50EB-4986-A405-D5E598422246}" srcOrd="1" destOrd="0" parTransId="{6008A170-41B5-49FA-86B9-C9162AD4F252}" sibTransId="{D023CE9B-B6FD-428C-902A-EAC377FBB7B2}"/>
    <dgm:cxn modelId="{79C978E5-0D2C-4D2B-9488-F811E8EB0BA3}" type="presOf" srcId="{7903E363-4A56-43E9-9249-D6DCE2048AB4}" destId="{C9202B98-E402-4C39-9A00-7F5228AC5C33}" srcOrd="0" destOrd="0" presId="urn:microsoft.com/office/officeart/2005/8/layout/hProcess11"/>
    <dgm:cxn modelId="{A863AFCB-E135-4DF0-8546-D2584C86054B}" type="presOf" srcId="{5E1EB1F5-92A3-456D-950B-FA5E0DF127A9}" destId="{5DD63F02-E9A3-43B4-B437-6553304DF168}" srcOrd="0" destOrd="0" presId="urn:microsoft.com/office/officeart/2005/8/layout/hProcess11"/>
    <dgm:cxn modelId="{8A2BE8A2-86C1-4109-A962-4B00FCD68BF0}" type="presOf" srcId="{21F8C07F-3410-49B9-AE39-7BE0F6A36F6A}" destId="{547AA36A-A861-4E2A-BD11-6DC8A13F5C09}" srcOrd="0" destOrd="0" presId="urn:microsoft.com/office/officeart/2005/8/layout/hProcess11"/>
    <dgm:cxn modelId="{06046D14-F6A0-497E-A347-6A2D6850D214}" srcId="{63C4F64D-C88A-460B-90D1-3CFAD7024D76}" destId="{7903E363-4A56-43E9-9249-D6DCE2048AB4}" srcOrd="0" destOrd="0" parTransId="{83C1C67F-62EE-41C4-98E1-8406250EDA93}" sibTransId="{A52D4A25-C0C6-4C55-9BE1-70E5DAE02C9A}"/>
    <dgm:cxn modelId="{5DB2319E-AD54-4683-AEAA-424DBBCA5330}" type="presOf" srcId="{78A94EA3-C6D6-4D01-BEED-0D6E5D12A1DF}" destId="{65B32516-9326-4E33-84A3-5C8ED0806D97}" srcOrd="0" destOrd="0" presId="urn:microsoft.com/office/officeart/2005/8/layout/hProcess11"/>
    <dgm:cxn modelId="{2E5A778D-2860-4A03-A241-13EB3B4A0F69}" type="presOf" srcId="{63C4F64D-C88A-460B-90D1-3CFAD7024D76}" destId="{FDF9AE45-A380-411D-B22B-FE2118C56D8F}" srcOrd="0" destOrd="0" presId="urn:microsoft.com/office/officeart/2005/8/layout/hProcess11"/>
    <dgm:cxn modelId="{52052F3A-50F9-49D6-AA04-F3D0E09276C9}" srcId="{63C4F64D-C88A-460B-90D1-3CFAD7024D76}" destId="{78A94EA3-C6D6-4D01-BEED-0D6E5D12A1DF}" srcOrd="5" destOrd="0" parTransId="{A7FD077C-6252-4766-8066-BFA88EA8404A}" sibTransId="{8ABC343B-2DBC-4DC9-AE53-164D4874BA28}"/>
    <dgm:cxn modelId="{424F0864-B475-40A9-B82F-F296CC5C33E4}" srcId="{63C4F64D-C88A-460B-90D1-3CFAD7024D76}" destId="{21F8C07F-3410-49B9-AE39-7BE0F6A36F6A}" srcOrd="2" destOrd="0" parTransId="{F9FE4A6B-C1AC-499C-A828-6F0BA02605BF}" sibTransId="{7430C0A6-28C4-4A36-BFDE-0E918698F629}"/>
    <dgm:cxn modelId="{85C5EB14-153F-4AA5-B9F8-3C8B887ACE92}" srcId="{63C4F64D-C88A-460B-90D1-3CFAD7024D76}" destId="{301D586A-B301-43DE-9157-98045CF1D85E}" srcOrd="6" destOrd="0" parTransId="{63681FD8-9C21-48A5-A1D5-8E800AD8F4B1}" sibTransId="{584146E2-26EC-48EC-9CF1-82933F83649B}"/>
    <dgm:cxn modelId="{0C0E5F7C-2D6E-4789-9DE8-D708C9DD5983}" type="presOf" srcId="{9FCFA5E6-50EB-4986-A405-D5E598422246}" destId="{5D0D5E15-3EC6-4F13-B82D-F730ABDCF115}" srcOrd="0" destOrd="0" presId="urn:microsoft.com/office/officeart/2005/8/layout/hProcess11"/>
    <dgm:cxn modelId="{3307EBB0-E856-4F09-9F04-84DB97B83B26}" type="presOf" srcId="{301D586A-B301-43DE-9157-98045CF1D85E}" destId="{983B1376-777B-4ECA-AF79-C2577DB5D68C}" srcOrd="0" destOrd="0" presId="urn:microsoft.com/office/officeart/2005/8/layout/hProcess11"/>
    <dgm:cxn modelId="{F22A9247-2419-415D-B591-960B908FA3D3}" srcId="{63C4F64D-C88A-460B-90D1-3CFAD7024D76}" destId="{AEBCA47D-B779-4A81-AE7B-76EC2C5D17BA}" srcOrd="3" destOrd="0" parTransId="{238E60F4-A95E-4B74-AAC5-7391269AF81B}" sibTransId="{42C116DC-1A17-4A5E-BA0F-F20CB9705DFD}"/>
    <dgm:cxn modelId="{B5A85F1F-702A-4646-B90B-B253409D0EBF}" srcId="{63C4F64D-C88A-460B-90D1-3CFAD7024D76}" destId="{5E1EB1F5-92A3-456D-950B-FA5E0DF127A9}" srcOrd="4" destOrd="0" parTransId="{B751EC55-71C0-425F-8000-60EA5D906139}" sibTransId="{2CDA9529-8C85-483B-B460-43559B25A823}"/>
    <dgm:cxn modelId="{F0AB1F3F-4FA9-43B7-9780-B0F59C3B74E4}" type="presOf" srcId="{AEBCA47D-B779-4A81-AE7B-76EC2C5D17BA}" destId="{706328CB-0C98-4472-A663-32439688063A}" srcOrd="0" destOrd="0" presId="urn:microsoft.com/office/officeart/2005/8/layout/hProcess11"/>
    <dgm:cxn modelId="{BD1E9DAC-ADBE-4A93-B556-85751630E6B1}" type="presParOf" srcId="{FDF9AE45-A380-411D-B22B-FE2118C56D8F}" destId="{891365C9-EE81-40B4-8052-48B5FFFF1590}" srcOrd="0" destOrd="0" presId="urn:microsoft.com/office/officeart/2005/8/layout/hProcess11"/>
    <dgm:cxn modelId="{C357FF3E-D574-4329-BBAC-BBA1FFF36E76}" type="presParOf" srcId="{FDF9AE45-A380-411D-B22B-FE2118C56D8F}" destId="{AC31A202-952C-4000-81B5-22C0DF2AD277}" srcOrd="1" destOrd="0" presId="urn:microsoft.com/office/officeart/2005/8/layout/hProcess11"/>
    <dgm:cxn modelId="{ACB5532F-C708-4619-A080-798741E7C583}" type="presParOf" srcId="{AC31A202-952C-4000-81B5-22C0DF2AD277}" destId="{A60BC416-83D5-465A-994F-858403BCAB40}" srcOrd="0" destOrd="0" presId="urn:microsoft.com/office/officeart/2005/8/layout/hProcess11"/>
    <dgm:cxn modelId="{9E73688B-01D8-41CA-A2E6-7A8559CED1EC}" type="presParOf" srcId="{A60BC416-83D5-465A-994F-858403BCAB40}" destId="{C9202B98-E402-4C39-9A00-7F5228AC5C33}" srcOrd="0" destOrd="0" presId="urn:microsoft.com/office/officeart/2005/8/layout/hProcess11"/>
    <dgm:cxn modelId="{51A8F0F9-9756-4E6E-BBAC-159CE4A5F76C}" type="presParOf" srcId="{A60BC416-83D5-465A-994F-858403BCAB40}" destId="{FBFDFB41-A0AD-4DE5-BA3E-848AB6C0CC95}" srcOrd="1" destOrd="0" presId="urn:microsoft.com/office/officeart/2005/8/layout/hProcess11"/>
    <dgm:cxn modelId="{7EAF5717-74B7-41A4-A2BA-69EF28618590}" type="presParOf" srcId="{A60BC416-83D5-465A-994F-858403BCAB40}" destId="{0E6ADEB4-7BE2-4C1A-8E66-57D3C359C7A5}" srcOrd="2" destOrd="0" presId="urn:microsoft.com/office/officeart/2005/8/layout/hProcess11"/>
    <dgm:cxn modelId="{3767BF7B-25F9-4FA9-A222-60E47B8506D4}" type="presParOf" srcId="{AC31A202-952C-4000-81B5-22C0DF2AD277}" destId="{20D6B445-2E6D-42B1-85E2-7AAF5DF35A81}" srcOrd="1" destOrd="0" presId="urn:microsoft.com/office/officeart/2005/8/layout/hProcess11"/>
    <dgm:cxn modelId="{1A2CB5DF-BD6F-4921-8EC5-0DAE3F89B76A}" type="presParOf" srcId="{AC31A202-952C-4000-81B5-22C0DF2AD277}" destId="{0B737951-3BD4-4764-9790-69C5873A040F}" srcOrd="2" destOrd="0" presId="urn:microsoft.com/office/officeart/2005/8/layout/hProcess11"/>
    <dgm:cxn modelId="{FA35A545-7814-48C4-9921-98747FC0CC03}" type="presParOf" srcId="{0B737951-3BD4-4764-9790-69C5873A040F}" destId="{5D0D5E15-3EC6-4F13-B82D-F730ABDCF115}" srcOrd="0" destOrd="0" presId="urn:microsoft.com/office/officeart/2005/8/layout/hProcess11"/>
    <dgm:cxn modelId="{68AB39C4-C5BA-4D5A-B75E-A7974C1930AE}" type="presParOf" srcId="{0B737951-3BD4-4764-9790-69C5873A040F}" destId="{2277E9E3-FEC2-4D4D-9066-A87252117F24}" srcOrd="1" destOrd="0" presId="urn:microsoft.com/office/officeart/2005/8/layout/hProcess11"/>
    <dgm:cxn modelId="{3274839D-36BB-4844-A281-03116F215561}" type="presParOf" srcId="{0B737951-3BD4-4764-9790-69C5873A040F}" destId="{3B2268A3-2233-45FD-98D9-62710074EE44}" srcOrd="2" destOrd="0" presId="urn:microsoft.com/office/officeart/2005/8/layout/hProcess11"/>
    <dgm:cxn modelId="{DE3B8F66-FE4B-40D4-A187-35966C6D0D56}" type="presParOf" srcId="{AC31A202-952C-4000-81B5-22C0DF2AD277}" destId="{F0DB2972-1571-4E90-A080-275961509D9E}" srcOrd="3" destOrd="0" presId="urn:microsoft.com/office/officeart/2005/8/layout/hProcess11"/>
    <dgm:cxn modelId="{8596977C-034F-43F4-9BB5-B07628027CFA}" type="presParOf" srcId="{AC31A202-952C-4000-81B5-22C0DF2AD277}" destId="{C7E19CBA-501E-4BAE-8637-09879ADCFFF6}" srcOrd="4" destOrd="0" presId="urn:microsoft.com/office/officeart/2005/8/layout/hProcess11"/>
    <dgm:cxn modelId="{A25732D5-239D-49FC-B126-D01008833E8B}" type="presParOf" srcId="{C7E19CBA-501E-4BAE-8637-09879ADCFFF6}" destId="{547AA36A-A861-4E2A-BD11-6DC8A13F5C09}" srcOrd="0" destOrd="0" presId="urn:microsoft.com/office/officeart/2005/8/layout/hProcess11"/>
    <dgm:cxn modelId="{037BAF2F-41A9-4324-B3F0-9B707BAD3DAD}" type="presParOf" srcId="{C7E19CBA-501E-4BAE-8637-09879ADCFFF6}" destId="{90F30E46-836D-46EC-9F0C-4FAB4B2A6682}" srcOrd="1" destOrd="0" presId="urn:microsoft.com/office/officeart/2005/8/layout/hProcess11"/>
    <dgm:cxn modelId="{6321C519-C2BE-4FAD-8C7A-1A60DC95C329}" type="presParOf" srcId="{C7E19CBA-501E-4BAE-8637-09879ADCFFF6}" destId="{9114ED77-6865-416E-81F2-A387A25E8FA1}" srcOrd="2" destOrd="0" presId="urn:microsoft.com/office/officeart/2005/8/layout/hProcess11"/>
    <dgm:cxn modelId="{36AA85B7-26EE-4BED-8407-8993C5C63479}" type="presParOf" srcId="{AC31A202-952C-4000-81B5-22C0DF2AD277}" destId="{A179E7AF-620F-4622-998B-CC11061F0206}" srcOrd="5" destOrd="0" presId="urn:microsoft.com/office/officeart/2005/8/layout/hProcess11"/>
    <dgm:cxn modelId="{C4D62C77-EF49-4E34-910D-A7769FB57D9A}" type="presParOf" srcId="{AC31A202-952C-4000-81B5-22C0DF2AD277}" destId="{C6F29080-36F6-4812-9D61-7FB52EB43CD3}" srcOrd="6" destOrd="0" presId="urn:microsoft.com/office/officeart/2005/8/layout/hProcess11"/>
    <dgm:cxn modelId="{80685E4C-3F26-4ED8-B8F8-7E4FE2B8A9ED}" type="presParOf" srcId="{C6F29080-36F6-4812-9D61-7FB52EB43CD3}" destId="{706328CB-0C98-4472-A663-32439688063A}" srcOrd="0" destOrd="0" presId="urn:microsoft.com/office/officeart/2005/8/layout/hProcess11"/>
    <dgm:cxn modelId="{678F7643-7CE3-4309-81B2-A34A7BCC6EEB}" type="presParOf" srcId="{C6F29080-36F6-4812-9D61-7FB52EB43CD3}" destId="{97274395-B64A-44F7-B842-E08086FD1F4B}" srcOrd="1" destOrd="0" presId="urn:microsoft.com/office/officeart/2005/8/layout/hProcess11"/>
    <dgm:cxn modelId="{A0EF8C84-B223-4836-A09B-5AC553E8AE6F}" type="presParOf" srcId="{C6F29080-36F6-4812-9D61-7FB52EB43CD3}" destId="{89C43C27-80EB-4B1F-9F29-F6B5C49073E0}" srcOrd="2" destOrd="0" presId="urn:microsoft.com/office/officeart/2005/8/layout/hProcess11"/>
    <dgm:cxn modelId="{79F97FD8-FFBE-4838-B943-D325DC870A46}" type="presParOf" srcId="{AC31A202-952C-4000-81B5-22C0DF2AD277}" destId="{0E615544-3764-4AB9-BB4A-8D9690A7A009}" srcOrd="7" destOrd="0" presId="urn:microsoft.com/office/officeart/2005/8/layout/hProcess11"/>
    <dgm:cxn modelId="{D772B334-FEE0-4DE2-9C71-886C3D1B2A62}" type="presParOf" srcId="{AC31A202-952C-4000-81B5-22C0DF2AD277}" destId="{55A20B55-2275-465A-9591-BB31AE94908C}" srcOrd="8" destOrd="0" presId="urn:microsoft.com/office/officeart/2005/8/layout/hProcess11"/>
    <dgm:cxn modelId="{FF439A7D-519E-4F7F-978F-060EB7C780BC}" type="presParOf" srcId="{55A20B55-2275-465A-9591-BB31AE94908C}" destId="{5DD63F02-E9A3-43B4-B437-6553304DF168}" srcOrd="0" destOrd="0" presId="urn:microsoft.com/office/officeart/2005/8/layout/hProcess11"/>
    <dgm:cxn modelId="{0A1B8E03-C508-4804-B121-11FB7D88C464}" type="presParOf" srcId="{55A20B55-2275-465A-9591-BB31AE94908C}" destId="{4D7C705A-462B-4F27-BF47-EA7C46BB14BA}" srcOrd="1" destOrd="0" presId="urn:microsoft.com/office/officeart/2005/8/layout/hProcess11"/>
    <dgm:cxn modelId="{92024B86-15CA-4237-8F74-0248E2A4CDCB}" type="presParOf" srcId="{55A20B55-2275-465A-9591-BB31AE94908C}" destId="{C897B050-69A5-4DE2-BC50-932195D65FAA}" srcOrd="2" destOrd="0" presId="urn:microsoft.com/office/officeart/2005/8/layout/hProcess11"/>
    <dgm:cxn modelId="{55B5BF0C-CD6E-416E-9682-7CB270F917DB}" type="presParOf" srcId="{AC31A202-952C-4000-81B5-22C0DF2AD277}" destId="{79648EE1-355F-4A1B-BA4E-5CC223F8943D}" srcOrd="9" destOrd="0" presId="urn:microsoft.com/office/officeart/2005/8/layout/hProcess11"/>
    <dgm:cxn modelId="{0951FC89-7190-49C9-BB05-5B49B95A8D31}" type="presParOf" srcId="{AC31A202-952C-4000-81B5-22C0DF2AD277}" destId="{C8683D16-C8FF-4F5B-BCBB-6C275CBD9FBC}" srcOrd="10" destOrd="0" presId="urn:microsoft.com/office/officeart/2005/8/layout/hProcess11"/>
    <dgm:cxn modelId="{5150A8DD-5A1F-4429-A109-3CB11410D891}" type="presParOf" srcId="{C8683D16-C8FF-4F5B-BCBB-6C275CBD9FBC}" destId="{65B32516-9326-4E33-84A3-5C8ED0806D97}" srcOrd="0" destOrd="0" presId="urn:microsoft.com/office/officeart/2005/8/layout/hProcess11"/>
    <dgm:cxn modelId="{76A7F0B4-6F02-435D-AB8F-A936ABC6D724}" type="presParOf" srcId="{C8683D16-C8FF-4F5B-BCBB-6C275CBD9FBC}" destId="{9926B8D2-BD87-4274-AA95-E53F08BF02E5}" srcOrd="1" destOrd="0" presId="urn:microsoft.com/office/officeart/2005/8/layout/hProcess11"/>
    <dgm:cxn modelId="{7627EC8A-55AD-4998-8006-64448CD09115}" type="presParOf" srcId="{C8683D16-C8FF-4F5B-BCBB-6C275CBD9FBC}" destId="{E8C4EDB6-FF28-4413-A783-7C4A16FA4EBF}" srcOrd="2" destOrd="0" presId="urn:microsoft.com/office/officeart/2005/8/layout/hProcess11"/>
    <dgm:cxn modelId="{4F050019-B410-4865-9607-06ED50C9D6C3}" type="presParOf" srcId="{AC31A202-952C-4000-81B5-22C0DF2AD277}" destId="{DE7301EE-3DD4-456C-AD3B-B66D2108539D}" srcOrd="11" destOrd="0" presId="urn:microsoft.com/office/officeart/2005/8/layout/hProcess11"/>
    <dgm:cxn modelId="{9FC5B17F-250B-41A3-B933-5B643C614592}" type="presParOf" srcId="{AC31A202-952C-4000-81B5-22C0DF2AD277}" destId="{B8304255-6FF8-41F3-8B37-EB04592DD22C}" srcOrd="12" destOrd="0" presId="urn:microsoft.com/office/officeart/2005/8/layout/hProcess11"/>
    <dgm:cxn modelId="{E6FC8E85-E5BC-45FC-A89B-C82F25A1084A}" type="presParOf" srcId="{B8304255-6FF8-41F3-8B37-EB04592DD22C}" destId="{983B1376-777B-4ECA-AF79-C2577DB5D68C}" srcOrd="0" destOrd="0" presId="urn:microsoft.com/office/officeart/2005/8/layout/hProcess11"/>
    <dgm:cxn modelId="{CE897ABD-B22F-4EF1-ACAF-A462CA3946C1}" type="presParOf" srcId="{B8304255-6FF8-41F3-8B37-EB04592DD22C}" destId="{02A82535-059F-4E20-A61B-476A571CEDFE}" srcOrd="1" destOrd="0" presId="urn:microsoft.com/office/officeart/2005/8/layout/hProcess11"/>
    <dgm:cxn modelId="{C2E977C8-1DE1-4674-8171-177CB509A363}" type="presParOf" srcId="{B8304255-6FF8-41F3-8B37-EB04592DD22C}" destId="{E1F3A371-1728-4634-AB84-F111D2632CBE}" srcOrd="2" destOrd="0" presId="urn:microsoft.com/office/officeart/2005/8/layout/hProcess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365C9-EE81-40B4-8052-48B5FFFF1590}">
      <dsp:nvSpPr>
        <dsp:cNvPr id="0" name=""/>
        <dsp:cNvSpPr/>
      </dsp:nvSpPr>
      <dsp:spPr>
        <a:xfrm>
          <a:off x="0" y="1161287"/>
          <a:ext cx="5600699" cy="154838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9202B98-E402-4C39-9A00-7F5228AC5C33}">
      <dsp:nvSpPr>
        <dsp:cNvPr id="0" name=""/>
        <dsp:cNvSpPr/>
      </dsp:nvSpPr>
      <dsp:spPr>
        <a:xfrm>
          <a:off x="301579" y="0"/>
          <a:ext cx="604420" cy="15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AU" sz="800" b="1" kern="1200"/>
            <a:t>July 2022</a:t>
          </a:r>
        </a:p>
        <a:p>
          <a:pPr lvl="0" algn="ctr" defTabSz="355600">
            <a:lnSpc>
              <a:spcPct val="90000"/>
            </a:lnSpc>
            <a:spcBef>
              <a:spcPct val="0"/>
            </a:spcBef>
            <a:spcAft>
              <a:spcPct val="35000"/>
            </a:spcAft>
          </a:pPr>
          <a:r>
            <a:rPr lang="en-AU" sz="800" b="1" kern="1200">
              <a:solidFill>
                <a:srgbClr val="002F88"/>
              </a:solidFill>
            </a:rPr>
            <a:t>Initial discussions</a:t>
          </a:r>
        </a:p>
        <a:p>
          <a:pPr lvl="0" algn="ctr" defTabSz="355600">
            <a:lnSpc>
              <a:spcPct val="90000"/>
            </a:lnSpc>
            <a:spcBef>
              <a:spcPct val="0"/>
            </a:spcBef>
            <a:spcAft>
              <a:spcPct val="35000"/>
            </a:spcAft>
          </a:pPr>
          <a:r>
            <a:rPr lang="en-AU" sz="800" b="0" kern="1200"/>
            <a:t>Informal discussions of issues and options with stakeholders</a:t>
          </a:r>
        </a:p>
      </dsp:txBody>
      <dsp:txXfrm>
        <a:off x="301579" y="0"/>
        <a:ext cx="604420" cy="1548384"/>
      </dsp:txXfrm>
    </dsp:sp>
    <dsp:sp modelId="{FBFDFB41-A0AD-4DE5-BA3E-848AB6C0CC95}">
      <dsp:nvSpPr>
        <dsp:cNvPr id="0" name=""/>
        <dsp:cNvSpPr/>
      </dsp:nvSpPr>
      <dsp:spPr>
        <a:xfrm>
          <a:off x="496363" y="1742683"/>
          <a:ext cx="344574" cy="344574"/>
        </a:xfrm>
        <a:prstGeom prst="ellipse">
          <a:avLst/>
        </a:prstGeom>
        <a:solidFill>
          <a:schemeClr val="accent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0D5E15-3EC6-4F13-B82D-F730ABDCF115}">
      <dsp:nvSpPr>
        <dsp:cNvPr id="0" name=""/>
        <dsp:cNvSpPr/>
      </dsp:nvSpPr>
      <dsp:spPr>
        <a:xfrm>
          <a:off x="875020" y="2322575"/>
          <a:ext cx="615517" cy="1548384"/>
        </a:xfrm>
        <a:prstGeom prst="rect">
          <a:avLst/>
        </a:prstGeom>
        <a:noFill/>
        <a:ln>
          <a:solidFill>
            <a:schemeClr val="bg1"/>
          </a:solid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AU" sz="800" b="1" kern="1200"/>
            <a:t>September/ October 2022</a:t>
          </a:r>
        </a:p>
        <a:p>
          <a:pPr lvl="0" algn="ctr" defTabSz="355600">
            <a:lnSpc>
              <a:spcPct val="90000"/>
            </a:lnSpc>
            <a:spcBef>
              <a:spcPct val="0"/>
            </a:spcBef>
            <a:spcAft>
              <a:spcPct val="35000"/>
            </a:spcAft>
          </a:pPr>
          <a:r>
            <a:rPr lang="en-AU" sz="800" b="1" kern="1200">
              <a:solidFill>
                <a:srgbClr val="002F88"/>
              </a:solidFill>
            </a:rPr>
            <a:t>Consultation paper and formal stakeholder discussions</a:t>
          </a:r>
        </a:p>
        <a:p>
          <a:pPr lvl="0" algn="ctr" defTabSz="355600">
            <a:lnSpc>
              <a:spcPct val="90000"/>
            </a:lnSpc>
            <a:spcBef>
              <a:spcPct val="0"/>
            </a:spcBef>
            <a:spcAft>
              <a:spcPct val="35000"/>
            </a:spcAft>
          </a:pPr>
          <a:r>
            <a:rPr lang="en-AU" sz="800" b="0" kern="1200"/>
            <a:t>Seeking stakeholder feedback</a:t>
          </a:r>
          <a:endParaRPr lang="en-AU" sz="800" b="1" kern="1200">
            <a:solidFill>
              <a:srgbClr val="002F88"/>
            </a:solidFill>
          </a:endParaRPr>
        </a:p>
      </dsp:txBody>
      <dsp:txXfrm>
        <a:off x="875020" y="2322575"/>
        <a:ext cx="615517" cy="1548384"/>
      </dsp:txXfrm>
    </dsp:sp>
    <dsp:sp modelId="{2277E9E3-FEC2-4D4D-9066-A87252117F24}">
      <dsp:nvSpPr>
        <dsp:cNvPr id="0" name=""/>
        <dsp:cNvSpPr/>
      </dsp:nvSpPr>
      <dsp:spPr>
        <a:xfrm>
          <a:off x="1031263" y="1763192"/>
          <a:ext cx="344574" cy="344574"/>
        </a:xfrm>
        <a:prstGeom prst="ellipse">
          <a:avLst/>
        </a:prstGeom>
        <a:solidFill>
          <a:schemeClr val="accent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7AA36A-A861-4E2A-BD11-6DC8A13F5C09}">
      <dsp:nvSpPr>
        <dsp:cNvPr id="0" name=""/>
        <dsp:cNvSpPr/>
      </dsp:nvSpPr>
      <dsp:spPr>
        <a:xfrm>
          <a:off x="1528538" y="0"/>
          <a:ext cx="564748" cy="15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AU" sz="800" b="1" kern="1200"/>
            <a:t>October 2022</a:t>
          </a:r>
        </a:p>
        <a:p>
          <a:pPr lvl="0" algn="ctr" defTabSz="355600">
            <a:lnSpc>
              <a:spcPct val="90000"/>
            </a:lnSpc>
            <a:spcBef>
              <a:spcPct val="0"/>
            </a:spcBef>
            <a:spcAft>
              <a:spcPct val="35000"/>
            </a:spcAft>
          </a:pPr>
          <a:r>
            <a:rPr lang="en-AU" sz="800" b="1" kern="1200">
              <a:solidFill>
                <a:srgbClr val="002F88"/>
              </a:solidFill>
            </a:rPr>
            <a:t>ITSOC</a:t>
          </a:r>
        </a:p>
        <a:p>
          <a:pPr lvl="0" algn="ctr" defTabSz="355600">
            <a:lnSpc>
              <a:spcPct val="90000"/>
            </a:lnSpc>
            <a:spcBef>
              <a:spcPct val="0"/>
            </a:spcBef>
            <a:spcAft>
              <a:spcPct val="35000"/>
            </a:spcAft>
          </a:pPr>
          <a:r>
            <a:rPr lang="en-AU" sz="800" b="0" kern="1200"/>
            <a:t>Consideration by ITSOC</a:t>
          </a:r>
        </a:p>
      </dsp:txBody>
      <dsp:txXfrm>
        <a:off x="1528538" y="0"/>
        <a:ext cx="564748" cy="1548384"/>
      </dsp:txXfrm>
    </dsp:sp>
    <dsp:sp modelId="{90F30E46-836D-46EC-9F0C-4FAB4B2A6682}">
      <dsp:nvSpPr>
        <dsp:cNvPr id="0" name=""/>
        <dsp:cNvSpPr/>
      </dsp:nvSpPr>
      <dsp:spPr>
        <a:xfrm>
          <a:off x="1638625" y="1763192"/>
          <a:ext cx="344574" cy="344574"/>
        </a:xfrm>
        <a:prstGeom prst="ellipse">
          <a:avLst/>
        </a:prstGeom>
        <a:solidFill>
          <a:schemeClr val="accent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6328CB-0C98-4472-A663-32439688063A}">
      <dsp:nvSpPr>
        <dsp:cNvPr id="0" name=""/>
        <dsp:cNvSpPr/>
      </dsp:nvSpPr>
      <dsp:spPr>
        <a:xfrm>
          <a:off x="2110515" y="2322575"/>
          <a:ext cx="700335" cy="1548384"/>
        </a:xfrm>
        <a:prstGeom prst="rect">
          <a:avLst/>
        </a:prstGeom>
        <a:noFill/>
        <a:ln w="28575">
          <a:solidFill>
            <a:schemeClr val="accent1"/>
          </a:solidFill>
          <a:prstDash val="sysDash"/>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AU" sz="800" b="1" kern="1200"/>
            <a:t>December 2022</a:t>
          </a:r>
          <a:endParaRPr lang="en-AU" sz="800" kern="1200">
            <a:solidFill>
              <a:srgbClr val="002F88"/>
            </a:solidFill>
          </a:endParaRPr>
        </a:p>
        <a:p>
          <a:pPr lvl="0" algn="ctr" defTabSz="355600">
            <a:lnSpc>
              <a:spcPct val="90000"/>
            </a:lnSpc>
            <a:spcBef>
              <a:spcPct val="0"/>
            </a:spcBef>
            <a:spcAft>
              <a:spcPct val="35000"/>
            </a:spcAft>
          </a:pPr>
          <a:r>
            <a:rPr lang="en-AU" sz="800" b="1" kern="1200">
              <a:solidFill>
                <a:srgbClr val="002F88"/>
              </a:solidFill>
            </a:rPr>
            <a:t>ITMM Decision</a:t>
          </a:r>
        </a:p>
        <a:p>
          <a:pPr lvl="0" algn="ctr" defTabSz="355600">
            <a:lnSpc>
              <a:spcPct val="90000"/>
            </a:lnSpc>
            <a:spcBef>
              <a:spcPct val="0"/>
            </a:spcBef>
            <a:spcAft>
              <a:spcPct val="35000"/>
            </a:spcAft>
          </a:pPr>
          <a:r>
            <a:rPr lang="en-AU" sz="800" kern="1200">
              <a:solidFill>
                <a:schemeClr val="tx1"/>
              </a:solidFill>
            </a:rPr>
            <a:t>ITMM</a:t>
          </a:r>
          <a:r>
            <a:rPr lang="en-AU" sz="800" kern="1200"/>
            <a:t> decides on heavy vehicle charges to apply from 2023-24 onwards</a:t>
          </a:r>
        </a:p>
      </dsp:txBody>
      <dsp:txXfrm>
        <a:off x="2110515" y="2322575"/>
        <a:ext cx="700335" cy="1548384"/>
      </dsp:txXfrm>
    </dsp:sp>
    <dsp:sp modelId="{97274395-B64A-44F7-B842-E08086FD1F4B}">
      <dsp:nvSpPr>
        <dsp:cNvPr id="0" name=""/>
        <dsp:cNvSpPr/>
      </dsp:nvSpPr>
      <dsp:spPr>
        <a:xfrm>
          <a:off x="2288396" y="1763192"/>
          <a:ext cx="344574" cy="344574"/>
        </a:xfrm>
        <a:prstGeom prst="ellipse">
          <a:avLst/>
        </a:prstGeom>
        <a:solidFill>
          <a:schemeClr val="accent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D63F02-E9A3-43B4-B437-6553304DF168}">
      <dsp:nvSpPr>
        <dsp:cNvPr id="0" name=""/>
        <dsp:cNvSpPr/>
      </dsp:nvSpPr>
      <dsp:spPr>
        <a:xfrm>
          <a:off x="2828079" y="0"/>
          <a:ext cx="597632" cy="15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AU" sz="800" b="1" kern="1200"/>
            <a:t>January /February 2023</a:t>
          </a:r>
        </a:p>
        <a:p>
          <a:pPr lvl="0" algn="ctr" defTabSz="355600">
            <a:lnSpc>
              <a:spcPct val="90000"/>
            </a:lnSpc>
            <a:spcBef>
              <a:spcPct val="0"/>
            </a:spcBef>
            <a:spcAft>
              <a:spcPct val="35000"/>
            </a:spcAft>
          </a:pPr>
          <a:r>
            <a:rPr lang="en-AU" sz="800" b="1" kern="1200">
              <a:solidFill>
                <a:srgbClr val="002F88"/>
              </a:solidFill>
            </a:rPr>
            <a:t>Public consultation on RUC rates</a:t>
          </a:r>
        </a:p>
        <a:p>
          <a:pPr lvl="0" algn="ctr" defTabSz="355600">
            <a:lnSpc>
              <a:spcPct val="90000"/>
            </a:lnSpc>
            <a:spcBef>
              <a:spcPct val="0"/>
            </a:spcBef>
            <a:spcAft>
              <a:spcPct val="35000"/>
            </a:spcAft>
          </a:pPr>
          <a:r>
            <a:rPr lang="en-AU" sz="800" b="0" kern="1200">
              <a:solidFill>
                <a:schemeClr val="tx1"/>
              </a:solidFill>
            </a:rPr>
            <a:t>Public consultation for 60 days on new RUC rates</a:t>
          </a:r>
        </a:p>
      </dsp:txBody>
      <dsp:txXfrm>
        <a:off x="2828079" y="0"/>
        <a:ext cx="597632" cy="1548384"/>
      </dsp:txXfrm>
    </dsp:sp>
    <dsp:sp modelId="{4D7C705A-462B-4F27-BF47-EA7C46BB14BA}">
      <dsp:nvSpPr>
        <dsp:cNvPr id="0" name=""/>
        <dsp:cNvSpPr/>
      </dsp:nvSpPr>
      <dsp:spPr>
        <a:xfrm>
          <a:off x="2954608" y="1763192"/>
          <a:ext cx="344574" cy="34457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B32516-9326-4E33-84A3-5C8ED0806D97}">
      <dsp:nvSpPr>
        <dsp:cNvPr id="0" name=""/>
        <dsp:cNvSpPr/>
      </dsp:nvSpPr>
      <dsp:spPr>
        <a:xfrm>
          <a:off x="3442941" y="2322575"/>
          <a:ext cx="569407" cy="15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AU" sz="800" b="1" kern="1200"/>
            <a:t>April 2023</a:t>
          </a:r>
        </a:p>
        <a:p>
          <a:pPr lvl="0" algn="ctr" defTabSz="355600">
            <a:lnSpc>
              <a:spcPct val="90000"/>
            </a:lnSpc>
            <a:spcBef>
              <a:spcPct val="0"/>
            </a:spcBef>
            <a:spcAft>
              <a:spcPct val="35000"/>
            </a:spcAft>
          </a:pPr>
          <a:r>
            <a:rPr lang="en-AU" sz="800" b="1" kern="1200">
              <a:solidFill>
                <a:srgbClr val="002F88"/>
              </a:solidFill>
            </a:rPr>
            <a:t>Model Law</a:t>
          </a:r>
        </a:p>
        <a:p>
          <a:pPr lvl="0" algn="ctr" defTabSz="355600">
            <a:lnSpc>
              <a:spcPct val="90000"/>
            </a:lnSpc>
            <a:spcBef>
              <a:spcPct val="0"/>
            </a:spcBef>
            <a:spcAft>
              <a:spcPct val="35000"/>
            </a:spcAft>
          </a:pPr>
          <a:r>
            <a:rPr lang="en-AU" sz="800" b="0" kern="1200"/>
            <a:t>Heavy Vehicle charges Model Law updated to reflect approved registration charges</a:t>
          </a:r>
        </a:p>
        <a:p>
          <a:pPr lvl="0" algn="ctr" defTabSz="355600">
            <a:lnSpc>
              <a:spcPct val="90000"/>
            </a:lnSpc>
            <a:spcBef>
              <a:spcPct val="0"/>
            </a:spcBef>
            <a:spcAft>
              <a:spcPct val="35000"/>
            </a:spcAft>
          </a:pPr>
          <a:endParaRPr lang="en-AU" sz="800" kern="1200">
            <a:solidFill>
              <a:srgbClr val="002F88"/>
            </a:solidFill>
          </a:endParaRPr>
        </a:p>
      </dsp:txBody>
      <dsp:txXfrm>
        <a:off x="3442941" y="2322575"/>
        <a:ext cx="569407" cy="1548384"/>
      </dsp:txXfrm>
    </dsp:sp>
    <dsp:sp modelId="{9926B8D2-BD87-4274-AA95-E53F08BF02E5}">
      <dsp:nvSpPr>
        <dsp:cNvPr id="0" name=""/>
        <dsp:cNvSpPr/>
      </dsp:nvSpPr>
      <dsp:spPr>
        <a:xfrm>
          <a:off x="3555357" y="1763192"/>
          <a:ext cx="344574" cy="34457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3B1376-777B-4ECA-AF79-C2577DB5D68C}">
      <dsp:nvSpPr>
        <dsp:cNvPr id="0" name=""/>
        <dsp:cNvSpPr/>
      </dsp:nvSpPr>
      <dsp:spPr>
        <a:xfrm>
          <a:off x="4029577" y="0"/>
          <a:ext cx="736909" cy="15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AU" sz="800" b="1" kern="1200"/>
            <a:t>1 July 2023</a:t>
          </a:r>
        </a:p>
        <a:p>
          <a:pPr lvl="0" algn="ctr" defTabSz="355600">
            <a:lnSpc>
              <a:spcPct val="90000"/>
            </a:lnSpc>
            <a:spcBef>
              <a:spcPct val="0"/>
            </a:spcBef>
            <a:spcAft>
              <a:spcPct val="35000"/>
            </a:spcAft>
          </a:pPr>
          <a:r>
            <a:rPr lang="en-AU" sz="800" b="1" kern="1200">
              <a:solidFill>
                <a:srgbClr val="002F88"/>
              </a:solidFill>
            </a:rPr>
            <a:t>New charges effective</a:t>
          </a:r>
        </a:p>
        <a:p>
          <a:pPr lvl="0" algn="ctr" defTabSz="355600">
            <a:lnSpc>
              <a:spcPct val="90000"/>
            </a:lnSpc>
            <a:spcBef>
              <a:spcPct val="0"/>
            </a:spcBef>
            <a:spcAft>
              <a:spcPct val="35000"/>
            </a:spcAft>
          </a:pPr>
          <a:r>
            <a:rPr lang="en-AU" sz="800" b="0" kern="1200">
              <a:solidFill>
                <a:schemeClr val="tx1"/>
              </a:solidFill>
            </a:rPr>
            <a:t>New heavy vehicle charges apply from this date</a:t>
          </a:r>
        </a:p>
      </dsp:txBody>
      <dsp:txXfrm>
        <a:off x="4029577" y="0"/>
        <a:ext cx="736909" cy="1548384"/>
      </dsp:txXfrm>
    </dsp:sp>
    <dsp:sp modelId="{02A82535-059F-4E20-A61B-476A571CEDFE}">
      <dsp:nvSpPr>
        <dsp:cNvPr id="0" name=""/>
        <dsp:cNvSpPr/>
      </dsp:nvSpPr>
      <dsp:spPr>
        <a:xfrm>
          <a:off x="4225745" y="1763192"/>
          <a:ext cx="344574" cy="34457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TC">
  <a:themeElements>
    <a:clrScheme name="NTC - Aqua">
      <a:dk1>
        <a:srgbClr val="24272A"/>
      </a:dk1>
      <a:lt1>
        <a:srgbClr val="FFFFFF"/>
      </a:lt1>
      <a:dk2>
        <a:srgbClr val="24312A"/>
      </a:dk2>
      <a:lt2>
        <a:srgbClr val="D3F3F0"/>
      </a:lt2>
      <a:accent1>
        <a:srgbClr val="10CFC9"/>
      </a:accent1>
      <a:accent2>
        <a:srgbClr val="71DAD6"/>
      </a:accent2>
      <a:accent3>
        <a:srgbClr val="A5E7E3"/>
      </a:accent3>
      <a:accent4>
        <a:srgbClr val="D3F3F0"/>
      </a:accent4>
      <a:accent5>
        <a:srgbClr val="24312A"/>
      </a:accent5>
      <a:accent6>
        <a:srgbClr val="919393"/>
      </a:accent6>
      <a:hlink>
        <a:srgbClr val="10CFC9"/>
      </a:hlink>
      <a:folHlink>
        <a:srgbClr val="91929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DOCID-322795542-42002</_dlc_DocId>
    <_dlc_DocIdUrl xmlns="4195ad5f-cdf2-4c4a-8d9b-b7944a108e98">
      <Url>https://pmc01.sharepoint.com/sites/CRMOBPR/_layouts/15/DocIdRedir.aspx?ID=DOCID-322795542-42002</Url>
      <Description>DOCID-322795542-42002</Description>
    </_dlc_DocIdUrl>
  </documentManagement>
</p:properties>
</file>

<file path=customXml/itemProps1.xml><?xml version="1.0" encoding="utf-8"?>
<ds:datastoreItem xmlns:ds="http://schemas.openxmlformats.org/officeDocument/2006/customXml" ds:itemID="{495DA7F7-51B7-4127-9717-EC9DC625C24E}">
  <ds:schemaRefs>
    <ds:schemaRef ds:uri="http://schemas.openxmlformats.org/officeDocument/2006/bibliography"/>
  </ds:schemaRefs>
</ds:datastoreItem>
</file>

<file path=customXml/itemProps2.xml><?xml version="1.0" encoding="utf-8"?>
<ds:datastoreItem xmlns:ds="http://schemas.openxmlformats.org/officeDocument/2006/customXml" ds:itemID="{89E8A43C-BC79-4A43-8714-44A7F0068091}"/>
</file>

<file path=customXml/itemProps3.xml><?xml version="1.0" encoding="utf-8"?>
<ds:datastoreItem xmlns:ds="http://schemas.openxmlformats.org/officeDocument/2006/customXml" ds:itemID="{0E98BC2E-05D5-41E1-AA5E-B55AF5D77791}"/>
</file>

<file path=customXml/itemProps4.xml><?xml version="1.0" encoding="utf-8"?>
<ds:datastoreItem xmlns:ds="http://schemas.openxmlformats.org/officeDocument/2006/customXml" ds:itemID="{B67C86B2-3899-4067-84B8-4804FB0530C6}"/>
</file>

<file path=customXml/itemProps5.xml><?xml version="1.0" encoding="utf-8"?>
<ds:datastoreItem xmlns:ds="http://schemas.openxmlformats.org/officeDocument/2006/customXml" ds:itemID="{278FE153-A888-4043-88E3-A4A6F8A53D68}"/>
</file>

<file path=docProps/app.xml><?xml version="1.0" encoding="utf-8"?>
<Properties xmlns="http://schemas.openxmlformats.org/officeDocument/2006/extended-properties" xmlns:vt="http://schemas.openxmlformats.org/officeDocument/2006/docPropsVTypes">
  <Template>Normal</Template>
  <TotalTime>0</TotalTime>
  <Pages>67</Pages>
  <Words>17166</Words>
  <Characters>99985</Characters>
  <Application>Microsoft Office Word</Application>
  <DocSecurity>0</DocSecurity>
  <Lines>833</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116918</CharactersWithSpaces>
  <SharedDoc>false</SharedDoc>
  <HyperlinkBase/>
  <HLinks>
    <vt:vector size="258" baseType="variant">
      <vt:variant>
        <vt:i4>5242963</vt:i4>
      </vt:variant>
      <vt:variant>
        <vt:i4>237</vt:i4>
      </vt:variant>
      <vt:variant>
        <vt:i4>0</vt:i4>
      </vt:variant>
      <vt:variant>
        <vt:i4>5</vt:i4>
      </vt:variant>
      <vt:variant>
        <vt:lpwstr>https://www.ntc.gov.au/transport-reform/ntc-projects/heavy-vehicle-charges-determination</vt:lpwstr>
      </vt:variant>
      <vt:variant>
        <vt:lpwstr/>
      </vt:variant>
      <vt:variant>
        <vt:i4>2359300</vt:i4>
      </vt:variant>
      <vt:variant>
        <vt:i4>221</vt:i4>
      </vt:variant>
      <vt:variant>
        <vt:i4>0</vt:i4>
      </vt:variant>
      <vt:variant>
        <vt:i4>5</vt:i4>
      </vt:variant>
      <vt:variant>
        <vt:lpwstr/>
      </vt:variant>
      <vt:variant>
        <vt:lpwstr>_Toc3979032</vt:lpwstr>
      </vt:variant>
      <vt:variant>
        <vt:i4>2359300</vt:i4>
      </vt:variant>
      <vt:variant>
        <vt:i4>215</vt:i4>
      </vt:variant>
      <vt:variant>
        <vt:i4>0</vt:i4>
      </vt:variant>
      <vt:variant>
        <vt:i4>5</vt:i4>
      </vt:variant>
      <vt:variant>
        <vt:lpwstr/>
      </vt:variant>
      <vt:variant>
        <vt:lpwstr>_Toc3979031</vt:lpwstr>
      </vt:variant>
      <vt:variant>
        <vt:i4>2359300</vt:i4>
      </vt:variant>
      <vt:variant>
        <vt:i4>209</vt:i4>
      </vt:variant>
      <vt:variant>
        <vt:i4>0</vt:i4>
      </vt:variant>
      <vt:variant>
        <vt:i4>5</vt:i4>
      </vt:variant>
      <vt:variant>
        <vt:lpwstr/>
      </vt:variant>
      <vt:variant>
        <vt:lpwstr>_Toc3979030</vt:lpwstr>
      </vt:variant>
      <vt:variant>
        <vt:i4>2424836</vt:i4>
      </vt:variant>
      <vt:variant>
        <vt:i4>203</vt:i4>
      </vt:variant>
      <vt:variant>
        <vt:i4>0</vt:i4>
      </vt:variant>
      <vt:variant>
        <vt:i4>5</vt:i4>
      </vt:variant>
      <vt:variant>
        <vt:lpwstr/>
      </vt:variant>
      <vt:variant>
        <vt:lpwstr>_Toc3979029</vt:lpwstr>
      </vt:variant>
      <vt:variant>
        <vt:i4>2424836</vt:i4>
      </vt:variant>
      <vt:variant>
        <vt:i4>197</vt:i4>
      </vt:variant>
      <vt:variant>
        <vt:i4>0</vt:i4>
      </vt:variant>
      <vt:variant>
        <vt:i4>5</vt:i4>
      </vt:variant>
      <vt:variant>
        <vt:lpwstr/>
      </vt:variant>
      <vt:variant>
        <vt:lpwstr>_Toc3979028</vt:lpwstr>
      </vt:variant>
      <vt:variant>
        <vt:i4>2424836</vt:i4>
      </vt:variant>
      <vt:variant>
        <vt:i4>191</vt:i4>
      </vt:variant>
      <vt:variant>
        <vt:i4>0</vt:i4>
      </vt:variant>
      <vt:variant>
        <vt:i4>5</vt:i4>
      </vt:variant>
      <vt:variant>
        <vt:lpwstr/>
      </vt:variant>
      <vt:variant>
        <vt:lpwstr>_Toc3979027</vt:lpwstr>
      </vt:variant>
      <vt:variant>
        <vt:i4>2424836</vt:i4>
      </vt:variant>
      <vt:variant>
        <vt:i4>185</vt:i4>
      </vt:variant>
      <vt:variant>
        <vt:i4>0</vt:i4>
      </vt:variant>
      <vt:variant>
        <vt:i4>5</vt:i4>
      </vt:variant>
      <vt:variant>
        <vt:lpwstr/>
      </vt:variant>
      <vt:variant>
        <vt:lpwstr>_Toc3979026</vt:lpwstr>
      </vt:variant>
      <vt:variant>
        <vt:i4>2424836</vt:i4>
      </vt:variant>
      <vt:variant>
        <vt:i4>179</vt:i4>
      </vt:variant>
      <vt:variant>
        <vt:i4>0</vt:i4>
      </vt:variant>
      <vt:variant>
        <vt:i4>5</vt:i4>
      </vt:variant>
      <vt:variant>
        <vt:lpwstr/>
      </vt:variant>
      <vt:variant>
        <vt:lpwstr>_Toc3979025</vt:lpwstr>
      </vt:variant>
      <vt:variant>
        <vt:i4>2424836</vt:i4>
      </vt:variant>
      <vt:variant>
        <vt:i4>173</vt:i4>
      </vt:variant>
      <vt:variant>
        <vt:i4>0</vt:i4>
      </vt:variant>
      <vt:variant>
        <vt:i4>5</vt:i4>
      </vt:variant>
      <vt:variant>
        <vt:lpwstr/>
      </vt:variant>
      <vt:variant>
        <vt:lpwstr>_Toc3979024</vt:lpwstr>
      </vt:variant>
      <vt:variant>
        <vt:i4>2424836</vt:i4>
      </vt:variant>
      <vt:variant>
        <vt:i4>167</vt:i4>
      </vt:variant>
      <vt:variant>
        <vt:i4>0</vt:i4>
      </vt:variant>
      <vt:variant>
        <vt:i4>5</vt:i4>
      </vt:variant>
      <vt:variant>
        <vt:lpwstr/>
      </vt:variant>
      <vt:variant>
        <vt:lpwstr>_Toc3979023</vt:lpwstr>
      </vt:variant>
      <vt:variant>
        <vt:i4>2424836</vt:i4>
      </vt:variant>
      <vt:variant>
        <vt:i4>161</vt:i4>
      </vt:variant>
      <vt:variant>
        <vt:i4>0</vt:i4>
      </vt:variant>
      <vt:variant>
        <vt:i4>5</vt:i4>
      </vt:variant>
      <vt:variant>
        <vt:lpwstr/>
      </vt:variant>
      <vt:variant>
        <vt:lpwstr>_Toc3979022</vt:lpwstr>
      </vt:variant>
      <vt:variant>
        <vt:i4>2424836</vt:i4>
      </vt:variant>
      <vt:variant>
        <vt:i4>155</vt:i4>
      </vt:variant>
      <vt:variant>
        <vt:i4>0</vt:i4>
      </vt:variant>
      <vt:variant>
        <vt:i4>5</vt:i4>
      </vt:variant>
      <vt:variant>
        <vt:lpwstr/>
      </vt:variant>
      <vt:variant>
        <vt:lpwstr>_Toc3979021</vt:lpwstr>
      </vt:variant>
      <vt:variant>
        <vt:i4>2424836</vt:i4>
      </vt:variant>
      <vt:variant>
        <vt:i4>149</vt:i4>
      </vt:variant>
      <vt:variant>
        <vt:i4>0</vt:i4>
      </vt:variant>
      <vt:variant>
        <vt:i4>5</vt:i4>
      </vt:variant>
      <vt:variant>
        <vt:lpwstr/>
      </vt:variant>
      <vt:variant>
        <vt:lpwstr>_Toc3979020</vt:lpwstr>
      </vt:variant>
      <vt:variant>
        <vt:i4>2490372</vt:i4>
      </vt:variant>
      <vt:variant>
        <vt:i4>143</vt:i4>
      </vt:variant>
      <vt:variant>
        <vt:i4>0</vt:i4>
      </vt:variant>
      <vt:variant>
        <vt:i4>5</vt:i4>
      </vt:variant>
      <vt:variant>
        <vt:lpwstr/>
      </vt:variant>
      <vt:variant>
        <vt:lpwstr>_Toc3979019</vt:lpwstr>
      </vt:variant>
      <vt:variant>
        <vt:i4>2490372</vt:i4>
      </vt:variant>
      <vt:variant>
        <vt:i4>137</vt:i4>
      </vt:variant>
      <vt:variant>
        <vt:i4>0</vt:i4>
      </vt:variant>
      <vt:variant>
        <vt:i4>5</vt:i4>
      </vt:variant>
      <vt:variant>
        <vt:lpwstr/>
      </vt:variant>
      <vt:variant>
        <vt:lpwstr>_Toc3979018</vt:lpwstr>
      </vt:variant>
      <vt:variant>
        <vt:i4>2490372</vt:i4>
      </vt:variant>
      <vt:variant>
        <vt:i4>131</vt:i4>
      </vt:variant>
      <vt:variant>
        <vt:i4>0</vt:i4>
      </vt:variant>
      <vt:variant>
        <vt:i4>5</vt:i4>
      </vt:variant>
      <vt:variant>
        <vt:lpwstr/>
      </vt:variant>
      <vt:variant>
        <vt:lpwstr>_Toc3979017</vt:lpwstr>
      </vt:variant>
      <vt:variant>
        <vt:i4>2490372</vt:i4>
      </vt:variant>
      <vt:variant>
        <vt:i4>125</vt:i4>
      </vt:variant>
      <vt:variant>
        <vt:i4>0</vt:i4>
      </vt:variant>
      <vt:variant>
        <vt:i4>5</vt:i4>
      </vt:variant>
      <vt:variant>
        <vt:lpwstr/>
      </vt:variant>
      <vt:variant>
        <vt:lpwstr>_Toc3979016</vt:lpwstr>
      </vt:variant>
      <vt:variant>
        <vt:i4>2490372</vt:i4>
      </vt:variant>
      <vt:variant>
        <vt:i4>119</vt:i4>
      </vt:variant>
      <vt:variant>
        <vt:i4>0</vt:i4>
      </vt:variant>
      <vt:variant>
        <vt:i4>5</vt:i4>
      </vt:variant>
      <vt:variant>
        <vt:lpwstr/>
      </vt:variant>
      <vt:variant>
        <vt:lpwstr>_Toc3979015</vt:lpwstr>
      </vt:variant>
      <vt:variant>
        <vt:i4>2490372</vt:i4>
      </vt:variant>
      <vt:variant>
        <vt:i4>113</vt:i4>
      </vt:variant>
      <vt:variant>
        <vt:i4>0</vt:i4>
      </vt:variant>
      <vt:variant>
        <vt:i4>5</vt:i4>
      </vt:variant>
      <vt:variant>
        <vt:lpwstr/>
      </vt:variant>
      <vt:variant>
        <vt:lpwstr>_Toc3979014</vt:lpwstr>
      </vt:variant>
      <vt:variant>
        <vt:i4>2490372</vt:i4>
      </vt:variant>
      <vt:variant>
        <vt:i4>107</vt:i4>
      </vt:variant>
      <vt:variant>
        <vt:i4>0</vt:i4>
      </vt:variant>
      <vt:variant>
        <vt:i4>5</vt:i4>
      </vt:variant>
      <vt:variant>
        <vt:lpwstr/>
      </vt:variant>
      <vt:variant>
        <vt:lpwstr>_Toc3979013</vt:lpwstr>
      </vt:variant>
      <vt:variant>
        <vt:i4>2490372</vt:i4>
      </vt:variant>
      <vt:variant>
        <vt:i4>101</vt:i4>
      </vt:variant>
      <vt:variant>
        <vt:i4>0</vt:i4>
      </vt:variant>
      <vt:variant>
        <vt:i4>5</vt:i4>
      </vt:variant>
      <vt:variant>
        <vt:lpwstr/>
      </vt:variant>
      <vt:variant>
        <vt:lpwstr>_Toc3979012</vt:lpwstr>
      </vt:variant>
      <vt:variant>
        <vt:i4>2490372</vt:i4>
      </vt:variant>
      <vt:variant>
        <vt:i4>95</vt:i4>
      </vt:variant>
      <vt:variant>
        <vt:i4>0</vt:i4>
      </vt:variant>
      <vt:variant>
        <vt:i4>5</vt:i4>
      </vt:variant>
      <vt:variant>
        <vt:lpwstr/>
      </vt:variant>
      <vt:variant>
        <vt:lpwstr>_Toc3979011</vt:lpwstr>
      </vt:variant>
      <vt:variant>
        <vt:i4>2490372</vt:i4>
      </vt:variant>
      <vt:variant>
        <vt:i4>89</vt:i4>
      </vt:variant>
      <vt:variant>
        <vt:i4>0</vt:i4>
      </vt:variant>
      <vt:variant>
        <vt:i4>5</vt:i4>
      </vt:variant>
      <vt:variant>
        <vt:lpwstr/>
      </vt:variant>
      <vt:variant>
        <vt:lpwstr>_Toc3979010</vt:lpwstr>
      </vt:variant>
      <vt:variant>
        <vt:i4>2555908</vt:i4>
      </vt:variant>
      <vt:variant>
        <vt:i4>83</vt:i4>
      </vt:variant>
      <vt:variant>
        <vt:i4>0</vt:i4>
      </vt:variant>
      <vt:variant>
        <vt:i4>5</vt:i4>
      </vt:variant>
      <vt:variant>
        <vt:lpwstr/>
      </vt:variant>
      <vt:variant>
        <vt:lpwstr>_Toc3979009</vt:lpwstr>
      </vt:variant>
      <vt:variant>
        <vt:i4>2555908</vt:i4>
      </vt:variant>
      <vt:variant>
        <vt:i4>77</vt:i4>
      </vt:variant>
      <vt:variant>
        <vt:i4>0</vt:i4>
      </vt:variant>
      <vt:variant>
        <vt:i4>5</vt:i4>
      </vt:variant>
      <vt:variant>
        <vt:lpwstr/>
      </vt:variant>
      <vt:variant>
        <vt:lpwstr>_Toc3979008</vt:lpwstr>
      </vt:variant>
      <vt:variant>
        <vt:i4>2555908</vt:i4>
      </vt:variant>
      <vt:variant>
        <vt:i4>71</vt:i4>
      </vt:variant>
      <vt:variant>
        <vt:i4>0</vt:i4>
      </vt:variant>
      <vt:variant>
        <vt:i4>5</vt:i4>
      </vt:variant>
      <vt:variant>
        <vt:lpwstr/>
      </vt:variant>
      <vt:variant>
        <vt:lpwstr>_Toc3979007</vt:lpwstr>
      </vt:variant>
      <vt:variant>
        <vt:i4>2555908</vt:i4>
      </vt:variant>
      <vt:variant>
        <vt:i4>65</vt:i4>
      </vt:variant>
      <vt:variant>
        <vt:i4>0</vt:i4>
      </vt:variant>
      <vt:variant>
        <vt:i4>5</vt:i4>
      </vt:variant>
      <vt:variant>
        <vt:lpwstr/>
      </vt:variant>
      <vt:variant>
        <vt:lpwstr>_Toc3979006</vt:lpwstr>
      </vt:variant>
      <vt:variant>
        <vt:i4>2555908</vt:i4>
      </vt:variant>
      <vt:variant>
        <vt:i4>59</vt:i4>
      </vt:variant>
      <vt:variant>
        <vt:i4>0</vt:i4>
      </vt:variant>
      <vt:variant>
        <vt:i4>5</vt:i4>
      </vt:variant>
      <vt:variant>
        <vt:lpwstr/>
      </vt:variant>
      <vt:variant>
        <vt:lpwstr>_Toc3979005</vt:lpwstr>
      </vt:variant>
      <vt:variant>
        <vt:i4>2555908</vt:i4>
      </vt:variant>
      <vt:variant>
        <vt:i4>53</vt:i4>
      </vt:variant>
      <vt:variant>
        <vt:i4>0</vt:i4>
      </vt:variant>
      <vt:variant>
        <vt:i4>5</vt:i4>
      </vt:variant>
      <vt:variant>
        <vt:lpwstr/>
      </vt:variant>
      <vt:variant>
        <vt:lpwstr>_Toc3979004</vt:lpwstr>
      </vt:variant>
      <vt:variant>
        <vt:i4>2555908</vt:i4>
      </vt:variant>
      <vt:variant>
        <vt:i4>47</vt:i4>
      </vt:variant>
      <vt:variant>
        <vt:i4>0</vt:i4>
      </vt:variant>
      <vt:variant>
        <vt:i4>5</vt:i4>
      </vt:variant>
      <vt:variant>
        <vt:lpwstr/>
      </vt:variant>
      <vt:variant>
        <vt:lpwstr>_Toc3979003</vt:lpwstr>
      </vt:variant>
      <vt:variant>
        <vt:i4>2555908</vt:i4>
      </vt:variant>
      <vt:variant>
        <vt:i4>41</vt:i4>
      </vt:variant>
      <vt:variant>
        <vt:i4>0</vt:i4>
      </vt:variant>
      <vt:variant>
        <vt:i4>5</vt:i4>
      </vt:variant>
      <vt:variant>
        <vt:lpwstr/>
      </vt:variant>
      <vt:variant>
        <vt:lpwstr>_Toc3979002</vt:lpwstr>
      </vt:variant>
      <vt:variant>
        <vt:i4>2555908</vt:i4>
      </vt:variant>
      <vt:variant>
        <vt:i4>35</vt:i4>
      </vt:variant>
      <vt:variant>
        <vt:i4>0</vt:i4>
      </vt:variant>
      <vt:variant>
        <vt:i4>5</vt:i4>
      </vt:variant>
      <vt:variant>
        <vt:lpwstr/>
      </vt:variant>
      <vt:variant>
        <vt:lpwstr>_Toc3979001</vt:lpwstr>
      </vt:variant>
      <vt:variant>
        <vt:i4>2555908</vt:i4>
      </vt:variant>
      <vt:variant>
        <vt:i4>29</vt:i4>
      </vt:variant>
      <vt:variant>
        <vt:i4>0</vt:i4>
      </vt:variant>
      <vt:variant>
        <vt:i4>5</vt:i4>
      </vt:variant>
      <vt:variant>
        <vt:lpwstr/>
      </vt:variant>
      <vt:variant>
        <vt:lpwstr>_Toc3979000</vt:lpwstr>
      </vt:variant>
      <vt:variant>
        <vt:i4>3080205</vt:i4>
      </vt:variant>
      <vt:variant>
        <vt:i4>23</vt:i4>
      </vt:variant>
      <vt:variant>
        <vt:i4>0</vt:i4>
      </vt:variant>
      <vt:variant>
        <vt:i4>5</vt:i4>
      </vt:variant>
      <vt:variant>
        <vt:lpwstr/>
      </vt:variant>
      <vt:variant>
        <vt:lpwstr>_Toc3978999</vt:lpwstr>
      </vt:variant>
      <vt:variant>
        <vt:i4>3080205</vt:i4>
      </vt:variant>
      <vt:variant>
        <vt:i4>17</vt:i4>
      </vt:variant>
      <vt:variant>
        <vt:i4>0</vt:i4>
      </vt:variant>
      <vt:variant>
        <vt:i4>5</vt:i4>
      </vt:variant>
      <vt:variant>
        <vt:lpwstr/>
      </vt:variant>
      <vt:variant>
        <vt:lpwstr>_Toc3978998</vt:lpwstr>
      </vt:variant>
      <vt:variant>
        <vt:i4>3080205</vt:i4>
      </vt:variant>
      <vt:variant>
        <vt:i4>11</vt:i4>
      </vt:variant>
      <vt:variant>
        <vt:i4>0</vt:i4>
      </vt:variant>
      <vt:variant>
        <vt:i4>5</vt:i4>
      </vt:variant>
      <vt:variant>
        <vt:lpwstr/>
      </vt:variant>
      <vt:variant>
        <vt:lpwstr>_Toc3978997</vt:lpwstr>
      </vt:variant>
      <vt:variant>
        <vt:i4>7929918</vt:i4>
      </vt:variant>
      <vt:variant>
        <vt:i4>6</vt:i4>
      </vt:variant>
      <vt:variant>
        <vt:i4>0</vt:i4>
      </vt:variant>
      <vt:variant>
        <vt:i4>5</vt:i4>
      </vt:variant>
      <vt:variant>
        <vt:lpwstr>http://www.ntc.gov.au/</vt:lpwstr>
      </vt:variant>
      <vt:variant>
        <vt:lpwstr/>
      </vt:variant>
      <vt:variant>
        <vt:i4>5111849</vt:i4>
      </vt:variant>
      <vt:variant>
        <vt:i4>3</vt:i4>
      </vt:variant>
      <vt:variant>
        <vt:i4>0</vt:i4>
      </vt:variant>
      <vt:variant>
        <vt:i4>5</vt:i4>
      </vt:variant>
      <vt:variant>
        <vt:lpwstr>mailto:rstaheli@ntc.gov.au</vt:lpwstr>
      </vt:variant>
      <vt:variant>
        <vt:lpwstr/>
      </vt:variant>
      <vt:variant>
        <vt:i4>7929918</vt:i4>
      </vt:variant>
      <vt:variant>
        <vt:i4>0</vt:i4>
      </vt:variant>
      <vt:variant>
        <vt:i4>0</vt:i4>
      </vt:variant>
      <vt:variant>
        <vt:i4>5</vt:i4>
      </vt:variant>
      <vt:variant>
        <vt:lpwstr>http://www.ntc.gov.au/</vt:lpwstr>
      </vt:variant>
      <vt:variant>
        <vt:lpwstr/>
      </vt:variant>
      <vt:variant>
        <vt:i4>3145777</vt:i4>
      </vt:variant>
      <vt:variant>
        <vt:i4>0</vt:i4>
      </vt:variant>
      <vt:variant>
        <vt:i4>0</vt:i4>
      </vt:variant>
      <vt:variant>
        <vt:i4>5</vt:i4>
      </vt:variant>
      <vt:variant>
        <vt:lpwstr>http://www.ntc.gov.au/Media/Reports/%280AAD626F-5961-0DFA-6508-258B5697EBBD%29.pdf</vt:lpwstr>
      </vt:variant>
      <vt:variant>
        <vt:lpwstr/>
      </vt:variant>
      <vt:variant>
        <vt:i4>7929918</vt:i4>
      </vt:variant>
      <vt:variant>
        <vt:i4>3</vt:i4>
      </vt:variant>
      <vt:variant>
        <vt:i4>0</vt:i4>
      </vt:variant>
      <vt:variant>
        <vt:i4>5</vt:i4>
      </vt:variant>
      <vt:variant>
        <vt:lpwstr>http://www.ntc.gov.au/</vt:lpwstr>
      </vt:variant>
      <vt:variant>
        <vt:lpwstr/>
      </vt:variant>
      <vt:variant>
        <vt:i4>7864349</vt:i4>
      </vt:variant>
      <vt:variant>
        <vt:i4>0</vt:i4>
      </vt:variant>
      <vt:variant>
        <vt:i4>0</vt:i4>
      </vt:variant>
      <vt:variant>
        <vt:i4>5</vt:i4>
      </vt:variant>
      <vt:variant>
        <vt:lpwstr>mailto:enquiries@ntc.gov.au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2023-11-30T03:28:00Z</dcterms:created>
  <dcterms:modified xsi:type="dcterms:W3CDTF">2023-11-30T03:30:00Z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ccc2104a-e2a7-4e29-88cc-4fe5dd5420af</vt:lpwstr>
  </property>
</Properties>
</file>