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108" w:rsidRDefault="00C37036">
      <w:pPr>
        <w:jc w:val="center"/>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8D6108" w:rsidRDefault="00B26975">
      <w:pPr>
        <w:jc w:val="center"/>
        <w:divId w:val="36123466"/>
        <w:rPr>
          <w:rFonts w:ascii="Segoe UI" w:eastAsia="Times New Roman" w:hAnsi="Segoe UI" w:cs="Segoe UI"/>
          <w:sz w:val="18"/>
          <w:szCs w:val="18"/>
          <w:lang w:val="en-US"/>
        </w:rPr>
      </w:pPr>
      <w:r>
        <w:rPr>
          <w:rFonts w:ascii="Segoe UI" w:eastAsia="Times New Roman" w:hAnsi="Segoe UI" w:cs="Segoe UI"/>
          <w:noProof/>
          <w:sz w:val="18"/>
          <w:szCs w:val="18"/>
        </w:rPr>
        <w:drawing>
          <wp:inline distT="0" distB="0" distL="0" distR="0" wp14:anchorId="1AB70D1A">
            <wp:extent cx="2981325" cy="1256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1256030"/>
                    </a:xfrm>
                    <a:prstGeom prst="rect">
                      <a:avLst/>
                    </a:prstGeom>
                    <a:noFill/>
                  </pic:spPr>
                </pic:pic>
              </a:graphicData>
            </a:graphic>
          </wp:inline>
        </w:drawing>
      </w:r>
    </w:p>
    <w:p w:rsidR="008D6108" w:rsidRDefault="00C37036">
      <w:pPr>
        <w:jc w:val="right"/>
        <w:divId w:val="618998067"/>
        <w:rPr>
          <w:rFonts w:ascii="Segoe UI" w:eastAsia="Times New Roman" w:hAnsi="Segoe UI" w:cs="Segoe UI"/>
          <w:sz w:val="18"/>
          <w:szCs w:val="18"/>
          <w:lang w:val="en-US"/>
        </w:rPr>
      </w:pPr>
      <w:r>
        <w:rPr>
          <w:rFonts w:ascii="Calibri" w:eastAsia="Times New Roman" w:hAnsi="Calibri" w:cs="Calibri"/>
          <w:sz w:val="16"/>
          <w:szCs w:val="16"/>
          <w:lang w:val="en-US"/>
        </w:rPr>
        <w:t>R</w:t>
      </w:r>
      <w:r>
        <w:rPr>
          <w:rFonts w:eastAsia="Times New Roman"/>
          <w:sz w:val="16"/>
          <w:szCs w:val="16"/>
          <w:lang w:val="en-US"/>
        </w:rPr>
        <w:t>eference: OBPR22-02555</w:t>
      </w:r>
      <w:r>
        <w:rPr>
          <w:rFonts w:eastAsia="Times New Roman"/>
          <w:sz w:val="16"/>
          <w:szCs w:val="16"/>
          <w:lang w:val="en-US"/>
        </w:rPr>
        <w:br/>
        <w:t>Telephone: 6271 6270</w:t>
      </w:r>
      <w:r>
        <w:rPr>
          <w:rFonts w:eastAsia="Times New Roman"/>
          <w:sz w:val="16"/>
          <w:szCs w:val="16"/>
          <w:lang w:val="en-US"/>
        </w:rPr>
        <w:br/>
        <w:t xml:space="preserve">e-mail: </w:t>
      </w:r>
      <w:hyperlink r:id="rId11" w:history="1">
        <w:r>
          <w:rPr>
            <w:rStyle w:val="Hyperlink"/>
            <w:rFonts w:eastAsia="Times New Roman"/>
            <w:sz w:val="16"/>
            <w:szCs w:val="16"/>
            <w:lang w:val="en-US"/>
          </w:rPr>
          <w:t>helpdesk-oia@pmc.gov.au</w:t>
        </w:r>
      </w:hyperlink>
    </w:p>
    <w:p w:rsidR="008D6108" w:rsidRDefault="00C37036">
      <w:pPr>
        <w:divId w:val="350492816"/>
        <w:rPr>
          <w:rFonts w:ascii="Segoe UI" w:eastAsia="Times New Roman" w:hAnsi="Segoe UI" w:cs="Segoe UI"/>
          <w:sz w:val="18"/>
          <w:szCs w:val="18"/>
          <w:lang w:val="en-US"/>
        </w:rPr>
      </w:pPr>
      <w:r>
        <w:rPr>
          <w:rFonts w:ascii="Segoe UI" w:eastAsia="Times New Roman" w:hAnsi="Segoe UI" w:cs="Segoe UI"/>
          <w:sz w:val="18"/>
          <w:szCs w:val="18"/>
          <w:lang w:val="en-US"/>
        </w:rPr>
        <w:br/>
      </w:r>
      <w:proofErr w:type="spellStart"/>
      <w:r>
        <w:rPr>
          <w:rFonts w:eastAsia="Times New Roman"/>
          <w:lang w:val="en-US"/>
        </w:rPr>
        <w:t>Mr</w:t>
      </w:r>
      <w:proofErr w:type="spellEnd"/>
      <w:r>
        <w:rPr>
          <w:rFonts w:eastAsia="Times New Roman"/>
          <w:lang w:val="en-US"/>
        </w:rPr>
        <w:t xml:space="preserve"> Richard </w:t>
      </w:r>
      <w:proofErr w:type="spellStart"/>
      <w:r>
        <w:rPr>
          <w:rFonts w:eastAsia="Times New Roman"/>
          <w:lang w:val="en-US"/>
        </w:rPr>
        <w:t>Windeyer</w:t>
      </w:r>
      <w:proofErr w:type="spellEnd"/>
      <w:r>
        <w:rPr>
          <w:rFonts w:eastAsia="Times New Roman"/>
          <w:lang w:val="en-US"/>
        </w:rPr>
        <w:br/>
        <w:t>Deputy Secretary</w:t>
      </w:r>
      <w:r>
        <w:rPr>
          <w:rFonts w:eastAsia="Times New Roman"/>
          <w:sz w:val="18"/>
          <w:szCs w:val="18"/>
          <w:lang w:val="en-US"/>
        </w:rPr>
        <w:br/>
      </w:r>
      <w:r>
        <w:rPr>
          <w:rFonts w:eastAsia="Times New Roman"/>
          <w:lang w:val="en-US"/>
        </w:rPr>
        <w:t>Department of Infrastructure, Transport, Regional Development, Communications and the Arts</w:t>
      </w:r>
      <w:r>
        <w:rPr>
          <w:rFonts w:eastAsia="Times New Roman"/>
          <w:sz w:val="18"/>
          <w:szCs w:val="18"/>
          <w:lang w:val="en-US"/>
        </w:rPr>
        <w:br/>
      </w:r>
      <w:r>
        <w:rPr>
          <w:rFonts w:eastAsia="Times New Roman"/>
          <w:sz w:val="18"/>
          <w:szCs w:val="18"/>
          <w:lang w:val="en-US"/>
        </w:rPr>
        <w:br/>
      </w:r>
      <w:r>
        <w:rPr>
          <w:rFonts w:eastAsia="Times New Roman"/>
          <w:lang w:val="en-US"/>
        </w:rPr>
        <w:t xml:space="preserve">Dear </w:t>
      </w:r>
      <w:proofErr w:type="spellStart"/>
      <w:r>
        <w:rPr>
          <w:rFonts w:eastAsia="Times New Roman"/>
          <w:lang w:val="en-US"/>
        </w:rPr>
        <w:t>Mr</w:t>
      </w:r>
      <w:proofErr w:type="spellEnd"/>
      <w:r>
        <w:rPr>
          <w:rFonts w:eastAsia="Times New Roman"/>
          <w:lang w:val="en-US"/>
        </w:rPr>
        <w:t xml:space="preserve"> </w:t>
      </w:r>
      <w:proofErr w:type="spellStart"/>
      <w:r>
        <w:rPr>
          <w:rFonts w:eastAsia="Times New Roman"/>
          <w:lang w:val="en-US"/>
        </w:rPr>
        <w:t>Windeyer</w:t>
      </w:r>
      <w:proofErr w:type="spellEnd"/>
      <w:r>
        <w:rPr>
          <w:rFonts w:ascii="Segoe UI" w:eastAsia="Times New Roman" w:hAnsi="Segoe UI" w:cs="Segoe UI"/>
          <w:sz w:val="18"/>
          <w:szCs w:val="18"/>
          <w:lang w:val="en-US"/>
        </w:rPr>
        <w:br/>
      </w:r>
      <w:r>
        <w:rPr>
          <w:rFonts w:ascii="Segoe UI" w:eastAsia="Times New Roman" w:hAnsi="Segoe UI" w:cs="Segoe UI"/>
          <w:sz w:val="18"/>
          <w:szCs w:val="18"/>
          <w:lang w:val="en-US"/>
        </w:rPr>
        <w:br/>
      </w:r>
      <w:r>
        <w:rPr>
          <w:rStyle w:val="Strong"/>
          <w:rFonts w:ascii="Arial" w:eastAsia="Times New Roman" w:hAnsi="Arial" w:cs="Arial"/>
          <w:lang w:val="en-US"/>
        </w:rPr>
        <w:t xml:space="preserve">Impact Analysis – Second Pass Final Assessment – Australia Post </w:t>
      </w:r>
      <w:proofErr w:type="spellStart"/>
      <w:r>
        <w:rPr>
          <w:rStyle w:val="Strong"/>
          <w:rFonts w:ascii="Arial" w:eastAsia="Times New Roman" w:hAnsi="Arial" w:cs="Arial"/>
          <w:lang w:val="en-US"/>
        </w:rPr>
        <w:t>Modernisation</w:t>
      </w:r>
      <w:proofErr w:type="spellEnd"/>
      <w:r>
        <w:rPr>
          <w:rStyle w:val="Strong"/>
          <w:rFonts w:ascii="Arial" w:eastAsia="Times New Roman" w:hAnsi="Arial" w:cs="Arial"/>
          <w:lang w:val="en-US"/>
        </w:rPr>
        <w:t xml:space="preserve"> and Long Term Financial Sustainability</w:t>
      </w:r>
    </w:p>
    <w:p w:rsidR="008D6108" w:rsidRDefault="00C37036">
      <w:pPr>
        <w:divId w:val="1605066121"/>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8D6108" w:rsidRDefault="00C37036">
      <w:pPr>
        <w:divId w:val="2074351498"/>
        <w:rPr>
          <w:rFonts w:ascii="Segoe UI" w:eastAsia="Times New Roman" w:hAnsi="Segoe UI" w:cs="Segoe UI"/>
          <w:sz w:val="18"/>
          <w:szCs w:val="18"/>
          <w:lang w:val="en-US"/>
        </w:rPr>
      </w:pPr>
      <w:r>
        <w:rPr>
          <w:rFonts w:eastAsia="Times New Roman"/>
          <w:lang w:val="en-US"/>
        </w:rPr>
        <w:t xml:space="preserve">Thank you for your letter of 25 October 2023 submitting an Impact Analysis (IA) for formal Second Pass Final Assessment. I note the IA has been formally certified at the Deputy Secretary level consistent with the </w:t>
      </w:r>
      <w:r>
        <w:rPr>
          <w:rStyle w:val="Emphasis"/>
          <w:rFonts w:eastAsia="Times New Roman"/>
          <w:lang w:val="en-US"/>
        </w:rPr>
        <w:t>Australian Government Guide to Policy Impact Analysis</w:t>
      </w:r>
      <w:r>
        <w:rPr>
          <w:rFonts w:eastAsia="Times New Roman"/>
          <w:lang w:val="en-US"/>
        </w:rPr>
        <w:t>.</w:t>
      </w:r>
    </w:p>
    <w:p w:rsidR="008D6108" w:rsidRDefault="00C37036">
      <w:pPr>
        <w:divId w:val="270094569"/>
        <w:rPr>
          <w:rFonts w:eastAsia="Times New Roman"/>
          <w:lang w:val="en-US"/>
        </w:rPr>
      </w:pPr>
      <w:r>
        <w:rPr>
          <w:rFonts w:eastAsia="Times New Roman"/>
          <w:lang w:val="en-US"/>
        </w:rPr>
        <w:br/>
        <w:t xml:space="preserve">I appreciate the Department’s constructive engagement on the IA. </w:t>
      </w:r>
    </w:p>
    <w:p w:rsidR="008D6108" w:rsidRDefault="008D6108">
      <w:pPr>
        <w:divId w:val="270094569"/>
        <w:rPr>
          <w:rFonts w:eastAsia="Times New Roman"/>
          <w:lang w:val="en-US"/>
        </w:rPr>
      </w:pPr>
    </w:p>
    <w:p w:rsidR="008D6108" w:rsidRDefault="00C37036">
      <w:pPr>
        <w:divId w:val="270094569"/>
        <w:rPr>
          <w:rFonts w:ascii="Segoe UI" w:eastAsia="Times New Roman" w:hAnsi="Segoe UI" w:cs="Segoe UI"/>
          <w:sz w:val="18"/>
          <w:szCs w:val="18"/>
          <w:lang w:val="en-US"/>
        </w:rPr>
      </w:pPr>
      <w:r>
        <w:rPr>
          <w:rFonts w:eastAsia="Times New Roman"/>
          <w:lang w:val="en-US"/>
        </w:rPr>
        <w:t>The Office of Impact Analysis’ (OIA) assessment is that the quality of the analysis in the IA is adequate. However, I note the very constrained timeframes between the first and second pass assessment of the RIS was not conducive to giving due consideration to feedback on opportunities to improve the RIS to achieve a rating consistent with ‘good practice’</w:t>
      </w:r>
    </w:p>
    <w:p w:rsidR="008D6108" w:rsidRDefault="008D6108">
      <w:pPr>
        <w:divId w:val="644628425"/>
        <w:rPr>
          <w:rFonts w:ascii="Segoe UI" w:eastAsia="Times New Roman" w:hAnsi="Segoe UI" w:cs="Segoe UI"/>
          <w:sz w:val="18"/>
          <w:szCs w:val="18"/>
          <w:lang w:val="en-US"/>
        </w:rPr>
      </w:pPr>
    </w:p>
    <w:p w:rsidR="008D6108" w:rsidRDefault="00C37036">
      <w:pPr>
        <w:divId w:val="728262147"/>
        <w:rPr>
          <w:rFonts w:ascii="Segoe UI" w:eastAsia="Times New Roman" w:hAnsi="Segoe UI" w:cs="Segoe UI"/>
          <w:sz w:val="18"/>
          <w:szCs w:val="18"/>
          <w:lang w:val="en-US"/>
        </w:rPr>
      </w:pPr>
      <w:r>
        <w:rPr>
          <w:rStyle w:val="Strong"/>
          <w:rFonts w:eastAsia="Times New Roman"/>
          <w:lang w:val="en-US"/>
        </w:rPr>
        <w:t>Next steps</w:t>
      </w:r>
    </w:p>
    <w:p w:rsidR="008D6108" w:rsidRDefault="00C37036">
      <w:pPr>
        <w:divId w:val="608660623"/>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8D6108" w:rsidRDefault="00C37036">
      <w:pPr>
        <w:divId w:val="1130394856"/>
        <w:rPr>
          <w:rFonts w:ascii="Segoe UI" w:eastAsia="Times New Roman" w:hAnsi="Segoe UI" w:cs="Segoe UI"/>
          <w:sz w:val="18"/>
          <w:szCs w:val="18"/>
          <w:lang w:val="en-US"/>
        </w:rPr>
      </w:pPr>
      <w:r>
        <w:rPr>
          <w:rFonts w:eastAsia="Times New Roman"/>
          <w:lang w:val="en-US"/>
        </w:rPr>
        <w:t xml:space="preserve">After a final decision has been announced, I ask that your agency work with OIA to </w:t>
      </w:r>
      <w:proofErr w:type="spellStart"/>
      <w:r>
        <w:rPr>
          <w:rFonts w:eastAsia="Times New Roman"/>
          <w:lang w:val="en-US"/>
        </w:rPr>
        <w:t>finalise</w:t>
      </w:r>
      <w:proofErr w:type="spellEnd"/>
      <w:r>
        <w:rPr>
          <w:rFonts w:eastAsia="Times New Roman"/>
          <w:lang w:val="en-US"/>
        </w:rPr>
        <w:t xml:space="preserve"> this material for public release. This includes providing a copy of the IA in Word and PDF format for web accessibility purposes. The IA must be included in any Explanatory Memorandum or Statement giving effect to the proposals in the IA.</w:t>
      </w:r>
    </w:p>
    <w:p w:rsidR="008D6108" w:rsidRDefault="00C37036">
      <w:pPr>
        <w:divId w:val="498887488"/>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If you have any further queries, please do not hesitate to contact me.</w:t>
      </w:r>
    </w:p>
    <w:p w:rsidR="008D6108" w:rsidRDefault="00C37036">
      <w:pPr>
        <w:divId w:val="306790721"/>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Yours sincerely</w:t>
      </w:r>
    </w:p>
    <w:p w:rsidR="008D6108" w:rsidRDefault="00C37036">
      <w:pPr>
        <w:divId w:val="1859656257"/>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8D6108" w:rsidRDefault="00C37036">
      <w:pPr>
        <w:divId w:val="1190220391"/>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8D6108" w:rsidRDefault="00C37036">
      <w:pPr>
        <w:divId w:val="1266383579"/>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8D6108" w:rsidRDefault="00C37036">
      <w:pPr>
        <w:divId w:val="1612205247"/>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8D6108" w:rsidRDefault="00C37036">
      <w:pPr>
        <w:divId w:val="1815564072"/>
        <w:rPr>
          <w:rFonts w:ascii="Segoe UI" w:eastAsia="Times New Roman" w:hAnsi="Segoe UI" w:cs="Segoe UI"/>
          <w:sz w:val="18"/>
          <w:szCs w:val="18"/>
          <w:lang w:val="en-US"/>
        </w:rPr>
      </w:pPr>
      <w:r>
        <w:rPr>
          <w:rFonts w:ascii="Segoe UI" w:eastAsia="Times New Roman" w:hAnsi="Segoe UI" w:cs="Segoe UI"/>
          <w:sz w:val="18"/>
          <w:szCs w:val="18"/>
          <w:lang w:val="en-US"/>
        </w:rPr>
        <w:t> </w:t>
      </w:r>
    </w:p>
    <w:p w:rsidR="008D6108" w:rsidRDefault="00C37036">
      <w:pPr>
        <w:divId w:val="1573658011"/>
        <w:rPr>
          <w:rFonts w:ascii="Segoe UI" w:eastAsia="Times New Roman" w:hAnsi="Segoe UI" w:cs="Segoe UI"/>
          <w:sz w:val="18"/>
          <w:szCs w:val="18"/>
          <w:lang w:val="en-US"/>
        </w:rPr>
      </w:pPr>
      <w:r>
        <w:rPr>
          <w:rFonts w:eastAsia="Times New Roman"/>
          <w:lang w:val="en-US"/>
        </w:rPr>
        <w:t>Rob Reilly</w:t>
      </w:r>
      <w:r>
        <w:rPr>
          <w:rFonts w:eastAsia="Times New Roman"/>
          <w:lang w:val="en-US"/>
        </w:rPr>
        <w:br/>
        <w:t>A/g Executive Director</w:t>
      </w:r>
      <w:r>
        <w:rPr>
          <w:rFonts w:eastAsia="Times New Roman"/>
          <w:lang w:val="en-US"/>
        </w:rPr>
        <w:br/>
        <w:t>Office of Impact Analysis</w:t>
      </w:r>
      <w:r>
        <w:rPr>
          <w:rFonts w:eastAsia="Times New Roman"/>
          <w:lang w:val="en-US"/>
        </w:rPr>
        <w:br/>
      </w:r>
      <w:r>
        <w:rPr>
          <w:rFonts w:eastAsia="Times New Roman"/>
          <w:color w:val="007279"/>
          <w:lang w:val="en-US"/>
        </w:rPr>
        <w:t>25 October 2023</w:t>
      </w:r>
    </w:p>
    <w:tbl>
      <w:tblPr>
        <w:tblW w:w="0" w:type="auto"/>
        <w:tblCellSpacing w:w="15" w:type="dxa"/>
        <w:tblInd w:w="-27360" w:type="dxa"/>
        <w:tblLook w:val="04A0" w:firstRow="1" w:lastRow="0" w:firstColumn="1" w:lastColumn="0" w:noHBand="0" w:noVBand="1"/>
      </w:tblPr>
      <w:tblGrid>
        <w:gridCol w:w="171"/>
        <w:gridCol w:w="5943"/>
      </w:tblGrid>
      <w:tr w:rsidR="008D6108">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6"/>
            </w:tblGrid>
            <w:tr w:rsidR="008D6108">
              <w:trPr>
                <w:divId w:val="311644935"/>
                <w:tblCellSpacing w:w="15" w:type="dxa"/>
              </w:trPr>
              <w:tc>
                <w:tcPr>
                  <w:tcW w:w="0" w:type="auto"/>
                  <w:tcMar>
                    <w:top w:w="15" w:type="dxa"/>
                    <w:left w:w="15" w:type="dxa"/>
                    <w:bottom w:w="15" w:type="dxa"/>
                    <w:right w:w="15" w:type="dxa"/>
                  </w:tcMar>
                  <w:vAlign w:val="center"/>
                  <w:hideMark/>
                </w:tcPr>
                <w:p w:rsidR="008D6108" w:rsidRDefault="008D6108">
                  <w:pPr>
                    <w:rPr>
                      <w:rFonts w:ascii="Segoe UI" w:eastAsia="Times New Roman" w:hAnsi="Segoe UI" w:cs="Segoe UI"/>
                      <w:sz w:val="18"/>
                      <w:szCs w:val="18"/>
                      <w:lang w:val="en-US"/>
                    </w:rPr>
                  </w:pPr>
                </w:p>
              </w:tc>
            </w:tr>
          </w:tbl>
          <w:p w:rsidR="008D6108" w:rsidRDefault="008D6108">
            <w:pPr>
              <w:rPr>
                <w:rFonts w:eastAsia="Times New Roman"/>
                <w:sz w:val="20"/>
                <w:szCs w:val="20"/>
              </w:rPr>
            </w:pPr>
          </w:p>
        </w:tc>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5868"/>
            </w:tblGrid>
            <w:tr w:rsidR="008D6108">
              <w:trPr>
                <w:divId w:val="1632901489"/>
                <w:tblCellSpacing w:w="15" w:type="dxa"/>
              </w:trPr>
              <w:tc>
                <w:tcPr>
                  <w:tcW w:w="0" w:type="auto"/>
                  <w:tcMar>
                    <w:top w:w="15" w:type="dxa"/>
                    <w:left w:w="15" w:type="dxa"/>
                    <w:bottom w:w="15" w:type="dxa"/>
                    <w:right w:w="15" w:type="dxa"/>
                  </w:tcMar>
                  <w:vAlign w:val="center"/>
                  <w:hideMark/>
                </w:tcPr>
                <w:p w:rsidR="008D6108" w:rsidRDefault="00C37036">
                  <w:pPr>
                    <w:pStyle w:val="NormalWeb"/>
                    <w:jc w:val="center"/>
                    <w:rPr>
                      <w:sz w:val="16"/>
                      <w:szCs w:val="16"/>
                    </w:rPr>
                  </w:pPr>
                  <w:r>
                    <w:rPr>
                      <w:sz w:val="16"/>
                      <w:szCs w:val="16"/>
                    </w:rPr>
                    <w:t>1 National Circuit, Barton ACT 2600 • Telephone 02 6271 6270 • Internet oia.pmc.gov.au</w:t>
                  </w:r>
                </w:p>
              </w:tc>
            </w:tr>
          </w:tbl>
          <w:p w:rsidR="008D6108" w:rsidRDefault="008D6108">
            <w:pPr>
              <w:rPr>
                <w:rFonts w:eastAsia="Times New Roman"/>
                <w:sz w:val="20"/>
                <w:szCs w:val="20"/>
              </w:rPr>
            </w:pPr>
          </w:p>
        </w:tc>
      </w:tr>
    </w:tbl>
    <w:p w:rsidR="008D6108" w:rsidRDefault="008D6108">
      <w:pPr>
        <w:rPr>
          <w:rFonts w:eastAsia="Times New Roman"/>
        </w:rPr>
      </w:pPr>
    </w:p>
    <w:sectPr w:rsidR="008D610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02D" w:rsidRDefault="0058302D" w:rsidP="00C37036">
      <w:r>
        <w:separator/>
      </w:r>
    </w:p>
  </w:endnote>
  <w:endnote w:type="continuationSeparator" w:id="0">
    <w:p w:rsidR="0058302D" w:rsidRDefault="0058302D" w:rsidP="00C3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36" w:rsidRDefault="00C37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36" w:rsidRDefault="00C37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36" w:rsidRDefault="00C37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02D" w:rsidRDefault="0058302D" w:rsidP="00C37036">
      <w:r>
        <w:separator/>
      </w:r>
    </w:p>
  </w:footnote>
  <w:footnote w:type="continuationSeparator" w:id="0">
    <w:p w:rsidR="0058302D" w:rsidRDefault="0058302D" w:rsidP="00C37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36" w:rsidRDefault="00C37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36" w:rsidRDefault="00C37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36" w:rsidRDefault="00C37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36"/>
    <w:rsid w:val="0058302D"/>
    <w:rsid w:val="006A410D"/>
    <w:rsid w:val="008D6108"/>
    <w:rsid w:val="00B26975"/>
    <w:rsid w:val="00C37036"/>
    <w:rsid w:val="00EC2B1C"/>
    <w:rsid w:val="00FA0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funeraldatatbl">
    <w:name w:val="funeraldatatbl"/>
    <w:basedOn w:val="Normal"/>
    <w:uiPriority w:val="99"/>
    <w:semiHidden/>
    <w:pPr>
      <w:ind w:left="-675"/>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3466">
      <w:marLeft w:val="1200"/>
      <w:marRight w:val="0"/>
      <w:marTop w:val="0"/>
      <w:marBottom w:val="0"/>
      <w:divBdr>
        <w:top w:val="none" w:sz="0" w:space="0" w:color="auto"/>
        <w:left w:val="none" w:sz="0" w:space="0" w:color="auto"/>
        <w:bottom w:val="none" w:sz="0" w:space="0" w:color="auto"/>
        <w:right w:val="none" w:sz="0" w:space="0" w:color="auto"/>
      </w:divBdr>
    </w:div>
    <w:div w:id="311644935">
      <w:marLeft w:val="0"/>
      <w:marRight w:val="0"/>
      <w:marTop w:val="0"/>
      <w:marBottom w:val="0"/>
      <w:divBdr>
        <w:top w:val="none" w:sz="0" w:space="0" w:color="auto"/>
        <w:left w:val="none" w:sz="0" w:space="0" w:color="auto"/>
        <w:bottom w:val="none" w:sz="0" w:space="0" w:color="auto"/>
        <w:right w:val="none" w:sz="0" w:space="0" w:color="auto"/>
      </w:divBdr>
    </w:div>
    <w:div w:id="350492816">
      <w:marLeft w:val="0"/>
      <w:marRight w:val="0"/>
      <w:marTop w:val="0"/>
      <w:marBottom w:val="0"/>
      <w:divBdr>
        <w:top w:val="none" w:sz="0" w:space="0" w:color="auto"/>
        <w:left w:val="none" w:sz="0" w:space="0" w:color="auto"/>
        <w:bottom w:val="none" w:sz="0" w:space="0" w:color="auto"/>
        <w:right w:val="none" w:sz="0" w:space="0" w:color="auto"/>
      </w:divBdr>
    </w:div>
    <w:div w:id="618998067">
      <w:marLeft w:val="1200"/>
      <w:marRight w:val="0"/>
      <w:marTop w:val="0"/>
      <w:marBottom w:val="0"/>
      <w:divBdr>
        <w:top w:val="none" w:sz="0" w:space="0" w:color="auto"/>
        <w:left w:val="none" w:sz="0" w:space="0" w:color="auto"/>
        <w:bottom w:val="none" w:sz="0" w:space="0" w:color="auto"/>
        <w:right w:val="none" w:sz="0" w:space="0" w:color="auto"/>
      </w:divBdr>
    </w:div>
    <w:div w:id="1503811456">
      <w:marLeft w:val="0"/>
      <w:marRight w:val="0"/>
      <w:marTop w:val="0"/>
      <w:marBottom w:val="0"/>
      <w:divBdr>
        <w:top w:val="none" w:sz="0" w:space="0" w:color="auto"/>
        <w:left w:val="none" w:sz="0" w:space="0" w:color="auto"/>
        <w:bottom w:val="none" w:sz="0" w:space="0" w:color="auto"/>
        <w:right w:val="none" w:sz="0" w:space="0" w:color="auto"/>
      </w:divBdr>
      <w:divsChild>
        <w:div w:id="1605066121">
          <w:marLeft w:val="0"/>
          <w:marRight w:val="0"/>
          <w:marTop w:val="0"/>
          <w:marBottom w:val="0"/>
          <w:divBdr>
            <w:top w:val="none" w:sz="0" w:space="0" w:color="auto"/>
            <w:left w:val="none" w:sz="0" w:space="0" w:color="auto"/>
            <w:bottom w:val="none" w:sz="0" w:space="0" w:color="auto"/>
            <w:right w:val="none" w:sz="0" w:space="0" w:color="auto"/>
          </w:divBdr>
        </w:div>
        <w:div w:id="2074351498">
          <w:marLeft w:val="0"/>
          <w:marRight w:val="0"/>
          <w:marTop w:val="0"/>
          <w:marBottom w:val="0"/>
          <w:divBdr>
            <w:top w:val="none" w:sz="0" w:space="0" w:color="auto"/>
            <w:left w:val="none" w:sz="0" w:space="0" w:color="auto"/>
            <w:bottom w:val="none" w:sz="0" w:space="0" w:color="auto"/>
            <w:right w:val="none" w:sz="0" w:space="0" w:color="auto"/>
          </w:divBdr>
        </w:div>
        <w:div w:id="270094569">
          <w:marLeft w:val="0"/>
          <w:marRight w:val="0"/>
          <w:marTop w:val="0"/>
          <w:marBottom w:val="0"/>
          <w:divBdr>
            <w:top w:val="none" w:sz="0" w:space="0" w:color="auto"/>
            <w:left w:val="none" w:sz="0" w:space="0" w:color="auto"/>
            <w:bottom w:val="none" w:sz="0" w:space="0" w:color="auto"/>
            <w:right w:val="none" w:sz="0" w:space="0" w:color="auto"/>
          </w:divBdr>
        </w:div>
        <w:div w:id="644628425">
          <w:marLeft w:val="0"/>
          <w:marRight w:val="0"/>
          <w:marTop w:val="0"/>
          <w:marBottom w:val="0"/>
          <w:divBdr>
            <w:top w:val="none" w:sz="0" w:space="0" w:color="auto"/>
            <w:left w:val="none" w:sz="0" w:space="0" w:color="auto"/>
            <w:bottom w:val="none" w:sz="0" w:space="0" w:color="auto"/>
            <w:right w:val="none" w:sz="0" w:space="0" w:color="auto"/>
          </w:divBdr>
        </w:div>
        <w:div w:id="728262147">
          <w:marLeft w:val="0"/>
          <w:marRight w:val="0"/>
          <w:marTop w:val="0"/>
          <w:marBottom w:val="0"/>
          <w:divBdr>
            <w:top w:val="none" w:sz="0" w:space="0" w:color="auto"/>
            <w:left w:val="none" w:sz="0" w:space="0" w:color="auto"/>
            <w:bottom w:val="none" w:sz="0" w:space="0" w:color="auto"/>
            <w:right w:val="none" w:sz="0" w:space="0" w:color="auto"/>
          </w:divBdr>
        </w:div>
        <w:div w:id="608660623">
          <w:marLeft w:val="0"/>
          <w:marRight w:val="0"/>
          <w:marTop w:val="0"/>
          <w:marBottom w:val="0"/>
          <w:divBdr>
            <w:top w:val="none" w:sz="0" w:space="0" w:color="auto"/>
            <w:left w:val="none" w:sz="0" w:space="0" w:color="auto"/>
            <w:bottom w:val="none" w:sz="0" w:space="0" w:color="auto"/>
            <w:right w:val="none" w:sz="0" w:space="0" w:color="auto"/>
          </w:divBdr>
        </w:div>
        <w:div w:id="1130394856">
          <w:marLeft w:val="0"/>
          <w:marRight w:val="0"/>
          <w:marTop w:val="0"/>
          <w:marBottom w:val="0"/>
          <w:divBdr>
            <w:top w:val="none" w:sz="0" w:space="0" w:color="auto"/>
            <w:left w:val="none" w:sz="0" w:space="0" w:color="auto"/>
            <w:bottom w:val="none" w:sz="0" w:space="0" w:color="auto"/>
            <w:right w:val="none" w:sz="0" w:space="0" w:color="auto"/>
          </w:divBdr>
        </w:div>
        <w:div w:id="498887488">
          <w:marLeft w:val="0"/>
          <w:marRight w:val="0"/>
          <w:marTop w:val="0"/>
          <w:marBottom w:val="0"/>
          <w:divBdr>
            <w:top w:val="none" w:sz="0" w:space="0" w:color="auto"/>
            <w:left w:val="none" w:sz="0" w:space="0" w:color="auto"/>
            <w:bottom w:val="none" w:sz="0" w:space="0" w:color="auto"/>
            <w:right w:val="none" w:sz="0" w:space="0" w:color="auto"/>
          </w:divBdr>
        </w:div>
        <w:div w:id="306790721">
          <w:marLeft w:val="0"/>
          <w:marRight w:val="0"/>
          <w:marTop w:val="0"/>
          <w:marBottom w:val="0"/>
          <w:divBdr>
            <w:top w:val="none" w:sz="0" w:space="0" w:color="auto"/>
            <w:left w:val="none" w:sz="0" w:space="0" w:color="auto"/>
            <w:bottom w:val="none" w:sz="0" w:space="0" w:color="auto"/>
            <w:right w:val="none" w:sz="0" w:space="0" w:color="auto"/>
          </w:divBdr>
        </w:div>
        <w:div w:id="1859656257">
          <w:marLeft w:val="0"/>
          <w:marRight w:val="0"/>
          <w:marTop w:val="0"/>
          <w:marBottom w:val="0"/>
          <w:divBdr>
            <w:top w:val="none" w:sz="0" w:space="0" w:color="auto"/>
            <w:left w:val="none" w:sz="0" w:space="0" w:color="auto"/>
            <w:bottom w:val="none" w:sz="0" w:space="0" w:color="auto"/>
            <w:right w:val="none" w:sz="0" w:space="0" w:color="auto"/>
          </w:divBdr>
        </w:div>
        <w:div w:id="1190220391">
          <w:marLeft w:val="0"/>
          <w:marRight w:val="0"/>
          <w:marTop w:val="0"/>
          <w:marBottom w:val="0"/>
          <w:divBdr>
            <w:top w:val="none" w:sz="0" w:space="0" w:color="auto"/>
            <w:left w:val="none" w:sz="0" w:space="0" w:color="auto"/>
            <w:bottom w:val="none" w:sz="0" w:space="0" w:color="auto"/>
            <w:right w:val="none" w:sz="0" w:space="0" w:color="auto"/>
          </w:divBdr>
        </w:div>
        <w:div w:id="1266383579">
          <w:marLeft w:val="0"/>
          <w:marRight w:val="0"/>
          <w:marTop w:val="0"/>
          <w:marBottom w:val="0"/>
          <w:divBdr>
            <w:top w:val="none" w:sz="0" w:space="0" w:color="auto"/>
            <w:left w:val="none" w:sz="0" w:space="0" w:color="auto"/>
            <w:bottom w:val="none" w:sz="0" w:space="0" w:color="auto"/>
            <w:right w:val="none" w:sz="0" w:space="0" w:color="auto"/>
          </w:divBdr>
        </w:div>
        <w:div w:id="1612205247">
          <w:marLeft w:val="0"/>
          <w:marRight w:val="0"/>
          <w:marTop w:val="0"/>
          <w:marBottom w:val="0"/>
          <w:divBdr>
            <w:top w:val="none" w:sz="0" w:space="0" w:color="auto"/>
            <w:left w:val="none" w:sz="0" w:space="0" w:color="auto"/>
            <w:bottom w:val="none" w:sz="0" w:space="0" w:color="auto"/>
            <w:right w:val="none" w:sz="0" w:space="0" w:color="auto"/>
          </w:divBdr>
        </w:div>
        <w:div w:id="1815564072">
          <w:marLeft w:val="0"/>
          <w:marRight w:val="0"/>
          <w:marTop w:val="0"/>
          <w:marBottom w:val="0"/>
          <w:divBdr>
            <w:top w:val="none" w:sz="0" w:space="0" w:color="auto"/>
            <w:left w:val="none" w:sz="0" w:space="0" w:color="auto"/>
            <w:bottom w:val="none" w:sz="0" w:space="0" w:color="auto"/>
            <w:right w:val="none" w:sz="0" w:space="0" w:color="auto"/>
          </w:divBdr>
        </w:div>
        <w:div w:id="1573658011">
          <w:marLeft w:val="0"/>
          <w:marRight w:val="0"/>
          <w:marTop w:val="0"/>
          <w:marBottom w:val="0"/>
          <w:divBdr>
            <w:top w:val="none" w:sz="0" w:space="0" w:color="auto"/>
            <w:left w:val="none" w:sz="0" w:space="0" w:color="auto"/>
            <w:bottom w:val="none" w:sz="0" w:space="0" w:color="auto"/>
            <w:right w:val="none" w:sz="0" w:space="0" w:color="auto"/>
          </w:divBdr>
        </w:div>
      </w:divsChild>
    </w:div>
    <w:div w:id="16329014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desk-obpr@pmc.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DOCID-322795542-42351</_dlc_DocId>
    <_dlc_DocIdUrl xmlns="4195ad5f-cdf2-4c4a-8d9b-b7944a108e98">
      <Url>https://pmc01.sharepoint.com/sites/CRMOBPR/_layouts/15/DocIdRedir.aspx?ID=DOCID-322795542-42351</Url>
      <Description>DOCID-322795542-42351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125D9-2FA4-42EC-B715-93047C63790C}">
  <ds:schemaRefs>
    <ds:schemaRef ds:uri="http://schemas.microsoft.com/office/2006/metadata/properties"/>
    <ds:schemaRef ds:uri="http://schemas.microsoft.com/office/infopath/2007/PartnerControls"/>
    <ds:schemaRef ds:uri="http://schemas.microsoft.com/sharepoint/v3"/>
    <ds:schemaRef ds:uri="4195ad5f-cdf2-4c4a-8d9b-b7944a108e98"/>
    <ds:schemaRef ds:uri="26285671-540d-468b-b7a1-f3e0438dd51a"/>
  </ds:schemaRefs>
</ds:datastoreItem>
</file>

<file path=customXml/itemProps2.xml><?xml version="1.0" encoding="utf-8"?>
<ds:datastoreItem xmlns:ds="http://schemas.openxmlformats.org/officeDocument/2006/customXml" ds:itemID="{06132D23-EDBA-4167-AA47-7D7335898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25EB0-91A9-4506-B6D2-A470282718A4}">
  <ds:schemaRefs>
    <ds:schemaRef ds:uri="http://schemas.microsoft.com/sharepoint/events"/>
  </ds:schemaRefs>
</ds:datastoreItem>
</file>

<file path=customXml/itemProps4.xml><?xml version="1.0" encoding="utf-8"?>
<ds:datastoreItem xmlns:ds="http://schemas.openxmlformats.org/officeDocument/2006/customXml" ds:itemID="{663A1B18-2D31-4ECD-B101-837A41752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2023-12-07T01:32:00Z</dcterms:created>
  <dcterms:modified xsi:type="dcterms:W3CDTF">2023-12-07T01:32:00Z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6ee8e5d1-5932-449e-b424-32de3fd95a29</vt:lpwstr>
  </property>
</Properties>
</file>